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4A015">
      <w:pPr>
        <w:pStyle w:val="23"/>
        <w:pBdr>
          <w:bottom w:val="single" w:color="auto" w:sz="4" w:space="1"/>
        </w:pBdr>
        <w:autoSpaceDE/>
        <w:autoSpaceDN/>
        <w:jc w:val="center"/>
        <w:rPr>
          <w:rFonts w:eastAsia="宋体"/>
          <w:sz w:val="56"/>
          <w:szCs w:val="56"/>
        </w:rPr>
      </w:pPr>
      <w:bookmarkStart w:id="65" w:name="_GoBack"/>
      <w:bookmarkEnd w:id="65"/>
      <w:r>
        <w:rPr>
          <w:rFonts w:eastAsia="宋体"/>
          <w:b/>
          <w:bCs/>
          <w:sz w:val="56"/>
          <w:szCs w:val="56"/>
        </w:rPr>
        <w:t>医疗器械的生物相容性试验-符合性评估认证计划（ASCA）试点计划的具体标准信息</w:t>
      </w:r>
    </w:p>
    <w:p w14:paraId="0D70E6C6">
      <w:pPr>
        <w:pStyle w:val="23"/>
        <w:autoSpaceDE/>
        <w:autoSpaceDN/>
        <w:jc w:val="center"/>
        <w:rPr>
          <w:rFonts w:eastAsia="宋体"/>
          <w:sz w:val="56"/>
          <w:szCs w:val="56"/>
        </w:rPr>
      </w:pPr>
      <w:r>
        <w:rPr>
          <w:rFonts w:eastAsia="宋体"/>
          <w:b/>
          <w:bCs/>
          <w:sz w:val="56"/>
          <w:szCs w:val="56"/>
        </w:rPr>
        <w:t>行业、认证机构、检测实验室和美国食品药品监督管理局工作人员指南</w:t>
      </w:r>
    </w:p>
    <w:p w14:paraId="62DAEDF2">
      <w:pPr>
        <w:pStyle w:val="23"/>
        <w:autoSpaceDE/>
        <w:autoSpaceDN/>
        <w:jc w:val="both"/>
        <w:rPr>
          <w:rFonts w:eastAsia="宋体"/>
          <w:b/>
          <w:bCs/>
          <w:sz w:val="28"/>
          <w:szCs w:val="28"/>
        </w:rPr>
      </w:pPr>
    </w:p>
    <w:p w14:paraId="460C90BC">
      <w:pPr>
        <w:pStyle w:val="23"/>
        <w:autoSpaceDE/>
        <w:autoSpaceDN/>
        <w:jc w:val="center"/>
        <w:rPr>
          <w:rFonts w:eastAsia="宋体"/>
          <w:sz w:val="28"/>
          <w:szCs w:val="28"/>
        </w:rPr>
      </w:pPr>
      <w:r>
        <w:rPr>
          <w:rFonts w:eastAsia="宋体"/>
          <w:b/>
          <w:bCs/>
          <w:sz w:val="28"/>
          <w:szCs w:val="28"/>
        </w:rPr>
        <w:t>文件发布日期：2020年9月25日。</w:t>
      </w:r>
    </w:p>
    <w:p w14:paraId="2A80F890">
      <w:pPr>
        <w:autoSpaceDE/>
        <w:autoSpaceDN/>
        <w:snapToGrid w:val="0"/>
        <w:jc w:val="center"/>
        <w:rPr>
          <w:rFonts w:eastAsia="宋体"/>
          <w:b/>
          <w:bCs/>
          <w:sz w:val="28"/>
          <w:szCs w:val="28"/>
        </w:rPr>
      </w:pPr>
      <w:r>
        <w:rPr>
          <w:rFonts w:eastAsia="宋体"/>
          <w:b/>
          <w:bCs/>
          <w:sz w:val="28"/>
          <w:szCs w:val="28"/>
        </w:rPr>
        <w:t>文件草案发布日期：2019年9月23日。</w:t>
      </w:r>
    </w:p>
    <w:p w14:paraId="4A0C8252">
      <w:pPr>
        <w:autoSpaceDE/>
        <w:autoSpaceDN/>
        <w:snapToGrid w:val="0"/>
        <w:jc w:val="both"/>
        <w:rPr>
          <w:rFonts w:eastAsia="宋体"/>
          <w:color w:val="000000"/>
          <w:sz w:val="24"/>
          <w:szCs w:val="24"/>
        </w:rPr>
      </w:pPr>
    </w:p>
    <w:p w14:paraId="3AC5979F">
      <w:pPr>
        <w:autoSpaceDE/>
        <w:autoSpaceDN/>
        <w:snapToGrid w:val="0"/>
        <w:ind w:firstLine="480" w:firstLineChars="200"/>
        <w:jc w:val="both"/>
        <w:rPr>
          <w:rFonts w:eastAsia="宋体"/>
          <w:sz w:val="24"/>
          <w:szCs w:val="24"/>
        </w:rPr>
      </w:pPr>
      <w:r>
        <w:rPr>
          <w:rFonts w:eastAsia="宋体"/>
          <w:color w:val="000000"/>
          <w:sz w:val="24"/>
          <w:szCs w:val="24"/>
        </w:rPr>
        <w:t>如对本文件中有关CDRH监管器械有任何疑问，请发送电子邮件至</w:t>
      </w:r>
      <w:r>
        <w:rPr>
          <w:rFonts w:eastAsia="宋体"/>
          <w:color w:val="0000FF"/>
          <w:sz w:val="24"/>
          <w:szCs w:val="24"/>
          <w:u w:val="single"/>
        </w:rPr>
        <w:t>ASCA@fda.hhs.gov</w:t>
      </w:r>
      <w:r>
        <w:rPr>
          <w:rFonts w:eastAsia="宋体"/>
          <w:color w:val="000000" w:themeColor="text1"/>
          <w:sz w:val="24"/>
          <w:szCs w:val="24"/>
          <w14:textFill>
            <w14:solidFill>
              <w14:schemeClr w14:val="tx1"/>
            </w14:solidFill>
          </w14:textFill>
        </w:rPr>
        <w:t>联系ASCA试点计划。</w:t>
      </w:r>
      <w:r>
        <w:rPr>
          <w:rFonts w:eastAsia="宋体"/>
          <w:color w:val="000000"/>
          <w:sz w:val="24"/>
          <w:szCs w:val="24"/>
        </w:rPr>
        <w:t>如对本文件中有关CBER监管器械的任何问题，请致电1-800-835-4709或240-402-8010，或发送电子邮件至</w:t>
      </w:r>
      <w:r>
        <w:rPr>
          <w:rFonts w:eastAsia="宋体"/>
          <w:color w:val="0000FF"/>
          <w:sz w:val="24"/>
          <w:szCs w:val="24"/>
          <w:u w:val="single"/>
        </w:rPr>
        <w:t>ocod@fda.hhs.gov</w:t>
      </w:r>
      <w:r>
        <w:rPr>
          <w:rFonts w:eastAsia="宋体"/>
          <w:sz w:val="24"/>
          <w:szCs w:val="24"/>
        </w:rPr>
        <w:t>联系对外交流、外联与发展办公室（OCOD）。</w:t>
      </w:r>
    </w:p>
    <w:p w14:paraId="021E4340">
      <w:pPr>
        <w:autoSpaceDE/>
        <w:autoSpaceDN/>
        <w:snapToGrid w:val="0"/>
        <w:jc w:val="both"/>
        <w:rPr>
          <w:rFonts w:eastAsia="宋体"/>
          <w:color w:val="000000"/>
          <w:sz w:val="24"/>
          <w:szCs w:val="24"/>
        </w:rPr>
      </w:pPr>
    </w:p>
    <w:p w14:paraId="601C4D7E">
      <w:pPr>
        <w:autoSpaceDE/>
        <w:autoSpaceDN/>
        <w:snapToGrid w:val="0"/>
        <w:ind w:firstLine="480" w:firstLineChars="200"/>
        <w:jc w:val="both"/>
        <w:rPr>
          <w:rFonts w:eastAsia="宋体"/>
          <w:sz w:val="24"/>
          <w:szCs w:val="24"/>
        </w:rPr>
      </w:pPr>
      <w:r>
        <w:rPr>
          <w:rFonts w:eastAsia="宋体"/>
          <w:color w:val="000000"/>
          <w:sz w:val="24"/>
          <w:szCs w:val="24"/>
        </w:rPr>
        <w:t>该信息收集的OMB控制编号是0910-0889（2023年6月30日到期）。</w:t>
      </w:r>
    </w:p>
    <w:p w14:paraId="1BF0E04F">
      <w:pPr>
        <w:autoSpaceDE/>
        <w:autoSpaceDN/>
        <w:snapToGrid w:val="0"/>
        <w:jc w:val="both"/>
        <w:rPr>
          <w:rFonts w:eastAsia="宋体"/>
          <w:sz w:val="24"/>
          <w:szCs w:val="24"/>
        </w:rPr>
      </w:pPr>
    </w:p>
    <w:p w14:paraId="2C601B5B">
      <w:pPr>
        <w:autoSpaceDE/>
        <w:autoSpaceDN/>
        <w:snapToGrid w:val="0"/>
        <w:jc w:val="both"/>
        <w:rPr>
          <w:rFonts w:eastAsia="宋体"/>
          <w:sz w:val="24"/>
          <w:szCs w:val="24"/>
        </w:rPr>
      </w:pPr>
    </w:p>
    <w:p w14:paraId="2C6B3DD7">
      <w:pPr>
        <w:autoSpaceDE/>
        <w:autoSpaceDN/>
        <w:snapToGrid w:val="0"/>
        <w:jc w:val="both"/>
        <w:rPr>
          <w:rFonts w:eastAsia="宋体"/>
          <w:sz w:val="24"/>
          <w:szCs w:val="24"/>
        </w:rPr>
      </w:pPr>
    </w:p>
    <w:tbl>
      <w:tblPr>
        <w:tblStyle w:val="13"/>
        <w:tblW w:w="5000" w:type="pct"/>
        <w:tblInd w:w="0" w:type="dxa"/>
        <w:tblLayout w:type="fixed"/>
        <w:tblCellMar>
          <w:top w:w="0" w:type="dxa"/>
          <w:left w:w="40" w:type="dxa"/>
          <w:bottom w:w="0" w:type="dxa"/>
          <w:right w:w="40" w:type="dxa"/>
        </w:tblCellMar>
      </w:tblPr>
      <w:tblGrid>
        <w:gridCol w:w="4055"/>
        <w:gridCol w:w="5413"/>
      </w:tblGrid>
      <w:tr w14:paraId="5BFF830D">
        <w:tblPrEx>
          <w:tblCellMar>
            <w:top w:w="0" w:type="dxa"/>
            <w:left w:w="40" w:type="dxa"/>
            <w:bottom w:w="0" w:type="dxa"/>
            <w:right w:w="40" w:type="dxa"/>
          </w:tblCellMar>
        </w:tblPrEx>
        <w:tc>
          <w:tcPr>
            <w:tcW w:w="4176" w:type="dxa"/>
            <w:tcBorders>
              <w:top w:val="nil"/>
              <w:left w:val="nil"/>
              <w:bottom w:val="nil"/>
              <w:right w:val="nil"/>
            </w:tcBorders>
            <w:shd w:val="clear" w:color="auto" w:fill="FFFFFF"/>
            <w:tcMar>
              <w:left w:w="57" w:type="dxa"/>
              <w:right w:w="57" w:type="dxa"/>
            </w:tcMar>
            <w:vAlign w:val="center"/>
          </w:tcPr>
          <w:p w14:paraId="6B0ECC5C">
            <w:pPr>
              <w:autoSpaceDE/>
              <w:autoSpaceDN/>
              <w:snapToGrid w:val="0"/>
              <w:jc w:val="both"/>
              <w:rPr>
                <w:rFonts w:eastAsia="宋体"/>
                <w:sz w:val="24"/>
                <w:szCs w:val="24"/>
              </w:rPr>
            </w:pPr>
            <w:r>
              <w:rPr>
                <w:rFonts w:eastAsia="宋体"/>
                <w:lang w:bidi="th-TH"/>
              </w:rPr>
              <w:drawing>
                <wp:inline distT="0" distB="0" distL="0" distR="0">
                  <wp:extent cx="2278380" cy="510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78380" cy="510540"/>
                          </a:xfrm>
                          <a:prstGeom prst="rect">
                            <a:avLst/>
                          </a:prstGeom>
                          <a:noFill/>
                          <a:ln>
                            <a:noFill/>
                          </a:ln>
                        </pic:spPr>
                      </pic:pic>
                    </a:graphicData>
                  </a:graphic>
                </wp:inline>
              </w:drawing>
            </w:r>
          </w:p>
        </w:tc>
        <w:tc>
          <w:tcPr>
            <w:tcW w:w="5578" w:type="dxa"/>
            <w:tcBorders>
              <w:top w:val="nil"/>
              <w:left w:val="nil"/>
              <w:bottom w:val="nil"/>
              <w:right w:val="nil"/>
            </w:tcBorders>
            <w:shd w:val="clear" w:color="auto" w:fill="FFFFFF"/>
            <w:tcMar>
              <w:left w:w="57" w:type="dxa"/>
              <w:right w:w="57" w:type="dxa"/>
            </w:tcMar>
            <w:vAlign w:val="center"/>
          </w:tcPr>
          <w:p w14:paraId="20730041">
            <w:pPr>
              <w:autoSpaceDE/>
              <w:autoSpaceDN/>
              <w:snapToGrid w:val="0"/>
              <w:jc w:val="right"/>
              <w:rPr>
                <w:rFonts w:eastAsia="宋体"/>
                <w:sz w:val="24"/>
                <w:szCs w:val="24"/>
              </w:rPr>
            </w:pPr>
            <w:r>
              <w:rPr>
                <w:rFonts w:eastAsia="宋体"/>
                <w:b/>
                <w:bCs/>
                <w:color w:val="000000"/>
                <w:sz w:val="24"/>
                <w:szCs w:val="24"/>
              </w:rPr>
              <w:t>美国卫生与公众服务部</w:t>
            </w:r>
          </w:p>
          <w:p w14:paraId="5FB2362A">
            <w:pPr>
              <w:autoSpaceDE/>
              <w:autoSpaceDN/>
              <w:snapToGrid w:val="0"/>
              <w:jc w:val="right"/>
              <w:rPr>
                <w:rFonts w:eastAsia="宋体"/>
                <w:sz w:val="24"/>
                <w:szCs w:val="24"/>
              </w:rPr>
            </w:pPr>
            <w:r>
              <w:rPr>
                <w:rFonts w:eastAsia="宋体"/>
                <w:b/>
                <w:bCs/>
                <w:color w:val="000000"/>
                <w:sz w:val="24"/>
                <w:szCs w:val="24"/>
              </w:rPr>
              <w:t>美国食品药品监督管理局</w:t>
            </w:r>
          </w:p>
          <w:p w14:paraId="6BDC4094">
            <w:pPr>
              <w:autoSpaceDE/>
              <w:autoSpaceDN/>
              <w:snapToGrid w:val="0"/>
              <w:jc w:val="right"/>
              <w:rPr>
                <w:rFonts w:eastAsia="宋体"/>
                <w:sz w:val="24"/>
                <w:szCs w:val="24"/>
              </w:rPr>
            </w:pPr>
            <w:r>
              <w:rPr>
                <w:rFonts w:eastAsia="宋体"/>
                <w:b/>
                <w:bCs/>
                <w:color w:val="000000"/>
                <w:sz w:val="24"/>
                <w:szCs w:val="24"/>
              </w:rPr>
              <w:t>医疗器械和放射健康中心</w:t>
            </w:r>
          </w:p>
          <w:p w14:paraId="381FF3CD">
            <w:pPr>
              <w:autoSpaceDE/>
              <w:autoSpaceDN/>
              <w:snapToGrid w:val="0"/>
              <w:jc w:val="right"/>
              <w:rPr>
                <w:rFonts w:eastAsia="宋体"/>
                <w:sz w:val="24"/>
                <w:szCs w:val="24"/>
              </w:rPr>
            </w:pPr>
            <w:r>
              <w:rPr>
                <w:rFonts w:eastAsia="宋体"/>
                <w:b/>
                <w:bCs/>
                <w:color w:val="000000"/>
                <w:sz w:val="24"/>
                <w:szCs w:val="24"/>
              </w:rPr>
              <w:t>生物制品评价和研究中心</w:t>
            </w:r>
          </w:p>
        </w:tc>
      </w:tr>
    </w:tbl>
    <w:p w14:paraId="434C8113">
      <w:pPr>
        <w:autoSpaceDE/>
        <w:autoSpaceDN/>
        <w:snapToGrid w:val="0"/>
        <w:jc w:val="both"/>
        <w:rPr>
          <w:rFonts w:eastAsia="宋体"/>
          <w:sz w:val="21"/>
          <w:szCs w:val="21"/>
        </w:rPr>
        <w:sectPr>
          <w:headerReference r:id="rId6" w:type="default"/>
          <w:footerReference r:id="rId7" w:type="default"/>
          <w:pgSz w:w="11906" w:h="16838"/>
          <w:pgMar w:top="1134" w:right="1134" w:bottom="1134" w:left="1418" w:header="567" w:footer="567" w:gutter="0"/>
          <w:cols w:space="60" w:num="1"/>
          <w:docGrid w:linePitch="272" w:charSpace="0"/>
        </w:sectPr>
      </w:pPr>
    </w:p>
    <w:p w14:paraId="5D626914">
      <w:pPr>
        <w:autoSpaceDE/>
        <w:autoSpaceDN/>
        <w:jc w:val="center"/>
        <w:rPr>
          <w:rFonts w:eastAsia="宋体"/>
          <w:b/>
          <w:bCs/>
          <w:color w:val="000000"/>
          <w:sz w:val="48"/>
          <w:szCs w:val="48"/>
        </w:rPr>
      </w:pPr>
      <w:r>
        <w:rPr>
          <w:rFonts w:eastAsia="宋体"/>
          <w:b/>
          <w:bCs/>
          <w:color w:val="000000"/>
          <w:sz w:val="48"/>
          <w:szCs w:val="48"/>
        </w:rPr>
        <w:t>前言</w:t>
      </w:r>
    </w:p>
    <w:p w14:paraId="27839D39">
      <w:pPr>
        <w:autoSpaceDE/>
        <w:autoSpaceDN/>
        <w:jc w:val="both"/>
        <w:rPr>
          <w:rFonts w:eastAsia="宋体"/>
          <w:color w:val="000000"/>
          <w:sz w:val="48"/>
          <w:szCs w:val="48"/>
        </w:rPr>
      </w:pPr>
    </w:p>
    <w:p w14:paraId="1C5DFFEC">
      <w:pPr>
        <w:autoSpaceDE/>
        <w:autoSpaceDN/>
        <w:snapToGrid w:val="0"/>
        <w:jc w:val="both"/>
        <w:rPr>
          <w:rFonts w:eastAsia="宋体"/>
          <w:b/>
          <w:bCs/>
          <w:color w:val="000000"/>
          <w:sz w:val="36"/>
          <w:szCs w:val="36"/>
        </w:rPr>
      </w:pPr>
      <w:r>
        <w:rPr>
          <w:rFonts w:eastAsia="宋体"/>
          <w:b/>
          <w:bCs/>
          <w:color w:val="000000"/>
          <w:sz w:val="36"/>
          <w:szCs w:val="36"/>
        </w:rPr>
        <w:t>公众意见</w:t>
      </w:r>
    </w:p>
    <w:p w14:paraId="38AFF7DF">
      <w:pPr>
        <w:autoSpaceDE/>
        <w:autoSpaceDN/>
        <w:snapToGrid w:val="0"/>
        <w:jc w:val="both"/>
        <w:rPr>
          <w:rFonts w:eastAsia="宋体"/>
          <w:b/>
          <w:bCs/>
          <w:color w:val="000000"/>
          <w:sz w:val="36"/>
          <w:szCs w:val="36"/>
        </w:rPr>
      </w:pPr>
    </w:p>
    <w:p w14:paraId="2B0D1F1D">
      <w:pPr>
        <w:autoSpaceDE/>
        <w:autoSpaceDN/>
        <w:snapToGrid w:val="0"/>
        <w:ind w:firstLine="480" w:firstLineChars="200"/>
        <w:jc w:val="both"/>
        <w:rPr>
          <w:rFonts w:eastAsia="宋体"/>
          <w:sz w:val="24"/>
          <w:szCs w:val="24"/>
        </w:rPr>
      </w:pPr>
      <w:r>
        <w:rPr>
          <w:rFonts w:eastAsia="宋体"/>
          <w:color w:val="000000"/>
          <w:sz w:val="24"/>
          <w:szCs w:val="24"/>
        </w:rPr>
        <w:t>电子版意见和建议可随时提交至</w:t>
      </w:r>
      <w:r>
        <w:rPr>
          <w:rFonts w:eastAsia="宋体"/>
          <w:color w:val="0000FF"/>
          <w:sz w:val="24"/>
          <w:szCs w:val="24"/>
          <w:u w:val="single"/>
        </w:rPr>
        <w:t>https://www.regulations.gov</w:t>
      </w:r>
      <w:r>
        <w:rPr>
          <w:rFonts w:eastAsia="宋体"/>
          <w:color w:val="000000"/>
          <w:sz w:val="24"/>
          <w:szCs w:val="24"/>
        </w:rPr>
        <w:t>，供FDA审议。可将书面意见提交至：美国食品药品监督管理局备案文件管理部（5630 Fishers Lane, Room 1061, (HFA-305), Rockville, MD 20852）。所有意见均应注明备案文件编号FDA-2019-D-3805。下次修订或更新本文件前，FDA可能不会对意见采取行动。</w:t>
      </w:r>
    </w:p>
    <w:p w14:paraId="6E229B12">
      <w:pPr>
        <w:autoSpaceDE/>
        <w:autoSpaceDN/>
        <w:snapToGrid w:val="0"/>
        <w:jc w:val="both"/>
        <w:rPr>
          <w:rFonts w:eastAsia="宋体"/>
          <w:b/>
          <w:bCs/>
          <w:color w:val="000000"/>
          <w:sz w:val="36"/>
          <w:szCs w:val="36"/>
        </w:rPr>
      </w:pPr>
    </w:p>
    <w:p w14:paraId="42A997A7">
      <w:pPr>
        <w:autoSpaceDE/>
        <w:autoSpaceDN/>
        <w:snapToGrid w:val="0"/>
        <w:jc w:val="both"/>
        <w:rPr>
          <w:rFonts w:eastAsia="宋体"/>
          <w:sz w:val="36"/>
          <w:szCs w:val="36"/>
        </w:rPr>
      </w:pPr>
      <w:r>
        <w:rPr>
          <w:rFonts w:eastAsia="宋体"/>
          <w:b/>
          <w:bCs/>
          <w:color w:val="000000"/>
          <w:sz w:val="36"/>
          <w:szCs w:val="36"/>
        </w:rPr>
        <w:t>更多副本</w:t>
      </w:r>
    </w:p>
    <w:p w14:paraId="169B0E17">
      <w:pPr>
        <w:autoSpaceDE/>
        <w:autoSpaceDN/>
        <w:snapToGrid w:val="0"/>
        <w:jc w:val="both"/>
        <w:rPr>
          <w:rFonts w:eastAsia="宋体"/>
          <w:b/>
          <w:bCs/>
          <w:color w:val="000000"/>
          <w:sz w:val="28"/>
          <w:szCs w:val="28"/>
        </w:rPr>
      </w:pPr>
    </w:p>
    <w:p w14:paraId="3B151E95">
      <w:pPr>
        <w:autoSpaceDE/>
        <w:autoSpaceDN/>
        <w:snapToGrid w:val="0"/>
        <w:jc w:val="both"/>
        <w:rPr>
          <w:rFonts w:eastAsia="宋体"/>
          <w:sz w:val="28"/>
          <w:szCs w:val="28"/>
        </w:rPr>
      </w:pPr>
      <w:r>
        <w:rPr>
          <w:rFonts w:eastAsia="宋体"/>
          <w:b/>
          <w:bCs/>
          <w:color w:val="000000"/>
          <w:sz w:val="28"/>
          <w:szCs w:val="28"/>
        </w:rPr>
        <w:t>医疗器械和放射健康中心（CDRH）</w:t>
      </w:r>
    </w:p>
    <w:p w14:paraId="3DF3D035">
      <w:pPr>
        <w:autoSpaceDE/>
        <w:autoSpaceDN/>
        <w:snapToGrid w:val="0"/>
        <w:ind w:firstLine="480" w:firstLineChars="200"/>
        <w:jc w:val="both"/>
        <w:rPr>
          <w:rFonts w:eastAsia="宋体"/>
          <w:sz w:val="24"/>
          <w:szCs w:val="24"/>
        </w:rPr>
      </w:pPr>
      <w:r>
        <w:rPr>
          <w:rFonts w:eastAsia="宋体"/>
          <w:color w:val="000000"/>
          <w:sz w:val="24"/>
          <w:szCs w:val="24"/>
        </w:rPr>
        <w:t>更多副本可通过获取。您也可以通过电子邮件发送请求至</w:t>
      </w:r>
      <w:r>
        <w:rPr>
          <w:rFonts w:eastAsia="宋体"/>
          <w:color w:val="0000FF"/>
          <w:sz w:val="24"/>
          <w:szCs w:val="24"/>
          <w:u w:val="single"/>
        </w:rPr>
        <w:t>CDRH-Guidance@fda.hhs.gov</w:t>
      </w:r>
      <w:r>
        <w:rPr>
          <w:rFonts w:eastAsia="宋体"/>
          <w:color w:val="000000" w:themeColor="text1"/>
          <w:sz w:val="24"/>
          <w:szCs w:val="24"/>
          <w14:textFill>
            <w14:solidFill>
              <w14:schemeClr w14:val="tx1"/>
            </w14:solidFill>
          </w14:textFill>
        </w:rPr>
        <w:t>获取本指南的副本</w:t>
      </w:r>
      <w:r>
        <w:rPr>
          <w:rFonts w:eastAsia="宋体"/>
          <w:color w:val="000000"/>
          <w:sz w:val="24"/>
          <w:szCs w:val="24"/>
        </w:rPr>
        <w:t>。请在申请中提供文件编号20012和完整的指南标题。</w:t>
      </w:r>
    </w:p>
    <w:p w14:paraId="24C4CE66">
      <w:pPr>
        <w:autoSpaceDE/>
        <w:autoSpaceDN/>
        <w:snapToGrid w:val="0"/>
        <w:jc w:val="both"/>
        <w:rPr>
          <w:rFonts w:eastAsia="宋体"/>
          <w:b/>
          <w:bCs/>
          <w:color w:val="000000"/>
          <w:sz w:val="28"/>
          <w:szCs w:val="28"/>
        </w:rPr>
      </w:pPr>
    </w:p>
    <w:p w14:paraId="52EF9E3D">
      <w:pPr>
        <w:autoSpaceDE/>
        <w:autoSpaceDN/>
        <w:snapToGrid w:val="0"/>
        <w:jc w:val="both"/>
        <w:rPr>
          <w:rFonts w:eastAsia="宋体"/>
          <w:sz w:val="28"/>
          <w:szCs w:val="28"/>
        </w:rPr>
      </w:pPr>
      <w:r>
        <w:rPr>
          <w:rFonts w:eastAsia="宋体"/>
          <w:b/>
          <w:bCs/>
          <w:color w:val="000000"/>
          <w:sz w:val="28"/>
          <w:szCs w:val="28"/>
        </w:rPr>
        <w:t>生物制品评价和研究中心（CBER）</w:t>
      </w:r>
    </w:p>
    <w:p w14:paraId="229D97BB">
      <w:pPr>
        <w:autoSpaceDE/>
        <w:autoSpaceDN/>
        <w:snapToGrid w:val="0"/>
        <w:ind w:firstLine="480" w:firstLineChars="200"/>
        <w:jc w:val="both"/>
        <w:rPr>
          <w:rFonts w:eastAsia="宋体"/>
          <w:sz w:val="24"/>
          <w:szCs w:val="24"/>
        </w:rPr>
      </w:pPr>
      <w:r>
        <w:rPr>
          <w:rFonts w:eastAsia="宋体"/>
          <w:color w:val="000000"/>
          <w:sz w:val="24"/>
          <w:szCs w:val="24"/>
        </w:rPr>
        <w:t>更多副本可通过以下途径获取：寄送信函至生物制品评价和研究中心（CBER）、对外交流、外联与发展办公室（OCOD）（10903 New Hampshire Ave., WO71, Room 3128, Silver Spring, MD 20903）；或致电1-800-835-4709或240-402-8010；或发送电子邮件至</w:t>
      </w:r>
      <w:r>
        <w:rPr>
          <w:rFonts w:eastAsia="宋体"/>
          <w:color w:val="0000FF"/>
          <w:sz w:val="24"/>
          <w:szCs w:val="24"/>
          <w:u w:val="single"/>
        </w:rPr>
        <w:t>ocod@fda.hhs.gov</w:t>
      </w:r>
      <w:r>
        <w:rPr>
          <w:rFonts w:eastAsia="宋体"/>
          <w:color w:val="000000"/>
          <w:sz w:val="24"/>
          <w:szCs w:val="24"/>
        </w:rPr>
        <w:t>或登陆网址：</w:t>
      </w:r>
      <w:r>
        <w:rPr>
          <w:rFonts w:eastAsia="宋体"/>
          <w:color w:val="000000"/>
          <w:sz w:val="24"/>
          <w:szCs w:val="24"/>
        </w:rPr>
        <w:br w:type="textWrapping"/>
      </w:r>
      <w:r>
        <w:rPr>
          <w:rFonts w:eastAsia="宋体"/>
          <w:color w:val="0000FF"/>
          <w:sz w:val="24"/>
          <w:szCs w:val="24"/>
          <w:u w:val="single"/>
        </w:rPr>
        <w:t>https://www.fda.gov/vaccines-blood-biologics/guidance-compliance-regulatory-information-biologics/biologics-guidances</w:t>
      </w:r>
      <w:r>
        <w:rPr>
          <w:rFonts w:eastAsia="宋体"/>
          <w:sz w:val="24"/>
          <w:szCs w:val="24"/>
        </w:rPr>
        <w:t>。</w:t>
      </w:r>
    </w:p>
    <w:p w14:paraId="2E5DADA9">
      <w:pPr>
        <w:autoSpaceDE/>
        <w:autoSpaceDN/>
        <w:snapToGrid w:val="0"/>
        <w:jc w:val="both"/>
        <w:rPr>
          <w:rFonts w:eastAsia="宋体"/>
          <w:sz w:val="21"/>
          <w:szCs w:val="21"/>
        </w:rPr>
      </w:pPr>
    </w:p>
    <w:p w14:paraId="5E7A86BF">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6ADC60F6">
      <w:pPr>
        <w:autoSpaceDE/>
        <w:autoSpaceDN/>
        <w:snapToGrid w:val="0"/>
        <w:jc w:val="center"/>
        <w:rPr>
          <w:rFonts w:eastAsia="宋体"/>
          <w:b/>
          <w:bCs/>
          <w:sz w:val="36"/>
          <w:szCs w:val="36"/>
        </w:rPr>
      </w:pPr>
      <w:r>
        <w:rPr>
          <w:rFonts w:eastAsia="宋体"/>
          <w:b/>
          <w:bCs/>
          <w:sz w:val="36"/>
          <w:szCs w:val="36"/>
        </w:rPr>
        <w:t>目录</w:t>
      </w:r>
    </w:p>
    <w:p w14:paraId="46E9D267">
      <w:pPr>
        <w:autoSpaceDE/>
        <w:autoSpaceDN/>
        <w:snapToGrid w:val="0"/>
        <w:jc w:val="both"/>
        <w:rPr>
          <w:rFonts w:eastAsia="宋体"/>
          <w:sz w:val="21"/>
          <w:szCs w:val="21"/>
        </w:rPr>
      </w:pPr>
    </w:p>
    <w:p w14:paraId="7D7822A9">
      <w:pPr>
        <w:pStyle w:val="9"/>
        <w:rPr>
          <w:kern w:val="2"/>
          <w:sz w:val="21"/>
          <w:szCs w:val="22"/>
        </w:rPr>
      </w:pPr>
      <w:r>
        <w:rPr>
          <w:sz w:val="21"/>
          <w:szCs w:val="21"/>
        </w:rPr>
        <w:fldChar w:fldCharType="begin"/>
      </w:r>
      <w:r>
        <w:rPr>
          <w:sz w:val="21"/>
          <w:szCs w:val="21"/>
        </w:rPr>
        <w:instrText xml:space="preserve"> TOC \o "1-3" \h \z \u </w:instrText>
      </w:r>
      <w:r>
        <w:rPr>
          <w:sz w:val="21"/>
          <w:szCs w:val="21"/>
        </w:rPr>
        <w:fldChar w:fldCharType="separate"/>
      </w:r>
      <w:r>
        <w:fldChar w:fldCharType="begin"/>
      </w:r>
      <w:r>
        <w:instrText xml:space="preserve"> HYPERLINK \l "_Toc98778554" </w:instrText>
      </w:r>
      <w:r>
        <w:fldChar w:fldCharType="separate"/>
      </w:r>
      <w:r>
        <w:rPr>
          <w:rStyle w:val="15"/>
        </w:rPr>
        <w:t>I.</w:t>
      </w:r>
      <w:r>
        <w:rPr>
          <w:kern w:val="2"/>
          <w:sz w:val="21"/>
          <w:szCs w:val="22"/>
        </w:rPr>
        <w:tab/>
      </w:r>
      <w:r>
        <w:rPr>
          <w:rStyle w:val="15"/>
          <w:rFonts w:hint="eastAsia"/>
        </w:rPr>
        <w:t>前</w:t>
      </w:r>
      <w:r>
        <w:rPr>
          <w:rStyle w:val="15"/>
        </w:rPr>
        <w:t>言</w:t>
      </w:r>
      <w:r>
        <w:tab/>
      </w:r>
      <w:r>
        <w:fldChar w:fldCharType="begin"/>
      </w:r>
      <w:r>
        <w:instrText xml:space="preserve"> PAGEREF _Toc98778554 \h </w:instrText>
      </w:r>
      <w:r>
        <w:fldChar w:fldCharType="separate"/>
      </w:r>
      <w:r>
        <w:t>1</w:t>
      </w:r>
      <w:r>
        <w:fldChar w:fldCharType="end"/>
      </w:r>
      <w:r>
        <w:fldChar w:fldCharType="end"/>
      </w:r>
    </w:p>
    <w:p w14:paraId="44AAAF40">
      <w:pPr>
        <w:pStyle w:val="9"/>
        <w:rPr>
          <w:kern w:val="2"/>
          <w:sz w:val="21"/>
          <w:szCs w:val="22"/>
        </w:rPr>
      </w:pPr>
      <w:r>
        <w:fldChar w:fldCharType="begin"/>
      </w:r>
      <w:r>
        <w:instrText xml:space="preserve"> HYPERLINK \l "_Toc98778555" </w:instrText>
      </w:r>
      <w:r>
        <w:fldChar w:fldCharType="separate"/>
      </w:r>
      <w:r>
        <w:rPr>
          <w:rStyle w:val="15"/>
        </w:rPr>
        <w:t>II.</w:t>
      </w:r>
      <w:r>
        <w:rPr>
          <w:kern w:val="2"/>
          <w:sz w:val="21"/>
          <w:szCs w:val="22"/>
        </w:rPr>
        <w:tab/>
      </w:r>
      <w:r>
        <w:rPr>
          <w:rStyle w:val="15"/>
        </w:rPr>
        <w:t>范围</w:t>
      </w:r>
      <w:r>
        <w:tab/>
      </w:r>
      <w:r>
        <w:fldChar w:fldCharType="begin"/>
      </w:r>
      <w:r>
        <w:instrText xml:space="preserve"> PAGEREF _Toc98778555 \h </w:instrText>
      </w:r>
      <w:r>
        <w:fldChar w:fldCharType="separate"/>
      </w:r>
      <w:r>
        <w:t>2</w:t>
      </w:r>
      <w:r>
        <w:fldChar w:fldCharType="end"/>
      </w:r>
      <w:r>
        <w:fldChar w:fldCharType="end"/>
      </w:r>
    </w:p>
    <w:p w14:paraId="434A9786">
      <w:pPr>
        <w:pStyle w:val="9"/>
        <w:rPr>
          <w:kern w:val="2"/>
          <w:sz w:val="21"/>
          <w:szCs w:val="22"/>
        </w:rPr>
      </w:pPr>
      <w:r>
        <w:fldChar w:fldCharType="begin"/>
      </w:r>
      <w:r>
        <w:instrText xml:space="preserve"> HYPERLINK \l "_Toc98778556" </w:instrText>
      </w:r>
      <w:r>
        <w:fldChar w:fldCharType="separate"/>
      </w:r>
      <w:r>
        <w:rPr>
          <w:rStyle w:val="15"/>
        </w:rPr>
        <w:t>III.</w:t>
      </w:r>
      <w:r>
        <w:rPr>
          <w:kern w:val="2"/>
          <w:sz w:val="21"/>
          <w:szCs w:val="22"/>
        </w:rPr>
        <w:tab/>
      </w:r>
      <w:r>
        <w:rPr>
          <w:rStyle w:val="15"/>
        </w:rPr>
        <w:t>医疗器械生物相容性试验ASCA试点中的FDA公认共识标准和试验方法的列表</w:t>
      </w:r>
      <w:r>
        <w:tab/>
      </w:r>
      <w:r>
        <w:fldChar w:fldCharType="begin"/>
      </w:r>
      <w:r>
        <w:instrText xml:space="preserve"> PAGEREF _Toc98778556 \h </w:instrText>
      </w:r>
      <w:r>
        <w:fldChar w:fldCharType="separate"/>
      </w:r>
      <w:r>
        <w:t>2</w:t>
      </w:r>
      <w:r>
        <w:fldChar w:fldCharType="end"/>
      </w:r>
      <w:r>
        <w:fldChar w:fldCharType="end"/>
      </w:r>
    </w:p>
    <w:p w14:paraId="02F47D2F">
      <w:pPr>
        <w:pStyle w:val="9"/>
        <w:rPr>
          <w:kern w:val="2"/>
          <w:sz w:val="21"/>
          <w:szCs w:val="22"/>
        </w:rPr>
      </w:pPr>
      <w:r>
        <w:fldChar w:fldCharType="begin"/>
      </w:r>
      <w:r>
        <w:instrText xml:space="preserve"> HYPERLINK \l "_Toc98778557" </w:instrText>
      </w:r>
      <w:r>
        <w:fldChar w:fldCharType="separate"/>
      </w:r>
      <w:r>
        <w:rPr>
          <w:rStyle w:val="15"/>
        </w:rPr>
        <w:t>IV.</w:t>
      </w:r>
      <w:r>
        <w:rPr>
          <w:kern w:val="2"/>
          <w:sz w:val="21"/>
          <w:szCs w:val="22"/>
        </w:rPr>
        <w:tab/>
      </w:r>
      <w:r>
        <w:rPr>
          <w:rStyle w:val="15"/>
        </w:rPr>
        <w:t>ASCA认可的认证机构对检测实验室的认证和评估</w:t>
      </w:r>
      <w:r>
        <w:tab/>
      </w:r>
      <w:r>
        <w:fldChar w:fldCharType="begin"/>
      </w:r>
      <w:r>
        <w:instrText xml:space="preserve"> PAGEREF _Toc98778557 \h </w:instrText>
      </w:r>
      <w:r>
        <w:fldChar w:fldCharType="separate"/>
      </w:r>
      <w:r>
        <w:t>4</w:t>
      </w:r>
      <w:r>
        <w:fldChar w:fldCharType="end"/>
      </w:r>
      <w:r>
        <w:fldChar w:fldCharType="end"/>
      </w:r>
    </w:p>
    <w:p w14:paraId="2DE09A62">
      <w:pPr>
        <w:pStyle w:val="11"/>
        <w:spacing w:after="72" w:afterLines="30"/>
        <w:ind w:left="154"/>
        <w:rPr>
          <w:kern w:val="2"/>
          <w:szCs w:val="22"/>
        </w:rPr>
      </w:pPr>
      <w:r>
        <w:fldChar w:fldCharType="begin"/>
      </w:r>
      <w:r>
        <w:instrText xml:space="preserve"> HYPERLINK \l "_Toc98778558" </w:instrText>
      </w:r>
      <w:r>
        <w:fldChar w:fldCharType="separate"/>
      </w:r>
      <w:r>
        <w:rPr>
          <w:rStyle w:val="15"/>
        </w:rPr>
        <w:t>A.</w:t>
      </w:r>
      <w:r>
        <w:rPr>
          <w:kern w:val="2"/>
          <w:szCs w:val="22"/>
        </w:rPr>
        <w:tab/>
      </w:r>
      <w:r>
        <w:rPr>
          <w:rStyle w:val="15"/>
        </w:rPr>
        <w:t>评估的范围</w:t>
      </w:r>
      <w:r>
        <w:tab/>
      </w:r>
      <w:r>
        <w:fldChar w:fldCharType="begin"/>
      </w:r>
      <w:r>
        <w:instrText xml:space="preserve"> PAGEREF _Toc98778558 \h </w:instrText>
      </w:r>
      <w:r>
        <w:fldChar w:fldCharType="separate"/>
      </w:r>
      <w:r>
        <w:t>4</w:t>
      </w:r>
      <w:r>
        <w:fldChar w:fldCharType="end"/>
      </w:r>
      <w:r>
        <w:fldChar w:fldCharType="end"/>
      </w:r>
    </w:p>
    <w:p w14:paraId="4BB31105">
      <w:pPr>
        <w:pStyle w:val="11"/>
        <w:spacing w:after="72" w:afterLines="30"/>
        <w:ind w:left="154"/>
        <w:rPr>
          <w:kern w:val="2"/>
          <w:szCs w:val="22"/>
        </w:rPr>
      </w:pPr>
      <w:r>
        <w:fldChar w:fldCharType="begin"/>
      </w:r>
      <w:r>
        <w:instrText xml:space="preserve"> HYPERLINK \l "_Toc98778559" </w:instrText>
      </w:r>
      <w:r>
        <w:fldChar w:fldCharType="separate"/>
      </w:r>
      <w:r>
        <w:rPr>
          <w:rStyle w:val="15"/>
        </w:rPr>
        <w:t>B.</w:t>
      </w:r>
      <w:r>
        <w:rPr>
          <w:kern w:val="2"/>
          <w:szCs w:val="22"/>
        </w:rPr>
        <w:tab/>
      </w:r>
      <w:r>
        <w:rPr>
          <w:rStyle w:val="15"/>
        </w:rPr>
        <w:t>ASCA医疗器械生物相容性试验计划规范</w:t>
      </w:r>
      <w:r>
        <w:tab/>
      </w:r>
      <w:r>
        <w:fldChar w:fldCharType="begin"/>
      </w:r>
      <w:r>
        <w:instrText xml:space="preserve"> PAGEREF _Toc98778559 \h </w:instrText>
      </w:r>
      <w:r>
        <w:fldChar w:fldCharType="separate"/>
      </w:r>
      <w:r>
        <w:t>4</w:t>
      </w:r>
      <w:r>
        <w:fldChar w:fldCharType="end"/>
      </w:r>
      <w:r>
        <w:fldChar w:fldCharType="end"/>
      </w:r>
    </w:p>
    <w:p w14:paraId="33A379B8">
      <w:pPr>
        <w:pStyle w:val="9"/>
        <w:rPr>
          <w:kern w:val="2"/>
          <w:sz w:val="21"/>
          <w:szCs w:val="22"/>
        </w:rPr>
      </w:pPr>
      <w:r>
        <w:fldChar w:fldCharType="begin"/>
      </w:r>
      <w:r>
        <w:instrText xml:space="preserve"> HYPERLINK \l "_Toc98778560" </w:instrText>
      </w:r>
      <w:r>
        <w:fldChar w:fldCharType="separate"/>
      </w:r>
      <w:r>
        <w:rPr>
          <w:rStyle w:val="15"/>
        </w:rPr>
        <w:t>V.</w:t>
      </w:r>
      <w:r>
        <w:rPr>
          <w:kern w:val="2"/>
          <w:sz w:val="21"/>
          <w:szCs w:val="22"/>
        </w:rPr>
        <w:tab/>
      </w:r>
      <w:r>
        <w:rPr>
          <w:rStyle w:val="15"/>
        </w:rPr>
        <w:t>医疗器械生物相容性试验ASCA试点中FDA公认共识标准和试验方法的上市前申请内容</w:t>
      </w:r>
      <w:r>
        <w:tab/>
      </w:r>
      <w:r>
        <w:tab/>
      </w:r>
      <w:r>
        <w:fldChar w:fldCharType="begin"/>
      </w:r>
      <w:r>
        <w:instrText xml:space="preserve"> PAGEREF _Toc98778560 \h </w:instrText>
      </w:r>
      <w:r>
        <w:fldChar w:fldCharType="separate"/>
      </w:r>
      <w:r>
        <w:t>16</w:t>
      </w:r>
      <w:r>
        <w:fldChar w:fldCharType="end"/>
      </w:r>
      <w:r>
        <w:fldChar w:fldCharType="end"/>
      </w:r>
    </w:p>
    <w:p w14:paraId="09E762F0">
      <w:pPr>
        <w:pStyle w:val="11"/>
        <w:spacing w:after="72" w:afterLines="30"/>
        <w:ind w:left="154"/>
        <w:rPr>
          <w:kern w:val="2"/>
          <w:szCs w:val="22"/>
        </w:rPr>
      </w:pPr>
      <w:r>
        <w:fldChar w:fldCharType="begin"/>
      </w:r>
      <w:r>
        <w:instrText xml:space="preserve"> HYPERLINK \l "_Toc98778561" </w:instrText>
      </w:r>
      <w:r>
        <w:fldChar w:fldCharType="separate"/>
      </w:r>
      <w:r>
        <w:rPr>
          <w:rStyle w:val="15"/>
        </w:rPr>
        <w:t>A.</w:t>
      </w:r>
      <w:r>
        <w:rPr>
          <w:kern w:val="2"/>
          <w:szCs w:val="22"/>
        </w:rPr>
        <w:tab/>
      </w:r>
      <w:r>
        <w:rPr>
          <w:rStyle w:val="15"/>
        </w:rPr>
        <w:t>附信</w:t>
      </w:r>
      <w:r>
        <w:tab/>
      </w:r>
      <w:r>
        <w:fldChar w:fldCharType="begin"/>
      </w:r>
      <w:r>
        <w:instrText xml:space="preserve"> PAGEREF _Toc98778561 \h </w:instrText>
      </w:r>
      <w:r>
        <w:fldChar w:fldCharType="separate"/>
      </w:r>
      <w:r>
        <w:t>16</w:t>
      </w:r>
      <w:r>
        <w:fldChar w:fldCharType="end"/>
      </w:r>
      <w:r>
        <w:fldChar w:fldCharType="end"/>
      </w:r>
    </w:p>
    <w:p w14:paraId="2492579A">
      <w:pPr>
        <w:pStyle w:val="11"/>
        <w:spacing w:after="72" w:afterLines="30"/>
        <w:ind w:left="154"/>
        <w:rPr>
          <w:kern w:val="2"/>
          <w:szCs w:val="22"/>
        </w:rPr>
      </w:pPr>
      <w:r>
        <w:fldChar w:fldCharType="begin"/>
      </w:r>
      <w:r>
        <w:instrText xml:space="preserve"> HYPERLINK \l "_Toc98778562" </w:instrText>
      </w:r>
      <w:r>
        <w:fldChar w:fldCharType="separate"/>
      </w:r>
      <w:r>
        <w:rPr>
          <w:rStyle w:val="15"/>
        </w:rPr>
        <w:t>B.</w:t>
      </w:r>
      <w:r>
        <w:rPr>
          <w:kern w:val="2"/>
          <w:szCs w:val="22"/>
        </w:rPr>
        <w:tab/>
      </w:r>
      <w:r>
        <w:rPr>
          <w:rStyle w:val="15"/>
        </w:rPr>
        <w:t>符合性声明</w:t>
      </w:r>
      <w:r>
        <w:tab/>
      </w:r>
      <w:r>
        <w:fldChar w:fldCharType="begin"/>
      </w:r>
      <w:r>
        <w:instrText xml:space="preserve"> PAGEREF _Toc98778562 \h </w:instrText>
      </w:r>
      <w:r>
        <w:fldChar w:fldCharType="separate"/>
      </w:r>
      <w:r>
        <w:t>16</w:t>
      </w:r>
      <w:r>
        <w:fldChar w:fldCharType="end"/>
      </w:r>
      <w:r>
        <w:fldChar w:fldCharType="end"/>
      </w:r>
    </w:p>
    <w:p w14:paraId="33A442AB">
      <w:pPr>
        <w:pStyle w:val="11"/>
        <w:spacing w:after="72" w:afterLines="30"/>
        <w:ind w:left="154"/>
        <w:rPr>
          <w:kern w:val="2"/>
          <w:szCs w:val="22"/>
        </w:rPr>
      </w:pPr>
      <w:r>
        <w:fldChar w:fldCharType="begin"/>
      </w:r>
      <w:r>
        <w:instrText xml:space="preserve"> HYPERLINK \l "_Toc98778563" </w:instrText>
      </w:r>
      <w:r>
        <w:fldChar w:fldCharType="separate"/>
      </w:r>
      <w:r>
        <w:rPr>
          <w:rStyle w:val="15"/>
        </w:rPr>
        <w:t>C.</w:t>
      </w:r>
      <w:r>
        <w:rPr>
          <w:kern w:val="2"/>
          <w:szCs w:val="22"/>
        </w:rPr>
        <w:tab/>
      </w:r>
      <w:r>
        <w:rPr>
          <w:rStyle w:val="15"/>
        </w:rPr>
        <w:t>补充文件</w:t>
      </w:r>
      <w:r>
        <w:tab/>
      </w:r>
      <w:r>
        <w:fldChar w:fldCharType="begin"/>
      </w:r>
      <w:r>
        <w:instrText xml:space="preserve"> PAGEREF _Toc98778563 \h </w:instrText>
      </w:r>
      <w:r>
        <w:fldChar w:fldCharType="separate"/>
      </w:r>
      <w:r>
        <w:t>17</w:t>
      </w:r>
      <w:r>
        <w:fldChar w:fldCharType="end"/>
      </w:r>
      <w:r>
        <w:fldChar w:fldCharType="end"/>
      </w:r>
    </w:p>
    <w:p w14:paraId="2BB5A550">
      <w:pPr>
        <w:pStyle w:val="9"/>
        <w:rPr>
          <w:kern w:val="2"/>
          <w:sz w:val="21"/>
          <w:szCs w:val="22"/>
        </w:rPr>
      </w:pPr>
      <w:r>
        <w:fldChar w:fldCharType="begin"/>
      </w:r>
      <w:r>
        <w:instrText xml:space="preserve"> HYPERLINK \l "_Toc98778564" </w:instrText>
      </w:r>
      <w:r>
        <w:fldChar w:fldCharType="separate"/>
      </w:r>
      <w:r>
        <w:rPr>
          <w:rStyle w:val="15"/>
        </w:rPr>
        <w:t>VI.</w:t>
      </w:r>
      <w:r>
        <w:rPr>
          <w:kern w:val="2"/>
          <w:sz w:val="21"/>
          <w:szCs w:val="22"/>
        </w:rPr>
        <w:tab/>
      </w:r>
      <w:r>
        <w:rPr>
          <w:rStyle w:val="15"/>
        </w:rPr>
        <w:t>1995年《文书削减法》</w:t>
      </w:r>
      <w:r>
        <w:tab/>
      </w:r>
      <w:r>
        <w:fldChar w:fldCharType="begin"/>
      </w:r>
      <w:r>
        <w:instrText xml:space="preserve"> PAGEREF _Toc98778564 \h </w:instrText>
      </w:r>
      <w:r>
        <w:fldChar w:fldCharType="separate"/>
      </w:r>
      <w:r>
        <w:t>20</w:t>
      </w:r>
      <w:r>
        <w:fldChar w:fldCharType="end"/>
      </w:r>
      <w:r>
        <w:fldChar w:fldCharType="end"/>
      </w:r>
    </w:p>
    <w:p w14:paraId="0ABEDE5D">
      <w:pPr>
        <w:pStyle w:val="9"/>
        <w:tabs>
          <w:tab w:val="clear" w:pos="567"/>
        </w:tabs>
        <w:rPr>
          <w:kern w:val="2"/>
          <w:sz w:val="21"/>
          <w:szCs w:val="22"/>
        </w:rPr>
      </w:pPr>
      <w:r>
        <w:fldChar w:fldCharType="begin"/>
      </w:r>
      <w:r>
        <w:instrText xml:space="preserve"> HYPERLINK \l "_Toc98778565" </w:instrText>
      </w:r>
      <w:r>
        <w:fldChar w:fldCharType="separate"/>
      </w:r>
      <w:r>
        <w:rPr>
          <w:rStyle w:val="15"/>
        </w:rPr>
        <w:t>附录A：ASCA试点中的医疗器械生物学评价标准的ASCA符合性声明（DOC）示例</w:t>
      </w:r>
      <w:r>
        <w:tab/>
      </w:r>
      <w:r>
        <w:fldChar w:fldCharType="begin"/>
      </w:r>
      <w:r>
        <w:instrText xml:space="preserve"> PAGEREF _Toc98778565 \h </w:instrText>
      </w:r>
      <w:r>
        <w:fldChar w:fldCharType="separate"/>
      </w:r>
      <w:r>
        <w:t>21</w:t>
      </w:r>
      <w:r>
        <w:fldChar w:fldCharType="end"/>
      </w:r>
      <w:r>
        <w:fldChar w:fldCharType="end"/>
      </w:r>
    </w:p>
    <w:p w14:paraId="0C4EA1EA">
      <w:pPr>
        <w:pStyle w:val="9"/>
        <w:tabs>
          <w:tab w:val="clear" w:pos="567"/>
        </w:tabs>
        <w:rPr>
          <w:kern w:val="2"/>
          <w:sz w:val="21"/>
          <w:szCs w:val="22"/>
        </w:rPr>
      </w:pPr>
      <w:r>
        <w:fldChar w:fldCharType="begin"/>
      </w:r>
      <w:r>
        <w:instrText xml:space="preserve"> HYPERLINK \l "_Toc98778566" </w:instrText>
      </w:r>
      <w:r>
        <w:fldChar w:fldCharType="separate"/>
      </w:r>
      <w:r>
        <w:rPr>
          <w:rStyle w:val="15"/>
        </w:rPr>
        <w:t>附录B：医疗器械的生物相容性试验的ASCA汇总试验报告示例：刺激性-皮肤反应性（ISO 10993-10）</w:t>
      </w:r>
      <w:r>
        <w:tab/>
      </w:r>
      <w:r>
        <w:fldChar w:fldCharType="begin"/>
      </w:r>
      <w:r>
        <w:instrText xml:space="preserve"> PAGEREF _Toc98778566 \h </w:instrText>
      </w:r>
      <w:r>
        <w:fldChar w:fldCharType="separate"/>
      </w:r>
      <w:r>
        <w:t>24</w:t>
      </w:r>
      <w:r>
        <w:fldChar w:fldCharType="end"/>
      </w:r>
      <w:r>
        <w:fldChar w:fldCharType="end"/>
      </w:r>
    </w:p>
    <w:p w14:paraId="6551A4C2">
      <w:pPr>
        <w:pStyle w:val="9"/>
        <w:tabs>
          <w:tab w:val="clear" w:pos="567"/>
        </w:tabs>
        <w:rPr>
          <w:kern w:val="2"/>
          <w:sz w:val="21"/>
          <w:szCs w:val="22"/>
        </w:rPr>
      </w:pPr>
      <w:r>
        <w:fldChar w:fldCharType="begin"/>
      </w:r>
      <w:r>
        <w:instrText xml:space="preserve"> HYPERLINK \l "_Toc98778567" </w:instrText>
      </w:r>
      <w:r>
        <w:fldChar w:fldCharType="separate"/>
      </w:r>
      <w:r>
        <w:rPr>
          <w:rStyle w:val="15"/>
        </w:rPr>
        <w:t>附录C：医疗器械的生物相容性试验的ASCA汇总试验报告示例：细胞毒性 - MEM洗脱法（ISO 10993-5）</w:t>
      </w:r>
      <w:r>
        <w:tab/>
      </w:r>
      <w:r>
        <w:fldChar w:fldCharType="begin"/>
      </w:r>
      <w:r>
        <w:instrText xml:space="preserve"> PAGEREF _Toc98778567 \h </w:instrText>
      </w:r>
      <w:r>
        <w:fldChar w:fldCharType="separate"/>
      </w:r>
      <w:r>
        <w:t>28</w:t>
      </w:r>
      <w:r>
        <w:fldChar w:fldCharType="end"/>
      </w:r>
      <w:r>
        <w:fldChar w:fldCharType="end"/>
      </w:r>
    </w:p>
    <w:p w14:paraId="50420303">
      <w:pPr>
        <w:pStyle w:val="9"/>
        <w:tabs>
          <w:tab w:val="clear" w:pos="567"/>
        </w:tabs>
        <w:rPr>
          <w:kern w:val="2"/>
          <w:sz w:val="21"/>
          <w:szCs w:val="22"/>
        </w:rPr>
      </w:pPr>
      <w:r>
        <w:fldChar w:fldCharType="begin"/>
      </w:r>
      <w:r>
        <w:instrText xml:space="preserve"> HYPERLINK \l "_Toc98778568" </w:instrText>
      </w:r>
      <w:r>
        <w:fldChar w:fldCharType="separate"/>
      </w:r>
      <w:r>
        <w:rPr>
          <w:rStyle w:val="15"/>
        </w:rPr>
        <w:t>附录D：医疗器械的生物相容性试验的ASCA汇总试验报告示例：皮肤刺激性（ISO 10993-10）</w:t>
      </w:r>
      <w:r>
        <w:tab/>
      </w:r>
      <w:r>
        <w:fldChar w:fldCharType="begin"/>
      </w:r>
      <w:r>
        <w:instrText xml:space="preserve"> PAGEREF _Toc98778568 \h </w:instrText>
      </w:r>
      <w:r>
        <w:fldChar w:fldCharType="separate"/>
      </w:r>
      <w:r>
        <w:t>31</w:t>
      </w:r>
      <w:r>
        <w:fldChar w:fldCharType="end"/>
      </w:r>
      <w:r>
        <w:fldChar w:fldCharType="end"/>
      </w:r>
    </w:p>
    <w:p w14:paraId="5E362A20">
      <w:pPr>
        <w:pStyle w:val="9"/>
        <w:tabs>
          <w:tab w:val="clear" w:pos="567"/>
        </w:tabs>
        <w:rPr>
          <w:kern w:val="2"/>
          <w:sz w:val="21"/>
          <w:szCs w:val="22"/>
        </w:rPr>
      </w:pPr>
      <w:r>
        <w:fldChar w:fldCharType="begin"/>
      </w:r>
      <w:r>
        <w:instrText xml:space="preserve"> HYPERLINK \l "_Toc98778569" </w:instrText>
      </w:r>
      <w:r>
        <w:fldChar w:fldCharType="separate"/>
      </w:r>
      <w:r>
        <w:rPr>
          <w:rStyle w:val="15"/>
        </w:rPr>
        <w:t>附录E：医疗器械的生物相容性试验的ASCA汇总试验报告示例：豚鼠最大剂量致敏性（ISO 10993-10）</w:t>
      </w:r>
      <w:r>
        <w:tab/>
      </w:r>
      <w:r>
        <w:fldChar w:fldCharType="begin"/>
      </w:r>
      <w:r>
        <w:instrText xml:space="preserve"> PAGEREF _Toc98778569 \h </w:instrText>
      </w:r>
      <w:r>
        <w:fldChar w:fldCharType="separate"/>
      </w:r>
      <w:r>
        <w:t>35</w:t>
      </w:r>
      <w:r>
        <w:fldChar w:fldCharType="end"/>
      </w:r>
      <w:r>
        <w:fldChar w:fldCharType="end"/>
      </w:r>
    </w:p>
    <w:p w14:paraId="19C50352">
      <w:pPr>
        <w:pStyle w:val="9"/>
        <w:tabs>
          <w:tab w:val="clear" w:pos="567"/>
        </w:tabs>
        <w:rPr>
          <w:kern w:val="2"/>
          <w:sz w:val="21"/>
          <w:szCs w:val="22"/>
        </w:rPr>
      </w:pPr>
      <w:r>
        <w:fldChar w:fldCharType="begin"/>
      </w:r>
      <w:r>
        <w:instrText xml:space="preserve"> HYPERLINK \l "_Toc98778570" </w:instrText>
      </w:r>
      <w:r>
        <w:fldChar w:fldCharType="separate"/>
      </w:r>
      <w:r>
        <w:rPr>
          <w:rStyle w:val="15"/>
        </w:rPr>
        <w:t>附录F：医疗器械的生物相容性试验的ASCA汇总试验报告示例：闭合斑贴致敏性（ISO 10993-10）</w:t>
      </w:r>
      <w:r>
        <w:tab/>
      </w:r>
      <w:r>
        <w:fldChar w:fldCharType="begin"/>
      </w:r>
      <w:r>
        <w:instrText xml:space="preserve"> PAGEREF _Toc98778570 \h </w:instrText>
      </w:r>
      <w:r>
        <w:fldChar w:fldCharType="separate"/>
      </w:r>
      <w:r>
        <w:t>40</w:t>
      </w:r>
      <w:r>
        <w:fldChar w:fldCharType="end"/>
      </w:r>
      <w:r>
        <w:fldChar w:fldCharType="end"/>
      </w:r>
    </w:p>
    <w:p w14:paraId="2E11A8FF">
      <w:pPr>
        <w:pStyle w:val="9"/>
        <w:tabs>
          <w:tab w:val="clear" w:pos="567"/>
        </w:tabs>
        <w:rPr>
          <w:kern w:val="2"/>
          <w:sz w:val="21"/>
          <w:szCs w:val="22"/>
        </w:rPr>
      </w:pPr>
      <w:r>
        <w:fldChar w:fldCharType="begin"/>
      </w:r>
      <w:r>
        <w:instrText xml:space="preserve"> HYPERLINK \l "_Toc98778571" </w:instrText>
      </w:r>
      <w:r>
        <w:fldChar w:fldCharType="separate"/>
      </w:r>
      <w:r>
        <w:rPr>
          <w:rStyle w:val="15"/>
        </w:rPr>
        <w:t>附录G：医疗器械的生物相容性试验的ASCA汇总试验报告示例：急性全身毒性（ISO 10993-11）</w:t>
      </w:r>
      <w:r>
        <w:tab/>
      </w:r>
      <w:r>
        <w:fldChar w:fldCharType="begin"/>
      </w:r>
      <w:r>
        <w:instrText xml:space="preserve"> PAGEREF _Toc98778571 \h </w:instrText>
      </w:r>
      <w:r>
        <w:fldChar w:fldCharType="separate"/>
      </w:r>
      <w:r>
        <w:t>44</w:t>
      </w:r>
      <w:r>
        <w:fldChar w:fldCharType="end"/>
      </w:r>
      <w:r>
        <w:fldChar w:fldCharType="end"/>
      </w:r>
    </w:p>
    <w:p w14:paraId="5911727D">
      <w:pPr>
        <w:pStyle w:val="9"/>
        <w:tabs>
          <w:tab w:val="clear" w:pos="567"/>
        </w:tabs>
        <w:rPr>
          <w:kern w:val="2"/>
          <w:sz w:val="21"/>
          <w:szCs w:val="22"/>
        </w:rPr>
      </w:pPr>
      <w:r>
        <w:fldChar w:fldCharType="begin"/>
      </w:r>
      <w:r>
        <w:instrText xml:space="preserve"> HYPERLINK \l "_Toc98778572" </w:instrText>
      </w:r>
      <w:r>
        <w:fldChar w:fldCharType="separate"/>
      </w:r>
      <w:r>
        <w:rPr>
          <w:rStyle w:val="15"/>
        </w:rPr>
        <w:t>附录H：医疗器械的生物相容性试验的ASCA汇总试验报告示例：材料介导的致热性（ISO 10993-11和USP 151）</w:t>
      </w:r>
      <w:r>
        <w:tab/>
      </w:r>
      <w:r>
        <w:fldChar w:fldCharType="begin"/>
      </w:r>
      <w:r>
        <w:instrText xml:space="preserve"> PAGEREF _Toc98778572 \h </w:instrText>
      </w:r>
      <w:r>
        <w:fldChar w:fldCharType="separate"/>
      </w:r>
      <w:r>
        <w:t>48</w:t>
      </w:r>
      <w:r>
        <w:fldChar w:fldCharType="end"/>
      </w:r>
      <w:r>
        <w:fldChar w:fldCharType="end"/>
      </w:r>
    </w:p>
    <w:p w14:paraId="6709C42F">
      <w:pPr>
        <w:pStyle w:val="9"/>
        <w:tabs>
          <w:tab w:val="clear" w:pos="567"/>
        </w:tabs>
        <w:rPr>
          <w:kern w:val="2"/>
          <w:sz w:val="21"/>
          <w:szCs w:val="22"/>
        </w:rPr>
      </w:pPr>
      <w:r>
        <w:fldChar w:fldCharType="begin"/>
      </w:r>
      <w:r>
        <w:instrText xml:space="preserve"> HYPERLINK \l "_Toc98778573" </w:instrText>
      </w:r>
      <w:r>
        <w:fldChar w:fldCharType="separate"/>
      </w:r>
      <w:r>
        <w:rPr>
          <w:rStyle w:val="15"/>
        </w:rPr>
        <w:t>附录I：医疗器械的生物相容性试验的ASCA汇总试验报告示例：直接和间接溶血（ISO 10993-4和ASTM F756）</w:t>
      </w:r>
      <w:r>
        <w:tab/>
      </w:r>
      <w:r>
        <w:fldChar w:fldCharType="begin"/>
      </w:r>
      <w:r>
        <w:instrText xml:space="preserve"> PAGEREF _Toc98778573 \h </w:instrText>
      </w:r>
      <w:r>
        <w:fldChar w:fldCharType="separate"/>
      </w:r>
      <w:r>
        <w:t>52</w:t>
      </w:r>
      <w:r>
        <w:fldChar w:fldCharType="end"/>
      </w:r>
      <w:r>
        <w:fldChar w:fldCharType="end"/>
      </w:r>
    </w:p>
    <w:p w14:paraId="295BD1E1">
      <w:pPr>
        <w:pStyle w:val="9"/>
        <w:tabs>
          <w:tab w:val="clear" w:pos="567"/>
        </w:tabs>
        <w:rPr>
          <w:kern w:val="2"/>
          <w:sz w:val="21"/>
          <w:szCs w:val="22"/>
        </w:rPr>
      </w:pPr>
      <w:r>
        <w:fldChar w:fldCharType="begin"/>
      </w:r>
      <w:r>
        <w:instrText xml:space="preserve"> HYPERLINK \l "_Toc98778574" </w:instrText>
      </w:r>
      <w:r>
        <w:fldChar w:fldCharType="separate"/>
      </w:r>
      <w:r>
        <w:rPr>
          <w:rStyle w:val="15"/>
        </w:rPr>
        <w:t>附录J：医疗器械的生物相容性试验的ASCA汇总试验报告示例：补体激活（ISO 10993-4）</w:t>
      </w:r>
      <w:r>
        <w:tab/>
      </w:r>
      <w:r>
        <w:fldChar w:fldCharType="begin"/>
      </w:r>
      <w:r>
        <w:instrText xml:space="preserve"> PAGEREF _Toc98778574 \h </w:instrText>
      </w:r>
      <w:r>
        <w:fldChar w:fldCharType="separate"/>
      </w:r>
      <w:r>
        <w:t>58</w:t>
      </w:r>
      <w:r>
        <w:fldChar w:fldCharType="end"/>
      </w:r>
      <w:r>
        <w:fldChar w:fldCharType="end"/>
      </w:r>
    </w:p>
    <w:p w14:paraId="32187C5F">
      <w:pPr>
        <w:autoSpaceDE/>
        <w:autoSpaceDN/>
        <w:snapToGrid w:val="0"/>
        <w:jc w:val="both"/>
        <w:rPr>
          <w:rFonts w:eastAsia="宋体"/>
          <w:sz w:val="21"/>
          <w:szCs w:val="21"/>
        </w:rPr>
      </w:pPr>
      <w:r>
        <w:rPr>
          <w:rFonts w:eastAsia="宋体"/>
          <w:sz w:val="21"/>
          <w:szCs w:val="21"/>
        </w:rPr>
        <w:fldChar w:fldCharType="end"/>
      </w:r>
    </w:p>
    <w:p w14:paraId="297B8E85">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4AC520F6">
      <w:pPr>
        <w:pBdr>
          <w:bottom w:val="single" w:color="auto" w:sz="4" w:space="1"/>
        </w:pBdr>
        <w:autoSpaceDE/>
        <w:autoSpaceDN/>
        <w:jc w:val="center"/>
        <w:rPr>
          <w:rFonts w:eastAsia="宋体"/>
          <w:color w:val="000000"/>
          <w:sz w:val="56"/>
          <w:szCs w:val="56"/>
        </w:rPr>
      </w:pPr>
      <w:r>
        <w:rPr>
          <w:rFonts w:eastAsia="宋体"/>
          <w:b/>
          <w:bCs/>
          <w:color w:val="000000"/>
          <w:sz w:val="56"/>
          <w:szCs w:val="56"/>
        </w:rPr>
        <w:t>医疗器械的生物相容性试验-符合性评估认证计划（ASCA）试点计划的具体标准信息</w:t>
      </w:r>
    </w:p>
    <w:p w14:paraId="083864B0">
      <w:pPr>
        <w:autoSpaceDE/>
        <w:autoSpaceDN/>
        <w:jc w:val="center"/>
        <w:rPr>
          <w:rFonts w:eastAsia="宋体"/>
          <w:b/>
          <w:bCs/>
          <w:color w:val="000000"/>
          <w:sz w:val="56"/>
          <w:szCs w:val="56"/>
        </w:rPr>
      </w:pPr>
      <w:r>
        <w:rPr>
          <w:rFonts w:eastAsia="宋体"/>
          <w:b/>
          <w:bCs/>
          <w:color w:val="000000"/>
          <w:sz w:val="56"/>
          <w:szCs w:val="56"/>
        </w:rPr>
        <w:t>行业、认证机构、检测实验室和美国食品药品监督管理局工作人员指南</w:t>
      </w:r>
    </w:p>
    <w:p w14:paraId="4E30B790">
      <w:pPr>
        <w:autoSpaceDE/>
        <w:autoSpaceDN/>
        <w:jc w:val="both"/>
        <w:rPr>
          <w:rFonts w:eastAsia="宋体"/>
          <w:b/>
          <w:bCs/>
          <w:color w:val="000000"/>
          <w:sz w:val="56"/>
          <w:szCs w:val="56"/>
        </w:rPr>
      </w:pPr>
    </w:p>
    <w:p w14:paraId="0356A4C4">
      <w:pPr>
        <w:pBdr>
          <w:top w:val="thinThickThinSmallGap" w:color="auto" w:sz="24" w:space="1"/>
          <w:left w:val="thinThickThinSmallGap" w:color="auto" w:sz="24" w:space="4"/>
          <w:bottom w:val="thinThickThinSmallGap" w:color="auto" w:sz="24" w:space="1"/>
          <w:right w:val="thinThickThinSmallGap" w:color="auto" w:sz="24" w:space="4"/>
        </w:pBdr>
        <w:autoSpaceDE/>
        <w:autoSpaceDN/>
        <w:snapToGrid w:val="0"/>
        <w:jc w:val="both"/>
        <w:rPr>
          <w:rFonts w:eastAsia="宋体"/>
          <w:sz w:val="24"/>
          <w:szCs w:val="24"/>
        </w:rPr>
      </w:pPr>
      <w:r>
        <w:rPr>
          <w:rFonts w:hint="eastAsia" w:eastAsia="宋体"/>
          <w:b/>
          <w:bCs/>
          <w:i/>
          <w:iCs/>
          <w:color w:val="000000"/>
          <w:sz w:val="24"/>
          <w:szCs w:val="24"/>
        </w:rPr>
        <w:t>本指南代表美国食品药品监督管理局（FDA）对该主题的当前看法。本文件不赋予任何人任何权利，对FDA或公众不具有约束力。如果替代方法满足适用的情形和法规的要求，则贵司可使用替代方法。如需讨论替代方法，请联系标题页所列负责本指南的FDA工作人员或办公室。</w:t>
      </w:r>
    </w:p>
    <w:p w14:paraId="65CC0C01">
      <w:pPr>
        <w:pStyle w:val="2"/>
        <w:autoSpaceDE/>
        <w:autoSpaceDN/>
        <w:spacing w:before="240" w:after="240"/>
        <w:rPr>
          <w:rFonts w:eastAsia="宋体"/>
        </w:rPr>
      </w:pPr>
      <w:bookmarkStart w:id="0" w:name="_Toc98778554"/>
      <w:bookmarkStart w:id="1" w:name="_Toc97473505"/>
      <w:r>
        <w:rPr>
          <w:rFonts w:eastAsia="宋体"/>
        </w:rPr>
        <w:t>I.</w:t>
      </w:r>
      <w:r>
        <w:rPr>
          <w:rFonts w:eastAsia="宋体"/>
        </w:rPr>
        <w:tab/>
      </w:r>
      <w:r>
        <w:rPr>
          <w:rFonts w:hint="eastAsia" w:eastAsia="宋体"/>
        </w:rPr>
        <w:t>前</w:t>
      </w:r>
      <w:r>
        <w:rPr>
          <w:rFonts w:eastAsia="宋体"/>
        </w:rPr>
        <w:t>言</w:t>
      </w:r>
      <w:bookmarkEnd w:id="0"/>
      <w:bookmarkEnd w:id="1"/>
    </w:p>
    <w:p w14:paraId="06A66B65">
      <w:pPr>
        <w:autoSpaceDE/>
        <w:autoSpaceDN/>
        <w:snapToGrid w:val="0"/>
        <w:ind w:firstLine="480" w:firstLineChars="200"/>
        <w:jc w:val="both"/>
        <w:rPr>
          <w:rFonts w:eastAsia="宋体"/>
          <w:color w:val="0000FF"/>
          <w:sz w:val="24"/>
          <w:szCs w:val="24"/>
          <w:u w:val="single"/>
        </w:rPr>
      </w:pPr>
      <w:r>
        <w:rPr>
          <w:rFonts w:eastAsia="宋体"/>
          <w:color w:val="000000"/>
          <w:sz w:val="24"/>
          <w:szCs w:val="24"/>
        </w:rPr>
        <w:t>本指南提供了关于如何将《医疗器械生物学评价》标准纳入《符合性评估认证计划试点计划》（以下简称ASCA试点）的信息。ASCA试点在FDA的指南中描述</w:t>
      </w:r>
      <w:r>
        <w:rPr>
          <w:rFonts w:eastAsia="宋体"/>
          <w:color w:val="0000FF"/>
          <w:sz w:val="24"/>
          <w:szCs w:val="24"/>
          <w:u w:val="single"/>
        </w:rPr>
        <w:t>符合性评估认证计划（ASCA）试点计划。</w:t>
      </w:r>
      <w:r>
        <w:rPr>
          <w:rStyle w:val="17"/>
          <w:rFonts w:eastAsia="宋体"/>
          <w:sz w:val="24"/>
          <w:szCs w:val="24"/>
        </w:rPr>
        <w:footnoteReference w:id="0"/>
      </w:r>
    </w:p>
    <w:p w14:paraId="6B4499E3">
      <w:pPr>
        <w:autoSpaceDE/>
        <w:autoSpaceDN/>
        <w:snapToGrid w:val="0"/>
        <w:jc w:val="both"/>
        <w:rPr>
          <w:rFonts w:eastAsia="宋体"/>
          <w:sz w:val="24"/>
          <w:szCs w:val="24"/>
        </w:rPr>
      </w:pPr>
    </w:p>
    <w:p w14:paraId="47E06F94">
      <w:pPr>
        <w:autoSpaceDE/>
        <w:autoSpaceDN/>
        <w:snapToGrid w:val="0"/>
        <w:ind w:firstLine="480" w:firstLineChars="200"/>
        <w:jc w:val="both"/>
        <w:rPr>
          <w:rFonts w:eastAsia="宋体"/>
          <w:sz w:val="24"/>
          <w:szCs w:val="24"/>
        </w:rPr>
      </w:pPr>
      <w:r>
        <w:rPr>
          <w:rFonts w:eastAsia="宋体"/>
          <w:color w:val="000000"/>
          <w:sz w:val="24"/>
          <w:szCs w:val="24"/>
        </w:rPr>
        <w:t>关于ASCA试点中包括的FDA公认共识标准的版本，请参见</w:t>
      </w:r>
      <w:r>
        <w:rPr>
          <w:rFonts w:eastAsia="宋体"/>
          <w:color w:val="0000FF"/>
          <w:sz w:val="24"/>
          <w:szCs w:val="24"/>
          <w:u w:val="single"/>
        </w:rPr>
        <w:t>FDA公认共识标准数据库。</w:t>
      </w:r>
      <w:r>
        <w:rPr>
          <w:rStyle w:val="17"/>
          <w:rFonts w:eastAsia="宋体"/>
          <w:sz w:val="24"/>
          <w:szCs w:val="24"/>
        </w:rPr>
        <w:footnoteReference w:id="1"/>
      </w:r>
      <w:r>
        <w:rPr>
          <w:rFonts w:eastAsia="宋体"/>
          <w:color w:val="000000"/>
          <w:sz w:val="24"/>
          <w:szCs w:val="24"/>
        </w:rPr>
        <w:t>关于在监管申请中使用共识标准的更多信息，请参考FDA指南</w:t>
      </w:r>
      <w:r>
        <w:rPr>
          <w:rFonts w:eastAsia="宋体"/>
          <w:color w:val="0000FF"/>
          <w:sz w:val="24"/>
          <w:szCs w:val="24"/>
          <w:u w:val="single"/>
        </w:rPr>
        <w:t>《在医疗器械上市前申请中适当使用自愿共识标准》</w:t>
      </w:r>
      <w:r>
        <w:rPr>
          <w:rStyle w:val="17"/>
          <w:rFonts w:eastAsia="宋体"/>
          <w:sz w:val="24"/>
          <w:szCs w:val="24"/>
        </w:rPr>
        <w:footnoteReference w:id="2"/>
      </w:r>
      <w:r>
        <w:rPr>
          <w:rFonts w:eastAsia="宋体"/>
          <w:color w:val="000000"/>
          <w:sz w:val="24"/>
          <w:szCs w:val="24"/>
        </w:rPr>
        <w:t>和</w:t>
      </w:r>
      <w:r>
        <w:rPr>
          <w:rFonts w:eastAsia="宋体"/>
          <w:color w:val="0000FF"/>
          <w:sz w:val="24"/>
          <w:szCs w:val="24"/>
          <w:u w:val="single"/>
        </w:rPr>
        <w:t>《在生物制品评估和研究中心审评的标准制定和监管申请中的标准使用》。</w:t>
      </w:r>
      <w:r>
        <w:rPr>
          <w:rStyle w:val="17"/>
          <w:rFonts w:eastAsia="宋体"/>
          <w:sz w:val="24"/>
          <w:szCs w:val="24"/>
        </w:rPr>
        <w:footnoteReference w:id="3"/>
      </w:r>
    </w:p>
    <w:p w14:paraId="1B585489">
      <w:pPr>
        <w:tabs>
          <w:tab w:val="left" w:pos="115"/>
        </w:tabs>
        <w:autoSpaceDE/>
        <w:autoSpaceDN/>
        <w:snapToGrid w:val="0"/>
        <w:jc w:val="both"/>
        <w:rPr>
          <w:rFonts w:eastAsia="宋体"/>
          <w:sz w:val="21"/>
          <w:szCs w:val="21"/>
        </w:rPr>
      </w:pPr>
    </w:p>
    <w:p w14:paraId="0D6043AD">
      <w:pPr>
        <w:tabs>
          <w:tab w:val="left" w:pos="115"/>
        </w:tabs>
        <w:autoSpaceDE/>
        <w:autoSpaceDN/>
        <w:snapToGrid w:val="0"/>
        <w:jc w:val="both"/>
        <w:rPr>
          <w:rFonts w:eastAsia="宋体"/>
          <w:sz w:val="21"/>
          <w:szCs w:val="21"/>
        </w:rPr>
        <w:sectPr>
          <w:footerReference r:id="rId8" w:type="default"/>
          <w:pgSz w:w="11906" w:h="16838"/>
          <w:pgMar w:top="1134" w:right="1134" w:bottom="1134" w:left="1418" w:header="567" w:footer="567" w:gutter="0"/>
          <w:pgNumType w:start="1"/>
          <w:cols w:space="60" w:num="1"/>
          <w:docGrid w:linePitch="272" w:charSpace="0"/>
        </w:sectPr>
      </w:pPr>
    </w:p>
    <w:p w14:paraId="52FCDE30">
      <w:pPr>
        <w:autoSpaceDE/>
        <w:autoSpaceDN/>
        <w:snapToGrid w:val="0"/>
        <w:ind w:firstLine="480" w:firstLineChars="200"/>
        <w:jc w:val="both"/>
        <w:rPr>
          <w:rFonts w:eastAsia="宋体"/>
          <w:sz w:val="24"/>
          <w:szCs w:val="24"/>
        </w:rPr>
      </w:pPr>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r>
        <w:rPr>
          <w:rFonts w:hint="eastAsia" w:eastAsia="宋体"/>
          <w:i/>
          <w:iCs/>
          <w:color w:val="000000"/>
          <w:sz w:val="24"/>
          <w:szCs w:val="24"/>
        </w:rPr>
        <w:t>应该（should）</w:t>
      </w:r>
      <w:r>
        <w:rPr>
          <w:rFonts w:hint="eastAsia" w:eastAsia="宋体"/>
          <w:color w:val="000000"/>
          <w:sz w:val="24"/>
          <w:szCs w:val="24"/>
        </w:rPr>
        <w:t>”一词指建议或推荐进行某一事项，并非强制要求。</w:t>
      </w:r>
    </w:p>
    <w:p w14:paraId="0D1867EE">
      <w:pPr>
        <w:pStyle w:val="2"/>
        <w:autoSpaceDE/>
        <w:autoSpaceDN/>
        <w:spacing w:before="240" w:after="240"/>
        <w:rPr>
          <w:rFonts w:eastAsia="宋体"/>
        </w:rPr>
      </w:pPr>
      <w:bookmarkStart w:id="2" w:name="_Toc97473506"/>
      <w:bookmarkStart w:id="3" w:name="_Toc98778555"/>
      <w:r>
        <w:rPr>
          <w:rFonts w:eastAsia="宋体"/>
        </w:rPr>
        <w:t>II.</w:t>
      </w:r>
      <w:r>
        <w:rPr>
          <w:rFonts w:eastAsia="宋体"/>
        </w:rPr>
        <w:tab/>
      </w:r>
      <w:bookmarkEnd w:id="2"/>
      <w:r>
        <w:rPr>
          <w:rFonts w:eastAsia="宋体"/>
        </w:rPr>
        <w:t>范围</w:t>
      </w:r>
      <w:bookmarkEnd w:id="3"/>
    </w:p>
    <w:p w14:paraId="5AC051C3">
      <w:pPr>
        <w:autoSpaceDE/>
        <w:autoSpaceDN/>
        <w:snapToGrid w:val="0"/>
        <w:jc w:val="both"/>
        <w:rPr>
          <w:rFonts w:eastAsia="宋体"/>
          <w:color w:val="000000"/>
          <w:sz w:val="24"/>
          <w:szCs w:val="24"/>
        </w:rPr>
      </w:pPr>
      <w:r>
        <w:rPr>
          <w:rFonts w:eastAsia="宋体"/>
          <w:color w:val="000000"/>
          <w:sz w:val="24"/>
          <w:szCs w:val="24"/>
        </w:rPr>
        <w:t>该指南包括以下内容：</w:t>
      </w:r>
    </w:p>
    <w:p w14:paraId="07CF7DE6">
      <w:pPr>
        <w:autoSpaceDE/>
        <w:autoSpaceDN/>
        <w:snapToGrid w:val="0"/>
        <w:jc w:val="both"/>
        <w:rPr>
          <w:rFonts w:eastAsia="宋体"/>
          <w:sz w:val="24"/>
          <w:szCs w:val="24"/>
        </w:rPr>
      </w:pPr>
    </w:p>
    <w:p w14:paraId="08B3C7F7">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医疗器械生物相容性试验ASCA试点中的FDA公认共识标准和试验方法的列表；</w:t>
      </w:r>
    </w:p>
    <w:p w14:paraId="07F1DB95">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医疗器械生物相容性试验ASCA试点中的FDA公认共识标准和试验方法的程序规范；以及</w:t>
      </w:r>
    </w:p>
    <w:p w14:paraId="24BAAC49">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当试验由ASCA认证的检测实验室进行时，推荐的上市前申请内容具体到医疗器械生物相容性试验ASCA试点中的FDA公认共识标准和试验方法。</w:t>
      </w:r>
    </w:p>
    <w:p w14:paraId="6683B35A">
      <w:pPr>
        <w:autoSpaceDE/>
        <w:autoSpaceDN/>
        <w:snapToGrid w:val="0"/>
        <w:jc w:val="both"/>
        <w:rPr>
          <w:rFonts w:eastAsia="宋体"/>
          <w:color w:val="000000"/>
          <w:sz w:val="24"/>
          <w:szCs w:val="24"/>
        </w:rPr>
      </w:pPr>
    </w:p>
    <w:p w14:paraId="1BA51220">
      <w:pPr>
        <w:autoSpaceDE/>
        <w:autoSpaceDN/>
        <w:snapToGrid w:val="0"/>
        <w:ind w:firstLine="480" w:firstLineChars="200"/>
        <w:jc w:val="both"/>
        <w:rPr>
          <w:rFonts w:eastAsia="宋体"/>
          <w:color w:val="000000"/>
          <w:sz w:val="24"/>
          <w:szCs w:val="24"/>
        </w:rPr>
      </w:pPr>
      <w:r>
        <w:rPr>
          <w:rFonts w:eastAsia="宋体"/>
          <w:color w:val="000000"/>
          <w:sz w:val="24"/>
          <w:szCs w:val="24"/>
        </w:rPr>
        <w:t>FDA的指南《符合性评估认证计划（ASCA）试点计划》描述了认证机构、检测实验室、器械制造商和FDA工作人员如何参与ASCA试点，以及如何选择FDA公认共识标准和试验方法以及如何制定计划规范。</w:t>
      </w:r>
    </w:p>
    <w:p w14:paraId="388208E9">
      <w:pPr>
        <w:autoSpaceDE/>
        <w:autoSpaceDN/>
        <w:snapToGrid w:val="0"/>
        <w:jc w:val="both"/>
        <w:rPr>
          <w:rFonts w:eastAsia="宋体"/>
          <w:sz w:val="24"/>
          <w:szCs w:val="24"/>
        </w:rPr>
      </w:pPr>
    </w:p>
    <w:p w14:paraId="409CC790">
      <w:pPr>
        <w:autoSpaceDE/>
        <w:autoSpaceDN/>
        <w:snapToGrid w:val="0"/>
        <w:ind w:firstLine="480" w:firstLineChars="200"/>
        <w:jc w:val="both"/>
        <w:rPr>
          <w:rFonts w:eastAsia="宋体"/>
          <w:sz w:val="24"/>
          <w:szCs w:val="24"/>
        </w:rPr>
      </w:pPr>
      <w:r>
        <w:rPr>
          <w:rFonts w:eastAsia="宋体"/>
          <w:color w:val="000000"/>
          <w:sz w:val="24"/>
          <w:szCs w:val="24"/>
        </w:rPr>
        <w:t>关于支持上市前申请的生物相容性试验的建议，请参见FDA指南</w:t>
      </w:r>
      <w:r>
        <w:rPr>
          <w:rFonts w:eastAsia="宋体"/>
          <w:color w:val="0000FF"/>
          <w:sz w:val="24"/>
          <w:szCs w:val="24"/>
          <w:u w:val="single"/>
        </w:rPr>
        <w:t>使用国际标准ISO 10993-1，《医疗器械的生物学评价--第1部分：风险管理过程中的评价和试验》</w:t>
      </w:r>
      <w:r>
        <w:rPr>
          <w:rStyle w:val="17"/>
          <w:rFonts w:eastAsia="宋体"/>
          <w:sz w:val="24"/>
          <w:szCs w:val="24"/>
        </w:rPr>
        <w:footnoteReference w:id="4"/>
      </w:r>
      <w:r>
        <w:rPr>
          <w:rFonts w:eastAsia="宋体"/>
          <w:color w:val="000000"/>
          <w:sz w:val="24"/>
          <w:szCs w:val="24"/>
        </w:rPr>
        <w:t>。ASCA试点的医疗器械生物相容性试验不包括某些需要定制样品制备和/或试验方法的器械类型，或可吸收和原位聚合器械、液体器械、乳霜、凝胶、水凝胶器械和含有纳米材料的器械。</w:t>
      </w:r>
    </w:p>
    <w:p w14:paraId="60F095FE">
      <w:pPr>
        <w:pStyle w:val="2"/>
        <w:autoSpaceDE/>
        <w:autoSpaceDN/>
        <w:spacing w:before="240" w:after="240"/>
        <w:rPr>
          <w:rFonts w:eastAsia="宋体"/>
        </w:rPr>
      </w:pPr>
      <w:bookmarkStart w:id="4" w:name="bookmark5"/>
      <w:bookmarkStart w:id="5" w:name="_Toc98778556"/>
      <w:bookmarkStart w:id="6" w:name="_Toc97473507"/>
      <w:r>
        <w:rPr>
          <w:rFonts w:eastAsia="宋体"/>
        </w:rPr>
        <w:t>I</w:t>
      </w:r>
      <w:bookmarkEnd w:id="4"/>
      <w:r>
        <w:rPr>
          <w:rFonts w:eastAsia="宋体"/>
        </w:rPr>
        <w:t>II.</w:t>
      </w:r>
      <w:r>
        <w:rPr>
          <w:rFonts w:eastAsia="宋体"/>
        </w:rPr>
        <w:tab/>
      </w:r>
      <w:r>
        <w:rPr>
          <w:rFonts w:eastAsia="宋体"/>
        </w:rPr>
        <w:t>医疗器械生物相容性试验ASCA试点中的FDA公认共识标准和试验方法的列表</w:t>
      </w:r>
      <w:bookmarkEnd w:id="5"/>
      <w:bookmarkEnd w:id="6"/>
    </w:p>
    <w:p w14:paraId="2E0D31BB">
      <w:pPr>
        <w:autoSpaceDE/>
        <w:autoSpaceDN/>
        <w:snapToGrid w:val="0"/>
        <w:ind w:firstLine="480" w:firstLineChars="200"/>
        <w:jc w:val="both"/>
        <w:rPr>
          <w:rFonts w:eastAsia="宋体"/>
          <w:sz w:val="24"/>
          <w:szCs w:val="24"/>
        </w:rPr>
      </w:pPr>
      <w:r>
        <w:rPr>
          <w:rFonts w:eastAsia="宋体"/>
          <w:color w:val="000000"/>
          <w:sz w:val="24"/>
          <w:szCs w:val="24"/>
        </w:rPr>
        <w:t>生物学评价评估了与人体组织直接和/或间接接触的医疗器械的生物相容性相关风险。当需要将生物相容性试验作为向FDA申请的上市前文件的一部分，以解决与生物相容性有关的风险时，下面列出的选定的、交叉的生物学评价标准与许多制造商有关，并且这些器械类型对公共卫生具有重要意义。</w:t>
      </w:r>
    </w:p>
    <w:p w14:paraId="319E709F">
      <w:pPr>
        <w:autoSpaceDE/>
        <w:autoSpaceDN/>
        <w:snapToGrid w:val="0"/>
        <w:jc w:val="both"/>
        <w:rPr>
          <w:rFonts w:eastAsia="宋体"/>
          <w:sz w:val="21"/>
          <w:szCs w:val="21"/>
        </w:rPr>
      </w:pPr>
    </w:p>
    <w:p w14:paraId="27CE653F">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6A748833">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ASTM F756：</w:t>
      </w:r>
      <w:r>
        <w:rPr>
          <w:rFonts w:eastAsia="宋体"/>
          <w:i/>
          <w:iCs/>
          <w:color w:val="000000"/>
          <w:sz w:val="24"/>
          <w:szCs w:val="24"/>
        </w:rPr>
        <w:t>评估材料溶血性能的标准实施规程</w:t>
      </w:r>
    </w:p>
    <w:p w14:paraId="1B5B1FAF">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ASTM F720：</w:t>
      </w:r>
      <w:r>
        <w:rPr>
          <w:rFonts w:eastAsia="宋体"/>
          <w:i/>
          <w:iCs/>
          <w:color w:val="000000"/>
          <w:sz w:val="24"/>
          <w:szCs w:val="24"/>
        </w:rPr>
        <w:t>豚鼠接触性过敏原试验的标准做法：豚鼠最大剂量试验</w:t>
      </w:r>
    </w:p>
    <w:p w14:paraId="129A197B">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ISO 10993-4：</w:t>
      </w:r>
      <w:r>
        <w:rPr>
          <w:rFonts w:eastAsia="宋体"/>
          <w:i/>
          <w:iCs/>
          <w:color w:val="000000"/>
          <w:sz w:val="24"/>
          <w:szCs w:val="24"/>
        </w:rPr>
        <w:t>医疗器械生物学评价-第4部分：与血液相互作用试验选择</w:t>
      </w:r>
    </w:p>
    <w:p w14:paraId="665D1155">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ISO 10993-5：</w:t>
      </w:r>
      <w:r>
        <w:rPr>
          <w:rFonts w:eastAsia="宋体"/>
          <w:i/>
          <w:iCs/>
          <w:color w:val="000000"/>
          <w:sz w:val="24"/>
          <w:szCs w:val="24"/>
        </w:rPr>
        <w:t>医疗器械生物学评价-第5部分：体外细胞毒性试验</w:t>
      </w:r>
    </w:p>
    <w:p w14:paraId="4093205C">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ISO 10993-10：</w:t>
      </w:r>
      <w:r>
        <w:rPr>
          <w:rFonts w:eastAsia="宋体"/>
          <w:i/>
          <w:iCs/>
          <w:color w:val="000000"/>
          <w:sz w:val="24"/>
          <w:szCs w:val="24"/>
        </w:rPr>
        <w:t>医疗器械生物学评价-第10部分：刺激与皮肤致敏试验</w:t>
      </w:r>
    </w:p>
    <w:p w14:paraId="0473D959">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ISO 10993-11：</w:t>
      </w:r>
      <w:r>
        <w:rPr>
          <w:rFonts w:eastAsia="宋体"/>
          <w:i/>
          <w:iCs/>
          <w:color w:val="000000"/>
          <w:sz w:val="24"/>
          <w:szCs w:val="24"/>
        </w:rPr>
        <w:t>医疗器械生物学评价-第11部分：全身毒性试验</w:t>
      </w:r>
    </w:p>
    <w:p w14:paraId="63A42E9E">
      <w:pPr>
        <w:pStyle w:val="28"/>
        <w:numPr>
          <w:ilvl w:val="0"/>
          <w:numId w:val="1"/>
        </w:numPr>
        <w:autoSpaceDE/>
        <w:autoSpaceDN/>
        <w:snapToGrid w:val="0"/>
        <w:ind w:left="660" w:leftChars="150" w:hanging="360" w:hangingChars="150"/>
        <w:jc w:val="both"/>
        <w:rPr>
          <w:rFonts w:eastAsia="宋体"/>
          <w:i/>
          <w:iCs/>
          <w:color w:val="000000"/>
          <w:sz w:val="24"/>
          <w:szCs w:val="24"/>
        </w:rPr>
      </w:pPr>
      <w:r>
        <w:rPr>
          <w:rFonts w:eastAsia="宋体"/>
          <w:color w:val="000000"/>
          <w:sz w:val="24"/>
          <w:szCs w:val="24"/>
        </w:rPr>
        <w:t>USP &lt;151&gt;：</w:t>
      </w:r>
      <w:r>
        <w:rPr>
          <w:rFonts w:eastAsia="宋体"/>
          <w:i/>
          <w:iCs/>
          <w:color w:val="000000"/>
          <w:sz w:val="24"/>
          <w:szCs w:val="24"/>
        </w:rPr>
        <w:t>热原测试</w:t>
      </w:r>
    </w:p>
    <w:p w14:paraId="5221801C">
      <w:pPr>
        <w:pStyle w:val="28"/>
        <w:numPr>
          <w:ilvl w:val="0"/>
          <w:numId w:val="1"/>
        </w:numPr>
        <w:autoSpaceDE/>
        <w:autoSpaceDN/>
        <w:snapToGrid w:val="0"/>
        <w:ind w:left="660" w:leftChars="150" w:hanging="360" w:hangingChars="150"/>
        <w:jc w:val="both"/>
        <w:rPr>
          <w:rFonts w:eastAsia="宋体"/>
          <w:color w:val="000000"/>
          <w:sz w:val="24"/>
          <w:szCs w:val="24"/>
        </w:rPr>
      </w:pPr>
      <w:r>
        <w:rPr>
          <w:rFonts w:eastAsia="宋体"/>
          <w:color w:val="000000"/>
          <w:sz w:val="24"/>
          <w:szCs w:val="24"/>
        </w:rPr>
        <w:t>ISO 10993-12：</w:t>
      </w:r>
      <w:r>
        <w:rPr>
          <w:rFonts w:eastAsia="宋体"/>
          <w:i/>
          <w:iCs/>
          <w:color w:val="000000"/>
          <w:sz w:val="24"/>
          <w:szCs w:val="24"/>
        </w:rPr>
        <w:t>医疗器械生物学评价-第12部分：样品制备和标准物质</w:t>
      </w:r>
    </w:p>
    <w:p w14:paraId="0D6E8233">
      <w:pPr>
        <w:autoSpaceDE/>
        <w:autoSpaceDN/>
        <w:snapToGrid w:val="0"/>
        <w:jc w:val="both"/>
        <w:rPr>
          <w:rFonts w:eastAsia="宋体"/>
          <w:color w:val="000000"/>
          <w:sz w:val="24"/>
          <w:szCs w:val="24"/>
        </w:rPr>
      </w:pPr>
    </w:p>
    <w:p w14:paraId="7CE35403">
      <w:pPr>
        <w:autoSpaceDE/>
        <w:autoSpaceDN/>
        <w:snapToGrid w:val="0"/>
        <w:ind w:firstLine="480" w:firstLineChars="200"/>
        <w:jc w:val="both"/>
        <w:rPr>
          <w:rFonts w:eastAsia="宋体"/>
          <w:sz w:val="24"/>
          <w:szCs w:val="24"/>
        </w:rPr>
      </w:pPr>
      <w:r>
        <w:rPr>
          <w:rFonts w:eastAsia="宋体"/>
          <w:color w:val="000000"/>
          <w:sz w:val="24"/>
          <w:szCs w:val="24"/>
        </w:rPr>
        <w:t>纳入ASCA试点的医疗器械生物相容性试验的合格试验方法有：</w:t>
      </w:r>
    </w:p>
    <w:tbl>
      <w:tblPr>
        <w:tblStyle w:val="1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3759"/>
        <w:gridCol w:w="5709"/>
      </w:tblGrid>
      <w:tr w14:paraId="1E9A5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C0C0C0"/>
            <w:tcMar>
              <w:left w:w="57" w:type="dxa"/>
              <w:right w:w="57" w:type="dxa"/>
            </w:tcMar>
          </w:tcPr>
          <w:p w14:paraId="47B8E5C2">
            <w:pPr>
              <w:autoSpaceDE/>
              <w:autoSpaceDN/>
              <w:snapToGrid w:val="0"/>
              <w:jc w:val="both"/>
              <w:rPr>
                <w:rFonts w:eastAsia="宋体"/>
                <w:sz w:val="21"/>
                <w:szCs w:val="21"/>
              </w:rPr>
            </w:pPr>
            <w:r>
              <w:rPr>
                <w:rFonts w:eastAsia="宋体"/>
                <w:color w:val="000000"/>
                <w:sz w:val="21"/>
                <w:szCs w:val="21"/>
              </w:rPr>
              <w:t>FDA公认共识标准</w:t>
            </w:r>
          </w:p>
        </w:tc>
        <w:tc>
          <w:tcPr>
            <w:tcW w:w="5709" w:type="dxa"/>
            <w:shd w:val="clear" w:color="auto" w:fill="C0C0C0"/>
            <w:tcMar>
              <w:left w:w="57" w:type="dxa"/>
              <w:right w:w="57" w:type="dxa"/>
            </w:tcMar>
          </w:tcPr>
          <w:p w14:paraId="4670A27A">
            <w:pPr>
              <w:autoSpaceDE/>
              <w:autoSpaceDN/>
              <w:snapToGrid w:val="0"/>
              <w:jc w:val="both"/>
              <w:rPr>
                <w:rFonts w:eastAsia="宋体"/>
                <w:sz w:val="21"/>
                <w:szCs w:val="21"/>
              </w:rPr>
            </w:pPr>
            <w:r>
              <w:rPr>
                <w:rFonts w:eastAsia="宋体"/>
                <w:color w:val="000000"/>
                <w:sz w:val="21"/>
                <w:szCs w:val="21"/>
              </w:rPr>
              <w:t>试验方法</w:t>
            </w:r>
          </w:p>
        </w:tc>
      </w:tr>
      <w:tr w14:paraId="46B25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14:paraId="7A8A2B7B">
            <w:pPr>
              <w:autoSpaceDE/>
              <w:autoSpaceDN/>
              <w:snapToGrid w:val="0"/>
              <w:jc w:val="both"/>
              <w:rPr>
                <w:rFonts w:eastAsia="宋体"/>
                <w:sz w:val="21"/>
                <w:szCs w:val="21"/>
              </w:rPr>
            </w:pPr>
            <w:r>
              <w:rPr>
                <w:rFonts w:eastAsia="宋体"/>
                <w:color w:val="000000"/>
                <w:sz w:val="21"/>
                <w:szCs w:val="21"/>
              </w:rPr>
              <w:t>ISO 10993-4*</w:t>
            </w:r>
          </w:p>
        </w:tc>
        <w:tc>
          <w:tcPr>
            <w:tcW w:w="5709" w:type="dxa"/>
            <w:shd w:val="clear" w:color="auto" w:fill="FFFFFF"/>
            <w:tcMar>
              <w:left w:w="57" w:type="dxa"/>
              <w:right w:w="57" w:type="dxa"/>
            </w:tcMar>
          </w:tcPr>
          <w:p w14:paraId="6CE309A0">
            <w:pPr>
              <w:autoSpaceDE/>
              <w:autoSpaceDN/>
              <w:snapToGrid w:val="0"/>
              <w:jc w:val="both"/>
              <w:rPr>
                <w:rFonts w:eastAsia="宋体"/>
                <w:sz w:val="21"/>
                <w:szCs w:val="21"/>
              </w:rPr>
            </w:pPr>
            <w:r>
              <w:rPr>
                <w:rFonts w:eastAsia="宋体"/>
                <w:color w:val="000000"/>
                <w:sz w:val="21"/>
                <w:szCs w:val="21"/>
              </w:rPr>
              <w:t>使用美国上市的ELISA试剂盒进行补体激活</w:t>
            </w:r>
          </w:p>
        </w:tc>
      </w:tr>
      <w:tr w14:paraId="0F2C2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14:paraId="2E2CEC8E">
            <w:pPr>
              <w:autoSpaceDE/>
              <w:autoSpaceDN/>
              <w:snapToGrid w:val="0"/>
              <w:jc w:val="both"/>
              <w:rPr>
                <w:rFonts w:eastAsia="宋体"/>
                <w:sz w:val="21"/>
                <w:szCs w:val="21"/>
              </w:rPr>
            </w:pPr>
            <w:r>
              <w:rPr>
                <w:rFonts w:eastAsia="宋体"/>
                <w:color w:val="000000"/>
                <w:sz w:val="21"/>
                <w:szCs w:val="21"/>
              </w:rPr>
              <w:t>ISO 10993-4和ASTM F756</w:t>
            </w:r>
          </w:p>
        </w:tc>
        <w:tc>
          <w:tcPr>
            <w:tcW w:w="5709" w:type="dxa"/>
            <w:shd w:val="clear" w:color="auto" w:fill="FFFFFF"/>
            <w:tcMar>
              <w:left w:w="57" w:type="dxa"/>
              <w:right w:w="57" w:type="dxa"/>
            </w:tcMar>
          </w:tcPr>
          <w:p w14:paraId="2B72310F">
            <w:pPr>
              <w:autoSpaceDE/>
              <w:autoSpaceDN/>
              <w:snapToGrid w:val="0"/>
              <w:jc w:val="both"/>
              <w:rPr>
                <w:rFonts w:eastAsia="宋体"/>
                <w:sz w:val="21"/>
                <w:szCs w:val="21"/>
              </w:rPr>
            </w:pPr>
            <w:r>
              <w:rPr>
                <w:rFonts w:eastAsia="宋体"/>
                <w:color w:val="000000"/>
                <w:sz w:val="21"/>
                <w:szCs w:val="21"/>
              </w:rPr>
              <w:t>直接和间接溶血</w:t>
            </w:r>
          </w:p>
        </w:tc>
      </w:tr>
      <w:tr w14:paraId="0F806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14:paraId="555B074B">
            <w:pPr>
              <w:autoSpaceDE/>
              <w:autoSpaceDN/>
              <w:snapToGrid w:val="0"/>
              <w:jc w:val="both"/>
              <w:rPr>
                <w:rFonts w:eastAsia="宋体"/>
                <w:sz w:val="21"/>
                <w:szCs w:val="21"/>
              </w:rPr>
            </w:pPr>
            <w:r>
              <w:rPr>
                <w:rFonts w:eastAsia="宋体"/>
                <w:color w:val="000000"/>
                <w:sz w:val="21"/>
                <w:szCs w:val="21"/>
              </w:rPr>
              <w:t>ISO 10993-5</w:t>
            </w:r>
          </w:p>
        </w:tc>
        <w:tc>
          <w:tcPr>
            <w:tcW w:w="5709" w:type="dxa"/>
            <w:shd w:val="clear" w:color="auto" w:fill="FFFFFF"/>
            <w:tcMar>
              <w:left w:w="57" w:type="dxa"/>
              <w:right w:w="57" w:type="dxa"/>
            </w:tcMar>
          </w:tcPr>
          <w:p w14:paraId="65A72FEE">
            <w:pPr>
              <w:autoSpaceDE/>
              <w:autoSpaceDN/>
              <w:snapToGrid w:val="0"/>
              <w:jc w:val="both"/>
              <w:rPr>
                <w:rFonts w:eastAsia="宋体"/>
                <w:sz w:val="21"/>
                <w:szCs w:val="21"/>
              </w:rPr>
            </w:pPr>
            <w:r>
              <w:rPr>
                <w:rFonts w:eastAsia="宋体"/>
                <w:color w:val="000000"/>
                <w:sz w:val="21"/>
                <w:szCs w:val="21"/>
              </w:rPr>
              <w:t>MEM洗脱细胞毒性</w:t>
            </w:r>
          </w:p>
        </w:tc>
      </w:tr>
      <w:tr w14:paraId="4CF28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14:paraId="5C70D7E6">
            <w:pPr>
              <w:autoSpaceDE/>
              <w:autoSpaceDN/>
              <w:snapToGrid w:val="0"/>
              <w:jc w:val="both"/>
              <w:rPr>
                <w:rFonts w:eastAsia="宋体"/>
                <w:sz w:val="21"/>
                <w:szCs w:val="21"/>
              </w:rPr>
            </w:pPr>
            <w:r>
              <w:rPr>
                <w:rFonts w:eastAsia="宋体"/>
                <w:color w:val="000000"/>
                <w:sz w:val="21"/>
                <w:szCs w:val="21"/>
              </w:rPr>
              <w:t>ISO 10993-10</w:t>
            </w:r>
            <w:r>
              <w:rPr>
                <w:rStyle w:val="17"/>
                <w:rFonts w:eastAsia="宋体"/>
                <w:sz w:val="21"/>
                <w:szCs w:val="21"/>
              </w:rPr>
              <w:footnoteReference w:id="5"/>
            </w:r>
          </w:p>
        </w:tc>
        <w:tc>
          <w:tcPr>
            <w:tcW w:w="5709" w:type="dxa"/>
            <w:shd w:val="clear" w:color="auto" w:fill="FFFFFF"/>
            <w:tcMar>
              <w:left w:w="57" w:type="dxa"/>
              <w:right w:w="57" w:type="dxa"/>
            </w:tcMar>
          </w:tcPr>
          <w:p w14:paraId="718894D1">
            <w:pPr>
              <w:autoSpaceDE/>
              <w:autoSpaceDN/>
              <w:snapToGrid w:val="0"/>
              <w:jc w:val="both"/>
              <w:rPr>
                <w:rFonts w:eastAsia="宋体"/>
                <w:sz w:val="21"/>
                <w:szCs w:val="21"/>
              </w:rPr>
            </w:pPr>
            <w:r>
              <w:rPr>
                <w:rFonts w:eastAsia="宋体"/>
                <w:color w:val="000000"/>
                <w:sz w:val="21"/>
                <w:szCs w:val="21"/>
              </w:rPr>
              <w:t>皮肤刺激性、皮内反应性刺激和闭合斑贴致敏性</w:t>
            </w:r>
          </w:p>
        </w:tc>
      </w:tr>
      <w:tr w14:paraId="587B2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14:paraId="2CB0B0C2">
            <w:pPr>
              <w:autoSpaceDE/>
              <w:autoSpaceDN/>
              <w:snapToGrid w:val="0"/>
              <w:jc w:val="both"/>
              <w:rPr>
                <w:rFonts w:eastAsia="宋体"/>
                <w:sz w:val="21"/>
                <w:szCs w:val="21"/>
              </w:rPr>
            </w:pPr>
            <w:r>
              <w:rPr>
                <w:rFonts w:eastAsia="宋体"/>
                <w:color w:val="000000"/>
                <w:sz w:val="21"/>
                <w:szCs w:val="21"/>
              </w:rPr>
              <w:t>ISO 10993-10和ASTM F720</w:t>
            </w:r>
            <w:r>
              <w:rPr>
                <w:rFonts w:eastAsia="宋体"/>
              </w:rPr>
              <w:t xml:space="preserve"> </w:t>
            </w:r>
            <w:r>
              <w:rPr>
                <w:rStyle w:val="17"/>
                <w:rFonts w:eastAsia="宋体"/>
                <w:sz w:val="21"/>
                <w:szCs w:val="21"/>
              </w:rPr>
              <w:footnoteReference w:id="6"/>
            </w:r>
          </w:p>
        </w:tc>
        <w:tc>
          <w:tcPr>
            <w:tcW w:w="5709" w:type="dxa"/>
            <w:shd w:val="clear" w:color="auto" w:fill="FFFFFF"/>
            <w:tcMar>
              <w:left w:w="57" w:type="dxa"/>
              <w:right w:w="57" w:type="dxa"/>
            </w:tcMar>
          </w:tcPr>
          <w:p w14:paraId="34AB5EFF">
            <w:pPr>
              <w:autoSpaceDE/>
              <w:autoSpaceDN/>
              <w:snapToGrid w:val="0"/>
              <w:jc w:val="both"/>
              <w:rPr>
                <w:rFonts w:eastAsia="宋体"/>
                <w:sz w:val="21"/>
                <w:szCs w:val="21"/>
              </w:rPr>
            </w:pPr>
            <w:r>
              <w:rPr>
                <w:rFonts w:eastAsia="宋体"/>
                <w:color w:val="000000"/>
                <w:sz w:val="21"/>
                <w:szCs w:val="21"/>
              </w:rPr>
              <w:t>豚鼠最大剂量致敏性</w:t>
            </w:r>
          </w:p>
        </w:tc>
      </w:tr>
      <w:tr w14:paraId="2605C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14:paraId="6195DEEF">
            <w:pPr>
              <w:autoSpaceDE/>
              <w:autoSpaceDN/>
              <w:snapToGrid w:val="0"/>
              <w:jc w:val="both"/>
              <w:rPr>
                <w:rFonts w:eastAsia="宋体"/>
                <w:sz w:val="21"/>
                <w:szCs w:val="21"/>
              </w:rPr>
            </w:pPr>
            <w:r>
              <w:rPr>
                <w:rFonts w:eastAsia="宋体"/>
                <w:color w:val="000000"/>
                <w:sz w:val="21"/>
                <w:szCs w:val="21"/>
              </w:rPr>
              <w:t>ISO 10993-11</w:t>
            </w:r>
          </w:p>
        </w:tc>
        <w:tc>
          <w:tcPr>
            <w:tcW w:w="5709" w:type="dxa"/>
            <w:shd w:val="clear" w:color="auto" w:fill="FFFFFF"/>
            <w:tcMar>
              <w:left w:w="57" w:type="dxa"/>
              <w:right w:w="57" w:type="dxa"/>
            </w:tcMar>
          </w:tcPr>
          <w:p w14:paraId="1585A711">
            <w:pPr>
              <w:autoSpaceDE/>
              <w:autoSpaceDN/>
              <w:snapToGrid w:val="0"/>
              <w:jc w:val="both"/>
              <w:rPr>
                <w:rFonts w:eastAsia="宋体"/>
                <w:sz w:val="21"/>
                <w:szCs w:val="21"/>
              </w:rPr>
            </w:pPr>
            <w:r>
              <w:rPr>
                <w:rFonts w:eastAsia="宋体"/>
                <w:color w:val="000000"/>
                <w:sz w:val="21"/>
                <w:szCs w:val="21"/>
              </w:rPr>
              <w:t>急性全身毒性</w:t>
            </w:r>
          </w:p>
        </w:tc>
      </w:tr>
      <w:tr w14:paraId="2383A0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14:paraId="5AAE6C8C">
            <w:pPr>
              <w:autoSpaceDE/>
              <w:autoSpaceDN/>
              <w:snapToGrid w:val="0"/>
              <w:jc w:val="both"/>
              <w:rPr>
                <w:rFonts w:eastAsia="宋体"/>
                <w:sz w:val="21"/>
                <w:szCs w:val="21"/>
              </w:rPr>
            </w:pPr>
            <w:r>
              <w:rPr>
                <w:rFonts w:eastAsia="宋体"/>
                <w:color w:val="000000"/>
                <w:sz w:val="21"/>
                <w:szCs w:val="21"/>
              </w:rPr>
              <w:t>ISO 10993-11和USP 151</w:t>
            </w:r>
          </w:p>
        </w:tc>
        <w:tc>
          <w:tcPr>
            <w:tcW w:w="5709" w:type="dxa"/>
            <w:shd w:val="clear" w:color="auto" w:fill="FFFFFF"/>
            <w:tcMar>
              <w:left w:w="57" w:type="dxa"/>
              <w:right w:w="57" w:type="dxa"/>
            </w:tcMar>
          </w:tcPr>
          <w:p w14:paraId="6BDF9D3B">
            <w:pPr>
              <w:autoSpaceDE/>
              <w:autoSpaceDN/>
              <w:snapToGrid w:val="0"/>
              <w:jc w:val="both"/>
              <w:rPr>
                <w:rFonts w:eastAsia="宋体"/>
                <w:sz w:val="21"/>
                <w:szCs w:val="21"/>
              </w:rPr>
            </w:pPr>
            <w:r>
              <w:rPr>
                <w:rFonts w:eastAsia="宋体"/>
                <w:color w:val="000000"/>
                <w:sz w:val="21"/>
                <w:szCs w:val="21"/>
              </w:rPr>
              <w:t>材料介导的致热原性</w:t>
            </w:r>
          </w:p>
        </w:tc>
      </w:tr>
      <w:tr w14:paraId="711CF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3759" w:type="dxa"/>
            <w:shd w:val="clear" w:color="auto" w:fill="FFFFFF"/>
            <w:tcMar>
              <w:left w:w="57" w:type="dxa"/>
              <w:right w:w="57" w:type="dxa"/>
            </w:tcMar>
          </w:tcPr>
          <w:p w14:paraId="1168E783">
            <w:pPr>
              <w:autoSpaceDE/>
              <w:autoSpaceDN/>
              <w:snapToGrid w:val="0"/>
              <w:jc w:val="both"/>
              <w:rPr>
                <w:rFonts w:eastAsia="宋体"/>
                <w:sz w:val="21"/>
                <w:szCs w:val="21"/>
              </w:rPr>
            </w:pPr>
            <w:r>
              <w:rPr>
                <w:rFonts w:eastAsia="宋体"/>
                <w:color w:val="000000"/>
                <w:sz w:val="21"/>
                <w:szCs w:val="21"/>
              </w:rPr>
              <w:t>ISO 10993-12</w:t>
            </w:r>
          </w:p>
        </w:tc>
        <w:tc>
          <w:tcPr>
            <w:tcW w:w="5709" w:type="dxa"/>
            <w:shd w:val="clear" w:color="auto" w:fill="FFFFFF"/>
            <w:tcMar>
              <w:left w:w="57" w:type="dxa"/>
              <w:right w:w="57" w:type="dxa"/>
            </w:tcMar>
          </w:tcPr>
          <w:p w14:paraId="7C74DBDE">
            <w:pPr>
              <w:autoSpaceDE/>
              <w:autoSpaceDN/>
              <w:snapToGrid w:val="0"/>
              <w:jc w:val="both"/>
              <w:rPr>
                <w:rFonts w:eastAsia="宋体"/>
                <w:sz w:val="21"/>
                <w:szCs w:val="21"/>
              </w:rPr>
            </w:pPr>
            <w:r>
              <w:rPr>
                <w:rFonts w:eastAsia="宋体"/>
                <w:color w:val="000000"/>
                <w:sz w:val="21"/>
                <w:szCs w:val="21"/>
              </w:rPr>
              <w:t>所有试验类型的样品制备</w:t>
            </w:r>
          </w:p>
        </w:tc>
      </w:tr>
    </w:tbl>
    <w:p w14:paraId="61EF52AB">
      <w:pPr>
        <w:autoSpaceDE/>
        <w:autoSpaceDN/>
        <w:snapToGrid w:val="0"/>
        <w:jc w:val="both"/>
        <w:rPr>
          <w:rFonts w:eastAsia="宋体"/>
          <w:color w:val="000000"/>
          <w:sz w:val="21"/>
          <w:szCs w:val="21"/>
        </w:rPr>
      </w:pPr>
      <w:r>
        <w:rPr>
          <w:rFonts w:eastAsia="宋体"/>
          <w:color w:val="000000"/>
          <w:sz w:val="21"/>
          <w:szCs w:val="21"/>
        </w:rPr>
        <w:t>*关于何时应考虑补体激活用于过敏性休克的信息，另请参见ISO/TS 10993-20（表2，超敏反应栏）。</w:t>
      </w:r>
    </w:p>
    <w:p w14:paraId="0CE81DD5">
      <w:pPr>
        <w:autoSpaceDE/>
        <w:autoSpaceDN/>
        <w:snapToGrid w:val="0"/>
        <w:jc w:val="both"/>
        <w:rPr>
          <w:rFonts w:eastAsia="宋体"/>
          <w:sz w:val="21"/>
          <w:szCs w:val="21"/>
        </w:rPr>
      </w:pPr>
    </w:p>
    <w:p w14:paraId="06C3D786">
      <w:pPr>
        <w:autoSpaceDE/>
        <w:autoSpaceDN/>
        <w:snapToGrid w:val="0"/>
        <w:ind w:firstLine="480" w:firstLineChars="200"/>
        <w:jc w:val="both"/>
        <w:rPr>
          <w:rFonts w:eastAsia="宋体"/>
          <w:sz w:val="24"/>
          <w:szCs w:val="24"/>
        </w:rPr>
      </w:pPr>
      <w:r>
        <w:rPr>
          <w:rFonts w:eastAsia="宋体"/>
          <w:color w:val="000000"/>
          <w:sz w:val="24"/>
          <w:szCs w:val="24"/>
        </w:rPr>
        <w:t>FDA认可的程度（完全或部分）在补充信息表（SIS）中提供，每个标准列在</w:t>
      </w:r>
      <w:r>
        <w:rPr>
          <w:rFonts w:eastAsia="宋体"/>
          <w:color w:val="0000FF"/>
          <w:sz w:val="24"/>
          <w:szCs w:val="24"/>
          <w:u w:val="single"/>
        </w:rPr>
        <w:t>FDA公认共识标准数据库中。</w:t>
      </w:r>
      <w:r>
        <w:rPr>
          <w:rStyle w:val="17"/>
          <w:rFonts w:eastAsia="宋体"/>
          <w:sz w:val="24"/>
          <w:szCs w:val="24"/>
        </w:rPr>
        <w:footnoteReference w:id="7"/>
      </w:r>
      <w:r>
        <w:rPr>
          <w:rFonts w:eastAsia="宋体"/>
          <w:color w:val="000000"/>
          <w:sz w:val="24"/>
          <w:szCs w:val="24"/>
        </w:rPr>
        <w:t>在使用FDA公认共识标准时，SIS提供了更多需要考虑的信息，如相关的指导文件，明确了FDA对试验的建议，以支持上市前申请。</w:t>
      </w:r>
    </w:p>
    <w:p w14:paraId="09830228">
      <w:pPr>
        <w:tabs>
          <w:tab w:val="left" w:pos="115"/>
        </w:tabs>
        <w:autoSpaceDE/>
        <w:autoSpaceDN/>
        <w:snapToGrid w:val="0"/>
        <w:jc w:val="both"/>
        <w:rPr>
          <w:rFonts w:eastAsia="宋体"/>
          <w:sz w:val="24"/>
          <w:szCs w:val="24"/>
        </w:rPr>
      </w:pPr>
    </w:p>
    <w:p w14:paraId="492F123A">
      <w:pPr>
        <w:tabs>
          <w:tab w:val="left" w:pos="11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1FC384CE">
      <w:pPr>
        <w:pStyle w:val="2"/>
        <w:autoSpaceDE/>
        <w:autoSpaceDN/>
        <w:spacing w:before="240" w:after="240"/>
        <w:rPr>
          <w:rFonts w:eastAsia="宋体"/>
        </w:rPr>
      </w:pPr>
      <w:bookmarkStart w:id="7" w:name="bookmark9"/>
      <w:bookmarkStart w:id="8" w:name="_Toc98778557"/>
      <w:bookmarkStart w:id="9" w:name="_Toc97473508"/>
      <w:r>
        <w:rPr>
          <w:rFonts w:eastAsia="宋体"/>
        </w:rPr>
        <w:t>I</w:t>
      </w:r>
      <w:bookmarkEnd w:id="7"/>
      <w:r>
        <w:rPr>
          <w:rFonts w:eastAsia="宋体"/>
        </w:rPr>
        <w:t>V.</w:t>
      </w:r>
      <w:r>
        <w:rPr>
          <w:rFonts w:eastAsia="宋体"/>
        </w:rPr>
        <w:tab/>
      </w:r>
      <w:r>
        <w:rPr>
          <w:rFonts w:eastAsia="宋体"/>
        </w:rPr>
        <w:t>ASCA认可的认证机构对检测实验室的认证和评估</w:t>
      </w:r>
      <w:bookmarkEnd w:id="8"/>
      <w:bookmarkEnd w:id="9"/>
    </w:p>
    <w:p w14:paraId="4F3410DF">
      <w:pPr>
        <w:pStyle w:val="3"/>
        <w:autoSpaceDE/>
        <w:autoSpaceDN/>
        <w:spacing w:before="240" w:after="240"/>
        <w:ind w:left="1276" w:hanging="646"/>
        <w:rPr>
          <w:rFonts w:eastAsia="宋体"/>
        </w:rPr>
      </w:pPr>
      <w:bookmarkStart w:id="10" w:name="_Toc97473509"/>
      <w:bookmarkStart w:id="11" w:name="_Toc98778558"/>
      <w:r>
        <w:rPr>
          <w:rFonts w:eastAsia="宋体"/>
        </w:rPr>
        <w:t>A.</w:t>
      </w:r>
      <w:r>
        <w:rPr>
          <w:rFonts w:eastAsia="宋体"/>
        </w:rPr>
        <w:tab/>
      </w:r>
      <w:r>
        <w:rPr>
          <w:rFonts w:eastAsia="宋体"/>
        </w:rPr>
        <w:t>评估的范围</w:t>
      </w:r>
      <w:bookmarkEnd w:id="10"/>
      <w:bookmarkEnd w:id="11"/>
    </w:p>
    <w:p w14:paraId="5A57E819">
      <w:pPr>
        <w:autoSpaceDE/>
        <w:autoSpaceDN/>
        <w:snapToGrid w:val="0"/>
        <w:ind w:firstLine="480" w:firstLineChars="200"/>
        <w:jc w:val="both"/>
        <w:rPr>
          <w:rFonts w:eastAsia="宋体"/>
          <w:sz w:val="24"/>
          <w:szCs w:val="24"/>
        </w:rPr>
      </w:pPr>
      <w:r>
        <w:rPr>
          <w:rFonts w:eastAsia="宋体"/>
          <w:color w:val="000000"/>
          <w:sz w:val="24"/>
          <w:szCs w:val="24"/>
        </w:rPr>
        <w:t>ISO/IEC 17011第7节：</w:t>
      </w:r>
      <w:bookmarkStart w:id="12" w:name="bookmark10"/>
      <w:bookmarkEnd w:id="12"/>
      <w:r>
        <w:rPr>
          <w:rFonts w:eastAsia="宋体"/>
          <w:i/>
          <w:iCs/>
          <w:color w:val="000000"/>
          <w:sz w:val="24"/>
          <w:szCs w:val="24"/>
        </w:rPr>
        <w:t>符合性评估-对认证机构认证符合性评估机构的要求</w:t>
      </w:r>
      <w:r>
        <w:rPr>
          <w:rFonts w:eastAsia="宋体"/>
          <w:color w:val="000000"/>
          <w:sz w:val="24"/>
          <w:szCs w:val="24"/>
        </w:rPr>
        <w:t>（以下简称</w:t>
      </w:r>
      <w:r>
        <w:rPr>
          <w:rFonts w:ascii="宋体" w:hAnsi="宋体" w:eastAsia="宋体"/>
          <w:color w:val="000000"/>
          <w:sz w:val="24"/>
          <w:szCs w:val="24"/>
        </w:rPr>
        <w:t>“</w:t>
      </w:r>
      <w:r>
        <w:rPr>
          <w:rFonts w:eastAsia="宋体"/>
          <w:color w:val="000000"/>
          <w:sz w:val="24"/>
          <w:szCs w:val="24"/>
        </w:rPr>
        <w:t>ISO/IEC 17011</w:t>
      </w:r>
      <w:r>
        <w:rPr>
          <w:rFonts w:ascii="宋体" w:hAnsi="宋体" w:eastAsia="宋体"/>
          <w:color w:val="000000"/>
          <w:sz w:val="24"/>
          <w:szCs w:val="24"/>
        </w:rPr>
        <w:t>”</w:t>
      </w:r>
      <w:r>
        <w:rPr>
          <w:rFonts w:eastAsia="宋体"/>
          <w:color w:val="000000"/>
          <w:sz w:val="24"/>
          <w:szCs w:val="24"/>
        </w:rPr>
        <w:t>）描述了认证机构评估检测实验室的过程。为了保持与ISO/IEC 17011的一致性，认证机构至少两年一次对其认证的检测实验室的认证范围进行一次抽样评估。</w:t>
      </w:r>
      <w:r>
        <w:rPr>
          <w:rStyle w:val="17"/>
          <w:rFonts w:eastAsia="宋体"/>
          <w:sz w:val="24"/>
          <w:szCs w:val="24"/>
        </w:rPr>
        <w:t xml:space="preserve"> </w:t>
      </w:r>
      <w:r>
        <w:rPr>
          <w:rStyle w:val="17"/>
          <w:rFonts w:eastAsia="宋体"/>
          <w:sz w:val="24"/>
          <w:szCs w:val="24"/>
        </w:rPr>
        <w:footnoteReference w:id="8"/>
      </w:r>
      <w:r>
        <w:rPr>
          <w:rFonts w:eastAsia="宋体"/>
          <w:color w:val="000000"/>
          <w:sz w:val="24"/>
          <w:szCs w:val="24"/>
        </w:rPr>
        <w:t>在根据ASCA试点评估一个检测实验室时，认证机构应评估所有（而不是抽样）的生物学评价标准和试验方法。也就是说，在ASCA试点中，ASCA认证的认证机构要对医疗器械的生物学评价标准和试验方法进行全部（而不是抽样）的评估，以确保整个检测实验室在</w:t>
      </w:r>
      <w:r>
        <w:rPr>
          <w:rFonts w:eastAsia="宋体"/>
          <w:i/>
          <w:iCs/>
          <w:color w:val="000000"/>
          <w:sz w:val="24"/>
          <w:szCs w:val="24"/>
        </w:rPr>
        <w:t>ASCA认证</w:t>
      </w:r>
      <w:r>
        <w:rPr>
          <w:rFonts w:eastAsia="宋体"/>
          <w:color w:val="000000"/>
          <w:sz w:val="24"/>
          <w:szCs w:val="24"/>
        </w:rPr>
        <w:t>范围内的能力。</w:t>
      </w:r>
    </w:p>
    <w:p w14:paraId="5BEDD472">
      <w:pPr>
        <w:pStyle w:val="3"/>
        <w:autoSpaceDE/>
        <w:autoSpaceDN/>
        <w:spacing w:before="240" w:after="240"/>
        <w:ind w:left="1276" w:hanging="646"/>
        <w:rPr>
          <w:rFonts w:eastAsia="宋体"/>
        </w:rPr>
      </w:pPr>
      <w:bookmarkStart w:id="13" w:name="_Toc98778559"/>
      <w:bookmarkStart w:id="14" w:name="_Toc97473510"/>
      <w:r>
        <w:rPr>
          <w:rFonts w:eastAsia="宋体"/>
        </w:rPr>
        <w:t>B.</w:t>
      </w:r>
      <w:r>
        <w:rPr>
          <w:rFonts w:eastAsia="宋体"/>
        </w:rPr>
        <w:tab/>
      </w:r>
      <w:r>
        <w:rPr>
          <w:rFonts w:eastAsia="宋体"/>
        </w:rPr>
        <w:t>ASCA医疗器械生物相容性试验计划规范</w:t>
      </w:r>
      <w:bookmarkEnd w:id="13"/>
      <w:bookmarkEnd w:id="14"/>
    </w:p>
    <w:p w14:paraId="3B9C29AE">
      <w:pPr>
        <w:autoSpaceDE/>
        <w:autoSpaceDN/>
        <w:snapToGrid w:val="0"/>
        <w:ind w:firstLine="480" w:firstLineChars="200"/>
        <w:jc w:val="both"/>
        <w:rPr>
          <w:rFonts w:eastAsia="宋体"/>
          <w:sz w:val="24"/>
          <w:szCs w:val="24"/>
        </w:rPr>
      </w:pPr>
      <w:r>
        <w:rPr>
          <w:rFonts w:eastAsia="宋体"/>
          <w:color w:val="000000"/>
          <w:sz w:val="24"/>
          <w:szCs w:val="24"/>
        </w:rPr>
        <w:t>本节中的ASCA计划规范为ASCA试点下的医疗器械生物相容性试验的检测实验室的认证提供了期望。ASCA认证的认证机构，按照ISO/IEC 17011的过程，对检测实验室进行ISO/IEC 17025:2017：</w:t>
      </w:r>
      <w:r>
        <w:rPr>
          <w:rFonts w:eastAsia="宋体"/>
          <w:i/>
          <w:iCs/>
          <w:color w:val="000000"/>
          <w:sz w:val="24"/>
          <w:szCs w:val="24"/>
        </w:rPr>
        <w:t>测试和校准实验室能力的一般要求</w:t>
      </w:r>
      <w:r>
        <w:rPr>
          <w:rFonts w:eastAsia="宋体"/>
          <w:color w:val="000000"/>
          <w:sz w:val="24"/>
          <w:szCs w:val="24"/>
        </w:rPr>
        <w:t>（以下简称</w:t>
      </w:r>
      <w:r>
        <w:rPr>
          <w:rFonts w:ascii="宋体" w:hAnsi="宋体" w:eastAsia="宋体"/>
          <w:color w:val="000000"/>
          <w:sz w:val="24"/>
          <w:szCs w:val="24"/>
        </w:rPr>
        <w:t>“</w:t>
      </w:r>
      <w:r>
        <w:rPr>
          <w:rFonts w:eastAsia="宋体"/>
          <w:color w:val="000000"/>
          <w:sz w:val="24"/>
          <w:szCs w:val="24"/>
        </w:rPr>
        <w:t>ISO/IEC 17025</w:t>
      </w:r>
      <w:r>
        <w:rPr>
          <w:rFonts w:ascii="宋体" w:hAnsi="宋体" w:eastAsia="宋体"/>
          <w:color w:val="000000"/>
          <w:sz w:val="24"/>
          <w:szCs w:val="24"/>
        </w:rPr>
        <w:t>”</w:t>
      </w:r>
      <w:r>
        <w:rPr>
          <w:rFonts w:eastAsia="宋体"/>
          <w:color w:val="000000"/>
          <w:sz w:val="24"/>
          <w:szCs w:val="24"/>
        </w:rPr>
        <w:t>）以及本节中确定的ASCA计划规范中所有相关元素的认证。此外，所有试验都应考虑CDRH生物相容性政策中的建议，如FDA的指南中所述，使用国际标准ISO 10993-1，《医疗器械的生物学评价-第1部分：风险管理过程中的评价和试验》。为了便于阅读和参考，下面的编号和术语（包括</w:t>
      </w:r>
      <w:r>
        <w:rPr>
          <w:rFonts w:ascii="宋体" w:hAnsi="宋体" w:eastAsia="宋体"/>
          <w:color w:val="000000"/>
          <w:sz w:val="24"/>
          <w:szCs w:val="24"/>
        </w:rPr>
        <w:t>“</w:t>
      </w:r>
      <w:r>
        <w:rPr>
          <w:rFonts w:eastAsia="宋体"/>
          <w:color w:val="000000"/>
          <w:sz w:val="24"/>
          <w:szCs w:val="24"/>
        </w:rPr>
        <w:t>要求</w:t>
      </w:r>
      <w:r>
        <w:rPr>
          <w:rFonts w:ascii="宋体" w:hAnsi="宋体" w:eastAsia="宋体"/>
          <w:color w:val="000000"/>
          <w:sz w:val="24"/>
          <w:szCs w:val="24"/>
        </w:rPr>
        <w:t>”</w:t>
      </w:r>
      <w:r>
        <w:rPr>
          <w:rFonts w:eastAsia="宋体"/>
          <w:color w:val="000000"/>
          <w:sz w:val="24"/>
          <w:szCs w:val="24"/>
        </w:rPr>
        <w:t>一词）</w:t>
      </w:r>
      <w:r>
        <w:rPr>
          <w:rStyle w:val="17"/>
          <w:rFonts w:eastAsia="宋体"/>
          <w:sz w:val="24"/>
          <w:szCs w:val="24"/>
        </w:rPr>
        <w:footnoteReference w:id="9"/>
      </w:r>
      <w:r>
        <w:rPr>
          <w:rFonts w:eastAsia="宋体"/>
          <w:color w:val="000000"/>
          <w:sz w:val="24"/>
          <w:szCs w:val="24"/>
        </w:rPr>
        <w:t>与ISO/IEC 17025中条款/子条款的编号和术语相对应。</w:t>
      </w:r>
    </w:p>
    <w:p w14:paraId="1C3190AE">
      <w:pPr>
        <w:autoSpaceDE/>
        <w:autoSpaceDN/>
        <w:snapToGrid w:val="0"/>
        <w:jc w:val="both"/>
        <w:rPr>
          <w:rFonts w:eastAsia="宋体"/>
          <w:b/>
          <w:bCs/>
          <w:color w:val="000000"/>
          <w:sz w:val="24"/>
          <w:szCs w:val="24"/>
        </w:rPr>
      </w:pPr>
    </w:p>
    <w:p w14:paraId="6FC20C58">
      <w:pPr>
        <w:autoSpaceDE/>
        <w:autoSpaceDN/>
        <w:snapToGrid w:val="0"/>
        <w:jc w:val="both"/>
        <w:rPr>
          <w:rFonts w:eastAsia="宋体"/>
          <w:b/>
          <w:bCs/>
          <w:color w:val="000000"/>
          <w:sz w:val="24"/>
          <w:szCs w:val="24"/>
        </w:rPr>
      </w:pPr>
      <w:r>
        <w:rPr>
          <w:rFonts w:eastAsia="宋体"/>
          <w:b/>
          <w:bCs/>
          <w:color w:val="000000"/>
          <w:sz w:val="24"/>
          <w:szCs w:val="24"/>
        </w:rPr>
        <w:t>ISO/IEC 17025第4节</w:t>
      </w:r>
      <w:r>
        <w:rPr>
          <w:rFonts w:ascii="宋体" w:hAnsi="宋体" w:eastAsia="宋体"/>
          <w:b/>
          <w:bCs/>
          <w:color w:val="000000"/>
          <w:sz w:val="24"/>
          <w:szCs w:val="24"/>
        </w:rPr>
        <w:t>“</w:t>
      </w:r>
      <w:r>
        <w:rPr>
          <w:rFonts w:eastAsia="宋体"/>
          <w:b/>
          <w:bCs/>
          <w:color w:val="000000"/>
          <w:sz w:val="24"/>
          <w:szCs w:val="24"/>
        </w:rPr>
        <w:t>一般要求</w:t>
      </w:r>
      <w:r>
        <w:rPr>
          <w:rFonts w:ascii="宋体" w:hAnsi="宋体" w:eastAsia="宋体"/>
          <w:b/>
          <w:bCs/>
          <w:color w:val="000000"/>
          <w:sz w:val="24"/>
          <w:szCs w:val="24"/>
        </w:rPr>
        <w:t>”</w:t>
      </w:r>
    </w:p>
    <w:p w14:paraId="74F0EC19">
      <w:pPr>
        <w:autoSpaceDE/>
        <w:autoSpaceDN/>
        <w:snapToGrid w:val="0"/>
        <w:jc w:val="both"/>
        <w:rPr>
          <w:rFonts w:eastAsia="宋体"/>
          <w:sz w:val="24"/>
          <w:szCs w:val="24"/>
        </w:rPr>
      </w:pPr>
    </w:p>
    <w:p w14:paraId="4EE24B4E">
      <w:pPr>
        <w:tabs>
          <w:tab w:val="left" w:pos="400"/>
        </w:tabs>
        <w:autoSpaceDE/>
        <w:autoSpaceDN/>
        <w:snapToGrid w:val="0"/>
        <w:jc w:val="both"/>
        <w:rPr>
          <w:rFonts w:eastAsia="宋体"/>
          <w:color w:val="000000"/>
          <w:sz w:val="24"/>
          <w:szCs w:val="24"/>
        </w:rPr>
      </w:pPr>
      <w:r>
        <w:rPr>
          <w:rFonts w:eastAsia="宋体"/>
          <w:color w:val="000000"/>
          <w:sz w:val="24"/>
          <w:szCs w:val="24"/>
        </w:rPr>
        <w:t>4.1</w:t>
      </w:r>
      <w:r>
        <w:rPr>
          <w:rFonts w:eastAsia="宋体"/>
          <w:color w:val="000000"/>
          <w:sz w:val="24"/>
          <w:szCs w:val="24"/>
        </w:rPr>
        <w:tab/>
      </w:r>
      <w:r>
        <w:rPr>
          <w:rFonts w:eastAsia="宋体"/>
          <w:color w:val="000000"/>
          <w:sz w:val="24"/>
          <w:szCs w:val="24"/>
        </w:rPr>
        <w:t>公正性</w:t>
      </w:r>
    </w:p>
    <w:p w14:paraId="6544ADA6">
      <w:pPr>
        <w:autoSpaceDE/>
        <w:autoSpaceDN/>
        <w:snapToGrid w:val="0"/>
        <w:jc w:val="both"/>
        <w:rPr>
          <w:rFonts w:eastAsia="宋体"/>
          <w:sz w:val="24"/>
          <w:szCs w:val="24"/>
        </w:rPr>
      </w:pPr>
    </w:p>
    <w:p w14:paraId="23D2C581">
      <w:pPr>
        <w:autoSpaceDE/>
        <w:autoSpaceDN/>
        <w:snapToGrid w:val="0"/>
        <w:ind w:firstLine="480" w:firstLineChars="200"/>
        <w:jc w:val="both"/>
        <w:rPr>
          <w:rFonts w:eastAsia="宋体"/>
          <w:color w:val="000000"/>
          <w:sz w:val="24"/>
          <w:szCs w:val="24"/>
        </w:rPr>
      </w:pPr>
      <w:r>
        <w:rPr>
          <w:rFonts w:eastAsia="宋体"/>
          <w:color w:val="000000"/>
          <w:sz w:val="24"/>
          <w:szCs w:val="24"/>
        </w:rPr>
        <w:t>如果检测实验室提供任何服务，如咨询、设计或研究，则它同意制定政策和程序，通过将这些服务与试验活动分开来保持公正性。</w:t>
      </w:r>
    </w:p>
    <w:p w14:paraId="7C22A51B">
      <w:pPr>
        <w:autoSpaceDE/>
        <w:autoSpaceDN/>
        <w:snapToGrid w:val="0"/>
        <w:jc w:val="both"/>
        <w:rPr>
          <w:rFonts w:eastAsia="宋体"/>
          <w:sz w:val="24"/>
          <w:szCs w:val="24"/>
        </w:rPr>
      </w:pPr>
    </w:p>
    <w:p w14:paraId="10EBEC03">
      <w:pPr>
        <w:autoSpaceDE/>
        <w:autoSpaceDN/>
        <w:snapToGrid w:val="0"/>
        <w:ind w:firstLine="480" w:firstLineChars="200"/>
        <w:jc w:val="both"/>
        <w:rPr>
          <w:rFonts w:eastAsia="宋体"/>
          <w:sz w:val="24"/>
          <w:szCs w:val="24"/>
        </w:rPr>
      </w:pPr>
      <w:r>
        <w:rPr>
          <w:rFonts w:eastAsia="宋体"/>
          <w:color w:val="000000"/>
          <w:sz w:val="24"/>
          <w:szCs w:val="24"/>
        </w:rPr>
        <w:t>器械制造商的内部检测实验室同意制定政策和程序，专门确保和保护实验室的公正性，以试验或以其他方式评估实验室的母体组织以及（如果适用）其他制造商制造的器械，而不考虑试验结果对母体组织的商业利益的影响。</w:t>
      </w:r>
    </w:p>
    <w:p w14:paraId="1ACC329C">
      <w:pPr>
        <w:tabs>
          <w:tab w:val="left" w:pos="178"/>
        </w:tabs>
        <w:autoSpaceDE/>
        <w:autoSpaceDN/>
        <w:snapToGrid w:val="0"/>
        <w:jc w:val="both"/>
        <w:rPr>
          <w:rFonts w:eastAsia="宋体"/>
          <w:sz w:val="24"/>
          <w:szCs w:val="24"/>
        </w:rPr>
      </w:pPr>
    </w:p>
    <w:p w14:paraId="75045271">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7F908A95">
      <w:pPr>
        <w:tabs>
          <w:tab w:val="left" w:pos="400"/>
        </w:tabs>
        <w:autoSpaceDE/>
        <w:autoSpaceDN/>
        <w:snapToGrid w:val="0"/>
        <w:jc w:val="both"/>
        <w:rPr>
          <w:rFonts w:eastAsia="宋体"/>
          <w:color w:val="000000"/>
          <w:sz w:val="24"/>
          <w:szCs w:val="24"/>
        </w:rPr>
      </w:pPr>
      <w:r>
        <w:rPr>
          <w:rFonts w:eastAsia="宋体"/>
          <w:color w:val="000000"/>
          <w:sz w:val="24"/>
          <w:szCs w:val="24"/>
        </w:rPr>
        <w:t>4.2</w:t>
      </w:r>
      <w:r>
        <w:rPr>
          <w:rFonts w:eastAsia="宋体"/>
          <w:color w:val="000000"/>
          <w:sz w:val="24"/>
          <w:szCs w:val="24"/>
        </w:rPr>
        <w:tab/>
      </w:r>
      <w:r>
        <w:rPr>
          <w:rFonts w:eastAsia="宋体"/>
          <w:color w:val="000000"/>
          <w:sz w:val="24"/>
          <w:szCs w:val="24"/>
        </w:rPr>
        <w:t>保密性</w:t>
      </w:r>
    </w:p>
    <w:p w14:paraId="4457424E">
      <w:pPr>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14:paraId="7150EC31">
      <w:pPr>
        <w:autoSpaceDE/>
        <w:autoSpaceDN/>
        <w:snapToGrid w:val="0"/>
        <w:jc w:val="both"/>
        <w:rPr>
          <w:rFonts w:eastAsia="宋体"/>
          <w:sz w:val="24"/>
          <w:szCs w:val="24"/>
        </w:rPr>
      </w:pPr>
    </w:p>
    <w:p w14:paraId="62A659F5">
      <w:pPr>
        <w:autoSpaceDE/>
        <w:autoSpaceDN/>
        <w:snapToGrid w:val="0"/>
        <w:jc w:val="both"/>
        <w:rPr>
          <w:rFonts w:eastAsia="宋体"/>
          <w:sz w:val="24"/>
          <w:szCs w:val="24"/>
        </w:rPr>
      </w:pPr>
      <w:r>
        <w:rPr>
          <w:rFonts w:eastAsia="宋体"/>
          <w:b/>
          <w:bCs/>
          <w:color w:val="000000"/>
          <w:sz w:val="24"/>
          <w:szCs w:val="24"/>
        </w:rPr>
        <w:t>ISO/IEC 17025第5节</w:t>
      </w:r>
      <w:r>
        <w:rPr>
          <w:rFonts w:ascii="宋体" w:hAnsi="宋体" w:eastAsia="宋体"/>
          <w:b/>
          <w:bCs/>
          <w:color w:val="000000"/>
          <w:sz w:val="24"/>
          <w:szCs w:val="24"/>
        </w:rPr>
        <w:t>“</w:t>
      </w:r>
      <w:r>
        <w:rPr>
          <w:rFonts w:eastAsia="宋体"/>
          <w:b/>
          <w:bCs/>
          <w:color w:val="000000"/>
          <w:sz w:val="24"/>
          <w:szCs w:val="24"/>
        </w:rPr>
        <w:t>结构要求</w:t>
      </w:r>
      <w:r>
        <w:rPr>
          <w:rFonts w:ascii="宋体" w:hAnsi="宋体" w:eastAsia="宋体"/>
          <w:b/>
          <w:bCs/>
          <w:color w:val="000000"/>
          <w:sz w:val="24"/>
          <w:szCs w:val="24"/>
        </w:rPr>
        <w:t>”</w:t>
      </w:r>
    </w:p>
    <w:p w14:paraId="16732317">
      <w:pPr>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14:paraId="32B04A06">
      <w:pPr>
        <w:autoSpaceDE/>
        <w:autoSpaceDN/>
        <w:snapToGrid w:val="0"/>
        <w:jc w:val="both"/>
        <w:rPr>
          <w:rFonts w:eastAsia="宋体"/>
          <w:sz w:val="24"/>
          <w:szCs w:val="24"/>
        </w:rPr>
      </w:pPr>
    </w:p>
    <w:p w14:paraId="219017C1">
      <w:pPr>
        <w:autoSpaceDE/>
        <w:autoSpaceDN/>
        <w:snapToGrid w:val="0"/>
        <w:jc w:val="both"/>
        <w:rPr>
          <w:rFonts w:eastAsia="宋体"/>
          <w:b/>
          <w:bCs/>
          <w:color w:val="000000"/>
          <w:sz w:val="24"/>
          <w:szCs w:val="24"/>
        </w:rPr>
      </w:pPr>
      <w:r>
        <w:rPr>
          <w:rFonts w:eastAsia="宋体"/>
          <w:b/>
          <w:bCs/>
          <w:color w:val="000000"/>
          <w:sz w:val="24"/>
          <w:szCs w:val="24"/>
        </w:rPr>
        <w:t>ISO/IEC 17025第6节</w:t>
      </w:r>
      <w:r>
        <w:rPr>
          <w:rFonts w:ascii="宋体" w:hAnsi="宋体" w:eastAsia="宋体"/>
          <w:b/>
          <w:bCs/>
          <w:color w:val="000000"/>
          <w:sz w:val="24"/>
          <w:szCs w:val="24"/>
        </w:rPr>
        <w:t>“</w:t>
      </w:r>
      <w:r>
        <w:rPr>
          <w:rFonts w:eastAsia="宋体"/>
          <w:b/>
          <w:bCs/>
          <w:color w:val="000000"/>
          <w:sz w:val="24"/>
          <w:szCs w:val="24"/>
        </w:rPr>
        <w:t>资源要求</w:t>
      </w:r>
      <w:r>
        <w:rPr>
          <w:rFonts w:ascii="宋体" w:hAnsi="宋体" w:eastAsia="宋体"/>
          <w:b/>
          <w:bCs/>
          <w:color w:val="000000"/>
          <w:sz w:val="24"/>
          <w:szCs w:val="24"/>
        </w:rPr>
        <w:t>”</w:t>
      </w:r>
    </w:p>
    <w:p w14:paraId="2A77FB5A">
      <w:pPr>
        <w:autoSpaceDE/>
        <w:autoSpaceDN/>
        <w:snapToGrid w:val="0"/>
        <w:jc w:val="both"/>
        <w:rPr>
          <w:rFonts w:eastAsia="宋体"/>
          <w:sz w:val="24"/>
          <w:szCs w:val="24"/>
        </w:rPr>
      </w:pPr>
    </w:p>
    <w:p w14:paraId="150D6C6C">
      <w:pPr>
        <w:autoSpaceDE/>
        <w:autoSpaceDN/>
        <w:snapToGrid w:val="0"/>
        <w:ind w:left="360" w:hanging="360" w:hangingChars="150"/>
        <w:jc w:val="both"/>
        <w:rPr>
          <w:rFonts w:eastAsia="宋体"/>
          <w:color w:val="000000"/>
          <w:sz w:val="24"/>
          <w:szCs w:val="24"/>
        </w:rPr>
      </w:pPr>
      <w:r>
        <w:rPr>
          <w:rFonts w:eastAsia="宋体"/>
          <w:color w:val="000000"/>
          <w:sz w:val="24"/>
          <w:szCs w:val="24"/>
        </w:rPr>
        <w:t>6.1</w:t>
      </w:r>
      <w:r>
        <w:rPr>
          <w:rFonts w:eastAsia="宋体"/>
          <w:color w:val="000000"/>
          <w:sz w:val="24"/>
          <w:szCs w:val="24"/>
        </w:rPr>
        <w:tab/>
      </w:r>
      <w:r>
        <w:rPr>
          <w:rFonts w:eastAsia="宋体"/>
          <w:color w:val="000000"/>
          <w:sz w:val="24"/>
          <w:szCs w:val="24"/>
        </w:rPr>
        <w:t>总则</w:t>
      </w:r>
    </w:p>
    <w:p w14:paraId="7585904E">
      <w:pPr>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14:paraId="500683B4">
      <w:pPr>
        <w:tabs>
          <w:tab w:val="left" w:pos="360"/>
        </w:tabs>
        <w:autoSpaceDE/>
        <w:autoSpaceDN/>
        <w:snapToGrid w:val="0"/>
        <w:jc w:val="both"/>
        <w:rPr>
          <w:rFonts w:eastAsia="宋体"/>
          <w:color w:val="000000"/>
          <w:sz w:val="24"/>
          <w:szCs w:val="24"/>
        </w:rPr>
      </w:pPr>
    </w:p>
    <w:p w14:paraId="0FA41C05">
      <w:pPr>
        <w:autoSpaceDE/>
        <w:autoSpaceDN/>
        <w:snapToGrid w:val="0"/>
        <w:ind w:left="360" w:hanging="360" w:hangingChars="150"/>
        <w:jc w:val="both"/>
        <w:rPr>
          <w:rFonts w:eastAsia="宋体"/>
          <w:color w:val="000000"/>
          <w:sz w:val="24"/>
          <w:szCs w:val="24"/>
        </w:rPr>
      </w:pPr>
      <w:r>
        <w:rPr>
          <w:rFonts w:eastAsia="宋体"/>
          <w:color w:val="000000"/>
          <w:sz w:val="24"/>
          <w:szCs w:val="24"/>
        </w:rPr>
        <w:t>6.2</w:t>
      </w:r>
      <w:r>
        <w:rPr>
          <w:rFonts w:eastAsia="宋体"/>
          <w:color w:val="000000"/>
          <w:sz w:val="24"/>
          <w:szCs w:val="24"/>
        </w:rPr>
        <w:tab/>
      </w:r>
      <w:r>
        <w:rPr>
          <w:rFonts w:eastAsia="宋体"/>
          <w:color w:val="000000"/>
          <w:sz w:val="24"/>
          <w:szCs w:val="24"/>
        </w:rPr>
        <w:t>人员</w:t>
      </w:r>
    </w:p>
    <w:p w14:paraId="18E88497">
      <w:pPr>
        <w:autoSpaceDE/>
        <w:autoSpaceDN/>
        <w:snapToGrid w:val="0"/>
        <w:jc w:val="both"/>
        <w:rPr>
          <w:rFonts w:eastAsia="宋体"/>
          <w:color w:val="000000"/>
          <w:sz w:val="24"/>
          <w:szCs w:val="24"/>
        </w:rPr>
      </w:pPr>
    </w:p>
    <w:p w14:paraId="68BC440C">
      <w:pPr>
        <w:pStyle w:val="28"/>
        <w:numPr>
          <w:ilvl w:val="0"/>
          <w:numId w:val="2"/>
        </w:numPr>
        <w:autoSpaceDE/>
        <w:autoSpaceDN/>
        <w:snapToGrid w:val="0"/>
        <w:ind w:left="760" w:leftChars="200" w:hanging="360" w:hangingChars="150"/>
        <w:jc w:val="both"/>
        <w:rPr>
          <w:rFonts w:eastAsia="宋体"/>
          <w:sz w:val="24"/>
          <w:szCs w:val="24"/>
        </w:rPr>
      </w:pPr>
      <w:r>
        <w:rPr>
          <w:rFonts w:eastAsia="宋体"/>
          <w:color w:val="000000"/>
          <w:sz w:val="24"/>
          <w:szCs w:val="24"/>
        </w:rPr>
        <w:t>检测实验室同意保持有能力的技术人员，他们对所请求的认证范围内的适当试验方法有一定的了解：</w:t>
      </w:r>
    </w:p>
    <w:p w14:paraId="3F09D380">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对于进行体内试验的技术人员，要有1年的相关试验经验，包括技术人员被分配到的ASCA计划中包含的每一项标准试验，或通过完成至少25项试验来证明其熟练程度，或每项研究特定培训中列出的25个阶段，并且：</w:t>
      </w:r>
    </w:p>
    <w:p w14:paraId="093D82A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拥有与ASCA试点中的体外/体内生物相容性试验相关的科学领域的学士学位或副学士学位，或</w:t>
      </w:r>
    </w:p>
    <w:p w14:paraId="0B84AE2A">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具有高中学历，并至少具有以下实验室技术人员资格认证之一。实验动物技术人员（LAT），助理实验动物技术人员（ALAT），和/或实验动物技术专家（LATG）。</w:t>
      </w:r>
    </w:p>
    <w:p w14:paraId="52878614">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对于进行体外试验的技术人员，要有1年的相关试验经验，包括技术人员被分配到的ASCA计划中的每一项标准试验，或通过完成至少25项试验来证明其熟练程度，或在每项研究的具体培训中列出25个阶段，并且：</w:t>
      </w:r>
    </w:p>
    <w:p w14:paraId="2F6473DE">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拥有与ASCA试点中的体外/体内生物相容性试验相关的科学领域的学士学位或副学士学位。</w:t>
      </w:r>
    </w:p>
    <w:p w14:paraId="5656084F">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执行任何特定试验（例如，补体激活）样品制备的技术人员，需要有1年的样品制备经验，包括在技术人员被分配到的ASCA计划中的相关标准试验，或者通过完成每个研究特定培训中列出的至少25项试验的样品制备来证明其熟练程度，并且：</w:t>
      </w:r>
    </w:p>
    <w:p w14:paraId="4203D64A">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科学学士学位或副学士学位。</w:t>
      </w:r>
    </w:p>
    <w:p w14:paraId="59256E8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执行适用于各种试验的样品制备的技术人员（例如，在普通样品制备实验室为各种试验制备样品/浸提液的技术人员），有1年的样品制备经验，包括ASCA计划中的任何标准试验，或通过完成至少25项ASCA计划中的任何标准试验的样品制备证明其熟练程度，并且：</w:t>
      </w:r>
    </w:p>
    <w:p w14:paraId="5682E533">
      <w:pPr>
        <w:tabs>
          <w:tab w:val="left" w:pos="1440"/>
        </w:tabs>
        <w:autoSpaceDE/>
        <w:autoSpaceDN/>
        <w:snapToGrid w:val="0"/>
        <w:jc w:val="both"/>
        <w:rPr>
          <w:rFonts w:eastAsia="宋体"/>
          <w:sz w:val="24"/>
          <w:szCs w:val="24"/>
        </w:rPr>
      </w:pPr>
    </w:p>
    <w:p w14:paraId="5CAC6738">
      <w:pPr>
        <w:tabs>
          <w:tab w:val="left" w:pos="144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01CF2638">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科学学士学位或副学士学位。</w:t>
      </w:r>
    </w:p>
    <w:p w14:paraId="6CBA8B52">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针对研究负责人：</w:t>
      </w:r>
    </w:p>
    <w:p w14:paraId="447C2A2A">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科学学科的学士或更高学位；以及</w:t>
      </w:r>
    </w:p>
    <w:p w14:paraId="6B1312EC">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2年每项标准试验的相关试验经验；以及</w:t>
      </w:r>
    </w:p>
    <w:p w14:paraId="02172842">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在每个相关试验中指导至少25项研究，或与在每个相关试验中指导过至少25项研究的人一起管理25项研究。</w:t>
      </w:r>
    </w:p>
    <w:p w14:paraId="07CFEDDA">
      <w:pPr>
        <w:autoSpaceDE/>
        <w:autoSpaceDN/>
        <w:snapToGrid w:val="0"/>
        <w:jc w:val="both"/>
        <w:rPr>
          <w:rFonts w:eastAsia="宋体"/>
          <w:sz w:val="24"/>
          <w:szCs w:val="24"/>
        </w:rPr>
      </w:pPr>
    </w:p>
    <w:p w14:paraId="64687B64">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检测实验室的管理层同意了解《FD&amp;C法案》和21 CFR法规中与医疗器械监督有关的适用内容以及ISO/IEC 17025和ASCA计划规范中规定的标准。检测实验室还同意保留一份实验室管理人员的名单和联系信息。</w:t>
      </w:r>
    </w:p>
    <w:p w14:paraId="68B056B4">
      <w:pPr>
        <w:autoSpaceDE/>
        <w:autoSpaceDN/>
        <w:snapToGrid w:val="0"/>
        <w:ind w:left="660" w:leftChars="150" w:hanging="360" w:hangingChars="150"/>
        <w:jc w:val="both"/>
        <w:rPr>
          <w:rFonts w:eastAsia="宋体"/>
          <w:color w:val="000000"/>
          <w:sz w:val="24"/>
          <w:szCs w:val="24"/>
        </w:rPr>
      </w:pPr>
    </w:p>
    <w:p w14:paraId="22A8C762">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w:t>
      </w:r>
    </w:p>
    <w:p w14:paraId="09C6D3F0">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为新的和以前接受过培训的技术人员记录并维持一个培训计划，其中将包括应用新的/更新的试验程序和进行所需试验的正确程序。</w:t>
      </w:r>
    </w:p>
    <w:p w14:paraId="4561AC9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每隔6-12个月，或当试验标准或程序更新或制定时，以及当职责发生变化时，向新的和以前受过培训的技术人员提供相关的特定试验重新认证培训（例如，细胞毒性主观评分）。</w:t>
      </w:r>
    </w:p>
    <w:p w14:paraId="656E4936">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通过应用培训方法，如在职培训和正式的课堂培训，酌情定期进行培训。</w:t>
      </w:r>
    </w:p>
    <w:p w14:paraId="2DB90B5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记录并保持培训记录，证明参与进行ASCA试验的技术人员已经接受了培训和评估，能够胜任每项ASCA试验。培训包括遵循与试验有关的标准操作规程（SOP）和文件的能力，以及亲自实践培训的能力。培训还可能包括课堂（或在线）培训。检测实验室还同意有预定义的标准，以确定技术人员（技术人员和研究负责人）能够执行与</w:t>
      </w:r>
      <w:r>
        <w:rPr>
          <w:rFonts w:eastAsia="宋体"/>
          <w:i/>
          <w:iCs/>
          <w:color w:val="000000"/>
          <w:sz w:val="24"/>
          <w:szCs w:val="24"/>
        </w:rPr>
        <w:t>ASCA认证</w:t>
      </w:r>
      <w:r>
        <w:rPr>
          <w:rFonts w:eastAsia="宋体"/>
          <w:color w:val="000000"/>
          <w:sz w:val="24"/>
          <w:szCs w:val="24"/>
        </w:rPr>
        <w:t>范围内的试验有关的指定任务，以及何时需要重新培训。</w:t>
      </w:r>
    </w:p>
    <w:p w14:paraId="28ADAFD5">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建立定期对技术人员进行内部检测实验室能力检查的程序（例如，对MEM洗脱试验的阴性和阳性对照进行盲评），以进行ASCA试点下的主观分析，包括工作人员何时需要重新培训（例如，方案不符合要求，指定活动的改变）。</w:t>
      </w:r>
    </w:p>
    <w:p w14:paraId="23482E03">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保持记录，证明培训人员有资格和至少2年的经验（例行执行每项相关的ASCA试验），以培训将进行ASCA试验的技术人员。</w:t>
      </w:r>
    </w:p>
    <w:p w14:paraId="705509A2">
      <w:pPr>
        <w:tabs>
          <w:tab w:val="left" w:pos="1080"/>
        </w:tabs>
        <w:autoSpaceDE/>
        <w:autoSpaceDN/>
        <w:snapToGrid w:val="0"/>
        <w:jc w:val="both"/>
        <w:rPr>
          <w:rFonts w:eastAsia="宋体"/>
          <w:color w:val="000000"/>
          <w:sz w:val="24"/>
          <w:szCs w:val="24"/>
        </w:rPr>
      </w:pPr>
    </w:p>
    <w:p w14:paraId="1CFC7D0E">
      <w:pPr>
        <w:tabs>
          <w:tab w:val="left" w:pos="1080"/>
        </w:tabs>
        <w:autoSpaceDE/>
        <w:autoSpaceDN/>
        <w:snapToGrid w:val="0"/>
        <w:jc w:val="both"/>
        <w:rPr>
          <w:rFonts w:eastAsia="宋体"/>
          <w:color w:val="000000"/>
          <w:sz w:val="24"/>
          <w:szCs w:val="24"/>
        </w:rPr>
        <w:sectPr>
          <w:pgSz w:w="11906" w:h="16838"/>
          <w:pgMar w:top="1134" w:right="1134" w:bottom="1134" w:left="1418" w:header="567" w:footer="567" w:gutter="0"/>
          <w:cols w:space="60" w:num="1"/>
          <w:docGrid w:linePitch="272" w:charSpace="0"/>
        </w:sectPr>
      </w:pPr>
    </w:p>
    <w:p w14:paraId="5A860580">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检测实验室同意制定程序，以确定如何准备试验和对照样品，并进行培训，其中至少包括以下内容：</w:t>
      </w:r>
    </w:p>
    <w:p w14:paraId="5DB87EC2">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器械准备的程序，包括：</w:t>
      </w:r>
    </w:p>
    <w:p w14:paraId="10D4568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切割样品（如果合适）和浸提前任何颗粒生成的文件（例如，照片），</w:t>
      </w:r>
    </w:p>
    <w:p w14:paraId="61CBED3E">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确定浸提率的器械表面积，以及完成研究所需的体积，</w:t>
      </w:r>
    </w:p>
    <w:p w14:paraId="41FB15E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使用非标准的表面积方法（例如，多孔器械），</w:t>
      </w:r>
    </w:p>
    <w:p w14:paraId="37F7E108">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将非接触成分排除在浸提之外，</w:t>
      </w:r>
    </w:p>
    <w:p w14:paraId="6318E518">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选择有代表性的部分进行直接接触血液相容性研究（即溶血，补体激活），</w:t>
      </w:r>
    </w:p>
    <w:p w14:paraId="72E1E8D4">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浸提条件的选择（即时间、温度和浸提介质），</w:t>
      </w:r>
    </w:p>
    <w:p w14:paraId="7AB6000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评估和记录浸提后样品的变化（例如照片）（例如颜色变化、完整性、肿胀）或浸提条件（例如pH值、颗粒/沉淀物、颜色变化或浊度），</w:t>
      </w:r>
    </w:p>
    <w:p w14:paraId="43FB551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当注意到变化时，一般和/或特定试验的后续程序（例如，浸提沉淀技术以允许无颗粒的静脉注射），</w:t>
      </w:r>
    </w:p>
    <w:p w14:paraId="06167A06">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使用非标准的浸提方法（例如，液体路径方法、用于极其大型器械的方法、与浸提介质保持接触的程序），以及</w:t>
      </w:r>
    </w:p>
    <w:p w14:paraId="7E485580">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试验前对浸提液的处理（例如，过滤、离心、储存时间和温度）。</w:t>
      </w:r>
    </w:p>
    <w:p w14:paraId="4A14FFD0">
      <w:pPr>
        <w:autoSpaceDE/>
        <w:autoSpaceDN/>
        <w:snapToGrid w:val="0"/>
        <w:ind w:left="660" w:leftChars="150" w:hanging="360" w:hangingChars="150"/>
        <w:jc w:val="both"/>
        <w:rPr>
          <w:rFonts w:eastAsia="宋体"/>
          <w:color w:val="000000"/>
          <w:sz w:val="24"/>
          <w:szCs w:val="24"/>
        </w:rPr>
      </w:pPr>
    </w:p>
    <w:p w14:paraId="2A546044">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此外，对于体外试验，检测实验室同意培训将至少包括以下内容：</w:t>
      </w:r>
    </w:p>
    <w:p w14:paraId="17803F3F">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MEM洗脱细胞毒性。</w:t>
      </w:r>
    </w:p>
    <w:p w14:paraId="5598A0D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细胞系维护</w:t>
      </w:r>
    </w:p>
    <w:p w14:paraId="55B11137">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细胞计数</w:t>
      </w:r>
    </w:p>
    <w:p w14:paraId="400F601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细胞接种</w:t>
      </w:r>
    </w:p>
    <w:p w14:paraId="227C373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向细胞培养物中添加试验样品和对照品</w:t>
      </w:r>
    </w:p>
    <w:p w14:paraId="76CD8706">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试验样品和对照品评分</w:t>
      </w:r>
    </w:p>
    <w:p w14:paraId="47B0B676">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模拟研究，以评估技术人员在试验性能、数据记录和结果解释方面的能力（包括对边界结果的特定试验评估）。</w:t>
      </w:r>
    </w:p>
    <w:p w14:paraId="5295B93A">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最低限度，一年两次定期检查技术人员对阴性和阳性对照的评分能力，如需要，还要对技术人员进行再培训</w:t>
      </w:r>
    </w:p>
    <w:p w14:paraId="6571C99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溶血：</w:t>
      </w:r>
    </w:p>
    <w:p w14:paraId="774680E4">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从采血到用于试验的时间</w:t>
      </w:r>
    </w:p>
    <w:p w14:paraId="520AA3CD">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血红蛋白吸光度标准曲线</w:t>
      </w:r>
    </w:p>
    <w:p w14:paraId="046E642A">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稀释程序和稀释因子的计算</w:t>
      </w:r>
    </w:p>
    <w:p w14:paraId="3C6261F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样品和对照品的制备和记录</w:t>
      </w:r>
    </w:p>
    <w:p w14:paraId="1562F12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有代表性的样品选择（可适用于直接和间接接触试验）</w:t>
      </w:r>
    </w:p>
    <w:p w14:paraId="50A6698E">
      <w:pPr>
        <w:tabs>
          <w:tab w:val="left" w:pos="1440"/>
        </w:tabs>
        <w:autoSpaceDE/>
        <w:autoSpaceDN/>
        <w:snapToGrid w:val="0"/>
        <w:jc w:val="both"/>
        <w:rPr>
          <w:rFonts w:eastAsia="宋体"/>
          <w:color w:val="000000"/>
          <w:sz w:val="21"/>
          <w:szCs w:val="21"/>
        </w:rPr>
      </w:pPr>
    </w:p>
    <w:p w14:paraId="3FB79BFE">
      <w:pPr>
        <w:tabs>
          <w:tab w:val="left" w:pos="1440"/>
        </w:tabs>
        <w:autoSpaceDE/>
        <w:autoSpaceDN/>
        <w:snapToGrid w:val="0"/>
        <w:jc w:val="both"/>
        <w:rPr>
          <w:rFonts w:eastAsia="宋体"/>
          <w:color w:val="000000"/>
          <w:sz w:val="21"/>
          <w:szCs w:val="21"/>
        </w:rPr>
        <w:sectPr>
          <w:pgSz w:w="11906" w:h="16838"/>
          <w:pgMar w:top="1134" w:right="1134" w:bottom="1134" w:left="1418" w:header="567" w:footer="567" w:gutter="0"/>
          <w:cols w:space="60" w:num="1"/>
          <w:docGrid w:linePitch="272" w:charSpace="0"/>
        </w:sectPr>
      </w:pPr>
    </w:p>
    <w:p w14:paraId="29F535D4">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如有，记录上清液的颜色和分散的颗粒碎片的存在</w:t>
      </w:r>
    </w:p>
    <w:p w14:paraId="6E2F1B9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如果与阴性对照不同，记录离心后是否有颗粒、颗粒大小和颜色</w:t>
      </w:r>
    </w:p>
    <w:p w14:paraId="17AA4124">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去除上清液以保存颗粒</w:t>
      </w:r>
    </w:p>
    <w:p w14:paraId="295FE4D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空白样品校正（包括如果浸提液是彩色的）</w:t>
      </w:r>
    </w:p>
    <w:p w14:paraId="33644E1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溶血指数计算</w:t>
      </w:r>
    </w:p>
    <w:p w14:paraId="53F756A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模拟研究，评估技术人员在试验性能、数据记录和结果解释方面的能力</w:t>
      </w:r>
    </w:p>
    <w:p w14:paraId="2FFB6CB5">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14:paraId="15CC41CA">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补体激活：</w:t>
      </w:r>
    </w:p>
    <w:p w14:paraId="13670C01">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血清/血液/血浆处理，以尽量减少补体激活</w:t>
      </w:r>
    </w:p>
    <w:p w14:paraId="3CAF6E2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样品和对照的制备和记录</w:t>
      </w:r>
    </w:p>
    <w:p w14:paraId="082F0148">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代表性的样品选择</w:t>
      </w:r>
    </w:p>
    <w:p w14:paraId="1EA75643">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小容量移液</w:t>
      </w:r>
    </w:p>
    <w:p w14:paraId="7194C666">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补体吸光度标准曲线</w:t>
      </w:r>
    </w:p>
    <w:p w14:paraId="44F3E516">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稀释程序和稀释因子的计算</w:t>
      </w:r>
    </w:p>
    <w:p w14:paraId="644BF64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暴露时间</w:t>
      </w:r>
    </w:p>
    <w:p w14:paraId="51C1CF13">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补体浓度计算</w:t>
      </w:r>
    </w:p>
    <w:p w14:paraId="4C7712BE">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试验确认标准</w:t>
      </w:r>
    </w:p>
    <w:p w14:paraId="6E03928A">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如有必要，数据分析和使用历史对照数据</w:t>
      </w:r>
    </w:p>
    <w:p w14:paraId="18F789C1">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模拟研究，评估技术人员在试验性能、数据记录和结果解释方面的能力</w:t>
      </w:r>
    </w:p>
    <w:p w14:paraId="69D4B6DC">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14:paraId="5DE1B3E9">
      <w:pPr>
        <w:autoSpaceDE/>
        <w:autoSpaceDN/>
        <w:snapToGrid w:val="0"/>
        <w:ind w:left="660" w:leftChars="150" w:hanging="360" w:hangingChars="150"/>
        <w:jc w:val="both"/>
        <w:rPr>
          <w:rFonts w:eastAsia="宋体"/>
          <w:color w:val="000000"/>
          <w:sz w:val="24"/>
          <w:szCs w:val="24"/>
        </w:rPr>
      </w:pPr>
    </w:p>
    <w:p w14:paraId="5C8D0E4C">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对于体内研究，作为一般动物处理培训的一部分，检测实验室同意培训将至少包括以下内容：</w:t>
      </w:r>
    </w:p>
    <w:p w14:paraId="2D305C6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特定试验的动物选择标准</w:t>
      </w:r>
    </w:p>
    <w:p w14:paraId="5C4F43D6">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研究内部和跨研究的动物识别和可追溯性（例如，热原性）</w:t>
      </w:r>
    </w:p>
    <w:p w14:paraId="46B357AA">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针对物种和试验的动物饲养技术</w:t>
      </w:r>
    </w:p>
    <w:p w14:paraId="0AA2D7BA">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特定试验的适应性技术</w:t>
      </w:r>
    </w:p>
    <w:p w14:paraId="583F262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体重测量</w:t>
      </w:r>
    </w:p>
    <w:p w14:paraId="1FB81594">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特定物种的生活观察（例如，笼子事故、健康状况下降、癫痫发作、体重减轻、呼吸困难）以及何时应请求兽医监督</w:t>
      </w:r>
    </w:p>
    <w:p w14:paraId="2D3C2CB0">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特定试验的数据记录、计算和结果解释（包括对边界结果的特定试验评估，以及适用时的再激发或再试验标准）</w:t>
      </w:r>
    </w:p>
    <w:p w14:paraId="28AD863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如需要，技术人员再培训</w:t>
      </w:r>
    </w:p>
    <w:p w14:paraId="344F0D44">
      <w:pPr>
        <w:autoSpaceDE/>
        <w:autoSpaceDN/>
        <w:snapToGrid w:val="0"/>
        <w:ind w:left="1275" w:leftChars="480" w:hanging="315"/>
        <w:jc w:val="both"/>
        <w:rPr>
          <w:rFonts w:eastAsia="宋体"/>
          <w:color w:val="000000"/>
          <w:sz w:val="24"/>
          <w:szCs w:val="24"/>
        </w:rPr>
      </w:pPr>
    </w:p>
    <w:p w14:paraId="25C11CE2">
      <w:pPr>
        <w:pStyle w:val="28"/>
        <w:numPr>
          <w:ilvl w:val="0"/>
          <w:numId w:val="2"/>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对于以下特定的体内试验，申请组织同意培训至少包括以下内容：</w:t>
      </w:r>
    </w:p>
    <w:p w14:paraId="2ABED4B2">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豚鼠最大剂量（GPMT）和闭合斑贴致敏性</w:t>
      </w:r>
    </w:p>
    <w:p w14:paraId="6162382F">
      <w:pPr>
        <w:pStyle w:val="28"/>
        <w:numPr>
          <w:ilvl w:val="0"/>
          <w:numId w:val="4"/>
        </w:numPr>
        <w:autoSpaceDE/>
        <w:autoSpaceDN/>
        <w:snapToGrid w:val="0"/>
        <w:ind w:left="1860" w:leftChars="750" w:hanging="360" w:hangingChars="150"/>
        <w:jc w:val="both"/>
        <w:rPr>
          <w:rFonts w:eastAsia="宋体"/>
          <w:sz w:val="24"/>
          <w:szCs w:val="24"/>
        </w:rPr>
      </w:pPr>
      <w:r>
        <w:rPr>
          <w:rFonts w:eastAsia="宋体"/>
          <w:color w:val="000000"/>
          <w:sz w:val="24"/>
          <w:szCs w:val="24"/>
        </w:rPr>
        <w:t>剃毛技术（例如，避免剃刀烧伤）</w:t>
      </w:r>
    </w:p>
    <w:p w14:paraId="06224B3C">
      <w:pPr>
        <w:tabs>
          <w:tab w:val="left" w:pos="1440"/>
        </w:tabs>
        <w:autoSpaceDE/>
        <w:autoSpaceDN/>
        <w:snapToGrid w:val="0"/>
        <w:jc w:val="both"/>
        <w:rPr>
          <w:rFonts w:eastAsia="宋体"/>
          <w:sz w:val="24"/>
          <w:szCs w:val="24"/>
        </w:rPr>
      </w:pPr>
    </w:p>
    <w:p w14:paraId="69CDB33A">
      <w:pPr>
        <w:tabs>
          <w:tab w:val="left" w:pos="144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165836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如适用，浸提液和佐剂的混合</w:t>
      </w:r>
    </w:p>
    <w:p w14:paraId="41AFA2D6">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皮内注射（GPMT），包括确认避免皮下注射的标准</w:t>
      </w:r>
    </w:p>
    <w:p w14:paraId="51718F9F">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应用样品（GPMT和闭合斑块）</w:t>
      </w:r>
    </w:p>
    <w:p w14:paraId="7266BF88">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动物包装</w:t>
      </w:r>
    </w:p>
    <w:p w14:paraId="0C054A2D">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区分红肿的来源（例如，真正的致敏与机械/粘附性刺激）</w:t>
      </w:r>
    </w:p>
    <w:p w14:paraId="092CBC91">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至少每季度定期对阳性对照评分的技术人员进行能力检查（在活体动物中每年至少一次）</w:t>
      </w:r>
    </w:p>
    <w:p w14:paraId="690CBCC5">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14:paraId="6279E0EA">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皮内反应性和皮肤刺激性：</w:t>
      </w:r>
    </w:p>
    <w:p w14:paraId="5FCFDA38">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剃毛技术（例如，避免剃刀烧伤）</w:t>
      </w:r>
    </w:p>
    <w:p w14:paraId="28C85B23">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试验样品的应用</w:t>
      </w:r>
    </w:p>
    <w:p w14:paraId="7546D894">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注射技术和标志，以确认适当的注射位置</w:t>
      </w:r>
    </w:p>
    <w:p w14:paraId="384B604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区分红肿的来源（例如，真正的刺激与剃毛后可能产生的刺激）</w:t>
      </w:r>
    </w:p>
    <w:p w14:paraId="79763F51">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至少一年两次定期对技术人员进行阳性反应评分的能力检查（在活体动物中每年至少一次）</w:t>
      </w:r>
    </w:p>
    <w:p w14:paraId="503AFD05">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14:paraId="08BE5BA6">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急性全身毒性：</w:t>
      </w:r>
    </w:p>
    <w:p w14:paraId="43E86EFD">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天平的使用和校准以确保适当的灵敏度</w:t>
      </w:r>
    </w:p>
    <w:p w14:paraId="34B6D7E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腹腔注射（IP）和静脉注射（IV）技术和标志，以确认适当的注射位置</w:t>
      </w:r>
    </w:p>
    <w:p w14:paraId="12ADD82D">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如果技术人员进行一项研究的间隔时间超过一个月，则在进行下一次试验之前，至少要对对技术人员的注射技术进行能力检查</w:t>
      </w:r>
    </w:p>
    <w:p w14:paraId="1483BE7F">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14:paraId="23C4B6AB">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材料介导的致热原性：</w:t>
      </w:r>
    </w:p>
    <w:p w14:paraId="1DDC5EFA">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使用无热原/去热原的玻璃器皿和无热原的盐水进行浸提</w:t>
      </w:r>
    </w:p>
    <w:p w14:paraId="05BB854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温度探头的使用和校准以确保适当的灵敏度</w:t>
      </w:r>
    </w:p>
    <w:p w14:paraId="376D4AA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静脉注射（IV）技术和标志，以确认适当的注射位置</w:t>
      </w:r>
    </w:p>
    <w:p w14:paraId="62AD46AF">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如需要，技术人员再培训</w:t>
      </w:r>
    </w:p>
    <w:p w14:paraId="79155E31">
      <w:pPr>
        <w:tabs>
          <w:tab w:val="left" w:pos="360"/>
        </w:tabs>
        <w:autoSpaceDE/>
        <w:autoSpaceDN/>
        <w:snapToGrid w:val="0"/>
        <w:jc w:val="both"/>
        <w:rPr>
          <w:rFonts w:eastAsia="宋体"/>
          <w:color w:val="000000"/>
          <w:sz w:val="24"/>
          <w:szCs w:val="24"/>
        </w:rPr>
      </w:pPr>
    </w:p>
    <w:p w14:paraId="7D61EF7E">
      <w:pPr>
        <w:autoSpaceDE/>
        <w:autoSpaceDN/>
        <w:snapToGrid w:val="0"/>
        <w:ind w:left="360" w:hanging="360" w:hangingChars="150"/>
        <w:jc w:val="both"/>
        <w:rPr>
          <w:rFonts w:eastAsia="宋体"/>
          <w:color w:val="000000"/>
          <w:sz w:val="24"/>
          <w:szCs w:val="24"/>
        </w:rPr>
      </w:pPr>
      <w:r>
        <w:rPr>
          <w:rFonts w:eastAsia="宋体"/>
          <w:color w:val="000000"/>
          <w:sz w:val="24"/>
          <w:szCs w:val="24"/>
        </w:rPr>
        <w:t>6.3</w:t>
      </w:r>
      <w:r>
        <w:rPr>
          <w:rFonts w:eastAsia="宋体"/>
          <w:color w:val="000000"/>
          <w:sz w:val="24"/>
          <w:szCs w:val="24"/>
        </w:rPr>
        <w:tab/>
      </w:r>
      <w:r>
        <w:rPr>
          <w:rFonts w:eastAsia="宋体"/>
          <w:color w:val="000000"/>
          <w:sz w:val="24"/>
          <w:szCs w:val="24"/>
        </w:rPr>
        <w:t>设施和环境条件</w:t>
      </w:r>
    </w:p>
    <w:p w14:paraId="21897CF2">
      <w:pPr>
        <w:autoSpaceDE/>
        <w:autoSpaceDN/>
        <w:snapToGrid w:val="0"/>
        <w:jc w:val="both"/>
        <w:rPr>
          <w:rFonts w:eastAsia="宋体"/>
          <w:color w:val="000000"/>
          <w:sz w:val="24"/>
          <w:szCs w:val="24"/>
        </w:rPr>
      </w:pPr>
    </w:p>
    <w:p w14:paraId="39C1AE2E">
      <w:pPr>
        <w:autoSpaceDE/>
        <w:autoSpaceDN/>
        <w:snapToGrid w:val="0"/>
        <w:ind w:firstLine="480" w:firstLineChars="200"/>
        <w:jc w:val="both"/>
        <w:rPr>
          <w:rFonts w:eastAsia="宋体"/>
          <w:color w:val="000000"/>
          <w:sz w:val="24"/>
          <w:szCs w:val="24"/>
        </w:rPr>
      </w:pPr>
      <w:r>
        <w:rPr>
          <w:rFonts w:eastAsia="宋体"/>
          <w:color w:val="000000"/>
          <w:sz w:val="24"/>
          <w:szCs w:val="24"/>
        </w:rPr>
        <w:t>实验室人员应了解适用于医疗器械制造商的《FD&amp;C法案》和法规。根据21 CFR 820.50</w:t>
      </w:r>
      <w:r>
        <w:rPr>
          <w:rFonts w:ascii="宋体" w:hAnsi="宋体" w:eastAsia="宋体"/>
          <w:color w:val="000000"/>
          <w:sz w:val="24"/>
          <w:szCs w:val="24"/>
        </w:rPr>
        <w:t>“</w:t>
      </w:r>
      <w:r>
        <w:rPr>
          <w:rFonts w:eastAsia="宋体"/>
          <w:color w:val="000000"/>
          <w:sz w:val="24"/>
          <w:szCs w:val="24"/>
        </w:rPr>
        <w:t>采购对照</w:t>
      </w:r>
      <w:r>
        <w:rPr>
          <w:rFonts w:ascii="宋体" w:hAnsi="宋体" w:eastAsia="宋体"/>
          <w:color w:val="000000"/>
          <w:sz w:val="24"/>
          <w:szCs w:val="24"/>
        </w:rPr>
        <w:t>”</w:t>
      </w:r>
      <w:r>
        <w:rPr>
          <w:rFonts w:eastAsia="宋体"/>
          <w:color w:val="000000"/>
          <w:sz w:val="24"/>
          <w:szCs w:val="24"/>
        </w:rPr>
        <w:t>，医疗器械制造商必须作为合同工作的一部分，通报任何必要的环境条件，以便正确进行认证范围内的试验。此外，检测实验室应制定政策和程序，以执行CFR第21篇第58部分《非临床研究质量管理规范》。</w:t>
      </w:r>
    </w:p>
    <w:p w14:paraId="73EB8125">
      <w:pPr>
        <w:autoSpaceDE/>
        <w:autoSpaceDN/>
        <w:snapToGrid w:val="0"/>
        <w:jc w:val="both"/>
        <w:rPr>
          <w:rFonts w:eastAsia="宋体"/>
          <w:sz w:val="24"/>
          <w:szCs w:val="24"/>
        </w:rPr>
      </w:pPr>
    </w:p>
    <w:p w14:paraId="3871B736">
      <w:pPr>
        <w:autoSpaceDE/>
        <w:autoSpaceDN/>
        <w:snapToGrid w:val="0"/>
        <w:ind w:left="360" w:hanging="360" w:hangingChars="150"/>
        <w:jc w:val="both"/>
        <w:rPr>
          <w:rFonts w:eastAsia="宋体"/>
          <w:sz w:val="24"/>
          <w:szCs w:val="24"/>
        </w:rPr>
      </w:pPr>
      <w:r>
        <w:rPr>
          <w:rFonts w:eastAsia="宋体"/>
          <w:color w:val="000000"/>
          <w:sz w:val="24"/>
          <w:szCs w:val="24"/>
        </w:rPr>
        <w:t>6.4</w:t>
      </w:r>
      <w:r>
        <w:rPr>
          <w:rFonts w:eastAsia="宋体"/>
          <w:color w:val="000000"/>
          <w:sz w:val="24"/>
          <w:szCs w:val="24"/>
        </w:rPr>
        <w:tab/>
      </w:r>
      <w:r>
        <w:rPr>
          <w:rFonts w:eastAsia="宋体"/>
          <w:color w:val="000000"/>
          <w:sz w:val="24"/>
          <w:szCs w:val="24"/>
        </w:rPr>
        <w:t>设备</w:t>
      </w:r>
    </w:p>
    <w:p w14:paraId="104FCAEF">
      <w:pPr>
        <w:tabs>
          <w:tab w:val="left" w:pos="360"/>
        </w:tabs>
        <w:autoSpaceDE/>
        <w:autoSpaceDN/>
        <w:snapToGrid w:val="0"/>
        <w:jc w:val="both"/>
        <w:rPr>
          <w:rFonts w:eastAsia="宋体"/>
          <w:sz w:val="24"/>
          <w:szCs w:val="24"/>
        </w:rPr>
      </w:pPr>
    </w:p>
    <w:p w14:paraId="1864958A">
      <w:pPr>
        <w:tabs>
          <w:tab w:val="left" w:pos="36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55B6F910">
      <w:pPr>
        <w:pStyle w:val="28"/>
        <w:numPr>
          <w:ilvl w:val="0"/>
          <w:numId w:val="5"/>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检测实验室同意确保用于试验和评估器械的所有设备在请求的认证范围内可以使用并处于正常工作状态。</w:t>
      </w:r>
    </w:p>
    <w:p w14:paraId="3E3E7663">
      <w:pPr>
        <w:autoSpaceDE/>
        <w:autoSpaceDN/>
        <w:snapToGrid w:val="0"/>
        <w:jc w:val="both"/>
        <w:rPr>
          <w:rFonts w:eastAsia="宋体"/>
          <w:color w:val="000000"/>
          <w:sz w:val="24"/>
          <w:szCs w:val="24"/>
        </w:rPr>
      </w:pPr>
    </w:p>
    <w:p w14:paraId="2CBEC740">
      <w:pPr>
        <w:pStyle w:val="28"/>
        <w:numPr>
          <w:ilvl w:val="0"/>
          <w:numId w:val="5"/>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检测实验室同意确保其程序涉及准确和及时地添加、删除、修改或维护设备记录中的信息，并明确负责这些工作的人员。</w:t>
      </w:r>
    </w:p>
    <w:p w14:paraId="7D895872">
      <w:pPr>
        <w:autoSpaceDE/>
        <w:autoSpaceDN/>
        <w:snapToGrid w:val="0"/>
        <w:jc w:val="both"/>
        <w:rPr>
          <w:rFonts w:eastAsia="宋体"/>
          <w:color w:val="000000"/>
          <w:sz w:val="24"/>
          <w:szCs w:val="24"/>
        </w:rPr>
      </w:pPr>
    </w:p>
    <w:p w14:paraId="1B853DB7">
      <w:pPr>
        <w:pStyle w:val="28"/>
        <w:numPr>
          <w:ilvl w:val="0"/>
          <w:numId w:val="5"/>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检测实验室同意确保其程序规定了为每一类型或每一计划的设备确定校准间隔的步骤，并规定了延长仪器校准间隔的标准、步骤和批准。</w:t>
      </w:r>
    </w:p>
    <w:p w14:paraId="3086E390">
      <w:pPr>
        <w:autoSpaceDE/>
        <w:autoSpaceDN/>
        <w:snapToGrid w:val="0"/>
        <w:jc w:val="both"/>
        <w:rPr>
          <w:rFonts w:eastAsia="宋体"/>
          <w:color w:val="000000"/>
          <w:sz w:val="24"/>
          <w:szCs w:val="24"/>
        </w:rPr>
      </w:pPr>
    </w:p>
    <w:p w14:paraId="46A21D5A">
      <w:pPr>
        <w:pStyle w:val="28"/>
        <w:numPr>
          <w:ilvl w:val="0"/>
          <w:numId w:val="5"/>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制定程序，检查设备操作超出设备公差或研究规定的限制（例如，温度偏移）对试验结果的影响。该程序确定了负责此类设备检查（如技术人员）和确定试验有效性方面的可接受性的人员（如研究负责人/毒理学家），明确了他们的责任，并提供了确定设备变化是否会影响研究结果的步骤，包括：</w:t>
      </w:r>
    </w:p>
    <w:p w14:paraId="023E7172">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确定影响是否不可接受（包括接受/拒绝标准）；</w:t>
      </w:r>
    </w:p>
    <w:p w14:paraId="3BF1F01D">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确定受影响的已进行的试验；</w:t>
      </w:r>
    </w:p>
    <w:p w14:paraId="17F9A119">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分析对这些特定试验产生影响的结果；以及</w:t>
      </w:r>
    </w:p>
    <w:p w14:paraId="193CA1DD">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确定是否需要进行再试验。</w:t>
      </w:r>
    </w:p>
    <w:p w14:paraId="67CADAB3">
      <w:pPr>
        <w:autoSpaceDE/>
        <w:autoSpaceDN/>
        <w:snapToGrid w:val="0"/>
        <w:ind w:left="360" w:hanging="360" w:hangingChars="150"/>
        <w:jc w:val="both"/>
        <w:rPr>
          <w:rFonts w:eastAsia="宋体"/>
          <w:color w:val="000000"/>
          <w:sz w:val="24"/>
          <w:szCs w:val="24"/>
        </w:rPr>
      </w:pPr>
    </w:p>
    <w:p w14:paraId="02D7AA60">
      <w:pPr>
        <w:autoSpaceDE/>
        <w:autoSpaceDN/>
        <w:snapToGrid w:val="0"/>
        <w:ind w:left="360" w:hanging="360" w:hangingChars="150"/>
        <w:jc w:val="both"/>
        <w:rPr>
          <w:rFonts w:eastAsia="宋体"/>
          <w:color w:val="000000"/>
          <w:sz w:val="24"/>
          <w:szCs w:val="24"/>
        </w:rPr>
      </w:pPr>
      <w:r>
        <w:rPr>
          <w:rFonts w:eastAsia="宋体"/>
          <w:color w:val="000000"/>
          <w:sz w:val="24"/>
          <w:szCs w:val="24"/>
        </w:rPr>
        <w:t>6.5</w:t>
      </w:r>
      <w:r>
        <w:rPr>
          <w:rFonts w:eastAsia="宋体"/>
          <w:color w:val="000000"/>
          <w:sz w:val="24"/>
          <w:szCs w:val="24"/>
        </w:rPr>
        <w:tab/>
      </w:r>
      <w:r>
        <w:rPr>
          <w:rFonts w:eastAsia="宋体"/>
          <w:color w:val="000000"/>
          <w:sz w:val="24"/>
          <w:szCs w:val="24"/>
        </w:rPr>
        <w:t>计量学的可追溯性</w:t>
      </w:r>
    </w:p>
    <w:p w14:paraId="1F43E8F9">
      <w:pPr>
        <w:autoSpaceDE/>
        <w:autoSpaceDN/>
        <w:snapToGrid w:val="0"/>
        <w:ind w:left="660" w:leftChars="150" w:hanging="360" w:hangingChars="150"/>
        <w:jc w:val="both"/>
        <w:rPr>
          <w:rFonts w:eastAsia="宋体"/>
          <w:color w:val="000000"/>
          <w:sz w:val="24"/>
          <w:szCs w:val="24"/>
        </w:rPr>
      </w:pPr>
    </w:p>
    <w:p w14:paraId="4C2E567A">
      <w:pPr>
        <w:pStyle w:val="28"/>
        <w:numPr>
          <w:ilvl w:val="0"/>
          <w:numId w:val="6"/>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检测实验室同意使用明确描述以下内容的指定方法和/或标准：</w:t>
      </w:r>
    </w:p>
    <w:p w14:paraId="712C85E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对溶血和补体激活的分光光度计吸光度读数进行小数点后三位的校准，以及</w:t>
      </w:r>
    </w:p>
    <w:p w14:paraId="57A1D96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用于校准用于细胞计数的犁刀式计数器的颗粒范围。</w:t>
      </w:r>
    </w:p>
    <w:p w14:paraId="3813F847">
      <w:pPr>
        <w:autoSpaceDE/>
        <w:autoSpaceDN/>
        <w:snapToGrid w:val="0"/>
        <w:ind w:left="660" w:leftChars="150" w:hanging="360" w:hangingChars="150"/>
        <w:jc w:val="both"/>
        <w:rPr>
          <w:rFonts w:eastAsia="宋体"/>
          <w:color w:val="000000"/>
          <w:sz w:val="24"/>
          <w:szCs w:val="24"/>
        </w:rPr>
      </w:pPr>
    </w:p>
    <w:p w14:paraId="2F27D840">
      <w:pPr>
        <w:pStyle w:val="28"/>
        <w:numPr>
          <w:ilvl w:val="0"/>
          <w:numId w:val="6"/>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如果试验指定的阳性、阴性和/或参考对照品不再能够区分阳性和阴性反应，检测实验室同意制定程序来鉴定新对照品。</w:t>
      </w:r>
    </w:p>
    <w:p w14:paraId="73A8EFF0">
      <w:pPr>
        <w:autoSpaceDE/>
        <w:autoSpaceDN/>
        <w:snapToGrid w:val="0"/>
        <w:ind w:left="660" w:leftChars="150" w:hanging="360" w:hangingChars="150"/>
        <w:jc w:val="both"/>
        <w:rPr>
          <w:rFonts w:eastAsia="宋体"/>
          <w:color w:val="000000"/>
          <w:sz w:val="24"/>
          <w:szCs w:val="24"/>
        </w:rPr>
      </w:pPr>
    </w:p>
    <w:p w14:paraId="2C2C0D3E">
      <w:pPr>
        <w:pStyle w:val="28"/>
        <w:numPr>
          <w:ilvl w:val="0"/>
          <w:numId w:val="6"/>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检测实验室同意对照品（阳性/阴性/试剂，如适用）将满足特定试验的接受标准。</w:t>
      </w:r>
    </w:p>
    <w:p w14:paraId="715F3B19">
      <w:pPr>
        <w:autoSpaceDE/>
        <w:autoSpaceDN/>
        <w:snapToGrid w:val="0"/>
        <w:ind w:left="660" w:leftChars="150" w:hanging="360" w:hangingChars="150"/>
        <w:jc w:val="both"/>
        <w:rPr>
          <w:rFonts w:eastAsia="宋体"/>
          <w:color w:val="000000"/>
          <w:sz w:val="24"/>
          <w:szCs w:val="24"/>
        </w:rPr>
      </w:pPr>
    </w:p>
    <w:p w14:paraId="456E0890">
      <w:pPr>
        <w:pStyle w:val="28"/>
        <w:numPr>
          <w:ilvl w:val="0"/>
          <w:numId w:val="6"/>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当不与试验样品同时进行阳性对照（即致敏性试验）时，将每半年进行一次试验（即在试验样品的3个月内），以确认试验系统试验阳性致敏性反应的能力。如果确定定期阳性对照不再有效，在最后一次验证的阳性对照运行后进行的所有试验均不能作为ASCA试点的一部分提交。</w:t>
      </w:r>
    </w:p>
    <w:p w14:paraId="10752AF8">
      <w:pPr>
        <w:tabs>
          <w:tab w:val="left" w:pos="720"/>
        </w:tabs>
        <w:autoSpaceDE/>
        <w:autoSpaceDN/>
        <w:snapToGrid w:val="0"/>
        <w:jc w:val="both"/>
        <w:rPr>
          <w:rFonts w:eastAsia="宋体"/>
          <w:color w:val="000000"/>
          <w:sz w:val="24"/>
          <w:szCs w:val="24"/>
        </w:rPr>
      </w:pPr>
    </w:p>
    <w:p w14:paraId="1D747672">
      <w:pPr>
        <w:tabs>
          <w:tab w:val="left" w:pos="720"/>
        </w:tabs>
        <w:autoSpaceDE/>
        <w:autoSpaceDN/>
        <w:snapToGrid w:val="0"/>
        <w:jc w:val="both"/>
        <w:rPr>
          <w:rFonts w:eastAsia="宋体"/>
          <w:color w:val="000000"/>
          <w:sz w:val="21"/>
          <w:szCs w:val="21"/>
        </w:rPr>
        <w:sectPr>
          <w:pgSz w:w="11906" w:h="16838"/>
          <w:pgMar w:top="1134" w:right="1134" w:bottom="1134" w:left="1418" w:header="567" w:footer="567" w:gutter="0"/>
          <w:cols w:space="60" w:num="1"/>
          <w:docGrid w:linePitch="272" w:charSpace="0"/>
        </w:sectPr>
      </w:pPr>
    </w:p>
    <w:p w14:paraId="444569BF">
      <w:pPr>
        <w:autoSpaceDE/>
        <w:autoSpaceDN/>
        <w:snapToGrid w:val="0"/>
        <w:ind w:left="360" w:hanging="360" w:hangingChars="150"/>
        <w:jc w:val="both"/>
        <w:rPr>
          <w:rFonts w:eastAsia="宋体"/>
          <w:sz w:val="24"/>
          <w:szCs w:val="24"/>
        </w:rPr>
      </w:pPr>
      <w:r>
        <w:rPr>
          <w:rFonts w:eastAsia="宋体"/>
          <w:color w:val="000000"/>
          <w:sz w:val="24"/>
          <w:szCs w:val="24"/>
        </w:rPr>
        <w:t>6.6</w:t>
      </w:r>
      <w:r>
        <w:rPr>
          <w:rFonts w:eastAsia="宋体"/>
          <w:color w:val="000000"/>
          <w:sz w:val="24"/>
          <w:szCs w:val="24"/>
        </w:rPr>
        <w:tab/>
      </w:r>
      <w:r>
        <w:rPr>
          <w:rFonts w:eastAsia="宋体"/>
          <w:color w:val="000000"/>
          <w:sz w:val="24"/>
          <w:szCs w:val="24"/>
        </w:rPr>
        <w:t>外部提供的产品和服务</w:t>
      </w:r>
    </w:p>
    <w:p w14:paraId="70A995EE">
      <w:pPr>
        <w:autoSpaceDE/>
        <w:autoSpaceDN/>
        <w:snapToGrid w:val="0"/>
        <w:ind w:left="660" w:leftChars="150" w:hanging="360" w:hangingChars="150"/>
        <w:jc w:val="both"/>
        <w:rPr>
          <w:rFonts w:eastAsia="宋体"/>
          <w:color w:val="000000"/>
          <w:sz w:val="24"/>
          <w:szCs w:val="24"/>
        </w:rPr>
      </w:pPr>
    </w:p>
    <w:p w14:paraId="5285289B">
      <w:pPr>
        <w:pStyle w:val="28"/>
        <w:numPr>
          <w:ilvl w:val="0"/>
          <w:numId w:val="7"/>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检测实验室同意确保在ASCA认证范围内进行试验的任何分包商都是</w:t>
      </w:r>
      <w:r>
        <w:rPr>
          <w:rFonts w:eastAsia="宋体"/>
          <w:i/>
          <w:iCs/>
          <w:color w:val="000000"/>
          <w:sz w:val="24"/>
          <w:szCs w:val="24"/>
        </w:rPr>
        <w:t>ASCA认证</w:t>
      </w:r>
      <w:r>
        <w:rPr>
          <w:rFonts w:eastAsia="宋体"/>
          <w:color w:val="000000"/>
          <w:sz w:val="24"/>
          <w:szCs w:val="24"/>
        </w:rPr>
        <w:t>的用于选定的试验的检测实验室。</w:t>
      </w:r>
    </w:p>
    <w:p w14:paraId="31BD3E8B">
      <w:pPr>
        <w:autoSpaceDE/>
        <w:autoSpaceDN/>
        <w:snapToGrid w:val="0"/>
        <w:jc w:val="both"/>
        <w:rPr>
          <w:rFonts w:eastAsia="宋体"/>
          <w:b/>
          <w:bCs/>
          <w:color w:val="000000"/>
          <w:sz w:val="24"/>
          <w:szCs w:val="24"/>
        </w:rPr>
      </w:pPr>
    </w:p>
    <w:p w14:paraId="1D220E1D">
      <w:pPr>
        <w:autoSpaceDE/>
        <w:autoSpaceDN/>
        <w:snapToGrid w:val="0"/>
        <w:jc w:val="both"/>
        <w:rPr>
          <w:rFonts w:eastAsia="宋体"/>
          <w:b/>
          <w:bCs/>
          <w:color w:val="000000"/>
          <w:sz w:val="24"/>
          <w:szCs w:val="24"/>
        </w:rPr>
      </w:pPr>
      <w:r>
        <w:rPr>
          <w:rFonts w:eastAsia="宋体"/>
          <w:b/>
          <w:bCs/>
          <w:color w:val="000000"/>
          <w:sz w:val="24"/>
          <w:szCs w:val="24"/>
        </w:rPr>
        <w:t>ISO/IEC 17025第7节（</w:t>
      </w:r>
      <w:r>
        <w:rPr>
          <w:rFonts w:ascii="宋体" w:hAnsi="宋体" w:eastAsia="宋体"/>
          <w:b/>
          <w:bCs/>
          <w:color w:val="000000"/>
          <w:sz w:val="24"/>
          <w:szCs w:val="24"/>
        </w:rPr>
        <w:t>“</w:t>
      </w:r>
      <w:r>
        <w:rPr>
          <w:rFonts w:eastAsia="宋体"/>
          <w:b/>
          <w:bCs/>
          <w:color w:val="000000"/>
          <w:sz w:val="24"/>
          <w:szCs w:val="24"/>
        </w:rPr>
        <w:t>过程要求</w:t>
      </w:r>
      <w:r>
        <w:rPr>
          <w:rFonts w:ascii="宋体" w:hAnsi="宋体" w:eastAsia="宋体"/>
          <w:b/>
          <w:bCs/>
          <w:color w:val="000000"/>
          <w:sz w:val="24"/>
          <w:szCs w:val="24"/>
        </w:rPr>
        <w:t>”</w:t>
      </w:r>
      <w:r>
        <w:rPr>
          <w:rFonts w:eastAsia="宋体"/>
          <w:b/>
          <w:bCs/>
          <w:color w:val="000000"/>
          <w:sz w:val="24"/>
          <w:szCs w:val="24"/>
        </w:rPr>
        <w:t>）</w:t>
      </w:r>
    </w:p>
    <w:p w14:paraId="383E86A9">
      <w:pPr>
        <w:autoSpaceDE/>
        <w:autoSpaceDN/>
        <w:snapToGrid w:val="0"/>
        <w:jc w:val="both"/>
        <w:rPr>
          <w:rFonts w:eastAsia="宋体"/>
          <w:sz w:val="24"/>
          <w:szCs w:val="24"/>
        </w:rPr>
      </w:pPr>
    </w:p>
    <w:p w14:paraId="0976FCB2">
      <w:pPr>
        <w:autoSpaceDE/>
        <w:autoSpaceDN/>
        <w:snapToGrid w:val="0"/>
        <w:ind w:left="360" w:hanging="360" w:hangingChars="150"/>
        <w:jc w:val="both"/>
        <w:rPr>
          <w:rFonts w:eastAsia="宋体"/>
          <w:color w:val="000000"/>
          <w:sz w:val="24"/>
          <w:szCs w:val="24"/>
        </w:rPr>
      </w:pPr>
      <w:r>
        <w:rPr>
          <w:rFonts w:eastAsia="宋体"/>
          <w:color w:val="000000"/>
          <w:sz w:val="24"/>
          <w:szCs w:val="24"/>
        </w:rPr>
        <w:t>7.1</w:t>
      </w:r>
      <w:r>
        <w:rPr>
          <w:rFonts w:eastAsia="宋体"/>
          <w:color w:val="000000"/>
          <w:sz w:val="24"/>
          <w:szCs w:val="24"/>
        </w:rPr>
        <w:tab/>
      </w:r>
      <w:r>
        <w:rPr>
          <w:rFonts w:eastAsia="宋体"/>
          <w:color w:val="000000"/>
          <w:sz w:val="24"/>
          <w:szCs w:val="24"/>
        </w:rPr>
        <w:t>审评请求、投标和合同</w:t>
      </w:r>
    </w:p>
    <w:p w14:paraId="78E5E77F">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14:paraId="5D7A240A">
      <w:pPr>
        <w:tabs>
          <w:tab w:val="left" w:pos="360"/>
        </w:tabs>
        <w:autoSpaceDE/>
        <w:autoSpaceDN/>
        <w:snapToGrid w:val="0"/>
        <w:jc w:val="both"/>
        <w:rPr>
          <w:rFonts w:eastAsia="宋体"/>
          <w:color w:val="000000"/>
          <w:sz w:val="24"/>
          <w:szCs w:val="24"/>
        </w:rPr>
      </w:pPr>
    </w:p>
    <w:p w14:paraId="7A5FF1E5">
      <w:pPr>
        <w:autoSpaceDE/>
        <w:autoSpaceDN/>
        <w:snapToGrid w:val="0"/>
        <w:ind w:left="360" w:hanging="360" w:hangingChars="150"/>
        <w:jc w:val="both"/>
        <w:rPr>
          <w:rFonts w:eastAsia="宋体"/>
          <w:color w:val="000000"/>
          <w:sz w:val="24"/>
          <w:szCs w:val="24"/>
        </w:rPr>
      </w:pPr>
      <w:r>
        <w:rPr>
          <w:rFonts w:eastAsia="宋体"/>
          <w:color w:val="000000"/>
          <w:sz w:val="24"/>
          <w:szCs w:val="24"/>
        </w:rPr>
        <w:t>7.2</w:t>
      </w:r>
      <w:r>
        <w:rPr>
          <w:rFonts w:eastAsia="宋体"/>
          <w:color w:val="000000"/>
          <w:sz w:val="24"/>
          <w:szCs w:val="24"/>
        </w:rPr>
        <w:tab/>
      </w:r>
      <w:r>
        <w:rPr>
          <w:rFonts w:eastAsia="宋体"/>
          <w:color w:val="000000"/>
          <w:sz w:val="24"/>
          <w:szCs w:val="24"/>
        </w:rPr>
        <w:t>方法的选择、验证和确认</w:t>
      </w:r>
    </w:p>
    <w:p w14:paraId="0C1CAB45">
      <w:pPr>
        <w:autoSpaceDE/>
        <w:autoSpaceDN/>
        <w:snapToGrid w:val="0"/>
        <w:ind w:left="660" w:leftChars="150" w:hanging="360" w:hangingChars="150"/>
        <w:jc w:val="both"/>
        <w:rPr>
          <w:rFonts w:eastAsia="宋体"/>
          <w:color w:val="000000"/>
          <w:sz w:val="24"/>
          <w:szCs w:val="24"/>
        </w:rPr>
      </w:pPr>
    </w:p>
    <w:p w14:paraId="6731D897">
      <w:pPr>
        <w:pStyle w:val="28"/>
        <w:numPr>
          <w:ilvl w:val="0"/>
          <w:numId w:val="8"/>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检测实验室同意其管理体系将包括管理试验程序（包括相关文件，如试验数据表和检查表）的开发、维护和使用的程序。这些管理系统程序包括以下步骤：</w:t>
      </w:r>
    </w:p>
    <w:p w14:paraId="592303E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确定负责开发、审评和维护这些文件的人员</w:t>
      </w:r>
    </w:p>
    <w:p w14:paraId="2FD818CD">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规定技术人员和管理层的审评频率</w:t>
      </w:r>
    </w:p>
    <w:p w14:paraId="6F68A7AB">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确保与适用标准一致</w:t>
      </w:r>
    </w:p>
    <w:p w14:paraId="367A27AA">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确保试验修改由能够胜任适用标准的人员审评</w:t>
      </w:r>
    </w:p>
    <w:p w14:paraId="27E46311">
      <w:pPr>
        <w:pStyle w:val="28"/>
        <w:numPr>
          <w:ilvl w:val="0"/>
          <w:numId w:val="3"/>
        </w:numPr>
        <w:autoSpaceDE/>
        <w:autoSpaceDN/>
        <w:snapToGrid w:val="0"/>
        <w:ind w:left="1158" w:leftChars="392" w:hanging="374" w:hangingChars="156"/>
        <w:jc w:val="both"/>
        <w:rPr>
          <w:rFonts w:eastAsia="宋体"/>
          <w:sz w:val="24"/>
          <w:szCs w:val="24"/>
        </w:rPr>
      </w:pPr>
      <w:r>
        <w:rPr>
          <w:rFonts w:eastAsia="宋体"/>
          <w:color w:val="000000"/>
          <w:sz w:val="24"/>
          <w:szCs w:val="24"/>
        </w:rPr>
        <w:t>确定并记录对试验程序的修改类型，如果包括在检测实验室的申请中，这些修改不需要在实施前由FDA审评确认。检测实验室还同意，对有关以下内容的任何程序的改变（应根据研究申办方的请求或由检测实验室发起）以及任何意料之外的改变将在实施前得到FDA及其认证机构确认：</w:t>
      </w:r>
    </w:p>
    <w:p w14:paraId="0CAACE6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为达到</w:t>
      </w:r>
      <w:r>
        <w:rPr>
          <w:rFonts w:ascii="宋体" w:hAnsi="宋体" w:eastAsia="宋体"/>
          <w:color w:val="000000"/>
          <w:sz w:val="24"/>
          <w:szCs w:val="24"/>
        </w:rPr>
        <w:t>“</w:t>
      </w:r>
      <w:r>
        <w:rPr>
          <w:rFonts w:eastAsia="宋体"/>
          <w:color w:val="000000"/>
          <w:sz w:val="24"/>
          <w:szCs w:val="24"/>
        </w:rPr>
        <w:t>合格</w:t>
      </w:r>
      <w:r>
        <w:rPr>
          <w:rFonts w:ascii="宋体" w:hAnsi="宋体" w:eastAsia="宋体"/>
          <w:color w:val="000000"/>
          <w:sz w:val="24"/>
          <w:szCs w:val="24"/>
        </w:rPr>
        <w:t>”</w:t>
      </w:r>
      <w:r>
        <w:rPr>
          <w:rFonts w:eastAsia="宋体"/>
          <w:color w:val="000000"/>
          <w:sz w:val="24"/>
          <w:szCs w:val="24"/>
        </w:rPr>
        <w:t>的结果而对再试验的样品进行修改</w:t>
      </w:r>
    </w:p>
    <w:p w14:paraId="7FF7B7AE">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pH值调节</w:t>
      </w:r>
    </w:p>
    <w:p w14:paraId="3574D804">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样品过滤或其他浸提操作</w:t>
      </w:r>
    </w:p>
    <w:p w14:paraId="79146C85">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删除或修改与试验浸提液中的颜色、浊度或颗粒有关的文件，或试验样品的肿胀/降解</w:t>
      </w:r>
    </w:p>
    <w:p w14:paraId="45D86CE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非并发对照试验的频率</w:t>
      </w:r>
    </w:p>
    <w:p w14:paraId="7656442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验收标准在经过验证/合格的实验室特定限度之外的变化（例如，对于标准方法没有规定可接受限度的补体激活）。</w:t>
      </w:r>
    </w:p>
    <w:p w14:paraId="2F8370DF">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如适用，对数据计算和表述的改变（例如，溶血指数、刺激指数、补体激活图）</w:t>
      </w:r>
    </w:p>
    <w:p w14:paraId="29FBE302">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再激发或再试验的标准的变化</w:t>
      </w:r>
    </w:p>
    <w:p w14:paraId="1E81A206">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应报告的不良临床观察或动物死亡标准的变化</w:t>
      </w:r>
    </w:p>
    <w:p w14:paraId="157D0DEF">
      <w:pPr>
        <w:autoSpaceDE/>
        <w:autoSpaceDN/>
        <w:snapToGrid w:val="0"/>
        <w:ind w:left="929" w:leftChars="307" w:hanging="315"/>
        <w:jc w:val="both"/>
        <w:rPr>
          <w:rFonts w:eastAsia="宋体"/>
          <w:color w:val="000000"/>
          <w:sz w:val="24"/>
          <w:szCs w:val="24"/>
        </w:rPr>
      </w:pPr>
    </w:p>
    <w:p w14:paraId="5F37F798">
      <w:pPr>
        <w:pStyle w:val="28"/>
        <w:numPr>
          <w:ilvl w:val="0"/>
          <w:numId w:val="8"/>
        </w:numPr>
        <w:autoSpaceDE/>
        <w:autoSpaceDN/>
        <w:snapToGrid w:val="0"/>
        <w:ind w:left="760" w:leftChars="200" w:hanging="360" w:hangingChars="150"/>
        <w:jc w:val="both"/>
        <w:rPr>
          <w:rFonts w:eastAsia="宋体"/>
          <w:sz w:val="24"/>
          <w:szCs w:val="24"/>
        </w:rPr>
      </w:pPr>
      <w:r>
        <w:rPr>
          <w:rFonts w:eastAsia="宋体"/>
          <w:color w:val="000000"/>
          <w:sz w:val="24"/>
          <w:szCs w:val="24"/>
        </w:rPr>
        <w:t>检测实验室同意，试验程序将包括或酌情规定以下内容：</w:t>
      </w:r>
    </w:p>
    <w:p w14:paraId="4B219335">
      <w:pPr>
        <w:tabs>
          <w:tab w:val="left" w:pos="720"/>
        </w:tabs>
        <w:autoSpaceDE/>
        <w:autoSpaceDN/>
        <w:snapToGrid w:val="0"/>
        <w:jc w:val="both"/>
        <w:rPr>
          <w:rFonts w:eastAsia="宋体"/>
          <w:sz w:val="24"/>
          <w:szCs w:val="24"/>
        </w:rPr>
      </w:pPr>
    </w:p>
    <w:p w14:paraId="0B19DD22">
      <w:pPr>
        <w:tabs>
          <w:tab w:val="left" w:pos="72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75D4F06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独特的标识，包括标题、文件编号、修订和生效日期；</w:t>
      </w:r>
    </w:p>
    <w:p w14:paraId="6540A40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要使用的特定试验设备及其所需的等级；</w:t>
      </w:r>
    </w:p>
    <w:p w14:paraId="2E0C05C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警告/注意事项声明，提醒操作者注意潜在的危险；</w:t>
      </w:r>
    </w:p>
    <w:p w14:paraId="749CF5E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试验的正常和任何不寻常的环境条件（包括公差）；</w:t>
      </w:r>
    </w:p>
    <w:p w14:paraId="7791D47D">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要获得和记录的试验数据；</w:t>
      </w:r>
    </w:p>
    <w:p w14:paraId="7B57C8AB">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结果的客观验收标准，包括需要保持的基本性能；</w:t>
      </w:r>
    </w:p>
    <w:p w14:paraId="05F8143D">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为确保结果一致所需的试验技术（即试验方法）；</w:t>
      </w:r>
    </w:p>
    <w:p w14:paraId="2207A5CA">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关于试验行为的说明，包括设备操作、试剂制备、细胞系和动物处理、技术、试验样品的制备（如果适用，包括试验期间样品的可追溯性说明）、试验的每个步骤的实施、数据记录以及评分评估程序；</w:t>
      </w:r>
    </w:p>
    <w:p w14:paraId="449B3B4A">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偏离SOP的情况，以及任何设备的偏离，关于偏离不会影响研究结果有效性的讨论。</w:t>
      </w:r>
    </w:p>
    <w:p w14:paraId="0B845795">
      <w:pPr>
        <w:autoSpaceDE/>
        <w:autoSpaceDN/>
        <w:snapToGrid w:val="0"/>
        <w:jc w:val="both"/>
        <w:rPr>
          <w:rFonts w:eastAsia="宋体"/>
          <w:sz w:val="24"/>
          <w:szCs w:val="24"/>
        </w:rPr>
      </w:pPr>
    </w:p>
    <w:p w14:paraId="1DA19394">
      <w:pPr>
        <w:pStyle w:val="28"/>
        <w:numPr>
          <w:ilvl w:val="0"/>
          <w:numId w:val="8"/>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在试验程序中反映器械预期用途的相关背景信息，以确保根据组织类型和与器械的接触时间考虑FDA建议的生物学评价评估类型。此外，来自制造商基本性能规范的相关信息，包括任何计量学上的稳定性，也反映在每个试验程序中，以确保试验程序（如浸提温度和时间）与器械兼容。</w:t>
      </w:r>
    </w:p>
    <w:p w14:paraId="4C8245F6">
      <w:pPr>
        <w:autoSpaceDE/>
        <w:autoSpaceDN/>
        <w:snapToGrid w:val="0"/>
        <w:ind w:left="660" w:leftChars="150" w:hanging="360" w:hangingChars="150"/>
        <w:jc w:val="both"/>
        <w:rPr>
          <w:rFonts w:eastAsia="宋体"/>
          <w:color w:val="000000"/>
          <w:sz w:val="24"/>
          <w:szCs w:val="24"/>
        </w:rPr>
      </w:pPr>
    </w:p>
    <w:p w14:paraId="0B59F6BA">
      <w:pPr>
        <w:pStyle w:val="28"/>
        <w:numPr>
          <w:ilvl w:val="0"/>
          <w:numId w:val="8"/>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检测实验室同意确保每个试验程序都能充分满足被测器械的所有适用标准规范。</w:t>
      </w:r>
    </w:p>
    <w:p w14:paraId="3A96B522">
      <w:pPr>
        <w:autoSpaceDE/>
        <w:autoSpaceDN/>
        <w:snapToGrid w:val="0"/>
        <w:jc w:val="both"/>
        <w:rPr>
          <w:rFonts w:eastAsia="宋体"/>
          <w:color w:val="000000"/>
          <w:sz w:val="24"/>
          <w:szCs w:val="24"/>
        </w:rPr>
      </w:pPr>
    </w:p>
    <w:p w14:paraId="359684FF">
      <w:pPr>
        <w:autoSpaceDE/>
        <w:autoSpaceDN/>
        <w:snapToGrid w:val="0"/>
        <w:ind w:left="360" w:hanging="360" w:hangingChars="150"/>
        <w:jc w:val="both"/>
        <w:rPr>
          <w:rFonts w:eastAsia="宋体"/>
          <w:sz w:val="24"/>
          <w:szCs w:val="24"/>
        </w:rPr>
      </w:pPr>
      <w:r>
        <w:rPr>
          <w:rFonts w:eastAsia="宋体"/>
          <w:color w:val="000000"/>
          <w:sz w:val="24"/>
          <w:szCs w:val="24"/>
        </w:rPr>
        <w:t>7.3</w:t>
      </w:r>
      <w:r>
        <w:rPr>
          <w:rFonts w:eastAsia="宋体"/>
          <w:color w:val="000000"/>
          <w:sz w:val="24"/>
          <w:szCs w:val="24"/>
        </w:rPr>
        <w:tab/>
      </w:r>
      <w:r>
        <w:rPr>
          <w:rFonts w:eastAsia="宋体"/>
          <w:color w:val="000000"/>
          <w:sz w:val="24"/>
          <w:szCs w:val="24"/>
        </w:rPr>
        <w:t>采样</w:t>
      </w:r>
    </w:p>
    <w:p w14:paraId="293F09DE">
      <w:pPr>
        <w:autoSpaceDE/>
        <w:autoSpaceDN/>
        <w:snapToGrid w:val="0"/>
        <w:jc w:val="both"/>
        <w:rPr>
          <w:rFonts w:eastAsia="宋体"/>
          <w:color w:val="000000"/>
          <w:sz w:val="24"/>
          <w:szCs w:val="24"/>
        </w:rPr>
      </w:pPr>
    </w:p>
    <w:p w14:paraId="262BE745">
      <w:pPr>
        <w:pStyle w:val="28"/>
        <w:numPr>
          <w:ilvl w:val="0"/>
          <w:numId w:val="9"/>
        </w:numPr>
        <w:autoSpaceDE/>
        <w:autoSpaceDN/>
        <w:snapToGrid w:val="0"/>
        <w:ind w:left="760" w:leftChars="200" w:hanging="360" w:hangingChars="150"/>
        <w:jc w:val="both"/>
        <w:rPr>
          <w:rFonts w:eastAsia="宋体"/>
          <w:sz w:val="24"/>
          <w:szCs w:val="24"/>
        </w:rPr>
      </w:pPr>
      <w:r>
        <w:rPr>
          <w:rFonts w:eastAsia="宋体"/>
          <w:color w:val="000000"/>
          <w:sz w:val="24"/>
          <w:szCs w:val="24"/>
        </w:rPr>
        <w:t>检测实验室同意样品制备的程序将符合ISO 10993-12和FDA指南的规范</w:t>
      </w:r>
      <w:r>
        <w:rPr>
          <w:rFonts w:eastAsia="宋体"/>
          <w:color w:val="0000FF"/>
          <w:sz w:val="24"/>
          <w:szCs w:val="24"/>
          <w:u w:val="single"/>
        </w:rPr>
        <w:t>使用国际标准ISO 10993-1，《医疗器械生物学评价 - 第1部分：风险管理过程中的评价和试验</w:t>
      </w:r>
      <w:r>
        <w:rPr>
          <w:rFonts w:eastAsia="宋体"/>
          <w:color w:val="000000"/>
          <w:sz w:val="24"/>
          <w:szCs w:val="24"/>
        </w:rPr>
        <w:t>》，并包括以下内容：</w:t>
      </w:r>
    </w:p>
    <w:p w14:paraId="2127E0C6">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使用表面积/浸提体积比（除非质量/浸提体积比导致试验样品的数量相等或更高）</w:t>
      </w:r>
    </w:p>
    <w:p w14:paraId="41124DA3">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不对浸提液或试验溶液进行稀释，除非需要进行剂量依赖性的细胞毒性研究</w:t>
      </w:r>
    </w:p>
    <w:p w14:paraId="424981E2">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无过滤/离心作用</w:t>
      </w:r>
    </w:p>
    <w:p w14:paraId="76D8AE20">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不调节pH值/溶氧量</w:t>
      </w:r>
    </w:p>
    <w:p w14:paraId="1A5E1B3F">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记录浸提液中的任何颜色变化、浊度或颗粒</w:t>
      </w:r>
    </w:p>
    <w:p w14:paraId="2BBC8930">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如果试验系统不能容纳所有直接和间接接触组织的器械组件，如何选择有代表性的部分进行试验，包括记录排除的内容</w:t>
      </w:r>
    </w:p>
    <w:p w14:paraId="32CFCFDB">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对于吸收性器械（例如，海绵状器械），如何确定浸提介质的体积并加以记录</w:t>
      </w:r>
    </w:p>
    <w:p w14:paraId="4480CB04">
      <w:pPr>
        <w:tabs>
          <w:tab w:val="left" w:pos="1440"/>
        </w:tabs>
        <w:autoSpaceDE/>
        <w:autoSpaceDN/>
        <w:snapToGrid w:val="0"/>
        <w:jc w:val="both"/>
        <w:rPr>
          <w:rFonts w:eastAsia="宋体"/>
          <w:color w:val="000000"/>
          <w:sz w:val="24"/>
          <w:szCs w:val="24"/>
        </w:rPr>
      </w:pPr>
    </w:p>
    <w:p w14:paraId="6D82EB57">
      <w:pPr>
        <w:tabs>
          <w:tab w:val="left" w:pos="1440"/>
        </w:tabs>
        <w:autoSpaceDE/>
        <w:autoSpaceDN/>
        <w:snapToGrid w:val="0"/>
        <w:jc w:val="both"/>
        <w:rPr>
          <w:rFonts w:eastAsia="宋体"/>
          <w:color w:val="000000"/>
          <w:sz w:val="21"/>
          <w:szCs w:val="21"/>
        </w:rPr>
        <w:sectPr>
          <w:pgSz w:w="11906" w:h="16838"/>
          <w:pgMar w:top="1134" w:right="1134" w:bottom="1134" w:left="1418" w:header="567" w:footer="567" w:gutter="0"/>
          <w:cols w:space="60" w:num="1"/>
          <w:docGrid w:linePitch="272" w:charSpace="0"/>
        </w:sectPr>
      </w:pPr>
    </w:p>
    <w:p w14:paraId="0F74E34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对于具有不同厚度的多个组件的器械，将如何选择样品浸提比率</w:t>
      </w:r>
    </w:p>
    <w:p w14:paraId="6A7990F9">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如何将具有不同类型和持续时间的组件分开，以便进行样品制备和试验</w:t>
      </w:r>
    </w:p>
    <w:p w14:paraId="0A0825BF">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将允许汇集组件样品（具有相同或不同的组织接触类型或持续时间）的情况</w:t>
      </w:r>
    </w:p>
    <w:p w14:paraId="21E70707">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只包括与组织接触的组件（除非程序说明在确定浸提比率时如何处理与组织不接触的组件）</w:t>
      </w:r>
    </w:p>
    <w:p w14:paraId="6FCC776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将大型器械完全浸没在浸提介质中</w:t>
      </w:r>
    </w:p>
    <w:p w14:paraId="19F53A86">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对含有液体路径组件的器械将如何进行浸提</w:t>
      </w:r>
    </w:p>
    <w:p w14:paraId="3DBC8E7D">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以下类型的器械不在ASCA试点范围内：可吸收和原位聚合器械，液体器械，乳霜，凝胶，水凝胶器械，以及含有纳米材料的器械。</w:t>
      </w:r>
    </w:p>
    <w:p w14:paraId="6F7021B6">
      <w:pPr>
        <w:autoSpaceDE/>
        <w:autoSpaceDN/>
        <w:snapToGrid w:val="0"/>
        <w:jc w:val="both"/>
        <w:rPr>
          <w:rFonts w:eastAsia="宋体"/>
          <w:sz w:val="24"/>
          <w:szCs w:val="24"/>
        </w:rPr>
      </w:pPr>
    </w:p>
    <w:p w14:paraId="4B25879B">
      <w:pPr>
        <w:autoSpaceDE/>
        <w:autoSpaceDN/>
        <w:snapToGrid w:val="0"/>
        <w:ind w:left="360" w:hanging="360" w:hangingChars="150"/>
        <w:jc w:val="both"/>
        <w:rPr>
          <w:rFonts w:eastAsia="宋体"/>
          <w:color w:val="000000"/>
          <w:sz w:val="24"/>
          <w:szCs w:val="24"/>
        </w:rPr>
      </w:pPr>
      <w:r>
        <w:rPr>
          <w:rFonts w:eastAsia="宋体"/>
          <w:color w:val="000000"/>
          <w:sz w:val="24"/>
          <w:szCs w:val="24"/>
        </w:rPr>
        <w:t>7.4</w:t>
      </w:r>
      <w:r>
        <w:rPr>
          <w:rFonts w:eastAsia="宋体"/>
          <w:color w:val="000000"/>
          <w:sz w:val="24"/>
          <w:szCs w:val="24"/>
        </w:rPr>
        <w:tab/>
      </w:r>
      <w:r>
        <w:rPr>
          <w:rFonts w:eastAsia="宋体"/>
          <w:color w:val="000000"/>
          <w:sz w:val="24"/>
          <w:szCs w:val="24"/>
        </w:rPr>
        <w:t>试验或校准计划的处理</w:t>
      </w:r>
    </w:p>
    <w:p w14:paraId="7269A0A3">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14:paraId="40C33BE4">
      <w:pPr>
        <w:tabs>
          <w:tab w:val="left" w:pos="360"/>
        </w:tabs>
        <w:autoSpaceDE/>
        <w:autoSpaceDN/>
        <w:snapToGrid w:val="0"/>
        <w:jc w:val="both"/>
        <w:rPr>
          <w:rFonts w:eastAsia="宋体"/>
          <w:color w:val="000000"/>
          <w:sz w:val="24"/>
          <w:szCs w:val="24"/>
        </w:rPr>
      </w:pPr>
    </w:p>
    <w:p w14:paraId="1B61A9EE">
      <w:pPr>
        <w:autoSpaceDE/>
        <w:autoSpaceDN/>
        <w:snapToGrid w:val="0"/>
        <w:ind w:left="360" w:hanging="360" w:hangingChars="150"/>
        <w:jc w:val="both"/>
        <w:rPr>
          <w:rFonts w:eastAsia="宋体"/>
          <w:color w:val="000000"/>
          <w:sz w:val="24"/>
          <w:szCs w:val="24"/>
        </w:rPr>
      </w:pPr>
      <w:r>
        <w:rPr>
          <w:rFonts w:eastAsia="宋体"/>
          <w:color w:val="000000"/>
          <w:sz w:val="24"/>
          <w:szCs w:val="24"/>
        </w:rPr>
        <w:t>7.5</w:t>
      </w:r>
      <w:r>
        <w:rPr>
          <w:rFonts w:eastAsia="宋体"/>
          <w:color w:val="000000"/>
          <w:sz w:val="24"/>
          <w:szCs w:val="24"/>
        </w:rPr>
        <w:tab/>
      </w:r>
      <w:r>
        <w:rPr>
          <w:rFonts w:eastAsia="宋体"/>
          <w:color w:val="000000"/>
          <w:sz w:val="24"/>
          <w:szCs w:val="24"/>
        </w:rPr>
        <w:t>技术记录</w:t>
      </w:r>
    </w:p>
    <w:p w14:paraId="14371B6C">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14:paraId="14E959F9">
      <w:pPr>
        <w:tabs>
          <w:tab w:val="left" w:pos="360"/>
        </w:tabs>
        <w:autoSpaceDE/>
        <w:autoSpaceDN/>
        <w:snapToGrid w:val="0"/>
        <w:jc w:val="both"/>
        <w:rPr>
          <w:rFonts w:eastAsia="宋体"/>
          <w:color w:val="000000"/>
          <w:sz w:val="24"/>
          <w:szCs w:val="24"/>
        </w:rPr>
      </w:pPr>
    </w:p>
    <w:p w14:paraId="744374FD">
      <w:pPr>
        <w:autoSpaceDE/>
        <w:autoSpaceDN/>
        <w:snapToGrid w:val="0"/>
        <w:ind w:left="360" w:hanging="360" w:hangingChars="150"/>
        <w:jc w:val="both"/>
        <w:rPr>
          <w:rFonts w:eastAsia="宋体"/>
          <w:color w:val="000000"/>
          <w:sz w:val="24"/>
          <w:szCs w:val="24"/>
        </w:rPr>
      </w:pPr>
      <w:r>
        <w:rPr>
          <w:rFonts w:eastAsia="宋体"/>
          <w:color w:val="000000"/>
          <w:sz w:val="24"/>
          <w:szCs w:val="24"/>
        </w:rPr>
        <w:t>7.6</w:t>
      </w:r>
      <w:r>
        <w:rPr>
          <w:rFonts w:eastAsia="宋体"/>
          <w:color w:val="000000"/>
          <w:sz w:val="24"/>
          <w:szCs w:val="24"/>
        </w:rPr>
        <w:tab/>
      </w:r>
      <w:r>
        <w:rPr>
          <w:rFonts w:eastAsia="宋体"/>
          <w:color w:val="000000"/>
          <w:sz w:val="24"/>
          <w:szCs w:val="24"/>
        </w:rPr>
        <w:t>测量不确定度的评估</w:t>
      </w:r>
    </w:p>
    <w:p w14:paraId="5C38ECAB">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17025中规定的规范外，无其他规范。</w:t>
      </w:r>
    </w:p>
    <w:p w14:paraId="78EF3BB9">
      <w:pPr>
        <w:tabs>
          <w:tab w:val="left" w:pos="360"/>
        </w:tabs>
        <w:autoSpaceDE/>
        <w:autoSpaceDN/>
        <w:snapToGrid w:val="0"/>
        <w:jc w:val="both"/>
        <w:rPr>
          <w:rFonts w:eastAsia="宋体"/>
          <w:color w:val="000000"/>
          <w:sz w:val="24"/>
          <w:szCs w:val="24"/>
        </w:rPr>
      </w:pPr>
    </w:p>
    <w:p w14:paraId="791F061D">
      <w:pPr>
        <w:autoSpaceDE/>
        <w:autoSpaceDN/>
        <w:snapToGrid w:val="0"/>
        <w:ind w:left="360" w:hanging="360" w:hangingChars="150"/>
        <w:jc w:val="both"/>
        <w:rPr>
          <w:rFonts w:eastAsia="宋体"/>
          <w:color w:val="000000"/>
          <w:sz w:val="24"/>
          <w:szCs w:val="24"/>
        </w:rPr>
      </w:pPr>
      <w:r>
        <w:rPr>
          <w:rFonts w:eastAsia="宋体"/>
          <w:color w:val="000000"/>
          <w:sz w:val="24"/>
          <w:szCs w:val="24"/>
        </w:rPr>
        <w:t>7.7</w:t>
      </w:r>
      <w:r>
        <w:rPr>
          <w:rFonts w:eastAsia="宋体"/>
          <w:color w:val="000000"/>
          <w:sz w:val="24"/>
          <w:szCs w:val="24"/>
        </w:rPr>
        <w:tab/>
      </w:r>
      <w:r>
        <w:rPr>
          <w:rFonts w:eastAsia="宋体"/>
          <w:color w:val="000000"/>
          <w:sz w:val="24"/>
          <w:szCs w:val="24"/>
        </w:rPr>
        <w:t>确保结果的有效性</w:t>
      </w:r>
    </w:p>
    <w:p w14:paraId="2E19B761">
      <w:pPr>
        <w:autoSpaceDE/>
        <w:autoSpaceDN/>
        <w:snapToGrid w:val="0"/>
        <w:ind w:left="360" w:hanging="360" w:hangingChars="150"/>
        <w:jc w:val="both"/>
        <w:rPr>
          <w:rFonts w:eastAsia="宋体"/>
          <w:color w:val="000000"/>
          <w:sz w:val="24"/>
          <w:szCs w:val="24"/>
        </w:rPr>
      </w:pPr>
    </w:p>
    <w:p w14:paraId="255A2B42">
      <w:pPr>
        <w:autoSpaceDE/>
        <w:autoSpaceDN/>
        <w:snapToGrid w:val="0"/>
        <w:ind w:firstLine="480" w:firstLineChars="200"/>
        <w:jc w:val="both"/>
        <w:rPr>
          <w:rFonts w:eastAsia="宋体"/>
          <w:sz w:val="24"/>
          <w:szCs w:val="24"/>
        </w:rPr>
      </w:pPr>
      <w:r>
        <w:rPr>
          <w:rFonts w:eastAsia="宋体"/>
          <w:color w:val="000000"/>
          <w:sz w:val="24"/>
          <w:szCs w:val="24"/>
        </w:rPr>
        <w:t>为了确认试验方法的有效性，任何试验指定的阳性、阴性和/或参考对照品都可以区分出阳性和阴性反应。检测实验室同意对阳性/阴性/参考对照值的预设标准如下：</w:t>
      </w:r>
    </w:p>
    <w:p w14:paraId="740CC360">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用于细胞毒性试验（根据ISO 10993-5）：</w:t>
      </w:r>
    </w:p>
    <w:p w14:paraId="731012F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每个阳性对照品重复样≥3级</w:t>
      </w:r>
    </w:p>
    <w:p w14:paraId="41EC9A81">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每个阴性对照品重复样为0级</w:t>
      </w:r>
    </w:p>
    <w:p w14:paraId="15F8D1C1">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每个介质对照品重复样为0级</w:t>
      </w:r>
    </w:p>
    <w:p w14:paraId="70740932">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用于皮肤内反应性刺激试验：</w:t>
      </w:r>
    </w:p>
    <w:p w14:paraId="62A3B98F">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每只动物在所有时间点的五个氯化钠对照部位都是0级</w:t>
      </w:r>
    </w:p>
    <w:p w14:paraId="4B56C837">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每只动物在所有时间点的五个油类对照部位都≤1级</w:t>
      </w:r>
    </w:p>
    <w:p w14:paraId="6B36774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对于初级皮肤（皮肤）刺激性试验，每个氯化钠和油类对照部位为0级</w:t>
      </w:r>
    </w:p>
    <w:p w14:paraId="19A6907F">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对于豚鼠最大剂量致敏性试验（根据ASTM F720）：</w:t>
      </w:r>
      <w:r>
        <w:rPr>
          <w:rStyle w:val="17"/>
          <w:rFonts w:eastAsia="宋体"/>
          <w:sz w:val="24"/>
          <w:szCs w:val="24"/>
        </w:rPr>
        <w:footnoteReference w:id="10"/>
      </w:r>
    </w:p>
    <w:p w14:paraId="7F31E806">
      <w:pPr>
        <w:autoSpaceDE/>
        <w:autoSpaceDN/>
        <w:snapToGrid w:val="0"/>
        <w:jc w:val="both"/>
        <w:rPr>
          <w:rFonts w:eastAsia="宋体"/>
          <w:sz w:val="21"/>
          <w:szCs w:val="21"/>
        </w:rPr>
      </w:pPr>
    </w:p>
    <w:p w14:paraId="211E463A">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322BD0BA">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所有氯化钠和油类介质对照动物在所有地点的结果均为0级</w:t>
      </w:r>
    </w:p>
    <w:p w14:paraId="424B241F">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阳性对照品至少一年两次运行（针对每只动物来源），并且每只动物在10只阳性对照动物中至少有8只比同时运行的氯化钠和油类介质对照品高一个等级（对于强致敏剂，如诱导时0.1-0.5%二硝基氯苯（DNCB）和激发时0.05-0.1%二硝基氯苯）</w:t>
      </w:r>
    </w:p>
    <w:p w14:paraId="2AAE5CC9">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用于闭合斑贴致敏性试验：</w:t>
      </w:r>
    </w:p>
    <w:p w14:paraId="6B6A24A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所有阴性对照动物（如氯化钠或油类介质或阴性对照品）均为0级。</w:t>
      </w:r>
    </w:p>
    <w:p w14:paraId="5EF8A1A6">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阳性对照品至少一年两次运行（针对每只动物来源），每只动物在10只阳性对照动物中至少有8只比同时运行的氯化钠和油类介质对照品高一个等级（对于强致敏剂，如诱导时0.1-0.5%的DNCB，激发时0.05-0.1%的DNCB）</w:t>
      </w:r>
    </w:p>
    <w:p w14:paraId="27E214E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对于急性全身毒性试验，所有氯化钠和油类对照动物均无不良的临床发现，每只动物的体重下降没有&gt;10%，且无死亡</w:t>
      </w:r>
    </w:p>
    <w:p w14:paraId="6C888709">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对于材料介导的热原性试验，没有预定义的标准</w:t>
      </w:r>
    </w:p>
    <w:p w14:paraId="0A184DA7">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用于溶血试验（根据ASTM F756）：</w:t>
      </w:r>
    </w:p>
    <w:p w14:paraId="5DC4220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阳性对照品的平均溶血指数≥5%</w:t>
      </w:r>
    </w:p>
    <w:p w14:paraId="441EE848">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阴性对照品的平均溶血指数&lt;2%</w:t>
      </w:r>
    </w:p>
    <w:p w14:paraId="31009C9A">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用于使用SC5b-9（补体激活终端途径的产物）进行补体激活试验，</w:t>
      </w:r>
    </w:p>
    <w:p w14:paraId="7081ADE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阳性对照品符合以下标准之一：</w:t>
      </w:r>
    </w:p>
    <w:p w14:paraId="28242759">
      <w:pPr>
        <w:pStyle w:val="28"/>
        <w:numPr>
          <w:ilvl w:val="0"/>
          <w:numId w:val="10"/>
        </w:numPr>
        <w:autoSpaceDE/>
        <w:autoSpaceDN/>
        <w:snapToGrid w:val="0"/>
        <w:ind w:left="1900" w:leftChars="950" w:firstLineChars="0"/>
        <w:jc w:val="both"/>
        <w:rPr>
          <w:rFonts w:eastAsia="宋体"/>
          <w:color w:val="000000"/>
          <w:sz w:val="24"/>
          <w:szCs w:val="24"/>
        </w:rPr>
      </w:pPr>
      <w:r>
        <w:rPr>
          <w:rFonts w:eastAsia="宋体"/>
          <w:color w:val="000000"/>
          <w:sz w:val="24"/>
          <w:szCs w:val="24"/>
        </w:rPr>
        <w:t>眼镜蛇毒液因子阳性对照品（如适用）的平均值比阴性对照品和活化的正常人体血清、血浆或全血的平均值都至少大10倍，或</w:t>
      </w:r>
    </w:p>
    <w:p w14:paraId="1D0D15AB">
      <w:pPr>
        <w:pStyle w:val="28"/>
        <w:numPr>
          <w:ilvl w:val="0"/>
          <w:numId w:val="10"/>
        </w:numPr>
        <w:autoSpaceDE/>
        <w:autoSpaceDN/>
        <w:snapToGrid w:val="0"/>
        <w:ind w:left="1900" w:leftChars="950" w:firstLineChars="0"/>
        <w:jc w:val="both"/>
        <w:rPr>
          <w:rFonts w:eastAsia="宋体"/>
          <w:sz w:val="24"/>
          <w:szCs w:val="24"/>
        </w:rPr>
      </w:pPr>
      <w:r>
        <w:rPr>
          <w:rFonts w:eastAsia="宋体"/>
          <w:color w:val="000000"/>
          <w:sz w:val="24"/>
          <w:szCs w:val="24"/>
        </w:rPr>
        <w:t>阳性对照品（如适用）在统计学上明显高于阴性对照品和活性正常人体血清、血浆或全血，</w:t>
      </w:r>
    </w:p>
    <w:p w14:paraId="0275EDC1">
      <w:pPr>
        <w:pStyle w:val="28"/>
        <w:numPr>
          <w:ilvl w:val="0"/>
          <w:numId w:val="4"/>
        </w:numPr>
        <w:autoSpaceDE/>
        <w:autoSpaceDN/>
        <w:snapToGrid w:val="0"/>
        <w:ind w:left="1860" w:leftChars="750" w:hanging="360" w:hangingChars="150"/>
        <w:jc w:val="both"/>
        <w:rPr>
          <w:rFonts w:eastAsia="宋体"/>
          <w:sz w:val="24"/>
          <w:szCs w:val="24"/>
        </w:rPr>
      </w:pPr>
      <w:r>
        <w:rPr>
          <w:rFonts w:eastAsia="宋体"/>
          <w:color w:val="000000"/>
          <w:sz w:val="24"/>
          <w:szCs w:val="24"/>
        </w:rPr>
        <w:t>任何特定试剂盒的高、低对照符合试剂盒的规格。</w:t>
      </w:r>
    </w:p>
    <w:p w14:paraId="2F14BEF5">
      <w:pPr>
        <w:autoSpaceDE/>
        <w:autoSpaceDN/>
        <w:snapToGrid w:val="0"/>
        <w:ind w:left="360" w:hanging="360" w:hangingChars="150"/>
        <w:jc w:val="both"/>
        <w:rPr>
          <w:rFonts w:eastAsia="宋体"/>
          <w:color w:val="000000"/>
          <w:sz w:val="24"/>
          <w:szCs w:val="24"/>
        </w:rPr>
      </w:pPr>
    </w:p>
    <w:p w14:paraId="3E06CE5E">
      <w:pPr>
        <w:autoSpaceDE/>
        <w:autoSpaceDN/>
        <w:snapToGrid w:val="0"/>
        <w:ind w:left="360" w:hanging="360" w:hangingChars="150"/>
        <w:jc w:val="both"/>
        <w:rPr>
          <w:rFonts w:eastAsia="宋体"/>
          <w:sz w:val="24"/>
          <w:szCs w:val="24"/>
        </w:rPr>
      </w:pPr>
      <w:r>
        <w:rPr>
          <w:rFonts w:eastAsia="宋体"/>
          <w:color w:val="000000"/>
          <w:sz w:val="24"/>
          <w:szCs w:val="24"/>
        </w:rPr>
        <w:t>7.8</w:t>
      </w:r>
      <w:r>
        <w:rPr>
          <w:rFonts w:eastAsia="宋体"/>
          <w:color w:val="000000"/>
          <w:sz w:val="24"/>
          <w:szCs w:val="24"/>
        </w:rPr>
        <w:tab/>
      </w:r>
      <w:r>
        <w:rPr>
          <w:rFonts w:eastAsia="宋体"/>
          <w:color w:val="000000"/>
          <w:sz w:val="24"/>
          <w:szCs w:val="24"/>
        </w:rPr>
        <w:t>报告结果</w:t>
      </w:r>
    </w:p>
    <w:p w14:paraId="31F4CB44">
      <w:pPr>
        <w:autoSpaceDE/>
        <w:autoSpaceDN/>
        <w:snapToGrid w:val="0"/>
        <w:ind w:left="660" w:leftChars="150" w:hanging="360" w:hangingChars="150"/>
        <w:jc w:val="both"/>
        <w:rPr>
          <w:rFonts w:eastAsia="宋体"/>
          <w:color w:val="000000"/>
          <w:sz w:val="24"/>
          <w:szCs w:val="24"/>
        </w:rPr>
      </w:pPr>
    </w:p>
    <w:p w14:paraId="539076BF">
      <w:pPr>
        <w:pStyle w:val="28"/>
        <w:numPr>
          <w:ilvl w:val="0"/>
          <w:numId w:val="11"/>
        </w:numPr>
        <w:autoSpaceDE/>
        <w:autoSpaceDN/>
        <w:snapToGrid w:val="0"/>
        <w:ind w:left="760" w:leftChars="200" w:hanging="360" w:hangingChars="150"/>
        <w:jc w:val="both"/>
        <w:rPr>
          <w:rFonts w:eastAsia="宋体"/>
          <w:color w:val="000000"/>
          <w:sz w:val="24"/>
          <w:szCs w:val="24"/>
        </w:rPr>
      </w:pPr>
      <w:r>
        <w:rPr>
          <w:rFonts w:eastAsia="宋体"/>
          <w:color w:val="000000"/>
          <w:sz w:val="24"/>
          <w:szCs w:val="24"/>
        </w:rPr>
        <w:t>检测实验室同意，它将制定程序，对所进行的每项试验记录ISO/IEC 17025中要求的所有信息，包括以下内容：</w:t>
      </w:r>
    </w:p>
    <w:p w14:paraId="7A6E0497">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使用的试验程序和试验标准</w:t>
      </w:r>
    </w:p>
    <w:p w14:paraId="444945E4">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试验的产品或组件</w:t>
      </w:r>
    </w:p>
    <w:p w14:paraId="19C9C83B">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用于试验、测量或审评的试验设备（包括设备的等级和精密度，除非另有现成的资料可用）</w:t>
      </w:r>
    </w:p>
    <w:p w14:paraId="109E4074">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试验的日期。例如，定期对照可能有不同的试验日期</w:t>
      </w:r>
    </w:p>
    <w:p w14:paraId="34E3C7AA">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试验报告编号，包括修订号和修正日期（如适用），以及任何相关的分包试验报告编号</w:t>
      </w:r>
    </w:p>
    <w:p w14:paraId="6E76BC47">
      <w:pPr>
        <w:tabs>
          <w:tab w:val="left" w:pos="1440"/>
        </w:tabs>
        <w:autoSpaceDE/>
        <w:autoSpaceDN/>
        <w:snapToGrid w:val="0"/>
        <w:jc w:val="both"/>
        <w:rPr>
          <w:rFonts w:eastAsia="宋体"/>
          <w:color w:val="000000"/>
          <w:sz w:val="24"/>
          <w:szCs w:val="24"/>
        </w:rPr>
      </w:pPr>
    </w:p>
    <w:p w14:paraId="6E66D2D8">
      <w:pPr>
        <w:tabs>
          <w:tab w:val="left" w:pos="1440"/>
        </w:tabs>
        <w:autoSpaceDE/>
        <w:autoSpaceDN/>
        <w:snapToGrid w:val="0"/>
        <w:jc w:val="both"/>
        <w:rPr>
          <w:rFonts w:eastAsia="宋体"/>
          <w:color w:val="000000"/>
          <w:sz w:val="24"/>
          <w:szCs w:val="24"/>
        </w:rPr>
        <w:sectPr>
          <w:pgSz w:w="11906" w:h="16838"/>
          <w:pgMar w:top="1134" w:right="1134" w:bottom="1134" w:left="1418" w:header="567" w:footer="567" w:gutter="0"/>
          <w:cols w:space="60" w:num="1"/>
          <w:docGrid w:linePitch="272" w:charSpace="0"/>
        </w:sectPr>
      </w:pPr>
    </w:p>
    <w:p w14:paraId="020275DB">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进行试验的人员姓名和参与研究和生物研究的所有监督人员姓名，研究负责人和质量保证部门人员的签名（即根据CFR第21篇第58部分《良好实验室规范》，用于非临床实验室研究）</w:t>
      </w:r>
    </w:p>
    <w:p w14:paraId="3B500B95">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试验标准规定的试验条件（如适用），（例如，试验所需的电压、功率、温度或湿度）</w:t>
      </w:r>
    </w:p>
    <w:p w14:paraId="55F86B4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样品制备：</w:t>
      </w:r>
    </w:p>
    <w:p w14:paraId="1E4255F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样品制备前和制备后的器械（或代表部分，如果没有使用整个器械）的图像</w:t>
      </w:r>
    </w:p>
    <w:p w14:paraId="14A9E1BE">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使用分割/切割的方式</w:t>
      </w:r>
    </w:p>
    <w:p w14:paraId="5A17684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浸提条件（如适用）：</w:t>
      </w:r>
    </w:p>
    <w:p w14:paraId="7401AE19">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浸提介质、时间、温度和试验样品/介质比例</w:t>
      </w:r>
    </w:p>
    <w:p w14:paraId="4B481E78">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应用于试验系统前的储存时间和温度</w:t>
      </w:r>
    </w:p>
    <w:p w14:paraId="4D896963">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浸提后的介质图像（颜色、浑浊度、是否有颗粒物）</w:t>
      </w:r>
    </w:p>
    <w:p w14:paraId="177FD9C1">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样品操作：</w:t>
      </w:r>
    </w:p>
    <w:p w14:paraId="15B30A60">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过滤、离心、稀释、调节pH值、调节渗透压或其他偏离采样程序的行为</w:t>
      </w:r>
    </w:p>
    <w:p w14:paraId="4629ABD2">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任何偏离实验室ASCA认证程序的情况，以及对试验报告的任何修正</w:t>
      </w:r>
    </w:p>
    <w:p w14:paraId="5AA5145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试验结果要包括：</w:t>
      </w:r>
    </w:p>
    <w:p w14:paraId="1B41566E">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试验报告中包含的意见和解释</w:t>
      </w:r>
    </w:p>
    <w:p w14:paraId="17EFFF9B">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实验室的程序所要求的所有适用数据；以及</w:t>
      </w:r>
    </w:p>
    <w:p w14:paraId="454C80B2">
      <w:pPr>
        <w:pStyle w:val="28"/>
        <w:numPr>
          <w:ilvl w:val="0"/>
          <w:numId w:val="4"/>
        </w:numPr>
        <w:autoSpaceDE/>
        <w:autoSpaceDN/>
        <w:snapToGrid w:val="0"/>
        <w:ind w:left="1860" w:leftChars="750" w:hanging="360" w:hangingChars="150"/>
        <w:jc w:val="both"/>
        <w:rPr>
          <w:rFonts w:eastAsia="宋体"/>
          <w:color w:val="000000"/>
          <w:sz w:val="24"/>
          <w:szCs w:val="24"/>
        </w:rPr>
      </w:pPr>
      <w:r>
        <w:rPr>
          <w:rFonts w:eastAsia="宋体"/>
          <w:color w:val="000000"/>
          <w:sz w:val="24"/>
          <w:szCs w:val="24"/>
        </w:rPr>
        <w:t>一份说明试验是根据CFR第21篇第58部分《非临床研究质量管理规范》规定进行的声明</w:t>
      </w:r>
      <w:r>
        <w:rPr>
          <w:rFonts w:eastAsia="宋体"/>
          <w:color w:val="000000"/>
          <w:sz w:val="24"/>
          <w:szCs w:val="24"/>
          <w:vertAlign w:val="superscript"/>
        </w:rPr>
        <w:footnoteReference w:id="11"/>
      </w:r>
    </w:p>
    <w:p w14:paraId="709359C2">
      <w:pPr>
        <w:pStyle w:val="28"/>
        <w:autoSpaceDE/>
        <w:autoSpaceDN/>
        <w:snapToGrid w:val="0"/>
        <w:ind w:left="1860" w:firstLine="0" w:firstLineChars="0"/>
        <w:jc w:val="both"/>
        <w:rPr>
          <w:rFonts w:eastAsia="宋体"/>
          <w:color w:val="000000"/>
          <w:sz w:val="24"/>
          <w:szCs w:val="24"/>
        </w:rPr>
      </w:pPr>
    </w:p>
    <w:p w14:paraId="6FEA2E59">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检测实验室同意，由分包商进行的试验也将酌情遵守上述试验报告规范。</w:t>
      </w:r>
    </w:p>
    <w:p w14:paraId="2FF0E716">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检测实验室同意在试验活动结束后向客户提交完整的试验报告和ASCA汇总试验报告。</w:t>
      </w:r>
    </w:p>
    <w:p w14:paraId="1BEB597E">
      <w:pPr>
        <w:tabs>
          <w:tab w:val="left" w:pos="360"/>
        </w:tabs>
        <w:autoSpaceDE/>
        <w:autoSpaceDN/>
        <w:snapToGrid w:val="0"/>
        <w:jc w:val="both"/>
        <w:rPr>
          <w:rFonts w:eastAsia="宋体"/>
          <w:color w:val="000000"/>
          <w:sz w:val="24"/>
          <w:szCs w:val="24"/>
        </w:rPr>
      </w:pPr>
    </w:p>
    <w:p w14:paraId="3F72F14F">
      <w:pPr>
        <w:autoSpaceDE/>
        <w:autoSpaceDN/>
        <w:snapToGrid w:val="0"/>
        <w:ind w:left="360" w:hanging="360" w:hangingChars="150"/>
        <w:jc w:val="both"/>
        <w:rPr>
          <w:rFonts w:eastAsia="宋体"/>
          <w:color w:val="000000"/>
          <w:sz w:val="24"/>
          <w:szCs w:val="24"/>
        </w:rPr>
      </w:pPr>
      <w:r>
        <w:rPr>
          <w:rFonts w:eastAsia="宋体"/>
          <w:color w:val="000000"/>
          <w:sz w:val="24"/>
          <w:szCs w:val="24"/>
        </w:rPr>
        <w:t>7.9.</w:t>
      </w:r>
      <w:r>
        <w:rPr>
          <w:rFonts w:eastAsia="宋体"/>
          <w:color w:val="000000"/>
          <w:sz w:val="24"/>
          <w:szCs w:val="24"/>
        </w:rPr>
        <w:tab/>
      </w:r>
      <w:r>
        <w:rPr>
          <w:rFonts w:eastAsia="宋体"/>
          <w:color w:val="000000"/>
          <w:sz w:val="24"/>
          <w:szCs w:val="24"/>
        </w:rPr>
        <w:t>投诉</w:t>
      </w:r>
    </w:p>
    <w:p w14:paraId="16A9BEB5">
      <w:pPr>
        <w:tabs>
          <w:tab w:val="left" w:pos="36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17025中规定的规范外，无有其他规范。</w:t>
      </w:r>
    </w:p>
    <w:p w14:paraId="3C453139">
      <w:pPr>
        <w:tabs>
          <w:tab w:val="left" w:pos="360"/>
        </w:tabs>
        <w:autoSpaceDE/>
        <w:autoSpaceDN/>
        <w:snapToGrid w:val="0"/>
        <w:jc w:val="both"/>
        <w:rPr>
          <w:rFonts w:eastAsia="宋体"/>
          <w:sz w:val="24"/>
          <w:szCs w:val="24"/>
        </w:rPr>
      </w:pPr>
    </w:p>
    <w:p w14:paraId="074C77E3">
      <w:pPr>
        <w:tabs>
          <w:tab w:val="left" w:pos="480"/>
        </w:tabs>
        <w:autoSpaceDE/>
        <w:autoSpaceDN/>
        <w:snapToGrid w:val="0"/>
        <w:jc w:val="both"/>
        <w:rPr>
          <w:rFonts w:eastAsia="宋体"/>
          <w:color w:val="000000"/>
          <w:sz w:val="24"/>
          <w:szCs w:val="24"/>
        </w:rPr>
      </w:pPr>
      <w:r>
        <w:rPr>
          <w:rFonts w:eastAsia="宋体"/>
          <w:color w:val="000000"/>
          <w:sz w:val="24"/>
          <w:szCs w:val="24"/>
        </w:rPr>
        <w:t>7.10</w:t>
      </w:r>
      <w:r>
        <w:rPr>
          <w:rFonts w:eastAsia="宋体"/>
          <w:color w:val="000000"/>
          <w:sz w:val="24"/>
          <w:szCs w:val="24"/>
        </w:rPr>
        <w:tab/>
      </w:r>
      <w:r>
        <w:rPr>
          <w:rFonts w:eastAsia="宋体"/>
          <w:color w:val="000000"/>
          <w:sz w:val="24"/>
          <w:szCs w:val="24"/>
        </w:rPr>
        <w:t>不符合要求的工作</w:t>
      </w:r>
    </w:p>
    <w:p w14:paraId="1A8D141F">
      <w:pPr>
        <w:tabs>
          <w:tab w:val="left" w:pos="48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17025中规定的规范外，无有其他规范。</w:t>
      </w:r>
    </w:p>
    <w:p w14:paraId="78443895">
      <w:pPr>
        <w:tabs>
          <w:tab w:val="left" w:pos="480"/>
        </w:tabs>
        <w:autoSpaceDE/>
        <w:autoSpaceDN/>
        <w:snapToGrid w:val="0"/>
        <w:jc w:val="both"/>
        <w:rPr>
          <w:rFonts w:eastAsia="宋体"/>
          <w:color w:val="000000"/>
          <w:sz w:val="24"/>
          <w:szCs w:val="24"/>
        </w:rPr>
      </w:pPr>
    </w:p>
    <w:p w14:paraId="6E01BD07">
      <w:pPr>
        <w:tabs>
          <w:tab w:val="left" w:pos="480"/>
        </w:tabs>
        <w:autoSpaceDE/>
        <w:autoSpaceDN/>
        <w:snapToGrid w:val="0"/>
        <w:jc w:val="both"/>
        <w:rPr>
          <w:rFonts w:eastAsia="宋体"/>
          <w:color w:val="000000"/>
          <w:sz w:val="24"/>
          <w:szCs w:val="24"/>
        </w:rPr>
      </w:pPr>
      <w:r>
        <w:rPr>
          <w:rFonts w:eastAsia="宋体"/>
          <w:color w:val="000000"/>
          <w:sz w:val="24"/>
          <w:szCs w:val="24"/>
        </w:rPr>
        <w:t>7.11</w:t>
      </w:r>
      <w:r>
        <w:rPr>
          <w:rFonts w:eastAsia="宋体"/>
          <w:color w:val="000000"/>
          <w:sz w:val="24"/>
          <w:szCs w:val="24"/>
        </w:rPr>
        <w:tab/>
      </w:r>
      <w:r>
        <w:rPr>
          <w:rFonts w:eastAsia="宋体"/>
          <w:color w:val="000000"/>
          <w:sz w:val="24"/>
          <w:szCs w:val="24"/>
        </w:rPr>
        <w:t>对数据和信息管理的控制</w:t>
      </w:r>
    </w:p>
    <w:p w14:paraId="37106B08">
      <w:pPr>
        <w:tabs>
          <w:tab w:val="left" w:pos="480"/>
        </w:tabs>
        <w:autoSpaceDE/>
        <w:autoSpaceDN/>
        <w:snapToGrid w:val="0"/>
        <w:ind w:firstLine="480" w:firstLineChars="200"/>
        <w:jc w:val="both"/>
        <w:rPr>
          <w:rFonts w:eastAsia="宋体"/>
          <w:color w:val="000000"/>
          <w:sz w:val="24"/>
          <w:szCs w:val="24"/>
        </w:rPr>
      </w:pPr>
      <w:r>
        <w:rPr>
          <w:rFonts w:eastAsia="宋体"/>
          <w:color w:val="000000"/>
          <w:sz w:val="24"/>
          <w:szCs w:val="24"/>
        </w:rPr>
        <w:t>除ISO/IEC 17025中规定的规范外，无有其他规范。</w:t>
      </w:r>
    </w:p>
    <w:p w14:paraId="499937DA">
      <w:pPr>
        <w:tabs>
          <w:tab w:val="left" w:pos="480"/>
        </w:tabs>
        <w:autoSpaceDE/>
        <w:autoSpaceDN/>
        <w:snapToGrid w:val="0"/>
        <w:jc w:val="both"/>
        <w:rPr>
          <w:rFonts w:eastAsia="宋体"/>
          <w:color w:val="000000"/>
          <w:sz w:val="24"/>
          <w:szCs w:val="24"/>
        </w:rPr>
      </w:pPr>
    </w:p>
    <w:p w14:paraId="63B88790">
      <w:pPr>
        <w:autoSpaceDE/>
        <w:autoSpaceDN/>
        <w:snapToGrid w:val="0"/>
        <w:jc w:val="both"/>
        <w:rPr>
          <w:rFonts w:eastAsia="宋体"/>
          <w:sz w:val="24"/>
          <w:szCs w:val="24"/>
        </w:rPr>
      </w:pPr>
      <w:r>
        <w:rPr>
          <w:rFonts w:eastAsia="宋体"/>
          <w:b/>
          <w:bCs/>
          <w:color w:val="000000"/>
          <w:sz w:val="24"/>
          <w:szCs w:val="24"/>
        </w:rPr>
        <w:t>ISO/IEC 17025第8节（</w:t>
      </w:r>
      <w:r>
        <w:rPr>
          <w:rFonts w:ascii="宋体" w:hAnsi="宋体" w:eastAsia="宋体"/>
          <w:b/>
          <w:bCs/>
          <w:color w:val="000000"/>
          <w:sz w:val="24"/>
          <w:szCs w:val="24"/>
        </w:rPr>
        <w:t>“</w:t>
      </w:r>
      <w:r>
        <w:rPr>
          <w:rFonts w:eastAsia="宋体"/>
          <w:b/>
          <w:bCs/>
          <w:color w:val="000000"/>
          <w:sz w:val="24"/>
          <w:szCs w:val="24"/>
        </w:rPr>
        <w:t>管理系统要求</w:t>
      </w:r>
      <w:r>
        <w:rPr>
          <w:rFonts w:ascii="宋体" w:hAnsi="宋体" w:eastAsia="宋体"/>
          <w:b/>
          <w:bCs/>
          <w:color w:val="000000"/>
          <w:sz w:val="24"/>
          <w:szCs w:val="24"/>
        </w:rPr>
        <w:t>”</w:t>
      </w:r>
      <w:r>
        <w:rPr>
          <w:rFonts w:eastAsia="宋体"/>
          <w:b/>
          <w:bCs/>
          <w:color w:val="000000"/>
          <w:sz w:val="24"/>
          <w:szCs w:val="24"/>
        </w:rPr>
        <w:t>）</w:t>
      </w:r>
    </w:p>
    <w:p w14:paraId="47DCF739">
      <w:pPr>
        <w:autoSpaceDE/>
        <w:autoSpaceDN/>
        <w:snapToGrid w:val="0"/>
        <w:jc w:val="both"/>
        <w:rPr>
          <w:rFonts w:eastAsia="宋体"/>
          <w:sz w:val="24"/>
          <w:szCs w:val="24"/>
        </w:rPr>
      </w:pPr>
    </w:p>
    <w:p w14:paraId="071D6AD8">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54841667">
      <w:pPr>
        <w:autoSpaceDE/>
        <w:autoSpaceDN/>
        <w:snapToGrid w:val="0"/>
        <w:ind w:left="360" w:hanging="360" w:hangingChars="150"/>
        <w:jc w:val="both"/>
        <w:rPr>
          <w:rFonts w:eastAsia="宋体"/>
          <w:sz w:val="24"/>
          <w:szCs w:val="24"/>
        </w:rPr>
      </w:pPr>
      <w:r>
        <w:rPr>
          <w:rFonts w:eastAsia="宋体"/>
          <w:color w:val="000000"/>
          <w:sz w:val="24"/>
          <w:szCs w:val="24"/>
        </w:rPr>
        <w:t>8.1</w:t>
      </w:r>
      <w:r>
        <w:rPr>
          <w:rFonts w:eastAsia="宋体"/>
          <w:color w:val="000000"/>
          <w:sz w:val="24"/>
          <w:szCs w:val="24"/>
        </w:rPr>
        <w:tab/>
      </w:r>
      <w:r>
        <w:rPr>
          <w:rFonts w:eastAsia="宋体"/>
          <w:color w:val="000000"/>
          <w:sz w:val="24"/>
          <w:szCs w:val="24"/>
        </w:rPr>
        <w:t>方案</w:t>
      </w:r>
    </w:p>
    <w:p w14:paraId="340DB9C7">
      <w:pPr>
        <w:autoSpaceDE/>
        <w:autoSpaceDN/>
        <w:snapToGrid w:val="0"/>
        <w:jc w:val="both"/>
        <w:rPr>
          <w:rFonts w:eastAsia="宋体"/>
          <w:color w:val="000000"/>
          <w:sz w:val="24"/>
          <w:szCs w:val="24"/>
        </w:rPr>
      </w:pPr>
    </w:p>
    <w:p w14:paraId="58A26484">
      <w:pPr>
        <w:autoSpaceDE/>
        <w:autoSpaceDN/>
        <w:snapToGrid w:val="0"/>
        <w:ind w:firstLine="480" w:firstLineChars="200"/>
        <w:jc w:val="both"/>
        <w:rPr>
          <w:rFonts w:eastAsia="宋体"/>
          <w:sz w:val="24"/>
          <w:szCs w:val="24"/>
        </w:rPr>
      </w:pPr>
      <w:r>
        <w:rPr>
          <w:rFonts w:eastAsia="宋体"/>
          <w:color w:val="000000"/>
          <w:sz w:val="24"/>
          <w:szCs w:val="24"/>
        </w:rPr>
        <w:t>无论选择哪种方案（即方案A或方案B），检测实验室均同意维护适用于任何医疗器械标准或试验方法的生物学评价的SOP和任何相关的ASCA试验相关文件（例如，SOP、工作指南、主方案、试验特定方案、数据收集工作表、培训信息）的索引。</w:t>
      </w:r>
    </w:p>
    <w:p w14:paraId="66DC2DDC">
      <w:pPr>
        <w:pStyle w:val="2"/>
        <w:autoSpaceDE/>
        <w:autoSpaceDN/>
        <w:spacing w:before="240" w:after="240"/>
        <w:rPr>
          <w:rFonts w:eastAsia="宋体"/>
        </w:rPr>
      </w:pPr>
      <w:bookmarkStart w:id="15" w:name="bookmark14"/>
      <w:bookmarkStart w:id="16" w:name="_Toc97473511"/>
      <w:bookmarkStart w:id="17" w:name="_Toc98778560"/>
      <w:r>
        <w:rPr>
          <w:rFonts w:eastAsia="宋体"/>
        </w:rPr>
        <w:t>V</w:t>
      </w:r>
      <w:bookmarkEnd w:id="15"/>
      <w:r>
        <w:rPr>
          <w:rFonts w:eastAsia="宋体"/>
        </w:rPr>
        <w:t>.</w:t>
      </w:r>
      <w:r>
        <w:rPr>
          <w:rFonts w:eastAsia="宋体"/>
        </w:rPr>
        <w:tab/>
      </w:r>
      <w:r>
        <w:rPr>
          <w:rFonts w:eastAsia="宋体"/>
        </w:rPr>
        <w:t>医疗器械生物相容性试验ASCA试点中FDA公认共识标准和试验方法的上市前申请内容</w:t>
      </w:r>
      <w:bookmarkEnd w:id="16"/>
      <w:bookmarkEnd w:id="17"/>
    </w:p>
    <w:p w14:paraId="611DA6EC">
      <w:pPr>
        <w:autoSpaceDE/>
        <w:autoSpaceDN/>
        <w:snapToGrid w:val="0"/>
        <w:ind w:firstLine="480" w:firstLineChars="200"/>
        <w:jc w:val="both"/>
        <w:rPr>
          <w:rFonts w:eastAsia="宋体"/>
          <w:sz w:val="24"/>
          <w:szCs w:val="24"/>
        </w:rPr>
      </w:pPr>
      <w:bookmarkStart w:id="18" w:name="bookmark15"/>
      <w:r>
        <w:rPr>
          <w:rFonts w:eastAsia="宋体"/>
          <w:color w:val="000000"/>
          <w:sz w:val="24"/>
          <w:szCs w:val="24"/>
        </w:rPr>
        <w:t>F</w:t>
      </w:r>
      <w:bookmarkEnd w:id="18"/>
      <w:r>
        <w:rPr>
          <w:rFonts w:eastAsia="宋体"/>
          <w:color w:val="000000"/>
          <w:sz w:val="24"/>
          <w:szCs w:val="24"/>
        </w:rPr>
        <w:t>DA建议，在任何包含由ASCA认证的检测实验室进行的生物相容性试验的监管申请中，应包括以下内容：</w:t>
      </w:r>
    </w:p>
    <w:p w14:paraId="166F11DA">
      <w:pPr>
        <w:pStyle w:val="3"/>
        <w:autoSpaceDE/>
        <w:autoSpaceDN/>
        <w:spacing w:before="240" w:after="240"/>
        <w:ind w:left="1276" w:hanging="646"/>
        <w:rPr>
          <w:rFonts w:eastAsia="宋体"/>
        </w:rPr>
      </w:pPr>
      <w:bookmarkStart w:id="19" w:name="_Toc97473512"/>
      <w:bookmarkStart w:id="20" w:name="_Toc98778561"/>
      <w:r>
        <w:rPr>
          <w:rFonts w:eastAsia="宋体"/>
        </w:rPr>
        <w:t>A.</w:t>
      </w:r>
      <w:r>
        <w:rPr>
          <w:rFonts w:eastAsia="宋体"/>
        </w:rPr>
        <w:tab/>
      </w:r>
      <w:bookmarkEnd w:id="19"/>
      <w:r>
        <w:rPr>
          <w:rFonts w:eastAsia="宋体"/>
        </w:rPr>
        <w:t>附信</w:t>
      </w:r>
      <w:bookmarkEnd w:id="20"/>
    </w:p>
    <w:p w14:paraId="1D14707A">
      <w:pPr>
        <w:autoSpaceDE/>
        <w:autoSpaceDN/>
        <w:snapToGrid w:val="0"/>
        <w:ind w:firstLine="480" w:firstLineChars="200"/>
        <w:jc w:val="both"/>
        <w:rPr>
          <w:rFonts w:eastAsia="宋体"/>
          <w:sz w:val="24"/>
          <w:szCs w:val="24"/>
        </w:rPr>
      </w:pPr>
      <w:r>
        <w:rPr>
          <w:rFonts w:eastAsia="宋体"/>
          <w:color w:val="000000"/>
          <w:sz w:val="24"/>
          <w:szCs w:val="24"/>
        </w:rPr>
        <w:t>FDA指南文件《符合性评估认证计划（ASCA）试点计划》中提供了FDA就包含ASCA认证的检测实验室的试验结果的上市前申请的附信的建议。</w:t>
      </w:r>
    </w:p>
    <w:p w14:paraId="23C33518">
      <w:pPr>
        <w:pStyle w:val="3"/>
        <w:autoSpaceDE/>
        <w:autoSpaceDN/>
        <w:spacing w:before="240" w:after="240"/>
        <w:ind w:left="1276" w:hanging="646"/>
        <w:rPr>
          <w:rFonts w:eastAsia="宋体"/>
        </w:rPr>
      </w:pPr>
      <w:bookmarkStart w:id="21" w:name="_Toc97473513"/>
      <w:bookmarkStart w:id="22" w:name="_Toc98778562"/>
      <w:r>
        <w:rPr>
          <w:rFonts w:eastAsia="宋体"/>
        </w:rPr>
        <w:t>B.</w:t>
      </w:r>
      <w:r>
        <w:rPr>
          <w:rFonts w:eastAsia="宋体"/>
        </w:rPr>
        <w:tab/>
      </w:r>
      <w:r>
        <w:rPr>
          <w:rFonts w:eastAsia="宋体"/>
        </w:rPr>
        <w:t>符合性声明</w:t>
      </w:r>
      <w:bookmarkEnd w:id="21"/>
      <w:bookmarkEnd w:id="22"/>
    </w:p>
    <w:p w14:paraId="523434BC">
      <w:pPr>
        <w:autoSpaceDE/>
        <w:autoSpaceDN/>
        <w:snapToGrid w:val="0"/>
        <w:ind w:firstLine="480" w:firstLineChars="200"/>
        <w:jc w:val="both"/>
        <w:rPr>
          <w:rFonts w:eastAsia="宋体"/>
          <w:sz w:val="24"/>
          <w:szCs w:val="24"/>
        </w:rPr>
      </w:pPr>
      <w:r>
        <w:rPr>
          <w:rFonts w:eastAsia="宋体"/>
          <w:color w:val="000000"/>
          <w:sz w:val="24"/>
          <w:szCs w:val="24"/>
        </w:rPr>
        <w:t>FDA指南</w:t>
      </w:r>
      <w:r>
        <w:rPr>
          <w:rFonts w:eastAsia="宋体"/>
          <w:color w:val="0000FF"/>
          <w:sz w:val="24"/>
          <w:szCs w:val="24"/>
          <w:u w:val="single"/>
        </w:rPr>
        <w:t>在医疗器械上市前申请中适当使用自愿性共识标准</w:t>
      </w:r>
      <w:r>
        <w:rPr>
          <w:rStyle w:val="17"/>
          <w:rFonts w:eastAsia="宋体"/>
          <w:sz w:val="24"/>
          <w:szCs w:val="24"/>
        </w:rPr>
        <w:footnoteReference w:id="12"/>
      </w:r>
      <w:r>
        <w:rPr>
          <w:rFonts w:eastAsia="宋体"/>
          <w:sz w:val="24"/>
          <w:szCs w:val="24"/>
        </w:rPr>
        <w:t>第IV.A节</w:t>
      </w:r>
      <w:r>
        <w:rPr>
          <w:rFonts w:eastAsia="宋体"/>
          <w:color w:val="000000"/>
          <w:sz w:val="24"/>
          <w:szCs w:val="24"/>
        </w:rPr>
        <w:t>建议了符合FDA公认共识标准的符合性声明（DOC）的内容。对于来自ASCA认证的检测实验室的生物相容性试验，FDA建议器械制造商在DOC中包括以下附加计划：</w:t>
      </w:r>
    </w:p>
    <w:p w14:paraId="44352EE1">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进行试验的日期</w:t>
      </w:r>
    </w:p>
    <w:p w14:paraId="000F179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进行试验的地点</w:t>
      </w:r>
    </w:p>
    <w:p w14:paraId="1DA4FAF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确认试验期间使用的FDA公认共识标准（和特定的试验方法）在实验室的</w:t>
      </w:r>
      <w:r>
        <w:rPr>
          <w:rFonts w:eastAsia="宋体"/>
          <w:i/>
          <w:iCs/>
          <w:color w:val="000000"/>
          <w:sz w:val="24"/>
          <w:szCs w:val="24"/>
        </w:rPr>
        <w:t>ASCA认证</w:t>
      </w:r>
      <w:r>
        <w:rPr>
          <w:rFonts w:eastAsia="宋体"/>
          <w:color w:val="000000"/>
          <w:sz w:val="24"/>
          <w:szCs w:val="24"/>
        </w:rPr>
        <w:t>范围内，并且在试验时没有因为</w:t>
      </w:r>
      <w:r>
        <w:rPr>
          <w:rFonts w:eastAsia="宋体"/>
          <w:i/>
          <w:iCs/>
          <w:color w:val="000000"/>
          <w:sz w:val="24"/>
          <w:szCs w:val="24"/>
        </w:rPr>
        <w:t>ASCA认证</w:t>
      </w:r>
      <w:r>
        <w:rPr>
          <w:rFonts w:eastAsia="宋体"/>
          <w:color w:val="000000"/>
          <w:sz w:val="24"/>
          <w:szCs w:val="24"/>
        </w:rPr>
        <w:t>的中止而受到任何临时标签的限制。如果相关标准（和特定的试验方法）受到</w:t>
      </w:r>
      <w:r>
        <w:rPr>
          <w:rFonts w:eastAsia="宋体"/>
          <w:i/>
          <w:iCs/>
          <w:color w:val="000000"/>
          <w:sz w:val="24"/>
          <w:szCs w:val="24"/>
        </w:rPr>
        <w:t>ASCA认证</w:t>
      </w:r>
      <w:r>
        <w:rPr>
          <w:rFonts w:eastAsia="宋体"/>
          <w:color w:val="000000"/>
          <w:sz w:val="24"/>
          <w:szCs w:val="24"/>
        </w:rPr>
        <w:t>中止的影响，则DOC应包括对这种中止可能会或可能不会影响试验结果的解释。</w:t>
      </w:r>
    </w:p>
    <w:p w14:paraId="39001A94">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对DOC有效性的限制：</w:t>
      </w:r>
    </w:p>
    <w:p w14:paraId="58FA857D">
      <w:pPr>
        <w:autoSpaceDE/>
        <w:autoSpaceDN/>
        <w:snapToGrid w:val="0"/>
        <w:jc w:val="both"/>
        <w:rPr>
          <w:rFonts w:eastAsia="宋体"/>
          <w:sz w:val="21"/>
          <w:szCs w:val="21"/>
        </w:rPr>
      </w:pPr>
    </w:p>
    <w:p w14:paraId="12E861AB">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55C240C0">
      <w:pPr>
        <w:pStyle w:val="28"/>
        <w:numPr>
          <w:ilvl w:val="0"/>
          <w:numId w:val="3"/>
        </w:numPr>
        <w:autoSpaceDE/>
        <w:autoSpaceDN/>
        <w:snapToGrid w:val="0"/>
        <w:ind w:left="1460" w:leftChars="550" w:hanging="360" w:hangingChars="150"/>
        <w:jc w:val="both"/>
        <w:rPr>
          <w:rFonts w:eastAsia="宋体"/>
          <w:color w:val="000000"/>
          <w:sz w:val="24"/>
          <w:szCs w:val="24"/>
          <w:vertAlign w:val="superscript"/>
        </w:rPr>
      </w:pPr>
      <w:r>
        <w:rPr>
          <w:rFonts w:eastAsia="宋体"/>
          <w:color w:val="000000"/>
          <w:sz w:val="24"/>
          <w:szCs w:val="24"/>
        </w:rPr>
        <w:t>试验样品与本上市前申请中提供的器械的比较情况（包括选择</w:t>
      </w:r>
      <w:r>
        <w:rPr>
          <w:rFonts w:ascii="宋体" w:hAnsi="宋体" w:eastAsia="宋体"/>
          <w:color w:val="000000"/>
          <w:sz w:val="24"/>
          <w:szCs w:val="24"/>
        </w:rPr>
        <w:t>“</w:t>
      </w:r>
      <w:r>
        <w:rPr>
          <w:rFonts w:eastAsia="宋体"/>
          <w:color w:val="000000"/>
          <w:sz w:val="24"/>
          <w:szCs w:val="24"/>
        </w:rPr>
        <w:t>代表性</w:t>
      </w:r>
      <w:r>
        <w:rPr>
          <w:rFonts w:ascii="宋体" w:hAnsi="宋体" w:eastAsia="宋体"/>
          <w:color w:val="000000"/>
          <w:sz w:val="24"/>
          <w:szCs w:val="24"/>
        </w:rPr>
        <w:t>”</w:t>
      </w:r>
      <w:r>
        <w:rPr>
          <w:rFonts w:eastAsia="宋体"/>
          <w:color w:val="000000"/>
          <w:sz w:val="24"/>
          <w:szCs w:val="24"/>
        </w:rPr>
        <w:t>器械/部分）</w:t>
      </w:r>
      <w:r>
        <w:rPr>
          <w:rFonts w:eastAsia="宋体"/>
          <w:color w:val="000000"/>
          <w:sz w:val="24"/>
          <w:szCs w:val="24"/>
          <w:vertAlign w:val="superscript"/>
        </w:rPr>
        <w:footnoteReference w:id="13"/>
      </w:r>
    </w:p>
    <w:p w14:paraId="417B6802">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如何解决检测实验室通报的任何问题</w:t>
      </w:r>
    </w:p>
    <w:p w14:paraId="094AE051">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如何解决试验期间的任何观察和/或降解问题</w:t>
      </w:r>
    </w:p>
    <w:p w14:paraId="3C55CBD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是否发生了第V.C节列表中描述的任何不利或异常结果，如是，注明可接受的理由</w:t>
      </w:r>
    </w:p>
    <w:p w14:paraId="3474E2D9">
      <w:pPr>
        <w:autoSpaceDE/>
        <w:autoSpaceDN/>
        <w:snapToGrid w:val="0"/>
        <w:jc w:val="both"/>
        <w:rPr>
          <w:rFonts w:eastAsia="宋体"/>
          <w:color w:val="000000"/>
          <w:sz w:val="24"/>
          <w:szCs w:val="24"/>
        </w:rPr>
      </w:pPr>
      <w:bookmarkStart w:id="23" w:name="bookmark18"/>
    </w:p>
    <w:p w14:paraId="23862C48">
      <w:pPr>
        <w:autoSpaceDE/>
        <w:autoSpaceDN/>
        <w:snapToGrid w:val="0"/>
        <w:ind w:firstLine="480" w:firstLineChars="200"/>
        <w:jc w:val="both"/>
        <w:rPr>
          <w:rFonts w:eastAsia="宋体"/>
          <w:sz w:val="24"/>
          <w:szCs w:val="24"/>
        </w:rPr>
      </w:pPr>
      <w:r>
        <w:rPr>
          <w:rFonts w:eastAsia="宋体"/>
          <w:color w:val="000000"/>
          <w:sz w:val="24"/>
          <w:szCs w:val="24"/>
        </w:rPr>
        <w:t>本指南的附录A提供了一份DOC示例。</w:t>
      </w:r>
      <w:bookmarkEnd w:id="23"/>
      <w:r>
        <w:rPr>
          <w:rFonts w:eastAsia="宋体"/>
          <w:color w:val="000000"/>
          <w:sz w:val="24"/>
          <w:szCs w:val="24"/>
        </w:rPr>
        <w:t>本示例提供了一种方法，说明单个DOC如何包含对FDA公认共识标准的试验，包括和不包括在检测实验室的</w:t>
      </w:r>
      <w:r>
        <w:rPr>
          <w:rFonts w:eastAsia="宋体"/>
          <w:i/>
          <w:iCs/>
          <w:color w:val="000000"/>
          <w:sz w:val="24"/>
          <w:szCs w:val="24"/>
        </w:rPr>
        <w:t>ASCA认证</w:t>
      </w:r>
      <w:r>
        <w:rPr>
          <w:rFonts w:eastAsia="宋体"/>
          <w:color w:val="000000"/>
          <w:sz w:val="24"/>
          <w:szCs w:val="24"/>
        </w:rPr>
        <w:t>范围内。</w:t>
      </w:r>
    </w:p>
    <w:p w14:paraId="4DB4FC1A">
      <w:pPr>
        <w:pStyle w:val="3"/>
        <w:autoSpaceDE/>
        <w:autoSpaceDN/>
        <w:spacing w:before="240" w:after="240"/>
        <w:ind w:left="1276" w:hanging="646"/>
        <w:rPr>
          <w:rFonts w:eastAsia="宋体"/>
        </w:rPr>
      </w:pPr>
      <w:bookmarkStart w:id="24" w:name="_Toc98778563"/>
      <w:bookmarkStart w:id="25" w:name="_Toc97473514"/>
      <w:r>
        <w:rPr>
          <w:rFonts w:eastAsia="宋体"/>
        </w:rPr>
        <w:t>C.</w:t>
      </w:r>
      <w:r>
        <w:rPr>
          <w:rFonts w:eastAsia="宋体"/>
        </w:rPr>
        <w:tab/>
      </w:r>
      <w:r>
        <w:rPr>
          <w:rFonts w:eastAsia="宋体"/>
        </w:rPr>
        <w:t>补充文件</w:t>
      </w:r>
      <w:bookmarkEnd w:id="24"/>
      <w:bookmarkEnd w:id="25"/>
    </w:p>
    <w:p w14:paraId="67886E5C">
      <w:pPr>
        <w:autoSpaceDE/>
        <w:autoSpaceDN/>
        <w:snapToGrid w:val="0"/>
        <w:ind w:firstLine="480" w:firstLineChars="200"/>
        <w:jc w:val="both"/>
        <w:rPr>
          <w:rFonts w:eastAsia="宋体"/>
          <w:color w:val="000000"/>
          <w:sz w:val="24"/>
          <w:szCs w:val="24"/>
        </w:rPr>
      </w:pPr>
      <w:r>
        <w:rPr>
          <w:rFonts w:eastAsia="宋体"/>
          <w:color w:val="000000"/>
          <w:sz w:val="24"/>
          <w:szCs w:val="24"/>
        </w:rPr>
        <w:t>建议在ASCA试点下进行的所有试验都需提供一份ASCA汇总试验报告。本指南的附录B-J中提供了ASCA汇总试验报告的示例。请注意，ASCA认证的检测实验室将ASCA汇总试验报告提供给器械制造商，然后制造商将其与自己的DOC一起列入提交给FDA的上市前申请。根据DOC或ASCA汇总试验报告中提供的信息，FDA可能需要也可能不需要审评生物相容性试验的完整试验报告，</w:t>
      </w:r>
      <w:r>
        <w:rPr>
          <w:rStyle w:val="17"/>
          <w:rFonts w:eastAsia="宋体"/>
          <w:sz w:val="24"/>
          <w:szCs w:val="24"/>
        </w:rPr>
        <w:footnoteReference w:id="14"/>
      </w:r>
      <w:r>
        <w:rPr>
          <w:rFonts w:eastAsia="宋体"/>
          <w:color w:val="000000"/>
          <w:sz w:val="24"/>
          <w:szCs w:val="24"/>
        </w:rPr>
        <w:t>试验实验室/器械制造商也可能被要求提供支持监管决定的理由。</w:t>
      </w:r>
    </w:p>
    <w:p w14:paraId="36FC295B">
      <w:pPr>
        <w:autoSpaceDE/>
        <w:autoSpaceDN/>
        <w:snapToGrid w:val="0"/>
        <w:jc w:val="both"/>
        <w:rPr>
          <w:rFonts w:eastAsia="宋体"/>
          <w:sz w:val="24"/>
          <w:szCs w:val="24"/>
        </w:rPr>
      </w:pPr>
    </w:p>
    <w:p w14:paraId="1C0B2E76">
      <w:pPr>
        <w:autoSpaceDE/>
        <w:autoSpaceDN/>
        <w:snapToGrid w:val="0"/>
        <w:ind w:firstLine="480" w:firstLineChars="200"/>
        <w:jc w:val="both"/>
        <w:rPr>
          <w:rFonts w:eastAsia="宋体"/>
          <w:color w:val="000000"/>
          <w:sz w:val="24"/>
          <w:szCs w:val="24"/>
        </w:rPr>
      </w:pPr>
      <w:r>
        <w:rPr>
          <w:rFonts w:eastAsia="宋体"/>
          <w:color w:val="000000"/>
          <w:sz w:val="24"/>
          <w:szCs w:val="24"/>
        </w:rPr>
        <w:t>在ASCA试点期间，如果标准和试验方法在试验时属于检测实验室的</w:t>
      </w:r>
      <w:r>
        <w:rPr>
          <w:rFonts w:eastAsia="宋体"/>
          <w:i/>
          <w:iCs/>
          <w:color w:val="000000"/>
          <w:sz w:val="24"/>
          <w:szCs w:val="24"/>
        </w:rPr>
        <w:t>ASCA认证</w:t>
      </w:r>
      <w:r>
        <w:rPr>
          <w:rFonts w:eastAsia="宋体"/>
          <w:color w:val="000000"/>
          <w:sz w:val="24"/>
          <w:szCs w:val="24"/>
        </w:rPr>
        <w:t>范围，FDA一般会接受来自ASCA认证的检测实验室的认定（即试验结果）。FDA可能要求和审评与ASCA认证的检测实验室的试验有关的额外信息的情况，在题为《符合性评估认证计划（ASCA）试点计划》的指南第XIIIA节的要点中有所描述。</w:t>
      </w:r>
    </w:p>
    <w:p w14:paraId="3B9A215D">
      <w:pPr>
        <w:autoSpaceDE/>
        <w:autoSpaceDN/>
        <w:snapToGrid w:val="0"/>
        <w:jc w:val="both"/>
        <w:rPr>
          <w:rFonts w:eastAsia="宋体"/>
          <w:sz w:val="24"/>
          <w:szCs w:val="24"/>
        </w:rPr>
      </w:pPr>
    </w:p>
    <w:p w14:paraId="4C877AF1">
      <w:pPr>
        <w:autoSpaceDE/>
        <w:autoSpaceDN/>
        <w:snapToGrid w:val="0"/>
        <w:ind w:firstLine="480" w:firstLineChars="200"/>
        <w:jc w:val="both"/>
        <w:rPr>
          <w:rFonts w:eastAsia="宋体"/>
          <w:sz w:val="24"/>
          <w:szCs w:val="24"/>
        </w:rPr>
      </w:pPr>
      <w:r>
        <w:rPr>
          <w:rFonts w:eastAsia="宋体"/>
          <w:color w:val="000000"/>
          <w:sz w:val="24"/>
          <w:szCs w:val="24"/>
        </w:rPr>
        <w:t>只有在使用特定的试验方法和验收标准时，ASCA试点过程和政策才能增强对试验结果的信心。例如，FDA审评界定</w:t>
      </w:r>
      <w:r>
        <w:rPr>
          <w:rFonts w:eastAsia="宋体"/>
          <w:i/>
          <w:iCs/>
          <w:color w:val="000000"/>
          <w:sz w:val="24"/>
          <w:szCs w:val="24"/>
        </w:rPr>
        <w:t>ASCA认证</w:t>
      </w:r>
      <w:r>
        <w:rPr>
          <w:rFonts w:eastAsia="宋体"/>
          <w:color w:val="000000"/>
          <w:sz w:val="24"/>
          <w:szCs w:val="24"/>
        </w:rPr>
        <w:t>范围包括生物相容性试验的检测实验室的SOP索引和任何相关的ASCA试验相关文件（例如，SOP、工作指南、主方案、试验特定方案、数据收集工作表、培训信息）的副本。这种审评使FDA了解到试验是如何进行的，从而增强了对ASCA认证的检测实验室的能力的信心。根据特定的器械或预期用途，在</w:t>
      </w:r>
      <w:r>
        <w:rPr>
          <w:rFonts w:eastAsia="宋体"/>
          <w:i/>
          <w:iCs/>
          <w:color w:val="000000"/>
          <w:sz w:val="24"/>
          <w:szCs w:val="24"/>
        </w:rPr>
        <w:t>ASCA认证</w:t>
      </w:r>
      <w:r>
        <w:rPr>
          <w:rFonts w:eastAsia="宋体"/>
          <w:color w:val="000000"/>
          <w:sz w:val="24"/>
          <w:szCs w:val="24"/>
        </w:rPr>
        <w:t>申请过程中提交给FDA的试验文件的偏离或修正案</w:t>
      </w:r>
      <w:r>
        <w:rPr>
          <w:rStyle w:val="17"/>
          <w:rFonts w:eastAsia="宋体"/>
          <w:sz w:val="24"/>
          <w:szCs w:val="24"/>
        </w:rPr>
        <w:footnoteReference w:id="15"/>
      </w:r>
      <w:r>
        <w:rPr>
          <w:rFonts w:eastAsia="宋体"/>
          <w:color w:val="000000"/>
          <w:sz w:val="24"/>
          <w:szCs w:val="24"/>
        </w:rPr>
        <w:t>可能是适当的。在这种情况下，FDA建议在上市前申请的文件中包括一份完整的试验报告。FDA还建议在上市前申请的特定情况下（根据FDA的审评经验），将完整的试验报告包括在其中，这些情况在下面和每个ASCA汇总试验报告的示例中都有说明（</w:t>
      </w:r>
      <w:r>
        <w:rPr>
          <w:rFonts w:eastAsia="宋体"/>
          <w:i/>
          <w:iCs/>
          <w:color w:val="000000"/>
          <w:sz w:val="24"/>
          <w:szCs w:val="24"/>
        </w:rPr>
        <w:t>参考附录B-J</w:t>
      </w:r>
      <w:r>
        <w:rPr>
          <w:rFonts w:eastAsia="宋体"/>
          <w:color w:val="000000"/>
          <w:sz w:val="24"/>
          <w:szCs w:val="24"/>
        </w:rPr>
        <w:t>）。</w:t>
      </w:r>
    </w:p>
    <w:p w14:paraId="7239486B">
      <w:pPr>
        <w:tabs>
          <w:tab w:val="left" w:pos="178"/>
        </w:tabs>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34A176C4">
      <w:pPr>
        <w:autoSpaceDE/>
        <w:autoSpaceDN/>
        <w:snapToGrid w:val="0"/>
        <w:ind w:firstLine="480" w:firstLineChars="200"/>
        <w:jc w:val="both"/>
        <w:rPr>
          <w:rFonts w:eastAsia="宋体"/>
          <w:sz w:val="24"/>
          <w:szCs w:val="24"/>
        </w:rPr>
      </w:pPr>
      <w:r>
        <w:rPr>
          <w:rFonts w:eastAsia="宋体"/>
          <w:color w:val="000000"/>
          <w:sz w:val="24"/>
          <w:szCs w:val="24"/>
        </w:rPr>
        <w:t>为了让FDA确定是否需要任何额外的信息，以及ASCA汇总试验报告是否不足以进行评估，建议在下列情况下对医疗器械进行生物相容性试验时提供完整的试验报告（除ASCA汇总试验报告外）。</w:t>
      </w:r>
    </w:p>
    <w:p w14:paraId="23B8C3C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如果试验样品是按照ASCA汇总试验报告上规定的ASCA试验样品制备SOP制备的（</w:t>
      </w:r>
      <w:r>
        <w:rPr>
          <w:rFonts w:eastAsia="宋体"/>
          <w:i/>
          <w:iCs/>
          <w:color w:val="000000"/>
          <w:sz w:val="24"/>
          <w:szCs w:val="24"/>
        </w:rPr>
        <w:t>参考本指南附录B-J</w:t>
      </w:r>
      <w:r>
        <w:rPr>
          <w:rFonts w:eastAsia="宋体"/>
          <w:color w:val="000000"/>
          <w:sz w:val="24"/>
          <w:szCs w:val="24"/>
        </w:rPr>
        <w:t>），并有偏离/修正案（例如，过滤、浸提液处理、pH值调节）</w:t>
      </w:r>
    </w:p>
    <w:p w14:paraId="60AAC66D">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如果使用的浸提溶剂、比率或条件不是ASCA汇总试验报告示例中特别指出的那些（</w:t>
      </w:r>
      <w:r>
        <w:rPr>
          <w:rFonts w:eastAsia="宋体"/>
          <w:i/>
          <w:iCs/>
          <w:color w:val="000000"/>
          <w:sz w:val="24"/>
          <w:szCs w:val="24"/>
        </w:rPr>
        <w:t>参考本指南附录B-J）</w:t>
      </w:r>
    </w:p>
    <w:p w14:paraId="07A89B00">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如果试验样品和/或浸提液中的颜色/浊度或颗粒有任何变化，或试验样品有肿胀/降解现象</w:t>
      </w:r>
    </w:p>
    <w:p w14:paraId="5EE8B518">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如果试验是按照ASCA汇总试验报告上指定的ASCA试验方法SOP进行的（</w:t>
      </w:r>
      <w:r>
        <w:rPr>
          <w:rFonts w:eastAsia="宋体"/>
          <w:i/>
          <w:iCs/>
          <w:color w:val="000000"/>
          <w:sz w:val="24"/>
          <w:szCs w:val="24"/>
        </w:rPr>
        <w:t>参考本指南附录B-J</w:t>
      </w:r>
      <w:r>
        <w:rPr>
          <w:rFonts w:eastAsia="宋体"/>
          <w:color w:val="000000"/>
          <w:sz w:val="24"/>
          <w:szCs w:val="24"/>
        </w:rPr>
        <w:t>），并按照CFR第21篇第58部分的规定与偏离/修正案进行。</w:t>
      </w:r>
    </w:p>
    <w:p w14:paraId="355BC25E">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用于刺激性-皮内反应性（ISO 10993-10）试验：</w:t>
      </w:r>
    </w:p>
    <w:p w14:paraId="70A73DDD">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如果试验样品和对照品的总评分差大于1（即根据ISO 10993-10:2010，第6.4.7条），或者在任何时间点，任何动物的任何氯化钠对照部位的结果为非零，或者任何动物的任何油类对照部位的结果大于1。</w:t>
      </w:r>
    </w:p>
    <w:p w14:paraId="0A427B62">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14:paraId="3B8AD123">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对于细胞毒性-MEM洗脱法（ISO 10993-5）试验：如果试验样品、介质对照或阴性对照的结果为非零，或阳性对照在任何时间点的结果小于3。</w:t>
      </w:r>
    </w:p>
    <w:p w14:paraId="2B543021">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对皮肤的刺激（ISO 10993-10）。</w:t>
      </w:r>
    </w:p>
    <w:p w14:paraId="542AAF8A">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如果使用了直接接触，并且试验样品不是整个最终完成的器械或根据ASCA试验样品制备SOP选择的代表性样品</w:t>
      </w:r>
    </w:p>
    <w:p w14:paraId="134658E4">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如果除24小时、48小时和72小时外，使用不同的时间点计算主要刺激性评分，如果在任何时间点有任何非零的试验或对照（例如，直接接触对照：纱布；浸提试验对照：氯化钠或油）结果。</w:t>
      </w:r>
    </w:p>
    <w:p w14:paraId="3228A049">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14:paraId="39DFEE1D">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用于豚鼠最大剂量致敏性（ISO 10993-10和ASTM F720）：</w:t>
      </w:r>
    </w:p>
    <w:p w14:paraId="642B41B5">
      <w:pPr>
        <w:autoSpaceDE/>
        <w:autoSpaceDN/>
        <w:snapToGrid w:val="0"/>
        <w:jc w:val="both"/>
        <w:rPr>
          <w:rFonts w:eastAsia="宋体"/>
          <w:color w:val="000000"/>
          <w:sz w:val="24"/>
          <w:szCs w:val="24"/>
          <w:vertAlign w:val="superscript"/>
        </w:rPr>
      </w:pPr>
    </w:p>
    <w:p w14:paraId="08589212">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52B150E">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如果试验组中观察到Magnusson和Kligman等级为1或更高，但在相应的氯化钠或油类对照动物中看到的等级低于1（即，根据ISO 10993-10:2010，第7.5.6条）。</w:t>
      </w:r>
    </w:p>
    <w:p w14:paraId="7F633067">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如果阳性对照品的来源、菌种、处理方法或时间发生差异</w:t>
      </w:r>
    </w:p>
    <w:p w14:paraId="6557C2C4">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14:paraId="13444D3C">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用于闭合斑贴致敏性（ISO 10993-10）：</w:t>
      </w:r>
    </w:p>
    <w:p w14:paraId="1794A582">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如果使用了直接接触，并且试验样品不是整个最终完成的器械或根据ASCA试验样品制备SOP选择的代表性样品</w:t>
      </w:r>
    </w:p>
    <w:p w14:paraId="4C4BC42B">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如果在试验组中观察到Magnusson和Kligman等级为1或更高，在阴性对照动物中看到的等级低于1（即根据ISO 10993-10:2010，第7.5.6条），或者氯化钠和油类介质对照品&gt;0级</w:t>
      </w:r>
    </w:p>
    <w:p w14:paraId="68BB3A73">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如果阳性对照品的来源、菌种、处理方法或时间发生差异</w:t>
      </w:r>
    </w:p>
    <w:p w14:paraId="60CCD1A2">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14:paraId="30AA4DBF">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用于急性全身性毒性（ISO 10993-11）：</w:t>
      </w:r>
    </w:p>
    <w:p w14:paraId="3CF18F28">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如果任何试验或对照动物死亡或有任何不良临床发现</w:t>
      </w:r>
    </w:p>
    <w:p w14:paraId="1F5A50A1">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如果任何试验动物的体重下降超过10%。</w:t>
      </w:r>
    </w:p>
    <w:p w14:paraId="0027E2F5">
      <w:pPr>
        <w:pStyle w:val="28"/>
        <w:numPr>
          <w:ilvl w:val="0"/>
          <w:numId w:val="3"/>
        </w:numPr>
        <w:autoSpaceDE/>
        <w:autoSpaceDN/>
        <w:snapToGrid w:val="0"/>
        <w:ind w:left="1460" w:leftChars="550" w:hanging="360" w:hangingChars="150"/>
        <w:jc w:val="both"/>
        <w:rPr>
          <w:rFonts w:eastAsia="宋体"/>
          <w:color w:val="000000"/>
          <w:sz w:val="24"/>
          <w:szCs w:val="24"/>
        </w:rPr>
      </w:pPr>
      <w:r>
        <w:rPr>
          <w:rFonts w:eastAsia="宋体"/>
          <w:color w:val="000000"/>
          <w:sz w:val="24"/>
          <w:szCs w:val="24"/>
        </w:rPr>
        <w:t>对于材料介导的热原性（ISO 10993-11和USP 151）：</w:t>
      </w:r>
    </w:p>
    <w:p w14:paraId="41894D69">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如果任何兔子的基线温度超过39.8°C，或任何兔子的温度上升≥0.5°C</w:t>
      </w:r>
    </w:p>
    <w:p w14:paraId="68A94ADE">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如果出现不良临床发现或动物死亡。</w:t>
      </w:r>
    </w:p>
    <w:p w14:paraId="55F24DF3">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用于直接和间接溶血（ISO 10993-4和ASTM F756）：</w:t>
      </w:r>
    </w:p>
    <w:p w14:paraId="10E5C595">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如果使用了直接接触，并且试验样品不是整个最终完成的器械或根据ASCA试验样品制备SOP选择的代表性样品</w:t>
      </w:r>
    </w:p>
    <w:p w14:paraId="1D463570">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如果使用了直接接触，并且使用了不含镁和钙的PBS以外的稀释剂（即，根据ASTM F756-17，第3.1.10节）</w:t>
      </w:r>
    </w:p>
    <w:p w14:paraId="6E38904F">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如果使用了直接接触，并且使用了除ASCA汇总试验报告</w:t>
      </w:r>
      <w:r>
        <w:rPr>
          <w:rFonts w:eastAsia="宋体"/>
          <w:i/>
          <w:iCs/>
          <w:color w:val="000000"/>
          <w:sz w:val="24"/>
          <w:szCs w:val="24"/>
        </w:rPr>
        <w:t>（参考本指南的附录I）</w:t>
      </w:r>
      <w:r>
        <w:rPr>
          <w:rFonts w:eastAsia="宋体"/>
          <w:color w:val="000000"/>
          <w:sz w:val="24"/>
          <w:szCs w:val="24"/>
        </w:rPr>
        <w:t>中特别指出的暴露率（即，根据ASTM F756-17，第9.2.1节）</w:t>
      </w:r>
    </w:p>
    <w:p w14:paraId="223329E0">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如果阴性对照和阳性对照没有达到预期的效果，则阴性对照、试验样品和空白在所有重复中的吸光度值为0.000，或试验样品的溶血指数评分≥2%。</w:t>
      </w:r>
    </w:p>
    <w:p w14:paraId="40E71B01">
      <w:pPr>
        <w:pStyle w:val="28"/>
        <w:numPr>
          <w:ilvl w:val="0"/>
          <w:numId w:val="3"/>
        </w:numPr>
        <w:autoSpaceDE/>
        <w:autoSpaceDN/>
        <w:snapToGrid w:val="0"/>
        <w:ind w:left="1460" w:leftChars="550" w:hanging="360" w:hangingChars="150"/>
        <w:jc w:val="both"/>
        <w:rPr>
          <w:rFonts w:eastAsia="宋体"/>
          <w:sz w:val="24"/>
          <w:szCs w:val="24"/>
        </w:rPr>
      </w:pPr>
      <w:r>
        <w:rPr>
          <w:rFonts w:eastAsia="宋体"/>
          <w:color w:val="000000"/>
          <w:sz w:val="24"/>
          <w:szCs w:val="24"/>
        </w:rPr>
        <w:t>用于补体激活（ISO 10993-4）：</w:t>
      </w:r>
    </w:p>
    <w:p w14:paraId="2D80396D">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如果试验样品不是整个最终完成的器械，或根据ASCA试验样品制备SOP选择的代表性样品</w:t>
      </w:r>
    </w:p>
    <w:p w14:paraId="51AF9374">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如果使用了除ASCA汇总试验报告示例中特别指出的试验介质以外的试验介质</w:t>
      </w:r>
      <w:r>
        <w:rPr>
          <w:rFonts w:eastAsia="宋体"/>
          <w:i/>
          <w:iCs/>
          <w:color w:val="000000"/>
          <w:sz w:val="24"/>
          <w:szCs w:val="24"/>
        </w:rPr>
        <w:t>（参考本指南的附录J）</w:t>
      </w:r>
    </w:p>
    <w:p w14:paraId="0A95DC79">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如果使用了ASCA汇总试验报告示例中特别指出的暴露率或条件</w:t>
      </w:r>
      <w:r>
        <w:rPr>
          <w:rFonts w:eastAsia="宋体"/>
          <w:i/>
          <w:iCs/>
          <w:color w:val="000000"/>
          <w:sz w:val="24"/>
          <w:szCs w:val="24"/>
        </w:rPr>
        <w:t>（参考本指南的附录J）</w:t>
      </w:r>
      <w:r>
        <w:rPr>
          <w:rFonts w:eastAsia="宋体"/>
          <w:color w:val="000000"/>
          <w:sz w:val="24"/>
          <w:szCs w:val="24"/>
        </w:rPr>
        <w:t>以外的条件</w:t>
      </w:r>
    </w:p>
    <w:p w14:paraId="40A82F9F">
      <w:pPr>
        <w:tabs>
          <w:tab w:val="left" w:pos="1070"/>
        </w:tabs>
        <w:autoSpaceDE/>
        <w:autoSpaceDN/>
        <w:snapToGrid w:val="0"/>
        <w:jc w:val="both"/>
        <w:rPr>
          <w:rFonts w:eastAsia="宋体"/>
          <w:color w:val="000000"/>
          <w:sz w:val="24"/>
          <w:szCs w:val="24"/>
        </w:rPr>
      </w:pPr>
    </w:p>
    <w:p w14:paraId="29E3ACF0">
      <w:pPr>
        <w:tabs>
          <w:tab w:val="left" w:pos="1070"/>
        </w:tabs>
        <w:autoSpaceDE/>
        <w:autoSpaceDN/>
        <w:snapToGrid w:val="0"/>
        <w:jc w:val="both"/>
        <w:rPr>
          <w:rFonts w:eastAsia="宋体"/>
          <w:color w:val="000000"/>
          <w:sz w:val="24"/>
          <w:szCs w:val="24"/>
        </w:rPr>
        <w:sectPr>
          <w:pgSz w:w="11906" w:h="16838"/>
          <w:pgMar w:top="1134" w:right="1134" w:bottom="1134" w:left="1418" w:header="567" w:footer="567" w:gutter="0"/>
          <w:cols w:space="60" w:num="1"/>
          <w:docGrid w:linePitch="272" w:charSpace="0"/>
        </w:sectPr>
      </w:pPr>
    </w:p>
    <w:p w14:paraId="6A1A58EB">
      <w:pPr>
        <w:pStyle w:val="28"/>
        <w:numPr>
          <w:ilvl w:val="0"/>
          <w:numId w:val="3"/>
        </w:numPr>
        <w:autoSpaceDE/>
        <w:autoSpaceDN/>
        <w:snapToGrid w:val="0"/>
        <w:ind w:left="2260" w:leftChars="950" w:hanging="360" w:hangingChars="150"/>
        <w:jc w:val="both"/>
        <w:rPr>
          <w:rFonts w:eastAsia="宋体"/>
          <w:color w:val="000000"/>
          <w:sz w:val="24"/>
          <w:szCs w:val="24"/>
        </w:rPr>
      </w:pPr>
      <w:r>
        <w:rPr>
          <w:rFonts w:eastAsia="宋体"/>
          <w:color w:val="000000"/>
          <w:sz w:val="24"/>
          <w:szCs w:val="24"/>
        </w:rPr>
        <w:t>如果试验介质、阴性、阳性和比较对照的表现没有达到预期的效果，或者与阴性或比较对照相比，试验样品的SC5b-9的增加有统计学意义。</w:t>
      </w:r>
    </w:p>
    <w:p w14:paraId="3BF9B74B">
      <w:pPr>
        <w:pStyle w:val="2"/>
        <w:autoSpaceDE/>
        <w:autoSpaceDN/>
        <w:spacing w:before="240" w:after="240"/>
        <w:rPr>
          <w:rFonts w:eastAsia="宋体"/>
        </w:rPr>
      </w:pPr>
      <w:bookmarkStart w:id="26" w:name="bookmark21"/>
      <w:bookmarkStart w:id="27" w:name="_Toc97473515"/>
      <w:bookmarkStart w:id="28" w:name="_Toc98778564"/>
      <w:r>
        <w:rPr>
          <w:rFonts w:eastAsia="宋体"/>
        </w:rPr>
        <w:t>V</w:t>
      </w:r>
      <w:bookmarkEnd w:id="26"/>
      <w:r>
        <w:rPr>
          <w:rFonts w:eastAsia="宋体"/>
        </w:rPr>
        <w:t>I.</w:t>
      </w:r>
      <w:r>
        <w:rPr>
          <w:rFonts w:eastAsia="宋体"/>
        </w:rPr>
        <w:tab/>
      </w:r>
      <w:r>
        <w:rPr>
          <w:rFonts w:eastAsia="宋体"/>
        </w:rPr>
        <w:t>1995年</w:t>
      </w:r>
      <w:bookmarkEnd w:id="27"/>
      <w:r>
        <w:rPr>
          <w:rFonts w:eastAsia="宋体"/>
        </w:rPr>
        <w:t>《文书削减法》</w:t>
      </w:r>
      <w:bookmarkEnd w:id="28"/>
    </w:p>
    <w:p w14:paraId="12B92C4D">
      <w:pPr>
        <w:autoSpaceDE/>
        <w:autoSpaceDN/>
        <w:snapToGrid w:val="0"/>
        <w:ind w:firstLine="480" w:firstLineChars="200"/>
        <w:jc w:val="both"/>
        <w:rPr>
          <w:rFonts w:eastAsia="宋体"/>
          <w:color w:val="000000"/>
          <w:sz w:val="24"/>
          <w:szCs w:val="24"/>
        </w:rPr>
      </w:pPr>
      <w:r>
        <w:rPr>
          <w:rFonts w:eastAsia="宋体"/>
          <w:color w:val="000000"/>
          <w:sz w:val="24"/>
          <w:szCs w:val="24"/>
        </w:rPr>
        <w:t>本指南包含信息收集条款，这些条款须经管理和预算办公室（OMB）根据1995年《文书削减法》（44 U.S.C. 3501-3521）进行审评。</w:t>
      </w:r>
    </w:p>
    <w:p w14:paraId="7957E7D0">
      <w:pPr>
        <w:autoSpaceDE/>
        <w:autoSpaceDN/>
        <w:snapToGrid w:val="0"/>
        <w:jc w:val="both"/>
        <w:rPr>
          <w:rFonts w:eastAsia="宋体"/>
          <w:sz w:val="24"/>
          <w:szCs w:val="24"/>
        </w:rPr>
      </w:pPr>
    </w:p>
    <w:p w14:paraId="7869B826">
      <w:pPr>
        <w:autoSpaceDE/>
        <w:autoSpaceDN/>
        <w:snapToGrid w:val="0"/>
        <w:ind w:firstLine="480" w:firstLineChars="200"/>
        <w:jc w:val="both"/>
        <w:rPr>
          <w:rFonts w:eastAsia="宋体"/>
          <w:color w:val="000000"/>
          <w:sz w:val="24"/>
          <w:szCs w:val="24"/>
        </w:rPr>
      </w:pPr>
      <w:r>
        <w:rPr>
          <w:rFonts w:eastAsia="宋体"/>
          <w:color w:val="000000"/>
          <w:sz w:val="24"/>
          <w:szCs w:val="24"/>
        </w:rPr>
        <w:t>据估计，完成这一项信息收集工作所需的时间为</w:t>
      </w:r>
      <w:r>
        <w:rPr>
          <w:rStyle w:val="17"/>
          <w:rFonts w:eastAsia="宋体"/>
          <w:sz w:val="24"/>
          <w:szCs w:val="24"/>
        </w:rPr>
        <w:footnoteReference w:id="16"/>
      </w:r>
      <w:r>
        <w:rPr>
          <w:rFonts w:eastAsia="宋体"/>
          <w:color w:val="000000"/>
          <w:sz w:val="24"/>
          <w:szCs w:val="24"/>
        </w:rPr>
        <w:t>，认证机构每次回应平均95小时，检测实验室47小时。将有关此工作估计的意见或减轻此工作的建议发送至：</w:t>
      </w:r>
    </w:p>
    <w:p w14:paraId="033B9D5A">
      <w:pPr>
        <w:autoSpaceDE/>
        <w:autoSpaceDN/>
        <w:snapToGrid w:val="0"/>
        <w:jc w:val="both"/>
        <w:rPr>
          <w:rFonts w:eastAsia="宋体"/>
          <w:sz w:val="24"/>
          <w:szCs w:val="24"/>
        </w:rPr>
      </w:pPr>
    </w:p>
    <w:p w14:paraId="79CA6499">
      <w:pPr>
        <w:autoSpaceDE/>
        <w:autoSpaceDN/>
        <w:snapToGrid w:val="0"/>
        <w:jc w:val="both"/>
        <w:rPr>
          <w:rFonts w:eastAsia="宋体"/>
          <w:sz w:val="24"/>
          <w:szCs w:val="24"/>
        </w:rPr>
      </w:pPr>
      <w:r>
        <w:rPr>
          <w:rFonts w:eastAsia="宋体"/>
          <w:color w:val="000000"/>
          <w:sz w:val="24"/>
          <w:szCs w:val="24"/>
        </w:rPr>
        <w:t>美国食品药品监督管理局，</w:t>
      </w:r>
    </w:p>
    <w:p w14:paraId="2DA0B11C">
      <w:pPr>
        <w:autoSpaceDE/>
        <w:autoSpaceDN/>
        <w:snapToGrid w:val="0"/>
        <w:jc w:val="both"/>
        <w:rPr>
          <w:rFonts w:eastAsia="宋体"/>
          <w:sz w:val="24"/>
          <w:szCs w:val="24"/>
        </w:rPr>
      </w:pPr>
      <w:r>
        <w:rPr>
          <w:rFonts w:eastAsia="宋体"/>
          <w:color w:val="000000"/>
          <w:sz w:val="24"/>
          <w:szCs w:val="24"/>
        </w:rPr>
        <w:t>运营办公室，</w:t>
      </w:r>
    </w:p>
    <w:p w14:paraId="157AE5CC">
      <w:pPr>
        <w:autoSpaceDE/>
        <w:autoSpaceDN/>
        <w:snapToGrid w:val="0"/>
        <w:jc w:val="both"/>
        <w:rPr>
          <w:rFonts w:eastAsia="宋体"/>
          <w:sz w:val="24"/>
          <w:szCs w:val="24"/>
        </w:rPr>
      </w:pPr>
      <w:r>
        <w:rPr>
          <w:rFonts w:eastAsia="宋体"/>
          <w:color w:val="000000"/>
          <w:sz w:val="24"/>
          <w:szCs w:val="24"/>
        </w:rPr>
        <w:t>FDA PRA工作人员，</w:t>
      </w:r>
    </w:p>
    <w:p w14:paraId="58E030E2">
      <w:pPr>
        <w:autoSpaceDE/>
        <w:autoSpaceDN/>
        <w:snapToGrid w:val="0"/>
        <w:jc w:val="both"/>
        <w:rPr>
          <w:rFonts w:eastAsia="宋体"/>
          <w:sz w:val="24"/>
          <w:szCs w:val="24"/>
        </w:rPr>
      </w:pPr>
      <w:r>
        <w:rPr>
          <w:rFonts w:eastAsia="宋体"/>
          <w:color w:val="0000FF"/>
          <w:sz w:val="24"/>
          <w:szCs w:val="24"/>
        </w:rPr>
        <w:t>PRAStaff@fda.hhs.gov</w:t>
      </w:r>
    </w:p>
    <w:p w14:paraId="569F4AD1">
      <w:pPr>
        <w:autoSpaceDE/>
        <w:autoSpaceDN/>
        <w:snapToGrid w:val="0"/>
        <w:jc w:val="both"/>
        <w:rPr>
          <w:rFonts w:eastAsia="宋体"/>
          <w:color w:val="000000"/>
          <w:sz w:val="24"/>
          <w:szCs w:val="24"/>
        </w:rPr>
      </w:pPr>
    </w:p>
    <w:p w14:paraId="519BF636">
      <w:pPr>
        <w:autoSpaceDE/>
        <w:autoSpaceDN/>
        <w:snapToGrid w:val="0"/>
        <w:ind w:firstLine="480" w:firstLineChars="200"/>
        <w:jc w:val="both"/>
        <w:rPr>
          <w:rFonts w:eastAsia="宋体"/>
          <w:sz w:val="24"/>
          <w:szCs w:val="24"/>
        </w:rPr>
      </w:pPr>
      <w:r>
        <w:rPr>
          <w:rFonts w:eastAsia="宋体"/>
          <w:color w:val="000000"/>
          <w:sz w:val="24"/>
          <w:szCs w:val="24"/>
        </w:rPr>
        <w:t>除非显示当前有效的OMB控制编号，否则</w:t>
      </w:r>
      <w:r>
        <w:rPr>
          <w:rFonts w:hint="eastAsia" w:eastAsia="宋体"/>
          <w:color w:val="000000"/>
          <w:sz w:val="24"/>
          <w:szCs w:val="24"/>
        </w:rPr>
        <w:t>F</w:t>
      </w:r>
      <w:r>
        <w:rPr>
          <w:rFonts w:eastAsia="宋体"/>
          <w:color w:val="000000"/>
          <w:sz w:val="24"/>
          <w:szCs w:val="24"/>
        </w:rPr>
        <w:t>DA不得进行或发起信息收集，并且个人无需回应。该信息收集的OMB控制号是0910-0889（2023年6月30日到期）。</w:t>
      </w:r>
    </w:p>
    <w:p w14:paraId="5F53E675">
      <w:pPr>
        <w:autoSpaceDE/>
        <w:autoSpaceDN/>
        <w:snapToGrid w:val="0"/>
        <w:jc w:val="both"/>
        <w:rPr>
          <w:rFonts w:eastAsia="宋体"/>
          <w:sz w:val="24"/>
          <w:szCs w:val="24"/>
        </w:rPr>
      </w:pPr>
    </w:p>
    <w:p w14:paraId="1142D5A4">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9B4BDA6">
      <w:pPr>
        <w:pStyle w:val="2"/>
        <w:autoSpaceDE/>
        <w:autoSpaceDN/>
        <w:spacing w:before="240" w:after="240"/>
        <w:rPr>
          <w:rFonts w:eastAsia="宋体"/>
        </w:rPr>
      </w:pPr>
      <w:bookmarkStart w:id="29" w:name="bookmark23"/>
      <w:bookmarkEnd w:id="29"/>
      <w:bookmarkStart w:id="30" w:name="_Toc98778565"/>
      <w:bookmarkStart w:id="31" w:name="_Toc97473516"/>
      <w:r>
        <w:rPr>
          <w:rFonts w:eastAsia="宋体"/>
        </w:rPr>
        <w:t>附录A：ASCA试点中的医疗器械生物学评价标准的ASCA符合性声明（DOC）示例</w:t>
      </w:r>
      <w:bookmarkEnd w:id="30"/>
      <w:bookmarkEnd w:id="31"/>
    </w:p>
    <w:p w14:paraId="3BE9B106">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注：本示例旨在说明根据FDA指南的符合性声明的内容。</w:t>
      </w:r>
      <w:r>
        <w:rPr>
          <w:rFonts w:eastAsia="宋体"/>
          <w:color w:val="0000FF"/>
          <w:sz w:val="24"/>
          <w:szCs w:val="24"/>
          <w:u w:val="single"/>
        </w:rPr>
        <w:t>在医疗器械的上市前申请中适当使用自愿性共识标准</w:t>
      </w:r>
      <w:r>
        <w:rPr>
          <w:rFonts w:eastAsia="宋体"/>
          <w:i/>
          <w:iCs/>
          <w:color w:val="000000"/>
          <w:sz w:val="24"/>
          <w:szCs w:val="24"/>
        </w:rPr>
        <w:t>，器械制造商可以提交作为其上市前申请的一部分。</w:t>
      </w:r>
    </w:p>
    <w:p w14:paraId="73E5E938">
      <w:pPr>
        <w:autoSpaceDE/>
        <w:autoSpaceDN/>
        <w:snapToGrid w:val="0"/>
        <w:jc w:val="both"/>
        <w:rPr>
          <w:rFonts w:eastAsia="宋体"/>
          <w:b/>
          <w:bCs/>
          <w:color w:val="000000"/>
          <w:sz w:val="24"/>
          <w:szCs w:val="24"/>
        </w:rPr>
      </w:pPr>
    </w:p>
    <w:p w14:paraId="4C9E204A">
      <w:pPr>
        <w:autoSpaceDE/>
        <w:autoSpaceDN/>
        <w:snapToGrid w:val="0"/>
        <w:jc w:val="both"/>
        <w:rPr>
          <w:rFonts w:eastAsia="宋体"/>
          <w:sz w:val="24"/>
          <w:szCs w:val="24"/>
        </w:rPr>
      </w:pPr>
      <w:r>
        <w:rPr>
          <w:rFonts w:eastAsia="宋体"/>
          <w:b/>
          <w:bCs/>
          <w:color w:val="000000"/>
          <w:sz w:val="24"/>
          <w:szCs w:val="24"/>
        </w:rPr>
        <w:t>责任方</w:t>
      </w:r>
    </w:p>
    <w:p w14:paraId="4C8CB422">
      <w:pPr>
        <w:tabs>
          <w:tab w:val="left" w:leader="underscore" w:pos="8669"/>
        </w:tabs>
        <w:autoSpaceDE/>
        <w:autoSpaceDN/>
        <w:snapToGrid w:val="0"/>
        <w:jc w:val="both"/>
        <w:rPr>
          <w:rFonts w:eastAsia="宋体"/>
          <w:sz w:val="24"/>
          <w:szCs w:val="24"/>
        </w:rPr>
      </w:pPr>
      <w:r>
        <w:rPr>
          <w:rFonts w:eastAsia="宋体"/>
          <w:color w:val="000000"/>
          <w:sz w:val="24"/>
          <w:szCs w:val="24"/>
        </w:rPr>
        <w:t>负责DOC的实体名称：</w:t>
      </w:r>
      <w:r>
        <w:rPr>
          <w:rFonts w:eastAsia="宋体"/>
          <w:color w:val="000000"/>
          <w:sz w:val="24"/>
          <w:szCs w:val="24"/>
        </w:rPr>
        <w:tab/>
      </w:r>
    </w:p>
    <w:p w14:paraId="0642B5C6">
      <w:pPr>
        <w:tabs>
          <w:tab w:val="left" w:leader="underscore" w:pos="8640"/>
        </w:tabs>
        <w:autoSpaceDE/>
        <w:autoSpaceDN/>
        <w:snapToGrid w:val="0"/>
        <w:jc w:val="both"/>
        <w:rPr>
          <w:rFonts w:eastAsia="宋体"/>
          <w:sz w:val="24"/>
          <w:szCs w:val="24"/>
        </w:rPr>
      </w:pPr>
      <w:r>
        <w:rPr>
          <w:rFonts w:eastAsia="宋体"/>
          <w:color w:val="000000"/>
          <w:sz w:val="24"/>
          <w:szCs w:val="24"/>
        </w:rPr>
        <w:t>负责DOC的实体的地址：</w:t>
      </w:r>
      <w:r>
        <w:rPr>
          <w:rFonts w:eastAsia="宋体"/>
          <w:color w:val="000000"/>
          <w:sz w:val="24"/>
          <w:szCs w:val="24"/>
        </w:rPr>
        <w:tab/>
      </w:r>
    </w:p>
    <w:p w14:paraId="217800B5">
      <w:pPr>
        <w:autoSpaceDE/>
        <w:autoSpaceDN/>
        <w:snapToGrid w:val="0"/>
        <w:jc w:val="both"/>
        <w:rPr>
          <w:rFonts w:eastAsia="宋体"/>
          <w:b/>
          <w:bCs/>
          <w:color w:val="000000"/>
          <w:sz w:val="24"/>
          <w:szCs w:val="24"/>
        </w:rPr>
      </w:pPr>
    </w:p>
    <w:p w14:paraId="713F5168">
      <w:pPr>
        <w:autoSpaceDE/>
        <w:autoSpaceDN/>
        <w:snapToGrid w:val="0"/>
        <w:jc w:val="both"/>
        <w:rPr>
          <w:rFonts w:eastAsia="宋体"/>
          <w:sz w:val="24"/>
          <w:szCs w:val="24"/>
        </w:rPr>
      </w:pPr>
      <w:r>
        <w:rPr>
          <w:rFonts w:eastAsia="宋体"/>
          <w:b/>
          <w:bCs/>
          <w:color w:val="000000"/>
          <w:sz w:val="24"/>
          <w:szCs w:val="24"/>
        </w:rPr>
        <w:t>产品/器械识别</w:t>
      </w: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14:paraId="00D2B0A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tcBorders>
              <w:top w:val="double" w:color="auto" w:sz="4" w:space="0"/>
            </w:tcBorders>
            <w:shd w:val="clear" w:color="auto" w:fill="FFFFFF"/>
            <w:tcMar>
              <w:left w:w="57" w:type="dxa"/>
              <w:right w:w="57" w:type="dxa"/>
            </w:tcMar>
          </w:tcPr>
          <w:p w14:paraId="009AC8AF">
            <w:pPr>
              <w:autoSpaceDE/>
              <w:autoSpaceDN/>
              <w:snapToGrid w:val="0"/>
              <w:jc w:val="both"/>
              <w:rPr>
                <w:rFonts w:eastAsia="宋体"/>
                <w:sz w:val="24"/>
                <w:szCs w:val="24"/>
              </w:rPr>
            </w:pPr>
          </w:p>
          <w:p w14:paraId="5E4147AF">
            <w:pPr>
              <w:autoSpaceDE/>
              <w:autoSpaceDN/>
              <w:snapToGrid w:val="0"/>
              <w:jc w:val="both"/>
              <w:rPr>
                <w:rFonts w:eastAsia="宋体"/>
                <w:sz w:val="24"/>
                <w:szCs w:val="24"/>
              </w:rPr>
            </w:pPr>
          </w:p>
          <w:p w14:paraId="45477627">
            <w:pPr>
              <w:autoSpaceDE/>
              <w:autoSpaceDN/>
              <w:snapToGrid w:val="0"/>
              <w:jc w:val="both"/>
              <w:rPr>
                <w:rFonts w:eastAsia="宋体"/>
                <w:sz w:val="24"/>
                <w:szCs w:val="24"/>
              </w:rPr>
            </w:pPr>
          </w:p>
        </w:tc>
      </w:tr>
      <w:tr w14:paraId="0CE51E7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tcBorders>
              <w:bottom w:val="double" w:color="auto" w:sz="4" w:space="0"/>
            </w:tcBorders>
            <w:shd w:val="clear" w:color="auto" w:fill="FFFFFF"/>
            <w:tcMar>
              <w:left w:w="57" w:type="dxa"/>
              <w:right w:w="57" w:type="dxa"/>
            </w:tcMar>
          </w:tcPr>
          <w:p w14:paraId="090A05C7">
            <w:pPr>
              <w:autoSpaceDE/>
              <w:autoSpaceDN/>
              <w:snapToGrid w:val="0"/>
              <w:jc w:val="both"/>
              <w:rPr>
                <w:rFonts w:eastAsia="宋体"/>
                <w:sz w:val="24"/>
                <w:szCs w:val="24"/>
              </w:rPr>
            </w:pPr>
            <w:r>
              <w:rPr>
                <w:rFonts w:eastAsia="宋体"/>
                <w:i/>
                <w:iCs/>
                <w:color w:val="000000"/>
                <w:sz w:val="24"/>
                <w:szCs w:val="24"/>
              </w:rPr>
              <w:t>产品/器械的所有识别信息，包括（例如，产品代码、器械营销名称、型号等）。</w:t>
            </w:r>
          </w:p>
        </w:tc>
      </w:tr>
    </w:tbl>
    <w:p w14:paraId="5B575A66">
      <w:pPr>
        <w:autoSpaceDE/>
        <w:autoSpaceDN/>
        <w:snapToGrid w:val="0"/>
        <w:jc w:val="both"/>
        <w:rPr>
          <w:rFonts w:eastAsia="宋体"/>
          <w:b/>
          <w:bCs/>
          <w:color w:val="000000"/>
          <w:sz w:val="24"/>
          <w:szCs w:val="24"/>
        </w:rPr>
      </w:pPr>
    </w:p>
    <w:p w14:paraId="1298D0B9">
      <w:pPr>
        <w:autoSpaceDE/>
        <w:autoSpaceDN/>
        <w:snapToGrid w:val="0"/>
        <w:jc w:val="both"/>
        <w:rPr>
          <w:rFonts w:eastAsia="宋体"/>
          <w:sz w:val="24"/>
          <w:szCs w:val="24"/>
        </w:rPr>
      </w:pPr>
      <w:r>
        <w:rPr>
          <w:rFonts w:eastAsia="宋体"/>
          <w:b/>
          <w:bCs/>
          <w:color w:val="000000"/>
          <w:sz w:val="24"/>
          <w:szCs w:val="24"/>
        </w:rPr>
        <w:t>符合性声明</w:t>
      </w:r>
    </w:p>
    <w:p w14:paraId="20BEB1DC">
      <w:pPr>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 xml:space="preserve"> 试验结果表明，该器械符合以下所列的标准：</w:t>
      </w:r>
      <w:r>
        <w:rPr>
          <w:rStyle w:val="17"/>
          <w:rFonts w:eastAsia="宋体"/>
          <w:sz w:val="24"/>
          <w:szCs w:val="24"/>
        </w:rPr>
        <w:footnoteReference w:id="17"/>
      </w:r>
    </w:p>
    <w:p w14:paraId="201B8879">
      <w:pPr>
        <w:autoSpaceDE/>
        <w:autoSpaceDN/>
        <w:snapToGrid w:val="0"/>
        <w:jc w:val="both"/>
        <w:rPr>
          <w:rFonts w:eastAsia="宋体"/>
          <w:color w:val="000000"/>
          <w:sz w:val="24"/>
          <w:szCs w:val="24"/>
        </w:rPr>
      </w:pPr>
    </w:p>
    <w:p w14:paraId="62345382">
      <w:pPr>
        <w:autoSpaceDE/>
        <w:autoSpaceDN/>
        <w:snapToGrid w:val="0"/>
        <w:ind w:left="660" w:leftChars="150" w:hanging="360" w:hangingChars="150"/>
        <w:jc w:val="both"/>
        <w:rPr>
          <w:rFonts w:eastAsia="宋体"/>
          <w:sz w:val="24"/>
          <w:szCs w:val="24"/>
          <w:u w:val="single"/>
        </w:rPr>
      </w:pPr>
      <w:r>
        <w:rPr>
          <w:rFonts w:eastAsia="宋体"/>
          <w:color w:val="000000"/>
          <w:sz w:val="24"/>
          <w:szCs w:val="24"/>
        </w:rPr>
        <w:t>1.</w:t>
      </w:r>
      <w:r>
        <w:rPr>
          <w:rFonts w:eastAsia="宋体"/>
          <w:color w:val="000000"/>
          <w:sz w:val="24"/>
          <w:szCs w:val="24"/>
        </w:rPr>
        <w:tab/>
      </w:r>
      <w:r>
        <w:rPr>
          <w:rFonts w:eastAsia="宋体"/>
          <w:color w:val="000000"/>
          <w:sz w:val="24"/>
          <w:szCs w:val="24"/>
        </w:rPr>
        <w:t>标准名称：（</w:t>
      </w:r>
      <w:r>
        <w:rPr>
          <w:rFonts w:eastAsia="宋体"/>
          <w:color w:val="000000"/>
          <w:sz w:val="24"/>
          <w:szCs w:val="24"/>
          <w:u w:val="single"/>
        </w:rPr>
        <w:t>例如：</w:t>
      </w:r>
      <w:r>
        <w:rPr>
          <w:rFonts w:eastAsia="宋体"/>
          <w:i/>
          <w:iCs/>
          <w:color w:val="000000"/>
          <w:sz w:val="24"/>
          <w:szCs w:val="24"/>
          <w:u w:val="single"/>
        </w:rPr>
        <w:t>ISO 10993-10 第三版 2010-08-01《医疗器械的生物学评价-第10部分：刺激与皮肤致敏试验》）-</w:t>
      </w:r>
      <w:r>
        <w:rPr>
          <w:rFonts w:eastAsia="宋体"/>
          <w:i/>
          <w:iCs/>
          <w:color w:val="000000"/>
          <w:sz w:val="24"/>
          <w:szCs w:val="24"/>
          <w:u w:val="single"/>
        </w:rPr>
        <w:tab/>
      </w:r>
    </w:p>
    <w:p w14:paraId="61A24702">
      <w:pPr>
        <w:pStyle w:val="28"/>
        <w:numPr>
          <w:ilvl w:val="0"/>
          <w:numId w:val="12"/>
        </w:numPr>
        <w:tabs>
          <w:tab w:val="left" w:pos="8505"/>
        </w:tabs>
        <w:autoSpaceDE/>
        <w:autoSpaceDN/>
        <w:snapToGrid w:val="0"/>
        <w:ind w:left="600" w:leftChars="300" w:firstLineChars="0"/>
        <w:jc w:val="both"/>
        <w:rPr>
          <w:rFonts w:eastAsia="宋体"/>
          <w:i/>
          <w:iCs/>
          <w:color w:val="000000"/>
          <w:sz w:val="24"/>
          <w:szCs w:val="24"/>
        </w:rPr>
      </w:pPr>
      <w:r>
        <w:rPr>
          <w:rFonts w:eastAsia="宋体"/>
          <w:color w:val="000000"/>
          <w:sz w:val="24"/>
          <w:szCs w:val="24"/>
        </w:rPr>
        <w:t>FDA认可</w:t>
      </w:r>
      <w:r>
        <w:rPr>
          <w:rFonts w:eastAsia="宋体"/>
          <w:i/>
          <w:iCs/>
          <w:color w:val="000000"/>
          <w:sz w:val="24"/>
          <w:szCs w:val="24"/>
        </w:rPr>
        <w:t>#：</w:t>
      </w:r>
      <w:r>
        <w:rPr>
          <w:rFonts w:eastAsia="宋体"/>
          <w:i/>
          <w:iCs/>
          <w:color w:val="000000"/>
          <w:sz w:val="24"/>
          <w:szCs w:val="24"/>
          <w:u w:val="single"/>
        </w:rPr>
        <w:t>（例如：2-174）</w:t>
      </w:r>
      <w:r>
        <w:rPr>
          <w:rFonts w:eastAsia="宋体"/>
          <w:i/>
          <w:iCs/>
          <w:color w:val="000000"/>
          <w:sz w:val="24"/>
          <w:szCs w:val="24"/>
          <w:u w:val="single"/>
        </w:rPr>
        <w:tab/>
      </w:r>
    </w:p>
    <w:p w14:paraId="07160151">
      <w:pPr>
        <w:pStyle w:val="28"/>
        <w:numPr>
          <w:ilvl w:val="0"/>
          <w:numId w:val="12"/>
        </w:numPr>
        <w:autoSpaceDE/>
        <w:autoSpaceDN/>
        <w:snapToGrid w:val="0"/>
        <w:ind w:left="600" w:leftChars="300" w:firstLineChars="0"/>
        <w:jc w:val="both"/>
        <w:rPr>
          <w:rFonts w:eastAsia="宋体"/>
          <w:color w:val="000000"/>
          <w:sz w:val="24"/>
          <w:szCs w:val="24"/>
        </w:rPr>
      </w:pPr>
      <w:r>
        <w:rPr>
          <w:rFonts w:eastAsia="宋体"/>
          <w:color w:val="000000"/>
          <w:sz w:val="24"/>
          <w:szCs w:val="24"/>
        </w:rPr>
        <w:t>选择的选项</w:t>
      </w:r>
    </w:p>
    <w:p w14:paraId="3C7A573E">
      <w:pPr>
        <w:autoSpaceDE/>
        <w:autoSpaceDN/>
        <w:snapToGrid w:val="0"/>
        <w:ind w:left="1275" w:leftChars="480"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标准未包括选项</w:t>
      </w:r>
    </w:p>
    <w:p w14:paraId="21E9AE9C">
      <w:pPr>
        <w:autoSpaceDE/>
        <w:autoSpaceDN/>
        <w:snapToGrid w:val="0"/>
        <w:ind w:left="1275" w:leftChars="480"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标准包括选项</w:t>
      </w:r>
    </w:p>
    <w:tbl>
      <w:tblPr>
        <w:tblStyle w:val="13"/>
        <w:tblW w:w="4244" w:type="pct"/>
        <w:tblInd w:w="137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8036"/>
      </w:tblGrid>
      <w:tr w14:paraId="43A1363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14:paraId="09F1B847">
            <w:pPr>
              <w:autoSpaceDE/>
              <w:autoSpaceDN/>
              <w:snapToGrid w:val="0"/>
              <w:jc w:val="both"/>
              <w:rPr>
                <w:rFonts w:eastAsia="宋体"/>
                <w:sz w:val="24"/>
                <w:szCs w:val="24"/>
              </w:rPr>
            </w:pPr>
          </w:p>
          <w:p w14:paraId="09506EC5">
            <w:pPr>
              <w:autoSpaceDE/>
              <w:autoSpaceDN/>
              <w:snapToGrid w:val="0"/>
              <w:jc w:val="both"/>
              <w:rPr>
                <w:rFonts w:eastAsia="宋体"/>
                <w:sz w:val="24"/>
                <w:szCs w:val="24"/>
              </w:rPr>
            </w:pPr>
          </w:p>
        </w:tc>
      </w:tr>
      <w:tr w14:paraId="1E5C4E5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14:paraId="18204686">
            <w:pPr>
              <w:autoSpaceDE/>
              <w:autoSpaceDN/>
              <w:snapToGrid w:val="0"/>
              <w:jc w:val="both"/>
              <w:rPr>
                <w:rFonts w:eastAsia="宋体"/>
                <w:sz w:val="24"/>
                <w:szCs w:val="24"/>
              </w:rPr>
            </w:pPr>
            <w:r>
              <w:rPr>
                <w:rFonts w:eastAsia="宋体"/>
                <w:i/>
                <w:iCs/>
                <w:color w:val="000000"/>
                <w:sz w:val="24"/>
                <w:szCs w:val="24"/>
              </w:rPr>
              <w:t>标准中选择的选项清单（例如：第7.3条用于试验皮肤过敏性的豚鼠试验）。如果试验是由ASCA认证的检测实验室进行的，则不需要在这部分提供信息；相反，这部分可以参考作为补充文件提供的ASCA汇总试验报告。</w:t>
            </w:r>
          </w:p>
        </w:tc>
      </w:tr>
    </w:tbl>
    <w:p w14:paraId="0F6615DD">
      <w:pPr>
        <w:pStyle w:val="28"/>
        <w:numPr>
          <w:ilvl w:val="0"/>
          <w:numId w:val="12"/>
        </w:numPr>
        <w:tabs>
          <w:tab w:val="left" w:pos="8505"/>
        </w:tabs>
        <w:autoSpaceDE/>
        <w:autoSpaceDN/>
        <w:snapToGrid w:val="0"/>
        <w:ind w:left="600" w:leftChars="300" w:firstLineChars="0"/>
        <w:jc w:val="both"/>
        <w:rPr>
          <w:rFonts w:eastAsia="宋体"/>
          <w:color w:val="000000"/>
          <w:sz w:val="24"/>
          <w:szCs w:val="24"/>
        </w:rPr>
      </w:pPr>
      <w:r>
        <w:rPr>
          <w:rFonts w:eastAsia="宋体"/>
          <w:color w:val="000000"/>
          <w:sz w:val="24"/>
          <w:szCs w:val="24"/>
        </w:rPr>
        <w:t>检测实验室名称：</w:t>
      </w:r>
      <w:r>
        <w:rPr>
          <w:rFonts w:eastAsia="宋体"/>
          <w:color w:val="000000"/>
          <w:sz w:val="24"/>
          <w:szCs w:val="24"/>
          <w:u w:val="single"/>
        </w:rPr>
        <w:t>（</w:t>
      </w:r>
      <w:r>
        <w:rPr>
          <w:rFonts w:eastAsia="宋体"/>
          <w:i/>
          <w:iCs/>
          <w:color w:val="000000"/>
          <w:sz w:val="24"/>
          <w:szCs w:val="24"/>
          <w:u w:val="single"/>
        </w:rPr>
        <w:t>例如：检测实验室ABC）</w:t>
      </w:r>
      <w:r>
        <w:rPr>
          <w:rFonts w:eastAsia="宋体"/>
          <w:color w:val="000000"/>
          <w:sz w:val="24"/>
          <w:szCs w:val="24"/>
          <w:u w:val="single"/>
        </w:rPr>
        <w:tab/>
      </w:r>
    </w:p>
    <w:p w14:paraId="52FE1738">
      <w:pPr>
        <w:pStyle w:val="28"/>
        <w:numPr>
          <w:ilvl w:val="0"/>
          <w:numId w:val="12"/>
        </w:numPr>
        <w:autoSpaceDE/>
        <w:autoSpaceDN/>
        <w:snapToGrid w:val="0"/>
        <w:ind w:left="600" w:leftChars="300" w:firstLineChars="0"/>
        <w:jc w:val="both"/>
        <w:rPr>
          <w:rFonts w:eastAsia="宋体"/>
          <w:color w:val="000000"/>
          <w:sz w:val="24"/>
          <w:szCs w:val="24"/>
        </w:rPr>
      </w:pPr>
      <w:r>
        <w:rPr>
          <w:rFonts w:eastAsia="宋体"/>
          <w:color w:val="000000"/>
          <w:sz w:val="24"/>
          <w:szCs w:val="24"/>
        </w:rPr>
        <w:t>ASCA检测实验室识别号（如适用）（</w:t>
      </w:r>
      <w:r>
        <w:rPr>
          <w:rFonts w:eastAsia="宋体"/>
          <w:i/>
          <w:iCs/>
          <w:color w:val="000000"/>
          <w:sz w:val="24"/>
          <w:szCs w:val="24"/>
        </w:rPr>
        <w:t>例如：ASCA001）</w:t>
      </w:r>
    </w:p>
    <w:p w14:paraId="245D8249">
      <w:pPr>
        <w:pStyle w:val="28"/>
        <w:numPr>
          <w:ilvl w:val="0"/>
          <w:numId w:val="12"/>
        </w:numPr>
        <w:tabs>
          <w:tab w:val="left" w:pos="8505"/>
        </w:tabs>
        <w:autoSpaceDE/>
        <w:autoSpaceDN/>
        <w:snapToGrid w:val="0"/>
        <w:ind w:left="600" w:leftChars="300" w:firstLineChars="0"/>
        <w:jc w:val="both"/>
        <w:rPr>
          <w:rFonts w:eastAsia="宋体"/>
          <w:color w:val="000000"/>
          <w:sz w:val="24"/>
          <w:szCs w:val="24"/>
          <w:u w:val="single"/>
        </w:rPr>
      </w:pPr>
      <w:r>
        <w:rPr>
          <w:rFonts w:eastAsia="宋体"/>
          <w:color w:val="000000"/>
          <w:sz w:val="24"/>
          <w:szCs w:val="24"/>
        </w:rPr>
        <w:t>试验地点：（</w:t>
      </w:r>
      <w:r>
        <w:rPr>
          <w:rFonts w:eastAsia="宋体"/>
          <w:i/>
          <w:iCs/>
          <w:color w:val="000000"/>
          <w:sz w:val="24"/>
          <w:szCs w:val="24"/>
          <w:u w:val="single"/>
        </w:rPr>
        <w:t>例如：1234 Example Road, Silver Spring, MD 20993）</w:t>
      </w:r>
      <w:r>
        <w:rPr>
          <w:rFonts w:eastAsia="宋体"/>
          <w:color w:val="000000"/>
          <w:sz w:val="24"/>
          <w:szCs w:val="24"/>
          <w:u w:val="single"/>
        </w:rPr>
        <w:tab/>
      </w:r>
    </w:p>
    <w:p w14:paraId="7D8B03D5">
      <w:pPr>
        <w:autoSpaceDE/>
        <w:autoSpaceDN/>
        <w:snapToGrid w:val="0"/>
        <w:jc w:val="both"/>
        <w:rPr>
          <w:rFonts w:eastAsia="宋体"/>
          <w:sz w:val="24"/>
          <w:szCs w:val="24"/>
        </w:rPr>
      </w:pPr>
    </w:p>
    <w:p w14:paraId="7C0221AC">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FAC36DC">
      <w:pPr>
        <w:pStyle w:val="28"/>
        <w:numPr>
          <w:ilvl w:val="0"/>
          <w:numId w:val="12"/>
        </w:numPr>
        <w:tabs>
          <w:tab w:val="left" w:pos="8505"/>
        </w:tabs>
        <w:autoSpaceDE/>
        <w:autoSpaceDN/>
        <w:snapToGrid w:val="0"/>
        <w:ind w:left="600" w:leftChars="300" w:firstLineChars="0"/>
        <w:jc w:val="both"/>
        <w:rPr>
          <w:rFonts w:eastAsia="宋体"/>
          <w:color w:val="000000"/>
          <w:sz w:val="24"/>
          <w:szCs w:val="24"/>
          <w:u w:val="single"/>
        </w:rPr>
      </w:pPr>
      <w:r>
        <w:rPr>
          <w:rFonts w:eastAsia="宋体"/>
          <w:color w:val="000000"/>
          <w:sz w:val="24"/>
          <w:szCs w:val="24"/>
        </w:rPr>
        <w:t>试验日期：</w:t>
      </w:r>
      <w:r>
        <w:rPr>
          <w:rFonts w:eastAsia="宋体"/>
          <w:i/>
          <w:iCs/>
          <w:color w:val="000000"/>
          <w:sz w:val="24"/>
          <w:szCs w:val="24"/>
          <w:u w:val="single"/>
        </w:rPr>
        <w:t>（例如：2020年9月1日-2020年9月15日）</w:t>
      </w:r>
      <w:r>
        <w:rPr>
          <w:rFonts w:eastAsia="宋体"/>
          <w:i/>
          <w:iCs/>
          <w:color w:val="000000"/>
          <w:sz w:val="24"/>
          <w:szCs w:val="24"/>
          <w:u w:val="single"/>
        </w:rPr>
        <w:tab/>
      </w:r>
    </w:p>
    <w:p w14:paraId="7B9CAE66">
      <w:pPr>
        <w:pStyle w:val="28"/>
        <w:numPr>
          <w:ilvl w:val="0"/>
          <w:numId w:val="12"/>
        </w:numPr>
        <w:autoSpaceDE/>
        <w:autoSpaceDN/>
        <w:snapToGrid w:val="0"/>
        <w:ind w:left="600" w:leftChars="300" w:firstLineChars="0"/>
        <w:jc w:val="both"/>
        <w:rPr>
          <w:rFonts w:eastAsia="宋体"/>
          <w:color w:val="000000"/>
          <w:sz w:val="24"/>
          <w:szCs w:val="24"/>
        </w:rPr>
      </w:pP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61382C0B">
      <w:pPr>
        <w:autoSpaceDE/>
        <w:autoSpaceDN/>
        <w:snapToGrid w:val="0"/>
        <w:ind w:left="1275" w:leftChars="480"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p>
    <w:p w14:paraId="50F4B6E8">
      <w:pPr>
        <w:tabs>
          <w:tab w:val="left" w:pos="8505"/>
        </w:tabs>
        <w:autoSpaceDE/>
        <w:autoSpaceDN/>
        <w:snapToGrid w:val="0"/>
        <w:ind w:left="1275" w:leftChars="480" w:hanging="315"/>
        <w:jc w:val="both"/>
        <w:rPr>
          <w:rFonts w:eastAsia="宋体"/>
          <w:i/>
          <w:i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6D828EF4">
      <w:pPr>
        <w:tabs>
          <w:tab w:val="left" w:pos="8505"/>
        </w:tabs>
        <w:autoSpaceDE/>
        <w:autoSpaceDN/>
        <w:snapToGrid w:val="0"/>
        <w:ind w:left="960" w:leftChars="480"/>
        <w:jc w:val="both"/>
        <w:rPr>
          <w:rFonts w:eastAsia="宋体"/>
          <w:sz w:val="24"/>
          <w:szCs w:val="24"/>
        </w:rPr>
      </w:pPr>
      <w:r>
        <w:rPr>
          <w:rFonts w:eastAsia="宋体"/>
          <w:sz w:val="24"/>
          <w:szCs w:val="24"/>
          <w:u w:val="single"/>
        </w:rPr>
        <w:tab/>
      </w:r>
    </w:p>
    <w:p w14:paraId="463977F2">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没有中止</w:t>
      </w:r>
    </w:p>
    <w:p w14:paraId="4A4D5AB5">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59" w:type="pct"/>
        <w:tblInd w:w="134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8065"/>
      </w:tblGrid>
      <w:tr w14:paraId="03EA7B3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64" w:type="dxa"/>
            <w:shd w:val="clear" w:color="auto" w:fill="FFFFFF"/>
            <w:tcMar>
              <w:left w:w="57" w:type="dxa"/>
              <w:right w:w="57" w:type="dxa"/>
            </w:tcMar>
          </w:tcPr>
          <w:p w14:paraId="5C338050">
            <w:pPr>
              <w:autoSpaceDE/>
              <w:autoSpaceDN/>
              <w:snapToGrid w:val="0"/>
              <w:jc w:val="both"/>
              <w:rPr>
                <w:rFonts w:eastAsia="宋体"/>
                <w:sz w:val="24"/>
                <w:szCs w:val="24"/>
              </w:rPr>
            </w:pPr>
          </w:p>
          <w:p w14:paraId="51266154">
            <w:pPr>
              <w:autoSpaceDE/>
              <w:autoSpaceDN/>
              <w:snapToGrid w:val="0"/>
              <w:jc w:val="both"/>
              <w:rPr>
                <w:rFonts w:eastAsia="宋体"/>
                <w:sz w:val="24"/>
                <w:szCs w:val="24"/>
              </w:rPr>
            </w:pPr>
          </w:p>
          <w:p w14:paraId="007DFEB0">
            <w:pPr>
              <w:autoSpaceDE/>
              <w:autoSpaceDN/>
              <w:snapToGrid w:val="0"/>
              <w:jc w:val="both"/>
              <w:rPr>
                <w:rFonts w:eastAsia="宋体"/>
                <w:sz w:val="24"/>
                <w:szCs w:val="24"/>
              </w:rPr>
            </w:pPr>
          </w:p>
        </w:tc>
      </w:tr>
      <w:tr w14:paraId="073251D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64" w:type="dxa"/>
            <w:shd w:val="clear" w:color="auto" w:fill="FFFFFF"/>
            <w:tcMar>
              <w:left w:w="57" w:type="dxa"/>
              <w:right w:w="57" w:type="dxa"/>
            </w:tcMar>
          </w:tcPr>
          <w:p w14:paraId="2296A3B2">
            <w:pPr>
              <w:autoSpaceDE/>
              <w:autoSpaceDN/>
              <w:snapToGrid w:val="0"/>
              <w:jc w:val="both"/>
              <w:rPr>
                <w:rFonts w:eastAsia="宋体"/>
                <w:sz w:val="24"/>
                <w:szCs w:val="24"/>
              </w:rPr>
            </w:pPr>
            <w:r>
              <w:rPr>
                <w:rFonts w:eastAsia="宋体"/>
                <w:i/>
                <w:iCs/>
                <w:color w:val="000000"/>
                <w:sz w:val="24"/>
                <w:szCs w:val="24"/>
              </w:rPr>
              <w:t>中止的原因及其对试验结果的影响，包括中止的日期的描述。</w:t>
            </w:r>
          </w:p>
        </w:tc>
      </w:tr>
    </w:tbl>
    <w:p w14:paraId="3769D5DC">
      <w:pPr>
        <w:pStyle w:val="28"/>
        <w:numPr>
          <w:ilvl w:val="0"/>
          <w:numId w:val="12"/>
        </w:numPr>
        <w:autoSpaceDE/>
        <w:autoSpaceDN/>
        <w:snapToGrid w:val="0"/>
        <w:ind w:left="600" w:leftChars="300" w:firstLineChars="0"/>
        <w:jc w:val="both"/>
        <w:rPr>
          <w:rFonts w:eastAsia="宋体"/>
          <w:sz w:val="24"/>
          <w:szCs w:val="24"/>
        </w:rPr>
      </w:pPr>
      <w:r>
        <w:rPr>
          <w:rFonts w:eastAsia="宋体"/>
          <w:color w:val="000000"/>
          <w:sz w:val="24"/>
          <w:szCs w:val="24"/>
        </w:rPr>
        <w:t>补充文件</w:t>
      </w:r>
      <w:r>
        <w:rPr>
          <w:rFonts w:eastAsia="宋体"/>
          <w:i/>
          <w:iCs/>
          <w:color w:val="000000"/>
          <w:sz w:val="24"/>
          <w:szCs w:val="24"/>
        </w:rPr>
        <w:t>（具体建议请参见本指南第V.C.节）：</w:t>
      </w:r>
    </w:p>
    <w:p w14:paraId="55BC87CE">
      <w:pPr>
        <w:autoSpaceDE/>
        <w:autoSpaceDN/>
        <w:snapToGrid w:val="0"/>
        <w:ind w:left="1275" w:leftChars="480"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不包括补充文件</w:t>
      </w:r>
    </w:p>
    <w:p w14:paraId="4D27E382">
      <w:pPr>
        <w:tabs>
          <w:tab w:val="left" w:pos="9354"/>
        </w:tabs>
        <w:autoSpaceDE/>
        <w:autoSpaceDN/>
        <w:snapToGrid w:val="0"/>
        <w:ind w:left="1275" w:leftChars="480"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补充文件包括在申请中的以下位置，我已经检查了完整的试验报告和补充文件之间在方案和数据方面没有差异：（</w:t>
      </w:r>
      <w:r>
        <w:rPr>
          <w:rFonts w:eastAsia="宋体"/>
          <w:i/>
          <w:iCs/>
          <w:color w:val="000000"/>
          <w:sz w:val="24"/>
          <w:szCs w:val="24"/>
          <w:u w:val="single"/>
        </w:rPr>
        <w:t>例如，本上市前申请的附录A）</w:t>
      </w:r>
      <w:r>
        <w:rPr>
          <w:rFonts w:eastAsia="宋体"/>
          <w:color w:val="000000"/>
          <w:sz w:val="24"/>
          <w:szCs w:val="24"/>
          <w:u w:val="single"/>
        </w:rPr>
        <w:tab/>
      </w:r>
    </w:p>
    <w:p w14:paraId="6A85F769">
      <w:pPr>
        <w:autoSpaceDE/>
        <w:autoSpaceDN/>
        <w:snapToGrid w:val="0"/>
        <w:jc w:val="both"/>
        <w:rPr>
          <w:rFonts w:eastAsia="宋体"/>
          <w:color w:val="000000"/>
          <w:sz w:val="24"/>
          <w:szCs w:val="24"/>
        </w:rPr>
      </w:pPr>
    </w:p>
    <w:p w14:paraId="35BF3014">
      <w:pPr>
        <w:autoSpaceDE/>
        <w:autoSpaceDN/>
        <w:snapToGrid w:val="0"/>
        <w:ind w:left="614" w:leftChars="307"/>
        <w:jc w:val="both"/>
        <w:rPr>
          <w:rFonts w:eastAsia="宋体"/>
          <w:color w:val="000000"/>
          <w:sz w:val="24"/>
          <w:szCs w:val="24"/>
        </w:rPr>
      </w:pPr>
      <w:r>
        <w:rPr>
          <w:rFonts w:eastAsia="宋体"/>
          <w:color w:val="000000"/>
          <w:sz w:val="24"/>
          <w:szCs w:val="24"/>
        </w:rPr>
        <w:t>&lt;重复DOC中的每个标准&gt;</w:t>
      </w:r>
    </w:p>
    <w:p w14:paraId="3C20A0E6">
      <w:pPr>
        <w:autoSpaceDE/>
        <w:autoSpaceDN/>
        <w:snapToGrid w:val="0"/>
        <w:jc w:val="both"/>
        <w:rPr>
          <w:rFonts w:eastAsia="宋体"/>
          <w:sz w:val="24"/>
          <w:szCs w:val="24"/>
        </w:rPr>
      </w:pPr>
    </w:p>
    <w:p w14:paraId="50821F56">
      <w:pPr>
        <w:autoSpaceDE/>
        <w:autoSpaceDN/>
        <w:snapToGrid w:val="0"/>
        <w:jc w:val="both"/>
        <w:rPr>
          <w:rFonts w:eastAsia="宋体"/>
          <w:sz w:val="24"/>
          <w:szCs w:val="24"/>
        </w:rPr>
      </w:pPr>
      <w:r>
        <w:rPr>
          <w:rFonts w:eastAsia="宋体"/>
          <w:b/>
          <w:bCs/>
          <w:color w:val="000000"/>
          <w:sz w:val="24"/>
          <w:szCs w:val="24"/>
        </w:rPr>
        <w:t>对DOC有效性的限制</w:t>
      </w:r>
    </w:p>
    <w:p w14:paraId="471E0496">
      <w:pPr>
        <w:autoSpaceDE/>
        <w:autoSpaceDN/>
        <w:snapToGrid w:val="0"/>
        <w:jc w:val="both"/>
        <w:rPr>
          <w:rFonts w:eastAsia="宋体"/>
          <w:sz w:val="24"/>
          <w:szCs w:val="24"/>
        </w:rPr>
      </w:pPr>
    </w:p>
    <w:p w14:paraId="0B1BA953">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14:paraId="01CA7FF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562" w:type="dxa"/>
            <w:shd w:val="clear" w:color="auto" w:fill="FFFFFF"/>
            <w:tcMar>
              <w:left w:w="57" w:type="dxa"/>
              <w:right w:w="57" w:type="dxa"/>
            </w:tcMar>
          </w:tcPr>
          <w:p w14:paraId="5F902334">
            <w:pPr>
              <w:autoSpaceDE/>
              <w:autoSpaceDN/>
              <w:snapToGrid w:val="0"/>
              <w:ind w:right="100" w:rightChars="50"/>
              <w:jc w:val="both"/>
              <w:rPr>
                <w:rFonts w:eastAsia="宋体"/>
                <w:sz w:val="24"/>
                <w:szCs w:val="24"/>
              </w:rPr>
            </w:pPr>
          </w:p>
          <w:p w14:paraId="7FAF0321">
            <w:pPr>
              <w:autoSpaceDE/>
              <w:autoSpaceDN/>
              <w:snapToGrid w:val="0"/>
              <w:ind w:right="100" w:rightChars="50"/>
              <w:jc w:val="both"/>
              <w:rPr>
                <w:rFonts w:eastAsia="宋体"/>
                <w:sz w:val="24"/>
                <w:szCs w:val="24"/>
              </w:rPr>
            </w:pPr>
          </w:p>
          <w:p w14:paraId="6C9B9FAD">
            <w:pPr>
              <w:autoSpaceDE/>
              <w:autoSpaceDN/>
              <w:snapToGrid w:val="0"/>
              <w:ind w:right="100" w:rightChars="50"/>
              <w:jc w:val="both"/>
              <w:rPr>
                <w:rFonts w:eastAsia="宋体"/>
                <w:sz w:val="24"/>
                <w:szCs w:val="24"/>
              </w:rPr>
            </w:pPr>
          </w:p>
        </w:tc>
      </w:tr>
      <w:tr w14:paraId="61C4440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562" w:type="dxa"/>
            <w:shd w:val="clear" w:color="auto" w:fill="FFFFFF"/>
            <w:tcMar>
              <w:left w:w="57" w:type="dxa"/>
              <w:right w:w="57" w:type="dxa"/>
            </w:tcMar>
          </w:tcPr>
          <w:p w14:paraId="1FD3569E">
            <w:pPr>
              <w:autoSpaceDE/>
              <w:autoSpaceDN/>
              <w:snapToGrid w:val="0"/>
              <w:ind w:right="100" w:rightChars="50"/>
              <w:jc w:val="both"/>
              <w:rPr>
                <w:rFonts w:eastAsia="宋体"/>
                <w:i/>
                <w:iCs/>
                <w:color w:val="000000"/>
                <w:sz w:val="24"/>
                <w:szCs w:val="24"/>
              </w:rPr>
            </w:pPr>
            <w:r>
              <w:rPr>
                <w:rFonts w:eastAsia="宋体"/>
                <w:i/>
                <w:iCs/>
                <w:color w:val="000000"/>
                <w:sz w:val="24"/>
                <w:szCs w:val="24"/>
              </w:rPr>
              <w:t>说明对DOC有效性的任何限制（例如，声明的有效期，试验的内容，或对试验结果作出的让步）。对于来自ASCA认证的检测实验室的试验，至少应包括以下内容：</w:t>
            </w:r>
          </w:p>
          <w:p w14:paraId="3601DDF9">
            <w:pPr>
              <w:autoSpaceDE/>
              <w:autoSpaceDN/>
              <w:snapToGrid w:val="0"/>
              <w:ind w:right="100" w:rightChars="50"/>
              <w:jc w:val="both"/>
              <w:rPr>
                <w:rFonts w:eastAsia="宋体"/>
                <w:sz w:val="24"/>
                <w:szCs w:val="24"/>
              </w:rPr>
            </w:pPr>
          </w:p>
          <w:p w14:paraId="417D193B">
            <w:pPr>
              <w:pStyle w:val="28"/>
              <w:numPr>
                <w:ilvl w:val="0"/>
                <w:numId w:val="13"/>
              </w:numPr>
              <w:tabs>
                <w:tab w:val="left" w:pos="3544"/>
              </w:tabs>
              <w:autoSpaceDE/>
              <w:autoSpaceDN/>
              <w:snapToGrid w:val="0"/>
              <w:ind w:left="1080" w:leftChars="300" w:right="100" w:rightChars="50" w:hangingChars="200"/>
              <w:jc w:val="both"/>
              <w:rPr>
                <w:rFonts w:eastAsia="宋体"/>
                <w:sz w:val="24"/>
                <w:szCs w:val="24"/>
              </w:rPr>
            </w:pPr>
            <w:r>
              <w:rPr>
                <w:rFonts w:eastAsia="宋体"/>
                <w:i/>
                <w:iCs/>
                <w:color w:val="000000"/>
                <w:sz w:val="24"/>
                <w:szCs w:val="24"/>
              </w:rPr>
              <w:t>关于试验样品与本上市前申请中提供的器械的比较信息</w:t>
            </w:r>
            <w:r>
              <w:rPr>
                <w:rStyle w:val="17"/>
                <w:rFonts w:eastAsia="宋体"/>
                <w:i/>
                <w:iCs/>
                <w:sz w:val="24"/>
                <w:szCs w:val="24"/>
              </w:rPr>
              <w:footnoteReference w:id="18"/>
            </w:r>
            <w:r>
              <w:rPr>
                <w:rFonts w:eastAsia="宋体"/>
                <w:i/>
                <w:iCs/>
                <w:color w:val="000000"/>
                <w:sz w:val="24"/>
                <w:szCs w:val="24"/>
              </w:rPr>
              <w:t>（包括，</w:t>
            </w:r>
            <w:r>
              <w:rPr>
                <w:rFonts w:ascii="宋体" w:hAnsi="宋体" w:eastAsia="宋体"/>
                <w:i/>
                <w:iCs/>
                <w:color w:val="000000"/>
                <w:sz w:val="24"/>
                <w:szCs w:val="24"/>
              </w:rPr>
              <w:t>“</w:t>
            </w:r>
            <w:r>
              <w:rPr>
                <w:rFonts w:eastAsia="宋体"/>
                <w:i/>
                <w:iCs/>
                <w:color w:val="000000"/>
                <w:sz w:val="24"/>
                <w:szCs w:val="24"/>
              </w:rPr>
              <w:t>代表</w:t>
            </w:r>
            <w:r>
              <w:rPr>
                <w:rFonts w:ascii="宋体" w:hAnsi="宋体" w:eastAsia="宋体"/>
                <w:i/>
                <w:iCs/>
                <w:color w:val="000000"/>
                <w:sz w:val="24"/>
                <w:szCs w:val="24"/>
              </w:rPr>
              <w:t>”</w:t>
            </w:r>
            <w:r>
              <w:rPr>
                <w:rFonts w:eastAsia="宋体"/>
                <w:i/>
                <w:iCs/>
                <w:color w:val="000000"/>
                <w:sz w:val="24"/>
                <w:szCs w:val="24"/>
              </w:rPr>
              <w:t>器械/部分的选择）可以在本上市前申请的以下位置找到：（</w:t>
            </w:r>
            <w:r>
              <w:rPr>
                <w:rFonts w:eastAsia="宋体"/>
                <w:i/>
                <w:iCs/>
                <w:color w:val="000000"/>
                <w:sz w:val="24"/>
                <w:szCs w:val="24"/>
                <w:u w:val="single"/>
              </w:rPr>
              <w:t>例如，第V节，第45-50页）</w:t>
            </w:r>
            <w:r>
              <w:rPr>
                <w:rFonts w:eastAsia="宋体"/>
                <w:b/>
                <w:bCs/>
                <w:color w:val="000000"/>
                <w:sz w:val="24"/>
                <w:szCs w:val="24"/>
                <w:u w:val="single"/>
              </w:rPr>
              <w:tab/>
            </w:r>
          </w:p>
          <w:p w14:paraId="54CC1E7A">
            <w:pPr>
              <w:pStyle w:val="28"/>
              <w:numPr>
                <w:ilvl w:val="0"/>
                <w:numId w:val="13"/>
              </w:numPr>
              <w:tabs>
                <w:tab w:val="left" w:pos="9214"/>
              </w:tabs>
              <w:autoSpaceDE/>
              <w:autoSpaceDN/>
              <w:snapToGrid w:val="0"/>
              <w:ind w:left="1080" w:leftChars="300" w:right="100" w:rightChars="50" w:hangingChars="200"/>
              <w:jc w:val="both"/>
              <w:rPr>
                <w:rFonts w:eastAsia="宋体"/>
                <w:sz w:val="24"/>
                <w:szCs w:val="24"/>
              </w:rPr>
            </w:pPr>
            <w:r>
              <w:rPr>
                <w:rFonts w:eastAsia="宋体"/>
                <w:i/>
                <w:iCs/>
                <w:color w:val="000000"/>
                <w:sz w:val="24"/>
                <w:szCs w:val="24"/>
              </w:rPr>
              <w:t>关于检测实验室通报的任何问题是如何解决的信息，可以在本上市前申请的以下位置找到：</w:t>
            </w:r>
            <w:r>
              <w:rPr>
                <w:rFonts w:eastAsia="宋体"/>
                <w:i/>
                <w:iCs/>
                <w:color w:val="000000"/>
                <w:sz w:val="24"/>
                <w:szCs w:val="24"/>
                <w:u w:val="single"/>
              </w:rPr>
              <w:t>（例如，本上市前申请的附录D）</w:t>
            </w:r>
            <w:r>
              <w:rPr>
                <w:rFonts w:eastAsia="宋体"/>
                <w:b/>
                <w:bCs/>
                <w:color w:val="000000"/>
                <w:sz w:val="24"/>
                <w:szCs w:val="24"/>
                <w:u w:val="single"/>
              </w:rPr>
              <w:tab/>
            </w:r>
          </w:p>
          <w:p w14:paraId="492BA002">
            <w:pPr>
              <w:pStyle w:val="28"/>
              <w:numPr>
                <w:ilvl w:val="0"/>
                <w:numId w:val="13"/>
              </w:numPr>
              <w:tabs>
                <w:tab w:val="left" w:pos="9214"/>
              </w:tabs>
              <w:autoSpaceDE/>
              <w:autoSpaceDN/>
              <w:snapToGrid w:val="0"/>
              <w:ind w:left="1080" w:leftChars="300" w:right="100" w:rightChars="50" w:hangingChars="200"/>
              <w:jc w:val="both"/>
              <w:rPr>
                <w:rFonts w:eastAsia="宋体"/>
                <w:sz w:val="24"/>
                <w:szCs w:val="24"/>
              </w:rPr>
            </w:pPr>
            <w:r>
              <w:rPr>
                <w:rFonts w:eastAsia="宋体"/>
                <w:i/>
                <w:iCs/>
                <w:color w:val="000000"/>
                <w:sz w:val="24"/>
                <w:szCs w:val="24"/>
              </w:rPr>
              <w:t>关于如何解决试验期间的任何观察和/或降解的信息，可在本上市前申请的以下位置找到：（</w:t>
            </w:r>
            <w:r>
              <w:rPr>
                <w:rFonts w:eastAsia="宋体"/>
                <w:i/>
                <w:iCs/>
                <w:color w:val="000000"/>
                <w:sz w:val="24"/>
                <w:szCs w:val="24"/>
                <w:u w:val="single"/>
              </w:rPr>
              <w:t>例如，本上市前申请的附录D）</w:t>
            </w:r>
            <w:r>
              <w:rPr>
                <w:rFonts w:eastAsia="宋体"/>
                <w:b/>
                <w:bCs/>
                <w:color w:val="000000"/>
                <w:sz w:val="24"/>
                <w:szCs w:val="24"/>
                <w:u w:val="single"/>
              </w:rPr>
              <w:tab/>
            </w:r>
          </w:p>
          <w:p w14:paraId="09D7FE94">
            <w:pPr>
              <w:pStyle w:val="28"/>
              <w:numPr>
                <w:ilvl w:val="0"/>
                <w:numId w:val="13"/>
              </w:numPr>
              <w:autoSpaceDE/>
              <w:autoSpaceDN/>
              <w:snapToGrid w:val="0"/>
              <w:ind w:left="1080" w:leftChars="300" w:right="100" w:rightChars="50" w:hangingChars="200"/>
              <w:jc w:val="both"/>
              <w:rPr>
                <w:rFonts w:eastAsia="宋体"/>
                <w:i/>
                <w:iCs/>
                <w:color w:val="000000"/>
                <w:sz w:val="24"/>
                <w:szCs w:val="24"/>
              </w:rPr>
            </w:pPr>
            <w:r>
              <w:rPr>
                <w:rFonts w:eastAsia="宋体"/>
                <w:i/>
                <w:iCs/>
                <w:color w:val="000000"/>
                <w:sz w:val="24"/>
                <w:szCs w:val="24"/>
              </w:rPr>
              <w:t>器械/试验样品不需要定制的样品制备和/或试验方法的声明，或任何可吸收或原位聚合器械、液体器械、乳霜、凝胶、水凝胶器械和含有纳米材料的器械，因为这些类型的材料不符合ASCA试点的生物相容性试验条件</w:t>
            </w:r>
          </w:p>
          <w:p w14:paraId="00013C0F">
            <w:pPr>
              <w:autoSpaceDE/>
              <w:autoSpaceDN/>
              <w:snapToGrid w:val="0"/>
              <w:ind w:left="929" w:leftChars="307" w:right="100" w:rightChars="50" w:hanging="315"/>
              <w:jc w:val="both"/>
              <w:rPr>
                <w:rFonts w:eastAsia="宋体"/>
                <w:sz w:val="24"/>
                <w:szCs w:val="24"/>
              </w:rPr>
            </w:pPr>
          </w:p>
        </w:tc>
      </w:tr>
    </w:tbl>
    <w:p w14:paraId="2B00EC6F">
      <w:pPr>
        <w:autoSpaceDE/>
        <w:autoSpaceDN/>
        <w:snapToGrid w:val="0"/>
        <w:jc w:val="both"/>
        <w:rPr>
          <w:rFonts w:eastAsia="宋体"/>
          <w:b/>
          <w:bCs/>
          <w:color w:val="000000"/>
          <w:sz w:val="24"/>
          <w:szCs w:val="24"/>
        </w:rPr>
      </w:pPr>
    </w:p>
    <w:p w14:paraId="6496E770">
      <w:pPr>
        <w:autoSpaceDE/>
        <w:autoSpaceDN/>
        <w:snapToGrid w:val="0"/>
        <w:jc w:val="both"/>
        <w:rPr>
          <w:rFonts w:eastAsia="宋体"/>
          <w:b/>
          <w:bCs/>
          <w:color w:val="000000"/>
          <w:sz w:val="24"/>
          <w:szCs w:val="24"/>
        </w:rPr>
      </w:pPr>
      <w:r>
        <w:rPr>
          <w:rFonts w:eastAsia="宋体"/>
          <w:b/>
          <w:bCs/>
          <w:color w:val="000000"/>
          <w:sz w:val="24"/>
          <w:szCs w:val="24"/>
        </w:rPr>
        <w:t>签名</w:t>
      </w:r>
    </w:p>
    <w:p w14:paraId="05339AC8">
      <w:pPr>
        <w:autoSpaceDE/>
        <w:autoSpaceDN/>
        <w:snapToGrid w:val="0"/>
        <w:jc w:val="both"/>
        <w:rPr>
          <w:rFonts w:eastAsia="宋体"/>
          <w:sz w:val="24"/>
          <w:szCs w:val="24"/>
        </w:rPr>
      </w:pPr>
    </w:p>
    <w:p w14:paraId="3FFB53DE">
      <w:pPr>
        <w:tabs>
          <w:tab w:val="left" w:leader="underscore" w:pos="9043"/>
        </w:tabs>
        <w:autoSpaceDE/>
        <w:autoSpaceDN/>
        <w:snapToGrid w:val="0"/>
        <w:jc w:val="both"/>
        <w:rPr>
          <w:rFonts w:eastAsia="宋体"/>
          <w:color w:val="000000"/>
          <w:sz w:val="24"/>
          <w:szCs w:val="24"/>
        </w:rPr>
      </w:pPr>
      <w:r>
        <w:rPr>
          <w:rFonts w:eastAsia="宋体"/>
          <w:color w:val="000000"/>
          <w:sz w:val="24"/>
          <w:szCs w:val="24"/>
        </w:rPr>
        <w:t>印刷体名称：</w:t>
      </w:r>
      <w:r>
        <w:rPr>
          <w:rFonts w:eastAsia="宋体"/>
          <w:color w:val="000000"/>
          <w:sz w:val="24"/>
          <w:szCs w:val="24"/>
        </w:rPr>
        <w:tab/>
      </w:r>
    </w:p>
    <w:p w14:paraId="0153CA6C">
      <w:pPr>
        <w:tabs>
          <w:tab w:val="left" w:leader="underscore" w:pos="9043"/>
        </w:tabs>
        <w:autoSpaceDE/>
        <w:autoSpaceDN/>
        <w:snapToGrid w:val="0"/>
        <w:jc w:val="both"/>
        <w:rPr>
          <w:rFonts w:eastAsia="宋体"/>
          <w:color w:val="000000"/>
          <w:sz w:val="24"/>
          <w:szCs w:val="24"/>
        </w:rPr>
      </w:pPr>
      <w:r>
        <w:rPr>
          <w:rFonts w:eastAsia="宋体"/>
          <w:color w:val="000000"/>
          <w:sz w:val="24"/>
          <w:szCs w:val="24"/>
        </w:rPr>
        <w:t>实体内部负责DOC的职能：</w:t>
      </w:r>
      <w:r>
        <w:rPr>
          <w:rFonts w:eastAsia="宋体"/>
          <w:color w:val="000000"/>
          <w:sz w:val="24"/>
          <w:szCs w:val="24"/>
        </w:rPr>
        <w:tab/>
      </w:r>
    </w:p>
    <w:p w14:paraId="3FFC8014">
      <w:pPr>
        <w:tabs>
          <w:tab w:val="left" w:leader="underscore" w:pos="9043"/>
        </w:tabs>
        <w:autoSpaceDE/>
        <w:autoSpaceDN/>
        <w:snapToGrid w:val="0"/>
        <w:jc w:val="both"/>
        <w:rPr>
          <w:rFonts w:eastAsia="宋体"/>
          <w:color w:val="000000"/>
          <w:sz w:val="24"/>
          <w:szCs w:val="24"/>
        </w:rPr>
      </w:pPr>
    </w:p>
    <w:p w14:paraId="618B4F4F">
      <w:pPr>
        <w:tabs>
          <w:tab w:val="left" w:leader="underscore" w:pos="9043"/>
        </w:tabs>
        <w:autoSpaceDE/>
        <w:autoSpaceDN/>
        <w:snapToGrid w:val="0"/>
        <w:jc w:val="both"/>
        <w:rPr>
          <w:rFonts w:eastAsia="宋体"/>
          <w:color w:val="000000"/>
          <w:sz w:val="24"/>
          <w:szCs w:val="24"/>
        </w:rPr>
      </w:pPr>
    </w:p>
    <w:p w14:paraId="2AE64365">
      <w:pPr>
        <w:tabs>
          <w:tab w:val="left" w:leader="underscore" w:pos="9043"/>
        </w:tabs>
        <w:autoSpaceDE/>
        <w:autoSpaceDN/>
        <w:snapToGrid w:val="0"/>
        <w:jc w:val="both"/>
        <w:rPr>
          <w:rFonts w:eastAsia="宋体"/>
          <w:sz w:val="24"/>
          <w:szCs w:val="24"/>
        </w:rPr>
      </w:pPr>
      <w:r>
        <w:rPr>
          <w:rFonts w:eastAsia="宋体"/>
          <w:sz w:val="24"/>
          <w:szCs w:val="24"/>
        </w:rPr>
        <w:tab/>
      </w:r>
    </w:p>
    <w:p w14:paraId="2DD449AD">
      <w:pPr>
        <w:tabs>
          <w:tab w:val="left" w:pos="8364"/>
        </w:tabs>
        <w:autoSpaceDE/>
        <w:autoSpaceDN/>
        <w:snapToGrid w:val="0"/>
        <w:jc w:val="both"/>
        <w:rPr>
          <w:rFonts w:eastAsia="宋体"/>
          <w:sz w:val="24"/>
          <w:szCs w:val="24"/>
        </w:rPr>
      </w:pPr>
      <w:r>
        <w:rPr>
          <w:rFonts w:eastAsia="宋体"/>
          <w:color w:val="000000"/>
          <w:sz w:val="24"/>
          <w:szCs w:val="24"/>
        </w:rPr>
        <w:t>签名</w:t>
      </w:r>
      <w:r>
        <w:rPr>
          <w:rFonts w:eastAsia="宋体"/>
          <w:color w:val="000000"/>
          <w:sz w:val="24"/>
          <w:szCs w:val="24"/>
        </w:rPr>
        <w:tab/>
      </w:r>
      <w:r>
        <w:rPr>
          <w:rFonts w:eastAsia="宋体"/>
          <w:color w:val="000000"/>
          <w:sz w:val="24"/>
          <w:szCs w:val="24"/>
        </w:rPr>
        <w:t>日期</w:t>
      </w:r>
    </w:p>
    <w:p w14:paraId="245A18CA">
      <w:pPr>
        <w:autoSpaceDE/>
        <w:autoSpaceDN/>
        <w:snapToGrid w:val="0"/>
        <w:jc w:val="both"/>
        <w:rPr>
          <w:rFonts w:eastAsia="宋体"/>
          <w:sz w:val="24"/>
          <w:szCs w:val="24"/>
        </w:rPr>
      </w:pPr>
    </w:p>
    <w:p w14:paraId="30237CB7">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74B8DA58">
      <w:pPr>
        <w:pStyle w:val="2"/>
        <w:autoSpaceDE/>
        <w:autoSpaceDN/>
        <w:spacing w:before="240" w:after="240"/>
        <w:rPr>
          <w:rFonts w:eastAsia="宋体"/>
        </w:rPr>
      </w:pPr>
      <w:bookmarkStart w:id="32" w:name="bookmark26"/>
      <w:bookmarkEnd w:id="32"/>
      <w:bookmarkStart w:id="33" w:name="_Toc98778566"/>
      <w:bookmarkStart w:id="34" w:name="_Toc97473517"/>
      <w:r>
        <w:rPr>
          <w:rFonts w:eastAsia="宋体"/>
        </w:rPr>
        <w:t>附录B：医疗器械的生物相容性试验的ASCA汇总试验报告示例：刺激性-皮肤反应性（ISO 10993-10）</w:t>
      </w:r>
      <w:bookmarkEnd w:id="33"/>
      <w:bookmarkEnd w:id="34"/>
    </w:p>
    <w:p w14:paraId="04B79366">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在医疗器械上市前申请的文件中中适当使用自愿性共识标准。</w:t>
      </w:r>
      <w:r>
        <w:rPr>
          <w:rFonts w:eastAsia="宋体"/>
          <w:i/>
          <w:iCs/>
          <w:color w:val="000000"/>
          <w:sz w:val="24"/>
          <w:szCs w:val="24"/>
        </w:rPr>
        <w:t>ASCA汇总试验报告由检测实验室提供给器械制造商：</w:t>
      </w:r>
    </w:p>
    <w:p w14:paraId="42D79E98">
      <w:pPr>
        <w:autoSpaceDE/>
        <w:autoSpaceDN/>
        <w:snapToGrid w:val="0"/>
        <w:jc w:val="both"/>
        <w:rPr>
          <w:rFonts w:eastAsia="宋体"/>
          <w:b/>
          <w:bCs/>
          <w:color w:val="000000"/>
          <w:sz w:val="24"/>
          <w:szCs w:val="24"/>
        </w:rPr>
      </w:pPr>
    </w:p>
    <w:p w14:paraId="205378E0">
      <w:pPr>
        <w:autoSpaceDE/>
        <w:autoSpaceDN/>
        <w:snapToGrid w:val="0"/>
        <w:jc w:val="both"/>
        <w:rPr>
          <w:rFonts w:eastAsia="宋体"/>
          <w:sz w:val="24"/>
          <w:szCs w:val="24"/>
        </w:rPr>
      </w:pPr>
      <w:r>
        <w:rPr>
          <w:rFonts w:eastAsia="宋体"/>
          <w:b/>
          <w:bCs/>
          <w:color w:val="000000"/>
          <w:sz w:val="24"/>
          <w:szCs w:val="24"/>
        </w:rPr>
        <w:t>管理信息</w:t>
      </w:r>
    </w:p>
    <w:p w14:paraId="5614BAF5">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0DE610F8">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3DF8D915">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73848FA6">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6CEF1FDF">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188F3235">
      <w:pPr>
        <w:autoSpaceDE/>
        <w:autoSpaceDN/>
        <w:snapToGrid w:val="0"/>
        <w:ind w:left="929" w:leftChars="307"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19"/>
      </w:r>
    </w:p>
    <w:p w14:paraId="59948894">
      <w:pPr>
        <w:autoSpaceDE/>
        <w:autoSpaceDN/>
        <w:snapToGrid w:val="0"/>
        <w:ind w:left="929" w:leftChars="307"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6EDDFB08">
      <w:pPr>
        <w:autoSpaceDE/>
        <w:autoSpaceDN/>
        <w:snapToGrid w:val="0"/>
        <w:ind w:left="1592" w:leftChars="638" w:hanging="316"/>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14:paraId="526E7DE0">
      <w:pPr>
        <w:autoSpaceDE/>
        <w:autoSpaceDN/>
        <w:snapToGrid w:val="0"/>
        <w:ind w:left="1592" w:leftChars="638" w:hanging="316"/>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51" w:type="pct"/>
        <w:tblInd w:w="135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8050"/>
      </w:tblGrid>
      <w:tr w14:paraId="63144E5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14:paraId="3346D169">
            <w:pPr>
              <w:autoSpaceDE/>
              <w:autoSpaceDN/>
              <w:snapToGrid w:val="0"/>
              <w:jc w:val="both"/>
              <w:rPr>
                <w:rFonts w:eastAsia="宋体"/>
                <w:sz w:val="24"/>
                <w:szCs w:val="24"/>
              </w:rPr>
            </w:pPr>
          </w:p>
          <w:p w14:paraId="5D49CA0F">
            <w:pPr>
              <w:autoSpaceDE/>
              <w:autoSpaceDN/>
              <w:snapToGrid w:val="0"/>
              <w:jc w:val="both"/>
              <w:rPr>
                <w:rFonts w:eastAsia="宋体"/>
                <w:sz w:val="24"/>
                <w:szCs w:val="24"/>
              </w:rPr>
            </w:pPr>
          </w:p>
        </w:tc>
      </w:tr>
      <w:tr w14:paraId="3DA5E75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14:paraId="536E4595">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770D1461">
      <w:pPr>
        <w:tabs>
          <w:tab w:val="left" w:leader="underscore" w:pos="8222"/>
        </w:tabs>
        <w:autoSpaceDE/>
        <w:autoSpaceDN/>
        <w:snapToGrid w:val="0"/>
        <w:jc w:val="both"/>
        <w:rPr>
          <w:rFonts w:eastAsia="宋体"/>
          <w:b/>
          <w:bCs/>
          <w:color w:val="000000"/>
          <w:sz w:val="24"/>
          <w:szCs w:val="24"/>
        </w:rPr>
      </w:pPr>
    </w:p>
    <w:p w14:paraId="4FCD9636">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14:paraId="7AE5F738">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14:paraId="4E6C8A42">
      <w:pPr>
        <w:tabs>
          <w:tab w:val="left" w:pos="355"/>
          <w:tab w:val="left" w:leader="underscore" w:pos="82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20"/>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26BBA93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32" w:type="dxa"/>
            <w:shd w:val="clear" w:color="auto" w:fill="FFFFFF"/>
            <w:tcMar>
              <w:left w:w="57" w:type="dxa"/>
              <w:right w:w="57" w:type="dxa"/>
            </w:tcMar>
          </w:tcPr>
          <w:p w14:paraId="568D4483">
            <w:pPr>
              <w:autoSpaceDE/>
              <w:autoSpaceDN/>
              <w:snapToGrid w:val="0"/>
              <w:jc w:val="both"/>
              <w:rPr>
                <w:rFonts w:eastAsia="宋体"/>
                <w:sz w:val="24"/>
                <w:szCs w:val="24"/>
              </w:rPr>
            </w:pPr>
          </w:p>
          <w:p w14:paraId="4991BBAA">
            <w:pPr>
              <w:autoSpaceDE/>
              <w:autoSpaceDN/>
              <w:snapToGrid w:val="0"/>
              <w:jc w:val="both"/>
              <w:rPr>
                <w:rFonts w:eastAsia="宋体"/>
                <w:sz w:val="24"/>
                <w:szCs w:val="24"/>
              </w:rPr>
            </w:pPr>
          </w:p>
        </w:tc>
      </w:tr>
      <w:tr w14:paraId="1730D35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32" w:type="dxa"/>
            <w:shd w:val="clear" w:color="auto" w:fill="FFFFFF"/>
            <w:tcMar>
              <w:left w:w="57" w:type="dxa"/>
              <w:right w:w="57" w:type="dxa"/>
            </w:tcMar>
          </w:tcPr>
          <w:p w14:paraId="3CB67C8D">
            <w:pPr>
              <w:autoSpaceDE/>
              <w:autoSpaceDN/>
              <w:snapToGrid w:val="0"/>
              <w:jc w:val="both"/>
              <w:rPr>
                <w:rFonts w:eastAsia="宋体"/>
                <w:sz w:val="24"/>
                <w:szCs w:val="24"/>
              </w:rPr>
            </w:pPr>
            <w:r>
              <w:rPr>
                <w:rFonts w:eastAsia="宋体"/>
                <w:i/>
                <w:iCs/>
                <w:color w:val="000000"/>
                <w:sz w:val="24"/>
                <w:szCs w:val="24"/>
              </w:rPr>
              <w:t>偏离/修正案的描述</w:t>
            </w:r>
          </w:p>
        </w:tc>
      </w:tr>
    </w:tbl>
    <w:p w14:paraId="06752FE2">
      <w:pPr>
        <w:autoSpaceDE/>
        <w:autoSpaceDN/>
        <w:snapToGrid w:val="0"/>
        <w:jc w:val="both"/>
        <w:rPr>
          <w:rFonts w:eastAsia="宋体"/>
          <w:color w:val="000000"/>
          <w:sz w:val="24"/>
          <w:szCs w:val="24"/>
        </w:rPr>
      </w:pPr>
    </w:p>
    <w:p w14:paraId="5BBEC47C">
      <w:pPr>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对于只包含液体通道的器械，试验品的制备只使用液体通道进行浸提</w:t>
      </w:r>
    </w:p>
    <w:p w14:paraId="05C00426">
      <w:pPr>
        <w:autoSpaceDE/>
        <w:autoSpaceDN/>
        <w:snapToGrid w:val="0"/>
        <w:jc w:val="both"/>
        <w:rPr>
          <w:rFonts w:eastAsia="宋体"/>
          <w:b/>
          <w:bCs/>
          <w:color w:val="000000"/>
          <w:sz w:val="24"/>
          <w:szCs w:val="24"/>
        </w:rPr>
      </w:pPr>
    </w:p>
    <w:p w14:paraId="068C3F36">
      <w:pPr>
        <w:autoSpaceDE/>
        <w:autoSpaceDN/>
        <w:snapToGrid w:val="0"/>
        <w:jc w:val="both"/>
        <w:rPr>
          <w:rFonts w:eastAsia="宋体"/>
          <w:sz w:val="24"/>
          <w:szCs w:val="24"/>
        </w:rPr>
      </w:pPr>
      <w:r>
        <w:rPr>
          <w:rFonts w:eastAsia="宋体"/>
          <w:b/>
          <w:bCs/>
          <w:color w:val="000000"/>
          <w:sz w:val="24"/>
          <w:szCs w:val="24"/>
        </w:rPr>
        <w:t>浸提溶剂：</w:t>
      </w:r>
    </w:p>
    <w:p w14:paraId="3A0C51E8">
      <w:pPr>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14:paraId="355D2F05">
      <w:pPr>
        <w:tabs>
          <w:tab w:val="left" w:pos="187"/>
        </w:tabs>
        <w:autoSpaceDE/>
        <w:autoSpaceDN/>
        <w:snapToGrid w:val="0"/>
        <w:jc w:val="both"/>
        <w:rPr>
          <w:rFonts w:eastAsia="宋体"/>
          <w:color w:val="000000"/>
          <w:sz w:val="24"/>
          <w:szCs w:val="24"/>
          <w:vertAlign w:val="superscript"/>
        </w:rPr>
      </w:pPr>
    </w:p>
    <w:p w14:paraId="6FC7F62B">
      <w:pPr>
        <w:tabs>
          <w:tab w:val="left" w:pos="187"/>
        </w:tabs>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2F80F5A6">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14:paraId="6B6D2B7F">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21"/>
      </w:r>
      <w:r>
        <w:rPr>
          <w:rFonts w:eastAsia="宋体"/>
          <w:i/>
          <w:iCs/>
          <w:color w:val="000000"/>
          <w:sz w:val="24"/>
          <w:szCs w:val="24"/>
          <w:u w:val="single"/>
        </w:rPr>
        <w:t>[描述]</w:t>
      </w:r>
      <w:r>
        <w:rPr>
          <w:rFonts w:eastAsia="宋体"/>
          <w:color w:val="000000"/>
          <w:sz w:val="24"/>
          <w:szCs w:val="24"/>
          <w:u w:val="single"/>
        </w:rPr>
        <w:tab/>
      </w:r>
    </w:p>
    <w:p w14:paraId="40B116BD">
      <w:pPr>
        <w:autoSpaceDE/>
        <w:autoSpaceDN/>
        <w:snapToGrid w:val="0"/>
        <w:jc w:val="both"/>
        <w:rPr>
          <w:rFonts w:eastAsia="宋体"/>
          <w:sz w:val="24"/>
          <w:szCs w:val="24"/>
        </w:rPr>
      </w:pPr>
      <w:r>
        <w:rPr>
          <w:rFonts w:eastAsia="宋体"/>
          <w:b/>
          <w:bCs/>
          <w:color w:val="000000"/>
          <w:sz w:val="24"/>
          <w:szCs w:val="24"/>
        </w:rPr>
        <w:t>浸提率：</w:t>
      </w:r>
    </w:p>
    <w:p w14:paraId="55159351">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4AFDCB7B">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14:paraId="4DB85184">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14:paraId="059F70B1">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sz w:val="24"/>
          <w:szCs w:val="24"/>
        </w:rPr>
        <w:t>：</w:t>
      </w:r>
      <w:r>
        <w:rPr>
          <w:rStyle w:val="17"/>
          <w:rFonts w:eastAsia="宋体"/>
          <w:sz w:val="24"/>
          <w:szCs w:val="24"/>
        </w:rPr>
        <w:footnoteReference w:id="22"/>
      </w:r>
      <w:r>
        <w:rPr>
          <w:rFonts w:eastAsia="宋体"/>
          <w:i/>
          <w:iCs/>
          <w:color w:val="000000"/>
          <w:sz w:val="24"/>
          <w:szCs w:val="24"/>
          <w:u w:val="single"/>
        </w:rPr>
        <w:t>[描述]</w:t>
      </w:r>
      <w:r>
        <w:rPr>
          <w:rFonts w:eastAsia="宋体"/>
          <w:color w:val="000000"/>
          <w:sz w:val="24"/>
          <w:szCs w:val="24"/>
          <w:u w:val="single"/>
        </w:rPr>
        <w:tab/>
      </w:r>
    </w:p>
    <w:p w14:paraId="2C8521BD">
      <w:pPr>
        <w:autoSpaceDE/>
        <w:autoSpaceDN/>
        <w:snapToGrid w:val="0"/>
        <w:jc w:val="both"/>
        <w:rPr>
          <w:rFonts w:eastAsia="宋体"/>
          <w:sz w:val="24"/>
          <w:szCs w:val="24"/>
        </w:rPr>
      </w:pPr>
      <w:r>
        <w:rPr>
          <w:rFonts w:eastAsia="宋体"/>
          <w:b/>
          <w:bCs/>
          <w:color w:val="000000"/>
          <w:sz w:val="24"/>
          <w:szCs w:val="24"/>
        </w:rPr>
        <w:t>浸提条件：</w:t>
      </w:r>
    </w:p>
    <w:p w14:paraId="10800530">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14:paraId="38DB2671">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14:paraId="78AA65F8">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14:paraId="45DEE53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14:paraId="43C92354">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23"/>
      </w:r>
      <w:r>
        <w:rPr>
          <w:rFonts w:eastAsia="宋体"/>
          <w:i/>
          <w:iCs/>
          <w:color w:val="000000"/>
          <w:sz w:val="24"/>
          <w:szCs w:val="24"/>
          <w:u w:val="single"/>
        </w:rPr>
        <w:t>[描述]</w:t>
      </w:r>
      <w:r>
        <w:rPr>
          <w:rFonts w:eastAsia="宋体"/>
          <w:color w:val="000000"/>
          <w:sz w:val="24"/>
          <w:szCs w:val="24"/>
          <w:u w:val="single"/>
        </w:rPr>
        <w:tab/>
      </w:r>
    </w:p>
    <w:p w14:paraId="2E9645C9">
      <w:pPr>
        <w:autoSpaceDE/>
        <w:autoSpaceDN/>
        <w:snapToGrid w:val="0"/>
        <w:jc w:val="both"/>
        <w:rPr>
          <w:rFonts w:eastAsia="宋体"/>
          <w:b/>
          <w:bCs/>
          <w:color w:val="000000"/>
          <w:sz w:val="24"/>
          <w:szCs w:val="24"/>
        </w:rPr>
      </w:pPr>
    </w:p>
    <w:p w14:paraId="5BF784BC">
      <w:pPr>
        <w:autoSpaceDE/>
        <w:autoSpaceDN/>
        <w:snapToGrid w:val="0"/>
        <w:jc w:val="both"/>
        <w:rPr>
          <w:rFonts w:eastAsia="宋体"/>
          <w:sz w:val="24"/>
          <w:szCs w:val="24"/>
        </w:rPr>
      </w:pPr>
      <w:r>
        <w:rPr>
          <w:rFonts w:eastAsia="宋体"/>
          <w:b/>
          <w:bCs/>
          <w:color w:val="000000"/>
          <w:sz w:val="24"/>
          <w:szCs w:val="24"/>
        </w:rPr>
        <w:t>液体路径浸提：</w:t>
      </w:r>
    </w:p>
    <w:p w14:paraId="309B083B">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24"/>
      </w:r>
    </w:p>
    <w:p w14:paraId="1EFE5505">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14:paraId="5F381DFC">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14:paraId="1AF653F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14:paraId="418AD49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14:paraId="35F33045">
      <w:pPr>
        <w:autoSpaceDE/>
        <w:autoSpaceDN/>
        <w:snapToGrid w:val="0"/>
        <w:jc w:val="both"/>
        <w:rPr>
          <w:rFonts w:eastAsia="宋体"/>
          <w:sz w:val="24"/>
          <w:szCs w:val="24"/>
        </w:rPr>
      </w:pPr>
    </w:p>
    <w:p w14:paraId="1D0275C9">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14:paraId="11F2F7D5">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25"/>
      </w:r>
    </w:p>
    <w:p w14:paraId="4A81DAE1">
      <w:pPr>
        <w:tabs>
          <w:tab w:val="left" w:leader="underscore" w:pos="6485"/>
        </w:tabs>
        <w:autoSpaceDE/>
        <w:autoSpaceDN/>
        <w:snapToGrid w:val="0"/>
        <w:jc w:val="both"/>
        <w:rPr>
          <w:rFonts w:eastAsia="宋体"/>
          <w:b/>
          <w:bCs/>
          <w:color w:val="000000"/>
          <w:sz w:val="24"/>
          <w:szCs w:val="24"/>
        </w:rPr>
      </w:pPr>
    </w:p>
    <w:p w14:paraId="20EECF55">
      <w:pPr>
        <w:tabs>
          <w:tab w:val="left" w:pos="5529"/>
        </w:tabs>
        <w:autoSpaceDE/>
        <w:autoSpaceDN/>
        <w:snapToGrid w:val="0"/>
        <w:jc w:val="both"/>
        <w:rPr>
          <w:rFonts w:eastAsia="宋体"/>
          <w:sz w:val="24"/>
          <w:szCs w:val="24"/>
        </w:rPr>
      </w:pPr>
      <w:r>
        <w:rPr>
          <w:rFonts w:eastAsia="宋体"/>
          <w:b/>
          <w:bCs/>
          <w:color w:val="000000"/>
          <w:sz w:val="24"/>
          <w:szCs w:val="24"/>
        </w:rPr>
        <w:t>ASCA试验方法SOP#：</w:t>
      </w:r>
      <w:r>
        <w:rPr>
          <w:rFonts w:eastAsia="宋体"/>
          <w:i/>
          <w:iCs/>
          <w:color w:val="000000"/>
          <w:sz w:val="24"/>
          <w:szCs w:val="24"/>
          <w:u w:val="single"/>
        </w:rPr>
        <w:t>[ASCAntracut（日期/版本）]</w:t>
      </w:r>
      <w:r>
        <w:rPr>
          <w:rFonts w:eastAsia="宋体"/>
          <w:color w:val="000000"/>
          <w:sz w:val="24"/>
          <w:szCs w:val="24"/>
          <w:u w:val="single"/>
        </w:rPr>
        <w:tab/>
      </w:r>
    </w:p>
    <w:p w14:paraId="44AD924D">
      <w:pPr>
        <w:tabs>
          <w:tab w:val="left" w:pos="336"/>
        </w:tabs>
        <w:autoSpaceDE/>
        <w:autoSpaceDN/>
        <w:snapToGrid w:val="0"/>
        <w:jc w:val="both"/>
        <w:rPr>
          <w:rFonts w:eastAsia="宋体"/>
          <w:color w:val="000000"/>
          <w:sz w:val="24"/>
          <w:szCs w:val="24"/>
        </w:rPr>
      </w:pPr>
    </w:p>
    <w:p w14:paraId="57A566EE">
      <w:pPr>
        <w:tabs>
          <w:tab w:val="left" w:pos="33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747736C5">
      <w:pPr>
        <w:tabs>
          <w:tab w:val="left" w:pos="336"/>
        </w:tabs>
        <w:autoSpaceDE/>
        <w:autoSpaceDN/>
        <w:snapToGrid w:val="0"/>
        <w:jc w:val="both"/>
        <w:rPr>
          <w:rFonts w:eastAsia="宋体"/>
          <w:sz w:val="24"/>
          <w:szCs w:val="24"/>
        </w:rPr>
      </w:pPr>
      <w:r>
        <w:rPr>
          <w:rFonts w:eastAsia="宋体"/>
          <w:color w:val="000000"/>
          <w:sz w:val="24"/>
          <w:szCs w:val="24"/>
        </w:rPr>
        <w:t>或</w:t>
      </w:r>
    </w:p>
    <w:p w14:paraId="7F2DC57F">
      <w:pPr>
        <w:tabs>
          <w:tab w:val="left" w:pos="178"/>
        </w:tabs>
        <w:autoSpaceDE/>
        <w:autoSpaceDN/>
        <w:snapToGrid w:val="0"/>
        <w:jc w:val="both"/>
        <w:rPr>
          <w:rFonts w:eastAsia="宋体"/>
          <w:color w:val="000000"/>
          <w:sz w:val="24"/>
          <w:szCs w:val="24"/>
          <w:vertAlign w:val="superscript"/>
        </w:rPr>
      </w:pPr>
    </w:p>
    <w:p w14:paraId="470EC4C5">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08177BB1">
      <w:pPr>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按照上述方案和CFR第21篇第58部分进行试验，但有以下偏离/修正案：</w:t>
      </w:r>
      <w:r>
        <w:rPr>
          <w:rStyle w:val="17"/>
          <w:rFonts w:eastAsia="宋体"/>
          <w:sz w:val="24"/>
          <w:szCs w:val="24"/>
        </w:rPr>
        <w:footnoteReference w:id="26"/>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1389E5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80" w:type="dxa"/>
            <w:shd w:val="clear" w:color="auto" w:fill="FFFFFF"/>
            <w:tcMar>
              <w:left w:w="57" w:type="dxa"/>
              <w:right w:w="57" w:type="dxa"/>
            </w:tcMar>
          </w:tcPr>
          <w:p w14:paraId="5A330B4B">
            <w:pPr>
              <w:autoSpaceDE/>
              <w:autoSpaceDN/>
              <w:snapToGrid w:val="0"/>
              <w:jc w:val="both"/>
              <w:rPr>
                <w:rFonts w:eastAsia="宋体"/>
                <w:sz w:val="24"/>
                <w:szCs w:val="24"/>
              </w:rPr>
            </w:pPr>
          </w:p>
          <w:p w14:paraId="3BA2E4E2">
            <w:pPr>
              <w:autoSpaceDE/>
              <w:autoSpaceDN/>
              <w:snapToGrid w:val="0"/>
              <w:jc w:val="both"/>
              <w:rPr>
                <w:rFonts w:eastAsia="宋体"/>
                <w:sz w:val="24"/>
                <w:szCs w:val="24"/>
              </w:rPr>
            </w:pPr>
          </w:p>
        </w:tc>
      </w:tr>
      <w:tr w14:paraId="6C6E607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80" w:type="dxa"/>
            <w:shd w:val="clear" w:color="auto" w:fill="FFFFFF"/>
            <w:tcMar>
              <w:left w:w="57" w:type="dxa"/>
              <w:right w:w="57" w:type="dxa"/>
            </w:tcMar>
          </w:tcPr>
          <w:p w14:paraId="09532275">
            <w:pPr>
              <w:autoSpaceDE/>
              <w:autoSpaceDN/>
              <w:snapToGrid w:val="0"/>
              <w:jc w:val="both"/>
              <w:rPr>
                <w:rFonts w:eastAsia="宋体"/>
                <w:sz w:val="24"/>
                <w:szCs w:val="24"/>
              </w:rPr>
            </w:pPr>
            <w:r>
              <w:rPr>
                <w:rFonts w:eastAsia="宋体"/>
                <w:i/>
                <w:iCs/>
                <w:color w:val="000000"/>
                <w:sz w:val="24"/>
                <w:szCs w:val="24"/>
              </w:rPr>
              <w:t>偏离/修正案的描述</w:t>
            </w:r>
          </w:p>
        </w:tc>
      </w:tr>
    </w:tbl>
    <w:p w14:paraId="4416C50A">
      <w:pPr>
        <w:autoSpaceDE/>
        <w:autoSpaceDN/>
        <w:snapToGrid w:val="0"/>
        <w:jc w:val="both"/>
        <w:rPr>
          <w:rFonts w:eastAsia="宋体"/>
          <w:b/>
          <w:bCs/>
          <w:color w:val="000000"/>
          <w:sz w:val="24"/>
          <w:szCs w:val="24"/>
        </w:rPr>
      </w:pPr>
    </w:p>
    <w:p w14:paraId="2DD1719E">
      <w:pPr>
        <w:autoSpaceDE/>
        <w:autoSpaceDN/>
        <w:snapToGrid w:val="0"/>
        <w:jc w:val="both"/>
        <w:rPr>
          <w:rFonts w:eastAsia="宋体"/>
          <w:sz w:val="24"/>
          <w:szCs w:val="24"/>
        </w:rPr>
      </w:pPr>
      <w:r>
        <w:rPr>
          <w:rFonts w:eastAsia="宋体"/>
          <w:b/>
          <w:bCs/>
          <w:color w:val="000000"/>
          <w:sz w:val="24"/>
          <w:szCs w:val="24"/>
        </w:rPr>
        <w:t>结果：</w:t>
      </w:r>
      <w:r>
        <w:rPr>
          <w:rStyle w:val="17"/>
          <w:rFonts w:eastAsia="宋体"/>
          <w:b/>
          <w:bCs/>
          <w:sz w:val="24"/>
          <w:szCs w:val="24"/>
        </w:rPr>
        <w:footnoteReference w:id="27"/>
      </w:r>
    </w:p>
    <w:tbl>
      <w:tblPr>
        <w:tblStyle w:val="13"/>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247"/>
        <w:gridCol w:w="1407"/>
        <w:gridCol w:w="1841"/>
        <w:gridCol w:w="1674"/>
        <w:gridCol w:w="1669"/>
        <w:gridCol w:w="1630"/>
      </w:tblGrid>
      <w:tr w14:paraId="3B0C7B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tcBorders>
              <w:top w:val="nil"/>
              <w:left w:val="nil"/>
              <w:bottom w:val="single" w:color="auto" w:sz="6" w:space="0"/>
            </w:tcBorders>
            <w:shd w:val="clear" w:color="auto" w:fill="FFFFFF"/>
            <w:tcMar>
              <w:left w:w="57" w:type="dxa"/>
              <w:right w:w="57" w:type="dxa"/>
            </w:tcMar>
          </w:tcPr>
          <w:p w14:paraId="2C4F0AB0">
            <w:pPr>
              <w:autoSpaceDE/>
              <w:autoSpaceDN/>
              <w:snapToGrid w:val="0"/>
              <w:jc w:val="center"/>
              <w:rPr>
                <w:rFonts w:eastAsia="宋体"/>
                <w:sz w:val="21"/>
                <w:szCs w:val="21"/>
              </w:rPr>
            </w:pPr>
          </w:p>
        </w:tc>
        <w:tc>
          <w:tcPr>
            <w:tcW w:w="1440" w:type="dxa"/>
            <w:shd w:val="clear" w:color="auto" w:fill="FFFFFF"/>
            <w:tcMar>
              <w:left w:w="57" w:type="dxa"/>
              <w:right w:w="57" w:type="dxa"/>
            </w:tcMar>
          </w:tcPr>
          <w:p w14:paraId="42D25763">
            <w:pPr>
              <w:autoSpaceDE/>
              <w:autoSpaceDN/>
              <w:snapToGrid w:val="0"/>
              <w:jc w:val="center"/>
              <w:rPr>
                <w:rFonts w:eastAsia="宋体"/>
                <w:sz w:val="21"/>
                <w:szCs w:val="21"/>
              </w:rPr>
            </w:pPr>
            <w:r>
              <w:rPr>
                <w:rFonts w:eastAsia="宋体"/>
                <w:b/>
                <w:bCs/>
                <w:color w:val="000000"/>
                <w:sz w:val="21"/>
                <w:szCs w:val="21"/>
              </w:rPr>
              <w:t>试验样品</w:t>
            </w:r>
          </w:p>
        </w:tc>
        <w:tc>
          <w:tcPr>
            <w:tcW w:w="1886" w:type="dxa"/>
            <w:shd w:val="clear" w:color="auto" w:fill="FFFFFF"/>
            <w:tcMar>
              <w:left w:w="57" w:type="dxa"/>
              <w:right w:w="57" w:type="dxa"/>
            </w:tcMar>
          </w:tcPr>
          <w:p w14:paraId="156DC08A">
            <w:pPr>
              <w:autoSpaceDE/>
              <w:autoSpaceDN/>
              <w:snapToGrid w:val="0"/>
              <w:jc w:val="center"/>
              <w:rPr>
                <w:rFonts w:eastAsia="宋体"/>
                <w:sz w:val="21"/>
                <w:szCs w:val="21"/>
              </w:rPr>
            </w:pPr>
            <w:r>
              <w:rPr>
                <w:rFonts w:eastAsia="宋体"/>
                <w:b/>
                <w:bCs/>
                <w:color w:val="000000"/>
                <w:sz w:val="21"/>
                <w:szCs w:val="21"/>
              </w:rPr>
              <w:t>24小时结果</w:t>
            </w:r>
          </w:p>
        </w:tc>
        <w:tc>
          <w:tcPr>
            <w:tcW w:w="1714" w:type="dxa"/>
            <w:shd w:val="clear" w:color="auto" w:fill="FFFFFF"/>
            <w:tcMar>
              <w:left w:w="57" w:type="dxa"/>
              <w:right w:w="57" w:type="dxa"/>
            </w:tcMar>
          </w:tcPr>
          <w:p w14:paraId="6121F005">
            <w:pPr>
              <w:autoSpaceDE/>
              <w:autoSpaceDN/>
              <w:snapToGrid w:val="0"/>
              <w:jc w:val="center"/>
              <w:rPr>
                <w:rFonts w:eastAsia="宋体"/>
                <w:sz w:val="21"/>
                <w:szCs w:val="21"/>
              </w:rPr>
            </w:pPr>
            <w:r>
              <w:rPr>
                <w:rFonts w:eastAsia="宋体"/>
                <w:b/>
                <w:bCs/>
                <w:color w:val="000000"/>
                <w:sz w:val="21"/>
                <w:szCs w:val="21"/>
              </w:rPr>
              <w:t>48小时结果</w:t>
            </w:r>
          </w:p>
        </w:tc>
        <w:tc>
          <w:tcPr>
            <w:tcW w:w="1709" w:type="dxa"/>
            <w:shd w:val="clear" w:color="auto" w:fill="FFFFFF"/>
            <w:tcMar>
              <w:left w:w="57" w:type="dxa"/>
              <w:right w:w="57" w:type="dxa"/>
            </w:tcMar>
          </w:tcPr>
          <w:p w14:paraId="6DAB6730">
            <w:pPr>
              <w:autoSpaceDE/>
              <w:autoSpaceDN/>
              <w:snapToGrid w:val="0"/>
              <w:jc w:val="center"/>
              <w:rPr>
                <w:rFonts w:eastAsia="宋体"/>
                <w:sz w:val="21"/>
                <w:szCs w:val="21"/>
              </w:rPr>
            </w:pPr>
            <w:r>
              <w:rPr>
                <w:rFonts w:eastAsia="宋体"/>
                <w:b/>
                <w:bCs/>
                <w:color w:val="000000"/>
                <w:sz w:val="21"/>
                <w:szCs w:val="21"/>
              </w:rPr>
              <w:t>72小时结果</w:t>
            </w:r>
          </w:p>
        </w:tc>
        <w:tc>
          <w:tcPr>
            <w:tcW w:w="1670" w:type="dxa"/>
            <w:shd w:val="clear" w:color="auto" w:fill="FFFFFF"/>
            <w:tcMar>
              <w:left w:w="57" w:type="dxa"/>
              <w:right w:w="57" w:type="dxa"/>
            </w:tcMar>
          </w:tcPr>
          <w:p w14:paraId="15995069">
            <w:pPr>
              <w:autoSpaceDE/>
              <w:autoSpaceDN/>
              <w:snapToGrid w:val="0"/>
              <w:jc w:val="center"/>
              <w:rPr>
                <w:rFonts w:eastAsia="宋体"/>
                <w:sz w:val="21"/>
                <w:szCs w:val="21"/>
              </w:rPr>
            </w:pPr>
            <w:r>
              <w:rPr>
                <w:rFonts w:eastAsia="宋体"/>
                <w:b/>
                <w:bCs/>
                <w:color w:val="000000"/>
                <w:sz w:val="21"/>
                <w:szCs w:val="21"/>
              </w:rPr>
              <w:t>结论</w:t>
            </w:r>
          </w:p>
        </w:tc>
      </w:tr>
      <w:tr w14:paraId="66DD6A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tcBorders>
              <w:top w:val="single" w:color="auto" w:sz="6" w:space="0"/>
            </w:tcBorders>
            <w:shd w:val="clear" w:color="auto" w:fill="FFFFFF"/>
            <w:tcMar>
              <w:left w:w="57" w:type="dxa"/>
              <w:right w:w="57" w:type="dxa"/>
            </w:tcMar>
          </w:tcPr>
          <w:p w14:paraId="407CD1C0">
            <w:pPr>
              <w:autoSpaceDE/>
              <w:autoSpaceDN/>
              <w:snapToGrid w:val="0"/>
              <w:jc w:val="both"/>
              <w:rPr>
                <w:rFonts w:eastAsia="宋体"/>
                <w:sz w:val="21"/>
                <w:szCs w:val="21"/>
              </w:rPr>
            </w:pPr>
            <w:r>
              <w:rPr>
                <w:rFonts w:eastAsia="宋体"/>
                <w:color w:val="000000"/>
                <w:sz w:val="21"/>
                <w:szCs w:val="21"/>
              </w:rPr>
              <w:t>动物1</w:t>
            </w:r>
          </w:p>
        </w:tc>
        <w:tc>
          <w:tcPr>
            <w:tcW w:w="1440" w:type="dxa"/>
            <w:shd w:val="clear" w:color="auto" w:fill="FFFFFF"/>
            <w:tcMar>
              <w:left w:w="57" w:type="dxa"/>
              <w:right w:w="57" w:type="dxa"/>
            </w:tcMar>
          </w:tcPr>
          <w:p w14:paraId="4AB29AA3">
            <w:pPr>
              <w:autoSpaceDE/>
              <w:autoSpaceDN/>
              <w:snapToGrid w:val="0"/>
              <w:jc w:val="both"/>
              <w:rPr>
                <w:rFonts w:eastAsia="宋体"/>
                <w:sz w:val="21"/>
                <w:szCs w:val="21"/>
              </w:rPr>
            </w:pPr>
            <w:r>
              <w:rPr>
                <w:rFonts w:eastAsia="宋体"/>
                <w:color w:val="000000"/>
                <w:sz w:val="21"/>
                <w:szCs w:val="21"/>
              </w:rPr>
              <w:t>SC试验</w:t>
            </w:r>
          </w:p>
        </w:tc>
        <w:tc>
          <w:tcPr>
            <w:tcW w:w="1886" w:type="dxa"/>
            <w:shd w:val="clear" w:color="auto" w:fill="FFFFFF"/>
            <w:tcMar>
              <w:left w:w="57" w:type="dxa"/>
              <w:right w:w="57" w:type="dxa"/>
            </w:tcMar>
          </w:tcPr>
          <w:p w14:paraId="56C58F70">
            <w:pPr>
              <w:autoSpaceDE/>
              <w:autoSpaceDN/>
              <w:snapToGrid w:val="0"/>
              <w:jc w:val="center"/>
              <w:rPr>
                <w:rFonts w:eastAsia="宋体"/>
                <w:color w:val="000000"/>
                <w:sz w:val="21"/>
                <w:szCs w:val="21"/>
              </w:rPr>
            </w:pPr>
            <w:r>
              <w:rPr>
                <w:rFonts w:eastAsia="宋体"/>
                <w:color w:val="000000"/>
                <w:sz w:val="21"/>
                <w:szCs w:val="21"/>
              </w:rPr>
              <w:t>ER^: 0/0/0/0/0</w:t>
            </w:r>
          </w:p>
          <w:p w14:paraId="7580D53E">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6850111A">
            <w:pPr>
              <w:autoSpaceDE/>
              <w:autoSpaceDN/>
              <w:snapToGrid w:val="0"/>
              <w:jc w:val="center"/>
              <w:rPr>
                <w:rFonts w:eastAsia="宋体"/>
                <w:color w:val="000000"/>
                <w:sz w:val="21"/>
                <w:szCs w:val="21"/>
              </w:rPr>
            </w:pPr>
            <w:r>
              <w:rPr>
                <w:rFonts w:eastAsia="宋体"/>
                <w:color w:val="000000"/>
                <w:sz w:val="21"/>
                <w:szCs w:val="21"/>
              </w:rPr>
              <w:t>ER: 0/0/0/0/0</w:t>
            </w:r>
          </w:p>
          <w:p w14:paraId="7A9691ED">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5D7844A2">
            <w:pPr>
              <w:autoSpaceDE/>
              <w:autoSpaceDN/>
              <w:snapToGrid w:val="0"/>
              <w:jc w:val="center"/>
              <w:rPr>
                <w:rFonts w:eastAsia="宋体"/>
                <w:color w:val="000000"/>
                <w:sz w:val="21"/>
                <w:szCs w:val="21"/>
              </w:rPr>
            </w:pPr>
            <w:r>
              <w:rPr>
                <w:rFonts w:eastAsia="宋体"/>
                <w:color w:val="000000"/>
                <w:sz w:val="21"/>
                <w:szCs w:val="21"/>
              </w:rPr>
              <w:t>ER: 0/0/0/0/0</w:t>
            </w:r>
          </w:p>
          <w:p w14:paraId="2634623B">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3CA1E19C">
            <w:pPr>
              <w:autoSpaceDE/>
              <w:autoSpaceDN/>
              <w:snapToGrid w:val="0"/>
              <w:jc w:val="both"/>
              <w:rPr>
                <w:rFonts w:eastAsia="宋体"/>
                <w:sz w:val="21"/>
                <w:szCs w:val="21"/>
              </w:rPr>
            </w:pPr>
            <w:r>
              <w:rPr>
                <w:rFonts w:eastAsia="宋体"/>
                <w:color w:val="000000"/>
                <w:sz w:val="21"/>
                <w:szCs w:val="21"/>
              </w:rPr>
              <w:t>按预期执行</w:t>
            </w:r>
          </w:p>
        </w:tc>
      </w:tr>
      <w:tr w14:paraId="6A6262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33C8B1B5">
            <w:pPr>
              <w:autoSpaceDE/>
              <w:autoSpaceDN/>
              <w:snapToGrid w:val="0"/>
              <w:jc w:val="both"/>
              <w:rPr>
                <w:rFonts w:eastAsia="宋体"/>
                <w:sz w:val="21"/>
                <w:szCs w:val="21"/>
              </w:rPr>
            </w:pPr>
          </w:p>
        </w:tc>
        <w:tc>
          <w:tcPr>
            <w:tcW w:w="1440" w:type="dxa"/>
            <w:shd w:val="clear" w:color="auto" w:fill="FFFFFF"/>
            <w:tcMar>
              <w:left w:w="57" w:type="dxa"/>
              <w:right w:w="57" w:type="dxa"/>
            </w:tcMar>
          </w:tcPr>
          <w:p w14:paraId="1B7E8B1A">
            <w:pPr>
              <w:autoSpaceDE/>
              <w:autoSpaceDN/>
              <w:snapToGrid w:val="0"/>
              <w:jc w:val="both"/>
              <w:rPr>
                <w:rFonts w:eastAsia="宋体"/>
                <w:sz w:val="21"/>
                <w:szCs w:val="21"/>
              </w:rPr>
            </w:pPr>
            <w:r>
              <w:rPr>
                <w:rFonts w:eastAsia="宋体"/>
                <w:color w:val="000000"/>
                <w:sz w:val="21"/>
                <w:szCs w:val="21"/>
              </w:rPr>
              <w:t>SC对照</w:t>
            </w:r>
          </w:p>
        </w:tc>
        <w:tc>
          <w:tcPr>
            <w:tcW w:w="1886" w:type="dxa"/>
            <w:shd w:val="clear" w:color="auto" w:fill="FFFFFF"/>
            <w:tcMar>
              <w:left w:w="57" w:type="dxa"/>
              <w:right w:w="57" w:type="dxa"/>
            </w:tcMar>
          </w:tcPr>
          <w:p w14:paraId="7389FEC7">
            <w:pPr>
              <w:autoSpaceDE/>
              <w:autoSpaceDN/>
              <w:snapToGrid w:val="0"/>
              <w:jc w:val="center"/>
              <w:rPr>
                <w:rFonts w:eastAsia="宋体"/>
                <w:color w:val="000000"/>
                <w:sz w:val="21"/>
                <w:szCs w:val="21"/>
              </w:rPr>
            </w:pPr>
            <w:r>
              <w:rPr>
                <w:rFonts w:eastAsia="宋体"/>
                <w:color w:val="000000"/>
                <w:sz w:val="21"/>
                <w:szCs w:val="21"/>
              </w:rPr>
              <w:t>ER: 0/0/0/0/0</w:t>
            </w:r>
          </w:p>
          <w:p w14:paraId="06B1F6E7">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0886A20D">
            <w:pPr>
              <w:autoSpaceDE/>
              <w:autoSpaceDN/>
              <w:snapToGrid w:val="0"/>
              <w:jc w:val="center"/>
              <w:rPr>
                <w:rFonts w:eastAsia="宋体"/>
                <w:color w:val="000000"/>
                <w:sz w:val="21"/>
                <w:szCs w:val="21"/>
              </w:rPr>
            </w:pPr>
            <w:r>
              <w:rPr>
                <w:rFonts w:eastAsia="宋体"/>
                <w:color w:val="000000"/>
                <w:sz w:val="21"/>
                <w:szCs w:val="21"/>
              </w:rPr>
              <w:t>ER: 0/0/0/0/0</w:t>
            </w:r>
          </w:p>
          <w:p w14:paraId="4B69970C">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351554D3">
            <w:pPr>
              <w:autoSpaceDE/>
              <w:autoSpaceDN/>
              <w:snapToGrid w:val="0"/>
              <w:jc w:val="center"/>
              <w:rPr>
                <w:rFonts w:eastAsia="宋体"/>
                <w:color w:val="000000"/>
                <w:sz w:val="21"/>
                <w:szCs w:val="21"/>
              </w:rPr>
            </w:pPr>
            <w:r>
              <w:rPr>
                <w:rFonts w:eastAsia="宋体"/>
                <w:color w:val="000000"/>
                <w:sz w:val="21"/>
                <w:szCs w:val="21"/>
              </w:rPr>
              <w:t>ER: 0/0/0/0/0</w:t>
            </w:r>
          </w:p>
          <w:p w14:paraId="59B3F854">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4E5C3226">
            <w:pPr>
              <w:autoSpaceDE/>
              <w:autoSpaceDN/>
              <w:snapToGrid w:val="0"/>
              <w:jc w:val="both"/>
              <w:rPr>
                <w:rFonts w:eastAsia="宋体"/>
                <w:sz w:val="21"/>
                <w:szCs w:val="21"/>
              </w:rPr>
            </w:pPr>
            <w:r>
              <w:rPr>
                <w:rFonts w:eastAsia="宋体"/>
                <w:color w:val="000000"/>
                <w:sz w:val="21"/>
                <w:szCs w:val="21"/>
              </w:rPr>
              <w:t>按预期执行</w:t>
            </w:r>
          </w:p>
        </w:tc>
      </w:tr>
      <w:tr w14:paraId="4D09E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79B857C5">
            <w:pPr>
              <w:autoSpaceDE/>
              <w:autoSpaceDN/>
              <w:snapToGrid w:val="0"/>
              <w:jc w:val="both"/>
              <w:rPr>
                <w:rFonts w:eastAsia="宋体"/>
                <w:sz w:val="21"/>
                <w:szCs w:val="21"/>
              </w:rPr>
            </w:pPr>
            <w:r>
              <w:rPr>
                <w:rFonts w:eastAsia="宋体"/>
                <w:color w:val="000000"/>
                <w:sz w:val="21"/>
                <w:szCs w:val="21"/>
              </w:rPr>
              <w:t>动物2</w:t>
            </w:r>
          </w:p>
        </w:tc>
        <w:tc>
          <w:tcPr>
            <w:tcW w:w="1440" w:type="dxa"/>
            <w:shd w:val="clear" w:color="auto" w:fill="FFFFFF"/>
            <w:tcMar>
              <w:left w:w="57" w:type="dxa"/>
              <w:right w:w="57" w:type="dxa"/>
            </w:tcMar>
          </w:tcPr>
          <w:p w14:paraId="4FE45CED">
            <w:pPr>
              <w:autoSpaceDE/>
              <w:autoSpaceDN/>
              <w:snapToGrid w:val="0"/>
              <w:jc w:val="both"/>
              <w:rPr>
                <w:rFonts w:eastAsia="宋体"/>
                <w:sz w:val="21"/>
                <w:szCs w:val="21"/>
              </w:rPr>
            </w:pPr>
            <w:r>
              <w:rPr>
                <w:rFonts w:eastAsia="宋体"/>
                <w:color w:val="000000"/>
                <w:sz w:val="21"/>
                <w:szCs w:val="21"/>
              </w:rPr>
              <w:t>SC试验</w:t>
            </w:r>
          </w:p>
        </w:tc>
        <w:tc>
          <w:tcPr>
            <w:tcW w:w="1886" w:type="dxa"/>
            <w:shd w:val="clear" w:color="auto" w:fill="FFFFFF"/>
            <w:tcMar>
              <w:left w:w="57" w:type="dxa"/>
              <w:right w:w="57" w:type="dxa"/>
            </w:tcMar>
          </w:tcPr>
          <w:p w14:paraId="6C38B1FB">
            <w:pPr>
              <w:autoSpaceDE/>
              <w:autoSpaceDN/>
              <w:snapToGrid w:val="0"/>
              <w:jc w:val="center"/>
              <w:rPr>
                <w:rFonts w:eastAsia="宋体"/>
                <w:color w:val="000000"/>
                <w:sz w:val="21"/>
                <w:szCs w:val="21"/>
              </w:rPr>
            </w:pPr>
            <w:r>
              <w:rPr>
                <w:rFonts w:eastAsia="宋体"/>
                <w:color w:val="000000"/>
                <w:sz w:val="21"/>
                <w:szCs w:val="21"/>
              </w:rPr>
              <w:t>ER: 0/0/0/0/0</w:t>
            </w:r>
          </w:p>
          <w:p w14:paraId="471FA3C2">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14DC4D74">
            <w:pPr>
              <w:autoSpaceDE/>
              <w:autoSpaceDN/>
              <w:snapToGrid w:val="0"/>
              <w:jc w:val="center"/>
              <w:rPr>
                <w:rFonts w:eastAsia="宋体"/>
                <w:color w:val="000000"/>
                <w:sz w:val="21"/>
                <w:szCs w:val="21"/>
              </w:rPr>
            </w:pPr>
            <w:r>
              <w:rPr>
                <w:rFonts w:eastAsia="宋体"/>
                <w:color w:val="000000"/>
                <w:sz w:val="21"/>
                <w:szCs w:val="21"/>
              </w:rPr>
              <w:t>ER: 0/0/0/0/0</w:t>
            </w:r>
          </w:p>
          <w:p w14:paraId="7CB41EF7">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37860B86">
            <w:pPr>
              <w:autoSpaceDE/>
              <w:autoSpaceDN/>
              <w:snapToGrid w:val="0"/>
              <w:jc w:val="center"/>
              <w:rPr>
                <w:rFonts w:eastAsia="宋体"/>
                <w:color w:val="000000"/>
                <w:sz w:val="21"/>
                <w:szCs w:val="21"/>
              </w:rPr>
            </w:pPr>
            <w:r>
              <w:rPr>
                <w:rFonts w:eastAsia="宋体"/>
                <w:color w:val="000000"/>
                <w:sz w:val="21"/>
                <w:szCs w:val="21"/>
              </w:rPr>
              <w:t>ER: 0/0/0/0/0</w:t>
            </w:r>
          </w:p>
          <w:p w14:paraId="363E08A5">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5F87F90A">
            <w:pPr>
              <w:autoSpaceDE/>
              <w:autoSpaceDN/>
              <w:snapToGrid w:val="0"/>
              <w:jc w:val="both"/>
              <w:rPr>
                <w:rFonts w:eastAsia="宋体"/>
                <w:sz w:val="21"/>
                <w:szCs w:val="21"/>
              </w:rPr>
            </w:pPr>
            <w:r>
              <w:rPr>
                <w:rFonts w:eastAsia="宋体"/>
                <w:color w:val="000000"/>
                <w:sz w:val="21"/>
                <w:szCs w:val="21"/>
              </w:rPr>
              <w:t>按预期执行</w:t>
            </w:r>
          </w:p>
        </w:tc>
      </w:tr>
      <w:tr w14:paraId="3553F2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75430302">
            <w:pPr>
              <w:autoSpaceDE/>
              <w:autoSpaceDN/>
              <w:snapToGrid w:val="0"/>
              <w:jc w:val="both"/>
              <w:rPr>
                <w:rFonts w:eastAsia="宋体"/>
                <w:sz w:val="21"/>
                <w:szCs w:val="21"/>
              </w:rPr>
            </w:pPr>
          </w:p>
        </w:tc>
        <w:tc>
          <w:tcPr>
            <w:tcW w:w="1440" w:type="dxa"/>
            <w:shd w:val="clear" w:color="auto" w:fill="FFFFFF"/>
            <w:tcMar>
              <w:left w:w="57" w:type="dxa"/>
              <w:right w:w="57" w:type="dxa"/>
            </w:tcMar>
          </w:tcPr>
          <w:p w14:paraId="1011D50F">
            <w:pPr>
              <w:autoSpaceDE/>
              <w:autoSpaceDN/>
              <w:snapToGrid w:val="0"/>
              <w:jc w:val="both"/>
              <w:rPr>
                <w:rFonts w:eastAsia="宋体"/>
                <w:sz w:val="21"/>
                <w:szCs w:val="21"/>
              </w:rPr>
            </w:pPr>
            <w:r>
              <w:rPr>
                <w:rFonts w:eastAsia="宋体"/>
                <w:color w:val="000000"/>
                <w:sz w:val="21"/>
                <w:szCs w:val="21"/>
              </w:rPr>
              <w:t>SC对照</w:t>
            </w:r>
          </w:p>
        </w:tc>
        <w:tc>
          <w:tcPr>
            <w:tcW w:w="1886" w:type="dxa"/>
            <w:shd w:val="clear" w:color="auto" w:fill="FFFFFF"/>
            <w:tcMar>
              <w:left w:w="57" w:type="dxa"/>
              <w:right w:w="57" w:type="dxa"/>
            </w:tcMar>
          </w:tcPr>
          <w:p w14:paraId="419E6FB4">
            <w:pPr>
              <w:autoSpaceDE/>
              <w:autoSpaceDN/>
              <w:snapToGrid w:val="0"/>
              <w:jc w:val="center"/>
              <w:rPr>
                <w:rFonts w:eastAsia="宋体"/>
                <w:color w:val="000000"/>
                <w:sz w:val="21"/>
                <w:szCs w:val="21"/>
              </w:rPr>
            </w:pPr>
            <w:r>
              <w:rPr>
                <w:rFonts w:eastAsia="宋体"/>
                <w:color w:val="000000"/>
                <w:sz w:val="21"/>
                <w:szCs w:val="21"/>
              </w:rPr>
              <w:t>ER: 0/0/0/0/0</w:t>
            </w:r>
          </w:p>
          <w:p w14:paraId="195F863E">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018645A8">
            <w:pPr>
              <w:autoSpaceDE/>
              <w:autoSpaceDN/>
              <w:snapToGrid w:val="0"/>
              <w:jc w:val="center"/>
              <w:rPr>
                <w:rFonts w:eastAsia="宋体"/>
                <w:color w:val="000000"/>
                <w:sz w:val="21"/>
                <w:szCs w:val="21"/>
              </w:rPr>
            </w:pPr>
            <w:r>
              <w:rPr>
                <w:rFonts w:eastAsia="宋体"/>
                <w:color w:val="000000"/>
                <w:sz w:val="21"/>
                <w:szCs w:val="21"/>
              </w:rPr>
              <w:t>ER: 0/0/0/0/0</w:t>
            </w:r>
          </w:p>
          <w:p w14:paraId="19CD1BF0">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1CF64DEF">
            <w:pPr>
              <w:autoSpaceDE/>
              <w:autoSpaceDN/>
              <w:snapToGrid w:val="0"/>
              <w:jc w:val="center"/>
              <w:rPr>
                <w:rFonts w:eastAsia="宋体"/>
                <w:color w:val="000000"/>
                <w:sz w:val="21"/>
                <w:szCs w:val="21"/>
              </w:rPr>
            </w:pPr>
            <w:r>
              <w:rPr>
                <w:rFonts w:eastAsia="宋体"/>
                <w:color w:val="000000"/>
                <w:sz w:val="21"/>
                <w:szCs w:val="21"/>
              </w:rPr>
              <w:t>ER: 0/0/0/0/0</w:t>
            </w:r>
          </w:p>
          <w:p w14:paraId="7135419C">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78234040">
            <w:pPr>
              <w:autoSpaceDE/>
              <w:autoSpaceDN/>
              <w:snapToGrid w:val="0"/>
              <w:jc w:val="both"/>
              <w:rPr>
                <w:rFonts w:eastAsia="宋体"/>
                <w:sz w:val="21"/>
                <w:szCs w:val="21"/>
              </w:rPr>
            </w:pPr>
            <w:r>
              <w:rPr>
                <w:rFonts w:eastAsia="宋体"/>
                <w:color w:val="000000"/>
                <w:sz w:val="21"/>
                <w:szCs w:val="21"/>
              </w:rPr>
              <w:t>按预期执行</w:t>
            </w:r>
          </w:p>
        </w:tc>
      </w:tr>
      <w:tr w14:paraId="6BBE81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0F3B88A1">
            <w:pPr>
              <w:autoSpaceDE/>
              <w:autoSpaceDN/>
              <w:snapToGrid w:val="0"/>
              <w:jc w:val="both"/>
              <w:rPr>
                <w:rFonts w:eastAsia="宋体"/>
                <w:sz w:val="21"/>
                <w:szCs w:val="21"/>
              </w:rPr>
            </w:pPr>
            <w:r>
              <w:rPr>
                <w:rFonts w:eastAsia="宋体"/>
                <w:color w:val="000000"/>
                <w:sz w:val="21"/>
                <w:szCs w:val="21"/>
              </w:rPr>
              <w:t>动物3</w:t>
            </w:r>
          </w:p>
        </w:tc>
        <w:tc>
          <w:tcPr>
            <w:tcW w:w="1440" w:type="dxa"/>
            <w:shd w:val="clear" w:color="auto" w:fill="FFFFFF"/>
            <w:tcMar>
              <w:left w:w="57" w:type="dxa"/>
              <w:right w:w="57" w:type="dxa"/>
            </w:tcMar>
          </w:tcPr>
          <w:p w14:paraId="2945320D">
            <w:pPr>
              <w:autoSpaceDE/>
              <w:autoSpaceDN/>
              <w:snapToGrid w:val="0"/>
              <w:jc w:val="both"/>
              <w:rPr>
                <w:rFonts w:eastAsia="宋体"/>
                <w:sz w:val="21"/>
                <w:szCs w:val="21"/>
              </w:rPr>
            </w:pPr>
            <w:r>
              <w:rPr>
                <w:rFonts w:eastAsia="宋体"/>
                <w:color w:val="000000"/>
                <w:sz w:val="21"/>
                <w:szCs w:val="21"/>
              </w:rPr>
              <w:t>SC试验</w:t>
            </w:r>
          </w:p>
        </w:tc>
        <w:tc>
          <w:tcPr>
            <w:tcW w:w="1886" w:type="dxa"/>
            <w:shd w:val="clear" w:color="auto" w:fill="FFFFFF"/>
            <w:tcMar>
              <w:left w:w="57" w:type="dxa"/>
              <w:right w:w="57" w:type="dxa"/>
            </w:tcMar>
          </w:tcPr>
          <w:p w14:paraId="357A5FC9">
            <w:pPr>
              <w:autoSpaceDE/>
              <w:autoSpaceDN/>
              <w:snapToGrid w:val="0"/>
              <w:jc w:val="center"/>
              <w:rPr>
                <w:rFonts w:eastAsia="宋体"/>
                <w:color w:val="000000"/>
                <w:sz w:val="21"/>
                <w:szCs w:val="21"/>
              </w:rPr>
            </w:pPr>
            <w:r>
              <w:rPr>
                <w:rFonts w:eastAsia="宋体"/>
                <w:color w:val="000000"/>
                <w:sz w:val="21"/>
                <w:szCs w:val="21"/>
              </w:rPr>
              <w:t>ER: 0/0/0/0/0</w:t>
            </w:r>
          </w:p>
          <w:p w14:paraId="4DBD8A9A">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0D47925A">
            <w:pPr>
              <w:autoSpaceDE/>
              <w:autoSpaceDN/>
              <w:snapToGrid w:val="0"/>
              <w:jc w:val="center"/>
              <w:rPr>
                <w:rFonts w:eastAsia="宋体"/>
                <w:color w:val="000000"/>
                <w:sz w:val="21"/>
                <w:szCs w:val="21"/>
              </w:rPr>
            </w:pPr>
            <w:r>
              <w:rPr>
                <w:rFonts w:eastAsia="宋体"/>
                <w:color w:val="000000"/>
                <w:sz w:val="21"/>
                <w:szCs w:val="21"/>
              </w:rPr>
              <w:t>ER: 0/0/0/0/0</w:t>
            </w:r>
          </w:p>
          <w:p w14:paraId="7E187E5C">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2BE8098E">
            <w:pPr>
              <w:autoSpaceDE/>
              <w:autoSpaceDN/>
              <w:snapToGrid w:val="0"/>
              <w:jc w:val="center"/>
              <w:rPr>
                <w:rFonts w:eastAsia="宋体"/>
                <w:color w:val="000000"/>
                <w:sz w:val="21"/>
                <w:szCs w:val="21"/>
              </w:rPr>
            </w:pPr>
            <w:r>
              <w:rPr>
                <w:rFonts w:eastAsia="宋体"/>
                <w:color w:val="000000"/>
                <w:sz w:val="21"/>
                <w:szCs w:val="21"/>
              </w:rPr>
              <w:t>ER: 0/0/0/0/0</w:t>
            </w:r>
          </w:p>
          <w:p w14:paraId="246021A1">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2CCFBC83">
            <w:pPr>
              <w:autoSpaceDE/>
              <w:autoSpaceDN/>
              <w:snapToGrid w:val="0"/>
              <w:jc w:val="both"/>
              <w:rPr>
                <w:rFonts w:eastAsia="宋体"/>
                <w:sz w:val="21"/>
                <w:szCs w:val="21"/>
              </w:rPr>
            </w:pPr>
            <w:r>
              <w:rPr>
                <w:rFonts w:eastAsia="宋体"/>
                <w:color w:val="000000"/>
                <w:sz w:val="21"/>
                <w:szCs w:val="21"/>
              </w:rPr>
              <w:t>按预期执行</w:t>
            </w:r>
          </w:p>
        </w:tc>
      </w:tr>
      <w:tr w14:paraId="25FB2D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09A1730F">
            <w:pPr>
              <w:autoSpaceDE/>
              <w:autoSpaceDN/>
              <w:snapToGrid w:val="0"/>
              <w:jc w:val="both"/>
              <w:rPr>
                <w:rFonts w:eastAsia="宋体"/>
                <w:sz w:val="21"/>
                <w:szCs w:val="21"/>
              </w:rPr>
            </w:pPr>
          </w:p>
        </w:tc>
        <w:tc>
          <w:tcPr>
            <w:tcW w:w="1440" w:type="dxa"/>
            <w:shd w:val="clear" w:color="auto" w:fill="FFFFFF"/>
            <w:tcMar>
              <w:left w:w="57" w:type="dxa"/>
              <w:right w:w="57" w:type="dxa"/>
            </w:tcMar>
          </w:tcPr>
          <w:p w14:paraId="6D3EF797">
            <w:pPr>
              <w:autoSpaceDE/>
              <w:autoSpaceDN/>
              <w:snapToGrid w:val="0"/>
              <w:jc w:val="both"/>
              <w:rPr>
                <w:rFonts w:eastAsia="宋体"/>
                <w:sz w:val="21"/>
                <w:szCs w:val="21"/>
              </w:rPr>
            </w:pPr>
            <w:r>
              <w:rPr>
                <w:rFonts w:eastAsia="宋体"/>
                <w:color w:val="000000"/>
                <w:sz w:val="21"/>
                <w:szCs w:val="21"/>
              </w:rPr>
              <w:t>SC对照</w:t>
            </w:r>
          </w:p>
        </w:tc>
        <w:tc>
          <w:tcPr>
            <w:tcW w:w="1886" w:type="dxa"/>
            <w:shd w:val="clear" w:color="auto" w:fill="FFFFFF"/>
            <w:tcMar>
              <w:left w:w="57" w:type="dxa"/>
              <w:right w:w="57" w:type="dxa"/>
            </w:tcMar>
          </w:tcPr>
          <w:p w14:paraId="7545321A">
            <w:pPr>
              <w:autoSpaceDE/>
              <w:autoSpaceDN/>
              <w:snapToGrid w:val="0"/>
              <w:jc w:val="center"/>
              <w:rPr>
                <w:rFonts w:eastAsia="宋体"/>
                <w:color w:val="000000"/>
                <w:sz w:val="21"/>
                <w:szCs w:val="21"/>
              </w:rPr>
            </w:pPr>
            <w:r>
              <w:rPr>
                <w:rFonts w:eastAsia="宋体"/>
                <w:color w:val="000000"/>
                <w:sz w:val="21"/>
                <w:szCs w:val="21"/>
              </w:rPr>
              <w:t>ER: 0/0/0/0/0</w:t>
            </w:r>
          </w:p>
          <w:p w14:paraId="3A448893">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6E7F428E">
            <w:pPr>
              <w:autoSpaceDE/>
              <w:autoSpaceDN/>
              <w:snapToGrid w:val="0"/>
              <w:jc w:val="center"/>
              <w:rPr>
                <w:rFonts w:eastAsia="宋体"/>
                <w:color w:val="000000"/>
                <w:sz w:val="21"/>
                <w:szCs w:val="21"/>
              </w:rPr>
            </w:pPr>
            <w:r>
              <w:rPr>
                <w:rFonts w:eastAsia="宋体"/>
                <w:color w:val="000000"/>
                <w:sz w:val="21"/>
                <w:szCs w:val="21"/>
              </w:rPr>
              <w:t>ER: 0/0/0/0/0</w:t>
            </w:r>
          </w:p>
          <w:p w14:paraId="427F5382">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4BFC6CE4">
            <w:pPr>
              <w:autoSpaceDE/>
              <w:autoSpaceDN/>
              <w:snapToGrid w:val="0"/>
              <w:jc w:val="center"/>
              <w:rPr>
                <w:rFonts w:eastAsia="宋体"/>
                <w:color w:val="000000"/>
                <w:sz w:val="21"/>
                <w:szCs w:val="21"/>
              </w:rPr>
            </w:pPr>
            <w:r>
              <w:rPr>
                <w:rFonts w:eastAsia="宋体"/>
                <w:color w:val="000000"/>
                <w:sz w:val="21"/>
                <w:szCs w:val="21"/>
              </w:rPr>
              <w:t>ER: 0/0/0/0/0</w:t>
            </w:r>
          </w:p>
          <w:p w14:paraId="475A6C33">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35B16619">
            <w:pPr>
              <w:autoSpaceDE/>
              <w:autoSpaceDN/>
              <w:snapToGrid w:val="0"/>
              <w:jc w:val="both"/>
              <w:rPr>
                <w:rFonts w:eastAsia="宋体"/>
                <w:sz w:val="21"/>
                <w:szCs w:val="21"/>
              </w:rPr>
            </w:pPr>
            <w:r>
              <w:rPr>
                <w:rFonts w:eastAsia="宋体"/>
                <w:color w:val="000000"/>
                <w:sz w:val="21"/>
                <w:szCs w:val="21"/>
              </w:rPr>
              <w:t>按预期执行</w:t>
            </w:r>
          </w:p>
        </w:tc>
      </w:tr>
      <w:tr w14:paraId="70B2F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5950CFBC">
            <w:pPr>
              <w:autoSpaceDE/>
              <w:autoSpaceDN/>
              <w:snapToGrid w:val="0"/>
              <w:jc w:val="both"/>
              <w:rPr>
                <w:rFonts w:eastAsia="宋体"/>
                <w:sz w:val="21"/>
                <w:szCs w:val="21"/>
              </w:rPr>
            </w:pPr>
            <w:r>
              <w:rPr>
                <w:rFonts w:eastAsia="宋体"/>
                <w:color w:val="000000"/>
                <w:sz w:val="21"/>
                <w:szCs w:val="21"/>
              </w:rPr>
              <w:t>动物1</w:t>
            </w:r>
          </w:p>
        </w:tc>
        <w:tc>
          <w:tcPr>
            <w:tcW w:w="1440" w:type="dxa"/>
            <w:shd w:val="clear" w:color="auto" w:fill="FFFFFF"/>
            <w:tcMar>
              <w:left w:w="57" w:type="dxa"/>
              <w:right w:w="57" w:type="dxa"/>
            </w:tcMar>
          </w:tcPr>
          <w:p w14:paraId="2EF5F2D8">
            <w:pPr>
              <w:autoSpaceDE/>
              <w:autoSpaceDN/>
              <w:snapToGrid w:val="0"/>
              <w:jc w:val="both"/>
              <w:rPr>
                <w:rFonts w:eastAsia="宋体"/>
                <w:sz w:val="21"/>
                <w:szCs w:val="21"/>
              </w:rPr>
            </w:pPr>
            <w:r>
              <w:rPr>
                <w:rFonts w:eastAsia="宋体"/>
                <w:color w:val="000000"/>
                <w:sz w:val="21"/>
                <w:szCs w:val="21"/>
              </w:rPr>
              <w:t>SO试验</w:t>
            </w:r>
          </w:p>
        </w:tc>
        <w:tc>
          <w:tcPr>
            <w:tcW w:w="1886" w:type="dxa"/>
            <w:shd w:val="clear" w:color="auto" w:fill="FFFFFF"/>
            <w:tcMar>
              <w:left w:w="57" w:type="dxa"/>
              <w:right w:w="57" w:type="dxa"/>
            </w:tcMar>
          </w:tcPr>
          <w:p w14:paraId="77C36117">
            <w:pPr>
              <w:autoSpaceDE/>
              <w:autoSpaceDN/>
              <w:snapToGrid w:val="0"/>
              <w:jc w:val="center"/>
              <w:rPr>
                <w:rFonts w:eastAsia="宋体"/>
                <w:color w:val="000000"/>
                <w:sz w:val="21"/>
                <w:szCs w:val="21"/>
              </w:rPr>
            </w:pPr>
            <w:r>
              <w:rPr>
                <w:rFonts w:eastAsia="宋体"/>
                <w:color w:val="000000"/>
                <w:sz w:val="21"/>
                <w:szCs w:val="21"/>
              </w:rPr>
              <w:t>ER: 1/1/1/1/1</w:t>
            </w:r>
          </w:p>
          <w:p w14:paraId="6C96748F">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5500B1E6">
            <w:pPr>
              <w:autoSpaceDE/>
              <w:autoSpaceDN/>
              <w:snapToGrid w:val="0"/>
              <w:jc w:val="center"/>
              <w:rPr>
                <w:rFonts w:eastAsia="宋体"/>
                <w:color w:val="000000"/>
                <w:sz w:val="21"/>
                <w:szCs w:val="21"/>
              </w:rPr>
            </w:pPr>
            <w:r>
              <w:rPr>
                <w:rFonts w:eastAsia="宋体"/>
                <w:color w:val="000000"/>
                <w:sz w:val="21"/>
                <w:szCs w:val="21"/>
              </w:rPr>
              <w:t>ER: 1/0/1/1/1</w:t>
            </w:r>
          </w:p>
          <w:p w14:paraId="6B10B090">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47084D53">
            <w:pPr>
              <w:autoSpaceDE/>
              <w:autoSpaceDN/>
              <w:snapToGrid w:val="0"/>
              <w:jc w:val="center"/>
              <w:rPr>
                <w:rFonts w:eastAsia="宋体"/>
                <w:color w:val="000000"/>
                <w:sz w:val="21"/>
                <w:szCs w:val="21"/>
              </w:rPr>
            </w:pPr>
            <w:r>
              <w:rPr>
                <w:rFonts w:eastAsia="宋体"/>
                <w:color w:val="000000"/>
                <w:sz w:val="21"/>
                <w:szCs w:val="21"/>
              </w:rPr>
              <w:t>ER: 1/0/1/1/1</w:t>
            </w:r>
          </w:p>
          <w:p w14:paraId="1FD172C0">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309CC9EA">
            <w:pPr>
              <w:autoSpaceDE/>
              <w:autoSpaceDN/>
              <w:snapToGrid w:val="0"/>
              <w:jc w:val="both"/>
              <w:rPr>
                <w:rFonts w:eastAsia="宋体"/>
                <w:sz w:val="21"/>
                <w:szCs w:val="21"/>
              </w:rPr>
            </w:pPr>
            <w:r>
              <w:rPr>
                <w:rFonts w:eastAsia="宋体"/>
                <w:color w:val="000000"/>
                <w:sz w:val="21"/>
                <w:szCs w:val="21"/>
              </w:rPr>
              <w:t>按预期执行</w:t>
            </w:r>
          </w:p>
        </w:tc>
      </w:tr>
      <w:tr w14:paraId="7311E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2FE2EB74">
            <w:pPr>
              <w:autoSpaceDE/>
              <w:autoSpaceDN/>
              <w:snapToGrid w:val="0"/>
              <w:jc w:val="both"/>
              <w:rPr>
                <w:rFonts w:eastAsia="宋体"/>
                <w:sz w:val="21"/>
                <w:szCs w:val="21"/>
              </w:rPr>
            </w:pPr>
          </w:p>
        </w:tc>
        <w:tc>
          <w:tcPr>
            <w:tcW w:w="1440" w:type="dxa"/>
            <w:shd w:val="clear" w:color="auto" w:fill="FFFFFF"/>
            <w:tcMar>
              <w:left w:w="57" w:type="dxa"/>
              <w:right w:w="57" w:type="dxa"/>
            </w:tcMar>
          </w:tcPr>
          <w:p w14:paraId="7E563D65">
            <w:pPr>
              <w:autoSpaceDE/>
              <w:autoSpaceDN/>
              <w:snapToGrid w:val="0"/>
              <w:jc w:val="both"/>
              <w:rPr>
                <w:rFonts w:eastAsia="宋体"/>
                <w:sz w:val="21"/>
                <w:szCs w:val="21"/>
              </w:rPr>
            </w:pPr>
            <w:r>
              <w:rPr>
                <w:rFonts w:eastAsia="宋体"/>
                <w:color w:val="000000"/>
                <w:sz w:val="21"/>
                <w:szCs w:val="21"/>
              </w:rPr>
              <w:t>SO对照</w:t>
            </w:r>
          </w:p>
        </w:tc>
        <w:tc>
          <w:tcPr>
            <w:tcW w:w="1886" w:type="dxa"/>
            <w:shd w:val="clear" w:color="auto" w:fill="FFFFFF"/>
            <w:tcMar>
              <w:left w:w="57" w:type="dxa"/>
              <w:right w:w="57" w:type="dxa"/>
            </w:tcMar>
          </w:tcPr>
          <w:p w14:paraId="54E9A737">
            <w:pPr>
              <w:autoSpaceDE/>
              <w:autoSpaceDN/>
              <w:snapToGrid w:val="0"/>
              <w:jc w:val="center"/>
              <w:rPr>
                <w:rFonts w:eastAsia="宋体"/>
                <w:color w:val="000000"/>
                <w:sz w:val="21"/>
                <w:szCs w:val="21"/>
              </w:rPr>
            </w:pPr>
            <w:r>
              <w:rPr>
                <w:rFonts w:eastAsia="宋体"/>
                <w:color w:val="000000"/>
                <w:sz w:val="21"/>
                <w:szCs w:val="21"/>
              </w:rPr>
              <w:t>ER: 1/1/1/1/1</w:t>
            </w:r>
          </w:p>
          <w:p w14:paraId="5F64CC27">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77ADB90D">
            <w:pPr>
              <w:autoSpaceDE/>
              <w:autoSpaceDN/>
              <w:snapToGrid w:val="0"/>
              <w:jc w:val="center"/>
              <w:rPr>
                <w:rFonts w:eastAsia="宋体"/>
                <w:color w:val="000000"/>
                <w:sz w:val="21"/>
                <w:szCs w:val="21"/>
              </w:rPr>
            </w:pPr>
            <w:r>
              <w:rPr>
                <w:rFonts w:eastAsia="宋体"/>
                <w:color w:val="000000"/>
                <w:sz w:val="21"/>
                <w:szCs w:val="21"/>
              </w:rPr>
              <w:t>ER: 1/1/1/1/1</w:t>
            </w:r>
          </w:p>
          <w:p w14:paraId="7355C626">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5F63017B">
            <w:pPr>
              <w:autoSpaceDE/>
              <w:autoSpaceDN/>
              <w:snapToGrid w:val="0"/>
              <w:jc w:val="center"/>
              <w:rPr>
                <w:rFonts w:eastAsia="宋体"/>
                <w:color w:val="000000"/>
                <w:sz w:val="21"/>
                <w:szCs w:val="21"/>
              </w:rPr>
            </w:pPr>
            <w:r>
              <w:rPr>
                <w:rFonts w:eastAsia="宋体"/>
                <w:color w:val="000000"/>
                <w:sz w:val="21"/>
                <w:szCs w:val="21"/>
              </w:rPr>
              <w:t>ER: 1/1/0/0/1</w:t>
            </w:r>
          </w:p>
          <w:p w14:paraId="410669FE">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6F6CC2B5">
            <w:pPr>
              <w:autoSpaceDE/>
              <w:autoSpaceDN/>
              <w:snapToGrid w:val="0"/>
              <w:jc w:val="both"/>
              <w:rPr>
                <w:rFonts w:eastAsia="宋体"/>
                <w:sz w:val="21"/>
                <w:szCs w:val="21"/>
              </w:rPr>
            </w:pPr>
            <w:r>
              <w:rPr>
                <w:rFonts w:eastAsia="宋体"/>
                <w:color w:val="000000"/>
                <w:sz w:val="21"/>
                <w:szCs w:val="21"/>
              </w:rPr>
              <w:t>按预期执行</w:t>
            </w:r>
          </w:p>
        </w:tc>
      </w:tr>
      <w:tr w14:paraId="0E0E33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5CFE4C7C">
            <w:pPr>
              <w:autoSpaceDE/>
              <w:autoSpaceDN/>
              <w:snapToGrid w:val="0"/>
              <w:jc w:val="both"/>
              <w:rPr>
                <w:rFonts w:eastAsia="宋体"/>
                <w:sz w:val="21"/>
                <w:szCs w:val="21"/>
              </w:rPr>
            </w:pPr>
            <w:r>
              <w:rPr>
                <w:rFonts w:eastAsia="宋体"/>
                <w:color w:val="000000"/>
                <w:sz w:val="21"/>
                <w:szCs w:val="21"/>
              </w:rPr>
              <w:t>动物2</w:t>
            </w:r>
          </w:p>
        </w:tc>
        <w:tc>
          <w:tcPr>
            <w:tcW w:w="1440" w:type="dxa"/>
            <w:shd w:val="clear" w:color="auto" w:fill="FFFFFF"/>
            <w:tcMar>
              <w:left w:w="57" w:type="dxa"/>
              <w:right w:w="57" w:type="dxa"/>
            </w:tcMar>
          </w:tcPr>
          <w:p w14:paraId="0D7109E0">
            <w:pPr>
              <w:autoSpaceDE/>
              <w:autoSpaceDN/>
              <w:snapToGrid w:val="0"/>
              <w:jc w:val="both"/>
              <w:rPr>
                <w:rFonts w:eastAsia="宋体"/>
                <w:sz w:val="21"/>
                <w:szCs w:val="21"/>
              </w:rPr>
            </w:pPr>
            <w:r>
              <w:rPr>
                <w:rFonts w:eastAsia="宋体"/>
                <w:color w:val="000000"/>
                <w:sz w:val="21"/>
                <w:szCs w:val="21"/>
              </w:rPr>
              <w:t>SO试验</w:t>
            </w:r>
          </w:p>
        </w:tc>
        <w:tc>
          <w:tcPr>
            <w:tcW w:w="1886" w:type="dxa"/>
            <w:shd w:val="clear" w:color="auto" w:fill="FFFFFF"/>
            <w:tcMar>
              <w:left w:w="57" w:type="dxa"/>
              <w:right w:w="57" w:type="dxa"/>
            </w:tcMar>
          </w:tcPr>
          <w:p w14:paraId="36C7FECD">
            <w:pPr>
              <w:autoSpaceDE/>
              <w:autoSpaceDN/>
              <w:snapToGrid w:val="0"/>
              <w:jc w:val="center"/>
              <w:rPr>
                <w:rFonts w:eastAsia="宋体"/>
                <w:color w:val="000000"/>
                <w:sz w:val="21"/>
                <w:szCs w:val="21"/>
              </w:rPr>
            </w:pPr>
            <w:r>
              <w:rPr>
                <w:rFonts w:eastAsia="宋体"/>
                <w:color w:val="000000"/>
                <w:sz w:val="21"/>
                <w:szCs w:val="21"/>
              </w:rPr>
              <w:t>ER: 1/1/1/1/1</w:t>
            </w:r>
          </w:p>
          <w:p w14:paraId="49327039">
            <w:pPr>
              <w:autoSpaceDE/>
              <w:autoSpaceDN/>
              <w:snapToGrid w:val="0"/>
              <w:jc w:val="center"/>
              <w:rPr>
                <w:rFonts w:eastAsia="宋体"/>
                <w:sz w:val="21"/>
                <w:szCs w:val="21"/>
              </w:rPr>
            </w:pPr>
            <w:r>
              <w:rPr>
                <w:rFonts w:eastAsia="宋体"/>
                <w:color w:val="000000"/>
                <w:sz w:val="21"/>
                <w:szCs w:val="21"/>
              </w:rPr>
              <w:t>ED: 0/0/1/0/0</w:t>
            </w:r>
          </w:p>
        </w:tc>
        <w:tc>
          <w:tcPr>
            <w:tcW w:w="1714" w:type="dxa"/>
            <w:shd w:val="clear" w:color="auto" w:fill="FFFFFF"/>
            <w:tcMar>
              <w:left w:w="57" w:type="dxa"/>
              <w:right w:w="57" w:type="dxa"/>
            </w:tcMar>
          </w:tcPr>
          <w:p w14:paraId="141E998A">
            <w:pPr>
              <w:autoSpaceDE/>
              <w:autoSpaceDN/>
              <w:snapToGrid w:val="0"/>
              <w:jc w:val="center"/>
              <w:rPr>
                <w:rFonts w:eastAsia="宋体"/>
                <w:color w:val="000000"/>
                <w:sz w:val="21"/>
                <w:szCs w:val="21"/>
              </w:rPr>
            </w:pPr>
            <w:r>
              <w:rPr>
                <w:rFonts w:eastAsia="宋体"/>
                <w:color w:val="000000"/>
                <w:sz w:val="21"/>
                <w:szCs w:val="21"/>
              </w:rPr>
              <w:t>ER: 1/1/1/1/0</w:t>
            </w:r>
          </w:p>
          <w:p w14:paraId="38B5F797">
            <w:pPr>
              <w:autoSpaceDE/>
              <w:autoSpaceDN/>
              <w:snapToGrid w:val="0"/>
              <w:jc w:val="center"/>
              <w:rPr>
                <w:rFonts w:eastAsia="宋体"/>
                <w:sz w:val="21"/>
                <w:szCs w:val="21"/>
              </w:rPr>
            </w:pPr>
            <w:r>
              <w:rPr>
                <w:rFonts w:eastAsia="宋体"/>
                <w:color w:val="000000"/>
                <w:sz w:val="21"/>
                <w:szCs w:val="21"/>
              </w:rPr>
              <w:t>ED: 0/0/1/0/0</w:t>
            </w:r>
          </w:p>
        </w:tc>
        <w:tc>
          <w:tcPr>
            <w:tcW w:w="1709" w:type="dxa"/>
            <w:shd w:val="clear" w:color="auto" w:fill="FFFFFF"/>
            <w:tcMar>
              <w:left w:w="57" w:type="dxa"/>
              <w:right w:w="57" w:type="dxa"/>
            </w:tcMar>
          </w:tcPr>
          <w:p w14:paraId="29C6B966">
            <w:pPr>
              <w:autoSpaceDE/>
              <w:autoSpaceDN/>
              <w:snapToGrid w:val="0"/>
              <w:jc w:val="center"/>
              <w:rPr>
                <w:rFonts w:eastAsia="宋体"/>
                <w:color w:val="000000"/>
                <w:sz w:val="21"/>
                <w:szCs w:val="21"/>
              </w:rPr>
            </w:pPr>
            <w:r>
              <w:rPr>
                <w:rFonts w:eastAsia="宋体"/>
                <w:color w:val="000000"/>
                <w:sz w:val="21"/>
                <w:szCs w:val="21"/>
              </w:rPr>
              <w:t>ER: 1/1/1/1/0</w:t>
            </w:r>
          </w:p>
          <w:p w14:paraId="31DC756C">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4C8C4816">
            <w:pPr>
              <w:autoSpaceDE/>
              <w:autoSpaceDN/>
              <w:snapToGrid w:val="0"/>
              <w:jc w:val="both"/>
              <w:rPr>
                <w:rFonts w:eastAsia="宋体"/>
                <w:sz w:val="21"/>
                <w:szCs w:val="21"/>
              </w:rPr>
            </w:pPr>
            <w:r>
              <w:rPr>
                <w:rFonts w:eastAsia="宋体"/>
                <w:color w:val="000000"/>
                <w:sz w:val="21"/>
                <w:szCs w:val="21"/>
              </w:rPr>
              <w:t>按预期执行</w:t>
            </w:r>
          </w:p>
        </w:tc>
      </w:tr>
      <w:tr w14:paraId="3B0171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3B5F92F8">
            <w:pPr>
              <w:autoSpaceDE/>
              <w:autoSpaceDN/>
              <w:snapToGrid w:val="0"/>
              <w:jc w:val="both"/>
              <w:rPr>
                <w:rFonts w:eastAsia="宋体"/>
                <w:sz w:val="21"/>
                <w:szCs w:val="21"/>
              </w:rPr>
            </w:pPr>
          </w:p>
        </w:tc>
        <w:tc>
          <w:tcPr>
            <w:tcW w:w="1440" w:type="dxa"/>
            <w:shd w:val="clear" w:color="auto" w:fill="FFFFFF"/>
            <w:tcMar>
              <w:left w:w="57" w:type="dxa"/>
              <w:right w:w="57" w:type="dxa"/>
            </w:tcMar>
          </w:tcPr>
          <w:p w14:paraId="0BE6411F">
            <w:pPr>
              <w:autoSpaceDE/>
              <w:autoSpaceDN/>
              <w:snapToGrid w:val="0"/>
              <w:jc w:val="both"/>
              <w:rPr>
                <w:rFonts w:eastAsia="宋体"/>
                <w:sz w:val="21"/>
                <w:szCs w:val="21"/>
              </w:rPr>
            </w:pPr>
            <w:r>
              <w:rPr>
                <w:rFonts w:eastAsia="宋体"/>
                <w:color w:val="000000"/>
                <w:sz w:val="21"/>
                <w:szCs w:val="21"/>
              </w:rPr>
              <w:t>SO对照</w:t>
            </w:r>
          </w:p>
        </w:tc>
        <w:tc>
          <w:tcPr>
            <w:tcW w:w="1886" w:type="dxa"/>
            <w:shd w:val="clear" w:color="auto" w:fill="FFFFFF"/>
            <w:tcMar>
              <w:left w:w="57" w:type="dxa"/>
              <w:right w:w="57" w:type="dxa"/>
            </w:tcMar>
          </w:tcPr>
          <w:p w14:paraId="78B725D1">
            <w:pPr>
              <w:autoSpaceDE/>
              <w:autoSpaceDN/>
              <w:snapToGrid w:val="0"/>
              <w:jc w:val="center"/>
              <w:rPr>
                <w:rFonts w:eastAsia="宋体"/>
                <w:color w:val="000000"/>
                <w:sz w:val="21"/>
                <w:szCs w:val="21"/>
              </w:rPr>
            </w:pPr>
            <w:r>
              <w:rPr>
                <w:rFonts w:eastAsia="宋体"/>
                <w:color w:val="000000"/>
                <w:sz w:val="21"/>
                <w:szCs w:val="21"/>
              </w:rPr>
              <w:t>ER: 1/1/1/1/0</w:t>
            </w:r>
          </w:p>
          <w:p w14:paraId="3A81E36A">
            <w:pPr>
              <w:autoSpaceDE/>
              <w:autoSpaceDN/>
              <w:snapToGrid w:val="0"/>
              <w:jc w:val="center"/>
              <w:rPr>
                <w:rFonts w:eastAsia="宋体"/>
                <w:sz w:val="21"/>
                <w:szCs w:val="21"/>
              </w:rPr>
            </w:pPr>
            <w:r>
              <w:rPr>
                <w:rFonts w:eastAsia="宋体"/>
                <w:color w:val="000000"/>
                <w:sz w:val="21"/>
                <w:szCs w:val="21"/>
              </w:rPr>
              <w:t>ED: 0/0/1/0/0</w:t>
            </w:r>
          </w:p>
        </w:tc>
        <w:tc>
          <w:tcPr>
            <w:tcW w:w="1714" w:type="dxa"/>
            <w:shd w:val="clear" w:color="auto" w:fill="FFFFFF"/>
            <w:tcMar>
              <w:left w:w="57" w:type="dxa"/>
              <w:right w:w="57" w:type="dxa"/>
            </w:tcMar>
          </w:tcPr>
          <w:p w14:paraId="4DAAB788">
            <w:pPr>
              <w:autoSpaceDE/>
              <w:autoSpaceDN/>
              <w:snapToGrid w:val="0"/>
              <w:jc w:val="center"/>
              <w:rPr>
                <w:rFonts w:eastAsia="宋体"/>
                <w:color w:val="000000"/>
                <w:sz w:val="21"/>
                <w:szCs w:val="21"/>
              </w:rPr>
            </w:pPr>
            <w:r>
              <w:rPr>
                <w:rFonts w:eastAsia="宋体"/>
                <w:color w:val="000000"/>
                <w:sz w:val="21"/>
                <w:szCs w:val="21"/>
              </w:rPr>
              <w:t>ER: 1/1/1/0/1</w:t>
            </w:r>
          </w:p>
          <w:p w14:paraId="0B7DF967">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4D3710F3">
            <w:pPr>
              <w:autoSpaceDE/>
              <w:autoSpaceDN/>
              <w:snapToGrid w:val="0"/>
              <w:jc w:val="center"/>
              <w:rPr>
                <w:rFonts w:eastAsia="宋体"/>
                <w:color w:val="000000"/>
                <w:sz w:val="21"/>
                <w:szCs w:val="21"/>
              </w:rPr>
            </w:pPr>
            <w:r>
              <w:rPr>
                <w:rFonts w:eastAsia="宋体"/>
                <w:color w:val="000000"/>
                <w:sz w:val="21"/>
                <w:szCs w:val="21"/>
              </w:rPr>
              <w:t>ER: 1/1/0/0/0</w:t>
            </w:r>
          </w:p>
          <w:p w14:paraId="6AB2A627">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7252CBDF">
            <w:pPr>
              <w:autoSpaceDE/>
              <w:autoSpaceDN/>
              <w:snapToGrid w:val="0"/>
              <w:jc w:val="both"/>
              <w:rPr>
                <w:rFonts w:eastAsia="宋体"/>
                <w:sz w:val="21"/>
                <w:szCs w:val="21"/>
              </w:rPr>
            </w:pPr>
            <w:r>
              <w:rPr>
                <w:rFonts w:eastAsia="宋体"/>
                <w:color w:val="000000"/>
                <w:sz w:val="21"/>
                <w:szCs w:val="21"/>
              </w:rPr>
              <w:t>按预期执行</w:t>
            </w:r>
          </w:p>
        </w:tc>
      </w:tr>
      <w:tr w14:paraId="54A7FC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6C4F957D">
            <w:pPr>
              <w:autoSpaceDE/>
              <w:autoSpaceDN/>
              <w:snapToGrid w:val="0"/>
              <w:jc w:val="both"/>
              <w:rPr>
                <w:rFonts w:eastAsia="宋体"/>
                <w:sz w:val="21"/>
                <w:szCs w:val="21"/>
              </w:rPr>
            </w:pPr>
            <w:r>
              <w:rPr>
                <w:rFonts w:eastAsia="宋体"/>
                <w:color w:val="000000"/>
                <w:sz w:val="21"/>
                <w:szCs w:val="21"/>
              </w:rPr>
              <w:t>动物3</w:t>
            </w:r>
          </w:p>
        </w:tc>
        <w:tc>
          <w:tcPr>
            <w:tcW w:w="1440" w:type="dxa"/>
            <w:shd w:val="clear" w:color="auto" w:fill="FFFFFF"/>
            <w:tcMar>
              <w:left w:w="57" w:type="dxa"/>
              <w:right w:w="57" w:type="dxa"/>
            </w:tcMar>
          </w:tcPr>
          <w:p w14:paraId="4DF41023">
            <w:pPr>
              <w:autoSpaceDE/>
              <w:autoSpaceDN/>
              <w:snapToGrid w:val="0"/>
              <w:jc w:val="both"/>
              <w:rPr>
                <w:rFonts w:eastAsia="宋体"/>
                <w:sz w:val="21"/>
                <w:szCs w:val="21"/>
              </w:rPr>
            </w:pPr>
            <w:r>
              <w:rPr>
                <w:rFonts w:eastAsia="宋体"/>
                <w:color w:val="000000"/>
                <w:sz w:val="21"/>
                <w:szCs w:val="21"/>
              </w:rPr>
              <w:t>SO试验</w:t>
            </w:r>
          </w:p>
        </w:tc>
        <w:tc>
          <w:tcPr>
            <w:tcW w:w="1886" w:type="dxa"/>
            <w:shd w:val="clear" w:color="auto" w:fill="FFFFFF"/>
            <w:tcMar>
              <w:left w:w="57" w:type="dxa"/>
              <w:right w:w="57" w:type="dxa"/>
            </w:tcMar>
          </w:tcPr>
          <w:p w14:paraId="549B6C1B">
            <w:pPr>
              <w:autoSpaceDE/>
              <w:autoSpaceDN/>
              <w:snapToGrid w:val="0"/>
              <w:jc w:val="center"/>
              <w:rPr>
                <w:rFonts w:eastAsia="宋体"/>
                <w:color w:val="000000"/>
                <w:sz w:val="21"/>
                <w:szCs w:val="21"/>
              </w:rPr>
            </w:pPr>
            <w:r>
              <w:rPr>
                <w:rFonts w:eastAsia="宋体"/>
                <w:color w:val="000000"/>
                <w:sz w:val="21"/>
                <w:szCs w:val="21"/>
              </w:rPr>
              <w:t>ER: 1/1/1/1/1</w:t>
            </w:r>
          </w:p>
          <w:p w14:paraId="38244D71">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100E4DAE">
            <w:pPr>
              <w:autoSpaceDE/>
              <w:autoSpaceDN/>
              <w:snapToGrid w:val="0"/>
              <w:jc w:val="center"/>
              <w:rPr>
                <w:rFonts w:eastAsia="宋体"/>
                <w:color w:val="000000"/>
                <w:sz w:val="21"/>
                <w:szCs w:val="21"/>
              </w:rPr>
            </w:pPr>
            <w:r>
              <w:rPr>
                <w:rFonts w:eastAsia="宋体"/>
                <w:color w:val="000000"/>
                <w:sz w:val="21"/>
                <w:szCs w:val="21"/>
              </w:rPr>
              <w:t>ER: 1/1/1/1/1</w:t>
            </w:r>
          </w:p>
          <w:p w14:paraId="20FE10EA">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0B437818">
            <w:pPr>
              <w:autoSpaceDE/>
              <w:autoSpaceDN/>
              <w:snapToGrid w:val="0"/>
              <w:jc w:val="center"/>
              <w:rPr>
                <w:rFonts w:eastAsia="宋体"/>
                <w:color w:val="000000"/>
                <w:sz w:val="21"/>
                <w:szCs w:val="21"/>
              </w:rPr>
            </w:pPr>
            <w:r>
              <w:rPr>
                <w:rFonts w:eastAsia="宋体"/>
                <w:color w:val="000000"/>
                <w:sz w:val="21"/>
                <w:szCs w:val="21"/>
              </w:rPr>
              <w:t>ER: 1/1/1/1/1</w:t>
            </w:r>
          </w:p>
          <w:p w14:paraId="52196676">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632D60DB">
            <w:pPr>
              <w:autoSpaceDE/>
              <w:autoSpaceDN/>
              <w:snapToGrid w:val="0"/>
              <w:jc w:val="both"/>
              <w:rPr>
                <w:rFonts w:eastAsia="宋体"/>
                <w:sz w:val="21"/>
                <w:szCs w:val="21"/>
              </w:rPr>
            </w:pPr>
            <w:r>
              <w:rPr>
                <w:rFonts w:eastAsia="宋体"/>
                <w:color w:val="000000"/>
                <w:sz w:val="21"/>
                <w:szCs w:val="21"/>
              </w:rPr>
              <w:t>按预期执行</w:t>
            </w:r>
          </w:p>
        </w:tc>
      </w:tr>
      <w:tr w14:paraId="141D1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277" w:type="dxa"/>
            <w:shd w:val="clear" w:color="auto" w:fill="FFFFFF"/>
            <w:tcMar>
              <w:left w:w="57" w:type="dxa"/>
              <w:right w:w="57" w:type="dxa"/>
            </w:tcMar>
          </w:tcPr>
          <w:p w14:paraId="55B0298B">
            <w:pPr>
              <w:autoSpaceDE/>
              <w:autoSpaceDN/>
              <w:snapToGrid w:val="0"/>
              <w:jc w:val="both"/>
              <w:rPr>
                <w:rFonts w:eastAsia="宋体"/>
                <w:sz w:val="21"/>
                <w:szCs w:val="21"/>
              </w:rPr>
            </w:pPr>
          </w:p>
        </w:tc>
        <w:tc>
          <w:tcPr>
            <w:tcW w:w="1440" w:type="dxa"/>
            <w:shd w:val="clear" w:color="auto" w:fill="FFFFFF"/>
            <w:tcMar>
              <w:left w:w="57" w:type="dxa"/>
              <w:right w:w="57" w:type="dxa"/>
            </w:tcMar>
          </w:tcPr>
          <w:p w14:paraId="5E850A2D">
            <w:pPr>
              <w:autoSpaceDE/>
              <w:autoSpaceDN/>
              <w:snapToGrid w:val="0"/>
              <w:jc w:val="both"/>
              <w:rPr>
                <w:rFonts w:eastAsia="宋体"/>
                <w:sz w:val="21"/>
                <w:szCs w:val="21"/>
              </w:rPr>
            </w:pPr>
            <w:r>
              <w:rPr>
                <w:rFonts w:eastAsia="宋体"/>
                <w:color w:val="000000"/>
                <w:sz w:val="21"/>
                <w:szCs w:val="21"/>
              </w:rPr>
              <w:t>SO对照</w:t>
            </w:r>
          </w:p>
        </w:tc>
        <w:tc>
          <w:tcPr>
            <w:tcW w:w="1886" w:type="dxa"/>
            <w:shd w:val="clear" w:color="auto" w:fill="FFFFFF"/>
            <w:tcMar>
              <w:left w:w="57" w:type="dxa"/>
              <w:right w:w="57" w:type="dxa"/>
            </w:tcMar>
          </w:tcPr>
          <w:p w14:paraId="3EC3A0F0">
            <w:pPr>
              <w:autoSpaceDE/>
              <w:autoSpaceDN/>
              <w:snapToGrid w:val="0"/>
              <w:jc w:val="center"/>
              <w:rPr>
                <w:rFonts w:eastAsia="宋体"/>
                <w:color w:val="000000"/>
                <w:sz w:val="21"/>
                <w:szCs w:val="21"/>
              </w:rPr>
            </w:pPr>
            <w:r>
              <w:rPr>
                <w:rFonts w:eastAsia="宋体"/>
                <w:color w:val="000000"/>
                <w:sz w:val="21"/>
                <w:szCs w:val="21"/>
              </w:rPr>
              <w:t>ER: 1/1/1/1/1</w:t>
            </w:r>
          </w:p>
          <w:p w14:paraId="00DD1024">
            <w:pPr>
              <w:autoSpaceDE/>
              <w:autoSpaceDN/>
              <w:snapToGrid w:val="0"/>
              <w:jc w:val="center"/>
              <w:rPr>
                <w:rFonts w:eastAsia="宋体"/>
                <w:sz w:val="21"/>
                <w:szCs w:val="21"/>
              </w:rPr>
            </w:pPr>
            <w:r>
              <w:rPr>
                <w:rFonts w:eastAsia="宋体"/>
                <w:color w:val="000000"/>
                <w:sz w:val="21"/>
                <w:szCs w:val="21"/>
              </w:rPr>
              <w:t>ED: 0/0/0/0/0</w:t>
            </w:r>
          </w:p>
        </w:tc>
        <w:tc>
          <w:tcPr>
            <w:tcW w:w="1714" w:type="dxa"/>
            <w:shd w:val="clear" w:color="auto" w:fill="FFFFFF"/>
            <w:tcMar>
              <w:left w:w="57" w:type="dxa"/>
              <w:right w:w="57" w:type="dxa"/>
            </w:tcMar>
          </w:tcPr>
          <w:p w14:paraId="1A9609D9">
            <w:pPr>
              <w:autoSpaceDE/>
              <w:autoSpaceDN/>
              <w:snapToGrid w:val="0"/>
              <w:jc w:val="center"/>
              <w:rPr>
                <w:rFonts w:eastAsia="宋体"/>
                <w:color w:val="000000"/>
                <w:sz w:val="21"/>
                <w:szCs w:val="21"/>
              </w:rPr>
            </w:pPr>
            <w:r>
              <w:rPr>
                <w:rFonts w:eastAsia="宋体"/>
                <w:color w:val="000000"/>
                <w:sz w:val="21"/>
                <w:szCs w:val="21"/>
              </w:rPr>
              <w:t>ER: 1/1/1/1/1</w:t>
            </w:r>
          </w:p>
          <w:p w14:paraId="50BC75F0">
            <w:pPr>
              <w:autoSpaceDE/>
              <w:autoSpaceDN/>
              <w:snapToGrid w:val="0"/>
              <w:jc w:val="center"/>
              <w:rPr>
                <w:rFonts w:eastAsia="宋体"/>
                <w:sz w:val="21"/>
                <w:szCs w:val="21"/>
              </w:rPr>
            </w:pPr>
            <w:r>
              <w:rPr>
                <w:rFonts w:eastAsia="宋体"/>
                <w:color w:val="000000"/>
                <w:sz w:val="21"/>
                <w:szCs w:val="21"/>
              </w:rPr>
              <w:t>ED: 0/0/0/0/0</w:t>
            </w:r>
          </w:p>
        </w:tc>
        <w:tc>
          <w:tcPr>
            <w:tcW w:w="1709" w:type="dxa"/>
            <w:shd w:val="clear" w:color="auto" w:fill="FFFFFF"/>
            <w:tcMar>
              <w:left w:w="57" w:type="dxa"/>
              <w:right w:w="57" w:type="dxa"/>
            </w:tcMar>
          </w:tcPr>
          <w:p w14:paraId="275CF9C6">
            <w:pPr>
              <w:autoSpaceDE/>
              <w:autoSpaceDN/>
              <w:snapToGrid w:val="0"/>
              <w:jc w:val="center"/>
              <w:rPr>
                <w:rFonts w:eastAsia="宋体"/>
                <w:color w:val="000000"/>
                <w:sz w:val="21"/>
                <w:szCs w:val="21"/>
              </w:rPr>
            </w:pPr>
            <w:r>
              <w:rPr>
                <w:rFonts w:eastAsia="宋体"/>
                <w:color w:val="000000"/>
                <w:sz w:val="21"/>
                <w:szCs w:val="21"/>
              </w:rPr>
              <w:t>ER: 1/1/1/1/1</w:t>
            </w:r>
          </w:p>
          <w:p w14:paraId="7F1E2ABB">
            <w:pPr>
              <w:autoSpaceDE/>
              <w:autoSpaceDN/>
              <w:snapToGrid w:val="0"/>
              <w:jc w:val="center"/>
              <w:rPr>
                <w:rFonts w:eastAsia="宋体"/>
                <w:sz w:val="21"/>
                <w:szCs w:val="21"/>
              </w:rPr>
            </w:pPr>
            <w:r>
              <w:rPr>
                <w:rFonts w:eastAsia="宋体"/>
                <w:color w:val="000000"/>
                <w:sz w:val="21"/>
                <w:szCs w:val="21"/>
              </w:rPr>
              <w:t>ED: 0/0/0/0/0</w:t>
            </w:r>
          </w:p>
        </w:tc>
        <w:tc>
          <w:tcPr>
            <w:tcW w:w="1670" w:type="dxa"/>
            <w:shd w:val="clear" w:color="auto" w:fill="FFFFFF"/>
            <w:tcMar>
              <w:left w:w="57" w:type="dxa"/>
              <w:right w:w="57" w:type="dxa"/>
            </w:tcMar>
          </w:tcPr>
          <w:p w14:paraId="0E0673E5">
            <w:pPr>
              <w:autoSpaceDE/>
              <w:autoSpaceDN/>
              <w:snapToGrid w:val="0"/>
              <w:jc w:val="both"/>
              <w:rPr>
                <w:rFonts w:eastAsia="宋体"/>
                <w:sz w:val="21"/>
                <w:szCs w:val="21"/>
              </w:rPr>
            </w:pPr>
            <w:r>
              <w:rPr>
                <w:rFonts w:eastAsia="宋体"/>
                <w:color w:val="000000"/>
                <w:sz w:val="21"/>
                <w:szCs w:val="21"/>
              </w:rPr>
              <w:t>按预期执行</w:t>
            </w:r>
          </w:p>
        </w:tc>
      </w:tr>
    </w:tbl>
    <w:p w14:paraId="51745991">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14:paraId="0400FABC">
      <w:pPr>
        <w:autoSpaceDE/>
        <w:autoSpaceDN/>
        <w:snapToGrid w:val="0"/>
        <w:jc w:val="both"/>
        <w:rPr>
          <w:rFonts w:eastAsia="宋体"/>
          <w:sz w:val="21"/>
          <w:szCs w:val="21"/>
        </w:rPr>
      </w:pPr>
      <w:r>
        <w:rPr>
          <w:rFonts w:eastAsia="宋体"/>
          <w:color w:val="000000"/>
          <w:sz w:val="21"/>
          <w:szCs w:val="21"/>
        </w:rPr>
        <w:t>^ER=红斑等级；ED=水肿等级</w:t>
      </w:r>
    </w:p>
    <w:p w14:paraId="6147EDA3">
      <w:pPr>
        <w:tabs>
          <w:tab w:val="left" w:pos="461"/>
        </w:tabs>
        <w:autoSpaceDE/>
        <w:autoSpaceDN/>
        <w:snapToGrid w:val="0"/>
        <w:jc w:val="both"/>
        <w:rPr>
          <w:rFonts w:eastAsia="宋体"/>
          <w:color w:val="000000"/>
          <w:sz w:val="24"/>
          <w:szCs w:val="24"/>
          <w:vertAlign w:val="superscript"/>
        </w:rPr>
      </w:pPr>
    </w:p>
    <w:p w14:paraId="4AF0C377">
      <w:pPr>
        <w:tabs>
          <w:tab w:val="left" w:pos="461"/>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153"/>
        <w:gridCol w:w="1668"/>
        <w:gridCol w:w="1798"/>
        <w:gridCol w:w="2246"/>
        <w:gridCol w:w="2603"/>
      </w:tblGrid>
      <w:tr w14:paraId="35F06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1147" w:type="dxa"/>
            <w:shd w:val="clear" w:color="auto" w:fill="FFFFFF"/>
            <w:tcMar>
              <w:left w:w="57" w:type="dxa"/>
              <w:right w:w="57" w:type="dxa"/>
            </w:tcMar>
          </w:tcPr>
          <w:p w14:paraId="5F93122D">
            <w:pPr>
              <w:autoSpaceDE/>
              <w:autoSpaceDN/>
              <w:snapToGrid w:val="0"/>
              <w:jc w:val="center"/>
              <w:rPr>
                <w:rFonts w:eastAsia="宋体"/>
                <w:sz w:val="21"/>
                <w:szCs w:val="21"/>
              </w:rPr>
            </w:pPr>
            <w:r>
              <w:rPr>
                <w:rFonts w:eastAsia="宋体"/>
                <w:b/>
                <w:bCs/>
                <w:color w:val="000000"/>
                <w:sz w:val="21"/>
                <w:szCs w:val="21"/>
              </w:rPr>
              <w:t>浸提液</w:t>
            </w:r>
          </w:p>
        </w:tc>
        <w:tc>
          <w:tcPr>
            <w:tcW w:w="1661" w:type="dxa"/>
            <w:shd w:val="clear" w:color="auto" w:fill="FFFFFF"/>
            <w:tcMar>
              <w:left w:w="57" w:type="dxa"/>
              <w:right w:w="57" w:type="dxa"/>
            </w:tcMar>
          </w:tcPr>
          <w:p w14:paraId="31374DF9">
            <w:pPr>
              <w:autoSpaceDE/>
              <w:autoSpaceDN/>
              <w:snapToGrid w:val="0"/>
              <w:jc w:val="center"/>
              <w:rPr>
                <w:rFonts w:eastAsia="宋体"/>
                <w:sz w:val="21"/>
                <w:szCs w:val="21"/>
              </w:rPr>
            </w:pPr>
            <w:r>
              <w:rPr>
                <w:rFonts w:eastAsia="宋体"/>
                <w:b/>
                <w:bCs/>
                <w:color w:val="000000"/>
                <w:sz w:val="21"/>
                <w:szCs w:val="21"/>
              </w:rPr>
              <w:t>试验组总平均值</w:t>
            </w:r>
          </w:p>
        </w:tc>
        <w:tc>
          <w:tcPr>
            <w:tcW w:w="1790" w:type="dxa"/>
            <w:shd w:val="clear" w:color="auto" w:fill="FFFFFF"/>
            <w:tcMar>
              <w:left w:w="57" w:type="dxa"/>
              <w:right w:w="57" w:type="dxa"/>
            </w:tcMar>
          </w:tcPr>
          <w:p w14:paraId="0531CB63">
            <w:pPr>
              <w:autoSpaceDE/>
              <w:autoSpaceDN/>
              <w:snapToGrid w:val="0"/>
              <w:jc w:val="center"/>
              <w:rPr>
                <w:rFonts w:eastAsia="宋体"/>
                <w:sz w:val="21"/>
                <w:szCs w:val="21"/>
              </w:rPr>
            </w:pPr>
            <w:r>
              <w:rPr>
                <w:rFonts w:eastAsia="宋体"/>
                <w:b/>
                <w:bCs/>
                <w:color w:val="000000"/>
                <w:sz w:val="21"/>
                <w:szCs w:val="21"/>
              </w:rPr>
              <w:t>对照组总平均值</w:t>
            </w:r>
          </w:p>
        </w:tc>
        <w:tc>
          <w:tcPr>
            <w:tcW w:w="2237" w:type="dxa"/>
            <w:shd w:val="clear" w:color="auto" w:fill="FFFFFF"/>
            <w:tcMar>
              <w:left w:w="57" w:type="dxa"/>
              <w:right w:w="57" w:type="dxa"/>
            </w:tcMar>
          </w:tcPr>
          <w:p w14:paraId="5C689C1D">
            <w:pPr>
              <w:autoSpaceDE/>
              <w:autoSpaceDN/>
              <w:snapToGrid w:val="0"/>
              <w:jc w:val="center"/>
              <w:rPr>
                <w:rFonts w:eastAsia="宋体"/>
                <w:sz w:val="21"/>
                <w:szCs w:val="21"/>
              </w:rPr>
            </w:pPr>
            <w:r>
              <w:rPr>
                <w:rFonts w:eastAsia="宋体"/>
                <w:b/>
                <w:bCs/>
                <w:color w:val="000000"/>
                <w:sz w:val="21"/>
                <w:szCs w:val="21"/>
              </w:rPr>
              <w:t>总平均差</w:t>
            </w:r>
          </w:p>
          <w:p w14:paraId="1F55055F">
            <w:pPr>
              <w:autoSpaceDE/>
              <w:autoSpaceDN/>
              <w:snapToGrid w:val="0"/>
              <w:jc w:val="center"/>
              <w:rPr>
                <w:rFonts w:eastAsia="宋体"/>
                <w:sz w:val="21"/>
                <w:szCs w:val="21"/>
              </w:rPr>
            </w:pPr>
            <w:r>
              <w:rPr>
                <w:rFonts w:eastAsia="宋体"/>
                <w:b/>
                <w:bCs/>
                <w:color w:val="000000"/>
                <w:sz w:val="21"/>
                <w:szCs w:val="21"/>
              </w:rPr>
              <w:t>（试验-对照）</w:t>
            </w:r>
          </w:p>
        </w:tc>
        <w:tc>
          <w:tcPr>
            <w:tcW w:w="2592" w:type="dxa"/>
            <w:shd w:val="clear" w:color="auto" w:fill="FFFFFF"/>
            <w:tcMar>
              <w:left w:w="57" w:type="dxa"/>
              <w:right w:w="57" w:type="dxa"/>
            </w:tcMar>
          </w:tcPr>
          <w:p w14:paraId="0F8D6CB0">
            <w:pPr>
              <w:autoSpaceDE/>
              <w:autoSpaceDN/>
              <w:snapToGrid w:val="0"/>
              <w:jc w:val="center"/>
              <w:rPr>
                <w:rFonts w:eastAsia="宋体"/>
                <w:sz w:val="21"/>
                <w:szCs w:val="21"/>
              </w:rPr>
            </w:pPr>
            <w:r>
              <w:rPr>
                <w:rFonts w:eastAsia="宋体"/>
                <w:b/>
                <w:bCs/>
                <w:color w:val="000000"/>
                <w:sz w:val="21"/>
                <w:szCs w:val="21"/>
              </w:rPr>
              <w:t>结论</w:t>
            </w:r>
          </w:p>
        </w:tc>
      </w:tr>
      <w:tr w14:paraId="7C693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1147" w:type="dxa"/>
            <w:shd w:val="clear" w:color="auto" w:fill="FFFFFF"/>
            <w:tcMar>
              <w:left w:w="57" w:type="dxa"/>
              <w:right w:w="57" w:type="dxa"/>
            </w:tcMar>
          </w:tcPr>
          <w:p w14:paraId="1058EFCF">
            <w:pPr>
              <w:autoSpaceDE/>
              <w:autoSpaceDN/>
              <w:snapToGrid w:val="0"/>
              <w:jc w:val="center"/>
              <w:rPr>
                <w:rFonts w:eastAsia="宋体"/>
                <w:sz w:val="21"/>
                <w:szCs w:val="21"/>
              </w:rPr>
            </w:pPr>
            <w:r>
              <w:rPr>
                <w:rFonts w:eastAsia="宋体"/>
                <w:color w:val="000000"/>
                <w:sz w:val="21"/>
                <w:szCs w:val="21"/>
              </w:rPr>
              <w:t>SC</w:t>
            </w:r>
          </w:p>
        </w:tc>
        <w:tc>
          <w:tcPr>
            <w:tcW w:w="1661" w:type="dxa"/>
            <w:shd w:val="clear" w:color="auto" w:fill="FFFFFF"/>
            <w:tcMar>
              <w:left w:w="57" w:type="dxa"/>
              <w:right w:w="57" w:type="dxa"/>
            </w:tcMar>
          </w:tcPr>
          <w:p w14:paraId="54573B28">
            <w:pPr>
              <w:autoSpaceDE/>
              <w:autoSpaceDN/>
              <w:snapToGrid w:val="0"/>
              <w:jc w:val="center"/>
              <w:rPr>
                <w:rFonts w:eastAsia="宋体"/>
                <w:sz w:val="21"/>
                <w:szCs w:val="21"/>
              </w:rPr>
            </w:pPr>
            <w:r>
              <w:rPr>
                <w:rFonts w:eastAsia="宋体"/>
                <w:color w:val="000000"/>
                <w:sz w:val="21"/>
                <w:szCs w:val="21"/>
              </w:rPr>
              <w:t>0.0</w:t>
            </w:r>
          </w:p>
        </w:tc>
        <w:tc>
          <w:tcPr>
            <w:tcW w:w="1790" w:type="dxa"/>
            <w:shd w:val="clear" w:color="auto" w:fill="FFFFFF"/>
            <w:tcMar>
              <w:left w:w="57" w:type="dxa"/>
              <w:right w:w="57" w:type="dxa"/>
            </w:tcMar>
          </w:tcPr>
          <w:p w14:paraId="420600C4">
            <w:pPr>
              <w:autoSpaceDE/>
              <w:autoSpaceDN/>
              <w:snapToGrid w:val="0"/>
              <w:jc w:val="center"/>
              <w:rPr>
                <w:rFonts w:eastAsia="宋体"/>
                <w:sz w:val="21"/>
                <w:szCs w:val="21"/>
              </w:rPr>
            </w:pPr>
            <w:r>
              <w:rPr>
                <w:rFonts w:eastAsia="宋体"/>
                <w:color w:val="000000"/>
                <w:sz w:val="21"/>
                <w:szCs w:val="21"/>
              </w:rPr>
              <w:t>0.0</w:t>
            </w:r>
          </w:p>
        </w:tc>
        <w:tc>
          <w:tcPr>
            <w:tcW w:w="2237" w:type="dxa"/>
            <w:shd w:val="clear" w:color="auto" w:fill="FFFFFF"/>
            <w:tcMar>
              <w:left w:w="57" w:type="dxa"/>
              <w:right w:w="57" w:type="dxa"/>
            </w:tcMar>
          </w:tcPr>
          <w:p w14:paraId="55ADFFEE">
            <w:pPr>
              <w:autoSpaceDE/>
              <w:autoSpaceDN/>
              <w:snapToGrid w:val="0"/>
              <w:jc w:val="center"/>
              <w:rPr>
                <w:rFonts w:eastAsia="宋体"/>
                <w:sz w:val="21"/>
                <w:szCs w:val="21"/>
              </w:rPr>
            </w:pPr>
            <w:r>
              <w:rPr>
                <w:rFonts w:eastAsia="宋体"/>
                <w:color w:val="000000"/>
                <w:sz w:val="21"/>
                <w:szCs w:val="21"/>
              </w:rPr>
              <w:t>0.0</w:t>
            </w:r>
          </w:p>
        </w:tc>
        <w:tc>
          <w:tcPr>
            <w:tcW w:w="2592" w:type="dxa"/>
            <w:shd w:val="clear" w:color="auto" w:fill="FFFFFF"/>
            <w:tcMar>
              <w:left w:w="57" w:type="dxa"/>
              <w:right w:w="57" w:type="dxa"/>
            </w:tcMar>
          </w:tcPr>
          <w:p w14:paraId="03E61058">
            <w:pPr>
              <w:autoSpaceDE/>
              <w:autoSpaceDN/>
              <w:snapToGrid w:val="0"/>
              <w:jc w:val="center"/>
              <w:rPr>
                <w:rFonts w:eastAsia="宋体"/>
                <w:sz w:val="21"/>
                <w:szCs w:val="21"/>
              </w:rPr>
            </w:pPr>
            <w:r>
              <w:rPr>
                <w:rFonts w:eastAsia="宋体"/>
                <w:color w:val="000000"/>
                <w:sz w:val="21"/>
                <w:szCs w:val="21"/>
              </w:rPr>
              <w:t>非刺激物</w:t>
            </w:r>
          </w:p>
        </w:tc>
      </w:tr>
      <w:tr w14:paraId="1FB57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c>
          <w:tcPr>
            <w:tcW w:w="1147" w:type="dxa"/>
            <w:shd w:val="clear" w:color="auto" w:fill="FFFFFF"/>
            <w:tcMar>
              <w:left w:w="57" w:type="dxa"/>
              <w:right w:w="57" w:type="dxa"/>
            </w:tcMar>
          </w:tcPr>
          <w:p w14:paraId="54DF3DCC">
            <w:pPr>
              <w:autoSpaceDE/>
              <w:autoSpaceDN/>
              <w:snapToGrid w:val="0"/>
              <w:jc w:val="center"/>
              <w:rPr>
                <w:rFonts w:eastAsia="宋体"/>
                <w:sz w:val="21"/>
                <w:szCs w:val="21"/>
              </w:rPr>
            </w:pPr>
            <w:r>
              <w:rPr>
                <w:rFonts w:eastAsia="宋体"/>
                <w:color w:val="000000"/>
                <w:sz w:val="21"/>
                <w:szCs w:val="21"/>
              </w:rPr>
              <w:t>SO</w:t>
            </w:r>
          </w:p>
        </w:tc>
        <w:tc>
          <w:tcPr>
            <w:tcW w:w="1661" w:type="dxa"/>
            <w:shd w:val="clear" w:color="auto" w:fill="FFFFFF"/>
            <w:tcMar>
              <w:left w:w="57" w:type="dxa"/>
              <w:right w:w="57" w:type="dxa"/>
            </w:tcMar>
          </w:tcPr>
          <w:p w14:paraId="19D1B7CC">
            <w:pPr>
              <w:autoSpaceDE/>
              <w:autoSpaceDN/>
              <w:snapToGrid w:val="0"/>
              <w:jc w:val="center"/>
              <w:rPr>
                <w:rFonts w:eastAsia="宋体"/>
                <w:sz w:val="21"/>
                <w:szCs w:val="21"/>
              </w:rPr>
            </w:pPr>
            <w:r>
              <w:rPr>
                <w:rFonts w:eastAsia="宋体"/>
                <w:color w:val="000000"/>
                <w:sz w:val="21"/>
                <w:szCs w:val="21"/>
              </w:rPr>
              <w:t>1.0</w:t>
            </w:r>
          </w:p>
        </w:tc>
        <w:tc>
          <w:tcPr>
            <w:tcW w:w="1790" w:type="dxa"/>
            <w:shd w:val="clear" w:color="auto" w:fill="FFFFFF"/>
            <w:tcMar>
              <w:left w:w="57" w:type="dxa"/>
              <w:right w:w="57" w:type="dxa"/>
            </w:tcMar>
          </w:tcPr>
          <w:p w14:paraId="62BE7D8A">
            <w:pPr>
              <w:autoSpaceDE/>
              <w:autoSpaceDN/>
              <w:snapToGrid w:val="0"/>
              <w:jc w:val="center"/>
              <w:rPr>
                <w:rFonts w:eastAsia="宋体"/>
                <w:sz w:val="21"/>
                <w:szCs w:val="21"/>
              </w:rPr>
            </w:pPr>
            <w:r>
              <w:rPr>
                <w:rFonts w:eastAsia="宋体"/>
                <w:color w:val="000000"/>
                <w:sz w:val="21"/>
                <w:szCs w:val="21"/>
              </w:rPr>
              <w:t>0.9</w:t>
            </w:r>
          </w:p>
        </w:tc>
        <w:tc>
          <w:tcPr>
            <w:tcW w:w="2237" w:type="dxa"/>
            <w:shd w:val="clear" w:color="auto" w:fill="FFFFFF"/>
            <w:tcMar>
              <w:left w:w="57" w:type="dxa"/>
              <w:right w:w="57" w:type="dxa"/>
            </w:tcMar>
          </w:tcPr>
          <w:p w14:paraId="27B72991">
            <w:pPr>
              <w:autoSpaceDE/>
              <w:autoSpaceDN/>
              <w:snapToGrid w:val="0"/>
              <w:jc w:val="center"/>
              <w:rPr>
                <w:rFonts w:eastAsia="宋体"/>
                <w:sz w:val="21"/>
                <w:szCs w:val="21"/>
              </w:rPr>
            </w:pPr>
            <w:r>
              <w:rPr>
                <w:rFonts w:eastAsia="宋体"/>
                <w:color w:val="000000"/>
                <w:sz w:val="21"/>
                <w:szCs w:val="21"/>
              </w:rPr>
              <w:t>0.1</w:t>
            </w:r>
          </w:p>
        </w:tc>
        <w:tc>
          <w:tcPr>
            <w:tcW w:w="2592" w:type="dxa"/>
            <w:shd w:val="clear" w:color="auto" w:fill="FFFFFF"/>
            <w:tcMar>
              <w:left w:w="57" w:type="dxa"/>
              <w:right w:w="57" w:type="dxa"/>
            </w:tcMar>
          </w:tcPr>
          <w:p w14:paraId="13CAA7DC">
            <w:pPr>
              <w:autoSpaceDE/>
              <w:autoSpaceDN/>
              <w:snapToGrid w:val="0"/>
              <w:jc w:val="center"/>
              <w:rPr>
                <w:rFonts w:eastAsia="宋体"/>
                <w:sz w:val="21"/>
                <w:szCs w:val="21"/>
              </w:rPr>
            </w:pPr>
            <w:r>
              <w:rPr>
                <w:rFonts w:eastAsia="宋体"/>
                <w:color w:val="000000"/>
                <w:sz w:val="21"/>
                <w:szCs w:val="21"/>
              </w:rPr>
              <w:t>非刺激物</w:t>
            </w:r>
          </w:p>
        </w:tc>
      </w:tr>
    </w:tbl>
    <w:p w14:paraId="6422C89E">
      <w:pPr>
        <w:autoSpaceDE/>
        <w:autoSpaceDN/>
        <w:snapToGrid w:val="0"/>
        <w:jc w:val="both"/>
        <w:rPr>
          <w:rFonts w:eastAsia="宋体"/>
          <w:color w:val="000000"/>
          <w:sz w:val="24"/>
          <w:szCs w:val="24"/>
        </w:rPr>
      </w:pPr>
    </w:p>
    <w:p w14:paraId="766E0D87">
      <w:pPr>
        <w:tabs>
          <w:tab w:val="left" w:pos="34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无不良临床发现或动物死亡；或</w:t>
      </w:r>
    </w:p>
    <w:p w14:paraId="154762B3">
      <w:pPr>
        <w:tabs>
          <w:tab w:val="left" w:pos="34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28"/>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7559A98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14:paraId="0F892675">
            <w:pPr>
              <w:autoSpaceDE/>
              <w:autoSpaceDN/>
              <w:snapToGrid w:val="0"/>
              <w:jc w:val="both"/>
              <w:rPr>
                <w:rFonts w:eastAsia="宋体"/>
                <w:sz w:val="24"/>
                <w:szCs w:val="24"/>
              </w:rPr>
            </w:pPr>
          </w:p>
          <w:p w14:paraId="725D9592">
            <w:pPr>
              <w:autoSpaceDE/>
              <w:autoSpaceDN/>
              <w:snapToGrid w:val="0"/>
              <w:jc w:val="both"/>
              <w:rPr>
                <w:rFonts w:eastAsia="宋体"/>
                <w:sz w:val="24"/>
                <w:szCs w:val="24"/>
              </w:rPr>
            </w:pPr>
          </w:p>
        </w:tc>
      </w:tr>
      <w:tr w14:paraId="497CE7C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68" w:type="dxa"/>
            <w:shd w:val="clear" w:color="auto" w:fill="FFFFFF"/>
            <w:tcMar>
              <w:left w:w="57" w:type="dxa"/>
              <w:right w:w="57" w:type="dxa"/>
            </w:tcMar>
          </w:tcPr>
          <w:p w14:paraId="6F5431C8">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14:paraId="3817F799">
      <w:pPr>
        <w:autoSpaceDE/>
        <w:autoSpaceDN/>
        <w:snapToGrid w:val="0"/>
        <w:jc w:val="both"/>
        <w:rPr>
          <w:rFonts w:eastAsia="宋体"/>
          <w:color w:val="000000"/>
          <w:sz w:val="24"/>
          <w:szCs w:val="24"/>
        </w:rPr>
      </w:pPr>
    </w:p>
    <w:p w14:paraId="2F4CD04B">
      <w:pPr>
        <w:autoSpaceDE/>
        <w:autoSpaceDN/>
        <w:snapToGrid w:val="0"/>
        <w:jc w:val="both"/>
        <w:rPr>
          <w:rFonts w:eastAsia="宋体"/>
          <w:sz w:val="24"/>
          <w:szCs w:val="24"/>
        </w:rPr>
      </w:pPr>
      <w:r>
        <w:rPr>
          <w:rFonts w:eastAsia="宋体"/>
          <w:color w:val="000000"/>
          <w:sz w:val="24"/>
          <w:szCs w:val="24"/>
        </w:rPr>
        <w:t>我确认：</w:t>
      </w:r>
    </w:p>
    <w:p w14:paraId="4CA36A76">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076C948B">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我已检查，完整的试验报告和此ASCA汇总试验报告之间没有差异。</w:t>
      </w:r>
    </w:p>
    <w:p w14:paraId="513E0466">
      <w:pPr>
        <w:tabs>
          <w:tab w:val="left" w:pos="7925"/>
        </w:tabs>
        <w:autoSpaceDE/>
        <w:autoSpaceDN/>
        <w:snapToGrid w:val="0"/>
        <w:jc w:val="both"/>
        <w:rPr>
          <w:rFonts w:eastAsia="宋体"/>
          <w:color w:val="000000"/>
          <w:sz w:val="24"/>
          <w:szCs w:val="24"/>
        </w:rPr>
      </w:pPr>
    </w:p>
    <w:p w14:paraId="7991F853">
      <w:pPr>
        <w:tabs>
          <w:tab w:val="left" w:pos="7925"/>
        </w:tabs>
        <w:autoSpaceDE/>
        <w:autoSpaceDN/>
        <w:snapToGrid w:val="0"/>
        <w:jc w:val="both"/>
        <w:rPr>
          <w:rFonts w:eastAsia="宋体"/>
          <w:color w:val="000000"/>
          <w:sz w:val="24"/>
          <w:szCs w:val="24"/>
        </w:rPr>
      </w:pPr>
    </w:p>
    <w:p w14:paraId="7CA80A71">
      <w:pPr>
        <w:pBdr>
          <w:bottom w:val="single" w:color="auto" w:sz="6" w:space="1"/>
        </w:pBdr>
        <w:tabs>
          <w:tab w:val="left" w:pos="7925"/>
        </w:tabs>
        <w:autoSpaceDE/>
        <w:autoSpaceDN/>
        <w:snapToGrid w:val="0"/>
        <w:jc w:val="both"/>
        <w:rPr>
          <w:rFonts w:eastAsia="宋体"/>
          <w:color w:val="000000"/>
          <w:sz w:val="24"/>
          <w:szCs w:val="24"/>
        </w:rPr>
      </w:pPr>
    </w:p>
    <w:p w14:paraId="5EBADBA7">
      <w:pP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140270E5">
      <w:pPr>
        <w:autoSpaceDE/>
        <w:autoSpaceDN/>
        <w:snapToGrid w:val="0"/>
        <w:jc w:val="both"/>
        <w:rPr>
          <w:rFonts w:eastAsia="宋体"/>
          <w:color w:val="000000"/>
          <w:sz w:val="24"/>
          <w:szCs w:val="24"/>
          <w:vertAlign w:val="superscript"/>
        </w:rPr>
      </w:pPr>
    </w:p>
    <w:p w14:paraId="72EC3F17">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E04E6C9">
      <w:pPr>
        <w:pStyle w:val="2"/>
        <w:autoSpaceDE/>
        <w:autoSpaceDN/>
        <w:spacing w:before="240" w:after="240"/>
        <w:rPr>
          <w:rFonts w:eastAsia="宋体"/>
        </w:rPr>
      </w:pPr>
      <w:bookmarkStart w:id="35" w:name="bookmark34"/>
      <w:bookmarkEnd w:id="35"/>
      <w:bookmarkStart w:id="36" w:name="_Toc97473518"/>
      <w:bookmarkStart w:id="37" w:name="_Toc98778567"/>
      <w:r>
        <w:rPr>
          <w:rFonts w:eastAsia="宋体"/>
        </w:rPr>
        <w:t>附录C：医疗器械的生物相容性试验的ASCA汇总试验报告示例：细胞毒性 - MEM洗脱法（ISO 10993-5）</w:t>
      </w:r>
      <w:bookmarkEnd w:id="36"/>
      <w:bookmarkEnd w:id="37"/>
    </w:p>
    <w:p w14:paraId="0201B1D0">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14:paraId="6EC4DF7E">
      <w:pPr>
        <w:autoSpaceDE/>
        <w:autoSpaceDN/>
        <w:snapToGrid w:val="0"/>
        <w:jc w:val="both"/>
        <w:rPr>
          <w:rFonts w:eastAsia="宋体"/>
          <w:b/>
          <w:bCs/>
          <w:color w:val="000000"/>
          <w:sz w:val="24"/>
          <w:szCs w:val="24"/>
        </w:rPr>
      </w:pPr>
    </w:p>
    <w:p w14:paraId="75413041">
      <w:pPr>
        <w:autoSpaceDE/>
        <w:autoSpaceDN/>
        <w:snapToGrid w:val="0"/>
        <w:jc w:val="both"/>
        <w:rPr>
          <w:rFonts w:eastAsia="宋体"/>
          <w:sz w:val="24"/>
          <w:szCs w:val="24"/>
        </w:rPr>
      </w:pPr>
      <w:r>
        <w:rPr>
          <w:rFonts w:eastAsia="宋体"/>
          <w:b/>
          <w:bCs/>
          <w:color w:val="000000"/>
          <w:sz w:val="24"/>
          <w:szCs w:val="24"/>
        </w:rPr>
        <w:t>管理信息</w:t>
      </w:r>
    </w:p>
    <w:p w14:paraId="2257E5D5">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6E151959">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1D6B5A28">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2BA8A391">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58DDC5EA">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21271CD4">
      <w:pPr>
        <w:autoSpaceDE/>
        <w:autoSpaceDN/>
        <w:snapToGrid w:val="0"/>
        <w:ind w:left="929" w:leftChars="307" w:hanging="315"/>
        <w:jc w:val="both"/>
        <w:rPr>
          <w:rFonts w:eastAsia="宋体"/>
          <w:b/>
          <w:bCs/>
          <w:i/>
          <w:i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29"/>
      </w:r>
    </w:p>
    <w:p w14:paraId="74B4B57F">
      <w:pPr>
        <w:autoSpaceDE/>
        <w:autoSpaceDN/>
        <w:snapToGrid w:val="0"/>
        <w:ind w:left="929" w:leftChars="307" w:hanging="315"/>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39C1FD29">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14:paraId="718E4151">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51" w:type="pct"/>
        <w:tblInd w:w="135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8050"/>
      </w:tblGrid>
      <w:tr w14:paraId="54F0EF5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14:paraId="42B8B7F6">
            <w:pPr>
              <w:autoSpaceDE/>
              <w:autoSpaceDN/>
              <w:snapToGrid w:val="0"/>
              <w:jc w:val="both"/>
              <w:rPr>
                <w:rFonts w:eastAsia="宋体"/>
                <w:sz w:val="24"/>
                <w:szCs w:val="24"/>
              </w:rPr>
            </w:pPr>
          </w:p>
          <w:p w14:paraId="6767F0EF">
            <w:pPr>
              <w:autoSpaceDE/>
              <w:autoSpaceDN/>
              <w:snapToGrid w:val="0"/>
              <w:jc w:val="both"/>
              <w:rPr>
                <w:rFonts w:eastAsia="宋体"/>
                <w:sz w:val="24"/>
                <w:szCs w:val="24"/>
              </w:rPr>
            </w:pPr>
          </w:p>
        </w:tc>
      </w:tr>
      <w:tr w14:paraId="340488B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14:paraId="07E1FFB3">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403E45BF">
      <w:pPr>
        <w:tabs>
          <w:tab w:val="left" w:leader="underscore" w:pos="8222"/>
        </w:tabs>
        <w:autoSpaceDE/>
        <w:autoSpaceDN/>
        <w:snapToGrid w:val="0"/>
        <w:jc w:val="both"/>
        <w:rPr>
          <w:rFonts w:eastAsia="宋体"/>
          <w:b/>
          <w:bCs/>
          <w:color w:val="000000"/>
          <w:sz w:val="24"/>
          <w:szCs w:val="24"/>
        </w:rPr>
      </w:pPr>
    </w:p>
    <w:p w14:paraId="7AFF2800">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14:paraId="3A0FD7AB">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14:paraId="27BABADC">
      <w:pPr>
        <w:tabs>
          <w:tab w:val="left" w:pos="355"/>
          <w:tab w:val="left" w:leader="underscore" w:pos="8222"/>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30"/>
      </w:r>
      <w:r>
        <w:rPr>
          <w:rFonts w:eastAsia="宋体"/>
          <w:color w:val="000000"/>
          <w:sz w:val="24"/>
          <w:szCs w:val="24"/>
        </w:rPr>
        <w:t>（例如，过滤、浸提液处理、pH值调节）：</w:t>
      </w:r>
    </w:p>
    <w:tbl>
      <w:tblPr>
        <w:tblStyle w:val="1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14:paraId="730CD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9480" w:type="dxa"/>
            <w:shd w:val="clear" w:color="auto" w:fill="FFFFFF"/>
            <w:tcMar>
              <w:left w:w="57" w:type="dxa"/>
              <w:right w:w="57" w:type="dxa"/>
            </w:tcMar>
          </w:tcPr>
          <w:p w14:paraId="797BEB61">
            <w:pPr>
              <w:autoSpaceDE/>
              <w:autoSpaceDN/>
              <w:snapToGrid w:val="0"/>
              <w:jc w:val="both"/>
              <w:rPr>
                <w:rFonts w:eastAsia="宋体"/>
                <w:sz w:val="24"/>
                <w:szCs w:val="24"/>
              </w:rPr>
            </w:pPr>
          </w:p>
          <w:p w14:paraId="5AEC03BB">
            <w:pPr>
              <w:autoSpaceDE/>
              <w:autoSpaceDN/>
              <w:snapToGrid w:val="0"/>
              <w:jc w:val="both"/>
              <w:rPr>
                <w:rFonts w:eastAsia="宋体"/>
                <w:sz w:val="24"/>
                <w:szCs w:val="24"/>
              </w:rPr>
            </w:pPr>
          </w:p>
        </w:tc>
      </w:tr>
      <w:tr w14:paraId="116C9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9480" w:type="dxa"/>
            <w:shd w:val="clear" w:color="auto" w:fill="FFFFFF"/>
            <w:tcMar>
              <w:left w:w="57" w:type="dxa"/>
              <w:right w:w="57" w:type="dxa"/>
            </w:tcMar>
          </w:tcPr>
          <w:p w14:paraId="0F12BA36">
            <w:pPr>
              <w:autoSpaceDE/>
              <w:autoSpaceDN/>
              <w:snapToGrid w:val="0"/>
              <w:jc w:val="both"/>
              <w:rPr>
                <w:rFonts w:eastAsia="宋体"/>
                <w:sz w:val="24"/>
                <w:szCs w:val="24"/>
              </w:rPr>
            </w:pPr>
            <w:r>
              <w:rPr>
                <w:rFonts w:eastAsia="宋体"/>
                <w:i/>
                <w:iCs/>
                <w:color w:val="000000"/>
                <w:sz w:val="24"/>
                <w:szCs w:val="24"/>
              </w:rPr>
              <w:t>偏离/修正案的描述</w:t>
            </w:r>
          </w:p>
        </w:tc>
      </w:tr>
    </w:tbl>
    <w:p w14:paraId="44697C93">
      <w:pPr>
        <w:autoSpaceDE/>
        <w:autoSpaceDN/>
        <w:snapToGrid w:val="0"/>
        <w:jc w:val="both"/>
        <w:rPr>
          <w:rFonts w:eastAsia="宋体"/>
          <w:b/>
          <w:bCs/>
          <w:color w:val="000000"/>
          <w:sz w:val="24"/>
          <w:szCs w:val="24"/>
        </w:rPr>
      </w:pPr>
    </w:p>
    <w:p w14:paraId="520B63B5">
      <w:pPr>
        <w:autoSpaceDE/>
        <w:autoSpaceDN/>
        <w:snapToGrid w:val="0"/>
        <w:jc w:val="both"/>
        <w:rPr>
          <w:rFonts w:eastAsia="宋体"/>
          <w:sz w:val="24"/>
          <w:szCs w:val="24"/>
        </w:rPr>
      </w:pPr>
      <w:r>
        <w:rPr>
          <w:rFonts w:eastAsia="宋体"/>
          <w:b/>
          <w:bCs/>
          <w:color w:val="000000"/>
          <w:sz w:val="24"/>
          <w:szCs w:val="24"/>
        </w:rPr>
        <w:t>浸提溶剂：</w:t>
      </w:r>
    </w:p>
    <w:p w14:paraId="305956FC">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MEM中加入5-10%的动物血清</w:t>
      </w:r>
      <w:r>
        <w:rPr>
          <w:rFonts w:eastAsia="宋体"/>
          <w:sz w:val="24"/>
          <w:szCs w:val="24"/>
        </w:rPr>
        <w:t xml:space="preserve"> </w:t>
      </w:r>
    </w:p>
    <w:p w14:paraId="3AFFB629">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i/>
          <w:iCs/>
          <w:sz w:val="24"/>
          <w:szCs w:val="24"/>
        </w:rPr>
        <w:footnoteReference w:id="31"/>
      </w:r>
      <w:r>
        <w:rPr>
          <w:rFonts w:eastAsia="宋体"/>
          <w:i/>
          <w:iCs/>
          <w:color w:val="000000"/>
          <w:sz w:val="24"/>
          <w:szCs w:val="24"/>
          <w:u w:val="single"/>
        </w:rPr>
        <w:t>[描述]</w:t>
      </w:r>
    </w:p>
    <w:p w14:paraId="24F5C51C">
      <w:pPr>
        <w:tabs>
          <w:tab w:val="left" w:pos="197"/>
        </w:tabs>
        <w:autoSpaceDE/>
        <w:autoSpaceDN/>
        <w:snapToGrid w:val="0"/>
        <w:jc w:val="both"/>
        <w:rPr>
          <w:rFonts w:eastAsia="宋体"/>
          <w:sz w:val="24"/>
          <w:szCs w:val="24"/>
        </w:rPr>
      </w:pPr>
    </w:p>
    <w:p w14:paraId="19B301B5">
      <w:pPr>
        <w:tabs>
          <w:tab w:val="left" w:pos="19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00A4597A">
      <w:pPr>
        <w:autoSpaceDE/>
        <w:autoSpaceDN/>
        <w:snapToGrid w:val="0"/>
        <w:jc w:val="both"/>
        <w:rPr>
          <w:rFonts w:eastAsia="宋体"/>
          <w:sz w:val="24"/>
          <w:szCs w:val="24"/>
        </w:rPr>
      </w:pPr>
      <w:r>
        <w:rPr>
          <w:rFonts w:eastAsia="宋体"/>
          <w:b/>
          <w:bCs/>
          <w:color w:val="000000"/>
          <w:sz w:val="24"/>
          <w:szCs w:val="24"/>
        </w:rPr>
        <w:t>浸提率：</w:t>
      </w:r>
    </w:p>
    <w:p w14:paraId="669AA174">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17D166F6">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14:paraId="2AB765E4">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14:paraId="71F290B7">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32"/>
      </w:r>
      <w:r>
        <w:rPr>
          <w:rFonts w:eastAsia="宋体"/>
          <w:i/>
          <w:iCs/>
          <w:color w:val="000000"/>
          <w:sz w:val="24"/>
          <w:szCs w:val="24"/>
          <w:u w:val="single"/>
        </w:rPr>
        <w:t>[描述]</w:t>
      </w:r>
      <w:r>
        <w:rPr>
          <w:rFonts w:eastAsia="宋体"/>
          <w:color w:val="000000"/>
          <w:sz w:val="24"/>
          <w:szCs w:val="24"/>
          <w:u w:val="single"/>
        </w:rPr>
        <w:tab/>
      </w:r>
    </w:p>
    <w:p w14:paraId="477E3B11">
      <w:pPr>
        <w:autoSpaceDE/>
        <w:autoSpaceDN/>
        <w:snapToGrid w:val="0"/>
        <w:jc w:val="both"/>
        <w:rPr>
          <w:rFonts w:eastAsia="宋体"/>
          <w:sz w:val="24"/>
          <w:szCs w:val="24"/>
        </w:rPr>
      </w:pPr>
      <w:r>
        <w:rPr>
          <w:rFonts w:eastAsia="宋体"/>
          <w:b/>
          <w:bCs/>
          <w:color w:val="000000"/>
          <w:sz w:val="24"/>
          <w:szCs w:val="24"/>
        </w:rPr>
        <w:t>浸提条件：</w:t>
      </w:r>
    </w:p>
    <w:p w14:paraId="7C8191E9">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 °C, 24小时</w:t>
      </w:r>
    </w:p>
    <w:p w14:paraId="086B164E">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14:paraId="205796D2">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14:paraId="5DE7163C">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14:paraId="1B2886C7">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14:paraId="496F7E92">
      <w:pPr>
        <w:tabs>
          <w:tab w:val="left" w:pos="3686"/>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33"/>
      </w:r>
      <w:r>
        <w:rPr>
          <w:rFonts w:eastAsia="宋体"/>
          <w:i/>
          <w:iCs/>
          <w:color w:val="000000"/>
          <w:sz w:val="24"/>
          <w:szCs w:val="24"/>
          <w:u w:val="single"/>
        </w:rPr>
        <w:t>[描述]</w:t>
      </w:r>
      <w:r>
        <w:rPr>
          <w:rFonts w:eastAsia="宋体"/>
          <w:color w:val="000000"/>
          <w:sz w:val="24"/>
          <w:szCs w:val="24"/>
          <w:u w:val="single"/>
        </w:rPr>
        <w:tab/>
      </w:r>
    </w:p>
    <w:p w14:paraId="24F291C6">
      <w:pPr>
        <w:autoSpaceDE/>
        <w:autoSpaceDN/>
        <w:snapToGrid w:val="0"/>
        <w:jc w:val="both"/>
        <w:rPr>
          <w:rFonts w:eastAsia="宋体"/>
          <w:b/>
          <w:bCs/>
          <w:color w:val="000000"/>
          <w:sz w:val="24"/>
          <w:szCs w:val="24"/>
        </w:rPr>
      </w:pPr>
    </w:p>
    <w:p w14:paraId="4EFB312C">
      <w:pPr>
        <w:autoSpaceDE/>
        <w:autoSpaceDN/>
        <w:snapToGrid w:val="0"/>
        <w:jc w:val="both"/>
        <w:rPr>
          <w:rFonts w:eastAsia="宋体"/>
          <w:sz w:val="24"/>
          <w:szCs w:val="24"/>
        </w:rPr>
      </w:pPr>
      <w:r>
        <w:rPr>
          <w:rFonts w:eastAsia="宋体"/>
          <w:b/>
          <w:bCs/>
          <w:color w:val="000000"/>
          <w:sz w:val="24"/>
          <w:szCs w:val="24"/>
        </w:rPr>
        <w:t>液体路径浸提：</w:t>
      </w:r>
    </w:p>
    <w:p w14:paraId="69C163D7">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34"/>
      </w:r>
    </w:p>
    <w:p w14:paraId="1844D4F9">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14:paraId="2A722CC4">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14:paraId="02239956">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14:paraId="51FEF17E">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14:paraId="10085378">
      <w:pPr>
        <w:autoSpaceDE/>
        <w:autoSpaceDN/>
        <w:snapToGrid w:val="0"/>
        <w:jc w:val="both"/>
        <w:rPr>
          <w:rFonts w:eastAsia="宋体"/>
          <w:sz w:val="24"/>
          <w:szCs w:val="24"/>
        </w:rPr>
      </w:pPr>
    </w:p>
    <w:p w14:paraId="788D22C2">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14:paraId="383E52B3">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35"/>
      </w:r>
    </w:p>
    <w:p w14:paraId="7B63026F">
      <w:pPr>
        <w:tabs>
          <w:tab w:val="left" w:leader="underscore" w:pos="8645"/>
        </w:tabs>
        <w:autoSpaceDE/>
        <w:autoSpaceDN/>
        <w:snapToGrid w:val="0"/>
        <w:jc w:val="both"/>
        <w:rPr>
          <w:rFonts w:eastAsia="宋体"/>
          <w:b/>
          <w:bCs/>
          <w:color w:val="000000"/>
          <w:sz w:val="24"/>
          <w:szCs w:val="24"/>
        </w:rPr>
      </w:pPr>
    </w:p>
    <w:p w14:paraId="47D5D579">
      <w:pPr>
        <w:tabs>
          <w:tab w:val="left" w:pos="8646"/>
        </w:tabs>
        <w:autoSpaceDE/>
        <w:autoSpaceDN/>
        <w:snapToGrid w:val="0"/>
        <w:jc w:val="both"/>
        <w:rPr>
          <w:rFonts w:eastAsia="宋体"/>
          <w:sz w:val="24"/>
          <w:szCs w:val="24"/>
        </w:rPr>
      </w:pPr>
      <w:r>
        <w:rPr>
          <w:rFonts w:eastAsia="宋体"/>
          <w:b/>
          <w:bCs/>
          <w:color w:val="000000"/>
          <w:sz w:val="24"/>
          <w:szCs w:val="24"/>
        </w:rPr>
        <w:t>ASCA试验方法SOP#</w:t>
      </w:r>
      <w:r>
        <w:rPr>
          <w:rFonts w:eastAsia="宋体"/>
          <w:b/>
          <w:bCs/>
          <w:color w:val="000000"/>
          <w:sz w:val="24"/>
          <w:szCs w:val="24"/>
          <w:u w:val="single"/>
        </w:rPr>
        <w:t>：</w:t>
      </w:r>
      <w:r>
        <w:rPr>
          <w:rFonts w:eastAsia="宋体"/>
          <w:i/>
          <w:iCs/>
          <w:color w:val="000000"/>
          <w:sz w:val="24"/>
          <w:szCs w:val="24"/>
          <w:u w:val="single"/>
        </w:rPr>
        <w:t>[######-ASCACytox（日期/版本）]</w:t>
      </w:r>
      <w:r>
        <w:rPr>
          <w:rFonts w:eastAsia="宋体"/>
          <w:i/>
          <w:iCs/>
          <w:color w:val="000000"/>
          <w:sz w:val="24"/>
          <w:szCs w:val="24"/>
          <w:u w:val="single"/>
        </w:rPr>
        <w:tab/>
      </w:r>
    </w:p>
    <w:p w14:paraId="7DF023DD">
      <w:pPr>
        <w:tabs>
          <w:tab w:val="left" w:pos="33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17F1724D">
      <w:pPr>
        <w:tabs>
          <w:tab w:val="left" w:pos="336"/>
        </w:tabs>
        <w:autoSpaceDE/>
        <w:autoSpaceDN/>
        <w:snapToGrid w:val="0"/>
        <w:jc w:val="both"/>
        <w:rPr>
          <w:rFonts w:eastAsia="宋体"/>
          <w:b/>
          <w:bCs/>
          <w:color w:val="000000"/>
          <w:sz w:val="24"/>
          <w:szCs w:val="24"/>
        </w:rPr>
      </w:pPr>
      <w:r>
        <w:rPr>
          <w:rFonts w:eastAsia="宋体"/>
          <w:color w:val="000000"/>
          <w:sz w:val="24"/>
          <w:szCs w:val="24"/>
        </w:rPr>
        <w:t>或</w:t>
      </w:r>
    </w:p>
    <w:p w14:paraId="4B9FFD46">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36"/>
      </w:r>
    </w:p>
    <w:tbl>
      <w:tblPr>
        <w:tblStyle w:val="1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41DD3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32" w:type="dxa"/>
            <w:shd w:val="clear" w:color="auto" w:fill="FFFFFF"/>
            <w:tcMar>
              <w:left w:w="57" w:type="dxa"/>
              <w:right w:w="57" w:type="dxa"/>
            </w:tcMar>
          </w:tcPr>
          <w:p w14:paraId="15AE8ED2">
            <w:pPr>
              <w:autoSpaceDE/>
              <w:autoSpaceDN/>
              <w:snapToGrid w:val="0"/>
              <w:jc w:val="both"/>
              <w:rPr>
                <w:rFonts w:eastAsia="宋体"/>
                <w:sz w:val="24"/>
                <w:szCs w:val="24"/>
              </w:rPr>
            </w:pPr>
          </w:p>
        </w:tc>
      </w:tr>
      <w:tr w14:paraId="22197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32" w:type="dxa"/>
            <w:shd w:val="clear" w:color="auto" w:fill="FFFFFF"/>
            <w:tcMar>
              <w:left w:w="57" w:type="dxa"/>
              <w:right w:w="57" w:type="dxa"/>
            </w:tcMar>
          </w:tcPr>
          <w:p w14:paraId="3846AC25">
            <w:pPr>
              <w:autoSpaceDE/>
              <w:autoSpaceDN/>
              <w:snapToGrid w:val="0"/>
              <w:jc w:val="both"/>
              <w:rPr>
                <w:rFonts w:eastAsia="宋体"/>
                <w:sz w:val="24"/>
                <w:szCs w:val="24"/>
              </w:rPr>
            </w:pPr>
          </w:p>
        </w:tc>
      </w:tr>
    </w:tbl>
    <w:p w14:paraId="50E2FA20">
      <w:pPr>
        <w:tabs>
          <w:tab w:val="left" w:pos="178"/>
        </w:tabs>
        <w:autoSpaceDE/>
        <w:autoSpaceDN/>
        <w:snapToGrid w:val="0"/>
        <w:jc w:val="both"/>
        <w:rPr>
          <w:rFonts w:eastAsia="宋体"/>
          <w:color w:val="000000"/>
          <w:sz w:val="24"/>
          <w:szCs w:val="24"/>
          <w:vertAlign w:val="superscript"/>
        </w:rPr>
      </w:pPr>
    </w:p>
    <w:p w14:paraId="30E65A66">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
      <w:tblGrid>
        <w:gridCol w:w="9468"/>
      </w:tblGrid>
      <w:tr w14:paraId="5365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042" w:type="dxa"/>
            <w:shd w:val="clear" w:color="auto" w:fill="FFFFFF"/>
            <w:tcMar>
              <w:left w:w="57" w:type="dxa"/>
              <w:right w:w="57" w:type="dxa"/>
            </w:tcMar>
          </w:tcPr>
          <w:p w14:paraId="30BB89E7">
            <w:pPr>
              <w:autoSpaceDE/>
              <w:autoSpaceDN/>
              <w:snapToGrid w:val="0"/>
              <w:jc w:val="both"/>
              <w:rPr>
                <w:rFonts w:eastAsia="宋体"/>
                <w:sz w:val="24"/>
                <w:szCs w:val="24"/>
              </w:rPr>
            </w:pPr>
            <w:r>
              <w:rPr>
                <w:rFonts w:eastAsia="宋体"/>
                <w:i/>
                <w:iCs/>
                <w:color w:val="000000"/>
                <w:sz w:val="24"/>
                <w:szCs w:val="24"/>
              </w:rPr>
              <w:t>偏离/修正案的描述</w:t>
            </w:r>
          </w:p>
        </w:tc>
      </w:tr>
    </w:tbl>
    <w:p w14:paraId="18FBBDAD">
      <w:pPr>
        <w:autoSpaceDE/>
        <w:autoSpaceDN/>
        <w:snapToGrid w:val="0"/>
        <w:jc w:val="both"/>
        <w:rPr>
          <w:rFonts w:eastAsia="宋体"/>
          <w:sz w:val="24"/>
          <w:szCs w:val="24"/>
        </w:rPr>
      </w:pPr>
    </w:p>
    <w:p w14:paraId="79F4581B">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37"/>
      </w:r>
    </w:p>
    <w:tbl>
      <w:tblPr>
        <w:tblStyle w:val="13"/>
        <w:tblW w:w="5000" w:type="pct"/>
        <w:tblInd w:w="0" w:type="dxa"/>
        <w:tblLayout w:type="fixed"/>
        <w:tblCellMar>
          <w:top w:w="0" w:type="dxa"/>
          <w:left w:w="57" w:type="dxa"/>
          <w:bottom w:w="0" w:type="dxa"/>
          <w:right w:w="57" w:type="dxa"/>
        </w:tblCellMar>
      </w:tblPr>
      <w:tblGrid>
        <w:gridCol w:w="2983"/>
        <w:gridCol w:w="1475"/>
        <w:gridCol w:w="1268"/>
        <w:gridCol w:w="1489"/>
        <w:gridCol w:w="2252"/>
      </w:tblGrid>
      <w:tr w14:paraId="123E85F7">
        <w:tblPrEx>
          <w:tblCellMar>
            <w:top w:w="0" w:type="dxa"/>
            <w:left w:w="57" w:type="dxa"/>
            <w:bottom w:w="0" w:type="dxa"/>
            <w:right w:w="57" w:type="dxa"/>
          </w:tblCellMar>
        </w:tblPrEx>
        <w:tc>
          <w:tcPr>
            <w:tcW w:w="2981" w:type="dxa"/>
            <w:tcBorders>
              <w:top w:val="nil"/>
              <w:left w:val="nil"/>
              <w:bottom w:val="single" w:color="auto" w:sz="6" w:space="0"/>
              <w:right w:val="single" w:color="auto" w:sz="6" w:space="0"/>
            </w:tcBorders>
            <w:shd w:val="clear" w:color="auto" w:fill="FFFFFF"/>
            <w:tcMar>
              <w:left w:w="57" w:type="dxa"/>
              <w:right w:w="57" w:type="dxa"/>
            </w:tcMar>
          </w:tcPr>
          <w:p w14:paraId="5F0F3CCB">
            <w:pPr>
              <w:autoSpaceDE/>
              <w:autoSpaceDN/>
              <w:snapToGrid w:val="0"/>
              <w:jc w:val="center"/>
              <w:rPr>
                <w:rFonts w:eastAsia="宋体"/>
                <w:sz w:val="21"/>
                <w:szCs w:val="21"/>
              </w:rPr>
            </w:pP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9E025C">
            <w:pPr>
              <w:autoSpaceDE/>
              <w:autoSpaceDN/>
              <w:snapToGrid w:val="0"/>
              <w:jc w:val="center"/>
              <w:rPr>
                <w:rFonts w:eastAsia="宋体"/>
                <w:sz w:val="21"/>
                <w:szCs w:val="21"/>
              </w:rPr>
            </w:pPr>
            <w:r>
              <w:rPr>
                <w:rFonts w:eastAsia="宋体"/>
                <w:b/>
                <w:bCs/>
                <w:color w:val="000000"/>
                <w:sz w:val="21"/>
                <w:szCs w:val="21"/>
              </w:rPr>
              <w:t>24小时</w:t>
            </w:r>
          </w:p>
          <w:p w14:paraId="25640D40">
            <w:pPr>
              <w:autoSpaceDE/>
              <w:autoSpaceDN/>
              <w:snapToGrid w:val="0"/>
              <w:jc w:val="center"/>
              <w:rPr>
                <w:rFonts w:eastAsia="宋体"/>
                <w:sz w:val="21"/>
                <w:szCs w:val="21"/>
              </w:rPr>
            </w:pPr>
            <w:r>
              <w:rPr>
                <w:rFonts w:eastAsia="宋体"/>
                <w:b/>
                <w:bCs/>
                <w:color w:val="000000"/>
                <w:sz w:val="21"/>
                <w:szCs w:val="21"/>
              </w:rPr>
              <w:t>结果</w:t>
            </w:r>
          </w:p>
          <w:p w14:paraId="341F56FF">
            <w:pPr>
              <w:autoSpaceDE/>
              <w:autoSpaceDN/>
              <w:snapToGrid w:val="0"/>
              <w:jc w:val="center"/>
              <w:rPr>
                <w:rFonts w:eastAsia="宋体"/>
                <w:sz w:val="21"/>
                <w:szCs w:val="21"/>
              </w:rPr>
            </w:pPr>
            <w:r>
              <w:rPr>
                <w:rFonts w:eastAsia="宋体"/>
                <w:b/>
                <w:bCs/>
                <w:color w:val="000000"/>
                <w:sz w:val="21"/>
                <w:szCs w:val="21"/>
              </w:rPr>
              <w:t>（可选）</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337B11">
            <w:pPr>
              <w:autoSpaceDE/>
              <w:autoSpaceDN/>
              <w:snapToGrid w:val="0"/>
              <w:jc w:val="center"/>
              <w:rPr>
                <w:rFonts w:eastAsia="宋体"/>
                <w:b/>
                <w:bCs/>
                <w:color w:val="000000"/>
                <w:sz w:val="21"/>
                <w:szCs w:val="21"/>
              </w:rPr>
            </w:pPr>
            <w:r>
              <w:rPr>
                <w:rFonts w:eastAsia="宋体"/>
                <w:b/>
                <w:bCs/>
                <w:color w:val="000000"/>
                <w:sz w:val="21"/>
                <w:szCs w:val="21"/>
              </w:rPr>
              <w:t>48小时</w:t>
            </w:r>
          </w:p>
          <w:p w14:paraId="4FBAFF2A">
            <w:pPr>
              <w:autoSpaceDE/>
              <w:autoSpaceDN/>
              <w:snapToGrid w:val="0"/>
              <w:jc w:val="center"/>
              <w:rPr>
                <w:rFonts w:eastAsia="宋体"/>
                <w:sz w:val="21"/>
                <w:szCs w:val="21"/>
              </w:rPr>
            </w:pPr>
            <w:r>
              <w:rPr>
                <w:rFonts w:eastAsia="宋体"/>
                <w:b/>
                <w:bCs/>
                <w:color w:val="000000"/>
                <w:sz w:val="21"/>
                <w:szCs w:val="21"/>
              </w:rPr>
              <w:t>结果</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14EC8C">
            <w:pPr>
              <w:autoSpaceDE/>
              <w:autoSpaceDN/>
              <w:snapToGrid w:val="0"/>
              <w:jc w:val="center"/>
              <w:rPr>
                <w:rFonts w:eastAsia="宋体"/>
                <w:sz w:val="21"/>
                <w:szCs w:val="21"/>
              </w:rPr>
            </w:pPr>
            <w:r>
              <w:rPr>
                <w:rFonts w:eastAsia="宋体"/>
                <w:b/>
                <w:bCs/>
                <w:color w:val="000000"/>
                <w:sz w:val="21"/>
                <w:szCs w:val="21"/>
              </w:rPr>
              <w:t>72小时</w:t>
            </w:r>
          </w:p>
          <w:p w14:paraId="38E953A9">
            <w:pPr>
              <w:autoSpaceDE/>
              <w:autoSpaceDN/>
              <w:snapToGrid w:val="0"/>
              <w:jc w:val="center"/>
              <w:rPr>
                <w:rFonts w:eastAsia="宋体"/>
                <w:sz w:val="21"/>
                <w:szCs w:val="21"/>
              </w:rPr>
            </w:pPr>
            <w:r>
              <w:rPr>
                <w:rFonts w:eastAsia="宋体"/>
                <w:b/>
                <w:bCs/>
                <w:color w:val="000000"/>
                <w:sz w:val="21"/>
                <w:szCs w:val="21"/>
              </w:rPr>
              <w:t>结果</w:t>
            </w:r>
          </w:p>
          <w:p w14:paraId="47651C5A">
            <w:pPr>
              <w:autoSpaceDE/>
              <w:autoSpaceDN/>
              <w:snapToGrid w:val="0"/>
              <w:jc w:val="center"/>
              <w:rPr>
                <w:rFonts w:eastAsia="宋体"/>
                <w:sz w:val="21"/>
                <w:szCs w:val="21"/>
              </w:rPr>
            </w:pPr>
            <w:r>
              <w:rPr>
                <w:rFonts w:eastAsia="宋体"/>
                <w:b/>
                <w:bCs/>
                <w:color w:val="000000"/>
                <w:sz w:val="21"/>
                <w:szCs w:val="21"/>
              </w:rPr>
              <w:t>（植入物）</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975933">
            <w:pPr>
              <w:autoSpaceDE/>
              <w:autoSpaceDN/>
              <w:snapToGrid w:val="0"/>
              <w:jc w:val="center"/>
              <w:rPr>
                <w:rFonts w:eastAsia="宋体"/>
                <w:sz w:val="21"/>
                <w:szCs w:val="21"/>
              </w:rPr>
            </w:pPr>
            <w:r>
              <w:rPr>
                <w:rFonts w:eastAsia="宋体"/>
                <w:b/>
                <w:bCs/>
                <w:color w:val="000000"/>
                <w:sz w:val="21"/>
                <w:szCs w:val="21"/>
              </w:rPr>
              <w:t>结论</w:t>
            </w:r>
          </w:p>
        </w:tc>
      </w:tr>
      <w:tr w14:paraId="16945611">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53D7EA">
            <w:pPr>
              <w:autoSpaceDE/>
              <w:autoSpaceDN/>
              <w:snapToGrid w:val="0"/>
              <w:jc w:val="both"/>
              <w:rPr>
                <w:rFonts w:eastAsia="宋体"/>
                <w:sz w:val="21"/>
                <w:szCs w:val="21"/>
              </w:rPr>
            </w:pPr>
            <w:r>
              <w:rPr>
                <w:rFonts w:eastAsia="宋体"/>
                <w:color w:val="000000"/>
                <w:sz w:val="21"/>
                <w:szCs w:val="21"/>
              </w:rPr>
              <w:t>介质对照</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5B5D09">
            <w:pPr>
              <w:autoSpaceDE/>
              <w:autoSpaceDN/>
              <w:snapToGrid w:val="0"/>
              <w:jc w:val="center"/>
              <w:rPr>
                <w:rFonts w:eastAsia="宋体"/>
                <w:sz w:val="21"/>
                <w:szCs w:val="21"/>
              </w:rPr>
            </w:pPr>
            <w:r>
              <w:rPr>
                <w:rFonts w:eastAsia="宋体"/>
                <w:color w:val="000000"/>
                <w:sz w:val="21"/>
                <w:szCs w:val="21"/>
              </w:rPr>
              <w:t>等级0/0/0</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AC3976">
            <w:pPr>
              <w:autoSpaceDE/>
              <w:autoSpaceDN/>
              <w:snapToGrid w:val="0"/>
              <w:jc w:val="center"/>
              <w:rPr>
                <w:rFonts w:eastAsia="宋体"/>
                <w:sz w:val="21"/>
                <w:szCs w:val="21"/>
              </w:rPr>
            </w:pPr>
            <w:r>
              <w:rPr>
                <w:rFonts w:eastAsia="宋体"/>
                <w:color w:val="000000"/>
                <w:sz w:val="21"/>
                <w:szCs w:val="21"/>
              </w:rPr>
              <w:t>等级0/0/0</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B02D11">
            <w:pPr>
              <w:autoSpaceDE/>
              <w:autoSpaceDN/>
              <w:snapToGrid w:val="0"/>
              <w:jc w:val="center"/>
              <w:rPr>
                <w:rFonts w:eastAsia="宋体"/>
                <w:sz w:val="21"/>
                <w:szCs w:val="21"/>
              </w:rPr>
            </w:pPr>
            <w:r>
              <w:rPr>
                <w:rFonts w:eastAsia="宋体"/>
                <w:color w:val="000000"/>
                <w:sz w:val="21"/>
                <w:szCs w:val="21"/>
              </w:rPr>
              <w:t>等级0/0/0</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4990B1">
            <w:pPr>
              <w:autoSpaceDE/>
              <w:autoSpaceDN/>
              <w:snapToGrid w:val="0"/>
              <w:jc w:val="both"/>
              <w:rPr>
                <w:rFonts w:eastAsia="宋体"/>
                <w:sz w:val="21"/>
                <w:szCs w:val="21"/>
              </w:rPr>
            </w:pPr>
            <w:r>
              <w:rPr>
                <w:rFonts w:eastAsia="宋体"/>
                <w:color w:val="000000"/>
                <w:sz w:val="21"/>
                <w:szCs w:val="21"/>
              </w:rPr>
              <w:t>按预期执行</w:t>
            </w:r>
          </w:p>
        </w:tc>
      </w:tr>
      <w:tr w14:paraId="6FAC7018">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067F13">
            <w:pPr>
              <w:autoSpaceDE/>
              <w:autoSpaceDN/>
              <w:snapToGrid w:val="0"/>
              <w:jc w:val="both"/>
              <w:rPr>
                <w:rFonts w:eastAsia="宋体"/>
                <w:sz w:val="21"/>
                <w:szCs w:val="21"/>
              </w:rPr>
            </w:pPr>
            <w:r>
              <w:rPr>
                <w:rFonts w:eastAsia="宋体"/>
                <w:color w:val="000000"/>
                <w:sz w:val="21"/>
                <w:szCs w:val="21"/>
              </w:rPr>
              <w:t>阴性对照HDPE</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D463FA">
            <w:pPr>
              <w:autoSpaceDE/>
              <w:autoSpaceDN/>
              <w:snapToGrid w:val="0"/>
              <w:jc w:val="center"/>
              <w:rPr>
                <w:rFonts w:eastAsia="宋体"/>
                <w:sz w:val="21"/>
                <w:szCs w:val="21"/>
              </w:rPr>
            </w:pPr>
            <w:r>
              <w:rPr>
                <w:rFonts w:eastAsia="宋体"/>
                <w:color w:val="000000"/>
                <w:sz w:val="21"/>
                <w:szCs w:val="21"/>
              </w:rPr>
              <w:t>等级0/0/0</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05FDA5">
            <w:pPr>
              <w:autoSpaceDE/>
              <w:autoSpaceDN/>
              <w:snapToGrid w:val="0"/>
              <w:jc w:val="center"/>
              <w:rPr>
                <w:rFonts w:eastAsia="宋体"/>
                <w:sz w:val="21"/>
                <w:szCs w:val="21"/>
              </w:rPr>
            </w:pPr>
            <w:r>
              <w:rPr>
                <w:rFonts w:eastAsia="宋体"/>
                <w:color w:val="000000"/>
                <w:sz w:val="21"/>
                <w:szCs w:val="21"/>
              </w:rPr>
              <w:t>等级0/0/0</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CB0C41">
            <w:pPr>
              <w:autoSpaceDE/>
              <w:autoSpaceDN/>
              <w:snapToGrid w:val="0"/>
              <w:jc w:val="center"/>
              <w:rPr>
                <w:rFonts w:eastAsia="宋体"/>
                <w:sz w:val="21"/>
                <w:szCs w:val="21"/>
              </w:rPr>
            </w:pPr>
            <w:r>
              <w:rPr>
                <w:rFonts w:eastAsia="宋体"/>
                <w:color w:val="000000"/>
                <w:sz w:val="21"/>
                <w:szCs w:val="21"/>
              </w:rPr>
              <w:t>等级0/0/0</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AA8210">
            <w:pPr>
              <w:autoSpaceDE/>
              <w:autoSpaceDN/>
              <w:snapToGrid w:val="0"/>
              <w:jc w:val="both"/>
              <w:rPr>
                <w:rFonts w:eastAsia="宋体"/>
                <w:sz w:val="21"/>
                <w:szCs w:val="21"/>
              </w:rPr>
            </w:pPr>
            <w:r>
              <w:rPr>
                <w:rFonts w:eastAsia="宋体"/>
                <w:color w:val="000000"/>
                <w:sz w:val="21"/>
                <w:szCs w:val="21"/>
              </w:rPr>
              <w:t>按预期执行</w:t>
            </w:r>
          </w:p>
        </w:tc>
      </w:tr>
      <w:tr w14:paraId="2EE6292C">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7DE527">
            <w:pPr>
              <w:autoSpaceDE/>
              <w:autoSpaceDN/>
              <w:snapToGrid w:val="0"/>
              <w:jc w:val="both"/>
              <w:rPr>
                <w:rFonts w:eastAsia="宋体"/>
                <w:sz w:val="21"/>
                <w:szCs w:val="21"/>
              </w:rPr>
            </w:pPr>
            <w:r>
              <w:rPr>
                <w:rFonts w:eastAsia="宋体"/>
                <w:color w:val="000000"/>
                <w:sz w:val="21"/>
                <w:szCs w:val="21"/>
              </w:rPr>
              <w:t>阳性对照乳胶</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4DB6F0">
            <w:pPr>
              <w:autoSpaceDE/>
              <w:autoSpaceDN/>
              <w:snapToGrid w:val="0"/>
              <w:jc w:val="center"/>
              <w:rPr>
                <w:rFonts w:eastAsia="宋体"/>
                <w:sz w:val="21"/>
                <w:szCs w:val="21"/>
              </w:rPr>
            </w:pPr>
            <w:r>
              <w:rPr>
                <w:rFonts w:eastAsia="宋体"/>
                <w:color w:val="000000"/>
                <w:sz w:val="21"/>
                <w:szCs w:val="21"/>
              </w:rPr>
              <w:t>3/3/3级</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0B1174">
            <w:pPr>
              <w:autoSpaceDE/>
              <w:autoSpaceDN/>
              <w:snapToGrid w:val="0"/>
              <w:jc w:val="center"/>
              <w:rPr>
                <w:rFonts w:eastAsia="宋体"/>
                <w:sz w:val="21"/>
                <w:szCs w:val="21"/>
              </w:rPr>
            </w:pPr>
            <w:r>
              <w:rPr>
                <w:rFonts w:eastAsia="宋体"/>
                <w:color w:val="000000"/>
                <w:sz w:val="21"/>
                <w:szCs w:val="21"/>
              </w:rPr>
              <w:t>4/4/4*级</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909908">
            <w:pPr>
              <w:autoSpaceDE/>
              <w:autoSpaceDN/>
              <w:snapToGrid w:val="0"/>
              <w:jc w:val="center"/>
              <w:rPr>
                <w:rFonts w:eastAsia="宋体"/>
                <w:sz w:val="21"/>
                <w:szCs w:val="21"/>
              </w:rPr>
            </w:pPr>
            <w:r>
              <w:rPr>
                <w:rFonts w:eastAsia="宋体"/>
                <w:color w:val="000000"/>
                <w:sz w:val="21"/>
                <w:szCs w:val="21"/>
              </w:rPr>
              <w:t>4/4/4级</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8AB268">
            <w:pPr>
              <w:autoSpaceDE/>
              <w:autoSpaceDN/>
              <w:snapToGrid w:val="0"/>
              <w:jc w:val="both"/>
              <w:rPr>
                <w:rFonts w:eastAsia="宋体"/>
                <w:sz w:val="21"/>
                <w:szCs w:val="21"/>
              </w:rPr>
            </w:pPr>
            <w:r>
              <w:rPr>
                <w:rFonts w:eastAsia="宋体"/>
                <w:color w:val="000000"/>
                <w:sz w:val="21"/>
                <w:szCs w:val="21"/>
              </w:rPr>
              <w:t>按预期执行</w:t>
            </w:r>
          </w:p>
        </w:tc>
      </w:tr>
      <w:tr w14:paraId="03DF9E14">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9B3F2B">
            <w:pPr>
              <w:autoSpaceDE/>
              <w:autoSpaceDN/>
              <w:snapToGrid w:val="0"/>
              <w:jc w:val="both"/>
              <w:rPr>
                <w:rFonts w:eastAsia="宋体"/>
                <w:sz w:val="21"/>
                <w:szCs w:val="21"/>
              </w:rPr>
            </w:pPr>
            <w:r>
              <w:rPr>
                <w:rFonts w:eastAsia="宋体"/>
                <w:color w:val="000000"/>
                <w:sz w:val="21"/>
                <w:szCs w:val="21"/>
              </w:rPr>
              <w:t>试验样品浸提液（100%纯品）</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11821E">
            <w:pPr>
              <w:autoSpaceDE/>
              <w:autoSpaceDN/>
              <w:snapToGrid w:val="0"/>
              <w:jc w:val="center"/>
              <w:rPr>
                <w:rFonts w:eastAsia="宋体"/>
                <w:sz w:val="21"/>
                <w:szCs w:val="21"/>
              </w:rPr>
            </w:pPr>
            <w:r>
              <w:rPr>
                <w:rFonts w:eastAsia="宋体"/>
                <w:color w:val="000000"/>
                <w:sz w:val="21"/>
                <w:szCs w:val="21"/>
              </w:rPr>
              <w:t>等级0/0/0</w:t>
            </w: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1A3A41">
            <w:pPr>
              <w:autoSpaceDE/>
              <w:autoSpaceDN/>
              <w:snapToGrid w:val="0"/>
              <w:jc w:val="center"/>
              <w:rPr>
                <w:rFonts w:eastAsia="宋体"/>
                <w:sz w:val="21"/>
                <w:szCs w:val="21"/>
              </w:rPr>
            </w:pPr>
            <w:r>
              <w:rPr>
                <w:rFonts w:eastAsia="宋体"/>
                <w:color w:val="000000"/>
                <w:sz w:val="21"/>
                <w:szCs w:val="21"/>
              </w:rPr>
              <w:t>等级0/0/0</w:t>
            </w: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5C84CF">
            <w:pPr>
              <w:autoSpaceDE/>
              <w:autoSpaceDN/>
              <w:snapToGrid w:val="0"/>
              <w:jc w:val="center"/>
              <w:rPr>
                <w:rFonts w:eastAsia="宋体"/>
                <w:sz w:val="21"/>
                <w:szCs w:val="21"/>
              </w:rPr>
            </w:pPr>
            <w:r>
              <w:rPr>
                <w:rFonts w:eastAsia="宋体"/>
                <w:color w:val="000000"/>
                <w:sz w:val="21"/>
                <w:szCs w:val="21"/>
              </w:rPr>
              <w:t>等级0/0/0</w:t>
            </w: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470131">
            <w:pPr>
              <w:autoSpaceDE/>
              <w:autoSpaceDN/>
              <w:snapToGrid w:val="0"/>
              <w:jc w:val="both"/>
              <w:rPr>
                <w:rFonts w:eastAsia="宋体"/>
                <w:sz w:val="21"/>
                <w:szCs w:val="21"/>
              </w:rPr>
            </w:pPr>
            <w:r>
              <w:rPr>
                <w:rFonts w:eastAsia="宋体"/>
                <w:color w:val="000000"/>
                <w:sz w:val="21"/>
                <w:szCs w:val="21"/>
              </w:rPr>
              <w:t>无细胞毒性</w:t>
            </w:r>
          </w:p>
        </w:tc>
      </w:tr>
      <w:tr w14:paraId="764E63FB">
        <w:tblPrEx>
          <w:tblCellMar>
            <w:top w:w="0" w:type="dxa"/>
            <w:left w:w="57" w:type="dxa"/>
            <w:bottom w:w="0" w:type="dxa"/>
            <w:right w:w="57" w:type="dxa"/>
          </w:tblCellMar>
        </w:tblPrEx>
        <w:tc>
          <w:tcPr>
            <w:tcW w:w="2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F77AB9">
            <w:pPr>
              <w:autoSpaceDE/>
              <w:autoSpaceDN/>
              <w:snapToGrid w:val="0"/>
              <w:jc w:val="both"/>
              <w:rPr>
                <w:rFonts w:eastAsia="宋体"/>
                <w:sz w:val="21"/>
                <w:szCs w:val="21"/>
              </w:rPr>
            </w:pPr>
            <w:r>
              <w:rPr>
                <w:rFonts w:eastAsia="宋体"/>
                <w:i/>
                <w:iCs/>
                <w:color w:val="000000"/>
                <w:sz w:val="21"/>
                <w:szCs w:val="21"/>
              </w:rPr>
              <w:t>[插入任何额外的试验样品稀释/重测数据的行数]</w:t>
            </w:r>
          </w:p>
        </w:tc>
        <w:tc>
          <w:tcPr>
            <w:tcW w:w="14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297C82">
            <w:pPr>
              <w:autoSpaceDE/>
              <w:autoSpaceDN/>
              <w:snapToGrid w:val="0"/>
              <w:jc w:val="both"/>
              <w:rPr>
                <w:rFonts w:eastAsia="宋体"/>
                <w:sz w:val="21"/>
                <w:szCs w:val="21"/>
              </w:rPr>
            </w:pPr>
          </w:p>
        </w:tc>
        <w:tc>
          <w:tcPr>
            <w:tcW w:w="12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7747FA">
            <w:pPr>
              <w:autoSpaceDE/>
              <w:autoSpaceDN/>
              <w:snapToGrid w:val="0"/>
              <w:jc w:val="both"/>
              <w:rPr>
                <w:rFonts w:eastAsia="宋体"/>
                <w:sz w:val="21"/>
                <w:szCs w:val="21"/>
              </w:rPr>
            </w:pPr>
          </w:p>
        </w:tc>
        <w:tc>
          <w:tcPr>
            <w:tcW w:w="14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7200D9">
            <w:pPr>
              <w:autoSpaceDE/>
              <w:autoSpaceDN/>
              <w:snapToGrid w:val="0"/>
              <w:jc w:val="both"/>
              <w:rPr>
                <w:rFonts w:eastAsia="宋体"/>
                <w:sz w:val="21"/>
                <w:szCs w:val="21"/>
              </w:rPr>
            </w:pPr>
          </w:p>
        </w:tc>
        <w:tc>
          <w:tcPr>
            <w:tcW w:w="225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5068F4">
            <w:pPr>
              <w:autoSpaceDE/>
              <w:autoSpaceDN/>
              <w:snapToGrid w:val="0"/>
              <w:jc w:val="both"/>
              <w:rPr>
                <w:rFonts w:eastAsia="宋体"/>
                <w:sz w:val="21"/>
                <w:szCs w:val="21"/>
              </w:rPr>
            </w:pPr>
          </w:p>
        </w:tc>
      </w:tr>
    </w:tbl>
    <w:p w14:paraId="44B3BD9F">
      <w:pPr>
        <w:autoSpaceDE/>
        <w:autoSpaceDN/>
        <w:snapToGrid w:val="0"/>
        <w:jc w:val="both"/>
        <w:rPr>
          <w:rFonts w:eastAsia="宋体"/>
          <w:color w:val="000000"/>
          <w:sz w:val="21"/>
          <w:szCs w:val="21"/>
        </w:rPr>
      </w:pPr>
    </w:p>
    <w:p w14:paraId="55AFB59C">
      <w:pPr>
        <w:autoSpaceDE/>
        <w:autoSpaceDN/>
        <w:snapToGrid w:val="0"/>
        <w:jc w:val="both"/>
        <w:rPr>
          <w:rFonts w:eastAsia="宋体"/>
          <w:color w:val="000000"/>
          <w:sz w:val="21"/>
          <w:szCs w:val="21"/>
        </w:rPr>
      </w:pPr>
      <w:r>
        <w:rPr>
          <w:rFonts w:eastAsia="宋体"/>
          <w:color w:val="000000"/>
          <w:sz w:val="21"/>
          <w:szCs w:val="21"/>
        </w:rPr>
        <w:t>*基于先前的结果（一旦观察到4级结果，便不需对细胞毒性进行后续评估）</w:t>
      </w:r>
    </w:p>
    <w:p w14:paraId="6E4ECD5F">
      <w:pPr>
        <w:autoSpaceDE/>
        <w:autoSpaceDN/>
        <w:snapToGrid w:val="0"/>
        <w:jc w:val="both"/>
        <w:rPr>
          <w:rFonts w:eastAsia="宋体"/>
          <w:sz w:val="24"/>
          <w:szCs w:val="24"/>
        </w:rPr>
      </w:pPr>
    </w:p>
    <w:p w14:paraId="4B74ADF2">
      <w:pPr>
        <w:autoSpaceDE/>
        <w:autoSpaceDN/>
        <w:snapToGrid w:val="0"/>
        <w:jc w:val="both"/>
        <w:rPr>
          <w:rFonts w:eastAsia="宋体"/>
          <w:sz w:val="24"/>
          <w:szCs w:val="24"/>
        </w:rPr>
      </w:pPr>
      <w:r>
        <w:rPr>
          <w:rFonts w:eastAsia="宋体"/>
          <w:color w:val="000000"/>
          <w:sz w:val="24"/>
          <w:szCs w:val="24"/>
        </w:rPr>
        <w:t>我确认：</w:t>
      </w:r>
    </w:p>
    <w:p w14:paraId="5D58FF0F">
      <w:pPr>
        <w:tabs>
          <w:tab w:val="left" w:pos="350"/>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7261E25D">
      <w:pPr>
        <w:tabs>
          <w:tab w:val="left" w:pos="350"/>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14:paraId="1E65C62F">
      <w:pPr>
        <w:tabs>
          <w:tab w:val="left" w:pos="7930"/>
        </w:tabs>
        <w:autoSpaceDE/>
        <w:autoSpaceDN/>
        <w:snapToGrid w:val="0"/>
        <w:jc w:val="both"/>
        <w:rPr>
          <w:rFonts w:eastAsia="宋体"/>
          <w:color w:val="000000"/>
          <w:sz w:val="24"/>
          <w:szCs w:val="24"/>
        </w:rPr>
      </w:pPr>
    </w:p>
    <w:p w14:paraId="745E8AF2">
      <w:pPr>
        <w:tabs>
          <w:tab w:val="left" w:pos="7930"/>
        </w:tabs>
        <w:autoSpaceDE/>
        <w:autoSpaceDN/>
        <w:snapToGrid w:val="0"/>
        <w:jc w:val="both"/>
        <w:rPr>
          <w:rFonts w:eastAsia="宋体"/>
          <w:color w:val="000000"/>
          <w:sz w:val="24"/>
          <w:szCs w:val="24"/>
        </w:rPr>
      </w:pPr>
    </w:p>
    <w:p w14:paraId="1A72C577">
      <w:pPr>
        <w:pBdr>
          <w:bottom w:val="single" w:color="auto" w:sz="6" w:space="1"/>
        </w:pBdr>
        <w:tabs>
          <w:tab w:val="left" w:pos="7930"/>
        </w:tabs>
        <w:autoSpaceDE/>
        <w:autoSpaceDN/>
        <w:snapToGrid w:val="0"/>
        <w:jc w:val="both"/>
        <w:rPr>
          <w:rFonts w:eastAsia="宋体"/>
          <w:color w:val="000000"/>
          <w:sz w:val="24"/>
          <w:szCs w:val="24"/>
        </w:rPr>
      </w:pPr>
    </w:p>
    <w:p w14:paraId="2D2EF8A8">
      <w:pPr>
        <w:tabs>
          <w:tab w:val="left" w:pos="7930"/>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7DC508AF">
      <w:pPr>
        <w:tabs>
          <w:tab w:val="left" w:pos="7930"/>
        </w:tabs>
        <w:autoSpaceDE/>
        <w:autoSpaceDN/>
        <w:snapToGrid w:val="0"/>
        <w:jc w:val="both"/>
        <w:rPr>
          <w:rFonts w:eastAsia="宋体"/>
          <w:color w:val="000000"/>
          <w:sz w:val="24"/>
          <w:szCs w:val="24"/>
        </w:rPr>
      </w:pPr>
    </w:p>
    <w:p w14:paraId="5C3C05BC">
      <w:pPr>
        <w:tabs>
          <w:tab w:val="left" w:pos="7930"/>
        </w:tabs>
        <w:autoSpaceDE/>
        <w:autoSpaceDN/>
        <w:snapToGrid w:val="0"/>
        <w:jc w:val="both"/>
        <w:rPr>
          <w:rFonts w:eastAsia="宋体"/>
          <w:color w:val="000000"/>
          <w:sz w:val="24"/>
          <w:szCs w:val="24"/>
        </w:rPr>
      </w:pPr>
    </w:p>
    <w:p w14:paraId="19A74869">
      <w:pPr>
        <w:pBdr>
          <w:bottom w:val="single" w:color="auto" w:sz="6" w:space="1"/>
        </w:pBdr>
        <w:tabs>
          <w:tab w:val="left" w:pos="7930"/>
        </w:tabs>
        <w:autoSpaceDE/>
        <w:autoSpaceDN/>
        <w:snapToGrid w:val="0"/>
        <w:jc w:val="both"/>
        <w:rPr>
          <w:rFonts w:eastAsia="宋体"/>
          <w:color w:val="000000"/>
          <w:sz w:val="24"/>
          <w:szCs w:val="24"/>
        </w:rPr>
      </w:pPr>
    </w:p>
    <w:p w14:paraId="4638FB7C">
      <w:pPr>
        <w:tabs>
          <w:tab w:val="left" w:pos="7930"/>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17AD48F8">
      <w:pPr>
        <w:autoSpaceDE/>
        <w:autoSpaceDN/>
        <w:snapToGrid w:val="0"/>
        <w:jc w:val="both"/>
        <w:rPr>
          <w:rFonts w:eastAsia="宋体"/>
          <w:sz w:val="21"/>
          <w:szCs w:val="21"/>
        </w:rPr>
      </w:pPr>
    </w:p>
    <w:p w14:paraId="5C9C0B0F">
      <w:pPr>
        <w:autoSpaceDE/>
        <w:autoSpaceDN/>
        <w:snapToGrid w:val="0"/>
        <w:jc w:val="both"/>
        <w:rPr>
          <w:rFonts w:eastAsia="宋体"/>
          <w:sz w:val="21"/>
          <w:szCs w:val="21"/>
        </w:rPr>
        <w:sectPr>
          <w:pgSz w:w="11906" w:h="16838"/>
          <w:pgMar w:top="1134" w:right="1134" w:bottom="1134" w:left="1418" w:header="567" w:footer="567" w:gutter="0"/>
          <w:cols w:space="60" w:num="1"/>
          <w:docGrid w:linePitch="272" w:charSpace="0"/>
        </w:sectPr>
      </w:pPr>
    </w:p>
    <w:p w14:paraId="0EF306E9">
      <w:pPr>
        <w:pStyle w:val="2"/>
        <w:autoSpaceDE/>
        <w:autoSpaceDN/>
        <w:spacing w:before="240" w:after="240"/>
        <w:rPr>
          <w:rFonts w:eastAsia="宋体"/>
        </w:rPr>
      </w:pPr>
      <w:bookmarkStart w:id="38" w:name="bookmark43"/>
      <w:bookmarkEnd w:id="38"/>
      <w:bookmarkStart w:id="39" w:name="_Toc97473519"/>
      <w:bookmarkStart w:id="40" w:name="_Toc98778568"/>
      <w:r>
        <w:rPr>
          <w:rFonts w:eastAsia="宋体"/>
        </w:rPr>
        <w:t>附录D：医疗器械的生物相容性试验的ASCA汇总试验报告示例：皮肤刺激性（ISO 10993-10）</w:t>
      </w:r>
      <w:bookmarkEnd w:id="39"/>
      <w:bookmarkEnd w:id="40"/>
    </w:p>
    <w:p w14:paraId="07BEA8DC">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在医疗器械上市前提交中适当使用自愿性共识标准。</w:t>
      </w:r>
      <w:r>
        <w:rPr>
          <w:rFonts w:eastAsia="宋体"/>
          <w:i/>
          <w:iCs/>
          <w:color w:val="000000"/>
          <w:sz w:val="24"/>
          <w:szCs w:val="24"/>
        </w:rPr>
        <w:t>ASCA汇总试验报告由检测实验室提供给器械制造商。</w:t>
      </w:r>
    </w:p>
    <w:p w14:paraId="31F4CD05">
      <w:pPr>
        <w:autoSpaceDE/>
        <w:autoSpaceDN/>
        <w:snapToGrid w:val="0"/>
        <w:jc w:val="both"/>
        <w:rPr>
          <w:rFonts w:eastAsia="宋体"/>
          <w:b/>
          <w:bCs/>
          <w:color w:val="000000"/>
          <w:sz w:val="24"/>
          <w:szCs w:val="24"/>
        </w:rPr>
      </w:pPr>
    </w:p>
    <w:p w14:paraId="0AA4F3FD">
      <w:pPr>
        <w:autoSpaceDE/>
        <w:autoSpaceDN/>
        <w:snapToGrid w:val="0"/>
        <w:jc w:val="both"/>
        <w:rPr>
          <w:rFonts w:eastAsia="宋体"/>
          <w:sz w:val="24"/>
          <w:szCs w:val="24"/>
        </w:rPr>
      </w:pPr>
      <w:r>
        <w:rPr>
          <w:rFonts w:eastAsia="宋体"/>
          <w:b/>
          <w:bCs/>
          <w:color w:val="000000"/>
          <w:sz w:val="24"/>
          <w:szCs w:val="24"/>
        </w:rPr>
        <w:t>管理信息</w:t>
      </w:r>
    </w:p>
    <w:p w14:paraId="64BB775C">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5C196B5E">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142B7E3F">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688B1099">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0189222D">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4385C3F1">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38"/>
      </w:r>
    </w:p>
    <w:p w14:paraId="6DFEEA2A">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4FDE672B">
      <w:pPr>
        <w:autoSpaceDE/>
        <w:autoSpaceDN/>
        <w:snapToGrid w:val="0"/>
        <w:ind w:left="1592" w:leftChars="638" w:hanging="316"/>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没有中止</w:t>
      </w:r>
    </w:p>
    <w:p w14:paraId="58F595A3">
      <w:pPr>
        <w:autoSpaceDE/>
        <w:autoSpaceDN/>
        <w:snapToGrid w:val="0"/>
        <w:ind w:left="1592" w:leftChars="638" w:hanging="316"/>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44" w:type="pct"/>
        <w:tblInd w:w="137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8036"/>
      </w:tblGrid>
      <w:tr w14:paraId="4D50F19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14:paraId="680BF160">
            <w:pPr>
              <w:autoSpaceDE/>
              <w:autoSpaceDN/>
              <w:snapToGrid w:val="0"/>
              <w:jc w:val="both"/>
              <w:rPr>
                <w:rFonts w:eastAsia="宋体"/>
                <w:sz w:val="24"/>
                <w:szCs w:val="24"/>
              </w:rPr>
            </w:pPr>
          </w:p>
          <w:p w14:paraId="6ADBDE85">
            <w:pPr>
              <w:autoSpaceDE/>
              <w:autoSpaceDN/>
              <w:snapToGrid w:val="0"/>
              <w:jc w:val="both"/>
              <w:rPr>
                <w:rFonts w:eastAsia="宋体"/>
                <w:sz w:val="24"/>
                <w:szCs w:val="24"/>
              </w:rPr>
            </w:pPr>
          </w:p>
        </w:tc>
      </w:tr>
      <w:tr w14:paraId="552D2F4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14:paraId="224D0BFB">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2EE7750B">
      <w:pPr>
        <w:tabs>
          <w:tab w:val="left" w:leader="underscore" w:pos="8222"/>
        </w:tabs>
        <w:autoSpaceDE/>
        <w:autoSpaceDN/>
        <w:snapToGrid w:val="0"/>
        <w:jc w:val="both"/>
        <w:rPr>
          <w:rFonts w:eastAsia="宋体"/>
          <w:b/>
          <w:bCs/>
          <w:color w:val="000000"/>
          <w:sz w:val="24"/>
          <w:szCs w:val="24"/>
        </w:rPr>
      </w:pPr>
    </w:p>
    <w:p w14:paraId="74381269">
      <w:pPr>
        <w:tabs>
          <w:tab w:val="left" w:pos="7643"/>
        </w:tabs>
        <w:autoSpaceDE/>
        <w:autoSpaceDN/>
        <w:snapToGrid w:val="0"/>
        <w:jc w:val="both"/>
        <w:rPr>
          <w:rFonts w:eastAsia="宋体"/>
          <w:sz w:val="24"/>
          <w:szCs w:val="24"/>
          <w:u w:val="single"/>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 TAPrep（日期/版本）]</w:t>
      </w:r>
      <w:r>
        <w:rPr>
          <w:rFonts w:eastAsia="宋体"/>
          <w:i/>
          <w:iCs/>
          <w:color w:val="000000"/>
          <w:sz w:val="24"/>
          <w:szCs w:val="24"/>
          <w:u w:val="single"/>
        </w:rPr>
        <w:tab/>
      </w:r>
    </w:p>
    <w:p w14:paraId="3B7F954D">
      <w:pPr>
        <w:tabs>
          <w:tab w:val="left" w:pos="355"/>
          <w:tab w:val="left" w:pos="7513"/>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14:paraId="1A1D4D24">
      <w:pPr>
        <w:tabs>
          <w:tab w:val="left" w:pos="355"/>
          <w:tab w:val="left" w:leader="underscore" w:pos="82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39"/>
      </w:r>
      <w:r>
        <w:rPr>
          <w:rFonts w:eastAsia="宋体"/>
          <w:color w:val="000000"/>
          <w:sz w:val="24"/>
          <w:szCs w:val="24"/>
        </w:rPr>
        <w:t>：（例如，过滤、浸提液处理、pH值调节）：</w:t>
      </w: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14:paraId="6429811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14:paraId="00C91509">
            <w:pPr>
              <w:autoSpaceDE/>
              <w:autoSpaceDN/>
              <w:snapToGrid w:val="0"/>
              <w:jc w:val="both"/>
              <w:rPr>
                <w:rFonts w:eastAsia="宋体"/>
                <w:sz w:val="24"/>
                <w:szCs w:val="24"/>
              </w:rPr>
            </w:pPr>
          </w:p>
          <w:p w14:paraId="6E7D28F6">
            <w:pPr>
              <w:autoSpaceDE/>
              <w:autoSpaceDN/>
              <w:snapToGrid w:val="0"/>
              <w:jc w:val="both"/>
              <w:rPr>
                <w:rFonts w:eastAsia="宋体"/>
                <w:sz w:val="24"/>
                <w:szCs w:val="24"/>
              </w:rPr>
            </w:pPr>
          </w:p>
        </w:tc>
      </w:tr>
      <w:tr w14:paraId="1DC89A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14:paraId="4D125041">
            <w:pPr>
              <w:autoSpaceDE/>
              <w:autoSpaceDN/>
              <w:snapToGrid w:val="0"/>
              <w:jc w:val="both"/>
              <w:rPr>
                <w:rFonts w:eastAsia="宋体"/>
                <w:sz w:val="24"/>
                <w:szCs w:val="24"/>
              </w:rPr>
            </w:pPr>
            <w:r>
              <w:rPr>
                <w:rFonts w:eastAsia="宋体"/>
                <w:i/>
                <w:iCs/>
                <w:color w:val="000000"/>
                <w:sz w:val="24"/>
                <w:szCs w:val="24"/>
              </w:rPr>
              <w:t>偏离/修正案的描述</w:t>
            </w:r>
          </w:p>
        </w:tc>
      </w:tr>
    </w:tbl>
    <w:p w14:paraId="76FE6E21">
      <w:pPr>
        <w:autoSpaceDE/>
        <w:autoSpaceDN/>
        <w:snapToGrid w:val="0"/>
        <w:jc w:val="both"/>
        <w:rPr>
          <w:rFonts w:eastAsia="宋体"/>
          <w:b/>
          <w:bCs/>
          <w:i/>
          <w:iCs/>
          <w:color w:val="000000"/>
          <w:sz w:val="24"/>
          <w:szCs w:val="24"/>
          <w:u w:val="single"/>
        </w:rPr>
      </w:pPr>
    </w:p>
    <w:p w14:paraId="101C6253">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直接接触</w:t>
      </w:r>
    </w:p>
    <w:p w14:paraId="6A155ED7">
      <w:pPr>
        <w:autoSpaceDE/>
        <w:autoSpaceDN/>
        <w:snapToGrid w:val="0"/>
        <w:jc w:val="both"/>
        <w:rPr>
          <w:rFonts w:eastAsia="宋体"/>
          <w:sz w:val="24"/>
          <w:szCs w:val="24"/>
        </w:rPr>
      </w:pPr>
    </w:p>
    <w:p w14:paraId="2227BCAD">
      <w:pPr>
        <w:autoSpaceDE/>
        <w:autoSpaceDN/>
        <w:snapToGrid w:val="0"/>
        <w:jc w:val="both"/>
        <w:rPr>
          <w:rFonts w:eastAsia="宋体"/>
          <w:sz w:val="24"/>
          <w:szCs w:val="24"/>
        </w:rPr>
      </w:pPr>
      <w:r>
        <w:rPr>
          <w:rFonts w:eastAsia="宋体"/>
          <w:b/>
          <w:bCs/>
          <w:color w:val="000000"/>
          <w:sz w:val="24"/>
          <w:szCs w:val="24"/>
        </w:rPr>
        <w:t>试验样品：</w:t>
      </w:r>
    </w:p>
    <w:p w14:paraId="53C35F4E">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整个最终完成的器械</w:t>
      </w:r>
    </w:p>
    <w:p w14:paraId="71418F09">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根据SOP选择有代表性的样品</w:t>
      </w:r>
    </w:p>
    <w:p w14:paraId="16E20CA1">
      <w:pPr>
        <w:tabs>
          <w:tab w:val="left" w:pos="206"/>
        </w:tabs>
        <w:autoSpaceDE/>
        <w:autoSpaceDN/>
        <w:snapToGrid w:val="0"/>
        <w:jc w:val="both"/>
        <w:rPr>
          <w:rFonts w:eastAsia="宋体"/>
          <w:color w:val="000000"/>
          <w:sz w:val="24"/>
          <w:szCs w:val="24"/>
          <w:vertAlign w:val="superscript"/>
        </w:rPr>
      </w:pPr>
    </w:p>
    <w:p w14:paraId="2D9DFF86">
      <w:pPr>
        <w:tabs>
          <w:tab w:val="left" w:pos="206"/>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544ACD33">
      <w:pPr>
        <w:tabs>
          <w:tab w:val="left" w:pos="3544"/>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40"/>
      </w:r>
      <w:r>
        <w:rPr>
          <w:rFonts w:eastAsia="宋体"/>
          <w:i/>
          <w:iCs/>
          <w:color w:val="000000"/>
          <w:sz w:val="24"/>
          <w:szCs w:val="24"/>
          <w:u w:val="single"/>
        </w:rPr>
        <w:t>[描述]</w:t>
      </w:r>
      <w:r>
        <w:rPr>
          <w:rFonts w:eastAsia="宋体"/>
          <w:i/>
          <w:iCs/>
          <w:color w:val="000000"/>
          <w:sz w:val="24"/>
          <w:szCs w:val="24"/>
          <w:u w:val="single"/>
        </w:rPr>
        <w:tab/>
      </w:r>
    </w:p>
    <w:p w14:paraId="50E8734E">
      <w:pPr>
        <w:autoSpaceDE/>
        <w:autoSpaceDN/>
        <w:snapToGrid w:val="0"/>
        <w:jc w:val="both"/>
        <w:rPr>
          <w:rFonts w:eastAsia="宋体"/>
          <w:b/>
          <w:bCs/>
          <w:i/>
          <w:iCs/>
          <w:color w:val="000000"/>
          <w:sz w:val="24"/>
          <w:szCs w:val="24"/>
          <w:u w:val="single"/>
        </w:rPr>
      </w:pPr>
    </w:p>
    <w:p w14:paraId="5C11F892">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浸提试验</w:t>
      </w:r>
    </w:p>
    <w:p w14:paraId="115AFAE2">
      <w:pPr>
        <w:autoSpaceDE/>
        <w:autoSpaceDN/>
        <w:snapToGrid w:val="0"/>
        <w:jc w:val="both"/>
        <w:rPr>
          <w:rFonts w:eastAsia="宋体"/>
          <w:sz w:val="24"/>
          <w:szCs w:val="24"/>
        </w:rPr>
      </w:pPr>
    </w:p>
    <w:p w14:paraId="3E8D7897">
      <w:pPr>
        <w:autoSpaceDE/>
        <w:autoSpaceDN/>
        <w:snapToGrid w:val="0"/>
        <w:jc w:val="both"/>
        <w:rPr>
          <w:rFonts w:eastAsia="宋体"/>
          <w:sz w:val="24"/>
          <w:szCs w:val="24"/>
        </w:rPr>
      </w:pPr>
      <w:r>
        <w:rPr>
          <w:rFonts w:eastAsia="宋体"/>
          <w:b/>
          <w:bCs/>
          <w:color w:val="000000"/>
          <w:sz w:val="24"/>
          <w:szCs w:val="24"/>
        </w:rPr>
        <w:t>浸提溶剂：</w:t>
      </w:r>
    </w:p>
    <w:p w14:paraId="5467BD54">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14:paraId="05C2A9CD">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14:paraId="7BBD27F0">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41"/>
      </w:r>
      <w:r>
        <w:rPr>
          <w:rFonts w:eastAsia="宋体"/>
          <w:i/>
          <w:iCs/>
          <w:color w:val="000000"/>
          <w:sz w:val="24"/>
          <w:szCs w:val="24"/>
          <w:u w:val="single"/>
        </w:rPr>
        <w:t>[描述]</w:t>
      </w:r>
      <w:r>
        <w:rPr>
          <w:rFonts w:eastAsia="宋体"/>
          <w:i/>
          <w:iCs/>
          <w:color w:val="000000"/>
          <w:sz w:val="24"/>
          <w:szCs w:val="24"/>
          <w:u w:val="single"/>
        </w:rPr>
        <w:tab/>
      </w:r>
    </w:p>
    <w:p w14:paraId="2AEAB05B">
      <w:pPr>
        <w:autoSpaceDE/>
        <w:autoSpaceDN/>
        <w:snapToGrid w:val="0"/>
        <w:jc w:val="both"/>
        <w:rPr>
          <w:rFonts w:eastAsia="宋体"/>
          <w:sz w:val="24"/>
          <w:szCs w:val="24"/>
        </w:rPr>
      </w:pPr>
      <w:r>
        <w:rPr>
          <w:rFonts w:eastAsia="宋体"/>
          <w:b/>
          <w:bCs/>
          <w:color w:val="000000"/>
          <w:sz w:val="24"/>
          <w:szCs w:val="24"/>
        </w:rPr>
        <w:t>浸提率：</w:t>
      </w:r>
    </w:p>
    <w:p w14:paraId="73639BE1">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45092C27">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14:paraId="424FFB4D">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14:paraId="67FFA17F">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42"/>
      </w:r>
      <w:r>
        <w:rPr>
          <w:rFonts w:eastAsia="宋体"/>
          <w:i/>
          <w:iCs/>
          <w:color w:val="000000"/>
          <w:sz w:val="24"/>
          <w:szCs w:val="24"/>
          <w:u w:val="single"/>
        </w:rPr>
        <w:t>[描述]</w:t>
      </w:r>
      <w:r>
        <w:rPr>
          <w:rFonts w:eastAsia="宋体"/>
          <w:i/>
          <w:iCs/>
          <w:color w:val="000000"/>
          <w:sz w:val="24"/>
          <w:szCs w:val="24"/>
          <w:u w:val="single"/>
        </w:rPr>
        <w:tab/>
      </w:r>
    </w:p>
    <w:p w14:paraId="2CAEDAAE">
      <w:pPr>
        <w:autoSpaceDE/>
        <w:autoSpaceDN/>
        <w:snapToGrid w:val="0"/>
        <w:jc w:val="both"/>
        <w:rPr>
          <w:rFonts w:eastAsia="宋体"/>
          <w:sz w:val="24"/>
          <w:szCs w:val="24"/>
        </w:rPr>
      </w:pPr>
      <w:r>
        <w:rPr>
          <w:rFonts w:eastAsia="宋体"/>
          <w:b/>
          <w:bCs/>
          <w:color w:val="000000"/>
          <w:sz w:val="24"/>
          <w:szCs w:val="24"/>
        </w:rPr>
        <w:t>浸提条件：</w:t>
      </w:r>
    </w:p>
    <w:p w14:paraId="633B1C9E">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14:paraId="13CF1A85">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14:paraId="08A6CAAD">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14:paraId="1F9E632B">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14:paraId="761A9122">
      <w:pPr>
        <w:tabs>
          <w:tab w:val="left" w:pos="3544"/>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43"/>
      </w:r>
      <w:r>
        <w:rPr>
          <w:rFonts w:eastAsia="宋体"/>
          <w:i/>
          <w:iCs/>
          <w:color w:val="000000"/>
          <w:sz w:val="24"/>
          <w:szCs w:val="24"/>
          <w:u w:val="single"/>
        </w:rPr>
        <w:t>[描述]</w:t>
      </w:r>
      <w:r>
        <w:rPr>
          <w:rFonts w:eastAsia="宋体"/>
          <w:i/>
          <w:iCs/>
          <w:color w:val="000000"/>
          <w:sz w:val="24"/>
          <w:szCs w:val="24"/>
          <w:u w:val="single"/>
        </w:rPr>
        <w:tab/>
      </w:r>
    </w:p>
    <w:p w14:paraId="6EB2BB9B">
      <w:pPr>
        <w:autoSpaceDE/>
        <w:autoSpaceDN/>
        <w:snapToGrid w:val="0"/>
        <w:jc w:val="both"/>
        <w:rPr>
          <w:rFonts w:eastAsia="宋体"/>
          <w:b/>
          <w:bCs/>
          <w:color w:val="000000"/>
          <w:sz w:val="24"/>
          <w:szCs w:val="24"/>
        </w:rPr>
      </w:pPr>
    </w:p>
    <w:p w14:paraId="17F572D6">
      <w:pPr>
        <w:autoSpaceDE/>
        <w:autoSpaceDN/>
        <w:snapToGrid w:val="0"/>
        <w:jc w:val="both"/>
        <w:rPr>
          <w:rFonts w:eastAsia="宋体"/>
          <w:sz w:val="24"/>
          <w:szCs w:val="24"/>
        </w:rPr>
      </w:pPr>
      <w:r>
        <w:rPr>
          <w:rFonts w:eastAsia="宋体"/>
          <w:b/>
          <w:bCs/>
          <w:color w:val="000000"/>
          <w:sz w:val="24"/>
          <w:szCs w:val="24"/>
        </w:rPr>
        <w:t>液体路径浸提：</w:t>
      </w:r>
    </w:p>
    <w:p w14:paraId="61858A3F">
      <w:pPr>
        <w:tabs>
          <w:tab w:val="left" w:pos="341"/>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44"/>
      </w:r>
    </w:p>
    <w:p w14:paraId="4F8BCD10">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14:paraId="44A5FC0D">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14:paraId="01E2342C">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用搅拌下部分填充（其他表面/体积比率）：</w:t>
      </w:r>
      <w:r>
        <w:rPr>
          <w:rFonts w:eastAsia="宋体"/>
          <w:color w:val="000000"/>
          <w:sz w:val="24"/>
          <w:szCs w:val="24"/>
          <w:u w:val="single"/>
        </w:rPr>
        <w:t>[描述所用比率]</w:t>
      </w:r>
    </w:p>
    <w:p w14:paraId="0DC0125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14:paraId="19C91996">
      <w:pPr>
        <w:autoSpaceDE/>
        <w:autoSpaceDN/>
        <w:snapToGrid w:val="0"/>
        <w:jc w:val="both"/>
        <w:rPr>
          <w:rFonts w:eastAsia="宋体"/>
          <w:sz w:val="24"/>
          <w:szCs w:val="24"/>
        </w:rPr>
      </w:pPr>
    </w:p>
    <w:p w14:paraId="2957FFC9">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14:paraId="3FE60A04">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45"/>
      </w:r>
    </w:p>
    <w:p w14:paraId="60B12939">
      <w:pPr>
        <w:tabs>
          <w:tab w:val="left" w:pos="182"/>
        </w:tabs>
        <w:autoSpaceDE/>
        <w:autoSpaceDN/>
        <w:snapToGrid w:val="0"/>
        <w:jc w:val="both"/>
        <w:rPr>
          <w:rFonts w:eastAsia="宋体"/>
          <w:color w:val="000000"/>
          <w:sz w:val="24"/>
          <w:szCs w:val="24"/>
          <w:vertAlign w:val="superscript"/>
        </w:rPr>
      </w:pPr>
    </w:p>
    <w:p w14:paraId="7D0765FC">
      <w:pPr>
        <w:tabs>
          <w:tab w:val="left" w:pos="18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7CDBA30F">
      <w:pPr>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[ASCADermalIrri（日期/版本）]</w:t>
      </w:r>
    </w:p>
    <w:p w14:paraId="0025DF37">
      <w:pPr>
        <w:tabs>
          <w:tab w:val="left" w:pos="355"/>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3C524C8D">
      <w:pPr>
        <w:tabs>
          <w:tab w:val="left" w:pos="355"/>
        </w:tabs>
        <w:autoSpaceDE/>
        <w:autoSpaceDN/>
        <w:snapToGrid w:val="0"/>
        <w:jc w:val="both"/>
        <w:rPr>
          <w:rFonts w:eastAsia="宋体"/>
          <w:b/>
          <w:bCs/>
          <w:color w:val="000000"/>
          <w:sz w:val="24"/>
          <w:szCs w:val="24"/>
        </w:rPr>
      </w:pPr>
      <w:r>
        <w:rPr>
          <w:rFonts w:eastAsia="宋体"/>
          <w:color w:val="000000"/>
          <w:sz w:val="24"/>
          <w:szCs w:val="24"/>
        </w:rPr>
        <w:t>或</w:t>
      </w:r>
    </w:p>
    <w:p w14:paraId="5DA61890">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46"/>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14:paraId="15C7460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182" w:type="dxa"/>
            <w:shd w:val="clear" w:color="auto" w:fill="FFFFFF"/>
            <w:tcMar>
              <w:left w:w="57" w:type="dxa"/>
              <w:right w:w="57" w:type="dxa"/>
            </w:tcMar>
          </w:tcPr>
          <w:p w14:paraId="224B1CD6">
            <w:pPr>
              <w:autoSpaceDE/>
              <w:autoSpaceDN/>
              <w:snapToGrid w:val="0"/>
              <w:jc w:val="both"/>
              <w:rPr>
                <w:rFonts w:eastAsia="宋体"/>
                <w:sz w:val="24"/>
                <w:szCs w:val="24"/>
              </w:rPr>
            </w:pPr>
          </w:p>
          <w:p w14:paraId="2FFCA396">
            <w:pPr>
              <w:autoSpaceDE/>
              <w:autoSpaceDN/>
              <w:snapToGrid w:val="0"/>
              <w:jc w:val="both"/>
              <w:rPr>
                <w:rFonts w:eastAsia="宋体"/>
                <w:sz w:val="24"/>
                <w:szCs w:val="24"/>
              </w:rPr>
            </w:pPr>
          </w:p>
        </w:tc>
      </w:tr>
      <w:tr w14:paraId="4A20187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182" w:type="dxa"/>
            <w:shd w:val="clear" w:color="auto" w:fill="FFFFFF"/>
            <w:tcMar>
              <w:left w:w="57" w:type="dxa"/>
              <w:right w:w="57" w:type="dxa"/>
            </w:tcMar>
          </w:tcPr>
          <w:p w14:paraId="125F3688">
            <w:pPr>
              <w:autoSpaceDE/>
              <w:autoSpaceDN/>
              <w:snapToGrid w:val="0"/>
              <w:jc w:val="both"/>
              <w:rPr>
                <w:rFonts w:eastAsia="宋体"/>
                <w:sz w:val="24"/>
                <w:szCs w:val="24"/>
              </w:rPr>
            </w:pPr>
            <w:r>
              <w:rPr>
                <w:rFonts w:eastAsia="宋体"/>
                <w:i/>
                <w:iCs/>
                <w:color w:val="000000"/>
                <w:sz w:val="24"/>
                <w:szCs w:val="24"/>
              </w:rPr>
              <w:t>偏离/修正案的描述</w:t>
            </w:r>
          </w:p>
        </w:tc>
      </w:tr>
    </w:tbl>
    <w:p w14:paraId="30F64A8A">
      <w:pPr>
        <w:autoSpaceDE/>
        <w:autoSpaceDN/>
        <w:snapToGrid w:val="0"/>
        <w:jc w:val="both"/>
        <w:rPr>
          <w:rFonts w:eastAsia="宋体"/>
          <w:b/>
          <w:bCs/>
          <w:color w:val="000000"/>
          <w:sz w:val="24"/>
          <w:szCs w:val="24"/>
        </w:rPr>
      </w:pPr>
    </w:p>
    <w:p w14:paraId="54161DD4">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47"/>
      </w:r>
    </w:p>
    <w:p w14:paraId="0ECB88E6">
      <w:pPr>
        <w:autoSpaceDE/>
        <w:autoSpaceDN/>
        <w:snapToGrid w:val="0"/>
        <w:jc w:val="both"/>
        <w:rPr>
          <w:rFonts w:eastAsia="宋体"/>
          <w:b/>
          <w:bCs/>
          <w:color w:val="000000"/>
          <w:sz w:val="24"/>
          <w:szCs w:val="24"/>
        </w:rPr>
      </w:pPr>
    </w:p>
    <w:p w14:paraId="5491C016">
      <w:pPr>
        <w:autoSpaceDE/>
        <w:autoSpaceDN/>
        <w:snapToGrid w:val="0"/>
        <w:jc w:val="center"/>
        <w:rPr>
          <w:rFonts w:eastAsia="宋体"/>
          <w:sz w:val="24"/>
          <w:szCs w:val="24"/>
        </w:rPr>
      </w:pPr>
      <w:r>
        <w:rPr>
          <w:rFonts w:eastAsia="宋体"/>
          <w:b/>
          <w:bCs/>
          <w:color w:val="000000"/>
          <w:sz w:val="24"/>
          <w:szCs w:val="24"/>
        </w:rPr>
        <w:t>表1皮肤刺激性的评分汇总*</w:t>
      </w:r>
    </w:p>
    <w:p w14:paraId="0A08C15B">
      <w:pPr>
        <w:autoSpaceDE/>
        <w:autoSpaceDN/>
        <w:snapToGrid w:val="0"/>
        <w:jc w:val="both"/>
        <w:rPr>
          <w:rFonts w:eastAsia="宋体"/>
          <w:sz w:val="24"/>
          <w:szCs w:val="24"/>
        </w:rPr>
      </w:pPr>
    </w:p>
    <w:tbl>
      <w:tblPr>
        <w:tblStyle w:val="13"/>
        <w:tblW w:w="5000" w:type="pct"/>
        <w:tblInd w:w="0" w:type="dxa"/>
        <w:tblLayout w:type="fixed"/>
        <w:tblCellMar>
          <w:top w:w="0" w:type="dxa"/>
          <w:left w:w="57" w:type="dxa"/>
          <w:bottom w:w="0" w:type="dxa"/>
          <w:right w:w="57" w:type="dxa"/>
        </w:tblCellMar>
      </w:tblPr>
      <w:tblGrid>
        <w:gridCol w:w="1177"/>
        <w:gridCol w:w="2092"/>
        <w:gridCol w:w="834"/>
        <w:gridCol w:w="716"/>
        <w:gridCol w:w="839"/>
        <w:gridCol w:w="716"/>
        <w:gridCol w:w="839"/>
        <w:gridCol w:w="716"/>
        <w:gridCol w:w="839"/>
        <w:gridCol w:w="702"/>
      </w:tblGrid>
      <w:tr w14:paraId="1FA57B55">
        <w:tblPrEx>
          <w:tblCellMar>
            <w:top w:w="0" w:type="dxa"/>
            <w:left w:w="57" w:type="dxa"/>
            <w:bottom w:w="0" w:type="dxa"/>
            <w:right w:w="57" w:type="dxa"/>
          </w:tblCellMar>
        </w:tblPrEx>
        <w:trPr>
          <w:trHeight w:val="20" w:hRule="atLeast"/>
        </w:trPr>
        <w:tc>
          <w:tcPr>
            <w:tcW w:w="1126" w:type="dxa"/>
            <w:vMerge w:val="restart"/>
            <w:tcBorders>
              <w:top w:val="double" w:color="auto" w:sz="4" w:space="0"/>
              <w:left w:val="double" w:color="auto" w:sz="4" w:space="0"/>
              <w:right w:val="single" w:color="auto" w:sz="6" w:space="0"/>
            </w:tcBorders>
            <w:shd w:val="clear" w:color="auto" w:fill="FFFFFF"/>
            <w:tcMar>
              <w:left w:w="57" w:type="dxa"/>
              <w:right w:w="57" w:type="dxa"/>
            </w:tcMar>
          </w:tcPr>
          <w:p w14:paraId="2AC5A6B4">
            <w:pPr>
              <w:autoSpaceDE/>
              <w:autoSpaceDN/>
              <w:snapToGrid w:val="0"/>
              <w:jc w:val="both"/>
              <w:rPr>
                <w:rFonts w:eastAsia="宋体"/>
                <w:sz w:val="21"/>
                <w:szCs w:val="21"/>
              </w:rPr>
            </w:pPr>
            <w:r>
              <w:rPr>
                <w:rFonts w:eastAsia="宋体"/>
                <w:b/>
                <w:bCs/>
                <w:color w:val="000000"/>
                <w:sz w:val="21"/>
                <w:szCs w:val="21"/>
              </w:rPr>
              <w:t>动物编号</w:t>
            </w:r>
          </w:p>
        </w:tc>
        <w:tc>
          <w:tcPr>
            <w:tcW w:w="2001" w:type="dxa"/>
            <w:vMerge w:val="restart"/>
            <w:tcBorders>
              <w:top w:val="double" w:color="auto" w:sz="4" w:space="0"/>
              <w:left w:val="single" w:color="auto" w:sz="6" w:space="0"/>
              <w:right w:val="single" w:color="auto" w:sz="6" w:space="0"/>
            </w:tcBorders>
            <w:shd w:val="clear" w:color="auto" w:fill="FFFFFF"/>
            <w:tcMar>
              <w:left w:w="57" w:type="dxa"/>
              <w:right w:w="57" w:type="dxa"/>
            </w:tcMar>
          </w:tcPr>
          <w:p w14:paraId="01FB1671">
            <w:pPr>
              <w:autoSpaceDE/>
              <w:autoSpaceDN/>
              <w:snapToGrid w:val="0"/>
              <w:jc w:val="both"/>
              <w:rPr>
                <w:rFonts w:eastAsia="宋体"/>
                <w:sz w:val="21"/>
                <w:szCs w:val="21"/>
                <w:highlight w:val="yellow"/>
              </w:rPr>
            </w:pPr>
            <w:r>
              <w:rPr>
                <w:rFonts w:eastAsia="宋体"/>
                <w:b/>
                <w:bCs/>
                <w:color w:val="000000"/>
                <w:sz w:val="21"/>
                <w:szCs w:val="21"/>
              </w:rPr>
              <w:t>试验样品/对照品部位</w:t>
            </w:r>
          </w:p>
        </w:tc>
        <w:tc>
          <w:tcPr>
            <w:tcW w:w="1482" w:type="dxa"/>
            <w:gridSpan w:val="2"/>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7008966E">
            <w:pPr>
              <w:autoSpaceDE/>
              <w:autoSpaceDN/>
              <w:snapToGrid w:val="0"/>
              <w:jc w:val="both"/>
              <w:rPr>
                <w:rFonts w:eastAsia="宋体"/>
                <w:sz w:val="21"/>
                <w:szCs w:val="21"/>
              </w:rPr>
            </w:pPr>
            <w:r>
              <w:rPr>
                <w:rFonts w:eastAsia="宋体"/>
                <w:b/>
                <w:bCs/>
                <w:color w:val="000000"/>
                <w:sz w:val="21"/>
                <w:szCs w:val="21"/>
              </w:rPr>
              <w:t>评分1小时时</w:t>
            </w:r>
          </w:p>
        </w:tc>
        <w:tc>
          <w:tcPr>
            <w:tcW w:w="1487" w:type="dxa"/>
            <w:gridSpan w:val="2"/>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5C34087D">
            <w:pPr>
              <w:autoSpaceDE/>
              <w:autoSpaceDN/>
              <w:snapToGrid w:val="0"/>
              <w:jc w:val="both"/>
              <w:rPr>
                <w:rFonts w:eastAsia="宋体"/>
                <w:sz w:val="21"/>
                <w:szCs w:val="21"/>
              </w:rPr>
            </w:pPr>
            <w:r>
              <w:rPr>
                <w:rFonts w:eastAsia="宋体"/>
                <w:b/>
                <w:bCs/>
                <w:color w:val="000000"/>
                <w:sz w:val="21"/>
                <w:szCs w:val="21"/>
              </w:rPr>
              <w:t>评分24小时时</w:t>
            </w:r>
          </w:p>
        </w:tc>
        <w:tc>
          <w:tcPr>
            <w:tcW w:w="1487" w:type="dxa"/>
            <w:gridSpan w:val="2"/>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554035F7">
            <w:pPr>
              <w:autoSpaceDE/>
              <w:autoSpaceDN/>
              <w:snapToGrid w:val="0"/>
              <w:jc w:val="both"/>
              <w:rPr>
                <w:rFonts w:eastAsia="宋体"/>
                <w:sz w:val="21"/>
                <w:szCs w:val="21"/>
              </w:rPr>
            </w:pPr>
            <w:r>
              <w:rPr>
                <w:rFonts w:eastAsia="宋体"/>
                <w:b/>
                <w:bCs/>
                <w:color w:val="000000"/>
                <w:sz w:val="21"/>
                <w:szCs w:val="21"/>
              </w:rPr>
              <w:t>评分48小时时</w:t>
            </w:r>
          </w:p>
        </w:tc>
        <w:tc>
          <w:tcPr>
            <w:tcW w:w="1473" w:type="dxa"/>
            <w:gridSpan w:val="2"/>
            <w:tcBorders>
              <w:top w:val="double" w:color="auto" w:sz="4" w:space="0"/>
              <w:left w:val="single" w:color="auto" w:sz="6" w:space="0"/>
              <w:bottom w:val="single" w:color="auto" w:sz="6" w:space="0"/>
              <w:right w:val="double" w:color="auto" w:sz="4" w:space="0"/>
            </w:tcBorders>
            <w:shd w:val="clear" w:color="auto" w:fill="FFFFFF"/>
            <w:tcMar>
              <w:left w:w="57" w:type="dxa"/>
              <w:right w:w="57" w:type="dxa"/>
            </w:tcMar>
          </w:tcPr>
          <w:p w14:paraId="7453628E">
            <w:pPr>
              <w:autoSpaceDE/>
              <w:autoSpaceDN/>
              <w:snapToGrid w:val="0"/>
              <w:jc w:val="both"/>
              <w:rPr>
                <w:rFonts w:eastAsia="宋体"/>
                <w:sz w:val="21"/>
                <w:szCs w:val="21"/>
              </w:rPr>
            </w:pPr>
            <w:r>
              <w:rPr>
                <w:rFonts w:eastAsia="宋体"/>
                <w:b/>
                <w:bCs/>
                <w:color w:val="000000"/>
                <w:sz w:val="21"/>
                <w:szCs w:val="21"/>
              </w:rPr>
              <w:t>评分72小时时</w:t>
            </w:r>
          </w:p>
        </w:tc>
      </w:tr>
      <w:tr w14:paraId="159C000E">
        <w:tblPrEx>
          <w:tblCellMar>
            <w:top w:w="0" w:type="dxa"/>
            <w:left w:w="57" w:type="dxa"/>
            <w:bottom w:w="0" w:type="dxa"/>
            <w:right w:w="57" w:type="dxa"/>
          </w:tblCellMar>
        </w:tblPrEx>
        <w:trPr>
          <w:trHeight w:val="20" w:hRule="atLeast"/>
        </w:trPr>
        <w:tc>
          <w:tcPr>
            <w:tcW w:w="1126" w:type="dxa"/>
            <w:vMerge w:val="continue"/>
            <w:tcBorders>
              <w:left w:val="double" w:color="auto" w:sz="4" w:space="0"/>
              <w:bottom w:val="single" w:color="auto" w:sz="6" w:space="0"/>
              <w:right w:val="single" w:color="auto" w:sz="6" w:space="0"/>
            </w:tcBorders>
            <w:shd w:val="clear" w:color="auto" w:fill="FFFFFF"/>
            <w:tcMar>
              <w:left w:w="57" w:type="dxa"/>
              <w:right w:w="57" w:type="dxa"/>
            </w:tcMar>
          </w:tcPr>
          <w:p w14:paraId="4941E7B4">
            <w:pPr>
              <w:autoSpaceDE/>
              <w:autoSpaceDN/>
              <w:snapToGrid w:val="0"/>
              <w:jc w:val="both"/>
              <w:rPr>
                <w:rFonts w:eastAsia="宋体"/>
                <w:sz w:val="21"/>
                <w:szCs w:val="21"/>
              </w:rPr>
            </w:pPr>
          </w:p>
        </w:tc>
        <w:tc>
          <w:tcPr>
            <w:tcW w:w="2001"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541ECE22">
            <w:pPr>
              <w:autoSpaceDE/>
              <w:autoSpaceDN/>
              <w:snapToGrid w:val="0"/>
              <w:jc w:val="both"/>
              <w:rPr>
                <w:rFonts w:eastAsia="宋体"/>
                <w:sz w:val="21"/>
                <w:szCs w:val="21"/>
              </w:rPr>
            </w:pP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AEC563">
            <w:pPr>
              <w:autoSpaceDE/>
              <w:autoSpaceDN/>
              <w:snapToGrid w:val="0"/>
              <w:jc w:val="both"/>
              <w:rPr>
                <w:rFonts w:eastAsia="宋体"/>
                <w:sz w:val="21"/>
                <w:szCs w:val="21"/>
              </w:rPr>
            </w:pPr>
            <w:r>
              <w:rPr>
                <w:rFonts w:eastAsia="宋体"/>
                <w:b/>
                <w:bCs/>
                <w:color w:val="000000"/>
                <w:sz w:val="21"/>
                <w:szCs w:val="21"/>
              </w:rPr>
              <w:t>ER</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F210E7">
            <w:pPr>
              <w:autoSpaceDE/>
              <w:autoSpaceDN/>
              <w:snapToGrid w:val="0"/>
              <w:jc w:val="both"/>
              <w:rPr>
                <w:rFonts w:eastAsia="宋体"/>
                <w:sz w:val="21"/>
                <w:szCs w:val="21"/>
              </w:rPr>
            </w:pPr>
            <w:r>
              <w:rPr>
                <w:rFonts w:eastAsia="宋体"/>
                <w:b/>
                <w:bCs/>
                <w:color w:val="000000"/>
                <w:sz w:val="21"/>
                <w:szCs w:val="21"/>
              </w:rPr>
              <w:t>ED</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2458AE">
            <w:pPr>
              <w:autoSpaceDE/>
              <w:autoSpaceDN/>
              <w:snapToGrid w:val="0"/>
              <w:jc w:val="both"/>
              <w:rPr>
                <w:rFonts w:eastAsia="宋体"/>
                <w:sz w:val="21"/>
                <w:szCs w:val="21"/>
              </w:rPr>
            </w:pPr>
            <w:r>
              <w:rPr>
                <w:rFonts w:eastAsia="宋体"/>
                <w:b/>
                <w:bCs/>
                <w:color w:val="000000"/>
                <w:sz w:val="21"/>
                <w:szCs w:val="21"/>
              </w:rPr>
              <w:t>ER</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6C32C0">
            <w:pPr>
              <w:autoSpaceDE/>
              <w:autoSpaceDN/>
              <w:snapToGrid w:val="0"/>
              <w:jc w:val="both"/>
              <w:rPr>
                <w:rFonts w:eastAsia="宋体"/>
                <w:sz w:val="21"/>
                <w:szCs w:val="21"/>
              </w:rPr>
            </w:pPr>
            <w:r>
              <w:rPr>
                <w:rFonts w:eastAsia="宋体"/>
                <w:b/>
                <w:bCs/>
                <w:color w:val="000000"/>
                <w:sz w:val="21"/>
                <w:szCs w:val="21"/>
              </w:rPr>
              <w:t>ED</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B6630E">
            <w:pPr>
              <w:autoSpaceDE/>
              <w:autoSpaceDN/>
              <w:snapToGrid w:val="0"/>
              <w:jc w:val="both"/>
              <w:rPr>
                <w:rFonts w:eastAsia="宋体"/>
                <w:sz w:val="21"/>
                <w:szCs w:val="21"/>
              </w:rPr>
            </w:pPr>
            <w:r>
              <w:rPr>
                <w:rFonts w:eastAsia="宋体"/>
                <w:b/>
                <w:bCs/>
                <w:color w:val="000000"/>
                <w:sz w:val="21"/>
                <w:szCs w:val="21"/>
              </w:rPr>
              <w:t>ER</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BB3C15">
            <w:pPr>
              <w:autoSpaceDE/>
              <w:autoSpaceDN/>
              <w:snapToGrid w:val="0"/>
              <w:jc w:val="both"/>
              <w:rPr>
                <w:rFonts w:eastAsia="宋体"/>
                <w:sz w:val="21"/>
                <w:szCs w:val="21"/>
              </w:rPr>
            </w:pPr>
            <w:r>
              <w:rPr>
                <w:rFonts w:eastAsia="宋体"/>
                <w:b/>
                <w:bCs/>
                <w:color w:val="000000"/>
                <w:sz w:val="21"/>
                <w:szCs w:val="21"/>
              </w:rPr>
              <w:t>ED</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4317CD">
            <w:pPr>
              <w:autoSpaceDE/>
              <w:autoSpaceDN/>
              <w:snapToGrid w:val="0"/>
              <w:jc w:val="both"/>
              <w:rPr>
                <w:rFonts w:eastAsia="宋体"/>
                <w:sz w:val="21"/>
                <w:szCs w:val="21"/>
              </w:rPr>
            </w:pPr>
            <w:r>
              <w:rPr>
                <w:rFonts w:eastAsia="宋体"/>
                <w:b/>
                <w:bCs/>
                <w:color w:val="000000"/>
                <w:sz w:val="21"/>
                <w:szCs w:val="21"/>
              </w:rPr>
              <w:t>ER</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1150153C">
            <w:pPr>
              <w:autoSpaceDE/>
              <w:autoSpaceDN/>
              <w:snapToGrid w:val="0"/>
              <w:jc w:val="both"/>
              <w:rPr>
                <w:rFonts w:eastAsia="宋体"/>
                <w:sz w:val="21"/>
                <w:szCs w:val="21"/>
              </w:rPr>
            </w:pPr>
            <w:r>
              <w:rPr>
                <w:rFonts w:eastAsia="宋体"/>
                <w:b/>
                <w:bCs/>
                <w:color w:val="000000"/>
                <w:sz w:val="21"/>
                <w:szCs w:val="21"/>
              </w:rPr>
              <w:t>ED</w:t>
            </w:r>
          </w:p>
        </w:tc>
      </w:tr>
      <w:tr w14:paraId="3BD53466">
        <w:tblPrEx>
          <w:tblCellMar>
            <w:top w:w="0" w:type="dxa"/>
            <w:left w:w="57" w:type="dxa"/>
            <w:bottom w:w="0" w:type="dxa"/>
            <w:right w:w="57" w:type="dxa"/>
          </w:tblCellMar>
        </w:tblPrEx>
        <w:trPr>
          <w:trHeight w:val="20" w:hRule="atLeast"/>
        </w:trPr>
        <w:tc>
          <w:tcPr>
            <w:tcW w:w="1126" w:type="dxa"/>
            <w:tcBorders>
              <w:top w:val="single" w:color="auto" w:sz="6" w:space="0"/>
              <w:left w:val="double" w:color="auto" w:sz="4" w:space="0"/>
              <w:bottom w:val="nil"/>
              <w:right w:val="single" w:color="auto" w:sz="6" w:space="0"/>
            </w:tcBorders>
            <w:shd w:val="clear" w:color="auto" w:fill="FFFFFF"/>
            <w:tcMar>
              <w:left w:w="57" w:type="dxa"/>
              <w:right w:w="57" w:type="dxa"/>
            </w:tcMar>
          </w:tcPr>
          <w:p w14:paraId="50FC3787">
            <w:pPr>
              <w:autoSpaceDE/>
              <w:autoSpaceDN/>
              <w:snapToGrid w:val="0"/>
              <w:jc w:val="center"/>
              <w:rPr>
                <w:rFonts w:eastAsia="宋体"/>
                <w:sz w:val="21"/>
                <w:szCs w:val="21"/>
              </w:rPr>
            </w:pPr>
            <w:r>
              <w:rPr>
                <w:rFonts w:eastAsia="宋体"/>
                <w:b/>
                <w:bCs/>
                <w:color w:val="000000"/>
                <w:sz w:val="21"/>
                <w:szCs w:val="21"/>
              </w:rPr>
              <w:t>1</w:t>
            </w: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BC6786">
            <w:pPr>
              <w:autoSpaceDE/>
              <w:autoSpaceDN/>
              <w:snapToGrid w:val="0"/>
              <w:jc w:val="both"/>
              <w:rPr>
                <w:rFonts w:eastAsia="宋体"/>
                <w:sz w:val="21"/>
                <w:szCs w:val="21"/>
              </w:rPr>
            </w:pPr>
            <w:r>
              <w:rPr>
                <w:rFonts w:eastAsia="宋体"/>
                <w:b/>
                <w:bCs/>
                <w:color w:val="000000"/>
                <w:sz w:val="21"/>
                <w:szCs w:val="21"/>
              </w:rPr>
              <w:t>试验样品部位-1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EB43BE">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AA4453">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1F424D">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08D2BE">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D05742">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C69A8C">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942AAA">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0CC6B8D7">
            <w:pPr>
              <w:autoSpaceDE/>
              <w:autoSpaceDN/>
              <w:snapToGrid w:val="0"/>
              <w:jc w:val="both"/>
              <w:rPr>
                <w:rFonts w:eastAsia="宋体"/>
                <w:sz w:val="21"/>
                <w:szCs w:val="21"/>
              </w:rPr>
            </w:pPr>
            <w:r>
              <w:rPr>
                <w:rFonts w:eastAsia="宋体"/>
                <w:color w:val="000000"/>
                <w:sz w:val="21"/>
                <w:szCs w:val="21"/>
              </w:rPr>
              <w:t>0</w:t>
            </w:r>
          </w:p>
        </w:tc>
      </w:tr>
      <w:tr w14:paraId="5A456DF2">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14:paraId="79C16AE0">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5AEFE4">
            <w:pPr>
              <w:autoSpaceDE/>
              <w:autoSpaceDN/>
              <w:snapToGrid w:val="0"/>
              <w:jc w:val="both"/>
              <w:rPr>
                <w:rFonts w:eastAsia="宋体"/>
                <w:sz w:val="21"/>
                <w:szCs w:val="21"/>
              </w:rPr>
            </w:pPr>
            <w:r>
              <w:rPr>
                <w:rFonts w:eastAsia="宋体"/>
                <w:b/>
                <w:bCs/>
                <w:color w:val="000000"/>
                <w:sz w:val="21"/>
                <w:szCs w:val="21"/>
              </w:rPr>
              <w:t>试验样品部位-2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9CD6D8">
            <w:pPr>
              <w:autoSpaceDE/>
              <w:autoSpaceDN/>
              <w:snapToGrid w:val="0"/>
              <w:jc w:val="both"/>
              <w:rPr>
                <w:rFonts w:eastAsia="宋体"/>
                <w:sz w:val="21"/>
                <w:szCs w:val="21"/>
              </w:rPr>
            </w:pPr>
            <w:r>
              <w:rPr>
                <w:rFonts w:eastAsia="宋体"/>
                <w:color w:val="000000"/>
                <w:sz w:val="21"/>
                <w:szCs w:val="21"/>
              </w:rPr>
              <w:t>1</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3330E4">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569C60">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95FB27">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21E5A5">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C8CF5B">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976846">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5BE8B048">
            <w:pPr>
              <w:autoSpaceDE/>
              <w:autoSpaceDN/>
              <w:snapToGrid w:val="0"/>
              <w:jc w:val="both"/>
              <w:rPr>
                <w:rFonts w:eastAsia="宋体"/>
                <w:sz w:val="21"/>
                <w:szCs w:val="21"/>
              </w:rPr>
            </w:pPr>
            <w:r>
              <w:rPr>
                <w:rFonts w:eastAsia="宋体"/>
                <w:color w:val="000000"/>
                <w:sz w:val="21"/>
                <w:szCs w:val="21"/>
              </w:rPr>
              <w:t>0</w:t>
            </w:r>
          </w:p>
        </w:tc>
      </w:tr>
      <w:tr w14:paraId="17FF3D49">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14:paraId="0A3377B7">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0A9A8E">
            <w:pPr>
              <w:autoSpaceDE/>
              <w:autoSpaceDN/>
              <w:snapToGrid w:val="0"/>
              <w:jc w:val="both"/>
              <w:rPr>
                <w:rFonts w:eastAsia="宋体"/>
                <w:sz w:val="21"/>
                <w:szCs w:val="21"/>
              </w:rPr>
            </w:pPr>
            <w:r>
              <w:rPr>
                <w:rFonts w:eastAsia="宋体"/>
                <w:b/>
                <w:bCs/>
                <w:color w:val="000000"/>
                <w:sz w:val="21"/>
                <w:szCs w:val="21"/>
              </w:rPr>
              <w:t>对照品部位-1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018D44">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2C561D">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67B65C">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CB3DD8">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E0F652">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7BF626">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3D4AC1">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7EFF23FF">
            <w:pPr>
              <w:autoSpaceDE/>
              <w:autoSpaceDN/>
              <w:snapToGrid w:val="0"/>
              <w:jc w:val="both"/>
              <w:rPr>
                <w:rFonts w:eastAsia="宋体"/>
                <w:sz w:val="21"/>
                <w:szCs w:val="21"/>
              </w:rPr>
            </w:pPr>
            <w:r>
              <w:rPr>
                <w:rFonts w:eastAsia="宋体"/>
                <w:color w:val="000000"/>
                <w:sz w:val="21"/>
                <w:szCs w:val="21"/>
              </w:rPr>
              <w:t>0</w:t>
            </w:r>
          </w:p>
        </w:tc>
      </w:tr>
      <w:tr w14:paraId="41E2C435">
        <w:tblPrEx>
          <w:tblCellMar>
            <w:top w:w="0" w:type="dxa"/>
            <w:left w:w="57" w:type="dxa"/>
            <w:bottom w:w="0" w:type="dxa"/>
            <w:right w:w="57" w:type="dxa"/>
          </w:tblCellMar>
        </w:tblPrEx>
        <w:trPr>
          <w:trHeight w:val="20" w:hRule="atLeast"/>
        </w:trPr>
        <w:tc>
          <w:tcPr>
            <w:tcW w:w="1126" w:type="dxa"/>
            <w:tcBorders>
              <w:top w:val="nil"/>
              <w:left w:val="double" w:color="auto" w:sz="4" w:space="0"/>
              <w:bottom w:val="single" w:color="auto" w:sz="6" w:space="0"/>
              <w:right w:val="single" w:color="auto" w:sz="6" w:space="0"/>
            </w:tcBorders>
            <w:shd w:val="clear" w:color="auto" w:fill="FFFFFF"/>
            <w:tcMar>
              <w:left w:w="57" w:type="dxa"/>
              <w:right w:w="57" w:type="dxa"/>
            </w:tcMar>
          </w:tcPr>
          <w:p w14:paraId="17CAB5D9">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2C7555">
            <w:pPr>
              <w:autoSpaceDE/>
              <w:autoSpaceDN/>
              <w:snapToGrid w:val="0"/>
              <w:jc w:val="both"/>
              <w:rPr>
                <w:rFonts w:eastAsia="宋体"/>
                <w:sz w:val="21"/>
                <w:szCs w:val="21"/>
              </w:rPr>
            </w:pPr>
            <w:r>
              <w:rPr>
                <w:rFonts w:eastAsia="宋体"/>
                <w:b/>
                <w:bCs/>
                <w:color w:val="000000"/>
                <w:sz w:val="21"/>
                <w:szCs w:val="21"/>
              </w:rPr>
              <w:t>对照品地点-2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1CBEF0">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8767FB">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C6B952">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9D95BC">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95C025">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080590">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3C571C">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7CA00B0B">
            <w:pPr>
              <w:autoSpaceDE/>
              <w:autoSpaceDN/>
              <w:snapToGrid w:val="0"/>
              <w:jc w:val="both"/>
              <w:rPr>
                <w:rFonts w:eastAsia="宋体"/>
                <w:sz w:val="21"/>
                <w:szCs w:val="21"/>
              </w:rPr>
            </w:pPr>
            <w:r>
              <w:rPr>
                <w:rFonts w:eastAsia="宋体"/>
                <w:color w:val="000000"/>
                <w:sz w:val="21"/>
                <w:szCs w:val="21"/>
              </w:rPr>
              <w:t>0</w:t>
            </w:r>
          </w:p>
        </w:tc>
      </w:tr>
      <w:tr w14:paraId="4183D0DD">
        <w:tblPrEx>
          <w:tblCellMar>
            <w:top w:w="0" w:type="dxa"/>
            <w:left w:w="57" w:type="dxa"/>
            <w:bottom w:w="0" w:type="dxa"/>
            <w:right w:w="57" w:type="dxa"/>
          </w:tblCellMar>
        </w:tblPrEx>
        <w:trPr>
          <w:trHeight w:val="20" w:hRule="atLeast"/>
        </w:trPr>
        <w:tc>
          <w:tcPr>
            <w:tcW w:w="1126" w:type="dxa"/>
            <w:tcBorders>
              <w:top w:val="single" w:color="auto" w:sz="6" w:space="0"/>
              <w:left w:val="double" w:color="auto" w:sz="4" w:space="0"/>
              <w:bottom w:val="nil"/>
              <w:right w:val="single" w:color="auto" w:sz="6" w:space="0"/>
            </w:tcBorders>
            <w:shd w:val="clear" w:color="auto" w:fill="FFFFFF"/>
            <w:tcMar>
              <w:left w:w="57" w:type="dxa"/>
              <w:right w:w="57" w:type="dxa"/>
            </w:tcMar>
          </w:tcPr>
          <w:p w14:paraId="56DFCF2B">
            <w:pPr>
              <w:autoSpaceDE/>
              <w:autoSpaceDN/>
              <w:snapToGrid w:val="0"/>
              <w:jc w:val="center"/>
              <w:rPr>
                <w:rFonts w:eastAsia="宋体"/>
                <w:sz w:val="21"/>
                <w:szCs w:val="21"/>
              </w:rPr>
            </w:pPr>
            <w:r>
              <w:rPr>
                <w:rFonts w:eastAsia="宋体"/>
                <w:b/>
                <w:bCs/>
                <w:color w:val="000000"/>
                <w:sz w:val="21"/>
                <w:szCs w:val="21"/>
              </w:rPr>
              <w:t>2</w:t>
            </w: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786440">
            <w:pPr>
              <w:autoSpaceDE/>
              <w:autoSpaceDN/>
              <w:snapToGrid w:val="0"/>
              <w:jc w:val="both"/>
              <w:rPr>
                <w:rFonts w:eastAsia="宋体"/>
                <w:sz w:val="21"/>
                <w:szCs w:val="21"/>
              </w:rPr>
            </w:pPr>
            <w:r>
              <w:rPr>
                <w:rFonts w:eastAsia="宋体"/>
                <w:b/>
                <w:bCs/>
                <w:color w:val="000000"/>
                <w:sz w:val="21"/>
                <w:szCs w:val="21"/>
              </w:rPr>
              <w:t>试验样品部位-1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3F6337">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EE9948">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3DD841">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3030D1">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227155">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041A94">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4605F4">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6D3EEA5D">
            <w:pPr>
              <w:autoSpaceDE/>
              <w:autoSpaceDN/>
              <w:snapToGrid w:val="0"/>
              <w:jc w:val="both"/>
              <w:rPr>
                <w:rFonts w:eastAsia="宋体"/>
                <w:sz w:val="21"/>
                <w:szCs w:val="21"/>
              </w:rPr>
            </w:pPr>
            <w:r>
              <w:rPr>
                <w:rFonts w:eastAsia="宋体"/>
                <w:color w:val="000000"/>
                <w:sz w:val="21"/>
                <w:szCs w:val="21"/>
              </w:rPr>
              <w:t>0</w:t>
            </w:r>
          </w:p>
        </w:tc>
      </w:tr>
      <w:tr w14:paraId="69C52A93">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14:paraId="29B02296">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F40DB2">
            <w:pPr>
              <w:autoSpaceDE/>
              <w:autoSpaceDN/>
              <w:snapToGrid w:val="0"/>
              <w:jc w:val="both"/>
              <w:rPr>
                <w:rFonts w:eastAsia="宋体"/>
                <w:sz w:val="21"/>
                <w:szCs w:val="21"/>
              </w:rPr>
            </w:pPr>
            <w:r>
              <w:rPr>
                <w:rFonts w:eastAsia="宋体"/>
                <w:b/>
                <w:bCs/>
                <w:color w:val="000000"/>
                <w:sz w:val="21"/>
                <w:szCs w:val="21"/>
              </w:rPr>
              <w:t>试验样品部位-2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E535D7">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1AA10B">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A36569">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8C26BB">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EE8311">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C1A6E1">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7EF841">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38FCCA1C">
            <w:pPr>
              <w:autoSpaceDE/>
              <w:autoSpaceDN/>
              <w:snapToGrid w:val="0"/>
              <w:jc w:val="both"/>
              <w:rPr>
                <w:rFonts w:eastAsia="宋体"/>
                <w:sz w:val="21"/>
                <w:szCs w:val="21"/>
              </w:rPr>
            </w:pPr>
            <w:r>
              <w:rPr>
                <w:rFonts w:eastAsia="宋体"/>
                <w:color w:val="000000"/>
                <w:sz w:val="21"/>
                <w:szCs w:val="21"/>
              </w:rPr>
              <w:t>0</w:t>
            </w:r>
          </w:p>
        </w:tc>
      </w:tr>
      <w:tr w14:paraId="155EDDB5">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14:paraId="72C8FF48">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1F8E79">
            <w:pPr>
              <w:autoSpaceDE/>
              <w:autoSpaceDN/>
              <w:snapToGrid w:val="0"/>
              <w:jc w:val="both"/>
              <w:rPr>
                <w:rFonts w:eastAsia="宋体"/>
                <w:sz w:val="21"/>
                <w:szCs w:val="21"/>
              </w:rPr>
            </w:pPr>
            <w:r>
              <w:rPr>
                <w:rFonts w:eastAsia="宋体"/>
                <w:b/>
                <w:bCs/>
                <w:color w:val="000000"/>
                <w:sz w:val="21"/>
                <w:szCs w:val="21"/>
              </w:rPr>
              <w:t>对照品部位-1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A1957A">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76D9B3">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AE42F1">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AA23B9">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FC55DD">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47CED0">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8435BA">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416E8DC5">
            <w:pPr>
              <w:autoSpaceDE/>
              <w:autoSpaceDN/>
              <w:snapToGrid w:val="0"/>
              <w:jc w:val="both"/>
              <w:rPr>
                <w:rFonts w:eastAsia="宋体"/>
                <w:sz w:val="21"/>
                <w:szCs w:val="21"/>
              </w:rPr>
            </w:pPr>
            <w:r>
              <w:rPr>
                <w:rFonts w:eastAsia="宋体"/>
                <w:color w:val="000000"/>
                <w:sz w:val="21"/>
                <w:szCs w:val="21"/>
              </w:rPr>
              <w:t>0</w:t>
            </w:r>
          </w:p>
        </w:tc>
      </w:tr>
      <w:tr w14:paraId="7143C4D8">
        <w:tblPrEx>
          <w:tblCellMar>
            <w:top w:w="0" w:type="dxa"/>
            <w:left w:w="57" w:type="dxa"/>
            <w:bottom w:w="0" w:type="dxa"/>
            <w:right w:w="57" w:type="dxa"/>
          </w:tblCellMar>
        </w:tblPrEx>
        <w:trPr>
          <w:trHeight w:val="20" w:hRule="atLeast"/>
        </w:trPr>
        <w:tc>
          <w:tcPr>
            <w:tcW w:w="1126" w:type="dxa"/>
            <w:tcBorders>
              <w:top w:val="nil"/>
              <w:left w:val="double" w:color="auto" w:sz="4" w:space="0"/>
              <w:bottom w:val="single" w:color="auto" w:sz="6" w:space="0"/>
              <w:right w:val="single" w:color="auto" w:sz="6" w:space="0"/>
            </w:tcBorders>
            <w:shd w:val="clear" w:color="auto" w:fill="FFFFFF"/>
            <w:tcMar>
              <w:left w:w="57" w:type="dxa"/>
              <w:right w:w="57" w:type="dxa"/>
            </w:tcMar>
          </w:tcPr>
          <w:p w14:paraId="38EA0655">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847764">
            <w:pPr>
              <w:autoSpaceDE/>
              <w:autoSpaceDN/>
              <w:snapToGrid w:val="0"/>
              <w:jc w:val="both"/>
              <w:rPr>
                <w:rFonts w:eastAsia="宋体"/>
                <w:sz w:val="21"/>
                <w:szCs w:val="21"/>
              </w:rPr>
            </w:pPr>
            <w:r>
              <w:rPr>
                <w:rFonts w:eastAsia="宋体"/>
                <w:b/>
                <w:bCs/>
                <w:color w:val="000000"/>
                <w:sz w:val="21"/>
                <w:szCs w:val="21"/>
              </w:rPr>
              <w:t>对照品部位-2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B6D812">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4EC931">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D2B5BF">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4BD3E7">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E2311E">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7F4F9B">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D666CE">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47236385">
            <w:pPr>
              <w:autoSpaceDE/>
              <w:autoSpaceDN/>
              <w:snapToGrid w:val="0"/>
              <w:jc w:val="both"/>
              <w:rPr>
                <w:rFonts w:eastAsia="宋体"/>
                <w:sz w:val="21"/>
                <w:szCs w:val="21"/>
              </w:rPr>
            </w:pPr>
            <w:r>
              <w:rPr>
                <w:rFonts w:eastAsia="宋体"/>
                <w:color w:val="000000"/>
                <w:sz w:val="21"/>
                <w:szCs w:val="21"/>
              </w:rPr>
              <w:t>0</w:t>
            </w:r>
          </w:p>
        </w:tc>
      </w:tr>
      <w:tr w14:paraId="40923411">
        <w:tblPrEx>
          <w:tblCellMar>
            <w:top w:w="0" w:type="dxa"/>
            <w:left w:w="57" w:type="dxa"/>
            <w:bottom w:w="0" w:type="dxa"/>
            <w:right w:w="57" w:type="dxa"/>
          </w:tblCellMar>
        </w:tblPrEx>
        <w:trPr>
          <w:trHeight w:val="20" w:hRule="atLeast"/>
        </w:trPr>
        <w:tc>
          <w:tcPr>
            <w:tcW w:w="1126" w:type="dxa"/>
            <w:tcBorders>
              <w:top w:val="single" w:color="auto" w:sz="6" w:space="0"/>
              <w:left w:val="double" w:color="auto" w:sz="4" w:space="0"/>
              <w:bottom w:val="nil"/>
              <w:right w:val="single" w:color="auto" w:sz="6" w:space="0"/>
            </w:tcBorders>
            <w:shd w:val="clear" w:color="auto" w:fill="FFFFFF"/>
            <w:tcMar>
              <w:left w:w="57" w:type="dxa"/>
              <w:right w:w="57" w:type="dxa"/>
            </w:tcMar>
          </w:tcPr>
          <w:p w14:paraId="187F389C">
            <w:pPr>
              <w:autoSpaceDE/>
              <w:autoSpaceDN/>
              <w:snapToGrid w:val="0"/>
              <w:jc w:val="center"/>
              <w:rPr>
                <w:rFonts w:eastAsia="宋体"/>
                <w:sz w:val="21"/>
                <w:szCs w:val="21"/>
              </w:rPr>
            </w:pPr>
            <w:r>
              <w:rPr>
                <w:rFonts w:eastAsia="宋体"/>
                <w:b/>
                <w:bCs/>
                <w:color w:val="000000"/>
                <w:sz w:val="21"/>
                <w:szCs w:val="21"/>
              </w:rPr>
              <w:t>3</w:t>
            </w: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97C857">
            <w:pPr>
              <w:autoSpaceDE/>
              <w:autoSpaceDN/>
              <w:snapToGrid w:val="0"/>
              <w:jc w:val="both"/>
              <w:rPr>
                <w:rFonts w:eastAsia="宋体"/>
                <w:sz w:val="21"/>
                <w:szCs w:val="21"/>
              </w:rPr>
            </w:pPr>
            <w:r>
              <w:rPr>
                <w:rFonts w:eastAsia="宋体"/>
                <w:b/>
                <w:bCs/>
                <w:color w:val="000000"/>
                <w:sz w:val="21"/>
                <w:szCs w:val="21"/>
              </w:rPr>
              <w:t>试验样品部位-1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3FCF8C">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1F3E78">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DA3DA5">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0BF52E">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DF0850">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CAC0FA">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070755">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6D3317E8">
            <w:pPr>
              <w:autoSpaceDE/>
              <w:autoSpaceDN/>
              <w:snapToGrid w:val="0"/>
              <w:jc w:val="both"/>
              <w:rPr>
                <w:rFonts w:eastAsia="宋体"/>
                <w:sz w:val="21"/>
                <w:szCs w:val="21"/>
              </w:rPr>
            </w:pPr>
            <w:r>
              <w:rPr>
                <w:rFonts w:eastAsia="宋体"/>
                <w:color w:val="000000"/>
                <w:sz w:val="21"/>
                <w:szCs w:val="21"/>
              </w:rPr>
              <w:t>0</w:t>
            </w:r>
          </w:p>
        </w:tc>
      </w:tr>
      <w:tr w14:paraId="11E9F3E3">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14:paraId="59DF3A98">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80AB70">
            <w:pPr>
              <w:autoSpaceDE/>
              <w:autoSpaceDN/>
              <w:snapToGrid w:val="0"/>
              <w:jc w:val="both"/>
              <w:rPr>
                <w:rFonts w:eastAsia="宋体"/>
                <w:sz w:val="21"/>
                <w:szCs w:val="21"/>
              </w:rPr>
            </w:pPr>
            <w:r>
              <w:rPr>
                <w:rFonts w:eastAsia="宋体"/>
                <w:b/>
                <w:bCs/>
                <w:color w:val="000000"/>
                <w:sz w:val="21"/>
                <w:szCs w:val="21"/>
              </w:rPr>
              <w:t>试验样品部位-2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FE29B4">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3BEF6D">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C8459C">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0F2C9E">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98274D">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17EEA7">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52482C">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4EF0EA5E">
            <w:pPr>
              <w:autoSpaceDE/>
              <w:autoSpaceDN/>
              <w:snapToGrid w:val="0"/>
              <w:jc w:val="both"/>
              <w:rPr>
                <w:rFonts w:eastAsia="宋体"/>
                <w:sz w:val="21"/>
                <w:szCs w:val="21"/>
              </w:rPr>
            </w:pPr>
            <w:r>
              <w:rPr>
                <w:rFonts w:eastAsia="宋体"/>
                <w:color w:val="000000"/>
                <w:sz w:val="21"/>
                <w:szCs w:val="21"/>
              </w:rPr>
              <w:t>0</w:t>
            </w:r>
          </w:p>
        </w:tc>
      </w:tr>
      <w:tr w14:paraId="2FE81CEC">
        <w:tblPrEx>
          <w:tblCellMar>
            <w:top w:w="0" w:type="dxa"/>
            <w:left w:w="57" w:type="dxa"/>
            <w:bottom w:w="0" w:type="dxa"/>
            <w:right w:w="57" w:type="dxa"/>
          </w:tblCellMar>
        </w:tblPrEx>
        <w:trPr>
          <w:trHeight w:val="20" w:hRule="atLeast"/>
        </w:trPr>
        <w:tc>
          <w:tcPr>
            <w:tcW w:w="1126" w:type="dxa"/>
            <w:tcBorders>
              <w:top w:val="nil"/>
              <w:left w:val="double" w:color="auto" w:sz="4" w:space="0"/>
              <w:bottom w:val="nil"/>
              <w:right w:val="single" w:color="auto" w:sz="6" w:space="0"/>
            </w:tcBorders>
            <w:shd w:val="clear" w:color="auto" w:fill="FFFFFF"/>
            <w:tcMar>
              <w:left w:w="57" w:type="dxa"/>
              <w:right w:w="57" w:type="dxa"/>
            </w:tcMar>
          </w:tcPr>
          <w:p w14:paraId="0C5EA42D">
            <w:pPr>
              <w:autoSpaceDE/>
              <w:autoSpaceDN/>
              <w:snapToGrid w:val="0"/>
              <w:jc w:val="center"/>
              <w:rPr>
                <w:rFonts w:eastAsia="宋体"/>
                <w:sz w:val="21"/>
                <w:szCs w:val="21"/>
              </w:rPr>
            </w:pPr>
          </w:p>
        </w:tc>
        <w:tc>
          <w:tcPr>
            <w:tcW w:w="20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424BF6">
            <w:pPr>
              <w:autoSpaceDE/>
              <w:autoSpaceDN/>
              <w:snapToGrid w:val="0"/>
              <w:jc w:val="both"/>
              <w:rPr>
                <w:rFonts w:eastAsia="宋体"/>
                <w:sz w:val="21"/>
                <w:szCs w:val="21"/>
              </w:rPr>
            </w:pPr>
            <w:r>
              <w:rPr>
                <w:rFonts w:eastAsia="宋体"/>
                <w:b/>
                <w:bCs/>
                <w:color w:val="000000"/>
                <w:sz w:val="21"/>
                <w:szCs w:val="21"/>
              </w:rPr>
              <w:t>对照品部位-1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346E08">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46A034">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7C7A41">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03602B">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EF6D0E">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CEBA0B">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A88EE3">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3846EFC2">
            <w:pPr>
              <w:autoSpaceDE/>
              <w:autoSpaceDN/>
              <w:snapToGrid w:val="0"/>
              <w:jc w:val="both"/>
              <w:rPr>
                <w:rFonts w:eastAsia="宋体"/>
                <w:sz w:val="21"/>
                <w:szCs w:val="21"/>
              </w:rPr>
            </w:pPr>
            <w:r>
              <w:rPr>
                <w:rFonts w:eastAsia="宋体"/>
                <w:color w:val="000000"/>
                <w:sz w:val="21"/>
                <w:szCs w:val="21"/>
              </w:rPr>
              <w:t>0</w:t>
            </w:r>
          </w:p>
        </w:tc>
      </w:tr>
      <w:tr w14:paraId="667983B5">
        <w:tblPrEx>
          <w:tblCellMar>
            <w:top w:w="0" w:type="dxa"/>
            <w:left w:w="57" w:type="dxa"/>
            <w:bottom w:w="0" w:type="dxa"/>
            <w:right w:w="57" w:type="dxa"/>
          </w:tblCellMar>
        </w:tblPrEx>
        <w:trPr>
          <w:trHeight w:val="20" w:hRule="atLeast"/>
        </w:trPr>
        <w:tc>
          <w:tcPr>
            <w:tcW w:w="1126" w:type="dxa"/>
            <w:tcBorders>
              <w:top w:val="nil"/>
              <w:left w:val="double" w:color="auto" w:sz="4" w:space="0"/>
              <w:bottom w:val="double" w:color="auto" w:sz="4" w:space="0"/>
              <w:right w:val="single" w:color="auto" w:sz="6" w:space="0"/>
            </w:tcBorders>
            <w:shd w:val="clear" w:color="auto" w:fill="FFFFFF"/>
            <w:tcMar>
              <w:left w:w="57" w:type="dxa"/>
              <w:right w:w="57" w:type="dxa"/>
            </w:tcMar>
          </w:tcPr>
          <w:p w14:paraId="54372BE1">
            <w:pPr>
              <w:autoSpaceDE/>
              <w:autoSpaceDN/>
              <w:snapToGrid w:val="0"/>
              <w:jc w:val="center"/>
              <w:rPr>
                <w:rFonts w:eastAsia="宋体"/>
                <w:sz w:val="21"/>
                <w:szCs w:val="21"/>
              </w:rPr>
            </w:pPr>
          </w:p>
        </w:tc>
        <w:tc>
          <w:tcPr>
            <w:tcW w:w="2001"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22DC4E19">
            <w:pPr>
              <w:autoSpaceDE/>
              <w:autoSpaceDN/>
              <w:snapToGrid w:val="0"/>
              <w:jc w:val="both"/>
              <w:rPr>
                <w:rFonts w:eastAsia="宋体"/>
                <w:sz w:val="21"/>
                <w:szCs w:val="21"/>
              </w:rPr>
            </w:pPr>
            <w:r>
              <w:rPr>
                <w:rFonts w:eastAsia="宋体"/>
                <w:b/>
                <w:bCs/>
                <w:color w:val="000000"/>
                <w:sz w:val="21"/>
                <w:szCs w:val="21"/>
              </w:rPr>
              <w:t>对照品部位-2</w:t>
            </w:r>
          </w:p>
        </w:tc>
        <w:tc>
          <w:tcPr>
            <w:tcW w:w="797"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11CB0C18">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649AA6C7">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0903587E">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6E2AC60A">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07C02C09">
            <w:pPr>
              <w:autoSpaceDE/>
              <w:autoSpaceDN/>
              <w:snapToGrid w:val="0"/>
              <w:jc w:val="both"/>
              <w:rPr>
                <w:rFonts w:eastAsia="宋体"/>
                <w:sz w:val="21"/>
                <w:szCs w:val="21"/>
              </w:rPr>
            </w:pPr>
            <w:r>
              <w:rPr>
                <w:rFonts w:eastAsia="宋体"/>
                <w:color w:val="000000"/>
                <w:sz w:val="21"/>
                <w:szCs w:val="21"/>
              </w:rPr>
              <w:t>0</w:t>
            </w:r>
          </w:p>
        </w:tc>
        <w:tc>
          <w:tcPr>
            <w:tcW w:w="68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268270C3">
            <w:pPr>
              <w:autoSpaceDE/>
              <w:autoSpaceDN/>
              <w:snapToGrid w:val="0"/>
              <w:jc w:val="both"/>
              <w:rPr>
                <w:rFonts w:eastAsia="宋体"/>
                <w:sz w:val="21"/>
                <w:szCs w:val="21"/>
              </w:rPr>
            </w:pPr>
            <w:r>
              <w:rPr>
                <w:rFonts w:eastAsia="宋体"/>
                <w:color w:val="000000"/>
                <w:sz w:val="21"/>
                <w:szCs w:val="21"/>
              </w:rPr>
              <w:t>0</w:t>
            </w:r>
          </w:p>
        </w:tc>
        <w:tc>
          <w:tcPr>
            <w:tcW w:w="802"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1E46377B">
            <w:pPr>
              <w:autoSpaceDE/>
              <w:autoSpaceDN/>
              <w:snapToGrid w:val="0"/>
              <w:jc w:val="both"/>
              <w:rPr>
                <w:rFonts w:eastAsia="宋体"/>
                <w:sz w:val="21"/>
                <w:szCs w:val="21"/>
              </w:rPr>
            </w:pPr>
            <w:r>
              <w:rPr>
                <w:rFonts w:eastAsia="宋体"/>
                <w:color w:val="000000"/>
                <w:sz w:val="21"/>
                <w:szCs w:val="21"/>
              </w:rPr>
              <w:t>0</w:t>
            </w:r>
          </w:p>
        </w:tc>
        <w:tc>
          <w:tcPr>
            <w:tcW w:w="671" w:type="dxa"/>
            <w:tcBorders>
              <w:top w:val="single" w:color="auto" w:sz="6" w:space="0"/>
              <w:left w:val="single" w:color="auto" w:sz="6" w:space="0"/>
              <w:bottom w:val="double" w:color="auto" w:sz="4" w:space="0"/>
              <w:right w:val="double" w:color="auto" w:sz="4" w:space="0"/>
            </w:tcBorders>
            <w:shd w:val="clear" w:color="auto" w:fill="FFFFFF"/>
            <w:tcMar>
              <w:left w:w="57" w:type="dxa"/>
              <w:right w:w="57" w:type="dxa"/>
            </w:tcMar>
          </w:tcPr>
          <w:p w14:paraId="393F2B3F">
            <w:pPr>
              <w:autoSpaceDE/>
              <w:autoSpaceDN/>
              <w:snapToGrid w:val="0"/>
              <w:jc w:val="both"/>
              <w:rPr>
                <w:rFonts w:eastAsia="宋体"/>
                <w:sz w:val="21"/>
                <w:szCs w:val="21"/>
              </w:rPr>
            </w:pPr>
            <w:r>
              <w:rPr>
                <w:rFonts w:eastAsia="宋体"/>
                <w:color w:val="000000"/>
                <w:sz w:val="21"/>
                <w:szCs w:val="21"/>
              </w:rPr>
              <w:t>0</w:t>
            </w:r>
          </w:p>
        </w:tc>
      </w:tr>
    </w:tbl>
    <w:p w14:paraId="12BFF19F">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14:paraId="4CBF1ACA">
      <w:pPr>
        <w:autoSpaceDE/>
        <w:autoSpaceDN/>
        <w:snapToGrid w:val="0"/>
        <w:jc w:val="both"/>
        <w:rPr>
          <w:rFonts w:eastAsia="宋体"/>
          <w:sz w:val="21"/>
          <w:szCs w:val="21"/>
        </w:rPr>
      </w:pPr>
    </w:p>
    <w:p w14:paraId="0233C54C">
      <w:pPr>
        <w:autoSpaceDE/>
        <w:autoSpaceDN/>
        <w:snapToGrid w:val="0"/>
        <w:jc w:val="both"/>
        <w:rPr>
          <w:rFonts w:eastAsia="宋体"/>
          <w:sz w:val="21"/>
          <w:szCs w:val="21"/>
        </w:rPr>
      </w:pPr>
      <w:r>
        <w:rPr>
          <w:rFonts w:eastAsia="宋体"/>
          <w:i/>
          <w:iCs/>
          <w:color w:val="000000"/>
          <w:sz w:val="21"/>
          <w:szCs w:val="21"/>
        </w:rPr>
        <w:t>*对于基于浸提液的试验：应报告极性和非极性试验浸提液和相应的介质对照的动物数据</w:t>
      </w:r>
      <w:r>
        <w:rPr>
          <w:rStyle w:val="17"/>
          <w:rFonts w:eastAsia="宋体"/>
          <w:i/>
          <w:iCs/>
          <w:sz w:val="21"/>
          <w:szCs w:val="21"/>
        </w:rPr>
        <w:footnoteReference w:id="48"/>
      </w:r>
      <w:r>
        <w:rPr>
          <w:rFonts w:eastAsia="宋体"/>
          <w:i/>
          <w:iCs/>
          <w:color w:val="000000"/>
          <w:sz w:val="21"/>
          <w:szCs w:val="21"/>
        </w:rPr>
        <w:t>。</w:t>
      </w:r>
    </w:p>
    <w:p w14:paraId="460ABAAE">
      <w:pPr>
        <w:tabs>
          <w:tab w:val="left" w:pos="187"/>
        </w:tabs>
        <w:autoSpaceDE/>
        <w:autoSpaceDN/>
        <w:snapToGrid w:val="0"/>
        <w:jc w:val="both"/>
        <w:rPr>
          <w:rFonts w:eastAsia="宋体"/>
          <w:color w:val="000000"/>
          <w:sz w:val="24"/>
          <w:szCs w:val="24"/>
          <w:vertAlign w:val="superscript"/>
        </w:rPr>
      </w:pPr>
    </w:p>
    <w:p w14:paraId="72717824">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342890F1">
      <w:pPr>
        <w:autoSpaceDE/>
        <w:autoSpaceDN/>
        <w:snapToGrid w:val="0"/>
        <w:jc w:val="both"/>
        <w:rPr>
          <w:rFonts w:eastAsia="宋体"/>
          <w:sz w:val="21"/>
          <w:szCs w:val="21"/>
        </w:rPr>
      </w:pPr>
      <w:r>
        <w:rPr>
          <w:rFonts w:eastAsia="宋体"/>
          <w:color w:val="000000"/>
          <w:sz w:val="21"/>
          <w:szCs w:val="21"/>
        </w:rPr>
        <w:t>^ER = 红斑等级；ED = 水肿等级</w:t>
      </w:r>
    </w:p>
    <w:p w14:paraId="593D4867">
      <w:pPr>
        <w:autoSpaceDE/>
        <w:autoSpaceDN/>
        <w:snapToGrid w:val="0"/>
        <w:jc w:val="both"/>
        <w:rPr>
          <w:rFonts w:eastAsia="宋体"/>
          <w:b/>
          <w:bCs/>
          <w:color w:val="000000"/>
          <w:sz w:val="24"/>
          <w:szCs w:val="24"/>
        </w:rPr>
      </w:pPr>
    </w:p>
    <w:p w14:paraId="63396BCF">
      <w:pPr>
        <w:autoSpaceDE/>
        <w:autoSpaceDN/>
        <w:snapToGrid w:val="0"/>
        <w:jc w:val="center"/>
        <w:rPr>
          <w:rFonts w:eastAsia="宋体"/>
          <w:sz w:val="24"/>
          <w:szCs w:val="24"/>
        </w:rPr>
      </w:pPr>
      <w:r>
        <w:rPr>
          <w:rFonts w:eastAsia="宋体"/>
          <w:b/>
          <w:bCs/>
          <w:color w:val="000000"/>
          <w:sz w:val="24"/>
          <w:szCs w:val="24"/>
        </w:rPr>
        <w:t>表2原发性刺激指数汇总*</w:t>
      </w:r>
    </w:p>
    <w:p w14:paraId="2FD87DBA">
      <w:pPr>
        <w:autoSpaceDE/>
        <w:autoSpaceDN/>
        <w:snapToGrid w:val="0"/>
        <w:jc w:val="both"/>
        <w:rPr>
          <w:rFonts w:eastAsia="宋体"/>
          <w:sz w:val="24"/>
          <w:szCs w:val="24"/>
        </w:rPr>
      </w:pPr>
    </w:p>
    <w:tbl>
      <w:tblPr>
        <w:tblStyle w:val="13"/>
        <w:tblW w:w="5000" w:type="pct"/>
        <w:tblInd w:w="0" w:type="dxa"/>
        <w:tblLayout w:type="fixed"/>
        <w:tblCellMar>
          <w:top w:w="0" w:type="dxa"/>
          <w:left w:w="57" w:type="dxa"/>
          <w:bottom w:w="0" w:type="dxa"/>
          <w:right w:w="57" w:type="dxa"/>
        </w:tblCellMar>
      </w:tblPr>
      <w:tblGrid>
        <w:gridCol w:w="1039"/>
        <w:gridCol w:w="988"/>
        <w:gridCol w:w="328"/>
        <w:gridCol w:w="1026"/>
        <w:gridCol w:w="1227"/>
        <w:gridCol w:w="1227"/>
        <w:gridCol w:w="1143"/>
        <w:gridCol w:w="1171"/>
        <w:gridCol w:w="1320"/>
      </w:tblGrid>
      <w:tr w14:paraId="28A0480D">
        <w:tblPrEx>
          <w:tblCellMar>
            <w:top w:w="0" w:type="dxa"/>
            <w:left w:w="57" w:type="dxa"/>
            <w:bottom w:w="0" w:type="dxa"/>
            <w:right w:w="57" w:type="dxa"/>
          </w:tblCellMar>
        </w:tblPrEx>
        <w:tc>
          <w:tcPr>
            <w:tcW w:w="993" w:type="dxa"/>
            <w:tcBorders>
              <w:top w:val="double" w:color="auto" w:sz="4" w:space="0"/>
              <w:left w:val="double" w:color="auto" w:sz="4" w:space="0"/>
              <w:bottom w:val="single" w:color="auto" w:sz="6" w:space="0"/>
              <w:right w:val="single" w:color="auto" w:sz="6" w:space="0"/>
            </w:tcBorders>
            <w:shd w:val="clear" w:color="auto" w:fill="FFFFFF"/>
            <w:tcMar>
              <w:left w:w="57" w:type="dxa"/>
              <w:right w:w="57" w:type="dxa"/>
            </w:tcMar>
          </w:tcPr>
          <w:p w14:paraId="190BD448">
            <w:pPr>
              <w:autoSpaceDE/>
              <w:autoSpaceDN/>
              <w:snapToGrid w:val="0"/>
              <w:jc w:val="both"/>
              <w:rPr>
                <w:rFonts w:eastAsia="宋体"/>
                <w:sz w:val="21"/>
                <w:szCs w:val="21"/>
              </w:rPr>
            </w:pPr>
            <w:r>
              <w:rPr>
                <w:rFonts w:eastAsia="宋体"/>
                <w:b/>
                <w:bCs/>
                <w:color w:val="000000"/>
                <w:sz w:val="21"/>
                <w:szCs w:val="21"/>
              </w:rPr>
              <w:t>动物编号</w:t>
            </w:r>
          </w:p>
        </w:tc>
        <w:tc>
          <w:tcPr>
            <w:tcW w:w="945"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1E6EF5A6">
            <w:pPr>
              <w:autoSpaceDE/>
              <w:autoSpaceDN/>
              <w:snapToGrid w:val="0"/>
              <w:jc w:val="both"/>
              <w:rPr>
                <w:rFonts w:eastAsia="宋体"/>
                <w:b/>
                <w:bCs/>
                <w:color w:val="000000"/>
                <w:sz w:val="21"/>
                <w:szCs w:val="21"/>
              </w:rPr>
            </w:pPr>
            <w:r>
              <w:rPr>
                <w:rFonts w:eastAsia="宋体"/>
                <w:b/>
                <w:bCs/>
                <w:color w:val="000000"/>
                <w:sz w:val="21"/>
                <w:szCs w:val="21"/>
              </w:rPr>
              <w:t>试验</w:t>
            </w:r>
          </w:p>
          <w:p w14:paraId="1F19DBC4">
            <w:pPr>
              <w:autoSpaceDE/>
              <w:autoSpaceDN/>
              <w:snapToGrid w:val="0"/>
              <w:jc w:val="both"/>
              <w:rPr>
                <w:rFonts w:eastAsia="宋体"/>
                <w:sz w:val="21"/>
                <w:szCs w:val="21"/>
              </w:rPr>
            </w:pPr>
            <w:r>
              <w:rPr>
                <w:rFonts w:eastAsia="宋体"/>
                <w:b/>
                <w:bCs/>
                <w:color w:val="000000"/>
                <w:sz w:val="21"/>
                <w:szCs w:val="21"/>
              </w:rPr>
              <w:t>平均评分</w:t>
            </w:r>
            <w:r>
              <w:rPr>
                <w:rFonts w:eastAsia="宋体"/>
                <w:sz w:val="21"/>
                <w:szCs w:val="21"/>
              </w:rPr>
              <w:t xml:space="preserve"> </w:t>
            </w:r>
          </w:p>
        </w:tc>
        <w:tc>
          <w:tcPr>
            <w:tcW w:w="314"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587A1846">
            <w:pPr>
              <w:autoSpaceDE/>
              <w:autoSpaceDN/>
              <w:snapToGrid w:val="0"/>
              <w:jc w:val="both"/>
              <w:rPr>
                <w:rFonts w:eastAsia="宋体"/>
                <w:sz w:val="21"/>
                <w:szCs w:val="21"/>
              </w:rPr>
            </w:pPr>
            <w:r>
              <w:rPr>
                <w:rFonts w:eastAsia="宋体"/>
                <w:sz w:val="21"/>
                <w:szCs w:val="21"/>
              </w:rPr>
              <w:t>-</w:t>
            </w:r>
          </w:p>
        </w:tc>
        <w:tc>
          <w:tcPr>
            <w:tcW w:w="981"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6A47DD32">
            <w:pPr>
              <w:autoSpaceDE/>
              <w:autoSpaceDN/>
              <w:snapToGrid w:val="0"/>
              <w:jc w:val="both"/>
              <w:rPr>
                <w:rFonts w:eastAsia="宋体"/>
                <w:b/>
                <w:bCs/>
                <w:color w:val="000000"/>
                <w:sz w:val="21"/>
                <w:szCs w:val="21"/>
              </w:rPr>
            </w:pPr>
            <w:r>
              <w:rPr>
                <w:rFonts w:eastAsia="宋体"/>
                <w:b/>
                <w:bCs/>
                <w:color w:val="000000"/>
                <w:sz w:val="21"/>
                <w:szCs w:val="21"/>
              </w:rPr>
              <w:t>对照</w:t>
            </w:r>
          </w:p>
          <w:p w14:paraId="50131D4C">
            <w:pPr>
              <w:autoSpaceDE/>
              <w:autoSpaceDN/>
              <w:snapToGrid w:val="0"/>
              <w:jc w:val="both"/>
              <w:rPr>
                <w:rFonts w:eastAsia="宋体"/>
                <w:sz w:val="21"/>
                <w:szCs w:val="21"/>
              </w:rPr>
            </w:pPr>
            <w:r>
              <w:rPr>
                <w:rFonts w:eastAsia="宋体"/>
                <w:b/>
                <w:bCs/>
                <w:color w:val="000000"/>
                <w:sz w:val="21"/>
                <w:szCs w:val="21"/>
              </w:rPr>
              <w:t>平均评分</w:t>
            </w:r>
          </w:p>
        </w:tc>
        <w:tc>
          <w:tcPr>
            <w:tcW w:w="1173"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3EF72BB3">
            <w:pPr>
              <w:autoSpaceDE/>
              <w:autoSpaceDN/>
              <w:snapToGrid w:val="0"/>
              <w:jc w:val="both"/>
              <w:rPr>
                <w:rFonts w:eastAsia="宋体"/>
                <w:b/>
                <w:bCs/>
                <w:color w:val="000000"/>
                <w:sz w:val="21"/>
                <w:szCs w:val="21"/>
              </w:rPr>
            </w:pPr>
            <w:r>
              <w:rPr>
                <w:rFonts w:eastAsia="宋体"/>
                <w:b/>
                <w:bCs/>
                <w:color w:val="000000"/>
                <w:sz w:val="21"/>
                <w:szCs w:val="21"/>
              </w:rPr>
              <w:t>个体</w:t>
            </w:r>
          </w:p>
          <w:p w14:paraId="06FFDD58">
            <w:pPr>
              <w:autoSpaceDE/>
              <w:autoSpaceDN/>
              <w:snapToGrid w:val="0"/>
              <w:jc w:val="both"/>
              <w:rPr>
                <w:rFonts w:eastAsia="宋体"/>
                <w:b/>
                <w:bCs/>
                <w:color w:val="000000"/>
                <w:sz w:val="21"/>
                <w:szCs w:val="21"/>
              </w:rPr>
            </w:pPr>
            <w:r>
              <w:rPr>
                <w:rFonts w:eastAsia="宋体"/>
                <w:b/>
                <w:bCs/>
                <w:color w:val="000000"/>
                <w:sz w:val="21"/>
                <w:szCs w:val="21"/>
              </w:rPr>
              <w:t>原发性</w:t>
            </w:r>
          </w:p>
          <w:p w14:paraId="6E48E303">
            <w:pPr>
              <w:autoSpaceDE/>
              <w:autoSpaceDN/>
              <w:snapToGrid w:val="0"/>
              <w:jc w:val="both"/>
              <w:rPr>
                <w:rFonts w:eastAsia="宋体"/>
                <w:b/>
                <w:bCs/>
                <w:color w:val="000000"/>
                <w:sz w:val="21"/>
                <w:szCs w:val="21"/>
              </w:rPr>
            </w:pPr>
            <w:r>
              <w:rPr>
                <w:rFonts w:eastAsia="宋体"/>
                <w:b/>
                <w:bCs/>
                <w:color w:val="000000"/>
                <w:sz w:val="21"/>
                <w:szCs w:val="21"/>
              </w:rPr>
              <w:t>刺激</w:t>
            </w:r>
          </w:p>
          <w:p w14:paraId="1776C084">
            <w:pPr>
              <w:autoSpaceDE/>
              <w:autoSpaceDN/>
              <w:snapToGrid w:val="0"/>
              <w:jc w:val="both"/>
              <w:rPr>
                <w:rFonts w:eastAsia="宋体"/>
                <w:sz w:val="21"/>
                <w:szCs w:val="21"/>
              </w:rPr>
            </w:pPr>
            <w:r>
              <w:rPr>
                <w:rFonts w:eastAsia="宋体"/>
                <w:b/>
                <w:bCs/>
                <w:color w:val="000000"/>
                <w:sz w:val="21"/>
                <w:szCs w:val="21"/>
              </w:rPr>
              <w:t>评分</w:t>
            </w:r>
          </w:p>
        </w:tc>
        <w:tc>
          <w:tcPr>
            <w:tcW w:w="1173"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0481A960">
            <w:pPr>
              <w:autoSpaceDE/>
              <w:autoSpaceDN/>
              <w:snapToGrid w:val="0"/>
              <w:jc w:val="both"/>
              <w:rPr>
                <w:rFonts w:eastAsia="宋体"/>
                <w:sz w:val="21"/>
                <w:szCs w:val="21"/>
              </w:rPr>
            </w:pPr>
            <w:r>
              <w:rPr>
                <w:rFonts w:eastAsia="宋体"/>
                <w:b/>
                <w:bCs/>
                <w:color w:val="000000"/>
                <w:sz w:val="21"/>
                <w:szCs w:val="21"/>
              </w:rPr>
              <w:t>综合</w:t>
            </w:r>
          </w:p>
          <w:p w14:paraId="143DB8AA">
            <w:pPr>
              <w:autoSpaceDE/>
              <w:autoSpaceDN/>
              <w:snapToGrid w:val="0"/>
              <w:jc w:val="both"/>
              <w:rPr>
                <w:rFonts w:eastAsia="宋体"/>
                <w:b/>
                <w:bCs/>
                <w:color w:val="000000"/>
                <w:sz w:val="21"/>
                <w:szCs w:val="21"/>
              </w:rPr>
            </w:pPr>
            <w:r>
              <w:rPr>
                <w:rFonts w:eastAsia="宋体"/>
                <w:b/>
                <w:bCs/>
                <w:color w:val="000000"/>
                <w:sz w:val="21"/>
                <w:szCs w:val="21"/>
              </w:rPr>
              <w:t>原发性</w:t>
            </w:r>
          </w:p>
          <w:p w14:paraId="7F8367DD">
            <w:pPr>
              <w:autoSpaceDE/>
              <w:autoSpaceDN/>
              <w:snapToGrid w:val="0"/>
              <w:jc w:val="both"/>
              <w:rPr>
                <w:rFonts w:eastAsia="宋体"/>
                <w:sz w:val="21"/>
                <w:szCs w:val="21"/>
              </w:rPr>
            </w:pPr>
            <w:r>
              <w:rPr>
                <w:rFonts w:eastAsia="宋体"/>
                <w:b/>
                <w:bCs/>
                <w:color w:val="000000"/>
                <w:sz w:val="21"/>
                <w:szCs w:val="21"/>
              </w:rPr>
              <w:t>刺激</w:t>
            </w:r>
          </w:p>
          <w:p w14:paraId="7C922F44">
            <w:pPr>
              <w:autoSpaceDE/>
              <w:autoSpaceDN/>
              <w:snapToGrid w:val="0"/>
              <w:jc w:val="both"/>
              <w:rPr>
                <w:rFonts w:eastAsia="宋体"/>
                <w:sz w:val="21"/>
                <w:szCs w:val="21"/>
              </w:rPr>
            </w:pPr>
            <w:r>
              <w:rPr>
                <w:rFonts w:eastAsia="宋体"/>
                <w:b/>
                <w:bCs/>
                <w:color w:val="000000"/>
                <w:sz w:val="21"/>
                <w:szCs w:val="21"/>
              </w:rPr>
              <w:t>评分（CPIS）</w:t>
            </w:r>
          </w:p>
        </w:tc>
        <w:tc>
          <w:tcPr>
            <w:tcW w:w="1094"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3AD71568">
            <w:pPr>
              <w:autoSpaceDE/>
              <w:autoSpaceDN/>
              <w:snapToGrid w:val="0"/>
              <w:jc w:val="both"/>
              <w:rPr>
                <w:rFonts w:eastAsia="宋体"/>
                <w:b/>
                <w:bCs/>
                <w:color w:val="000000"/>
                <w:sz w:val="21"/>
                <w:szCs w:val="21"/>
              </w:rPr>
            </w:pPr>
            <w:r>
              <w:rPr>
                <w:rFonts w:eastAsia="宋体"/>
                <w:b/>
                <w:bCs/>
                <w:color w:val="000000"/>
                <w:sz w:val="21"/>
                <w:szCs w:val="21"/>
              </w:rPr>
              <w:t>原发性</w:t>
            </w:r>
          </w:p>
          <w:p w14:paraId="1623BBAD">
            <w:pPr>
              <w:autoSpaceDE/>
              <w:autoSpaceDN/>
              <w:snapToGrid w:val="0"/>
              <w:jc w:val="both"/>
              <w:rPr>
                <w:rFonts w:eastAsia="宋体"/>
                <w:sz w:val="21"/>
                <w:szCs w:val="21"/>
              </w:rPr>
            </w:pPr>
            <w:r>
              <w:rPr>
                <w:rFonts w:eastAsia="宋体"/>
                <w:b/>
                <w:bCs/>
                <w:color w:val="000000"/>
                <w:sz w:val="21"/>
                <w:szCs w:val="21"/>
              </w:rPr>
              <w:t>刺激指数（CPIS÷3）</w:t>
            </w:r>
          </w:p>
        </w:tc>
        <w:tc>
          <w:tcPr>
            <w:tcW w:w="1120" w:type="dxa"/>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7F117928">
            <w:pPr>
              <w:autoSpaceDE/>
              <w:autoSpaceDN/>
              <w:snapToGrid w:val="0"/>
              <w:jc w:val="both"/>
              <w:rPr>
                <w:rFonts w:eastAsia="宋体"/>
                <w:sz w:val="21"/>
                <w:szCs w:val="21"/>
              </w:rPr>
            </w:pPr>
            <w:r>
              <w:rPr>
                <w:rFonts w:eastAsia="宋体"/>
                <w:b/>
                <w:bCs/>
                <w:color w:val="000000"/>
                <w:sz w:val="21"/>
                <w:szCs w:val="21"/>
              </w:rPr>
              <w:t>反应类别</w:t>
            </w:r>
          </w:p>
        </w:tc>
        <w:tc>
          <w:tcPr>
            <w:tcW w:w="1263" w:type="dxa"/>
            <w:tcBorders>
              <w:top w:val="double" w:color="auto" w:sz="4" w:space="0"/>
              <w:left w:val="single" w:color="auto" w:sz="6" w:space="0"/>
              <w:bottom w:val="single" w:color="auto" w:sz="6" w:space="0"/>
              <w:right w:val="double" w:color="auto" w:sz="4" w:space="0"/>
            </w:tcBorders>
            <w:shd w:val="clear" w:color="auto" w:fill="FFFFFF"/>
            <w:tcMar>
              <w:left w:w="57" w:type="dxa"/>
              <w:right w:w="57" w:type="dxa"/>
            </w:tcMar>
          </w:tcPr>
          <w:p w14:paraId="40194CF5">
            <w:pPr>
              <w:autoSpaceDE/>
              <w:autoSpaceDN/>
              <w:snapToGrid w:val="0"/>
              <w:jc w:val="both"/>
              <w:rPr>
                <w:rFonts w:eastAsia="宋体"/>
                <w:sz w:val="21"/>
                <w:szCs w:val="21"/>
              </w:rPr>
            </w:pPr>
            <w:r>
              <w:rPr>
                <w:rFonts w:eastAsia="宋体"/>
                <w:b/>
                <w:bCs/>
                <w:color w:val="000000"/>
                <w:sz w:val="21"/>
                <w:szCs w:val="21"/>
              </w:rPr>
              <w:t>结论</w:t>
            </w:r>
          </w:p>
        </w:tc>
      </w:tr>
      <w:tr w14:paraId="6F084A43">
        <w:tblPrEx>
          <w:tblCellMar>
            <w:top w:w="0" w:type="dxa"/>
            <w:left w:w="57" w:type="dxa"/>
            <w:bottom w:w="0" w:type="dxa"/>
            <w:right w:w="57" w:type="dxa"/>
          </w:tblCellMar>
        </w:tblPrEx>
        <w:tc>
          <w:tcPr>
            <w:tcW w:w="993"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14:paraId="637EF638">
            <w:pPr>
              <w:autoSpaceDE/>
              <w:autoSpaceDN/>
              <w:snapToGrid w:val="0"/>
              <w:jc w:val="center"/>
              <w:rPr>
                <w:rFonts w:eastAsia="宋体"/>
                <w:sz w:val="21"/>
                <w:szCs w:val="21"/>
              </w:rPr>
            </w:pPr>
            <w:r>
              <w:rPr>
                <w:rFonts w:eastAsia="宋体"/>
                <w:b/>
                <w:bCs/>
                <w:color w:val="000000"/>
                <w:sz w:val="21"/>
                <w:szCs w:val="21"/>
              </w:rPr>
              <w:t>1</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3F95CF">
            <w:pPr>
              <w:autoSpaceDE/>
              <w:autoSpaceDN/>
              <w:snapToGrid w:val="0"/>
              <w:jc w:val="center"/>
              <w:rPr>
                <w:rFonts w:eastAsia="宋体"/>
                <w:sz w:val="21"/>
                <w:szCs w:val="21"/>
              </w:rPr>
            </w:pPr>
            <w:r>
              <w:rPr>
                <w:rFonts w:eastAsia="宋体"/>
                <w:color w:val="000000"/>
                <w:sz w:val="21"/>
                <w:szCs w:val="21"/>
              </w:rPr>
              <w:t>0.0</w:t>
            </w:r>
          </w:p>
        </w:tc>
        <w:tc>
          <w:tcPr>
            <w:tcW w:w="3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A36C3D">
            <w:pPr>
              <w:autoSpaceDE/>
              <w:autoSpaceDN/>
              <w:snapToGrid w:val="0"/>
              <w:jc w:val="center"/>
              <w:rPr>
                <w:rFonts w:eastAsia="宋体"/>
                <w:sz w:val="21"/>
                <w:szCs w:val="21"/>
              </w:rPr>
            </w:pPr>
            <w:r>
              <w:rPr>
                <w:rFonts w:eastAsia="宋体"/>
                <w:sz w:val="21"/>
                <w:szCs w:val="21"/>
              </w:rPr>
              <w:t>-</w:t>
            </w:r>
          </w:p>
        </w:tc>
        <w:tc>
          <w:tcPr>
            <w:tcW w:w="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CBFBC6">
            <w:pPr>
              <w:autoSpaceDE/>
              <w:autoSpaceDN/>
              <w:snapToGrid w:val="0"/>
              <w:jc w:val="center"/>
              <w:rPr>
                <w:rFonts w:eastAsia="宋体"/>
                <w:sz w:val="21"/>
                <w:szCs w:val="21"/>
              </w:rPr>
            </w:pPr>
            <w:r>
              <w:rPr>
                <w:rFonts w:eastAsia="宋体"/>
                <w:color w:val="000000"/>
                <w:sz w:val="21"/>
                <w:szCs w:val="21"/>
              </w:rPr>
              <w:t>0.0</w:t>
            </w:r>
          </w:p>
        </w:tc>
        <w:tc>
          <w:tcPr>
            <w:tcW w:w="11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260629">
            <w:pPr>
              <w:autoSpaceDE/>
              <w:autoSpaceDN/>
              <w:snapToGrid w:val="0"/>
              <w:jc w:val="center"/>
              <w:rPr>
                <w:rFonts w:eastAsia="宋体"/>
                <w:sz w:val="21"/>
                <w:szCs w:val="21"/>
              </w:rPr>
            </w:pPr>
            <w:r>
              <w:rPr>
                <w:rFonts w:eastAsia="宋体"/>
                <w:color w:val="000000"/>
                <w:sz w:val="21"/>
                <w:szCs w:val="21"/>
              </w:rPr>
              <w:t>0.0</w:t>
            </w:r>
          </w:p>
        </w:tc>
        <w:tc>
          <w:tcPr>
            <w:tcW w:w="117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3F53B265">
            <w:pPr>
              <w:autoSpaceDE/>
              <w:autoSpaceDN/>
              <w:snapToGrid w:val="0"/>
              <w:jc w:val="center"/>
              <w:rPr>
                <w:rFonts w:eastAsia="宋体"/>
                <w:sz w:val="21"/>
                <w:szCs w:val="21"/>
              </w:rPr>
            </w:pPr>
            <w:r>
              <w:rPr>
                <w:rFonts w:eastAsia="宋体"/>
                <w:color w:val="000000"/>
                <w:sz w:val="21"/>
                <w:szCs w:val="21"/>
              </w:rPr>
              <w:t>0.0</w:t>
            </w:r>
          </w:p>
        </w:tc>
        <w:tc>
          <w:tcPr>
            <w:tcW w:w="1094"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77E9A9DD">
            <w:pPr>
              <w:autoSpaceDE/>
              <w:autoSpaceDN/>
              <w:snapToGrid w:val="0"/>
              <w:jc w:val="center"/>
              <w:rPr>
                <w:rFonts w:eastAsia="宋体"/>
                <w:sz w:val="21"/>
                <w:szCs w:val="21"/>
              </w:rPr>
            </w:pPr>
            <w:r>
              <w:rPr>
                <w:rFonts w:eastAsia="宋体"/>
                <w:color w:val="000000"/>
                <w:sz w:val="21"/>
                <w:szCs w:val="21"/>
              </w:rPr>
              <w:t>0.0</w:t>
            </w:r>
          </w:p>
        </w:tc>
        <w:tc>
          <w:tcPr>
            <w:tcW w:w="1120"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68C9331E">
            <w:pPr>
              <w:autoSpaceDE/>
              <w:autoSpaceDN/>
              <w:snapToGrid w:val="0"/>
              <w:jc w:val="center"/>
              <w:rPr>
                <w:rFonts w:eastAsia="宋体"/>
                <w:sz w:val="21"/>
                <w:szCs w:val="21"/>
              </w:rPr>
            </w:pPr>
            <w:r>
              <w:rPr>
                <w:rFonts w:eastAsia="宋体"/>
                <w:color w:val="000000"/>
                <w:sz w:val="21"/>
                <w:szCs w:val="21"/>
              </w:rPr>
              <w:t>可忽略</w:t>
            </w:r>
          </w:p>
        </w:tc>
        <w:tc>
          <w:tcPr>
            <w:tcW w:w="1263" w:type="dxa"/>
            <w:tcBorders>
              <w:top w:val="single" w:color="auto" w:sz="6" w:space="0"/>
              <w:left w:val="single" w:color="auto" w:sz="6" w:space="0"/>
              <w:bottom w:val="nil"/>
              <w:right w:val="double" w:color="auto" w:sz="4" w:space="0"/>
            </w:tcBorders>
            <w:shd w:val="clear" w:color="auto" w:fill="FFFFFF"/>
            <w:tcMar>
              <w:left w:w="57" w:type="dxa"/>
              <w:right w:w="57" w:type="dxa"/>
            </w:tcMar>
          </w:tcPr>
          <w:p w14:paraId="5A3ECDA5">
            <w:pPr>
              <w:autoSpaceDE/>
              <w:autoSpaceDN/>
              <w:snapToGrid w:val="0"/>
              <w:jc w:val="center"/>
              <w:rPr>
                <w:rFonts w:eastAsia="宋体"/>
                <w:sz w:val="21"/>
                <w:szCs w:val="21"/>
              </w:rPr>
            </w:pPr>
            <w:r>
              <w:rPr>
                <w:rFonts w:eastAsia="宋体"/>
                <w:color w:val="000000"/>
                <w:sz w:val="21"/>
                <w:szCs w:val="21"/>
              </w:rPr>
              <w:t>非刺激物</w:t>
            </w:r>
          </w:p>
        </w:tc>
      </w:tr>
      <w:tr w14:paraId="72BBB5E6">
        <w:tblPrEx>
          <w:tblCellMar>
            <w:top w:w="0" w:type="dxa"/>
            <w:left w:w="57" w:type="dxa"/>
            <w:bottom w:w="0" w:type="dxa"/>
            <w:right w:w="57" w:type="dxa"/>
          </w:tblCellMar>
        </w:tblPrEx>
        <w:tc>
          <w:tcPr>
            <w:tcW w:w="993"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14:paraId="411A2F64">
            <w:pPr>
              <w:autoSpaceDE/>
              <w:autoSpaceDN/>
              <w:snapToGrid w:val="0"/>
              <w:jc w:val="center"/>
              <w:rPr>
                <w:rFonts w:eastAsia="宋体"/>
                <w:sz w:val="21"/>
                <w:szCs w:val="21"/>
              </w:rPr>
            </w:pPr>
            <w:r>
              <w:rPr>
                <w:rFonts w:eastAsia="宋体"/>
                <w:b/>
                <w:bCs/>
                <w:color w:val="000000"/>
                <w:sz w:val="21"/>
                <w:szCs w:val="21"/>
              </w:rPr>
              <w:t>2</w:t>
            </w:r>
          </w:p>
        </w:tc>
        <w:tc>
          <w:tcPr>
            <w:tcW w:w="9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06E95A">
            <w:pPr>
              <w:autoSpaceDE/>
              <w:autoSpaceDN/>
              <w:snapToGrid w:val="0"/>
              <w:jc w:val="center"/>
              <w:rPr>
                <w:rFonts w:eastAsia="宋体"/>
                <w:sz w:val="21"/>
                <w:szCs w:val="21"/>
              </w:rPr>
            </w:pPr>
            <w:r>
              <w:rPr>
                <w:rFonts w:eastAsia="宋体"/>
                <w:color w:val="000000"/>
                <w:sz w:val="21"/>
                <w:szCs w:val="21"/>
              </w:rPr>
              <w:t>0.0</w:t>
            </w:r>
          </w:p>
        </w:tc>
        <w:tc>
          <w:tcPr>
            <w:tcW w:w="3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8797AF">
            <w:pPr>
              <w:autoSpaceDE/>
              <w:autoSpaceDN/>
              <w:snapToGrid w:val="0"/>
              <w:jc w:val="center"/>
              <w:rPr>
                <w:rFonts w:eastAsia="宋体"/>
                <w:sz w:val="21"/>
                <w:szCs w:val="21"/>
              </w:rPr>
            </w:pPr>
            <w:r>
              <w:rPr>
                <w:rFonts w:eastAsia="宋体"/>
                <w:sz w:val="21"/>
                <w:szCs w:val="21"/>
              </w:rPr>
              <w:t>-</w:t>
            </w:r>
          </w:p>
        </w:tc>
        <w:tc>
          <w:tcPr>
            <w:tcW w:w="98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C316BA">
            <w:pPr>
              <w:autoSpaceDE/>
              <w:autoSpaceDN/>
              <w:snapToGrid w:val="0"/>
              <w:jc w:val="center"/>
              <w:rPr>
                <w:rFonts w:eastAsia="宋体"/>
                <w:sz w:val="21"/>
                <w:szCs w:val="21"/>
              </w:rPr>
            </w:pPr>
            <w:r>
              <w:rPr>
                <w:rFonts w:eastAsia="宋体"/>
                <w:color w:val="000000"/>
                <w:sz w:val="21"/>
                <w:szCs w:val="21"/>
              </w:rPr>
              <w:t>0.0</w:t>
            </w:r>
          </w:p>
        </w:tc>
        <w:tc>
          <w:tcPr>
            <w:tcW w:w="11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39F683">
            <w:pPr>
              <w:autoSpaceDE/>
              <w:autoSpaceDN/>
              <w:snapToGrid w:val="0"/>
              <w:jc w:val="center"/>
              <w:rPr>
                <w:rFonts w:eastAsia="宋体"/>
                <w:sz w:val="21"/>
                <w:szCs w:val="21"/>
              </w:rPr>
            </w:pPr>
            <w:r>
              <w:rPr>
                <w:rFonts w:eastAsia="宋体"/>
                <w:color w:val="000000"/>
                <w:sz w:val="21"/>
                <w:szCs w:val="21"/>
              </w:rPr>
              <w:t>0.0</w:t>
            </w:r>
          </w:p>
        </w:tc>
        <w:tc>
          <w:tcPr>
            <w:tcW w:w="1173" w:type="dxa"/>
            <w:tcBorders>
              <w:top w:val="nil"/>
              <w:left w:val="single" w:color="auto" w:sz="6" w:space="0"/>
              <w:bottom w:val="nil"/>
              <w:right w:val="single" w:color="auto" w:sz="6" w:space="0"/>
            </w:tcBorders>
            <w:shd w:val="clear" w:color="auto" w:fill="FFFFFF"/>
            <w:tcMar>
              <w:left w:w="57" w:type="dxa"/>
              <w:right w:w="57" w:type="dxa"/>
            </w:tcMar>
          </w:tcPr>
          <w:p w14:paraId="12BEA9B2">
            <w:pPr>
              <w:autoSpaceDE/>
              <w:autoSpaceDN/>
              <w:snapToGrid w:val="0"/>
              <w:jc w:val="center"/>
              <w:rPr>
                <w:rFonts w:eastAsia="宋体"/>
                <w:sz w:val="21"/>
                <w:szCs w:val="21"/>
              </w:rPr>
            </w:pPr>
          </w:p>
        </w:tc>
        <w:tc>
          <w:tcPr>
            <w:tcW w:w="1094" w:type="dxa"/>
            <w:tcBorders>
              <w:top w:val="nil"/>
              <w:left w:val="single" w:color="auto" w:sz="6" w:space="0"/>
              <w:bottom w:val="nil"/>
              <w:right w:val="single" w:color="auto" w:sz="6" w:space="0"/>
            </w:tcBorders>
            <w:shd w:val="clear" w:color="auto" w:fill="FFFFFF"/>
            <w:tcMar>
              <w:left w:w="57" w:type="dxa"/>
              <w:right w:w="57" w:type="dxa"/>
            </w:tcMar>
          </w:tcPr>
          <w:p w14:paraId="5C75D701">
            <w:pPr>
              <w:autoSpaceDE/>
              <w:autoSpaceDN/>
              <w:snapToGrid w:val="0"/>
              <w:jc w:val="center"/>
              <w:rPr>
                <w:rFonts w:eastAsia="宋体"/>
                <w:sz w:val="21"/>
                <w:szCs w:val="21"/>
              </w:rPr>
            </w:pPr>
          </w:p>
        </w:tc>
        <w:tc>
          <w:tcPr>
            <w:tcW w:w="1120" w:type="dxa"/>
            <w:tcBorders>
              <w:top w:val="nil"/>
              <w:left w:val="single" w:color="auto" w:sz="6" w:space="0"/>
              <w:bottom w:val="nil"/>
              <w:right w:val="single" w:color="auto" w:sz="6" w:space="0"/>
            </w:tcBorders>
            <w:shd w:val="clear" w:color="auto" w:fill="FFFFFF"/>
            <w:tcMar>
              <w:left w:w="57" w:type="dxa"/>
              <w:right w:w="57" w:type="dxa"/>
            </w:tcMar>
          </w:tcPr>
          <w:p w14:paraId="5BA4C5D7">
            <w:pPr>
              <w:autoSpaceDE/>
              <w:autoSpaceDN/>
              <w:snapToGrid w:val="0"/>
              <w:jc w:val="center"/>
              <w:rPr>
                <w:rFonts w:eastAsia="宋体"/>
                <w:sz w:val="21"/>
                <w:szCs w:val="21"/>
              </w:rPr>
            </w:pPr>
          </w:p>
        </w:tc>
        <w:tc>
          <w:tcPr>
            <w:tcW w:w="1263" w:type="dxa"/>
            <w:tcBorders>
              <w:top w:val="nil"/>
              <w:left w:val="single" w:color="auto" w:sz="6" w:space="0"/>
              <w:bottom w:val="nil"/>
              <w:right w:val="double" w:color="auto" w:sz="4" w:space="0"/>
            </w:tcBorders>
            <w:shd w:val="clear" w:color="auto" w:fill="FFFFFF"/>
            <w:tcMar>
              <w:left w:w="57" w:type="dxa"/>
              <w:right w:w="57" w:type="dxa"/>
            </w:tcMar>
          </w:tcPr>
          <w:p w14:paraId="2B3804D3">
            <w:pPr>
              <w:autoSpaceDE/>
              <w:autoSpaceDN/>
              <w:snapToGrid w:val="0"/>
              <w:jc w:val="center"/>
              <w:rPr>
                <w:rFonts w:eastAsia="宋体"/>
                <w:sz w:val="21"/>
                <w:szCs w:val="21"/>
              </w:rPr>
            </w:pPr>
          </w:p>
        </w:tc>
      </w:tr>
      <w:tr w14:paraId="687574E8">
        <w:tblPrEx>
          <w:tblCellMar>
            <w:top w:w="0" w:type="dxa"/>
            <w:left w:w="57" w:type="dxa"/>
            <w:bottom w:w="0" w:type="dxa"/>
            <w:right w:w="57" w:type="dxa"/>
          </w:tblCellMar>
        </w:tblPrEx>
        <w:tc>
          <w:tcPr>
            <w:tcW w:w="993" w:type="dxa"/>
            <w:tcBorders>
              <w:top w:val="single" w:color="auto" w:sz="6" w:space="0"/>
              <w:left w:val="double" w:color="auto" w:sz="4" w:space="0"/>
              <w:bottom w:val="double" w:color="auto" w:sz="4" w:space="0"/>
              <w:right w:val="single" w:color="auto" w:sz="6" w:space="0"/>
            </w:tcBorders>
            <w:shd w:val="clear" w:color="auto" w:fill="FFFFFF"/>
            <w:tcMar>
              <w:left w:w="57" w:type="dxa"/>
              <w:right w:w="57" w:type="dxa"/>
            </w:tcMar>
          </w:tcPr>
          <w:p w14:paraId="04C694D0">
            <w:pPr>
              <w:autoSpaceDE/>
              <w:autoSpaceDN/>
              <w:snapToGrid w:val="0"/>
              <w:jc w:val="center"/>
              <w:rPr>
                <w:rFonts w:eastAsia="宋体"/>
                <w:sz w:val="21"/>
                <w:szCs w:val="21"/>
              </w:rPr>
            </w:pPr>
            <w:r>
              <w:rPr>
                <w:rFonts w:eastAsia="宋体"/>
                <w:b/>
                <w:bCs/>
                <w:color w:val="000000"/>
                <w:sz w:val="21"/>
                <w:szCs w:val="21"/>
              </w:rPr>
              <w:t>3</w:t>
            </w:r>
          </w:p>
        </w:tc>
        <w:tc>
          <w:tcPr>
            <w:tcW w:w="94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6389CF5D">
            <w:pPr>
              <w:autoSpaceDE/>
              <w:autoSpaceDN/>
              <w:snapToGrid w:val="0"/>
              <w:jc w:val="center"/>
              <w:rPr>
                <w:rFonts w:eastAsia="宋体"/>
                <w:sz w:val="21"/>
                <w:szCs w:val="21"/>
              </w:rPr>
            </w:pPr>
            <w:r>
              <w:rPr>
                <w:rFonts w:eastAsia="宋体"/>
                <w:color w:val="000000"/>
                <w:sz w:val="21"/>
                <w:szCs w:val="21"/>
              </w:rPr>
              <w:t>0.0</w:t>
            </w:r>
          </w:p>
        </w:tc>
        <w:tc>
          <w:tcPr>
            <w:tcW w:w="314"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6345B6E8">
            <w:pPr>
              <w:autoSpaceDE/>
              <w:autoSpaceDN/>
              <w:snapToGrid w:val="0"/>
              <w:jc w:val="center"/>
              <w:rPr>
                <w:rFonts w:eastAsia="宋体"/>
                <w:sz w:val="21"/>
                <w:szCs w:val="21"/>
              </w:rPr>
            </w:pPr>
            <w:r>
              <w:rPr>
                <w:rFonts w:eastAsia="宋体"/>
                <w:sz w:val="21"/>
                <w:szCs w:val="21"/>
              </w:rPr>
              <w:t>-</w:t>
            </w:r>
          </w:p>
        </w:tc>
        <w:tc>
          <w:tcPr>
            <w:tcW w:w="981"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492E13D3">
            <w:pPr>
              <w:autoSpaceDE/>
              <w:autoSpaceDN/>
              <w:snapToGrid w:val="0"/>
              <w:jc w:val="center"/>
              <w:rPr>
                <w:rFonts w:eastAsia="宋体"/>
                <w:sz w:val="21"/>
                <w:szCs w:val="21"/>
              </w:rPr>
            </w:pPr>
            <w:r>
              <w:rPr>
                <w:rFonts w:eastAsia="宋体"/>
                <w:color w:val="000000"/>
                <w:sz w:val="21"/>
                <w:szCs w:val="21"/>
              </w:rPr>
              <w:t>0.0</w:t>
            </w:r>
          </w:p>
        </w:tc>
        <w:tc>
          <w:tcPr>
            <w:tcW w:w="1173"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5893CF6E">
            <w:pPr>
              <w:autoSpaceDE/>
              <w:autoSpaceDN/>
              <w:snapToGrid w:val="0"/>
              <w:jc w:val="center"/>
              <w:rPr>
                <w:rFonts w:eastAsia="宋体"/>
                <w:sz w:val="21"/>
                <w:szCs w:val="21"/>
              </w:rPr>
            </w:pPr>
            <w:r>
              <w:rPr>
                <w:rFonts w:eastAsia="宋体"/>
                <w:color w:val="000000"/>
                <w:sz w:val="21"/>
                <w:szCs w:val="21"/>
              </w:rPr>
              <w:t>0.0</w:t>
            </w:r>
          </w:p>
        </w:tc>
        <w:tc>
          <w:tcPr>
            <w:tcW w:w="1173" w:type="dxa"/>
            <w:tcBorders>
              <w:top w:val="nil"/>
              <w:left w:val="single" w:color="auto" w:sz="6" w:space="0"/>
              <w:bottom w:val="double" w:color="auto" w:sz="4" w:space="0"/>
              <w:right w:val="single" w:color="auto" w:sz="6" w:space="0"/>
            </w:tcBorders>
            <w:shd w:val="clear" w:color="auto" w:fill="FFFFFF"/>
            <w:tcMar>
              <w:left w:w="57" w:type="dxa"/>
              <w:right w:w="57" w:type="dxa"/>
            </w:tcMar>
          </w:tcPr>
          <w:p w14:paraId="18810D3D">
            <w:pPr>
              <w:autoSpaceDE/>
              <w:autoSpaceDN/>
              <w:snapToGrid w:val="0"/>
              <w:jc w:val="center"/>
              <w:rPr>
                <w:rFonts w:eastAsia="宋体"/>
                <w:sz w:val="21"/>
                <w:szCs w:val="21"/>
              </w:rPr>
            </w:pPr>
          </w:p>
        </w:tc>
        <w:tc>
          <w:tcPr>
            <w:tcW w:w="1094" w:type="dxa"/>
            <w:tcBorders>
              <w:top w:val="nil"/>
              <w:left w:val="single" w:color="auto" w:sz="6" w:space="0"/>
              <w:bottom w:val="double" w:color="auto" w:sz="4" w:space="0"/>
              <w:right w:val="single" w:color="auto" w:sz="6" w:space="0"/>
            </w:tcBorders>
            <w:shd w:val="clear" w:color="auto" w:fill="FFFFFF"/>
            <w:tcMar>
              <w:left w:w="57" w:type="dxa"/>
              <w:right w:w="57" w:type="dxa"/>
            </w:tcMar>
          </w:tcPr>
          <w:p w14:paraId="27D3FA9D">
            <w:pPr>
              <w:autoSpaceDE/>
              <w:autoSpaceDN/>
              <w:snapToGrid w:val="0"/>
              <w:jc w:val="center"/>
              <w:rPr>
                <w:rFonts w:eastAsia="宋体"/>
                <w:sz w:val="21"/>
                <w:szCs w:val="21"/>
              </w:rPr>
            </w:pPr>
          </w:p>
        </w:tc>
        <w:tc>
          <w:tcPr>
            <w:tcW w:w="1120" w:type="dxa"/>
            <w:tcBorders>
              <w:top w:val="nil"/>
              <w:left w:val="single" w:color="auto" w:sz="6" w:space="0"/>
              <w:bottom w:val="double" w:color="auto" w:sz="4" w:space="0"/>
              <w:right w:val="single" w:color="auto" w:sz="6" w:space="0"/>
            </w:tcBorders>
            <w:shd w:val="clear" w:color="auto" w:fill="FFFFFF"/>
            <w:tcMar>
              <w:left w:w="57" w:type="dxa"/>
              <w:right w:w="57" w:type="dxa"/>
            </w:tcMar>
          </w:tcPr>
          <w:p w14:paraId="4304B323">
            <w:pPr>
              <w:autoSpaceDE/>
              <w:autoSpaceDN/>
              <w:snapToGrid w:val="0"/>
              <w:jc w:val="center"/>
              <w:rPr>
                <w:rFonts w:eastAsia="宋体"/>
                <w:sz w:val="21"/>
                <w:szCs w:val="21"/>
              </w:rPr>
            </w:pPr>
          </w:p>
        </w:tc>
        <w:tc>
          <w:tcPr>
            <w:tcW w:w="1263" w:type="dxa"/>
            <w:tcBorders>
              <w:top w:val="nil"/>
              <w:left w:val="single" w:color="auto" w:sz="6" w:space="0"/>
              <w:bottom w:val="double" w:color="auto" w:sz="4" w:space="0"/>
              <w:right w:val="double" w:color="auto" w:sz="4" w:space="0"/>
            </w:tcBorders>
            <w:shd w:val="clear" w:color="auto" w:fill="FFFFFF"/>
            <w:tcMar>
              <w:left w:w="57" w:type="dxa"/>
              <w:right w:w="57" w:type="dxa"/>
            </w:tcMar>
          </w:tcPr>
          <w:p w14:paraId="00EA2C3D">
            <w:pPr>
              <w:autoSpaceDE/>
              <w:autoSpaceDN/>
              <w:snapToGrid w:val="0"/>
              <w:jc w:val="center"/>
              <w:rPr>
                <w:rFonts w:eastAsia="宋体"/>
                <w:sz w:val="21"/>
                <w:szCs w:val="21"/>
              </w:rPr>
            </w:pPr>
          </w:p>
        </w:tc>
      </w:tr>
    </w:tbl>
    <w:p w14:paraId="4DB9F4FB">
      <w:pPr>
        <w:autoSpaceDE/>
        <w:autoSpaceDN/>
        <w:snapToGrid w:val="0"/>
        <w:jc w:val="both"/>
        <w:rPr>
          <w:rFonts w:eastAsia="宋体"/>
          <w:i/>
          <w:iCs/>
          <w:color w:val="000000"/>
          <w:sz w:val="21"/>
          <w:szCs w:val="21"/>
        </w:rPr>
      </w:pPr>
      <w:r>
        <w:rPr>
          <w:rFonts w:eastAsia="宋体"/>
          <w:i/>
          <w:iCs/>
          <w:color w:val="000000"/>
          <w:sz w:val="21"/>
          <w:szCs w:val="21"/>
        </w:rPr>
        <w:t>*对于基于浸提液的试验：应报告极性和非极性试验浸提液和相应的介质对照的动物数据。</w:t>
      </w:r>
    </w:p>
    <w:p w14:paraId="63547BC2">
      <w:pPr>
        <w:autoSpaceDE/>
        <w:autoSpaceDN/>
        <w:snapToGrid w:val="0"/>
        <w:jc w:val="both"/>
        <w:rPr>
          <w:rFonts w:eastAsia="宋体"/>
          <w:color w:val="000000"/>
          <w:sz w:val="24"/>
          <w:szCs w:val="24"/>
        </w:rPr>
      </w:pPr>
    </w:p>
    <w:p w14:paraId="6B432178">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无不良临床发现或动物死亡；或</w:t>
      </w:r>
    </w:p>
    <w:p w14:paraId="346E6C3E">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49"/>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14:paraId="32A4668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528" w:type="dxa"/>
            <w:shd w:val="clear" w:color="auto" w:fill="FFFFFF"/>
            <w:tcMar>
              <w:left w:w="57" w:type="dxa"/>
              <w:right w:w="57" w:type="dxa"/>
            </w:tcMar>
          </w:tcPr>
          <w:p w14:paraId="24280DD9">
            <w:pPr>
              <w:autoSpaceDE/>
              <w:autoSpaceDN/>
              <w:snapToGrid w:val="0"/>
              <w:jc w:val="both"/>
              <w:rPr>
                <w:rFonts w:eastAsia="宋体"/>
                <w:sz w:val="24"/>
                <w:szCs w:val="24"/>
              </w:rPr>
            </w:pPr>
          </w:p>
          <w:p w14:paraId="5CC9F63B">
            <w:pPr>
              <w:autoSpaceDE/>
              <w:autoSpaceDN/>
              <w:snapToGrid w:val="0"/>
              <w:jc w:val="both"/>
              <w:rPr>
                <w:rFonts w:eastAsia="宋体"/>
                <w:sz w:val="24"/>
                <w:szCs w:val="24"/>
              </w:rPr>
            </w:pPr>
          </w:p>
        </w:tc>
      </w:tr>
      <w:tr w14:paraId="16133A7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528" w:type="dxa"/>
            <w:shd w:val="clear" w:color="auto" w:fill="FFFFFF"/>
            <w:tcMar>
              <w:left w:w="57" w:type="dxa"/>
              <w:right w:w="57" w:type="dxa"/>
            </w:tcMar>
          </w:tcPr>
          <w:p w14:paraId="057C8322">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14:paraId="1C33D6B8">
      <w:pPr>
        <w:autoSpaceDE/>
        <w:autoSpaceDN/>
        <w:snapToGrid w:val="0"/>
        <w:jc w:val="both"/>
        <w:rPr>
          <w:rFonts w:eastAsia="宋体"/>
          <w:color w:val="000000"/>
          <w:sz w:val="24"/>
          <w:szCs w:val="24"/>
        </w:rPr>
      </w:pPr>
    </w:p>
    <w:p w14:paraId="6A10D997">
      <w:pPr>
        <w:autoSpaceDE/>
        <w:autoSpaceDN/>
        <w:snapToGrid w:val="0"/>
        <w:jc w:val="both"/>
        <w:rPr>
          <w:rFonts w:eastAsia="宋体"/>
          <w:sz w:val="24"/>
          <w:szCs w:val="24"/>
        </w:rPr>
      </w:pPr>
      <w:r>
        <w:rPr>
          <w:rFonts w:eastAsia="宋体"/>
          <w:color w:val="000000"/>
          <w:sz w:val="24"/>
          <w:szCs w:val="24"/>
        </w:rPr>
        <w:t>我确认：</w:t>
      </w:r>
    </w:p>
    <w:p w14:paraId="2DECD391">
      <w:pPr>
        <w:tabs>
          <w:tab w:val="left" w:pos="3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62EC0BCC">
      <w:pPr>
        <w:tabs>
          <w:tab w:val="left" w:pos="3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14:paraId="047FAF70">
      <w:pPr>
        <w:tabs>
          <w:tab w:val="left" w:pos="8203"/>
        </w:tabs>
        <w:autoSpaceDE/>
        <w:autoSpaceDN/>
        <w:snapToGrid w:val="0"/>
        <w:jc w:val="both"/>
        <w:rPr>
          <w:rFonts w:eastAsia="宋体"/>
          <w:color w:val="000000"/>
          <w:sz w:val="24"/>
          <w:szCs w:val="24"/>
        </w:rPr>
      </w:pPr>
    </w:p>
    <w:p w14:paraId="5C256EF9">
      <w:pPr>
        <w:tabs>
          <w:tab w:val="left" w:pos="8203"/>
        </w:tabs>
        <w:autoSpaceDE/>
        <w:autoSpaceDN/>
        <w:snapToGrid w:val="0"/>
        <w:jc w:val="both"/>
        <w:rPr>
          <w:rFonts w:eastAsia="宋体"/>
          <w:color w:val="000000"/>
          <w:sz w:val="24"/>
          <w:szCs w:val="24"/>
        </w:rPr>
      </w:pPr>
    </w:p>
    <w:p w14:paraId="06A9D73F">
      <w:pPr>
        <w:pBdr>
          <w:bottom w:val="single" w:color="auto" w:sz="6" w:space="1"/>
        </w:pBdr>
        <w:tabs>
          <w:tab w:val="left" w:pos="8203"/>
        </w:tabs>
        <w:autoSpaceDE/>
        <w:autoSpaceDN/>
        <w:snapToGrid w:val="0"/>
        <w:jc w:val="both"/>
        <w:rPr>
          <w:rFonts w:eastAsia="宋体"/>
          <w:color w:val="000000"/>
          <w:sz w:val="24"/>
          <w:szCs w:val="24"/>
        </w:rPr>
      </w:pPr>
    </w:p>
    <w:p w14:paraId="720A86DD">
      <w:pPr>
        <w:tabs>
          <w:tab w:val="left" w:pos="8203"/>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040C10FF">
      <w:pPr>
        <w:autoSpaceDE/>
        <w:autoSpaceDN/>
        <w:snapToGrid w:val="0"/>
        <w:jc w:val="both"/>
        <w:rPr>
          <w:rFonts w:eastAsia="宋体"/>
          <w:sz w:val="24"/>
          <w:szCs w:val="24"/>
        </w:rPr>
      </w:pPr>
    </w:p>
    <w:p w14:paraId="07CC559C">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2A8C4C6B">
      <w:pPr>
        <w:pStyle w:val="2"/>
        <w:autoSpaceDE/>
        <w:autoSpaceDN/>
        <w:spacing w:before="240" w:after="240"/>
        <w:rPr>
          <w:rFonts w:eastAsia="宋体"/>
        </w:rPr>
      </w:pPr>
      <w:bookmarkStart w:id="41" w:name="bookmark53"/>
      <w:bookmarkEnd w:id="41"/>
      <w:bookmarkStart w:id="42" w:name="_Toc97473520"/>
      <w:bookmarkStart w:id="43" w:name="_Toc98778569"/>
      <w:r>
        <w:rPr>
          <w:rFonts w:eastAsia="宋体"/>
        </w:rPr>
        <w:t>附录E：医疗器械的生物相容性试验的ASCA汇总试验报告示例：豚鼠最大剂量致敏性（ISO 10993-10）</w:t>
      </w:r>
      <w:bookmarkEnd w:id="42"/>
      <w:bookmarkEnd w:id="43"/>
    </w:p>
    <w:p w14:paraId="18B45D4C">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在医疗器械上市前提交中适当使用自愿性共识标准。</w:t>
      </w:r>
      <w:r>
        <w:rPr>
          <w:rFonts w:eastAsia="宋体"/>
          <w:i/>
          <w:iCs/>
          <w:color w:val="000000"/>
          <w:sz w:val="24"/>
          <w:szCs w:val="24"/>
        </w:rPr>
        <w:t>ASCA汇总试验报告由检测实验室提供给器械制造商。</w:t>
      </w:r>
    </w:p>
    <w:p w14:paraId="0B4A8D5C">
      <w:pPr>
        <w:autoSpaceDE/>
        <w:autoSpaceDN/>
        <w:snapToGrid w:val="0"/>
        <w:jc w:val="both"/>
        <w:rPr>
          <w:rFonts w:eastAsia="宋体"/>
          <w:b/>
          <w:bCs/>
          <w:color w:val="000000"/>
          <w:sz w:val="24"/>
          <w:szCs w:val="24"/>
        </w:rPr>
      </w:pPr>
    </w:p>
    <w:p w14:paraId="107427D7">
      <w:pPr>
        <w:autoSpaceDE/>
        <w:autoSpaceDN/>
        <w:snapToGrid w:val="0"/>
        <w:jc w:val="both"/>
        <w:rPr>
          <w:rFonts w:eastAsia="宋体"/>
          <w:sz w:val="24"/>
          <w:szCs w:val="24"/>
        </w:rPr>
      </w:pPr>
      <w:r>
        <w:rPr>
          <w:rFonts w:eastAsia="宋体"/>
          <w:b/>
          <w:bCs/>
          <w:color w:val="000000"/>
          <w:sz w:val="24"/>
          <w:szCs w:val="24"/>
        </w:rPr>
        <w:t>管理信息</w:t>
      </w:r>
    </w:p>
    <w:p w14:paraId="4431F77F">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1CE0A652">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4E0B1D71">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51B82C53">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4B785942">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494E7E5F">
      <w:pPr>
        <w:tabs>
          <w:tab w:val="left" w:pos="993"/>
        </w:tabs>
        <w:autoSpaceDE/>
        <w:autoSpaceDN/>
        <w:snapToGrid w:val="0"/>
        <w:ind w:left="614" w:leftChars="307"/>
        <w:jc w:val="both"/>
        <w:rPr>
          <w:rFonts w:eastAsia="宋体"/>
          <w:b/>
          <w:bCs/>
          <w:i/>
          <w:i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50"/>
      </w:r>
    </w:p>
    <w:p w14:paraId="464E2567">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17C3120B">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14:paraId="551F55D8">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44" w:type="pct"/>
        <w:tblInd w:w="137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8036"/>
      </w:tblGrid>
      <w:tr w14:paraId="044255A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14:paraId="55EA4BE2">
            <w:pPr>
              <w:autoSpaceDE/>
              <w:autoSpaceDN/>
              <w:snapToGrid w:val="0"/>
              <w:jc w:val="both"/>
              <w:rPr>
                <w:rFonts w:eastAsia="宋体"/>
                <w:sz w:val="24"/>
                <w:szCs w:val="24"/>
              </w:rPr>
            </w:pPr>
          </w:p>
          <w:p w14:paraId="7236A6F2">
            <w:pPr>
              <w:autoSpaceDE/>
              <w:autoSpaceDN/>
              <w:snapToGrid w:val="0"/>
              <w:jc w:val="both"/>
              <w:rPr>
                <w:rFonts w:eastAsia="宋体"/>
                <w:sz w:val="24"/>
                <w:szCs w:val="24"/>
              </w:rPr>
            </w:pPr>
          </w:p>
        </w:tc>
      </w:tr>
      <w:tr w14:paraId="016CAFD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36" w:type="dxa"/>
            <w:shd w:val="clear" w:color="auto" w:fill="FFFFFF"/>
            <w:tcMar>
              <w:left w:w="57" w:type="dxa"/>
              <w:right w:w="57" w:type="dxa"/>
            </w:tcMar>
          </w:tcPr>
          <w:p w14:paraId="48389E1A">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032A5A8B">
      <w:pPr>
        <w:tabs>
          <w:tab w:val="left" w:leader="underscore" w:pos="8222"/>
        </w:tabs>
        <w:autoSpaceDE/>
        <w:autoSpaceDN/>
        <w:snapToGrid w:val="0"/>
        <w:jc w:val="both"/>
        <w:rPr>
          <w:rFonts w:eastAsia="宋体"/>
          <w:b/>
          <w:bCs/>
          <w:color w:val="000000"/>
          <w:sz w:val="24"/>
          <w:szCs w:val="24"/>
        </w:rPr>
      </w:pPr>
    </w:p>
    <w:p w14:paraId="13F439AE">
      <w:pPr>
        <w:tabs>
          <w:tab w:val="left" w:pos="801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14:paraId="03C85AFA">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14:paraId="47B33780">
      <w:pPr>
        <w:tabs>
          <w:tab w:val="left" w:pos="355"/>
          <w:tab w:val="left" w:leader="underscore" w:pos="8222"/>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51"/>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722FBA1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84" w:type="dxa"/>
            <w:shd w:val="clear" w:color="auto" w:fill="FFFFFF"/>
            <w:tcMar>
              <w:left w:w="57" w:type="dxa"/>
              <w:right w:w="57" w:type="dxa"/>
            </w:tcMar>
          </w:tcPr>
          <w:p w14:paraId="0AE29B21">
            <w:pPr>
              <w:autoSpaceDE/>
              <w:autoSpaceDN/>
              <w:snapToGrid w:val="0"/>
              <w:jc w:val="both"/>
              <w:rPr>
                <w:rFonts w:eastAsia="宋体"/>
                <w:sz w:val="24"/>
                <w:szCs w:val="24"/>
              </w:rPr>
            </w:pPr>
          </w:p>
          <w:p w14:paraId="311E1530">
            <w:pPr>
              <w:autoSpaceDE/>
              <w:autoSpaceDN/>
              <w:snapToGrid w:val="0"/>
              <w:jc w:val="both"/>
              <w:rPr>
                <w:rFonts w:eastAsia="宋体"/>
                <w:sz w:val="24"/>
                <w:szCs w:val="24"/>
              </w:rPr>
            </w:pPr>
          </w:p>
        </w:tc>
      </w:tr>
      <w:tr w14:paraId="2DE678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84" w:type="dxa"/>
            <w:shd w:val="clear" w:color="auto" w:fill="FFFFFF"/>
            <w:tcMar>
              <w:left w:w="57" w:type="dxa"/>
              <w:right w:w="57" w:type="dxa"/>
            </w:tcMar>
          </w:tcPr>
          <w:p w14:paraId="2727715B">
            <w:pPr>
              <w:autoSpaceDE/>
              <w:autoSpaceDN/>
              <w:snapToGrid w:val="0"/>
              <w:jc w:val="both"/>
              <w:rPr>
                <w:rFonts w:eastAsia="宋体"/>
                <w:sz w:val="24"/>
                <w:szCs w:val="24"/>
              </w:rPr>
            </w:pPr>
            <w:r>
              <w:rPr>
                <w:rFonts w:eastAsia="宋体"/>
                <w:i/>
                <w:iCs/>
                <w:color w:val="000000"/>
                <w:sz w:val="24"/>
                <w:szCs w:val="24"/>
              </w:rPr>
              <w:t>偏离/修正案的描述</w:t>
            </w:r>
          </w:p>
        </w:tc>
      </w:tr>
    </w:tbl>
    <w:p w14:paraId="3C76EA13">
      <w:pPr>
        <w:autoSpaceDE/>
        <w:autoSpaceDN/>
        <w:snapToGrid w:val="0"/>
        <w:jc w:val="both"/>
        <w:rPr>
          <w:rFonts w:eastAsia="宋体"/>
          <w:b/>
          <w:bCs/>
          <w:color w:val="000000"/>
          <w:sz w:val="24"/>
          <w:szCs w:val="24"/>
        </w:rPr>
      </w:pPr>
    </w:p>
    <w:p w14:paraId="6249297C">
      <w:pPr>
        <w:autoSpaceDE/>
        <w:autoSpaceDN/>
        <w:snapToGrid w:val="0"/>
        <w:jc w:val="both"/>
        <w:rPr>
          <w:rFonts w:eastAsia="宋体"/>
          <w:sz w:val="24"/>
          <w:szCs w:val="24"/>
        </w:rPr>
      </w:pPr>
      <w:r>
        <w:rPr>
          <w:rFonts w:eastAsia="宋体"/>
          <w:b/>
          <w:bCs/>
          <w:color w:val="000000"/>
          <w:sz w:val="24"/>
          <w:szCs w:val="24"/>
        </w:rPr>
        <w:t>浸提溶剂：</w:t>
      </w:r>
    </w:p>
    <w:p w14:paraId="22C31E19">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14:paraId="1479E2BE">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14:paraId="13863BE4">
      <w:pPr>
        <w:tabs>
          <w:tab w:val="left" w:pos="187"/>
        </w:tabs>
        <w:autoSpaceDE/>
        <w:autoSpaceDN/>
        <w:snapToGrid w:val="0"/>
        <w:jc w:val="both"/>
        <w:rPr>
          <w:rFonts w:eastAsia="宋体"/>
          <w:sz w:val="24"/>
          <w:szCs w:val="24"/>
        </w:rPr>
      </w:pPr>
    </w:p>
    <w:p w14:paraId="1F87D90E">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317D349">
      <w:pPr>
        <w:tabs>
          <w:tab w:val="left" w:pos="3828"/>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52"/>
      </w:r>
      <w:r>
        <w:rPr>
          <w:rFonts w:eastAsia="宋体"/>
          <w:i/>
          <w:iCs/>
          <w:color w:val="000000"/>
          <w:sz w:val="24"/>
          <w:szCs w:val="24"/>
          <w:u w:val="single"/>
        </w:rPr>
        <w:t>[描述]</w:t>
      </w:r>
      <w:r>
        <w:rPr>
          <w:rFonts w:eastAsia="宋体"/>
          <w:sz w:val="24"/>
          <w:szCs w:val="24"/>
          <w:u w:val="single"/>
        </w:rPr>
        <w:tab/>
      </w:r>
    </w:p>
    <w:p w14:paraId="14510B94">
      <w:pPr>
        <w:autoSpaceDE/>
        <w:autoSpaceDN/>
        <w:snapToGrid w:val="0"/>
        <w:jc w:val="both"/>
        <w:rPr>
          <w:rFonts w:eastAsia="宋体"/>
          <w:sz w:val="24"/>
          <w:szCs w:val="24"/>
        </w:rPr>
      </w:pPr>
      <w:r>
        <w:rPr>
          <w:rFonts w:eastAsia="宋体"/>
          <w:b/>
          <w:bCs/>
          <w:color w:val="000000"/>
          <w:sz w:val="24"/>
          <w:szCs w:val="24"/>
        </w:rPr>
        <w:t>浸提率：</w:t>
      </w:r>
    </w:p>
    <w:p w14:paraId="078954C5">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4CC01561">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14:paraId="489F6FF2">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14:paraId="4E569460">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53"/>
      </w:r>
      <w:r>
        <w:rPr>
          <w:rFonts w:eastAsia="宋体"/>
          <w:i/>
          <w:iCs/>
          <w:color w:val="000000"/>
          <w:sz w:val="24"/>
          <w:szCs w:val="24"/>
          <w:u w:val="single"/>
        </w:rPr>
        <w:t>[描述]</w:t>
      </w:r>
      <w:r>
        <w:rPr>
          <w:rFonts w:eastAsia="宋体"/>
          <w:color w:val="000000"/>
          <w:sz w:val="24"/>
          <w:szCs w:val="24"/>
          <w:u w:val="single"/>
        </w:rPr>
        <w:tab/>
      </w:r>
    </w:p>
    <w:p w14:paraId="0D2C7AC3">
      <w:pPr>
        <w:autoSpaceDE/>
        <w:autoSpaceDN/>
        <w:snapToGrid w:val="0"/>
        <w:jc w:val="both"/>
        <w:rPr>
          <w:rFonts w:eastAsia="宋体"/>
          <w:sz w:val="24"/>
          <w:szCs w:val="24"/>
        </w:rPr>
      </w:pPr>
      <w:r>
        <w:rPr>
          <w:rFonts w:eastAsia="宋体"/>
          <w:b/>
          <w:bCs/>
          <w:color w:val="000000"/>
          <w:sz w:val="24"/>
          <w:szCs w:val="24"/>
        </w:rPr>
        <w:t>浸提条件：</w:t>
      </w:r>
    </w:p>
    <w:p w14:paraId="4BFBE2BD">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14:paraId="26116F28">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14:paraId="1450CD29">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14:paraId="732800D1">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14:paraId="1A2BC1DB">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54"/>
      </w:r>
      <w:r>
        <w:rPr>
          <w:rFonts w:eastAsia="宋体"/>
          <w:i/>
          <w:iCs/>
          <w:color w:val="000000"/>
          <w:sz w:val="24"/>
          <w:szCs w:val="24"/>
          <w:u w:val="single"/>
        </w:rPr>
        <w:t>[描述]</w:t>
      </w:r>
      <w:r>
        <w:rPr>
          <w:rFonts w:eastAsia="宋体"/>
          <w:color w:val="000000"/>
          <w:sz w:val="24"/>
          <w:szCs w:val="24"/>
          <w:u w:val="single"/>
        </w:rPr>
        <w:tab/>
      </w:r>
    </w:p>
    <w:p w14:paraId="423833FF">
      <w:pPr>
        <w:autoSpaceDE/>
        <w:autoSpaceDN/>
        <w:snapToGrid w:val="0"/>
        <w:jc w:val="both"/>
        <w:rPr>
          <w:rFonts w:eastAsia="宋体"/>
          <w:b/>
          <w:bCs/>
          <w:color w:val="000000"/>
          <w:sz w:val="24"/>
          <w:szCs w:val="24"/>
        </w:rPr>
      </w:pPr>
    </w:p>
    <w:p w14:paraId="41072324">
      <w:pPr>
        <w:autoSpaceDE/>
        <w:autoSpaceDN/>
        <w:snapToGrid w:val="0"/>
        <w:jc w:val="both"/>
        <w:rPr>
          <w:rFonts w:eastAsia="宋体"/>
          <w:sz w:val="24"/>
          <w:szCs w:val="24"/>
        </w:rPr>
      </w:pPr>
      <w:r>
        <w:rPr>
          <w:rFonts w:eastAsia="宋体"/>
          <w:b/>
          <w:bCs/>
          <w:color w:val="000000"/>
          <w:sz w:val="24"/>
          <w:szCs w:val="24"/>
        </w:rPr>
        <w:t>液体路径浸提：</w:t>
      </w:r>
    </w:p>
    <w:p w14:paraId="44F8F3FA">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55"/>
      </w:r>
    </w:p>
    <w:p w14:paraId="184FE447">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14:paraId="47FCC537">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14:paraId="04024CC3">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14:paraId="34FD094A">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14:paraId="696C8F84">
      <w:pPr>
        <w:autoSpaceDE/>
        <w:autoSpaceDN/>
        <w:snapToGrid w:val="0"/>
        <w:jc w:val="both"/>
        <w:rPr>
          <w:rFonts w:eastAsia="宋体"/>
          <w:sz w:val="24"/>
          <w:szCs w:val="24"/>
        </w:rPr>
      </w:pPr>
    </w:p>
    <w:p w14:paraId="41B1AE16">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14:paraId="28DFB084">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56"/>
      </w:r>
    </w:p>
    <w:p w14:paraId="24D09383">
      <w:pPr>
        <w:tabs>
          <w:tab w:val="left" w:pos="178"/>
        </w:tabs>
        <w:autoSpaceDE/>
        <w:autoSpaceDN/>
        <w:snapToGrid w:val="0"/>
        <w:jc w:val="both"/>
        <w:rPr>
          <w:rFonts w:eastAsia="宋体"/>
          <w:color w:val="000000"/>
          <w:sz w:val="24"/>
          <w:szCs w:val="24"/>
          <w:vertAlign w:val="superscript"/>
        </w:rPr>
      </w:pPr>
    </w:p>
    <w:p w14:paraId="642EDC43">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27D1CB11">
      <w:pPr>
        <w:tabs>
          <w:tab w:val="left" w:pos="8670"/>
        </w:tabs>
        <w:autoSpaceDE/>
        <w:autoSpaceDN/>
        <w:snapToGrid w:val="0"/>
        <w:jc w:val="both"/>
        <w:rPr>
          <w:rFonts w:eastAsia="宋体"/>
          <w:sz w:val="24"/>
          <w:szCs w:val="24"/>
        </w:rPr>
      </w:pPr>
      <w:r>
        <w:rPr>
          <w:rFonts w:eastAsia="宋体"/>
          <w:b/>
          <w:bCs/>
          <w:color w:val="000000"/>
          <w:sz w:val="24"/>
          <w:szCs w:val="24"/>
        </w:rPr>
        <w:t>ASCA试验方法SOP#：</w:t>
      </w:r>
      <w:r>
        <w:rPr>
          <w:rFonts w:eastAsia="宋体"/>
          <w:i/>
          <w:iCs/>
          <w:color w:val="000000"/>
          <w:sz w:val="24"/>
          <w:szCs w:val="24"/>
          <w:u w:val="single"/>
        </w:rPr>
        <w:t>[ASCAMaximizationSensi（日期/版本）]</w:t>
      </w:r>
      <w:r>
        <w:rPr>
          <w:rFonts w:eastAsia="宋体"/>
          <w:i/>
          <w:iCs/>
          <w:color w:val="000000"/>
          <w:sz w:val="24"/>
          <w:szCs w:val="24"/>
          <w:u w:val="single"/>
        </w:rPr>
        <w:tab/>
      </w:r>
    </w:p>
    <w:p w14:paraId="1329C001">
      <w:pPr>
        <w:tabs>
          <w:tab w:val="left" w:pos="370"/>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157DE941">
      <w:pPr>
        <w:tabs>
          <w:tab w:val="left" w:pos="370"/>
        </w:tabs>
        <w:autoSpaceDE/>
        <w:autoSpaceDN/>
        <w:snapToGrid w:val="0"/>
        <w:jc w:val="both"/>
        <w:rPr>
          <w:rFonts w:eastAsia="宋体"/>
          <w:b/>
          <w:bCs/>
          <w:color w:val="000000"/>
          <w:sz w:val="24"/>
          <w:szCs w:val="24"/>
        </w:rPr>
      </w:pPr>
      <w:r>
        <w:rPr>
          <w:rFonts w:eastAsia="宋体"/>
          <w:color w:val="000000"/>
          <w:sz w:val="24"/>
          <w:szCs w:val="24"/>
        </w:rPr>
        <w:t>或</w:t>
      </w:r>
    </w:p>
    <w:p w14:paraId="20421FF6">
      <w:pPr>
        <w:tabs>
          <w:tab w:val="left" w:pos="370"/>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57"/>
      </w:r>
    </w:p>
    <w:tbl>
      <w:tblPr>
        <w:tblStyle w:val="13"/>
        <w:tblW w:w="9110"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110"/>
      </w:tblGrid>
      <w:tr w14:paraId="6DAF8C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110" w:type="dxa"/>
            <w:shd w:val="clear" w:color="auto" w:fill="FFFFFF"/>
            <w:tcMar>
              <w:left w:w="57" w:type="dxa"/>
              <w:right w:w="57" w:type="dxa"/>
            </w:tcMar>
          </w:tcPr>
          <w:p w14:paraId="1E338ED8">
            <w:pPr>
              <w:autoSpaceDE/>
              <w:autoSpaceDN/>
              <w:snapToGrid w:val="0"/>
              <w:jc w:val="both"/>
              <w:rPr>
                <w:rFonts w:eastAsia="宋体"/>
                <w:sz w:val="24"/>
                <w:szCs w:val="24"/>
              </w:rPr>
            </w:pPr>
          </w:p>
          <w:p w14:paraId="7B2BF8C8">
            <w:pPr>
              <w:autoSpaceDE/>
              <w:autoSpaceDN/>
              <w:snapToGrid w:val="0"/>
              <w:jc w:val="both"/>
              <w:rPr>
                <w:rFonts w:eastAsia="宋体"/>
                <w:sz w:val="24"/>
                <w:szCs w:val="24"/>
              </w:rPr>
            </w:pPr>
          </w:p>
        </w:tc>
      </w:tr>
      <w:tr w14:paraId="3E94A4B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110" w:type="dxa"/>
            <w:shd w:val="clear" w:color="auto" w:fill="FFFFFF"/>
            <w:tcMar>
              <w:left w:w="57" w:type="dxa"/>
              <w:right w:w="57" w:type="dxa"/>
            </w:tcMar>
          </w:tcPr>
          <w:p w14:paraId="20780BDA">
            <w:pPr>
              <w:autoSpaceDE/>
              <w:autoSpaceDN/>
              <w:snapToGrid w:val="0"/>
              <w:jc w:val="both"/>
              <w:rPr>
                <w:rFonts w:eastAsia="宋体"/>
                <w:sz w:val="24"/>
                <w:szCs w:val="24"/>
              </w:rPr>
            </w:pPr>
            <w:r>
              <w:rPr>
                <w:rFonts w:eastAsia="宋体"/>
                <w:i/>
                <w:iCs/>
                <w:color w:val="000000"/>
                <w:sz w:val="24"/>
                <w:szCs w:val="24"/>
              </w:rPr>
              <w:t>偏离/修正案的描述</w:t>
            </w:r>
          </w:p>
        </w:tc>
      </w:tr>
    </w:tbl>
    <w:p w14:paraId="12D22CEC">
      <w:pPr>
        <w:autoSpaceDE/>
        <w:autoSpaceDN/>
        <w:snapToGrid w:val="0"/>
        <w:jc w:val="both"/>
        <w:rPr>
          <w:rFonts w:eastAsia="宋体"/>
          <w:color w:val="000000"/>
          <w:sz w:val="24"/>
          <w:szCs w:val="24"/>
          <w:vertAlign w:val="superscript"/>
        </w:rPr>
      </w:pPr>
    </w:p>
    <w:p w14:paraId="7F21E962">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583258A1">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58"/>
      </w:r>
    </w:p>
    <w:p w14:paraId="6F74EE7C">
      <w:pPr>
        <w:autoSpaceDE/>
        <w:autoSpaceDN/>
        <w:snapToGrid w:val="0"/>
        <w:jc w:val="both"/>
        <w:rPr>
          <w:rFonts w:eastAsia="宋体"/>
          <w:b/>
          <w:bCs/>
          <w:color w:val="000000"/>
          <w:sz w:val="24"/>
          <w:szCs w:val="24"/>
        </w:rPr>
      </w:pPr>
    </w:p>
    <w:p w14:paraId="4B0DF52F">
      <w:pPr>
        <w:autoSpaceDE/>
        <w:autoSpaceDN/>
        <w:snapToGrid w:val="0"/>
        <w:jc w:val="center"/>
        <w:rPr>
          <w:rFonts w:eastAsia="宋体"/>
          <w:sz w:val="24"/>
          <w:szCs w:val="24"/>
        </w:rPr>
      </w:pPr>
      <w:r>
        <w:rPr>
          <w:rFonts w:eastAsia="宋体"/>
          <w:b/>
          <w:bCs/>
          <w:color w:val="000000"/>
          <w:sz w:val="24"/>
          <w:szCs w:val="24"/>
        </w:rPr>
        <w:t>表1致敏性评分汇总</w:t>
      </w:r>
    </w:p>
    <w:tbl>
      <w:tblPr>
        <w:tblStyle w:val="13"/>
        <w:tblW w:w="0" w:type="auto"/>
        <w:tblInd w:w="0" w:type="dxa"/>
        <w:tblLayout w:type="fixed"/>
        <w:tblCellMar>
          <w:top w:w="0" w:type="dxa"/>
          <w:left w:w="57" w:type="dxa"/>
          <w:bottom w:w="0" w:type="dxa"/>
          <w:right w:w="57" w:type="dxa"/>
        </w:tblCellMar>
      </w:tblPr>
      <w:tblGrid>
        <w:gridCol w:w="2362"/>
        <w:gridCol w:w="1038"/>
        <w:gridCol w:w="998"/>
        <w:gridCol w:w="644"/>
        <w:gridCol w:w="992"/>
        <w:gridCol w:w="648"/>
        <w:gridCol w:w="1443"/>
        <w:gridCol w:w="1343"/>
      </w:tblGrid>
      <w:tr w14:paraId="50C82A4C">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3F4F1307">
            <w:pPr>
              <w:autoSpaceDE/>
              <w:autoSpaceDN/>
              <w:snapToGrid w:val="0"/>
              <w:jc w:val="both"/>
              <w:rPr>
                <w:rFonts w:eastAsia="宋体"/>
                <w:sz w:val="21"/>
                <w:szCs w:val="21"/>
              </w:rPr>
            </w:pPr>
            <w:r>
              <w:rPr>
                <w:rFonts w:eastAsia="宋体"/>
                <w:b/>
                <w:bCs/>
                <w:color w:val="000000"/>
                <w:sz w:val="21"/>
                <w:szCs w:val="21"/>
              </w:rPr>
              <w:t>组别</w:t>
            </w:r>
          </w:p>
        </w:tc>
        <w:tc>
          <w:tcPr>
            <w:tcW w:w="1038"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0F01DE26">
            <w:pPr>
              <w:autoSpaceDE/>
              <w:autoSpaceDN/>
              <w:snapToGrid w:val="0"/>
              <w:jc w:val="both"/>
              <w:rPr>
                <w:rFonts w:eastAsia="宋体"/>
                <w:sz w:val="21"/>
                <w:szCs w:val="21"/>
              </w:rPr>
            </w:pPr>
            <w:r>
              <w:rPr>
                <w:rFonts w:eastAsia="宋体"/>
                <w:b/>
                <w:bCs/>
                <w:color w:val="000000"/>
                <w:sz w:val="21"/>
                <w:szCs w:val="21"/>
              </w:rPr>
              <w:t>动物编号</w:t>
            </w:r>
          </w:p>
        </w:tc>
        <w:tc>
          <w:tcPr>
            <w:tcW w:w="164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A8F3B0">
            <w:pPr>
              <w:autoSpaceDE/>
              <w:autoSpaceDN/>
              <w:snapToGrid w:val="0"/>
              <w:jc w:val="center"/>
              <w:rPr>
                <w:rFonts w:eastAsia="宋体"/>
                <w:sz w:val="21"/>
                <w:szCs w:val="21"/>
              </w:rPr>
            </w:pPr>
            <w:r>
              <w:rPr>
                <w:rFonts w:eastAsia="宋体"/>
                <w:b/>
                <w:bCs/>
                <w:color w:val="000000"/>
                <w:sz w:val="21"/>
                <w:szCs w:val="21"/>
              </w:rPr>
              <w:t>24小时</w:t>
            </w:r>
          </w:p>
        </w:tc>
        <w:tc>
          <w:tcPr>
            <w:tcW w:w="1640"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DEC624">
            <w:pPr>
              <w:autoSpaceDE/>
              <w:autoSpaceDN/>
              <w:snapToGrid w:val="0"/>
              <w:jc w:val="center"/>
              <w:rPr>
                <w:rFonts w:eastAsia="宋体"/>
                <w:sz w:val="21"/>
                <w:szCs w:val="21"/>
              </w:rPr>
            </w:pPr>
            <w:r>
              <w:rPr>
                <w:rFonts w:eastAsia="宋体"/>
                <w:b/>
                <w:bCs/>
                <w:color w:val="000000"/>
                <w:sz w:val="21"/>
                <w:szCs w:val="21"/>
              </w:rPr>
              <w:t>48小时</w:t>
            </w:r>
          </w:p>
        </w:tc>
        <w:tc>
          <w:tcPr>
            <w:tcW w:w="14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C7B323">
            <w:pPr>
              <w:autoSpaceDE/>
              <w:autoSpaceDN/>
              <w:snapToGrid w:val="0"/>
              <w:jc w:val="center"/>
              <w:rPr>
                <w:rFonts w:eastAsia="宋体"/>
                <w:sz w:val="21"/>
                <w:szCs w:val="21"/>
              </w:rPr>
            </w:pPr>
            <w:r>
              <w:rPr>
                <w:rFonts w:eastAsia="宋体"/>
                <w:b/>
                <w:bCs/>
                <w:color w:val="000000"/>
                <w:sz w:val="21"/>
                <w:szCs w:val="21"/>
              </w:rPr>
              <w:t>致敏频率</w:t>
            </w:r>
          </w:p>
        </w:tc>
        <w:tc>
          <w:tcPr>
            <w:tcW w:w="13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6891BC">
            <w:pPr>
              <w:autoSpaceDE/>
              <w:autoSpaceDN/>
              <w:snapToGrid w:val="0"/>
              <w:jc w:val="center"/>
              <w:rPr>
                <w:rFonts w:eastAsia="宋体"/>
                <w:sz w:val="21"/>
                <w:szCs w:val="21"/>
              </w:rPr>
            </w:pPr>
            <w:r>
              <w:rPr>
                <w:rFonts w:eastAsia="宋体"/>
                <w:b/>
                <w:bCs/>
                <w:color w:val="000000"/>
                <w:sz w:val="21"/>
                <w:szCs w:val="21"/>
              </w:rPr>
              <w:t>结论</w:t>
            </w:r>
          </w:p>
        </w:tc>
      </w:tr>
      <w:tr w14:paraId="2F4935DD">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39290D87">
            <w:pPr>
              <w:autoSpaceDE/>
              <w:autoSpaceDN/>
              <w:snapToGrid w:val="0"/>
              <w:jc w:val="both"/>
              <w:rPr>
                <w:rFonts w:eastAsia="宋体"/>
                <w:sz w:val="21"/>
                <w:szCs w:val="21"/>
              </w:rPr>
            </w:pPr>
          </w:p>
        </w:tc>
        <w:tc>
          <w:tcPr>
            <w:tcW w:w="1038"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2BA708D7">
            <w:pPr>
              <w:autoSpaceDE/>
              <w:autoSpaceDN/>
              <w:snapToGrid w:val="0"/>
              <w:jc w:val="both"/>
              <w:rPr>
                <w:rFonts w:eastAsia="宋体"/>
                <w:sz w:val="21"/>
                <w:szCs w:val="21"/>
              </w:rPr>
            </w:pP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EE473F">
            <w:pPr>
              <w:autoSpaceDE/>
              <w:autoSpaceDN/>
              <w:snapToGrid w:val="0"/>
              <w:jc w:val="both"/>
              <w:rPr>
                <w:rFonts w:eastAsia="宋体"/>
                <w:sz w:val="21"/>
                <w:szCs w:val="21"/>
              </w:rPr>
            </w:pPr>
            <w:r>
              <w:rPr>
                <w:rFonts w:eastAsia="宋体"/>
                <w:b/>
                <w:bCs/>
                <w:color w:val="000000"/>
                <w:sz w:val="21"/>
                <w:szCs w:val="21"/>
              </w:rPr>
              <w:t>对照部位</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6D367C">
            <w:pPr>
              <w:autoSpaceDE/>
              <w:autoSpaceDN/>
              <w:snapToGrid w:val="0"/>
              <w:jc w:val="both"/>
              <w:rPr>
                <w:rFonts w:eastAsia="宋体"/>
                <w:sz w:val="21"/>
                <w:szCs w:val="21"/>
              </w:rPr>
            </w:pPr>
            <w:r>
              <w:rPr>
                <w:rFonts w:eastAsia="宋体"/>
                <w:b/>
                <w:bCs/>
                <w:color w:val="000000"/>
                <w:sz w:val="21"/>
                <w:szCs w:val="21"/>
              </w:rPr>
              <w:t>试验部位</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DB5D23">
            <w:pPr>
              <w:autoSpaceDE/>
              <w:autoSpaceDN/>
              <w:snapToGrid w:val="0"/>
              <w:jc w:val="both"/>
              <w:rPr>
                <w:rFonts w:eastAsia="宋体"/>
                <w:sz w:val="21"/>
                <w:szCs w:val="21"/>
              </w:rPr>
            </w:pPr>
            <w:r>
              <w:rPr>
                <w:rFonts w:eastAsia="宋体"/>
                <w:b/>
                <w:bCs/>
                <w:color w:val="000000"/>
                <w:sz w:val="21"/>
                <w:szCs w:val="21"/>
              </w:rPr>
              <w:t>对照部位</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C8BA4B">
            <w:pPr>
              <w:autoSpaceDE/>
              <w:autoSpaceDN/>
              <w:snapToGrid w:val="0"/>
              <w:jc w:val="both"/>
              <w:rPr>
                <w:rFonts w:eastAsia="宋体"/>
                <w:sz w:val="21"/>
                <w:szCs w:val="21"/>
              </w:rPr>
            </w:pPr>
            <w:r>
              <w:rPr>
                <w:rFonts w:eastAsia="宋体"/>
                <w:b/>
                <w:bCs/>
                <w:color w:val="000000"/>
                <w:sz w:val="21"/>
                <w:szCs w:val="21"/>
              </w:rPr>
              <w:t>试验部位</w:t>
            </w:r>
          </w:p>
        </w:tc>
        <w:tc>
          <w:tcPr>
            <w:tcW w:w="14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296D46">
            <w:pPr>
              <w:autoSpaceDE/>
              <w:autoSpaceDN/>
              <w:snapToGrid w:val="0"/>
              <w:jc w:val="both"/>
              <w:rPr>
                <w:rFonts w:eastAsia="宋体"/>
                <w:sz w:val="21"/>
                <w:szCs w:val="21"/>
              </w:rPr>
            </w:pPr>
          </w:p>
        </w:tc>
        <w:tc>
          <w:tcPr>
            <w:tcW w:w="13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BE92A4">
            <w:pPr>
              <w:autoSpaceDE/>
              <w:autoSpaceDN/>
              <w:snapToGrid w:val="0"/>
              <w:jc w:val="both"/>
              <w:rPr>
                <w:rFonts w:eastAsia="宋体"/>
                <w:sz w:val="21"/>
                <w:szCs w:val="21"/>
              </w:rPr>
            </w:pPr>
          </w:p>
        </w:tc>
      </w:tr>
      <w:tr w14:paraId="23E39FB3">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44D1E381">
            <w:pPr>
              <w:autoSpaceDE/>
              <w:autoSpaceDN/>
              <w:snapToGrid w:val="0"/>
              <w:jc w:val="both"/>
              <w:rPr>
                <w:rFonts w:eastAsia="宋体"/>
                <w:sz w:val="21"/>
                <w:szCs w:val="21"/>
              </w:rPr>
            </w:pPr>
            <w:r>
              <w:rPr>
                <w:rFonts w:eastAsia="宋体"/>
                <w:b/>
                <w:bCs/>
                <w:color w:val="000000"/>
                <w:sz w:val="21"/>
                <w:szCs w:val="21"/>
              </w:rPr>
              <w:t>SC试验组</w:t>
            </w: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F798E2">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1BB914">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33A83C">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629716">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5DCB1F">
            <w:pPr>
              <w:autoSpaceDE/>
              <w:autoSpaceDN/>
              <w:snapToGrid w:val="0"/>
              <w:jc w:val="both"/>
              <w:rPr>
                <w:rFonts w:eastAsia="宋体"/>
                <w:sz w:val="21"/>
                <w:szCs w:val="21"/>
              </w:rPr>
            </w:pPr>
            <w:r>
              <w:rPr>
                <w:rFonts w:eastAsia="宋体"/>
                <w:color w:val="000000"/>
                <w:sz w:val="21"/>
                <w:szCs w:val="21"/>
              </w:rPr>
              <w:t>0</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46FF059D">
            <w:pPr>
              <w:autoSpaceDE/>
              <w:autoSpaceDN/>
              <w:snapToGrid w:val="0"/>
              <w:jc w:val="both"/>
              <w:rPr>
                <w:rFonts w:eastAsia="宋体"/>
                <w:sz w:val="21"/>
                <w:szCs w:val="21"/>
              </w:rPr>
            </w:pPr>
            <w:r>
              <w:rPr>
                <w:rFonts w:eastAsia="宋体"/>
                <w:color w:val="000000"/>
                <w:sz w:val="21"/>
                <w:szCs w:val="21"/>
              </w:rPr>
              <w:t>0%</w:t>
            </w:r>
          </w:p>
        </w:tc>
        <w:tc>
          <w:tcPr>
            <w:tcW w:w="1343"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325584BB">
            <w:pPr>
              <w:autoSpaceDE/>
              <w:autoSpaceDN/>
              <w:snapToGrid w:val="0"/>
              <w:jc w:val="both"/>
              <w:rPr>
                <w:rFonts w:eastAsia="宋体"/>
                <w:sz w:val="21"/>
                <w:szCs w:val="21"/>
              </w:rPr>
            </w:pPr>
            <w:r>
              <w:rPr>
                <w:rFonts w:eastAsia="宋体"/>
                <w:color w:val="000000"/>
                <w:sz w:val="21"/>
                <w:szCs w:val="21"/>
              </w:rPr>
              <w:t>非致敏物</w:t>
            </w:r>
          </w:p>
        </w:tc>
      </w:tr>
      <w:tr w14:paraId="1A74BB5E">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7C26FD1A">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7C7B43">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5E115C">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F3F893">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4473F4">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E17623">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01948B0C">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0ACE1ABE">
            <w:pPr>
              <w:autoSpaceDE/>
              <w:autoSpaceDN/>
              <w:snapToGrid w:val="0"/>
              <w:jc w:val="both"/>
              <w:rPr>
                <w:rFonts w:eastAsia="宋体"/>
                <w:sz w:val="21"/>
                <w:szCs w:val="21"/>
              </w:rPr>
            </w:pPr>
          </w:p>
        </w:tc>
      </w:tr>
      <w:tr w14:paraId="59EC8299">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399EDFCD">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39DD50">
            <w:pPr>
              <w:autoSpaceDE/>
              <w:autoSpaceDN/>
              <w:snapToGrid w:val="0"/>
              <w:jc w:val="both"/>
              <w:rPr>
                <w:rFonts w:eastAsia="宋体"/>
                <w:sz w:val="21"/>
                <w:szCs w:val="21"/>
              </w:rPr>
            </w:pPr>
            <w:r>
              <w:rPr>
                <w:rFonts w:eastAsia="宋体"/>
                <w:b/>
                <w:bCs/>
                <w:color w:val="000000"/>
                <w:sz w:val="21"/>
                <w:szCs w:val="21"/>
              </w:rPr>
              <w:t>3</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6D777B">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CD10FD">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121325">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A11A2A">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37A092D9">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56EB5B97">
            <w:pPr>
              <w:autoSpaceDE/>
              <w:autoSpaceDN/>
              <w:snapToGrid w:val="0"/>
              <w:jc w:val="both"/>
              <w:rPr>
                <w:rFonts w:eastAsia="宋体"/>
                <w:sz w:val="21"/>
                <w:szCs w:val="21"/>
              </w:rPr>
            </w:pPr>
          </w:p>
        </w:tc>
      </w:tr>
      <w:tr w14:paraId="67AC02D2">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75360D5B">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060DFE">
            <w:pPr>
              <w:autoSpaceDE/>
              <w:autoSpaceDN/>
              <w:snapToGrid w:val="0"/>
              <w:jc w:val="both"/>
              <w:rPr>
                <w:rFonts w:eastAsia="宋体"/>
                <w:sz w:val="21"/>
                <w:szCs w:val="21"/>
              </w:rPr>
            </w:pPr>
            <w:r>
              <w:rPr>
                <w:rFonts w:eastAsia="宋体"/>
                <w:b/>
                <w:bCs/>
                <w:color w:val="000000"/>
                <w:sz w:val="21"/>
                <w:szCs w:val="21"/>
              </w:rPr>
              <w:t>4</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F8139E">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8B558B">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3106E4">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FB339F">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550512B3">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692C068E">
            <w:pPr>
              <w:autoSpaceDE/>
              <w:autoSpaceDN/>
              <w:snapToGrid w:val="0"/>
              <w:jc w:val="both"/>
              <w:rPr>
                <w:rFonts w:eastAsia="宋体"/>
                <w:sz w:val="21"/>
                <w:szCs w:val="21"/>
              </w:rPr>
            </w:pPr>
          </w:p>
        </w:tc>
      </w:tr>
      <w:tr w14:paraId="65A611CC">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02217161">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2381A1">
            <w:pPr>
              <w:autoSpaceDE/>
              <w:autoSpaceDN/>
              <w:snapToGrid w:val="0"/>
              <w:jc w:val="both"/>
              <w:rPr>
                <w:rFonts w:eastAsia="宋体"/>
                <w:sz w:val="21"/>
                <w:szCs w:val="21"/>
              </w:rPr>
            </w:pPr>
            <w:r>
              <w:rPr>
                <w:rFonts w:eastAsia="宋体"/>
                <w:b/>
                <w:bCs/>
                <w:color w:val="000000"/>
                <w:sz w:val="21"/>
                <w:szCs w:val="21"/>
              </w:rPr>
              <w:t>5</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844DD3">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87C6E6">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BBDBE5">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3C7BF5">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0DB01039">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76FCD79B">
            <w:pPr>
              <w:autoSpaceDE/>
              <w:autoSpaceDN/>
              <w:snapToGrid w:val="0"/>
              <w:jc w:val="both"/>
              <w:rPr>
                <w:rFonts w:eastAsia="宋体"/>
                <w:sz w:val="21"/>
                <w:szCs w:val="21"/>
              </w:rPr>
            </w:pPr>
          </w:p>
        </w:tc>
      </w:tr>
      <w:tr w14:paraId="40BA72F5">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7E035287">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F71C00">
            <w:pPr>
              <w:autoSpaceDE/>
              <w:autoSpaceDN/>
              <w:snapToGrid w:val="0"/>
              <w:jc w:val="both"/>
              <w:rPr>
                <w:rFonts w:eastAsia="宋体"/>
                <w:sz w:val="21"/>
                <w:szCs w:val="21"/>
              </w:rPr>
            </w:pPr>
            <w:r>
              <w:rPr>
                <w:rFonts w:eastAsia="宋体"/>
                <w:b/>
                <w:bCs/>
                <w:color w:val="000000"/>
                <w:sz w:val="21"/>
                <w:szCs w:val="21"/>
              </w:rPr>
              <w:t>6</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BA3509">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3660C2">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C51665">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C1BC01">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2F041659">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100480BB">
            <w:pPr>
              <w:autoSpaceDE/>
              <w:autoSpaceDN/>
              <w:snapToGrid w:val="0"/>
              <w:jc w:val="both"/>
              <w:rPr>
                <w:rFonts w:eastAsia="宋体"/>
                <w:sz w:val="21"/>
                <w:szCs w:val="21"/>
              </w:rPr>
            </w:pPr>
          </w:p>
        </w:tc>
      </w:tr>
      <w:tr w14:paraId="603A53AC">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049BB49F">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6E57EE">
            <w:pPr>
              <w:autoSpaceDE/>
              <w:autoSpaceDN/>
              <w:snapToGrid w:val="0"/>
              <w:jc w:val="both"/>
              <w:rPr>
                <w:rFonts w:eastAsia="宋体"/>
                <w:sz w:val="21"/>
                <w:szCs w:val="21"/>
              </w:rPr>
            </w:pPr>
            <w:r>
              <w:rPr>
                <w:rFonts w:eastAsia="宋体"/>
                <w:b/>
                <w:bCs/>
                <w:color w:val="000000"/>
                <w:sz w:val="21"/>
                <w:szCs w:val="21"/>
              </w:rPr>
              <w:t>7</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2A9113">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FE7D6C">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C7396D">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840407">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0639C01D">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059AB477">
            <w:pPr>
              <w:autoSpaceDE/>
              <w:autoSpaceDN/>
              <w:snapToGrid w:val="0"/>
              <w:jc w:val="both"/>
              <w:rPr>
                <w:rFonts w:eastAsia="宋体"/>
                <w:sz w:val="21"/>
                <w:szCs w:val="21"/>
              </w:rPr>
            </w:pPr>
          </w:p>
        </w:tc>
      </w:tr>
      <w:tr w14:paraId="08205DF7">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59861977">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D96BE4">
            <w:pPr>
              <w:autoSpaceDE/>
              <w:autoSpaceDN/>
              <w:snapToGrid w:val="0"/>
              <w:jc w:val="both"/>
              <w:rPr>
                <w:rFonts w:eastAsia="宋体"/>
                <w:sz w:val="21"/>
                <w:szCs w:val="21"/>
              </w:rPr>
            </w:pPr>
            <w:r>
              <w:rPr>
                <w:rFonts w:eastAsia="宋体"/>
                <w:b/>
                <w:bCs/>
                <w:color w:val="000000"/>
                <w:sz w:val="21"/>
                <w:szCs w:val="21"/>
              </w:rPr>
              <w:t>8</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F5B50F">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4E3524">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753D5A">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85F611">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250261AC">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3007FE69">
            <w:pPr>
              <w:autoSpaceDE/>
              <w:autoSpaceDN/>
              <w:snapToGrid w:val="0"/>
              <w:jc w:val="both"/>
              <w:rPr>
                <w:rFonts w:eastAsia="宋体"/>
                <w:sz w:val="21"/>
                <w:szCs w:val="21"/>
              </w:rPr>
            </w:pPr>
          </w:p>
        </w:tc>
      </w:tr>
      <w:tr w14:paraId="20ECB23B">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369F845E">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C0BD6F">
            <w:pPr>
              <w:autoSpaceDE/>
              <w:autoSpaceDN/>
              <w:snapToGrid w:val="0"/>
              <w:jc w:val="both"/>
              <w:rPr>
                <w:rFonts w:eastAsia="宋体"/>
                <w:sz w:val="21"/>
                <w:szCs w:val="21"/>
              </w:rPr>
            </w:pPr>
            <w:r>
              <w:rPr>
                <w:rFonts w:eastAsia="宋体"/>
                <w:b/>
                <w:bCs/>
                <w:color w:val="000000"/>
                <w:sz w:val="21"/>
                <w:szCs w:val="21"/>
              </w:rPr>
              <w:t>9</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37888D">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1CCB74">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F215131">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F55789">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62415503">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0896F9D5">
            <w:pPr>
              <w:autoSpaceDE/>
              <w:autoSpaceDN/>
              <w:snapToGrid w:val="0"/>
              <w:jc w:val="both"/>
              <w:rPr>
                <w:rFonts w:eastAsia="宋体"/>
                <w:sz w:val="21"/>
                <w:szCs w:val="21"/>
              </w:rPr>
            </w:pPr>
          </w:p>
        </w:tc>
      </w:tr>
      <w:tr w14:paraId="4167D521">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22B2D0AF">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864D7A">
            <w:pPr>
              <w:autoSpaceDE/>
              <w:autoSpaceDN/>
              <w:snapToGrid w:val="0"/>
              <w:jc w:val="both"/>
              <w:rPr>
                <w:rFonts w:eastAsia="宋体"/>
                <w:sz w:val="21"/>
                <w:szCs w:val="21"/>
              </w:rPr>
            </w:pPr>
            <w:r>
              <w:rPr>
                <w:rFonts w:eastAsia="宋体"/>
                <w:b/>
                <w:bCs/>
                <w:color w:val="000000"/>
                <w:sz w:val="21"/>
                <w:szCs w:val="21"/>
              </w:rPr>
              <w:t>10</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150D2D">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E396AE">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8AAC2B">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184C29">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0872B415">
            <w:pPr>
              <w:autoSpaceDE/>
              <w:autoSpaceDN/>
              <w:snapToGrid w:val="0"/>
              <w:jc w:val="both"/>
              <w:rPr>
                <w:rFonts w:eastAsia="宋体"/>
                <w:sz w:val="21"/>
                <w:szCs w:val="21"/>
              </w:rPr>
            </w:pPr>
          </w:p>
        </w:tc>
        <w:tc>
          <w:tcPr>
            <w:tcW w:w="134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05D24D0C">
            <w:pPr>
              <w:autoSpaceDE/>
              <w:autoSpaceDN/>
              <w:snapToGrid w:val="0"/>
              <w:jc w:val="both"/>
              <w:rPr>
                <w:rFonts w:eastAsia="宋体"/>
                <w:sz w:val="21"/>
                <w:szCs w:val="21"/>
              </w:rPr>
            </w:pPr>
          </w:p>
        </w:tc>
      </w:tr>
      <w:tr w14:paraId="74FE90CC">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5497B78A">
            <w:pPr>
              <w:autoSpaceDE/>
              <w:autoSpaceDN/>
              <w:snapToGrid w:val="0"/>
              <w:jc w:val="both"/>
              <w:rPr>
                <w:rFonts w:eastAsia="宋体"/>
                <w:sz w:val="21"/>
                <w:szCs w:val="21"/>
              </w:rPr>
            </w:pPr>
            <w:r>
              <w:rPr>
                <w:rFonts w:eastAsia="宋体"/>
                <w:b/>
                <w:bCs/>
                <w:color w:val="000000"/>
                <w:sz w:val="21"/>
                <w:szCs w:val="21"/>
              </w:rPr>
              <w:t>SC对照组</w:t>
            </w: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DEFEF9">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A69C95">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57F238">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9D6AA6">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07647C">
            <w:pPr>
              <w:autoSpaceDE/>
              <w:autoSpaceDN/>
              <w:snapToGrid w:val="0"/>
              <w:jc w:val="both"/>
              <w:rPr>
                <w:rFonts w:eastAsia="宋体"/>
                <w:sz w:val="21"/>
                <w:szCs w:val="21"/>
              </w:rPr>
            </w:pPr>
            <w:r>
              <w:rPr>
                <w:rFonts w:eastAsia="宋体"/>
                <w:color w:val="000000"/>
                <w:sz w:val="21"/>
                <w:szCs w:val="21"/>
              </w:rPr>
              <w:t>0</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29E5F727">
            <w:pPr>
              <w:autoSpaceDE/>
              <w:autoSpaceDN/>
              <w:snapToGrid w:val="0"/>
              <w:jc w:val="both"/>
              <w:rPr>
                <w:rFonts w:eastAsia="宋体"/>
                <w:sz w:val="21"/>
                <w:szCs w:val="21"/>
              </w:rPr>
            </w:pPr>
            <w:r>
              <w:rPr>
                <w:rFonts w:eastAsia="宋体"/>
                <w:color w:val="000000"/>
                <w:sz w:val="21"/>
                <w:szCs w:val="21"/>
              </w:rPr>
              <w:t>0%</w:t>
            </w:r>
          </w:p>
        </w:tc>
        <w:tc>
          <w:tcPr>
            <w:tcW w:w="1343"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030B82C2">
            <w:pPr>
              <w:autoSpaceDE/>
              <w:autoSpaceDN/>
              <w:snapToGrid w:val="0"/>
              <w:jc w:val="both"/>
              <w:rPr>
                <w:rFonts w:eastAsia="宋体"/>
                <w:sz w:val="21"/>
                <w:szCs w:val="21"/>
              </w:rPr>
            </w:pPr>
            <w:r>
              <w:rPr>
                <w:rFonts w:eastAsia="宋体"/>
                <w:color w:val="000000"/>
                <w:sz w:val="21"/>
                <w:szCs w:val="21"/>
              </w:rPr>
              <w:t>按预期执行</w:t>
            </w:r>
          </w:p>
        </w:tc>
      </w:tr>
      <w:tr w14:paraId="0BF70D18">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3DB3C5B1">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B070F7">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4966A8">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05F655">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3D3A2C">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76857F">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4741D8B7">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32889DC9">
            <w:pPr>
              <w:autoSpaceDE/>
              <w:autoSpaceDN/>
              <w:snapToGrid w:val="0"/>
              <w:jc w:val="both"/>
              <w:rPr>
                <w:rFonts w:eastAsia="宋体"/>
                <w:sz w:val="21"/>
                <w:szCs w:val="21"/>
              </w:rPr>
            </w:pPr>
          </w:p>
        </w:tc>
      </w:tr>
      <w:tr w14:paraId="20A163DE">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59C204CF">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7288B1">
            <w:pPr>
              <w:autoSpaceDE/>
              <w:autoSpaceDN/>
              <w:snapToGrid w:val="0"/>
              <w:jc w:val="both"/>
              <w:rPr>
                <w:rFonts w:eastAsia="宋体"/>
                <w:sz w:val="21"/>
                <w:szCs w:val="21"/>
              </w:rPr>
            </w:pPr>
            <w:r>
              <w:rPr>
                <w:rFonts w:eastAsia="宋体"/>
                <w:b/>
                <w:bCs/>
                <w:color w:val="000000"/>
                <w:sz w:val="21"/>
                <w:szCs w:val="21"/>
              </w:rPr>
              <w:t>3</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00AD7A">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73EF21">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E4664A">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5327FC">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02E60E8F">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607587A7">
            <w:pPr>
              <w:autoSpaceDE/>
              <w:autoSpaceDN/>
              <w:snapToGrid w:val="0"/>
              <w:jc w:val="both"/>
              <w:rPr>
                <w:rFonts w:eastAsia="宋体"/>
                <w:sz w:val="21"/>
                <w:szCs w:val="21"/>
              </w:rPr>
            </w:pPr>
          </w:p>
        </w:tc>
      </w:tr>
      <w:tr w14:paraId="0254FE17">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52D5D1B2">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69CC1C">
            <w:pPr>
              <w:autoSpaceDE/>
              <w:autoSpaceDN/>
              <w:snapToGrid w:val="0"/>
              <w:jc w:val="both"/>
              <w:rPr>
                <w:rFonts w:eastAsia="宋体"/>
                <w:sz w:val="21"/>
                <w:szCs w:val="21"/>
              </w:rPr>
            </w:pPr>
            <w:r>
              <w:rPr>
                <w:rFonts w:eastAsia="宋体"/>
                <w:b/>
                <w:bCs/>
                <w:color w:val="000000"/>
                <w:sz w:val="21"/>
                <w:szCs w:val="21"/>
              </w:rPr>
              <w:t>4</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09FDD3">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A581DC">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13E57E">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D582BE">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08657AA6">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3B11E712">
            <w:pPr>
              <w:autoSpaceDE/>
              <w:autoSpaceDN/>
              <w:snapToGrid w:val="0"/>
              <w:jc w:val="both"/>
              <w:rPr>
                <w:rFonts w:eastAsia="宋体"/>
                <w:sz w:val="21"/>
                <w:szCs w:val="21"/>
              </w:rPr>
            </w:pPr>
          </w:p>
        </w:tc>
      </w:tr>
      <w:tr w14:paraId="45A1EAC9">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06005274">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F8727C">
            <w:pPr>
              <w:autoSpaceDE/>
              <w:autoSpaceDN/>
              <w:snapToGrid w:val="0"/>
              <w:jc w:val="both"/>
              <w:rPr>
                <w:rFonts w:eastAsia="宋体"/>
                <w:sz w:val="21"/>
                <w:szCs w:val="21"/>
              </w:rPr>
            </w:pPr>
            <w:r>
              <w:rPr>
                <w:rFonts w:eastAsia="宋体"/>
                <w:b/>
                <w:bCs/>
                <w:color w:val="000000"/>
                <w:sz w:val="21"/>
                <w:szCs w:val="21"/>
              </w:rPr>
              <w:t>5</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13CB59">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90FD2C">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EC9338">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73139E">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206C99C2">
            <w:pPr>
              <w:autoSpaceDE/>
              <w:autoSpaceDN/>
              <w:snapToGrid w:val="0"/>
              <w:jc w:val="both"/>
              <w:rPr>
                <w:rFonts w:eastAsia="宋体"/>
                <w:sz w:val="21"/>
                <w:szCs w:val="21"/>
              </w:rPr>
            </w:pPr>
          </w:p>
        </w:tc>
        <w:tc>
          <w:tcPr>
            <w:tcW w:w="134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481A3633">
            <w:pPr>
              <w:autoSpaceDE/>
              <w:autoSpaceDN/>
              <w:snapToGrid w:val="0"/>
              <w:jc w:val="both"/>
              <w:rPr>
                <w:rFonts w:eastAsia="宋体"/>
                <w:sz w:val="21"/>
                <w:szCs w:val="21"/>
              </w:rPr>
            </w:pPr>
          </w:p>
        </w:tc>
      </w:tr>
      <w:tr w14:paraId="2CFACEFF">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5471E108">
            <w:pPr>
              <w:autoSpaceDE/>
              <w:autoSpaceDN/>
              <w:snapToGrid w:val="0"/>
              <w:jc w:val="both"/>
              <w:rPr>
                <w:rFonts w:eastAsia="宋体"/>
                <w:sz w:val="21"/>
                <w:szCs w:val="21"/>
              </w:rPr>
            </w:pPr>
            <w:r>
              <w:rPr>
                <w:rFonts w:eastAsia="宋体"/>
                <w:b/>
                <w:bCs/>
                <w:color w:val="000000"/>
                <w:sz w:val="21"/>
                <w:szCs w:val="21"/>
              </w:rPr>
              <w:t>SO试验组</w:t>
            </w: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749B6E">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5C9C50">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2C0F4D">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200AE3">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9CFC22">
            <w:pPr>
              <w:autoSpaceDE/>
              <w:autoSpaceDN/>
              <w:snapToGrid w:val="0"/>
              <w:jc w:val="both"/>
              <w:rPr>
                <w:rFonts w:eastAsia="宋体"/>
                <w:sz w:val="21"/>
                <w:szCs w:val="21"/>
              </w:rPr>
            </w:pPr>
            <w:r>
              <w:rPr>
                <w:rFonts w:eastAsia="宋体"/>
                <w:color w:val="000000"/>
                <w:sz w:val="21"/>
                <w:szCs w:val="21"/>
              </w:rPr>
              <w:t>0</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766472A7">
            <w:pPr>
              <w:autoSpaceDE/>
              <w:autoSpaceDN/>
              <w:snapToGrid w:val="0"/>
              <w:jc w:val="both"/>
              <w:rPr>
                <w:rFonts w:eastAsia="宋体"/>
                <w:sz w:val="21"/>
                <w:szCs w:val="21"/>
              </w:rPr>
            </w:pPr>
            <w:r>
              <w:rPr>
                <w:rFonts w:eastAsia="宋体"/>
                <w:color w:val="000000"/>
                <w:sz w:val="21"/>
                <w:szCs w:val="21"/>
              </w:rPr>
              <w:t>0%</w:t>
            </w:r>
          </w:p>
        </w:tc>
        <w:tc>
          <w:tcPr>
            <w:tcW w:w="1343"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3ED3A38D">
            <w:pPr>
              <w:autoSpaceDE/>
              <w:autoSpaceDN/>
              <w:snapToGrid w:val="0"/>
              <w:jc w:val="both"/>
              <w:rPr>
                <w:rFonts w:eastAsia="宋体"/>
                <w:sz w:val="21"/>
                <w:szCs w:val="21"/>
              </w:rPr>
            </w:pPr>
            <w:r>
              <w:rPr>
                <w:rFonts w:eastAsia="宋体"/>
                <w:color w:val="000000"/>
                <w:sz w:val="21"/>
                <w:szCs w:val="21"/>
              </w:rPr>
              <w:t>非致敏物</w:t>
            </w:r>
          </w:p>
        </w:tc>
      </w:tr>
      <w:tr w14:paraId="064DC81B">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41009DC8">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B207C9">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E47E6A">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93D3E7">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74CBB4">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4190F3">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2648C91F">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27E33374">
            <w:pPr>
              <w:autoSpaceDE/>
              <w:autoSpaceDN/>
              <w:snapToGrid w:val="0"/>
              <w:jc w:val="both"/>
              <w:rPr>
                <w:rFonts w:eastAsia="宋体"/>
                <w:sz w:val="21"/>
                <w:szCs w:val="21"/>
              </w:rPr>
            </w:pPr>
          </w:p>
        </w:tc>
      </w:tr>
      <w:tr w14:paraId="5E05B7A1">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07024336">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84808E">
            <w:pPr>
              <w:autoSpaceDE/>
              <w:autoSpaceDN/>
              <w:snapToGrid w:val="0"/>
              <w:jc w:val="both"/>
              <w:rPr>
                <w:rFonts w:eastAsia="宋体"/>
                <w:sz w:val="21"/>
                <w:szCs w:val="21"/>
              </w:rPr>
            </w:pPr>
            <w:r>
              <w:rPr>
                <w:rFonts w:eastAsia="宋体"/>
                <w:b/>
                <w:bCs/>
                <w:color w:val="000000"/>
                <w:sz w:val="21"/>
                <w:szCs w:val="21"/>
              </w:rPr>
              <w:t>3</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80FC76">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C762D5">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64F709">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C2B9C9">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1F68A2FE">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3EF61FD3">
            <w:pPr>
              <w:autoSpaceDE/>
              <w:autoSpaceDN/>
              <w:snapToGrid w:val="0"/>
              <w:jc w:val="both"/>
              <w:rPr>
                <w:rFonts w:eastAsia="宋体"/>
                <w:sz w:val="21"/>
                <w:szCs w:val="21"/>
              </w:rPr>
            </w:pPr>
          </w:p>
        </w:tc>
      </w:tr>
      <w:tr w14:paraId="0E14DACB">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0B5E5972">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FB2934">
            <w:pPr>
              <w:autoSpaceDE/>
              <w:autoSpaceDN/>
              <w:snapToGrid w:val="0"/>
              <w:jc w:val="both"/>
              <w:rPr>
                <w:rFonts w:eastAsia="宋体"/>
                <w:sz w:val="21"/>
                <w:szCs w:val="21"/>
              </w:rPr>
            </w:pPr>
            <w:r>
              <w:rPr>
                <w:rFonts w:eastAsia="宋体"/>
                <w:b/>
                <w:bCs/>
                <w:color w:val="000000"/>
                <w:sz w:val="21"/>
                <w:szCs w:val="21"/>
              </w:rPr>
              <w:t>4</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E7D4F8">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7BEFBE">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EA4870">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189BC5">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1727FDA2">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1ECC9AFF">
            <w:pPr>
              <w:autoSpaceDE/>
              <w:autoSpaceDN/>
              <w:snapToGrid w:val="0"/>
              <w:jc w:val="both"/>
              <w:rPr>
                <w:rFonts w:eastAsia="宋体"/>
                <w:sz w:val="21"/>
                <w:szCs w:val="21"/>
              </w:rPr>
            </w:pPr>
          </w:p>
        </w:tc>
      </w:tr>
      <w:tr w14:paraId="65C0136C">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171423BF">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C88014">
            <w:pPr>
              <w:autoSpaceDE/>
              <w:autoSpaceDN/>
              <w:snapToGrid w:val="0"/>
              <w:jc w:val="both"/>
              <w:rPr>
                <w:rFonts w:eastAsia="宋体"/>
                <w:sz w:val="21"/>
                <w:szCs w:val="21"/>
              </w:rPr>
            </w:pPr>
            <w:r>
              <w:rPr>
                <w:rFonts w:eastAsia="宋体"/>
                <w:b/>
                <w:bCs/>
                <w:color w:val="000000"/>
                <w:sz w:val="21"/>
                <w:szCs w:val="21"/>
              </w:rPr>
              <w:t>5</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089840">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43A682">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F4C4EB">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C285AE">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12308681">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50A2AE30">
            <w:pPr>
              <w:autoSpaceDE/>
              <w:autoSpaceDN/>
              <w:snapToGrid w:val="0"/>
              <w:jc w:val="both"/>
              <w:rPr>
                <w:rFonts w:eastAsia="宋体"/>
                <w:sz w:val="21"/>
                <w:szCs w:val="21"/>
              </w:rPr>
            </w:pPr>
          </w:p>
        </w:tc>
      </w:tr>
      <w:tr w14:paraId="6ADA181D">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420440EA">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85AF65">
            <w:pPr>
              <w:autoSpaceDE/>
              <w:autoSpaceDN/>
              <w:snapToGrid w:val="0"/>
              <w:jc w:val="both"/>
              <w:rPr>
                <w:rFonts w:eastAsia="宋体"/>
                <w:sz w:val="21"/>
                <w:szCs w:val="21"/>
              </w:rPr>
            </w:pPr>
            <w:r>
              <w:rPr>
                <w:rFonts w:eastAsia="宋体"/>
                <w:b/>
                <w:bCs/>
                <w:color w:val="000000"/>
                <w:sz w:val="21"/>
                <w:szCs w:val="21"/>
              </w:rPr>
              <w:t>6</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18D58C">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93B956">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DBCFA6">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5A1EDA">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22626437">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241C2D54">
            <w:pPr>
              <w:autoSpaceDE/>
              <w:autoSpaceDN/>
              <w:snapToGrid w:val="0"/>
              <w:jc w:val="both"/>
              <w:rPr>
                <w:rFonts w:eastAsia="宋体"/>
                <w:sz w:val="21"/>
                <w:szCs w:val="21"/>
              </w:rPr>
            </w:pPr>
          </w:p>
        </w:tc>
      </w:tr>
      <w:tr w14:paraId="3B312050">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421A0880">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4DD77F">
            <w:pPr>
              <w:autoSpaceDE/>
              <w:autoSpaceDN/>
              <w:snapToGrid w:val="0"/>
              <w:jc w:val="both"/>
              <w:rPr>
                <w:rFonts w:eastAsia="宋体"/>
                <w:sz w:val="21"/>
                <w:szCs w:val="21"/>
              </w:rPr>
            </w:pPr>
            <w:r>
              <w:rPr>
                <w:rFonts w:eastAsia="宋体"/>
                <w:b/>
                <w:bCs/>
                <w:color w:val="000000"/>
                <w:sz w:val="21"/>
                <w:szCs w:val="21"/>
              </w:rPr>
              <w:t>7</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62712A">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14FA2C">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9A11A9">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0C6748">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4F1E81FB">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454EB635">
            <w:pPr>
              <w:autoSpaceDE/>
              <w:autoSpaceDN/>
              <w:snapToGrid w:val="0"/>
              <w:jc w:val="both"/>
              <w:rPr>
                <w:rFonts w:eastAsia="宋体"/>
                <w:sz w:val="21"/>
                <w:szCs w:val="21"/>
              </w:rPr>
            </w:pPr>
          </w:p>
        </w:tc>
      </w:tr>
      <w:tr w14:paraId="2A93D962">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389C68AD">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0DECF8">
            <w:pPr>
              <w:autoSpaceDE/>
              <w:autoSpaceDN/>
              <w:snapToGrid w:val="0"/>
              <w:jc w:val="both"/>
              <w:rPr>
                <w:rFonts w:eastAsia="宋体"/>
                <w:sz w:val="21"/>
                <w:szCs w:val="21"/>
              </w:rPr>
            </w:pPr>
            <w:r>
              <w:rPr>
                <w:rFonts w:eastAsia="宋体"/>
                <w:b/>
                <w:bCs/>
                <w:color w:val="000000"/>
                <w:sz w:val="21"/>
                <w:szCs w:val="21"/>
              </w:rPr>
              <w:t>8</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6F8BA2">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665798">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36A9D3">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22999E">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35567C59">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440F1AD3">
            <w:pPr>
              <w:autoSpaceDE/>
              <w:autoSpaceDN/>
              <w:snapToGrid w:val="0"/>
              <w:jc w:val="both"/>
              <w:rPr>
                <w:rFonts w:eastAsia="宋体"/>
                <w:sz w:val="21"/>
                <w:szCs w:val="21"/>
              </w:rPr>
            </w:pPr>
          </w:p>
        </w:tc>
      </w:tr>
      <w:tr w14:paraId="57D435EA">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73137046">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59BB74">
            <w:pPr>
              <w:autoSpaceDE/>
              <w:autoSpaceDN/>
              <w:snapToGrid w:val="0"/>
              <w:jc w:val="both"/>
              <w:rPr>
                <w:rFonts w:eastAsia="宋体"/>
                <w:sz w:val="21"/>
                <w:szCs w:val="21"/>
              </w:rPr>
            </w:pPr>
            <w:r>
              <w:rPr>
                <w:rFonts w:eastAsia="宋体"/>
                <w:b/>
                <w:bCs/>
                <w:color w:val="000000"/>
                <w:sz w:val="21"/>
                <w:szCs w:val="21"/>
              </w:rPr>
              <w:t>9</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B42C64">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BA95B0">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2AC0B9">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A20240">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28905A61">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2695AC5F">
            <w:pPr>
              <w:autoSpaceDE/>
              <w:autoSpaceDN/>
              <w:snapToGrid w:val="0"/>
              <w:jc w:val="both"/>
              <w:rPr>
                <w:rFonts w:eastAsia="宋体"/>
                <w:sz w:val="21"/>
                <w:szCs w:val="21"/>
              </w:rPr>
            </w:pPr>
          </w:p>
        </w:tc>
      </w:tr>
      <w:tr w14:paraId="5C0A6BC6">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7A180DB6">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BAA7A7">
            <w:pPr>
              <w:autoSpaceDE/>
              <w:autoSpaceDN/>
              <w:snapToGrid w:val="0"/>
              <w:jc w:val="both"/>
              <w:rPr>
                <w:rFonts w:eastAsia="宋体"/>
                <w:sz w:val="21"/>
                <w:szCs w:val="21"/>
              </w:rPr>
            </w:pPr>
            <w:r>
              <w:rPr>
                <w:rFonts w:eastAsia="宋体"/>
                <w:b/>
                <w:bCs/>
                <w:color w:val="000000"/>
                <w:sz w:val="21"/>
                <w:szCs w:val="21"/>
              </w:rPr>
              <w:t>10</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FCBB51">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40CC32">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0B95E3">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B514C5">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21CFF998">
            <w:pPr>
              <w:autoSpaceDE/>
              <w:autoSpaceDN/>
              <w:snapToGrid w:val="0"/>
              <w:jc w:val="both"/>
              <w:rPr>
                <w:rFonts w:eastAsia="宋体"/>
                <w:sz w:val="21"/>
                <w:szCs w:val="21"/>
              </w:rPr>
            </w:pPr>
          </w:p>
        </w:tc>
        <w:tc>
          <w:tcPr>
            <w:tcW w:w="134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35109456">
            <w:pPr>
              <w:autoSpaceDE/>
              <w:autoSpaceDN/>
              <w:snapToGrid w:val="0"/>
              <w:jc w:val="both"/>
              <w:rPr>
                <w:rFonts w:eastAsia="宋体"/>
                <w:sz w:val="21"/>
                <w:szCs w:val="21"/>
              </w:rPr>
            </w:pPr>
          </w:p>
        </w:tc>
      </w:tr>
      <w:tr w14:paraId="0AE89C37">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071BF1EE">
            <w:pPr>
              <w:autoSpaceDE/>
              <w:autoSpaceDN/>
              <w:snapToGrid w:val="0"/>
              <w:jc w:val="both"/>
              <w:rPr>
                <w:rFonts w:eastAsia="宋体"/>
                <w:sz w:val="21"/>
                <w:szCs w:val="21"/>
              </w:rPr>
            </w:pPr>
            <w:r>
              <w:rPr>
                <w:rFonts w:eastAsia="宋体"/>
                <w:b/>
                <w:bCs/>
                <w:color w:val="000000"/>
                <w:sz w:val="21"/>
                <w:szCs w:val="21"/>
              </w:rPr>
              <w:t>SO对照组</w:t>
            </w: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8EF86A">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77553D">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2FEDE4">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28BA46D">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5A0FC3">
            <w:pPr>
              <w:autoSpaceDE/>
              <w:autoSpaceDN/>
              <w:snapToGrid w:val="0"/>
              <w:jc w:val="both"/>
              <w:rPr>
                <w:rFonts w:eastAsia="宋体"/>
                <w:sz w:val="21"/>
                <w:szCs w:val="21"/>
              </w:rPr>
            </w:pPr>
            <w:r>
              <w:rPr>
                <w:rFonts w:eastAsia="宋体"/>
                <w:color w:val="000000"/>
                <w:sz w:val="21"/>
                <w:szCs w:val="21"/>
              </w:rPr>
              <w:t>0</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762EC65E">
            <w:pPr>
              <w:autoSpaceDE/>
              <w:autoSpaceDN/>
              <w:snapToGrid w:val="0"/>
              <w:jc w:val="both"/>
              <w:rPr>
                <w:rFonts w:eastAsia="宋体"/>
                <w:sz w:val="21"/>
                <w:szCs w:val="21"/>
              </w:rPr>
            </w:pPr>
            <w:r>
              <w:rPr>
                <w:rFonts w:eastAsia="宋体"/>
                <w:color w:val="000000"/>
                <w:sz w:val="21"/>
                <w:szCs w:val="21"/>
              </w:rPr>
              <w:t>0%</w:t>
            </w:r>
          </w:p>
        </w:tc>
        <w:tc>
          <w:tcPr>
            <w:tcW w:w="1343"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66D6213B">
            <w:pPr>
              <w:autoSpaceDE/>
              <w:autoSpaceDN/>
              <w:snapToGrid w:val="0"/>
              <w:jc w:val="both"/>
              <w:rPr>
                <w:rFonts w:eastAsia="宋体"/>
                <w:sz w:val="21"/>
                <w:szCs w:val="21"/>
              </w:rPr>
            </w:pPr>
            <w:r>
              <w:rPr>
                <w:rFonts w:eastAsia="宋体"/>
                <w:color w:val="000000"/>
                <w:sz w:val="21"/>
                <w:szCs w:val="21"/>
              </w:rPr>
              <w:t>按预期执行</w:t>
            </w:r>
          </w:p>
        </w:tc>
      </w:tr>
      <w:tr w14:paraId="0182A64B">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094231F3">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34396D">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72DCFC">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349767">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6A413E">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5D59FD">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6799FDD4">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0ED70028">
            <w:pPr>
              <w:autoSpaceDE/>
              <w:autoSpaceDN/>
              <w:snapToGrid w:val="0"/>
              <w:jc w:val="both"/>
              <w:rPr>
                <w:rFonts w:eastAsia="宋体"/>
                <w:sz w:val="21"/>
                <w:szCs w:val="21"/>
              </w:rPr>
            </w:pPr>
          </w:p>
        </w:tc>
      </w:tr>
      <w:tr w14:paraId="1EB425A2">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48CA0633">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1B1A76">
            <w:pPr>
              <w:autoSpaceDE/>
              <w:autoSpaceDN/>
              <w:snapToGrid w:val="0"/>
              <w:jc w:val="both"/>
              <w:rPr>
                <w:rFonts w:eastAsia="宋体"/>
                <w:sz w:val="21"/>
                <w:szCs w:val="21"/>
              </w:rPr>
            </w:pPr>
            <w:r>
              <w:rPr>
                <w:rFonts w:eastAsia="宋体"/>
                <w:b/>
                <w:bCs/>
                <w:color w:val="000000"/>
                <w:sz w:val="21"/>
                <w:szCs w:val="21"/>
              </w:rPr>
              <w:t>3</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013BC1">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B1B834">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2F4A44">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42B59F">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59584E76">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26F12730">
            <w:pPr>
              <w:autoSpaceDE/>
              <w:autoSpaceDN/>
              <w:snapToGrid w:val="0"/>
              <w:jc w:val="both"/>
              <w:rPr>
                <w:rFonts w:eastAsia="宋体"/>
                <w:sz w:val="21"/>
                <w:szCs w:val="21"/>
              </w:rPr>
            </w:pPr>
          </w:p>
        </w:tc>
      </w:tr>
      <w:tr w14:paraId="42884F52">
        <w:tblPrEx>
          <w:tblCellMar>
            <w:top w:w="0" w:type="dxa"/>
            <w:left w:w="57" w:type="dxa"/>
            <w:bottom w:w="0" w:type="dxa"/>
            <w:right w:w="57" w:type="dxa"/>
          </w:tblCellMar>
        </w:tblPrEx>
        <w:trPr>
          <w:trHeight w:val="20" w:hRule="atLeast"/>
        </w:trPr>
        <w:tc>
          <w:tcPr>
            <w:tcW w:w="2362" w:type="dxa"/>
            <w:tcBorders>
              <w:top w:val="nil"/>
              <w:left w:val="single" w:color="auto" w:sz="6" w:space="0"/>
              <w:bottom w:val="nil"/>
              <w:right w:val="single" w:color="auto" w:sz="6" w:space="0"/>
            </w:tcBorders>
            <w:shd w:val="clear" w:color="auto" w:fill="FFFFFF"/>
            <w:tcMar>
              <w:left w:w="57" w:type="dxa"/>
              <w:right w:w="57" w:type="dxa"/>
            </w:tcMar>
          </w:tcPr>
          <w:p w14:paraId="67E86DD2">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2E0978">
            <w:pPr>
              <w:autoSpaceDE/>
              <w:autoSpaceDN/>
              <w:snapToGrid w:val="0"/>
              <w:jc w:val="both"/>
              <w:rPr>
                <w:rFonts w:eastAsia="宋体"/>
                <w:sz w:val="21"/>
                <w:szCs w:val="21"/>
              </w:rPr>
            </w:pPr>
            <w:r>
              <w:rPr>
                <w:rFonts w:eastAsia="宋体"/>
                <w:b/>
                <w:bCs/>
                <w:color w:val="000000"/>
                <w:sz w:val="21"/>
                <w:szCs w:val="21"/>
              </w:rPr>
              <w:t>4</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D68174">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020E62">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01AC24">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2C8B73">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4F66DD0F">
            <w:pPr>
              <w:autoSpaceDE/>
              <w:autoSpaceDN/>
              <w:snapToGrid w:val="0"/>
              <w:jc w:val="both"/>
              <w:rPr>
                <w:rFonts w:eastAsia="宋体"/>
                <w:sz w:val="21"/>
                <w:szCs w:val="21"/>
              </w:rPr>
            </w:pPr>
          </w:p>
        </w:tc>
        <w:tc>
          <w:tcPr>
            <w:tcW w:w="1343" w:type="dxa"/>
            <w:vMerge w:val="continue"/>
            <w:tcBorders>
              <w:left w:val="single" w:color="auto" w:sz="6" w:space="0"/>
              <w:right w:val="single" w:color="auto" w:sz="6" w:space="0"/>
            </w:tcBorders>
            <w:shd w:val="clear" w:color="auto" w:fill="FFFFFF"/>
            <w:tcMar>
              <w:left w:w="57" w:type="dxa"/>
              <w:right w:w="57" w:type="dxa"/>
            </w:tcMar>
          </w:tcPr>
          <w:p w14:paraId="1CCFAC11">
            <w:pPr>
              <w:autoSpaceDE/>
              <w:autoSpaceDN/>
              <w:snapToGrid w:val="0"/>
              <w:jc w:val="both"/>
              <w:rPr>
                <w:rFonts w:eastAsia="宋体"/>
                <w:sz w:val="21"/>
                <w:szCs w:val="21"/>
              </w:rPr>
            </w:pPr>
          </w:p>
        </w:tc>
      </w:tr>
      <w:tr w14:paraId="3B39E1D7">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6A028B8C">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9FEB55">
            <w:pPr>
              <w:autoSpaceDE/>
              <w:autoSpaceDN/>
              <w:snapToGrid w:val="0"/>
              <w:jc w:val="both"/>
              <w:rPr>
                <w:rFonts w:eastAsia="宋体"/>
                <w:sz w:val="21"/>
                <w:szCs w:val="21"/>
              </w:rPr>
            </w:pPr>
            <w:r>
              <w:rPr>
                <w:rFonts w:eastAsia="宋体"/>
                <w:b/>
                <w:bCs/>
                <w:color w:val="000000"/>
                <w:sz w:val="21"/>
                <w:szCs w:val="21"/>
              </w:rPr>
              <w:t>5</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35E58F">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8221C8">
            <w:pPr>
              <w:autoSpaceDE/>
              <w:autoSpaceDN/>
              <w:snapToGrid w:val="0"/>
              <w:jc w:val="both"/>
              <w:rPr>
                <w:rFonts w:eastAsia="宋体"/>
                <w:sz w:val="21"/>
                <w:szCs w:val="21"/>
              </w:rPr>
            </w:pPr>
            <w:r>
              <w:rPr>
                <w:rFonts w:eastAsia="宋体"/>
                <w:color w:val="000000"/>
                <w:sz w:val="21"/>
                <w:szCs w:val="21"/>
              </w:rPr>
              <w:t>0</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A7A573">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087B4A">
            <w:pPr>
              <w:autoSpaceDE/>
              <w:autoSpaceDN/>
              <w:snapToGrid w:val="0"/>
              <w:jc w:val="both"/>
              <w:rPr>
                <w:rFonts w:eastAsia="宋体"/>
                <w:sz w:val="21"/>
                <w:szCs w:val="21"/>
              </w:rPr>
            </w:pPr>
            <w:r>
              <w:rPr>
                <w:rFonts w:eastAsia="宋体"/>
                <w:color w:val="000000"/>
                <w:sz w:val="21"/>
                <w:szCs w:val="21"/>
              </w:rPr>
              <w:t>0</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6D806773">
            <w:pPr>
              <w:autoSpaceDE/>
              <w:autoSpaceDN/>
              <w:snapToGrid w:val="0"/>
              <w:jc w:val="both"/>
              <w:rPr>
                <w:rFonts w:eastAsia="宋体"/>
                <w:sz w:val="21"/>
                <w:szCs w:val="21"/>
              </w:rPr>
            </w:pPr>
          </w:p>
        </w:tc>
        <w:tc>
          <w:tcPr>
            <w:tcW w:w="134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3102EEE4">
            <w:pPr>
              <w:autoSpaceDE/>
              <w:autoSpaceDN/>
              <w:snapToGrid w:val="0"/>
              <w:jc w:val="both"/>
              <w:rPr>
                <w:rFonts w:eastAsia="宋体"/>
                <w:sz w:val="21"/>
                <w:szCs w:val="21"/>
              </w:rPr>
            </w:pPr>
          </w:p>
        </w:tc>
      </w:tr>
      <w:tr w14:paraId="314F2AAD">
        <w:tblPrEx>
          <w:tblCellMar>
            <w:top w:w="0" w:type="dxa"/>
            <w:left w:w="57" w:type="dxa"/>
            <w:bottom w:w="0" w:type="dxa"/>
            <w:right w:w="57" w:type="dxa"/>
          </w:tblCellMar>
        </w:tblPrEx>
        <w:trPr>
          <w:trHeight w:val="20" w:hRule="atLeast"/>
        </w:trPr>
        <w:tc>
          <w:tcPr>
            <w:tcW w:w="2362"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2D81F16B">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C66A97">
            <w:pPr>
              <w:autoSpaceDE/>
              <w:autoSpaceDN/>
              <w:snapToGrid w:val="0"/>
              <w:jc w:val="both"/>
              <w:rPr>
                <w:rFonts w:eastAsia="宋体"/>
                <w:sz w:val="21"/>
                <w:szCs w:val="21"/>
              </w:rPr>
            </w:pPr>
            <w:r>
              <w:rPr>
                <w:rFonts w:eastAsia="宋体"/>
                <w:b/>
                <w:bCs/>
                <w:color w:val="000000"/>
                <w:sz w:val="21"/>
                <w:szCs w:val="21"/>
              </w:rPr>
              <w:t>1</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654E8C">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6EC33F">
            <w:pPr>
              <w:autoSpaceDE/>
              <w:autoSpaceDN/>
              <w:snapToGrid w:val="0"/>
              <w:jc w:val="both"/>
              <w:rPr>
                <w:rFonts w:eastAsia="宋体"/>
                <w:sz w:val="21"/>
                <w:szCs w:val="21"/>
              </w:rPr>
            </w:pPr>
            <w:r>
              <w:rPr>
                <w:rFonts w:eastAsia="宋体"/>
                <w:color w:val="000000"/>
                <w:sz w:val="21"/>
                <w:szCs w:val="21"/>
              </w:rPr>
              <w:t>2</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183DEC">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1E1B94">
            <w:pPr>
              <w:autoSpaceDE/>
              <w:autoSpaceDN/>
              <w:snapToGrid w:val="0"/>
              <w:jc w:val="both"/>
              <w:rPr>
                <w:rFonts w:eastAsia="宋体"/>
                <w:sz w:val="21"/>
                <w:szCs w:val="21"/>
              </w:rPr>
            </w:pPr>
            <w:r>
              <w:rPr>
                <w:rFonts w:eastAsia="宋体"/>
                <w:color w:val="000000"/>
                <w:sz w:val="21"/>
                <w:szCs w:val="21"/>
              </w:rPr>
              <w:t>2</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29D8DB36">
            <w:pPr>
              <w:autoSpaceDE/>
              <w:autoSpaceDN/>
              <w:snapToGrid w:val="0"/>
              <w:jc w:val="both"/>
              <w:rPr>
                <w:rFonts w:eastAsia="宋体"/>
                <w:sz w:val="21"/>
                <w:szCs w:val="21"/>
              </w:rPr>
            </w:pPr>
            <w:r>
              <w:rPr>
                <w:rFonts w:eastAsia="宋体"/>
                <w:color w:val="000000"/>
                <w:sz w:val="21"/>
                <w:szCs w:val="21"/>
              </w:rPr>
              <w:t>100%</w:t>
            </w:r>
          </w:p>
        </w:tc>
        <w:tc>
          <w:tcPr>
            <w:tcW w:w="134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2B523FD7">
            <w:pPr>
              <w:autoSpaceDE/>
              <w:autoSpaceDN/>
              <w:snapToGrid w:val="0"/>
              <w:jc w:val="both"/>
              <w:rPr>
                <w:rFonts w:eastAsia="宋体"/>
                <w:sz w:val="21"/>
                <w:szCs w:val="21"/>
              </w:rPr>
            </w:pPr>
          </w:p>
        </w:tc>
      </w:tr>
      <w:tr w14:paraId="202450DB">
        <w:tblPrEx>
          <w:tblCellMar>
            <w:top w:w="0" w:type="dxa"/>
            <w:left w:w="57" w:type="dxa"/>
            <w:bottom w:w="0" w:type="dxa"/>
            <w:right w:w="57" w:type="dxa"/>
          </w:tblCellMar>
        </w:tblPrEx>
        <w:trPr>
          <w:trHeight w:val="20" w:hRule="atLeast"/>
        </w:trPr>
        <w:tc>
          <w:tcPr>
            <w:tcW w:w="2362"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7413361C">
            <w:pPr>
              <w:autoSpaceDE/>
              <w:autoSpaceDN/>
              <w:snapToGrid w:val="0"/>
              <w:jc w:val="both"/>
              <w:rPr>
                <w:rFonts w:eastAsia="宋体"/>
                <w:sz w:val="21"/>
                <w:szCs w:val="21"/>
              </w:rPr>
            </w:pPr>
          </w:p>
        </w:tc>
        <w:tc>
          <w:tcPr>
            <w:tcW w:w="10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CDB742">
            <w:pPr>
              <w:autoSpaceDE/>
              <w:autoSpaceDN/>
              <w:snapToGrid w:val="0"/>
              <w:jc w:val="both"/>
              <w:rPr>
                <w:rFonts w:eastAsia="宋体"/>
                <w:sz w:val="21"/>
                <w:szCs w:val="21"/>
              </w:rPr>
            </w:pPr>
            <w:r>
              <w:rPr>
                <w:rFonts w:eastAsia="宋体"/>
                <w:b/>
                <w:bCs/>
                <w:color w:val="000000"/>
                <w:sz w:val="21"/>
                <w:szCs w:val="21"/>
              </w:rPr>
              <w:t>2</w:t>
            </w:r>
          </w:p>
        </w:tc>
        <w:tc>
          <w:tcPr>
            <w:tcW w:w="9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E2637E">
            <w:pPr>
              <w:autoSpaceDE/>
              <w:autoSpaceDN/>
              <w:snapToGrid w:val="0"/>
              <w:jc w:val="both"/>
              <w:rPr>
                <w:rFonts w:eastAsia="宋体"/>
                <w:sz w:val="21"/>
                <w:szCs w:val="21"/>
              </w:rPr>
            </w:pPr>
            <w:r>
              <w:rPr>
                <w:rFonts w:eastAsia="宋体"/>
                <w:color w:val="000000"/>
                <w:sz w:val="21"/>
                <w:szCs w:val="21"/>
              </w:rPr>
              <w:t>0</w:t>
            </w:r>
          </w:p>
        </w:tc>
        <w:tc>
          <w:tcPr>
            <w:tcW w:w="6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22D504">
            <w:pPr>
              <w:autoSpaceDE/>
              <w:autoSpaceDN/>
              <w:snapToGrid w:val="0"/>
              <w:jc w:val="both"/>
              <w:rPr>
                <w:rFonts w:eastAsia="宋体"/>
                <w:sz w:val="21"/>
                <w:szCs w:val="21"/>
              </w:rPr>
            </w:pPr>
            <w:r>
              <w:rPr>
                <w:rFonts w:eastAsia="宋体"/>
                <w:color w:val="000000"/>
                <w:sz w:val="21"/>
                <w:szCs w:val="21"/>
              </w:rPr>
              <w:t>2</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DE8632">
            <w:pPr>
              <w:autoSpaceDE/>
              <w:autoSpaceDN/>
              <w:snapToGrid w:val="0"/>
              <w:jc w:val="both"/>
              <w:rPr>
                <w:rFonts w:eastAsia="宋体"/>
                <w:sz w:val="21"/>
                <w:szCs w:val="21"/>
              </w:rPr>
            </w:pPr>
            <w:r>
              <w:rPr>
                <w:rFonts w:eastAsia="宋体"/>
                <w:color w:val="000000"/>
                <w:sz w:val="21"/>
                <w:szCs w:val="21"/>
              </w:rPr>
              <w:t>0</w:t>
            </w:r>
          </w:p>
        </w:tc>
        <w:tc>
          <w:tcPr>
            <w:tcW w:w="64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ECCBDE">
            <w:pPr>
              <w:autoSpaceDE/>
              <w:autoSpaceDN/>
              <w:snapToGrid w:val="0"/>
              <w:jc w:val="both"/>
              <w:rPr>
                <w:rFonts w:eastAsia="宋体"/>
                <w:sz w:val="21"/>
                <w:szCs w:val="21"/>
              </w:rPr>
            </w:pPr>
            <w:r>
              <w:rPr>
                <w:rFonts w:eastAsia="宋体"/>
                <w:color w:val="000000"/>
                <w:sz w:val="21"/>
                <w:szCs w:val="21"/>
              </w:rPr>
              <w:t>1</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779C8975">
            <w:pPr>
              <w:autoSpaceDE/>
              <w:autoSpaceDN/>
              <w:snapToGrid w:val="0"/>
              <w:jc w:val="both"/>
              <w:rPr>
                <w:rFonts w:eastAsia="宋体"/>
                <w:sz w:val="21"/>
                <w:szCs w:val="21"/>
              </w:rPr>
            </w:pPr>
          </w:p>
        </w:tc>
        <w:tc>
          <w:tcPr>
            <w:tcW w:w="134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29229817">
            <w:pPr>
              <w:autoSpaceDE/>
              <w:autoSpaceDN/>
              <w:snapToGrid w:val="0"/>
              <w:jc w:val="both"/>
              <w:rPr>
                <w:rFonts w:eastAsia="宋体"/>
                <w:sz w:val="21"/>
                <w:szCs w:val="21"/>
              </w:rPr>
            </w:pPr>
          </w:p>
        </w:tc>
      </w:tr>
    </w:tbl>
    <w:p w14:paraId="21F81587">
      <w:pPr>
        <w:autoSpaceDE/>
        <w:autoSpaceDN/>
        <w:snapToGrid w:val="0"/>
        <w:jc w:val="both"/>
        <w:rPr>
          <w:rFonts w:eastAsia="宋体"/>
          <w:sz w:val="24"/>
          <w:szCs w:val="24"/>
        </w:rPr>
      </w:pPr>
    </w:p>
    <w:p w14:paraId="0F0B78AE">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0" w:type="auto"/>
        <w:tblInd w:w="0" w:type="dxa"/>
        <w:tblLayout w:type="fixed"/>
        <w:tblCellMar>
          <w:top w:w="0" w:type="dxa"/>
          <w:left w:w="57" w:type="dxa"/>
          <w:bottom w:w="0" w:type="dxa"/>
          <w:right w:w="57" w:type="dxa"/>
        </w:tblCellMar>
      </w:tblPr>
      <w:tblGrid>
        <w:gridCol w:w="2359"/>
        <w:gridCol w:w="1040"/>
        <w:gridCol w:w="990"/>
        <w:gridCol w:w="646"/>
        <w:gridCol w:w="985"/>
        <w:gridCol w:w="672"/>
        <w:gridCol w:w="1443"/>
        <w:gridCol w:w="1333"/>
      </w:tblGrid>
      <w:tr w14:paraId="0E0CCB7E">
        <w:tblPrEx>
          <w:tblCellMar>
            <w:top w:w="0" w:type="dxa"/>
            <w:left w:w="57" w:type="dxa"/>
            <w:bottom w:w="0" w:type="dxa"/>
            <w:right w:w="57" w:type="dxa"/>
          </w:tblCellMar>
        </w:tblPrEx>
        <w:trPr>
          <w:trHeight w:val="20" w:hRule="atLeast"/>
        </w:trPr>
        <w:tc>
          <w:tcPr>
            <w:tcW w:w="2359"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1D1B0536">
            <w:pPr>
              <w:autoSpaceDE/>
              <w:autoSpaceDN/>
              <w:snapToGrid w:val="0"/>
              <w:jc w:val="both"/>
              <w:rPr>
                <w:rFonts w:eastAsia="宋体"/>
                <w:sz w:val="21"/>
                <w:szCs w:val="21"/>
              </w:rPr>
            </w:pPr>
            <w:r>
              <w:rPr>
                <w:rFonts w:eastAsia="宋体"/>
                <w:b/>
                <w:bCs/>
                <w:color w:val="000000"/>
                <w:sz w:val="21"/>
                <w:szCs w:val="21"/>
              </w:rPr>
              <w:t>二硝基氯苯（DNCB）阳性对照*。</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6AB9CD">
            <w:pPr>
              <w:autoSpaceDE/>
              <w:autoSpaceDN/>
              <w:snapToGrid w:val="0"/>
              <w:jc w:val="both"/>
              <w:rPr>
                <w:rFonts w:eastAsia="宋体"/>
                <w:sz w:val="21"/>
                <w:szCs w:val="21"/>
              </w:rPr>
            </w:pPr>
            <w:r>
              <w:rPr>
                <w:rFonts w:eastAsia="宋体"/>
                <w:b/>
                <w:bCs/>
                <w:color w:val="000000"/>
                <w:sz w:val="21"/>
                <w:szCs w:val="21"/>
              </w:rPr>
              <w:t>3</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2F3EED">
            <w:pPr>
              <w:autoSpaceDE/>
              <w:autoSpaceDN/>
              <w:snapToGrid w:val="0"/>
              <w:jc w:val="both"/>
              <w:rPr>
                <w:rFonts w:eastAsia="宋体"/>
                <w:sz w:val="21"/>
                <w:szCs w:val="21"/>
              </w:rPr>
            </w:pPr>
            <w:r>
              <w:rPr>
                <w:rFonts w:eastAsia="宋体"/>
                <w:color w:val="000000"/>
                <w:sz w:val="21"/>
                <w:szCs w:val="21"/>
              </w:rPr>
              <w:t>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101A88">
            <w:pPr>
              <w:autoSpaceDE/>
              <w:autoSpaceDN/>
              <w:snapToGrid w:val="0"/>
              <w:jc w:val="both"/>
              <w:rPr>
                <w:rFonts w:eastAsia="宋体"/>
                <w:sz w:val="21"/>
                <w:szCs w:val="21"/>
              </w:rPr>
            </w:pPr>
            <w:r>
              <w:rPr>
                <w:rFonts w:eastAsia="宋体"/>
                <w:color w:val="000000"/>
                <w:sz w:val="21"/>
                <w:szCs w:val="21"/>
              </w:rPr>
              <w:t>2</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585F44">
            <w:pPr>
              <w:autoSpaceDE/>
              <w:autoSpaceDN/>
              <w:snapToGrid w:val="0"/>
              <w:jc w:val="both"/>
              <w:rPr>
                <w:rFonts w:eastAsia="宋体"/>
                <w:sz w:val="21"/>
                <w:szCs w:val="21"/>
              </w:rPr>
            </w:pPr>
            <w:r>
              <w:rPr>
                <w:rFonts w:eastAsia="宋体"/>
                <w:color w:val="000000"/>
                <w:sz w:val="21"/>
                <w:szCs w:val="21"/>
              </w:rPr>
              <w:t>0</w:t>
            </w:r>
          </w:p>
        </w:tc>
        <w:tc>
          <w:tcPr>
            <w:tcW w:w="6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DBDADF">
            <w:pPr>
              <w:autoSpaceDE/>
              <w:autoSpaceDN/>
              <w:snapToGrid w:val="0"/>
              <w:jc w:val="both"/>
              <w:rPr>
                <w:rFonts w:eastAsia="宋体"/>
                <w:sz w:val="21"/>
                <w:szCs w:val="21"/>
              </w:rPr>
            </w:pPr>
            <w:r>
              <w:rPr>
                <w:rFonts w:eastAsia="宋体"/>
                <w:color w:val="000000"/>
                <w:sz w:val="21"/>
                <w:szCs w:val="21"/>
              </w:rPr>
              <w:t>3</w:t>
            </w:r>
          </w:p>
        </w:tc>
        <w:tc>
          <w:tcPr>
            <w:tcW w:w="1443"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12632D19">
            <w:pPr>
              <w:autoSpaceDE/>
              <w:autoSpaceDN/>
              <w:snapToGrid w:val="0"/>
              <w:jc w:val="both"/>
              <w:rPr>
                <w:rFonts w:eastAsia="宋体"/>
                <w:sz w:val="21"/>
                <w:szCs w:val="21"/>
              </w:rPr>
            </w:pPr>
          </w:p>
        </w:tc>
        <w:tc>
          <w:tcPr>
            <w:tcW w:w="1333"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25FAEAA2">
            <w:pPr>
              <w:autoSpaceDE/>
              <w:autoSpaceDN/>
              <w:snapToGrid w:val="0"/>
              <w:jc w:val="both"/>
              <w:rPr>
                <w:rFonts w:eastAsia="宋体"/>
                <w:sz w:val="21"/>
                <w:szCs w:val="21"/>
              </w:rPr>
            </w:pPr>
            <w:r>
              <w:rPr>
                <w:rFonts w:eastAsia="宋体"/>
                <w:color w:val="000000"/>
                <w:sz w:val="21"/>
                <w:szCs w:val="21"/>
              </w:rPr>
              <w:t>按预期执行</w:t>
            </w:r>
          </w:p>
        </w:tc>
      </w:tr>
      <w:tr w14:paraId="7EF4424C">
        <w:tblPrEx>
          <w:tblCellMar>
            <w:top w:w="0" w:type="dxa"/>
            <w:left w:w="57" w:type="dxa"/>
            <w:bottom w:w="0" w:type="dxa"/>
            <w:right w:w="57" w:type="dxa"/>
          </w:tblCellMar>
        </w:tblPrEx>
        <w:trPr>
          <w:trHeight w:val="20" w:hRule="atLeast"/>
        </w:trPr>
        <w:tc>
          <w:tcPr>
            <w:tcW w:w="2359" w:type="dxa"/>
            <w:vMerge w:val="continue"/>
            <w:tcBorders>
              <w:left w:val="single" w:color="auto" w:sz="6" w:space="0"/>
              <w:right w:val="single" w:color="auto" w:sz="6" w:space="0"/>
            </w:tcBorders>
            <w:shd w:val="clear" w:color="auto" w:fill="FFFFFF"/>
            <w:tcMar>
              <w:left w:w="57" w:type="dxa"/>
              <w:right w:w="57" w:type="dxa"/>
            </w:tcMar>
          </w:tcPr>
          <w:p w14:paraId="546E6CC5">
            <w:pPr>
              <w:autoSpaceDE/>
              <w:autoSpaceDN/>
              <w:snapToGrid w:val="0"/>
              <w:jc w:val="both"/>
              <w:rPr>
                <w:rFonts w:eastAsia="宋体"/>
                <w:sz w:val="21"/>
                <w:szCs w:val="21"/>
              </w:rPr>
            </w:pP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FC3241">
            <w:pPr>
              <w:autoSpaceDE/>
              <w:autoSpaceDN/>
              <w:snapToGrid w:val="0"/>
              <w:jc w:val="both"/>
              <w:rPr>
                <w:rFonts w:eastAsia="宋体"/>
                <w:sz w:val="21"/>
                <w:szCs w:val="21"/>
              </w:rPr>
            </w:pPr>
            <w:r>
              <w:rPr>
                <w:rFonts w:eastAsia="宋体"/>
                <w:b/>
                <w:bCs/>
                <w:color w:val="000000"/>
                <w:sz w:val="21"/>
                <w:szCs w:val="21"/>
              </w:rPr>
              <w:t>4</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85A83D">
            <w:pPr>
              <w:autoSpaceDE/>
              <w:autoSpaceDN/>
              <w:snapToGrid w:val="0"/>
              <w:jc w:val="both"/>
              <w:rPr>
                <w:rFonts w:eastAsia="宋体"/>
                <w:sz w:val="21"/>
                <w:szCs w:val="21"/>
              </w:rPr>
            </w:pPr>
            <w:r>
              <w:rPr>
                <w:rFonts w:eastAsia="宋体"/>
                <w:color w:val="000000"/>
                <w:sz w:val="21"/>
                <w:szCs w:val="21"/>
              </w:rPr>
              <w:t>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B44839">
            <w:pPr>
              <w:autoSpaceDE/>
              <w:autoSpaceDN/>
              <w:snapToGrid w:val="0"/>
              <w:jc w:val="both"/>
              <w:rPr>
                <w:rFonts w:eastAsia="宋体"/>
                <w:sz w:val="21"/>
                <w:szCs w:val="21"/>
              </w:rPr>
            </w:pPr>
            <w:r>
              <w:rPr>
                <w:rFonts w:eastAsia="宋体"/>
                <w:color w:val="000000"/>
                <w:sz w:val="21"/>
                <w:szCs w:val="21"/>
              </w:rPr>
              <w:t>2</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7292E0">
            <w:pPr>
              <w:autoSpaceDE/>
              <w:autoSpaceDN/>
              <w:snapToGrid w:val="0"/>
              <w:jc w:val="both"/>
              <w:rPr>
                <w:rFonts w:eastAsia="宋体"/>
                <w:sz w:val="21"/>
                <w:szCs w:val="21"/>
              </w:rPr>
            </w:pPr>
            <w:r>
              <w:rPr>
                <w:rFonts w:eastAsia="宋体"/>
                <w:color w:val="000000"/>
                <w:sz w:val="21"/>
                <w:szCs w:val="21"/>
              </w:rPr>
              <w:t>0</w:t>
            </w:r>
          </w:p>
        </w:tc>
        <w:tc>
          <w:tcPr>
            <w:tcW w:w="6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FEA15E">
            <w:pPr>
              <w:autoSpaceDE/>
              <w:autoSpaceDN/>
              <w:snapToGrid w:val="0"/>
              <w:jc w:val="both"/>
              <w:rPr>
                <w:rFonts w:eastAsia="宋体"/>
                <w:sz w:val="21"/>
                <w:szCs w:val="21"/>
              </w:rPr>
            </w:pPr>
            <w:r>
              <w:rPr>
                <w:rFonts w:eastAsia="宋体"/>
                <w:color w:val="000000"/>
                <w:sz w:val="21"/>
                <w:szCs w:val="21"/>
              </w:rPr>
              <w:t>2</w:t>
            </w:r>
          </w:p>
        </w:tc>
        <w:tc>
          <w:tcPr>
            <w:tcW w:w="1443" w:type="dxa"/>
            <w:tcBorders>
              <w:top w:val="nil"/>
              <w:left w:val="single" w:color="auto" w:sz="6" w:space="0"/>
              <w:bottom w:val="nil"/>
              <w:right w:val="single" w:color="auto" w:sz="6" w:space="0"/>
            </w:tcBorders>
            <w:shd w:val="clear" w:color="auto" w:fill="FFFFFF"/>
            <w:tcMar>
              <w:left w:w="57" w:type="dxa"/>
              <w:right w:w="57" w:type="dxa"/>
            </w:tcMar>
          </w:tcPr>
          <w:p w14:paraId="49F4EA42">
            <w:pPr>
              <w:autoSpaceDE/>
              <w:autoSpaceDN/>
              <w:snapToGrid w:val="0"/>
              <w:jc w:val="both"/>
              <w:rPr>
                <w:rFonts w:eastAsia="宋体"/>
                <w:sz w:val="21"/>
                <w:szCs w:val="21"/>
              </w:rPr>
            </w:pPr>
          </w:p>
        </w:tc>
        <w:tc>
          <w:tcPr>
            <w:tcW w:w="1333" w:type="dxa"/>
            <w:vMerge w:val="continue"/>
            <w:tcBorders>
              <w:left w:val="single" w:color="auto" w:sz="6" w:space="0"/>
              <w:right w:val="single" w:color="auto" w:sz="6" w:space="0"/>
            </w:tcBorders>
            <w:shd w:val="clear" w:color="auto" w:fill="FFFFFF"/>
            <w:tcMar>
              <w:left w:w="57" w:type="dxa"/>
              <w:right w:w="57" w:type="dxa"/>
            </w:tcMar>
          </w:tcPr>
          <w:p w14:paraId="41DBCE47">
            <w:pPr>
              <w:autoSpaceDE/>
              <w:autoSpaceDN/>
              <w:snapToGrid w:val="0"/>
              <w:jc w:val="both"/>
              <w:rPr>
                <w:rFonts w:eastAsia="宋体"/>
                <w:sz w:val="21"/>
                <w:szCs w:val="21"/>
              </w:rPr>
            </w:pPr>
          </w:p>
        </w:tc>
      </w:tr>
      <w:tr w14:paraId="7C311F88">
        <w:tblPrEx>
          <w:tblCellMar>
            <w:top w:w="0" w:type="dxa"/>
            <w:left w:w="57" w:type="dxa"/>
            <w:bottom w:w="0" w:type="dxa"/>
            <w:right w:w="57" w:type="dxa"/>
          </w:tblCellMar>
        </w:tblPrEx>
        <w:trPr>
          <w:trHeight w:val="20" w:hRule="atLeast"/>
        </w:trPr>
        <w:tc>
          <w:tcPr>
            <w:tcW w:w="2359"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381DB229">
            <w:pPr>
              <w:autoSpaceDE/>
              <w:autoSpaceDN/>
              <w:snapToGrid w:val="0"/>
              <w:jc w:val="both"/>
              <w:rPr>
                <w:rFonts w:eastAsia="宋体"/>
                <w:sz w:val="21"/>
                <w:szCs w:val="21"/>
              </w:rPr>
            </w:pP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0794D8">
            <w:pPr>
              <w:autoSpaceDE/>
              <w:autoSpaceDN/>
              <w:snapToGrid w:val="0"/>
              <w:jc w:val="both"/>
              <w:rPr>
                <w:rFonts w:eastAsia="宋体"/>
                <w:sz w:val="21"/>
                <w:szCs w:val="21"/>
              </w:rPr>
            </w:pPr>
            <w:r>
              <w:rPr>
                <w:rFonts w:eastAsia="宋体"/>
                <w:b/>
                <w:bCs/>
                <w:color w:val="000000"/>
                <w:sz w:val="21"/>
                <w:szCs w:val="21"/>
              </w:rPr>
              <w:t>5</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921B1D">
            <w:pPr>
              <w:autoSpaceDE/>
              <w:autoSpaceDN/>
              <w:snapToGrid w:val="0"/>
              <w:jc w:val="both"/>
              <w:rPr>
                <w:rFonts w:eastAsia="宋体"/>
                <w:sz w:val="21"/>
                <w:szCs w:val="21"/>
              </w:rPr>
            </w:pPr>
            <w:r>
              <w:rPr>
                <w:rFonts w:eastAsia="宋体"/>
                <w:color w:val="000000"/>
                <w:sz w:val="21"/>
                <w:szCs w:val="21"/>
              </w:rPr>
              <w:t>0</w:t>
            </w:r>
          </w:p>
        </w:tc>
        <w:tc>
          <w:tcPr>
            <w:tcW w:w="6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7A1754">
            <w:pPr>
              <w:autoSpaceDE/>
              <w:autoSpaceDN/>
              <w:snapToGrid w:val="0"/>
              <w:jc w:val="both"/>
              <w:rPr>
                <w:rFonts w:eastAsia="宋体"/>
                <w:sz w:val="21"/>
                <w:szCs w:val="21"/>
              </w:rPr>
            </w:pPr>
            <w:r>
              <w:rPr>
                <w:rFonts w:eastAsia="宋体"/>
                <w:color w:val="000000"/>
                <w:sz w:val="21"/>
                <w:szCs w:val="21"/>
              </w:rPr>
              <w:t>2</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C40B2E">
            <w:pPr>
              <w:autoSpaceDE/>
              <w:autoSpaceDN/>
              <w:snapToGrid w:val="0"/>
              <w:jc w:val="both"/>
              <w:rPr>
                <w:rFonts w:eastAsia="宋体"/>
                <w:sz w:val="21"/>
                <w:szCs w:val="21"/>
              </w:rPr>
            </w:pPr>
            <w:r>
              <w:rPr>
                <w:rFonts w:eastAsia="宋体"/>
                <w:color w:val="000000"/>
                <w:sz w:val="21"/>
                <w:szCs w:val="21"/>
              </w:rPr>
              <w:t>0</w:t>
            </w:r>
          </w:p>
        </w:tc>
        <w:tc>
          <w:tcPr>
            <w:tcW w:w="67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2B3EBF">
            <w:pPr>
              <w:autoSpaceDE/>
              <w:autoSpaceDN/>
              <w:snapToGrid w:val="0"/>
              <w:jc w:val="both"/>
              <w:rPr>
                <w:rFonts w:eastAsia="宋体"/>
                <w:sz w:val="21"/>
                <w:szCs w:val="21"/>
              </w:rPr>
            </w:pPr>
            <w:r>
              <w:rPr>
                <w:rFonts w:eastAsia="宋体"/>
                <w:color w:val="000000"/>
                <w:sz w:val="21"/>
                <w:szCs w:val="21"/>
              </w:rPr>
              <w:t>2</w:t>
            </w:r>
          </w:p>
        </w:tc>
        <w:tc>
          <w:tcPr>
            <w:tcW w:w="1443"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4D41DA51">
            <w:pPr>
              <w:autoSpaceDE/>
              <w:autoSpaceDN/>
              <w:snapToGrid w:val="0"/>
              <w:jc w:val="both"/>
              <w:rPr>
                <w:rFonts w:eastAsia="宋体"/>
                <w:sz w:val="21"/>
                <w:szCs w:val="21"/>
              </w:rPr>
            </w:pPr>
          </w:p>
        </w:tc>
        <w:tc>
          <w:tcPr>
            <w:tcW w:w="1333"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5C92B18B">
            <w:pPr>
              <w:autoSpaceDE/>
              <w:autoSpaceDN/>
              <w:snapToGrid w:val="0"/>
              <w:jc w:val="both"/>
              <w:rPr>
                <w:rFonts w:eastAsia="宋体"/>
                <w:sz w:val="21"/>
                <w:szCs w:val="21"/>
              </w:rPr>
            </w:pPr>
          </w:p>
        </w:tc>
      </w:tr>
    </w:tbl>
    <w:p w14:paraId="25A16017">
      <w:pPr>
        <w:autoSpaceDE/>
        <w:autoSpaceDN/>
        <w:snapToGrid w:val="0"/>
        <w:jc w:val="center"/>
        <w:rPr>
          <w:rFonts w:eastAsia="宋体"/>
          <w:sz w:val="21"/>
          <w:szCs w:val="21"/>
        </w:rPr>
      </w:pPr>
      <w:r>
        <w:rPr>
          <w:rFonts w:eastAsia="宋体"/>
          <w:i/>
          <w:iCs/>
          <w:color w:val="000000"/>
          <w:sz w:val="21"/>
          <w:szCs w:val="21"/>
        </w:rPr>
        <w:t>[插入任何额外的重复试验数据的行数]</w:t>
      </w:r>
    </w:p>
    <w:p w14:paraId="78CFB602">
      <w:pPr>
        <w:autoSpaceDE/>
        <w:autoSpaceDN/>
        <w:snapToGrid w:val="0"/>
        <w:jc w:val="both"/>
        <w:rPr>
          <w:rFonts w:eastAsia="宋体"/>
          <w:b/>
          <w:bCs/>
          <w:color w:val="000000"/>
          <w:sz w:val="24"/>
          <w:szCs w:val="24"/>
        </w:rPr>
      </w:pPr>
    </w:p>
    <w:p w14:paraId="5A64BB34">
      <w:pPr>
        <w:autoSpaceDE/>
        <w:autoSpaceDN/>
        <w:snapToGrid w:val="0"/>
        <w:jc w:val="both"/>
        <w:rPr>
          <w:rFonts w:eastAsia="宋体"/>
          <w:sz w:val="24"/>
          <w:szCs w:val="24"/>
        </w:rPr>
      </w:pPr>
      <w:r>
        <w:rPr>
          <w:rFonts w:eastAsia="宋体"/>
          <w:b/>
          <w:bCs/>
          <w:color w:val="000000"/>
          <w:sz w:val="24"/>
          <w:szCs w:val="24"/>
        </w:rPr>
        <w:t>*周期性/同步的阳性对照研究</w:t>
      </w:r>
    </w:p>
    <w:p w14:paraId="7FACB30A">
      <w:pPr>
        <w:tabs>
          <w:tab w:val="left" w:pos="341"/>
        </w:tabs>
        <w:autoSpaceDE/>
        <w:autoSpaceDN/>
        <w:snapToGrid w:val="0"/>
        <w:jc w:val="both"/>
        <w:rPr>
          <w:rFonts w:eastAsia="宋体"/>
          <w:i/>
          <w:iCs/>
          <w:color w:val="000000"/>
          <w:sz w:val="24"/>
          <w:szCs w:val="24"/>
          <w:u w:val="single"/>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阳性对照的诱导浓度：</w:t>
      </w:r>
      <w:r>
        <w:rPr>
          <w:rFonts w:eastAsia="宋体"/>
          <w:color w:val="000000"/>
          <w:sz w:val="24"/>
          <w:szCs w:val="24"/>
          <w:u w:val="single"/>
        </w:rPr>
        <w:t>[说明]</w:t>
      </w:r>
    </w:p>
    <w:p w14:paraId="50431353">
      <w:pPr>
        <w:tabs>
          <w:tab w:val="left" w:pos="341"/>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阳性对照激发浓度：</w:t>
      </w:r>
      <w:r>
        <w:rPr>
          <w:rFonts w:eastAsia="宋体"/>
          <w:color w:val="000000"/>
          <w:sz w:val="24"/>
          <w:szCs w:val="24"/>
          <w:u w:val="single"/>
        </w:rPr>
        <w:t>[说明]</w:t>
      </w:r>
    </w:p>
    <w:p w14:paraId="66814D5E">
      <w:pPr>
        <w:tabs>
          <w:tab w:val="left" w:pos="350"/>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用于阳性对照试验的相同来源、菌种和处理方法，并在试验样品试验日期的3个月内完成</w:t>
      </w:r>
    </w:p>
    <w:p w14:paraId="4CB9072C">
      <w:pPr>
        <w:tabs>
          <w:tab w:val="left" w:pos="350"/>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阳性对照的来源、菌种、处理方法或时间发生了以下差异：</w:t>
      </w:r>
      <w:r>
        <w:rPr>
          <w:rStyle w:val="17"/>
          <w:rFonts w:eastAsia="宋体"/>
          <w:sz w:val="24"/>
          <w:szCs w:val="24"/>
        </w:rPr>
        <w:footnoteReference w:id="59"/>
      </w: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151A8DC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14:paraId="17DFDFDF">
            <w:pPr>
              <w:autoSpaceDE/>
              <w:autoSpaceDN/>
              <w:snapToGrid w:val="0"/>
              <w:jc w:val="both"/>
              <w:rPr>
                <w:rFonts w:eastAsia="宋体"/>
                <w:sz w:val="24"/>
                <w:szCs w:val="24"/>
              </w:rPr>
            </w:pPr>
          </w:p>
          <w:p w14:paraId="0EC316AB">
            <w:pPr>
              <w:autoSpaceDE/>
              <w:autoSpaceDN/>
              <w:snapToGrid w:val="0"/>
              <w:jc w:val="both"/>
              <w:rPr>
                <w:rFonts w:eastAsia="宋体"/>
                <w:sz w:val="24"/>
                <w:szCs w:val="24"/>
              </w:rPr>
            </w:pPr>
          </w:p>
        </w:tc>
      </w:tr>
      <w:tr w14:paraId="4CE9F33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68" w:type="dxa"/>
            <w:shd w:val="clear" w:color="auto" w:fill="FFFFFF"/>
            <w:tcMar>
              <w:left w:w="57" w:type="dxa"/>
              <w:right w:w="57" w:type="dxa"/>
            </w:tcMar>
          </w:tcPr>
          <w:p w14:paraId="55CEAFEF">
            <w:pPr>
              <w:autoSpaceDE/>
              <w:autoSpaceDN/>
              <w:snapToGrid w:val="0"/>
              <w:jc w:val="both"/>
              <w:rPr>
                <w:rFonts w:eastAsia="宋体"/>
                <w:sz w:val="24"/>
                <w:szCs w:val="24"/>
              </w:rPr>
            </w:pPr>
            <w:r>
              <w:rPr>
                <w:rFonts w:eastAsia="宋体"/>
                <w:i/>
                <w:iCs/>
                <w:color w:val="000000"/>
                <w:sz w:val="24"/>
                <w:szCs w:val="24"/>
              </w:rPr>
              <w:t>阳性对照的来源、菌种、处理方法或时间上的差异的描述。</w:t>
            </w:r>
          </w:p>
        </w:tc>
      </w:tr>
    </w:tbl>
    <w:p w14:paraId="74BE09B8">
      <w:pPr>
        <w:autoSpaceDE/>
        <w:autoSpaceDN/>
        <w:snapToGrid w:val="0"/>
        <w:jc w:val="both"/>
        <w:rPr>
          <w:rFonts w:eastAsia="宋体"/>
          <w:color w:val="000000"/>
          <w:sz w:val="24"/>
          <w:szCs w:val="24"/>
        </w:rPr>
      </w:pPr>
    </w:p>
    <w:p w14:paraId="4CF6C620">
      <w:pPr>
        <w:autoSpaceDE/>
        <w:autoSpaceDN/>
        <w:snapToGrid w:val="0"/>
        <w:jc w:val="both"/>
        <w:rPr>
          <w:rFonts w:eastAsia="宋体"/>
          <w:color w:val="000000"/>
          <w:sz w:val="24"/>
          <w:szCs w:val="24"/>
        </w:rPr>
      </w:pPr>
    </w:p>
    <w:p w14:paraId="1FAE7110">
      <w:pPr>
        <w:tabs>
          <w:tab w:val="left" w:pos="350"/>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无不良临床发现或动物死亡；或</w:t>
      </w:r>
    </w:p>
    <w:p w14:paraId="1D118ACF">
      <w:pPr>
        <w:tabs>
          <w:tab w:val="left" w:pos="350"/>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60"/>
      </w:r>
    </w:p>
    <w:tbl>
      <w:tblPr>
        <w:tblStyle w:val="1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05E4CE8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68" w:type="dxa"/>
            <w:shd w:val="clear" w:color="auto" w:fill="FFFFFF"/>
            <w:tcMar>
              <w:left w:w="57" w:type="dxa"/>
              <w:right w:w="57" w:type="dxa"/>
            </w:tcMar>
          </w:tcPr>
          <w:p w14:paraId="1FF89EEB">
            <w:pPr>
              <w:autoSpaceDE/>
              <w:autoSpaceDN/>
              <w:snapToGrid w:val="0"/>
              <w:jc w:val="both"/>
              <w:rPr>
                <w:rFonts w:eastAsia="宋体"/>
                <w:sz w:val="24"/>
                <w:szCs w:val="24"/>
              </w:rPr>
            </w:pPr>
          </w:p>
          <w:p w14:paraId="4A2FCE8B">
            <w:pPr>
              <w:autoSpaceDE/>
              <w:autoSpaceDN/>
              <w:snapToGrid w:val="0"/>
              <w:jc w:val="both"/>
              <w:rPr>
                <w:rFonts w:eastAsia="宋体"/>
                <w:sz w:val="24"/>
                <w:szCs w:val="24"/>
              </w:rPr>
            </w:pPr>
          </w:p>
        </w:tc>
      </w:tr>
      <w:tr w14:paraId="5974C59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68" w:type="dxa"/>
            <w:shd w:val="clear" w:color="auto" w:fill="FFFFFF"/>
            <w:tcMar>
              <w:left w:w="57" w:type="dxa"/>
              <w:right w:w="57" w:type="dxa"/>
            </w:tcMar>
          </w:tcPr>
          <w:p w14:paraId="748D57BB">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14:paraId="4C8F3625">
      <w:pPr>
        <w:autoSpaceDE/>
        <w:autoSpaceDN/>
        <w:snapToGrid w:val="0"/>
        <w:jc w:val="both"/>
        <w:rPr>
          <w:rFonts w:eastAsia="宋体"/>
          <w:color w:val="000000"/>
          <w:sz w:val="24"/>
          <w:szCs w:val="24"/>
        </w:rPr>
      </w:pPr>
    </w:p>
    <w:p w14:paraId="6E060AF9">
      <w:pPr>
        <w:autoSpaceDE/>
        <w:autoSpaceDN/>
        <w:snapToGrid w:val="0"/>
        <w:jc w:val="both"/>
        <w:rPr>
          <w:rFonts w:eastAsia="宋体"/>
          <w:sz w:val="24"/>
          <w:szCs w:val="24"/>
        </w:rPr>
      </w:pPr>
      <w:r>
        <w:rPr>
          <w:rFonts w:eastAsia="宋体"/>
          <w:color w:val="000000"/>
          <w:sz w:val="24"/>
          <w:szCs w:val="24"/>
        </w:rPr>
        <w:t>我确认：</w:t>
      </w:r>
    </w:p>
    <w:p w14:paraId="731D9AA6">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00631A69">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14:paraId="37451FCA">
      <w:pPr>
        <w:tabs>
          <w:tab w:val="left" w:pos="7925"/>
        </w:tabs>
        <w:autoSpaceDE/>
        <w:autoSpaceDN/>
        <w:snapToGrid w:val="0"/>
        <w:jc w:val="both"/>
        <w:rPr>
          <w:rFonts w:eastAsia="宋体"/>
          <w:color w:val="000000"/>
          <w:sz w:val="24"/>
          <w:szCs w:val="24"/>
        </w:rPr>
      </w:pPr>
    </w:p>
    <w:p w14:paraId="2B1247E1">
      <w:pPr>
        <w:tabs>
          <w:tab w:val="left" w:pos="7925"/>
        </w:tabs>
        <w:autoSpaceDE/>
        <w:autoSpaceDN/>
        <w:snapToGrid w:val="0"/>
        <w:jc w:val="both"/>
        <w:rPr>
          <w:rFonts w:eastAsia="宋体"/>
          <w:color w:val="000000"/>
          <w:sz w:val="24"/>
          <w:szCs w:val="24"/>
        </w:rPr>
      </w:pPr>
    </w:p>
    <w:p w14:paraId="11EFC27E">
      <w:pPr>
        <w:tabs>
          <w:tab w:val="left" w:pos="7925"/>
        </w:tabs>
        <w:autoSpaceDE/>
        <w:autoSpaceDN/>
        <w:snapToGrid w:val="0"/>
        <w:jc w:val="both"/>
        <w:rPr>
          <w:rFonts w:eastAsia="宋体"/>
          <w:color w:val="000000"/>
          <w:sz w:val="24"/>
          <w:szCs w:val="24"/>
        </w:rPr>
      </w:pPr>
    </w:p>
    <w:p w14:paraId="70A7A0EA">
      <w:pPr>
        <w:pBdr>
          <w:bottom w:val="single" w:color="auto" w:sz="6" w:space="1"/>
        </w:pBdr>
        <w:tabs>
          <w:tab w:val="left" w:pos="7925"/>
        </w:tabs>
        <w:autoSpaceDE/>
        <w:autoSpaceDN/>
        <w:snapToGrid w:val="0"/>
        <w:jc w:val="both"/>
        <w:rPr>
          <w:rFonts w:eastAsia="宋体"/>
          <w:color w:val="000000"/>
          <w:sz w:val="24"/>
          <w:szCs w:val="24"/>
        </w:rPr>
      </w:pPr>
    </w:p>
    <w:p w14:paraId="61D7D2D6">
      <w:pP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3BAD4250">
      <w:pPr>
        <w:tabs>
          <w:tab w:val="left" w:pos="182"/>
        </w:tabs>
        <w:autoSpaceDE/>
        <w:autoSpaceDN/>
        <w:snapToGrid w:val="0"/>
        <w:jc w:val="both"/>
        <w:rPr>
          <w:rFonts w:eastAsia="宋体"/>
          <w:color w:val="000000"/>
          <w:sz w:val="24"/>
          <w:szCs w:val="24"/>
          <w:vertAlign w:val="superscript"/>
        </w:rPr>
      </w:pPr>
    </w:p>
    <w:p w14:paraId="45C6AA21">
      <w:pPr>
        <w:tabs>
          <w:tab w:val="left" w:pos="18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36FB967D">
      <w:pPr>
        <w:pStyle w:val="2"/>
        <w:autoSpaceDE/>
        <w:autoSpaceDN/>
        <w:spacing w:before="240" w:after="240"/>
        <w:rPr>
          <w:rFonts w:eastAsia="宋体"/>
          <w:sz w:val="24"/>
          <w:szCs w:val="24"/>
        </w:rPr>
      </w:pPr>
      <w:bookmarkStart w:id="44" w:name="bookmark62"/>
      <w:bookmarkEnd w:id="44"/>
      <w:bookmarkStart w:id="45" w:name="_Toc97473521"/>
      <w:bookmarkStart w:id="46" w:name="_Toc98778570"/>
      <w:r>
        <w:rPr>
          <w:rFonts w:eastAsia="宋体"/>
        </w:rPr>
        <w:t>附录F：医疗器械的生物相容性试验的ASCA汇总试验报告</w:t>
      </w:r>
      <w:r>
        <w:rPr>
          <w:rFonts w:eastAsia="宋体"/>
          <w:sz w:val="24"/>
          <w:szCs w:val="24"/>
        </w:rPr>
        <w:t>示例：闭合贴片致敏性（ISO 10993-10）</w:t>
      </w:r>
      <w:bookmarkEnd w:id="45"/>
      <w:bookmarkEnd w:id="46"/>
    </w:p>
    <w:p w14:paraId="30765FB1">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14:paraId="237B66AC">
      <w:pPr>
        <w:autoSpaceDE/>
        <w:autoSpaceDN/>
        <w:snapToGrid w:val="0"/>
        <w:jc w:val="both"/>
        <w:rPr>
          <w:rFonts w:eastAsia="宋体"/>
          <w:b/>
          <w:bCs/>
          <w:color w:val="000000"/>
          <w:sz w:val="24"/>
          <w:szCs w:val="24"/>
        </w:rPr>
      </w:pPr>
    </w:p>
    <w:p w14:paraId="21414686">
      <w:pPr>
        <w:autoSpaceDE/>
        <w:autoSpaceDN/>
        <w:snapToGrid w:val="0"/>
        <w:jc w:val="both"/>
        <w:rPr>
          <w:rFonts w:eastAsia="宋体"/>
          <w:sz w:val="24"/>
          <w:szCs w:val="24"/>
        </w:rPr>
      </w:pPr>
      <w:r>
        <w:rPr>
          <w:rFonts w:eastAsia="宋体"/>
          <w:b/>
          <w:bCs/>
          <w:color w:val="000000"/>
          <w:sz w:val="24"/>
          <w:szCs w:val="24"/>
        </w:rPr>
        <w:t>管理信息</w:t>
      </w:r>
    </w:p>
    <w:p w14:paraId="4C760C3E">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39F52923">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23D06DA9">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53649D13">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6DD760D1">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36D65A77">
      <w:pPr>
        <w:tabs>
          <w:tab w:val="left" w:pos="1085"/>
        </w:tabs>
        <w:autoSpaceDE/>
        <w:autoSpaceDN/>
        <w:snapToGrid w:val="0"/>
        <w:ind w:left="614" w:leftChars="307"/>
        <w:jc w:val="both"/>
        <w:rPr>
          <w:rFonts w:eastAsia="宋体"/>
          <w:b/>
          <w:bCs/>
          <w:i/>
          <w:i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61"/>
      </w:r>
    </w:p>
    <w:p w14:paraId="64EE42B0">
      <w:pPr>
        <w:tabs>
          <w:tab w:val="left" w:pos="1085"/>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39A9E713">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14:paraId="4B8BAB1E">
      <w:pPr>
        <w:autoSpaceDE/>
        <w:autoSpaceDN/>
        <w:snapToGrid w:val="0"/>
        <w:ind w:left="1591" w:leftChars="638" w:hanging="315"/>
        <w:jc w:val="both"/>
        <w:rPr>
          <w:rFonts w:eastAsia="宋体"/>
          <w:sz w:val="24"/>
          <w:szCs w:val="24"/>
          <w:u w:val="single"/>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u w:val="single"/>
        </w:rPr>
        <w:t>ASCA资格认证</w:t>
      </w:r>
      <w:r>
        <w:rPr>
          <w:rFonts w:eastAsia="宋体"/>
          <w:color w:val="000000"/>
          <w:sz w:val="24"/>
          <w:szCs w:val="24"/>
          <w:u w:val="single"/>
        </w:rPr>
        <w:t>中止</w:t>
      </w:r>
    </w:p>
    <w:tbl>
      <w:tblPr>
        <w:tblStyle w:val="13"/>
        <w:tblW w:w="0" w:type="auto"/>
        <w:tblInd w:w="135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8050"/>
      </w:tblGrid>
      <w:tr w14:paraId="0FE7402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050" w:type="dxa"/>
            <w:shd w:val="clear" w:color="auto" w:fill="FFFFFF"/>
            <w:tcMar>
              <w:left w:w="57" w:type="dxa"/>
              <w:right w:w="57" w:type="dxa"/>
            </w:tcMar>
          </w:tcPr>
          <w:p w14:paraId="375E2310">
            <w:pPr>
              <w:autoSpaceDE/>
              <w:autoSpaceDN/>
              <w:snapToGrid w:val="0"/>
              <w:jc w:val="both"/>
              <w:rPr>
                <w:rFonts w:eastAsia="宋体"/>
                <w:sz w:val="24"/>
                <w:szCs w:val="24"/>
              </w:rPr>
            </w:pPr>
          </w:p>
          <w:p w14:paraId="189878E9">
            <w:pPr>
              <w:autoSpaceDE/>
              <w:autoSpaceDN/>
              <w:snapToGrid w:val="0"/>
              <w:jc w:val="both"/>
              <w:rPr>
                <w:rFonts w:eastAsia="宋体"/>
                <w:sz w:val="24"/>
                <w:szCs w:val="24"/>
              </w:rPr>
            </w:pPr>
          </w:p>
        </w:tc>
      </w:tr>
      <w:tr w14:paraId="1AA24B4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050" w:type="dxa"/>
            <w:shd w:val="clear" w:color="auto" w:fill="FFFFFF"/>
            <w:tcMar>
              <w:left w:w="57" w:type="dxa"/>
              <w:right w:w="57" w:type="dxa"/>
            </w:tcMar>
          </w:tcPr>
          <w:p w14:paraId="6F65AACB">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0615F3B9">
      <w:pPr>
        <w:tabs>
          <w:tab w:val="left" w:leader="underscore" w:pos="8222"/>
        </w:tabs>
        <w:autoSpaceDE/>
        <w:autoSpaceDN/>
        <w:snapToGrid w:val="0"/>
        <w:jc w:val="both"/>
        <w:rPr>
          <w:rFonts w:eastAsia="宋体"/>
          <w:b/>
          <w:bCs/>
          <w:color w:val="000000"/>
          <w:sz w:val="24"/>
          <w:szCs w:val="24"/>
        </w:rPr>
      </w:pPr>
    </w:p>
    <w:p w14:paraId="7AED9136">
      <w:pPr>
        <w:tabs>
          <w:tab w:val="left" w:pos="8222"/>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14:paraId="0C044A71">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14:paraId="34941889">
      <w:pPr>
        <w:tabs>
          <w:tab w:val="left" w:pos="355"/>
          <w:tab w:val="left" w:leader="underscore" w:pos="8222"/>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62"/>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29B5F84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PrEx>
        <w:tc>
          <w:tcPr>
            <w:tcW w:w="9042" w:type="dxa"/>
            <w:shd w:val="clear" w:color="auto" w:fill="FFFFFF"/>
            <w:tcMar>
              <w:left w:w="57" w:type="dxa"/>
              <w:right w:w="57" w:type="dxa"/>
            </w:tcMar>
          </w:tcPr>
          <w:p w14:paraId="4E6332C8">
            <w:pPr>
              <w:autoSpaceDE/>
              <w:autoSpaceDN/>
              <w:snapToGrid w:val="0"/>
              <w:jc w:val="both"/>
              <w:rPr>
                <w:rFonts w:eastAsia="宋体"/>
                <w:sz w:val="24"/>
                <w:szCs w:val="24"/>
              </w:rPr>
            </w:pPr>
          </w:p>
          <w:p w14:paraId="5896690A">
            <w:pPr>
              <w:autoSpaceDE/>
              <w:autoSpaceDN/>
              <w:snapToGrid w:val="0"/>
              <w:jc w:val="both"/>
              <w:rPr>
                <w:rFonts w:eastAsia="宋体"/>
                <w:sz w:val="24"/>
                <w:szCs w:val="24"/>
              </w:rPr>
            </w:pPr>
          </w:p>
        </w:tc>
      </w:tr>
      <w:tr w14:paraId="7AD63B4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042" w:type="dxa"/>
            <w:shd w:val="clear" w:color="auto" w:fill="FFFFFF"/>
            <w:tcMar>
              <w:left w:w="57" w:type="dxa"/>
              <w:right w:w="57" w:type="dxa"/>
            </w:tcMar>
          </w:tcPr>
          <w:p w14:paraId="46C5B197">
            <w:pPr>
              <w:autoSpaceDE/>
              <w:autoSpaceDN/>
              <w:snapToGrid w:val="0"/>
              <w:jc w:val="both"/>
              <w:rPr>
                <w:rFonts w:eastAsia="宋体"/>
                <w:sz w:val="24"/>
                <w:szCs w:val="24"/>
              </w:rPr>
            </w:pPr>
            <w:r>
              <w:rPr>
                <w:rFonts w:eastAsia="宋体"/>
                <w:i/>
                <w:iCs/>
                <w:color w:val="000000"/>
                <w:sz w:val="24"/>
                <w:szCs w:val="24"/>
              </w:rPr>
              <w:t>偏离/修正案的描述</w:t>
            </w:r>
          </w:p>
        </w:tc>
      </w:tr>
    </w:tbl>
    <w:p w14:paraId="11621D94">
      <w:pPr>
        <w:autoSpaceDE/>
        <w:autoSpaceDN/>
        <w:snapToGrid w:val="0"/>
        <w:jc w:val="both"/>
        <w:rPr>
          <w:rFonts w:eastAsia="宋体"/>
          <w:b/>
          <w:bCs/>
          <w:i/>
          <w:iCs/>
          <w:color w:val="000000"/>
          <w:sz w:val="24"/>
          <w:szCs w:val="24"/>
          <w:u w:val="single"/>
        </w:rPr>
      </w:pPr>
    </w:p>
    <w:p w14:paraId="70B4ABCD">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直接接触</w:t>
      </w:r>
    </w:p>
    <w:p w14:paraId="1465D38F">
      <w:pPr>
        <w:autoSpaceDE/>
        <w:autoSpaceDN/>
        <w:snapToGrid w:val="0"/>
        <w:jc w:val="both"/>
        <w:rPr>
          <w:rFonts w:eastAsia="宋体"/>
          <w:sz w:val="24"/>
          <w:szCs w:val="24"/>
        </w:rPr>
      </w:pPr>
    </w:p>
    <w:p w14:paraId="6A24F385">
      <w:pPr>
        <w:autoSpaceDE/>
        <w:autoSpaceDN/>
        <w:snapToGrid w:val="0"/>
        <w:jc w:val="both"/>
        <w:rPr>
          <w:rFonts w:eastAsia="宋体"/>
          <w:sz w:val="24"/>
          <w:szCs w:val="24"/>
        </w:rPr>
      </w:pPr>
      <w:r>
        <w:rPr>
          <w:rFonts w:eastAsia="宋体"/>
          <w:b/>
          <w:bCs/>
          <w:color w:val="000000"/>
          <w:sz w:val="24"/>
          <w:szCs w:val="24"/>
        </w:rPr>
        <w:t>试验样品：</w:t>
      </w:r>
    </w:p>
    <w:p w14:paraId="60E5BBA4">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整个最终完成的器械</w:t>
      </w:r>
    </w:p>
    <w:p w14:paraId="6298CFAC">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根据SOP选择有代表性的样品</w:t>
      </w:r>
    </w:p>
    <w:p w14:paraId="65632128">
      <w:pPr>
        <w:tabs>
          <w:tab w:val="left" w:pos="187"/>
        </w:tabs>
        <w:autoSpaceDE/>
        <w:autoSpaceDN/>
        <w:snapToGrid w:val="0"/>
        <w:jc w:val="both"/>
        <w:rPr>
          <w:rFonts w:eastAsia="宋体"/>
          <w:sz w:val="24"/>
          <w:szCs w:val="24"/>
        </w:rPr>
      </w:pPr>
    </w:p>
    <w:p w14:paraId="3F696494">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013BF16">
      <w:pPr>
        <w:tabs>
          <w:tab w:val="left" w:pos="3828"/>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63"/>
      </w:r>
      <w:r>
        <w:rPr>
          <w:rFonts w:eastAsia="宋体"/>
          <w:i/>
          <w:iCs/>
          <w:color w:val="000000"/>
          <w:sz w:val="24"/>
          <w:szCs w:val="24"/>
          <w:u w:val="single"/>
        </w:rPr>
        <w:t>[描述]</w:t>
      </w:r>
      <w:r>
        <w:rPr>
          <w:rFonts w:eastAsia="宋体"/>
          <w:color w:val="000000"/>
          <w:sz w:val="24"/>
          <w:szCs w:val="24"/>
          <w:u w:val="single"/>
        </w:rPr>
        <w:tab/>
      </w:r>
    </w:p>
    <w:p w14:paraId="524B068F">
      <w:pPr>
        <w:autoSpaceDE/>
        <w:autoSpaceDN/>
        <w:snapToGrid w:val="0"/>
        <w:jc w:val="both"/>
        <w:rPr>
          <w:rFonts w:eastAsia="宋体"/>
          <w:b/>
          <w:bCs/>
          <w:i/>
          <w:iCs/>
          <w:color w:val="000000"/>
          <w:sz w:val="24"/>
          <w:szCs w:val="24"/>
          <w:u w:val="single"/>
        </w:rPr>
      </w:pPr>
    </w:p>
    <w:p w14:paraId="63A29E5C">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浸提试验</w:t>
      </w:r>
    </w:p>
    <w:p w14:paraId="4AE57A3E">
      <w:pPr>
        <w:autoSpaceDE/>
        <w:autoSpaceDN/>
        <w:snapToGrid w:val="0"/>
        <w:jc w:val="both"/>
        <w:rPr>
          <w:rFonts w:eastAsia="宋体"/>
          <w:sz w:val="24"/>
          <w:szCs w:val="24"/>
        </w:rPr>
      </w:pPr>
    </w:p>
    <w:p w14:paraId="37CB9721">
      <w:pPr>
        <w:autoSpaceDE/>
        <w:autoSpaceDN/>
        <w:snapToGrid w:val="0"/>
        <w:jc w:val="both"/>
        <w:rPr>
          <w:rFonts w:eastAsia="宋体"/>
          <w:sz w:val="24"/>
          <w:szCs w:val="24"/>
        </w:rPr>
      </w:pPr>
      <w:r>
        <w:rPr>
          <w:rFonts w:eastAsia="宋体"/>
          <w:b/>
          <w:bCs/>
          <w:color w:val="000000"/>
          <w:sz w:val="24"/>
          <w:szCs w:val="24"/>
        </w:rPr>
        <w:t>浸提溶剂：</w:t>
      </w:r>
    </w:p>
    <w:p w14:paraId="06B22719">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14:paraId="4BCA46F7">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14:paraId="791F7023">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64"/>
      </w:r>
      <w:r>
        <w:rPr>
          <w:rFonts w:eastAsia="宋体"/>
          <w:i/>
          <w:iCs/>
          <w:color w:val="000000"/>
          <w:sz w:val="24"/>
          <w:szCs w:val="24"/>
          <w:u w:val="single"/>
        </w:rPr>
        <w:t>[描述]</w:t>
      </w:r>
      <w:r>
        <w:rPr>
          <w:rFonts w:eastAsia="宋体"/>
          <w:color w:val="000000"/>
          <w:sz w:val="24"/>
          <w:szCs w:val="24"/>
          <w:u w:val="single"/>
        </w:rPr>
        <w:tab/>
      </w:r>
    </w:p>
    <w:p w14:paraId="68E9E652">
      <w:pPr>
        <w:autoSpaceDE/>
        <w:autoSpaceDN/>
        <w:snapToGrid w:val="0"/>
        <w:jc w:val="both"/>
        <w:rPr>
          <w:rFonts w:eastAsia="宋体"/>
          <w:sz w:val="24"/>
          <w:szCs w:val="24"/>
        </w:rPr>
      </w:pPr>
      <w:r>
        <w:rPr>
          <w:rFonts w:eastAsia="宋体"/>
          <w:b/>
          <w:bCs/>
          <w:color w:val="000000"/>
          <w:sz w:val="24"/>
          <w:szCs w:val="24"/>
        </w:rPr>
        <w:t>浸提率：</w:t>
      </w:r>
    </w:p>
    <w:p w14:paraId="071F19D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62240FEB">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14:paraId="5D4776ED">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14:paraId="5C0BA52B">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65"/>
      </w:r>
      <w:r>
        <w:rPr>
          <w:rFonts w:eastAsia="宋体"/>
          <w:i/>
          <w:iCs/>
          <w:color w:val="000000"/>
          <w:sz w:val="24"/>
          <w:szCs w:val="24"/>
          <w:u w:val="single"/>
        </w:rPr>
        <w:t>[描述]</w:t>
      </w:r>
      <w:r>
        <w:rPr>
          <w:rFonts w:eastAsia="宋体"/>
          <w:color w:val="000000"/>
          <w:sz w:val="24"/>
          <w:szCs w:val="24"/>
          <w:u w:val="single"/>
        </w:rPr>
        <w:tab/>
      </w:r>
    </w:p>
    <w:p w14:paraId="3294B993">
      <w:pPr>
        <w:autoSpaceDE/>
        <w:autoSpaceDN/>
        <w:snapToGrid w:val="0"/>
        <w:jc w:val="both"/>
        <w:rPr>
          <w:rFonts w:eastAsia="宋体"/>
          <w:sz w:val="24"/>
          <w:szCs w:val="24"/>
        </w:rPr>
      </w:pPr>
      <w:r>
        <w:rPr>
          <w:rFonts w:eastAsia="宋体"/>
          <w:b/>
          <w:bCs/>
          <w:color w:val="000000"/>
          <w:sz w:val="24"/>
          <w:szCs w:val="24"/>
        </w:rPr>
        <w:t>浸提条件：</w:t>
      </w:r>
    </w:p>
    <w:p w14:paraId="5D4DCD43">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14:paraId="45701DA3">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14:paraId="3B24D58D">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14:paraId="5057AB7F">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14:paraId="401B7957">
      <w:pPr>
        <w:tabs>
          <w:tab w:val="left" w:pos="3828"/>
        </w:tabs>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66"/>
      </w:r>
      <w:r>
        <w:rPr>
          <w:rFonts w:eastAsia="宋体"/>
          <w:i/>
          <w:iCs/>
          <w:color w:val="000000"/>
          <w:sz w:val="24"/>
          <w:szCs w:val="24"/>
          <w:u w:val="single"/>
        </w:rPr>
        <w:t>[描述]</w:t>
      </w:r>
      <w:r>
        <w:rPr>
          <w:rFonts w:eastAsia="宋体"/>
          <w:color w:val="000000"/>
          <w:sz w:val="24"/>
          <w:szCs w:val="24"/>
          <w:u w:val="single"/>
        </w:rPr>
        <w:tab/>
      </w:r>
    </w:p>
    <w:p w14:paraId="4F571ADE">
      <w:pPr>
        <w:autoSpaceDE/>
        <w:autoSpaceDN/>
        <w:snapToGrid w:val="0"/>
        <w:jc w:val="both"/>
        <w:rPr>
          <w:rFonts w:eastAsia="宋体"/>
          <w:b/>
          <w:bCs/>
          <w:color w:val="000000"/>
          <w:sz w:val="24"/>
          <w:szCs w:val="24"/>
        </w:rPr>
      </w:pPr>
    </w:p>
    <w:p w14:paraId="0C083420">
      <w:pPr>
        <w:autoSpaceDE/>
        <w:autoSpaceDN/>
        <w:snapToGrid w:val="0"/>
        <w:jc w:val="both"/>
        <w:rPr>
          <w:rFonts w:eastAsia="宋体"/>
          <w:sz w:val="24"/>
          <w:szCs w:val="24"/>
        </w:rPr>
      </w:pPr>
      <w:r>
        <w:rPr>
          <w:rFonts w:eastAsia="宋体"/>
          <w:b/>
          <w:bCs/>
          <w:color w:val="000000"/>
          <w:sz w:val="24"/>
          <w:szCs w:val="24"/>
        </w:rPr>
        <w:t>液体路径浸提：</w:t>
      </w:r>
    </w:p>
    <w:p w14:paraId="44A093AC">
      <w:pPr>
        <w:tabs>
          <w:tab w:val="left" w:pos="341"/>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67"/>
      </w:r>
    </w:p>
    <w:p w14:paraId="70A1641B">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14:paraId="52161F28">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14:paraId="0E09B3D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14:paraId="497166C8">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14:paraId="040AE8F4">
      <w:pPr>
        <w:autoSpaceDE/>
        <w:autoSpaceDN/>
        <w:snapToGrid w:val="0"/>
        <w:jc w:val="both"/>
        <w:rPr>
          <w:rFonts w:eastAsia="宋体"/>
          <w:sz w:val="24"/>
          <w:szCs w:val="24"/>
        </w:rPr>
      </w:pPr>
    </w:p>
    <w:p w14:paraId="26ED9CBC">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14:paraId="68813459">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68"/>
      </w:r>
    </w:p>
    <w:p w14:paraId="38201DE7">
      <w:pPr>
        <w:autoSpaceDE/>
        <w:autoSpaceDN/>
        <w:snapToGrid w:val="0"/>
        <w:jc w:val="both"/>
        <w:rPr>
          <w:rFonts w:eastAsia="宋体"/>
          <w:b/>
          <w:bCs/>
          <w:color w:val="000000"/>
          <w:sz w:val="24"/>
          <w:szCs w:val="24"/>
        </w:rPr>
      </w:pPr>
    </w:p>
    <w:p w14:paraId="0CD85B47">
      <w:pPr>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[ASCAPatchSensf(日期/版本）]</w:t>
      </w:r>
    </w:p>
    <w:p w14:paraId="000CB19C">
      <w:pPr>
        <w:tabs>
          <w:tab w:val="left" w:pos="182"/>
        </w:tabs>
        <w:autoSpaceDE/>
        <w:autoSpaceDN/>
        <w:snapToGrid w:val="0"/>
        <w:jc w:val="both"/>
        <w:rPr>
          <w:rFonts w:eastAsia="宋体"/>
          <w:color w:val="000000"/>
          <w:sz w:val="24"/>
          <w:szCs w:val="24"/>
          <w:vertAlign w:val="superscript"/>
        </w:rPr>
      </w:pPr>
    </w:p>
    <w:p w14:paraId="2C9A9D57">
      <w:pPr>
        <w:tabs>
          <w:tab w:val="left" w:pos="18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70D093B1">
      <w:pPr>
        <w:tabs>
          <w:tab w:val="left" w:pos="370"/>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106F2B75">
      <w:pPr>
        <w:tabs>
          <w:tab w:val="left" w:pos="370"/>
        </w:tabs>
        <w:autoSpaceDE/>
        <w:autoSpaceDN/>
        <w:snapToGrid w:val="0"/>
        <w:jc w:val="both"/>
        <w:rPr>
          <w:rFonts w:eastAsia="宋体"/>
          <w:b/>
          <w:bCs/>
          <w:color w:val="000000"/>
          <w:sz w:val="24"/>
          <w:szCs w:val="24"/>
        </w:rPr>
      </w:pPr>
      <w:r>
        <w:rPr>
          <w:rFonts w:eastAsia="宋体"/>
          <w:color w:val="000000"/>
          <w:sz w:val="24"/>
          <w:szCs w:val="24"/>
        </w:rPr>
        <w:t>或</w:t>
      </w:r>
    </w:p>
    <w:p w14:paraId="610ED1FE">
      <w:pPr>
        <w:tabs>
          <w:tab w:val="left" w:pos="370"/>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69"/>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5825168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PrEx>
        <w:tc>
          <w:tcPr>
            <w:tcW w:w="9398" w:type="dxa"/>
            <w:shd w:val="clear" w:color="auto" w:fill="FFFFFF"/>
            <w:tcMar>
              <w:left w:w="57" w:type="dxa"/>
              <w:right w:w="57" w:type="dxa"/>
            </w:tcMar>
          </w:tcPr>
          <w:p w14:paraId="3C4B6750">
            <w:pPr>
              <w:autoSpaceDE/>
              <w:autoSpaceDN/>
              <w:snapToGrid w:val="0"/>
              <w:jc w:val="both"/>
              <w:rPr>
                <w:rFonts w:eastAsia="宋体"/>
                <w:sz w:val="24"/>
                <w:szCs w:val="24"/>
              </w:rPr>
            </w:pPr>
          </w:p>
          <w:p w14:paraId="1A23D1D3">
            <w:pPr>
              <w:autoSpaceDE/>
              <w:autoSpaceDN/>
              <w:snapToGrid w:val="0"/>
              <w:jc w:val="both"/>
              <w:rPr>
                <w:rFonts w:eastAsia="宋体"/>
                <w:sz w:val="24"/>
                <w:szCs w:val="24"/>
              </w:rPr>
            </w:pPr>
          </w:p>
        </w:tc>
      </w:tr>
      <w:tr w14:paraId="43D948B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98" w:type="dxa"/>
            <w:shd w:val="clear" w:color="auto" w:fill="FFFFFF"/>
            <w:tcMar>
              <w:left w:w="57" w:type="dxa"/>
              <w:right w:w="57" w:type="dxa"/>
            </w:tcMar>
          </w:tcPr>
          <w:p w14:paraId="7B2F2425">
            <w:pPr>
              <w:autoSpaceDE/>
              <w:autoSpaceDN/>
              <w:snapToGrid w:val="0"/>
              <w:jc w:val="both"/>
              <w:rPr>
                <w:rFonts w:eastAsia="宋体"/>
                <w:sz w:val="24"/>
                <w:szCs w:val="24"/>
              </w:rPr>
            </w:pPr>
            <w:r>
              <w:rPr>
                <w:rFonts w:eastAsia="宋体"/>
                <w:i/>
                <w:iCs/>
                <w:color w:val="000000"/>
                <w:sz w:val="24"/>
                <w:szCs w:val="24"/>
              </w:rPr>
              <w:t>偏离/修正案的描述</w:t>
            </w:r>
          </w:p>
        </w:tc>
      </w:tr>
    </w:tbl>
    <w:p w14:paraId="5DA988E0">
      <w:pPr>
        <w:autoSpaceDE/>
        <w:autoSpaceDN/>
        <w:snapToGrid w:val="0"/>
        <w:jc w:val="both"/>
        <w:rPr>
          <w:rFonts w:eastAsia="宋体"/>
          <w:b/>
          <w:bCs/>
          <w:color w:val="000000"/>
          <w:sz w:val="24"/>
          <w:szCs w:val="24"/>
        </w:rPr>
      </w:pPr>
    </w:p>
    <w:p w14:paraId="241AE1B2">
      <w:pPr>
        <w:autoSpaceDE/>
        <w:autoSpaceDN/>
        <w:snapToGrid w:val="0"/>
        <w:jc w:val="both"/>
        <w:rPr>
          <w:rFonts w:eastAsia="宋体"/>
          <w:sz w:val="24"/>
          <w:szCs w:val="24"/>
        </w:rPr>
      </w:pPr>
      <w:r>
        <w:rPr>
          <w:rFonts w:eastAsia="宋体"/>
          <w:b/>
          <w:bCs/>
          <w:color w:val="000000"/>
          <w:sz w:val="24"/>
          <w:szCs w:val="24"/>
        </w:rPr>
        <w:t>结果：</w:t>
      </w:r>
      <w:r>
        <w:rPr>
          <w:rStyle w:val="17"/>
          <w:rFonts w:eastAsia="宋体"/>
          <w:b/>
          <w:bCs/>
          <w:sz w:val="24"/>
          <w:szCs w:val="24"/>
        </w:rPr>
        <w:footnoteReference w:id="70"/>
      </w:r>
    </w:p>
    <w:p w14:paraId="3D5C7363">
      <w:pPr>
        <w:autoSpaceDE/>
        <w:autoSpaceDN/>
        <w:snapToGrid w:val="0"/>
        <w:jc w:val="center"/>
        <w:rPr>
          <w:rFonts w:eastAsia="宋体"/>
          <w:sz w:val="24"/>
          <w:szCs w:val="24"/>
        </w:rPr>
      </w:pPr>
      <w:r>
        <w:rPr>
          <w:rFonts w:eastAsia="宋体"/>
          <w:b/>
          <w:bCs/>
          <w:color w:val="000000"/>
          <w:sz w:val="24"/>
          <w:szCs w:val="24"/>
        </w:rPr>
        <w:t>表1致敏性评分汇总*</w:t>
      </w:r>
    </w:p>
    <w:p w14:paraId="65B93F5E">
      <w:pPr>
        <w:autoSpaceDE/>
        <w:autoSpaceDN/>
        <w:snapToGrid w:val="0"/>
        <w:jc w:val="both"/>
        <w:rPr>
          <w:rFonts w:eastAsia="宋体"/>
          <w:sz w:val="24"/>
          <w:szCs w:val="24"/>
        </w:rPr>
      </w:pPr>
    </w:p>
    <w:tbl>
      <w:tblPr>
        <w:tblStyle w:val="13"/>
        <w:tblW w:w="0" w:type="auto"/>
        <w:tblInd w:w="0" w:type="dxa"/>
        <w:tblLayout w:type="fixed"/>
        <w:tblCellMar>
          <w:top w:w="0" w:type="dxa"/>
          <w:left w:w="57" w:type="dxa"/>
          <w:bottom w:w="0" w:type="dxa"/>
          <w:right w:w="57" w:type="dxa"/>
        </w:tblCellMar>
      </w:tblPr>
      <w:tblGrid>
        <w:gridCol w:w="2184"/>
        <w:gridCol w:w="1014"/>
        <w:gridCol w:w="974"/>
        <w:gridCol w:w="610"/>
        <w:gridCol w:w="941"/>
        <w:gridCol w:w="614"/>
        <w:gridCol w:w="1397"/>
        <w:gridCol w:w="1267"/>
      </w:tblGrid>
      <w:tr w14:paraId="56DC0292">
        <w:tblPrEx>
          <w:tblCellMar>
            <w:top w:w="0" w:type="dxa"/>
            <w:left w:w="57" w:type="dxa"/>
            <w:bottom w:w="0" w:type="dxa"/>
            <w:right w:w="57" w:type="dxa"/>
          </w:tblCellMar>
        </w:tblPrEx>
        <w:tc>
          <w:tcPr>
            <w:tcW w:w="2184"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2315DE2B">
            <w:pPr>
              <w:autoSpaceDE/>
              <w:autoSpaceDN/>
              <w:snapToGrid w:val="0"/>
              <w:jc w:val="both"/>
              <w:rPr>
                <w:rFonts w:eastAsia="宋体"/>
                <w:sz w:val="21"/>
                <w:szCs w:val="21"/>
              </w:rPr>
            </w:pPr>
            <w:r>
              <w:rPr>
                <w:rFonts w:eastAsia="宋体"/>
                <w:b/>
                <w:bCs/>
                <w:color w:val="000000"/>
                <w:sz w:val="21"/>
                <w:szCs w:val="21"/>
              </w:rPr>
              <w:t>组别</w:t>
            </w:r>
          </w:p>
        </w:tc>
        <w:tc>
          <w:tcPr>
            <w:tcW w:w="1014"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57A16BAC">
            <w:pPr>
              <w:autoSpaceDE/>
              <w:autoSpaceDN/>
              <w:snapToGrid w:val="0"/>
              <w:jc w:val="both"/>
              <w:rPr>
                <w:rFonts w:eastAsia="宋体"/>
                <w:sz w:val="21"/>
                <w:szCs w:val="21"/>
              </w:rPr>
            </w:pPr>
            <w:r>
              <w:rPr>
                <w:rFonts w:eastAsia="宋体"/>
                <w:b/>
                <w:bCs/>
                <w:color w:val="000000"/>
                <w:sz w:val="21"/>
                <w:szCs w:val="21"/>
              </w:rPr>
              <w:t>动物编号</w:t>
            </w:r>
          </w:p>
        </w:tc>
        <w:tc>
          <w:tcPr>
            <w:tcW w:w="158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C69D46">
            <w:pPr>
              <w:autoSpaceDE/>
              <w:autoSpaceDN/>
              <w:snapToGrid w:val="0"/>
              <w:jc w:val="center"/>
              <w:rPr>
                <w:rFonts w:eastAsia="宋体"/>
                <w:sz w:val="21"/>
                <w:szCs w:val="21"/>
              </w:rPr>
            </w:pPr>
            <w:r>
              <w:rPr>
                <w:rFonts w:eastAsia="宋体"/>
                <w:b/>
                <w:bCs/>
                <w:color w:val="000000"/>
                <w:sz w:val="21"/>
                <w:szCs w:val="21"/>
              </w:rPr>
              <w:t>24小时</w:t>
            </w:r>
          </w:p>
        </w:tc>
        <w:tc>
          <w:tcPr>
            <w:tcW w:w="1555"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85162E">
            <w:pPr>
              <w:autoSpaceDE/>
              <w:autoSpaceDN/>
              <w:snapToGrid w:val="0"/>
              <w:jc w:val="center"/>
              <w:rPr>
                <w:rFonts w:eastAsia="宋体"/>
                <w:sz w:val="21"/>
                <w:szCs w:val="21"/>
              </w:rPr>
            </w:pPr>
            <w:r>
              <w:rPr>
                <w:rFonts w:eastAsia="宋体"/>
                <w:b/>
                <w:bCs/>
                <w:color w:val="000000"/>
                <w:sz w:val="21"/>
                <w:szCs w:val="21"/>
              </w:rPr>
              <w:t>48小时</w:t>
            </w:r>
          </w:p>
        </w:tc>
        <w:tc>
          <w:tcPr>
            <w:tcW w:w="1397"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4EB033C5">
            <w:pPr>
              <w:autoSpaceDE/>
              <w:autoSpaceDN/>
              <w:snapToGrid w:val="0"/>
              <w:jc w:val="center"/>
              <w:rPr>
                <w:rFonts w:eastAsia="宋体"/>
                <w:sz w:val="21"/>
                <w:szCs w:val="21"/>
              </w:rPr>
            </w:pPr>
            <w:r>
              <w:rPr>
                <w:rFonts w:eastAsia="宋体"/>
                <w:b/>
                <w:bCs/>
                <w:color w:val="000000"/>
                <w:sz w:val="21"/>
                <w:szCs w:val="21"/>
              </w:rPr>
              <w:t>致敏频率</w:t>
            </w:r>
          </w:p>
        </w:tc>
        <w:tc>
          <w:tcPr>
            <w:tcW w:w="1267"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0A784A03">
            <w:pPr>
              <w:autoSpaceDE/>
              <w:autoSpaceDN/>
              <w:snapToGrid w:val="0"/>
              <w:jc w:val="center"/>
              <w:rPr>
                <w:rFonts w:eastAsia="宋体"/>
                <w:sz w:val="21"/>
                <w:szCs w:val="21"/>
              </w:rPr>
            </w:pPr>
            <w:r>
              <w:rPr>
                <w:rFonts w:eastAsia="宋体"/>
                <w:b/>
                <w:bCs/>
                <w:color w:val="000000"/>
                <w:sz w:val="21"/>
                <w:szCs w:val="21"/>
              </w:rPr>
              <w:t>结论</w:t>
            </w:r>
          </w:p>
        </w:tc>
      </w:tr>
      <w:tr w14:paraId="5E749F94">
        <w:tblPrEx>
          <w:tblCellMar>
            <w:top w:w="0" w:type="dxa"/>
            <w:left w:w="57" w:type="dxa"/>
            <w:bottom w:w="0" w:type="dxa"/>
            <w:right w:w="57" w:type="dxa"/>
          </w:tblCellMar>
        </w:tblPrEx>
        <w:tc>
          <w:tcPr>
            <w:tcW w:w="2184"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3E8F5AC4">
            <w:pPr>
              <w:autoSpaceDE/>
              <w:autoSpaceDN/>
              <w:snapToGrid w:val="0"/>
              <w:jc w:val="both"/>
              <w:rPr>
                <w:rFonts w:eastAsia="宋体"/>
                <w:sz w:val="21"/>
                <w:szCs w:val="21"/>
              </w:rPr>
            </w:pPr>
          </w:p>
        </w:tc>
        <w:tc>
          <w:tcPr>
            <w:tcW w:w="1014"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39411FBA">
            <w:pPr>
              <w:autoSpaceDE/>
              <w:autoSpaceDN/>
              <w:snapToGrid w:val="0"/>
              <w:jc w:val="both"/>
              <w:rPr>
                <w:rFonts w:eastAsia="宋体"/>
                <w:sz w:val="21"/>
                <w:szCs w:val="21"/>
              </w:rPr>
            </w:pP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052D6E">
            <w:pPr>
              <w:autoSpaceDE/>
              <w:autoSpaceDN/>
              <w:snapToGrid w:val="0"/>
              <w:jc w:val="both"/>
              <w:rPr>
                <w:rFonts w:eastAsia="宋体"/>
                <w:sz w:val="21"/>
                <w:szCs w:val="21"/>
              </w:rPr>
            </w:pPr>
            <w:r>
              <w:rPr>
                <w:rFonts w:eastAsia="宋体"/>
                <w:b/>
                <w:bCs/>
                <w:color w:val="000000"/>
                <w:sz w:val="21"/>
                <w:szCs w:val="21"/>
              </w:rPr>
              <w:t>对照部位</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9DD32A">
            <w:pPr>
              <w:autoSpaceDE/>
              <w:autoSpaceDN/>
              <w:snapToGrid w:val="0"/>
              <w:jc w:val="both"/>
              <w:rPr>
                <w:rFonts w:eastAsia="宋体"/>
                <w:sz w:val="21"/>
                <w:szCs w:val="21"/>
              </w:rPr>
            </w:pPr>
            <w:r>
              <w:rPr>
                <w:rFonts w:eastAsia="宋体"/>
                <w:b/>
                <w:bCs/>
                <w:color w:val="000000"/>
                <w:sz w:val="21"/>
                <w:szCs w:val="21"/>
              </w:rPr>
              <w:t>试验部位</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477581">
            <w:pPr>
              <w:autoSpaceDE/>
              <w:autoSpaceDN/>
              <w:snapToGrid w:val="0"/>
              <w:jc w:val="both"/>
              <w:rPr>
                <w:rFonts w:eastAsia="宋体"/>
                <w:sz w:val="21"/>
                <w:szCs w:val="21"/>
              </w:rPr>
            </w:pPr>
            <w:r>
              <w:rPr>
                <w:rFonts w:eastAsia="宋体"/>
                <w:b/>
                <w:bCs/>
                <w:color w:val="000000"/>
                <w:sz w:val="21"/>
                <w:szCs w:val="21"/>
              </w:rPr>
              <w:t>对照部位</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5D5181">
            <w:pPr>
              <w:autoSpaceDE/>
              <w:autoSpaceDN/>
              <w:snapToGrid w:val="0"/>
              <w:jc w:val="both"/>
              <w:rPr>
                <w:rFonts w:eastAsia="宋体"/>
                <w:sz w:val="21"/>
                <w:szCs w:val="21"/>
              </w:rPr>
            </w:pPr>
            <w:r>
              <w:rPr>
                <w:rFonts w:eastAsia="宋体"/>
                <w:b/>
                <w:bCs/>
                <w:color w:val="000000"/>
                <w:sz w:val="21"/>
                <w:szCs w:val="21"/>
              </w:rPr>
              <w:t>试验部位</w:t>
            </w:r>
          </w:p>
        </w:tc>
        <w:tc>
          <w:tcPr>
            <w:tcW w:w="139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6FE45D9A">
            <w:pPr>
              <w:autoSpaceDE/>
              <w:autoSpaceDN/>
              <w:snapToGrid w:val="0"/>
              <w:jc w:val="both"/>
              <w:rPr>
                <w:rFonts w:eastAsia="宋体"/>
                <w:sz w:val="21"/>
                <w:szCs w:val="21"/>
              </w:rPr>
            </w:pPr>
          </w:p>
        </w:tc>
        <w:tc>
          <w:tcPr>
            <w:tcW w:w="126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4D4DCF67">
            <w:pPr>
              <w:autoSpaceDE/>
              <w:autoSpaceDN/>
              <w:snapToGrid w:val="0"/>
              <w:jc w:val="both"/>
              <w:rPr>
                <w:rFonts w:eastAsia="宋体"/>
                <w:sz w:val="21"/>
                <w:szCs w:val="21"/>
              </w:rPr>
            </w:pPr>
          </w:p>
        </w:tc>
      </w:tr>
      <w:tr w14:paraId="24A19E10">
        <w:tblPrEx>
          <w:tblCellMar>
            <w:top w:w="0" w:type="dxa"/>
            <w:left w:w="57" w:type="dxa"/>
            <w:bottom w:w="0" w:type="dxa"/>
            <w:right w:w="57" w:type="dxa"/>
          </w:tblCellMar>
        </w:tblPrEx>
        <w:tc>
          <w:tcPr>
            <w:tcW w:w="2184"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3B174DF0">
            <w:pPr>
              <w:autoSpaceDE/>
              <w:autoSpaceDN/>
              <w:snapToGrid w:val="0"/>
              <w:jc w:val="both"/>
              <w:rPr>
                <w:rFonts w:eastAsia="宋体"/>
                <w:sz w:val="21"/>
                <w:szCs w:val="21"/>
              </w:rPr>
            </w:pPr>
            <w:r>
              <w:rPr>
                <w:rFonts w:eastAsia="宋体"/>
                <w:b/>
                <w:bCs/>
                <w:color w:val="000000"/>
                <w:sz w:val="21"/>
                <w:szCs w:val="21"/>
              </w:rPr>
              <w:t>试验组</w:t>
            </w: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6F5560">
            <w:pPr>
              <w:autoSpaceDE/>
              <w:autoSpaceDN/>
              <w:snapToGrid w:val="0"/>
              <w:jc w:val="both"/>
              <w:rPr>
                <w:rFonts w:eastAsia="宋体"/>
                <w:sz w:val="21"/>
                <w:szCs w:val="21"/>
              </w:rPr>
            </w:pPr>
            <w:r>
              <w:rPr>
                <w:rFonts w:eastAsia="宋体"/>
                <w:b/>
                <w:bCs/>
                <w:color w:val="000000"/>
                <w:sz w:val="21"/>
                <w:szCs w:val="21"/>
              </w:rPr>
              <w:t>1</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897006">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2E32AE">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8D3250">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6335DC">
            <w:pPr>
              <w:autoSpaceDE/>
              <w:autoSpaceDN/>
              <w:snapToGrid w:val="0"/>
              <w:jc w:val="both"/>
              <w:rPr>
                <w:rFonts w:eastAsia="宋体"/>
                <w:sz w:val="21"/>
                <w:szCs w:val="21"/>
              </w:rPr>
            </w:pPr>
            <w:r>
              <w:rPr>
                <w:rFonts w:eastAsia="宋体"/>
                <w:color w:val="000000"/>
                <w:sz w:val="21"/>
                <w:szCs w:val="21"/>
              </w:rPr>
              <w:t>0</w:t>
            </w:r>
          </w:p>
        </w:tc>
        <w:tc>
          <w:tcPr>
            <w:tcW w:w="1397"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34E5A963">
            <w:pPr>
              <w:autoSpaceDE/>
              <w:autoSpaceDN/>
              <w:snapToGrid w:val="0"/>
              <w:jc w:val="center"/>
              <w:rPr>
                <w:rFonts w:eastAsia="宋体"/>
                <w:sz w:val="21"/>
                <w:szCs w:val="21"/>
              </w:rPr>
            </w:pPr>
            <w:r>
              <w:rPr>
                <w:rFonts w:eastAsia="宋体"/>
                <w:color w:val="000000"/>
                <w:sz w:val="21"/>
                <w:szCs w:val="21"/>
              </w:rPr>
              <w:t>0%</w:t>
            </w:r>
          </w:p>
        </w:tc>
        <w:tc>
          <w:tcPr>
            <w:tcW w:w="1267"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56291FC8">
            <w:pPr>
              <w:autoSpaceDE/>
              <w:autoSpaceDN/>
              <w:snapToGrid w:val="0"/>
              <w:jc w:val="both"/>
              <w:rPr>
                <w:rFonts w:eastAsia="宋体"/>
                <w:sz w:val="21"/>
                <w:szCs w:val="21"/>
              </w:rPr>
            </w:pPr>
            <w:r>
              <w:rPr>
                <w:rFonts w:eastAsia="宋体"/>
                <w:color w:val="000000"/>
                <w:sz w:val="21"/>
                <w:szCs w:val="21"/>
              </w:rPr>
              <w:t>非致敏物</w:t>
            </w:r>
          </w:p>
        </w:tc>
      </w:tr>
      <w:tr w14:paraId="49435EE2">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14:paraId="0911620A">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78569C">
            <w:pPr>
              <w:autoSpaceDE/>
              <w:autoSpaceDN/>
              <w:snapToGrid w:val="0"/>
              <w:jc w:val="both"/>
              <w:rPr>
                <w:rFonts w:eastAsia="宋体"/>
                <w:sz w:val="21"/>
                <w:szCs w:val="21"/>
              </w:rPr>
            </w:pPr>
            <w:r>
              <w:rPr>
                <w:rFonts w:eastAsia="宋体"/>
                <w:b/>
                <w:bCs/>
                <w:color w:val="000000"/>
                <w:sz w:val="21"/>
                <w:szCs w:val="21"/>
              </w:rPr>
              <w:t>2</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52B627">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B145C3">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BCE2AD">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5B5BFB">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18D172D5">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61FD7748">
            <w:pPr>
              <w:autoSpaceDE/>
              <w:autoSpaceDN/>
              <w:snapToGrid w:val="0"/>
              <w:jc w:val="both"/>
              <w:rPr>
                <w:rFonts w:eastAsia="宋体"/>
                <w:sz w:val="21"/>
                <w:szCs w:val="21"/>
              </w:rPr>
            </w:pPr>
          </w:p>
        </w:tc>
      </w:tr>
      <w:tr w14:paraId="4B8F0A8E">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14:paraId="65A2A010">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C1DE6D">
            <w:pPr>
              <w:autoSpaceDE/>
              <w:autoSpaceDN/>
              <w:snapToGrid w:val="0"/>
              <w:jc w:val="both"/>
              <w:rPr>
                <w:rFonts w:eastAsia="宋体"/>
                <w:sz w:val="21"/>
                <w:szCs w:val="21"/>
              </w:rPr>
            </w:pPr>
            <w:r>
              <w:rPr>
                <w:rFonts w:eastAsia="宋体"/>
                <w:b/>
                <w:bCs/>
                <w:color w:val="000000"/>
                <w:sz w:val="21"/>
                <w:szCs w:val="21"/>
              </w:rPr>
              <w:t>3</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5F0D21">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EF2B54">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22169F">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9DB01F">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3C929678">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4AAB9637">
            <w:pPr>
              <w:autoSpaceDE/>
              <w:autoSpaceDN/>
              <w:snapToGrid w:val="0"/>
              <w:jc w:val="both"/>
              <w:rPr>
                <w:rFonts w:eastAsia="宋体"/>
                <w:sz w:val="21"/>
                <w:szCs w:val="21"/>
              </w:rPr>
            </w:pPr>
          </w:p>
        </w:tc>
      </w:tr>
      <w:tr w14:paraId="2C8CEA5A">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14:paraId="0D1D145E">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F5942B">
            <w:pPr>
              <w:autoSpaceDE/>
              <w:autoSpaceDN/>
              <w:snapToGrid w:val="0"/>
              <w:jc w:val="both"/>
              <w:rPr>
                <w:rFonts w:eastAsia="宋体"/>
                <w:sz w:val="21"/>
                <w:szCs w:val="21"/>
              </w:rPr>
            </w:pPr>
            <w:r>
              <w:rPr>
                <w:rFonts w:eastAsia="宋体"/>
                <w:b/>
                <w:bCs/>
                <w:color w:val="000000"/>
                <w:sz w:val="21"/>
                <w:szCs w:val="21"/>
              </w:rPr>
              <w:t>4</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5B63A6">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6A3530">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F46197">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46B9D5">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2CAD11D6">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20EF4504">
            <w:pPr>
              <w:autoSpaceDE/>
              <w:autoSpaceDN/>
              <w:snapToGrid w:val="0"/>
              <w:jc w:val="both"/>
              <w:rPr>
                <w:rFonts w:eastAsia="宋体"/>
                <w:sz w:val="21"/>
                <w:szCs w:val="21"/>
              </w:rPr>
            </w:pPr>
          </w:p>
        </w:tc>
      </w:tr>
      <w:tr w14:paraId="540E5A2E">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14:paraId="3313887F">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6071BF">
            <w:pPr>
              <w:autoSpaceDE/>
              <w:autoSpaceDN/>
              <w:snapToGrid w:val="0"/>
              <w:jc w:val="both"/>
              <w:rPr>
                <w:rFonts w:eastAsia="宋体"/>
                <w:sz w:val="21"/>
                <w:szCs w:val="21"/>
              </w:rPr>
            </w:pPr>
            <w:r>
              <w:rPr>
                <w:rFonts w:eastAsia="宋体"/>
                <w:b/>
                <w:bCs/>
                <w:color w:val="000000"/>
                <w:sz w:val="21"/>
                <w:szCs w:val="21"/>
              </w:rPr>
              <w:t>5</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83FD60">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D40228">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5423D2">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8FA1F4">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5F13FEBE">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77187C96">
            <w:pPr>
              <w:autoSpaceDE/>
              <w:autoSpaceDN/>
              <w:snapToGrid w:val="0"/>
              <w:jc w:val="both"/>
              <w:rPr>
                <w:rFonts w:eastAsia="宋体"/>
                <w:sz w:val="21"/>
                <w:szCs w:val="21"/>
              </w:rPr>
            </w:pPr>
          </w:p>
        </w:tc>
      </w:tr>
      <w:tr w14:paraId="43B15ECC">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14:paraId="616F48A5">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6E9C0D">
            <w:pPr>
              <w:autoSpaceDE/>
              <w:autoSpaceDN/>
              <w:snapToGrid w:val="0"/>
              <w:jc w:val="both"/>
              <w:rPr>
                <w:rFonts w:eastAsia="宋体"/>
                <w:sz w:val="21"/>
                <w:szCs w:val="21"/>
              </w:rPr>
            </w:pPr>
            <w:r>
              <w:rPr>
                <w:rFonts w:eastAsia="宋体"/>
                <w:b/>
                <w:bCs/>
                <w:color w:val="000000"/>
                <w:sz w:val="21"/>
                <w:szCs w:val="21"/>
              </w:rPr>
              <w:t>6</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04118B">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39B4AA">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5DF309">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EFA3E1C">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11F669A3">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449B70CD">
            <w:pPr>
              <w:autoSpaceDE/>
              <w:autoSpaceDN/>
              <w:snapToGrid w:val="0"/>
              <w:jc w:val="both"/>
              <w:rPr>
                <w:rFonts w:eastAsia="宋体"/>
                <w:sz w:val="21"/>
                <w:szCs w:val="21"/>
              </w:rPr>
            </w:pPr>
          </w:p>
        </w:tc>
      </w:tr>
      <w:tr w14:paraId="5D452C1D">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14:paraId="4CB7547D">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8F89AD">
            <w:pPr>
              <w:autoSpaceDE/>
              <w:autoSpaceDN/>
              <w:snapToGrid w:val="0"/>
              <w:jc w:val="both"/>
              <w:rPr>
                <w:rFonts w:eastAsia="宋体"/>
                <w:sz w:val="21"/>
                <w:szCs w:val="21"/>
              </w:rPr>
            </w:pPr>
            <w:r>
              <w:rPr>
                <w:rFonts w:eastAsia="宋体"/>
                <w:b/>
                <w:bCs/>
                <w:color w:val="000000"/>
                <w:sz w:val="21"/>
                <w:szCs w:val="21"/>
              </w:rPr>
              <w:t>7</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FBF6D4">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891C58">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25C43B">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985685">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40CD7EFE">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5401A720">
            <w:pPr>
              <w:autoSpaceDE/>
              <w:autoSpaceDN/>
              <w:snapToGrid w:val="0"/>
              <w:jc w:val="both"/>
              <w:rPr>
                <w:rFonts w:eastAsia="宋体"/>
                <w:sz w:val="21"/>
                <w:szCs w:val="21"/>
              </w:rPr>
            </w:pPr>
          </w:p>
        </w:tc>
      </w:tr>
      <w:tr w14:paraId="230BE37E">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14:paraId="204F45C6">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4BEAB4">
            <w:pPr>
              <w:autoSpaceDE/>
              <w:autoSpaceDN/>
              <w:snapToGrid w:val="0"/>
              <w:jc w:val="both"/>
              <w:rPr>
                <w:rFonts w:eastAsia="宋体"/>
                <w:sz w:val="21"/>
                <w:szCs w:val="21"/>
              </w:rPr>
            </w:pPr>
            <w:r>
              <w:rPr>
                <w:rFonts w:eastAsia="宋体"/>
                <w:b/>
                <w:bCs/>
                <w:color w:val="000000"/>
                <w:sz w:val="21"/>
                <w:szCs w:val="21"/>
              </w:rPr>
              <w:t>8</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BD5C70">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F6794F">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9A4B11">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D65B98">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6AE4BD16">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4B3A25B6">
            <w:pPr>
              <w:autoSpaceDE/>
              <w:autoSpaceDN/>
              <w:snapToGrid w:val="0"/>
              <w:jc w:val="both"/>
              <w:rPr>
                <w:rFonts w:eastAsia="宋体"/>
                <w:sz w:val="21"/>
                <w:szCs w:val="21"/>
              </w:rPr>
            </w:pPr>
          </w:p>
        </w:tc>
      </w:tr>
      <w:tr w14:paraId="18D06464">
        <w:tblPrEx>
          <w:tblCellMar>
            <w:top w:w="0" w:type="dxa"/>
            <w:left w:w="57" w:type="dxa"/>
            <w:bottom w:w="0" w:type="dxa"/>
            <w:right w:w="57" w:type="dxa"/>
          </w:tblCellMar>
        </w:tblPrEx>
        <w:tc>
          <w:tcPr>
            <w:tcW w:w="2184" w:type="dxa"/>
            <w:tcBorders>
              <w:top w:val="nil"/>
              <w:left w:val="single" w:color="auto" w:sz="6" w:space="0"/>
              <w:bottom w:val="nil"/>
              <w:right w:val="single" w:color="auto" w:sz="6" w:space="0"/>
            </w:tcBorders>
            <w:shd w:val="clear" w:color="auto" w:fill="FFFFFF"/>
            <w:tcMar>
              <w:left w:w="57" w:type="dxa"/>
              <w:right w:w="57" w:type="dxa"/>
            </w:tcMar>
          </w:tcPr>
          <w:p w14:paraId="2FB9F85C">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F42F2E">
            <w:pPr>
              <w:autoSpaceDE/>
              <w:autoSpaceDN/>
              <w:snapToGrid w:val="0"/>
              <w:jc w:val="both"/>
              <w:rPr>
                <w:rFonts w:eastAsia="宋体"/>
                <w:sz w:val="21"/>
                <w:szCs w:val="21"/>
              </w:rPr>
            </w:pPr>
            <w:r>
              <w:rPr>
                <w:rFonts w:eastAsia="宋体"/>
                <w:b/>
                <w:bCs/>
                <w:color w:val="000000"/>
                <w:sz w:val="21"/>
                <w:szCs w:val="21"/>
              </w:rPr>
              <w:t>9</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A783C5">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C84B69">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01FBC1">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952332">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7E55E7A3">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1C7097A4">
            <w:pPr>
              <w:autoSpaceDE/>
              <w:autoSpaceDN/>
              <w:snapToGrid w:val="0"/>
              <w:jc w:val="both"/>
              <w:rPr>
                <w:rFonts w:eastAsia="宋体"/>
                <w:sz w:val="21"/>
                <w:szCs w:val="21"/>
              </w:rPr>
            </w:pPr>
          </w:p>
        </w:tc>
      </w:tr>
      <w:tr w14:paraId="182CDA04">
        <w:tblPrEx>
          <w:tblCellMar>
            <w:top w:w="0" w:type="dxa"/>
            <w:left w:w="57" w:type="dxa"/>
            <w:bottom w:w="0" w:type="dxa"/>
            <w:right w:w="57" w:type="dxa"/>
          </w:tblCellMar>
        </w:tblPrEx>
        <w:tc>
          <w:tcPr>
            <w:tcW w:w="2184"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64565865">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459904">
            <w:pPr>
              <w:autoSpaceDE/>
              <w:autoSpaceDN/>
              <w:snapToGrid w:val="0"/>
              <w:jc w:val="both"/>
              <w:rPr>
                <w:rFonts w:eastAsia="宋体"/>
                <w:sz w:val="21"/>
                <w:szCs w:val="21"/>
              </w:rPr>
            </w:pPr>
            <w:r>
              <w:rPr>
                <w:rFonts w:eastAsia="宋体"/>
                <w:b/>
                <w:bCs/>
                <w:color w:val="000000"/>
                <w:sz w:val="21"/>
                <w:szCs w:val="21"/>
              </w:rPr>
              <w:t>10</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A6D9A6">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59058A">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451423">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1C1863">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51AAD133">
            <w:pPr>
              <w:autoSpaceDE/>
              <w:autoSpaceDN/>
              <w:snapToGrid w:val="0"/>
              <w:jc w:val="center"/>
              <w:rPr>
                <w:rFonts w:eastAsia="宋体"/>
                <w:sz w:val="21"/>
                <w:szCs w:val="21"/>
              </w:rPr>
            </w:pPr>
          </w:p>
        </w:tc>
        <w:tc>
          <w:tcPr>
            <w:tcW w:w="126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368DA93E">
            <w:pPr>
              <w:autoSpaceDE/>
              <w:autoSpaceDN/>
              <w:snapToGrid w:val="0"/>
              <w:jc w:val="both"/>
              <w:rPr>
                <w:rFonts w:eastAsia="宋体"/>
                <w:sz w:val="21"/>
                <w:szCs w:val="21"/>
              </w:rPr>
            </w:pPr>
          </w:p>
        </w:tc>
      </w:tr>
      <w:tr w14:paraId="0262984C">
        <w:tblPrEx>
          <w:tblCellMar>
            <w:top w:w="0" w:type="dxa"/>
            <w:left w:w="57" w:type="dxa"/>
            <w:bottom w:w="0" w:type="dxa"/>
            <w:right w:w="57" w:type="dxa"/>
          </w:tblCellMar>
        </w:tblPrEx>
        <w:tc>
          <w:tcPr>
            <w:tcW w:w="2184"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54B2FF29">
            <w:pPr>
              <w:autoSpaceDE/>
              <w:autoSpaceDN/>
              <w:snapToGrid w:val="0"/>
              <w:jc w:val="both"/>
              <w:rPr>
                <w:rFonts w:eastAsia="宋体"/>
                <w:sz w:val="21"/>
                <w:szCs w:val="21"/>
              </w:rPr>
            </w:pPr>
            <w:r>
              <w:rPr>
                <w:rFonts w:eastAsia="宋体"/>
                <w:b/>
                <w:bCs/>
                <w:color w:val="000000"/>
                <w:sz w:val="21"/>
                <w:szCs w:val="21"/>
              </w:rPr>
              <w:t>纱布阴性对照组</w:t>
            </w: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BA6E12">
            <w:pPr>
              <w:autoSpaceDE/>
              <w:autoSpaceDN/>
              <w:snapToGrid w:val="0"/>
              <w:jc w:val="both"/>
              <w:rPr>
                <w:rFonts w:eastAsia="宋体"/>
                <w:sz w:val="21"/>
                <w:szCs w:val="21"/>
              </w:rPr>
            </w:pPr>
            <w:r>
              <w:rPr>
                <w:rFonts w:eastAsia="宋体"/>
                <w:b/>
                <w:bCs/>
                <w:color w:val="000000"/>
                <w:sz w:val="21"/>
                <w:szCs w:val="21"/>
              </w:rPr>
              <w:t>1</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D93F4A">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B96FDF">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5D8A7D">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8F8653">
            <w:pPr>
              <w:autoSpaceDE/>
              <w:autoSpaceDN/>
              <w:snapToGrid w:val="0"/>
              <w:jc w:val="both"/>
              <w:rPr>
                <w:rFonts w:eastAsia="宋体"/>
                <w:sz w:val="21"/>
                <w:szCs w:val="21"/>
              </w:rPr>
            </w:pPr>
            <w:r>
              <w:rPr>
                <w:rFonts w:eastAsia="宋体"/>
                <w:color w:val="000000"/>
                <w:sz w:val="21"/>
                <w:szCs w:val="21"/>
              </w:rPr>
              <w:t>0</w:t>
            </w:r>
          </w:p>
        </w:tc>
        <w:tc>
          <w:tcPr>
            <w:tcW w:w="1397"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49B6E903">
            <w:pPr>
              <w:autoSpaceDE/>
              <w:autoSpaceDN/>
              <w:snapToGrid w:val="0"/>
              <w:jc w:val="center"/>
              <w:rPr>
                <w:rFonts w:eastAsia="宋体"/>
                <w:sz w:val="21"/>
                <w:szCs w:val="21"/>
              </w:rPr>
            </w:pPr>
            <w:r>
              <w:rPr>
                <w:rFonts w:eastAsia="宋体"/>
                <w:color w:val="000000"/>
                <w:sz w:val="21"/>
                <w:szCs w:val="21"/>
              </w:rPr>
              <w:t>0%</w:t>
            </w:r>
          </w:p>
        </w:tc>
        <w:tc>
          <w:tcPr>
            <w:tcW w:w="1267"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0B121B14">
            <w:pPr>
              <w:autoSpaceDE/>
              <w:autoSpaceDN/>
              <w:snapToGrid w:val="0"/>
              <w:jc w:val="both"/>
              <w:rPr>
                <w:rFonts w:eastAsia="宋体"/>
                <w:sz w:val="21"/>
                <w:szCs w:val="21"/>
              </w:rPr>
            </w:pPr>
            <w:r>
              <w:rPr>
                <w:rFonts w:eastAsia="宋体"/>
                <w:color w:val="000000"/>
                <w:sz w:val="21"/>
                <w:szCs w:val="21"/>
              </w:rPr>
              <w:t>按预期执行</w:t>
            </w:r>
          </w:p>
        </w:tc>
      </w:tr>
      <w:tr w14:paraId="1A3758FA">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14:paraId="57608099">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0732E3">
            <w:pPr>
              <w:autoSpaceDE/>
              <w:autoSpaceDN/>
              <w:snapToGrid w:val="0"/>
              <w:jc w:val="both"/>
              <w:rPr>
                <w:rFonts w:eastAsia="宋体"/>
                <w:sz w:val="21"/>
                <w:szCs w:val="21"/>
              </w:rPr>
            </w:pPr>
            <w:r>
              <w:rPr>
                <w:rFonts w:eastAsia="宋体"/>
                <w:b/>
                <w:bCs/>
                <w:color w:val="000000"/>
                <w:sz w:val="21"/>
                <w:szCs w:val="21"/>
              </w:rPr>
              <w:t>2</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843306">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9001C1">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8E374E">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917A79">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516CF3EC">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1EF2496F">
            <w:pPr>
              <w:autoSpaceDE/>
              <w:autoSpaceDN/>
              <w:snapToGrid w:val="0"/>
              <w:jc w:val="both"/>
              <w:rPr>
                <w:rFonts w:eastAsia="宋体"/>
                <w:sz w:val="21"/>
                <w:szCs w:val="21"/>
              </w:rPr>
            </w:pPr>
          </w:p>
        </w:tc>
      </w:tr>
      <w:tr w14:paraId="5C63F3CF">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14:paraId="0EB8E464">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DD82FC">
            <w:pPr>
              <w:autoSpaceDE/>
              <w:autoSpaceDN/>
              <w:snapToGrid w:val="0"/>
              <w:jc w:val="both"/>
              <w:rPr>
                <w:rFonts w:eastAsia="宋体"/>
                <w:sz w:val="21"/>
                <w:szCs w:val="21"/>
              </w:rPr>
            </w:pPr>
            <w:r>
              <w:rPr>
                <w:rFonts w:eastAsia="宋体"/>
                <w:b/>
                <w:bCs/>
                <w:color w:val="000000"/>
                <w:sz w:val="21"/>
                <w:szCs w:val="21"/>
              </w:rPr>
              <w:t>3</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20E225">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EEE69E">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081838">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7F17A0">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2D84CE1B">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11C425F2">
            <w:pPr>
              <w:autoSpaceDE/>
              <w:autoSpaceDN/>
              <w:snapToGrid w:val="0"/>
              <w:jc w:val="both"/>
              <w:rPr>
                <w:rFonts w:eastAsia="宋体"/>
                <w:sz w:val="21"/>
                <w:szCs w:val="21"/>
              </w:rPr>
            </w:pPr>
          </w:p>
        </w:tc>
      </w:tr>
      <w:tr w14:paraId="78C5FF0F">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14:paraId="6F7E1F5F">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F86D5A">
            <w:pPr>
              <w:autoSpaceDE/>
              <w:autoSpaceDN/>
              <w:snapToGrid w:val="0"/>
              <w:jc w:val="both"/>
              <w:rPr>
                <w:rFonts w:eastAsia="宋体"/>
                <w:sz w:val="21"/>
                <w:szCs w:val="21"/>
              </w:rPr>
            </w:pPr>
            <w:r>
              <w:rPr>
                <w:rFonts w:eastAsia="宋体"/>
                <w:b/>
                <w:bCs/>
                <w:color w:val="000000"/>
                <w:sz w:val="21"/>
                <w:szCs w:val="21"/>
              </w:rPr>
              <w:t>4</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189811">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64C679">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51E28A">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C9F5D7">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47B68677">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4583E43B">
            <w:pPr>
              <w:autoSpaceDE/>
              <w:autoSpaceDN/>
              <w:snapToGrid w:val="0"/>
              <w:jc w:val="both"/>
              <w:rPr>
                <w:rFonts w:eastAsia="宋体"/>
                <w:sz w:val="21"/>
                <w:szCs w:val="21"/>
              </w:rPr>
            </w:pPr>
          </w:p>
        </w:tc>
      </w:tr>
      <w:tr w14:paraId="708C5E38">
        <w:tblPrEx>
          <w:tblCellMar>
            <w:top w:w="0" w:type="dxa"/>
            <w:left w:w="57" w:type="dxa"/>
            <w:bottom w:w="0" w:type="dxa"/>
            <w:right w:w="57" w:type="dxa"/>
          </w:tblCellMar>
        </w:tblPrEx>
        <w:tc>
          <w:tcPr>
            <w:tcW w:w="2184"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2002603B">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905FA0">
            <w:pPr>
              <w:autoSpaceDE/>
              <w:autoSpaceDN/>
              <w:snapToGrid w:val="0"/>
              <w:jc w:val="both"/>
              <w:rPr>
                <w:rFonts w:eastAsia="宋体"/>
                <w:sz w:val="21"/>
                <w:szCs w:val="21"/>
              </w:rPr>
            </w:pPr>
            <w:r>
              <w:rPr>
                <w:rFonts w:eastAsia="宋体"/>
                <w:b/>
                <w:bCs/>
                <w:color w:val="000000"/>
                <w:sz w:val="21"/>
                <w:szCs w:val="21"/>
              </w:rPr>
              <w:t>5</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69F075">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C31E7B">
            <w:pPr>
              <w:autoSpaceDE/>
              <w:autoSpaceDN/>
              <w:snapToGrid w:val="0"/>
              <w:jc w:val="both"/>
              <w:rPr>
                <w:rFonts w:eastAsia="宋体"/>
                <w:sz w:val="21"/>
                <w:szCs w:val="21"/>
              </w:rPr>
            </w:pPr>
            <w:r>
              <w:rPr>
                <w:rFonts w:eastAsia="宋体"/>
                <w:color w:val="000000"/>
                <w:sz w:val="21"/>
                <w:szCs w:val="21"/>
              </w:rPr>
              <w:t>0</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CDB4B0">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9A4E873">
            <w:pPr>
              <w:autoSpaceDE/>
              <w:autoSpaceDN/>
              <w:snapToGrid w:val="0"/>
              <w:jc w:val="both"/>
              <w:rPr>
                <w:rFonts w:eastAsia="宋体"/>
                <w:sz w:val="21"/>
                <w:szCs w:val="21"/>
              </w:rPr>
            </w:pPr>
            <w:r>
              <w:rPr>
                <w:rFonts w:eastAsia="宋体"/>
                <w:color w:val="000000"/>
                <w:sz w:val="21"/>
                <w:szCs w:val="21"/>
              </w:rPr>
              <w:t>0</w:t>
            </w:r>
          </w:p>
        </w:tc>
        <w:tc>
          <w:tcPr>
            <w:tcW w:w="1397"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39849364">
            <w:pPr>
              <w:autoSpaceDE/>
              <w:autoSpaceDN/>
              <w:snapToGrid w:val="0"/>
              <w:jc w:val="center"/>
              <w:rPr>
                <w:rFonts w:eastAsia="宋体"/>
                <w:sz w:val="21"/>
                <w:szCs w:val="21"/>
              </w:rPr>
            </w:pPr>
          </w:p>
        </w:tc>
        <w:tc>
          <w:tcPr>
            <w:tcW w:w="126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039BE37F">
            <w:pPr>
              <w:autoSpaceDE/>
              <w:autoSpaceDN/>
              <w:snapToGrid w:val="0"/>
              <w:jc w:val="both"/>
              <w:rPr>
                <w:rFonts w:eastAsia="宋体"/>
                <w:sz w:val="21"/>
                <w:szCs w:val="21"/>
              </w:rPr>
            </w:pPr>
          </w:p>
        </w:tc>
      </w:tr>
      <w:tr w14:paraId="4715C9D5">
        <w:tblPrEx>
          <w:tblCellMar>
            <w:top w:w="0" w:type="dxa"/>
            <w:left w:w="57" w:type="dxa"/>
            <w:bottom w:w="0" w:type="dxa"/>
            <w:right w:w="57" w:type="dxa"/>
          </w:tblCellMar>
        </w:tblPrEx>
        <w:tc>
          <w:tcPr>
            <w:tcW w:w="2184"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4E810ECE">
            <w:pPr>
              <w:autoSpaceDE/>
              <w:autoSpaceDN/>
              <w:snapToGrid w:val="0"/>
              <w:jc w:val="both"/>
              <w:rPr>
                <w:rFonts w:eastAsia="宋体"/>
                <w:sz w:val="21"/>
                <w:szCs w:val="21"/>
              </w:rPr>
            </w:pPr>
            <w:r>
              <w:rPr>
                <w:rFonts w:eastAsia="宋体"/>
                <w:b/>
                <w:bCs/>
                <w:color w:val="000000"/>
                <w:sz w:val="21"/>
                <w:szCs w:val="21"/>
              </w:rPr>
              <w:t>二硝基氯苯（DNCB）阳性对照组**</w:t>
            </w: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5B7DBE">
            <w:pPr>
              <w:autoSpaceDE/>
              <w:autoSpaceDN/>
              <w:snapToGrid w:val="0"/>
              <w:jc w:val="both"/>
              <w:rPr>
                <w:rFonts w:eastAsia="宋体"/>
                <w:sz w:val="21"/>
                <w:szCs w:val="21"/>
              </w:rPr>
            </w:pPr>
            <w:r>
              <w:rPr>
                <w:rFonts w:eastAsia="宋体"/>
                <w:b/>
                <w:bCs/>
                <w:color w:val="000000"/>
                <w:sz w:val="21"/>
                <w:szCs w:val="21"/>
              </w:rPr>
              <w:t>1</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6C67F0">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0B36B1">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179CA3">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7DEB6D">
            <w:pPr>
              <w:autoSpaceDE/>
              <w:autoSpaceDN/>
              <w:snapToGrid w:val="0"/>
              <w:jc w:val="both"/>
              <w:rPr>
                <w:rFonts w:eastAsia="宋体"/>
                <w:sz w:val="21"/>
                <w:szCs w:val="21"/>
              </w:rPr>
            </w:pPr>
            <w:r>
              <w:rPr>
                <w:rFonts w:eastAsia="宋体"/>
                <w:color w:val="000000"/>
                <w:sz w:val="21"/>
                <w:szCs w:val="21"/>
              </w:rPr>
              <w:t>2</w:t>
            </w:r>
          </w:p>
        </w:tc>
        <w:tc>
          <w:tcPr>
            <w:tcW w:w="1397"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65BA15E3">
            <w:pPr>
              <w:autoSpaceDE/>
              <w:autoSpaceDN/>
              <w:snapToGrid w:val="0"/>
              <w:jc w:val="center"/>
              <w:rPr>
                <w:rFonts w:eastAsia="宋体"/>
                <w:sz w:val="21"/>
                <w:szCs w:val="21"/>
              </w:rPr>
            </w:pPr>
            <w:r>
              <w:rPr>
                <w:rFonts w:eastAsia="宋体"/>
                <w:color w:val="000000"/>
                <w:sz w:val="21"/>
                <w:szCs w:val="21"/>
              </w:rPr>
              <w:t>100%</w:t>
            </w:r>
          </w:p>
        </w:tc>
        <w:tc>
          <w:tcPr>
            <w:tcW w:w="1267"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12F61C07">
            <w:pPr>
              <w:autoSpaceDE/>
              <w:autoSpaceDN/>
              <w:snapToGrid w:val="0"/>
              <w:jc w:val="both"/>
              <w:rPr>
                <w:rFonts w:eastAsia="宋体"/>
                <w:sz w:val="21"/>
                <w:szCs w:val="21"/>
              </w:rPr>
            </w:pPr>
            <w:r>
              <w:rPr>
                <w:rFonts w:eastAsia="宋体"/>
                <w:color w:val="000000"/>
                <w:sz w:val="21"/>
                <w:szCs w:val="21"/>
              </w:rPr>
              <w:t>按预期执行</w:t>
            </w:r>
          </w:p>
        </w:tc>
      </w:tr>
      <w:tr w14:paraId="637D3450">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14:paraId="67E1AD08">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623CE6">
            <w:pPr>
              <w:autoSpaceDE/>
              <w:autoSpaceDN/>
              <w:snapToGrid w:val="0"/>
              <w:jc w:val="both"/>
              <w:rPr>
                <w:rFonts w:eastAsia="宋体"/>
                <w:sz w:val="21"/>
                <w:szCs w:val="21"/>
              </w:rPr>
            </w:pPr>
            <w:r>
              <w:rPr>
                <w:rFonts w:eastAsia="宋体"/>
                <w:b/>
                <w:bCs/>
                <w:color w:val="000000"/>
                <w:sz w:val="21"/>
                <w:szCs w:val="21"/>
              </w:rPr>
              <w:t>2</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49656E">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6B976C">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4B767B">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F3DC75">
            <w:pPr>
              <w:autoSpaceDE/>
              <w:autoSpaceDN/>
              <w:snapToGrid w:val="0"/>
              <w:jc w:val="both"/>
              <w:rPr>
                <w:rFonts w:eastAsia="宋体"/>
                <w:sz w:val="21"/>
                <w:szCs w:val="21"/>
              </w:rPr>
            </w:pPr>
            <w:r>
              <w:rPr>
                <w:rFonts w:eastAsia="宋体"/>
                <w:color w:val="000000"/>
                <w:sz w:val="21"/>
                <w:szCs w:val="21"/>
              </w:rPr>
              <w:t>1</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3B8DDA04">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1B3A951D">
            <w:pPr>
              <w:autoSpaceDE/>
              <w:autoSpaceDN/>
              <w:snapToGrid w:val="0"/>
              <w:jc w:val="both"/>
              <w:rPr>
                <w:rFonts w:eastAsia="宋体"/>
                <w:sz w:val="21"/>
                <w:szCs w:val="21"/>
              </w:rPr>
            </w:pPr>
          </w:p>
        </w:tc>
      </w:tr>
      <w:tr w14:paraId="38BF2136">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14:paraId="241B9C1C">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CD1DC3">
            <w:pPr>
              <w:autoSpaceDE/>
              <w:autoSpaceDN/>
              <w:snapToGrid w:val="0"/>
              <w:jc w:val="both"/>
              <w:rPr>
                <w:rFonts w:eastAsia="宋体"/>
                <w:sz w:val="21"/>
                <w:szCs w:val="21"/>
              </w:rPr>
            </w:pPr>
            <w:r>
              <w:rPr>
                <w:rFonts w:eastAsia="宋体"/>
                <w:b/>
                <w:bCs/>
                <w:color w:val="000000"/>
                <w:sz w:val="21"/>
                <w:szCs w:val="21"/>
              </w:rPr>
              <w:t>3</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A6AD7C">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0A9F76">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197B4A">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943B5B">
            <w:pPr>
              <w:autoSpaceDE/>
              <w:autoSpaceDN/>
              <w:snapToGrid w:val="0"/>
              <w:jc w:val="both"/>
              <w:rPr>
                <w:rFonts w:eastAsia="宋体"/>
                <w:sz w:val="21"/>
                <w:szCs w:val="21"/>
              </w:rPr>
            </w:pPr>
            <w:r>
              <w:rPr>
                <w:rFonts w:eastAsia="宋体"/>
                <w:color w:val="000000"/>
                <w:sz w:val="21"/>
                <w:szCs w:val="21"/>
              </w:rPr>
              <w:t>3</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0362091A">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4C0545AE">
            <w:pPr>
              <w:autoSpaceDE/>
              <w:autoSpaceDN/>
              <w:snapToGrid w:val="0"/>
              <w:jc w:val="both"/>
              <w:rPr>
                <w:rFonts w:eastAsia="宋体"/>
                <w:sz w:val="21"/>
                <w:szCs w:val="21"/>
              </w:rPr>
            </w:pPr>
          </w:p>
        </w:tc>
      </w:tr>
      <w:tr w14:paraId="0EAEFAAF">
        <w:tblPrEx>
          <w:tblCellMar>
            <w:top w:w="0" w:type="dxa"/>
            <w:left w:w="57" w:type="dxa"/>
            <w:bottom w:w="0" w:type="dxa"/>
            <w:right w:w="57" w:type="dxa"/>
          </w:tblCellMar>
        </w:tblPrEx>
        <w:tc>
          <w:tcPr>
            <w:tcW w:w="2184" w:type="dxa"/>
            <w:vMerge w:val="continue"/>
            <w:tcBorders>
              <w:left w:val="single" w:color="auto" w:sz="6" w:space="0"/>
              <w:right w:val="single" w:color="auto" w:sz="6" w:space="0"/>
            </w:tcBorders>
            <w:shd w:val="clear" w:color="auto" w:fill="FFFFFF"/>
            <w:tcMar>
              <w:left w:w="57" w:type="dxa"/>
              <w:right w:w="57" w:type="dxa"/>
            </w:tcMar>
          </w:tcPr>
          <w:p w14:paraId="3F4522A4">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883FF8">
            <w:pPr>
              <w:autoSpaceDE/>
              <w:autoSpaceDN/>
              <w:snapToGrid w:val="0"/>
              <w:jc w:val="both"/>
              <w:rPr>
                <w:rFonts w:eastAsia="宋体"/>
                <w:sz w:val="21"/>
                <w:szCs w:val="21"/>
              </w:rPr>
            </w:pPr>
            <w:r>
              <w:rPr>
                <w:rFonts w:eastAsia="宋体"/>
                <w:b/>
                <w:bCs/>
                <w:color w:val="000000"/>
                <w:sz w:val="21"/>
                <w:szCs w:val="21"/>
              </w:rPr>
              <w:t>4</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29E97F">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EA39BB">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2360EA">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02CC2B">
            <w:pPr>
              <w:autoSpaceDE/>
              <w:autoSpaceDN/>
              <w:snapToGrid w:val="0"/>
              <w:jc w:val="both"/>
              <w:rPr>
                <w:rFonts w:eastAsia="宋体"/>
                <w:sz w:val="21"/>
                <w:szCs w:val="21"/>
              </w:rPr>
            </w:pPr>
            <w:r>
              <w:rPr>
                <w:rFonts w:eastAsia="宋体"/>
                <w:color w:val="000000"/>
                <w:sz w:val="21"/>
                <w:szCs w:val="21"/>
              </w:rPr>
              <w:t>2</w:t>
            </w:r>
          </w:p>
        </w:tc>
        <w:tc>
          <w:tcPr>
            <w:tcW w:w="1397" w:type="dxa"/>
            <w:tcBorders>
              <w:top w:val="nil"/>
              <w:left w:val="single" w:color="auto" w:sz="6" w:space="0"/>
              <w:bottom w:val="nil"/>
              <w:right w:val="single" w:color="auto" w:sz="6" w:space="0"/>
            </w:tcBorders>
            <w:shd w:val="clear" w:color="auto" w:fill="FFFFFF"/>
            <w:tcMar>
              <w:left w:w="57" w:type="dxa"/>
              <w:right w:w="57" w:type="dxa"/>
            </w:tcMar>
          </w:tcPr>
          <w:p w14:paraId="00C42992">
            <w:pPr>
              <w:autoSpaceDE/>
              <w:autoSpaceDN/>
              <w:snapToGrid w:val="0"/>
              <w:jc w:val="center"/>
              <w:rPr>
                <w:rFonts w:eastAsia="宋体"/>
                <w:sz w:val="21"/>
                <w:szCs w:val="21"/>
              </w:rPr>
            </w:pPr>
          </w:p>
        </w:tc>
        <w:tc>
          <w:tcPr>
            <w:tcW w:w="1267" w:type="dxa"/>
            <w:vMerge w:val="continue"/>
            <w:tcBorders>
              <w:left w:val="single" w:color="auto" w:sz="6" w:space="0"/>
              <w:right w:val="single" w:color="auto" w:sz="6" w:space="0"/>
            </w:tcBorders>
            <w:shd w:val="clear" w:color="auto" w:fill="FFFFFF"/>
            <w:tcMar>
              <w:left w:w="57" w:type="dxa"/>
              <w:right w:w="57" w:type="dxa"/>
            </w:tcMar>
          </w:tcPr>
          <w:p w14:paraId="174872D5">
            <w:pPr>
              <w:autoSpaceDE/>
              <w:autoSpaceDN/>
              <w:snapToGrid w:val="0"/>
              <w:jc w:val="both"/>
              <w:rPr>
                <w:rFonts w:eastAsia="宋体"/>
                <w:sz w:val="21"/>
                <w:szCs w:val="21"/>
              </w:rPr>
            </w:pPr>
          </w:p>
        </w:tc>
      </w:tr>
      <w:tr w14:paraId="2713AB84">
        <w:tblPrEx>
          <w:tblCellMar>
            <w:top w:w="0" w:type="dxa"/>
            <w:left w:w="57" w:type="dxa"/>
            <w:bottom w:w="0" w:type="dxa"/>
            <w:right w:w="57" w:type="dxa"/>
          </w:tblCellMar>
        </w:tblPrEx>
        <w:tc>
          <w:tcPr>
            <w:tcW w:w="2184"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77550D3F">
            <w:pPr>
              <w:autoSpaceDE/>
              <w:autoSpaceDN/>
              <w:snapToGrid w:val="0"/>
              <w:jc w:val="both"/>
              <w:rPr>
                <w:rFonts w:eastAsia="宋体"/>
                <w:sz w:val="21"/>
                <w:szCs w:val="21"/>
              </w:rPr>
            </w:pPr>
          </w:p>
        </w:tc>
        <w:tc>
          <w:tcPr>
            <w:tcW w:w="10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42BBAD">
            <w:pPr>
              <w:autoSpaceDE/>
              <w:autoSpaceDN/>
              <w:snapToGrid w:val="0"/>
              <w:jc w:val="both"/>
              <w:rPr>
                <w:rFonts w:eastAsia="宋体"/>
                <w:sz w:val="21"/>
                <w:szCs w:val="21"/>
              </w:rPr>
            </w:pPr>
            <w:r>
              <w:rPr>
                <w:rFonts w:eastAsia="宋体"/>
                <w:b/>
                <w:bCs/>
                <w:color w:val="000000"/>
                <w:sz w:val="21"/>
                <w:szCs w:val="21"/>
              </w:rPr>
              <w:t>5</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E8C997">
            <w:pPr>
              <w:autoSpaceDE/>
              <w:autoSpaceDN/>
              <w:snapToGrid w:val="0"/>
              <w:jc w:val="both"/>
              <w:rPr>
                <w:rFonts w:eastAsia="宋体"/>
                <w:sz w:val="21"/>
                <w:szCs w:val="21"/>
              </w:rPr>
            </w:pPr>
            <w:r>
              <w:rPr>
                <w:rFonts w:eastAsia="宋体"/>
                <w:color w:val="000000"/>
                <w:sz w:val="21"/>
                <w:szCs w:val="21"/>
              </w:rPr>
              <w:t>0</w:t>
            </w:r>
          </w:p>
        </w:tc>
        <w:tc>
          <w:tcPr>
            <w:tcW w:w="6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669695">
            <w:pPr>
              <w:autoSpaceDE/>
              <w:autoSpaceDN/>
              <w:snapToGrid w:val="0"/>
              <w:jc w:val="both"/>
              <w:rPr>
                <w:rFonts w:eastAsia="宋体"/>
                <w:sz w:val="21"/>
                <w:szCs w:val="21"/>
              </w:rPr>
            </w:pPr>
            <w:r>
              <w:rPr>
                <w:rFonts w:eastAsia="宋体"/>
                <w:color w:val="000000"/>
                <w:sz w:val="21"/>
                <w:szCs w:val="21"/>
              </w:rPr>
              <w:t>2</w:t>
            </w:r>
          </w:p>
        </w:tc>
        <w:tc>
          <w:tcPr>
            <w:tcW w:w="9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F8B4C9">
            <w:pPr>
              <w:autoSpaceDE/>
              <w:autoSpaceDN/>
              <w:snapToGrid w:val="0"/>
              <w:jc w:val="both"/>
              <w:rPr>
                <w:rFonts w:eastAsia="宋体"/>
                <w:sz w:val="21"/>
                <w:szCs w:val="21"/>
              </w:rPr>
            </w:pPr>
            <w:r>
              <w:rPr>
                <w:rFonts w:eastAsia="宋体"/>
                <w:color w:val="000000"/>
                <w:sz w:val="21"/>
                <w:szCs w:val="21"/>
              </w:rPr>
              <w:t>0</w:t>
            </w:r>
          </w:p>
        </w:tc>
        <w:tc>
          <w:tcPr>
            <w:tcW w:w="6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1F01DC">
            <w:pPr>
              <w:autoSpaceDE/>
              <w:autoSpaceDN/>
              <w:snapToGrid w:val="0"/>
              <w:jc w:val="both"/>
              <w:rPr>
                <w:rFonts w:eastAsia="宋体"/>
                <w:sz w:val="21"/>
                <w:szCs w:val="21"/>
              </w:rPr>
            </w:pPr>
            <w:r>
              <w:rPr>
                <w:rFonts w:eastAsia="宋体"/>
                <w:color w:val="000000"/>
                <w:sz w:val="21"/>
                <w:szCs w:val="21"/>
              </w:rPr>
              <w:t>2</w:t>
            </w:r>
          </w:p>
        </w:tc>
        <w:tc>
          <w:tcPr>
            <w:tcW w:w="1397"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3094AD91">
            <w:pPr>
              <w:autoSpaceDE/>
              <w:autoSpaceDN/>
              <w:snapToGrid w:val="0"/>
              <w:jc w:val="center"/>
              <w:rPr>
                <w:rFonts w:eastAsia="宋体"/>
                <w:sz w:val="21"/>
                <w:szCs w:val="21"/>
              </w:rPr>
            </w:pPr>
          </w:p>
        </w:tc>
        <w:tc>
          <w:tcPr>
            <w:tcW w:w="1267"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57CCF4EB">
            <w:pPr>
              <w:autoSpaceDE/>
              <w:autoSpaceDN/>
              <w:snapToGrid w:val="0"/>
              <w:jc w:val="both"/>
              <w:rPr>
                <w:rFonts w:eastAsia="宋体"/>
                <w:sz w:val="21"/>
                <w:szCs w:val="21"/>
              </w:rPr>
            </w:pPr>
          </w:p>
        </w:tc>
      </w:tr>
    </w:tbl>
    <w:p w14:paraId="2281FBF3">
      <w:pPr>
        <w:tabs>
          <w:tab w:val="left" w:pos="202"/>
        </w:tabs>
        <w:autoSpaceDE/>
        <w:autoSpaceDN/>
        <w:snapToGrid w:val="0"/>
        <w:jc w:val="both"/>
        <w:rPr>
          <w:rFonts w:eastAsia="宋体"/>
          <w:color w:val="000000"/>
          <w:sz w:val="24"/>
          <w:szCs w:val="24"/>
          <w:vertAlign w:val="superscript"/>
        </w:rPr>
      </w:pPr>
    </w:p>
    <w:p w14:paraId="4EE3676F">
      <w:pPr>
        <w:tabs>
          <w:tab w:val="left" w:pos="20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3E810DC2">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14:paraId="00587647">
      <w:pPr>
        <w:autoSpaceDE/>
        <w:autoSpaceDN/>
        <w:snapToGrid w:val="0"/>
        <w:jc w:val="both"/>
        <w:rPr>
          <w:rFonts w:eastAsia="宋体"/>
          <w:sz w:val="21"/>
          <w:szCs w:val="21"/>
        </w:rPr>
      </w:pPr>
    </w:p>
    <w:p w14:paraId="73057A7A">
      <w:pPr>
        <w:autoSpaceDE/>
        <w:autoSpaceDN/>
        <w:snapToGrid w:val="0"/>
        <w:jc w:val="both"/>
        <w:rPr>
          <w:rFonts w:eastAsia="宋体"/>
          <w:i/>
          <w:iCs/>
          <w:color w:val="000000"/>
          <w:sz w:val="21"/>
          <w:szCs w:val="21"/>
        </w:rPr>
      </w:pPr>
      <w:r>
        <w:rPr>
          <w:rFonts w:eastAsia="宋体"/>
          <w:i/>
          <w:iCs/>
          <w:color w:val="000000"/>
          <w:sz w:val="21"/>
          <w:szCs w:val="21"/>
        </w:rPr>
        <w:t>*对于基于浸提液的试验：应报告极性和非极性试验浸提液和相应的介质对照组的动物数据。</w:t>
      </w:r>
    </w:p>
    <w:p w14:paraId="33B03B37">
      <w:pPr>
        <w:autoSpaceDE/>
        <w:autoSpaceDN/>
        <w:snapToGrid w:val="0"/>
        <w:jc w:val="both"/>
        <w:rPr>
          <w:rFonts w:eastAsia="宋体"/>
          <w:sz w:val="24"/>
          <w:szCs w:val="24"/>
        </w:rPr>
      </w:pPr>
    </w:p>
    <w:p w14:paraId="57ACF9E2">
      <w:pPr>
        <w:autoSpaceDE/>
        <w:autoSpaceDN/>
        <w:snapToGrid w:val="0"/>
        <w:jc w:val="both"/>
        <w:rPr>
          <w:rFonts w:eastAsia="宋体"/>
          <w:sz w:val="24"/>
          <w:szCs w:val="24"/>
        </w:rPr>
      </w:pPr>
      <w:r>
        <w:rPr>
          <w:rFonts w:eastAsia="宋体"/>
          <w:b/>
          <w:bCs/>
          <w:color w:val="000000"/>
          <w:sz w:val="24"/>
          <w:szCs w:val="24"/>
        </w:rPr>
        <w:t>**周期性/经常性的阳性对照研究</w:t>
      </w:r>
    </w:p>
    <w:p w14:paraId="4FFEEF65">
      <w:pPr>
        <w:autoSpaceDE/>
        <w:autoSpaceDN/>
        <w:snapToGrid w:val="0"/>
        <w:ind w:left="360" w:hanging="360" w:hangingChars="150"/>
        <w:jc w:val="both"/>
        <w:rPr>
          <w:rFonts w:eastAsia="宋体"/>
          <w:i/>
          <w:iCs/>
          <w:color w:val="000000"/>
          <w:sz w:val="24"/>
          <w:szCs w:val="24"/>
          <w:u w:val="single"/>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阳性对照的诱导浓度：</w:t>
      </w:r>
      <w:r>
        <w:rPr>
          <w:rFonts w:eastAsia="宋体"/>
          <w:i/>
          <w:iCs/>
          <w:color w:val="000000"/>
          <w:sz w:val="24"/>
          <w:szCs w:val="24"/>
          <w:u w:val="single"/>
        </w:rPr>
        <w:t>[说明]</w:t>
      </w:r>
    </w:p>
    <w:p w14:paraId="473D318B">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阳性对照激发浓度：</w:t>
      </w:r>
      <w:r>
        <w:rPr>
          <w:rFonts w:eastAsia="宋体"/>
          <w:i/>
          <w:iCs/>
          <w:color w:val="000000"/>
          <w:sz w:val="24"/>
          <w:szCs w:val="24"/>
          <w:u w:val="single"/>
        </w:rPr>
        <w:t>[说明]</w:t>
      </w:r>
    </w:p>
    <w:p w14:paraId="458BEC2E">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用于阳性对照试验的相同来源、菌种和处理方法，并在试验样品试验日期的3个月内完成</w:t>
      </w:r>
    </w:p>
    <w:p w14:paraId="2467F9C9">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阳性对照的来源、菌种、处理方法或时间上发生了以下差异：</w:t>
      </w:r>
      <w:r>
        <w:rPr>
          <w:rStyle w:val="17"/>
          <w:rFonts w:eastAsia="宋体"/>
          <w:sz w:val="24"/>
          <w:szCs w:val="24"/>
        </w:rPr>
        <w:footnoteReference w:id="71"/>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9468"/>
      </w:tblGrid>
      <w:tr w14:paraId="6E54BF0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60" w:type="dxa"/>
            <w:shd w:val="clear" w:color="auto" w:fill="FFFFFF"/>
            <w:tcMar>
              <w:left w:w="57" w:type="dxa"/>
              <w:right w:w="57" w:type="dxa"/>
            </w:tcMar>
          </w:tcPr>
          <w:p w14:paraId="3BF0E832">
            <w:pPr>
              <w:autoSpaceDE/>
              <w:autoSpaceDN/>
              <w:snapToGrid w:val="0"/>
              <w:jc w:val="both"/>
              <w:rPr>
                <w:rFonts w:eastAsia="宋体"/>
                <w:sz w:val="24"/>
                <w:szCs w:val="24"/>
              </w:rPr>
            </w:pPr>
          </w:p>
          <w:p w14:paraId="4D1C7361">
            <w:pPr>
              <w:autoSpaceDE/>
              <w:autoSpaceDN/>
              <w:snapToGrid w:val="0"/>
              <w:jc w:val="both"/>
              <w:rPr>
                <w:rFonts w:eastAsia="宋体"/>
                <w:sz w:val="24"/>
                <w:szCs w:val="24"/>
              </w:rPr>
            </w:pPr>
          </w:p>
        </w:tc>
      </w:tr>
      <w:tr w14:paraId="5CC9B4F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360" w:type="dxa"/>
            <w:shd w:val="clear" w:color="auto" w:fill="FFFFFF"/>
            <w:tcMar>
              <w:left w:w="57" w:type="dxa"/>
              <w:right w:w="57" w:type="dxa"/>
            </w:tcMar>
          </w:tcPr>
          <w:p w14:paraId="27934ACA">
            <w:pPr>
              <w:autoSpaceDE/>
              <w:autoSpaceDN/>
              <w:snapToGrid w:val="0"/>
              <w:jc w:val="both"/>
              <w:rPr>
                <w:rFonts w:eastAsia="宋体"/>
                <w:sz w:val="24"/>
                <w:szCs w:val="24"/>
              </w:rPr>
            </w:pPr>
            <w:r>
              <w:rPr>
                <w:rFonts w:eastAsia="宋体"/>
                <w:i/>
                <w:iCs/>
                <w:color w:val="000000"/>
                <w:sz w:val="24"/>
                <w:szCs w:val="24"/>
              </w:rPr>
              <w:t>阳性对照的来源、菌种、处理方法或时间上的差异的描述</w:t>
            </w:r>
          </w:p>
        </w:tc>
      </w:tr>
    </w:tbl>
    <w:p w14:paraId="3B6B4D7F">
      <w:pPr>
        <w:autoSpaceDE/>
        <w:autoSpaceDN/>
        <w:snapToGrid w:val="0"/>
        <w:jc w:val="both"/>
        <w:rPr>
          <w:rFonts w:eastAsia="宋体"/>
          <w:color w:val="000000"/>
          <w:sz w:val="24"/>
          <w:szCs w:val="24"/>
        </w:rPr>
      </w:pPr>
    </w:p>
    <w:p w14:paraId="18D6EEC0">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无不良临床发现或动物死亡；或</w:t>
      </w:r>
    </w:p>
    <w:p w14:paraId="15E7D641">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72"/>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3026D07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94" w:type="dxa"/>
            <w:shd w:val="clear" w:color="auto" w:fill="FFFFFF"/>
            <w:tcMar>
              <w:left w:w="57" w:type="dxa"/>
              <w:right w:w="57" w:type="dxa"/>
            </w:tcMar>
          </w:tcPr>
          <w:p w14:paraId="12501479">
            <w:pPr>
              <w:autoSpaceDE/>
              <w:autoSpaceDN/>
              <w:snapToGrid w:val="0"/>
              <w:jc w:val="both"/>
              <w:rPr>
                <w:rFonts w:eastAsia="宋体"/>
                <w:sz w:val="24"/>
                <w:szCs w:val="24"/>
                <w:u w:val="single"/>
              </w:rPr>
            </w:pPr>
          </w:p>
          <w:p w14:paraId="6D4982E0">
            <w:pPr>
              <w:autoSpaceDE/>
              <w:autoSpaceDN/>
              <w:snapToGrid w:val="0"/>
              <w:jc w:val="both"/>
              <w:rPr>
                <w:rFonts w:eastAsia="宋体"/>
                <w:sz w:val="24"/>
                <w:szCs w:val="24"/>
                <w:u w:val="single"/>
              </w:rPr>
            </w:pPr>
          </w:p>
        </w:tc>
      </w:tr>
      <w:tr w14:paraId="6BEE837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94" w:type="dxa"/>
            <w:shd w:val="clear" w:color="auto" w:fill="FFFFFF"/>
            <w:tcMar>
              <w:left w:w="57" w:type="dxa"/>
              <w:right w:w="57" w:type="dxa"/>
            </w:tcMar>
          </w:tcPr>
          <w:p w14:paraId="4B5855DD">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14:paraId="4C844A58">
      <w:pPr>
        <w:autoSpaceDE/>
        <w:autoSpaceDN/>
        <w:snapToGrid w:val="0"/>
        <w:jc w:val="both"/>
        <w:rPr>
          <w:rFonts w:eastAsia="宋体"/>
          <w:color w:val="000000"/>
          <w:sz w:val="24"/>
          <w:szCs w:val="24"/>
        </w:rPr>
      </w:pPr>
    </w:p>
    <w:p w14:paraId="0C26CEBB">
      <w:pPr>
        <w:autoSpaceDE/>
        <w:autoSpaceDN/>
        <w:snapToGrid w:val="0"/>
        <w:jc w:val="both"/>
        <w:rPr>
          <w:rFonts w:eastAsia="宋体"/>
          <w:sz w:val="24"/>
          <w:szCs w:val="24"/>
        </w:rPr>
      </w:pPr>
      <w:r>
        <w:rPr>
          <w:rFonts w:eastAsia="宋体"/>
          <w:color w:val="000000"/>
          <w:sz w:val="24"/>
          <w:szCs w:val="24"/>
        </w:rPr>
        <w:t>我确认：</w:t>
      </w:r>
    </w:p>
    <w:p w14:paraId="585CCA2B">
      <w:pPr>
        <w:tabs>
          <w:tab w:val="left" w:pos="36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0505F407">
      <w:pPr>
        <w:tabs>
          <w:tab w:val="left" w:pos="365"/>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14:paraId="47589EF3">
      <w:pPr>
        <w:tabs>
          <w:tab w:val="left" w:pos="365"/>
        </w:tabs>
        <w:autoSpaceDE/>
        <w:autoSpaceDN/>
        <w:snapToGrid w:val="0"/>
        <w:jc w:val="both"/>
        <w:rPr>
          <w:rFonts w:eastAsia="宋体"/>
          <w:color w:val="000000"/>
          <w:sz w:val="24"/>
          <w:szCs w:val="24"/>
        </w:rPr>
      </w:pPr>
    </w:p>
    <w:p w14:paraId="7BE46657">
      <w:pPr>
        <w:tabs>
          <w:tab w:val="left" w:pos="365"/>
        </w:tabs>
        <w:autoSpaceDE/>
        <w:autoSpaceDN/>
        <w:snapToGrid w:val="0"/>
        <w:jc w:val="both"/>
        <w:rPr>
          <w:rFonts w:eastAsia="宋体"/>
          <w:color w:val="000000"/>
          <w:sz w:val="24"/>
          <w:szCs w:val="24"/>
        </w:rPr>
      </w:pPr>
    </w:p>
    <w:p w14:paraId="7C0EBC68">
      <w:pPr>
        <w:tabs>
          <w:tab w:val="left" w:pos="365"/>
        </w:tabs>
        <w:autoSpaceDE/>
        <w:autoSpaceDN/>
        <w:snapToGrid w:val="0"/>
        <w:jc w:val="both"/>
        <w:rPr>
          <w:rFonts w:eastAsia="宋体"/>
          <w:color w:val="000000"/>
          <w:sz w:val="24"/>
          <w:szCs w:val="24"/>
        </w:rPr>
      </w:pPr>
    </w:p>
    <w:p w14:paraId="31A0109F">
      <w:pPr>
        <w:pBdr>
          <w:bottom w:val="single" w:color="auto" w:sz="6" w:space="1"/>
        </w:pBdr>
        <w:tabs>
          <w:tab w:val="left" w:pos="365"/>
        </w:tabs>
        <w:autoSpaceDE/>
        <w:autoSpaceDN/>
        <w:snapToGrid w:val="0"/>
        <w:jc w:val="both"/>
        <w:rPr>
          <w:rFonts w:eastAsia="宋体"/>
          <w:b/>
          <w:bCs/>
          <w:color w:val="000000"/>
          <w:sz w:val="24"/>
          <w:szCs w:val="24"/>
        </w:rPr>
      </w:pPr>
    </w:p>
    <w:p w14:paraId="299D119A">
      <w:pPr>
        <w:tabs>
          <w:tab w:val="left" w:pos="7944"/>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4FAE8862">
      <w:pPr>
        <w:tabs>
          <w:tab w:val="left" w:pos="202"/>
        </w:tabs>
        <w:autoSpaceDE/>
        <w:autoSpaceDN/>
        <w:snapToGrid w:val="0"/>
        <w:jc w:val="both"/>
        <w:rPr>
          <w:rFonts w:eastAsia="宋体"/>
          <w:color w:val="000000"/>
          <w:sz w:val="24"/>
          <w:szCs w:val="24"/>
          <w:vertAlign w:val="superscript"/>
        </w:rPr>
      </w:pPr>
    </w:p>
    <w:p w14:paraId="570D03D7">
      <w:pPr>
        <w:tabs>
          <w:tab w:val="left" w:pos="20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33ACFA1D">
      <w:pPr>
        <w:pStyle w:val="2"/>
        <w:autoSpaceDE/>
        <w:autoSpaceDN/>
        <w:spacing w:before="240" w:after="240"/>
        <w:rPr>
          <w:rFonts w:eastAsia="宋体"/>
        </w:rPr>
      </w:pPr>
      <w:bookmarkStart w:id="47" w:name="_Toc97473522"/>
      <w:bookmarkStart w:id="48" w:name="_Toc98778571"/>
      <w:r>
        <w:rPr>
          <w:rFonts w:eastAsia="宋体"/>
        </w:rPr>
        <w:t>附录G：</w:t>
      </w:r>
      <w:bookmarkStart w:id="49" w:name="bookmark71"/>
      <w:bookmarkEnd w:id="49"/>
      <w:r>
        <w:rPr>
          <w:rFonts w:eastAsia="宋体"/>
        </w:rPr>
        <w:t>医疗器械的生物相容性试验的ASCA汇总试验报告示例：急性全身毒性（ISO 10993-11）</w:t>
      </w:r>
      <w:bookmarkEnd w:id="47"/>
      <w:bookmarkEnd w:id="48"/>
    </w:p>
    <w:p w14:paraId="5D92CFA2">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14:paraId="7FB374D1">
      <w:pPr>
        <w:autoSpaceDE/>
        <w:autoSpaceDN/>
        <w:snapToGrid w:val="0"/>
        <w:jc w:val="both"/>
        <w:rPr>
          <w:rFonts w:eastAsia="宋体"/>
          <w:b/>
          <w:bCs/>
          <w:color w:val="000000"/>
          <w:sz w:val="24"/>
          <w:szCs w:val="24"/>
        </w:rPr>
      </w:pPr>
    </w:p>
    <w:p w14:paraId="2B832DE3">
      <w:pPr>
        <w:autoSpaceDE/>
        <w:autoSpaceDN/>
        <w:snapToGrid w:val="0"/>
        <w:jc w:val="both"/>
        <w:rPr>
          <w:rFonts w:eastAsia="宋体"/>
          <w:sz w:val="24"/>
          <w:szCs w:val="24"/>
        </w:rPr>
      </w:pPr>
      <w:r>
        <w:rPr>
          <w:rFonts w:eastAsia="宋体"/>
          <w:b/>
          <w:bCs/>
          <w:color w:val="000000"/>
          <w:sz w:val="24"/>
          <w:szCs w:val="24"/>
        </w:rPr>
        <w:t>管理信息</w:t>
      </w:r>
    </w:p>
    <w:p w14:paraId="1A637572">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74AD28A0">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4DAB2D06">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45ACB007">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25982541">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3357061E">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73"/>
      </w:r>
    </w:p>
    <w:p w14:paraId="2C918CFC">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3373C59B">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14:paraId="5E5123E9">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66" w:type="pct"/>
        <w:tblInd w:w="1331"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57" w:type="dxa"/>
          <w:bottom w:w="0" w:type="dxa"/>
          <w:right w:w="57" w:type="dxa"/>
        </w:tblCellMar>
      </w:tblPr>
      <w:tblGrid>
        <w:gridCol w:w="8078"/>
      </w:tblGrid>
      <w:tr w14:paraId="0FC946C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78" w:type="dxa"/>
            <w:shd w:val="clear" w:color="auto" w:fill="auto"/>
            <w:tcMar>
              <w:left w:w="57" w:type="dxa"/>
              <w:right w:w="57" w:type="dxa"/>
            </w:tcMar>
          </w:tcPr>
          <w:p w14:paraId="548BAEE1">
            <w:pPr>
              <w:autoSpaceDE/>
              <w:autoSpaceDN/>
              <w:snapToGrid w:val="0"/>
              <w:jc w:val="both"/>
              <w:rPr>
                <w:rFonts w:eastAsia="宋体"/>
                <w:sz w:val="24"/>
                <w:szCs w:val="24"/>
              </w:rPr>
            </w:pPr>
          </w:p>
          <w:p w14:paraId="61F57DE6">
            <w:pPr>
              <w:autoSpaceDE/>
              <w:autoSpaceDN/>
              <w:snapToGrid w:val="0"/>
              <w:jc w:val="both"/>
              <w:rPr>
                <w:rFonts w:eastAsia="宋体"/>
                <w:sz w:val="24"/>
                <w:szCs w:val="24"/>
              </w:rPr>
            </w:pPr>
          </w:p>
        </w:tc>
      </w:tr>
      <w:tr w14:paraId="0F7F08C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78" w:type="dxa"/>
            <w:shd w:val="clear" w:color="auto" w:fill="auto"/>
            <w:tcMar>
              <w:left w:w="57" w:type="dxa"/>
              <w:right w:w="57" w:type="dxa"/>
            </w:tcMar>
          </w:tcPr>
          <w:p w14:paraId="599133E3">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4B570419">
      <w:pPr>
        <w:tabs>
          <w:tab w:val="left" w:leader="underscore" w:pos="8222"/>
        </w:tabs>
        <w:autoSpaceDE/>
        <w:autoSpaceDN/>
        <w:snapToGrid w:val="0"/>
        <w:jc w:val="both"/>
        <w:rPr>
          <w:rFonts w:eastAsia="宋体"/>
          <w:b/>
          <w:bCs/>
          <w:color w:val="000000"/>
          <w:sz w:val="24"/>
          <w:szCs w:val="24"/>
        </w:rPr>
      </w:pPr>
    </w:p>
    <w:p w14:paraId="713A1135">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i/>
          <w:iCs/>
          <w:color w:val="000000"/>
          <w:sz w:val="24"/>
          <w:szCs w:val="24"/>
          <w:u w:val="single"/>
        </w:rPr>
        <w:tab/>
      </w:r>
    </w:p>
    <w:p w14:paraId="477B63DE">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试验物按照上述方案制备（无偏离/修正案）；或</w:t>
      </w:r>
    </w:p>
    <w:p w14:paraId="27E9E7B8">
      <w:pPr>
        <w:tabs>
          <w:tab w:val="left" w:pos="355"/>
          <w:tab w:val="left" w:leader="underscore" w:pos="8222"/>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试验样品按上述方案制备，但有以下偏离/修正案</w:t>
      </w:r>
      <w:r>
        <w:rPr>
          <w:rStyle w:val="17"/>
          <w:rFonts w:eastAsia="宋体"/>
          <w:sz w:val="24"/>
          <w:szCs w:val="24"/>
        </w:rPr>
        <w:footnoteReference w:id="74"/>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0174D6F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c>
          <w:tcPr>
            <w:tcW w:w="9538" w:type="dxa"/>
            <w:shd w:val="clear" w:color="auto" w:fill="FFFFFF"/>
            <w:tcMar>
              <w:left w:w="57" w:type="dxa"/>
              <w:right w:w="57" w:type="dxa"/>
            </w:tcMar>
          </w:tcPr>
          <w:p w14:paraId="6E1BFA99">
            <w:pPr>
              <w:autoSpaceDE/>
              <w:autoSpaceDN/>
              <w:snapToGrid w:val="0"/>
              <w:jc w:val="both"/>
              <w:rPr>
                <w:rFonts w:eastAsia="宋体"/>
                <w:sz w:val="24"/>
                <w:szCs w:val="24"/>
              </w:rPr>
            </w:pPr>
          </w:p>
          <w:p w14:paraId="1D18F885">
            <w:pPr>
              <w:autoSpaceDE/>
              <w:autoSpaceDN/>
              <w:snapToGrid w:val="0"/>
              <w:jc w:val="both"/>
              <w:rPr>
                <w:rFonts w:eastAsia="宋体"/>
                <w:sz w:val="24"/>
                <w:szCs w:val="24"/>
              </w:rPr>
            </w:pPr>
          </w:p>
        </w:tc>
      </w:tr>
      <w:tr w14:paraId="3D72EE5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538" w:type="dxa"/>
            <w:shd w:val="clear" w:color="auto" w:fill="FFFFFF"/>
            <w:tcMar>
              <w:left w:w="57" w:type="dxa"/>
              <w:right w:w="57" w:type="dxa"/>
            </w:tcMar>
          </w:tcPr>
          <w:p w14:paraId="7EB68B0B">
            <w:pPr>
              <w:autoSpaceDE/>
              <w:autoSpaceDN/>
              <w:snapToGrid w:val="0"/>
              <w:jc w:val="both"/>
              <w:rPr>
                <w:rFonts w:eastAsia="宋体"/>
                <w:sz w:val="24"/>
                <w:szCs w:val="24"/>
              </w:rPr>
            </w:pPr>
            <w:r>
              <w:rPr>
                <w:rFonts w:eastAsia="宋体"/>
                <w:i/>
                <w:iCs/>
                <w:color w:val="000000"/>
                <w:sz w:val="24"/>
                <w:szCs w:val="24"/>
              </w:rPr>
              <w:t>偏离/修正案的描述</w:t>
            </w:r>
          </w:p>
        </w:tc>
      </w:tr>
    </w:tbl>
    <w:p w14:paraId="4032B1F0">
      <w:pPr>
        <w:autoSpaceDE/>
        <w:autoSpaceDN/>
        <w:snapToGrid w:val="0"/>
        <w:jc w:val="both"/>
        <w:rPr>
          <w:rFonts w:eastAsia="宋体"/>
          <w:b/>
          <w:bCs/>
          <w:color w:val="000000"/>
          <w:sz w:val="24"/>
          <w:szCs w:val="24"/>
        </w:rPr>
      </w:pPr>
      <w:bookmarkStart w:id="50" w:name="bookmark72"/>
    </w:p>
    <w:bookmarkEnd w:id="50"/>
    <w:p w14:paraId="2B1DECD2">
      <w:pPr>
        <w:autoSpaceDE/>
        <w:autoSpaceDN/>
        <w:snapToGrid w:val="0"/>
        <w:jc w:val="both"/>
        <w:rPr>
          <w:rFonts w:eastAsia="宋体"/>
          <w:sz w:val="24"/>
          <w:szCs w:val="24"/>
        </w:rPr>
      </w:pPr>
      <w:r>
        <w:rPr>
          <w:rFonts w:eastAsia="宋体"/>
          <w:b/>
          <w:bCs/>
          <w:color w:val="000000"/>
          <w:sz w:val="24"/>
          <w:szCs w:val="24"/>
        </w:rPr>
        <w:t>浸提溶剂：</w:t>
      </w:r>
    </w:p>
    <w:p w14:paraId="524764D3">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14:paraId="724EDFD1">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棉籽油（CSO）/芝麻油（SO）</w:t>
      </w:r>
    </w:p>
    <w:p w14:paraId="45A79147">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commentRangeStart w:id="0"/>
      <w:r>
        <w:rPr>
          <w:rStyle w:val="17"/>
          <w:rFonts w:eastAsia="宋体"/>
          <w:sz w:val="24"/>
          <w:szCs w:val="24"/>
        </w:rPr>
        <w:footnoteReference w:id="75"/>
      </w:r>
      <w:commentRangeEnd w:id="0"/>
      <w:r>
        <w:rPr>
          <w:rStyle w:val="16"/>
          <w:rFonts w:eastAsia="宋体"/>
          <w:sz w:val="24"/>
          <w:szCs w:val="24"/>
        </w:rPr>
        <w:commentReference w:id="0"/>
      </w:r>
      <w:r>
        <w:rPr>
          <w:rFonts w:eastAsia="宋体"/>
          <w:i/>
          <w:iCs/>
          <w:color w:val="000000"/>
          <w:sz w:val="24"/>
          <w:szCs w:val="24"/>
          <w:u w:val="single"/>
        </w:rPr>
        <w:t>[描述]</w:t>
      </w:r>
      <w:r>
        <w:rPr>
          <w:rFonts w:eastAsia="宋体"/>
          <w:i/>
          <w:iCs/>
          <w:color w:val="000000"/>
          <w:sz w:val="24"/>
          <w:szCs w:val="24"/>
          <w:u w:val="single"/>
        </w:rPr>
        <w:tab/>
      </w:r>
    </w:p>
    <w:p w14:paraId="40994634">
      <w:pPr>
        <w:tabs>
          <w:tab w:val="left" w:pos="187"/>
        </w:tabs>
        <w:autoSpaceDE/>
        <w:autoSpaceDN/>
        <w:snapToGrid w:val="0"/>
        <w:jc w:val="both"/>
        <w:rPr>
          <w:rFonts w:eastAsia="宋体"/>
          <w:sz w:val="24"/>
          <w:szCs w:val="24"/>
        </w:rPr>
      </w:pPr>
    </w:p>
    <w:p w14:paraId="7BA1A9AB">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117919B5">
      <w:pPr>
        <w:autoSpaceDE/>
        <w:autoSpaceDN/>
        <w:snapToGrid w:val="0"/>
        <w:jc w:val="both"/>
        <w:rPr>
          <w:rFonts w:eastAsia="宋体"/>
          <w:sz w:val="24"/>
          <w:szCs w:val="24"/>
        </w:rPr>
      </w:pPr>
      <w:r>
        <w:rPr>
          <w:rFonts w:eastAsia="宋体"/>
          <w:b/>
          <w:bCs/>
          <w:color w:val="000000"/>
          <w:sz w:val="24"/>
          <w:szCs w:val="24"/>
        </w:rPr>
        <w:t>浸提率：</w:t>
      </w:r>
    </w:p>
    <w:p w14:paraId="3F228A70">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75D56B52">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14:paraId="622647CD">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14:paraId="19615412">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76"/>
      </w:r>
      <w:r>
        <w:rPr>
          <w:rFonts w:eastAsia="宋体"/>
          <w:i/>
          <w:iCs/>
          <w:color w:val="000000"/>
          <w:sz w:val="24"/>
          <w:szCs w:val="24"/>
          <w:u w:val="single"/>
        </w:rPr>
        <w:t>[描述]</w:t>
      </w:r>
      <w:r>
        <w:rPr>
          <w:rFonts w:eastAsia="宋体"/>
          <w:color w:val="000000"/>
          <w:sz w:val="24"/>
          <w:szCs w:val="24"/>
          <w:u w:val="single"/>
        </w:rPr>
        <w:tab/>
      </w:r>
    </w:p>
    <w:p w14:paraId="51C127A8">
      <w:pPr>
        <w:autoSpaceDE/>
        <w:autoSpaceDN/>
        <w:snapToGrid w:val="0"/>
        <w:jc w:val="both"/>
        <w:rPr>
          <w:rFonts w:eastAsia="宋体"/>
          <w:sz w:val="24"/>
          <w:szCs w:val="24"/>
        </w:rPr>
      </w:pPr>
      <w:r>
        <w:rPr>
          <w:rFonts w:eastAsia="宋体"/>
          <w:b/>
          <w:bCs/>
          <w:color w:val="000000"/>
          <w:sz w:val="24"/>
          <w:szCs w:val="24"/>
        </w:rPr>
        <w:t>浸提条件：</w:t>
      </w:r>
    </w:p>
    <w:p w14:paraId="475CF625">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14:paraId="4E27D5DA">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14:paraId="61893D39">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14:paraId="115C3F84">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14:paraId="077098A7">
      <w:pPr>
        <w:tabs>
          <w:tab w:val="left" w:pos="3686"/>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77"/>
      </w:r>
      <w:r>
        <w:rPr>
          <w:rFonts w:eastAsia="宋体"/>
          <w:i/>
          <w:iCs/>
          <w:color w:val="000000"/>
          <w:sz w:val="24"/>
          <w:szCs w:val="24"/>
          <w:u w:val="single"/>
        </w:rPr>
        <w:t>[描述]</w:t>
      </w:r>
      <w:r>
        <w:rPr>
          <w:rFonts w:eastAsia="宋体"/>
          <w:color w:val="000000"/>
          <w:sz w:val="24"/>
          <w:szCs w:val="24"/>
          <w:u w:val="single"/>
        </w:rPr>
        <w:tab/>
      </w:r>
    </w:p>
    <w:p w14:paraId="5D047507">
      <w:pPr>
        <w:autoSpaceDE/>
        <w:autoSpaceDN/>
        <w:snapToGrid w:val="0"/>
        <w:jc w:val="both"/>
        <w:rPr>
          <w:rFonts w:eastAsia="宋体"/>
          <w:b/>
          <w:bCs/>
          <w:color w:val="000000"/>
          <w:sz w:val="24"/>
          <w:szCs w:val="24"/>
        </w:rPr>
      </w:pPr>
    </w:p>
    <w:p w14:paraId="4FA24E9D">
      <w:pPr>
        <w:autoSpaceDE/>
        <w:autoSpaceDN/>
        <w:snapToGrid w:val="0"/>
        <w:jc w:val="both"/>
        <w:rPr>
          <w:rFonts w:eastAsia="宋体"/>
          <w:sz w:val="24"/>
          <w:szCs w:val="24"/>
        </w:rPr>
      </w:pPr>
      <w:r>
        <w:rPr>
          <w:rFonts w:eastAsia="宋体"/>
          <w:b/>
          <w:bCs/>
          <w:color w:val="000000"/>
          <w:sz w:val="24"/>
          <w:szCs w:val="24"/>
        </w:rPr>
        <w:t>液体路径浸提：</w:t>
      </w:r>
    </w:p>
    <w:p w14:paraId="0D510ADD">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78"/>
      </w:r>
    </w:p>
    <w:p w14:paraId="6A6694FC">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14:paraId="34683AE2">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14:paraId="3F14DFCD">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14:paraId="543BE4A3">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14:paraId="1390904E">
      <w:pPr>
        <w:autoSpaceDE/>
        <w:autoSpaceDN/>
        <w:snapToGrid w:val="0"/>
        <w:jc w:val="both"/>
        <w:rPr>
          <w:rFonts w:eastAsia="宋体"/>
          <w:sz w:val="24"/>
          <w:szCs w:val="24"/>
        </w:rPr>
      </w:pPr>
    </w:p>
    <w:p w14:paraId="42E69B6F">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14:paraId="5CD19474">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79"/>
      </w:r>
    </w:p>
    <w:p w14:paraId="4D311B04">
      <w:pPr>
        <w:tabs>
          <w:tab w:val="left" w:leader="underscore" w:pos="8645"/>
        </w:tabs>
        <w:autoSpaceDE/>
        <w:autoSpaceDN/>
        <w:snapToGrid w:val="0"/>
        <w:jc w:val="both"/>
        <w:rPr>
          <w:rFonts w:eastAsia="宋体"/>
          <w:b/>
          <w:bCs/>
          <w:color w:val="000000"/>
          <w:sz w:val="24"/>
          <w:szCs w:val="24"/>
        </w:rPr>
      </w:pPr>
    </w:p>
    <w:p w14:paraId="5B698E9E">
      <w:pPr>
        <w:tabs>
          <w:tab w:val="left" w:pos="9354"/>
        </w:tabs>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[ASCAcuteTox（日期/版本）]</w:t>
      </w:r>
      <w:r>
        <w:rPr>
          <w:rFonts w:eastAsia="宋体"/>
          <w:color w:val="000000"/>
          <w:sz w:val="24"/>
          <w:szCs w:val="24"/>
          <w:u w:val="single"/>
        </w:rPr>
        <w:tab/>
      </w:r>
    </w:p>
    <w:p w14:paraId="36F8C642">
      <w:pPr>
        <w:tabs>
          <w:tab w:val="left" w:pos="33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0986D765">
      <w:pPr>
        <w:tabs>
          <w:tab w:val="left" w:pos="336"/>
        </w:tabs>
        <w:autoSpaceDE/>
        <w:autoSpaceDN/>
        <w:snapToGrid w:val="0"/>
        <w:jc w:val="both"/>
        <w:rPr>
          <w:rFonts w:eastAsia="宋体"/>
          <w:b/>
          <w:bCs/>
          <w:color w:val="000000"/>
          <w:sz w:val="24"/>
          <w:szCs w:val="24"/>
        </w:rPr>
      </w:pPr>
      <w:r>
        <w:rPr>
          <w:rFonts w:eastAsia="宋体"/>
          <w:color w:val="000000"/>
          <w:sz w:val="24"/>
          <w:szCs w:val="24"/>
        </w:rPr>
        <w:t>或</w:t>
      </w:r>
    </w:p>
    <w:p w14:paraId="383A5F47">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80"/>
      </w:r>
    </w:p>
    <w:p w14:paraId="38E343A7">
      <w:pPr>
        <w:tabs>
          <w:tab w:val="left" w:pos="178"/>
        </w:tabs>
        <w:autoSpaceDE/>
        <w:autoSpaceDN/>
        <w:snapToGrid w:val="0"/>
        <w:jc w:val="both"/>
        <w:rPr>
          <w:rFonts w:eastAsia="宋体"/>
          <w:color w:val="000000"/>
          <w:sz w:val="24"/>
          <w:szCs w:val="24"/>
          <w:vertAlign w:val="superscript"/>
        </w:rPr>
      </w:pPr>
    </w:p>
    <w:p w14:paraId="34F8A4D4">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4851" w:type="pct"/>
        <w:tblInd w:w="26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autofit"/>
        <w:tblCellMar>
          <w:top w:w="0" w:type="dxa"/>
          <w:left w:w="57" w:type="dxa"/>
          <w:bottom w:w="0" w:type="dxa"/>
          <w:right w:w="57" w:type="dxa"/>
        </w:tblCellMar>
      </w:tblPr>
      <w:tblGrid>
        <w:gridCol w:w="9186"/>
      </w:tblGrid>
      <w:tr w14:paraId="0F32408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5000" w:type="pct"/>
            <w:shd w:val="clear" w:color="auto" w:fill="FFFFFF"/>
            <w:tcMar>
              <w:left w:w="57" w:type="dxa"/>
              <w:right w:w="57" w:type="dxa"/>
            </w:tcMar>
          </w:tcPr>
          <w:p w14:paraId="3EAAA5D5">
            <w:pPr>
              <w:autoSpaceDE/>
              <w:autoSpaceDN/>
              <w:snapToGrid w:val="0"/>
              <w:jc w:val="both"/>
              <w:rPr>
                <w:rFonts w:eastAsia="宋体"/>
                <w:sz w:val="24"/>
                <w:szCs w:val="24"/>
              </w:rPr>
            </w:pPr>
            <w:bookmarkStart w:id="51" w:name="_Hlk87618079"/>
          </w:p>
          <w:p w14:paraId="2208A04B">
            <w:pPr>
              <w:autoSpaceDE/>
              <w:autoSpaceDN/>
              <w:snapToGrid w:val="0"/>
              <w:jc w:val="both"/>
              <w:rPr>
                <w:rFonts w:eastAsia="宋体"/>
                <w:sz w:val="24"/>
                <w:szCs w:val="24"/>
              </w:rPr>
            </w:pPr>
          </w:p>
        </w:tc>
      </w:tr>
      <w:tr w14:paraId="44C2D66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5000" w:type="pct"/>
            <w:shd w:val="clear" w:color="auto" w:fill="FFFFFF"/>
            <w:tcMar>
              <w:left w:w="57" w:type="dxa"/>
              <w:right w:w="57" w:type="dxa"/>
            </w:tcMar>
          </w:tcPr>
          <w:p w14:paraId="1456FA33">
            <w:pPr>
              <w:autoSpaceDE/>
              <w:autoSpaceDN/>
              <w:snapToGrid w:val="0"/>
              <w:jc w:val="both"/>
              <w:rPr>
                <w:rFonts w:eastAsia="宋体"/>
                <w:sz w:val="24"/>
                <w:szCs w:val="24"/>
              </w:rPr>
            </w:pPr>
            <w:r>
              <w:rPr>
                <w:rFonts w:eastAsia="宋体"/>
                <w:i/>
                <w:iCs/>
                <w:color w:val="000000"/>
                <w:sz w:val="24"/>
                <w:szCs w:val="24"/>
              </w:rPr>
              <w:t>偏离/修正案的描述</w:t>
            </w:r>
          </w:p>
        </w:tc>
      </w:tr>
    </w:tbl>
    <w:p w14:paraId="5630BBBB">
      <w:pPr>
        <w:autoSpaceDE/>
        <w:autoSpaceDN/>
        <w:snapToGrid w:val="0"/>
        <w:jc w:val="both"/>
        <w:rPr>
          <w:rFonts w:eastAsia="宋体"/>
          <w:sz w:val="24"/>
          <w:szCs w:val="24"/>
        </w:rPr>
      </w:pPr>
    </w:p>
    <w:p w14:paraId="1F07CC13">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81"/>
      </w:r>
    </w:p>
    <w:p w14:paraId="0DFBF0A4">
      <w:pPr>
        <w:autoSpaceDE/>
        <w:autoSpaceDN/>
        <w:snapToGrid w:val="0"/>
        <w:jc w:val="center"/>
        <w:rPr>
          <w:rFonts w:eastAsia="宋体"/>
          <w:b/>
          <w:bCs/>
          <w:sz w:val="24"/>
          <w:szCs w:val="24"/>
        </w:rPr>
      </w:pPr>
      <w:r>
        <w:rPr>
          <w:rFonts w:eastAsia="宋体"/>
          <w:b/>
          <w:bCs/>
          <w:color w:val="000000"/>
          <w:sz w:val="24"/>
          <w:szCs w:val="24"/>
        </w:rPr>
        <w:t>表1试验结果汇总</w:t>
      </w:r>
      <w:r>
        <w:rPr>
          <w:rStyle w:val="17"/>
          <w:rFonts w:eastAsia="宋体"/>
          <w:b/>
          <w:bCs/>
          <w:sz w:val="24"/>
          <w:szCs w:val="24"/>
        </w:rPr>
        <w:footnoteReference w:id="82"/>
      </w:r>
    </w:p>
    <w:p w14:paraId="662541A1">
      <w:pPr>
        <w:autoSpaceDE/>
        <w:autoSpaceDN/>
        <w:snapToGrid w:val="0"/>
        <w:jc w:val="both"/>
        <w:rPr>
          <w:rFonts w:eastAsia="宋体"/>
          <w:sz w:val="24"/>
          <w:szCs w:val="24"/>
        </w:rPr>
      </w:pPr>
    </w:p>
    <w:bookmarkEnd w:id="51"/>
    <w:tbl>
      <w:tblPr>
        <w:tblStyle w:val="13"/>
        <w:tblW w:w="0" w:type="auto"/>
        <w:tblInd w:w="0" w:type="dxa"/>
        <w:tblLayout w:type="fixed"/>
        <w:tblCellMar>
          <w:top w:w="0" w:type="dxa"/>
          <w:left w:w="57" w:type="dxa"/>
          <w:bottom w:w="0" w:type="dxa"/>
          <w:right w:w="57" w:type="dxa"/>
        </w:tblCellMar>
      </w:tblPr>
      <w:tblGrid>
        <w:gridCol w:w="999"/>
        <w:gridCol w:w="1036"/>
        <w:gridCol w:w="837"/>
        <w:gridCol w:w="797"/>
        <w:gridCol w:w="788"/>
        <w:gridCol w:w="860"/>
        <w:gridCol w:w="985"/>
        <w:gridCol w:w="3166"/>
      </w:tblGrid>
      <w:tr w14:paraId="7DAD3160">
        <w:tblPrEx>
          <w:tblCellMar>
            <w:top w:w="0" w:type="dxa"/>
            <w:left w:w="57" w:type="dxa"/>
            <w:bottom w:w="0" w:type="dxa"/>
            <w:right w:w="57" w:type="dxa"/>
          </w:tblCellMar>
        </w:tblPrEx>
        <w:trPr>
          <w:trHeight w:val="20" w:hRule="atLeast"/>
        </w:trPr>
        <w:tc>
          <w:tcPr>
            <w:tcW w:w="999" w:type="dxa"/>
            <w:tcBorders>
              <w:top w:val="double" w:color="auto" w:sz="4" w:space="0"/>
              <w:left w:val="double" w:color="auto" w:sz="4" w:space="0"/>
              <w:bottom w:val="nil"/>
              <w:right w:val="single" w:color="auto" w:sz="6" w:space="0"/>
            </w:tcBorders>
            <w:shd w:val="clear" w:color="auto" w:fill="FFFFFF"/>
            <w:tcMar>
              <w:left w:w="57" w:type="dxa"/>
              <w:right w:w="57" w:type="dxa"/>
            </w:tcMar>
          </w:tcPr>
          <w:p w14:paraId="35981679">
            <w:pPr>
              <w:autoSpaceDE/>
              <w:autoSpaceDN/>
              <w:snapToGrid w:val="0"/>
              <w:jc w:val="both"/>
              <w:rPr>
                <w:rFonts w:eastAsia="宋体"/>
                <w:sz w:val="21"/>
                <w:szCs w:val="21"/>
              </w:rPr>
            </w:pPr>
            <w:r>
              <w:rPr>
                <w:rFonts w:eastAsia="宋体"/>
                <w:b/>
                <w:bCs/>
                <w:color w:val="000000"/>
                <w:sz w:val="21"/>
                <w:szCs w:val="21"/>
              </w:rPr>
              <w:t>浸提液</w:t>
            </w:r>
          </w:p>
        </w:tc>
        <w:tc>
          <w:tcPr>
            <w:tcW w:w="1036" w:type="dxa"/>
            <w:vMerge w:val="restart"/>
            <w:tcBorders>
              <w:top w:val="double" w:color="auto" w:sz="4" w:space="0"/>
              <w:left w:val="single" w:color="auto" w:sz="6" w:space="0"/>
              <w:right w:val="single" w:color="auto" w:sz="6" w:space="0"/>
            </w:tcBorders>
            <w:shd w:val="clear" w:color="auto" w:fill="FFFFFF"/>
            <w:tcMar>
              <w:left w:w="57" w:type="dxa"/>
              <w:right w:w="57" w:type="dxa"/>
            </w:tcMar>
          </w:tcPr>
          <w:p w14:paraId="3B0FCFD5">
            <w:pPr>
              <w:autoSpaceDE/>
              <w:autoSpaceDN/>
              <w:snapToGrid w:val="0"/>
              <w:jc w:val="both"/>
              <w:rPr>
                <w:rFonts w:eastAsia="宋体"/>
                <w:sz w:val="21"/>
                <w:szCs w:val="21"/>
              </w:rPr>
            </w:pPr>
            <w:r>
              <w:rPr>
                <w:rFonts w:eastAsia="宋体"/>
                <w:b/>
                <w:bCs/>
                <w:color w:val="000000"/>
                <w:sz w:val="21"/>
                <w:szCs w:val="21"/>
              </w:rPr>
              <w:t>动物编号</w:t>
            </w:r>
          </w:p>
        </w:tc>
        <w:tc>
          <w:tcPr>
            <w:tcW w:w="3282" w:type="dxa"/>
            <w:gridSpan w:val="4"/>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745DC0E8">
            <w:pPr>
              <w:autoSpaceDE/>
              <w:autoSpaceDN/>
              <w:snapToGrid w:val="0"/>
              <w:jc w:val="center"/>
              <w:rPr>
                <w:rFonts w:eastAsia="宋体"/>
                <w:sz w:val="21"/>
                <w:szCs w:val="21"/>
              </w:rPr>
            </w:pPr>
            <w:r>
              <w:rPr>
                <w:rFonts w:eastAsia="宋体"/>
                <w:b/>
                <w:bCs/>
                <w:color w:val="000000"/>
                <w:sz w:val="21"/>
                <w:szCs w:val="21"/>
              </w:rPr>
              <w:t>体重（g）</w:t>
            </w:r>
          </w:p>
        </w:tc>
        <w:tc>
          <w:tcPr>
            <w:tcW w:w="985" w:type="dxa"/>
            <w:vMerge w:val="restart"/>
            <w:tcBorders>
              <w:top w:val="double" w:color="auto" w:sz="4" w:space="0"/>
              <w:left w:val="single" w:color="auto" w:sz="6" w:space="0"/>
              <w:right w:val="single" w:color="auto" w:sz="6" w:space="0"/>
            </w:tcBorders>
            <w:shd w:val="clear" w:color="auto" w:fill="FFFFFF"/>
            <w:tcMar>
              <w:left w:w="57" w:type="dxa"/>
              <w:right w:w="57" w:type="dxa"/>
            </w:tcMar>
          </w:tcPr>
          <w:p w14:paraId="58B12ADD">
            <w:pPr>
              <w:autoSpaceDE/>
              <w:autoSpaceDN/>
              <w:snapToGrid w:val="0"/>
              <w:jc w:val="both"/>
              <w:rPr>
                <w:rFonts w:eastAsia="宋体"/>
                <w:sz w:val="21"/>
                <w:szCs w:val="21"/>
              </w:rPr>
            </w:pPr>
            <w:r>
              <w:rPr>
                <w:rFonts w:eastAsia="宋体"/>
                <w:b/>
                <w:bCs/>
                <w:color w:val="000000"/>
                <w:sz w:val="21"/>
                <w:szCs w:val="21"/>
              </w:rPr>
              <w:t>体重变化</w:t>
            </w:r>
          </w:p>
        </w:tc>
        <w:tc>
          <w:tcPr>
            <w:tcW w:w="3166" w:type="dxa"/>
            <w:vMerge w:val="restart"/>
            <w:tcBorders>
              <w:top w:val="double" w:color="auto" w:sz="4" w:space="0"/>
              <w:left w:val="single" w:color="auto" w:sz="6" w:space="0"/>
              <w:right w:val="double" w:color="auto" w:sz="4" w:space="0"/>
            </w:tcBorders>
            <w:shd w:val="clear" w:color="auto" w:fill="FFFFFF"/>
            <w:tcMar>
              <w:left w:w="57" w:type="dxa"/>
              <w:right w:w="57" w:type="dxa"/>
            </w:tcMar>
          </w:tcPr>
          <w:p w14:paraId="08B6072B">
            <w:pPr>
              <w:autoSpaceDE/>
              <w:autoSpaceDN/>
              <w:snapToGrid w:val="0"/>
              <w:jc w:val="both"/>
              <w:rPr>
                <w:rFonts w:eastAsia="宋体"/>
                <w:sz w:val="21"/>
                <w:szCs w:val="21"/>
              </w:rPr>
            </w:pPr>
            <w:r>
              <w:rPr>
                <w:rFonts w:eastAsia="宋体"/>
                <w:b/>
                <w:bCs/>
                <w:color w:val="000000"/>
                <w:sz w:val="21"/>
                <w:szCs w:val="21"/>
              </w:rPr>
              <w:t>结论（基于体重和临床发现）</w:t>
            </w:r>
          </w:p>
        </w:tc>
      </w:tr>
      <w:tr w14:paraId="72EF8CB6">
        <w:tblPrEx>
          <w:tblCellMar>
            <w:top w:w="0" w:type="dxa"/>
            <w:left w:w="57" w:type="dxa"/>
            <w:bottom w:w="0" w:type="dxa"/>
            <w:right w:w="57" w:type="dxa"/>
          </w:tblCellMar>
        </w:tblPrEx>
        <w:trPr>
          <w:trHeight w:val="20" w:hRule="atLeast"/>
        </w:trPr>
        <w:tc>
          <w:tcPr>
            <w:tcW w:w="999" w:type="dxa"/>
            <w:tcBorders>
              <w:top w:val="nil"/>
              <w:left w:val="double" w:color="auto" w:sz="4" w:space="0"/>
              <w:bottom w:val="single" w:color="auto" w:sz="6" w:space="0"/>
              <w:right w:val="single" w:color="auto" w:sz="6" w:space="0"/>
            </w:tcBorders>
            <w:shd w:val="clear" w:color="auto" w:fill="FFFFFF"/>
            <w:tcMar>
              <w:left w:w="57" w:type="dxa"/>
              <w:right w:w="57" w:type="dxa"/>
            </w:tcMar>
          </w:tcPr>
          <w:p w14:paraId="0D2E4E6A">
            <w:pPr>
              <w:autoSpaceDE/>
              <w:autoSpaceDN/>
              <w:snapToGrid w:val="0"/>
              <w:jc w:val="both"/>
              <w:rPr>
                <w:rFonts w:eastAsia="宋体"/>
                <w:sz w:val="21"/>
                <w:szCs w:val="21"/>
              </w:rPr>
            </w:pPr>
          </w:p>
        </w:tc>
        <w:tc>
          <w:tcPr>
            <w:tcW w:w="1036"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0788EAFC">
            <w:pPr>
              <w:autoSpaceDE/>
              <w:autoSpaceDN/>
              <w:snapToGrid w:val="0"/>
              <w:jc w:val="both"/>
              <w:rPr>
                <w:rFonts w:eastAsia="宋体"/>
                <w:sz w:val="21"/>
                <w:szCs w:val="21"/>
              </w:rPr>
            </w:pP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2FBAFE">
            <w:pPr>
              <w:autoSpaceDE/>
              <w:autoSpaceDN/>
              <w:snapToGrid w:val="0"/>
              <w:jc w:val="both"/>
              <w:rPr>
                <w:rFonts w:eastAsia="宋体"/>
                <w:sz w:val="21"/>
                <w:szCs w:val="21"/>
              </w:rPr>
            </w:pPr>
            <w:r>
              <w:rPr>
                <w:rFonts w:eastAsia="宋体"/>
                <w:b/>
                <w:bCs/>
                <w:color w:val="000000"/>
                <w:sz w:val="21"/>
                <w:szCs w:val="21"/>
              </w:rPr>
              <w:t>第0天</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B3DEED">
            <w:pPr>
              <w:autoSpaceDE/>
              <w:autoSpaceDN/>
              <w:snapToGrid w:val="0"/>
              <w:jc w:val="both"/>
              <w:rPr>
                <w:rFonts w:eastAsia="宋体"/>
                <w:sz w:val="21"/>
                <w:szCs w:val="21"/>
              </w:rPr>
            </w:pPr>
            <w:r>
              <w:rPr>
                <w:rFonts w:eastAsia="宋体"/>
                <w:b/>
                <w:bCs/>
                <w:color w:val="000000"/>
                <w:sz w:val="21"/>
                <w:szCs w:val="21"/>
              </w:rPr>
              <w:t>第1天</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15ED87">
            <w:pPr>
              <w:autoSpaceDE/>
              <w:autoSpaceDN/>
              <w:snapToGrid w:val="0"/>
              <w:jc w:val="both"/>
              <w:rPr>
                <w:rFonts w:eastAsia="宋体"/>
                <w:sz w:val="21"/>
                <w:szCs w:val="21"/>
              </w:rPr>
            </w:pPr>
            <w:r>
              <w:rPr>
                <w:rFonts w:eastAsia="宋体"/>
                <w:b/>
                <w:bCs/>
                <w:color w:val="000000"/>
                <w:sz w:val="21"/>
                <w:szCs w:val="21"/>
              </w:rPr>
              <w:t>第2天</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DCB176">
            <w:pPr>
              <w:autoSpaceDE/>
              <w:autoSpaceDN/>
              <w:snapToGrid w:val="0"/>
              <w:jc w:val="both"/>
              <w:rPr>
                <w:rFonts w:eastAsia="宋体"/>
                <w:sz w:val="21"/>
                <w:szCs w:val="21"/>
              </w:rPr>
            </w:pPr>
            <w:r>
              <w:rPr>
                <w:rFonts w:eastAsia="宋体"/>
                <w:b/>
                <w:bCs/>
                <w:color w:val="000000"/>
                <w:sz w:val="21"/>
                <w:szCs w:val="21"/>
              </w:rPr>
              <w:t>第3天</w:t>
            </w:r>
          </w:p>
        </w:tc>
        <w:tc>
          <w:tcPr>
            <w:tcW w:w="985"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0C7E82A8">
            <w:pPr>
              <w:autoSpaceDE/>
              <w:autoSpaceDN/>
              <w:snapToGrid w:val="0"/>
              <w:jc w:val="both"/>
              <w:rPr>
                <w:rFonts w:eastAsia="宋体"/>
                <w:sz w:val="21"/>
                <w:szCs w:val="21"/>
              </w:rPr>
            </w:pPr>
          </w:p>
        </w:tc>
        <w:tc>
          <w:tcPr>
            <w:tcW w:w="3166" w:type="dxa"/>
            <w:vMerge w:val="continue"/>
            <w:tcBorders>
              <w:left w:val="single" w:color="auto" w:sz="6" w:space="0"/>
              <w:bottom w:val="single" w:color="auto" w:sz="6" w:space="0"/>
              <w:right w:val="double" w:color="auto" w:sz="4" w:space="0"/>
            </w:tcBorders>
            <w:shd w:val="clear" w:color="auto" w:fill="FFFFFF"/>
            <w:tcMar>
              <w:left w:w="57" w:type="dxa"/>
              <w:right w:w="57" w:type="dxa"/>
            </w:tcMar>
          </w:tcPr>
          <w:p w14:paraId="69B08337">
            <w:pPr>
              <w:autoSpaceDE/>
              <w:autoSpaceDN/>
              <w:snapToGrid w:val="0"/>
              <w:jc w:val="both"/>
              <w:rPr>
                <w:rFonts w:eastAsia="宋体"/>
                <w:sz w:val="21"/>
                <w:szCs w:val="21"/>
              </w:rPr>
            </w:pPr>
          </w:p>
        </w:tc>
      </w:tr>
      <w:tr w14:paraId="29BB784A">
        <w:tblPrEx>
          <w:tblCellMar>
            <w:top w:w="0" w:type="dxa"/>
            <w:left w:w="57" w:type="dxa"/>
            <w:bottom w:w="0" w:type="dxa"/>
            <w:right w:w="57" w:type="dxa"/>
          </w:tblCellMar>
        </w:tblPrEx>
        <w:trPr>
          <w:trHeight w:val="20" w:hRule="atLeast"/>
        </w:trPr>
        <w:tc>
          <w:tcPr>
            <w:tcW w:w="999" w:type="dxa"/>
            <w:tcBorders>
              <w:top w:val="single" w:color="auto" w:sz="6" w:space="0"/>
              <w:left w:val="double" w:color="auto" w:sz="4" w:space="0"/>
              <w:bottom w:val="nil"/>
              <w:right w:val="single" w:color="auto" w:sz="6" w:space="0"/>
            </w:tcBorders>
            <w:shd w:val="clear" w:color="auto" w:fill="FFFFFF"/>
            <w:tcMar>
              <w:left w:w="57" w:type="dxa"/>
              <w:right w:w="57" w:type="dxa"/>
            </w:tcMar>
          </w:tcPr>
          <w:p w14:paraId="0A09833E">
            <w:pPr>
              <w:autoSpaceDE/>
              <w:autoSpaceDN/>
              <w:snapToGrid w:val="0"/>
              <w:jc w:val="both"/>
              <w:rPr>
                <w:rFonts w:eastAsia="宋体"/>
                <w:sz w:val="21"/>
                <w:szCs w:val="21"/>
              </w:rPr>
            </w:pPr>
            <w:r>
              <w:rPr>
                <w:rFonts w:eastAsia="宋体"/>
                <w:b/>
                <w:bCs/>
                <w:color w:val="000000"/>
                <w:sz w:val="21"/>
                <w:szCs w:val="21"/>
              </w:rPr>
              <w:t>SC试验</w:t>
            </w: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10575F">
            <w:pPr>
              <w:autoSpaceDE/>
              <w:autoSpaceDN/>
              <w:snapToGrid w:val="0"/>
              <w:jc w:val="center"/>
              <w:rPr>
                <w:rFonts w:eastAsia="宋体"/>
                <w:sz w:val="21"/>
                <w:szCs w:val="21"/>
              </w:rPr>
            </w:pPr>
            <w:r>
              <w:rPr>
                <w:rFonts w:eastAsia="宋体"/>
                <w:b/>
                <w:bCs/>
                <w:color w:val="000000"/>
                <w:sz w:val="21"/>
                <w:szCs w:val="21"/>
              </w:rPr>
              <w:t>1</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B26C60">
            <w:pPr>
              <w:autoSpaceDE/>
              <w:autoSpaceDN/>
              <w:snapToGrid w:val="0"/>
              <w:jc w:val="both"/>
              <w:rPr>
                <w:rFonts w:eastAsia="宋体"/>
                <w:sz w:val="21"/>
                <w:szCs w:val="21"/>
              </w:rPr>
            </w:pPr>
            <w:r>
              <w:rPr>
                <w:rFonts w:eastAsia="宋体"/>
                <w:color w:val="000000"/>
                <w:sz w:val="21"/>
                <w:szCs w:val="21"/>
              </w:rPr>
              <w:t>20.4</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2B3EA1">
            <w:pPr>
              <w:autoSpaceDE/>
              <w:autoSpaceDN/>
              <w:snapToGrid w:val="0"/>
              <w:jc w:val="both"/>
              <w:rPr>
                <w:rFonts w:eastAsia="宋体"/>
                <w:sz w:val="21"/>
                <w:szCs w:val="21"/>
              </w:rPr>
            </w:pPr>
            <w:r>
              <w:rPr>
                <w:rFonts w:eastAsia="宋体"/>
                <w:color w:val="000000"/>
                <w:sz w:val="21"/>
                <w:szCs w:val="21"/>
              </w:rPr>
              <w:t>20.8</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B52A2E">
            <w:pPr>
              <w:autoSpaceDE/>
              <w:autoSpaceDN/>
              <w:snapToGrid w:val="0"/>
              <w:jc w:val="both"/>
              <w:rPr>
                <w:rFonts w:eastAsia="宋体"/>
                <w:sz w:val="21"/>
                <w:szCs w:val="21"/>
              </w:rPr>
            </w:pPr>
            <w:r>
              <w:rPr>
                <w:rFonts w:eastAsia="宋体"/>
                <w:color w:val="000000"/>
                <w:sz w:val="21"/>
                <w:szCs w:val="21"/>
              </w:rPr>
              <w:t>21.1</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4D0764">
            <w:pPr>
              <w:autoSpaceDE/>
              <w:autoSpaceDN/>
              <w:snapToGrid w:val="0"/>
              <w:jc w:val="both"/>
              <w:rPr>
                <w:rFonts w:eastAsia="宋体"/>
                <w:sz w:val="21"/>
                <w:szCs w:val="21"/>
              </w:rPr>
            </w:pPr>
            <w:r>
              <w:rPr>
                <w:rFonts w:eastAsia="宋体"/>
                <w:color w:val="000000"/>
                <w:sz w:val="21"/>
                <w:szCs w:val="21"/>
              </w:rPr>
              <w:t>21.7</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4647F7">
            <w:pPr>
              <w:autoSpaceDE/>
              <w:autoSpaceDN/>
              <w:snapToGrid w:val="0"/>
              <w:jc w:val="both"/>
              <w:rPr>
                <w:rFonts w:eastAsia="宋体"/>
                <w:sz w:val="21"/>
                <w:szCs w:val="21"/>
              </w:rPr>
            </w:pPr>
            <w:r>
              <w:rPr>
                <w:rFonts w:eastAsia="宋体"/>
                <w:color w:val="000000"/>
                <w:sz w:val="21"/>
                <w:szCs w:val="21"/>
              </w:rPr>
              <w:t>1.3</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1435AF68">
            <w:pPr>
              <w:autoSpaceDE/>
              <w:autoSpaceDN/>
              <w:snapToGrid w:val="0"/>
              <w:jc w:val="both"/>
              <w:rPr>
                <w:rFonts w:eastAsia="宋体"/>
                <w:sz w:val="21"/>
                <w:szCs w:val="21"/>
              </w:rPr>
            </w:pPr>
            <w:r>
              <w:rPr>
                <w:rFonts w:eastAsia="宋体"/>
                <w:color w:val="000000"/>
                <w:sz w:val="21"/>
                <w:szCs w:val="21"/>
              </w:rPr>
              <w:t>无急性全身性毒性</w:t>
            </w:r>
          </w:p>
        </w:tc>
      </w:tr>
      <w:tr w14:paraId="1B6066BD">
        <w:tblPrEx>
          <w:tblCellMar>
            <w:top w:w="0" w:type="dxa"/>
            <w:left w:w="57" w:type="dxa"/>
            <w:bottom w:w="0" w:type="dxa"/>
            <w:right w:w="57" w:type="dxa"/>
          </w:tblCellMar>
        </w:tblPrEx>
        <w:trPr>
          <w:trHeight w:val="20" w:hRule="atLeast"/>
        </w:trPr>
        <w:tc>
          <w:tcPr>
            <w:tcW w:w="999" w:type="dxa"/>
            <w:tcBorders>
              <w:top w:val="nil"/>
              <w:left w:val="double" w:color="auto" w:sz="4" w:space="0"/>
              <w:bottom w:val="nil"/>
              <w:right w:val="single" w:color="auto" w:sz="6" w:space="0"/>
            </w:tcBorders>
            <w:shd w:val="clear" w:color="auto" w:fill="FFFFFF"/>
            <w:tcMar>
              <w:left w:w="57" w:type="dxa"/>
              <w:right w:w="57" w:type="dxa"/>
            </w:tcMar>
          </w:tcPr>
          <w:p w14:paraId="7CD88DF7">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66952E">
            <w:pPr>
              <w:autoSpaceDE/>
              <w:autoSpaceDN/>
              <w:snapToGrid w:val="0"/>
              <w:jc w:val="center"/>
              <w:rPr>
                <w:rFonts w:eastAsia="宋体"/>
                <w:sz w:val="21"/>
                <w:szCs w:val="21"/>
              </w:rPr>
            </w:pPr>
            <w:r>
              <w:rPr>
                <w:rFonts w:eastAsia="宋体"/>
                <w:b/>
                <w:bCs/>
                <w:color w:val="000000"/>
                <w:sz w:val="21"/>
                <w:szCs w:val="21"/>
              </w:rPr>
              <w:t>2</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266B29">
            <w:pPr>
              <w:autoSpaceDE/>
              <w:autoSpaceDN/>
              <w:snapToGrid w:val="0"/>
              <w:jc w:val="both"/>
              <w:rPr>
                <w:rFonts w:eastAsia="宋体"/>
                <w:sz w:val="21"/>
                <w:szCs w:val="21"/>
              </w:rPr>
            </w:pPr>
            <w:r>
              <w:rPr>
                <w:rFonts w:eastAsia="宋体"/>
                <w:color w:val="000000"/>
                <w:sz w:val="21"/>
                <w:szCs w:val="21"/>
              </w:rPr>
              <w:t>19.6</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F11AFF">
            <w:pPr>
              <w:autoSpaceDE/>
              <w:autoSpaceDN/>
              <w:snapToGrid w:val="0"/>
              <w:jc w:val="both"/>
              <w:rPr>
                <w:rFonts w:eastAsia="宋体"/>
                <w:sz w:val="21"/>
                <w:szCs w:val="21"/>
              </w:rPr>
            </w:pPr>
            <w:r>
              <w:rPr>
                <w:rFonts w:eastAsia="宋体"/>
                <w:color w:val="000000"/>
                <w:sz w:val="21"/>
                <w:szCs w:val="21"/>
              </w:rPr>
              <w:t>20.4</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FE39CD">
            <w:pPr>
              <w:autoSpaceDE/>
              <w:autoSpaceDN/>
              <w:snapToGrid w:val="0"/>
              <w:jc w:val="both"/>
              <w:rPr>
                <w:rFonts w:eastAsia="宋体"/>
                <w:sz w:val="21"/>
                <w:szCs w:val="21"/>
              </w:rPr>
            </w:pPr>
            <w:r>
              <w:rPr>
                <w:rFonts w:eastAsia="宋体"/>
                <w:color w:val="000000"/>
                <w:sz w:val="21"/>
                <w:szCs w:val="21"/>
              </w:rPr>
              <w:t>20.3</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198A7A">
            <w:pPr>
              <w:autoSpaceDE/>
              <w:autoSpaceDN/>
              <w:snapToGrid w:val="0"/>
              <w:jc w:val="both"/>
              <w:rPr>
                <w:rFonts w:eastAsia="宋体"/>
                <w:sz w:val="21"/>
                <w:szCs w:val="21"/>
              </w:rPr>
            </w:pPr>
            <w:r>
              <w:rPr>
                <w:rFonts w:eastAsia="宋体"/>
                <w:color w:val="000000"/>
                <w:sz w:val="21"/>
                <w:szCs w:val="21"/>
              </w:rPr>
              <w:t>21.7</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3D8B5B">
            <w:pPr>
              <w:autoSpaceDE/>
              <w:autoSpaceDN/>
              <w:snapToGrid w:val="0"/>
              <w:jc w:val="both"/>
              <w:rPr>
                <w:rFonts w:eastAsia="宋体"/>
                <w:sz w:val="21"/>
                <w:szCs w:val="21"/>
              </w:rPr>
            </w:pPr>
            <w:r>
              <w:rPr>
                <w:rFonts w:eastAsia="宋体"/>
                <w:color w:val="000000"/>
                <w:sz w:val="21"/>
                <w:szCs w:val="21"/>
              </w:rPr>
              <w:t>2.1</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45DE71F2">
            <w:pPr>
              <w:autoSpaceDE/>
              <w:autoSpaceDN/>
              <w:snapToGrid w:val="0"/>
              <w:jc w:val="both"/>
              <w:rPr>
                <w:rFonts w:eastAsia="宋体"/>
                <w:sz w:val="21"/>
                <w:szCs w:val="21"/>
              </w:rPr>
            </w:pPr>
            <w:r>
              <w:rPr>
                <w:rFonts w:eastAsia="宋体"/>
                <w:color w:val="000000"/>
                <w:sz w:val="21"/>
                <w:szCs w:val="21"/>
              </w:rPr>
              <w:t>无急性全身性毒性</w:t>
            </w:r>
          </w:p>
        </w:tc>
      </w:tr>
      <w:tr w14:paraId="5CE737F6">
        <w:tblPrEx>
          <w:tblCellMar>
            <w:top w:w="0" w:type="dxa"/>
            <w:left w:w="57" w:type="dxa"/>
            <w:bottom w:w="0" w:type="dxa"/>
            <w:right w:w="57" w:type="dxa"/>
          </w:tblCellMar>
        </w:tblPrEx>
        <w:trPr>
          <w:trHeight w:val="20" w:hRule="atLeast"/>
        </w:trPr>
        <w:tc>
          <w:tcPr>
            <w:tcW w:w="999" w:type="dxa"/>
            <w:tcBorders>
              <w:top w:val="nil"/>
              <w:left w:val="double" w:color="auto" w:sz="4" w:space="0"/>
              <w:bottom w:val="nil"/>
              <w:right w:val="single" w:color="auto" w:sz="6" w:space="0"/>
            </w:tcBorders>
            <w:shd w:val="clear" w:color="auto" w:fill="FFFFFF"/>
            <w:tcMar>
              <w:left w:w="57" w:type="dxa"/>
              <w:right w:w="57" w:type="dxa"/>
            </w:tcMar>
          </w:tcPr>
          <w:p w14:paraId="18A32E7F">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1B1F6A">
            <w:pPr>
              <w:autoSpaceDE/>
              <w:autoSpaceDN/>
              <w:snapToGrid w:val="0"/>
              <w:jc w:val="center"/>
              <w:rPr>
                <w:rFonts w:eastAsia="宋体"/>
                <w:sz w:val="21"/>
                <w:szCs w:val="21"/>
              </w:rPr>
            </w:pPr>
            <w:r>
              <w:rPr>
                <w:rFonts w:eastAsia="宋体"/>
                <w:b/>
                <w:bCs/>
                <w:color w:val="000000"/>
                <w:sz w:val="21"/>
                <w:szCs w:val="21"/>
              </w:rPr>
              <w:t>3</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6A0C0A">
            <w:pPr>
              <w:autoSpaceDE/>
              <w:autoSpaceDN/>
              <w:snapToGrid w:val="0"/>
              <w:jc w:val="both"/>
              <w:rPr>
                <w:rFonts w:eastAsia="宋体"/>
                <w:sz w:val="21"/>
                <w:szCs w:val="21"/>
              </w:rPr>
            </w:pPr>
            <w:r>
              <w:rPr>
                <w:rFonts w:eastAsia="宋体"/>
                <w:color w:val="000000"/>
                <w:sz w:val="21"/>
                <w:szCs w:val="21"/>
              </w:rPr>
              <w:t>19.6</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CD650F">
            <w:pPr>
              <w:autoSpaceDE/>
              <w:autoSpaceDN/>
              <w:snapToGrid w:val="0"/>
              <w:jc w:val="both"/>
              <w:rPr>
                <w:rFonts w:eastAsia="宋体"/>
                <w:sz w:val="21"/>
                <w:szCs w:val="21"/>
              </w:rPr>
            </w:pPr>
            <w:r>
              <w:rPr>
                <w:rFonts w:eastAsia="宋体"/>
                <w:color w:val="000000"/>
                <w:sz w:val="21"/>
                <w:szCs w:val="21"/>
              </w:rPr>
              <w:t>19.9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F4FE7B">
            <w:pPr>
              <w:autoSpaceDE/>
              <w:autoSpaceDN/>
              <w:snapToGrid w:val="0"/>
              <w:jc w:val="both"/>
              <w:rPr>
                <w:rFonts w:eastAsia="宋体"/>
                <w:sz w:val="21"/>
                <w:szCs w:val="21"/>
              </w:rPr>
            </w:pPr>
            <w:r>
              <w:rPr>
                <w:rFonts w:eastAsia="宋体"/>
                <w:color w:val="000000"/>
                <w:sz w:val="21"/>
                <w:szCs w:val="21"/>
              </w:rPr>
              <w:t>20.1</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3BD5AC">
            <w:pPr>
              <w:autoSpaceDE/>
              <w:autoSpaceDN/>
              <w:snapToGrid w:val="0"/>
              <w:jc w:val="both"/>
              <w:rPr>
                <w:rFonts w:eastAsia="宋体"/>
                <w:sz w:val="21"/>
                <w:szCs w:val="21"/>
              </w:rPr>
            </w:pPr>
            <w:r>
              <w:rPr>
                <w:rFonts w:eastAsia="宋体"/>
                <w:color w:val="000000"/>
                <w:sz w:val="21"/>
                <w:szCs w:val="21"/>
              </w:rPr>
              <w:t>20.7</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87B129">
            <w:pPr>
              <w:autoSpaceDE/>
              <w:autoSpaceDN/>
              <w:snapToGrid w:val="0"/>
              <w:jc w:val="both"/>
              <w:rPr>
                <w:rFonts w:eastAsia="宋体"/>
                <w:sz w:val="21"/>
                <w:szCs w:val="21"/>
              </w:rPr>
            </w:pPr>
            <w:r>
              <w:rPr>
                <w:rFonts w:eastAsia="宋体"/>
                <w:color w:val="000000"/>
                <w:sz w:val="21"/>
                <w:szCs w:val="21"/>
              </w:rPr>
              <w:t>1.1</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1B147D18">
            <w:pPr>
              <w:autoSpaceDE/>
              <w:autoSpaceDN/>
              <w:snapToGrid w:val="0"/>
              <w:jc w:val="both"/>
              <w:rPr>
                <w:rFonts w:eastAsia="宋体"/>
                <w:sz w:val="21"/>
                <w:szCs w:val="21"/>
              </w:rPr>
            </w:pPr>
            <w:r>
              <w:rPr>
                <w:rFonts w:eastAsia="宋体"/>
                <w:color w:val="000000"/>
                <w:sz w:val="21"/>
                <w:szCs w:val="21"/>
              </w:rPr>
              <w:t>无急性全身性毒性</w:t>
            </w:r>
          </w:p>
        </w:tc>
      </w:tr>
      <w:tr w14:paraId="0C47A85E">
        <w:tblPrEx>
          <w:tblCellMar>
            <w:top w:w="0" w:type="dxa"/>
            <w:left w:w="57" w:type="dxa"/>
            <w:bottom w:w="0" w:type="dxa"/>
            <w:right w:w="57" w:type="dxa"/>
          </w:tblCellMar>
        </w:tblPrEx>
        <w:trPr>
          <w:trHeight w:val="20" w:hRule="atLeast"/>
        </w:trPr>
        <w:tc>
          <w:tcPr>
            <w:tcW w:w="999" w:type="dxa"/>
            <w:tcBorders>
              <w:top w:val="nil"/>
              <w:left w:val="double" w:color="auto" w:sz="4" w:space="0"/>
              <w:bottom w:val="nil"/>
              <w:right w:val="single" w:color="auto" w:sz="6" w:space="0"/>
            </w:tcBorders>
            <w:shd w:val="clear" w:color="auto" w:fill="FFFFFF"/>
            <w:tcMar>
              <w:left w:w="57" w:type="dxa"/>
              <w:right w:w="57" w:type="dxa"/>
            </w:tcMar>
          </w:tcPr>
          <w:p w14:paraId="15F3DD3C">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350D56">
            <w:pPr>
              <w:autoSpaceDE/>
              <w:autoSpaceDN/>
              <w:snapToGrid w:val="0"/>
              <w:jc w:val="center"/>
              <w:rPr>
                <w:rFonts w:eastAsia="宋体"/>
                <w:sz w:val="21"/>
                <w:szCs w:val="21"/>
              </w:rPr>
            </w:pPr>
            <w:r>
              <w:rPr>
                <w:rFonts w:eastAsia="宋体"/>
                <w:b/>
                <w:bCs/>
                <w:color w:val="000000"/>
                <w:sz w:val="21"/>
                <w:szCs w:val="21"/>
              </w:rPr>
              <w:t>4</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D7396F">
            <w:pPr>
              <w:autoSpaceDE/>
              <w:autoSpaceDN/>
              <w:snapToGrid w:val="0"/>
              <w:jc w:val="both"/>
              <w:rPr>
                <w:rFonts w:eastAsia="宋体"/>
                <w:sz w:val="21"/>
                <w:szCs w:val="21"/>
              </w:rPr>
            </w:pPr>
            <w:r>
              <w:rPr>
                <w:rFonts w:eastAsia="宋体"/>
                <w:color w:val="000000"/>
                <w:sz w:val="21"/>
                <w:szCs w:val="21"/>
              </w:rPr>
              <w:t>20.4</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DCB2DC">
            <w:pPr>
              <w:autoSpaceDE/>
              <w:autoSpaceDN/>
              <w:snapToGrid w:val="0"/>
              <w:jc w:val="both"/>
              <w:rPr>
                <w:rFonts w:eastAsia="宋体"/>
                <w:sz w:val="21"/>
                <w:szCs w:val="21"/>
              </w:rPr>
            </w:pPr>
            <w:r>
              <w:rPr>
                <w:rFonts w:eastAsia="宋体"/>
                <w:color w:val="000000"/>
                <w:sz w:val="21"/>
                <w:szCs w:val="21"/>
              </w:rPr>
              <w:t>19.8</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43688C">
            <w:pPr>
              <w:autoSpaceDE/>
              <w:autoSpaceDN/>
              <w:snapToGrid w:val="0"/>
              <w:jc w:val="both"/>
              <w:rPr>
                <w:rFonts w:eastAsia="宋体"/>
                <w:sz w:val="21"/>
                <w:szCs w:val="21"/>
              </w:rPr>
            </w:pPr>
            <w:r>
              <w:rPr>
                <w:rFonts w:eastAsia="宋体"/>
                <w:color w:val="000000"/>
                <w:sz w:val="21"/>
                <w:szCs w:val="21"/>
              </w:rPr>
              <w:t>20.3</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BA27AB">
            <w:pPr>
              <w:autoSpaceDE/>
              <w:autoSpaceDN/>
              <w:snapToGrid w:val="0"/>
              <w:jc w:val="both"/>
              <w:rPr>
                <w:rFonts w:eastAsia="宋体"/>
                <w:sz w:val="21"/>
                <w:szCs w:val="21"/>
              </w:rPr>
            </w:pPr>
            <w:r>
              <w:rPr>
                <w:rFonts w:eastAsia="宋体"/>
                <w:color w:val="000000"/>
                <w:sz w:val="21"/>
                <w:szCs w:val="21"/>
              </w:rPr>
              <w:t>21.1</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DB63B6">
            <w:pPr>
              <w:autoSpaceDE/>
              <w:autoSpaceDN/>
              <w:snapToGrid w:val="0"/>
              <w:jc w:val="both"/>
              <w:rPr>
                <w:rFonts w:eastAsia="宋体"/>
                <w:sz w:val="21"/>
                <w:szCs w:val="21"/>
              </w:rPr>
            </w:pPr>
            <w:r>
              <w:rPr>
                <w:rFonts w:eastAsia="宋体"/>
                <w:color w:val="000000"/>
                <w:sz w:val="21"/>
                <w:szCs w:val="21"/>
              </w:rPr>
              <w:t>0.7</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4B81E9E1">
            <w:pPr>
              <w:autoSpaceDE/>
              <w:autoSpaceDN/>
              <w:snapToGrid w:val="0"/>
              <w:jc w:val="both"/>
              <w:rPr>
                <w:rFonts w:eastAsia="宋体"/>
                <w:sz w:val="21"/>
                <w:szCs w:val="21"/>
              </w:rPr>
            </w:pPr>
            <w:r>
              <w:rPr>
                <w:rFonts w:eastAsia="宋体"/>
                <w:color w:val="000000"/>
                <w:sz w:val="21"/>
                <w:szCs w:val="21"/>
              </w:rPr>
              <w:t>无急性全身性毒性</w:t>
            </w:r>
          </w:p>
        </w:tc>
      </w:tr>
      <w:tr w14:paraId="3BD1A75B">
        <w:tblPrEx>
          <w:tblCellMar>
            <w:top w:w="0" w:type="dxa"/>
            <w:left w:w="57" w:type="dxa"/>
            <w:bottom w:w="0" w:type="dxa"/>
            <w:right w:w="57" w:type="dxa"/>
          </w:tblCellMar>
        </w:tblPrEx>
        <w:trPr>
          <w:trHeight w:val="20" w:hRule="atLeast"/>
        </w:trPr>
        <w:tc>
          <w:tcPr>
            <w:tcW w:w="999" w:type="dxa"/>
            <w:tcBorders>
              <w:top w:val="nil"/>
              <w:left w:val="double" w:color="auto" w:sz="4" w:space="0"/>
              <w:bottom w:val="single" w:color="auto" w:sz="6" w:space="0"/>
              <w:right w:val="single" w:color="auto" w:sz="6" w:space="0"/>
            </w:tcBorders>
            <w:shd w:val="clear" w:color="auto" w:fill="FFFFFF"/>
            <w:tcMar>
              <w:left w:w="57" w:type="dxa"/>
              <w:right w:w="57" w:type="dxa"/>
            </w:tcMar>
          </w:tcPr>
          <w:p w14:paraId="17036163">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E40EF24">
            <w:pPr>
              <w:autoSpaceDE/>
              <w:autoSpaceDN/>
              <w:snapToGrid w:val="0"/>
              <w:jc w:val="center"/>
              <w:rPr>
                <w:rFonts w:eastAsia="宋体"/>
                <w:sz w:val="21"/>
                <w:szCs w:val="21"/>
              </w:rPr>
            </w:pPr>
            <w:r>
              <w:rPr>
                <w:rFonts w:eastAsia="宋体"/>
                <w:b/>
                <w:bCs/>
                <w:color w:val="000000"/>
                <w:sz w:val="21"/>
                <w:szCs w:val="21"/>
              </w:rPr>
              <w:t>5</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800225">
            <w:pPr>
              <w:autoSpaceDE/>
              <w:autoSpaceDN/>
              <w:snapToGrid w:val="0"/>
              <w:jc w:val="both"/>
              <w:rPr>
                <w:rFonts w:eastAsia="宋体"/>
                <w:sz w:val="21"/>
                <w:szCs w:val="21"/>
              </w:rPr>
            </w:pPr>
            <w:r>
              <w:rPr>
                <w:rFonts w:eastAsia="宋体"/>
                <w:color w:val="000000"/>
                <w:sz w:val="21"/>
                <w:szCs w:val="21"/>
              </w:rPr>
              <w:t>17.9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B93E08">
            <w:pPr>
              <w:autoSpaceDE/>
              <w:autoSpaceDN/>
              <w:snapToGrid w:val="0"/>
              <w:jc w:val="both"/>
              <w:rPr>
                <w:rFonts w:eastAsia="宋体"/>
                <w:sz w:val="21"/>
                <w:szCs w:val="21"/>
              </w:rPr>
            </w:pPr>
            <w:r>
              <w:rPr>
                <w:rFonts w:eastAsia="宋体"/>
                <w:color w:val="000000"/>
                <w:sz w:val="21"/>
                <w:szCs w:val="21"/>
              </w:rPr>
              <w:t>18.6</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989219">
            <w:pPr>
              <w:autoSpaceDE/>
              <w:autoSpaceDN/>
              <w:snapToGrid w:val="0"/>
              <w:jc w:val="both"/>
              <w:rPr>
                <w:rFonts w:eastAsia="宋体"/>
                <w:sz w:val="21"/>
                <w:szCs w:val="21"/>
              </w:rPr>
            </w:pPr>
            <w:r>
              <w:rPr>
                <w:rFonts w:eastAsia="宋体"/>
                <w:color w:val="000000"/>
                <w:sz w:val="21"/>
                <w:szCs w:val="21"/>
              </w:rPr>
              <w:t>19.0</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C86CBC">
            <w:pPr>
              <w:autoSpaceDE/>
              <w:autoSpaceDN/>
              <w:snapToGrid w:val="0"/>
              <w:jc w:val="both"/>
              <w:rPr>
                <w:rFonts w:eastAsia="宋体"/>
                <w:sz w:val="21"/>
                <w:szCs w:val="21"/>
              </w:rPr>
            </w:pPr>
            <w:r>
              <w:rPr>
                <w:rFonts w:eastAsia="宋体"/>
                <w:color w:val="000000"/>
                <w:sz w:val="21"/>
                <w:szCs w:val="21"/>
              </w:rPr>
              <w:t>19.7</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DB2DF4">
            <w:pPr>
              <w:autoSpaceDE/>
              <w:autoSpaceDN/>
              <w:snapToGrid w:val="0"/>
              <w:jc w:val="both"/>
              <w:rPr>
                <w:rFonts w:eastAsia="宋体"/>
                <w:sz w:val="21"/>
                <w:szCs w:val="21"/>
              </w:rPr>
            </w:pPr>
            <w:r>
              <w:rPr>
                <w:rFonts w:eastAsia="宋体"/>
                <w:color w:val="000000"/>
                <w:sz w:val="21"/>
                <w:szCs w:val="21"/>
              </w:rPr>
              <w:t>1.8</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2AB0600E">
            <w:pPr>
              <w:autoSpaceDE/>
              <w:autoSpaceDN/>
              <w:snapToGrid w:val="0"/>
              <w:jc w:val="both"/>
              <w:rPr>
                <w:rFonts w:eastAsia="宋体"/>
                <w:sz w:val="21"/>
                <w:szCs w:val="21"/>
              </w:rPr>
            </w:pPr>
            <w:r>
              <w:rPr>
                <w:rFonts w:eastAsia="宋体"/>
                <w:color w:val="000000"/>
                <w:sz w:val="21"/>
                <w:szCs w:val="21"/>
              </w:rPr>
              <w:t>无急性全身性毒性</w:t>
            </w:r>
          </w:p>
        </w:tc>
      </w:tr>
      <w:tr w14:paraId="743A6453">
        <w:tblPrEx>
          <w:tblCellMar>
            <w:top w:w="0" w:type="dxa"/>
            <w:left w:w="57" w:type="dxa"/>
            <w:bottom w:w="0" w:type="dxa"/>
            <w:right w:w="57" w:type="dxa"/>
          </w:tblCellMar>
        </w:tblPrEx>
        <w:trPr>
          <w:trHeight w:val="20" w:hRule="atLeast"/>
        </w:trPr>
        <w:tc>
          <w:tcPr>
            <w:tcW w:w="999" w:type="dxa"/>
            <w:vMerge w:val="restart"/>
            <w:tcBorders>
              <w:top w:val="single" w:color="auto" w:sz="6" w:space="0"/>
              <w:left w:val="double" w:color="auto" w:sz="4" w:space="0"/>
              <w:right w:val="single" w:color="auto" w:sz="6" w:space="0"/>
            </w:tcBorders>
            <w:shd w:val="clear" w:color="auto" w:fill="FFFFFF"/>
            <w:tcMar>
              <w:left w:w="57" w:type="dxa"/>
              <w:right w:w="57" w:type="dxa"/>
            </w:tcMar>
          </w:tcPr>
          <w:p w14:paraId="71FF80CF">
            <w:pPr>
              <w:autoSpaceDE/>
              <w:autoSpaceDN/>
              <w:snapToGrid w:val="0"/>
              <w:jc w:val="both"/>
              <w:rPr>
                <w:rFonts w:eastAsia="宋体"/>
                <w:sz w:val="21"/>
                <w:szCs w:val="21"/>
              </w:rPr>
            </w:pPr>
            <w:r>
              <w:rPr>
                <w:rFonts w:eastAsia="宋体"/>
                <w:b/>
                <w:bCs/>
                <w:color w:val="000000"/>
                <w:sz w:val="21"/>
                <w:szCs w:val="21"/>
              </w:rPr>
              <w:t>SC对照</w:t>
            </w: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A7D97B">
            <w:pPr>
              <w:autoSpaceDE/>
              <w:autoSpaceDN/>
              <w:snapToGrid w:val="0"/>
              <w:jc w:val="center"/>
              <w:rPr>
                <w:rFonts w:eastAsia="宋体"/>
                <w:sz w:val="21"/>
                <w:szCs w:val="21"/>
              </w:rPr>
            </w:pPr>
            <w:r>
              <w:rPr>
                <w:rFonts w:eastAsia="宋体"/>
                <w:b/>
                <w:bCs/>
                <w:color w:val="000000"/>
                <w:sz w:val="21"/>
                <w:szCs w:val="21"/>
              </w:rPr>
              <w:t>1</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7AD8FF">
            <w:pPr>
              <w:autoSpaceDE/>
              <w:autoSpaceDN/>
              <w:snapToGrid w:val="0"/>
              <w:jc w:val="both"/>
              <w:rPr>
                <w:rFonts w:eastAsia="宋体"/>
                <w:sz w:val="21"/>
                <w:szCs w:val="21"/>
              </w:rPr>
            </w:pPr>
            <w:r>
              <w:rPr>
                <w:rFonts w:eastAsia="宋体"/>
                <w:color w:val="000000"/>
                <w:sz w:val="21"/>
                <w:szCs w:val="21"/>
              </w:rPr>
              <w:t>17.9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80865BD">
            <w:pPr>
              <w:autoSpaceDE/>
              <w:autoSpaceDN/>
              <w:snapToGrid w:val="0"/>
              <w:jc w:val="both"/>
              <w:rPr>
                <w:rFonts w:eastAsia="宋体"/>
                <w:sz w:val="21"/>
                <w:szCs w:val="21"/>
              </w:rPr>
            </w:pPr>
            <w:r>
              <w:rPr>
                <w:rFonts w:eastAsia="宋体"/>
                <w:color w:val="000000"/>
                <w:sz w:val="21"/>
                <w:szCs w:val="21"/>
              </w:rPr>
              <w:t>19.9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3B1938">
            <w:pPr>
              <w:autoSpaceDE/>
              <w:autoSpaceDN/>
              <w:snapToGrid w:val="0"/>
              <w:jc w:val="both"/>
              <w:rPr>
                <w:rFonts w:eastAsia="宋体"/>
                <w:sz w:val="21"/>
                <w:szCs w:val="21"/>
              </w:rPr>
            </w:pPr>
            <w:r>
              <w:rPr>
                <w:rFonts w:eastAsia="宋体"/>
                <w:color w:val="000000"/>
                <w:sz w:val="21"/>
                <w:szCs w:val="21"/>
              </w:rPr>
              <w:t>19.8</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DA68FF">
            <w:pPr>
              <w:autoSpaceDE/>
              <w:autoSpaceDN/>
              <w:snapToGrid w:val="0"/>
              <w:jc w:val="both"/>
              <w:rPr>
                <w:rFonts w:eastAsia="宋体"/>
                <w:sz w:val="21"/>
                <w:szCs w:val="21"/>
              </w:rPr>
            </w:pPr>
            <w:r>
              <w:rPr>
                <w:rFonts w:eastAsia="宋体"/>
                <w:color w:val="000000"/>
                <w:sz w:val="21"/>
                <w:szCs w:val="21"/>
              </w:rPr>
              <w:t>20.4</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D5A1DC">
            <w:pPr>
              <w:autoSpaceDE/>
              <w:autoSpaceDN/>
              <w:snapToGrid w:val="0"/>
              <w:jc w:val="both"/>
              <w:rPr>
                <w:rFonts w:eastAsia="宋体"/>
                <w:sz w:val="21"/>
                <w:szCs w:val="21"/>
              </w:rPr>
            </w:pPr>
            <w:r>
              <w:rPr>
                <w:rFonts w:eastAsia="宋体"/>
                <w:color w:val="000000"/>
                <w:sz w:val="21"/>
                <w:szCs w:val="21"/>
              </w:rPr>
              <w:t>2.5</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7FD7582D">
            <w:pPr>
              <w:autoSpaceDE/>
              <w:autoSpaceDN/>
              <w:snapToGrid w:val="0"/>
              <w:jc w:val="both"/>
              <w:rPr>
                <w:rFonts w:eastAsia="宋体"/>
                <w:sz w:val="21"/>
                <w:szCs w:val="21"/>
              </w:rPr>
            </w:pPr>
            <w:r>
              <w:rPr>
                <w:rFonts w:eastAsia="宋体"/>
                <w:color w:val="000000"/>
                <w:sz w:val="21"/>
                <w:szCs w:val="21"/>
              </w:rPr>
              <w:t>按预期执行</w:t>
            </w:r>
          </w:p>
        </w:tc>
      </w:tr>
      <w:tr w14:paraId="3518641D">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4DF5CC96">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B72306">
            <w:pPr>
              <w:autoSpaceDE/>
              <w:autoSpaceDN/>
              <w:snapToGrid w:val="0"/>
              <w:jc w:val="center"/>
              <w:rPr>
                <w:rFonts w:eastAsia="宋体"/>
                <w:sz w:val="21"/>
                <w:szCs w:val="21"/>
              </w:rPr>
            </w:pPr>
            <w:r>
              <w:rPr>
                <w:rFonts w:eastAsia="宋体"/>
                <w:b/>
                <w:bCs/>
                <w:color w:val="000000"/>
                <w:sz w:val="21"/>
                <w:szCs w:val="21"/>
              </w:rPr>
              <w:t>2</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1F6DD3">
            <w:pPr>
              <w:autoSpaceDE/>
              <w:autoSpaceDN/>
              <w:snapToGrid w:val="0"/>
              <w:jc w:val="both"/>
              <w:rPr>
                <w:rFonts w:eastAsia="宋体"/>
                <w:sz w:val="21"/>
                <w:szCs w:val="21"/>
              </w:rPr>
            </w:pPr>
            <w:r>
              <w:rPr>
                <w:rFonts w:eastAsia="宋体"/>
                <w:color w:val="000000"/>
                <w:sz w:val="21"/>
                <w:szCs w:val="21"/>
              </w:rPr>
              <w:t>19.8</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FDF194">
            <w:pPr>
              <w:autoSpaceDE/>
              <w:autoSpaceDN/>
              <w:snapToGrid w:val="0"/>
              <w:jc w:val="both"/>
              <w:rPr>
                <w:rFonts w:eastAsia="宋体"/>
                <w:sz w:val="21"/>
                <w:szCs w:val="21"/>
              </w:rPr>
            </w:pPr>
            <w:r>
              <w:rPr>
                <w:rFonts w:eastAsia="宋体"/>
                <w:color w:val="000000"/>
                <w:sz w:val="21"/>
                <w:szCs w:val="21"/>
              </w:rPr>
              <w:t>20.0</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9CA22A">
            <w:pPr>
              <w:autoSpaceDE/>
              <w:autoSpaceDN/>
              <w:snapToGrid w:val="0"/>
              <w:jc w:val="both"/>
              <w:rPr>
                <w:rFonts w:eastAsia="宋体"/>
                <w:sz w:val="21"/>
                <w:szCs w:val="21"/>
              </w:rPr>
            </w:pPr>
            <w:r>
              <w:rPr>
                <w:rFonts w:eastAsia="宋体"/>
                <w:color w:val="000000"/>
                <w:sz w:val="21"/>
                <w:szCs w:val="21"/>
              </w:rPr>
              <w:t>20.9</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25D2B2">
            <w:pPr>
              <w:autoSpaceDE/>
              <w:autoSpaceDN/>
              <w:snapToGrid w:val="0"/>
              <w:jc w:val="both"/>
              <w:rPr>
                <w:rFonts w:eastAsia="宋体"/>
                <w:sz w:val="21"/>
                <w:szCs w:val="21"/>
              </w:rPr>
            </w:pPr>
            <w:r>
              <w:rPr>
                <w:rFonts w:eastAsia="宋体"/>
                <w:color w:val="000000"/>
                <w:sz w:val="21"/>
                <w:szCs w:val="21"/>
              </w:rPr>
              <w:t>22.3</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972345">
            <w:pPr>
              <w:autoSpaceDE/>
              <w:autoSpaceDN/>
              <w:snapToGrid w:val="0"/>
              <w:jc w:val="both"/>
              <w:rPr>
                <w:rFonts w:eastAsia="宋体"/>
                <w:sz w:val="21"/>
                <w:szCs w:val="21"/>
              </w:rPr>
            </w:pPr>
            <w:r>
              <w:rPr>
                <w:rFonts w:eastAsia="宋体"/>
                <w:color w:val="000000"/>
                <w:sz w:val="21"/>
                <w:szCs w:val="21"/>
              </w:rPr>
              <w:t>2.5</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429015A1">
            <w:pPr>
              <w:autoSpaceDE/>
              <w:autoSpaceDN/>
              <w:snapToGrid w:val="0"/>
              <w:jc w:val="both"/>
              <w:rPr>
                <w:rFonts w:eastAsia="宋体"/>
                <w:sz w:val="21"/>
                <w:szCs w:val="21"/>
              </w:rPr>
            </w:pPr>
            <w:r>
              <w:rPr>
                <w:rFonts w:eastAsia="宋体"/>
                <w:color w:val="000000"/>
                <w:sz w:val="21"/>
                <w:szCs w:val="21"/>
              </w:rPr>
              <w:t>按预期执行</w:t>
            </w:r>
          </w:p>
        </w:tc>
      </w:tr>
      <w:tr w14:paraId="2EF41B5F">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7E63C592">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B2AABD">
            <w:pPr>
              <w:autoSpaceDE/>
              <w:autoSpaceDN/>
              <w:snapToGrid w:val="0"/>
              <w:jc w:val="center"/>
              <w:rPr>
                <w:rFonts w:eastAsia="宋体"/>
                <w:sz w:val="21"/>
                <w:szCs w:val="21"/>
              </w:rPr>
            </w:pPr>
            <w:r>
              <w:rPr>
                <w:rFonts w:eastAsia="宋体"/>
                <w:b/>
                <w:bCs/>
                <w:color w:val="000000"/>
                <w:sz w:val="21"/>
                <w:szCs w:val="21"/>
              </w:rPr>
              <w:t>3</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DB95EA">
            <w:pPr>
              <w:autoSpaceDE/>
              <w:autoSpaceDN/>
              <w:snapToGrid w:val="0"/>
              <w:jc w:val="both"/>
              <w:rPr>
                <w:rFonts w:eastAsia="宋体"/>
                <w:sz w:val="21"/>
                <w:szCs w:val="21"/>
              </w:rPr>
            </w:pPr>
            <w:r>
              <w:rPr>
                <w:rFonts w:eastAsia="宋体"/>
                <w:color w:val="000000"/>
                <w:sz w:val="21"/>
                <w:szCs w:val="21"/>
              </w:rPr>
              <w:t>19.9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551FB0">
            <w:pPr>
              <w:autoSpaceDE/>
              <w:autoSpaceDN/>
              <w:snapToGrid w:val="0"/>
              <w:jc w:val="both"/>
              <w:rPr>
                <w:rFonts w:eastAsia="宋体"/>
                <w:sz w:val="21"/>
                <w:szCs w:val="21"/>
              </w:rPr>
            </w:pPr>
            <w:r>
              <w:rPr>
                <w:rFonts w:eastAsia="宋体"/>
                <w:color w:val="000000"/>
                <w:sz w:val="21"/>
                <w:szCs w:val="21"/>
              </w:rPr>
              <w:t>20.3</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215D22">
            <w:pPr>
              <w:autoSpaceDE/>
              <w:autoSpaceDN/>
              <w:snapToGrid w:val="0"/>
              <w:jc w:val="both"/>
              <w:rPr>
                <w:rFonts w:eastAsia="宋体"/>
                <w:sz w:val="21"/>
                <w:szCs w:val="21"/>
              </w:rPr>
            </w:pPr>
            <w:r>
              <w:rPr>
                <w:rFonts w:eastAsia="宋体"/>
                <w:color w:val="000000"/>
                <w:sz w:val="21"/>
                <w:szCs w:val="21"/>
              </w:rPr>
              <w:t>20.8</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B29CEA">
            <w:pPr>
              <w:autoSpaceDE/>
              <w:autoSpaceDN/>
              <w:snapToGrid w:val="0"/>
              <w:jc w:val="both"/>
              <w:rPr>
                <w:rFonts w:eastAsia="宋体"/>
                <w:sz w:val="21"/>
                <w:szCs w:val="21"/>
              </w:rPr>
            </w:pPr>
            <w:r>
              <w:rPr>
                <w:rFonts w:eastAsia="宋体"/>
                <w:color w:val="000000"/>
                <w:sz w:val="21"/>
                <w:szCs w:val="21"/>
              </w:rPr>
              <w:t>21.4</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A33CAB">
            <w:pPr>
              <w:autoSpaceDE/>
              <w:autoSpaceDN/>
              <w:snapToGrid w:val="0"/>
              <w:jc w:val="both"/>
              <w:rPr>
                <w:rFonts w:eastAsia="宋体"/>
                <w:sz w:val="21"/>
                <w:szCs w:val="21"/>
              </w:rPr>
            </w:pPr>
            <w:r>
              <w:rPr>
                <w:rFonts w:eastAsia="宋体"/>
                <w:color w:val="000000"/>
                <w:sz w:val="21"/>
                <w:szCs w:val="21"/>
              </w:rPr>
              <w:t>1.5</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322B47C6">
            <w:pPr>
              <w:autoSpaceDE/>
              <w:autoSpaceDN/>
              <w:snapToGrid w:val="0"/>
              <w:jc w:val="both"/>
              <w:rPr>
                <w:rFonts w:eastAsia="宋体"/>
                <w:sz w:val="21"/>
                <w:szCs w:val="21"/>
              </w:rPr>
            </w:pPr>
            <w:r>
              <w:rPr>
                <w:rFonts w:eastAsia="宋体"/>
                <w:color w:val="000000"/>
                <w:sz w:val="21"/>
                <w:szCs w:val="21"/>
              </w:rPr>
              <w:t>按预期执行</w:t>
            </w:r>
          </w:p>
        </w:tc>
      </w:tr>
      <w:tr w14:paraId="727448A9">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0E99B0AC">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8C1C6F">
            <w:pPr>
              <w:autoSpaceDE/>
              <w:autoSpaceDN/>
              <w:snapToGrid w:val="0"/>
              <w:jc w:val="center"/>
              <w:rPr>
                <w:rFonts w:eastAsia="宋体"/>
                <w:sz w:val="21"/>
                <w:szCs w:val="21"/>
              </w:rPr>
            </w:pPr>
            <w:r>
              <w:rPr>
                <w:rFonts w:eastAsia="宋体"/>
                <w:b/>
                <w:bCs/>
                <w:color w:val="000000"/>
                <w:sz w:val="21"/>
                <w:szCs w:val="21"/>
              </w:rPr>
              <w:t>4</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D37F58">
            <w:pPr>
              <w:autoSpaceDE/>
              <w:autoSpaceDN/>
              <w:snapToGrid w:val="0"/>
              <w:jc w:val="both"/>
              <w:rPr>
                <w:rFonts w:eastAsia="宋体"/>
                <w:sz w:val="21"/>
                <w:szCs w:val="21"/>
              </w:rPr>
            </w:pPr>
            <w:r>
              <w:rPr>
                <w:rFonts w:eastAsia="宋体"/>
                <w:color w:val="000000"/>
                <w:sz w:val="21"/>
                <w:szCs w:val="21"/>
              </w:rPr>
              <w:t>17.9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C99AB7">
            <w:pPr>
              <w:autoSpaceDE/>
              <w:autoSpaceDN/>
              <w:snapToGrid w:val="0"/>
              <w:jc w:val="both"/>
              <w:rPr>
                <w:rFonts w:eastAsia="宋体"/>
                <w:sz w:val="21"/>
                <w:szCs w:val="21"/>
              </w:rPr>
            </w:pPr>
            <w:r>
              <w:rPr>
                <w:rFonts w:eastAsia="宋体"/>
                <w:color w:val="000000"/>
                <w:sz w:val="21"/>
                <w:szCs w:val="21"/>
              </w:rPr>
              <w:t>17.8</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6C4B1D">
            <w:pPr>
              <w:autoSpaceDE/>
              <w:autoSpaceDN/>
              <w:snapToGrid w:val="0"/>
              <w:jc w:val="both"/>
              <w:rPr>
                <w:rFonts w:eastAsia="宋体"/>
                <w:sz w:val="21"/>
                <w:szCs w:val="21"/>
              </w:rPr>
            </w:pPr>
            <w:r>
              <w:rPr>
                <w:rFonts w:eastAsia="宋体"/>
                <w:color w:val="000000"/>
                <w:sz w:val="21"/>
                <w:szCs w:val="21"/>
              </w:rPr>
              <w:t>17.9</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2CA1CB">
            <w:pPr>
              <w:autoSpaceDE/>
              <w:autoSpaceDN/>
              <w:snapToGrid w:val="0"/>
              <w:jc w:val="both"/>
              <w:rPr>
                <w:rFonts w:eastAsia="宋体"/>
                <w:sz w:val="21"/>
                <w:szCs w:val="21"/>
              </w:rPr>
            </w:pPr>
            <w:r>
              <w:rPr>
                <w:rFonts w:eastAsia="宋体"/>
                <w:color w:val="000000"/>
                <w:sz w:val="21"/>
                <w:szCs w:val="21"/>
              </w:rPr>
              <w:t>18.6</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95317A">
            <w:pPr>
              <w:autoSpaceDE/>
              <w:autoSpaceDN/>
              <w:snapToGrid w:val="0"/>
              <w:jc w:val="both"/>
              <w:rPr>
                <w:rFonts w:eastAsia="宋体"/>
                <w:sz w:val="21"/>
                <w:szCs w:val="21"/>
              </w:rPr>
            </w:pPr>
            <w:r>
              <w:rPr>
                <w:rFonts w:eastAsia="宋体"/>
                <w:color w:val="000000"/>
                <w:sz w:val="21"/>
                <w:szCs w:val="21"/>
              </w:rPr>
              <w:t>0.7</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7CEB4FA5">
            <w:pPr>
              <w:autoSpaceDE/>
              <w:autoSpaceDN/>
              <w:snapToGrid w:val="0"/>
              <w:jc w:val="both"/>
              <w:rPr>
                <w:rFonts w:eastAsia="宋体"/>
                <w:sz w:val="21"/>
                <w:szCs w:val="21"/>
              </w:rPr>
            </w:pPr>
            <w:r>
              <w:rPr>
                <w:rFonts w:eastAsia="宋体"/>
                <w:color w:val="000000"/>
                <w:sz w:val="21"/>
                <w:szCs w:val="21"/>
              </w:rPr>
              <w:t>按预期执行</w:t>
            </w:r>
          </w:p>
        </w:tc>
      </w:tr>
      <w:tr w14:paraId="70A8C441">
        <w:tblPrEx>
          <w:tblCellMar>
            <w:top w:w="0" w:type="dxa"/>
            <w:left w:w="57" w:type="dxa"/>
            <w:bottom w:w="0" w:type="dxa"/>
            <w:right w:w="57" w:type="dxa"/>
          </w:tblCellMar>
        </w:tblPrEx>
        <w:trPr>
          <w:trHeight w:val="20" w:hRule="atLeast"/>
        </w:trPr>
        <w:tc>
          <w:tcPr>
            <w:tcW w:w="999" w:type="dxa"/>
            <w:vMerge w:val="continue"/>
            <w:tcBorders>
              <w:left w:val="double" w:color="auto" w:sz="4" w:space="0"/>
              <w:bottom w:val="single" w:color="auto" w:sz="6" w:space="0"/>
              <w:right w:val="single" w:color="auto" w:sz="6" w:space="0"/>
            </w:tcBorders>
            <w:shd w:val="clear" w:color="auto" w:fill="FFFFFF"/>
            <w:tcMar>
              <w:left w:w="57" w:type="dxa"/>
              <w:right w:w="57" w:type="dxa"/>
            </w:tcMar>
          </w:tcPr>
          <w:p w14:paraId="40D6AD3A">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50C6AD">
            <w:pPr>
              <w:autoSpaceDE/>
              <w:autoSpaceDN/>
              <w:snapToGrid w:val="0"/>
              <w:jc w:val="center"/>
              <w:rPr>
                <w:rFonts w:eastAsia="宋体"/>
                <w:sz w:val="21"/>
                <w:szCs w:val="21"/>
              </w:rPr>
            </w:pPr>
            <w:r>
              <w:rPr>
                <w:rFonts w:eastAsia="宋体"/>
                <w:b/>
                <w:bCs/>
                <w:color w:val="000000"/>
                <w:sz w:val="21"/>
                <w:szCs w:val="21"/>
              </w:rPr>
              <w:t>5</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80FAD7">
            <w:pPr>
              <w:autoSpaceDE/>
              <w:autoSpaceDN/>
              <w:snapToGrid w:val="0"/>
              <w:jc w:val="both"/>
              <w:rPr>
                <w:rFonts w:eastAsia="宋体"/>
                <w:sz w:val="21"/>
                <w:szCs w:val="21"/>
              </w:rPr>
            </w:pPr>
            <w:r>
              <w:rPr>
                <w:rFonts w:eastAsia="宋体"/>
                <w:color w:val="000000"/>
                <w:sz w:val="21"/>
                <w:szCs w:val="21"/>
              </w:rPr>
              <w:t>22.1</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2470B0">
            <w:pPr>
              <w:autoSpaceDE/>
              <w:autoSpaceDN/>
              <w:snapToGrid w:val="0"/>
              <w:jc w:val="both"/>
              <w:rPr>
                <w:rFonts w:eastAsia="宋体"/>
                <w:sz w:val="21"/>
                <w:szCs w:val="21"/>
              </w:rPr>
            </w:pPr>
            <w:r>
              <w:rPr>
                <w:rFonts w:eastAsia="宋体"/>
                <w:color w:val="000000"/>
                <w:sz w:val="21"/>
                <w:szCs w:val="21"/>
              </w:rPr>
              <w:t>22.9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CBA5E5">
            <w:pPr>
              <w:autoSpaceDE/>
              <w:autoSpaceDN/>
              <w:snapToGrid w:val="0"/>
              <w:jc w:val="both"/>
              <w:rPr>
                <w:rFonts w:eastAsia="宋体"/>
                <w:sz w:val="21"/>
                <w:szCs w:val="21"/>
              </w:rPr>
            </w:pPr>
            <w:r>
              <w:rPr>
                <w:rFonts w:eastAsia="宋体"/>
                <w:color w:val="000000"/>
                <w:sz w:val="21"/>
                <w:szCs w:val="21"/>
              </w:rPr>
              <w:t>23.1</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C16F3C">
            <w:pPr>
              <w:autoSpaceDE/>
              <w:autoSpaceDN/>
              <w:snapToGrid w:val="0"/>
              <w:jc w:val="both"/>
              <w:rPr>
                <w:rFonts w:eastAsia="宋体"/>
                <w:sz w:val="21"/>
                <w:szCs w:val="21"/>
              </w:rPr>
            </w:pPr>
            <w:r>
              <w:rPr>
                <w:rFonts w:eastAsia="宋体"/>
                <w:color w:val="000000"/>
                <w:sz w:val="21"/>
                <w:szCs w:val="21"/>
              </w:rPr>
              <w:t>24.3</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A90D19">
            <w:pPr>
              <w:autoSpaceDE/>
              <w:autoSpaceDN/>
              <w:snapToGrid w:val="0"/>
              <w:jc w:val="both"/>
              <w:rPr>
                <w:rFonts w:eastAsia="宋体"/>
                <w:sz w:val="21"/>
                <w:szCs w:val="21"/>
              </w:rPr>
            </w:pPr>
            <w:r>
              <w:rPr>
                <w:rFonts w:eastAsia="宋体"/>
                <w:color w:val="000000"/>
                <w:sz w:val="21"/>
                <w:szCs w:val="21"/>
              </w:rPr>
              <w:t>2.2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2141B364">
            <w:pPr>
              <w:autoSpaceDE/>
              <w:autoSpaceDN/>
              <w:snapToGrid w:val="0"/>
              <w:jc w:val="both"/>
              <w:rPr>
                <w:rFonts w:eastAsia="宋体"/>
                <w:sz w:val="21"/>
                <w:szCs w:val="21"/>
              </w:rPr>
            </w:pPr>
            <w:r>
              <w:rPr>
                <w:rFonts w:eastAsia="宋体"/>
                <w:color w:val="000000"/>
                <w:sz w:val="21"/>
                <w:szCs w:val="21"/>
              </w:rPr>
              <w:t>按预期执行</w:t>
            </w:r>
          </w:p>
        </w:tc>
      </w:tr>
      <w:tr w14:paraId="2DA43F60">
        <w:tblPrEx>
          <w:tblCellMar>
            <w:top w:w="0" w:type="dxa"/>
            <w:left w:w="57" w:type="dxa"/>
            <w:bottom w:w="0" w:type="dxa"/>
            <w:right w:w="57" w:type="dxa"/>
          </w:tblCellMar>
        </w:tblPrEx>
        <w:trPr>
          <w:trHeight w:val="20" w:hRule="atLeast"/>
        </w:trPr>
        <w:tc>
          <w:tcPr>
            <w:tcW w:w="999" w:type="dxa"/>
            <w:vMerge w:val="restart"/>
            <w:tcBorders>
              <w:top w:val="single" w:color="auto" w:sz="6" w:space="0"/>
              <w:left w:val="double" w:color="auto" w:sz="4" w:space="0"/>
              <w:right w:val="single" w:color="auto" w:sz="6" w:space="0"/>
            </w:tcBorders>
            <w:shd w:val="clear" w:color="auto" w:fill="FFFFFF"/>
            <w:tcMar>
              <w:left w:w="57" w:type="dxa"/>
              <w:right w:w="57" w:type="dxa"/>
            </w:tcMar>
          </w:tcPr>
          <w:p w14:paraId="41764195">
            <w:pPr>
              <w:autoSpaceDE/>
              <w:autoSpaceDN/>
              <w:snapToGrid w:val="0"/>
              <w:jc w:val="both"/>
              <w:rPr>
                <w:rFonts w:eastAsia="宋体"/>
                <w:sz w:val="21"/>
                <w:szCs w:val="21"/>
              </w:rPr>
            </w:pPr>
            <w:r>
              <w:rPr>
                <w:rFonts w:eastAsia="宋体"/>
                <w:b/>
                <w:bCs/>
                <w:color w:val="000000"/>
                <w:sz w:val="21"/>
                <w:szCs w:val="21"/>
              </w:rPr>
              <w:t>SO试验</w:t>
            </w: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6BDBA8">
            <w:pPr>
              <w:autoSpaceDE/>
              <w:autoSpaceDN/>
              <w:snapToGrid w:val="0"/>
              <w:jc w:val="center"/>
              <w:rPr>
                <w:rFonts w:eastAsia="宋体"/>
                <w:sz w:val="21"/>
                <w:szCs w:val="21"/>
              </w:rPr>
            </w:pPr>
            <w:r>
              <w:rPr>
                <w:rFonts w:eastAsia="宋体"/>
                <w:b/>
                <w:bCs/>
                <w:color w:val="000000"/>
                <w:sz w:val="21"/>
                <w:szCs w:val="21"/>
              </w:rPr>
              <w:t>1</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7271D2">
            <w:pPr>
              <w:autoSpaceDE/>
              <w:autoSpaceDN/>
              <w:snapToGrid w:val="0"/>
              <w:jc w:val="both"/>
              <w:rPr>
                <w:rFonts w:eastAsia="宋体"/>
                <w:sz w:val="21"/>
                <w:szCs w:val="21"/>
              </w:rPr>
            </w:pPr>
            <w:r>
              <w:rPr>
                <w:rFonts w:eastAsia="宋体"/>
                <w:color w:val="000000"/>
                <w:sz w:val="21"/>
                <w:szCs w:val="21"/>
              </w:rPr>
              <w:t>22.2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EFAB0F">
            <w:pPr>
              <w:autoSpaceDE/>
              <w:autoSpaceDN/>
              <w:snapToGrid w:val="0"/>
              <w:jc w:val="both"/>
              <w:rPr>
                <w:rFonts w:eastAsia="宋体"/>
                <w:sz w:val="21"/>
                <w:szCs w:val="21"/>
              </w:rPr>
            </w:pPr>
            <w:r>
              <w:rPr>
                <w:rFonts w:eastAsia="宋体"/>
                <w:color w:val="000000"/>
                <w:sz w:val="21"/>
                <w:szCs w:val="21"/>
              </w:rPr>
              <w:t>22.9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274636">
            <w:pPr>
              <w:autoSpaceDE/>
              <w:autoSpaceDN/>
              <w:snapToGrid w:val="0"/>
              <w:jc w:val="both"/>
              <w:rPr>
                <w:rFonts w:eastAsia="宋体"/>
                <w:sz w:val="21"/>
                <w:szCs w:val="21"/>
              </w:rPr>
            </w:pPr>
            <w:r>
              <w:rPr>
                <w:rFonts w:eastAsia="宋体"/>
                <w:color w:val="000000"/>
                <w:sz w:val="21"/>
                <w:szCs w:val="21"/>
              </w:rPr>
              <w:t>22.8</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F1D054">
            <w:pPr>
              <w:autoSpaceDE/>
              <w:autoSpaceDN/>
              <w:snapToGrid w:val="0"/>
              <w:jc w:val="both"/>
              <w:rPr>
                <w:rFonts w:eastAsia="宋体"/>
                <w:sz w:val="21"/>
                <w:szCs w:val="21"/>
              </w:rPr>
            </w:pPr>
            <w:r>
              <w:rPr>
                <w:rFonts w:eastAsia="宋体"/>
                <w:color w:val="000000"/>
                <w:sz w:val="21"/>
                <w:szCs w:val="21"/>
              </w:rPr>
              <w:t>23.4</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604C0B">
            <w:pPr>
              <w:autoSpaceDE/>
              <w:autoSpaceDN/>
              <w:snapToGrid w:val="0"/>
              <w:jc w:val="both"/>
              <w:rPr>
                <w:rFonts w:eastAsia="宋体"/>
                <w:sz w:val="21"/>
                <w:szCs w:val="21"/>
              </w:rPr>
            </w:pPr>
            <w:r>
              <w:rPr>
                <w:rFonts w:eastAsia="宋体"/>
                <w:color w:val="000000"/>
                <w:sz w:val="21"/>
                <w:szCs w:val="21"/>
              </w:rPr>
              <w:t>1.2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0A23EB1A">
            <w:pPr>
              <w:autoSpaceDE/>
              <w:autoSpaceDN/>
              <w:snapToGrid w:val="0"/>
              <w:jc w:val="both"/>
              <w:rPr>
                <w:rFonts w:eastAsia="宋体"/>
                <w:sz w:val="21"/>
                <w:szCs w:val="21"/>
              </w:rPr>
            </w:pPr>
            <w:r>
              <w:rPr>
                <w:rFonts w:eastAsia="宋体"/>
                <w:color w:val="000000"/>
                <w:sz w:val="21"/>
                <w:szCs w:val="21"/>
              </w:rPr>
              <w:t>无全身性毒性</w:t>
            </w:r>
          </w:p>
        </w:tc>
      </w:tr>
      <w:tr w14:paraId="7453D8CA">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52127EE5">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C892D1">
            <w:pPr>
              <w:autoSpaceDE/>
              <w:autoSpaceDN/>
              <w:snapToGrid w:val="0"/>
              <w:jc w:val="center"/>
              <w:rPr>
                <w:rFonts w:eastAsia="宋体"/>
                <w:sz w:val="21"/>
                <w:szCs w:val="21"/>
              </w:rPr>
            </w:pPr>
            <w:r>
              <w:rPr>
                <w:rFonts w:eastAsia="宋体"/>
                <w:b/>
                <w:bCs/>
                <w:color w:val="000000"/>
                <w:sz w:val="21"/>
                <w:szCs w:val="21"/>
              </w:rPr>
              <w:t>2</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73368A">
            <w:pPr>
              <w:autoSpaceDE/>
              <w:autoSpaceDN/>
              <w:snapToGrid w:val="0"/>
              <w:jc w:val="both"/>
              <w:rPr>
                <w:rFonts w:eastAsia="宋体"/>
                <w:sz w:val="21"/>
                <w:szCs w:val="21"/>
              </w:rPr>
            </w:pPr>
            <w:r>
              <w:rPr>
                <w:rFonts w:eastAsia="宋体"/>
                <w:color w:val="000000"/>
                <w:sz w:val="21"/>
                <w:szCs w:val="21"/>
              </w:rPr>
              <w:t>20.2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D534D7">
            <w:pPr>
              <w:autoSpaceDE/>
              <w:autoSpaceDN/>
              <w:snapToGrid w:val="0"/>
              <w:jc w:val="both"/>
              <w:rPr>
                <w:rFonts w:eastAsia="宋体"/>
                <w:sz w:val="21"/>
                <w:szCs w:val="21"/>
              </w:rPr>
            </w:pPr>
            <w:r>
              <w:rPr>
                <w:rFonts w:eastAsia="宋体"/>
                <w:color w:val="000000"/>
                <w:sz w:val="21"/>
                <w:szCs w:val="21"/>
              </w:rPr>
              <w:t>21.3</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9020C6">
            <w:pPr>
              <w:autoSpaceDE/>
              <w:autoSpaceDN/>
              <w:snapToGrid w:val="0"/>
              <w:jc w:val="both"/>
              <w:rPr>
                <w:rFonts w:eastAsia="宋体"/>
                <w:sz w:val="21"/>
                <w:szCs w:val="21"/>
              </w:rPr>
            </w:pPr>
            <w:r>
              <w:rPr>
                <w:rFonts w:eastAsia="宋体"/>
                <w:color w:val="000000"/>
                <w:sz w:val="21"/>
                <w:szCs w:val="21"/>
              </w:rPr>
              <w:t>21.4</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520403F">
            <w:pPr>
              <w:autoSpaceDE/>
              <w:autoSpaceDN/>
              <w:snapToGrid w:val="0"/>
              <w:jc w:val="both"/>
              <w:rPr>
                <w:rFonts w:eastAsia="宋体"/>
                <w:sz w:val="21"/>
                <w:szCs w:val="21"/>
              </w:rPr>
            </w:pPr>
            <w:r>
              <w:rPr>
                <w:rFonts w:eastAsia="宋体"/>
                <w:color w:val="000000"/>
                <w:sz w:val="21"/>
                <w:szCs w:val="21"/>
              </w:rPr>
              <w:t>21.8</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4A3348">
            <w:pPr>
              <w:autoSpaceDE/>
              <w:autoSpaceDN/>
              <w:snapToGrid w:val="0"/>
              <w:jc w:val="both"/>
              <w:rPr>
                <w:rFonts w:eastAsia="宋体"/>
                <w:sz w:val="21"/>
                <w:szCs w:val="21"/>
              </w:rPr>
            </w:pPr>
            <w:r>
              <w:rPr>
                <w:rFonts w:eastAsia="宋体"/>
                <w:color w:val="000000"/>
                <w:sz w:val="21"/>
                <w:szCs w:val="21"/>
              </w:rPr>
              <w:t>1.6</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23737389">
            <w:pPr>
              <w:autoSpaceDE/>
              <w:autoSpaceDN/>
              <w:snapToGrid w:val="0"/>
              <w:jc w:val="both"/>
              <w:rPr>
                <w:rFonts w:eastAsia="宋体"/>
                <w:sz w:val="21"/>
                <w:szCs w:val="21"/>
              </w:rPr>
            </w:pPr>
            <w:r>
              <w:rPr>
                <w:rFonts w:eastAsia="宋体"/>
                <w:color w:val="000000"/>
                <w:sz w:val="21"/>
                <w:szCs w:val="21"/>
              </w:rPr>
              <w:t>无全身性毒性</w:t>
            </w:r>
          </w:p>
        </w:tc>
      </w:tr>
      <w:tr w14:paraId="7BE6BD70">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1213C3F9">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CB354E">
            <w:pPr>
              <w:autoSpaceDE/>
              <w:autoSpaceDN/>
              <w:snapToGrid w:val="0"/>
              <w:jc w:val="center"/>
              <w:rPr>
                <w:rFonts w:eastAsia="宋体"/>
                <w:sz w:val="21"/>
                <w:szCs w:val="21"/>
              </w:rPr>
            </w:pPr>
            <w:r>
              <w:rPr>
                <w:rFonts w:eastAsia="宋体"/>
                <w:b/>
                <w:bCs/>
                <w:color w:val="000000"/>
                <w:sz w:val="21"/>
                <w:szCs w:val="21"/>
              </w:rPr>
              <w:t>3</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17B1A0">
            <w:pPr>
              <w:autoSpaceDE/>
              <w:autoSpaceDN/>
              <w:snapToGrid w:val="0"/>
              <w:jc w:val="both"/>
              <w:rPr>
                <w:rFonts w:eastAsia="宋体"/>
                <w:sz w:val="21"/>
                <w:szCs w:val="21"/>
              </w:rPr>
            </w:pPr>
            <w:r>
              <w:rPr>
                <w:rFonts w:eastAsia="宋体"/>
                <w:color w:val="000000"/>
                <w:sz w:val="21"/>
                <w:szCs w:val="21"/>
              </w:rPr>
              <w:t>19.0</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915DB8">
            <w:pPr>
              <w:autoSpaceDE/>
              <w:autoSpaceDN/>
              <w:snapToGrid w:val="0"/>
              <w:jc w:val="both"/>
              <w:rPr>
                <w:rFonts w:eastAsia="宋体"/>
                <w:sz w:val="21"/>
                <w:szCs w:val="21"/>
              </w:rPr>
            </w:pPr>
            <w:r>
              <w:rPr>
                <w:rFonts w:eastAsia="宋体"/>
                <w:color w:val="000000"/>
                <w:sz w:val="21"/>
                <w:szCs w:val="21"/>
              </w:rPr>
              <w:t>19.2</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0A26E9">
            <w:pPr>
              <w:autoSpaceDE/>
              <w:autoSpaceDN/>
              <w:snapToGrid w:val="0"/>
              <w:jc w:val="both"/>
              <w:rPr>
                <w:rFonts w:eastAsia="宋体"/>
                <w:sz w:val="21"/>
                <w:szCs w:val="21"/>
              </w:rPr>
            </w:pPr>
            <w:r>
              <w:rPr>
                <w:rFonts w:eastAsia="宋体"/>
                <w:color w:val="000000"/>
                <w:sz w:val="21"/>
                <w:szCs w:val="21"/>
              </w:rPr>
              <w:t>19.3</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C3454F">
            <w:pPr>
              <w:autoSpaceDE/>
              <w:autoSpaceDN/>
              <w:snapToGrid w:val="0"/>
              <w:jc w:val="both"/>
              <w:rPr>
                <w:rFonts w:eastAsia="宋体"/>
                <w:sz w:val="21"/>
                <w:szCs w:val="21"/>
              </w:rPr>
            </w:pPr>
            <w:r>
              <w:rPr>
                <w:rFonts w:eastAsia="宋体"/>
                <w:color w:val="000000"/>
                <w:sz w:val="21"/>
                <w:szCs w:val="21"/>
              </w:rPr>
              <w:t>20.2</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18A89A">
            <w:pPr>
              <w:autoSpaceDE/>
              <w:autoSpaceDN/>
              <w:snapToGrid w:val="0"/>
              <w:jc w:val="both"/>
              <w:rPr>
                <w:rFonts w:eastAsia="宋体"/>
                <w:sz w:val="21"/>
                <w:szCs w:val="21"/>
              </w:rPr>
            </w:pPr>
            <w:r>
              <w:rPr>
                <w:rFonts w:eastAsia="宋体"/>
                <w:color w:val="000000"/>
                <w:sz w:val="21"/>
                <w:szCs w:val="21"/>
              </w:rPr>
              <w:t>1.2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54337455">
            <w:pPr>
              <w:autoSpaceDE/>
              <w:autoSpaceDN/>
              <w:snapToGrid w:val="0"/>
              <w:jc w:val="both"/>
              <w:rPr>
                <w:rFonts w:eastAsia="宋体"/>
                <w:sz w:val="21"/>
                <w:szCs w:val="21"/>
              </w:rPr>
            </w:pPr>
            <w:r>
              <w:rPr>
                <w:rFonts w:eastAsia="宋体"/>
                <w:color w:val="000000"/>
                <w:sz w:val="21"/>
                <w:szCs w:val="21"/>
              </w:rPr>
              <w:t>无全身性毒性</w:t>
            </w:r>
          </w:p>
        </w:tc>
      </w:tr>
      <w:tr w14:paraId="448F930D">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7E83C767">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0D1AA2">
            <w:pPr>
              <w:autoSpaceDE/>
              <w:autoSpaceDN/>
              <w:snapToGrid w:val="0"/>
              <w:jc w:val="center"/>
              <w:rPr>
                <w:rFonts w:eastAsia="宋体"/>
                <w:sz w:val="21"/>
                <w:szCs w:val="21"/>
              </w:rPr>
            </w:pPr>
            <w:r>
              <w:rPr>
                <w:rFonts w:eastAsia="宋体"/>
                <w:b/>
                <w:bCs/>
                <w:color w:val="000000"/>
                <w:sz w:val="21"/>
                <w:szCs w:val="21"/>
              </w:rPr>
              <w:t>4</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4FB973">
            <w:pPr>
              <w:autoSpaceDE/>
              <w:autoSpaceDN/>
              <w:snapToGrid w:val="0"/>
              <w:jc w:val="both"/>
              <w:rPr>
                <w:rFonts w:eastAsia="宋体"/>
                <w:sz w:val="21"/>
                <w:szCs w:val="21"/>
              </w:rPr>
            </w:pPr>
            <w:r>
              <w:rPr>
                <w:rFonts w:eastAsia="宋体"/>
                <w:color w:val="000000"/>
                <w:sz w:val="21"/>
                <w:szCs w:val="21"/>
              </w:rPr>
              <w:t>18.5</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B8EA05">
            <w:pPr>
              <w:autoSpaceDE/>
              <w:autoSpaceDN/>
              <w:snapToGrid w:val="0"/>
              <w:jc w:val="both"/>
              <w:rPr>
                <w:rFonts w:eastAsia="宋体"/>
                <w:sz w:val="21"/>
                <w:szCs w:val="21"/>
              </w:rPr>
            </w:pPr>
            <w:r>
              <w:rPr>
                <w:rFonts w:eastAsia="宋体"/>
                <w:color w:val="000000"/>
                <w:sz w:val="21"/>
                <w:szCs w:val="21"/>
              </w:rPr>
              <w:t>19.8</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77B080">
            <w:pPr>
              <w:autoSpaceDE/>
              <w:autoSpaceDN/>
              <w:snapToGrid w:val="0"/>
              <w:jc w:val="both"/>
              <w:rPr>
                <w:rFonts w:eastAsia="宋体"/>
                <w:sz w:val="21"/>
                <w:szCs w:val="21"/>
              </w:rPr>
            </w:pPr>
            <w:r>
              <w:rPr>
                <w:rFonts w:eastAsia="宋体"/>
                <w:color w:val="000000"/>
                <w:sz w:val="21"/>
                <w:szCs w:val="21"/>
              </w:rPr>
              <w:t>20.5</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A2898FC">
            <w:pPr>
              <w:autoSpaceDE/>
              <w:autoSpaceDN/>
              <w:snapToGrid w:val="0"/>
              <w:jc w:val="both"/>
              <w:rPr>
                <w:rFonts w:eastAsia="宋体"/>
                <w:sz w:val="21"/>
                <w:szCs w:val="21"/>
              </w:rPr>
            </w:pPr>
            <w:r>
              <w:rPr>
                <w:rFonts w:eastAsia="宋体"/>
                <w:color w:val="000000"/>
                <w:sz w:val="21"/>
                <w:szCs w:val="21"/>
              </w:rPr>
              <w:t>21.6</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CF1D6A">
            <w:pPr>
              <w:autoSpaceDE/>
              <w:autoSpaceDN/>
              <w:snapToGrid w:val="0"/>
              <w:jc w:val="both"/>
              <w:rPr>
                <w:rFonts w:eastAsia="宋体"/>
                <w:sz w:val="21"/>
                <w:szCs w:val="21"/>
              </w:rPr>
            </w:pPr>
            <w:r>
              <w:rPr>
                <w:rFonts w:eastAsia="宋体"/>
                <w:color w:val="000000"/>
                <w:sz w:val="21"/>
                <w:szCs w:val="21"/>
              </w:rPr>
              <w:t>3.1</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1E2954D3">
            <w:pPr>
              <w:autoSpaceDE/>
              <w:autoSpaceDN/>
              <w:snapToGrid w:val="0"/>
              <w:jc w:val="both"/>
              <w:rPr>
                <w:rFonts w:eastAsia="宋体"/>
                <w:sz w:val="21"/>
                <w:szCs w:val="21"/>
              </w:rPr>
            </w:pPr>
            <w:r>
              <w:rPr>
                <w:rFonts w:eastAsia="宋体"/>
                <w:color w:val="000000"/>
                <w:sz w:val="21"/>
                <w:szCs w:val="21"/>
              </w:rPr>
              <w:t>无全身性毒性</w:t>
            </w:r>
          </w:p>
        </w:tc>
      </w:tr>
      <w:tr w14:paraId="010B4273">
        <w:tblPrEx>
          <w:tblCellMar>
            <w:top w:w="0" w:type="dxa"/>
            <w:left w:w="57" w:type="dxa"/>
            <w:bottom w:w="0" w:type="dxa"/>
            <w:right w:w="57" w:type="dxa"/>
          </w:tblCellMar>
        </w:tblPrEx>
        <w:trPr>
          <w:trHeight w:val="20" w:hRule="atLeast"/>
        </w:trPr>
        <w:tc>
          <w:tcPr>
            <w:tcW w:w="999" w:type="dxa"/>
            <w:vMerge w:val="continue"/>
            <w:tcBorders>
              <w:left w:val="double" w:color="auto" w:sz="4" w:space="0"/>
              <w:bottom w:val="single" w:color="auto" w:sz="6" w:space="0"/>
              <w:right w:val="single" w:color="auto" w:sz="6" w:space="0"/>
            </w:tcBorders>
            <w:shd w:val="clear" w:color="auto" w:fill="FFFFFF"/>
            <w:tcMar>
              <w:left w:w="57" w:type="dxa"/>
              <w:right w:w="57" w:type="dxa"/>
            </w:tcMar>
          </w:tcPr>
          <w:p w14:paraId="2AD403DA">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E38596">
            <w:pPr>
              <w:autoSpaceDE/>
              <w:autoSpaceDN/>
              <w:snapToGrid w:val="0"/>
              <w:jc w:val="center"/>
              <w:rPr>
                <w:rFonts w:eastAsia="宋体"/>
                <w:sz w:val="21"/>
                <w:szCs w:val="21"/>
              </w:rPr>
            </w:pPr>
            <w:r>
              <w:rPr>
                <w:rFonts w:eastAsia="宋体"/>
                <w:b/>
                <w:bCs/>
                <w:color w:val="000000"/>
                <w:sz w:val="21"/>
                <w:szCs w:val="21"/>
              </w:rPr>
              <w:t>5</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E26DBB">
            <w:pPr>
              <w:autoSpaceDE/>
              <w:autoSpaceDN/>
              <w:snapToGrid w:val="0"/>
              <w:jc w:val="both"/>
              <w:rPr>
                <w:rFonts w:eastAsia="宋体"/>
                <w:sz w:val="21"/>
                <w:szCs w:val="21"/>
              </w:rPr>
            </w:pPr>
            <w:r>
              <w:rPr>
                <w:rFonts w:eastAsia="宋体"/>
                <w:color w:val="000000"/>
                <w:sz w:val="21"/>
                <w:szCs w:val="21"/>
              </w:rPr>
              <w:t>19.4</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800523">
            <w:pPr>
              <w:autoSpaceDE/>
              <w:autoSpaceDN/>
              <w:snapToGrid w:val="0"/>
              <w:jc w:val="both"/>
              <w:rPr>
                <w:rFonts w:eastAsia="宋体"/>
                <w:sz w:val="21"/>
                <w:szCs w:val="21"/>
              </w:rPr>
            </w:pPr>
            <w:r>
              <w:rPr>
                <w:rFonts w:eastAsia="宋体"/>
                <w:color w:val="000000"/>
                <w:sz w:val="21"/>
                <w:szCs w:val="21"/>
              </w:rPr>
              <w:t>202.2</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D66AA6">
            <w:pPr>
              <w:autoSpaceDE/>
              <w:autoSpaceDN/>
              <w:snapToGrid w:val="0"/>
              <w:jc w:val="both"/>
              <w:rPr>
                <w:rFonts w:eastAsia="宋体"/>
                <w:sz w:val="21"/>
                <w:szCs w:val="21"/>
              </w:rPr>
            </w:pPr>
            <w:r>
              <w:rPr>
                <w:rFonts w:eastAsia="宋体"/>
                <w:color w:val="000000"/>
                <w:sz w:val="21"/>
                <w:szCs w:val="21"/>
              </w:rPr>
              <w:t>19.8</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B59D12">
            <w:pPr>
              <w:autoSpaceDE/>
              <w:autoSpaceDN/>
              <w:snapToGrid w:val="0"/>
              <w:jc w:val="both"/>
              <w:rPr>
                <w:rFonts w:eastAsia="宋体"/>
                <w:sz w:val="21"/>
                <w:szCs w:val="21"/>
              </w:rPr>
            </w:pPr>
            <w:r>
              <w:rPr>
                <w:rFonts w:eastAsia="宋体"/>
                <w:color w:val="000000"/>
                <w:sz w:val="21"/>
                <w:szCs w:val="21"/>
              </w:rPr>
              <w:t>20.0</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C63216">
            <w:pPr>
              <w:autoSpaceDE/>
              <w:autoSpaceDN/>
              <w:snapToGrid w:val="0"/>
              <w:jc w:val="both"/>
              <w:rPr>
                <w:rFonts w:eastAsia="宋体"/>
                <w:sz w:val="21"/>
                <w:szCs w:val="21"/>
              </w:rPr>
            </w:pPr>
            <w:r>
              <w:rPr>
                <w:rFonts w:eastAsia="宋体"/>
                <w:color w:val="000000"/>
                <w:sz w:val="21"/>
                <w:szCs w:val="21"/>
              </w:rPr>
              <w:t>0.6</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00B75A7A">
            <w:pPr>
              <w:autoSpaceDE/>
              <w:autoSpaceDN/>
              <w:snapToGrid w:val="0"/>
              <w:jc w:val="both"/>
              <w:rPr>
                <w:rFonts w:eastAsia="宋体"/>
                <w:sz w:val="21"/>
                <w:szCs w:val="21"/>
              </w:rPr>
            </w:pPr>
            <w:r>
              <w:rPr>
                <w:rFonts w:eastAsia="宋体"/>
                <w:color w:val="000000"/>
                <w:sz w:val="21"/>
                <w:szCs w:val="21"/>
              </w:rPr>
              <w:t>无全身性毒性</w:t>
            </w:r>
          </w:p>
        </w:tc>
      </w:tr>
      <w:tr w14:paraId="61EF36CA">
        <w:tblPrEx>
          <w:tblCellMar>
            <w:top w:w="0" w:type="dxa"/>
            <w:left w:w="57" w:type="dxa"/>
            <w:bottom w:w="0" w:type="dxa"/>
            <w:right w:w="57" w:type="dxa"/>
          </w:tblCellMar>
        </w:tblPrEx>
        <w:trPr>
          <w:trHeight w:val="20" w:hRule="atLeast"/>
        </w:trPr>
        <w:tc>
          <w:tcPr>
            <w:tcW w:w="999" w:type="dxa"/>
            <w:vMerge w:val="restart"/>
            <w:tcBorders>
              <w:top w:val="single" w:color="auto" w:sz="6" w:space="0"/>
              <w:left w:val="double" w:color="auto" w:sz="4" w:space="0"/>
              <w:right w:val="single" w:color="auto" w:sz="6" w:space="0"/>
            </w:tcBorders>
            <w:shd w:val="clear" w:color="auto" w:fill="FFFFFF"/>
            <w:tcMar>
              <w:left w:w="57" w:type="dxa"/>
              <w:right w:w="57" w:type="dxa"/>
            </w:tcMar>
          </w:tcPr>
          <w:p w14:paraId="7F72B9DE">
            <w:pPr>
              <w:autoSpaceDE/>
              <w:autoSpaceDN/>
              <w:snapToGrid w:val="0"/>
              <w:jc w:val="both"/>
              <w:rPr>
                <w:rFonts w:eastAsia="宋体"/>
                <w:sz w:val="21"/>
                <w:szCs w:val="21"/>
              </w:rPr>
            </w:pPr>
            <w:r>
              <w:rPr>
                <w:rFonts w:eastAsia="宋体"/>
                <w:b/>
                <w:bCs/>
                <w:color w:val="000000"/>
                <w:sz w:val="21"/>
                <w:szCs w:val="21"/>
              </w:rPr>
              <w:t>SO对照</w:t>
            </w: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2A4E4E">
            <w:pPr>
              <w:autoSpaceDE/>
              <w:autoSpaceDN/>
              <w:snapToGrid w:val="0"/>
              <w:jc w:val="center"/>
              <w:rPr>
                <w:rFonts w:eastAsia="宋体"/>
                <w:sz w:val="21"/>
                <w:szCs w:val="21"/>
              </w:rPr>
            </w:pPr>
            <w:r>
              <w:rPr>
                <w:rFonts w:eastAsia="宋体"/>
                <w:b/>
                <w:bCs/>
                <w:color w:val="000000"/>
                <w:sz w:val="21"/>
                <w:szCs w:val="21"/>
              </w:rPr>
              <w:t>1</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0B58CF">
            <w:pPr>
              <w:autoSpaceDE/>
              <w:autoSpaceDN/>
              <w:snapToGrid w:val="0"/>
              <w:jc w:val="both"/>
              <w:rPr>
                <w:rFonts w:eastAsia="宋体"/>
                <w:sz w:val="21"/>
                <w:szCs w:val="21"/>
              </w:rPr>
            </w:pPr>
            <w:r>
              <w:rPr>
                <w:rFonts w:eastAsia="宋体"/>
                <w:color w:val="000000"/>
                <w:sz w:val="21"/>
                <w:szCs w:val="21"/>
              </w:rPr>
              <w:t>19.7</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D6B33B">
            <w:pPr>
              <w:autoSpaceDE/>
              <w:autoSpaceDN/>
              <w:snapToGrid w:val="0"/>
              <w:jc w:val="both"/>
              <w:rPr>
                <w:rFonts w:eastAsia="宋体"/>
                <w:sz w:val="21"/>
                <w:szCs w:val="21"/>
              </w:rPr>
            </w:pPr>
            <w:r>
              <w:rPr>
                <w:rFonts w:eastAsia="宋体"/>
                <w:color w:val="000000"/>
                <w:sz w:val="21"/>
                <w:szCs w:val="21"/>
              </w:rPr>
              <w:t>20.2</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B9D0C9">
            <w:pPr>
              <w:autoSpaceDE/>
              <w:autoSpaceDN/>
              <w:snapToGrid w:val="0"/>
              <w:jc w:val="both"/>
              <w:rPr>
                <w:rFonts w:eastAsia="宋体"/>
                <w:sz w:val="21"/>
                <w:szCs w:val="21"/>
              </w:rPr>
            </w:pPr>
            <w:r>
              <w:rPr>
                <w:rFonts w:eastAsia="宋体"/>
                <w:color w:val="000000"/>
                <w:sz w:val="21"/>
                <w:szCs w:val="21"/>
              </w:rPr>
              <w:t>20.5</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8CEFB6">
            <w:pPr>
              <w:autoSpaceDE/>
              <w:autoSpaceDN/>
              <w:snapToGrid w:val="0"/>
              <w:jc w:val="both"/>
              <w:rPr>
                <w:rFonts w:eastAsia="宋体"/>
                <w:sz w:val="21"/>
                <w:szCs w:val="21"/>
              </w:rPr>
            </w:pPr>
            <w:r>
              <w:rPr>
                <w:rFonts w:eastAsia="宋体"/>
                <w:color w:val="000000"/>
                <w:sz w:val="21"/>
                <w:szCs w:val="21"/>
              </w:rPr>
              <w:t>21.9</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FDE2A3">
            <w:pPr>
              <w:autoSpaceDE/>
              <w:autoSpaceDN/>
              <w:snapToGrid w:val="0"/>
              <w:jc w:val="both"/>
              <w:rPr>
                <w:rFonts w:eastAsia="宋体"/>
                <w:sz w:val="21"/>
                <w:szCs w:val="21"/>
              </w:rPr>
            </w:pPr>
            <w:r>
              <w:rPr>
                <w:rFonts w:eastAsia="宋体"/>
                <w:color w:val="000000"/>
                <w:sz w:val="21"/>
                <w:szCs w:val="21"/>
              </w:rPr>
              <w:t>2.2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0535E573">
            <w:pPr>
              <w:autoSpaceDE/>
              <w:autoSpaceDN/>
              <w:snapToGrid w:val="0"/>
              <w:jc w:val="both"/>
              <w:rPr>
                <w:rFonts w:eastAsia="宋体"/>
                <w:sz w:val="21"/>
                <w:szCs w:val="21"/>
              </w:rPr>
            </w:pPr>
            <w:r>
              <w:rPr>
                <w:rFonts w:eastAsia="宋体"/>
                <w:color w:val="000000"/>
                <w:sz w:val="21"/>
                <w:szCs w:val="21"/>
              </w:rPr>
              <w:t>无全身性毒性</w:t>
            </w:r>
          </w:p>
        </w:tc>
      </w:tr>
      <w:tr w14:paraId="53BC5B37">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38B21420">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064AD2">
            <w:pPr>
              <w:autoSpaceDE/>
              <w:autoSpaceDN/>
              <w:snapToGrid w:val="0"/>
              <w:jc w:val="center"/>
              <w:rPr>
                <w:rFonts w:eastAsia="宋体"/>
                <w:sz w:val="21"/>
                <w:szCs w:val="21"/>
              </w:rPr>
            </w:pPr>
            <w:r>
              <w:rPr>
                <w:rFonts w:eastAsia="宋体"/>
                <w:b/>
                <w:bCs/>
                <w:color w:val="000000"/>
                <w:sz w:val="21"/>
                <w:szCs w:val="21"/>
              </w:rPr>
              <w:t>2</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5FFC56">
            <w:pPr>
              <w:autoSpaceDE/>
              <w:autoSpaceDN/>
              <w:snapToGrid w:val="0"/>
              <w:jc w:val="both"/>
              <w:rPr>
                <w:rFonts w:eastAsia="宋体"/>
                <w:sz w:val="21"/>
                <w:szCs w:val="21"/>
              </w:rPr>
            </w:pPr>
            <w:r>
              <w:rPr>
                <w:rFonts w:eastAsia="宋体"/>
                <w:color w:val="000000"/>
                <w:sz w:val="21"/>
                <w:szCs w:val="21"/>
              </w:rPr>
              <w:t>19.4</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C5199C">
            <w:pPr>
              <w:autoSpaceDE/>
              <w:autoSpaceDN/>
              <w:snapToGrid w:val="0"/>
              <w:jc w:val="both"/>
              <w:rPr>
                <w:rFonts w:eastAsia="宋体"/>
                <w:sz w:val="21"/>
                <w:szCs w:val="21"/>
              </w:rPr>
            </w:pPr>
            <w:r>
              <w:rPr>
                <w:rFonts w:eastAsia="宋体"/>
                <w:color w:val="000000"/>
                <w:sz w:val="21"/>
                <w:szCs w:val="21"/>
              </w:rPr>
              <w:t>19.9</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1C87E5">
            <w:pPr>
              <w:autoSpaceDE/>
              <w:autoSpaceDN/>
              <w:snapToGrid w:val="0"/>
              <w:jc w:val="both"/>
              <w:rPr>
                <w:rFonts w:eastAsia="宋体"/>
                <w:sz w:val="21"/>
                <w:szCs w:val="21"/>
              </w:rPr>
            </w:pPr>
            <w:r>
              <w:rPr>
                <w:rFonts w:eastAsia="宋体"/>
                <w:color w:val="000000"/>
                <w:sz w:val="21"/>
                <w:szCs w:val="21"/>
              </w:rPr>
              <w:t>19.7</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6EBF462">
            <w:pPr>
              <w:autoSpaceDE/>
              <w:autoSpaceDN/>
              <w:snapToGrid w:val="0"/>
              <w:jc w:val="both"/>
              <w:rPr>
                <w:rFonts w:eastAsia="宋体"/>
                <w:sz w:val="21"/>
                <w:szCs w:val="21"/>
              </w:rPr>
            </w:pPr>
            <w:r>
              <w:rPr>
                <w:rFonts w:eastAsia="宋体"/>
                <w:color w:val="000000"/>
                <w:sz w:val="21"/>
                <w:szCs w:val="21"/>
              </w:rPr>
              <w:t>20.0</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41D0EC">
            <w:pPr>
              <w:autoSpaceDE/>
              <w:autoSpaceDN/>
              <w:snapToGrid w:val="0"/>
              <w:jc w:val="both"/>
              <w:rPr>
                <w:rFonts w:eastAsia="宋体"/>
                <w:sz w:val="21"/>
                <w:szCs w:val="21"/>
              </w:rPr>
            </w:pPr>
            <w:r>
              <w:rPr>
                <w:rFonts w:eastAsia="宋体"/>
                <w:color w:val="000000"/>
                <w:sz w:val="21"/>
                <w:szCs w:val="21"/>
              </w:rPr>
              <w:t>0.6</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65F66684">
            <w:pPr>
              <w:autoSpaceDE/>
              <w:autoSpaceDN/>
              <w:snapToGrid w:val="0"/>
              <w:jc w:val="both"/>
              <w:rPr>
                <w:rFonts w:eastAsia="宋体"/>
                <w:sz w:val="21"/>
                <w:szCs w:val="21"/>
              </w:rPr>
            </w:pPr>
            <w:r>
              <w:rPr>
                <w:rFonts w:eastAsia="宋体"/>
                <w:color w:val="000000"/>
                <w:sz w:val="21"/>
                <w:szCs w:val="21"/>
              </w:rPr>
              <w:t>无全身性毒性</w:t>
            </w:r>
          </w:p>
        </w:tc>
      </w:tr>
      <w:tr w14:paraId="0F51CA09">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2B8450E2">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6C5EF9">
            <w:pPr>
              <w:autoSpaceDE/>
              <w:autoSpaceDN/>
              <w:snapToGrid w:val="0"/>
              <w:jc w:val="center"/>
              <w:rPr>
                <w:rFonts w:eastAsia="宋体"/>
                <w:sz w:val="21"/>
                <w:szCs w:val="21"/>
              </w:rPr>
            </w:pPr>
            <w:r>
              <w:rPr>
                <w:rFonts w:eastAsia="宋体"/>
                <w:b/>
                <w:bCs/>
                <w:color w:val="000000"/>
                <w:sz w:val="21"/>
                <w:szCs w:val="21"/>
              </w:rPr>
              <w:t>3</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BDCC15">
            <w:pPr>
              <w:autoSpaceDE/>
              <w:autoSpaceDN/>
              <w:snapToGrid w:val="0"/>
              <w:jc w:val="both"/>
              <w:rPr>
                <w:rFonts w:eastAsia="宋体"/>
                <w:sz w:val="21"/>
                <w:szCs w:val="21"/>
              </w:rPr>
            </w:pPr>
            <w:r>
              <w:rPr>
                <w:rFonts w:eastAsia="宋体"/>
                <w:color w:val="000000"/>
                <w:sz w:val="21"/>
                <w:szCs w:val="21"/>
              </w:rPr>
              <w:t>21.2</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F68142">
            <w:pPr>
              <w:autoSpaceDE/>
              <w:autoSpaceDN/>
              <w:snapToGrid w:val="0"/>
              <w:jc w:val="both"/>
              <w:rPr>
                <w:rFonts w:eastAsia="宋体"/>
                <w:sz w:val="21"/>
                <w:szCs w:val="21"/>
              </w:rPr>
            </w:pPr>
            <w:r>
              <w:rPr>
                <w:rFonts w:eastAsia="宋体"/>
                <w:color w:val="000000"/>
                <w:sz w:val="21"/>
                <w:szCs w:val="21"/>
              </w:rPr>
              <w:t>21.7</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8C658F">
            <w:pPr>
              <w:autoSpaceDE/>
              <w:autoSpaceDN/>
              <w:snapToGrid w:val="0"/>
              <w:jc w:val="both"/>
              <w:rPr>
                <w:rFonts w:eastAsia="宋体"/>
                <w:sz w:val="21"/>
                <w:szCs w:val="21"/>
              </w:rPr>
            </w:pPr>
            <w:r>
              <w:rPr>
                <w:rFonts w:eastAsia="宋体"/>
                <w:color w:val="000000"/>
                <w:sz w:val="21"/>
                <w:szCs w:val="21"/>
              </w:rPr>
              <w:t>22.2</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6FF184">
            <w:pPr>
              <w:autoSpaceDE/>
              <w:autoSpaceDN/>
              <w:snapToGrid w:val="0"/>
              <w:jc w:val="both"/>
              <w:rPr>
                <w:rFonts w:eastAsia="宋体"/>
                <w:sz w:val="21"/>
                <w:szCs w:val="21"/>
              </w:rPr>
            </w:pPr>
            <w:r>
              <w:rPr>
                <w:rFonts w:eastAsia="宋体"/>
                <w:color w:val="000000"/>
                <w:sz w:val="21"/>
                <w:szCs w:val="21"/>
              </w:rPr>
              <w:t>23.6</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DA591E">
            <w:pPr>
              <w:autoSpaceDE/>
              <w:autoSpaceDN/>
              <w:snapToGrid w:val="0"/>
              <w:jc w:val="both"/>
              <w:rPr>
                <w:rFonts w:eastAsia="宋体"/>
                <w:sz w:val="21"/>
                <w:szCs w:val="21"/>
              </w:rPr>
            </w:pPr>
            <w:r>
              <w:rPr>
                <w:rFonts w:eastAsia="宋体"/>
                <w:color w:val="000000"/>
                <w:sz w:val="21"/>
                <w:szCs w:val="21"/>
              </w:rPr>
              <w:t>2.4</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281D0FEE">
            <w:pPr>
              <w:autoSpaceDE/>
              <w:autoSpaceDN/>
              <w:snapToGrid w:val="0"/>
              <w:jc w:val="both"/>
              <w:rPr>
                <w:rFonts w:eastAsia="宋体"/>
                <w:sz w:val="21"/>
                <w:szCs w:val="21"/>
              </w:rPr>
            </w:pPr>
            <w:r>
              <w:rPr>
                <w:rFonts w:eastAsia="宋体"/>
                <w:color w:val="000000"/>
                <w:sz w:val="21"/>
                <w:szCs w:val="21"/>
              </w:rPr>
              <w:t>无全身性毒性</w:t>
            </w:r>
          </w:p>
        </w:tc>
      </w:tr>
      <w:tr w14:paraId="0F0A257F">
        <w:tblPrEx>
          <w:tblCellMar>
            <w:top w:w="0" w:type="dxa"/>
            <w:left w:w="57" w:type="dxa"/>
            <w:bottom w:w="0" w:type="dxa"/>
            <w:right w:w="57" w:type="dxa"/>
          </w:tblCellMar>
        </w:tblPrEx>
        <w:trPr>
          <w:trHeight w:val="20" w:hRule="atLeast"/>
        </w:trPr>
        <w:tc>
          <w:tcPr>
            <w:tcW w:w="999" w:type="dxa"/>
            <w:vMerge w:val="continue"/>
            <w:tcBorders>
              <w:left w:val="double" w:color="auto" w:sz="4" w:space="0"/>
              <w:right w:val="single" w:color="auto" w:sz="6" w:space="0"/>
            </w:tcBorders>
            <w:shd w:val="clear" w:color="auto" w:fill="FFFFFF"/>
            <w:tcMar>
              <w:left w:w="57" w:type="dxa"/>
              <w:right w:w="57" w:type="dxa"/>
            </w:tcMar>
          </w:tcPr>
          <w:p w14:paraId="64E65499">
            <w:pPr>
              <w:autoSpaceDE/>
              <w:autoSpaceDN/>
              <w:snapToGrid w:val="0"/>
              <w:jc w:val="both"/>
              <w:rPr>
                <w:rFonts w:eastAsia="宋体"/>
                <w:sz w:val="21"/>
                <w:szCs w:val="21"/>
              </w:rPr>
            </w:pPr>
          </w:p>
        </w:tc>
        <w:tc>
          <w:tcPr>
            <w:tcW w:w="10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5A56CA">
            <w:pPr>
              <w:autoSpaceDE/>
              <w:autoSpaceDN/>
              <w:snapToGrid w:val="0"/>
              <w:jc w:val="center"/>
              <w:rPr>
                <w:rFonts w:eastAsia="宋体"/>
                <w:sz w:val="21"/>
                <w:szCs w:val="21"/>
              </w:rPr>
            </w:pPr>
            <w:r>
              <w:rPr>
                <w:rFonts w:eastAsia="宋体"/>
                <w:b/>
                <w:bCs/>
                <w:color w:val="000000"/>
                <w:sz w:val="21"/>
                <w:szCs w:val="21"/>
              </w:rPr>
              <w:t>4</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F5E221">
            <w:pPr>
              <w:autoSpaceDE/>
              <w:autoSpaceDN/>
              <w:snapToGrid w:val="0"/>
              <w:jc w:val="both"/>
              <w:rPr>
                <w:rFonts w:eastAsia="宋体"/>
                <w:sz w:val="21"/>
                <w:szCs w:val="21"/>
              </w:rPr>
            </w:pPr>
            <w:r>
              <w:rPr>
                <w:rFonts w:eastAsia="宋体"/>
                <w:color w:val="000000"/>
                <w:sz w:val="21"/>
                <w:szCs w:val="21"/>
              </w:rPr>
              <w:t>20.9</w:t>
            </w:r>
          </w:p>
        </w:tc>
        <w:tc>
          <w:tcPr>
            <w:tcW w:w="7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A5F5C2">
            <w:pPr>
              <w:autoSpaceDE/>
              <w:autoSpaceDN/>
              <w:snapToGrid w:val="0"/>
              <w:jc w:val="both"/>
              <w:rPr>
                <w:rFonts w:eastAsia="宋体"/>
                <w:sz w:val="21"/>
                <w:szCs w:val="21"/>
              </w:rPr>
            </w:pPr>
            <w:r>
              <w:rPr>
                <w:rFonts w:eastAsia="宋体"/>
                <w:color w:val="000000"/>
                <w:sz w:val="21"/>
                <w:szCs w:val="21"/>
              </w:rPr>
              <w:t>21.7</w:t>
            </w:r>
          </w:p>
        </w:tc>
        <w:tc>
          <w:tcPr>
            <w:tcW w:w="7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09903D">
            <w:pPr>
              <w:autoSpaceDE/>
              <w:autoSpaceDN/>
              <w:snapToGrid w:val="0"/>
              <w:jc w:val="both"/>
              <w:rPr>
                <w:rFonts w:eastAsia="宋体"/>
                <w:sz w:val="21"/>
                <w:szCs w:val="21"/>
              </w:rPr>
            </w:pPr>
            <w:r>
              <w:rPr>
                <w:rFonts w:eastAsia="宋体"/>
                <w:color w:val="000000"/>
                <w:sz w:val="21"/>
                <w:szCs w:val="21"/>
              </w:rPr>
              <w:t>22.0</w:t>
            </w:r>
          </w:p>
        </w:tc>
        <w:tc>
          <w:tcPr>
            <w:tcW w:w="8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249CD1">
            <w:pPr>
              <w:autoSpaceDE/>
              <w:autoSpaceDN/>
              <w:snapToGrid w:val="0"/>
              <w:jc w:val="both"/>
              <w:rPr>
                <w:rFonts w:eastAsia="宋体"/>
                <w:sz w:val="21"/>
                <w:szCs w:val="21"/>
              </w:rPr>
            </w:pPr>
            <w:r>
              <w:rPr>
                <w:rFonts w:eastAsia="宋体"/>
                <w:color w:val="000000"/>
                <w:sz w:val="21"/>
                <w:szCs w:val="21"/>
              </w:rPr>
              <w:t>23.1</w:t>
            </w:r>
          </w:p>
        </w:tc>
        <w:tc>
          <w:tcPr>
            <w:tcW w:w="9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4974EC">
            <w:pPr>
              <w:autoSpaceDE/>
              <w:autoSpaceDN/>
              <w:snapToGrid w:val="0"/>
              <w:jc w:val="both"/>
              <w:rPr>
                <w:rFonts w:eastAsia="宋体"/>
                <w:sz w:val="21"/>
                <w:szCs w:val="21"/>
              </w:rPr>
            </w:pPr>
            <w:r>
              <w:rPr>
                <w:rFonts w:eastAsia="宋体"/>
                <w:color w:val="000000"/>
                <w:sz w:val="21"/>
                <w:szCs w:val="21"/>
              </w:rPr>
              <w:t>2.2</w:t>
            </w:r>
          </w:p>
        </w:tc>
        <w:tc>
          <w:tcPr>
            <w:tcW w:w="3166"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143E40B2">
            <w:pPr>
              <w:autoSpaceDE/>
              <w:autoSpaceDN/>
              <w:snapToGrid w:val="0"/>
              <w:jc w:val="both"/>
              <w:rPr>
                <w:rFonts w:eastAsia="宋体"/>
                <w:sz w:val="21"/>
                <w:szCs w:val="21"/>
              </w:rPr>
            </w:pPr>
            <w:r>
              <w:rPr>
                <w:rFonts w:eastAsia="宋体"/>
                <w:color w:val="000000"/>
                <w:sz w:val="21"/>
                <w:szCs w:val="21"/>
              </w:rPr>
              <w:t>无全身性毒性</w:t>
            </w:r>
          </w:p>
        </w:tc>
      </w:tr>
      <w:tr w14:paraId="61471717">
        <w:tblPrEx>
          <w:tblCellMar>
            <w:top w:w="0" w:type="dxa"/>
            <w:left w:w="57" w:type="dxa"/>
            <w:bottom w:w="0" w:type="dxa"/>
            <w:right w:w="57" w:type="dxa"/>
          </w:tblCellMar>
        </w:tblPrEx>
        <w:trPr>
          <w:trHeight w:val="20" w:hRule="atLeast"/>
        </w:trPr>
        <w:tc>
          <w:tcPr>
            <w:tcW w:w="999" w:type="dxa"/>
            <w:vMerge w:val="continue"/>
            <w:tcBorders>
              <w:left w:val="double" w:color="auto" w:sz="4" w:space="0"/>
              <w:bottom w:val="double" w:color="auto" w:sz="4" w:space="0"/>
              <w:right w:val="single" w:color="auto" w:sz="6" w:space="0"/>
            </w:tcBorders>
            <w:shd w:val="clear" w:color="auto" w:fill="FFFFFF"/>
            <w:tcMar>
              <w:left w:w="57" w:type="dxa"/>
              <w:right w:w="57" w:type="dxa"/>
            </w:tcMar>
          </w:tcPr>
          <w:p w14:paraId="385CF927">
            <w:pPr>
              <w:autoSpaceDE/>
              <w:autoSpaceDN/>
              <w:snapToGrid w:val="0"/>
              <w:jc w:val="both"/>
              <w:rPr>
                <w:rFonts w:eastAsia="宋体"/>
                <w:sz w:val="21"/>
                <w:szCs w:val="21"/>
              </w:rPr>
            </w:pPr>
          </w:p>
        </w:tc>
        <w:tc>
          <w:tcPr>
            <w:tcW w:w="1036"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129374E6">
            <w:pPr>
              <w:autoSpaceDE/>
              <w:autoSpaceDN/>
              <w:snapToGrid w:val="0"/>
              <w:jc w:val="center"/>
              <w:rPr>
                <w:rFonts w:eastAsia="宋体"/>
                <w:sz w:val="21"/>
                <w:szCs w:val="21"/>
              </w:rPr>
            </w:pPr>
            <w:r>
              <w:rPr>
                <w:rFonts w:eastAsia="宋体"/>
                <w:b/>
                <w:bCs/>
                <w:color w:val="000000"/>
                <w:sz w:val="21"/>
                <w:szCs w:val="21"/>
              </w:rPr>
              <w:t>5</w:t>
            </w:r>
          </w:p>
        </w:tc>
        <w:tc>
          <w:tcPr>
            <w:tcW w:w="837"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1C52B00C">
            <w:pPr>
              <w:autoSpaceDE/>
              <w:autoSpaceDN/>
              <w:snapToGrid w:val="0"/>
              <w:jc w:val="both"/>
              <w:rPr>
                <w:rFonts w:eastAsia="宋体"/>
                <w:sz w:val="21"/>
                <w:szCs w:val="21"/>
              </w:rPr>
            </w:pPr>
            <w:r>
              <w:rPr>
                <w:rFonts w:eastAsia="宋体"/>
                <w:color w:val="000000"/>
                <w:sz w:val="21"/>
                <w:szCs w:val="21"/>
              </w:rPr>
              <w:t>20.3</w:t>
            </w:r>
          </w:p>
        </w:tc>
        <w:tc>
          <w:tcPr>
            <w:tcW w:w="797"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6EBA7F41">
            <w:pPr>
              <w:autoSpaceDE/>
              <w:autoSpaceDN/>
              <w:snapToGrid w:val="0"/>
              <w:jc w:val="both"/>
              <w:rPr>
                <w:rFonts w:eastAsia="宋体"/>
                <w:sz w:val="21"/>
                <w:szCs w:val="21"/>
              </w:rPr>
            </w:pPr>
            <w:r>
              <w:rPr>
                <w:rFonts w:eastAsia="宋体"/>
                <w:color w:val="000000"/>
                <w:sz w:val="21"/>
                <w:szCs w:val="21"/>
              </w:rPr>
              <w:t>21.1</w:t>
            </w:r>
          </w:p>
        </w:tc>
        <w:tc>
          <w:tcPr>
            <w:tcW w:w="788"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1C689672">
            <w:pPr>
              <w:autoSpaceDE/>
              <w:autoSpaceDN/>
              <w:snapToGrid w:val="0"/>
              <w:jc w:val="both"/>
              <w:rPr>
                <w:rFonts w:eastAsia="宋体"/>
                <w:sz w:val="21"/>
                <w:szCs w:val="21"/>
              </w:rPr>
            </w:pPr>
            <w:r>
              <w:rPr>
                <w:rFonts w:eastAsia="宋体"/>
                <w:color w:val="000000"/>
                <w:sz w:val="21"/>
                <w:szCs w:val="21"/>
              </w:rPr>
              <w:t>21.6</w:t>
            </w:r>
          </w:p>
        </w:tc>
        <w:tc>
          <w:tcPr>
            <w:tcW w:w="860"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05AD9C42">
            <w:pPr>
              <w:autoSpaceDE/>
              <w:autoSpaceDN/>
              <w:snapToGrid w:val="0"/>
              <w:jc w:val="both"/>
              <w:rPr>
                <w:rFonts w:eastAsia="宋体"/>
                <w:sz w:val="21"/>
                <w:szCs w:val="21"/>
              </w:rPr>
            </w:pPr>
            <w:r>
              <w:rPr>
                <w:rFonts w:eastAsia="宋体"/>
                <w:color w:val="000000"/>
                <w:sz w:val="21"/>
                <w:szCs w:val="21"/>
              </w:rPr>
              <w:t>23.4</w:t>
            </w:r>
          </w:p>
        </w:tc>
        <w:tc>
          <w:tcPr>
            <w:tcW w:w="98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58A41A0E">
            <w:pPr>
              <w:autoSpaceDE/>
              <w:autoSpaceDN/>
              <w:snapToGrid w:val="0"/>
              <w:jc w:val="both"/>
              <w:rPr>
                <w:rFonts w:eastAsia="宋体"/>
                <w:sz w:val="21"/>
                <w:szCs w:val="21"/>
              </w:rPr>
            </w:pPr>
            <w:r>
              <w:rPr>
                <w:rFonts w:eastAsia="宋体"/>
                <w:color w:val="000000"/>
                <w:sz w:val="21"/>
                <w:szCs w:val="21"/>
              </w:rPr>
              <w:t>3.1</w:t>
            </w:r>
          </w:p>
        </w:tc>
        <w:tc>
          <w:tcPr>
            <w:tcW w:w="3166" w:type="dxa"/>
            <w:tcBorders>
              <w:top w:val="single" w:color="auto" w:sz="6" w:space="0"/>
              <w:left w:val="single" w:color="auto" w:sz="6" w:space="0"/>
              <w:bottom w:val="double" w:color="auto" w:sz="4" w:space="0"/>
              <w:right w:val="double" w:color="auto" w:sz="4" w:space="0"/>
            </w:tcBorders>
            <w:shd w:val="clear" w:color="auto" w:fill="FFFFFF"/>
            <w:tcMar>
              <w:left w:w="57" w:type="dxa"/>
              <w:right w:w="57" w:type="dxa"/>
            </w:tcMar>
          </w:tcPr>
          <w:p w14:paraId="706C3535">
            <w:pPr>
              <w:autoSpaceDE/>
              <w:autoSpaceDN/>
              <w:snapToGrid w:val="0"/>
              <w:jc w:val="both"/>
              <w:rPr>
                <w:rFonts w:eastAsia="宋体"/>
                <w:sz w:val="21"/>
                <w:szCs w:val="21"/>
              </w:rPr>
            </w:pPr>
            <w:r>
              <w:rPr>
                <w:rFonts w:eastAsia="宋体"/>
                <w:color w:val="000000"/>
                <w:sz w:val="21"/>
                <w:szCs w:val="21"/>
              </w:rPr>
              <w:t>无全身性毒性</w:t>
            </w:r>
          </w:p>
        </w:tc>
      </w:tr>
    </w:tbl>
    <w:p w14:paraId="716E2467">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14:paraId="70E6EE61">
      <w:pPr>
        <w:autoSpaceDE/>
        <w:autoSpaceDN/>
        <w:snapToGrid w:val="0"/>
        <w:jc w:val="both"/>
        <w:rPr>
          <w:rFonts w:eastAsia="宋体"/>
          <w:sz w:val="24"/>
          <w:szCs w:val="24"/>
        </w:rPr>
      </w:pPr>
    </w:p>
    <w:p w14:paraId="28B0C9C3">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w:t>
      </w:r>
    </w:p>
    <w:p w14:paraId="5CEF46EF">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83"/>
      </w:r>
    </w:p>
    <w:p w14:paraId="3F90232B">
      <w:pPr>
        <w:tabs>
          <w:tab w:val="left" w:pos="552"/>
        </w:tabs>
        <w:autoSpaceDE/>
        <w:autoSpaceDN/>
        <w:snapToGrid w:val="0"/>
        <w:jc w:val="both"/>
        <w:rPr>
          <w:rFonts w:eastAsia="宋体"/>
          <w:color w:val="000000"/>
          <w:sz w:val="24"/>
          <w:szCs w:val="24"/>
          <w:vertAlign w:val="superscript"/>
        </w:rPr>
      </w:pPr>
    </w:p>
    <w:p w14:paraId="02611CD8">
      <w:pPr>
        <w:tabs>
          <w:tab w:val="left" w:pos="552"/>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tbl>
      <w:tblPr>
        <w:tblStyle w:val="13"/>
        <w:tblW w:w="4851" w:type="pct"/>
        <w:tblInd w:w="26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186"/>
      </w:tblGrid>
      <w:tr w14:paraId="4176908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773" w:type="dxa"/>
            <w:shd w:val="clear" w:color="auto" w:fill="FFFFFF"/>
            <w:tcMar>
              <w:left w:w="57" w:type="dxa"/>
              <w:right w:w="57" w:type="dxa"/>
            </w:tcMar>
          </w:tcPr>
          <w:p w14:paraId="30AA84F4">
            <w:pPr>
              <w:autoSpaceDE/>
              <w:autoSpaceDN/>
              <w:snapToGrid w:val="0"/>
              <w:jc w:val="both"/>
              <w:rPr>
                <w:rFonts w:eastAsia="宋体"/>
                <w:sz w:val="24"/>
                <w:szCs w:val="24"/>
              </w:rPr>
            </w:pPr>
          </w:p>
          <w:p w14:paraId="6FBCE904">
            <w:pPr>
              <w:autoSpaceDE/>
              <w:autoSpaceDN/>
              <w:snapToGrid w:val="0"/>
              <w:jc w:val="both"/>
              <w:rPr>
                <w:rFonts w:eastAsia="宋体"/>
                <w:sz w:val="24"/>
                <w:szCs w:val="24"/>
              </w:rPr>
            </w:pPr>
          </w:p>
        </w:tc>
      </w:tr>
      <w:tr w14:paraId="6977A39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773" w:type="dxa"/>
            <w:shd w:val="clear" w:color="auto" w:fill="FFFFFF"/>
            <w:tcMar>
              <w:left w:w="57" w:type="dxa"/>
              <w:right w:w="57" w:type="dxa"/>
            </w:tcMar>
          </w:tcPr>
          <w:p w14:paraId="0A2D12E6">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14:paraId="0385CF27">
      <w:pPr>
        <w:autoSpaceDE/>
        <w:autoSpaceDN/>
        <w:snapToGrid w:val="0"/>
        <w:jc w:val="both"/>
        <w:rPr>
          <w:rFonts w:eastAsia="宋体"/>
          <w:color w:val="000000"/>
          <w:sz w:val="24"/>
          <w:szCs w:val="24"/>
        </w:rPr>
      </w:pPr>
    </w:p>
    <w:p w14:paraId="4763A8D8">
      <w:pPr>
        <w:autoSpaceDE/>
        <w:autoSpaceDN/>
        <w:snapToGrid w:val="0"/>
        <w:jc w:val="both"/>
        <w:rPr>
          <w:rFonts w:eastAsia="宋体"/>
          <w:sz w:val="24"/>
          <w:szCs w:val="24"/>
        </w:rPr>
      </w:pPr>
      <w:r>
        <w:rPr>
          <w:rFonts w:eastAsia="宋体"/>
          <w:color w:val="000000"/>
          <w:sz w:val="24"/>
          <w:szCs w:val="24"/>
        </w:rPr>
        <w:t>我确认：</w:t>
      </w:r>
    </w:p>
    <w:p w14:paraId="2E88CAB7">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34E32C56">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14:paraId="6BD22739">
      <w:pPr>
        <w:tabs>
          <w:tab w:val="left" w:pos="7925"/>
        </w:tabs>
        <w:autoSpaceDE/>
        <w:autoSpaceDN/>
        <w:snapToGrid w:val="0"/>
        <w:jc w:val="both"/>
        <w:rPr>
          <w:rFonts w:eastAsia="宋体"/>
          <w:color w:val="000000"/>
          <w:sz w:val="24"/>
          <w:szCs w:val="24"/>
        </w:rPr>
      </w:pPr>
    </w:p>
    <w:p w14:paraId="5FA6E572">
      <w:pPr>
        <w:tabs>
          <w:tab w:val="left" w:pos="7925"/>
        </w:tabs>
        <w:autoSpaceDE/>
        <w:autoSpaceDN/>
        <w:snapToGrid w:val="0"/>
        <w:jc w:val="both"/>
        <w:rPr>
          <w:rFonts w:eastAsia="宋体"/>
          <w:color w:val="000000"/>
          <w:sz w:val="24"/>
          <w:szCs w:val="24"/>
        </w:rPr>
      </w:pPr>
    </w:p>
    <w:p w14:paraId="030438C5">
      <w:pPr>
        <w:tabs>
          <w:tab w:val="left" w:pos="7925"/>
        </w:tabs>
        <w:autoSpaceDE/>
        <w:autoSpaceDN/>
        <w:snapToGrid w:val="0"/>
        <w:jc w:val="both"/>
        <w:rPr>
          <w:rFonts w:eastAsia="宋体"/>
          <w:color w:val="000000"/>
          <w:sz w:val="24"/>
          <w:szCs w:val="24"/>
        </w:rPr>
      </w:pPr>
    </w:p>
    <w:p w14:paraId="2E4A0AF3">
      <w:pPr>
        <w:pBdr>
          <w:bottom w:val="single" w:color="auto" w:sz="6" w:space="1"/>
        </w:pBdr>
        <w:tabs>
          <w:tab w:val="left" w:pos="7925"/>
        </w:tabs>
        <w:autoSpaceDE/>
        <w:autoSpaceDN/>
        <w:snapToGrid w:val="0"/>
        <w:jc w:val="both"/>
        <w:rPr>
          <w:rFonts w:eastAsia="宋体"/>
          <w:color w:val="000000"/>
          <w:sz w:val="24"/>
          <w:szCs w:val="24"/>
        </w:rPr>
      </w:pPr>
    </w:p>
    <w:p w14:paraId="077D07C8">
      <w:pP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051442B1">
      <w:pPr>
        <w:tabs>
          <w:tab w:val="left" w:pos="7925"/>
        </w:tabs>
        <w:autoSpaceDE/>
        <w:autoSpaceDN/>
        <w:snapToGrid w:val="0"/>
        <w:jc w:val="both"/>
        <w:rPr>
          <w:rFonts w:eastAsia="宋体"/>
          <w:sz w:val="24"/>
          <w:szCs w:val="24"/>
        </w:rPr>
      </w:pPr>
    </w:p>
    <w:p w14:paraId="20EDD8D8">
      <w:pPr>
        <w:tabs>
          <w:tab w:val="left" w:pos="792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22DECAAB">
      <w:pPr>
        <w:pStyle w:val="2"/>
        <w:autoSpaceDE/>
        <w:autoSpaceDN/>
        <w:spacing w:before="240" w:after="240"/>
        <w:rPr>
          <w:rFonts w:eastAsia="宋体"/>
        </w:rPr>
      </w:pPr>
      <w:bookmarkStart w:id="52" w:name="_Toc98778572"/>
      <w:bookmarkStart w:id="53" w:name="_Toc97473523"/>
      <w:r>
        <w:rPr>
          <w:rFonts w:eastAsia="宋体"/>
        </w:rPr>
        <w:t>附录H：</w:t>
      </w:r>
      <w:bookmarkStart w:id="54" w:name="bookmark79"/>
      <w:bookmarkEnd w:id="54"/>
      <w:r>
        <w:rPr>
          <w:rFonts w:eastAsia="宋体"/>
        </w:rPr>
        <w:t>医疗器械的生物相容性试验的ASCA汇总试验报告示例：材料介导的致热性（ISO 10993-11和USP 151）</w:t>
      </w:r>
      <w:bookmarkEnd w:id="52"/>
      <w:bookmarkEnd w:id="53"/>
    </w:p>
    <w:p w14:paraId="3DCA3023">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14:paraId="0E5C8433">
      <w:pPr>
        <w:autoSpaceDE/>
        <w:autoSpaceDN/>
        <w:snapToGrid w:val="0"/>
        <w:jc w:val="both"/>
        <w:rPr>
          <w:rFonts w:eastAsia="宋体"/>
          <w:b/>
          <w:bCs/>
          <w:color w:val="000000"/>
          <w:sz w:val="24"/>
          <w:szCs w:val="24"/>
        </w:rPr>
      </w:pPr>
    </w:p>
    <w:p w14:paraId="7BB5D1F3">
      <w:pPr>
        <w:autoSpaceDE/>
        <w:autoSpaceDN/>
        <w:snapToGrid w:val="0"/>
        <w:jc w:val="both"/>
        <w:rPr>
          <w:rFonts w:eastAsia="宋体"/>
          <w:sz w:val="24"/>
          <w:szCs w:val="24"/>
        </w:rPr>
      </w:pPr>
      <w:r>
        <w:rPr>
          <w:rFonts w:eastAsia="宋体"/>
          <w:b/>
          <w:bCs/>
          <w:color w:val="000000"/>
          <w:sz w:val="24"/>
          <w:szCs w:val="24"/>
        </w:rPr>
        <w:t>管理信息</w:t>
      </w:r>
    </w:p>
    <w:p w14:paraId="779EBF98">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77BA12F4">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775FF61C">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430D0F1D">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40475EF4">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6FEA33BA">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84"/>
      </w:r>
    </w:p>
    <w:p w14:paraId="41F94A38">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0FF77B07">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14:paraId="53603F16">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695" w:type="pct"/>
        <w:tblInd w:w="552"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8890"/>
      </w:tblGrid>
      <w:tr w14:paraId="56BAB1A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490" w:type="dxa"/>
            <w:shd w:val="clear" w:color="auto" w:fill="FFFFFF"/>
            <w:tcMar>
              <w:left w:w="57" w:type="dxa"/>
              <w:right w:w="57" w:type="dxa"/>
            </w:tcMar>
          </w:tcPr>
          <w:p w14:paraId="12420743">
            <w:pPr>
              <w:autoSpaceDE/>
              <w:autoSpaceDN/>
              <w:snapToGrid w:val="0"/>
              <w:jc w:val="both"/>
              <w:rPr>
                <w:rFonts w:eastAsia="宋体"/>
                <w:sz w:val="24"/>
                <w:szCs w:val="24"/>
              </w:rPr>
            </w:pPr>
          </w:p>
          <w:p w14:paraId="558C1EB3">
            <w:pPr>
              <w:autoSpaceDE/>
              <w:autoSpaceDN/>
              <w:snapToGrid w:val="0"/>
              <w:jc w:val="both"/>
              <w:rPr>
                <w:rFonts w:eastAsia="宋体"/>
                <w:sz w:val="24"/>
                <w:szCs w:val="24"/>
              </w:rPr>
            </w:pPr>
          </w:p>
        </w:tc>
      </w:tr>
      <w:tr w14:paraId="722E897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490" w:type="dxa"/>
            <w:shd w:val="clear" w:color="auto" w:fill="FFFFFF"/>
            <w:tcMar>
              <w:left w:w="57" w:type="dxa"/>
              <w:right w:w="57" w:type="dxa"/>
            </w:tcMar>
          </w:tcPr>
          <w:p w14:paraId="635FE132">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64A46220">
      <w:pPr>
        <w:tabs>
          <w:tab w:val="left" w:leader="underscore" w:pos="8222"/>
        </w:tabs>
        <w:autoSpaceDE/>
        <w:autoSpaceDN/>
        <w:snapToGrid w:val="0"/>
        <w:jc w:val="both"/>
        <w:rPr>
          <w:rFonts w:eastAsia="宋体"/>
          <w:b/>
          <w:bCs/>
          <w:color w:val="000000"/>
          <w:sz w:val="24"/>
          <w:szCs w:val="24"/>
        </w:rPr>
      </w:pPr>
    </w:p>
    <w:p w14:paraId="07E72BC6">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i/>
          <w:iCs/>
          <w:color w:val="000000"/>
          <w:sz w:val="24"/>
          <w:szCs w:val="24"/>
          <w:u w:val="single"/>
        </w:rPr>
        <w:tab/>
      </w:r>
    </w:p>
    <w:p w14:paraId="34CC5C69">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14:paraId="7A091AA0">
      <w:pPr>
        <w:tabs>
          <w:tab w:val="left" w:pos="355"/>
          <w:tab w:val="left" w:leader="underscore" w:pos="82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85"/>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62CC873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70" w:type="dxa"/>
            <w:shd w:val="clear" w:color="auto" w:fill="FFFFFF"/>
            <w:tcMar>
              <w:left w:w="57" w:type="dxa"/>
              <w:right w:w="57" w:type="dxa"/>
            </w:tcMar>
          </w:tcPr>
          <w:p w14:paraId="4D7D1193">
            <w:pPr>
              <w:autoSpaceDE/>
              <w:autoSpaceDN/>
              <w:snapToGrid w:val="0"/>
              <w:jc w:val="both"/>
              <w:rPr>
                <w:rFonts w:eastAsia="宋体"/>
                <w:sz w:val="24"/>
                <w:szCs w:val="24"/>
              </w:rPr>
            </w:pPr>
          </w:p>
          <w:p w14:paraId="65DF91B5">
            <w:pPr>
              <w:autoSpaceDE/>
              <w:autoSpaceDN/>
              <w:snapToGrid w:val="0"/>
              <w:jc w:val="both"/>
              <w:rPr>
                <w:rFonts w:eastAsia="宋体"/>
                <w:sz w:val="24"/>
                <w:szCs w:val="24"/>
              </w:rPr>
            </w:pPr>
          </w:p>
        </w:tc>
      </w:tr>
      <w:tr w14:paraId="6056BFB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70" w:type="dxa"/>
            <w:shd w:val="clear" w:color="auto" w:fill="FFFFFF"/>
            <w:tcMar>
              <w:left w:w="57" w:type="dxa"/>
              <w:right w:w="57" w:type="dxa"/>
            </w:tcMar>
          </w:tcPr>
          <w:p w14:paraId="3046A496">
            <w:pPr>
              <w:autoSpaceDE/>
              <w:autoSpaceDN/>
              <w:snapToGrid w:val="0"/>
              <w:jc w:val="both"/>
              <w:rPr>
                <w:rFonts w:eastAsia="宋体"/>
                <w:sz w:val="24"/>
                <w:szCs w:val="24"/>
              </w:rPr>
            </w:pPr>
            <w:r>
              <w:rPr>
                <w:rFonts w:eastAsia="宋体"/>
                <w:i/>
                <w:iCs/>
                <w:color w:val="000000"/>
                <w:sz w:val="24"/>
                <w:szCs w:val="24"/>
              </w:rPr>
              <w:t>偏离/修正案的描述</w:t>
            </w:r>
          </w:p>
        </w:tc>
      </w:tr>
    </w:tbl>
    <w:p w14:paraId="248E901E">
      <w:pPr>
        <w:autoSpaceDE/>
        <w:autoSpaceDN/>
        <w:snapToGrid w:val="0"/>
        <w:jc w:val="both"/>
        <w:rPr>
          <w:rFonts w:eastAsia="宋体"/>
          <w:b/>
          <w:bCs/>
          <w:color w:val="000000"/>
          <w:sz w:val="24"/>
          <w:szCs w:val="24"/>
        </w:rPr>
      </w:pPr>
    </w:p>
    <w:p w14:paraId="436DBE6D">
      <w:pPr>
        <w:autoSpaceDE/>
        <w:autoSpaceDN/>
        <w:snapToGrid w:val="0"/>
        <w:jc w:val="both"/>
        <w:rPr>
          <w:rFonts w:eastAsia="宋体"/>
          <w:sz w:val="24"/>
          <w:szCs w:val="24"/>
        </w:rPr>
      </w:pPr>
      <w:r>
        <w:rPr>
          <w:rFonts w:eastAsia="宋体"/>
          <w:b/>
          <w:bCs/>
          <w:color w:val="000000"/>
          <w:sz w:val="24"/>
          <w:szCs w:val="24"/>
        </w:rPr>
        <w:t>浸提溶剂：</w:t>
      </w:r>
    </w:p>
    <w:p w14:paraId="107A76C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0.9%氯化钠（SC）</w:t>
      </w:r>
    </w:p>
    <w:p w14:paraId="02A0790F">
      <w:pPr>
        <w:tabs>
          <w:tab w:val="left" w:pos="3969"/>
        </w:tabs>
        <w:autoSpaceDE/>
        <w:autoSpaceDN/>
        <w:snapToGrid w:val="0"/>
        <w:ind w:left="660" w:leftChars="150" w:hanging="360" w:hangingChars="150"/>
        <w:jc w:val="both"/>
        <w:rPr>
          <w:rFonts w:eastAsia="宋体"/>
          <w:i/>
          <w:iCs/>
          <w:color w:val="000000"/>
          <w:sz w:val="24"/>
          <w:szCs w:val="24"/>
          <w:u w:val="single"/>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86"/>
      </w:r>
      <w:r>
        <w:rPr>
          <w:rFonts w:eastAsia="宋体"/>
          <w:i/>
          <w:iCs/>
          <w:color w:val="000000"/>
          <w:sz w:val="24"/>
          <w:szCs w:val="24"/>
          <w:u w:val="single"/>
        </w:rPr>
        <w:t>[描述]</w:t>
      </w:r>
      <w:r>
        <w:rPr>
          <w:rFonts w:eastAsia="宋体"/>
          <w:color w:val="000000"/>
          <w:sz w:val="24"/>
          <w:szCs w:val="24"/>
          <w:u w:val="single"/>
        </w:rPr>
        <w:tab/>
      </w:r>
      <w:bookmarkStart w:id="55" w:name="bookmark80"/>
    </w:p>
    <w:bookmarkEnd w:id="55"/>
    <w:p w14:paraId="0E80DC3B">
      <w:pPr>
        <w:tabs>
          <w:tab w:val="left" w:pos="197"/>
        </w:tabs>
        <w:autoSpaceDE/>
        <w:autoSpaceDN/>
        <w:snapToGrid w:val="0"/>
        <w:jc w:val="both"/>
        <w:rPr>
          <w:rFonts w:eastAsia="宋体"/>
          <w:color w:val="000000"/>
          <w:sz w:val="24"/>
          <w:szCs w:val="24"/>
          <w:vertAlign w:val="superscript"/>
        </w:rPr>
      </w:pPr>
    </w:p>
    <w:p w14:paraId="05A2B00B">
      <w:pPr>
        <w:tabs>
          <w:tab w:val="left" w:pos="19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2689C16C">
      <w:pPr>
        <w:autoSpaceDE/>
        <w:autoSpaceDN/>
        <w:snapToGrid w:val="0"/>
        <w:jc w:val="both"/>
        <w:rPr>
          <w:rFonts w:eastAsia="宋体"/>
          <w:sz w:val="24"/>
          <w:szCs w:val="24"/>
        </w:rPr>
      </w:pPr>
      <w:r>
        <w:rPr>
          <w:rFonts w:eastAsia="宋体"/>
          <w:b/>
          <w:bCs/>
          <w:color w:val="000000"/>
          <w:sz w:val="24"/>
          <w:szCs w:val="24"/>
        </w:rPr>
        <w:t>浸提率：</w:t>
      </w:r>
    </w:p>
    <w:p w14:paraId="5B63A0C1">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50EC9A6B">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14:paraId="6FB3D6C2">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14:paraId="174D0B4B">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87"/>
      </w:r>
      <w:r>
        <w:rPr>
          <w:rFonts w:eastAsia="宋体"/>
          <w:i/>
          <w:iCs/>
          <w:color w:val="000000"/>
          <w:sz w:val="24"/>
          <w:szCs w:val="24"/>
          <w:u w:val="single"/>
        </w:rPr>
        <w:t>[描述]</w:t>
      </w:r>
      <w:r>
        <w:rPr>
          <w:rFonts w:eastAsia="宋体"/>
          <w:color w:val="000000"/>
          <w:sz w:val="24"/>
          <w:szCs w:val="24"/>
          <w:u w:val="single"/>
        </w:rPr>
        <w:tab/>
      </w:r>
    </w:p>
    <w:p w14:paraId="6557BEC7">
      <w:pPr>
        <w:autoSpaceDE/>
        <w:autoSpaceDN/>
        <w:snapToGrid w:val="0"/>
        <w:jc w:val="both"/>
        <w:rPr>
          <w:rFonts w:eastAsia="宋体"/>
          <w:sz w:val="24"/>
          <w:szCs w:val="24"/>
        </w:rPr>
      </w:pPr>
      <w:r>
        <w:rPr>
          <w:rFonts w:eastAsia="宋体"/>
          <w:b/>
          <w:bCs/>
          <w:color w:val="000000"/>
          <w:sz w:val="24"/>
          <w:szCs w:val="24"/>
        </w:rPr>
        <w:t>浸提条件：</w:t>
      </w:r>
    </w:p>
    <w:p w14:paraId="3AEF11B5">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14:paraId="2AFBBCC9">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14:paraId="770C54ED">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14:paraId="22E2753A">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14:paraId="75048133">
      <w:pPr>
        <w:tabs>
          <w:tab w:val="left" w:pos="3828"/>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88"/>
      </w:r>
      <w:r>
        <w:rPr>
          <w:rFonts w:eastAsia="宋体"/>
          <w:i/>
          <w:iCs/>
          <w:color w:val="000000"/>
          <w:sz w:val="24"/>
          <w:szCs w:val="24"/>
          <w:u w:val="single"/>
        </w:rPr>
        <w:t>[描述]</w:t>
      </w:r>
      <w:r>
        <w:rPr>
          <w:rFonts w:eastAsia="宋体"/>
          <w:color w:val="000000"/>
          <w:sz w:val="24"/>
          <w:szCs w:val="24"/>
          <w:u w:val="single"/>
        </w:rPr>
        <w:tab/>
      </w:r>
    </w:p>
    <w:p w14:paraId="60DBC2E2">
      <w:pPr>
        <w:autoSpaceDE/>
        <w:autoSpaceDN/>
        <w:snapToGrid w:val="0"/>
        <w:jc w:val="both"/>
        <w:rPr>
          <w:rFonts w:eastAsia="宋体"/>
          <w:b/>
          <w:bCs/>
          <w:color w:val="000000"/>
          <w:sz w:val="24"/>
          <w:szCs w:val="24"/>
        </w:rPr>
      </w:pPr>
    </w:p>
    <w:p w14:paraId="26A0B80E">
      <w:pPr>
        <w:autoSpaceDE/>
        <w:autoSpaceDN/>
        <w:snapToGrid w:val="0"/>
        <w:jc w:val="both"/>
        <w:rPr>
          <w:rFonts w:eastAsia="宋体"/>
          <w:sz w:val="24"/>
          <w:szCs w:val="24"/>
        </w:rPr>
      </w:pPr>
      <w:r>
        <w:rPr>
          <w:rFonts w:eastAsia="宋体"/>
          <w:b/>
          <w:bCs/>
          <w:color w:val="000000"/>
          <w:sz w:val="24"/>
          <w:szCs w:val="24"/>
        </w:rPr>
        <w:t>液体路径浸提：</w:t>
      </w:r>
    </w:p>
    <w:p w14:paraId="0FD8132F">
      <w:pPr>
        <w:tabs>
          <w:tab w:val="left" w:pos="336"/>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89"/>
      </w:r>
    </w:p>
    <w:p w14:paraId="4E7AB81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14:paraId="6AA44DD4">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14:paraId="56B6766A">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14:paraId="1964553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14:paraId="246D8849">
      <w:pPr>
        <w:autoSpaceDE/>
        <w:autoSpaceDN/>
        <w:snapToGrid w:val="0"/>
        <w:jc w:val="both"/>
        <w:rPr>
          <w:rFonts w:eastAsia="宋体"/>
          <w:sz w:val="24"/>
          <w:szCs w:val="24"/>
        </w:rPr>
      </w:pPr>
    </w:p>
    <w:p w14:paraId="06B3B87E">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14:paraId="2C64B9B3">
      <w:pPr>
        <w:tabs>
          <w:tab w:val="left" w:pos="33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试验样品和/或浸提液的颜色/浊度或颗粒有变化，或者试验样品出现肿胀/降解。</w:t>
      </w:r>
      <w:r>
        <w:rPr>
          <w:rStyle w:val="17"/>
          <w:rFonts w:eastAsia="宋体"/>
          <w:sz w:val="24"/>
          <w:szCs w:val="24"/>
        </w:rPr>
        <w:footnoteReference w:id="90"/>
      </w:r>
    </w:p>
    <w:p w14:paraId="42455EB3">
      <w:pPr>
        <w:tabs>
          <w:tab w:val="left" w:pos="178"/>
        </w:tabs>
        <w:autoSpaceDE/>
        <w:autoSpaceDN/>
        <w:snapToGrid w:val="0"/>
        <w:jc w:val="both"/>
        <w:rPr>
          <w:rFonts w:eastAsia="宋体"/>
          <w:color w:val="000000"/>
          <w:sz w:val="24"/>
          <w:szCs w:val="24"/>
          <w:vertAlign w:val="superscript"/>
        </w:rPr>
      </w:pPr>
    </w:p>
    <w:p w14:paraId="54775317">
      <w:pPr>
        <w:tabs>
          <w:tab w:val="left" w:pos="178"/>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3A2DBE8D">
      <w:pPr>
        <w:tabs>
          <w:tab w:val="left" w:pos="8645"/>
        </w:tabs>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[ASCAPyrogenicity（日期/版本）]</w:t>
      </w:r>
      <w:r>
        <w:rPr>
          <w:rFonts w:eastAsia="宋体"/>
          <w:i/>
          <w:iCs/>
          <w:color w:val="000000"/>
          <w:sz w:val="24"/>
          <w:szCs w:val="24"/>
          <w:u w:val="single"/>
        </w:rPr>
        <w:tab/>
      </w:r>
      <w:r>
        <w:rPr>
          <w:rFonts w:eastAsia="宋体"/>
          <w:i/>
          <w:iCs/>
          <w:color w:val="000000"/>
          <w:sz w:val="24"/>
          <w:szCs w:val="24"/>
          <w:u w:val="single"/>
        </w:rPr>
        <w:t xml:space="preserve"> </w:t>
      </w:r>
    </w:p>
    <w:p w14:paraId="45347DE4">
      <w:pPr>
        <w:tabs>
          <w:tab w:val="left" w:pos="34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16559583">
      <w:pPr>
        <w:tabs>
          <w:tab w:val="left" w:pos="346"/>
        </w:tabs>
        <w:autoSpaceDE/>
        <w:autoSpaceDN/>
        <w:snapToGrid w:val="0"/>
        <w:jc w:val="both"/>
        <w:rPr>
          <w:rFonts w:eastAsia="宋体"/>
          <w:b/>
          <w:bCs/>
          <w:color w:val="000000"/>
          <w:sz w:val="24"/>
          <w:szCs w:val="24"/>
        </w:rPr>
      </w:pPr>
      <w:r>
        <w:rPr>
          <w:rFonts w:eastAsia="宋体"/>
          <w:color w:val="000000"/>
          <w:sz w:val="24"/>
          <w:szCs w:val="24"/>
        </w:rPr>
        <w:t>或</w:t>
      </w:r>
    </w:p>
    <w:p w14:paraId="2BF7FE08">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91"/>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26172A4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74" w:type="dxa"/>
            <w:shd w:val="clear" w:color="auto" w:fill="FFFFFF"/>
            <w:tcMar>
              <w:left w:w="57" w:type="dxa"/>
              <w:right w:w="57" w:type="dxa"/>
            </w:tcMar>
          </w:tcPr>
          <w:p w14:paraId="35FAE8A1">
            <w:pPr>
              <w:autoSpaceDE/>
              <w:autoSpaceDN/>
              <w:snapToGrid w:val="0"/>
              <w:jc w:val="both"/>
              <w:rPr>
                <w:rFonts w:eastAsia="宋体"/>
                <w:sz w:val="24"/>
                <w:szCs w:val="24"/>
              </w:rPr>
            </w:pPr>
          </w:p>
          <w:p w14:paraId="594BBC1E">
            <w:pPr>
              <w:autoSpaceDE/>
              <w:autoSpaceDN/>
              <w:snapToGrid w:val="0"/>
              <w:jc w:val="both"/>
              <w:rPr>
                <w:rFonts w:eastAsia="宋体"/>
                <w:sz w:val="24"/>
                <w:szCs w:val="24"/>
              </w:rPr>
            </w:pPr>
          </w:p>
        </w:tc>
      </w:tr>
      <w:tr w14:paraId="0F09EB6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74" w:type="dxa"/>
            <w:shd w:val="clear" w:color="auto" w:fill="FFFFFF"/>
            <w:tcMar>
              <w:left w:w="57" w:type="dxa"/>
              <w:right w:w="57" w:type="dxa"/>
            </w:tcMar>
          </w:tcPr>
          <w:p w14:paraId="639ED358">
            <w:pPr>
              <w:autoSpaceDE/>
              <w:autoSpaceDN/>
              <w:snapToGrid w:val="0"/>
              <w:jc w:val="both"/>
              <w:rPr>
                <w:rFonts w:eastAsia="宋体"/>
                <w:sz w:val="24"/>
                <w:szCs w:val="24"/>
              </w:rPr>
            </w:pPr>
            <w:r>
              <w:rPr>
                <w:rFonts w:eastAsia="宋体"/>
                <w:i/>
                <w:iCs/>
                <w:color w:val="000000"/>
                <w:sz w:val="24"/>
                <w:szCs w:val="24"/>
              </w:rPr>
              <w:t>偏离/修正案的描述</w:t>
            </w:r>
          </w:p>
        </w:tc>
      </w:tr>
    </w:tbl>
    <w:p w14:paraId="3B011751">
      <w:pPr>
        <w:autoSpaceDE/>
        <w:autoSpaceDN/>
        <w:snapToGrid w:val="0"/>
        <w:jc w:val="both"/>
        <w:rPr>
          <w:rFonts w:eastAsia="宋体"/>
          <w:b/>
          <w:bCs/>
          <w:color w:val="000000"/>
          <w:sz w:val="24"/>
          <w:szCs w:val="24"/>
        </w:rPr>
      </w:pPr>
    </w:p>
    <w:p w14:paraId="11077E5B">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92"/>
      </w:r>
    </w:p>
    <w:p w14:paraId="7209BA56">
      <w:pPr>
        <w:autoSpaceDE/>
        <w:autoSpaceDN/>
        <w:snapToGrid w:val="0"/>
        <w:jc w:val="center"/>
        <w:rPr>
          <w:rFonts w:eastAsia="宋体"/>
          <w:b/>
          <w:bCs/>
          <w:sz w:val="24"/>
          <w:szCs w:val="24"/>
        </w:rPr>
      </w:pPr>
      <w:r>
        <w:rPr>
          <w:rFonts w:eastAsia="宋体"/>
          <w:b/>
          <w:bCs/>
          <w:color w:val="000000"/>
          <w:sz w:val="24"/>
          <w:szCs w:val="24"/>
        </w:rPr>
        <w:t>表1热原试验数据</w:t>
      </w:r>
      <w:r>
        <w:rPr>
          <w:rStyle w:val="17"/>
          <w:rFonts w:eastAsia="宋体"/>
          <w:b/>
          <w:bCs/>
          <w:sz w:val="24"/>
          <w:szCs w:val="24"/>
        </w:rPr>
        <w:footnoteReference w:id="93"/>
      </w:r>
    </w:p>
    <w:p w14:paraId="556AF322">
      <w:pPr>
        <w:autoSpaceDE/>
        <w:autoSpaceDN/>
        <w:snapToGrid w:val="0"/>
        <w:jc w:val="both"/>
        <w:rPr>
          <w:rFonts w:eastAsia="宋体"/>
          <w:sz w:val="24"/>
          <w:szCs w:val="24"/>
        </w:rPr>
      </w:pPr>
    </w:p>
    <w:tbl>
      <w:tblPr>
        <w:tblStyle w:val="1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150"/>
        <w:gridCol w:w="1135"/>
        <w:gridCol w:w="866"/>
        <w:gridCol w:w="864"/>
        <w:gridCol w:w="864"/>
        <w:gridCol w:w="864"/>
        <w:gridCol w:w="864"/>
        <w:gridCol w:w="1144"/>
        <w:gridCol w:w="1717"/>
      </w:tblGrid>
      <w:tr w14:paraId="64C0D0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50" w:type="dxa"/>
            <w:shd w:val="clear" w:color="auto" w:fill="FFFFFF"/>
            <w:tcMar>
              <w:left w:w="57" w:type="dxa"/>
              <w:right w:w="57" w:type="dxa"/>
            </w:tcMar>
          </w:tcPr>
          <w:p w14:paraId="71771AB1">
            <w:pPr>
              <w:autoSpaceDE/>
              <w:autoSpaceDN/>
              <w:snapToGrid w:val="0"/>
              <w:jc w:val="both"/>
              <w:rPr>
                <w:rFonts w:eastAsia="宋体"/>
                <w:sz w:val="21"/>
                <w:szCs w:val="21"/>
              </w:rPr>
            </w:pPr>
            <w:r>
              <w:rPr>
                <w:rFonts w:eastAsia="宋体"/>
                <w:b/>
                <w:bCs/>
                <w:color w:val="000000"/>
                <w:sz w:val="21"/>
                <w:szCs w:val="21"/>
              </w:rPr>
              <w:t>动物编号</w:t>
            </w:r>
          </w:p>
        </w:tc>
        <w:tc>
          <w:tcPr>
            <w:tcW w:w="1135" w:type="dxa"/>
            <w:shd w:val="clear" w:color="auto" w:fill="FFFFFF"/>
            <w:tcMar>
              <w:left w:w="57" w:type="dxa"/>
              <w:right w:w="57" w:type="dxa"/>
            </w:tcMar>
          </w:tcPr>
          <w:p w14:paraId="2AD49A78">
            <w:pPr>
              <w:autoSpaceDE/>
              <w:autoSpaceDN/>
              <w:snapToGrid w:val="0"/>
              <w:jc w:val="both"/>
              <w:rPr>
                <w:rFonts w:eastAsia="宋体"/>
                <w:sz w:val="21"/>
                <w:szCs w:val="21"/>
              </w:rPr>
            </w:pPr>
            <w:r>
              <w:rPr>
                <w:rFonts w:eastAsia="宋体"/>
                <w:b/>
                <w:bCs/>
                <w:color w:val="000000"/>
                <w:sz w:val="21"/>
                <w:szCs w:val="21"/>
              </w:rPr>
              <w:t>基线温度</w:t>
            </w:r>
          </w:p>
          <w:p w14:paraId="61BF3D19">
            <w:pPr>
              <w:autoSpaceDE/>
              <w:autoSpaceDN/>
              <w:snapToGrid w:val="0"/>
              <w:jc w:val="both"/>
              <w:rPr>
                <w:rFonts w:eastAsia="宋体"/>
                <w:sz w:val="21"/>
                <w:szCs w:val="21"/>
              </w:rPr>
            </w:pPr>
            <w:r>
              <w:rPr>
                <w:rFonts w:eastAsia="宋体"/>
                <w:b/>
                <w:bCs/>
                <w:color w:val="000000"/>
                <w:sz w:val="21"/>
                <w:szCs w:val="21"/>
              </w:rPr>
              <w:t>（°C）</w:t>
            </w:r>
          </w:p>
        </w:tc>
        <w:tc>
          <w:tcPr>
            <w:tcW w:w="866" w:type="dxa"/>
            <w:shd w:val="clear" w:color="auto" w:fill="FFFFFF"/>
            <w:tcMar>
              <w:left w:w="57" w:type="dxa"/>
              <w:right w:w="57" w:type="dxa"/>
            </w:tcMar>
          </w:tcPr>
          <w:p w14:paraId="6136C45A">
            <w:pPr>
              <w:autoSpaceDE/>
              <w:autoSpaceDN/>
              <w:snapToGrid w:val="0"/>
              <w:jc w:val="both"/>
              <w:rPr>
                <w:rFonts w:eastAsia="宋体"/>
                <w:b/>
                <w:bCs/>
                <w:color w:val="000000"/>
                <w:sz w:val="21"/>
                <w:szCs w:val="21"/>
              </w:rPr>
            </w:pPr>
            <w:r>
              <w:rPr>
                <w:rFonts w:eastAsia="宋体"/>
                <w:b/>
                <w:bCs/>
                <w:color w:val="000000"/>
                <w:sz w:val="21"/>
                <w:szCs w:val="21"/>
              </w:rPr>
              <w:t>1.0小时</w:t>
            </w:r>
          </w:p>
          <w:p w14:paraId="2AFE2307">
            <w:pPr>
              <w:autoSpaceDE/>
              <w:autoSpaceDN/>
              <w:snapToGrid w:val="0"/>
              <w:jc w:val="both"/>
              <w:rPr>
                <w:rFonts w:eastAsia="宋体"/>
                <w:b/>
                <w:bCs/>
                <w:color w:val="000000"/>
                <w:sz w:val="21"/>
                <w:szCs w:val="21"/>
              </w:rPr>
            </w:pPr>
            <w:r>
              <w:rPr>
                <w:rFonts w:eastAsia="宋体"/>
                <w:b/>
                <w:bCs/>
                <w:color w:val="000000"/>
                <w:sz w:val="21"/>
                <w:szCs w:val="21"/>
              </w:rPr>
              <w:t>体温</w:t>
            </w:r>
          </w:p>
          <w:p w14:paraId="5683B25D">
            <w:pPr>
              <w:autoSpaceDE/>
              <w:autoSpaceDN/>
              <w:snapToGrid w:val="0"/>
              <w:jc w:val="both"/>
              <w:rPr>
                <w:rFonts w:eastAsia="宋体"/>
                <w:sz w:val="21"/>
                <w:szCs w:val="21"/>
              </w:rPr>
            </w:pPr>
            <w:r>
              <w:rPr>
                <w:rFonts w:eastAsia="宋体"/>
                <w:b/>
                <w:bCs/>
                <w:color w:val="000000"/>
                <w:sz w:val="21"/>
                <w:szCs w:val="21"/>
              </w:rPr>
              <w:t>（°C）</w:t>
            </w:r>
          </w:p>
        </w:tc>
        <w:tc>
          <w:tcPr>
            <w:tcW w:w="864" w:type="dxa"/>
            <w:shd w:val="clear" w:color="auto" w:fill="FFFFFF"/>
            <w:tcMar>
              <w:left w:w="57" w:type="dxa"/>
              <w:right w:w="57" w:type="dxa"/>
            </w:tcMar>
          </w:tcPr>
          <w:p w14:paraId="40DD2B88">
            <w:pPr>
              <w:autoSpaceDE/>
              <w:autoSpaceDN/>
              <w:snapToGrid w:val="0"/>
              <w:jc w:val="both"/>
              <w:rPr>
                <w:rFonts w:eastAsia="宋体"/>
                <w:b/>
                <w:bCs/>
                <w:color w:val="000000"/>
                <w:sz w:val="21"/>
                <w:szCs w:val="21"/>
              </w:rPr>
            </w:pPr>
            <w:r>
              <w:rPr>
                <w:rFonts w:eastAsia="宋体"/>
                <w:b/>
                <w:bCs/>
                <w:color w:val="000000"/>
                <w:sz w:val="21"/>
                <w:szCs w:val="21"/>
              </w:rPr>
              <w:t>1.5小时</w:t>
            </w:r>
          </w:p>
          <w:p w14:paraId="3113A954">
            <w:pPr>
              <w:autoSpaceDE/>
              <w:autoSpaceDN/>
              <w:snapToGrid w:val="0"/>
              <w:jc w:val="both"/>
              <w:rPr>
                <w:rFonts w:eastAsia="宋体"/>
                <w:b/>
                <w:bCs/>
                <w:color w:val="000000"/>
                <w:sz w:val="21"/>
                <w:szCs w:val="21"/>
              </w:rPr>
            </w:pPr>
            <w:r>
              <w:rPr>
                <w:rFonts w:eastAsia="宋体"/>
                <w:b/>
                <w:bCs/>
                <w:color w:val="000000"/>
                <w:sz w:val="21"/>
                <w:szCs w:val="21"/>
              </w:rPr>
              <w:t>体温</w:t>
            </w:r>
          </w:p>
          <w:p w14:paraId="47E9D40E">
            <w:pPr>
              <w:autoSpaceDE/>
              <w:autoSpaceDN/>
              <w:snapToGrid w:val="0"/>
              <w:jc w:val="both"/>
              <w:rPr>
                <w:rFonts w:eastAsia="宋体"/>
                <w:sz w:val="21"/>
                <w:szCs w:val="21"/>
              </w:rPr>
            </w:pPr>
            <w:r>
              <w:rPr>
                <w:rFonts w:eastAsia="宋体"/>
                <w:b/>
                <w:bCs/>
                <w:color w:val="000000"/>
                <w:sz w:val="21"/>
                <w:szCs w:val="21"/>
              </w:rPr>
              <w:t>（°C）</w:t>
            </w:r>
          </w:p>
        </w:tc>
        <w:tc>
          <w:tcPr>
            <w:tcW w:w="864" w:type="dxa"/>
            <w:shd w:val="clear" w:color="auto" w:fill="FFFFFF"/>
            <w:tcMar>
              <w:left w:w="57" w:type="dxa"/>
              <w:right w:w="57" w:type="dxa"/>
            </w:tcMar>
          </w:tcPr>
          <w:p w14:paraId="2BF2E7B4">
            <w:pPr>
              <w:autoSpaceDE/>
              <w:autoSpaceDN/>
              <w:snapToGrid w:val="0"/>
              <w:jc w:val="both"/>
              <w:rPr>
                <w:rFonts w:eastAsia="宋体"/>
                <w:b/>
                <w:bCs/>
                <w:color w:val="000000"/>
                <w:sz w:val="21"/>
                <w:szCs w:val="21"/>
              </w:rPr>
            </w:pPr>
            <w:r>
              <w:rPr>
                <w:rFonts w:eastAsia="宋体"/>
                <w:b/>
                <w:bCs/>
                <w:color w:val="000000"/>
                <w:sz w:val="21"/>
                <w:szCs w:val="21"/>
              </w:rPr>
              <w:t>2.0小时</w:t>
            </w:r>
          </w:p>
          <w:p w14:paraId="35DECEF7">
            <w:pPr>
              <w:autoSpaceDE/>
              <w:autoSpaceDN/>
              <w:snapToGrid w:val="0"/>
              <w:jc w:val="both"/>
              <w:rPr>
                <w:rFonts w:eastAsia="宋体"/>
                <w:b/>
                <w:bCs/>
                <w:color w:val="000000"/>
                <w:sz w:val="21"/>
                <w:szCs w:val="21"/>
              </w:rPr>
            </w:pPr>
            <w:r>
              <w:rPr>
                <w:rFonts w:eastAsia="宋体"/>
                <w:b/>
                <w:bCs/>
                <w:color w:val="000000"/>
                <w:sz w:val="21"/>
                <w:szCs w:val="21"/>
              </w:rPr>
              <w:t>体温</w:t>
            </w:r>
          </w:p>
          <w:p w14:paraId="4D9B2E6C">
            <w:pPr>
              <w:autoSpaceDE/>
              <w:autoSpaceDN/>
              <w:snapToGrid w:val="0"/>
              <w:jc w:val="both"/>
              <w:rPr>
                <w:rFonts w:eastAsia="宋体"/>
                <w:sz w:val="21"/>
                <w:szCs w:val="21"/>
              </w:rPr>
            </w:pPr>
            <w:r>
              <w:rPr>
                <w:rFonts w:eastAsia="宋体"/>
                <w:b/>
                <w:bCs/>
                <w:color w:val="000000"/>
                <w:sz w:val="21"/>
                <w:szCs w:val="21"/>
              </w:rPr>
              <w:t>（°C）</w:t>
            </w:r>
          </w:p>
        </w:tc>
        <w:tc>
          <w:tcPr>
            <w:tcW w:w="864" w:type="dxa"/>
            <w:shd w:val="clear" w:color="auto" w:fill="FFFFFF"/>
            <w:tcMar>
              <w:left w:w="57" w:type="dxa"/>
              <w:right w:w="57" w:type="dxa"/>
            </w:tcMar>
          </w:tcPr>
          <w:p w14:paraId="2DA32EEC">
            <w:pPr>
              <w:autoSpaceDE/>
              <w:autoSpaceDN/>
              <w:snapToGrid w:val="0"/>
              <w:jc w:val="both"/>
              <w:rPr>
                <w:rFonts w:eastAsia="宋体"/>
                <w:b/>
                <w:bCs/>
                <w:color w:val="000000"/>
                <w:sz w:val="21"/>
                <w:szCs w:val="21"/>
              </w:rPr>
            </w:pPr>
            <w:r>
              <w:rPr>
                <w:rFonts w:eastAsia="宋体"/>
                <w:b/>
                <w:bCs/>
                <w:color w:val="000000"/>
                <w:sz w:val="21"/>
                <w:szCs w:val="21"/>
              </w:rPr>
              <w:t>2.5小时</w:t>
            </w:r>
          </w:p>
          <w:p w14:paraId="300E9151">
            <w:pPr>
              <w:autoSpaceDE/>
              <w:autoSpaceDN/>
              <w:snapToGrid w:val="0"/>
              <w:jc w:val="both"/>
              <w:rPr>
                <w:rFonts w:eastAsia="宋体"/>
                <w:b/>
                <w:bCs/>
                <w:color w:val="000000"/>
                <w:sz w:val="21"/>
                <w:szCs w:val="21"/>
              </w:rPr>
            </w:pPr>
            <w:r>
              <w:rPr>
                <w:rFonts w:eastAsia="宋体"/>
                <w:b/>
                <w:bCs/>
                <w:color w:val="000000"/>
                <w:sz w:val="21"/>
                <w:szCs w:val="21"/>
              </w:rPr>
              <w:t>体温</w:t>
            </w:r>
          </w:p>
          <w:p w14:paraId="460FA0B1">
            <w:pPr>
              <w:autoSpaceDE/>
              <w:autoSpaceDN/>
              <w:snapToGrid w:val="0"/>
              <w:jc w:val="both"/>
              <w:rPr>
                <w:rFonts w:eastAsia="宋体"/>
                <w:sz w:val="21"/>
                <w:szCs w:val="21"/>
              </w:rPr>
            </w:pPr>
            <w:r>
              <w:rPr>
                <w:rFonts w:eastAsia="宋体"/>
                <w:b/>
                <w:bCs/>
                <w:color w:val="000000"/>
                <w:sz w:val="21"/>
                <w:szCs w:val="21"/>
              </w:rPr>
              <w:t>（°C）</w:t>
            </w:r>
          </w:p>
        </w:tc>
        <w:tc>
          <w:tcPr>
            <w:tcW w:w="864" w:type="dxa"/>
            <w:shd w:val="clear" w:color="auto" w:fill="FFFFFF"/>
            <w:tcMar>
              <w:left w:w="57" w:type="dxa"/>
              <w:right w:w="57" w:type="dxa"/>
            </w:tcMar>
          </w:tcPr>
          <w:p w14:paraId="2B3ED4C7">
            <w:pPr>
              <w:autoSpaceDE/>
              <w:autoSpaceDN/>
              <w:snapToGrid w:val="0"/>
              <w:jc w:val="both"/>
              <w:rPr>
                <w:rFonts w:eastAsia="宋体"/>
                <w:b/>
                <w:bCs/>
                <w:color w:val="000000"/>
                <w:sz w:val="21"/>
                <w:szCs w:val="21"/>
              </w:rPr>
            </w:pPr>
            <w:r>
              <w:rPr>
                <w:rFonts w:eastAsia="宋体"/>
                <w:b/>
                <w:bCs/>
                <w:color w:val="000000"/>
                <w:sz w:val="21"/>
                <w:szCs w:val="21"/>
              </w:rPr>
              <w:t>3.0小时</w:t>
            </w:r>
          </w:p>
          <w:p w14:paraId="6EDFD1CD">
            <w:pPr>
              <w:autoSpaceDE/>
              <w:autoSpaceDN/>
              <w:snapToGrid w:val="0"/>
              <w:jc w:val="both"/>
              <w:rPr>
                <w:rFonts w:eastAsia="宋体"/>
                <w:b/>
                <w:bCs/>
                <w:color w:val="000000"/>
                <w:sz w:val="21"/>
                <w:szCs w:val="21"/>
              </w:rPr>
            </w:pPr>
            <w:r>
              <w:rPr>
                <w:rFonts w:eastAsia="宋体"/>
                <w:b/>
                <w:bCs/>
                <w:color w:val="000000"/>
                <w:sz w:val="21"/>
                <w:szCs w:val="21"/>
              </w:rPr>
              <w:t>体温</w:t>
            </w:r>
          </w:p>
          <w:p w14:paraId="7F2527A6">
            <w:pPr>
              <w:autoSpaceDE/>
              <w:autoSpaceDN/>
              <w:snapToGrid w:val="0"/>
              <w:jc w:val="both"/>
              <w:rPr>
                <w:rFonts w:eastAsia="宋体"/>
                <w:sz w:val="21"/>
                <w:szCs w:val="21"/>
              </w:rPr>
            </w:pPr>
            <w:r>
              <w:rPr>
                <w:rFonts w:eastAsia="宋体"/>
                <w:b/>
                <w:bCs/>
                <w:color w:val="000000"/>
                <w:sz w:val="21"/>
                <w:szCs w:val="21"/>
              </w:rPr>
              <w:t>（°C）</w:t>
            </w:r>
          </w:p>
        </w:tc>
        <w:tc>
          <w:tcPr>
            <w:tcW w:w="1144" w:type="dxa"/>
            <w:shd w:val="clear" w:color="auto" w:fill="FFFFFF"/>
            <w:tcMar>
              <w:left w:w="57" w:type="dxa"/>
              <w:right w:w="57" w:type="dxa"/>
            </w:tcMar>
          </w:tcPr>
          <w:p w14:paraId="617E46BA">
            <w:pPr>
              <w:autoSpaceDE/>
              <w:autoSpaceDN/>
              <w:snapToGrid w:val="0"/>
              <w:jc w:val="both"/>
              <w:rPr>
                <w:rFonts w:eastAsia="宋体"/>
                <w:sz w:val="21"/>
                <w:szCs w:val="21"/>
              </w:rPr>
            </w:pPr>
            <w:r>
              <w:rPr>
                <w:rFonts w:eastAsia="宋体"/>
                <w:b/>
                <w:bCs/>
                <w:color w:val="000000"/>
                <w:sz w:val="21"/>
                <w:szCs w:val="21"/>
              </w:rPr>
              <w:t>温度上升</w:t>
            </w:r>
          </w:p>
          <w:p w14:paraId="634C512D">
            <w:pPr>
              <w:autoSpaceDE/>
              <w:autoSpaceDN/>
              <w:snapToGrid w:val="0"/>
              <w:jc w:val="both"/>
              <w:rPr>
                <w:rFonts w:eastAsia="宋体"/>
                <w:sz w:val="21"/>
                <w:szCs w:val="21"/>
              </w:rPr>
            </w:pPr>
            <w:r>
              <w:rPr>
                <w:rFonts w:eastAsia="宋体"/>
                <w:b/>
                <w:bCs/>
                <w:color w:val="000000"/>
                <w:sz w:val="21"/>
                <w:szCs w:val="21"/>
              </w:rPr>
              <w:t>（°C）</w:t>
            </w:r>
          </w:p>
        </w:tc>
        <w:tc>
          <w:tcPr>
            <w:tcW w:w="1717" w:type="dxa"/>
            <w:shd w:val="clear" w:color="auto" w:fill="FFFFFF"/>
            <w:tcMar>
              <w:left w:w="57" w:type="dxa"/>
              <w:right w:w="57" w:type="dxa"/>
            </w:tcMar>
          </w:tcPr>
          <w:p w14:paraId="5ECF1EF7">
            <w:pPr>
              <w:autoSpaceDE/>
              <w:autoSpaceDN/>
              <w:snapToGrid w:val="0"/>
              <w:jc w:val="both"/>
              <w:rPr>
                <w:rFonts w:eastAsia="宋体"/>
                <w:b/>
                <w:bCs/>
                <w:sz w:val="21"/>
                <w:szCs w:val="21"/>
              </w:rPr>
            </w:pPr>
            <w:r>
              <w:rPr>
                <w:rFonts w:eastAsia="宋体"/>
                <w:color w:val="000000"/>
                <w:sz w:val="21"/>
                <w:szCs w:val="21"/>
              </w:rPr>
              <w:t>结论</w:t>
            </w:r>
          </w:p>
        </w:tc>
      </w:tr>
      <w:tr w14:paraId="639829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150" w:type="dxa"/>
            <w:shd w:val="clear" w:color="auto" w:fill="FFFFFF"/>
            <w:tcMar>
              <w:left w:w="57" w:type="dxa"/>
              <w:right w:w="57" w:type="dxa"/>
            </w:tcMar>
          </w:tcPr>
          <w:p w14:paraId="43DD8DBA">
            <w:pPr>
              <w:autoSpaceDE/>
              <w:autoSpaceDN/>
              <w:snapToGrid w:val="0"/>
              <w:jc w:val="center"/>
              <w:rPr>
                <w:rFonts w:eastAsia="宋体"/>
                <w:sz w:val="21"/>
                <w:szCs w:val="21"/>
              </w:rPr>
            </w:pPr>
            <w:r>
              <w:rPr>
                <w:rFonts w:eastAsia="宋体"/>
                <w:color w:val="000000"/>
                <w:sz w:val="21"/>
                <w:szCs w:val="21"/>
              </w:rPr>
              <w:t>1（试验）</w:t>
            </w:r>
          </w:p>
        </w:tc>
        <w:tc>
          <w:tcPr>
            <w:tcW w:w="1135" w:type="dxa"/>
            <w:shd w:val="clear" w:color="auto" w:fill="FFFFFF"/>
            <w:tcMar>
              <w:left w:w="57" w:type="dxa"/>
              <w:right w:w="57" w:type="dxa"/>
            </w:tcMar>
          </w:tcPr>
          <w:p w14:paraId="362D8E98">
            <w:pPr>
              <w:autoSpaceDE/>
              <w:autoSpaceDN/>
              <w:snapToGrid w:val="0"/>
              <w:jc w:val="center"/>
              <w:rPr>
                <w:rFonts w:eastAsia="宋体"/>
                <w:sz w:val="21"/>
                <w:szCs w:val="21"/>
              </w:rPr>
            </w:pPr>
            <w:r>
              <w:rPr>
                <w:rFonts w:eastAsia="宋体"/>
                <w:color w:val="000000"/>
                <w:sz w:val="21"/>
                <w:szCs w:val="21"/>
              </w:rPr>
              <w:t>39.0</w:t>
            </w:r>
          </w:p>
        </w:tc>
        <w:tc>
          <w:tcPr>
            <w:tcW w:w="866" w:type="dxa"/>
            <w:shd w:val="clear" w:color="auto" w:fill="FFFFFF"/>
            <w:tcMar>
              <w:left w:w="57" w:type="dxa"/>
              <w:right w:w="57" w:type="dxa"/>
            </w:tcMar>
          </w:tcPr>
          <w:p w14:paraId="06F05056">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14:paraId="00EAC24C">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14:paraId="1AC5AF57">
            <w:pPr>
              <w:autoSpaceDE/>
              <w:autoSpaceDN/>
              <w:snapToGrid w:val="0"/>
              <w:jc w:val="center"/>
              <w:rPr>
                <w:rFonts w:eastAsia="宋体"/>
                <w:sz w:val="21"/>
                <w:szCs w:val="21"/>
              </w:rPr>
            </w:pPr>
            <w:r>
              <w:rPr>
                <w:rFonts w:eastAsia="宋体"/>
                <w:color w:val="000000"/>
                <w:sz w:val="21"/>
                <w:szCs w:val="21"/>
              </w:rPr>
              <w:t>38.9</w:t>
            </w:r>
          </w:p>
        </w:tc>
        <w:tc>
          <w:tcPr>
            <w:tcW w:w="864" w:type="dxa"/>
            <w:shd w:val="clear" w:color="auto" w:fill="FFFFFF"/>
            <w:tcMar>
              <w:left w:w="57" w:type="dxa"/>
              <w:right w:w="57" w:type="dxa"/>
            </w:tcMar>
          </w:tcPr>
          <w:p w14:paraId="006CA2D3">
            <w:pPr>
              <w:autoSpaceDE/>
              <w:autoSpaceDN/>
              <w:snapToGrid w:val="0"/>
              <w:jc w:val="center"/>
              <w:rPr>
                <w:rFonts w:eastAsia="宋体"/>
                <w:sz w:val="21"/>
                <w:szCs w:val="21"/>
              </w:rPr>
            </w:pPr>
            <w:r>
              <w:rPr>
                <w:rFonts w:eastAsia="宋体"/>
                <w:color w:val="000000"/>
                <w:sz w:val="21"/>
                <w:szCs w:val="21"/>
              </w:rPr>
              <w:t>38.8</w:t>
            </w:r>
          </w:p>
        </w:tc>
        <w:tc>
          <w:tcPr>
            <w:tcW w:w="864" w:type="dxa"/>
            <w:shd w:val="clear" w:color="auto" w:fill="FFFFFF"/>
            <w:tcMar>
              <w:left w:w="57" w:type="dxa"/>
              <w:right w:w="57" w:type="dxa"/>
            </w:tcMar>
          </w:tcPr>
          <w:p w14:paraId="76D80A58">
            <w:pPr>
              <w:autoSpaceDE/>
              <w:autoSpaceDN/>
              <w:snapToGrid w:val="0"/>
              <w:jc w:val="center"/>
              <w:rPr>
                <w:rFonts w:eastAsia="宋体"/>
                <w:sz w:val="21"/>
                <w:szCs w:val="21"/>
              </w:rPr>
            </w:pPr>
            <w:r>
              <w:rPr>
                <w:rFonts w:eastAsia="宋体"/>
                <w:color w:val="000000"/>
                <w:sz w:val="21"/>
                <w:szCs w:val="21"/>
              </w:rPr>
              <w:t>39.1</w:t>
            </w:r>
          </w:p>
        </w:tc>
        <w:tc>
          <w:tcPr>
            <w:tcW w:w="1144" w:type="dxa"/>
            <w:shd w:val="clear" w:color="auto" w:fill="FFFFFF"/>
            <w:tcMar>
              <w:left w:w="57" w:type="dxa"/>
              <w:right w:w="57" w:type="dxa"/>
            </w:tcMar>
          </w:tcPr>
          <w:p w14:paraId="5D7A2662">
            <w:pPr>
              <w:autoSpaceDE/>
              <w:autoSpaceDN/>
              <w:snapToGrid w:val="0"/>
              <w:jc w:val="center"/>
              <w:rPr>
                <w:rFonts w:eastAsia="宋体"/>
                <w:sz w:val="21"/>
                <w:szCs w:val="21"/>
              </w:rPr>
            </w:pPr>
            <w:r>
              <w:rPr>
                <w:rFonts w:eastAsia="宋体"/>
                <w:color w:val="000000"/>
                <w:sz w:val="21"/>
                <w:szCs w:val="21"/>
              </w:rPr>
              <w:t>0.1</w:t>
            </w:r>
          </w:p>
        </w:tc>
        <w:tc>
          <w:tcPr>
            <w:tcW w:w="1717" w:type="dxa"/>
            <w:shd w:val="clear" w:color="auto" w:fill="FFFFFF"/>
            <w:tcMar>
              <w:left w:w="57" w:type="dxa"/>
              <w:right w:w="57" w:type="dxa"/>
            </w:tcMar>
          </w:tcPr>
          <w:p w14:paraId="6331A9D9">
            <w:pPr>
              <w:autoSpaceDE/>
              <w:autoSpaceDN/>
              <w:snapToGrid w:val="0"/>
              <w:jc w:val="center"/>
              <w:rPr>
                <w:rFonts w:eastAsia="宋体"/>
                <w:sz w:val="21"/>
                <w:szCs w:val="21"/>
              </w:rPr>
            </w:pPr>
            <w:r>
              <w:rPr>
                <w:rFonts w:eastAsia="宋体"/>
                <w:color w:val="000000"/>
                <w:sz w:val="21"/>
                <w:szCs w:val="21"/>
              </w:rPr>
              <w:t>无致热原性</w:t>
            </w:r>
          </w:p>
        </w:tc>
      </w:tr>
      <w:tr w14:paraId="1A729B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150" w:type="dxa"/>
            <w:shd w:val="clear" w:color="auto" w:fill="FFFFFF"/>
            <w:tcMar>
              <w:left w:w="57" w:type="dxa"/>
              <w:right w:w="57" w:type="dxa"/>
            </w:tcMar>
          </w:tcPr>
          <w:p w14:paraId="257CBB96">
            <w:pPr>
              <w:autoSpaceDE/>
              <w:autoSpaceDN/>
              <w:snapToGrid w:val="0"/>
              <w:jc w:val="center"/>
              <w:rPr>
                <w:rFonts w:eastAsia="宋体"/>
                <w:sz w:val="21"/>
                <w:szCs w:val="21"/>
              </w:rPr>
            </w:pPr>
            <w:r>
              <w:rPr>
                <w:rFonts w:eastAsia="宋体"/>
                <w:color w:val="000000"/>
                <w:sz w:val="21"/>
                <w:szCs w:val="21"/>
              </w:rPr>
              <w:t>2（试验）</w:t>
            </w:r>
          </w:p>
        </w:tc>
        <w:tc>
          <w:tcPr>
            <w:tcW w:w="1135" w:type="dxa"/>
            <w:shd w:val="clear" w:color="auto" w:fill="FFFFFF"/>
            <w:tcMar>
              <w:left w:w="57" w:type="dxa"/>
              <w:right w:w="57" w:type="dxa"/>
            </w:tcMar>
          </w:tcPr>
          <w:p w14:paraId="67B72596">
            <w:pPr>
              <w:autoSpaceDE/>
              <w:autoSpaceDN/>
              <w:snapToGrid w:val="0"/>
              <w:jc w:val="center"/>
              <w:rPr>
                <w:rFonts w:eastAsia="宋体"/>
                <w:sz w:val="21"/>
                <w:szCs w:val="21"/>
              </w:rPr>
            </w:pPr>
            <w:r>
              <w:rPr>
                <w:rFonts w:eastAsia="宋体"/>
                <w:color w:val="000000"/>
                <w:sz w:val="21"/>
                <w:szCs w:val="21"/>
              </w:rPr>
              <w:t>39.3</w:t>
            </w:r>
          </w:p>
        </w:tc>
        <w:tc>
          <w:tcPr>
            <w:tcW w:w="866" w:type="dxa"/>
            <w:shd w:val="clear" w:color="auto" w:fill="FFFFFF"/>
            <w:tcMar>
              <w:left w:w="57" w:type="dxa"/>
              <w:right w:w="57" w:type="dxa"/>
            </w:tcMar>
          </w:tcPr>
          <w:p w14:paraId="0582D413">
            <w:pPr>
              <w:autoSpaceDE/>
              <w:autoSpaceDN/>
              <w:snapToGrid w:val="0"/>
              <w:jc w:val="center"/>
              <w:rPr>
                <w:rFonts w:eastAsia="宋体"/>
                <w:sz w:val="21"/>
                <w:szCs w:val="21"/>
              </w:rPr>
            </w:pPr>
            <w:r>
              <w:rPr>
                <w:rFonts w:eastAsia="宋体"/>
                <w:color w:val="000000"/>
                <w:sz w:val="21"/>
                <w:szCs w:val="21"/>
              </w:rPr>
              <w:t>39.3</w:t>
            </w:r>
          </w:p>
        </w:tc>
        <w:tc>
          <w:tcPr>
            <w:tcW w:w="864" w:type="dxa"/>
            <w:shd w:val="clear" w:color="auto" w:fill="FFFFFF"/>
            <w:tcMar>
              <w:left w:w="57" w:type="dxa"/>
              <w:right w:w="57" w:type="dxa"/>
            </w:tcMar>
          </w:tcPr>
          <w:p w14:paraId="39C4B894">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14:paraId="6176BE9E">
            <w:pPr>
              <w:autoSpaceDE/>
              <w:autoSpaceDN/>
              <w:snapToGrid w:val="0"/>
              <w:jc w:val="center"/>
              <w:rPr>
                <w:rFonts w:eastAsia="宋体"/>
                <w:sz w:val="21"/>
                <w:szCs w:val="21"/>
              </w:rPr>
            </w:pPr>
            <w:r>
              <w:rPr>
                <w:rFonts w:eastAsia="宋体"/>
                <w:color w:val="000000"/>
                <w:sz w:val="21"/>
                <w:szCs w:val="21"/>
              </w:rPr>
              <w:t>38.8</w:t>
            </w:r>
          </w:p>
        </w:tc>
        <w:tc>
          <w:tcPr>
            <w:tcW w:w="864" w:type="dxa"/>
            <w:shd w:val="clear" w:color="auto" w:fill="FFFFFF"/>
            <w:tcMar>
              <w:left w:w="57" w:type="dxa"/>
              <w:right w:w="57" w:type="dxa"/>
            </w:tcMar>
          </w:tcPr>
          <w:p w14:paraId="46CE0C44">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14:paraId="17D9AC03">
            <w:pPr>
              <w:autoSpaceDE/>
              <w:autoSpaceDN/>
              <w:snapToGrid w:val="0"/>
              <w:jc w:val="center"/>
              <w:rPr>
                <w:rFonts w:eastAsia="宋体"/>
                <w:sz w:val="21"/>
                <w:szCs w:val="21"/>
              </w:rPr>
            </w:pPr>
            <w:r>
              <w:rPr>
                <w:rFonts w:eastAsia="宋体"/>
                <w:color w:val="000000"/>
                <w:sz w:val="21"/>
                <w:szCs w:val="21"/>
              </w:rPr>
              <w:t>39.1</w:t>
            </w:r>
          </w:p>
        </w:tc>
        <w:tc>
          <w:tcPr>
            <w:tcW w:w="1144" w:type="dxa"/>
            <w:shd w:val="clear" w:color="auto" w:fill="FFFFFF"/>
            <w:tcMar>
              <w:left w:w="57" w:type="dxa"/>
              <w:right w:w="57" w:type="dxa"/>
            </w:tcMar>
          </w:tcPr>
          <w:p w14:paraId="7952DBEF">
            <w:pPr>
              <w:autoSpaceDE/>
              <w:autoSpaceDN/>
              <w:snapToGrid w:val="0"/>
              <w:jc w:val="center"/>
              <w:rPr>
                <w:rFonts w:eastAsia="宋体"/>
                <w:sz w:val="21"/>
                <w:szCs w:val="21"/>
              </w:rPr>
            </w:pPr>
            <w:r>
              <w:rPr>
                <w:rFonts w:eastAsia="宋体"/>
                <w:color w:val="000000"/>
                <w:sz w:val="21"/>
                <w:szCs w:val="21"/>
              </w:rPr>
              <w:t>0.0</w:t>
            </w:r>
          </w:p>
        </w:tc>
        <w:tc>
          <w:tcPr>
            <w:tcW w:w="1717" w:type="dxa"/>
            <w:shd w:val="clear" w:color="auto" w:fill="FFFFFF"/>
            <w:tcMar>
              <w:left w:w="57" w:type="dxa"/>
              <w:right w:w="57" w:type="dxa"/>
            </w:tcMar>
          </w:tcPr>
          <w:p w14:paraId="39DC4D4D">
            <w:pPr>
              <w:autoSpaceDE/>
              <w:autoSpaceDN/>
              <w:snapToGrid w:val="0"/>
              <w:jc w:val="center"/>
              <w:rPr>
                <w:rFonts w:eastAsia="宋体"/>
                <w:sz w:val="21"/>
                <w:szCs w:val="21"/>
              </w:rPr>
            </w:pPr>
            <w:r>
              <w:rPr>
                <w:rFonts w:eastAsia="宋体"/>
                <w:color w:val="000000"/>
                <w:sz w:val="21"/>
                <w:szCs w:val="21"/>
              </w:rPr>
              <w:t>无致热原性</w:t>
            </w:r>
          </w:p>
        </w:tc>
      </w:tr>
      <w:tr w14:paraId="46A524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1150" w:type="dxa"/>
            <w:shd w:val="clear" w:color="auto" w:fill="FFFFFF"/>
            <w:tcMar>
              <w:left w:w="57" w:type="dxa"/>
              <w:right w:w="57" w:type="dxa"/>
            </w:tcMar>
          </w:tcPr>
          <w:p w14:paraId="5BF101BB">
            <w:pPr>
              <w:autoSpaceDE/>
              <w:autoSpaceDN/>
              <w:snapToGrid w:val="0"/>
              <w:jc w:val="center"/>
              <w:rPr>
                <w:rFonts w:eastAsia="宋体"/>
                <w:sz w:val="21"/>
                <w:szCs w:val="21"/>
              </w:rPr>
            </w:pPr>
            <w:r>
              <w:rPr>
                <w:rFonts w:eastAsia="宋体"/>
                <w:color w:val="000000"/>
                <w:sz w:val="21"/>
                <w:szCs w:val="21"/>
              </w:rPr>
              <w:t>3（试验）</w:t>
            </w:r>
          </w:p>
        </w:tc>
        <w:tc>
          <w:tcPr>
            <w:tcW w:w="1135" w:type="dxa"/>
            <w:shd w:val="clear" w:color="auto" w:fill="FFFFFF"/>
            <w:tcMar>
              <w:left w:w="57" w:type="dxa"/>
              <w:right w:w="57" w:type="dxa"/>
            </w:tcMar>
          </w:tcPr>
          <w:p w14:paraId="50D50A50">
            <w:pPr>
              <w:autoSpaceDE/>
              <w:autoSpaceDN/>
              <w:snapToGrid w:val="0"/>
              <w:jc w:val="center"/>
              <w:rPr>
                <w:rFonts w:eastAsia="宋体"/>
                <w:sz w:val="21"/>
                <w:szCs w:val="21"/>
              </w:rPr>
            </w:pPr>
            <w:r>
              <w:rPr>
                <w:rFonts w:eastAsia="宋体"/>
                <w:color w:val="000000"/>
                <w:sz w:val="21"/>
                <w:szCs w:val="21"/>
              </w:rPr>
              <w:t>39.0</w:t>
            </w:r>
          </w:p>
        </w:tc>
        <w:tc>
          <w:tcPr>
            <w:tcW w:w="866" w:type="dxa"/>
            <w:shd w:val="clear" w:color="auto" w:fill="FFFFFF"/>
            <w:tcMar>
              <w:left w:w="57" w:type="dxa"/>
              <w:right w:w="57" w:type="dxa"/>
            </w:tcMar>
          </w:tcPr>
          <w:p w14:paraId="7CCCAE36">
            <w:pPr>
              <w:autoSpaceDE/>
              <w:autoSpaceDN/>
              <w:snapToGrid w:val="0"/>
              <w:jc w:val="center"/>
              <w:rPr>
                <w:rFonts w:eastAsia="宋体"/>
                <w:sz w:val="21"/>
                <w:szCs w:val="21"/>
              </w:rPr>
            </w:pPr>
            <w:r>
              <w:rPr>
                <w:rFonts w:eastAsia="宋体"/>
                <w:color w:val="000000"/>
                <w:sz w:val="21"/>
                <w:szCs w:val="21"/>
              </w:rPr>
              <w:t>38.7</w:t>
            </w:r>
          </w:p>
        </w:tc>
        <w:tc>
          <w:tcPr>
            <w:tcW w:w="864" w:type="dxa"/>
            <w:shd w:val="clear" w:color="auto" w:fill="FFFFFF"/>
            <w:tcMar>
              <w:left w:w="57" w:type="dxa"/>
              <w:right w:w="57" w:type="dxa"/>
            </w:tcMar>
          </w:tcPr>
          <w:p w14:paraId="0BD4FD52">
            <w:pPr>
              <w:autoSpaceDE/>
              <w:autoSpaceDN/>
              <w:snapToGrid w:val="0"/>
              <w:jc w:val="center"/>
              <w:rPr>
                <w:rFonts w:eastAsia="宋体"/>
                <w:sz w:val="21"/>
                <w:szCs w:val="21"/>
              </w:rPr>
            </w:pPr>
            <w:r>
              <w:rPr>
                <w:rFonts w:eastAsia="宋体"/>
                <w:color w:val="000000"/>
                <w:sz w:val="21"/>
                <w:szCs w:val="21"/>
              </w:rPr>
              <w:t>38.8</w:t>
            </w:r>
          </w:p>
        </w:tc>
        <w:tc>
          <w:tcPr>
            <w:tcW w:w="864" w:type="dxa"/>
            <w:shd w:val="clear" w:color="auto" w:fill="FFFFFF"/>
            <w:tcMar>
              <w:left w:w="57" w:type="dxa"/>
              <w:right w:w="57" w:type="dxa"/>
            </w:tcMar>
          </w:tcPr>
          <w:p w14:paraId="251605B5">
            <w:pPr>
              <w:autoSpaceDE/>
              <w:autoSpaceDN/>
              <w:snapToGrid w:val="0"/>
              <w:jc w:val="center"/>
              <w:rPr>
                <w:rFonts w:eastAsia="宋体"/>
                <w:sz w:val="21"/>
                <w:szCs w:val="21"/>
              </w:rPr>
            </w:pPr>
            <w:r>
              <w:rPr>
                <w:rFonts w:eastAsia="宋体"/>
                <w:color w:val="000000"/>
                <w:sz w:val="21"/>
                <w:szCs w:val="21"/>
              </w:rPr>
              <w:t>39.1</w:t>
            </w:r>
          </w:p>
        </w:tc>
        <w:tc>
          <w:tcPr>
            <w:tcW w:w="864" w:type="dxa"/>
            <w:shd w:val="clear" w:color="auto" w:fill="FFFFFF"/>
            <w:tcMar>
              <w:left w:w="57" w:type="dxa"/>
              <w:right w:w="57" w:type="dxa"/>
            </w:tcMar>
          </w:tcPr>
          <w:p w14:paraId="1F376EE9">
            <w:pPr>
              <w:autoSpaceDE/>
              <w:autoSpaceDN/>
              <w:snapToGrid w:val="0"/>
              <w:jc w:val="center"/>
              <w:rPr>
                <w:rFonts w:eastAsia="宋体"/>
                <w:sz w:val="21"/>
                <w:szCs w:val="21"/>
              </w:rPr>
            </w:pPr>
            <w:r>
              <w:rPr>
                <w:rFonts w:eastAsia="宋体"/>
                <w:color w:val="000000"/>
                <w:sz w:val="21"/>
                <w:szCs w:val="21"/>
              </w:rPr>
              <w:t>39.4</w:t>
            </w:r>
          </w:p>
        </w:tc>
        <w:tc>
          <w:tcPr>
            <w:tcW w:w="864" w:type="dxa"/>
            <w:shd w:val="clear" w:color="auto" w:fill="FFFFFF"/>
            <w:tcMar>
              <w:left w:w="57" w:type="dxa"/>
              <w:right w:w="57" w:type="dxa"/>
            </w:tcMar>
          </w:tcPr>
          <w:p w14:paraId="5774F65D">
            <w:pPr>
              <w:autoSpaceDE/>
              <w:autoSpaceDN/>
              <w:snapToGrid w:val="0"/>
              <w:jc w:val="center"/>
              <w:rPr>
                <w:rFonts w:eastAsia="宋体"/>
                <w:sz w:val="21"/>
                <w:szCs w:val="21"/>
              </w:rPr>
            </w:pPr>
            <w:r>
              <w:rPr>
                <w:rFonts w:eastAsia="宋体"/>
                <w:color w:val="000000"/>
                <w:sz w:val="21"/>
                <w:szCs w:val="21"/>
              </w:rPr>
              <w:t>39.4</w:t>
            </w:r>
          </w:p>
        </w:tc>
        <w:tc>
          <w:tcPr>
            <w:tcW w:w="1144" w:type="dxa"/>
            <w:shd w:val="clear" w:color="auto" w:fill="FFFFFF"/>
            <w:tcMar>
              <w:left w:w="57" w:type="dxa"/>
              <w:right w:w="57" w:type="dxa"/>
            </w:tcMar>
          </w:tcPr>
          <w:p w14:paraId="47187DCB">
            <w:pPr>
              <w:autoSpaceDE/>
              <w:autoSpaceDN/>
              <w:snapToGrid w:val="0"/>
              <w:jc w:val="center"/>
              <w:rPr>
                <w:rFonts w:eastAsia="宋体"/>
                <w:sz w:val="21"/>
                <w:szCs w:val="21"/>
              </w:rPr>
            </w:pPr>
            <w:r>
              <w:rPr>
                <w:rFonts w:eastAsia="宋体"/>
                <w:color w:val="000000"/>
                <w:sz w:val="21"/>
                <w:szCs w:val="21"/>
              </w:rPr>
              <w:t>0.4</w:t>
            </w:r>
          </w:p>
        </w:tc>
        <w:tc>
          <w:tcPr>
            <w:tcW w:w="1717" w:type="dxa"/>
            <w:shd w:val="clear" w:color="auto" w:fill="FFFFFF"/>
            <w:tcMar>
              <w:left w:w="57" w:type="dxa"/>
              <w:right w:w="57" w:type="dxa"/>
            </w:tcMar>
          </w:tcPr>
          <w:p w14:paraId="42600626">
            <w:pPr>
              <w:autoSpaceDE/>
              <w:autoSpaceDN/>
              <w:snapToGrid w:val="0"/>
              <w:jc w:val="center"/>
              <w:rPr>
                <w:rFonts w:eastAsia="宋体"/>
                <w:sz w:val="21"/>
                <w:szCs w:val="21"/>
              </w:rPr>
            </w:pPr>
            <w:r>
              <w:rPr>
                <w:rFonts w:eastAsia="宋体"/>
                <w:color w:val="000000"/>
                <w:sz w:val="21"/>
                <w:szCs w:val="21"/>
              </w:rPr>
              <w:t>无致热原性</w:t>
            </w:r>
          </w:p>
        </w:tc>
      </w:tr>
    </w:tbl>
    <w:p w14:paraId="6CB4B7AD">
      <w:pPr>
        <w:autoSpaceDE/>
        <w:autoSpaceDN/>
        <w:snapToGrid w:val="0"/>
        <w:jc w:val="center"/>
        <w:rPr>
          <w:rFonts w:eastAsia="宋体"/>
          <w:sz w:val="21"/>
          <w:szCs w:val="21"/>
        </w:rPr>
      </w:pPr>
      <w:r>
        <w:rPr>
          <w:rFonts w:eastAsia="宋体"/>
          <w:i/>
          <w:iCs/>
          <w:color w:val="000000"/>
          <w:sz w:val="21"/>
          <w:szCs w:val="21"/>
        </w:rPr>
        <w:t>[插入任何额外的重复试验数据的行数]</w:t>
      </w:r>
    </w:p>
    <w:p w14:paraId="0CA47BCB">
      <w:pPr>
        <w:autoSpaceDE/>
        <w:autoSpaceDN/>
        <w:snapToGrid w:val="0"/>
        <w:jc w:val="both"/>
        <w:rPr>
          <w:rFonts w:eastAsia="宋体"/>
          <w:b/>
          <w:bCs/>
          <w:color w:val="000000"/>
          <w:sz w:val="24"/>
          <w:szCs w:val="24"/>
        </w:rPr>
      </w:pPr>
    </w:p>
    <w:p w14:paraId="433C2424">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无不良临床发现或动物死亡；</w:t>
      </w:r>
    </w:p>
    <w:p w14:paraId="19F68C99">
      <w:pPr>
        <w:autoSpaceDE/>
        <w:autoSpaceDN/>
        <w:snapToGrid w:val="0"/>
        <w:ind w:left="36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出现以下不良临床发现或动物死亡：</w:t>
      </w:r>
      <w:r>
        <w:rPr>
          <w:rStyle w:val="17"/>
          <w:rFonts w:eastAsia="宋体"/>
          <w:sz w:val="24"/>
          <w:szCs w:val="24"/>
        </w:rPr>
        <w:footnoteReference w:id="94"/>
      </w:r>
    </w:p>
    <w:p w14:paraId="6FC89914">
      <w:pPr>
        <w:autoSpaceDE/>
        <w:autoSpaceDN/>
        <w:snapToGrid w:val="0"/>
        <w:jc w:val="both"/>
        <w:rPr>
          <w:rFonts w:eastAsia="宋体"/>
          <w:sz w:val="24"/>
          <w:szCs w:val="24"/>
        </w:rPr>
      </w:pP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75A3626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66" w:type="dxa"/>
            <w:shd w:val="clear" w:color="auto" w:fill="FFFFFF"/>
            <w:tcMar>
              <w:left w:w="57" w:type="dxa"/>
              <w:right w:w="57" w:type="dxa"/>
            </w:tcMar>
          </w:tcPr>
          <w:p w14:paraId="4D621FCC">
            <w:pPr>
              <w:autoSpaceDE/>
              <w:autoSpaceDN/>
              <w:snapToGrid w:val="0"/>
              <w:jc w:val="both"/>
              <w:rPr>
                <w:rFonts w:eastAsia="宋体"/>
                <w:sz w:val="24"/>
                <w:szCs w:val="24"/>
              </w:rPr>
            </w:pPr>
          </w:p>
          <w:p w14:paraId="6A9DE52F">
            <w:pPr>
              <w:autoSpaceDE/>
              <w:autoSpaceDN/>
              <w:snapToGrid w:val="0"/>
              <w:jc w:val="both"/>
              <w:rPr>
                <w:rFonts w:eastAsia="宋体"/>
                <w:sz w:val="24"/>
                <w:szCs w:val="24"/>
              </w:rPr>
            </w:pPr>
          </w:p>
        </w:tc>
      </w:tr>
      <w:tr w14:paraId="1AE6CB3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66" w:type="dxa"/>
            <w:shd w:val="clear" w:color="auto" w:fill="FFFFFF"/>
            <w:tcMar>
              <w:left w:w="57" w:type="dxa"/>
              <w:right w:w="57" w:type="dxa"/>
            </w:tcMar>
          </w:tcPr>
          <w:p w14:paraId="6CE63C72">
            <w:pPr>
              <w:autoSpaceDE/>
              <w:autoSpaceDN/>
              <w:snapToGrid w:val="0"/>
              <w:jc w:val="both"/>
              <w:rPr>
                <w:rFonts w:eastAsia="宋体"/>
                <w:sz w:val="24"/>
                <w:szCs w:val="24"/>
              </w:rPr>
            </w:pPr>
            <w:r>
              <w:rPr>
                <w:rFonts w:eastAsia="宋体"/>
                <w:i/>
                <w:iCs/>
                <w:color w:val="000000"/>
                <w:sz w:val="24"/>
                <w:szCs w:val="24"/>
              </w:rPr>
              <w:t>不良临床发现或动物死亡的描述</w:t>
            </w:r>
          </w:p>
        </w:tc>
      </w:tr>
    </w:tbl>
    <w:p w14:paraId="034D2897">
      <w:pPr>
        <w:autoSpaceDE/>
        <w:autoSpaceDN/>
        <w:snapToGrid w:val="0"/>
        <w:jc w:val="both"/>
        <w:rPr>
          <w:rFonts w:eastAsia="宋体"/>
          <w:color w:val="000000"/>
          <w:sz w:val="24"/>
          <w:szCs w:val="24"/>
        </w:rPr>
      </w:pPr>
    </w:p>
    <w:p w14:paraId="53BBA134">
      <w:pPr>
        <w:autoSpaceDE/>
        <w:autoSpaceDN/>
        <w:snapToGrid w:val="0"/>
        <w:jc w:val="both"/>
        <w:rPr>
          <w:rFonts w:eastAsia="宋体"/>
          <w:sz w:val="24"/>
          <w:szCs w:val="24"/>
        </w:rPr>
      </w:pPr>
      <w:r>
        <w:rPr>
          <w:rFonts w:eastAsia="宋体"/>
          <w:color w:val="000000"/>
          <w:sz w:val="24"/>
          <w:szCs w:val="24"/>
        </w:rPr>
        <w:t>我确认：</w:t>
      </w:r>
    </w:p>
    <w:p w14:paraId="752A6260">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3B4098F6">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14:paraId="13F297DA">
      <w:pPr>
        <w:tabs>
          <w:tab w:val="left" w:pos="187"/>
        </w:tabs>
        <w:autoSpaceDE/>
        <w:autoSpaceDN/>
        <w:snapToGrid w:val="0"/>
        <w:jc w:val="both"/>
        <w:rPr>
          <w:rFonts w:eastAsia="宋体"/>
          <w:color w:val="000000"/>
          <w:sz w:val="24"/>
          <w:szCs w:val="24"/>
          <w:vertAlign w:val="superscript"/>
        </w:rPr>
      </w:pPr>
    </w:p>
    <w:p w14:paraId="6201C918">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454C248E">
      <w:pPr>
        <w:tabs>
          <w:tab w:val="left" w:pos="7920"/>
        </w:tabs>
        <w:autoSpaceDE/>
        <w:autoSpaceDN/>
        <w:snapToGrid w:val="0"/>
        <w:jc w:val="both"/>
        <w:rPr>
          <w:rFonts w:eastAsia="宋体"/>
          <w:color w:val="000000"/>
          <w:sz w:val="24"/>
          <w:szCs w:val="24"/>
        </w:rPr>
      </w:pPr>
    </w:p>
    <w:p w14:paraId="38426416">
      <w:pPr>
        <w:tabs>
          <w:tab w:val="left" w:pos="7920"/>
        </w:tabs>
        <w:autoSpaceDE/>
        <w:autoSpaceDN/>
        <w:snapToGrid w:val="0"/>
        <w:jc w:val="both"/>
        <w:rPr>
          <w:rFonts w:eastAsia="宋体"/>
          <w:color w:val="000000"/>
          <w:sz w:val="24"/>
          <w:szCs w:val="24"/>
        </w:rPr>
      </w:pPr>
    </w:p>
    <w:p w14:paraId="5BB27023">
      <w:pPr>
        <w:tabs>
          <w:tab w:val="left" w:pos="7920"/>
        </w:tabs>
        <w:autoSpaceDE/>
        <w:autoSpaceDN/>
        <w:snapToGrid w:val="0"/>
        <w:jc w:val="both"/>
        <w:rPr>
          <w:rFonts w:eastAsia="宋体"/>
          <w:color w:val="000000"/>
          <w:sz w:val="24"/>
          <w:szCs w:val="24"/>
        </w:rPr>
      </w:pPr>
    </w:p>
    <w:p w14:paraId="6ABBB3D0">
      <w:pPr>
        <w:pBdr>
          <w:top w:val="single" w:color="auto" w:sz="6" w:space="1"/>
        </w:pBdr>
        <w:tabs>
          <w:tab w:val="left" w:pos="7920"/>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68BCCA9D">
      <w:pPr>
        <w:tabs>
          <w:tab w:val="left" w:pos="7920"/>
        </w:tabs>
        <w:autoSpaceDE/>
        <w:autoSpaceDN/>
        <w:snapToGrid w:val="0"/>
        <w:jc w:val="both"/>
        <w:rPr>
          <w:rFonts w:eastAsia="宋体"/>
          <w:sz w:val="24"/>
          <w:szCs w:val="24"/>
        </w:rPr>
      </w:pPr>
    </w:p>
    <w:p w14:paraId="3F8D8B82">
      <w:pPr>
        <w:tabs>
          <w:tab w:val="left" w:pos="792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176C669">
      <w:pPr>
        <w:pStyle w:val="2"/>
        <w:autoSpaceDE/>
        <w:autoSpaceDN/>
        <w:spacing w:before="240" w:after="240"/>
        <w:rPr>
          <w:rFonts w:eastAsia="宋体"/>
        </w:rPr>
      </w:pPr>
      <w:bookmarkStart w:id="56" w:name="_Toc97473524"/>
      <w:bookmarkStart w:id="57" w:name="_Toc98778573"/>
      <w:r>
        <w:rPr>
          <w:rFonts w:eastAsia="宋体"/>
        </w:rPr>
        <w:t>附录I：</w:t>
      </w:r>
      <w:bookmarkStart w:id="58" w:name="bookmark89"/>
      <w:bookmarkEnd w:id="58"/>
      <w:r>
        <w:rPr>
          <w:rFonts w:eastAsia="宋体"/>
        </w:rPr>
        <w:t>医疗器械的生物相容性试验的ASCA汇总试验报告示例：直接和间接溶血（ISO 10993-4和ASTM F756）</w:t>
      </w:r>
      <w:bookmarkEnd w:id="56"/>
      <w:bookmarkEnd w:id="57"/>
    </w:p>
    <w:p w14:paraId="444A50EF">
      <w:pPr>
        <w:autoSpaceDE/>
        <w:autoSpaceDN/>
        <w:snapToGrid w:val="0"/>
        <w:ind w:firstLine="480" w:firstLineChars="200"/>
        <w:jc w:val="both"/>
        <w:rPr>
          <w:rFonts w:eastAsia="宋体"/>
          <w:sz w:val="24"/>
          <w:szCs w:val="24"/>
        </w:rPr>
      </w:pPr>
      <w:r>
        <w:rPr>
          <w:rFonts w:eastAsia="宋体"/>
          <w:i/>
          <w:iCs/>
          <w:color w:val="000000"/>
          <w:sz w:val="24"/>
          <w:szCs w:val="24"/>
        </w:rPr>
        <w:t>注：本示例旨在说明根据FDA的指南，符合性声明随附的补充文件。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14:paraId="32B6B92C">
      <w:pPr>
        <w:autoSpaceDE/>
        <w:autoSpaceDN/>
        <w:snapToGrid w:val="0"/>
        <w:jc w:val="both"/>
        <w:rPr>
          <w:rFonts w:eastAsia="宋体"/>
          <w:b/>
          <w:bCs/>
          <w:color w:val="000000"/>
          <w:sz w:val="24"/>
          <w:szCs w:val="24"/>
        </w:rPr>
      </w:pPr>
    </w:p>
    <w:p w14:paraId="3EF3ACF3">
      <w:pPr>
        <w:autoSpaceDE/>
        <w:autoSpaceDN/>
        <w:snapToGrid w:val="0"/>
        <w:jc w:val="both"/>
        <w:rPr>
          <w:rFonts w:eastAsia="宋体"/>
          <w:sz w:val="24"/>
          <w:szCs w:val="24"/>
        </w:rPr>
      </w:pPr>
      <w:r>
        <w:rPr>
          <w:rFonts w:eastAsia="宋体"/>
          <w:b/>
          <w:bCs/>
          <w:color w:val="000000"/>
          <w:sz w:val="24"/>
          <w:szCs w:val="24"/>
        </w:rPr>
        <w:t>管理信息</w:t>
      </w:r>
    </w:p>
    <w:p w14:paraId="463F7B57">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54FADBA9">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763A979E">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03179647">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4323C866">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53A6AAFB">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95"/>
      </w:r>
    </w:p>
    <w:p w14:paraId="58309C0C">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742F231E">
      <w:pPr>
        <w:autoSpaceDE/>
        <w:autoSpaceDN/>
        <w:snapToGrid w:val="0"/>
        <w:ind w:left="1592" w:leftChars="638" w:hanging="316"/>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14:paraId="07403A2B">
      <w:pPr>
        <w:autoSpaceDE/>
        <w:autoSpaceDN/>
        <w:snapToGrid w:val="0"/>
        <w:ind w:left="1592" w:leftChars="638" w:hanging="316"/>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ASCA认证中止</w:t>
      </w:r>
    </w:p>
    <w:tbl>
      <w:tblPr>
        <w:tblStyle w:val="13"/>
        <w:tblW w:w="4259" w:type="pct"/>
        <w:tblInd w:w="134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8065"/>
      </w:tblGrid>
      <w:tr w14:paraId="403B150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PrEx>
        <w:tc>
          <w:tcPr>
            <w:tcW w:w="8064" w:type="dxa"/>
            <w:shd w:val="clear" w:color="auto" w:fill="FFFFFF"/>
            <w:tcMar>
              <w:left w:w="57" w:type="dxa"/>
              <w:right w:w="57" w:type="dxa"/>
            </w:tcMar>
          </w:tcPr>
          <w:p w14:paraId="4F9F8F1D">
            <w:pPr>
              <w:autoSpaceDE/>
              <w:autoSpaceDN/>
              <w:snapToGrid w:val="0"/>
              <w:jc w:val="both"/>
              <w:rPr>
                <w:rFonts w:eastAsia="宋体"/>
                <w:sz w:val="24"/>
                <w:szCs w:val="24"/>
              </w:rPr>
            </w:pPr>
          </w:p>
          <w:p w14:paraId="4B69C1DB">
            <w:pPr>
              <w:autoSpaceDE/>
              <w:autoSpaceDN/>
              <w:snapToGrid w:val="0"/>
              <w:jc w:val="both"/>
              <w:rPr>
                <w:rFonts w:eastAsia="宋体"/>
                <w:sz w:val="24"/>
                <w:szCs w:val="24"/>
              </w:rPr>
            </w:pPr>
          </w:p>
        </w:tc>
      </w:tr>
      <w:tr w14:paraId="6DDE038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64" w:type="dxa"/>
            <w:shd w:val="clear" w:color="auto" w:fill="FFFFFF"/>
            <w:tcMar>
              <w:left w:w="57" w:type="dxa"/>
              <w:right w:w="57" w:type="dxa"/>
            </w:tcMar>
          </w:tcPr>
          <w:p w14:paraId="43529EE0">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28E8FB3A">
      <w:pPr>
        <w:tabs>
          <w:tab w:val="left" w:leader="underscore" w:pos="8222"/>
        </w:tabs>
        <w:autoSpaceDE/>
        <w:autoSpaceDN/>
        <w:snapToGrid w:val="0"/>
        <w:jc w:val="both"/>
        <w:rPr>
          <w:rFonts w:eastAsia="宋体"/>
          <w:b/>
          <w:bCs/>
          <w:color w:val="000000"/>
          <w:sz w:val="24"/>
          <w:szCs w:val="24"/>
        </w:rPr>
      </w:pPr>
    </w:p>
    <w:p w14:paraId="2B663CB7">
      <w:pPr>
        <w:tabs>
          <w:tab w:val="left" w:pos="8200"/>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i/>
          <w:iCs/>
          <w:color w:val="000000"/>
          <w:sz w:val="24"/>
          <w:szCs w:val="24"/>
          <w:u w:val="single"/>
        </w:rPr>
        <w:tab/>
      </w:r>
    </w:p>
    <w:p w14:paraId="36F90A8F">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14:paraId="6794F4B2">
      <w:pPr>
        <w:tabs>
          <w:tab w:val="left" w:pos="355"/>
          <w:tab w:val="left" w:leader="underscore" w:pos="8222"/>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96"/>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7E41B8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32" w:type="dxa"/>
            <w:shd w:val="clear" w:color="auto" w:fill="FFFFFF"/>
            <w:tcMar>
              <w:left w:w="57" w:type="dxa"/>
              <w:right w:w="57" w:type="dxa"/>
            </w:tcMar>
          </w:tcPr>
          <w:p w14:paraId="1782F23F">
            <w:pPr>
              <w:autoSpaceDE/>
              <w:autoSpaceDN/>
              <w:snapToGrid w:val="0"/>
              <w:jc w:val="both"/>
              <w:rPr>
                <w:rFonts w:eastAsia="宋体"/>
                <w:sz w:val="24"/>
                <w:szCs w:val="24"/>
              </w:rPr>
            </w:pPr>
          </w:p>
          <w:p w14:paraId="0B775926">
            <w:pPr>
              <w:autoSpaceDE/>
              <w:autoSpaceDN/>
              <w:snapToGrid w:val="0"/>
              <w:jc w:val="both"/>
              <w:rPr>
                <w:rFonts w:eastAsia="宋体"/>
                <w:sz w:val="24"/>
                <w:szCs w:val="24"/>
              </w:rPr>
            </w:pPr>
          </w:p>
        </w:tc>
      </w:tr>
      <w:tr w14:paraId="075139E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32" w:type="dxa"/>
            <w:shd w:val="clear" w:color="auto" w:fill="FFFFFF"/>
            <w:tcMar>
              <w:left w:w="57" w:type="dxa"/>
              <w:right w:w="57" w:type="dxa"/>
            </w:tcMar>
          </w:tcPr>
          <w:p w14:paraId="375617B9">
            <w:pPr>
              <w:autoSpaceDE/>
              <w:autoSpaceDN/>
              <w:snapToGrid w:val="0"/>
              <w:jc w:val="both"/>
              <w:rPr>
                <w:rFonts w:eastAsia="宋体"/>
                <w:sz w:val="24"/>
                <w:szCs w:val="24"/>
              </w:rPr>
            </w:pPr>
            <w:r>
              <w:rPr>
                <w:rFonts w:eastAsia="宋体"/>
                <w:i/>
                <w:iCs/>
                <w:color w:val="000000"/>
                <w:sz w:val="24"/>
                <w:szCs w:val="24"/>
              </w:rPr>
              <w:t>偏离/修正案的描述</w:t>
            </w:r>
          </w:p>
        </w:tc>
      </w:tr>
    </w:tbl>
    <w:p w14:paraId="4D7E27AC">
      <w:pPr>
        <w:autoSpaceDE/>
        <w:autoSpaceDN/>
        <w:snapToGrid w:val="0"/>
        <w:jc w:val="both"/>
        <w:rPr>
          <w:rFonts w:eastAsia="宋体"/>
          <w:b/>
          <w:bCs/>
          <w:i/>
          <w:iCs/>
          <w:color w:val="000000"/>
          <w:sz w:val="24"/>
          <w:szCs w:val="24"/>
          <w:u w:val="single"/>
        </w:rPr>
      </w:pPr>
    </w:p>
    <w:p w14:paraId="1AAE8E73">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浸提试验</w:t>
      </w:r>
    </w:p>
    <w:p w14:paraId="1AFD9C76">
      <w:pPr>
        <w:autoSpaceDE/>
        <w:autoSpaceDN/>
        <w:snapToGrid w:val="0"/>
        <w:jc w:val="both"/>
        <w:rPr>
          <w:rFonts w:eastAsia="宋体"/>
          <w:sz w:val="24"/>
          <w:szCs w:val="24"/>
        </w:rPr>
      </w:pPr>
    </w:p>
    <w:p w14:paraId="13C3CB65">
      <w:pPr>
        <w:autoSpaceDE/>
        <w:autoSpaceDN/>
        <w:snapToGrid w:val="0"/>
        <w:jc w:val="both"/>
        <w:rPr>
          <w:rFonts w:eastAsia="宋体"/>
          <w:sz w:val="24"/>
          <w:szCs w:val="24"/>
        </w:rPr>
      </w:pPr>
      <w:r>
        <w:rPr>
          <w:rFonts w:eastAsia="宋体"/>
          <w:b/>
          <w:bCs/>
          <w:color w:val="000000"/>
          <w:sz w:val="24"/>
          <w:szCs w:val="24"/>
        </w:rPr>
        <w:t>浸提溶剂：</w:t>
      </w:r>
    </w:p>
    <w:p w14:paraId="74D753C9">
      <w:pPr>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不含镁和钙的PBS</w:t>
      </w:r>
    </w:p>
    <w:p w14:paraId="26C34EBF">
      <w:pPr>
        <w:tabs>
          <w:tab w:val="left" w:pos="187"/>
        </w:tabs>
        <w:autoSpaceDE/>
        <w:autoSpaceDN/>
        <w:snapToGrid w:val="0"/>
        <w:jc w:val="both"/>
        <w:rPr>
          <w:rFonts w:eastAsia="宋体"/>
          <w:color w:val="000000"/>
          <w:sz w:val="24"/>
          <w:szCs w:val="24"/>
          <w:vertAlign w:val="superscript"/>
        </w:rPr>
      </w:pPr>
    </w:p>
    <w:p w14:paraId="0D867C4A">
      <w:pPr>
        <w:tabs>
          <w:tab w:val="left" w:pos="187"/>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3AA101CB">
      <w:pPr>
        <w:tabs>
          <w:tab w:val="left" w:pos="4111"/>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97"/>
      </w:r>
      <w:r>
        <w:rPr>
          <w:rFonts w:eastAsia="宋体"/>
          <w:i/>
          <w:iCs/>
          <w:color w:val="000000"/>
          <w:sz w:val="24"/>
          <w:szCs w:val="24"/>
          <w:u w:val="single"/>
        </w:rPr>
        <w:t>[描述]</w:t>
      </w:r>
      <w:r>
        <w:rPr>
          <w:rFonts w:eastAsia="宋体"/>
          <w:color w:val="000000"/>
          <w:sz w:val="24"/>
          <w:szCs w:val="24"/>
          <w:u w:val="single"/>
        </w:rPr>
        <w:tab/>
      </w:r>
    </w:p>
    <w:p w14:paraId="2F22E968">
      <w:pPr>
        <w:autoSpaceDE/>
        <w:autoSpaceDN/>
        <w:snapToGrid w:val="0"/>
        <w:jc w:val="both"/>
        <w:rPr>
          <w:rFonts w:eastAsia="宋体"/>
          <w:sz w:val="24"/>
          <w:szCs w:val="24"/>
        </w:rPr>
      </w:pPr>
      <w:r>
        <w:rPr>
          <w:rFonts w:eastAsia="宋体"/>
          <w:b/>
          <w:bCs/>
          <w:color w:val="000000"/>
          <w:sz w:val="24"/>
          <w:szCs w:val="24"/>
        </w:rPr>
        <w:t>浸提率：</w:t>
      </w:r>
    </w:p>
    <w:p w14:paraId="21A2B754">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5FBFE762">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 mm厚或成型品&gt;1.0 mm）</w:t>
      </w:r>
    </w:p>
    <w:p w14:paraId="2CA8DD0C">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1.25 cm</w:t>
      </w:r>
      <w:r>
        <w:rPr>
          <w:rFonts w:eastAsia="宋体"/>
          <w:color w:val="000000"/>
          <w:sz w:val="24"/>
          <w:szCs w:val="24"/>
          <w:vertAlign w:val="superscript"/>
        </w:rPr>
        <w:t>2</w:t>
      </w:r>
      <w:r>
        <w:rPr>
          <w:rFonts w:eastAsia="宋体"/>
          <w:color w:val="000000"/>
          <w:sz w:val="24"/>
          <w:szCs w:val="24"/>
        </w:rPr>
        <w:t>/ml（弹性体&gt;1.0 mm厚）</w:t>
      </w:r>
    </w:p>
    <w:p w14:paraId="41F61095">
      <w:pPr>
        <w:tabs>
          <w:tab w:val="left" w:pos="4111"/>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98"/>
      </w:r>
      <w:r>
        <w:rPr>
          <w:rFonts w:eastAsia="宋体"/>
          <w:i/>
          <w:iCs/>
          <w:color w:val="000000"/>
          <w:sz w:val="24"/>
          <w:szCs w:val="24"/>
          <w:u w:val="single"/>
        </w:rPr>
        <w:t>[描述]</w:t>
      </w:r>
      <w:r>
        <w:rPr>
          <w:rFonts w:eastAsia="宋体"/>
          <w:color w:val="000000"/>
          <w:sz w:val="24"/>
          <w:szCs w:val="24"/>
          <w:u w:val="single"/>
        </w:rPr>
        <w:tab/>
      </w:r>
    </w:p>
    <w:p w14:paraId="55244741">
      <w:pPr>
        <w:autoSpaceDE/>
        <w:autoSpaceDN/>
        <w:snapToGrid w:val="0"/>
        <w:jc w:val="both"/>
        <w:rPr>
          <w:rFonts w:eastAsia="宋体"/>
          <w:sz w:val="24"/>
          <w:szCs w:val="24"/>
        </w:rPr>
      </w:pPr>
      <w:r>
        <w:rPr>
          <w:rFonts w:eastAsia="宋体"/>
          <w:b/>
          <w:bCs/>
          <w:color w:val="000000"/>
          <w:sz w:val="24"/>
          <w:szCs w:val="24"/>
        </w:rPr>
        <w:t>浸提条件：</w:t>
      </w:r>
    </w:p>
    <w:p w14:paraId="398CF6D8">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37°C，72小时</w:t>
      </w:r>
    </w:p>
    <w:p w14:paraId="4BC27CAC">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50°C，72小时</w:t>
      </w:r>
    </w:p>
    <w:p w14:paraId="3326DA69">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70°C，24小时</w:t>
      </w:r>
    </w:p>
    <w:p w14:paraId="584622A2">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121°C，1小时</w:t>
      </w:r>
    </w:p>
    <w:p w14:paraId="35CD8E72">
      <w:pPr>
        <w:tabs>
          <w:tab w:val="left" w:pos="4111"/>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99"/>
      </w:r>
      <w:r>
        <w:rPr>
          <w:rFonts w:eastAsia="宋体"/>
          <w:i/>
          <w:iCs/>
          <w:color w:val="000000"/>
          <w:sz w:val="24"/>
          <w:szCs w:val="24"/>
          <w:u w:val="single"/>
        </w:rPr>
        <w:t>[描述]</w:t>
      </w:r>
      <w:r>
        <w:rPr>
          <w:rFonts w:eastAsia="宋体"/>
          <w:color w:val="000000"/>
          <w:sz w:val="24"/>
          <w:szCs w:val="24"/>
          <w:u w:val="single"/>
        </w:rPr>
        <w:tab/>
      </w:r>
    </w:p>
    <w:p w14:paraId="72A9C1A6">
      <w:pPr>
        <w:autoSpaceDE/>
        <w:autoSpaceDN/>
        <w:snapToGrid w:val="0"/>
        <w:jc w:val="both"/>
        <w:rPr>
          <w:rFonts w:eastAsia="宋体"/>
          <w:b/>
          <w:bCs/>
          <w:color w:val="000000"/>
          <w:sz w:val="24"/>
          <w:szCs w:val="24"/>
        </w:rPr>
      </w:pPr>
    </w:p>
    <w:p w14:paraId="1000051B">
      <w:pPr>
        <w:autoSpaceDE/>
        <w:autoSpaceDN/>
        <w:snapToGrid w:val="0"/>
        <w:jc w:val="both"/>
        <w:rPr>
          <w:rFonts w:eastAsia="宋体"/>
          <w:sz w:val="24"/>
          <w:szCs w:val="24"/>
        </w:rPr>
      </w:pPr>
      <w:r>
        <w:rPr>
          <w:rFonts w:eastAsia="宋体"/>
          <w:b/>
          <w:bCs/>
          <w:color w:val="000000"/>
          <w:sz w:val="24"/>
          <w:szCs w:val="24"/>
        </w:rPr>
        <w:t>液体路径浸提：</w:t>
      </w:r>
    </w:p>
    <w:p w14:paraId="366A9BCA">
      <w:pPr>
        <w:tabs>
          <w:tab w:val="left" w:pos="341"/>
        </w:tabs>
        <w:autoSpaceDE/>
        <w:autoSpaceDN/>
        <w:snapToGrid w:val="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对于液体路径器械或组件（液体接触器械或组件中的通道，然后液体流入人体），采用液体路径特有的方案进行浸提，方法如下：</w:t>
      </w:r>
      <w:r>
        <w:rPr>
          <w:rStyle w:val="17"/>
          <w:rFonts w:eastAsia="宋体"/>
          <w:sz w:val="24"/>
          <w:szCs w:val="24"/>
        </w:rPr>
        <w:footnoteReference w:id="100"/>
      </w:r>
    </w:p>
    <w:p w14:paraId="4FF008FC">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搅拌下完全填充</w:t>
      </w:r>
    </w:p>
    <w:p w14:paraId="7685E04E">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搅拌下部分填充（ISO 10993-12表面/体积比）</w:t>
      </w:r>
    </w:p>
    <w:p w14:paraId="5C6DFAD1">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搅拌下部分填充（其他表面/体积比率）：</w:t>
      </w:r>
      <w:r>
        <w:rPr>
          <w:rFonts w:eastAsia="宋体"/>
          <w:color w:val="000000"/>
          <w:sz w:val="24"/>
          <w:szCs w:val="24"/>
          <w:u w:val="single"/>
        </w:rPr>
        <w:t>[描述所用比率]</w:t>
      </w:r>
    </w:p>
    <w:p w14:paraId="07CB779E">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Fonts w:eastAsia="宋体"/>
          <w:color w:val="000000"/>
          <w:sz w:val="24"/>
          <w:szCs w:val="24"/>
          <w:u w:val="single"/>
        </w:rPr>
        <w:t>总结方法]</w:t>
      </w:r>
    </w:p>
    <w:p w14:paraId="6FB744E2">
      <w:pPr>
        <w:autoSpaceDE/>
        <w:autoSpaceDN/>
        <w:snapToGrid w:val="0"/>
        <w:jc w:val="both"/>
        <w:rPr>
          <w:rFonts w:eastAsia="宋体"/>
          <w:sz w:val="24"/>
          <w:szCs w:val="24"/>
        </w:rPr>
      </w:pPr>
    </w:p>
    <w:p w14:paraId="04B7E978">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试验样品和浸提液颜色无变化，浸提液未出现浑浊或有颗粒。</w:t>
      </w:r>
    </w:p>
    <w:p w14:paraId="3F49F9BF">
      <w:pPr>
        <w:tabs>
          <w:tab w:val="left" w:pos="341"/>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试验样品和/或浸提液的颜色/浊度或颗粒有变化，或者试验样品有肿胀/降解。</w:t>
      </w:r>
      <w:r>
        <w:rPr>
          <w:rStyle w:val="17"/>
          <w:rFonts w:eastAsia="宋体"/>
          <w:sz w:val="24"/>
          <w:szCs w:val="24"/>
        </w:rPr>
        <w:footnoteReference w:id="101"/>
      </w:r>
    </w:p>
    <w:p w14:paraId="64607D79">
      <w:pPr>
        <w:autoSpaceDE/>
        <w:autoSpaceDN/>
        <w:snapToGrid w:val="0"/>
        <w:jc w:val="both"/>
        <w:rPr>
          <w:rFonts w:eastAsia="宋体"/>
          <w:b/>
          <w:bCs/>
          <w:i/>
          <w:iCs/>
          <w:color w:val="000000"/>
          <w:sz w:val="24"/>
          <w:szCs w:val="24"/>
          <w:u w:val="single"/>
        </w:rPr>
      </w:pPr>
    </w:p>
    <w:p w14:paraId="379E91B5">
      <w:pPr>
        <w:autoSpaceDE/>
        <w:autoSpaceDN/>
        <w:snapToGrid w:val="0"/>
        <w:jc w:val="both"/>
        <w:rPr>
          <w:rFonts w:eastAsia="宋体"/>
          <w:b/>
          <w:bCs/>
          <w:i/>
          <w:iCs/>
          <w:color w:val="000000"/>
          <w:sz w:val="24"/>
          <w:szCs w:val="24"/>
          <w:u w:val="single"/>
        </w:rPr>
      </w:pPr>
      <w:r>
        <w:rPr>
          <w:rFonts w:eastAsia="宋体"/>
          <w:b/>
          <w:bCs/>
          <w:i/>
          <w:iCs/>
          <w:color w:val="000000"/>
          <w:sz w:val="24"/>
          <w:szCs w:val="24"/>
          <w:u w:val="single"/>
        </w:rPr>
        <w:t>直接接触</w:t>
      </w:r>
    </w:p>
    <w:p w14:paraId="5020211B">
      <w:pPr>
        <w:autoSpaceDE/>
        <w:autoSpaceDN/>
        <w:snapToGrid w:val="0"/>
        <w:jc w:val="both"/>
        <w:rPr>
          <w:rFonts w:eastAsia="宋体"/>
          <w:sz w:val="24"/>
          <w:szCs w:val="24"/>
        </w:rPr>
      </w:pPr>
    </w:p>
    <w:p w14:paraId="1833FA90">
      <w:pPr>
        <w:autoSpaceDE/>
        <w:autoSpaceDN/>
        <w:snapToGrid w:val="0"/>
        <w:jc w:val="both"/>
        <w:rPr>
          <w:rFonts w:eastAsia="宋体"/>
          <w:sz w:val="24"/>
          <w:szCs w:val="24"/>
        </w:rPr>
      </w:pPr>
      <w:r>
        <w:rPr>
          <w:rFonts w:eastAsia="宋体"/>
          <w:b/>
          <w:bCs/>
          <w:color w:val="000000"/>
          <w:sz w:val="24"/>
          <w:szCs w:val="24"/>
        </w:rPr>
        <w:t>试验样品：</w:t>
      </w:r>
    </w:p>
    <w:p w14:paraId="1095AF0E">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整个最终完成的器械</w:t>
      </w:r>
    </w:p>
    <w:p w14:paraId="620367BA">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根据SOP选择有代表性的样品</w:t>
      </w:r>
    </w:p>
    <w:p w14:paraId="1E361AC3">
      <w:pPr>
        <w:tabs>
          <w:tab w:val="left" w:pos="4111"/>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02"/>
      </w:r>
      <w:r>
        <w:rPr>
          <w:rFonts w:eastAsia="宋体"/>
          <w:i/>
          <w:iCs/>
          <w:color w:val="000000"/>
          <w:sz w:val="24"/>
          <w:szCs w:val="24"/>
          <w:u w:val="single"/>
        </w:rPr>
        <w:t>[描述]</w:t>
      </w:r>
      <w:r>
        <w:rPr>
          <w:rFonts w:eastAsia="宋体"/>
          <w:color w:val="000000"/>
          <w:sz w:val="24"/>
          <w:szCs w:val="24"/>
          <w:u w:val="single"/>
        </w:rPr>
        <w:tab/>
      </w:r>
    </w:p>
    <w:p w14:paraId="6562C047">
      <w:pPr>
        <w:autoSpaceDE/>
        <w:autoSpaceDN/>
        <w:snapToGrid w:val="0"/>
        <w:jc w:val="both"/>
        <w:rPr>
          <w:rFonts w:eastAsia="宋体"/>
          <w:sz w:val="24"/>
          <w:szCs w:val="24"/>
        </w:rPr>
      </w:pPr>
      <w:r>
        <w:rPr>
          <w:rFonts w:eastAsia="宋体"/>
          <w:b/>
          <w:bCs/>
          <w:color w:val="000000"/>
          <w:sz w:val="24"/>
          <w:szCs w:val="24"/>
        </w:rPr>
        <w:t>稀释剂：</w:t>
      </w:r>
    </w:p>
    <w:p w14:paraId="2D2E66BD">
      <w:pPr>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不含镁和钙的PBS</w:t>
      </w:r>
    </w:p>
    <w:p w14:paraId="14F25689">
      <w:pPr>
        <w:autoSpaceDE/>
        <w:autoSpaceDN/>
        <w:snapToGrid w:val="0"/>
        <w:jc w:val="both"/>
        <w:rPr>
          <w:rFonts w:eastAsia="宋体"/>
          <w:color w:val="000000"/>
          <w:sz w:val="24"/>
          <w:szCs w:val="24"/>
          <w:vertAlign w:val="superscript"/>
        </w:rPr>
      </w:pPr>
    </w:p>
    <w:p w14:paraId="7AAFC70A">
      <w:pPr>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8A92822">
      <w:pPr>
        <w:tabs>
          <w:tab w:val="left" w:pos="3828"/>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03"/>
      </w:r>
      <w:r>
        <w:rPr>
          <w:rFonts w:eastAsia="宋体"/>
          <w:i/>
          <w:iCs/>
          <w:color w:val="000000"/>
          <w:sz w:val="24"/>
          <w:szCs w:val="24"/>
          <w:u w:val="single"/>
        </w:rPr>
        <w:t>[描述]</w:t>
      </w:r>
      <w:r>
        <w:rPr>
          <w:rFonts w:eastAsia="宋体"/>
          <w:color w:val="000000"/>
          <w:sz w:val="24"/>
          <w:szCs w:val="24"/>
          <w:u w:val="single"/>
        </w:rPr>
        <w:tab/>
      </w:r>
    </w:p>
    <w:p w14:paraId="2AB2DD90">
      <w:pPr>
        <w:autoSpaceDE/>
        <w:autoSpaceDN/>
        <w:snapToGrid w:val="0"/>
        <w:jc w:val="both"/>
        <w:rPr>
          <w:rFonts w:eastAsia="宋体"/>
          <w:sz w:val="24"/>
          <w:szCs w:val="24"/>
        </w:rPr>
      </w:pPr>
      <w:r>
        <w:rPr>
          <w:rFonts w:eastAsia="宋体"/>
          <w:b/>
          <w:bCs/>
          <w:color w:val="000000"/>
          <w:sz w:val="24"/>
          <w:szCs w:val="24"/>
        </w:rPr>
        <w:t>暴露率：</w:t>
      </w:r>
    </w:p>
    <w:p w14:paraId="042AAC85">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49A5CD73">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14:paraId="69970A22">
      <w:pPr>
        <w:tabs>
          <w:tab w:val="left" w:pos="3828"/>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sz w:val="24"/>
          <w:szCs w:val="24"/>
        </w:rPr>
        <w:tab/>
      </w:r>
      <w:r>
        <w:rPr>
          <w:rFonts w:eastAsia="宋体"/>
          <w:color w:val="000000"/>
          <w:sz w:val="24"/>
          <w:szCs w:val="24"/>
        </w:rPr>
        <w:t>其他：</w:t>
      </w:r>
      <w:r>
        <w:rPr>
          <w:rStyle w:val="17"/>
          <w:rFonts w:eastAsia="宋体"/>
          <w:sz w:val="24"/>
          <w:szCs w:val="24"/>
        </w:rPr>
        <w:footnoteReference w:id="104"/>
      </w:r>
      <w:r>
        <w:rPr>
          <w:rFonts w:eastAsia="宋体"/>
          <w:i/>
          <w:iCs/>
          <w:color w:val="000000"/>
          <w:sz w:val="24"/>
          <w:szCs w:val="24"/>
          <w:u w:val="single"/>
        </w:rPr>
        <w:t>[描述]</w:t>
      </w:r>
      <w:r>
        <w:rPr>
          <w:rFonts w:eastAsia="宋体"/>
          <w:color w:val="000000"/>
          <w:sz w:val="24"/>
          <w:szCs w:val="24"/>
          <w:u w:val="single"/>
        </w:rPr>
        <w:tab/>
      </w:r>
    </w:p>
    <w:p w14:paraId="07AD56DA">
      <w:pPr>
        <w:autoSpaceDE/>
        <w:autoSpaceDN/>
        <w:snapToGrid w:val="0"/>
        <w:jc w:val="both"/>
        <w:rPr>
          <w:rFonts w:eastAsia="宋体"/>
          <w:sz w:val="24"/>
          <w:szCs w:val="24"/>
        </w:rPr>
      </w:pPr>
    </w:p>
    <w:p w14:paraId="202AF925">
      <w:pPr>
        <w:autoSpaceDE/>
        <w:autoSpaceDN/>
        <w:snapToGrid w:val="0"/>
        <w:jc w:val="both"/>
        <w:rPr>
          <w:rFonts w:eastAsia="宋体"/>
          <w:sz w:val="24"/>
          <w:szCs w:val="24"/>
        </w:rPr>
      </w:pPr>
    </w:p>
    <w:p w14:paraId="322681BE">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试验样品和上清液颜色无变化，上清液没有出现浑浊或有颗粒。</w:t>
      </w:r>
    </w:p>
    <w:p w14:paraId="0066B08D">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上清液的颜色/浊度或颗粒有变化，或者试验样品有肿胀/降解。</w:t>
      </w:r>
      <w:r>
        <w:rPr>
          <w:rStyle w:val="17"/>
          <w:rFonts w:eastAsia="宋体"/>
          <w:sz w:val="24"/>
          <w:szCs w:val="24"/>
        </w:rPr>
        <w:footnoteReference w:id="105"/>
      </w:r>
    </w:p>
    <w:p w14:paraId="4BFC6104">
      <w:pPr>
        <w:tabs>
          <w:tab w:val="left" w:leader="underscore" w:pos="8645"/>
        </w:tabs>
        <w:autoSpaceDE/>
        <w:autoSpaceDN/>
        <w:snapToGrid w:val="0"/>
        <w:jc w:val="both"/>
        <w:rPr>
          <w:rFonts w:eastAsia="宋体"/>
          <w:b/>
          <w:bCs/>
          <w:color w:val="000000"/>
          <w:sz w:val="24"/>
          <w:szCs w:val="24"/>
        </w:rPr>
      </w:pPr>
    </w:p>
    <w:p w14:paraId="06C142D3">
      <w:pPr>
        <w:tabs>
          <w:tab w:val="left" w:pos="8645"/>
        </w:tabs>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[ASCAhemolysisf(日期/版本）]</w:t>
      </w:r>
      <w:r>
        <w:rPr>
          <w:rFonts w:eastAsia="宋体"/>
          <w:i/>
          <w:iCs/>
          <w:color w:val="000000"/>
          <w:sz w:val="24"/>
          <w:szCs w:val="24"/>
          <w:u w:val="single"/>
        </w:rPr>
        <w:tab/>
      </w:r>
      <w:r>
        <w:rPr>
          <w:rFonts w:eastAsia="宋体"/>
          <w:i/>
          <w:iCs/>
          <w:color w:val="000000"/>
          <w:sz w:val="24"/>
          <w:szCs w:val="24"/>
          <w:u w:val="single"/>
        </w:rPr>
        <w:t xml:space="preserve"> </w:t>
      </w:r>
    </w:p>
    <w:p w14:paraId="60E1F6B0">
      <w:pPr>
        <w:tabs>
          <w:tab w:val="left" w:pos="34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7BA83E65">
      <w:pPr>
        <w:tabs>
          <w:tab w:val="left" w:pos="346"/>
        </w:tabs>
        <w:autoSpaceDE/>
        <w:autoSpaceDN/>
        <w:snapToGrid w:val="0"/>
        <w:jc w:val="both"/>
        <w:rPr>
          <w:rFonts w:eastAsia="宋体"/>
          <w:b/>
          <w:bCs/>
          <w:color w:val="000000"/>
          <w:sz w:val="24"/>
          <w:szCs w:val="24"/>
        </w:rPr>
      </w:pPr>
      <w:r>
        <w:rPr>
          <w:rFonts w:eastAsia="宋体"/>
          <w:color w:val="000000"/>
          <w:sz w:val="24"/>
          <w:szCs w:val="24"/>
        </w:rPr>
        <w:t>或</w:t>
      </w:r>
    </w:p>
    <w:p w14:paraId="5E9410AA">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106"/>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4B4EE9B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PrEx>
        <w:tc>
          <w:tcPr>
            <w:tcW w:w="9408" w:type="dxa"/>
            <w:shd w:val="clear" w:color="auto" w:fill="FFFFFF"/>
            <w:tcMar>
              <w:left w:w="57" w:type="dxa"/>
              <w:right w:w="57" w:type="dxa"/>
            </w:tcMar>
          </w:tcPr>
          <w:p w14:paraId="36180D71">
            <w:pPr>
              <w:autoSpaceDE/>
              <w:autoSpaceDN/>
              <w:snapToGrid w:val="0"/>
              <w:jc w:val="both"/>
              <w:rPr>
                <w:rFonts w:eastAsia="宋体"/>
                <w:sz w:val="24"/>
                <w:szCs w:val="24"/>
              </w:rPr>
            </w:pPr>
          </w:p>
          <w:p w14:paraId="6D85C44B">
            <w:pPr>
              <w:autoSpaceDE/>
              <w:autoSpaceDN/>
              <w:snapToGrid w:val="0"/>
              <w:jc w:val="both"/>
              <w:rPr>
                <w:rFonts w:eastAsia="宋体"/>
                <w:sz w:val="24"/>
                <w:szCs w:val="24"/>
              </w:rPr>
            </w:pPr>
          </w:p>
        </w:tc>
      </w:tr>
      <w:tr w14:paraId="6539097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408" w:type="dxa"/>
            <w:shd w:val="clear" w:color="auto" w:fill="FFFFFF"/>
            <w:tcMar>
              <w:left w:w="57" w:type="dxa"/>
              <w:right w:w="57" w:type="dxa"/>
            </w:tcMar>
          </w:tcPr>
          <w:p w14:paraId="17919480">
            <w:pPr>
              <w:autoSpaceDE/>
              <w:autoSpaceDN/>
              <w:snapToGrid w:val="0"/>
              <w:jc w:val="both"/>
              <w:rPr>
                <w:rFonts w:eastAsia="宋体"/>
                <w:sz w:val="24"/>
                <w:szCs w:val="24"/>
              </w:rPr>
            </w:pPr>
            <w:r>
              <w:rPr>
                <w:rFonts w:eastAsia="宋体"/>
                <w:i/>
                <w:iCs/>
                <w:color w:val="000000"/>
                <w:sz w:val="24"/>
                <w:szCs w:val="24"/>
              </w:rPr>
              <w:t>偏离/修正案的描述</w:t>
            </w:r>
          </w:p>
        </w:tc>
      </w:tr>
    </w:tbl>
    <w:p w14:paraId="33AA6171">
      <w:pPr>
        <w:tabs>
          <w:tab w:val="left" w:pos="245"/>
        </w:tabs>
        <w:autoSpaceDE/>
        <w:autoSpaceDN/>
        <w:snapToGrid w:val="0"/>
        <w:jc w:val="both"/>
        <w:rPr>
          <w:rFonts w:eastAsia="宋体"/>
          <w:color w:val="000000"/>
          <w:sz w:val="24"/>
          <w:szCs w:val="24"/>
          <w:vertAlign w:val="superscript"/>
        </w:rPr>
      </w:pPr>
    </w:p>
    <w:p w14:paraId="13870629">
      <w:pPr>
        <w:tabs>
          <w:tab w:val="left" w:pos="24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06AD0D15">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107"/>
      </w:r>
    </w:p>
    <w:p w14:paraId="65E4845E">
      <w:pPr>
        <w:autoSpaceDE/>
        <w:autoSpaceDN/>
        <w:snapToGrid w:val="0"/>
        <w:jc w:val="both"/>
        <w:rPr>
          <w:rFonts w:eastAsia="宋体"/>
          <w:b/>
          <w:bCs/>
          <w:color w:val="000000"/>
          <w:sz w:val="24"/>
          <w:szCs w:val="24"/>
        </w:rPr>
      </w:pPr>
    </w:p>
    <w:p w14:paraId="4201DA07">
      <w:pPr>
        <w:autoSpaceDE/>
        <w:autoSpaceDN/>
        <w:snapToGrid w:val="0"/>
        <w:jc w:val="center"/>
        <w:rPr>
          <w:rFonts w:eastAsia="宋体"/>
          <w:b/>
          <w:bCs/>
          <w:sz w:val="24"/>
          <w:szCs w:val="24"/>
        </w:rPr>
      </w:pPr>
      <w:r>
        <w:rPr>
          <w:rFonts w:eastAsia="宋体"/>
          <w:b/>
          <w:bCs/>
          <w:color w:val="000000"/>
          <w:sz w:val="24"/>
          <w:szCs w:val="24"/>
        </w:rPr>
        <w:t>表1溶血试验结果</w:t>
      </w:r>
      <w:r>
        <w:rPr>
          <w:rStyle w:val="17"/>
          <w:rFonts w:eastAsia="宋体"/>
          <w:b/>
          <w:bCs/>
          <w:sz w:val="24"/>
          <w:szCs w:val="24"/>
        </w:rPr>
        <w:footnoteReference w:id="108"/>
      </w:r>
    </w:p>
    <w:p w14:paraId="0E6EE0DB">
      <w:pPr>
        <w:autoSpaceDE/>
        <w:autoSpaceDN/>
        <w:snapToGrid w:val="0"/>
        <w:jc w:val="both"/>
        <w:rPr>
          <w:rFonts w:eastAsia="宋体"/>
          <w:sz w:val="24"/>
          <w:szCs w:val="24"/>
        </w:rPr>
      </w:pPr>
    </w:p>
    <w:tbl>
      <w:tblPr>
        <w:tblStyle w:val="13"/>
        <w:tblW w:w="0" w:type="auto"/>
        <w:tblInd w:w="0" w:type="dxa"/>
        <w:tblLayout w:type="fixed"/>
        <w:tblCellMar>
          <w:top w:w="0" w:type="dxa"/>
          <w:left w:w="57" w:type="dxa"/>
          <w:bottom w:w="0" w:type="dxa"/>
          <w:right w:w="57" w:type="dxa"/>
        </w:tblCellMar>
      </w:tblPr>
      <w:tblGrid>
        <w:gridCol w:w="1231"/>
        <w:gridCol w:w="1216"/>
        <w:gridCol w:w="1301"/>
        <w:gridCol w:w="1289"/>
        <w:gridCol w:w="1342"/>
        <w:gridCol w:w="1301"/>
        <w:gridCol w:w="1289"/>
        <w:gridCol w:w="1392"/>
        <w:gridCol w:w="9"/>
        <w:gridCol w:w="2640"/>
        <w:gridCol w:w="6"/>
        <w:gridCol w:w="1668"/>
      </w:tblGrid>
      <w:tr w14:paraId="63657C2A">
        <w:tblPrEx>
          <w:tblCellMar>
            <w:top w:w="0" w:type="dxa"/>
            <w:left w:w="57" w:type="dxa"/>
            <w:bottom w:w="0" w:type="dxa"/>
            <w:right w:w="57" w:type="dxa"/>
          </w:tblCellMar>
        </w:tblPrEx>
        <w:tc>
          <w:tcPr>
            <w:tcW w:w="13010" w:type="dxa"/>
            <w:gridSpan w:val="10"/>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86F6DD">
            <w:pPr>
              <w:autoSpaceDE/>
              <w:autoSpaceDN/>
              <w:snapToGrid w:val="0"/>
              <w:jc w:val="center"/>
              <w:rPr>
                <w:rFonts w:eastAsia="宋体"/>
                <w:sz w:val="21"/>
                <w:szCs w:val="21"/>
              </w:rPr>
            </w:pPr>
            <w:r>
              <w:rPr>
                <w:rFonts w:eastAsia="宋体"/>
                <w:b/>
                <w:bCs/>
                <w:color w:val="000000"/>
                <w:sz w:val="21"/>
                <w:szCs w:val="21"/>
              </w:rPr>
              <w:t>浸提溶血剂</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7A3C29">
            <w:pPr>
              <w:autoSpaceDE/>
              <w:autoSpaceDN/>
              <w:snapToGrid w:val="0"/>
              <w:jc w:val="both"/>
              <w:rPr>
                <w:rFonts w:eastAsia="宋体"/>
                <w:sz w:val="21"/>
                <w:szCs w:val="21"/>
              </w:rPr>
            </w:pPr>
          </w:p>
        </w:tc>
      </w:tr>
      <w:tr w14:paraId="28614FF7">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nil"/>
              <w:right w:val="single" w:color="auto" w:sz="6" w:space="0"/>
            </w:tcBorders>
            <w:shd w:val="clear" w:color="auto" w:fill="FFFFFF"/>
            <w:tcMar>
              <w:left w:w="57" w:type="dxa"/>
              <w:right w:w="57" w:type="dxa"/>
            </w:tcMar>
          </w:tcPr>
          <w:p w14:paraId="7A5E4ED9">
            <w:pPr>
              <w:autoSpaceDE/>
              <w:autoSpaceDN/>
              <w:snapToGrid w:val="0"/>
              <w:jc w:val="center"/>
              <w:rPr>
                <w:rFonts w:eastAsia="宋体"/>
                <w:sz w:val="21"/>
                <w:szCs w:val="21"/>
              </w:rPr>
            </w:pPr>
            <w:r>
              <w:rPr>
                <w:rFonts w:eastAsia="宋体"/>
                <w:b/>
                <w:bCs/>
                <w:color w:val="000000"/>
                <w:sz w:val="21"/>
                <w:szCs w:val="21"/>
              </w:rPr>
              <w:t>样品</w:t>
            </w:r>
          </w:p>
        </w:tc>
        <w:tc>
          <w:tcPr>
            <w:tcW w:w="3806"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9ECFC0">
            <w:pPr>
              <w:autoSpaceDE/>
              <w:autoSpaceDN/>
              <w:snapToGrid w:val="0"/>
              <w:jc w:val="center"/>
              <w:rPr>
                <w:rFonts w:eastAsia="宋体"/>
                <w:sz w:val="21"/>
                <w:szCs w:val="21"/>
              </w:rPr>
            </w:pPr>
            <w:r>
              <w:rPr>
                <w:rFonts w:eastAsia="宋体"/>
                <w:b/>
                <w:bCs/>
                <w:color w:val="000000"/>
                <w:sz w:val="21"/>
                <w:szCs w:val="21"/>
              </w:rPr>
              <w:t>吸收率</w:t>
            </w:r>
          </w:p>
        </w:tc>
        <w:tc>
          <w:tcPr>
            <w:tcW w:w="3932"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390FE97">
            <w:pPr>
              <w:autoSpaceDE/>
              <w:autoSpaceDN/>
              <w:snapToGrid w:val="0"/>
              <w:jc w:val="center"/>
              <w:rPr>
                <w:rFonts w:eastAsia="宋体"/>
                <w:sz w:val="21"/>
                <w:szCs w:val="21"/>
              </w:rPr>
            </w:pPr>
            <w:r>
              <w:rPr>
                <w:rFonts w:eastAsia="宋体"/>
                <w:b/>
                <w:bCs/>
                <w:color w:val="000000"/>
                <w:sz w:val="21"/>
                <w:szCs w:val="21"/>
              </w:rPr>
              <w:t>空白校正溶血百分比</w:t>
            </w:r>
          </w:p>
        </w:tc>
        <w:tc>
          <w:tcPr>
            <w:tcW w:w="1392" w:type="dxa"/>
            <w:vMerge w:val="restart"/>
            <w:tcBorders>
              <w:top w:val="single" w:color="auto" w:sz="6" w:space="0"/>
              <w:left w:val="single" w:color="auto" w:sz="6" w:space="0"/>
              <w:right w:val="single" w:color="auto" w:sz="6" w:space="0"/>
            </w:tcBorders>
            <w:shd w:val="clear" w:color="auto" w:fill="FFFFFF"/>
            <w:tcMar>
              <w:left w:w="57" w:type="dxa"/>
              <w:right w:w="57" w:type="dxa"/>
            </w:tcMar>
          </w:tcPr>
          <w:p w14:paraId="20F3C69C">
            <w:pPr>
              <w:autoSpaceDE/>
              <w:autoSpaceDN/>
              <w:snapToGrid w:val="0"/>
              <w:jc w:val="center"/>
              <w:rPr>
                <w:rFonts w:eastAsia="宋体"/>
                <w:sz w:val="21"/>
                <w:szCs w:val="21"/>
              </w:rPr>
            </w:pPr>
            <w:r>
              <w:rPr>
                <w:rFonts w:eastAsia="宋体"/>
                <w:b/>
                <w:bCs/>
                <w:color w:val="000000"/>
                <w:sz w:val="21"/>
                <w:szCs w:val="21"/>
              </w:rPr>
              <w:t>平均空白校正溶血量</w:t>
            </w:r>
          </w:p>
          <w:p w14:paraId="61E03A1B">
            <w:pPr>
              <w:autoSpaceDE/>
              <w:autoSpaceDN/>
              <w:snapToGrid w:val="0"/>
              <w:jc w:val="center"/>
              <w:rPr>
                <w:rFonts w:eastAsia="宋体"/>
                <w:sz w:val="21"/>
                <w:szCs w:val="21"/>
              </w:rPr>
            </w:pPr>
            <w:r>
              <w:rPr>
                <w:rFonts w:eastAsia="宋体"/>
                <w:b/>
                <w:bCs/>
                <w:color w:val="000000"/>
                <w:sz w:val="21"/>
                <w:szCs w:val="21"/>
              </w:rPr>
              <w:t>（%）</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49FD47">
            <w:pPr>
              <w:autoSpaceDE/>
              <w:autoSpaceDN/>
              <w:snapToGrid w:val="0"/>
              <w:jc w:val="center"/>
              <w:rPr>
                <w:rFonts w:eastAsia="宋体"/>
                <w:sz w:val="21"/>
                <w:szCs w:val="21"/>
              </w:rPr>
            </w:pPr>
            <w:r>
              <w:rPr>
                <w:rFonts w:eastAsia="宋体"/>
                <w:b/>
                <w:bCs/>
                <w:color w:val="000000"/>
                <w:sz w:val="21"/>
                <w:szCs w:val="21"/>
              </w:rPr>
              <w:t>溶血指数（%）</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9CA4D0">
            <w:pPr>
              <w:autoSpaceDE/>
              <w:autoSpaceDN/>
              <w:snapToGrid w:val="0"/>
              <w:jc w:val="center"/>
              <w:rPr>
                <w:rFonts w:eastAsia="宋体"/>
                <w:sz w:val="21"/>
                <w:szCs w:val="21"/>
              </w:rPr>
            </w:pPr>
            <w:r>
              <w:rPr>
                <w:rFonts w:eastAsia="宋体"/>
                <w:b/>
                <w:bCs/>
                <w:color w:val="000000"/>
                <w:sz w:val="21"/>
                <w:szCs w:val="21"/>
              </w:rPr>
              <w:t>结论</w:t>
            </w:r>
          </w:p>
        </w:tc>
      </w:tr>
      <w:tr w14:paraId="595BFAEA">
        <w:tblPrEx>
          <w:tblCellMar>
            <w:top w:w="0" w:type="dxa"/>
            <w:left w:w="57" w:type="dxa"/>
            <w:bottom w:w="0" w:type="dxa"/>
            <w:right w:w="57" w:type="dxa"/>
          </w:tblCellMar>
        </w:tblPrEx>
        <w:trPr>
          <w:trHeight w:val="340" w:hRule="atLeast"/>
        </w:trPr>
        <w:tc>
          <w:tcPr>
            <w:tcW w:w="1231"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651C9F01">
            <w:pPr>
              <w:autoSpaceDE/>
              <w:autoSpaceDN/>
              <w:snapToGrid w:val="0"/>
              <w:jc w:val="both"/>
              <w:rPr>
                <w:rFonts w:eastAsia="宋体"/>
                <w:sz w:val="21"/>
                <w:szCs w:val="21"/>
              </w:rPr>
            </w:pP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A0B581">
            <w:pPr>
              <w:autoSpaceDE/>
              <w:autoSpaceDN/>
              <w:snapToGrid w:val="0"/>
              <w:jc w:val="both"/>
              <w:rPr>
                <w:rFonts w:eastAsia="宋体"/>
                <w:sz w:val="21"/>
                <w:szCs w:val="21"/>
              </w:rPr>
            </w:pPr>
            <w:r>
              <w:rPr>
                <w:rFonts w:eastAsia="宋体"/>
                <w:b/>
                <w:bCs/>
                <w:color w:val="000000"/>
                <w:sz w:val="21"/>
                <w:szCs w:val="21"/>
              </w:rPr>
              <w:t>重复样#1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207734A">
            <w:pPr>
              <w:autoSpaceDE/>
              <w:autoSpaceDN/>
              <w:snapToGrid w:val="0"/>
              <w:jc w:val="both"/>
              <w:rPr>
                <w:rFonts w:eastAsia="宋体"/>
                <w:sz w:val="21"/>
                <w:szCs w:val="21"/>
              </w:rPr>
            </w:pPr>
            <w:r>
              <w:rPr>
                <w:rFonts w:eastAsia="宋体"/>
                <w:b/>
                <w:bCs/>
                <w:color w:val="000000"/>
                <w:sz w:val="21"/>
                <w:szCs w:val="21"/>
              </w:rPr>
              <w:t>重复样#2</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083358">
            <w:pPr>
              <w:autoSpaceDE/>
              <w:autoSpaceDN/>
              <w:snapToGrid w:val="0"/>
              <w:jc w:val="both"/>
              <w:rPr>
                <w:rFonts w:eastAsia="宋体"/>
                <w:sz w:val="21"/>
                <w:szCs w:val="21"/>
              </w:rPr>
            </w:pPr>
            <w:r>
              <w:rPr>
                <w:rFonts w:eastAsia="宋体"/>
                <w:b/>
                <w:bCs/>
                <w:color w:val="000000"/>
                <w:sz w:val="21"/>
                <w:szCs w:val="21"/>
              </w:rPr>
              <w:t>重复样#3</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5FE0FE">
            <w:pPr>
              <w:autoSpaceDE/>
              <w:autoSpaceDN/>
              <w:snapToGrid w:val="0"/>
              <w:jc w:val="both"/>
              <w:rPr>
                <w:rFonts w:eastAsia="宋体"/>
                <w:sz w:val="21"/>
                <w:szCs w:val="21"/>
              </w:rPr>
            </w:pPr>
            <w:r>
              <w:rPr>
                <w:rFonts w:eastAsia="宋体"/>
                <w:b/>
                <w:bCs/>
                <w:color w:val="000000"/>
                <w:sz w:val="21"/>
                <w:szCs w:val="21"/>
              </w:rPr>
              <w:t>重复样#1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7CC5E6">
            <w:pPr>
              <w:autoSpaceDE/>
              <w:autoSpaceDN/>
              <w:snapToGrid w:val="0"/>
              <w:jc w:val="both"/>
              <w:rPr>
                <w:rFonts w:eastAsia="宋体"/>
                <w:sz w:val="21"/>
                <w:szCs w:val="21"/>
              </w:rPr>
            </w:pPr>
            <w:r>
              <w:rPr>
                <w:rFonts w:eastAsia="宋体"/>
                <w:b/>
                <w:bCs/>
                <w:color w:val="000000"/>
                <w:sz w:val="21"/>
                <w:szCs w:val="21"/>
              </w:rPr>
              <w:t>重复样#2</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409C0B">
            <w:pPr>
              <w:autoSpaceDE/>
              <w:autoSpaceDN/>
              <w:snapToGrid w:val="0"/>
              <w:jc w:val="both"/>
              <w:rPr>
                <w:rFonts w:eastAsia="宋体"/>
                <w:sz w:val="21"/>
                <w:szCs w:val="21"/>
              </w:rPr>
            </w:pPr>
            <w:r>
              <w:rPr>
                <w:rFonts w:eastAsia="宋体"/>
                <w:b/>
                <w:bCs/>
                <w:color w:val="000000"/>
                <w:sz w:val="21"/>
                <w:szCs w:val="21"/>
              </w:rPr>
              <w:t>重复样#3</w:t>
            </w:r>
          </w:p>
        </w:tc>
        <w:tc>
          <w:tcPr>
            <w:tcW w:w="1392"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14:paraId="39BA2509">
            <w:pPr>
              <w:autoSpaceDE/>
              <w:autoSpaceDN/>
              <w:snapToGrid w:val="0"/>
              <w:jc w:val="both"/>
              <w:rPr>
                <w:rFonts w:eastAsia="宋体"/>
                <w:sz w:val="21"/>
                <w:szCs w:val="21"/>
              </w:rPr>
            </w:pP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AC9D01">
            <w:pPr>
              <w:autoSpaceDE/>
              <w:autoSpaceDN/>
              <w:snapToGrid w:val="0"/>
              <w:jc w:val="both"/>
              <w:rPr>
                <w:rFonts w:eastAsia="宋体"/>
                <w:sz w:val="21"/>
                <w:szCs w:val="21"/>
              </w:rPr>
            </w:pP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FE5AD6">
            <w:pPr>
              <w:autoSpaceDE/>
              <w:autoSpaceDN/>
              <w:snapToGrid w:val="0"/>
              <w:jc w:val="both"/>
              <w:rPr>
                <w:rFonts w:eastAsia="宋体"/>
                <w:sz w:val="21"/>
                <w:szCs w:val="21"/>
              </w:rPr>
            </w:pPr>
          </w:p>
        </w:tc>
      </w:tr>
      <w:tr w14:paraId="5229A3FA">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9EEC7A">
            <w:pPr>
              <w:autoSpaceDE/>
              <w:autoSpaceDN/>
              <w:snapToGrid w:val="0"/>
              <w:jc w:val="both"/>
              <w:rPr>
                <w:rFonts w:eastAsia="宋体"/>
                <w:sz w:val="21"/>
                <w:szCs w:val="21"/>
              </w:rPr>
            </w:pPr>
            <w:r>
              <w:rPr>
                <w:rFonts w:eastAsia="宋体"/>
                <w:color w:val="000000"/>
                <w:sz w:val="21"/>
                <w:szCs w:val="21"/>
              </w:rPr>
              <w:t>空白</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33D925">
            <w:pPr>
              <w:autoSpaceDE/>
              <w:autoSpaceDN/>
              <w:snapToGrid w:val="0"/>
              <w:jc w:val="both"/>
              <w:rPr>
                <w:rFonts w:eastAsia="宋体"/>
                <w:sz w:val="21"/>
                <w:szCs w:val="21"/>
              </w:rPr>
            </w:pPr>
            <w:r>
              <w:rPr>
                <w:rFonts w:eastAsia="宋体"/>
                <w:color w:val="000000"/>
                <w:sz w:val="21"/>
                <w:szCs w:val="21"/>
              </w:rPr>
              <w:t>0.0022</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89F8F1">
            <w:pPr>
              <w:autoSpaceDE/>
              <w:autoSpaceDN/>
              <w:snapToGrid w:val="0"/>
              <w:jc w:val="both"/>
              <w:rPr>
                <w:rFonts w:eastAsia="宋体"/>
                <w:sz w:val="21"/>
                <w:szCs w:val="21"/>
              </w:rPr>
            </w:pPr>
            <w:r>
              <w:rPr>
                <w:rFonts w:eastAsia="宋体"/>
                <w:color w:val="000000"/>
                <w:sz w:val="21"/>
                <w:szCs w:val="21"/>
              </w:rPr>
              <w:t>0.0019</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70B79A">
            <w:pPr>
              <w:autoSpaceDE/>
              <w:autoSpaceDN/>
              <w:snapToGrid w:val="0"/>
              <w:jc w:val="both"/>
              <w:rPr>
                <w:rFonts w:eastAsia="宋体"/>
                <w:sz w:val="21"/>
                <w:szCs w:val="21"/>
              </w:rPr>
            </w:pPr>
            <w:r>
              <w:rPr>
                <w:rFonts w:eastAsia="宋体"/>
                <w:color w:val="000000"/>
                <w:sz w:val="21"/>
                <w:szCs w:val="21"/>
              </w:rPr>
              <w:t>0.0026</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FAB675">
            <w:pPr>
              <w:autoSpaceDE/>
              <w:autoSpaceDN/>
              <w:snapToGrid w:val="0"/>
              <w:jc w:val="both"/>
              <w:rPr>
                <w:rFonts w:eastAsia="宋体"/>
                <w:sz w:val="21"/>
                <w:szCs w:val="21"/>
              </w:rPr>
            </w:pPr>
            <w:r>
              <w:rPr>
                <w:rFonts w:eastAsia="宋体"/>
                <w:color w:val="000000"/>
                <w:sz w:val="21"/>
                <w:szCs w:val="21"/>
              </w:rPr>
              <w:t>-0.01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CADD1B">
            <w:pPr>
              <w:autoSpaceDE/>
              <w:autoSpaceDN/>
              <w:snapToGrid w:val="0"/>
              <w:jc w:val="both"/>
              <w:rPr>
                <w:rFonts w:eastAsia="宋体"/>
                <w:sz w:val="21"/>
                <w:szCs w:val="21"/>
              </w:rPr>
            </w:pPr>
            <w:r>
              <w:rPr>
                <w:rFonts w:eastAsia="宋体"/>
                <w:color w:val="000000"/>
                <w:sz w:val="21"/>
                <w:szCs w:val="21"/>
              </w:rPr>
              <w:t>-0.08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E39FA3">
            <w:pPr>
              <w:autoSpaceDE/>
              <w:autoSpaceDN/>
              <w:snapToGrid w:val="0"/>
              <w:jc w:val="both"/>
              <w:rPr>
                <w:rFonts w:eastAsia="宋体"/>
                <w:sz w:val="21"/>
                <w:szCs w:val="21"/>
              </w:rPr>
            </w:pPr>
            <w:r>
              <w:rPr>
                <w:rFonts w:eastAsia="宋体"/>
                <w:color w:val="000000"/>
                <w:sz w:val="21"/>
                <w:szCs w:val="21"/>
              </w:rPr>
              <w:t>0.09</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81F6C4">
            <w:pPr>
              <w:autoSpaceDE/>
              <w:autoSpaceDN/>
              <w:snapToGrid w:val="0"/>
              <w:jc w:val="both"/>
              <w:rPr>
                <w:rFonts w:eastAsia="宋体"/>
                <w:sz w:val="21"/>
                <w:szCs w:val="21"/>
              </w:rPr>
            </w:pPr>
            <w:r>
              <w:rPr>
                <w:rFonts w:eastAsia="宋体"/>
                <w:color w:val="000000"/>
                <w:sz w:val="21"/>
                <w:szCs w:val="21"/>
              </w:rPr>
              <w:t>0.00</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392AF6">
            <w:pPr>
              <w:autoSpaceDE/>
              <w:autoSpaceDN/>
              <w:snapToGrid w:val="0"/>
              <w:jc w:val="both"/>
              <w:rPr>
                <w:rFonts w:eastAsia="宋体"/>
                <w:sz w:val="21"/>
                <w:szCs w:val="21"/>
              </w:rPr>
            </w:pPr>
            <w:r>
              <w:rPr>
                <w:rFonts w:eastAsia="宋体"/>
                <w:color w:val="000000"/>
                <w:sz w:val="21"/>
                <w:szCs w:val="21"/>
              </w:rPr>
              <w:t>-</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373175">
            <w:pPr>
              <w:autoSpaceDE/>
              <w:autoSpaceDN/>
              <w:snapToGrid w:val="0"/>
              <w:jc w:val="both"/>
              <w:rPr>
                <w:rFonts w:eastAsia="宋体"/>
                <w:sz w:val="21"/>
                <w:szCs w:val="21"/>
              </w:rPr>
            </w:pPr>
            <w:r>
              <w:rPr>
                <w:rFonts w:eastAsia="宋体"/>
                <w:color w:val="000000"/>
                <w:sz w:val="21"/>
                <w:szCs w:val="21"/>
              </w:rPr>
              <w:t>按预期执行</w:t>
            </w:r>
          </w:p>
        </w:tc>
      </w:tr>
      <w:tr w14:paraId="2DC3CDD1">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443F9D">
            <w:pPr>
              <w:autoSpaceDE/>
              <w:autoSpaceDN/>
              <w:snapToGrid w:val="0"/>
              <w:jc w:val="both"/>
              <w:rPr>
                <w:rFonts w:eastAsia="宋体"/>
                <w:sz w:val="21"/>
                <w:szCs w:val="21"/>
              </w:rPr>
            </w:pPr>
            <w:r>
              <w:rPr>
                <w:rFonts w:eastAsia="宋体"/>
                <w:color w:val="000000"/>
                <w:sz w:val="21"/>
                <w:szCs w:val="21"/>
              </w:rPr>
              <w:t>阴性对照</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FF5C8A">
            <w:pPr>
              <w:autoSpaceDE/>
              <w:autoSpaceDN/>
              <w:snapToGrid w:val="0"/>
              <w:jc w:val="both"/>
              <w:rPr>
                <w:rFonts w:eastAsia="宋体"/>
                <w:sz w:val="21"/>
                <w:szCs w:val="21"/>
              </w:rPr>
            </w:pPr>
            <w:r>
              <w:rPr>
                <w:rFonts w:eastAsia="宋体"/>
                <w:color w:val="000000"/>
                <w:sz w:val="21"/>
                <w:szCs w:val="21"/>
              </w:rPr>
              <w:t>0.0020</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4F5706">
            <w:pPr>
              <w:autoSpaceDE/>
              <w:autoSpaceDN/>
              <w:snapToGrid w:val="0"/>
              <w:jc w:val="both"/>
              <w:rPr>
                <w:rFonts w:eastAsia="宋体"/>
                <w:sz w:val="21"/>
                <w:szCs w:val="21"/>
              </w:rPr>
            </w:pPr>
            <w:r>
              <w:rPr>
                <w:rFonts w:eastAsia="宋体"/>
                <w:color w:val="000000"/>
                <w:sz w:val="21"/>
                <w:szCs w:val="21"/>
              </w:rPr>
              <w:t>0.0018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A0DEEF">
            <w:pPr>
              <w:autoSpaceDE/>
              <w:autoSpaceDN/>
              <w:snapToGrid w:val="0"/>
              <w:jc w:val="both"/>
              <w:rPr>
                <w:rFonts w:eastAsia="宋体"/>
                <w:sz w:val="21"/>
                <w:szCs w:val="21"/>
              </w:rPr>
            </w:pPr>
            <w:r>
              <w:rPr>
                <w:rFonts w:eastAsia="宋体"/>
                <w:color w:val="000000"/>
                <w:sz w:val="21"/>
                <w:szCs w:val="21"/>
              </w:rPr>
              <w:t>0.0019</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4B54F2">
            <w:pPr>
              <w:autoSpaceDE/>
              <w:autoSpaceDN/>
              <w:snapToGrid w:val="0"/>
              <w:jc w:val="both"/>
              <w:rPr>
                <w:rFonts w:eastAsia="宋体"/>
                <w:sz w:val="21"/>
                <w:szCs w:val="21"/>
              </w:rPr>
            </w:pPr>
            <w:r>
              <w:rPr>
                <w:rFonts w:eastAsia="宋体"/>
                <w:color w:val="000000"/>
                <w:sz w:val="21"/>
                <w:szCs w:val="21"/>
              </w:rPr>
              <w:t>-0.06</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3F0807">
            <w:pPr>
              <w:autoSpaceDE/>
              <w:autoSpaceDN/>
              <w:snapToGrid w:val="0"/>
              <w:jc w:val="both"/>
              <w:rPr>
                <w:rFonts w:eastAsia="宋体"/>
                <w:sz w:val="21"/>
                <w:szCs w:val="21"/>
              </w:rPr>
            </w:pPr>
            <w:r>
              <w:rPr>
                <w:rFonts w:eastAsia="宋体"/>
                <w:color w:val="000000"/>
                <w:sz w:val="21"/>
                <w:szCs w:val="21"/>
              </w:rPr>
              <w:t>-0.11</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B7F4C3">
            <w:pPr>
              <w:autoSpaceDE/>
              <w:autoSpaceDN/>
              <w:snapToGrid w:val="0"/>
              <w:jc w:val="both"/>
              <w:rPr>
                <w:rFonts w:eastAsia="宋体"/>
                <w:sz w:val="21"/>
                <w:szCs w:val="21"/>
              </w:rPr>
            </w:pPr>
            <w:r>
              <w:rPr>
                <w:rFonts w:eastAsia="宋体"/>
                <w:color w:val="000000"/>
                <w:sz w:val="21"/>
                <w:szCs w:val="21"/>
              </w:rPr>
              <w:t>-0.08</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A55F5E">
            <w:pPr>
              <w:autoSpaceDE/>
              <w:autoSpaceDN/>
              <w:snapToGrid w:val="0"/>
              <w:jc w:val="both"/>
              <w:rPr>
                <w:rFonts w:eastAsia="宋体"/>
                <w:sz w:val="21"/>
                <w:szCs w:val="21"/>
              </w:rPr>
            </w:pPr>
            <w:r>
              <w:rPr>
                <w:rFonts w:eastAsia="宋体"/>
                <w:color w:val="000000"/>
                <w:sz w:val="21"/>
                <w:szCs w:val="21"/>
              </w:rPr>
              <w:t>-0.08</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5561F7">
            <w:pPr>
              <w:autoSpaceDE/>
              <w:autoSpaceDN/>
              <w:snapToGrid w:val="0"/>
              <w:jc w:val="both"/>
              <w:rPr>
                <w:rFonts w:eastAsia="宋体"/>
                <w:sz w:val="21"/>
                <w:szCs w:val="21"/>
              </w:rPr>
            </w:pPr>
            <w:r>
              <w:rPr>
                <w:rFonts w:eastAsia="宋体"/>
                <w:color w:val="000000"/>
                <w:sz w:val="21"/>
                <w:szCs w:val="21"/>
              </w:rPr>
              <w:t>-</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8F50D0B">
            <w:pPr>
              <w:autoSpaceDE/>
              <w:autoSpaceDN/>
              <w:snapToGrid w:val="0"/>
              <w:jc w:val="both"/>
              <w:rPr>
                <w:rFonts w:eastAsia="宋体"/>
                <w:sz w:val="21"/>
                <w:szCs w:val="21"/>
              </w:rPr>
            </w:pPr>
            <w:r>
              <w:rPr>
                <w:rFonts w:eastAsia="宋体"/>
                <w:color w:val="000000"/>
                <w:sz w:val="21"/>
                <w:szCs w:val="21"/>
              </w:rPr>
              <w:t>按预期执行</w:t>
            </w:r>
          </w:p>
        </w:tc>
      </w:tr>
      <w:tr w14:paraId="0A56EB87">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FE7AA8">
            <w:pPr>
              <w:autoSpaceDE/>
              <w:autoSpaceDN/>
              <w:snapToGrid w:val="0"/>
              <w:jc w:val="both"/>
              <w:rPr>
                <w:rFonts w:eastAsia="宋体"/>
                <w:sz w:val="21"/>
                <w:szCs w:val="21"/>
              </w:rPr>
            </w:pPr>
            <w:r>
              <w:rPr>
                <w:rFonts w:eastAsia="宋体"/>
                <w:color w:val="000000"/>
                <w:sz w:val="21"/>
                <w:szCs w:val="21"/>
              </w:rPr>
              <w:t>阳性对照</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8C20AEB">
            <w:pPr>
              <w:autoSpaceDE/>
              <w:autoSpaceDN/>
              <w:snapToGrid w:val="0"/>
              <w:jc w:val="both"/>
              <w:rPr>
                <w:rFonts w:eastAsia="宋体"/>
                <w:sz w:val="21"/>
                <w:szCs w:val="21"/>
              </w:rPr>
            </w:pPr>
            <w:r>
              <w:rPr>
                <w:rFonts w:eastAsia="宋体"/>
                <w:color w:val="000000"/>
                <w:sz w:val="21"/>
                <w:szCs w:val="21"/>
              </w:rPr>
              <w:t>0.3233</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5A2B07">
            <w:pPr>
              <w:autoSpaceDE/>
              <w:autoSpaceDN/>
              <w:snapToGrid w:val="0"/>
              <w:jc w:val="both"/>
              <w:rPr>
                <w:rFonts w:eastAsia="宋体"/>
                <w:sz w:val="21"/>
                <w:szCs w:val="21"/>
              </w:rPr>
            </w:pPr>
            <w:r>
              <w:rPr>
                <w:rFonts w:eastAsia="宋体"/>
                <w:color w:val="000000"/>
                <w:sz w:val="21"/>
                <w:szCs w:val="21"/>
              </w:rPr>
              <w:t>0.3258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F40DC3">
            <w:pPr>
              <w:autoSpaceDE/>
              <w:autoSpaceDN/>
              <w:snapToGrid w:val="0"/>
              <w:jc w:val="both"/>
              <w:rPr>
                <w:rFonts w:eastAsia="宋体"/>
                <w:sz w:val="21"/>
                <w:szCs w:val="21"/>
              </w:rPr>
            </w:pPr>
            <w:r>
              <w:rPr>
                <w:rFonts w:eastAsia="宋体"/>
                <w:color w:val="000000"/>
                <w:sz w:val="21"/>
                <w:szCs w:val="21"/>
              </w:rPr>
              <w:t>0.3261</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564D5E">
            <w:pPr>
              <w:autoSpaceDE/>
              <w:autoSpaceDN/>
              <w:snapToGrid w:val="0"/>
              <w:jc w:val="both"/>
              <w:rPr>
                <w:rFonts w:eastAsia="宋体"/>
                <w:sz w:val="21"/>
                <w:szCs w:val="21"/>
              </w:rPr>
            </w:pPr>
            <w:r>
              <w:rPr>
                <w:rFonts w:eastAsia="宋体"/>
                <w:color w:val="000000"/>
                <w:sz w:val="21"/>
                <w:szCs w:val="21"/>
              </w:rPr>
              <w:t>79.68</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E66F8D">
            <w:pPr>
              <w:autoSpaceDE/>
              <w:autoSpaceDN/>
              <w:snapToGrid w:val="0"/>
              <w:jc w:val="both"/>
              <w:rPr>
                <w:rFonts w:eastAsia="宋体"/>
                <w:sz w:val="21"/>
                <w:szCs w:val="21"/>
              </w:rPr>
            </w:pPr>
            <w:r>
              <w:rPr>
                <w:rFonts w:eastAsia="宋体"/>
                <w:color w:val="000000"/>
                <w:sz w:val="21"/>
                <w:szCs w:val="21"/>
              </w:rPr>
              <w:t>80.30</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B46AAA">
            <w:pPr>
              <w:autoSpaceDE/>
              <w:autoSpaceDN/>
              <w:snapToGrid w:val="0"/>
              <w:jc w:val="both"/>
              <w:rPr>
                <w:rFonts w:eastAsia="宋体"/>
                <w:sz w:val="21"/>
                <w:szCs w:val="21"/>
              </w:rPr>
            </w:pPr>
            <w:r>
              <w:rPr>
                <w:rFonts w:eastAsia="宋体"/>
                <w:color w:val="000000"/>
                <w:sz w:val="21"/>
                <w:szCs w:val="21"/>
              </w:rPr>
              <w:t>80.37</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E41B31">
            <w:pPr>
              <w:autoSpaceDE/>
              <w:autoSpaceDN/>
              <w:snapToGrid w:val="0"/>
              <w:jc w:val="both"/>
              <w:rPr>
                <w:rFonts w:eastAsia="宋体"/>
                <w:sz w:val="21"/>
                <w:szCs w:val="21"/>
              </w:rPr>
            </w:pPr>
            <w:r>
              <w:rPr>
                <w:rFonts w:eastAsia="宋体"/>
                <w:color w:val="000000"/>
                <w:sz w:val="21"/>
                <w:szCs w:val="21"/>
              </w:rPr>
              <w:t>80.11</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E0E424">
            <w:pPr>
              <w:autoSpaceDE/>
              <w:autoSpaceDN/>
              <w:snapToGrid w:val="0"/>
              <w:jc w:val="both"/>
              <w:rPr>
                <w:rFonts w:eastAsia="宋体"/>
                <w:sz w:val="21"/>
                <w:szCs w:val="21"/>
              </w:rPr>
            </w:pPr>
            <w:r>
              <w:rPr>
                <w:rFonts w:eastAsia="宋体"/>
                <w:color w:val="000000"/>
                <w:sz w:val="21"/>
                <w:szCs w:val="21"/>
              </w:rPr>
              <w:t>80.20</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C02E04">
            <w:pPr>
              <w:autoSpaceDE/>
              <w:autoSpaceDN/>
              <w:snapToGrid w:val="0"/>
              <w:jc w:val="both"/>
              <w:rPr>
                <w:rFonts w:eastAsia="宋体"/>
                <w:sz w:val="21"/>
                <w:szCs w:val="21"/>
              </w:rPr>
            </w:pPr>
            <w:r>
              <w:rPr>
                <w:rFonts w:eastAsia="宋体"/>
                <w:color w:val="000000"/>
                <w:sz w:val="21"/>
                <w:szCs w:val="21"/>
              </w:rPr>
              <w:t>按预期执行</w:t>
            </w:r>
          </w:p>
        </w:tc>
      </w:tr>
      <w:tr w14:paraId="0B269AFC">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DDA316">
            <w:pPr>
              <w:autoSpaceDE/>
              <w:autoSpaceDN/>
              <w:snapToGrid w:val="0"/>
              <w:jc w:val="both"/>
              <w:rPr>
                <w:rFonts w:eastAsia="宋体"/>
                <w:sz w:val="21"/>
                <w:szCs w:val="21"/>
              </w:rPr>
            </w:pPr>
            <w:r>
              <w:rPr>
                <w:rFonts w:eastAsia="宋体"/>
                <w:color w:val="000000"/>
                <w:sz w:val="21"/>
                <w:szCs w:val="21"/>
              </w:rPr>
              <w:t>试验样品</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764F4B">
            <w:pPr>
              <w:autoSpaceDE/>
              <w:autoSpaceDN/>
              <w:snapToGrid w:val="0"/>
              <w:jc w:val="both"/>
              <w:rPr>
                <w:rFonts w:eastAsia="宋体"/>
                <w:sz w:val="21"/>
                <w:szCs w:val="21"/>
              </w:rPr>
            </w:pPr>
            <w:r>
              <w:rPr>
                <w:rFonts w:eastAsia="宋体"/>
                <w:color w:val="000000"/>
                <w:sz w:val="21"/>
                <w:szCs w:val="21"/>
              </w:rPr>
              <w:t>0.0019</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52D3DC">
            <w:pPr>
              <w:autoSpaceDE/>
              <w:autoSpaceDN/>
              <w:snapToGrid w:val="0"/>
              <w:jc w:val="both"/>
              <w:rPr>
                <w:rFonts w:eastAsia="宋体"/>
                <w:sz w:val="21"/>
                <w:szCs w:val="21"/>
              </w:rPr>
            </w:pPr>
            <w:r>
              <w:rPr>
                <w:rFonts w:eastAsia="宋体"/>
                <w:color w:val="000000"/>
                <w:sz w:val="21"/>
                <w:szCs w:val="21"/>
              </w:rPr>
              <w:t>0.0015</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4253FC">
            <w:pPr>
              <w:autoSpaceDE/>
              <w:autoSpaceDN/>
              <w:snapToGrid w:val="0"/>
              <w:jc w:val="both"/>
              <w:rPr>
                <w:rFonts w:eastAsia="宋体"/>
                <w:sz w:val="21"/>
                <w:szCs w:val="21"/>
              </w:rPr>
            </w:pPr>
            <w:r>
              <w:rPr>
                <w:rFonts w:eastAsia="宋体"/>
                <w:color w:val="000000"/>
                <w:sz w:val="21"/>
                <w:szCs w:val="21"/>
              </w:rPr>
              <w:t>0.0015</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CF0E656">
            <w:pPr>
              <w:autoSpaceDE/>
              <w:autoSpaceDN/>
              <w:snapToGrid w:val="0"/>
              <w:jc w:val="both"/>
              <w:rPr>
                <w:rFonts w:eastAsia="宋体"/>
                <w:sz w:val="21"/>
                <w:szCs w:val="21"/>
              </w:rPr>
            </w:pPr>
            <w:r>
              <w:rPr>
                <w:rFonts w:eastAsia="宋体"/>
                <w:color w:val="000000"/>
                <w:sz w:val="21"/>
                <w:szCs w:val="21"/>
              </w:rPr>
              <w:t>-0.08</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600D5D">
            <w:pPr>
              <w:autoSpaceDE/>
              <w:autoSpaceDN/>
              <w:snapToGrid w:val="0"/>
              <w:jc w:val="both"/>
              <w:rPr>
                <w:rFonts w:eastAsia="宋体"/>
                <w:sz w:val="21"/>
                <w:szCs w:val="21"/>
              </w:rPr>
            </w:pPr>
            <w:r>
              <w:rPr>
                <w:rFonts w:eastAsia="宋体"/>
                <w:color w:val="000000"/>
                <w:sz w:val="21"/>
                <w:szCs w:val="21"/>
              </w:rPr>
              <w:t>-0.18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61DB51">
            <w:pPr>
              <w:autoSpaceDE/>
              <w:autoSpaceDN/>
              <w:snapToGrid w:val="0"/>
              <w:jc w:val="both"/>
              <w:rPr>
                <w:rFonts w:eastAsia="宋体"/>
                <w:sz w:val="21"/>
                <w:szCs w:val="21"/>
              </w:rPr>
            </w:pPr>
            <w:r>
              <w:rPr>
                <w:rFonts w:eastAsia="宋体"/>
                <w:color w:val="000000"/>
                <w:sz w:val="21"/>
                <w:szCs w:val="21"/>
              </w:rPr>
              <w:t>-0.18</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8D0DF5">
            <w:pPr>
              <w:autoSpaceDE/>
              <w:autoSpaceDN/>
              <w:snapToGrid w:val="0"/>
              <w:jc w:val="both"/>
              <w:rPr>
                <w:rFonts w:eastAsia="宋体"/>
                <w:sz w:val="21"/>
                <w:szCs w:val="21"/>
              </w:rPr>
            </w:pPr>
            <w:r>
              <w:rPr>
                <w:rFonts w:eastAsia="宋体"/>
                <w:color w:val="000000"/>
                <w:sz w:val="21"/>
                <w:szCs w:val="21"/>
              </w:rPr>
              <w:t>-0.15</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787B85">
            <w:pPr>
              <w:autoSpaceDE/>
              <w:autoSpaceDN/>
              <w:snapToGrid w:val="0"/>
              <w:jc w:val="both"/>
              <w:rPr>
                <w:rFonts w:eastAsia="宋体"/>
                <w:sz w:val="21"/>
                <w:szCs w:val="21"/>
              </w:rPr>
            </w:pPr>
            <w:r>
              <w:rPr>
                <w:rFonts w:eastAsia="宋体"/>
                <w:color w:val="000000"/>
                <w:sz w:val="21"/>
                <w:szCs w:val="21"/>
              </w:rPr>
              <w:t>-0.07</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3D92CF">
            <w:pPr>
              <w:autoSpaceDE/>
              <w:autoSpaceDN/>
              <w:snapToGrid w:val="0"/>
              <w:jc w:val="both"/>
              <w:rPr>
                <w:rFonts w:eastAsia="宋体"/>
                <w:sz w:val="21"/>
                <w:szCs w:val="21"/>
              </w:rPr>
            </w:pPr>
            <w:r>
              <w:rPr>
                <w:rFonts w:eastAsia="宋体"/>
                <w:color w:val="000000"/>
                <w:sz w:val="21"/>
                <w:szCs w:val="21"/>
              </w:rPr>
              <w:t>非溶血</w:t>
            </w:r>
          </w:p>
        </w:tc>
      </w:tr>
      <w:tr w14:paraId="59EF9D03">
        <w:tblPrEx>
          <w:tblCellMar>
            <w:top w:w="0" w:type="dxa"/>
            <w:left w:w="57" w:type="dxa"/>
            <w:bottom w:w="0" w:type="dxa"/>
            <w:right w:w="57" w:type="dxa"/>
          </w:tblCellMar>
        </w:tblPrEx>
        <w:tc>
          <w:tcPr>
            <w:tcW w:w="14684" w:type="dxa"/>
            <w:gridSpan w:val="1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CD2FF9">
            <w:pPr>
              <w:autoSpaceDE/>
              <w:autoSpaceDN/>
              <w:snapToGrid w:val="0"/>
              <w:jc w:val="center"/>
              <w:rPr>
                <w:rFonts w:eastAsia="宋体"/>
                <w:sz w:val="21"/>
                <w:szCs w:val="21"/>
              </w:rPr>
            </w:pPr>
            <w:r>
              <w:rPr>
                <w:rFonts w:eastAsia="宋体"/>
                <w:b/>
                <w:bCs/>
                <w:color w:val="000000"/>
                <w:sz w:val="21"/>
                <w:szCs w:val="21"/>
              </w:rPr>
              <w:t>直接溶血</w:t>
            </w:r>
          </w:p>
        </w:tc>
      </w:tr>
      <w:tr w14:paraId="71E2E1AD">
        <w:tblPrEx>
          <w:tblCellMar>
            <w:top w:w="0" w:type="dxa"/>
            <w:left w:w="57" w:type="dxa"/>
            <w:bottom w:w="0" w:type="dxa"/>
            <w:right w:w="57" w:type="dxa"/>
          </w:tblCellMar>
        </w:tblPrEx>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E231E6">
            <w:pPr>
              <w:autoSpaceDE/>
              <w:autoSpaceDN/>
              <w:snapToGrid w:val="0"/>
              <w:jc w:val="center"/>
              <w:rPr>
                <w:rFonts w:eastAsia="宋体"/>
                <w:sz w:val="21"/>
                <w:szCs w:val="21"/>
              </w:rPr>
            </w:pPr>
            <w:r>
              <w:rPr>
                <w:rFonts w:eastAsia="宋体"/>
                <w:b/>
                <w:bCs/>
                <w:color w:val="000000"/>
                <w:sz w:val="21"/>
                <w:szCs w:val="21"/>
              </w:rPr>
              <w:t>样品</w:t>
            </w:r>
          </w:p>
        </w:tc>
        <w:tc>
          <w:tcPr>
            <w:tcW w:w="3806"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ABC518">
            <w:pPr>
              <w:autoSpaceDE/>
              <w:autoSpaceDN/>
              <w:snapToGrid w:val="0"/>
              <w:jc w:val="center"/>
              <w:rPr>
                <w:rFonts w:eastAsia="宋体"/>
                <w:sz w:val="21"/>
                <w:szCs w:val="21"/>
              </w:rPr>
            </w:pPr>
            <w:r>
              <w:rPr>
                <w:rFonts w:eastAsia="宋体"/>
                <w:b/>
                <w:bCs/>
                <w:color w:val="000000"/>
                <w:sz w:val="21"/>
                <w:szCs w:val="21"/>
              </w:rPr>
              <w:t>吸收率</w:t>
            </w:r>
          </w:p>
        </w:tc>
        <w:tc>
          <w:tcPr>
            <w:tcW w:w="3932"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EE128B">
            <w:pPr>
              <w:autoSpaceDE/>
              <w:autoSpaceDN/>
              <w:snapToGrid w:val="0"/>
              <w:jc w:val="center"/>
              <w:rPr>
                <w:rFonts w:eastAsia="宋体"/>
                <w:sz w:val="21"/>
                <w:szCs w:val="21"/>
              </w:rPr>
            </w:pPr>
            <w:r>
              <w:rPr>
                <w:rFonts w:eastAsia="宋体"/>
                <w:b/>
                <w:bCs/>
                <w:color w:val="000000"/>
                <w:sz w:val="21"/>
                <w:szCs w:val="21"/>
              </w:rPr>
              <w:t>空白校正溶血百分比</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1CD1AC">
            <w:pPr>
              <w:autoSpaceDE/>
              <w:autoSpaceDN/>
              <w:snapToGrid w:val="0"/>
              <w:jc w:val="center"/>
              <w:rPr>
                <w:rFonts w:eastAsia="宋体"/>
                <w:sz w:val="21"/>
                <w:szCs w:val="21"/>
              </w:rPr>
            </w:pPr>
            <w:r>
              <w:rPr>
                <w:rFonts w:eastAsia="宋体"/>
                <w:b/>
                <w:bCs/>
                <w:color w:val="000000"/>
                <w:sz w:val="21"/>
                <w:szCs w:val="21"/>
              </w:rPr>
              <w:t>平均空白校正溶血量</w:t>
            </w:r>
          </w:p>
          <w:p w14:paraId="254D5A33">
            <w:pPr>
              <w:autoSpaceDE/>
              <w:autoSpaceDN/>
              <w:snapToGrid w:val="0"/>
              <w:jc w:val="center"/>
              <w:rPr>
                <w:rFonts w:eastAsia="宋体"/>
                <w:sz w:val="21"/>
                <w:szCs w:val="21"/>
              </w:rPr>
            </w:pPr>
            <w:r>
              <w:rPr>
                <w:rFonts w:eastAsia="宋体"/>
                <w:b/>
                <w:bCs/>
                <w:color w:val="000000"/>
                <w:sz w:val="21"/>
                <w:szCs w:val="21"/>
              </w:rPr>
              <w:t>（%）</w:t>
            </w: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EB8D55">
            <w:pPr>
              <w:autoSpaceDE/>
              <w:autoSpaceDN/>
              <w:snapToGrid w:val="0"/>
              <w:jc w:val="center"/>
              <w:rPr>
                <w:rFonts w:eastAsia="宋体"/>
                <w:sz w:val="21"/>
                <w:szCs w:val="21"/>
              </w:rPr>
            </w:pPr>
            <w:r>
              <w:rPr>
                <w:rFonts w:eastAsia="宋体"/>
                <w:b/>
                <w:bCs/>
                <w:color w:val="000000"/>
                <w:sz w:val="21"/>
                <w:szCs w:val="21"/>
              </w:rPr>
              <w:t>溶血指数（%）</w:t>
            </w: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8857A0">
            <w:pPr>
              <w:autoSpaceDE/>
              <w:autoSpaceDN/>
              <w:snapToGrid w:val="0"/>
              <w:jc w:val="center"/>
              <w:rPr>
                <w:rFonts w:eastAsia="宋体"/>
                <w:sz w:val="21"/>
                <w:szCs w:val="21"/>
              </w:rPr>
            </w:pPr>
            <w:r>
              <w:rPr>
                <w:rFonts w:eastAsia="宋体"/>
                <w:b/>
                <w:bCs/>
                <w:color w:val="000000"/>
                <w:sz w:val="21"/>
                <w:szCs w:val="21"/>
              </w:rPr>
              <w:t>结论</w:t>
            </w:r>
          </w:p>
        </w:tc>
      </w:tr>
      <w:tr w14:paraId="62841101">
        <w:tblPrEx>
          <w:tblCellMar>
            <w:top w:w="0" w:type="dxa"/>
            <w:left w:w="57" w:type="dxa"/>
            <w:bottom w:w="0" w:type="dxa"/>
            <w:right w:w="57" w:type="dxa"/>
          </w:tblCellMar>
        </w:tblPrEx>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99C916">
            <w:pPr>
              <w:autoSpaceDE/>
              <w:autoSpaceDN/>
              <w:snapToGrid w:val="0"/>
              <w:jc w:val="both"/>
              <w:rPr>
                <w:rFonts w:eastAsia="宋体"/>
                <w:sz w:val="21"/>
                <w:szCs w:val="21"/>
              </w:rPr>
            </w:pP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490528">
            <w:pPr>
              <w:autoSpaceDE/>
              <w:autoSpaceDN/>
              <w:snapToGrid w:val="0"/>
              <w:jc w:val="both"/>
              <w:rPr>
                <w:rFonts w:eastAsia="宋体"/>
                <w:sz w:val="21"/>
                <w:szCs w:val="21"/>
              </w:rPr>
            </w:pPr>
            <w:r>
              <w:rPr>
                <w:rFonts w:eastAsia="宋体"/>
                <w:b/>
                <w:bCs/>
                <w:color w:val="000000"/>
                <w:sz w:val="21"/>
                <w:szCs w:val="21"/>
              </w:rPr>
              <w:t>重复样#1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727717">
            <w:pPr>
              <w:autoSpaceDE/>
              <w:autoSpaceDN/>
              <w:snapToGrid w:val="0"/>
              <w:jc w:val="both"/>
              <w:rPr>
                <w:rFonts w:eastAsia="宋体"/>
                <w:sz w:val="21"/>
                <w:szCs w:val="21"/>
              </w:rPr>
            </w:pPr>
            <w:r>
              <w:rPr>
                <w:rFonts w:eastAsia="宋体"/>
                <w:b/>
                <w:bCs/>
                <w:color w:val="000000"/>
                <w:sz w:val="21"/>
                <w:szCs w:val="21"/>
              </w:rPr>
              <w:t>重复样#2</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152AD5">
            <w:pPr>
              <w:autoSpaceDE/>
              <w:autoSpaceDN/>
              <w:snapToGrid w:val="0"/>
              <w:jc w:val="both"/>
              <w:rPr>
                <w:rFonts w:eastAsia="宋体"/>
                <w:sz w:val="21"/>
                <w:szCs w:val="21"/>
              </w:rPr>
            </w:pPr>
            <w:r>
              <w:rPr>
                <w:rFonts w:eastAsia="宋体"/>
                <w:b/>
                <w:bCs/>
                <w:color w:val="000000"/>
                <w:sz w:val="21"/>
                <w:szCs w:val="21"/>
              </w:rPr>
              <w:t>重复样#3</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C27A5A">
            <w:pPr>
              <w:autoSpaceDE/>
              <w:autoSpaceDN/>
              <w:snapToGrid w:val="0"/>
              <w:jc w:val="both"/>
              <w:rPr>
                <w:rFonts w:eastAsia="宋体"/>
                <w:sz w:val="21"/>
                <w:szCs w:val="21"/>
              </w:rPr>
            </w:pPr>
            <w:r>
              <w:rPr>
                <w:rFonts w:eastAsia="宋体"/>
                <w:b/>
                <w:bCs/>
                <w:color w:val="000000"/>
                <w:sz w:val="21"/>
                <w:szCs w:val="21"/>
              </w:rPr>
              <w:t>重复样#1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B4B69E">
            <w:pPr>
              <w:autoSpaceDE/>
              <w:autoSpaceDN/>
              <w:snapToGrid w:val="0"/>
              <w:jc w:val="both"/>
              <w:rPr>
                <w:rFonts w:eastAsia="宋体"/>
                <w:sz w:val="21"/>
                <w:szCs w:val="21"/>
              </w:rPr>
            </w:pPr>
            <w:r>
              <w:rPr>
                <w:rFonts w:eastAsia="宋体"/>
                <w:b/>
                <w:bCs/>
                <w:color w:val="000000"/>
                <w:sz w:val="21"/>
                <w:szCs w:val="21"/>
              </w:rPr>
              <w:t>重复样#2</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615EC0">
            <w:pPr>
              <w:autoSpaceDE/>
              <w:autoSpaceDN/>
              <w:snapToGrid w:val="0"/>
              <w:jc w:val="both"/>
              <w:rPr>
                <w:rFonts w:eastAsia="宋体"/>
                <w:sz w:val="21"/>
                <w:szCs w:val="21"/>
              </w:rPr>
            </w:pPr>
            <w:r>
              <w:rPr>
                <w:rFonts w:eastAsia="宋体"/>
                <w:b/>
                <w:bCs/>
                <w:color w:val="000000"/>
                <w:sz w:val="21"/>
                <w:szCs w:val="21"/>
              </w:rPr>
              <w:t>重复样#3</w:t>
            </w:r>
          </w:p>
        </w:tc>
        <w:tc>
          <w:tcPr>
            <w:tcW w:w="13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53BA82">
            <w:pPr>
              <w:autoSpaceDE/>
              <w:autoSpaceDN/>
              <w:snapToGrid w:val="0"/>
              <w:jc w:val="both"/>
              <w:rPr>
                <w:rFonts w:eastAsia="宋体"/>
                <w:sz w:val="21"/>
                <w:szCs w:val="21"/>
              </w:rPr>
            </w:pPr>
          </w:p>
        </w:tc>
        <w:tc>
          <w:tcPr>
            <w:tcW w:w="2649"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E7E49E">
            <w:pPr>
              <w:autoSpaceDE/>
              <w:autoSpaceDN/>
              <w:snapToGrid w:val="0"/>
              <w:jc w:val="both"/>
              <w:rPr>
                <w:rFonts w:eastAsia="宋体"/>
                <w:sz w:val="21"/>
                <w:szCs w:val="21"/>
              </w:rPr>
            </w:pPr>
          </w:p>
        </w:tc>
        <w:tc>
          <w:tcPr>
            <w:tcW w:w="167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64CF59">
            <w:pPr>
              <w:autoSpaceDE/>
              <w:autoSpaceDN/>
              <w:snapToGrid w:val="0"/>
              <w:jc w:val="both"/>
              <w:rPr>
                <w:rFonts w:eastAsia="宋体"/>
                <w:sz w:val="21"/>
                <w:szCs w:val="21"/>
              </w:rPr>
            </w:pPr>
          </w:p>
        </w:tc>
      </w:tr>
      <w:tr w14:paraId="68ACE173">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BAEA2F">
            <w:pPr>
              <w:pageBreakBefore/>
              <w:autoSpaceDE/>
              <w:autoSpaceDN/>
              <w:snapToGrid w:val="0"/>
              <w:jc w:val="both"/>
              <w:rPr>
                <w:rFonts w:eastAsia="宋体"/>
                <w:sz w:val="21"/>
                <w:szCs w:val="21"/>
              </w:rPr>
            </w:pPr>
            <w:r>
              <w:rPr>
                <w:rFonts w:eastAsia="宋体"/>
                <w:color w:val="000000"/>
                <w:sz w:val="21"/>
                <w:szCs w:val="21"/>
              </w:rPr>
              <w:t>空白</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3F737D">
            <w:pPr>
              <w:autoSpaceDE/>
              <w:autoSpaceDN/>
              <w:snapToGrid w:val="0"/>
              <w:jc w:val="both"/>
              <w:rPr>
                <w:rFonts w:eastAsia="宋体"/>
                <w:sz w:val="21"/>
                <w:szCs w:val="21"/>
              </w:rPr>
            </w:pPr>
            <w:r>
              <w:rPr>
                <w:rFonts w:eastAsia="宋体"/>
                <w:color w:val="000000"/>
                <w:sz w:val="21"/>
                <w:szCs w:val="21"/>
              </w:rPr>
              <w:t>0.0057</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FCC708">
            <w:pPr>
              <w:autoSpaceDE/>
              <w:autoSpaceDN/>
              <w:snapToGrid w:val="0"/>
              <w:jc w:val="both"/>
              <w:rPr>
                <w:rFonts w:eastAsia="宋体"/>
                <w:sz w:val="21"/>
                <w:szCs w:val="21"/>
              </w:rPr>
            </w:pPr>
            <w:r>
              <w:rPr>
                <w:rFonts w:eastAsia="宋体"/>
                <w:color w:val="000000"/>
                <w:sz w:val="21"/>
                <w:szCs w:val="21"/>
              </w:rPr>
              <w:t>0.0059</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D85F6F">
            <w:pPr>
              <w:autoSpaceDE/>
              <w:autoSpaceDN/>
              <w:snapToGrid w:val="0"/>
              <w:jc w:val="both"/>
              <w:rPr>
                <w:rFonts w:eastAsia="宋体"/>
                <w:sz w:val="21"/>
                <w:szCs w:val="21"/>
              </w:rPr>
            </w:pPr>
            <w:r>
              <w:rPr>
                <w:rFonts w:eastAsia="宋体"/>
                <w:color w:val="000000"/>
                <w:sz w:val="21"/>
                <w:szCs w:val="21"/>
              </w:rPr>
              <w:t>0.0051</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15F338">
            <w:pPr>
              <w:autoSpaceDE/>
              <w:autoSpaceDN/>
              <w:snapToGrid w:val="0"/>
              <w:jc w:val="both"/>
              <w:rPr>
                <w:rFonts w:eastAsia="宋体"/>
                <w:sz w:val="21"/>
                <w:szCs w:val="21"/>
              </w:rPr>
            </w:pPr>
            <w:r>
              <w:rPr>
                <w:rFonts w:eastAsia="宋体"/>
                <w:color w:val="000000"/>
                <w:sz w:val="21"/>
                <w:szCs w:val="21"/>
              </w:rPr>
              <w:t>0.03</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FA8BD1">
            <w:pPr>
              <w:autoSpaceDE/>
              <w:autoSpaceDN/>
              <w:snapToGrid w:val="0"/>
              <w:jc w:val="both"/>
              <w:rPr>
                <w:rFonts w:eastAsia="宋体"/>
                <w:sz w:val="21"/>
                <w:szCs w:val="21"/>
              </w:rPr>
            </w:pPr>
            <w:r>
              <w:rPr>
                <w:rFonts w:eastAsia="宋体"/>
                <w:color w:val="000000"/>
                <w:sz w:val="21"/>
                <w:szCs w:val="21"/>
              </w:rPr>
              <w:t>0.08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E9D733">
            <w:pPr>
              <w:autoSpaceDE/>
              <w:autoSpaceDN/>
              <w:snapToGrid w:val="0"/>
              <w:jc w:val="both"/>
              <w:rPr>
                <w:rFonts w:eastAsia="宋体"/>
                <w:sz w:val="21"/>
                <w:szCs w:val="21"/>
              </w:rPr>
            </w:pPr>
            <w:r>
              <w:rPr>
                <w:rFonts w:eastAsia="宋体"/>
                <w:color w:val="000000"/>
                <w:sz w:val="21"/>
                <w:szCs w:val="21"/>
              </w:rPr>
              <w:t>-0.12</w:t>
            </w:r>
          </w:p>
        </w:tc>
        <w:tc>
          <w:tcPr>
            <w:tcW w:w="14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436D81">
            <w:pPr>
              <w:autoSpaceDE/>
              <w:autoSpaceDN/>
              <w:snapToGrid w:val="0"/>
              <w:jc w:val="both"/>
              <w:rPr>
                <w:rFonts w:eastAsia="宋体"/>
                <w:sz w:val="21"/>
                <w:szCs w:val="21"/>
              </w:rPr>
            </w:pPr>
            <w:r>
              <w:rPr>
                <w:rFonts w:eastAsia="宋体"/>
                <w:color w:val="000000"/>
                <w:sz w:val="21"/>
                <w:szCs w:val="21"/>
              </w:rPr>
              <w:t>0.00</w:t>
            </w:r>
          </w:p>
        </w:tc>
        <w:tc>
          <w:tcPr>
            <w:tcW w:w="26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D26A7C">
            <w:pPr>
              <w:autoSpaceDE/>
              <w:autoSpaceDN/>
              <w:snapToGrid w:val="0"/>
              <w:jc w:val="both"/>
              <w:rPr>
                <w:rFonts w:eastAsia="宋体"/>
                <w:sz w:val="21"/>
                <w:szCs w:val="21"/>
              </w:rPr>
            </w:pPr>
            <w:r>
              <w:rPr>
                <w:rFonts w:eastAsia="宋体"/>
                <w:color w:val="000000"/>
                <w:sz w:val="21"/>
                <w:szCs w:val="21"/>
              </w:rPr>
              <w:t>-</w:t>
            </w:r>
          </w:p>
        </w:tc>
        <w:tc>
          <w:tcPr>
            <w:tcW w:w="16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299FB6">
            <w:pPr>
              <w:autoSpaceDE/>
              <w:autoSpaceDN/>
              <w:snapToGrid w:val="0"/>
              <w:jc w:val="both"/>
              <w:rPr>
                <w:rFonts w:eastAsia="宋体"/>
                <w:sz w:val="21"/>
                <w:szCs w:val="21"/>
              </w:rPr>
            </w:pPr>
            <w:r>
              <w:rPr>
                <w:rFonts w:eastAsia="宋体"/>
                <w:color w:val="000000"/>
                <w:sz w:val="21"/>
                <w:szCs w:val="21"/>
              </w:rPr>
              <w:t>按预期执行</w:t>
            </w:r>
          </w:p>
        </w:tc>
      </w:tr>
      <w:tr w14:paraId="42587D44">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EEFC20">
            <w:pPr>
              <w:autoSpaceDE/>
              <w:autoSpaceDN/>
              <w:snapToGrid w:val="0"/>
              <w:jc w:val="both"/>
              <w:rPr>
                <w:rFonts w:eastAsia="宋体"/>
                <w:sz w:val="21"/>
                <w:szCs w:val="21"/>
              </w:rPr>
            </w:pPr>
            <w:r>
              <w:rPr>
                <w:rFonts w:eastAsia="宋体"/>
                <w:color w:val="000000"/>
                <w:sz w:val="21"/>
                <w:szCs w:val="21"/>
              </w:rPr>
              <w:t>阴性对照</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9718C6F">
            <w:pPr>
              <w:autoSpaceDE/>
              <w:autoSpaceDN/>
              <w:snapToGrid w:val="0"/>
              <w:jc w:val="both"/>
              <w:rPr>
                <w:rFonts w:eastAsia="宋体"/>
                <w:sz w:val="21"/>
                <w:szCs w:val="21"/>
              </w:rPr>
            </w:pPr>
            <w:r>
              <w:rPr>
                <w:rFonts w:eastAsia="宋体"/>
                <w:color w:val="000000"/>
                <w:sz w:val="21"/>
                <w:szCs w:val="21"/>
              </w:rPr>
              <w:t>0.0074</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0BE32F">
            <w:pPr>
              <w:autoSpaceDE/>
              <w:autoSpaceDN/>
              <w:snapToGrid w:val="0"/>
              <w:jc w:val="both"/>
              <w:rPr>
                <w:rFonts w:eastAsia="宋体"/>
                <w:sz w:val="21"/>
                <w:szCs w:val="21"/>
              </w:rPr>
            </w:pPr>
            <w:r>
              <w:rPr>
                <w:rFonts w:eastAsia="宋体"/>
                <w:color w:val="000000"/>
                <w:sz w:val="21"/>
                <w:szCs w:val="21"/>
              </w:rPr>
              <w:t>0.0084</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ABD6AC">
            <w:pPr>
              <w:autoSpaceDE/>
              <w:autoSpaceDN/>
              <w:snapToGrid w:val="0"/>
              <w:jc w:val="both"/>
              <w:rPr>
                <w:rFonts w:eastAsia="宋体"/>
                <w:sz w:val="21"/>
                <w:szCs w:val="21"/>
              </w:rPr>
            </w:pPr>
            <w:r>
              <w:rPr>
                <w:rFonts w:eastAsia="宋体"/>
                <w:color w:val="000000"/>
                <w:sz w:val="21"/>
                <w:szCs w:val="21"/>
              </w:rPr>
              <w:t>0.0103</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7A5058">
            <w:pPr>
              <w:autoSpaceDE/>
              <w:autoSpaceDN/>
              <w:snapToGrid w:val="0"/>
              <w:jc w:val="both"/>
              <w:rPr>
                <w:rFonts w:eastAsia="宋体"/>
                <w:sz w:val="21"/>
                <w:szCs w:val="21"/>
              </w:rPr>
            </w:pPr>
            <w:r>
              <w:rPr>
                <w:rFonts w:eastAsia="宋体"/>
                <w:color w:val="000000"/>
                <w:sz w:val="21"/>
                <w:szCs w:val="21"/>
              </w:rPr>
              <w:t>0.46</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D39824">
            <w:pPr>
              <w:autoSpaceDE/>
              <w:autoSpaceDN/>
              <w:snapToGrid w:val="0"/>
              <w:jc w:val="both"/>
              <w:rPr>
                <w:rFonts w:eastAsia="宋体"/>
                <w:sz w:val="21"/>
                <w:szCs w:val="21"/>
              </w:rPr>
            </w:pPr>
            <w:r>
              <w:rPr>
                <w:rFonts w:eastAsia="宋体"/>
                <w:color w:val="000000"/>
                <w:sz w:val="21"/>
                <w:szCs w:val="21"/>
              </w:rPr>
              <w:t>0.71</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2E2432">
            <w:pPr>
              <w:autoSpaceDE/>
              <w:autoSpaceDN/>
              <w:snapToGrid w:val="0"/>
              <w:jc w:val="both"/>
              <w:rPr>
                <w:rFonts w:eastAsia="宋体"/>
                <w:sz w:val="21"/>
                <w:szCs w:val="21"/>
              </w:rPr>
            </w:pPr>
            <w:r>
              <w:rPr>
                <w:rFonts w:eastAsia="宋体"/>
                <w:color w:val="000000"/>
                <w:sz w:val="21"/>
                <w:szCs w:val="21"/>
              </w:rPr>
              <w:t>1.18</w:t>
            </w:r>
          </w:p>
        </w:tc>
        <w:tc>
          <w:tcPr>
            <w:tcW w:w="14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9946E2">
            <w:pPr>
              <w:autoSpaceDE/>
              <w:autoSpaceDN/>
              <w:snapToGrid w:val="0"/>
              <w:jc w:val="both"/>
              <w:rPr>
                <w:rFonts w:eastAsia="宋体"/>
                <w:sz w:val="21"/>
                <w:szCs w:val="21"/>
              </w:rPr>
            </w:pPr>
            <w:r>
              <w:rPr>
                <w:rFonts w:eastAsia="宋体"/>
                <w:color w:val="000000"/>
                <w:sz w:val="21"/>
                <w:szCs w:val="21"/>
              </w:rPr>
              <w:t>0.78</w:t>
            </w:r>
          </w:p>
        </w:tc>
        <w:tc>
          <w:tcPr>
            <w:tcW w:w="26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9A9674">
            <w:pPr>
              <w:autoSpaceDE/>
              <w:autoSpaceDN/>
              <w:snapToGrid w:val="0"/>
              <w:jc w:val="both"/>
              <w:rPr>
                <w:rFonts w:eastAsia="宋体"/>
                <w:sz w:val="21"/>
                <w:szCs w:val="21"/>
              </w:rPr>
            </w:pPr>
            <w:r>
              <w:rPr>
                <w:rFonts w:eastAsia="宋体"/>
                <w:color w:val="000000"/>
                <w:sz w:val="21"/>
                <w:szCs w:val="21"/>
              </w:rPr>
              <w:t>-</w:t>
            </w:r>
          </w:p>
        </w:tc>
        <w:tc>
          <w:tcPr>
            <w:tcW w:w="16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6B0742">
            <w:pPr>
              <w:autoSpaceDE/>
              <w:autoSpaceDN/>
              <w:snapToGrid w:val="0"/>
              <w:jc w:val="both"/>
              <w:rPr>
                <w:rFonts w:eastAsia="宋体"/>
                <w:sz w:val="21"/>
                <w:szCs w:val="21"/>
              </w:rPr>
            </w:pPr>
            <w:r>
              <w:rPr>
                <w:rFonts w:eastAsia="宋体"/>
                <w:color w:val="000000"/>
                <w:sz w:val="21"/>
                <w:szCs w:val="21"/>
              </w:rPr>
              <w:t>按预期执行</w:t>
            </w:r>
          </w:p>
        </w:tc>
      </w:tr>
      <w:tr w14:paraId="14A6A045">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EEC563">
            <w:pPr>
              <w:autoSpaceDE/>
              <w:autoSpaceDN/>
              <w:snapToGrid w:val="0"/>
              <w:jc w:val="both"/>
              <w:rPr>
                <w:rFonts w:eastAsia="宋体"/>
                <w:sz w:val="21"/>
                <w:szCs w:val="21"/>
              </w:rPr>
            </w:pPr>
            <w:r>
              <w:rPr>
                <w:rFonts w:eastAsia="宋体"/>
                <w:color w:val="000000"/>
                <w:sz w:val="21"/>
                <w:szCs w:val="21"/>
              </w:rPr>
              <w:t>阳性对照</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D8944D">
            <w:pPr>
              <w:autoSpaceDE/>
              <w:autoSpaceDN/>
              <w:snapToGrid w:val="0"/>
              <w:jc w:val="both"/>
              <w:rPr>
                <w:rFonts w:eastAsia="宋体"/>
                <w:sz w:val="21"/>
                <w:szCs w:val="21"/>
              </w:rPr>
            </w:pPr>
            <w:r>
              <w:rPr>
                <w:rFonts w:eastAsia="宋体"/>
                <w:color w:val="000000"/>
                <w:sz w:val="21"/>
                <w:szCs w:val="21"/>
              </w:rPr>
              <w:t>0.3732</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3FEE95">
            <w:pPr>
              <w:autoSpaceDE/>
              <w:autoSpaceDN/>
              <w:snapToGrid w:val="0"/>
              <w:jc w:val="both"/>
              <w:rPr>
                <w:rFonts w:eastAsia="宋体"/>
                <w:sz w:val="21"/>
                <w:szCs w:val="21"/>
              </w:rPr>
            </w:pPr>
            <w:r>
              <w:rPr>
                <w:rFonts w:eastAsia="宋体"/>
                <w:color w:val="000000"/>
                <w:sz w:val="21"/>
                <w:szCs w:val="21"/>
              </w:rPr>
              <w:t>0.3736</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B1B81AA">
            <w:pPr>
              <w:autoSpaceDE/>
              <w:autoSpaceDN/>
              <w:snapToGrid w:val="0"/>
              <w:jc w:val="both"/>
              <w:rPr>
                <w:rFonts w:eastAsia="宋体"/>
                <w:sz w:val="21"/>
                <w:szCs w:val="21"/>
              </w:rPr>
            </w:pPr>
            <w:r>
              <w:rPr>
                <w:rFonts w:eastAsia="宋体"/>
                <w:color w:val="000000"/>
                <w:sz w:val="21"/>
                <w:szCs w:val="21"/>
              </w:rPr>
              <w:t>0.3752</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7D856F">
            <w:pPr>
              <w:autoSpaceDE/>
              <w:autoSpaceDN/>
              <w:snapToGrid w:val="0"/>
              <w:jc w:val="both"/>
              <w:rPr>
                <w:rFonts w:eastAsia="宋体"/>
                <w:sz w:val="21"/>
                <w:szCs w:val="21"/>
              </w:rPr>
            </w:pPr>
            <w:r>
              <w:rPr>
                <w:rFonts w:eastAsia="宋体"/>
                <w:color w:val="000000"/>
                <w:sz w:val="21"/>
                <w:szCs w:val="21"/>
              </w:rPr>
              <w:t>91.99</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218B77">
            <w:pPr>
              <w:autoSpaceDE/>
              <w:autoSpaceDN/>
              <w:snapToGrid w:val="0"/>
              <w:jc w:val="both"/>
              <w:rPr>
                <w:rFonts w:eastAsia="宋体"/>
                <w:sz w:val="21"/>
                <w:szCs w:val="21"/>
              </w:rPr>
            </w:pPr>
            <w:r>
              <w:rPr>
                <w:rFonts w:eastAsia="宋体"/>
                <w:color w:val="000000"/>
                <w:sz w:val="21"/>
                <w:szCs w:val="21"/>
              </w:rPr>
              <w:t>92.09</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DA18E4">
            <w:pPr>
              <w:autoSpaceDE/>
              <w:autoSpaceDN/>
              <w:snapToGrid w:val="0"/>
              <w:jc w:val="both"/>
              <w:rPr>
                <w:rFonts w:eastAsia="宋体"/>
                <w:sz w:val="21"/>
                <w:szCs w:val="21"/>
              </w:rPr>
            </w:pPr>
            <w:r>
              <w:rPr>
                <w:rFonts w:eastAsia="宋体"/>
                <w:color w:val="000000"/>
                <w:sz w:val="21"/>
                <w:szCs w:val="21"/>
              </w:rPr>
              <w:t>92.49</w:t>
            </w:r>
          </w:p>
        </w:tc>
        <w:tc>
          <w:tcPr>
            <w:tcW w:w="14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495E2E">
            <w:pPr>
              <w:autoSpaceDE/>
              <w:autoSpaceDN/>
              <w:snapToGrid w:val="0"/>
              <w:jc w:val="both"/>
              <w:rPr>
                <w:rFonts w:eastAsia="宋体"/>
                <w:sz w:val="21"/>
                <w:szCs w:val="21"/>
              </w:rPr>
            </w:pPr>
            <w:r>
              <w:rPr>
                <w:rFonts w:eastAsia="宋体"/>
                <w:color w:val="000000"/>
                <w:sz w:val="21"/>
                <w:szCs w:val="21"/>
              </w:rPr>
              <w:t>92.19</w:t>
            </w:r>
          </w:p>
        </w:tc>
        <w:tc>
          <w:tcPr>
            <w:tcW w:w="26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CD5807">
            <w:pPr>
              <w:autoSpaceDE/>
              <w:autoSpaceDN/>
              <w:snapToGrid w:val="0"/>
              <w:jc w:val="both"/>
              <w:rPr>
                <w:rFonts w:eastAsia="宋体"/>
                <w:sz w:val="21"/>
                <w:szCs w:val="21"/>
              </w:rPr>
            </w:pPr>
            <w:r>
              <w:rPr>
                <w:rFonts w:eastAsia="宋体"/>
                <w:color w:val="000000"/>
                <w:sz w:val="21"/>
                <w:szCs w:val="21"/>
              </w:rPr>
              <w:t>91.41</w:t>
            </w:r>
          </w:p>
        </w:tc>
        <w:tc>
          <w:tcPr>
            <w:tcW w:w="16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3DD93B">
            <w:pPr>
              <w:autoSpaceDE/>
              <w:autoSpaceDN/>
              <w:snapToGrid w:val="0"/>
              <w:jc w:val="both"/>
              <w:rPr>
                <w:rFonts w:eastAsia="宋体"/>
                <w:sz w:val="21"/>
                <w:szCs w:val="21"/>
              </w:rPr>
            </w:pPr>
            <w:r>
              <w:rPr>
                <w:rFonts w:eastAsia="宋体"/>
                <w:color w:val="000000"/>
                <w:sz w:val="21"/>
                <w:szCs w:val="21"/>
              </w:rPr>
              <w:t>按预期执行</w:t>
            </w:r>
          </w:p>
        </w:tc>
      </w:tr>
      <w:tr w14:paraId="44028D29">
        <w:tblPrEx>
          <w:tblCellMar>
            <w:top w:w="0" w:type="dxa"/>
            <w:left w:w="57" w:type="dxa"/>
            <w:bottom w:w="0" w:type="dxa"/>
            <w:right w:w="57" w:type="dxa"/>
          </w:tblCellMar>
        </w:tblPrEx>
        <w:trPr>
          <w:trHeight w:val="340" w:hRule="atLeast"/>
        </w:trPr>
        <w:tc>
          <w:tcPr>
            <w:tcW w:w="12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2DC520">
            <w:pPr>
              <w:autoSpaceDE/>
              <w:autoSpaceDN/>
              <w:snapToGrid w:val="0"/>
              <w:jc w:val="both"/>
              <w:rPr>
                <w:rFonts w:eastAsia="宋体"/>
                <w:sz w:val="21"/>
                <w:szCs w:val="21"/>
              </w:rPr>
            </w:pPr>
            <w:r>
              <w:rPr>
                <w:rFonts w:eastAsia="宋体"/>
                <w:color w:val="000000"/>
                <w:sz w:val="21"/>
                <w:szCs w:val="21"/>
              </w:rPr>
              <w:t>试验样品</w:t>
            </w:r>
          </w:p>
        </w:tc>
        <w:tc>
          <w:tcPr>
            <w:tcW w:w="121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42C268">
            <w:pPr>
              <w:autoSpaceDE/>
              <w:autoSpaceDN/>
              <w:snapToGrid w:val="0"/>
              <w:jc w:val="both"/>
              <w:rPr>
                <w:rFonts w:eastAsia="宋体"/>
                <w:sz w:val="21"/>
                <w:szCs w:val="21"/>
              </w:rPr>
            </w:pPr>
            <w:r>
              <w:rPr>
                <w:rFonts w:eastAsia="宋体"/>
                <w:color w:val="000000"/>
                <w:sz w:val="21"/>
                <w:szCs w:val="21"/>
              </w:rPr>
              <w:t>0.0096</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C3AFCB">
            <w:pPr>
              <w:autoSpaceDE/>
              <w:autoSpaceDN/>
              <w:snapToGrid w:val="0"/>
              <w:jc w:val="both"/>
              <w:rPr>
                <w:rFonts w:eastAsia="宋体"/>
                <w:sz w:val="21"/>
                <w:szCs w:val="21"/>
              </w:rPr>
            </w:pPr>
            <w:r>
              <w:rPr>
                <w:rFonts w:eastAsia="宋体"/>
                <w:color w:val="000000"/>
                <w:sz w:val="21"/>
                <w:szCs w:val="21"/>
              </w:rPr>
              <w:t>0.0091</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845684">
            <w:pPr>
              <w:autoSpaceDE/>
              <w:autoSpaceDN/>
              <w:snapToGrid w:val="0"/>
              <w:jc w:val="both"/>
              <w:rPr>
                <w:rFonts w:eastAsia="宋体"/>
                <w:sz w:val="21"/>
                <w:szCs w:val="21"/>
              </w:rPr>
            </w:pPr>
            <w:r>
              <w:rPr>
                <w:rFonts w:eastAsia="宋体"/>
                <w:color w:val="000000"/>
                <w:sz w:val="21"/>
                <w:szCs w:val="21"/>
              </w:rPr>
              <w:t>0.0089</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0F901F">
            <w:pPr>
              <w:autoSpaceDE/>
              <w:autoSpaceDN/>
              <w:snapToGrid w:val="0"/>
              <w:jc w:val="both"/>
              <w:rPr>
                <w:rFonts w:eastAsia="宋体"/>
                <w:sz w:val="21"/>
                <w:szCs w:val="21"/>
              </w:rPr>
            </w:pPr>
            <w:r>
              <w:rPr>
                <w:rFonts w:eastAsia="宋体"/>
                <w:color w:val="000000"/>
                <w:sz w:val="21"/>
                <w:szCs w:val="21"/>
              </w:rPr>
              <w:t>1.01</w:t>
            </w:r>
          </w:p>
        </w:tc>
        <w:tc>
          <w:tcPr>
            <w:tcW w:w="13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25FE20">
            <w:pPr>
              <w:autoSpaceDE/>
              <w:autoSpaceDN/>
              <w:snapToGrid w:val="0"/>
              <w:jc w:val="both"/>
              <w:rPr>
                <w:rFonts w:eastAsia="宋体"/>
                <w:sz w:val="21"/>
                <w:szCs w:val="21"/>
              </w:rPr>
            </w:pPr>
            <w:r>
              <w:rPr>
                <w:rFonts w:eastAsia="宋体"/>
                <w:color w:val="000000"/>
                <w:sz w:val="21"/>
                <w:szCs w:val="21"/>
              </w:rPr>
              <w:t>0.88</w:t>
            </w:r>
          </w:p>
        </w:tc>
        <w:tc>
          <w:tcPr>
            <w:tcW w:w="12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331037">
            <w:pPr>
              <w:autoSpaceDE/>
              <w:autoSpaceDN/>
              <w:snapToGrid w:val="0"/>
              <w:jc w:val="both"/>
              <w:rPr>
                <w:rFonts w:eastAsia="宋体"/>
                <w:sz w:val="21"/>
                <w:szCs w:val="21"/>
              </w:rPr>
            </w:pPr>
            <w:r>
              <w:rPr>
                <w:rFonts w:eastAsia="宋体"/>
                <w:color w:val="000000"/>
                <w:sz w:val="21"/>
                <w:szCs w:val="21"/>
              </w:rPr>
              <w:t>0.83</w:t>
            </w:r>
          </w:p>
        </w:tc>
        <w:tc>
          <w:tcPr>
            <w:tcW w:w="1401"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7E62A3">
            <w:pPr>
              <w:autoSpaceDE/>
              <w:autoSpaceDN/>
              <w:snapToGrid w:val="0"/>
              <w:jc w:val="both"/>
              <w:rPr>
                <w:rFonts w:eastAsia="宋体"/>
                <w:sz w:val="21"/>
                <w:szCs w:val="21"/>
              </w:rPr>
            </w:pPr>
            <w:r>
              <w:rPr>
                <w:rFonts w:eastAsia="宋体"/>
                <w:color w:val="000000"/>
                <w:sz w:val="21"/>
                <w:szCs w:val="21"/>
              </w:rPr>
              <w:t>0.91</w:t>
            </w:r>
          </w:p>
        </w:tc>
        <w:tc>
          <w:tcPr>
            <w:tcW w:w="264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4964F0">
            <w:pPr>
              <w:autoSpaceDE/>
              <w:autoSpaceDN/>
              <w:snapToGrid w:val="0"/>
              <w:jc w:val="both"/>
              <w:rPr>
                <w:rFonts w:eastAsia="宋体"/>
                <w:sz w:val="21"/>
                <w:szCs w:val="21"/>
              </w:rPr>
            </w:pPr>
            <w:r>
              <w:rPr>
                <w:rFonts w:eastAsia="宋体"/>
                <w:color w:val="000000"/>
                <w:sz w:val="21"/>
                <w:szCs w:val="21"/>
              </w:rPr>
              <w:t>0.13</w:t>
            </w:r>
          </w:p>
        </w:tc>
        <w:tc>
          <w:tcPr>
            <w:tcW w:w="16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CC0A6ED">
            <w:pPr>
              <w:autoSpaceDE/>
              <w:autoSpaceDN/>
              <w:snapToGrid w:val="0"/>
              <w:jc w:val="both"/>
              <w:rPr>
                <w:rFonts w:eastAsia="宋体"/>
                <w:sz w:val="21"/>
                <w:szCs w:val="21"/>
              </w:rPr>
            </w:pPr>
            <w:r>
              <w:rPr>
                <w:rFonts w:eastAsia="宋体"/>
                <w:color w:val="000000"/>
                <w:sz w:val="21"/>
                <w:szCs w:val="21"/>
              </w:rPr>
              <w:t>非溶血</w:t>
            </w:r>
          </w:p>
        </w:tc>
      </w:tr>
    </w:tbl>
    <w:p w14:paraId="7BB5439B">
      <w:pPr>
        <w:autoSpaceDE/>
        <w:autoSpaceDN/>
        <w:snapToGrid w:val="0"/>
        <w:jc w:val="both"/>
        <w:rPr>
          <w:rFonts w:eastAsia="宋体"/>
          <w:i/>
          <w:iCs/>
          <w:color w:val="000000"/>
          <w:sz w:val="21"/>
          <w:szCs w:val="21"/>
        </w:rPr>
      </w:pPr>
    </w:p>
    <w:p w14:paraId="25108E81">
      <w:pPr>
        <w:autoSpaceDE/>
        <w:autoSpaceDN/>
        <w:snapToGrid w:val="0"/>
        <w:jc w:val="center"/>
        <w:rPr>
          <w:rFonts w:eastAsia="宋体"/>
          <w:sz w:val="21"/>
          <w:szCs w:val="21"/>
        </w:rPr>
      </w:pPr>
      <w:r>
        <w:rPr>
          <w:rFonts w:eastAsia="宋体"/>
          <w:i/>
          <w:iCs/>
          <w:color w:val="000000"/>
          <w:sz w:val="21"/>
          <w:szCs w:val="21"/>
        </w:rPr>
        <w:t>[插入任何额外的重复试验数据的行数]</w:t>
      </w:r>
    </w:p>
    <w:p w14:paraId="46E8A017">
      <w:pPr>
        <w:autoSpaceDE/>
        <w:autoSpaceDN/>
        <w:snapToGrid w:val="0"/>
        <w:jc w:val="both"/>
        <w:rPr>
          <w:rFonts w:eastAsia="宋体"/>
          <w:sz w:val="24"/>
          <w:szCs w:val="24"/>
        </w:rPr>
      </w:pPr>
    </w:p>
    <w:p w14:paraId="406A3526">
      <w:pPr>
        <w:autoSpaceDE/>
        <w:autoSpaceDN/>
        <w:snapToGrid w:val="0"/>
        <w:jc w:val="both"/>
        <w:rPr>
          <w:rFonts w:eastAsia="宋体"/>
          <w:sz w:val="24"/>
          <w:szCs w:val="24"/>
        </w:rPr>
        <w:sectPr>
          <w:pgSz w:w="16838" w:h="11906" w:orient="landscape"/>
          <w:pgMar w:top="1418" w:right="1134" w:bottom="1134" w:left="1134" w:header="567" w:footer="567" w:gutter="0"/>
          <w:cols w:space="60" w:num="1"/>
          <w:docGrid w:linePitch="272" w:charSpace="0"/>
        </w:sectPr>
      </w:pPr>
    </w:p>
    <w:p w14:paraId="5698E7CA">
      <w:pPr>
        <w:autoSpaceDE/>
        <w:autoSpaceDN/>
        <w:snapToGrid w:val="0"/>
        <w:jc w:val="both"/>
        <w:rPr>
          <w:rFonts w:eastAsia="宋体"/>
          <w:sz w:val="24"/>
          <w:szCs w:val="24"/>
        </w:rPr>
      </w:pPr>
      <w:r>
        <w:rPr>
          <w:rFonts w:eastAsia="宋体"/>
          <w:color w:val="000000"/>
          <w:sz w:val="24"/>
          <w:szCs w:val="24"/>
        </w:rPr>
        <w:t>我确认：</w:t>
      </w:r>
    </w:p>
    <w:p w14:paraId="43CD9941">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16D7A4AF">
      <w:pPr>
        <w:tabs>
          <w:tab w:val="left" w:pos="34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本人已检查，完整的试验报告和本ASCA汇总试验报告无差异。</w:t>
      </w:r>
    </w:p>
    <w:p w14:paraId="31FC6AF5">
      <w:pPr>
        <w:tabs>
          <w:tab w:val="left" w:pos="346"/>
        </w:tabs>
        <w:autoSpaceDE/>
        <w:autoSpaceDN/>
        <w:snapToGrid w:val="0"/>
        <w:jc w:val="both"/>
        <w:rPr>
          <w:rFonts w:eastAsia="宋体"/>
          <w:color w:val="000000"/>
          <w:sz w:val="24"/>
          <w:szCs w:val="24"/>
        </w:rPr>
      </w:pPr>
    </w:p>
    <w:p w14:paraId="5A163482">
      <w:pPr>
        <w:tabs>
          <w:tab w:val="left" w:pos="346"/>
        </w:tabs>
        <w:autoSpaceDE/>
        <w:autoSpaceDN/>
        <w:snapToGrid w:val="0"/>
        <w:jc w:val="both"/>
        <w:rPr>
          <w:rFonts w:eastAsia="宋体"/>
          <w:color w:val="000000"/>
          <w:sz w:val="24"/>
          <w:szCs w:val="24"/>
        </w:rPr>
      </w:pPr>
    </w:p>
    <w:p w14:paraId="139FF94C">
      <w:pPr>
        <w:tabs>
          <w:tab w:val="left" w:pos="346"/>
        </w:tabs>
        <w:autoSpaceDE/>
        <w:autoSpaceDN/>
        <w:snapToGrid w:val="0"/>
        <w:jc w:val="both"/>
        <w:rPr>
          <w:rFonts w:eastAsia="宋体"/>
          <w:b/>
          <w:bCs/>
          <w:color w:val="000000"/>
          <w:sz w:val="24"/>
          <w:szCs w:val="24"/>
        </w:rPr>
      </w:pPr>
    </w:p>
    <w:p w14:paraId="265252AA">
      <w:pPr>
        <w:pBdr>
          <w:top w:val="single" w:color="auto" w:sz="6" w:space="1"/>
        </w:pBd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3847507E">
      <w:pPr>
        <w:tabs>
          <w:tab w:val="left" w:pos="7925"/>
        </w:tabs>
        <w:autoSpaceDE/>
        <w:autoSpaceDN/>
        <w:snapToGrid w:val="0"/>
        <w:jc w:val="both"/>
        <w:rPr>
          <w:rFonts w:eastAsia="宋体"/>
          <w:sz w:val="24"/>
          <w:szCs w:val="24"/>
        </w:rPr>
      </w:pPr>
    </w:p>
    <w:p w14:paraId="325366D9">
      <w:pPr>
        <w:tabs>
          <w:tab w:val="left" w:pos="792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6413A143">
      <w:pPr>
        <w:pStyle w:val="2"/>
        <w:autoSpaceDE/>
        <w:autoSpaceDN/>
        <w:spacing w:before="240" w:after="240"/>
        <w:rPr>
          <w:rFonts w:eastAsia="宋体"/>
        </w:rPr>
      </w:pPr>
      <w:bookmarkStart w:id="59" w:name="_Toc98778574"/>
      <w:bookmarkStart w:id="60" w:name="_Toc97473525"/>
      <w:r>
        <w:rPr>
          <w:rFonts w:eastAsia="宋体"/>
        </w:rPr>
        <w:t>附录J：</w:t>
      </w:r>
      <w:bookmarkStart w:id="61" w:name="bookmark98"/>
      <w:bookmarkEnd w:id="61"/>
      <w:r>
        <w:rPr>
          <w:rFonts w:eastAsia="宋体"/>
        </w:rPr>
        <w:t>医疗器械的生物相容性试验的ASCA汇总试验报告示例：补体激活（ISO 10993-4）</w:t>
      </w:r>
      <w:bookmarkEnd w:id="59"/>
      <w:bookmarkEnd w:id="60"/>
    </w:p>
    <w:p w14:paraId="6B67B596">
      <w:pPr>
        <w:autoSpaceDE/>
        <w:autoSpaceDN/>
        <w:snapToGrid w:val="0"/>
        <w:ind w:firstLine="480" w:firstLineChars="200"/>
        <w:jc w:val="both"/>
        <w:rPr>
          <w:rFonts w:eastAsia="宋体"/>
          <w:sz w:val="24"/>
          <w:szCs w:val="24"/>
        </w:rPr>
      </w:pPr>
      <w:r>
        <w:rPr>
          <w:rFonts w:eastAsia="宋体"/>
          <w:i/>
          <w:iCs/>
          <w:color w:val="000000"/>
          <w:sz w:val="24"/>
          <w:szCs w:val="24"/>
        </w:rPr>
        <w:t>备注：本示例旨在说明根据FDA的指南，符合性声明将附带的补充文件。</w:t>
      </w:r>
      <w:r>
        <w:rPr>
          <w:rFonts w:eastAsia="宋体"/>
          <w:color w:val="0000FF"/>
          <w:sz w:val="24"/>
          <w:szCs w:val="24"/>
          <w:u w:val="single"/>
        </w:rPr>
        <w:t>在医疗器械上市前申请中适当使用自愿性共识标准。</w:t>
      </w:r>
      <w:r>
        <w:rPr>
          <w:rFonts w:eastAsia="宋体"/>
          <w:i/>
          <w:iCs/>
          <w:color w:val="000000"/>
          <w:sz w:val="24"/>
          <w:szCs w:val="24"/>
        </w:rPr>
        <w:t>ASCA汇总试验报告由检测实验室提供给器械制造商。</w:t>
      </w:r>
    </w:p>
    <w:p w14:paraId="4B95AEBE">
      <w:pPr>
        <w:autoSpaceDE/>
        <w:autoSpaceDN/>
        <w:snapToGrid w:val="0"/>
        <w:jc w:val="both"/>
        <w:rPr>
          <w:rFonts w:eastAsia="宋体"/>
          <w:b/>
          <w:bCs/>
          <w:color w:val="000000"/>
          <w:sz w:val="24"/>
          <w:szCs w:val="24"/>
        </w:rPr>
      </w:pPr>
    </w:p>
    <w:p w14:paraId="1ED0F01C">
      <w:pPr>
        <w:autoSpaceDE/>
        <w:autoSpaceDN/>
        <w:snapToGrid w:val="0"/>
        <w:jc w:val="both"/>
        <w:rPr>
          <w:rFonts w:eastAsia="宋体"/>
          <w:sz w:val="24"/>
          <w:szCs w:val="24"/>
        </w:rPr>
      </w:pPr>
      <w:r>
        <w:rPr>
          <w:rFonts w:eastAsia="宋体"/>
          <w:b/>
          <w:bCs/>
          <w:color w:val="000000"/>
          <w:sz w:val="24"/>
          <w:szCs w:val="24"/>
        </w:rPr>
        <w:t>管理信息</w:t>
      </w:r>
    </w:p>
    <w:p w14:paraId="3406ED9D">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检测实验室名称：</w:t>
      </w:r>
    </w:p>
    <w:p w14:paraId="2571FEAE">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ASCA检测实验室识别号：</w:t>
      </w:r>
    </w:p>
    <w:p w14:paraId="48F35D46">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试验地点：</w:t>
      </w:r>
    </w:p>
    <w:p w14:paraId="62B42C8E">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试验日期：</w:t>
      </w:r>
    </w:p>
    <w:p w14:paraId="197C64EB">
      <w:pPr>
        <w:autoSpaceDE/>
        <w:autoSpaceDN/>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试验日期的</w:t>
      </w:r>
      <w:r>
        <w:rPr>
          <w:rFonts w:eastAsia="宋体"/>
          <w:i/>
          <w:iCs/>
          <w:color w:val="000000"/>
          <w:sz w:val="24"/>
          <w:szCs w:val="24"/>
        </w:rPr>
        <w:t>ASCA认证</w:t>
      </w:r>
      <w:r>
        <w:rPr>
          <w:rFonts w:eastAsia="宋体"/>
          <w:color w:val="000000"/>
          <w:sz w:val="24"/>
          <w:szCs w:val="24"/>
        </w:rPr>
        <w:t>状态：</w:t>
      </w:r>
    </w:p>
    <w:p w14:paraId="42BFEBFA">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标准（和特定的试验方法）*不在检测实验室的</w:t>
      </w:r>
      <w:r>
        <w:rPr>
          <w:rFonts w:eastAsia="宋体"/>
          <w:i/>
          <w:iCs/>
          <w:color w:val="000000"/>
          <w:sz w:val="24"/>
          <w:szCs w:val="24"/>
        </w:rPr>
        <w:t>ASCA认证</w:t>
      </w:r>
      <w:r>
        <w:rPr>
          <w:rFonts w:eastAsia="宋体"/>
          <w:color w:val="000000"/>
          <w:sz w:val="24"/>
          <w:szCs w:val="24"/>
        </w:rPr>
        <w:t>范围内</w:t>
      </w:r>
      <w:r>
        <w:rPr>
          <w:rStyle w:val="17"/>
          <w:rFonts w:eastAsia="宋体"/>
          <w:i/>
          <w:iCs/>
          <w:sz w:val="24"/>
          <w:szCs w:val="24"/>
        </w:rPr>
        <w:footnoteReference w:id="109"/>
      </w:r>
    </w:p>
    <w:p w14:paraId="3FF4F4EC">
      <w:pPr>
        <w:tabs>
          <w:tab w:val="left" w:pos="993"/>
        </w:tabs>
        <w:autoSpaceDE/>
        <w:autoSpaceDN/>
        <w:snapToGrid w:val="0"/>
        <w:ind w:left="614" w:leftChars="307"/>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标准（和特定的试验方法）在检测实验室的</w:t>
      </w:r>
      <w:r>
        <w:rPr>
          <w:rFonts w:eastAsia="宋体"/>
          <w:i/>
          <w:iCs/>
          <w:color w:val="000000"/>
          <w:sz w:val="24"/>
          <w:szCs w:val="24"/>
        </w:rPr>
        <w:t>ASCA认证</w:t>
      </w:r>
      <w:r>
        <w:rPr>
          <w:rFonts w:eastAsia="宋体"/>
          <w:color w:val="000000"/>
          <w:sz w:val="24"/>
          <w:szCs w:val="24"/>
        </w:rPr>
        <w:t>范围内</w:t>
      </w:r>
    </w:p>
    <w:p w14:paraId="2AA09353">
      <w:pPr>
        <w:autoSpaceDE/>
        <w:autoSpaceDN/>
        <w:snapToGrid w:val="0"/>
        <w:ind w:left="1591" w:leftChars="638" w:hanging="315"/>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未中止</w:t>
      </w:r>
    </w:p>
    <w:p w14:paraId="6566F906">
      <w:pPr>
        <w:autoSpaceDE/>
        <w:autoSpaceDN/>
        <w:snapToGrid w:val="0"/>
        <w:ind w:left="1591" w:leftChars="638" w:hanging="315"/>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i/>
          <w:iCs/>
          <w:color w:val="000000"/>
          <w:sz w:val="24"/>
          <w:szCs w:val="24"/>
        </w:rPr>
        <w:t>ASCA认证</w:t>
      </w:r>
      <w:r>
        <w:rPr>
          <w:rFonts w:eastAsia="宋体"/>
          <w:color w:val="000000"/>
          <w:sz w:val="24"/>
          <w:szCs w:val="24"/>
        </w:rPr>
        <w:t>中止</w:t>
      </w:r>
    </w:p>
    <w:tbl>
      <w:tblPr>
        <w:tblStyle w:val="13"/>
        <w:tblW w:w="4251" w:type="pct"/>
        <w:tblInd w:w="1359"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8050"/>
      </w:tblGrid>
      <w:tr w14:paraId="107ECC6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8050" w:type="dxa"/>
            <w:shd w:val="clear" w:color="auto" w:fill="FFFFFF"/>
            <w:tcMar>
              <w:left w:w="57" w:type="dxa"/>
              <w:right w:w="57" w:type="dxa"/>
            </w:tcMar>
          </w:tcPr>
          <w:p w14:paraId="40D92E1F">
            <w:pPr>
              <w:autoSpaceDE/>
              <w:autoSpaceDN/>
              <w:snapToGrid w:val="0"/>
              <w:jc w:val="both"/>
              <w:rPr>
                <w:rFonts w:eastAsia="宋体"/>
                <w:sz w:val="24"/>
                <w:szCs w:val="24"/>
              </w:rPr>
            </w:pPr>
          </w:p>
          <w:p w14:paraId="57FFF57F">
            <w:pPr>
              <w:autoSpaceDE/>
              <w:autoSpaceDN/>
              <w:snapToGrid w:val="0"/>
              <w:jc w:val="both"/>
              <w:rPr>
                <w:rFonts w:eastAsia="宋体"/>
                <w:sz w:val="24"/>
                <w:szCs w:val="24"/>
              </w:rPr>
            </w:pPr>
          </w:p>
        </w:tc>
      </w:tr>
      <w:tr w14:paraId="3794970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8050" w:type="dxa"/>
            <w:shd w:val="clear" w:color="auto" w:fill="FFFFFF"/>
            <w:tcMar>
              <w:left w:w="57" w:type="dxa"/>
              <w:right w:w="57" w:type="dxa"/>
            </w:tcMar>
          </w:tcPr>
          <w:p w14:paraId="5D1E9A92">
            <w:pPr>
              <w:autoSpaceDE/>
              <w:autoSpaceDN/>
              <w:snapToGrid w:val="0"/>
              <w:jc w:val="both"/>
              <w:rPr>
                <w:rFonts w:eastAsia="宋体"/>
                <w:sz w:val="24"/>
                <w:szCs w:val="24"/>
              </w:rPr>
            </w:pPr>
            <w:r>
              <w:rPr>
                <w:rFonts w:eastAsia="宋体"/>
                <w:i/>
                <w:iCs/>
                <w:color w:val="000000"/>
                <w:sz w:val="24"/>
                <w:szCs w:val="24"/>
              </w:rPr>
              <w:t>中止的原因及其对试验结果的影响的描述。</w:t>
            </w:r>
          </w:p>
        </w:tc>
      </w:tr>
    </w:tbl>
    <w:p w14:paraId="22FA6ABD">
      <w:pPr>
        <w:tabs>
          <w:tab w:val="left" w:leader="underscore" w:pos="8222"/>
        </w:tabs>
        <w:autoSpaceDE/>
        <w:autoSpaceDN/>
        <w:snapToGrid w:val="0"/>
        <w:jc w:val="both"/>
        <w:rPr>
          <w:rFonts w:eastAsia="宋体"/>
          <w:b/>
          <w:bCs/>
          <w:color w:val="000000"/>
          <w:sz w:val="24"/>
          <w:szCs w:val="24"/>
        </w:rPr>
      </w:pPr>
    </w:p>
    <w:p w14:paraId="5093D917">
      <w:pPr>
        <w:tabs>
          <w:tab w:val="left" w:pos="8222"/>
        </w:tabs>
        <w:autoSpaceDE/>
        <w:autoSpaceDN/>
        <w:snapToGrid w:val="0"/>
        <w:jc w:val="both"/>
        <w:rPr>
          <w:rFonts w:eastAsia="宋体"/>
          <w:sz w:val="24"/>
          <w:szCs w:val="24"/>
        </w:rPr>
      </w:pPr>
      <w:r>
        <w:rPr>
          <w:rFonts w:eastAsia="宋体"/>
          <w:b/>
          <w:bCs/>
          <w:color w:val="000000"/>
          <w:sz w:val="24"/>
          <w:szCs w:val="24"/>
        </w:rPr>
        <w:t>ASCA试验样品制备SOP#：</w:t>
      </w:r>
      <w:r>
        <w:rPr>
          <w:rFonts w:eastAsia="宋体"/>
          <w:b/>
          <w:bCs/>
          <w:i/>
          <w:iCs/>
          <w:color w:val="000000"/>
          <w:sz w:val="24"/>
          <w:szCs w:val="24"/>
          <w:u w:val="single"/>
        </w:rPr>
        <w:t>[</w:t>
      </w:r>
      <w:r>
        <w:rPr>
          <w:rFonts w:eastAsia="宋体"/>
          <w:i/>
          <w:iCs/>
          <w:color w:val="000000"/>
          <w:sz w:val="24"/>
          <w:szCs w:val="24"/>
          <w:u w:val="single"/>
        </w:rPr>
        <w:t>ASCATAPrep（日期/版本）]</w:t>
      </w:r>
      <w:r>
        <w:rPr>
          <w:rFonts w:eastAsia="宋体"/>
          <w:color w:val="000000"/>
          <w:sz w:val="24"/>
          <w:szCs w:val="24"/>
          <w:u w:val="single"/>
        </w:rPr>
        <w:tab/>
      </w:r>
    </w:p>
    <w:p w14:paraId="7727269E">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试验样品按照上述方案制备（无偏离/修正案）；或</w:t>
      </w:r>
    </w:p>
    <w:p w14:paraId="22BFE1A0">
      <w:pPr>
        <w:tabs>
          <w:tab w:val="left" w:pos="355"/>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试验样品按照上述方案制备，但有以下偏离/修正案</w:t>
      </w:r>
      <w:r>
        <w:rPr>
          <w:rStyle w:val="17"/>
          <w:rFonts w:eastAsia="宋体"/>
          <w:sz w:val="24"/>
          <w:szCs w:val="24"/>
        </w:rPr>
        <w:footnoteReference w:id="110"/>
      </w:r>
      <w:r>
        <w:rPr>
          <w:rFonts w:eastAsia="宋体"/>
          <w:color w:val="000000"/>
          <w:sz w:val="24"/>
          <w:szCs w:val="24"/>
        </w:rPr>
        <w:t>（例如，过滤、浸提液处理、pH值调节）：</w:t>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40" w:type="dxa"/>
          <w:bottom w:w="0" w:type="dxa"/>
          <w:right w:w="40" w:type="dxa"/>
        </w:tblCellMar>
      </w:tblPr>
      <w:tblGrid>
        <w:gridCol w:w="9468"/>
      </w:tblGrid>
      <w:tr w14:paraId="65DD57D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40" w:type="dxa"/>
            <w:bottom w:w="0" w:type="dxa"/>
            <w:right w:w="40" w:type="dxa"/>
          </w:tblCellMar>
        </w:tblPrEx>
        <w:tc>
          <w:tcPr>
            <w:tcW w:w="9418" w:type="dxa"/>
            <w:shd w:val="clear" w:color="auto" w:fill="FFFFFF"/>
            <w:tcMar>
              <w:left w:w="57" w:type="dxa"/>
              <w:right w:w="57" w:type="dxa"/>
            </w:tcMar>
          </w:tcPr>
          <w:p w14:paraId="6EB37B35">
            <w:pPr>
              <w:autoSpaceDE/>
              <w:autoSpaceDN/>
              <w:snapToGrid w:val="0"/>
              <w:jc w:val="both"/>
              <w:rPr>
                <w:rFonts w:eastAsia="宋体"/>
                <w:sz w:val="24"/>
                <w:szCs w:val="24"/>
              </w:rPr>
            </w:pPr>
          </w:p>
          <w:p w14:paraId="7670F6D4">
            <w:pPr>
              <w:autoSpaceDE/>
              <w:autoSpaceDN/>
              <w:snapToGrid w:val="0"/>
              <w:jc w:val="both"/>
              <w:rPr>
                <w:rFonts w:eastAsia="宋体"/>
                <w:sz w:val="24"/>
                <w:szCs w:val="24"/>
              </w:rPr>
            </w:pPr>
          </w:p>
        </w:tc>
      </w:tr>
      <w:tr w14:paraId="6C05E65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40" w:type="dxa"/>
            <w:bottom w:w="0" w:type="dxa"/>
            <w:right w:w="40" w:type="dxa"/>
          </w:tblCellMar>
        </w:tblPrEx>
        <w:tc>
          <w:tcPr>
            <w:tcW w:w="9418" w:type="dxa"/>
            <w:shd w:val="clear" w:color="auto" w:fill="FFFFFF"/>
            <w:tcMar>
              <w:left w:w="57" w:type="dxa"/>
              <w:right w:w="57" w:type="dxa"/>
            </w:tcMar>
          </w:tcPr>
          <w:p w14:paraId="0709973C">
            <w:pPr>
              <w:autoSpaceDE/>
              <w:autoSpaceDN/>
              <w:snapToGrid w:val="0"/>
              <w:jc w:val="both"/>
              <w:rPr>
                <w:rFonts w:eastAsia="宋体"/>
                <w:sz w:val="24"/>
                <w:szCs w:val="24"/>
              </w:rPr>
            </w:pPr>
            <w:r>
              <w:rPr>
                <w:rFonts w:eastAsia="宋体"/>
                <w:i/>
                <w:iCs/>
                <w:color w:val="000000"/>
                <w:sz w:val="24"/>
                <w:szCs w:val="24"/>
              </w:rPr>
              <w:t>偏离/修正案的描述</w:t>
            </w:r>
          </w:p>
        </w:tc>
      </w:tr>
    </w:tbl>
    <w:p w14:paraId="7A0074F5">
      <w:pPr>
        <w:autoSpaceDE/>
        <w:autoSpaceDN/>
        <w:snapToGrid w:val="0"/>
        <w:jc w:val="both"/>
        <w:rPr>
          <w:rFonts w:eastAsia="宋体"/>
          <w:b/>
          <w:bCs/>
          <w:color w:val="000000"/>
          <w:sz w:val="24"/>
          <w:szCs w:val="24"/>
        </w:rPr>
      </w:pP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57" w:type="dxa"/>
          <w:bottom w:w="0" w:type="dxa"/>
          <w:right w:w="57" w:type="dxa"/>
        </w:tblCellMar>
      </w:tblPr>
      <w:tblGrid>
        <w:gridCol w:w="9468"/>
      </w:tblGrid>
      <w:tr w14:paraId="727AEC3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PrEx>
        <w:tc>
          <w:tcPr>
            <w:tcW w:w="9408" w:type="dxa"/>
            <w:shd w:val="clear" w:color="auto" w:fill="FFFFFF"/>
            <w:tcMar>
              <w:left w:w="57" w:type="dxa"/>
              <w:right w:w="57" w:type="dxa"/>
            </w:tcMar>
          </w:tcPr>
          <w:p w14:paraId="5E231FB7"/>
        </w:tc>
      </w:tr>
      <w:tr w14:paraId="151C675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57" w:type="dxa"/>
            <w:bottom w:w="0" w:type="dxa"/>
            <w:right w:w="57" w:type="dxa"/>
          </w:tblCellMar>
        </w:tblPrEx>
        <w:tc>
          <w:tcPr>
            <w:tcW w:w="9408" w:type="dxa"/>
            <w:shd w:val="clear" w:color="auto" w:fill="FFFFFF"/>
            <w:tcMar>
              <w:left w:w="57" w:type="dxa"/>
              <w:right w:w="57" w:type="dxa"/>
            </w:tcMar>
          </w:tcPr>
          <w:p w14:paraId="562A3CEC"/>
        </w:tc>
      </w:tr>
    </w:tbl>
    <w:p w14:paraId="6199A6CF">
      <w:pPr>
        <w:autoSpaceDE/>
        <w:autoSpaceDN/>
        <w:snapToGrid w:val="0"/>
        <w:jc w:val="both"/>
        <w:rPr>
          <w:rFonts w:eastAsia="宋体"/>
          <w:sz w:val="24"/>
          <w:szCs w:val="24"/>
        </w:rPr>
      </w:pPr>
      <w:r>
        <w:rPr>
          <w:rFonts w:eastAsia="宋体"/>
          <w:b/>
          <w:bCs/>
          <w:color w:val="000000"/>
          <w:sz w:val="24"/>
          <w:szCs w:val="24"/>
        </w:rPr>
        <w:t>试验样品：</w:t>
      </w:r>
    </w:p>
    <w:p w14:paraId="0844C15F">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整个最终完成的器械</w:t>
      </w:r>
    </w:p>
    <w:p w14:paraId="0F240665">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根据SOP选择有代表性的样品</w:t>
      </w:r>
    </w:p>
    <w:p w14:paraId="46BDDD8E">
      <w:pPr>
        <w:tabs>
          <w:tab w:val="left" w:pos="254"/>
        </w:tabs>
        <w:autoSpaceDE/>
        <w:autoSpaceDN/>
        <w:snapToGrid w:val="0"/>
        <w:jc w:val="both"/>
        <w:rPr>
          <w:rFonts w:eastAsia="宋体"/>
          <w:color w:val="000000"/>
          <w:sz w:val="24"/>
          <w:szCs w:val="24"/>
          <w:vertAlign w:val="superscript"/>
        </w:rPr>
      </w:pPr>
    </w:p>
    <w:p w14:paraId="7C05B96E">
      <w:pPr>
        <w:tabs>
          <w:tab w:val="left" w:pos="254"/>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2889BD56">
      <w:pPr>
        <w:tabs>
          <w:tab w:val="left" w:pos="3686"/>
        </w:tabs>
        <w:autoSpaceDE/>
        <w:autoSpaceDN/>
        <w:snapToGrid w:val="0"/>
        <w:ind w:left="660" w:leftChars="150" w:hanging="360" w:hangingChars="150"/>
        <w:jc w:val="both"/>
        <w:rPr>
          <w:rFonts w:eastAsia="宋体"/>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11"/>
      </w:r>
      <w:r>
        <w:rPr>
          <w:rFonts w:eastAsia="宋体"/>
          <w:i/>
          <w:iCs/>
          <w:color w:val="000000"/>
          <w:sz w:val="24"/>
          <w:szCs w:val="24"/>
          <w:u w:val="single"/>
        </w:rPr>
        <w:t>[描述]</w:t>
      </w:r>
      <w:r>
        <w:rPr>
          <w:rFonts w:eastAsia="宋体"/>
          <w:color w:val="000000"/>
          <w:sz w:val="24"/>
          <w:szCs w:val="24"/>
          <w:u w:val="single"/>
        </w:rPr>
        <w:tab/>
      </w:r>
    </w:p>
    <w:p w14:paraId="014AB2DB">
      <w:pPr>
        <w:autoSpaceDE/>
        <w:autoSpaceDN/>
        <w:snapToGrid w:val="0"/>
        <w:jc w:val="both"/>
        <w:rPr>
          <w:rFonts w:eastAsia="宋体"/>
          <w:sz w:val="24"/>
          <w:szCs w:val="24"/>
        </w:rPr>
      </w:pPr>
      <w:r>
        <w:rPr>
          <w:rFonts w:eastAsia="宋体"/>
          <w:b/>
          <w:bCs/>
          <w:color w:val="000000"/>
          <w:sz w:val="24"/>
          <w:szCs w:val="24"/>
        </w:rPr>
        <w:t>试验介质：</w:t>
      </w:r>
    </w:p>
    <w:p w14:paraId="08C188BA">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正常人体血清</w:t>
      </w:r>
    </w:p>
    <w:p w14:paraId="5F35098E">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人体血浆</w:t>
      </w:r>
    </w:p>
    <w:p w14:paraId="2A849E80">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全血</w:t>
      </w:r>
    </w:p>
    <w:p w14:paraId="3B268FDD">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12"/>
      </w:r>
      <w:r>
        <w:rPr>
          <w:rFonts w:eastAsia="宋体"/>
          <w:i/>
          <w:iCs/>
          <w:color w:val="000000"/>
          <w:sz w:val="24"/>
          <w:szCs w:val="24"/>
          <w:u w:val="single"/>
        </w:rPr>
        <w:t>[描述]</w:t>
      </w:r>
      <w:r>
        <w:rPr>
          <w:rFonts w:eastAsia="宋体"/>
          <w:color w:val="000000"/>
          <w:sz w:val="24"/>
          <w:szCs w:val="24"/>
          <w:u w:val="single"/>
        </w:rPr>
        <w:tab/>
      </w:r>
    </w:p>
    <w:p w14:paraId="28CC8F95">
      <w:pPr>
        <w:autoSpaceDE/>
        <w:autoSpaceDN/>
        <w:snapToGrid w:val="0"/>
        <w:jc w:val="both"/>
        <w:rPr>
          <w:rFonts w:eastAsia="宋体"/>
          <w:sz w:val="24"/>
          <w:szCs w:val="24"/>
        </w:rPr>
      </w:pPr>
      <w:r>
        <w:rPr>
          <w:rFonts w:eastAsia="宋体"/>
          <w:b/>
          <w:bCs/>
          <w:color w:val="000000"/>
          <w:sz w:val="24"/>
          <w:szCs w:val="24"/>
        </w:rPr>
        <w:t>暴露率：</w:t>
      </w:r>
    </w:p>
    <w:p w14:paraId="24306C42">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6 cm</w:t>
      </w:r>
      <w:r>
        <w:rPr>
          <w:rFonts w:eastAsia="宋体"/>
          <w:color w:val="000000"/>
          <w:sz w:val="24"/>
          <w:szCs w:val="24"/>
          <w:vertAlign w:val="superscript"/>
        </w:rPr>
        <w:t>2</w:t>
      </w:r>
      <w:r>
        <w:rPr>
          <w:rFonts w:eastAsia="宋体"/>
          <w:color w:val="000000"/>
          <w:sz w:val="24"/>
          <w:szCs w:val="24"/>
        </w:rPr>
        <w:t>/ml（&lt;0.5 mm厚）</w:t>
      </w:r>
    </w:p>
    <w:p w14:paraId="19202BA7">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 cm</w:t>
      </w:r>
      <w:r>
        <w:rPr>
          <w:rFonts w:eastAsia="宋体"/>
          <w:color w:val="000000"/>
          <w:sz w:val="24"/>
          <w:szCs w:val="24"/>
          <w:vertAlign w:val="superscript"/>
        </w:rPr>
        <w:t>2</w:t>
      </w:r>
      <w:r>
        <w:rPr>
          <w:rFonts w:eastAsia="宋体"/>
          <w:color w:val="000000"/>
          <w:sz w:val="24"/>
          <w:szCs w:val="24"/>
        </w:rPr>
        <w:t>/ml（0.5-1.0mm厚或成型品&gt;1.0 mm）</w:t>
      </w:r>
    </w:p>
    <w:p w14:paraId="536E25DC">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sz w:val="24"/>
          <w:szCs w:val="24"/>
        </w:rPr>
        <w:tab/>
      </w:r>
      <w:r>
        <w:rPr>
          <w:rFonts w:eastAsia="宋体"/>
          <w:color w:val="000000"/>
          <w:sz w:val="24"/>
          <w:szCs w:val="24"/>
        </w:rPr>
        <w:t>其他：</w:t>
      </w:r>
      <w:r>
        <w:rPr>
          <w:rStyle w:val="17"/>
          <w:rFonts w:eastAsia="宋体"/>
          <w:sz w:val="24"/>
          <w:szCs w:val="24"/>
        </w:rPr>
        <w:footnoteReference w:id="113"/>
      </w:r>
      <w:r>
        <w:rPr>
          <w:rFonts w:eastAsia="宋体"/>
          <w:i/>
          <w:iCs/>
          <w:color w:val="000000"/>
          <w:sz w:val="24"/>
          <w:szCs w:val="24"/>
          <w:u w:val="single"/>
        </w:rPr>
        <w:t>[描述]</w:t>
      </w:r>
      <w:r>
        <w:rPr>
          <w:rFonts w:eastAsia="宋体"/>
          <w:color w:val="000000"/>
          <w:sz w:val="24"/>
          <w:szCs w:val="24"/>
          <w:u w:val="single"/>
        </w:rPr>
        <w:tab/>
      </w:r>
    </w:p>
    <w:p w14:paraId="2975C88E">
      <w:pPr>
        <w:autoSpaceDE/>
        <w:autoSpaceDN/>
        <w:snapToGrid w:val="0"/>
        <w:jc w:val="both"/>
        <w:rPr>
          <w:rFonts w:eastAsia="宋体"/>
          <w:sz w:val="24"/>
          <w:szCs w:val="24"/>
        </w:rPr>
      </w:pPr>
      <w:r>
        <w:rPr>
          <w:rFonts w:eastAsia="宋体"/>
          <w:b/>
          <w:bCs/>
          <w:color w:val="000000"/>
          <w:sz w:val="24"/>
          <w:szCs w:val="24"/>
        </w:rPr>
        <w:t>暴露条件：</w:t>
      </w:r>
    </w:p>
    <w:p w14:paraId="7772E203">
      <w:pPr>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37℃，60-90分钟</w:t>
      </w:r>
    </w:p>
    <w:p w14:paraId="5504EB9B">
      <w:pPr>
        <w:tabs>
          <w:tab w:val="left" w:pos="3686"/>
        </w:tabs>
        <w:autoSpaceDE/>
        <w:autoSpaceDN/>
        <w:snapToGrid w:val="0"/>
        <w:ind w:left="660" w:leftChars="150" w:hanging="360" w:hangingChars="15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其他：</w:t>
      </w:r>
      <w:r>
        <w:rPr>
          <w:rStyle w:val="17"/>
          <w:rFonts w:eastAsia="宋体"/>
          <w:sz w:val="24"/>
          <w:szCs w:val="24"/>
        </w:rPr>
        <w:footnoteReference w:id="114"/>
      </w:r>
      <w:r>
        <w:rPr>
          <w:rFonts w:eastAsia="宋体"/>
          <w:i/>
          <w:iCs/>
          <w:color w:val="000000"/>
          <w:sz w:val="24"/>
          <w:szCs w:val="24"/>
          <w:u w:val="single"/>
        </w:rPr>
        <w:t>[描述]</w:t>
      </w:r>
      <w:r>
        <w:rPr>
          <w:rFonts w:eastAsia="宋体"/>
          <w:color w:val="000000"/>
          <w:sz w:val="24"/>
          <w:szCs w:val="24"/>
          <w:u w:val="single"/>
        </w:rPr>
        <w:tab/>
      </w:r>
    </w:p>
    <w:p w14:paraId="1EA8D7E6">
      <w:pPr>
        <w:autoSpaceDE/>
        <w:autoSpaceDN/>
        <w:snapToGrid w:val="0"/>
        <w:jc w:val="both"/>
        <w:rPr>
          <w:rFonts w:eastAsia="宋体"/>
          <w:sz w:val="24"/>
          <w:szCs w:val="24"/>
        </w:rPr>
      </w:pPr>
    </w:p>
    <w:p w14:paraId="6E8564B0">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试验样品和上清液颜色无变化，上清液没有出现浑浊或有颗粒。</w:t>
      </w:r>
    </w:p>
    <w:p w14:paraId="0DC8AC0E">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上清液的颜色/浊度或颗粒有变化，或者试验样品有肿胀/降解。</w:t>
      </w:r>
      <w:r>
        <w:rPr>
          <w:rStyle w:val="17"/>
          <w:rFonts w:eastAsia="宋体"/>
          <w:sz w:val="24"/>
          <w:szCs w:val="24"/>
        </w:rPr>
        <w:footnoteReference w:id="115"/>
      </w:r>
    </w:p>
    <w:p w14:paraId="5E5DAD26">
      <w:pPr>
        <w:tabs>
          <w:tab w:val="left" w:pos="245"/>
        </w:tabs>
        <w:autoSpaceDE/>
        <w:autoSpaceDN/>
        <w:snapToGrid w:val="0"/>
        <w:jc w:val="both"/>
        <w:rPr>
          <w:rFonts w:eastAsia="宋体"/>
          <w:color w:val="000000"/>
          <w:sz w:val="24"/>
          <w:szCs w:val="24"/>
          <w:vertAlign w:val="superscript"/>
        </w:rPr>
      </w:pPr>
    </w:p>
    <w:p w14:paraId="26CEDEE4">
      <w:pPr>
        <w:tabs>
          <w:tab w:val="left" w:pos="245"/>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5211AE53">
      <w:pPr>
        <w:tabs>
          <w:tab w:val="left" w:pos="9072"/>
        </w:tabs>
        <w:autoSpaceDE/>
        <w:autoSpaceDN/>
        <w:snapToGrid w:val="0"/>
        <w:jc w:val="both"/>
        <w:rPr>
          <w:rFonts w:eastAsia="宋体"/>
          <w:sz w:val="24"/>
          <w:szCs w:val="24"/>
        </w:rPr>
      </w:pPr>
      <w:r>
        <w:rPr>
          <w:rFonts w:eastAsia="宋体"/>
          <w:b/>
          <w:bCs/>
          <w:color w:val="000000"/>
          <w:sz w:val="24"/>
          <w:szCs w:val="24"/>
        </w:rPr>
        <w:t>ASCA试验方法SOP #：</w:t>
      </w:r>
      <w:r>
        <w:rPr>
          <w:rFonts w:eastAsia="宋体"/>
          <w:i/>
          <w:iCs/>
          <w:color w:val="000000"/>
          <w:sz w:val="24"/>
          <w:szCs w:val="24"/>
          <w:u w:val="single"/>
        </w:rPr>
        <w:t>[ASCAComplement（日期/版本）]</w:t>
      </w:r>
      <w:r>
        <w:rPr>
          <w:rFonts w:eastAsia="宋体"/>
          <w:i/>
          <w:iCs/>
          <w:color w:val="000000"/>
          <w:sz w:val="24"/>
          <w:szCs w:val="24"/>
          <w:u w:val="single"/>
        </w:rPr>
        <w:tab/>
      </w:r>
    </w:p>
    <w:p w14:paraId="4A5BFF7C">
      <w:pPr>
        <w:tabs>
          <w:tab w:val="left" w:pos="42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按照上述方案（无偏离/修正案）和CFR第21篇第58部分进行试验；</w:t>
      </w:r>
    </w:p>
    <w:p w14:paraId="230B67D3">
      <w:pPr>
        <w:tabs>
          <w:tab w:val="left" w:pos="426"/>
        </w:tabs>
        <w:autoSpaceDE/>
        <w:autoSpaceDN/>
        <w:snapToGrid w:val="0"/>
        <w:jc w:val="both"/>
        <w:rPr>
          <w:rFonts w:eastAsia="宋体"/>
          <w:b/>
          <w:bCs/>
          <w:color w:val="000000"/>
          <w:sz w:val="24"/>
          <w:szCs w:val="24"/>
        </w:rPr>
      </w:pPr>
      <w:r>
        <w:rPr>
          <w:rFonts w:eastAsia="宋体"/>
          <w:color w:val="000000"/>
          <w:sz w:val="24"/>
          <w:szCs w:val="24"/>
        </w:rPr>
        <w:t>或</w:t>
      </w:r>
    </w:p>
    <w:p w14:paraId="70330230">
      <w:pPr>
        <w:tabs>
          <w:tab w:val="left" w:pos="42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按照上述方案和CFR第21篇第58部分进行试验，但有以下偏离/修正案：</w:t>
      </w:r>
      <w:r>
        <w:rPr>
          <w:rStyle w:val="17"/>
          <w:rFonts w:eastAsia="宋体"/>
          <w:sz w:val="24"/>
          <w:szCs w:val="24"/>
        </w:rPr>
        <w:footnoteReference w:id="116"/>
      </w:r>
    </w:p>
    <w:tbl>
      <w:tblPr>
        <w:tblStyle w:val="13"/>
        <w:tblW w:w="5000" w:type="pct"/>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Layout w:type="fixed"/>
        <w:tblCellMar>
          <w:top w:w="0" w:type="dxa"/>
          <w:left w:w="40" w:type="dxa"/>
          <w:bottom w:w="0" w:type="dxa"/>
          <w:right w:w="40" w:type="dxa"/>
        </w:tblCellMar>
      </w:tblPr>
      <w:tblGrid>
        <w:gridCol w:w="9468"/>
      </w:tblGrid>
      <w:tr w14:paraId="2719186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40" w:type="dxa"/>
            <w:bottom w:w="0" w:type="dxa"/>
            <w:right w:w="40" w:type="dxa"/>
          </w:tblCellMar>
        </w:tblPrEx>
        <w:tc>
          <w:tcPr>
            <w:tcW w:w="9418" w:type="dxa"/>
            <w:shd w:val="clear" w:color="auto" w:fill="FFFFFF"/>
            <w:tcMar>
              <w:left w:w="57" w:type="dxa"/>
              <w:right w:w="57" w:type="dxa"/>
            </w:tcMar>
          </w:tcPr>
          <w:p w14:paraId="1627CA16"/>
        </w:tc>
      </w:tr>
      <w:tr w14:paraId="05C5D54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40" w:type="dxa"/>
            <w:bottom w:w="0" w:type="dxa"/>
            <w:right w:w="40" w:type="dxa"/>
          </w:tblCellMar>
        </w:tblPrEx>
        <w:tc>
          <w:tcPr>
            <w:tcW w:w="9418" w:type="dxa"/>
            <w:shd w:val="clear" w:color="auto" w:fill="FFFFFF"/>
            <w:tcMar>
              <w:left w:w="57" w:type="dxa"/>
              <w:right w:w="57" w:type="dxa"/>
            </w:tcMar>
          </w:tcPr>
          <w:p w14:paraId="5F87DB70"/>
        </w:tc>
      </w:tr>
      <w:tr w14:paraId="4674858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22" w:type="dxa"/>
            <w:shd w:val="clear" w:color="auto" w:fill="FFFFFF"/>
            <w:tcMar>
              <w:left w:w="57" w:type="dxa"/>
              <w:right w:w="57" w:type="dxa"/>
            </w:tcMar>
          </w:tcPr>
          <w:p w14:paraId="19903447">
            <w:pPr>
              <w:autoSpaceDE/>
              <w:autoSpaceDN/>
              <w:snapToGrid w:val="0"/>
              <w:jc w:val="both"/>
              <w:rPr>
                <w:rFonts w:eastAsia="宋体"/>
                <w:sz w:val="24"/>
                <w:szCs w:val="24"/>
              </w:rPr>
            </w:pPr>
          </w:p>
          <w:p w14:paraId="79AC3BD9">
            <w:pPr>
              <w:autoSpaceDE/>
              <w:autoSpaceDN/>
              <w:snapToGrid w:val="0"/>
              <w:jc w:val="both"/>
              <w:rPr>
                <w:rFonts w:eastAsia="宋体"/>
                <w:sz w:val="24"/>
                <w:szCs w:val="24"/>
              </w:rPr>
            </w:pPr>
          </w:p>
        </w:tc>
      </w:tr>
      <w:tr w14:paraId="125FDEB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shd w:val="clear" w:color="auto" w:fill="FFFFFF"/>
          <w:tblCellMar>
            <w:top w:w="0" w:type="dxa"/>
            <w:left w:w="57" w:type="dxa"/>
            <w:bottom w:w="0" w:type="dxa"/>
            <w:right w:w="57" w:type="dxa"/>
          </w:tblCellMar>
        </w:tblPrEx>
        <w:tc>
          <w:tcPr>
            <w:tcW w:w="9322" w:type="dxa"/>
            <w:shd w:val="clear" w:color="auto" w:fill="FFFFFF"/>
            <w:tcMar>
              <w:left w:w="57" w:type="dxa"/>
              <w:right w:w="57" w:type="dxa"/>
            </w:tcMar>
          </w:tcPr>
          <w:p w14:paraId="6247980D">
            <w:pPr>
              <w:autoSpaceDE/>
              <w:autoSpaceDN/>
              <w:snapToGrid w:val="0"/>
              <w:jc w:val="both"/>
              <w:rPr>
                <w:rFonts w:eastAsia="宋体"/>
                <w:sz w:val="24"/>
                <w:szCs w:val="24"/>
              </w:rPr>
            </w:pPr>
            <w:r>
              <w:rPr>
                <w:rFonts w:eastAsia="宋体"/>
                <w:i/>
                <w:iCs/>
                <w:color w:val="000000"/>
                <w:sz w:val="24"/>
                <w:szCs w:val="24"/>
              </w:rPr>
              <w:t>偏离/修正案的描述</w:t>
            </w:r>
          </w:p>
        </w:tc>
      </w:tr>
    </w:tbl>
    <w:p w14:paraId="138DB849">
      <w:pPr>
        <w:autoSpaceDE/>
        <w:autoSpaceDN/>
        <w:snapToGrid w:val="0"/>
        <w:jc w:val="both"/>
        <w:rPr>
          <w:rFonts w:eastAsia="宋体"/>
          <w:b/>
          <w:bCs/>
          <w:color w:val="000000"/>
          <w:sz w:val="24"/>
          <w:szCs w:val="24"/>
        </w:rPr>
      </w:pPr>
    </w:p>
    <w:p w14:paraId="3CE092A6">
      <w:pPr>
        <w:autoSpaceDE/>
        <w:autoSpaceDN/>
        <w:snapToGrid w:val="0"/>
        <w:jc w:val="both"/>
        <w:rPr>
          <w:rFonts w:eastAsia="宋体"/>
          <w:b/>
          <w:bCs/>
          <w:sz w:val="24"/>
          <w:szCs w:val="24"/>
        </w:rPr>
      </w:pPr>
      <w:r>
        <w:rPr>
          <w:rFonts w:eastAsia="宋体"/>
          <w:b/>
          <w:bCs/>
          <w:color w:val="000000"/>
          <w:sz w:val="24"/>
          <w:szCs w:val="24"/>
        </w:rPr>
        <w:t>结果：</w:t>
      </w:r>
      <w:r>
        <w:rPr>
          <w:rStyle w:val="17"/>
          <w:rFonts w:eastAsia="宋体"/>
          <w:b/>
          <w:bCs/>
          <w:sz w:val="24"/>
          <w:szCs w:val="24"/>
        </w:rPr>
        <w:footnoteReference w:id="117"/>
      </w:r>
    </w:p>
    <w:p w14:paraId="70FED244">
      <w:pPr>
        <w:autoSpaceDE/>
        <w:autoSpaceDN/>
        <w:snapToGrid w:val="0"/>
        <w:jc w:val="center"/>
        <w:rPr>
          <w:rFonts w:eastAsia="宋体"/>
          <w:b/>
          <w:bCs/>
          <w:sz w:val="24"/>
          <w:szCs w:val="24"/>
        </w:rPr>
      </w:pPr>
      <w:r>
        <w:rPr>
          <w:rFonts w:eastAsia="宋体"/>
          <w:b/>
          <w:bCs/>
          <w:color w:val="000000"/>
          <w:sz w:val="24"/>
          <w:szCs w:val="24"/>
        </w:rPr>
        <w:t>表1 SC5b-9蛋白质浓度（ng/mL）</w:t>
      </w:r>
      <w:r>
        <w:rPr>
          <w:rStyle w:val="17"/>
          <w:rFonts w:eastAsia="宋体"/>
          <w:b/>
          <w:bCs/>
          <w:sz w:val="24"/>
          <w:szCs w:val="24"/>
        </w:rPr>
        <w:footnoteReference w:id="118"/>
      </w:r>
    </w:p>
    <w:p w14:paraId="2428CBA9">
      <w:pPr>
        <w:autoSpaceDE/>
        <w:autoSpaceDN/>
        <w:snapToGrid w:val="0"/>
        <w:jc w:val="both"/>
        <w:rPr>
          <w:rFonts w:eastAsia="宋体"/>
          <w:sz w:val="24"/>
          <w:szCs w:val="24"/>
        </w:rPr>
      </w:pPr>
    </w:p>
    <w:tbl>
      <w:tblPr>
        <w:tblStyle w:val="13"/>
        <w:tblW w:w="0" w:type="auto"/>
        <w:tblInd w:w="0" w:type="dxa"/>
        <w:tblLayout w:type="fixed"/>
        <w:tblCellMar>
          <w:top w:w="0" w:type="dxa"/>
          <w:left w:w="57" w:type="dxa"/>
          <w:bottom w:w="0" w:type="dxa"/>
          <w:right w:w="57" w:type="dxa"/>
        </w:tblCellMar>
      </w:tblPr>
      <w:tblGrid>
        <w:gridCol w:w="1574"/>
        <w:gridCol w:w="1040"/>
        <w:gridCol w:w="1367"/>
        <w:gridCol w:w="1363"/>
        <w:gridCol w:w="1363"/>
        <w:gridCol w:w="805"/>
        <w:gridCol w:w="545"/>
        <w:gridCol w:w="1411"/>
      </w:tblGrid>
      <w:tr w14:paraId="41FA6063">
        <w:tblPrEx>
          <w:tblCellMar>
            <w:top w:w="0" w:type="dxa"/>
            <w:left w:w="57" w:type="dxa"/>
            <w:bottom w:w="0" w:type="dxa"/>
            <w:right w:w="57" w:type="dxa"/>
          </w:tblCellMar>
        </w:tblPrEx>
        <w:tc>
          <w:tcPr>
            <w:tcW w:w="1574" w:type="dxa"/>
            <w:tcBorders>
              <w:top w:val="double" w:color="auto" w:sz="4" w:space="0"/>
              <w:left w:val="double" w:color="auto" w:sz="4" w:space="0"/>
              <w:bottom w:val="nil"/>
              <w:right w:val="single" w:color="auto" w:sz="6" w:space="0"/>
            </w:tcBorders>
            <w:shd w:val="clear" w:color="auto" w:fill="FFFFFF"/>
            <w:tcMar>
              <w:left w:w="57" w:type="dxa"/>
              <w:right w:w="57" w:type="dxa"/>
            </w:tcMar>
          </w:tcPr>
          <w:p w14:paraId="53E09D1E">
            <w:pPr>
              <w:autoSpaceDE/>
              <w:autoSpaceDN/>
              <w:snapToGrid w:val="0"/>
              <w:jc w:val="both"/>
              <w:rPr>
                <w:rFonts w:eastAsia="宋体"/>
                <w:sz w:val="21"/>
                <w:szCs w:val="21"/>
              </w:rPr>
            </w:pPr>
            <w:r>
              <w:rPr>
                <w:rFonts w:eastAsia="宋体"/>
                <w:b/>
                <w:bCs/>
                <w:color w:val="000000"/>
                <w:sz w:val="21"/>
                <w:szCs w:val="21"/>
              </w:rPr>
              <w:t>样品</w:t>
            </w:r>
          </w:p>
        </w:tc>
        <w:tc>
          <w:tcPr>
            <w:tcW w:w="1040" w:type="dxa"/>
            <w:tcBorders>
              <w:top w:val="double" w:color="auto" w:sz="4" w:space="0"/>
              <w:left w:val="single" w:color="auto" w:sz="6" w:space="0"/>
              <w:bottom w:val="nil"/>
              <w:right w:val="single" w:color="auto" w:sz="6" w:space="0"/>
            </w:tcBorders>
            <w:shd w:val="clear" w:color="auto" w:fill="FFFFFF"/>
            <w:tcMar>
              <w:left w:w="57" w:type="dxa"/>
              <w:right w:w="57" w:type="dxa"/>
            </w:tcMar>
          </w:tcPr>
          <w:p w14:paraId="56981EB0">
            <w:pPr>
              <w:autoSpaceDE/>
              <w:autoSpaceDN/>
              <w:snapToGrid w:val="0"/>
              <w:jc w:val="both"/>
              <w:rPr>
                <w:rFonts w:eastAsia="宋体"/>
                <w:sz w:val="21"/>
                <w:szCs w:val="21"/>
              </w:rPr>
            </w:pPr>
            <w:r>
              <w:rPr>
                <w:rFonts w:eastAsia="宋体"/>
                <w:b/>
                <w:bCs/>
                <w:color w:val="000000"/>
                <w:sz w:val="21"/>
                <w:szCs w:val="21"/>
              </w:rPr>
              <w:t>稀释</w:t>
            </w:r>
          </w:p>
        </w:tc>
        <w:tc>
          <w:tcPr>
            <w:tcW w:w="5443" w:type="dxa"/>
            <w:gridSpan w:val="5"/>
            <w:tcBorders>
              <w:top w:val="double" w:color="auto" w:sz="4" w:space="0"/>
              <w:left w:val="single" w:color="auto" w:sz="6" w:space="0"/>
              <w:bottom w:val="single" w:color="auto" w:sz="6" w:space="0"/>
              <w:right w:val="single" w:color="auto" w:sz="6" w:space="0"/>
            </w:tcBorders>
            <w:shd w:val="clear" w:color="auto" w:fill="FFFFFF"/>
            <w:tcMar>
              <w:left w:w="57" w:type="dxa"/>
              <w:right w:w="57" w:type="dxa"/>
            </w:tcMar>
          </w:tcPr>
          <w:p w14:paraId="730589EF">
            <w:pPr>
              <w:autoSpaceDE/>
              <w:autoSpaceDN/>
              <w:snapToGrid w:val="0"/>
              <w:jc w:val="center"/>
              <w:rPr>
                <w:rFonts w:eastAsia="宋体"/>
                <w:sz w:val="21"/>
                <w:szCs w:val="21"/>
              </w:rPr>
            </w:pPr>
            <w:r>
              <w:rPr>
                <w:rFonts w:eastAsia="宋体"/>
                <w:b/>
                <w:bCs/>
                <w:color w:val="000000"/>
                <w:sz w:val="21"/>
                <w:szCs w:val="21"/>
              </w:rPr>
              <w:t>浓度（ng/mL）</w:t>
            </w:r>
          </w:p>
        </w:tc>
        <w:tc>
          <w:tcPr>
            <w:tcW w:w="1411" w:type="dxa"/>
            <w:tcBorders>
              <w:top w:val="double" w:color="auto" w:sz="4" w:space="0"/>
              <w:left w:val="single" w:color="auto" w:sz="6" w:space="0"/>
              <w:bottom w:val="single" w:color="auto" w:sz="6" w:space="0"/>
              <w:right w:val="double" w:color="auto" w:sz="4" w:space="0"/>
            </w:tcBorders>
            <w:shd w:val="clear" w:color="auto" w:fill="FFFFFF"/>
            <w:tcMar>
              <w:left w:w="57" w:type="dxa"/>
              <w:right w:w="57" w:type="dxa"/>
            </w:tcMar>
          </w:tcPr>
          <w:p w14:paraId="48B4AB0F">
            <w:pPr>
              <w:autoSpaceDE/>
              <w:autoSpaceDN/>
              <w:snapToGrid w:val="0"/>
              <w:jc w:val="both"/>
              <w:rPr>
                <w:rFonts w:eastAsia="宋体"/>
                <w:sz w:val="21"/>
                <w:szCs w:val="21"/>
              </w:rPr>
            </w:pPr>
          </w:p>
        </w:tc>
      </w:tr>
      <w:tr w14:paraId="08BE1B32">
        <w:tblPrEx>
          <w:tblCellMar>
            <w:top w:w="0" w:type="dxa"/>
            <w:left w:w="57" w:type="dxa"/>
            <w:bottom w:w="0" w:type="dxa"/>
            <w:right w:w="57" w:type="dxa"/>
          </w:tblCellMar>
        </w:tblPrEx>
        <w:tc>
          <w:tcPr>
            <w:tcW w:w="1574" w:type="dxa"/>
            <w:tcBorders>
              <w:top w:val="nil"/>
              <w:left w:val="double" w:color="auto" w:sz="4" w:space="0"/>
              <w:bottom w:val="single" w:color="auto" w:sz="6" w:space="0"/>
              <w:right w:val="single" w:color="auto" w:sz="6" w:space="0"/>
            </w:tcBorders>
            <w:shd w:val="clear" w:color="auto" w:fill="FFFFFF"/>
            <w:tcMar>
              <w:left w:w="57" w:type="dxa"/>
              <w:right w:w="57" w:type="dxa"/>
            </w:tcMar>
          </w:tcPr>
          <w:p w14:paraId="0B215BCD">
            <w:pPr>
              <w:autoSpaceDE/>
              <w:autoSpaceDN/>
              <w:snapToGrid w:val="0"/>
              <w:jc w:val="both"/>
              <w:rPr>
                <w:rFonts w:eastAsia="宋体"/>
                <w:sz w:val="21"/>
                <w:szCs w:val="21"/>
              </w:rPr>
            </w:pPr>
          </w:p>
        </w:tc>
        <w:tc>
          <w:tcPr>
            <w:tcW w:w="1040" w:type="dxa"/>
            <w:tcBorders>
              <w:top w:val="nil"/>
              <w:left w:val="single" w:color="auto" w:sz="6" w:space="0"/>
              <w:bottom w:val="single" w:color="auto" w:sz="6" w:space="0"/>
              <w:right w:val="single" w:color="auto" w:sz="6" w:space="0"/>
            </w:tcBorders>
            <w:shd w:val="clear" w:color="auto" w:fill="FFFFFF"/>
            <w:tcMar>
              <w:left w:w="57" w:type="dxa"/>
              <w:right w:w="57" w:type="dxa"/>
            </w:tcMar>
          </w:tcPr>
          <w:p w14:paraId="5F142BD6">
            <w:pPr>
              <w:autoSpaceDE/>
              <w:autoSpaceDN/>
              <w:snapToGrid w:val="0"/>
              <w:jc w:val="both"/>
              <w:rPr>
                <w:rFonts w:eastAsia="宋体"/>
                <w:sz w:val="21"/>
                <w:szCs w:val="21"/>
              </w:rPr>
            </w:pP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35DE56">
            <w:pPr>
              <w:autoSpaceDE/>
              <w:autoSpaceDN/>
              <w:snapToGrid w:val="0"/>
              <w:jc w:val="center"/>
              <w:rPr>
                <w:rFonts w:eastAsia="宋体"/>
                <w:sz w:val="21"/>
                <w:szCs w:val="21"/>
              </w:rPr>
            </w:pPr>
            <w:r>
              <w:rPr>
                <w:rFonts w:eastAsia="宋体"/>
                <w:b/>
                <w:bCs/>
                <w:color w:val="000000"/>
                <w:sz w:val="21"/>
                <w:szCs w:val="21"/>
              </w:rPr>
              <w:t>重复样#1</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AB5267">
            <w:pPr>
              <w:autoSpaceDE/>
              <w:autoSpaceDN/>
              <w:snapToGrid w:val="0"/>
              <w:jc w:val="center"/>
              <w:rPr>
                <w:rFonts w:eastAsia="宋体"/>
                <w:sz w:val="21"/>
                <w:szCs w:val="21"/>
              </w:rPr>
            </w:pPr>
            <w:r>
              <w:rPr>
                <w:rFonts w:eastAsia="宋体"/>
                <w:b/>
                <w:bCs/>
                <w:color w:val="000000"/>
                <w:sz w:val="21"/>
                <w:szCs w:val="21"/>
              </w:rPr>
              <w:t>重复样#2</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3293F1">
            <w:pPr>
              <w:autoSpaceDE/>
              <w:autoSpaceDN/>
              <w:snapToGrid w:val="0"/>
              <w:jc w:val="center"/>
              <w:rPr>
                <w:rFonts w:eastAsia="宋体"/>
                <w:sz w:val="21"/>
                <w:szCs w:val="21"/>
              </w:rPr>
            </w:pPr>
            <w:r>
              <w:rPr>
                <w:rFonts w:eastAsia="宋体"/>
                <w:b/>
                <w:bCs/>
                <w:color w:val="000000"/>
                <w:sz w:val="21"/>
                <w:szCs w:val="21"/>
              </w:rPr>
              <w:t>重复样#3</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F14A77">
            <w:pPr>
              <w:autoSpaceDE/>
              <w:autoSpaceDN/>
              <w:snapToGrid w:val="0"/>
              <w:jc w:val="center"/>
              <w:rPr>
                <w:rFonts w:eastAsia="宋体"/>
                <w:sz w:val="21"/>
                <w:szCs w:val="21"/>
              </w:rPr>
            </w:pPr>
            <w:r>
              <w:rPr>
                <w:rFonts w:eastAsia="宋体"/>
                <w:b/>
                <w:bCs/>
                <w:color w:val="000000"/>
                <w:sz w:val="21"/>
                <w:szCs w:val="21"/>
              </w:rPr>
              <w:t>平均值</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975A7D">
            <w:pPr>
              <w:autoSpaceDE/>
              <w:autoSpaceDN/>
              <w:snapToGrid w:val="0"/>
              <w:jc w:val="center"/>
              <w:rPr>
                <w:rFonts w:eastAsia="宋体"/>
                <w:sz w:val="21"/>
                <w:szCs w:val="21"/>
              </w:rPr>
            </w:pPr>
            <w:r>
              <w:rPr>
                <w:rFonts w:eastAsia="宋体"/>
                <w:b/>
                <w:bCs/>
                <w:color w:val="000000"/>
                <w:sz w:val="21"/>
                <w:szCs w:val="21"/>
              </w:rPr>
              <w:t>标准</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71E0DA62">
            <w:pPr>
              <w:autoSpaceDE/>
              <w:autoSpaceDN/>
              <w:snapToGrid w:val="0"/>
              <w:jc w:val="center"/>
              <w:rPr>
                <w:rFonts w:eastAsia="宋体"/>
                <w:sz w:val="21"/>
                <w:szCs w:val="21"/>
              </w:rPr>
            </w:pPr>
            <w:r>
              <w:rPr>
                <w:rFonts w:eastAsia="宋体"/>
                <w:b/>
                <w:bCs/>
                <w:color w:val="000000"/>
                <w:sz w:val="21"/>
                <w:szCs w:val="21"/>
              </w:rPr>
              <w:t>结论</w:t>
            </w:r>
          </w:p>
        </w:tc>
      </w:tr>
      <w:tr w14:paraId="6B67809A">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14:paraId="7432C694">
            <w:pPr>
              <w:autoSpaceDE/>
              <w:autoSpaceDN/>
              <w:snapToGrid w:val="0"/>
              <w:jc w:val="both"/>
              <w:rPr>
                <w:rFonts w:eastAsia="宋体"/>
                <w:sz w:val="21"/>
                <w:szCs w:val="21"/>
              </w:rPr>
            </w:pPr>
            <w:r>
              <w:rPr>
                <w:rFonts w:eastAsia="宋体"/>
                <w:b/>
                <w:bCs/>
                <w:color w:val="000000"/>
                <w:sz w:val="21"/>
                <w:szCs w:val="21"/>
              </w:rPr>
              <w:t>试验样品</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785E24">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36F2EE">
            <w:pPr>
              <w:autoSpaceDE/>
              <w:autoSpaceDN/>
              <w:snapToGrid w:val="0"/>
              <w:jc w:val="both"/>
              <w:rPr>
                <w:rFonts w:eastAsia="宋体"/>
                <w:sz w:val="21"/>
                <w:szCs w:val="21"/>
              </w:rPr>
            </w:pPr>
            <w:r>
              <w:rPr>
                <w:rFonts w:eastAsia="宋体"/>
                <w:color w:val="000000"/>
                <w:sz w:val="21"/>
                <w:szCs w:val="21"/>
              </w:rPr>
              <w:t>208</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654ED18">
            <w:pPr>
              <w:autoSpaceDE/>
              <w:autoSpaceDN/>
              <w:snapToGrid w:val="0"/>
              <w:jc w:val="both"/>
              <w:rPr>
                <w:rFonts w:eastAsia="宋体"/>
                <w:sz w:val="21"/>
                <w:szCs w:val="21"/>
              </w:rPr>
            </w:pPr>
            <w:r>
              <w:rPr>
                <w:rFonts w:eastAsia="宋体"/>
                <w:color w:val="000000"/>
                <w:sz w:val="21"/>
                <w:szCs w:val="21"/>
              </w:rPr>
              <w:t>216</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177BA1">
            <w:pPr>
              <w:autoSpaceDE/>
              <w:autoSpaceDN/>
              <w:snapToGrid w:val="0"/>
              <w:jc w:val="both"/>
              <w:rPr>
                <w:rFonts w:eastAsia="宋体"/>
                <w:sz w:val="21"/>
                <w:szCs w:val="21"/>
              </w:rPr>
            </w:pPr>
            <w:r>
              <w:rPr>
                <w:rFonts w:eastAsia="宋体"/>
                <w:color w:val="000000"/>
                <w:sz w:val="21"/>
                <w:szCs w:val="21"/>
              </w:rPr>
              <w:t>212</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C0A5E1">
            <w:pPr>
              <w:autoSpaceDE/>
              <w:autoSpaceDN/>
              <w:snapToGrid w:val="0"/>
              <w:jc w:val="both"/>
              <w:rPr>
                <w:rFonts w:eastAsia="宋体"/>
                <w:sz w:val="21"/>
                <w:szCs w:val="21"/>
              </w:rPr>
            </w:pPr>
            <w:r>
              <w:rPr>
                <w:rFonts w:eastAsia="宋体"/>
                <w:color w:val="000000"/>
                <w:sz w:val="21"/>
                <w:szCs w:val="21"/>
              </w:rPr>
              <w:t>212</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1C83AA">
            <w:pPr>
              <w:autoSpaceDE/>
              <w:autoSpaceDN/>
              <w:snapToGrid w:val="0"/>
              <w:jc w:val="both"/>
              <w:rPr>
                <w:rFonts w:eastAsia="宋体"/>
                <w:sz w:val="21"/>
                <w:szCs w:val="21"/>
              </w:rPr>
            </w:pPr>
            <w:r>
              <w:rPr>
                <w:rFonts w:eastAsia="宋体"/>
                <w:color w:val="000000"/>
                <w:sz w:val="21"/>
                <w:szCs w:val="21"/>
              </w:rPr>
              <w:t>3.8</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6A764FDD">
            <w:pPr>
              <w:autoSpaceDE/>
              <w:autoSpaceDN/>
              <w:snapToGrid w:val="0"/>
              <w:jc w:val="both"/>
              <w:rPr>
                <w:rFonts w:eastAsia="宋体"/>
                <w:sz w:val="21"/>
                <w:szCs w:val="21"/>
              </w:rPr>
            </w:pPr>
            <w:r>
              <w:rPr>
                <w:rFonts w:eastAsia="宋体"/>
                <w:color w:val="000000"/>
                <w:sz w:val="21"/>
                <w:szCs w:val="21"/>
              </w:rPr>
              <w:t>不是补体激活剂*</w:t>
            </w:r>
          </w:p>
        </w:tc>
      </w:tr>
      <w:tr w14:paraId="34FE3250">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14:paraId="22DA9DCE">
            <w:pPr>
              <w:autoSpaceDE/>
              <w:autoSpaceDN/>
              <w:snapToGrid w:val="0"/>
              <w:jc w:val="both"/>
              <w:rPr>
                <w:rFonts w:eastAsia="宋体"/>
                <w:sz w:val="21"/>
                <w:szCs w:val="21"/>
              </w:rPr>
            </w:pPr>
            <w:r>
              <w:rPr>
                <w:rFonts w:eastAsia="宋体"/>
                <w:b/>
                <w:bCs/>
                <w:color w:val="000000"/>
                <w:sz w:val="21"/>
                <w:szCs w:val="21"/>
              </w:rPr>
              <w:t>试验介质对照</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CD52F9">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FD178E">
            <w:pPr>
              <w:autoSpaceDE/>
              <w:autoSpaceDN/>
              <w:snapToGrid w:val="0"/>
              <w:jc w:val="both"/>
              <w:rPr>
                <w:rFonts w:eastAsia="宋体"/>
                <w:sz w:val="21"/>
                <w:szCs w:val="21"/>
              </w:rPr>
            </w:pPr>
            <w:r>
              <w:rPr>
                <w:rFonts w:eastAsia="宋体"/>
                <w:color w:val="000000"/>
                <w:sz w:val="21"/>
                <w:szCs w:val="21"/>
              </w:rPr>
              <w:t>205</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E2D8A1">
            <w:pPr>
              <w:autoSpaceDE/>
              <w:autoSpaceDN/>
              <w:snapToGrid w:val="0"/>
              <w:jc w:val="both"/>
              <w:rPr>
                <w:rFonts w:eastAsia="宋体"/>
                <w:sz w:val="21"/>
                <w:szCs w:val="21"/>
              </w:rPr>
            </w:pPr>
            <w:r>
              <w:rPr>
                <w:rFonts w:eastAsia="宋体"/>
                <w:color w:val="000000"/>
                <w:sz w:val="21"/>
                <w:szCs w:val="21"/>
              </w:rPr>
              <w:t>207</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36E946">
            <w:pPr>
              <w:autoSpaceDE/>
              <w:autoSpaceDN/>
              <w:snapToGrid w:val="0"/>
              <w:jc w:val="both"/>
              <w:rPr>
                <w:rFonts w:eastAsia="宋体"/>
                <w:sz w:val="21"/>
                <w:szCs w:val="21"/>
              </w:rPr>
            </w:pPr>
            <w:r>
              <w:rPr>
                <w:rFonts w:eastAsia="宋体"/>
                <w:color w:val="000000"/>
                <w:sz w:val="21"/>
                <w:szCs w:val="21"/>
              </w:rPr>
              <w:t>208</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269F92">
            <w:pPr>
              <w:autoSpaceDE/>
              <w:autoSpaceDN/>
              <w:snapToGrid w:val="0"/>
              <w:jc w:val="both"/>
              <w:rPr>
                <w:rFonts w:eastAsia="宋体"/>
                <w:sz w:val="21"/>
                <w:szCs w:val="21"/>
              </w:rPr>
            </w:pPr>
            <w:r>
              <w:rPr>
                <w:rFonts w:eastAsia="宋体"/>
                <w:color w:val="000000"/>
                <w:sz w:val="21"/>
                <w:szCs w:val="21"/>
              </w:rPr>
              <w:t>207</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DE9183">
            <w:pPr>
              <w:autoSpaceDE/>
              <w:autoSpaceDN/>
              <w:snapToGrid w:val="0"/>
              <w:jc w:val="both"/>
              <w:rPr>
                <w:rFonts w:eastAsia="宋体"/>
                <w:sz w:val="21"/>
                <w:szCs w:val="21"/>
              </w:rPr>
            </w:pPr>
            <w:r>
              <w:rPr>
                <w:rFonts w:eastAsia="宋体"/>
                <w:color w:val="000000"/>
                <w:sz w:val="21"/>
                <w:szCs w:val="21"/>
              </w:rPr>
              <w:t>1.5</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1B9FD8EE">
            <w:pPr>
              <w:autoSpaceDE/>
              <w:autoSpaceDN/>
              <w:snapToGrid w:val="0"/>
              <w:jc w:val="both"/>
              <w:rPr>
                <w:rFonts w:eastAsia="宋体"/>
                <w:sz w:val="21"/>
                <w:szCs w:val="21"/>
              </w:rPr>
            </w:pPr>
            <w:r>
              <w:rPr>
                <w:rFonts w:eastAsia="宋体"/>
                <w:color w:val="000000"/>
                <w:sz w:val="21"/>
                <w:szCs w:val="21"/>
              </w:rPr>
              <w:t>按预期执行</w:t>
            </w:r>
          </w:p>
        </w:tc>
      </w:tr>
      <w:tr w14:paraId="66EA4E33">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14:paraId="13AE3FE9">
            <w:pPr>
              <w:autoSpaceDE/>
              <w:autoSpaceDN/>
              <w:snapToGrid w:val="0"/>
              <w:jc w:val="both"/>
              <w:rPr>
                <w:rFonts w:eastAsia="宋体"/>
                <w:sz w:val="21"/>
                <w:szCs w:val="21"/>
              </w:rPr>
            </w:pPr>
            <w:r>
              <w:rPr>
                <w:rFonts w:eastAsia="宋体"/>
                <w:b/>
                <w:bCs/>
                <w:color w:val="000000"/>
                <w:sz w:val="21"/>
                <w:szCs w:val="21"/>
              </w:rPr>
              <w:t>阴性对照</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A87B6D6">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BEAEB6">
            <w:pPr>
              <w:autoSpaceDE/>
              <w:autoSpaceDN/>
              <w:snapToGrid w:val="0"/>
              <w:jc w:val="both"/>
              <w:rPr>
                <w:rFonts w:eastAsia="宋体"/>
                <w:sz w:val="21"/>
                <w:szCs w:val="21"/>
              </w:rPr>
            </w:pPr>
            <w:r>
              <w:rPr>
                <w:rFonts w:eastAsia="宋体"/>
                <w:color w:val="000000"/>
                <w:sz w:val="21"/>
                <w:szCs w:val="21"/>
              </w:rPr>
              <w:t>206</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F4709C">
            <w:pPr>
              <w:autoSpaceDE/>
              <w:autoSpaceDN/>
              <w:snapToGrid w:val="0"/>
              <w:jc w:val="both"/>
              <w:rPr>
                <w:rFonts w:eastAsia="宋体"/>
                <w:sz w:val="21"/>
                <w:szCs w:val="21"/>
              </w:rPr>
            </w:pPr>
            <w:r>
              <w:rPr>
                <w:rFonts w:eastAsia="宋体"/>
                <w:color w:val="000000"/>
                <w:sz w:val="21"/>
                <w:szCs w:val="21"/>
              </w:rPr>
              <w:t>205</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4509C0">
            <w:pPr>
              <w:autoSpaceDE/>
              <w:autoSpaceDN/>
              <w:snapToGrid w:val="0"/>
              <w:jc w:val="both"/>
              <w:rPr>
                <w:rFonts w:eastAsia="宋体"/>
                <w:sz w:val="21"/>
                <w:szCs w:val="21"/>
              </w:rPr>
            </w:pPr>
            <w:r>
              <w:rPr>
                <w:rFonts w:eastAsia="宋体"/>
                <w:color w:val="000000"/>
                <w:sz w:val="21"/>
                <w:szCs w:val="21"/>
              </w:rPr>
              <w:t>204</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6AB0D8B">
            <w:pPr>
              <w:autoSpaceDE/>
              <w:autoSpaceDN/>
              <w:snapToGrid w:val="0"/>
              <w:jc w:val="both"/>
              <w:rPr>
                <w:rFonts w:eastAsia="宋体"/>
                <w:sz w:val="21"/>
                <w:szCs w:val="21"/>
              </w:rPr>
            </w:pPr>
            <w:r>
              <w:rPr>
                <w:rFonts w:eastAsia="宋体"/>
                <w:color w:val="000000"/>
                <w:sz w:val="21"/>
                <w:szCs w:val="21"/>
              </w:rPr>
              <w:t>205</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40A9D2">
            <w:pPr>
              <w:autoSpaceDE/>
              <w:autoSpaceDN/>
              <w:snapToGrid w:val="0"/>
              <w:jc w:val="both"/>
              <w:rPr>
                <w:rFonts w:eastAsia="宋体"/>
                <w:sz w:val="21"/>
                <w:szCs w:val="21"/>
              </w:rPr>
            </w:pPr>
            <w:r>
              <w:rPr>
                <w:rFonts w:eastAsia="宋体"/>
                <w:color w:val="000000"/>
                <w:sz w:val="21"/>
                <w:szCs w:val="21"/>
              </w:rPr>
              <w:t>1.1</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65176108">
            <w:pPr>
              <w:autoSpaceDE/>
              <w:autoSpaceDN/>
              <w:snapToGrid w:val="0"/>
              <w:jc w:val="both"/>
              <w:rPr>
                <w:rFonts w:eastAsia="宋体"/>
                <w:sz w:val="21"/>
                <w:szCs w:val="21"/>
              </w:rPr>
            </w:pPr>
            <w:r>
              <w:rPr>
                <w:rFonts w:eastAsia="宋体"/>
                <w:color w:val="000000"/>
                <w:sz w:val="21"/>
                <w:szCs w:val="21"/>
              </w:rPr>
              <w:t>按预期执行</w:t>
            </w:r>
          </w:p>
        </w:tc>
      </w:tr>
      <w:tr w14:paraId="2184FBF8">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14:paraId="4F848324">
            <w:pPr>
              <w:autoSpaceDE/>
              <w:autoSpaceDN/>
              <w:snapToGrid w:val="0"/>
              <w:jc w:val="both"/>
              <w:rPr>
                <w:rFonts w:eastAsia="宋体"/>
                <w:b/>
                <w:bCs/>
                <w:sz w:val="21"/>
                <w:szCs w:val="21"/>
              </w:rPr>
            </w:pPr>
            <w:r>
              <w:rPr>
                <w:rFonts w:eastAsia="宋体"/>
                <w:b/>
                <w:bCs/>
                <w:color w:val="000000"/>
                <w:sz w:val="21"/>
                <w:szCs w:val="21"/>
              </w:rPr>
              <w:t>阳性对照</w:t>
            </w:r>
            <w:r>
              <w:rPr>
                <w:rStyle w:val="17"/>
                <w:rFonts w:eastAsia="宋体"/>
                <w:b/>
                <w:bCs/>
                <w:sz w:val="21"/>
                <w:szCs w:val="21"/>
              </w:rPr>
              <w:footnoteReference w:id="119"/>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74291E">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FB9F47">
            <w:pPr>
              <w:autoSpaceDE/>
              <w:autoSpaceDN/>
              <w:snapToGrid w:val="0"/>
              <w:jc w:val="both"/>
              <w:rPr>
                <w:rFonts w:eastAsia="宋体"/>
                <w:sz w:val="21"/>
                <w:szCs w:val="21"/>
              </w:rPr>
            </w:pPr>
            <w:r>
              <w:rPr>
                <w:rFonts w:eastAsia="宋体"/>
                <w:color w:val="000000"/>
                <w:sz w:val="21"/>
                <w:szCs w:val="21"/>
              </w:rPr>
              <w:t>683</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9DC737">
            <w:pPr>
              <w:autoSpaceDE/>
              <w:autoSpaceDN/>
              <w:snapToGrid w:val="0"/>
              <w:jc w:val="both"/>
              <w:rPr>
                <w:rFonts w:eastAsia="宋体"/>
                <w:sz w:val="21"/>
                <w:szCs w:val="21"/>
              </w:rPr>
            </w:pPr>
            <w:r>
              <w:rPr>
                <w:rFonts w:eastAsia="宋体"/>
                <w:color w:val="000000"/>
                <w:sz w:val="21"/>
                <w:szCs w:val="21"/>
              </w:rPr>
              <w:t>693</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3A5A68">
            <w:pPr>
              <w:autoSpaceDE/>
              <w:autoSpaceDN/>
              <w:snapToGrid w:val="0"/>
              <w:jc w:val="both"/>
              <w:rPr>
                <w:rFonts w:eastAsia="宋体"/>
                <w:sz w:val="21"/>
                <w:szCs w:val="21"/>
              </w:rPr>
            </w:pPr>
            <w:r>
              <w:rPr>
                <w:rFonts w:eastAsia="宋体"/>
                <w:color w:val="000000"/>
                <w:sz w:val="21"/>
                <w:szCs w:val="21"/>
              </w:rPr>
              <w:t>688</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BF8827">
            <w:pPr>
              <w:autoSpaceDE/>
              <w:autoSpaceDN/>
              <w:snapToGrid w:val="0"/>
              <w:jc w:val="both"/>
              <w:rPr>
                <w:rFonts w:eastAsia="宋体"/>
                <w:sz w:val="21"/>
                <w:szCs w:val="21"/>
              </w:rPr>
            </w:pPr>
            <w:r>
              <w:rPr>
                <w:rFonts w:eastAsia="宋体"/>
                <w:color w:val="000000"/>
                <w:sz w:val="21"/>
                <w:szCs w:val="21"/>
              </w:rPr>
              <w:t>688</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709B2F">
            <w:pPr>
              <w:autoSpaceDE/>
              <w:autoSpaceDN/>
              <w:snapToGrid w:val="0"/>
              <w:jc w:val="both"/>
              <w:rPr>
                <w:rFonts w:eastAsia="宋体"/>
                <w:sz w:val="21"/>
                <w:szCs w:val="21"/>
              </w:rPr>
            </w:pPr>
            <w:r>
              <w:rPr>
                <w:rFonts w:eastAsia="宋体"/>
                <w:color w:val="000000"/>
                <w:sz w:val="21"/>
                <w:szCs w:val="21"/>
              </w:rPr>
              <w:t>4.8</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040A0C2C">
            <w:pPr>
              <w:autoSpaceDE/>
              <w:autoSpaceDN/>
              <w:snapToGrid w:val="0"/>
              <w:jc w:val="both"/>
              <w:rPr>
                <w:rFonts w:eastAsia="宋体"/>
                <w:sz w:val="21"/>
                <w:szCs w:val="21"/>
              </w:rPr>
            </w:pPr>
            <w:r>
              <w:rPr>
                <w:rFonts w:eastAsia="宋体"/>
                <w:color w:val="000000"/>
                <w:sz w:val="21"/>
                <w:szCs w:val="21"/>
              </w:rPr>
              <w:t>按预期执行</w:t>
            </w:r>
          </w:p>
        </w:tc>
      </w:tr>
      <w:tr w14:paraId="38D3AA10">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single" w:color="auto" w:sz="6" w:space="0"/>
              <w:right w:val="single" w:color="auto" w:sz="6" w:space="0"/>
            </w:tcBorders>
            <w:shd w:val="clear" w:color="auto" w:fill="FFFFFF"/>
            <w:tcMar>
              <w:left w:w="57" w:type="dxa"/>
              <w:right w:w="57" w:type="dxa"/>
            </w:tcMar>
          </w:tcPr>
          <w:p w14:paraId="41FBDA1F">
            <w:pPr>
              <w:autoSpaceDE/>
              <w:autoSpaceDN/>
              <w:snapToGrid w:val="0"/>
              <w:jc w:val="both"/>
              <w:rPr>
                <w:rFonts w:eastAsia="宋体"/>
                <w:sz w:val="21"/>
                <w:szCs w:val="21"/>
              </w:rPr>
            </w:pPr>
            <w:r>
              <w:rPr>
                <w:rFonts w:eastAsia="宋体"/>
                <w:b/>
                <w:bCs/>
                <w:color w:val="000000"/>
                <w:sz w:val="21"/>
                <w:szCs w:val="21"/>
              </w:rPr>
              <w:t>眼镜蛇毒液因子阳性对照</w:t>
            </w:r>
            <w:r>
              <w:rPr>
                <w:rStyle w:val="17"/>
                <w:rFonts w:eastAsia="宋体"/>
                <w:b/>
                <w:bCs/>
                <w:sz w:val="21"/>
                <w:szCs w:val="21"/>
              </w:rPr>
              <w:footnoteReference w:id="120"/>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9B5790">
            <w:pPr>
              <w:autoSpaceDE/>
              <w:autoSpaceDN/>
              <w:snapToGrid w:val="0"/>
              <w:jc w:val="both"/>
              <w:rPr>
                <w:rFonts w:eastAsia="宋体"/>
                <w:sz w:val="21"/>
                <w:szCs w:val="21"/>
              </w:rPr>
            </w:pPr>
            <w:r>
              <w:rPr>
                <w:rFonts w:eastAsia="宋体"/>
                <w:color w:val="000000"/>
                <w:sz w:val="21"/>
                <w:szCs w:val="21"/>
              </w:rPr>
              <w:t>1:8000</w:t>
            </w:r>
          </w:p>
        </w:tc>
        <w:tc>
          <w:tcPr>
            <w:tcW w:w="13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CB3D55E">
            <w:pPr>
              <w:autoSpaceDE/>
              <w:autoSpaceDN/>
              <w:snapToGrid w:val="0"/>
              <w:jc w:val="both"/>
              <w:rPr>
                <w:rFonts w:eastAsia="宋体"/>
                <w:sz w:val="21"/>
                <w:szCs w:val="21"/>
              </w:rPr>
            </w:pPr>
            <w:r>
              <w:rPr>
                <w:rFonts w:eastAsia="宋体"/>
                <w:color w:val="000000"/>
                <w:sz w:val="21"/>
                <w:szCs w:val="21"/>
              </w:rPr>
              <w:t>10326</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F5D8EB">
            <w:pPr>
              <w:autoSpaceDE/>
              <w:autoSpaceDN/>
              <w:snapToGrid w:val="0"/>
              <w:jc w:val="both"/>
              <w:rPr>
                <w:rFonts w:eastAsia="宋体"/>
                <w:sz w:val="21"/>
                <w:szCs w:val="21"/>
              </w:rPr>
            </w:pPr>
            <w:r>
              <w:rPr>
                <w:rFonts w:eastAsia="宋体"/>
                <w:color w:val="000000"/>
                <w:sz w:val="21"/>
                <w:szCs w:val="21"/>
              </w:rPr>
              <w:t>10567</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F3D5AE0">
            <w:pPr>
              <w:autoSpaceDE/>
              <w:autoSpaceDN/>
              <w:snapToGrid w:val="0"/>
              <w:jc w:val="both"/>
              <w:rPr>
                <w:rFonts w:eastAsia="宋体"/>
                <w:sz w:val="21"/>
                <w:szCs w:val="21"/>
              </w:rPr>
            </w:pPr>
            <w:r>
              <w:rPr>
                <w:rFonts w:eastAsia="宋体"/>
                <w:color w:val="000000"/>
                <w:sz w:val="21"/>
                <w:szCs w:val="21"/>
              </w:rPr>
              <w:t>10519</w:t>
            </w:r>
          </w:p>
        </w:tc>
        <w:tc>
          <w:tcPr>
            <w:tcW w:w="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FC4F1D2">
            <w:pPr>
              <w:autoSpaceDE/>
              <w:autoSpaceDN/>
              <w:snapToGrid w:val="0"/>
              <w:jc w:val="both"/>
              <w:rPr>
                <w:rFonts w:eastAsia="宋体"/>
                <w:sz w:val="21"/>
                <w:szCs w:val="21"/>
              </w:rPr>
            </w:pPr>
            <w:r>
              <w:rPr>
                <w:rFonts w:eastAsia="宋体"/>
                <w:color w:val="000000"/>
                <w:sz w:val="21"/>
                <w:szCs w:val="21"/>
              </w:rPr>
              <w:t>10471</w:t>
            </w:r>
          </w:p>
        </w:tc>
        <w:tc>
          <w:tcPr>
            <w:tcW w:w="5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D1DB4F">
            <w:pPr>
              <w:autoSpaceDE/>
              <w:autoSpaceDN/>
              <w:snapToGrid w:val="0"/>
              <w:jc w:val="both"/>
              <w:rPr>
                <w:rFonts w:eastAsia="宋体"/>
                <w:sz w:val="21"/>
                <w:szCs w:val="21"/>
              </w:rPr>
            </w:pPr>
            <w:r>
              <w:rPr>
                <w:rFonts w:eastAsia="宋体"/>
                <w:color w:val="000000"/>
                <w:sz w:val="21"/>
                <w:szCs w:val="21"/>
              </w:rPr>
              <w:t>127</w:t>
            </w:r>
          </w:p>
        </w:tc>
        <w:tc>
          <w:tcPr>
            <w:tcW w:w="1411" w:type="dxa"/>
            <w:tcBorders>
              <w:top w:val="single" w:color="auto" w:sz="6" w:space="0"/>
              <w:left w:val="single" w:color="auto" w:sz="6" w:space="0"/>
              <w:bottom w:val="single" w:color="auto" w:sz="6" w:space="0"/>
              <w:right w:val="double" w:color="auto" w:sz="4" w:space="0"/>
            </w:tcBorders>
            <w:shd w:val="clear" w:color="auto" w:fill="FFFFFF"/>
            <w:tcMar>
              <w:left w:w="57" w:type="dxa"/>
              <w:right w:w="57" w:type="dxa"/>
            </w:tcMar>
          </w:tcPr>
          <w:p w14:paraId="4F369A72">
            <w:pPr>
              <w:autoSpaceDE/>
              <w:autoSpaceDN/>
              <w:snapToGrid w:val="0"/>
              <w:jc w:val="both"/>
              <w:rPr>
                <w:rFonts w:eastAsia="宋体"/>
                <w:sz w:val="21"/>
                <w:szCs w:val="21"/>
              </w:rPr>
            </w:pPr>
            <w:r>
              <w:rPr>
                <w:rFonts w:eastAsia="宋体"/>
                <w:color w:val="000000"/>
                <w:sz w:val="21"/>
                <w:szCs w:val="21"/>
              </w:rPr>
              <w:t>按预期执行</w:t>
            </w:r>
          </w:p>
        </w:tc>
      </w:tr>
      <w:tr w14:paraId="48083F5B">
        <w:tblPrEx>
          <w:tblCellMar>
            <w:top w:w="0" w:type="dxa"/>
            <w:left w:w="57" w:type="dxa"/>
            <w:bottom w:w="0" w:type="dxa"/>
            <w:right w:w="57" w:type="dxa"/>
          </w:tblCellMar>
        </w:tblPrEx>
        <w:trPr>
          <w:trHeight w:val="510" w:hRule="atLeast"/>
        </w:trPr>
        <w:tc>
          <w:tcPr>
            <w:tcW w:w="1574" w:type="dxa"/>
            <w:tcBorders>
              <w:top w:val="single" w:color="auto" w:sz="6" w:space="0"/>
              <w:left w:val="double" w:color="auto" w:sz="4" w:space="0"/>
              <w:bottom w:val="double" w:color="auto" w:sz="4" w:space="0"/>
              <w:right w:val="single" w:color="auto" w:sz="6" w:space="0"/>
            </w:tcBorders>
            <w:shd w:val="clear" w:color="auto" w:fill="FFFFFF"/>
            <w:tcMar>
              <w:left w:w="57" w:type="dxa"/>
              <w:right w:w="57" w:type="dxa"/>
            </w:tcMar>
          </w:tcPr>
          <w:p w14:paraId="40B33739">
            <w:pPr>
              <w:autoSpaceDE/>
              <w:autoSpaceDN/>
              <w:snapToGrid w:val="0"/>
              <w:jc w:val="both"/>
              <w:rPr>
                <w:rFonts w:eastAsia="宋体"/>
                <w:sz w:val="21"/>
                <w:szCs w:val="21"/>
              </w:rPr>
            </w:pPr>
            <w:r>
              <w:rPr>
                <w:rFonts w:eastAsia="宋体"/>
                <w:b/>
                <w:bCs/>
                <w:color w:val="000000"/>
                <w:sz w:val="21"/>
                <w:szCs w:val="21"/>
              </w:rPr>
              <w:t>美国上市的</w:t>
            </w:r>
            <w:bookmarkStart w:id="62" w:name="bookmark104"/>
            <w:r>
              <w:rPr>
                <w:rFonts w:eastAsia="宋体"/>
                <w:b/>
                <w:bCs/>
                <w:color w:val="000000"/>
                <w:sz w:val="21"/>
                <w:szCs w:val="21"/>
              </w:rPr>
              <w:t>比较品（</w:t>
            </w:r>
            <w:bookmarkEnd w:id="62"/>
            <w:r>
              <w:rPr>
                <w:rFonts w:eastAsia="宋体"/>
                <w:b/>
                <w:bCs/>
                <w:color w:val="000000"/>
                <w:sz w:val="21"/>
                <w:szCs w:val="21"/>
              </w:rPr>
              <w:t>可选）</w:t>
            </w:r>
          </w:p>
        </w:tc>
        <w:tc>
          <w:tcPr>
            <w:tcW w:w="1040"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0FE0ADB7">
            <w:pPr>
              <w:autoSpaceDE/>
              <w:autoSpaceDN/>
              <w:snapToGrid w:val="0"/>
              <w:jc w:val="both"/>
              <w:rPr>
                <w:rFonts w:eastAsia="宋体"/>
                <w:sz w:val="21"/>
                <w:szCs w:val="21"/>
              </w:rPr>
            </w:pPr>
            <w:r>
              <w:rPr>
                <w:rFonts w:eastAsia="宋体"/>
                <w:color w:val="000000"/>
                <w:sz w:val="21"/>
                <w:szCs w:val="21"/>
              </w:rPr>
              <w:t>1:160</w:t>
            </w:r>
          </w:p>
        </w:tc>
        <w:tc>
          <w:tcPr>
            <w:tcW w:w="1367"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30BDC6A5">
            <w:pPr>
              <w:autoSpaceDE/>
              <w:autoSpaceDN/>
              <w:snapToGrid w:val="0"/>
              <w:jc w:val="both"/>
              <w:rPr>
                <w:rFonts w:eastAsia="宋体"/>
                <w:sz w:val="21"/>
                <w:szCs w:val="21"/>
              </w:rPr>
            </w:pPr>
            <w:r>
              <w:rPr>
                <w:rFonts w:eastAsia="宋体"/>
                <w:color w:val="000000"/>
                <w:sz w:val="21"/>
                <w:szCs w:val="21"/>
              </w:rPr>
              <w:t>210</w:t>
            </w:r>
          </w:p>
        </w:tc>
        <w:tc>
          <w:tcPr>
            <w:tcW w:w="1363"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1BBB6AE2">
            <w:pPr>
              <w:autoSpaceDE/>
              <w:autoSpaceDN/>
              <w:snapToGrid w:val="0"/>
              <w:jc w:val="both"/>
              <w:rPr>
                <w:rFonts w:eastAsia="宋体"/>
                <w:sz w:val="21"/>
                <w:szCs w:val="21"/>
              </w:rPr>
            </w:pPr>
            <w:r>
              <w:rPr>
                <w:rFonts w:eastAsia="宋体"/>
                <w:color w:val="000000"/>
                <w:sz w:val="21"/>
                <w:szCs w:val="21"/>
              </w:rPr>
              <w:t>215</w:t>
            </w:r>
          </w:p>
        </w:tc>
        <w:tc>
          <w:tcPr>
            <w:tcW w:w="1363"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666D5393">
            <w:pPr>
              <w:autoSpaceDE/>
              <w:autoSpaceDN/>
              <w:snapToGrid w:val="0"/>
              <w:jc w:val="both"/>
              <w:rPr>
                <w:rFonts w:eastAsia="宋体"/>
                <w:sz w:val="21"/>
                <w:szCs w:val="21"/>
              </w:rPr>
            </w:pPr>
            <w:r>
              <w:rPr>
                <w:rFonts w:eastAsia="宋体"/>
                <w:color w:val="000000"/>
                <w:sz w:val="21"/>
                <w:szCs w:val="21"/>
              </w:rPr>
              <w:t>223</w:t>
            </w:r>
          </w:p>
        </w:tc>
        <w:tc>
          <w:tcPr>
            <w:tcW w:w="80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208D816E">
            <w:pPr>
              <w:autoSpaceDE/>
              <w:autoSpaceDN/>
              <w:snapToGrid w:val="0"/>
              <w:jc w:val="both"/>
              <w:rPr>
                <w:rFonts w:eastAsia="宋体"/>
                <w:sz w:val="21"/>
                <w:szCs w:val="21"/>
              </w:rPr>
            </w:pPr>
            <w:r>
              <w:rPr>
                <w:rFonts w:eastAsia="宋体"/>
                <w:color w:val="000000"/>
                <w:sz w:val="21"/>
                <w:szCs w:val="21"/>
              </w:rPr>
              <w:t>216</w:t>
            </w:r>
          </w:p>
        </w:tc>
        <w:tc>
          <w:tcPr>
            <w:tcW w:w="545" w:type="dxa"/>
            <w:tcBorders>
              <w:top w:val="single" w:color="auto" w:sz="6" w:space="0"/>
              <w:left w:val="single" w:color="auto" w:sz="6" w:space="0"/>
              <w:bottom w:val="double" w:color="auto" w:sz="4" w:space="0"/>
              <w:right w:val="single" w:color="auto" w:sz="6" w:space="0"/>
            </w:tcBorders>
            <w:shd w:val="clear" w:color="auto" w:fill="FFFFFF"/>
            <w:tcMar>
              <w:left w:w="57" w:type="dxa"/>
              <w:right w:w="57" w:type="dxa"/>
            </w:tcMar>
          </w:tcPr>
          <w:p w14:paraId="5DC4782A">
            <w:pPr>
              <w:autoSpaceDE/>
              <w:autoSpaceDN/>
              <w:snapToGrid w:val="0"/>
              <w:jc w:val="both"/>
              <w:rPr>
                <w:rFonts w:eastAsia="宋体"/>
                <w:sz w:val="21"/>
                <w:szCs w:val="21"/>
              </w:rPr>
            </w:pPr>
            <w:r>
              <w:rPr>
                <w:rFonts w:eastAsia="宋体"/>
                <w:color w:val="000000"/>
                <w:sz w:val="21"/>
                <w:szCs w:val="21"/>
              </w:rPr>
              <w:t>6.6</w:t>
            </w:r>
          </w:p>
        </w:tc>
        <w:tc>
          <w:tcPr>
            <w:tcW w:w="1411" w:type="dxa"/>
            <w:tcBorders>
              <w:top w:val="single" w:color="auto" w:sz="6" w:space="0"/>
              <w:left w:val="single" w:color="auto" w:sz="6" w:space="0"/>
              <w:bottom w:val="double" w:color="auto" w:sz="4" w:space="0"/>
              <w:right w:val="double" w:color="auto" w:sz="4" w:space="0"/>
            </w:tcBorders>
            <w:shd w:val="clear" w:color="auto" w:fill="FFFFFF"/>
            <w:tcMar>
              <w:left w:w="57" w:type="dxa"/>
              <w:right w:w="57" w:type="dxa"/>
            </w:tcMar>
          </w:tcPr>
          <w:p w14:paraId="169D0FE7">
            <w:pPr>
              <w:autoSpaceDE/>
              <w:autoSpaceDN/>
              <w:snapToGrid w:val="0"/>
              <w:jc w:val="both"/>
              <w:rPr>
                <w:rFonts w:eastAsia="宋体"/>
                <w:sz w:val="21"/>
                <w:szCs w:val="21"/>
              </w:rPr>
            </w:pPr>
            <w:r>
              <w:rPr>
                <w:rFonts w:eastAsia="宋体"/>
                <w:color w:val="000000"/>
                <w:sz w:val="21"/>
                <w:szCs w:val="21"/>
              </w:rPr>
              <w:t>按预期执行</w:t>
            </w:r>
          </w:p>
        </w:tc>
      </w:tr>
    </w:tbl>
    <w:p w14:paraId="2662DD32">
      <w:pPr>
        <w:autoSpaceDE/>
        <w:autoSpaceDN/>
        <w:snapToGrid w:val="0"/>
        <w:jc w:val="center"/>
        <w:rPr>
          <w:rFonts w:eastAsia="宋体"/>
          <w:i/>
          <w:iCs/>
          <w:color w:val="000000"/>
          <w:sz w:val="21"/>
          <w:szCs w:val="21"/>
        </w:rPr>
      </w:pPr>
      <w:r>
        <w:rPr>
          <w:rFonts w:eastAsia="宋体"/>
          <w:i/>
          <w:iCs/>
          <w:color w:val="000000"/>
          <w:sz w:val="21"/>
          <w:szCs w:val="21"/>
        </w:rPr>
        <w:t>[插入任何额外的重复试验数据的行数]</w:t>
      </w:r>
    </w:p>
    <w:p w14:paraId="609C4014">
      <w:pPr>
        <w:autoSpaceDE/>
        <w:autoSpaceDN/>
        <w:snapToGrid w:val="0"/>
        <w:jc w:val="both"/>
        <w:rPr>
          <w:rFonts w:eastAsia="宋体"/>
          <w:color w:val="000000"/>
          <w:sz w:val="21"/>
          <w:szCs w:val="21"/>
        </w:rPr>
      </w:pPr>
    </w:p>
    <w:p w14:paraId="1A33B369">
      <w:pPr>
        <w:autoSpaceDE/>
        <w:autoSpaceDN/>
        <w:snapToGrid w:val="0"/>
        <w:ind w:left="614" w:leftChars="307"/>
        <w:jc w:val="both"/>
        <w:rPr>
          <w:rFonts w:eastAsia="宋体"/>
          <w:sz w:val="21"/>
          <w:szCs w:val="21"/>
        </w:rPr>
      </w:pPr>
      <w:r>
        <w:rPr>
          <w:rFonts w:eastAsia="宋体"/>
          <w:color w:val="000000"/>
          <w:sz w:val="21"/>
          <w:szCs w:val="21"/>
        </w:rPr>
        <w:t>*与阴性对照品或比较对照品没有统计学上的差异</w:t>
      </w:r>
    </w:p>
    <w:p w14:paraId="544B672B">
      <w:pPr>
        <w:tabs>
          <w:tab w:val="left" w:pos="1070"/>
        </w:tabs>
        <w:autoSpaceDE/>
        <w:autoSpaceDN/>
        <w:snapToGrid w:val="0"/>
        <w:jc w:val="both"/>
        <w:rPr>
          <w:rFonts w:eastAsia="宋体"/>
          <w:color w:val="000000"/>
          <w:sz w:val="24"/>
          <w:szCs w:val="24"/>
          <w:vertAlign w:val="superscript"/>
        </w:rPr>
      </w:pPr>
    </w:p>
    <w:p w14:paraId="7B90F83B">
      <w:pPr>
        <w:tabs>
          <w:tab w:val="left" w:pos="1070"/>
        </w:tabs>
        <w:autoSpaceDE/>
        <w:autoSpaceDN/>
        <w:snapToGrid w:val="0"/>
        <w:jc w:val="both"/>
        <w:rPr>
          <w:rFonts w:eastAsia="宋体"/>
          <w:sz w:val="24"/>
          <w:szCs w:val="24"/>
        </w:rPr>
        <w:sectPr>
          <w:pgSz w:w="11906" w:h="16838"/>
          <w:pgMar w:top="1134" w:right="1134" w:bottom="1134" w:left="1418" w:header="567" w:footer="567" w:gutter="0"/>
          <w:cols w:space="60" w:num="1"/>
          <w:docGrid w:linePitch="272" w:charSpace="0"/>
        </w:sectPr>
      </w:pPr>
    </w:p>
    <w:p w14:paraId="390331F1">
      <w:pPr>
        <w:autoSpaceDE/>
        <w:autoSpaceDN/>
        <w:snapToGrid w:val="0"/>
        <w:jc w:val="both"/>
        <w:rPr>
          <w:rFonts w:eastAsia="宋体"/>
          <w:sz w:val="24"/>
          <w:szCs w:val="24"/>
        </w:rPr>
      </w:pPr>
      <w:r>
        <w:rPr>
          <w:rFonts w:eastAsia="宋体"/>
          <w:color w:val="000000"/>
          <w:sz w:val="24"/>
          <w:szCs w:val="24"/>
        </w:rPr>
        <w:t>我确认：</w:t>
      </w:r>
    </w:p>
    <w:p w14:paraId="0F075920">
      <w:pPr>
        <w:tabs>
          <w:tab w:val="left" w:pos="346"/>
        </w:tabs>
        <w:autoSpaceDE/>
        <w:autoSpaceDN/>
        <w:snapToGrid w:val="0"/>
        <w:jc w:val="both"/>
        <w:rPr>
          <w:rFonts w:eastAsia="宋体"/>
          <w:b/>
          <w:bCs/>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上述汇总信息包括所有原始数据和任何再试验数据；以及</w:t>
      </w:r>
    </w:p>
    <w:p w14:paraId="7711BDB2">
      <w:pPr>
        <w:tabs>
          <w:tab w:val="left" w:pos="346"/>
        </w:tabs>
        <w:autoSpaceDE/>
        <w:autoSpaceDN/>
        <w:snapToGrid w:val="0"/>
        <w:jc w:val="both"/>
        <w:rPr>
          <w:rFonts w:eastAsia="宋体"/>
          <w:color w:val="000000"/>
          <w:sz w:val="24"/>
          <w:szCs w:val="24"/>
        </w:rPr>
      </w:pPr>
      <w:r>
        <w:rPr>
          <w:rFonts w:eastAsia="宋体"/>
          <w:color w:val="000000"/>
          <w:sz w:val="24"/>
          <w:szCs w:val="24"/>
        </w:rPr>
        <w:sym w:font="Wingdings 2" w:char="F0A3"/>
      </w:r>
      <w:r>
        <w:rPr>
          <w:rFonts w:eastAsia="宋体"/>
          <w:color w:val="000000"/>
          <w:sz w:val="24"/>
          <w:szCs w:val="24"/>
        </w:rPr>
        <w:tab/>
      </w:r>
      <w:r>
        <w:rPr>
          <w:rFonts w:eastAsia="宋体"/>
          <w:color w:val="000000"/>
          <w:sz w:val="24"/>
          <w:szCs w:val="24"/>
        </w:rPr>
        <w:t>我已检查，完整的试验报告和这份ASCA汇总试验报告之间没有差异。</w:t>
      </w:r>
    </w:p>
    <w:p w14:paraId="028CE772">
      <w:pPr>
        <w:tabs>
          <w:tab w:val="left" w:pos="346"/>
        </w:tabs>
        <w:autoSpaceDE/>
        <w:autoSpaceDN/>
        <w:snapToGrid w:val="0"/>
        <w:jc w:val="both"/>
        <w:rPr>
          <w:rFonts w:eastAsia="宋体"/>
          <w:color w:val="000000"/>
          <w:sz w:val="24"/>
          <w:szCs w:val="24"/>
        </w:rPr>
      </w:pPr>
    </w:p>
    <w:p w14:paraId="39F556B5">
      <w:pPr>
        <w:tabs>
          <w:tab w:val="left" w:pos="346"/>
        </w:tabs>
        <w:autoSpaceDE/>
        <w:autoSpaceDN/>
        <w:snapToGrid w:val="0"/>
        <w:jc w:val="both"/>
        <w:rPr>
          <w:rFonts w:eastAsia="宋体"/>
          <w:color w:val="000000"/>
          <w:sz w:val="24"/>
          <w:szCs w:val="24"/>
        </w:rPr>
      </w:pPr>
    </w:p>
    <w:p w14:paraId="6A0015DC">
      <w:pPr>
        <w:tabs>
          <w:tab w:val="left" w:pos="346"/>
        </w:tabs>
        <w:autoSpaceDE/>
        <w:autoSpaceDN/>
        <w:snapToGrid w:val="0"/>
        <w:jc w:val="both"/>
        <w:rPr>
          <w:rFonts w:eastAsia="宋体"/>
          <w:b/>
          <w:bCs/>
          <w:color w:val="000000"/>
          <w:sz w:val="24"/>
          <w:szCs w:val="24"/>
        </w:rPr>
      </w:pPr>
    </w:p>
    <w:p w14:paraId="186754B4">
      <w:pPr>
        <w:pBdr>
          <w:top w:val="single" w:color="auto" w:sz="6" w:space="1"/>
        </w:pBdr>
        <w:tabs>
          <w:tab w:val="left" w:pos="7925"/>
        </w:tabs>
        <w:autoSpaceDE/>
        <w:autoSpaceDN/>
        <w:snapToGrid w:val="0"/>
        <w:jc w:val="both"/>
        <w:rPr>
          <w:rFonts w:eastAsia="宋体"/>
          <w:sz w:val="24"/>
          <w:szCs w:val="24"/>
        </w:rPr>
      </w:pPr>
      <w:r>
        <w:rPr>
          <w:rFonts w:eastAsia="宋体"/>
          <w:color w:val="000000"/>
          <w:sz w:val="24"/>
          <w:szCs w:val="24"/>
        </w:rPr>
        <w:t>姓名：[键入姓名的位置]</w:t>
      </w:r>
      <w:r>
        <w:rPr>
          <w:rFonts w:eastAsia="宋体"/>
          <w:color w:val="000000"/>
          <w:sz w:val="24"/>
          <w:szCs w:val="24"/>
        </w:rPr>
        <w:tab/>
      </w:r>
      <w:r>
        <w:rPr>
          <w:rFonts w:eastAsia="宋体"/>
          <w:color w:val="000000"/>
          <w:sz w:val="24"/>
          <w:szCs w:val="24"/>
        </w:rPr>
        <w:t>日期</w:t>
      </w:r>
    </w:p>
    <w:p w14:paraId="578DBFB1">
      <w:pPr>
        <w:pStyle w:val="23"/>
        <w:pBdr>
          <w:bottom w:val="single" w:color="auto" w:sz="4" w:space="1"/>
        </w:pBdr>
        <w:autoSpaceDE/>
        <w:autoSpaceDN/>
        <w:jc w:val="center"/>
        <w:rPr>
          <w:rFonts w:hint="eastAsia" w:eastAsia="等线"/>
          <w:lang w:eastAsia="zh-CN"/>
        </w:rPr>
      </w:pPr>
    </w:p>
    <w:p w14:paraId="1946753D">
      <w:pPr>
        <w:pStyle w:val="23"/>
        <w:pBdr>
          <w:bottom w:val="single" w:color="auto" w:sz="4" w:space="1"/>
        </w:pBdr>
        <w:autoSpaceDE/>
        <w:autoSpaceDN/>
        <w:jc w:val="center"/>
        <w:rPr>
          <w:rFonts w:hint="eastAsia" w:eastAsia="等线"/>
          <w:lang w:eastAsia="zh-CN"/>
        </w:rPr>
      </w:pPr>
    </w:p>
    <w:p w14:paraId="684BDAB7">
      <w:pPr>
        <w:pStyle w:val="23"/>
        <w:pBdr>
          <w:bottom w:val="single" w:color="auto" w:sz="4" w:space="1"/>
        </w:pBdr>
        <w:autoSpaceDE/>
        <w:autoSpaceDN/>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pgSz w:w="11906" w:h="16838"/>
      <w:pgMar w:top="1134" w:right="1134" w:bottom="1134" w:left="1418" w:header="567" w:footer="567" w:gutter="0"/>
      <w:cols w:space="6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ODEX" w:date="2022-03-21T17:46:00Z" w:initials="">
    <w:p w14:paraId="75BE45FC">
      <w:pPr>
        <w:pStyle w:val="4"/>
      </w:pPr>
      <w:r>
        <w:rPr>
          <w:rFonts w:hint="eastAsia"/>
        </w:rPr>
        <w:t>原文此处有脚注编号7</w:t>
      </w:r>
      <w:r>
        <w:t>6</w:t>
      </w:r>
      <w:r>
        <w:rPr>
          <w:rFonts w:hint="eastAsia"/>
        </w:rPr>
        <w:t>，但是脚注处没有对应内容，烦请确认。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BE45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E2DE">
    <w:pPr>
      <w:pStyle w:val="8"/>
      <w:pBdr>
        <w:bottom w:val="none" w:color="auto" w:sz="0" w:space="0"/>
      </w:pBdr>
      <w:tabs>
        <w:tab w:val="clear" w:pos="4153"/>
        <w:tab w:val="clear" w:pos="8306"/>
      </w:tabs>
      <w:jc w:val="both"/>
      <w:rPr>
        <w:rFonts w:eastAsia="宋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FAB4">
    <w:pPr>
      <w:pStyle w:val="7"/>
      <w:jc w:val="right"/>
      <w:rPr>
        <w:rFonts w:eastAsia="宋体"/>
        <w:sz w:val="21"/>
        <w:szCs w:val="21"/>
      </w:rPr>
    </w:pPr>
    <w:r>
      <w:rPr>
        <w:rFonts w:eastAsia="宋体"/>
        <w:sz w:val="21"/>
        <w:szCs w:val="21"/>
      </w:rPr>
      <w:fldChar w:fldCharType="begin"/>
    </w:r>
    <w:r>
      <w:rPr>
        <w:rFonts w:eastAsia="宋体"/>
        <w:sz w:val="21"/>
        <w:szCs w:val="21"/>
      </w:rPr>
      <w:instrText xml:space="preserve">PAGE   \* MERGEFORMAT</w:instrText>
    </w:r>
    <w:r>
      <w:rPr>
        <w:rFonts w:eastAsia="宋体"/>
        <w:sz w:val="21"/>
        <w:szCs w:val="21"/>
      </w:rPr>
      <w:fldChar w:fldCharType="separate"/>
    </w:r>
    <w:r>
      <w:rPr>
        <w:rFonts w:eastAsia="宋体"/>
        <w:sz w:val="21"/>
        <w:szCs w:val="21"/>
      </w:rPr>
      <w:t>2</w:t>
    </w:r>
    <w:r>
      <w:rPr>
        <w:rFonts w:eastAsia="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2">
    <w:p>
      <w:r>
        <w:separator/>
      </w:r>
    </w:p>
  </w:footnote>
  <w:footnote w:type="continuationSeparator" w:id="243">
    <w:p>
      <w:r>
        <w:continuationSeparator/>
      </w:r>
    </w:p>
  </w:footnote>
  <w:footnote w:id="0">
    <w:p w14:paraId="43A9747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hint="eastAsia" w:eastAsia="宋体"/>
          <w:color w:val="000000"/>
          <w:sz w:val="21"/>
          <w:szCs w:val="21"/>
        </w:rPr>
        <w:t>访问</w:t>
      </w:r>
      <w:r>
        <w:rPr>
          <w:rFonts w:eastAsia="宋体"/>
          <w:color w:val="000000"/>
          <w:sz w:val="21"/>
          <w:szCs w:val="21"/>
        </w:rPr>
        <w:t>：</w:t>
      </w:r>
      <w:r>
        <w:rPr>
          <w:rFonts w:hint="eastAsia" w:eastAsia="宋体"/>
          <w:color w:val="0000FF"/>
          <w:sz w:val="21"/>
          <w:szCs w:val="21"/>
          <w:u w:val="single"/>
        </w:rPr>
        <w:t>符合性</w:t>
      </w:r>
      <w:r>
        <w:rPr>
          <w:rFonts w:eastAsia="宋体"/>
          <w:color w:val="0000FF"/>
          <w:sz w:val="21"/>
          <w:szCs w:val="21"/>
          <w:u w:val="single"/>
        </w:rPr>
        <w:t>评估</w:t>
      </w:r>
      <w:r>
        <w:rPr>
          <w:rFonts w:hint="eastAsia" w:eastAsia="宋体"/>
          <w:color w:val="0000FF"/>
          <w:sz w:val="21"/>
          <w:szCs w:val="21"/>
          <w:u w:val="single"/>
        </w:rPr>
        <w:t>认证</w:t>
      </w:r>
      <w:r>
        <w:rPr>
          <w:rFonts w:eastAsia="宋体"/>
          <w:color w:val="0000FF"/>
          <w:sz w:val="21"/>
          <w:szCs w:val="21"/>
          <w:u w:val="single"/>
        </w:rPr>
        <w:t>计划（ASCA）试点</w:t>
      </w:r>
      <w:r>
        <w:rPr>
          <w:rFonts w:hint="eastAsia" w:eastAsia="宋体"/>
          <w:color w:val="0000FF"/>
          <w:sz w:val="21"/>
          <w:szCs w:val="21"/>
          <w:u w:val="single"/>
        </w:rPr>
        <w:t>计划</w:t>
      </w:r>
    </w:p>
  </w:footnote>
  <w:footnote w:id="1">
    <w:p w14:paraId="208F4B3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访问</w:t>
      </w:r>
      <w:r>
        <w:rPr>
          <w:rFonts w:eastAsia="宋体"/>
          <w:color w:val="0000FF"/>
          <w:sz w:val="21"/>
          <w:szCs w:val="21"/>
          <w:u w:val="single"/>
        </w:rPr>
        <w:t>https://www.accessdata.fda.gov/scripts/cdrh/cfdocs/cfStandards/search.cfm</w:t>
      </w:r>
    </w:p>
  </w:footnote>
  <w:footnote w:id="2">
    <w:p w14:paraId="3D2FBAD6">
      <w:pPr>
        <w:pStyle w:val="10"/>
        <w:tabs>
          <w:tab w:val="left" w:pos="240"/>
        </w:tabs>
        <w:autoSpaceDE/>
        <w:autoSpaceDN/>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访问</w:t>
      </w:r>
      <w:r>
        <w:rPr>
          <w:rFonts w:eastAsia="宋体"/>
          <w:color w:val="0000FF"/>
          <w:sz w:val="21"/>
          <w:szCs w:val="21"/>
          <w:u w:val="single"/>
        </w:rPr>
        <w:t>https://www.fda.gov/regulatory-information/search-fda-guidance-documents/appropriate-use- voluntary-consensus-standards-premarket-submissions-medical-devices</w:t>
      </w:r>
    </w:p>
  </w:footnote>
  <w:footnote w:id="3">
    <w:p w14:paraId="09B00672">
      <w:pPr>
        <w:pStyle w:val="10"/>
        <w:tabs>
          <w:tab w:val="left" w:pos="240"/>
        </w:tabs>
        <w:autoSpaceDE/>
        <w:autoSpaceDN/>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访问</w:t>
      </w:r>
      <w:r>
        <w:rPr>
          <w:rFonts w:eastAsia="宋体"/>
          <w:color w:val="0000FF"/>
          <w:sz w:val="21"/>
          <w:szCs w:val="21"/>
          <w:u w:val="single"/>
        </w:rPr>
        <w:t>https://www.fda.gov/regulatory-information/search-fda-guidance-documents/standards- development-and-use-standards-regulatory-submissions-reviewed-center-biologics-evaluation</w:t>
      </w:r>
    </w:p>
  </w:footnote>
  <w:footnote w:id="4">
    <w:p w14:paraId="5DD5EFEC">
      <w:pPr>
        <w:pStyle w:val="10"/>
        <w:tabs>
          <w:tab w:val="left" w:pos="240"/>
          <w:tab w:val="left" w:pos="709"/>
        </w:tabs>
        <w:autoSpaceDE/>
        <w:autoSpaceDN/>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访问</w:t>
      </w:r>
      <w:r>
        <w:rPr>
          <w:rFonts w:eastAsia="宋体"/>
          <w:color w:val="0000FF"/>
          <w:sz w:val="21"/>
          <w:szCs w:val="21"/>
          <w:u w:val="single"/>
        </w:rPr>
        <w:t>https://www.fda.gov/regulatory-information/search-fda-guidance-documents/use-international- standard-iso-10993-1-biological-evaluation-medical-devices-part-1-evaluation-and</w:t>
      </w:r>
    </w:p>
  </w:footnote>
  <w:footnote w:id="5">
    <w:p w14:paraId="6AF07F2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我们支持</w:t>
      </w:r>
      <w:r>
        <w:rPr>
          <w:rFonts w:hint="eastAsia" w:eastAsia="宋体"/>
          <w:color w:val="000000"/>
          <w:sz w:val="21"/>
          <w:szCs w:val="21"/>
        </w:rPr>
        <w:t>“</w:t>
      </w:r>
      <w:r>
        <w:rPr>
          <w:rFonts w:eastAsia="宋体"/>
          <w:color w:val="000000"/>
          <w:sz w:val="21"/>
          <w:szCs w:val="21"/>
        </w:rPr>
        <w:t>3R</w:t>
      </w:r>
      <w:r>
        <w:rPr>
          <w:rFonts w:hint="eastAsia" w:eastAsia="宋体"/>
          <w:color w:val="000000"/>
          <w:sz w:val="21"/>
          <w:szCs w:val="21"/>
        </w:rPr>
        <w:t>”</w:t>
      </w:r>
      <w:r>
        <w:rPr>
          <w:rFonts w:eastAsia="宋体"/>
          <w:color w:val="000000"/>
          <w:sz w:val="21"/>
          <w:szCs w:val="21"/>
        </w:rPr>
        <w:t>原则，即在可行的情况下，减少、改进和取代试验中动物的使用。如果申办方希望使用他们认为合适、充分、经过</w:t>
      </w:r>
      <w:r>
        <w:rPr>
          <w:rFonts w:hint="eastAsia" w:eastAsia="宋体"/>
          <w:color w:val="000000"/>
          <w:sz w:val="21"/>
          <w:szCs w:val="21"/>
        </w:rPr>
        <w:t>确认</w:t>
      </w:r>
      <w:r>
        <w:rPr>
          <w:rFonts w:eastAsia="宋体"/>
          <w:color w:val="000000"/>
          <w:sz w:val="21"/>
          <w:szCs w:val="21"/>
        </w:rPr>
        <w:t>和可行的非动物试验方法，我们鼓励他们与我们协商。我局将考虑是否可评估这种替代方法与动物试验方法的实质等效性。一般参见：</w:t>
      </w:r>
      <w:r>
        <w:rPr>
          <w:rFonts w:eastAsia="宋体"/>
          <w:color w:val="0000FF"/>
          <w:sz w:val="21"/>
          <w:szCs w:val="21"/>
          <w:u w:val="single"/>
        </w:rPr>
        <w:t>https://www.fda.gov/science- research/advancing-regulatory-science/vi-modernizing-safety-testing</w:t>
      </w:r>
    </w:p>
  </w:footnote>
  <w:footnote w:id="6">
    <w:p w14:paraId="36295929">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7">
    <w:p w14:paraId="1B75BCAB">
      <w:pPr>
        <w:pStyle w:val="10"/>
        <w:tabs>
          <w:tab w:val="left" w:pos="240"/>
        </w:tabs>
        <w:autoSpaceDE/>
        <w:autoSpaceDN/>
        <w:jc w:val="both"/>
        <w:rPr>
          <w:sz w:val="21"/>
          <w:szCs w:val="21"/>
        </w:rPr>
      </w:pPr>
      <w:r>
        <w:rPr>
          <w:rStyle w:val="17"/>
          <w:rFonts w:eastAsia="宋体"/>
          <w:sz w:val="21"/>
          <w:szCs w:val="21"/>
        </w:rPr>
        <w:footnoteRef/>
      </w:r>
      <w:r>
        <w:rPr>
          <w:rFonts w:eastAsia="宋体"/>
          <w:sz w:val="21"/>
          <w:szCs w:val="21"/>
        </w:rPr>
        <w:tab/>
      </w:r>
      <w:r>
        <w:rPr>
          <w:rFonts w:eastAsia="宋体"/>
          <w:color w:val="000000"/>
          <w:sz w:val="21"/>
          <w:szCs w:val="21"/>
        </w:rPr>
        <w:t>访问</w:t>
      </w:r>
      <w:r>
        <w:rPr>
          <w:rFonts w:eastAsia="宋体"/>
          <w:color w:val="0000FF"/>
          <w:sz w:val="21"/>
          <w:szCs w:val="21"/>
          <w:u w:val="single"/>
        </w:rPr>
        <w:t>https://www.accessdata.fda.gov/scripts/cdrh/cfdocs/cfStandards/search.cfm</w:t>
      </w:r>
    </w:p>
  </w:footnote>
  <w:footnote w:id="8">
    <w:p w14:paraId="4B8E42D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i/>
          <w:iCs/>
          <w:sz w:val="21"/>
          <w:szCs w:val="21"/>
        </w:rPr>
        <w:t>请参</w:t>
      </w:r>
      <w:r>
        <w:rPr>
          <w:rFonts w:eastAsia="宋体"/>
          <w:i/>
          <w:iCs/>
          <w:color w:val="000000"/>
          <w:sz w:val="21"/>
          <w:szCs w:val="21"/>
        </w:rPr>
        <w:t>见</w:t>
      </w:r>
      <w:r>
        <w:rPr>
          <w:rFonts w:eastAsia="宋体"/>
          <w:color w:val="000000"/>
          <w:sz w:val="21"/>
          <w:szCs w:val="21"/>
        </w:rPr>
        <w:t>ISO/IEC 17011</w:t>
      </w:r>
      <w:r>
        <w:rPr>
          <w:rFonts w:hint="eastAsia" w:eastAsia="宋体"/>
          <w:color w:val="000000"/>
          <w:sz w:val="21"/>
          <w:szCs w:val="21"/>
        </w:rPr>
        <w:t>:</w:t>
      </w:r>
      <w:r>
        <w:rPr>
          <w:rFonts w:eastAsia="宋体"/>
          <w:color w:val="000000"/>
          <w:sz w:val="21"/>
          <w:szCs w:val="21"/>
        </w:rPr>
        <w:t>2017的7.9.3</w:t>
      </w:r>
      <w:r>
        <w:rPr>
          <w:rFonts w:hint="eastAsia" w:eastAsia="宋体"/>
          <w:color w:val="000000"/>
          <w:sz w:val="21"/>
          <w:szCs w:val="21"/>
        </w:rPr>
        <w:t>：</w:t>
      </w:r>
      <w:r>
        <w:rPr>
          <w:rFonts w:eastAsia="宋体"/>
          <w:i/>
          <w:iCs/>
          <w:color w:val="000000"/>
          <w:sz w:val="21"/>
          <w:szCs w:val="21"/>
        </w:rPr>
        <w:t>符合性评估</w:t>
      </w:r>
      <w:r>
        <w:rPr>
          <w:rFonts w:hint="eastAsia" w:eastAsia="宋体"/>
          <w:i/>
          <w:iCs/>
          <w:color w:val="000000"/>
          <w:sz w:val="21"/>
          <w:szCs w:val="21"/>
        </w:rPr>
        <w:t>-</w:t>
      </w:r>
      <w:r>
        <w:rPr>
          <w:rFonts w:eastAsia="宋体"/>
          <w:i/>
          <w:iCs/>
          <w:color w:val="000000"/>
          <w:sz w:val="21"/>
          <w:szCs w:val="21"/>
        </w:rPr>
        <w:t>对认证机构认证符合性评估机构的要求</w:t>
      </w:r>
      <w:r>
        <w:rPr>
          <w:rFonts w:eastAsia="宋体"/>
          <w:color w:val="000000"/>
          <w:sz w:val="21"/>
          <w:szCs w:val="21"/>
        </w:rPr>
        <w:t>。</w:t>
      </w:r>
    </w:p>
  </w:footnote>
  <w:footnote w:id="9">
    <w:p w14:paraId="595754C0">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自愿性共识标准中的一些定义指</w:t>
      </w:r>
      <w:r>
        <w:rPr>
          <w:rFonts w:hint="eastAsia" w:eastAsia="宋体"/>
          <w:color w:val="000000"/>
          <w:sz w:val="21"/>
          <w:szCs w:val="21"/>
        </w:rPr>
        <w:t>“</w:t>
      </w:r>
      <w:r>
        <w:rPr>
          <w:rFonts w:eastAsia="宋体"/>
          <w:color w:val="000000"/>
          <w:sz w:val="21"/>
          <w:szCs w:val="21"/>
        </w:rPr>
        <w:t>要求</w:t>
      </w:r>
      <w:r>
        <w:rPr>
          <w:rFonts w:hint="eastAsia" w:eastAsia="宋体"/>
          <w:color w:val="000000"/>
          <w:sz w:val="21"/>
          <w:szCs w:val="21"/>
        </w:rPr>
        <w:t>”</w:t>
      </w:r>
      <w:r>
        <w:rPr>
          <w:rFonts w:eastAsia="宋体"/>
          <w:color w:val="000000"/>
          <w:sz w:val="21"/>
          <w:szCs w:val="21"/>
        </w:rPr>
        <w:t>。FDA在ASCA试点中对它们的引用并不意味着它们是</w:t>
      </w:r>
      <w:r>
        <w:rPr>
          <w:rFonts w:hint="eastAsia" w:eastAsia="宋体"/>
          <w:color w:val="000000"/>
          <w:sz w:val="21"/>
          <w:szCs w:val="21"/>
        </w:rPr>
        <w:t>法律法规</w:t>
      </w:r>
      <w:r>
        <w:rPr>
          <w:rFonts w:eastAsia="宋体"/>
          <w:color w:val="000000"/>
          <w:sz w:val="21"/>
          <w:szCs w:val="21"/>
        </w:rPr>
        <w:t>要求，除非特别指明。</w:t>
      </w:r>
    </w:p>
  </w:footnote>
  <w:footnote w:id="10">
    <w:p w14:paraId="219F5A78">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ASTM F720-17</w:t>
      </w:r>
      <w:r>
        <w:rPr>
          <w:rFonts w:hint="eastAsia" w:eastAsia="宋体"/>
          <w:color w:val="000000"/>
          <w:sz w:val="21"/>
          <w:szCs w:val="21"/>
        </w:rPr>
        <w:t>：</w:t>
      </w:r>
      <w:r>
        <w:rPr>
          <w:rFonts w:eastAsia="宋体"/>
          <w:i/>
          <w:iCs/>
          <w:color w:val="000000"/>
          <w:sz w:val="21"/>
          <w:szCs w:val="21"/>
        </w:rPr>
        <w:t>豚鼠接触性过敏原试验的标准做法</w:t>
      </w:r>
      <w:r>
        <w:rPr>
          <w:rFonts w:hint="eastAsia" w:eastAsia="宋体"/>
          <w:i/>
          <w:iCs/>
          <w:color w:val="000000"/>
          <w:sz w:val="21"/>
          <w:szCs w:val="21"/>
        </w:rPr>
        <w:t>：</w:t>
      </w:r>
      <w:r>
        <w:rPr>
          <w:rFonts w:eastAsia="宋体"/>
          <w:i/>
          <w:iCs/>
          <w:color w:val="000000"/>
          <w:sz w:val="21"/>
          <w:szCs w:val="21"/>
        </w:rPr>
        <w:t>豚鼠最大剂量试验</w:t>
      </w:r>
    </w:p>
  </w:footnote>
  <w:footnote w:id="11">
    <w:p w14:paraId="260B385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正如在题为</w:t>
      </w:r>
      <w:r>
        <w:rPr>
          <w:rFonts w:hint="eastAsia" w:eastAsia="宋体"/>
          <w:color w:val="000000"/>
          <w:sz w:val="21"/>
          <w:szCs w:val="21"/>
        </w:rPr>
        <w:t>《</w:t>
      </w:r>
      <w:r>
        <w:rPr>
          <w:rFonts w:eastAsia="宋体"/>
          <w:color w:val="0000FF"/>
          <w:sz w:val="21"/>
          <w:szCs w:val="21"/>
          <w:u w:val="single"/>
        </w:rPr>
        <w:t>医疗器械符合性评估对</w:t>
      </w:r>
      <w:r>
        <w:rPr>
          <w:rFonts w:hint="eastAsia" w:eastAsia="宋体"/>
          <w:color w:val="0000FF"/>
          <w:sz w:val="21"/>
          <w:szCs w:val="21"/>
          <w:u w:val="single"/>
        </w:rPr>
        <w:t>美国食品药品监督管理局</w:t>
      </w:r>
      <w:r>
        <w:rPr>
          <w:rFonts w:eastAsia="宋体"/>
          <w:color w:val="0000FF"/>
          <w:sz w:val="21"/>
          <w:szCs w:val="21"/>
          <w:u w:val="single"/>
        </w:rPr>
        <w:t>认可标准的</w:t>
      </w:r>
      <w:r>
        <w:rPr>
          <w:rFonts w:hint="eastAsia" w:eastAsia="宋体"/>
          <w:color w:val="0000FF"/>
          <w:sz w:val="21"/>
          <w:szCs w:val="21"/>
          <w:u w:val="single"/>
        </w:rPr>
        <w:t>认证</w:t>
      </w:r>
      <w:r>
        <w:rPr>
          <w:rFonts w:eastAsia="宋体"/>
          <w:color w:val="0000FF"/>
          <w:sz w:val="21"/>
          <w:szCs w:val="21"/>
          <w:u w:val="single"/>
        </w:rPr>
        <w:t>计划</w:t>
      </w:r>
      <w:r>
        <w:rPr>
          <w:rFonts w:hint="eastAsia" w:eastAsia="宋体"/>
          <w:color w:val="0000FF"/>
          <w:sz w:val="21"/>
          <w:szCs w:val="21"/>
          <w:u w:val="single"/>
        </w:rPr>
        <w:t>》</w:t>
      </w:r>
      <w:r>
        <w:rPr>
          <w:rFonts w:hint="eastAsia" w:eastAsia="宋体"/>
          <w:color w:val="000000"/>
          <w:sz w:val="21"/>
          <w:szCs w:val="21"/>
        </w:rPr>
        <w:t>的公共研讨会上所讨论的，</w:t>
      </w:r>
      <w:r>
        <w:rPr>
          <w:rFonts w:eastAsia="宋体"/>
          <w:color w:val="000000"/>
          <w:sz w:val="21"/>
          <w:szCs w:val="21"/>
        </w:rPr>
        <w:t>在ASCA试点下进行的生物兼容性试验将按照</w:t>
      </w:r>
      <w:r>
        <w:rPr>
          <w:rFonts w:hint="eastAsia" w:eastAsia="宋体"/>
          <w:color w:val="000000"/>
          <w:sz w:val="21"/>
          <w:szCs w:val="21"/>
        </w:rPr>
        <w:t>CFR</w:t>
      </w:r>
      <w:r>
        <w:rPr>
          <w:rFonts w:eastAsia="宋体"/>
          <w:color w:val="000000"/>
          <w:sz w:val="21"/>
          <w:szCs w:val="21"/>
        </w:rPr>
        <w:t>第21篇第58部分《非临床研究质量管理规范》规定进行。</w:t>
      </w:r>
    </w:p>
  </w:footnote>
  <w:footnote w:id="12">
    <w:p w14:paraId="6A77CEC6">
      <w:pPr>
        <w:pStyle w:val="10"/>
        <w:tabs>
          <w:tab w:val="left" w:pos="240"/>
        </w:tabs>
        <w:autoSpaceDE/>
        <w:autoSpaceDN/>
        <w:rPr>
          <w:sz w:val="21"/>
          <w:szCs w:val="21"/>
        </w:rPr>
      </w:pPr>
      <w:r>
        <w:rPr>
          <w:rStyle w:val="17"/>
          <w:sz w:val="21"/>
          <w:szCs w:val="21"/>
        </w:rPr>
        <w:footnoteRef/>
      </w:r>
      <w:r>
        <w:rPr>
          <w:rFonts w:ascii="宋体" w:hAnsi="宋体" w:eastAsia="宋体"/>
          <w:sz w:val="21"/>
          <w:szCs w:val="21"/>
        </w:rPr>
        <w:tab/>
      </w:r>
      <w:r>
        <w:rPr>
          <w:rFonts w:ascii="宋体" w:hAnsi="宋体" w:eastAsia="宋体"/>
          <w:color w:val="000000"/>
          <w:sz w:val="21"/>
          <w:szCs w:val="21"/>
        </w:rPr>
        <w:t>访问</w:t>
      </w:r>
      <w:r>
        <w:rPr>
          <w:color w:val="0000FF"/>
          <w:sz w:val="21"/>
          <w:szCs w:val="21"/>
          <w:u w:val="single"/>
        </w:rPr>
        <w:t>https://www.fda.gov/regulatory-information/search-fda-guidance-documents/appropriate-use-voluntary-consensus-standards-premarket-submissions-medical-devices</w:t>
      </w:r>
    </w:p>
  </w:footnote>
  <w:footnote w:id="13">
    <w:p w14:paraId="6E9A889E">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请参见FDA的指南</w:t>
      </w:r>
      <w:r>
        <w:rPr>
          <w:rFonts w:eastAsia="宋体"/>
          <w:color w:val="0000FF"/>
          <w:sz w:val="21"/>
          <w:szCs w:val="21"/>
          <w:u w:val="single"/>
        </w:rPr>
        <w:t>使用国际标准ISO 10993-1，</w:t>
      </w:r>
      <w:r>
        <w:rPr>
          <w:rFonts w:hint="eastAsia" w:eastAsia="宋体"/>
          <w:color w:val="0000FF"/>
          <w:sz w:val="21"/>
          <w:szCs w:val="21"/>
          <w:u w:val="single"/>
        </w:rPr>
        <w:t>《</w:t>
      </w:r>
      <w:r>
        <w:rPr>
          <w:rFonts w:eastAsia="宋体"/>
          <w:color w:val="0000FF"/>
          <w:sz w:val="21"/>
          <w:szCs w:val="21"/>
          <w:u w:val="single"/>
        </w:rPr>
        <w:t>医疗器械的生物学评价--第1部分</w:t>
      </w:r>
      <w:r>
        <w:rPr>
          <w:rFonts w:hint="eastAsia" w:eastAsia="宋体"/>
          <w:color w:val="0000FF"/>
          <w:sz w:val="21"/>
          <w:szCs w:val="21"/>
          <w:u w:val="single"/>
        </w:rPr>
        <w:t>：</w:t>
      </w:r>
      <w:r>
        <w:rPr>
          <w:rFonts w:eastAsia="宋体"/>
          <w:color w:val="0000FF"/>
          <w:sz w:val="21"/>
          <w:szCs w:val="21"/>
          <w:u w:val="single"/>
        </w:rPr>
        <w:t>风险管理过程中的</w:t>
      </w:r>
      <w:r>
        <w:rPr>
          <w:rFonts w:hint="eastAsia" w:eastAsia="宋体"/>
          <w:color w:val="0000FF"/>
          <w:sz w:val="21"/>
          <w:szCs w:val="21"/>
          <w:u w:val="single"/>
        </w:rPr>
        <w:t>评价</w:t>
      </w:r>
      <w:r>
        <w:rPr>
          <w:rFonts w:eastAsia="宋体"/>
          <w:color w:val="0000FF"/>
          <w:sz w:val="21"/>
          <w:szCs w:val="21"/>
          <w:u w:val="single"/>
        </w:rPr>
        <w:t>和试验</w:t>
      </w:r>
      <w:r>
        <w:rPr>
          <w:rFonts w:hint="eastAsia" w:eastAsia="宋体"/>
          <w:color w:val="0000FF"/>
          <w:sz w:val="21"/>
          <w:szCs w:val="21"/>
          <w:u w:val="single"/>
        </w:rPr>
        <w:t>》</w:t>
      </w:r>
      <w:r>
        <w:rPr>
          <w:rFonts w:eastAsia="宋体"/>
          <w:color w:val="000000"/>
          <w:sz w:val="21"/>
          <w:szCs w:val="21"/>
        </w:rPr>
        <w:t>，用于考虑使用医疗器械的最终成品形式或用于生物相容性试验的代表性试验样品</w:t>
      </w:r>
      <w:r>
        <w:rPr>
          <w:rFonts w:hint="eastAsia" w:eastAsia="宋体"/>
          <w:color w:val="000000"/>
          <w:sz w:val="21"/>
          <w:szCs w:val="21"/>
        </w:rPr>
        <w:t>。</w:t>
      </w:r>
    </w:p>
  </w:footnote>
  <w:footnote w:id="14">
    <w:p w14:paraId="189BF93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FDA指南</w:t>
      </w:r>
      <w:r>
        <w:rPr>
          <w:rFonts w:eastAsia="宋体"/>
          <w:color w:val="0000FF"/>
          <w:sz w:val="21"/>
          <w:szCs w:val="21"/>
        </w:rPr>
        <w:t>的附件E中描述了生物相容性试验的完整试验报告</w:t>
      </w:r>
      <w:r>
        <w:rPr>
          <w:rFonts w:hint="eastAsia" w:eastAsia="宋体"/>
          <w:color w:val="0000FF"/>
          <w:sz w:val="21"/>
          <w:szCs w:val="21"/>
          <w:u w:val="single"/>
        </w:rPr>
        <w:t>，</w:t>
      </w:r>
      <w:r>
        <w:rPr>
          <w:rFonts w:eastAsia="宋体"/>
          <w:color w:val="0000FF"/>
          <w:sz w:val="21"/>
          <w:szCs w:val="21"/>
          <w:u w:val="single"/>
        </w:rPr>
        <w:t>使用国际标准ISO 10993-1，</w:t>
      </w:r>
      <w:r>
        <w:rPr>
          <w:rFonts w:hint="eastAsia" w:eastAsia="宋体"/>
          <w:color w:val="0000FF"/>
          <w:sz w:val="21"/>
          <w:szCs w:val="21"/>
          <w:u w:val="single"/>
        </w:rPr>
        <w:t>《</w:t>
      </w:r>
      <w:r>
        <w:rPr>
          <w:rFonts w:eastAsia="宋体"/>
          <w:color w:val="0000FF"/>
          <w:sz w:val="21"/>
          <w:szCs w:val="21"/>
          <w:u w:val="single"/>
        </w:rPr>
        <w:t>医疗器械的生物学评价--第1部分：风险管理过程</w:t>
      </w:r>
      <w:r>
        <w:rPr>
          <w:rFonts w:hint="eastAsia" w:eastAsia="宋体"/>
          <w:color w:val="0000FF"/>
          <w:sz w:val="21"/>
          <w:szCs w:val="21"/>
          <w:u w:val="single"/>
        </w:rPr>
        <w:t>中</w:t>
      </w:r>
      <w:r>
        <w:rPr>
          <w:rFonts w:eastAsia="宋体"/>
          <w:color w:val="0000FF"/>
          <w:sz w:val="21"/>
          <w:szCs w:val="21"/>
          <w:u w:val="single"/>
        </w:rPr>
        <w:t>的评价和</w:t>
      </w:r>
      <w:r>
        <w:rPr>
          <w:rFonts w:hint="eastAsia" w:eastAsia="宋体"/>
          <w:color w:val="0000FF"/>
          <w:sz w:val="21"/>
          <w:szCs w:val="21"/>
          <w:u w:val="single"/>
        </w:rPr>
        <w:t>试验》</w:t>
      </w:r>
    </w:p>
  </w:footnote>
  <w:footnote w:id="15">
    <w:p w14:paraId="2F30B621">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包括</w:t>
      </w:r>
      <w:r>
        <w:rPr>
          <w:rFonts w:hint="eastAsia" w:eastAsia="宋体"/>
          <w:color w:val="000000"/>
          <w:sz w:val="21"/>
          <w:szCs w:val="21"/>
        </w:rPr>
        <w:t>偏离</w:t>
      </w:r>
      <w:r>
        <w:rPr>
          <w:rFonts w:eastAsia="宋体"/>
          <w:color w:val="000000"/>
          <w:sz w:val="21"/>
          <w:szCs w:val="21"/>
        </w:rPr>
        <w:t>的试验（并且不适合使用DOC）不符合题为</w:t>
      </w:r>
      <w:r>
        <w:rPr>
          <w:rFonts w:hint="eastAsia" w:ascii="宋体" w:hAnsi="宋体" w:eastAsia="宋体"/>
          <w:color w:val="000000"/>
          <w:sz w:val="21"/>
          <w:szCs w:val="21"/>
        </w:rPr>
        <w:t>《</w:t>
      </w:r>
      <w:r>
        <w:rPr>
          <w:rFonts w:hint="eastAsia" w:eastAsia="宋体"/>
          <w:color w:val="000000"/>
          <w:sz w:val="21"/>
          <w:szCs w:val="21"/>
        </w:rPr>
        <w:t>符合性</w:t>
      </w:r>
      <w:r>
        <w:rPr>
          <w:rFonts w:eastAsia="宋体"/>
          <w:color w:val="000000"/>
          <w:sz w:val="21"/>
          <w:szCs w:val="21"/>
        </w:rPr>
        <w:t>评定认可计划（ASCA）试点</w:t>
      </w:r>
      <w:r>
        <w:rPr>
          <w:rFonts w:hint="eastAsia" w:eastAsia="宋体"/>
          <w:color w:val="000000"/>
          <w:sz w:val="21"/>
          <w:szCs w:val="21"/>
        </w:rPr>
        <w:t>计划》</w:t>
      </w:r>
      <w:r>
        <w:rPr>
          <w:rFonts w:eastAsia="宋体"/>
          <w:color w:val="000000"/>
          <w:sz w:val="21"/>
          <w:szCs w:val="21"/>
        </w:rPr>
        <w:t>的指南第XII.B节中所述的纳入ASCA试点的标准。</w:t>
      </w:r>
    </w:p>
  </w:footnote>
  <w:footnote w:id="16">
    <w:p w14:paraId="28E43A5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四舍五入</w:t>
      </w:r>
      <w:r>
        <w:rPr>
          <w:rFonts w:hint="eastAsia" w:eastAsia="宋体"/>
          <w:color w:val="000000"/>
          <w:sz w:val="21"/>
          <w:szCs w:val="21"/>
        </w:rPr>
        <w:t>至</w:t>
      </w:r>
      <w:r>
        <w:rPr>
          <w:rFonts w:eastAsia="宋体"/>
          <w:color w:val="000000"/>
          <w:sz w:val="21"/>
          <w:szCs w:val="21"/>
        </w:rPr>
        <w:t>最近的整数。</w:t>
      </w:r>
    </w:p>
  </w:footnote>
  <w:footnote w:id="17">
    <w:p w14:paraId="2F6BE82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请参</w:t>
      </w:r>
      <w:r>
        <w:rPr>
          <w:rFonts w:eastAsia="宋体"/>
          <w:color w:val="000000"/>
          <w:sz w:val="21"/>
          <w:szCs w:val="21"/>
        </w:rPr>
        <w:t>见《FD&amp;C法案》第514（c）（3）（A）（</w:t>
      </w:r>
      <w:r>
        <w:rPr>
          <w:rFonts w:hint="eastAsia" w:eastAsia="宋体"/>
          <w:color w:val="000000"/>
          <w:sz w:val="21"/>
          <w:szCs w:val="21"/>
        </w:rPr>
        <w:t>i</w:t>
      </w:r>
      <w:r>
        <w:rPr>
          <w:rFonts w:eastAsia="宋体"/>
          <w:color w:val="000000"/>
          <w:sz w:val="21"/>
          <w:szCs w:val="21"/>
        </w:rPr>
        <w:t>）节，FDA指南第IV.A.（3）（f）节中引用</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p>
  </w:footnote>
  <w:footnote w:id="18">
    <w:p w14:paraId="249FF10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请参见FDA的指南</w:t>
      </w:r>
      <w:r>
        <w:rPr>
          <w:rFonts w:eastAsia="宋体"/>
          <w:color w:val="0000FF"/>
          <w:sz w:val="21"/>
          <w:szCs w:val="21"/>
          <w:u w:val="single"/>
        </w:rPr>
        <w:t>使用国际标准ISO 10993-1，</w:t>
      </w:r>
      <w:r>
        <w:rPr>
          <w:rFonts w:hint="eastAsia" w:eastAsia="宋体"/>
          <w:color w:val="0000FF"/>
          <w:sz w:val="21"/>
          <w:szCs w:val="21"/>
          <w:u w:val="single"/>
        </w:rPr>
        <w:t>《</w:t>
      </w:r>
      <w:r>
        <w:rPr>
          <w:rFonts w:eastAsia="宋体"/>
          <w:color w:val="0000FF"/>
          <w:sz w:val="21"/>
          <w:szCs w:val="21"/>
          <w:u w:val="single"/>
        </w:rPr>
        <w:t>医疗器械的生物学评价--第1部分</w:t>
      </w:r>
      <w:r>
        <w:rPr>
          <w:rFonts w:hint="eastAsia" w:eastAsia="宋体"/>
          <w:color w:val="0000FF"/>
          <w:sz w:val="21"/>
          <w:szCs w:val="21"/>
          <w:u w:val="single"/>
        </w:rPr>
        <w:t>：</w:t>
      </w:r>
      <w:r>
        <w:rPr>
          <w:rFonts w:eastAsia="宋体"/>
          <w:color w:val="0000FF"/>
          <w:sz w:val="21"/>
          <w:szCs w:val="21"/>
          <w:u w:val="single"/>
        </w:rPr>
        <w:t>风险管理过程中的评价和试验</w:t>
      </w:r>
      <w:r>
        <w:rPr>
          <w:rFonts w:hint="eastAsia" w:eastAsia="宋体"/>
          <w:color w:val="0000FF"/>
          <w:sz w:val="21"/>
          <w:szCs w:val="21"/>
          <w:u w:val="single"/>
        </w:rPr>
        <w:t>》</w:t>
      </w:r>
      <w:r>
        <w:rPr>
          <w:rFonts w:hint="eastAsia" w:eastAsia="宋体"/>
          <w:color w:val="000000"/>
          <w:sz w:val="21"/>
          <w:szCs w:val="21"/>
        </w:rPr>
        <w:t>以了解</w:t>
      </w:r>
      <w:r>
        <w:rPr>
          <w:rFonts w:eastAsia="宋体"/>
          <w:color w:val="000000"/>
          <w:sz w:val="21"/>
          <w:szCs w:val="21"/>
        </w:rPr>
        <w:t>使用最终成品形式的医疗器械或用于生物相容性试验的代表性试验品的考虑。</w:t>
      </w:r>
    </w:p>
  </w:footnote>
  <w:footnote w:id="19">
    <w:p w14:paraId="4AE035FC">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w:t>
      </w:r>
      <w:r>
        <w:rPr>
          <w:rFonts w:eastAsia="宋体"/>
          <w:color w:val="000000"/>
          <w:sz w:val="21"/>
          <w:szCs w:val="21"/>
        </w:rPr>
        <w:t>参见FDA的指南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共识标准所需的补充文件的信息，这些标准不在试验实验室的</w:t>
      </w:r>
      <w:r>
        <w:rPr>
          <w:rFonts w:eastAsia="宋体"/>
          <w:i/>
          <w:iCs/>
          <w:color w:val="000000"/>
          <w:sz w:val="21"/>
          <w:szCs w:val="21"/>
        </w:rPr>
        <w:t>ASCA认证</w:t>
      </w:r>
      <w:r>
        <w:rPr>
          <w:rFonts w:eastAsia="宋体"/>
          <w:color w:val="000000"/>
          <w:sz w:val="21"/>
          <w:szCs w:val="21"/>
        </w:rPr>
        <w:t>范围内。</w:t>
      </w:r>
    </w:p>
  </w:footnote>
  <w:footnote w:id="20">
    <w:p w14:paraId="303E664E">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试验报告中（根据所提供的信息，FDA可能会或可能不会要求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1">
    <w:p w14:paraId="2A4F30A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2">
    <w:p w14:paraId="5C3A0588">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23">
    <w:p w14:paraId="59C7890F">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24">
    <w:p w14:paraId="032380C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各种方法（例如，部分填充与完全填充）对特定器械的适用性可能会影响到除ASCA</w:t>
      </w:r>
      <w:r>
        <w:rPr>
          <w:rFonts w:hint="eastAsia" w:eastAsia="宋体"/>
          <w:color w:val="000000"/>
          <w:sz w:val="21"/>
          <w:szCs w:val="21"/>
        </w:rPr>
        <w:t>汇总</w:t>
      </w:r>
      <w:r>
        <w:rPr>
          <w:rFonts w:eastAsia="宋体"/>
          <w:color w:val="000000"/>
          <w:sz w:val="21"/>
          <w:szCs w:val="21"/>
        </w:rPr>
        <w:t>试验报告外是否要求提供完整的试验报告。</w:t>
      </w:r>
    </w:p>
  </w:footnote>
  <w:footnote w:id="25">
    <w:p w14:paraId="42ED6DA7">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6">
    <w:p w14:paraId="4D0F6488">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试验报告中（根据提供的信息，FDA可能需要或不需要</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7">
    <w:p w14:paraId="40526F80">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在ASCA试验期间，如果试验和对照之间的总分差大于1（即根据ISO 10993-10:2010，第6.4.7条），或任何动物的任何氯化钠对照部位的结果非零，或任何动物的任何油类对照部位在任何时间点的结果大于1，则应将完整的试验报告与ASCA</w:t>
      </w:r>
      <w:r>
        <w:rPr>
          <w:rFonts w:hint="eastAsia" w:eastAsia="宋体"/>
          <w:color w:val="000000"/>
          <w:sz w:val="21"/>
          <w:szCs w:val="21"/>
        </w:rPr>
        <w:t>汇总</w:t>
      </w:r>
      <w:r>
        <w:rPr>
          <w:rFonts w:eastAsia="宋体"/>
          <w:color w:val="000000"/>
          <w:sz w:val="21"/>
          <w:szCs w:val="21"/>
        </w:rPr>
        <w:t>试验报告一起提交。</w:t>
      </w:r>
    </w:p>
  </w:footnote>
  <w:footnote w:id="28">
    <w:p w14:paraId="2D2956AF">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29">
    <w:p w14:paraId="06F7DA1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w:t>
      </w:r>
      <w:r>
        <w:rPr>
          <w:rFonts w:eastAsia="宋体"/>
          <w:color w:val="000000"/>
          <w:sz w:val="21"/>
          <w:szCs w:val="21"/>
        </w:rPr>
        <w:t>参见FDA的指南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共识标准所需的补充文件的信息，这些标准不在试验实验室的</w:t>
      </w:r>
      <w:r>
        <w:rPr>
          <w:rFonts w:eastAsia="宋体"/>
          <w:i/>
          <w:iCs/>
          <w:color w:val="000000"/>
          <w:sz w:val="21"/>
          <w:szCs w:val="21"/>
        </w:rPr>
        <w:t>ASCA认证</w:t>
      </w:r>
      <w:r>
        <w:rPr>
          <w:rFonts w:eastAsia="宋体"/>
          <w:color w:val="000000"/>
          <w:sz w:val="21"/>
          <w:szCs w:val="21"/>
        </w:rPr>
        <w:t>范围内</w:t>
      </w:r>
      <w:r>
        <w:rPr>
          <w:rFonts w:eastAsia="宋体"/>
          <w:i/>
          <w:iCs/>
          <w:color w:val="000000"/>
          <w:sz w:val="21"/>
          <w:szCs w:val="21"/>
        </w:rPr>
        <w:t>。</w:t>
      </w:r>
    </w:p>
  </w:footnote>
  <w:footnote w:id="30">
    <w:p w14:paraId="4CEA001B">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31">
    <w:p w14:paraId="22C0FBA2">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w:t>
      </w:r>
      <w:bookmarkStart w:id="63" w:name="bookmark37"/>
      <w:bookmarkEnd w:id="63"/>
      <w:r>
        <w:rPr>
          <w:rFonts w:eastAsia="宋体"/>
          <w:color w:val="000000"/>
          <w:sz w:val="21"/>
          <w:szCs w:val="21"/>
        </w:rPr>
        <w:t>试验实验室/制造商也可能被要求提供支持监管决定的理由。</w:t>
      </w:r>
    </w:p>
  </w:footnote>
  <w:footnote w:id="32">
    <w:p w14:paraId="51A9F92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33">
    <w:p w14:paraId="5B04662E">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34">
    <w:p w14:paraId="3275642C">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35">
    <w:p w14:paraId="03C63290">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36">
    <w:p w14:paraId="7D145F0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37">
    <w:p w14:paraId="773510E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w:t>
      </w:r>
      <w:r>
        <w:rPr>
          <w:rFonts w:hint="eastAsia" w:eastAsia="宋体"/>
          <w:color w:val="000000"/>
          <w:sz w:val="21"/>
          <w:szCs w:val="21"/>
        </w:rPr>
        <w:t>试验样品</w:t>
      </w:r>
      <w:r>
        <w:rPr>
          <w:rFonts w:eastAsia="宋体"/>
          <w:color w:val="000000"/>
          <w:sz w:val="21"/>
          <w:szCs w:val="21"/>
        </w:rPr>
        <w:t>、</w:t>
      </w:r>
      <w:r>
        <w:rPr>
          <w:rFonts w:hint="eastAsia" w:eastAsia="宋体"/>
          <w:color w:val="000000"/>
          <w:sz w:val="21"/>
          <w:szCs w:val="21"/>
        </w:rPr>
        <w:t>介质</w:t>
      </w:r>
      <w:r>
        <w:rPr>
          <w:rFonts w:eastAsia="宋体"/>
          <w:color w:val="000000"/>
          <w:sz w:val="21"/>
          <w:szCs w:val="21"/>
        </w:rPr>
        <w:t>对照或阴性对照出现非零结果，或阳性对照在任何时间点出现小于3的结果，则完整的试验报告应包括在ASCA</w:t>
      </w:r>
      <w:r>
        <w:rPr>
          <w:rFonts w:hint="eastAsia" w:eastAsia="宋体"/>
          <w:color w:val="000000"/>
          <w:sz w:val="21"/>
          <w:szCs w:val="21"/>
        </w:rPr>
        <w:t>汇总</w:t>
      </w:r>
      <w:r>
        <w:rPr>
          <w:rFonts w:eastAsia="宋体"/>
          <w:color w:val="000000"/>
          <w:sz w:val="21"/>
          <w:szCs w:val="21"/>
        </w:rPr>
        <w:t>试验报告中。</w:t>
      </w:r>
    </w:p>
  </w:footnote>
  <w:footnote w:id="38">
    <w:p w14:paraId="73016ACE">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w:t>
      </w:r>
      <w:r>
        <w:rPr>
          <w:rFonts w:eastAsia="宋体"/>
          <w:color w:val="000000"/>
          <w:sz w:val="21"/>
          <w:szCs w:val="21"/>
        </w:rPr>
        <w:t>参见FDA的指南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共识标准所需的补充文件的信息，这些标准不在试验实验室的</w:t>
      </w:r>
      <w:r>
        <w:rPr>
          <w:rFonts w:eastAsia="宋体"/>
          <w:i/>
          <w:iCs/>
          <w:color w:val="000000"/>
          <w:sz w:val="21"/>
          <w:szCs w:val="21"/>
        </w:rPr>
        <w:t>ASCA认证</w:t>
      </w:r>
      <w:r>
        <w:rPr>
          <w:rFonts w:eastAsia="宋体"/>
          <w:color w:val="000000"/>
          <w:sz w:val="21"/>
          <w:szCs w:val="21"/>
        </w:rPr>
        <w:t>范围内</w:t>
      </w:r>
      <w:r>
        <w:rPr>
          <w:rFonts w:eastAsia="宋体"/>
          <w:i/>
          <w:iCs/>
          <w:color w:val="000000"/>
          <w:sz w:val="21"/>
          <w:szCs w:val="21"/>
        </w:rPr>
        <w:t>。</w:t>
      </w:r>
    </w:p>
  </w:footnote>
  <w:footnote w:id="39">
    <w:p w14:paraId="7E0EFBCC">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完整的试验报告）。试验实验室/制造商也可以要求提供支持监管决定的理由。</w:t>
      </w:r>
    </w:p>
  </w:footnote>
  <w:footnote w:id="40">
    <w:p w14:paraId="66672D22">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41">
    <w:p w14:paraId="74F3E919">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42">
    <w:p w14:paraId="34DD3A85">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43">
    <w:p w14:paraId="75C1088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44">
    <w:p w14:paraId="7CE24DD6">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45">
    <w:p w14:paraId="75C2FCC9">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46">
    <w:p w14:paraId="313B422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47">
    <w:p w14:paraId="7570B509">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在ASCA试点期间，如果在24</w:t>
      </w:r>
      <w:r>
        <w:rPr>
          <w:rFonts w:hint="eastAsia" w:eastAsia="宋体"/>
          <w:color w:val="000000"/>
          <w:sz w:val="21"/>
          <w:szCs w:val="21"/>
        </w:rPr>
        <w:t>小时</w:t>
      </w:r>
      <w:r>
        <w:rPr>
          <w:rFonts w:eastAsia="宋体"/>
          <w:color w:val="000000"/>
          <w:sz w:val="21"/>
          <w:szCs w:val="21"/>
        </w:rPr>
        <w:t>、48</w:t>
      </w:r>
      <w:r>
        <w:rPr>
          <w:rFonts w:hint="eastAsia" w:eastAsia="宋体"/>
          <w:color w:val="000000"/>
          <w:sz w:val="21"/>
          <w:szCs w:val="21"/>
        </w:rPr>
        <w:t>小时</w:t>
      </w:r>
      <w:r>
        <w:rPr>
          <w:rFonts w:eastAsia="宋体"/>
          <w:color w:val="000000"/>
          <w:sz w:val="21"/>
          <w:szCs w:val="21"/>
        </w:rPr>
        <w:t>和72小时之外使用不同的时间点计算主要刺激性评分，如果在任何时间点有任何非零试验或对照（例如，直接接触对照：纱布；浸提试验对照：氯化钠或油）结果，完整的试验报告应与ASCA</w:t>
      </w:r>
      <w:r>
        <w:rPr>
          <w:rFonts w:hint="eastAsia" w:eastAsia="宋体"/>
          <w:color w:val="000000"/>
          <w:sz w:val="21"/>
          <w:szCs w:val="21"/>
        </w:rPr>
        <w:t>汇总</w:t>
      </w:r>
      <w:r>
        <w:rPr>
          <w:rFonts w:eastAsia="宋体"/>
          <w:color w:val="000000"/>
          <w:sz w:val="21"/>
          <w:szCs w:val="21"/>
        </w:rPr>
        <w:t>试验报告包括在内。</w:t>
      </w:r>
    </w:p>
  </w:footnote>
  <w:footnote w:id="48">
    <w:p w14:paraId="72E47298">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我们支持“3R”的原则，即在可行的情况下减少、改进和替代试验中的动物使用。如果申办方希望使用他们认为合适、充分、经过</w:t>
      </w:r>
      <w:r>
        <w:rPr>
          <w:rFonts w:hint="eastAsia" w:eastAsia="宋体"/>
          <w:color w:val="000000"/>
          <w:sz w:val="21"/>
          <w:szCs w:val="21"/>
        </w:rPr>
        <w:t>确认</w:t>
      </w:r>
      <w:r>
        <w:rPr>
          <w:rFonts w:eastAsia="宋体"/>
          <w:color w:val="000000"/>
          <w:sz w:val="21"/>
          <w:szCs w:val="21"/>
        </w:rPr>
        <w:t>和可行的非动物试验方法，我们鼓励他们与我们协商。我局将考虑是否可评估这种替代方法与动物试验方法的实质等效性。但这些替代方法没有资格参加ASCA试点。一般参见</w:t>
      </w:r>
      <w:r>
        <w:rPr>
          <w:rFonts w:hint="eastAsia" w:eastAsia="宋体"/>
          <w:color w:val="000000"/>
          <w:sz w:val="21"/>
          <w:szCs w:val="21"/>
        </w:rPr>
        <w:t>：</w:t>
      </w:r>
      <w:r>
        <w:rPr>
          <w:rFonts w:eastAsia="宋体"/>
          <w:sz w:val="21"/>
          <w:szCs w:val="21"/>
        </w:rPr>
        <w:t>https://www.fda.gov/science-research/advancing-regulatory-science/vi-modernizing-safety- testing</w:t>
      </w:r>
    </w:p>
  </w:footnote>
  <w:footnote w:id="49">
    <w:p w14:paraId="16E5E23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50">
    <w:p w14:paraId="0D45A898">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请参</w:t>
      </w:r>
      <w:r>
        <w:rPr>
          <w:rFonts w:eastAsia="宋体"/>
          <w:color w:val="000000"/>
          <w:sz w:val="21"/>
          <w:szCs w:val="21"/>
        </w:rPr>
        <w:t>见FDA指南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51">
    <w:p w14:paraId="6F252FA2">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52">
    <w:p w14:paraId="3D804F4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完整的试验报告）。试验实验室/制造商也可以要求提供支持监管决定的理由。</w:t>
      </w:r>
    </w:p>
  </w:footnote>
  <w:footnote w:id="53">
    <w:p w14:paraId="08778D76">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54">
    <w:p w14:paraId="22EEAE82">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55">
    <w:p w14:paraId="620FB07B">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56">
    <w:p w14:paraId="08D18F27">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57">
    <w:p w14:paraId="2A2B8CE4">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58">
    <w:p w14:paraId="1075C918">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在ASCA试验期间，如果在试验组中观察到Magnusson和Kligman等级为1或更高，只要在对照动物中看到的等级低于1，则完整的试验报告应包括在ASCA</w:t>
      </w:r>
      <w:r>
        <w:rPr>
          <w:rFonts w:hint="eastAsia" w:eastAsia="宋体"/>
          <w:color w:val="000000"/>
          <w:sz w:val="21"/>
          <w:szCs w:val="21"/>
        </w:rPr>
        <w:t>汇总</w:t>
      </w:r>
      <w:r>
        <w:rPr>
          <w:rFonts w:eastAsia="宋体"/>
          <w:color w:val="000000"/>
          <w:sz w:val="21"/>
          <w:szCs w:val="21"/>
        </w:rPr>
        <w:t>试验报告中（即，根据ISO 10993-10:2010，第7.5.6条）。</w:t>
      </w:r>
    </w:p>
  </w:footnote>
  <w:footnote w:id="59">
    <w:p w14:paraId="2D1FE49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60">
    <w:p w14:paraId="7988FCF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61">
    <w:p w14:paraId="70B26FB9">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请参见FDA指南</w:t>
      </w:r>
      <w:r>
        <w:rPr>
          <w:rFonts w:hint="eastAsia" w:eastAsia="宋体"/>
          <w:color w:val="0000FF"/>
          <w:sz w:val="21"/>
          <w:szCs w:val="21"/>
          <w:u w:val="single"/>
        </w:rPr>
        <w:t>在医疗器械上市前申请中适当使用自愿性共识标准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62">
    <w:p w14:paraId="75DDFAC0">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63">
    <w:p w14:paraId="4A7FBE40">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64">
    <w:p w14:paraId="69A76C35">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65">
    <w:p w14:paraId="064C44F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66">
    <w:p w14:paraId="2651D1E6">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67">
    <w:p w14:paraId="0FE9F91B">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68">
    <w:p w14:paraId="152C89A1">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69">
    <w:p w14:paraId="4621587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70">
    <w:p w14:paraId="73FEEFE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在ASCA试点期间，如果在试验组中观察到Magnusson和Kligman等级为1或更高，只要在阴性对照动物中看到的等级小于1（即根据ISO 10993-10:2010，第7.5.6条），或氯化钠和油类</w:t>
      </w:r>
      <w:r>
        <w:rPr>
          <w:rFonts w:hint="eastAsia" w:eastAsia="宋体"/>
          <w:color w:val="000000"/>
          <w:sz w:val="21"/>
          <w:szCs w:val="21"/>
        </w:rPr>
        <w:t>介质</w:t>
      </w:r>
      <w:r>
        <w:rPr>
          <w:rFonts w:eastAsia="宋体"/>
          <w:color w:val="000000"/>
          <w:sz w:val="21"/>
          <w:szCs w:val="21"/>
        </w:rPr>
        <w:t>对照&gt;等级为0，则应将完整的试验报告与ASCA</w:t>
      </w:r>
      <w:r>
        <w:rPr>
          <w:rFonts w:hint="eastAsia" w:eastAsia="宋体"/>
          <w:color w:val="000000"/>
          <w:sz w:val="21"/>
          <w:szCs w:val="21"/>
        </w:rPr>
        <w:t>汇总</w:t>
      </w:r>
      <w:r>
        <w:rPr>
          <w:rFonts w:eastAsia="宋体"/>
          <w:color w:val="000000"/>
          <w:sz w:val="21"/>
          <w:szCs w:val="21"/>
        </w:rPr>
        <w:t>试验报告包括在内。</w:t>
      </w:r>
    </w:p>
  </w:footnote>
  <w:footnote w:id="71">
    <w:p w14:paraId="6E245A6F">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72">
    <w:p w14:paraId="036BED0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73">
    <w:p w14:paraId="48AFD76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请参见FDA指南</w:t>
      </w:r>
      <w:r>
        <w:rPr>
          <w:rFonts w:hint="eastAsia" w:eastAsia="宋体"/>
          <w:color w:val="0000FF"/>
          <w:sz w:val="21"/>
          <w:szCs w:val="21"/>
          <w:u w:val="single"/>
        </w:rPr>
        <w:t>在医疗器械上市前申请中适当使用自愿性共识标准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74">
    <w:p w14:paraId="102659D0">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75">
    <w:p w14:paraId="0906A610">
      <w:pPr>
        <w:pStyle w:val="10"/>
        <w:tabs>
          <w:tab w:val="left" w:pos="240"/>
        </w:tabs>
        <w:autoSpaceDE/>
        <w:autoSpaceDN/>
        <w:jc w:val="both"/>
        <w:rPr>
          <w:rFonts w:eastAsia="宋体"/>
          <w:sz w:val="21"/>
          <w:szCs w:val="21"/>
        </w:rPr>
      </w:pPr>
      <w:r>
        <w:rPr>
          <w:rStyle w:val="17"/>
          <w:rFonts w:eastAsia="宋体"/>
          <w:sz w:val="21"/>
          <w:szCs w:val="21"/>
        </w:rPr>
        <w:footnoteRef/>
      </w:r>
    </w:p>
  </w:footnote>
  <w:footnote w:id="76">
    <w:p w14:paraId="160753E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77">
    <w:p w14:paraId="07A70EE0">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78">
    <w:p w14:paraId="59E55B45">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79">
    <w:p w14:paraId="0398B998">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80">
    <w:p w14:paraId="4641E0E7">
      <w:pPr>
        <w:pStyle w:val="10"/>
        <w:tabs>
          <w:tab w:val="left" w:pos="240"/>
        </w:tabs>
        <w:autoSpaceDE/>
        <w:autoSpaceDN/>
        <w:jc w:val="both"/>
        <w:rPr>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81">
    <w:p w14:paraId="525AD6D1">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在ASCA试点期间，如果对照</w:t>
      </w:r>
      <w:r>
        <w:rPr>
          <w:rFonts w:hint="eastAsia" w:eastAsia="宋体"/>
          <w:color w:val="000000"/>
          <w:sz w:val="21"/>
          <w:szCs w:val="21"/>
        </w:rPr>
        <w:t>品</w:t>
      </w:r>
      <w:r>
        <w:rPr>
          <w:rFonts w:eastAsia="宋体"/>
          <w:color w:val="000000"/>
          <w:sz w:val="21"/>
          <w:szCs w:val="21"/>
        </w:rPr>
        <w:t>表现不符合预期，任何动物被发现死亡或被安乐死，任何动物出现抽搐或瘫痪等行为，或任何动物的体重下降超过10%，则完整的试验报告应包括在ASCA</w:t>
      </w:r>
      <w:r>
        <w:rPr>
          <w:rFonts w:hint="eastAsia" w:eastAsia="宋体"/>
          <w:color w:val="000000"/>
          <w:sz w:val="21"/>
          <w:szCs w:val="21"/>
        </w:rPr>
        <w:t>汇总</w:t>
      </w:r>
      <w:r>
        <w:rPr>
          <w:rFonts w:eastAsia="宋体"/>
          <w:color w:val="000000"/>
          <w:sz w:val="21"/>
          <w:szCs w:val="21"/>
        </w:rPr>
        <w:t>试验报告中。</w:t>
      </w:r>
    </w:p>
  </w:footnote>
  <w:footnote w:id="82">
    <w:p w14:paraId="2B7600D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这是关于急性全身毒性试验的数据的</w:t>
      </w:r>
      <w:r>
        <w:rPr>
          <w:rFonts w:hint="eastAsia" w:eastAsia="宋体"/>
          <w:color w:val="000000"/>
          <w:sz w:val="21"/>
          <w:szCs w:val="21"/>
        </w:rPr>
        <w:t>示例</w:t>
      </w:r>
      <w:r>
        <w:rPr>
          <w:rFonts w:eastAsia="宋体"/>
          <w:color w:val="000000"/>
          <w:sz w:val="21"/>
          <w:szCs w:val="21"/>
        </w:rPr>
        <w:t>。</w:t>
      </w:r>
    </w:p>
  </w:footnote>
  <w:footnote w:id="83">
    <w:p w14:paraId="04CCCCD0">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84">
    <w:p w14:paraId="53B5D92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sz w:val="21"/>
          <w:szCs w:val="21"/>
        </w:rPr>
        <w:t>请</w:t>
      </w:r>
      <w:r>
        <w:rPr>
          <w:rFonts w:eastAsia="宋体"/>
          <w:color w:val="000000"/>
          <w:sz w:val="21"/>
          <w:szCs w:val="21"/>
        </w:rPr>
        <w:t>参见FDA的指南</w:t>
      </w:r>
      <w:r>
        <w:rPr>
          <w:rFonts w:eastAsia="宋体"/>
          <w:color w:val="0000FF"/>
          <w:sz w:val="21"/>
          <w:szCs w:val="21"/>
          <w:u w:val="single"/>
        </w:rPr>
        <w:t>在医疗器械上市前</w:t>
      </w:r>
      <w:r>
        <w:rPr>
          <w:rFonts w:hint="eastAsia" w:eastAsia="宋体"/>
          <w:color w:val="0000FF"/>
          <w:sz w:val="21"/>
          <w:szCs w:val="21"/>
          <w:u w:val="single"/>
        </w:rPr>
        <w:t>申请</w:t>
      </w:r>
      <w:r>
        <w:rPr>
          <w:rFonts w:eastAsia="宋体"/>
          <w:color w:val="0000FF"/>
          <w:sz w:val="21"/>
          <w:szCs w:val="21"/>
          <w:u w:val="single"/>
        </w:rPr>
        <w:t>的文件中适当使用自愿性共识标准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共识标准所需的补充文件的信息，这些标准不在试验实验室的</w:t>
      </w:r>
      <w:r>
        <w:rPr>
          <w:rFonts w:eastAsia="宋体"/>
          <w:i/>
          <w:iCs/>
          <w:color w:val="000000"/>
          <w:sz w:val="21"/>
          <w:szCs w:val="21"/>
        </w:rPr>
        <w:t>ASCA认证</w:t>
      </w:r>
      <w:r>
        <w:rPr>
          <w:rFonts w:eastAsia="宋体"/>
          <w:color w:val="000000"/>
          <w:sz w:val="21"/>
          <w:szCs w:val="21"/>
        </w:rPr>
        <w:t>范围内</w:t>
      </w:r>
      <w:r>
        <w:rPr>
          <w:rFonts w:eastAsia="宋体"/>
          <w:i/>
          <w:iCs/>
          <w:color w:val="000000"/>
          <w:sz w:val="21"/>
          <w:szCs w:val="21"/>
        </w:rPr>
        <w:t>。</w:t>
      </w:r>
    </w:p>
  </w:footnote>
  <w:footnote w:id="85">
    <w:p w14:paraId="14243F1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86">
    <w:p w14:paraId="5FD9AB61">
      <w:pPr>
        <w:tabs>
          <w:tab w:val="left" w:pos="240"/>
        </w:tabs>
        <w:autoSpaceDE/>
        <w:autoSpaceDN/>
        <w:snapToGrid w:val="0"/>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bookmarkStart w:id="64" w:name="bookmark82"/>
      <w:bookmarkEnd w:id="64"/>
    </w:p>
  </w:footnote>
  <w:footnote w:id="87">
    <w:p w14:paraId="2429A89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88">
    <w:p w14:paraId="2C1D86D7">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89">
    <w:p w14:paraId="579EB3C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90">
    <w:p w14:paraId="41B25B6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1">
    <w:p w14:paraId="7EB503F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2">
    <w:p w14:paraId="73080EC5">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在ASCA试点期间，如果任何兔子的基线温度超过39.8oC或任何兔子的温度上升≥0.5</w:t>
      </w:r>
      <w:r>
        <w:rPr>
          <w:rFonts w:hint="eastAsia" w:eastAsia="宋体"/>
          <w:color w:val="000000"/>
          <w:sz w:val="21"/>
          <w:szCs w:val="21"/>
        </w:rPr>
        <w:t>℃</w:t>
      </w:r>
      <w:r>
        <w:rPr>
          <w:rFonts w:eastAsia="宋体"/>
          <w:color w:val="000000"/>
          <w:sz w:val="21"/>
          <w:szCs w:val="21"/>
        </w:rPr>
        <w:t>，完整的试验报告应包括在ASCA</w:t>
      </w:r>
      <w:r>
        <w:rPr>
          <w:rFonts w:hint="eastAsia" w:eastAsia="宋体"/>
          <w:color w:val="000000"/>
          <w:sz w:val="21"/>
          <w:szCs w:val="21"/>
        </w:rPr>
        <w:t>汇总</w:t>
      </w:r>
      <w:r>
        <w:rPr>
          <w:rFonts w:eastAsia="宋体"/>
          <w:color w:val="000000"/>
          <w:sz w:val="21"/>
          <w:szCs w:val="21"/>
        </w:rPr>
        <w:t>试验报告中。</w:t>
      </w:r>
    </w:p>
  </w:footnote>
  <w:footnote w:id="93">
    <w:p w14:paraId="5E122531">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这是关于材料介导的致热性试验的数据如何呈现的示例。</w:t>
      </w:r>
    </w:p>
  </w:footnote>
  <w:footnote w:id="94">
    <w:p w14:paraId="6F112BF1">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5">
    <w:p w14:paraId="78963502">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请参见FDA指南</w:t>
      </w:r>
      <w:r>
        <w:rPr>
          <w:rFonts w:hint="eastAsia" w:eastAsia="宋体"/>
          <w:color w:val="0000FF"/>
          <w:sz w:val="21"/>
          <w:szCs w:val="21"/>
          <w:u w:val="single"/>
        </w:rPr>
        <w:t>在医疗器械上市前申请中适当使用自愿性共识标准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96">
    <w:p w14:paraId="0CD1027B">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7">
    <w:p w14:paraId="0FE5D34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98">
    <w:p w14:paraId="7F13B3CF">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99">
    <w:p w14:paraId="33FC8C7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00">
    <w:p w14:paraId="696006C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各种方法的适用性（例如，部分填充与完全填充）对于一个特定的器械可能会影响到是否应将完整的试验报告包括在ASCA</w:t>
      </w:r>
      <w:r>
        <w:rPr>
          <w:rFonts w:hint="eastAsia" w:eastAsia="宋体"/>
          <w:color w:val="000000"/>
          <w:sz w:val="21"/>
          <w:szCs w:val="21"/>
        </w:rPr>
        <w:t>汇总</w:t>
      </w:r>
      <w:r>
        <w:rPr>
          <w:rFonts w:eastAsia="宋体"/>
          <w:color w:val="000000"/>
          <w:sz w:val="21"/>
          <w:szCs w:val="21"/>
        </w:rPr>
        <w:t>试验报告中。</w:t>
      </w:r>
    </w:p>
  </w:footnote>
  <w:footnote w:id="101">
    <w:p w14:paraId="60B927B0">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02">
    <w:p w14:paraId="1E193F14">
      <w:pPr>
        <w:pStyle w:val="10"/>
        <w:tabs>
          <w:tab w:val="left" w:pos="240"/>
        </w:tabs>
        <w:autoSpaceDE/>
        <w:autoSpaceDN/>
        <w:jc w:val="both"/>
        <w:rPr>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03">
    <w:p w14:paraId="39FE9BBE">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04">
    <w:p w14:paraId="18F0CEBA">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05">
    <w:p w14:paraId="78495056">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06">
    <w:p w14:paraId="27B13BBB">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07">
    <w:p w14:paraId="1AD0630D">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在ASCA试点期间，如果阴性和阳性对照没有达到预期的效果，阴性对照、</w:t>
      </w:r>
      <w:r>
        <w:rPr>
          <w:rFonts w:hint="eastAsia" w:eastAsia="宋体"/>
          <w:color w:val="000000"/>
          <w:sz w:val="21"/>
          <w:szCs w:val="21"/>
        </w:rPr>
        <w:t>试验样品</w:t>
      </w:r>
      <w:r>
        <w:rPr>
          <w:rFonts w:eastAsia="宋体"/>
          <w:color w:val="000000"/>
          <w:sz w:val="21"/>
          <w:szCs w:val="21"/>
        </w:rPr>
        <w:t>和空白的所有重复的吸光度值为0.000，或</w:t>
      </w:r>
      <w:r>
        <w:rPr>
          <w:rFonts w:hint="eastAsia" w:eastAsia="宋体"/>
          <w:color w:val="000000"/>
          <w:sz w:val="21"/>
          <w:szCs w:val="21"/>
        </w:rPr>
        <w:t>试验样品</w:t>
      </w:r>
      <w:r>
        <w:rPr>
          <w:rFonts w:eastAsia="宋体"/>
          <w:color w:val="000000"/>
          <w:sz w:val="21"/>
          <w:szCs w:val="21"/>
        </w:rPr>
        <w:t>的评分≥2%HI，则应将完整的试验报告与ASCA</w:t>
      </w:r>
      <w:r>
        <w:rPr>
          <w:rFonts w:hint="eastAsia" w:eastAsia="宋体"/>
          <w:color w:val="000000"/>
          <w:sz w:val="21"/>
          <w:szCs w:val="21"/>
        </w:rPr>
        <w:t>汇总</w:t>
      </w:r>
      <w:r>
        <w:rPr>
          <w:rFonts w:eastAsia="宋体"/>
          <w:color w:val="000000"/>
          <w:sz w:val="21"/>
          <w:szCs w:val="21"/>
        </w:rPr>
        <w:t>试验报告一起提交。</w:t>
      </w:r>
    </w:p>
  </w:footnote>
  <w:footnote w:id="108">
    <w:p w14:paraId="3C8B25D3">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这是关于溶血试验的数据如何呈现的</w:t>
      </w:r>
      <w:r>
        <w:rPr>
          <w:rFonts w:hint="eastAsia" w:eastAsia="宋体"/>
          <w:color w:val="000000"/>
          <w:sz w:val="21"/>
          <w:szCs w:val="21"/>
        </w:rPr>
        <w:t>示例</w:t>
      </w:r>
      <w:r>
        <w:rPr>
          <w:rFonts w:eastAsia="宋体"/>
          <w:color w:val="000000"/>
          <w:sz w:val="21"/>
          <w:szCs w:val="21"/>
        </w:rPr>
        <w:t>。</w:t>
      </w:r>
    </w:p>
  </w:footnote>
  <w:footnote w:id="109">
    <w:p w14:paraId="35A48975">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请参见FDA指南</w:t>
      </w:r>
      <w:r>
        <w:rPr>
          <w:rFonts w:hint="eastAsia" w:eastAsia="宋体"/>
          <w:color w:val="0000FF"/>
          <w:sz w:val="21"/>
          <w:szCs w:val="21"/>
          <w:u w:val="single"/>
        </w:rPr>
        <w:t>在医疗器械上市前申请中适当使用自愿性共识标准</w:t>
      </w:r>
      <w:r>
        <w:rPr>
          <w:rFonts w:eastAsia="宋体"/>
          <w:color w:val="000000"/>
          <w:sz w:val="21"/>
          <w:szCs w:val="21"/>
        </w:rPr>
        <w:t>，以了解有关支持FDA</w:t>
      </w:r>
      <w:r>
        <w:rPr>
          <w:rFonts w:hint="eastAsia" w:eastAsia="宋体"/>
          <w:color w:val="000000"/>
          <w:sz w:val="21"/>
          <w:szCs w:val="21"/>
        </w:rPr>
        <w:t>公认</w:t>
      </w:r>
      <w:r>
        <w:rPr>
          <w:rFonts w:eastAsia="宋体"/>
          <w:color w:val="000000"/>
          <w:sz w:val="21"/>
          <w:szCs w:val="21"/>
        </w:rPr>
        <w:t>共识标准所需的补充文件，这些标准不在试验实验室的</w:t>
      </w:r>
      <w:r>
        <w:rPr>
          <w:rFonts w:eastAsia="宋体"/>
          <w:i/>
          <w:iCs/>
          <w:color w:val="000000"/>
          <w:sz w:val="21"/>
          <w:szCs w:val="21"/>
        </w:rPr>
        <w:t>ASCA认证</w:t>
      </w:r>
      <w:r>
        <w:rPr>
          <w:rFonts w:eastAsia="宋体"/>
          <w:color w:val="000000"/>
          <w:sz w:val="21"/>
          <w:szCs w:val="21"/>
        </w:rPr>
        <w:t>范围内。</w:t>
      </w:r>
    </w:p>
  </w:footnote>
  <w:footnote w:id="110">
    <w:p w14:paraId="48172837">
      <w:pPr>
        <w:pStyle w:val="10"/>
        <w:tabs>
          <w:tab w:val="left" w:pos="240"/>
        </w:tabs>
        <w:autoSpaceDE/>
        <w:autoSpaceDN/>
        <w:jc w:val="both"/>
        <w:rPr>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11">
    <w:p w14:paraId="76313F69">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在这种情况下，在ASCA试点期间，完整的试验报告应包括在ASCA</w:t>
      </w:r>
      <w:r>
        <w:rPr>
          <w:rFonts w:hint="eastAsia" w:eastAsia="宋体"/>
          <w:color w:val="000000"/>
          <w:sz w:val="21"/>
          <w:szCs w:val="21"/>
        </w:rPr>
        <w:t>汇总</w:t>
      </w:r>
      <w:r>
        <w:rPr>
          <w:rFonts w:eastAsia="宋体"/>
          <w:color w:val="000000"/>
          <w:sz w:val="21"/>
          <w:szCs w:val="21"/>
        </w:rPr>
        <w:t>试验报告中（根据提供的信息，FDA可能会或不会要求审查完整的试验报告）。试验实验室/制造商也可能被要求提供支持监管决定的理由。</w:t>
      </w:r>
    </w:p>
  </w:footnote>
  <w:footnote w:id="112">
    <w:p w14:paraId="3CB06C65">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13">
    <w:p w14:paraId="3761F5A4">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14">
    <w:p w14:paraId="314FBD2B">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15">
    <w:p w14:paraId="6C049B90">
      <w:pPr>
        <w:pStyle w:val="10"/>
        <w:tabs>
          <w:tab w:val="left" w:pos="240"/>
        </w:tabs>
        <w:autoSpaceDE/>
        <w:autoSpaceDN/>
        <w:jc w:val="both"/>
        <w:rPr>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 w:id="116">
    <w:p w14:paraId="682F0767">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color w:val="000000"/>
          <w:sz w:val="21"/>
          <w:szCs w:val="21"/>
        </w:rPr>
        <w:tab/>
      </w:r>
      <w:r>
        <w:rPr>
          <w:rFonts w:eastAsia="宋体"/>
          <w:color w:val="000000"/>
          <w:sz w:val="21"/>
          <w:szCs w:val="21"/>
        </w:rPr>
        <w:t>由于注意到偏离/修正案，在ASCA试点期间，完整的试验报告应包括在ASCA</w:t>
      </w:r>
      <w:r>
        <w:rPr>
          <w:rFonts w:hint="eastAsia" w:eastAsia="宋体"/>
          <w:color w:val="000000"/>
          <w:sz w:val="21"/>
          <w:szCs w:val="21"/>
        </w:rPr>
        <w:t>汇总试验</w:t>
      </w:r>
      <w:r>
        <w:rPr>
          <w:rFonts w:eastAsia="宋体"/>
          <w:color w:val="000000"/>
          <w:sz w:val="21"/>
          <w:szCs w:val="21"/>
        </w:rPr>
        <w:t>报告中（根据提供的信息，FDA可能会或不会要求</w:t>
      </w:r>
      <w:r>
        <w:rPr>
          <w:rFonts w:hint="eastAsia" w:eastAsia="宋体"/>
          <w:color w:val="000000"/>
          <w:sz w:val="21"/>
          <w:szCs w:val="21"/>
        </w:rPr>
        <w:t>审评</w:t>
      </w:r>
      <w:r>
        <w:rPr>
          <w:rFonts w:eastAsia="宋体"/>
          <w:color w:val="000000"/>
          <w:sz w:val="21"/>
          <w:szCs w:val="21"/>
        </w:rPr>
        <w:t>完整的试验报告）。试验实验室/制造商也可能被要求提供支持监管决定的理由。</w:t>
      </w:r>
    </w:p>
  </w:footnote>
  <w:footnote w:id="117">
    <w:p w14:paraId="7C98E291">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在ASCA试点期间，如果试验介质、阴性、阳性和比较对照品的表现不符合预期，或者与阴性或比较对照相比，</w:t>
      </w:r>
      <w:r>
        <w:rPr>
          <w:rFonts w:hint="eastAsia" w:eastAsia="宋体"/>
          <w:color w:val="000000"/>
          <w:sz w:val="21"/>
          <w:szCs w:val="21"/>
        </w:rPr>
        <w:t>试验样品</w:t>
      </w:r>
      <w:r>
        <w:rPr>
          <w:rFonts w:eastAsia="宋体"/>
          <w:color w:val="000000"/>
          <w:sz w:val="21"/>
          <w:szCs w:val="21"/>
        </w:rPr>
        <w:t>的SC5b-9有统计学意义的增加，则应将完整的试验报告与ASCA</w:t>
      </w:r>
      <w:r>
        <w:rPr>
          <w:rFonts w:hint="eastAsia" w:eastAsia="宋体"/>
          <w:color w:val="000000"/>
          <w:sz w:val="21"/>
          <w:szCs w:val="21"/>
        </w:rPr>
        <w:t>汇总</w:t>
      </w:r>
      <w:r>
        <w:rPr>
          <w:rFonts w:eastAsia="宋体"/>
          <w:color w:val="000000"/>
          <w:sz w:val="21"/>
          <w:szCs w:val="21"/>
        </w:rPr>
        <w:t>试验报告一起提交。</w:t>
      </w:r>
    </w:p>
  </w:footnote>
  <w:footnote w:id="118">
    <w:p w14:paraId="7EB0B027">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这是关于补体激活试验的数据如何呈现的示例。</w:t>
      </w:r>
    </w:p>
  </w:footnote>
  <w:footnote w:id="119">
    <w:p w14:paraId="0B8C2225">
      <w:pPr>
        <w:pStyle w:val="10"/>
        <w:tabs>
          <w:tab w:val="left" w:pos="240"/>
        </w:tabs>
        <w:autoSpaceDE/>
        <w:autoSpaceDN/>
        <w:jc w:val="both"/>
        <w:rPr>
          <w:rFonts w:eastAsia="宋体"/>
          <w:sz w:val="21"/>
          <w:szCs w:val="21"/>
        </w:rPr>
      </w:pPr>
      <w:r>
        <w:rPr>
          <w:rStyle w:val="17"/>
          <w:rFonts w:eastAsia="宋体"/>
          <w:sz w:val="21"/>
          <w:szCs w:val="21"/>
        </w:rPr>
        <w:footnoteRef/>
      </w:r>
      <w:r>
        <w:rPr>
          <w:rFonts w:eastAsia="宋体"/>
          <w:sz w:val="21"/>
          <w:szCs w:val="21"/>
        </w:rPr>
        <w:tab/>
      </w:r>
      <w:r>
        <w:rPr>
          <w:rFonts w:eastAsia="宋体"/>
          <w:color w:val="000000"/>
          <w:sz w:val="21"/>
          <w:szCs w:val="21"/>
        </w:rPr>
        <w:t>取决于所使用的阳性对照品，这一行可能是相关的。</w:t>
      </w:r>
    </w:p>
  </w:footnote>
  <w:footnote w:id="120">
    <w:p w14:paraId="2507C737">
      <w:pPr>
        <w:pStyle w:val="10"/>
        <w:tabs>
          <w:tab w:val="left" w:pos="240"/>
        </w:tabs>
        <w:autoSpaceDE/>
        <w:autoSpaceDN/>
        <w:jc w:val="both"/>
        <w:rPr>
          <w:sz w:val="21"/>
          <w:szCs w:val="21"/>
        </w:rPr>
      </w:pPr>
      <w:r>
        <w:rPr>
          <w:rStyle w:val="17"/>
          <w:rFonts w:eastAsia="宋体"/>
          <w:sz w:val="21"/>
          <w:szCs w:val="21"/>
        </w:rPr>
        <w:footnoteRef/>
      </w:r>
      <w:r>
        <w:rPr>
          <w:rFonts w:eastAsia="宋体"/>
          <w:sz w:val="21"/>
          <w:szCs w:val="21"/>
        </w:rPr>
        <w:tab/>
      </w:r>
      <w:r>
        <w:rPr>
          <w:rFonts w:eastAsia="宋体"/>
          <w:color w:val="000000"/>
          <w:sz w:val="21"/>
          <w:szCs w:val="21"/>
        </w:rPr>
        <w:t>同上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FCF8">
    <w:pPr>
      <w:shd w:val="clear" w:color="auto" w:fill="FFFFFF"/>
      <w:snapToGrid w:val="0"/>
      <w:jc w:val="center"/>
      <w:rPr>
        <w:rFonts w:eastAsia="宋体"/>
        <w:b/>
        <w:bCs/>
        <w:i/>
        <w:iCs/>
        <w:color w:val="000000"/>
        <w:sz w:val="21"/>
        <w:szCs w:val="21"/>
      </w:rPr>
    </w:pPr>
    <w:r>
      <w:rPr>
        <w:rFonts w:hint="eastAsia" w:eastAsia="宋体"/>
        <w:b/>
        <w:bCs/>
        <w:i/>
        <w:iCs/>
        <w:color w:val="000000"/>
        <w:sz w:val="21"/>
        <w:szCs w:val="21"/>
      </w:rPr>
      <w:t>所含建议不具约束力</w:t>
    </w:r>
  </w:p>
  <w:p w14:paraId="74C66C0A">
    <w:pPr>
      <w:pStyle w:val="8"/>
      <w:pBdr>
        <w:bottom w:val="none" w:color="auto" w:sz="0" w:space="0"/>
      </w:pBdr>
      <w:tabs>
        <w:tab w:val="clear" w:pos="4153"/>
        <w:tab w:val="clear" w:pos="8306"/>
      </w:tabs>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025A9"/>
    <w:multiLevelType w:val="multilevel"/>
    <w:tmpl w:val="00A025A9"/>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E238C2"/>
    <w:multiLevelType w:val="multilevel"/>
    <w:tmpl w:val="06E238C2"/>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853B4C"/>
    <w:multiLevelType w:val="multilevel"/>
    <w:tmpl w:val="07853B4C"/>
    <w:lvl w:ilvl="0" w:tentative="0">
      <w:start w:val="0"/>
      <w:numFmt w:val="bullet"/>
      <w:lvlText w:val="•"/>
      <w:lvlJc w:val="left"/>
      <w:pPr>
        <w:ind w:left="420" w:hanging="420"/>
      </w:pPr>
      <w:rPr>
        <w:rFonts w:hint="default" w:ascii="Times New Roman" w:hAnsi="Times New Roman" w:eastAsia="宋体" w:cs="Times New Roman"/>
        <w:w w:val="99"/>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5BB609A"/>
    <w:multiLevelType w:val="multilevel"/>
    <w:tmpl w:val="15BB609A"/>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3E00E6"/>
    <w:multiLevelType w:val="multilevel"/>
    <w:tmpl w:val="213E00E6"/>
    <w:lvl w:ilvl="0" w:tentative="0">
      <w:start w:val="0"/>
      <w:numFmt w:val="bullet"/>
      <w:lvlText w:val="•"/>
      <w:lvlJc w:val="left"/>
      <w:pPr>
        <w:ind w:left="1034" w:hanging="420"/>
      </w:pPr>
      <w:rPr>
        <w:rFonts w:hint="default" w:ascii="Times New Roman" w:hAnsi="Times New Roman" w:eastAsia="宋体" w:cs="Times New Roman"/>
        <w:w w:val="99"/>
        <w:sz w:val="21"/>
        <w:szCs w:val="21"/>
      </w:rPr>
    </w:lvl>
    <w:lvl w:ilvl="1" w:tentative="0">
      <w:start w:val="1"/>
      <w:numFmt w:val="bullet"/>
      <w:lvlText w:val=""/>
      <w:lvlJc w:val="left"/>
      <w:pPr>
        <w:ind w:left="1454" w:hanging="420"/>
      </w:pPr>
      <w:rPr>
        <w:rFonts w:hint="default" w:ascii="Wingdings" w:hAnsi="Wingdings"/>
      </w:rPr>
    </w:lvl>
    <w:lvl w:ilvl="2" w:tentative="0">
      <w:start w:val="1"/>
      <w:numFmt w:val="bullet"/>
      <w:lvlText w:val=""/>
      <w:lvlJc w:val="left"/>
      <w:pPr>
        <w:ind w:left="1874" w:hanging="420"/>
      </w:pPr>
      <w:rPr>
        <w:rFonts w:hint="default" w:ascii="Wingdings" w:hAnsi="Wingdings"/>
      </w:rPr>
    </w:lvl>
    <w:lvl w:ilvl="3" w:tentative="0">
      <w:start w:val="1"/>
      <w:numFmt w:val="bullet"/>
      <w:lvlText w:val=""/>
      <w:lvlJc w:val="left"/>
      <w:pPr>
        <w:ind w:left="2294" w:hanging="420"/>
      </w:pPr>
      <w:rPr>
        <w:rFonts w:hint="default" w:ascii="Wingdings" w:hAnsi="Wingdings"/>
      </w:rPr>
    </w:lvl>
    <w:lvl w:ilvl="4" w:tentative="0">
      <w:start w:val="1"/>
      <w:numFmt w:val="bullet"/>
      <w:lvlText w:val=""/>
      <w:lvlJc w:val="left"/>
      <w:pPr>
        <w:ind w:left="2714" w:hanging="420"/>
      </w:pPr>
      <w:rPr>
        <w:rFonts w:hint="default" w:ascii="Wingdings" w:hAnsi="Wingdings"/>
      </w:rPr>
    </w:lvl>
    <w:lvl w:ilvl="5" w:tentative="0">
      <w:start w:val="1"/>
      <w:numFmt w:val="bullet"/>
      <w:lvlText w:val=""/>
      <w:lvlJc w:val="left"/>
      <w:pPr>
        <w:ind w:left="3134" w:hanging="420"/>
      </w:pPr>
      <w:rPr>
        <w:rFonts w:hint="default" w:ascii="Wingdings" w:hAnsi="Wingdings"/>
      </w:rPr>
    </w:lvl>
    <w:lvl w:ilvl="6" w:tentative="0">
      <w:start w:val="1"/>
      <w:numFmt w:val="bullet"/>
      <w:lvlText w:val=""/>
      <w:lvlJc w:val="left"/>
      <w:pPr>
        <w:ind w:left="3554" w:hanging="420"/>
      </w:pPr>
      <w:rPr>
        <w:rFonts w:hint="default" w:ascii="Wingdings" w:hAnsi="Wingdings"/>
      </w:rPr>
    </w:lvl>
    <w:lvl w:ilvl="7" w:tentative="0">
      <w:start w:val="1"/>
      <w:numFmt w:val="bullet"/>
      <w:lvlText w:val=""/>
      <w:lvlJc w:val="left"/>
      <w:pPr>
        <w:ind w:left="3974" w:hanging="420"/>
      </w:pPr>
      <w:rPr>
        <w:rFonts w:hint="default" w:ascii="Wingdings" w:hAnsi="Wingdings"/>
      </w:rPr>
    </w:lvl>
    <w:lvl w:ilvl="8" w:tentative="0">
      <w:start w:val="1"/>
      <w:numFmt w:val="bullet"/>
      <w:lvlText w:val=""/>
      <w:lvlJc w:val="left"/>
      <w:pPr>
        <w:ind w:left="4394" w:hanging="420"/>
      </w:pPr>
      <w:rPr>
        <w:rFonts w:hint="default" w:ascii="Wingdings" w:hAnsi="Wingdings"/>
      </w:rPr>
    </w:lvl>
  </w:abstractNum>
  <w:abstractNum w:abstractNumId="5">
    <w:nsid w:val="22CF2AE3"/>
    <w:multiLevelType w:val="multilevel"/>
    <w:tmpl w:val="22CF2AE3"/>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4B6D99"/>
    <w:multiLevelType w:val="multilevel"/>
    <w:tmpl w:val="304B6D99"/>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38274F"/>
    <w:multiLevelType w:val="multilevel"/>
    <w:tmpl w:val="4238274F"/>
    <w:lvl w:ilvl="0" w:tentative="0">
      <w:start w:val="0"/>
      <w:numFmt w:val="bullet"/>
      <w:lvlText w:val=""/>
      <w:lvlJc w:val="left"/>
      <w:pPr>
        <w:ind w:left="1080" w:hanging="420"/>
      </w:pPr>
      <w:rPr>
        <w:rFonts w:hint="default" w:ascii="Symbol" w:hAnsi="Symbol" w:eastAsia="宋体" w:cs="Symbol"/>
        <w:w w:val="100"/>
        <w:sz w:val="24"/>
        <w:szCs w:val="24"/>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8">
    <w:nsid w:val="496F6A34"/>
    <w:multiLevelType w:val="multilevel"/>
    <w:tmpl w:val="496F6A34"/>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8736AC0"/>
    <w:multiLevelType w:val="multilevel"/>
    <w:tmpl w:val="58736AC0"/>
    <w:lvl w:ilvl="0" w:tentative="0">
      <w:start w:val="0"/>
      <w:numFmt w:val="bullet"/>
      <w:lvlText w:val=""/>
      <w:lvlJc w:val="left"/>
      <w:pPr>
        <w:ind w:left="420" w:hanging="420"/>
      </w:pPr>
      <w:rPr>
        <w:rFonts w:hint="default" w:ascii="Symbol" w:hAnsi="Symbol" w:eastAsia="宋体" w:cs="Symbol"/>
        <w:w w:val="100"/>
        <w:sz w:val="24"/>
        <w:szCs w:val="24"/>
        <w:vertAlign w:val="baseline"/>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B784B2C"/>
    <w:multiLevelType w:val="multilevel"/>
    <w:tmpl w:val="5B784B2C"/>
    <w:lvl w:ilvl="0" w:tentative="0">
      <w:start w:val="1"/>
      <w:numFmt w:val="lowerLetter"/>
      <w:lvlText w:val="%1)"/>
      <w:lvlJc w:val="left"/>
      <w:pPr>
        <w:ind w:left="420" w:hanging="420"/>
      </w:pPr>
      <w:rPr>
        <w:rFonts w:hint="default" w:ascii="Times New Roman" w:hAnsi="Times New Roman" w:eastAsia="宋体" w:cs="Arial"/>
        <w:b w:val="0"/>
        <w:i w:val="0"/>
        <w:color w:val="000000" w:themeColor="text1"/>
        <w:spacing w:val="0"/>
        <w:w w:val="100"/>
        <w:position w:val="0"/>
        <w:sz w:val="24"/>
        <w:szCs w:val="18"/>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00D2D62"/>
    <w:multiLevelType w:val="multilevel"/>
    <w:tmpl w:val="600D2D62"/>
    <w:lvl w:ilvl="0" w:tentative="0">
      <w:start w:val="0"/>
      <w:numFmt w:val="bullet"/>
      <w:lvlText w:val="‐"/>
      <w:lvlJc w:val="left"/>
      <w:pPr>
        <w:ind w:left="1442" w:hanging="420"/>
      </w:pPr>
      <w:rPr>
        <w:rFonts w:hint="default" w:ascii="Times New Roman" w:hAnsi="Times New Roman" w:eastAsia="宋体" w:cs="Times New Roman"/>
        <w:w w:val="100"/>
        <w:sz w:val="24"/>
        <w:szCs w:val="24"/>
      </w:rPr>
    </w:lvl>
    <w:lvl w:ilvl="1" w:tentative="0">
      <w:start w:val="1"/>
      <w:numFmt w:val="bullet"/>
      <w:lvlText w:val=""/>
      <w:lvlJc w:val="left"/>
      <w:pPr>
        <w:ind w:left="1862" w:hanging="420"/>
      </w:pPr>
      <w:rPr>
        <w:rFonts w:hint="default" w:ascii="Wingdings" w:hAnsi="Wingdings"/>
      </w:rPr>
    </w:lvl>
    <w:lvl w:ilvl="2" w:tentative="0">
      <w:start w:val="1"/>
      <w:numFmt w:val="bullet"/>
      <w:lvlText w:val=""/>
      <w:lvlJc w:val="left"/>
      <w:pPr>
        <w:ind w:left="2282" w:hanging="420"/>
      </w:pPr>
      <w:rPr>
        <w:rFonts w:hint="default" w:ascii="Wingdings" w:hAnsi="Wingdings"/>
      </w:rPr>
    </w:lvl>
    <w:lvl w:ilvl="3" w:tentative="0">
      <w:start w:val="1"/>
      <w:numFmt w:val="bullet"/>
      <w:lvlText w:val=""/>
      <w:lvlJc w:val="left"/>
      <w:pPr>
        <w:ind w:left="2702" w:hanging="420"/>
      </w:pPr>
      <w:rPr>
        <w:rFonts w:hint="default" w:ascii="Wingdings" w:hAnsi="Wingdings"/>
      </w:rPr>
    </w:lvl>
    <w:lvl w:ilvl="4" w:tentative="0">
      <w:start w:val="1"/>
      <w:numFmt w:val="bullet"/>
      <w:lvlText w:val=""/>
      <w:lvlJc w:val="left"/>
      <w:pPr>
        <w:ind w:left="3122" w:hanging="420"/>
      </w:pPr>
      <w:rPr>
        <w:rFonts w:hint="default" w:ascii="Wingdings" w:hAnsi="Wingdings"/>
      </w:rPr>
    </w:lvl>
    <w:lvl w:ilvl="5" w:tentative="0">
      <w:start w:val="1"/>
      <w:numFmt w:val="bullet"/>
      <w:lvlText w:val=""/>
      <w:lvlJc w:val="left"/>
      <w:pPr>
        <w:ind w:left="3542" w:hanging="420"/>
      </w:pPr>
      <w:rPr>
        <w:rFonts w:hint="default" w:ascii="Wingdings" w:hAnsi="Wingdings"/>
      </w:rPr>
    </w:lvl>
    <w:lvl w:ilvl="6" w:tentative="0">
      <w:start w:val="1"/>
      <w:numFmt w:val="bullet"/>
      <w:lvlText w:val=""/>
      <w:lvlJc w:val="left"/>
      <w:pPr>
        <w:ind w:left="3962" w:hanging="420"/>
      </w:pPr>
      <w:rPr>
        <w:rFonts w:hint="default" w:ascii="Wingdings" w:hAnsi="Wingdings"/>
      </w:rPr>
    </w:lvl>
    <w:lvl w:ilvl="7" w:tentative="0">
      <w:start w:val="1"/>
      <w:numFmt w:val="bullet"/>
      <w:lvlText w:val=""/>
      <w:lvlJc w:val="left"/>
      <w:pPr>
        <w:ind w:left="4382" w:hanging="420"/>
      </w:pPr>
      <w:rPr>
        <w:rFonts w:hint="default" w:ascii="Wingdings" w:hAnsi="Wingdings"/>
      </w:rPr>
    </w:lvl>
    <w:lvl w:ilvl="8" w:tentative="0">
      <w:start w:val="1"/>
      <w:numFmt w:val="bullet"/>
      <w:lvlText w:val=""/>
      <w:lvlJc w:val="left"/>
      <w:pPr>
        <w:ind w:left="4802" w:hanging="420"/>
      </w:pPr>
      <w:rPr>
        <w:rFonts w:hint="default" w:ascii="Wingdings" w:hAnsi="Wingdings"/>
      </w:rPr>
    </w:lvl>
  </w:abstractNum>
  <w:abstractNum w:abstractNumId="12">
    <w:nsid w:val="6BC06B4C"/>
    <w:multiLevelType w:val="multilevel"/>
    <w:tmpl w:val="6BC06B4C"/>
    <w:lvl w:ilvl="0" w:tentative="0">
      <w:start w:val="0"/>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10"/>
  </w:num>
  <w:num w:numId="3">
    <w:abstractNumId w:val="9"/>
  </w:num>
  <w:num w:numId="4">
    <w:abstractNumId w:val="11"/>
  </w:num>
  <w:num w:numId="5">
    <w:abstractNumId w:val="6"/>
  </w:num>
  <w:num w:numId="6">
    <w:abstractNumId w:val="0"/>
  </w:num>
  <w:num w:numId="7">
    <w:abstractNumId w:val="1"/>
  </w:num>
  <w:num w:numId="8">
    <w:abstractNumId w:val="8"/>
  </w:num>
  <w:num w:numId="9">
    <w:abstractNumId w:val="5"/>
  </w:num>
  <w:num w:numId="10">
    <w:abstractNumId w:val="12"/>
  </w:num>
  <w:num w:numId="11">
    <w:abstractNumId w:val="3"/>
  </w:num>
  <w:num w:numId="12">
    <w:abstractNumId w:val="2"/>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DEX">
    <w15:presenceInfo w15:providerId="None" w15:userId="COD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hideSpellingErrors/>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242"/>
    <w:footnote w:id="24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3A03D1"/>
    <w:rsid w:val="00005B15"/>
    <w:rsid w:val="00012D28"/>
    <w:rsid w:val="000157A9"/>
    <w:rsid w:val="00017DC5"/>
    <w:rsid w:val="000224DB"/>
    <w:rsid w:val="00030CC9"/>
    <w:rsid w:val="00032139"/>
    <w:rsid w:val="00033A07"/>
    <w:rsid w:val="00036EB6"/>
    <w:rsid w:val="00040EC0"/>
    <w:rsid w:val="000431D2"/>
    <w:rsid w:val="00044511"/>
    <w:rsid w:val="00045725"/>
    <w:rsid w:val="000562FA"/>
    <w:rsid w:val="00056BDD"/>
    <w:rsid w:val="00061201"/>
    <w:rsid w:val="00061A73"/>
    <w:rsid w:val="0006207C"/>
    <w:rsid w:val="00064AC9"/>
    <w:rsid w:val="00066F91"/>
    <w:rsid w:val="0006733C"/>
    <w:rsid w:val="0007292F"/>
    <w:rsid w:val="0007434E"/>
    <w:rsid w:val="0008371B"/>
    <w:rsid w:val="00094285"/>
    <w:rsid w:val="000A08A9"/>
    <w:rsid w:val="000A37C1"/>
    <w:rsid w:val="000B463A"/>
    <w:rsid w:val="000B5CFE"/>
    <w:rsid w:val="000B7FD5"/>
    <w:rsid w:val="000C0EEB"/>
    <w:rsid w:val="000C11C9"/>
    <w:rsid w:val="000C3595"/>
    <w:rsid w:val="000C6E2E"/>
    <w:rsid w:val="000D1337"/>
    <w:rsid w:val="000E0B40"/>
    <w:rsid w:val="000E2041"/>
    <w:rsid w:val="000E5CC1"/>
    <w:rsid w:val="000F2D0D"/>
    <w:rsid w:val="001003D6"/>
    <w:rsid w:val="00105237"/>
    <w:rsid w:val="00107361"/>
    <w:rsid w:val="00107B52"/>
    <w:rsid w:val="001115BE"/>
    <w:rsid w:val="00112B78"/>
    <w:rsid w:val="00120904"/>
    <w:rsid w:val="0012113B"/>
    <w:rsid w:val="00121E0E"/>
    <w:rsid w:val="001222E2"/>
    <w:rsid w:val="00131C8A"/>
    <w:rsid w:val="00135CEF"/>
    <w:rsid w:val="00140022"/>
    <w:rsid w:val="001435ED"/>
    <w:rsid w:val="0014628F"/>
    <w:rsid w:val="00147DB7"/>
    <w:rsid w:val="001509EA"/>
    <w:rsid w:val="00153CAB"/>
    <w:rsid w:val="0016276A"/>
    <w:rsid w:val="0016778C"/>
    <w:rsid w:val="00167FA0"/>
    <w:rsid w:val="00170C16"/>
    <w:rsid w:val="00171EC1"/>
    <w:rsid w:val="00186EC9"/>
    <w:rsid w:val="00192E7C"/>
    <w:rsid w:val="00193CED"/>
    <w:rsid w:val="0019468C"/>
    <w:rsid w:val="001A1521"/>
    <w:rsid w:val="001A1CB0"/>
    <w:rsid w:val="001A4498"/>
    <w:rsid w:val="001A455F"/>
    <w:rsid w:val="001B7ECE"/>
    <w:rsid w:val="001C6703"/>
    <w:rsid w:val="001C7845"/>
    <w:rsid w:val="001D2516"/>
    <w:rsid w:val="001D31AD"/>
    <w:rsid w:val="001D6B8E"/>
    <w:rsid w:val="001E1CB4"/>
    <w:rsid w:val="001E6D8A"/>
    <w:rsid w:val="001E76A4"/>
    <w:rsid w:val="001F3CFF"/>
    <w:rsid w:val="001F7C2F"/>
    <w:rsid w:val="00200C26"/>
    <w:rsid w:val="002021F7"/>
    <w:rsid w:val="002052B8"/>
    <w:rsid w:val="00206AA9"/>
    <w:rsid w:val="00213A56"/>
    <w:rsid w:val="00214BA0"/>
    <w:rsid w:val="002155AC"/>
    <w:rsid w:val="00221770"/>
    <w:rsid w:val="00221CDC"/>
    <w:rsid w:val="002253BD"/>
    <w:rsid w:val="00230214"/>
    <w:rsid w:val="00234AD7"/>
    <w:rsid w:val="00234E28"/>
    <w:rsid w:val="00235E5F"/>
    <w:rsid w:val="00246903"/>
    <w:rsid w:val="00253C69"/>
    <w:rsid w:val="00254E4C"/>
    <w:rsid w:val="00255760"/>
    <w:rsid w:val="00255F5A"/>
    <w:rsid w:val="00260CD8"/>
    <w:rsid w:val="002663A8"/>
    <w:rsid w:val="00274A73"/>
    <w:rsid w:val="00280433"/>
    <w:rsid w:val="00291301"/>
    <w:rsid w:val="002979B3"/>
    <w:rsid w:val="002B14DF"/>
    <w:rsid w:val="002B3F60"/>
    <w:rsid w:val="002B493F"/>
    <w:rsid w:val="002B6A42"/>
    <w:rsid w:val="002C22C4"/>
    <w:rsid w:val="002C3B3F"/>
    <w:rsid w:val="002C422C"/>
    <w:rsid w:val="002C7A8B"/>
    <w:rsid w:val="002D2BB8"/>
    <w:rsid w:val="002E2C87"/>
    <w:rsid w:val="002E6CC6"/>
    <w:rsid w:val="002E6CEF"/>
    <w:rsid w:val="002F1BF8"/>
    <w:rsid w:val="00301071"/>
    <w:rsid w:val="00302BE3"/>
    <w:rsid w:val="00307756"/>
    <w:rsid w:val="00314179"/>
    <w:rsid w:val="003272F9"/>
    <w:rsid w:val="00331854"/>
    <w:rsid w:val="00332F85"/>
    <w:rsid w:val="00334DEF"/>
    <w:rsid w:val="0033622D"/>
    <w:rsid w:val="00336575"/>
    <w:rsid w:val="00336B59"/>
    <w:rsid w:val="00350B68"/>
    <w:rsid w:val="00351B05"/>
    <w:rsid w:val="00353782"/>
    <w:rsid w:val="0035580E"/>
    <w:rsid w:val="003560B4"/>
    <w:rsid w:val="00356AA3"/>
    <w:rsid w:val="003659B2"/>
    <w:rsid w:val="00365FF1"/>
    <w:rsid w:val="00367C87"/>
    <w:rsid w:val="00374D74"/>
    <w:rsid w:val="00375A95"/>
    <w:rsid w:val="00376E0A"/>
    <w:rsid w:val="00382E3F"/>
    <w:rsid w:val="003943E8"/>
    <w:rsid w:val="003A03D1"/>
    <w:rsid w:val="003A1E03"/>
    <w:rsid w:val="003B2039"/>
    <w:rsid w:val="003B53AA"/>
    <w:rsid w:val="003C08D2"/>
    <w:rsid w:val="003C0DC2"/>
    <w:rsid w:val="003C0E3B"/>
    <w:rsid w:val="003C3C9B"/>
    <w:rsid w:val="003C48AD"/>
    <w:rsid w:val="003C51D3"/>
    <w:rsid w:val="003D3C3F"/>
    <w:rsid w:val="003D3EC3"/>
    <w:rsid w:val="003D4A64"/>
    <w:rsid w:val="003D6397"/>
    <w:rsid w:val="003D6D2A"/>
    <w:rsid w:val="003E0EDD"/>
    <w:rsid w:val="003E1CC9"/>
    <w:rsid w:val="003E27CA"/>
    <w:rsid w:val="003E4BEA"/>
    <w:rsid w:val="003E6D7A"/>
    <w:rsid w:val="003F0A22"/>
    <w:rsid w:val="003F282C"/>
    <w:rsid w:val="003F29FC"/>
    <w:rsid w:val="003F2E74"/>
    <w:rsid w:val="003F72D4"/>
    <w:rsid w:val="00402E99"/>
    <w:rsid w:val="004031F7"/>
    <w:rsid w:val="004117F7"/>
    <w:rsid w:val="00411DA8"/>
    <w:rsid w:val="00413893"/>
    <w:rsid w:val="0041661B"/>
    <w:rsid w:val="00431C2F"/>
    <w:rsid w:val="00431E84"/>
    <w:rsid w:val="00432F72"/>
    <w:rsid w:val="00434FB4"/>
    <w:rsid w:val="00445407"/>
    <w:rsid w:val="00447D2E"/>
    <w:rsid w:val="00452933"/>
    <w:rsid w:val="004567F1"/>
    <w:rsid w:val="00460221"/>
    <w:rsid w:val="00461B06"/>
    <w:rsid w:val="00464686"/>
    <w:rsid w:val="00467FEF"/>
    <w:rsid w:val="00470650"/>
    <w:rsid w:val="0047214C"/>
    <w:rsid w:val="0047635F"/>
    <w:rsid w:val="004803C8"/>
    <w:rsid w:val="00483168"/>
    <w:rsid w:val="00485222"/>
    <w:rsid w:val="00487B01"/>
    <w:rsid w:val="00497D59"/>
    <w:rsid w:val="004A1AB3"/>
    <w:rsid w:val="004A42F8"/>
    <w:rsid w:val="004A4B4F"/>
    <w:rsid w:val="004A6573"/>
    <w:rsid w:val="004B0000"/>
    <w:rsid w:val="004B098D"/>
    <w:rsid w:val="004B481E"/>
    <w:rsid w:val="004B637C"/>
    <w:rsid w:val="004B6983"/>
    <w:rsid w:val="004C3633"/>
    <w:rsid w:val="004F1811"/>
    <w:rsid w:val="004F2463"/>
    <w:rsid w:val="004F3653"/>
    <w:rsid w:val="004F4227"/>
    <w:rsid w:val="004F4992"/>
    <w:rsid w:val="004F6E77"/>
    <w:rsid w:val="004F754F"/>
    <w:rsid w:val="0050060E"/>
    <w:rsid w:val="0050303A"/>
    <w:rsid w:val="00522D55"/>
    <w:rsid w:val="005250C7"/>
    <w:rsid w:val="005313D9"/>
    <w:rsid w:val="00532489"/>
    <w:rsid w:val="00536531"/>
    <w:rsid w:val="0054467B"/>
    <w:rsid w:val="00552884"/>
    <w:rsid w:val="00560510"/>
    <w:rsid w:val="0056239D"/>
    <w:rsid w:val="005638C5"/>
    <w:rsid w:val="005674F8"/>
    <w:rsid w:val="00575D99"/>
    <w:rsid w:val="00580BB4"/>
    <w:rsid w:val="00585C29"/>
    <w:rsid w:val="00587275"/>
    <w:rsid w:val="005955D0"/>
    <w:rsid w:val="00595A33"/>
    <w:rsid w:val="005A1226"/>
    <w:rsid w:val="005B16BA"/>
    <w:rsid w:val="005B637F"/>
    <w:rsid w:val="005C773D"/>
    <w:rsid w:val="005D14B1"/>
    <w:rsid w:val="005D2718"/>
    <w:rsid w:val="005E0916"/>
    <w:rsid w:val="005E3317"/>
    <w:rsid w:val="005F0D3A"/>
    <w:rsid w:val="005F1C78"/>
    <w:rsid w:val="005F480F"/>
    <w:rsid w:val="005F6A3B"/>
    <w:rsid w:val="00611A1C"/>
    <w:rsid w:val="00611AD7"/>
    <w:rsid w:val="00612334"/>
    <w:rsid w:val="00614390"/>
    <w:rsid w:val="00614FA4"/>
    <w:rsid w:val="00614FCE"/>
    <w:rsid w:val="00615718"/>
    <w:rsid w:val="00624050"/>
    <w:rsid w:val="00624EA9"/>
    <w:rsid w:val="00627B6D"/>
    <w:rsid w:val="00631AFC"/>
    <w:rsid w:val="00631D52"/>
    <w:rsid w:val="006348A4"/>
    <w:rsid w:val="0063575D"/>
    <w:rsid w:val="00636D07"/>
    <w:rsid w:val="0063779C"/>
    <w:rsid w:val="00641339"/>
    <w:rsid w:val="00641A30"/>
    <w:rsid w:val="006421B3"/>
    <w:rsid w:val="006551EC"/>
    <w:rsid w:val="00656B4E"/>
    <w:rsid w:val="00667F29"/>
    <w:rsid w:val="00670D9D"/>
    <w:rsid w:val="00670DA2"/>
    <w:rsid w:val="00673405"/>
    <w:rsid w:val="006759DD"/>
    <w:rsid w:val="00683813"/>
    <w:rsid w:val="00685775"/>
    <w:rsid w:val="00690EA2"/>
    <w:rsid w:val="00692415"/>
    <w:rsid w:val="0069408F"/>
    <w:rsid w:val="00694F67"/>
    <w:rsid w:val="006954D2"/>
    <w:rsid w:val="00697B3C"/>
    <w:rsid w:val="006A444B"/>
    <w:rsid w:val="006A5D4B"/>
    <w:rsid w:val="006B0B94"/>
    <w:rsid w:val="006B18B5"/>
    <w:rsid w:val="006C3A97"/>
    <w:rsid w:val="006C4725"/>
    <w:rsid w:val="006C6A2A"/>
    <w:rsid w:val="006D509D"/>
    <w:rsid w:val="006F35C0"/>
    <w:rsid w:val="006F6AB0"/>
    <w:rsid w:val="00700629"/>
    <w:rsid w:val="00700DA2"/>
    <w:rsid w:val="00702CE4"/>
    <w:rsid w:val="00704487"/>
    <w:rsid w:val="007049DD"/>
    <w:rsid w:val="0070672E"/>
    <w:rsid w:val="00712C80"/>
    <w:rsid w:val="00713BB7"/>
    <w:rsid w:val="007161ED"/>
    <w:rsid w:val="0072155F"/>
    <w:rsid w:val="00722FA1"/>
    <w:rsid w:val="00733198"/>
    <w:rsid w:val="00737964"/>
    <w:rsid w:val="007405BA"/>
    <w:rsid w:val="0074243F"/>
    <w:rsid w:val="00744D10"/>
    <w:rsid w:val="007503D7"/>
    <w:rsid w:val="00750BB8"/>
    <w:rsid w:val="0075419A"/>
    <w:rsid w:val="007562F1"/>
    <w:rsid w:val="0076039A"/>
    <w:rsid w:val="00762D48"/>
    <w:rsid w:val="00765CC5"/>
    <w:rsid w:val="00785106"/>
    <w:rsid w:val="007962C0"/>
    <w:rsid w:val="007B2562"/>
    <w:rsid w:val="007B3076"/>
    <w:rsid w:val="007B352F"/>
    <w:rsid w:val="007B5D52"/>
    <w:rsid w:val="007B7482"/>
    <w:rsid w:val="007C452B"/>
    <w:rsid w:val="007C735A"/>
    <w:rsid w:val="007D0C49"/>
    <w:rsid w:val="007D1DA7"/>
    <w:rsid w:val="007D3EAD"/>
    <w:rsid w:val="007D4F26"/>
    <w:rsid w:val="007D54C5"/>
    <w:rsid w:val="007D7B9A"/>
    <w:rsid w:val="007E1728"/>
    <w:rsid w:val="007F0E21"/>
    <w:rsid w:val="007F371D"/>
    <w:rsid w:val="007F70AE"/>
    <w:rsid w:val="00800E8D"/>
    <w:rsid w:val="00802CAF"/>
    <w:rsid w:val="00804A85"/>
    <w:rsid w:val="00804D1F"/>
    <w:rsid w:val="00822DCD"/>
    <w:rsid w:val="00825270"/>
    <w:rsid w:val="00847613"/>
    <w:rsid w:val="00851AA0"/>
    <w:rsid w:val="00857180"/>
    <w:rsid w:val="00860A0C"/>
    <w:rsid w:val="00861D57"/>
    <w:rsid w:val="00862B06"/>
    <w:rsid w:val="00865F01"/>
    <w:rsid w:val="0086739E"/>
    <w:rsid w:val="00867CA2"/>
    <w:rsid w:val="00870C96"/>
    <w:rsid w:val="00871146"/>
    <w:rsid w:val="00872FED"/>
    <w:rsid w:val="0087320E"/>
    <w:rsid w:val="00882D24"/>
    <w:rsid w:val="00890E3E"/>
    <w:rsid w:val="00891C66"/>
    <w:rsid w:val="008963D8"/>
    <w:rsid w:val="00897A8A"/>
    <w:rsid w:val="008A1D60"/>
    <w:rsid w:val="008A49DE"/>
    <w:rsid w:val="008A7FCD"/>
    <w:rsid w:val="008B0EA9"/>
    <w:rsid w:val="008B15F1"/>
    <w:rsid w:val="008B5C40"/>
    <w:rsid w:val="008C187D"/>
    <w:rsid w:val="008C21B2"/>
    <w:rsid w:val="008C7AA6"/>
    <w:rsid w:val="008C7B03"/>
    <w:rsid w:val="008D0EA6"/>
    <w:rsid w:val="008D225A"/>
    <w:rsid w:val="008D322E"/>
    <w:rsid w:val="008D408C"/>
    <w:rsid w:val="008D73DC"/>
    <w:rsid w:val="008E4FA0"/>
    <w:rsid w:val="008E5836"/>
    <w:rsid w:val="008F52FF"/>
    <w:rsid w:val="00901A66"/>
    <w:rsid w:val="009167E2"/>
    <w:rsid w:val="009220B4"/>
    <w:rsid w:val="00926D09"/>
    <w:rsid w:val="00930903"/>
    <w:rsid w:val="00930B54"/>
    <w:rsid w:val="00935FC1"/>
    <w:rsid w:val="0093623D"/>
    <w:rsid w:val="009407F3"/>
    <w:rsid w:val="00944629"/>
    <w:rsid w:val="00945F8F"/>
    <w:rsid w:val="00946517"/>
    <w:rsid w:val="00950637"/>
    <w:rsid w:val="009512A7"/>
    <w:rsid w:val="009757E7"/>
    <w:rsid w:val="00976034"/>
    <w:rsid w:val="00990DD4"/>
    <w:rsid w:val="009966BB"/>
    <w:rsid w:val="00996AEB"/>
    <w:rsid w:val="009A0F3A"/>
    <w:rsid w:val="009A4DE3"/>
    <w:rsid w:val="009A652C"/>
    <w:rsid w:val="009A6990"/>
    <w:rsid w:val="009A75DC"/>
    <w:rsid w:val="009B7196"/>
    <w:rsid w:val="009C44B8"/>
    <w:rsid w:val="009C4778"/>
    <w:rsid w:val="009C4CBD"/>
    <w:rsid w:val="009C5476"/>
    <w:rsid w:val="009D14AB"/>
    <w:rsid w:val="009D2BBB"/>
    <w:rsid w:val="009E1D95"/>
    <w:rsid w:val="009E2EE6"/>
    <w:rsid w:val="009E42B2"/>
    <w:rsid w:val="009F3C31"/>
    <w:rsid w:val="00A001E5"/>
    <w:rsid w:val="00A00C61"/>
    <w:rsid w:val="00A0549A"/>
    <w:rsid w:val="00A067B0"/>
    <w:rsid w:val="00A07F8F"/>
    <w:rsid w:val="00A10DB5"/>
    <w:rsid w:val="00A115EB"/>
    <w:rsid w:val="00A1209D"/>
    <w:rsid w:val="00A12746"/>
    <w:rsid w:val="00A22610"/>
    <w:rsid w:val="00A32DAA"/>
    <w:rsid w:val="00A3765F"/>
    <w:rsid w:val="00A44AA6"/>
    <w:rsid w:val="00A4615B"/>
    <w:rsid w:val="00A46D43"/>
    <w:rsid w:val="00A61012"/>
    <w:rsid w:val="00A62B37"/>
    <w:rsid w:val="00A65CDA"/>
    <w:rsid w:val="00A664FC"/>
    <w:rsid w:val="00A670B5"/>
    <w:rsid w:val="00A67CEA"/>
    <w:rsid w:val="00A72176"/>
    <w:rsid w:val="00A739BD"/>
    <w:rsid w:val="00A76A8E"/>
    <w:rsid w:val="00A916C6"/>
    <w:rsid w:val="00A955DA"/>
    <w:rsid w:val="00A95F24"/>
    <w:rsid w:val="00AB21CD"/>
    <w:rsid w:val="00AB56C1"/>
    <w:rsid w:val="00AC0A9A"/>
    <w:rsid w:val="00AC1121"/>
    <w:rsid w:val="00AC388F"/>
    <w:rsid w:val="00AC74B7"/>
    <w:rsid w:val="00AD4E54"/>
    <w:rsid w:val="00AD5077"/>
    <w:rsid w:val="00AD51C1"/>
    <w:rsid w:val="00AD6478"/>
    <w:rsid w:val="00AE2DA7"/>
    <w:rsid w:val="00AE5983"/>
    <w:rsid w:val="00AE5A21"/>
    <w:rsid w:val="00AF0A87"/>
    <w:rsid w:val="00AF490E"/>
    <w:rsid w:val="00AF4BB1"/>
    <w:rsid w:val="00AF5A8E"/>
    <w:rsid w:val="00AF637C"/>
    <w:rsid w:val="00AF6CA8"/>
    <w:rsid w:val="00B0122B"/>
    <w:rsid w:val="00B02610"/>
    <w:rsid w:val="00B16E96"/>
    <w:rsid w:val="00B20BC8"/>
    <w:rsid w:val="00B212A7"/>
    <w:rsid w:val="00B21A4F"/>
    <w:rsid w:val="00B24500"/>
    <w:rsid w:val="00B3190B"/>
    <w:rsid w:val="00B32A67"/>
    <w:rsid w:val="00B33A89"/>
    <w:rsid w:val="00B37A22"/>
    <w:rsid w:val="00B423A9"/>
    <w:rsid w:val="00B43343"/>
    <w:rsid w:val="00B47A7E"/>
    <w:rsid w:val="00B52FDC"/>
    <w:rsid w:val="00B57029"/>
    <w:rsid w:val="00B6073C"/>
    <w:rsid w:val="00B62925"/>
    <w:rsid w:val="00B63F8C"/>
    <w:rsid w:val="00B7060A"/>
    <w:rsid w:val="00B73B49"/>
    <w:rsid w:val="00B84504"/>
    <w:rsid w:val="00B84EA0"/>
    <w:rsid w:val="00B92A15"/>
    <w:rsid w:val="00BA287C"/>
    <w:rsid w:val="00BB0B47"/>
    <w:rsid w:val="00BB3EBF"/>
    <w:rsid w:val="00BC1DEB"/>
    <w:rsid w:val="00BD2797"/>
    <w:rsid w:val="00BD2C4F"/>
    <w:rsid w:val="00BE112C"/>
    <w:rsid w:val="00BE1A6C"/>
    <w:rsid w:val="00BE42F5"/>
    <w:rsid w:val="00BE47DF"/>
    <w:rsid w:val="00BE6743"/>
    <w:rsid w:val="00C00A97"/>
    <w:rsid w:val="00C0682C"/>
    <w:rsid w:val="00C11BAB"/>
    <w:rsid w:val="00C12198"/>
    <w:rsid w:val="00C151FE"/>
    <w:rsid w:val="00C16ECB"/>
    <w:rsid w:val="00C21BA4"/>
    <w:rsid w:val="00C22125"/>
    <w:rsid w:val="00C27669"/>
    <w:rsid w:val="00C30844"/>
    <w:rsid w:val="00C33912"/>
    <w:rsid w:val="00C3794A"/>
    <w:rsid w:val="00C44EA0"/>
    <w:rsid w:val="00C45F7C"/>
    <w:rsid w:val="00C4780D"/>
    <w:rsid w:val="00C53E20"/>
    <w:rsid w:val="00C572F1"/>
    <w:rsid w:val="00C75707"/>
    <w:rsid w:val="00C82556"/>
    <w:rsid w:val="00C84FBC"/>
    <w:rsid w:val="00C90206"/>
    <w:rsid w:val="00C90646"/>
    <w:rsid w:val="00C93A54"/>
    <w:rsid w:val="00C93D99"/>
    <w:rsid w:val="00CA60FA"/>
    <w:rsid w:val="00CA6376"/>
    <w:rsid w:val="00CB0014"/>
    <w:rsid w:val="00CB5332"/>
    <w:rsid w:val="00CC0635"/>
    <w:rsid w:val="00CC2F3F"/>
    <w:rsid w:val="00CC37BE"/>
    <w:rsid w:val="00CC7772"/>
    <w:rsid w:val="00CC7EE2"/>
    <w:rsid w:val="00CD11B4"/>
    <w:rsid w:val="00CD34BF"/>
    <w:rsid w:val="00CE1D7F"/>
    <w:rsid w:val="00CE423A"/>
    <w:rsid w:val="00CF16D6"/>
    <w:rsid w:val="00D01412"/>
    <w:rsid w:val="00D01F3F"/>
    <w:rsid w:val="00D10262"/>
    <w:rsid w:val="00D111C0"/>
    <w:rsid w:val="00D2298C"/>
    <w:rsid w:val="00D366C8"/>
    <w:rsid w:val="00D36C35"/>
    <w:rsid w:val="00D37B62"/>
    <w:rsid w:val="00D429DD"/>
    <w:rsid w:val="00D43C59"/>
    <w:rsid w:val="00D44213"/>
    <w:rsid w:val="00D54D98"/>
    <w:rsid w:val="00D55748"/>
    <w:rsid w:val="00D562A1"/>
    <w:rsid w:val="00D56868"/>
    <w:rsid w:val="00D61F1A"/>
    <w:rsid w:val="00D71BF6"/>
    <w:rsid w:val="00D73923"/>
    <w:rsid w:val="00D7549A"/>
    <w:rsid w:val="00D76110"/>
    <w:rsid w:val="00D82385"/>
    <w:rsid w:val="00D83111"/>
    <w:rsid w:val="00D83FCE"/>
    <w:rsid w:val="00D86C68"/>
    <w:rsid w:val="00D945FF"/>
    <w:rsid w:val="00D953DD"/>
    <w:rsid w:val="00D9612E"/>
    <w:rsid w:val="00DA55DB"/>
    <w:rsid w:val="00DA604E"/>
    <w:rsid w:val="00DA63DD"/>
    <w:rsid w:val="00DA6797"/>
    <w:rsid w:val="00DA685E"/>
    <w:rsid w:val="00DA781C"/>
    <w:rsid w:val="00DA7847"/>
    <w:rsid w:val="00DB44D9"/>
    <w:rsid w:val="00DB5441"/>
    <w:rsid w:val="00DB6553"/>
    <w:rsid w:val="00DC0A21"/>
    <w:rsid w:val="00DC10D8"/>
    <w:rsid w:val="00DC4ED6"/>
    <w:rsid w:val="00DD1011"/>
    <w:rsid w:val="00DD39C7"/>
    <w:rsid w:val="00DD7060"/>
    <w:rsid w:val="00DE0D2F"/>
    <w:rsid w:val="00DE60EB"/>
    <w:rsid w:val="00DE6A95"/>
    <w:rsid w:val="00DE7B07"/>
    <w:rsid w:val="00DF0064"/>
    <w:rsid w:val="00DF72DE"/>
    <w:rsid w:val="00E0037A"/>
    <w:rsid w:val="00E01639"/>
    <w:rsid w:val="00E03488"/>
    <w:rsid w:val="00E10EC1"/>
    <w:rsid w:val="00E14B91"/>
    <w:rsid w:val="00E26AEB"/>
    <w:rsid w:val="00E26B5F"/>
    <w:rsid w:val="00E31681"/>
    <w:rsid w:val="00E34CE2"/>
    <w:rsid w:val="00E41ECB"/>
    <w:rsid w:val="00E46FE8"/>
    <w:rsid w:val="00E53DAB"/>
    <w:rsid w:val="00E6015E"/>
    <w:rsid w:val="00E64327"/>
    <w:rsid w:val="00E65B0A"/>
    <w:rsid w:val="00E66D98"/>
    <w:rsid w:val="00E73D0A"/>
    <w:rsid w:val="00E7558E"/>
    <w:rsid w:val="00E77F0B"/>
    <w:rsid w:val="00E80414"/>
    <w:rsid w:val="00E81AEA"/>
    <w:rsid w:val="00E825B8"/>
    <w:rsid w:val="00E8492F"/>
    <w:rsid w:val="00E85509"/>
    <w:rsid w:val="00E901A5"/>
    <w:rsid w:val="00E93C1B"/>
    <w:rsid w:val="00EA1D20"/>
    <w:rsid w:val="00EA460F"/>
    <w:rsid w:val="00EB61E0"/>
    <w:rsid w:val="00EB7405"/>
    <w:rsid w:val="00ED025B"/>
    <w:rsid w:val="00ED3F6E"/>
    <w:rsid w:val="00ED7AA8"/>
    <w:rsid w:val="00EE0DAB"/>
    <w:rsid w:val="00EE2C90"/>
    <w:rsid w:val="00EE595E"/>
    <w:rsid w:val="00EE5AEF"/>
    <w:rsid w:val="00EF3990"/>
    <w:rsid w:val="00F000C1"/>
    <w:rsid w:val="00F0602D"/>
    <w:rsid w:val="00F07B11"/>
    <w:rsid w:val="00F10D07"/>
    <w:rsid w:val="00F10FB9"/>
    <w:rsid w:val="00F128E4"/>
    <w:rsid w:val="00F232F1"/>
    <w:rsid w:val="00F255E8"/>
    <w:rsid w:val="00F30A27"/>
    <w:rsid w:val="00F346C9"/>
    <w:rsid w:val="00F35205"/>
    <w:rsid w:val="00F353F4"/>
    <w:rsid w:val="00F37B64"/>
    <w:rsid w:val="00F40835"/>
    <w:rsid w:val="00F41E96"/>
    <w:rsid w:val="00F4415C"/>
    <w:rsid w:val="00F459BE"/>
    <w:rsid w:val="00F46924"/>
    <w:rsid w:val="00F50DAA"/>
    <w:rsid w:val="00F5153B"/>
    <w:rsid w:val="00F51980"/>
    <w:rsid w:val="00F5295A"/>
    <w:rsid w:val="00F52CE9"/>
    <w:rsid w:val="00F55484"/>
    <w:rsid w:val="00F6143D"/>
    <w:rsid w:val="00F61E34"/>
    <w:rsid w:val="00F62BBF"/>
    <w:rsid w:val="00F64052"/>
    <w:rsid w:val="00F6481E"/>
    <w:rsid w:val="00F6618A"/>
    <w:rsid w:val="00F70E09"/>
    <w:rsid w:val="00F75F0B"/>
    <w:rsid w:val="00F806A0"/>
    <w:rsid w:val="00F81B21"/>
    <w:rsid w:val="00F86339"/>
    <w:rsid w:val="00F9124C"/>
    <w:rsid w:val="00F91430"/>
    <w:rsid w:val="00FA29F1"/>
    <w:rsid w:val="00FA5541"/>
    <w:rsid w:val="00FA74C8"/>
    <w:rsid w:val="00FB5FA5"/>
    <w:rsid w:val="00FC087A"/>
    <w:rsid w:val="00FC2519"/>
    <w:rsid w:val="00FC5106"/>
    <w:rsid w:val="00FC55F4"/>
    <w:rsid w:val="00FC6519"/>
    <w:rsid w:val="00FD04CE"/>
    <w:rsid w:val="00FD63CA"/>
    <w:rsid w:val="00FD6527"/>
    <w:rsid w:val="00FD73C0"/>
    <w:rsid w:val="00FF2C84"/>
    <w:rsid w:val="00FF772D"/>
    <w:rsid w:val="26A01748"/>
    <w:rsid w:val="2A3912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8"/>
    <w:qFormat/>
    <w:uiPriority w:val="9"/>
    <w:pPr>
      <w:tabs>
        <w:tab w:val="left" w:pos="630"/>
        <w:tab w:val="left" w:pos="1274"/>
      </w:tabs>
      <w:snapToGrid w:val="0"/>
      <w:spacing w:beforeLines="100" w:afterLines="100"/>
      <w:jc w:val="both"/>
      <w:outlineLvl w:val="0"/>
    </w:pPr>
    <w:rPr>
      <w:b/>
      <w:bCs/>
      <w:sz w:val="36"/>
      <w:szCs w:val="36"/>
    </w:rPr>
  </w:style>
  <w:style w:type="paragraph" w:styleId="3">
    <w:name w:val="heading 2"/>
    <w:basedOn w:val="1"/>
    <w:next w:val="1"/>
    <w:link w:val="19"/>
    <w:unhideWhenUsed/>
    <w:qFormat/>
    <w:uiPriority w:val="9"/>
    <w:pPr>
      <w:tabs>
        <w:tab w:val="left" w:pos="1276"/>
      </w:tabs>
      <w:snapToGrid w:val="0"/>
      <w:spacing w:beforeLines="100" w:afterLines="100"/>
      <w:ind w:left="1273" w:leftChars="315" w:hanging="643" w:hangingChars="201"/>
      <w:jc w:val="both"/>
      <w:outlineLvl w:val="1"/>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style>
  <w:style w:type="paragraph" w:styleId="5">
    <w:name w:val="toc 3"/>
    <w:basedOn w:val="1"/>
    <w:next w:val="1"/>
    <w:semiHidden/>
    <w:unhideWhenUsed/>
    <w:qFormat/>
    <w:uiPriority w:val="39"/>
    <w:pPr>
      <w:overflowPunct w:val="0"/>
      <w:autoSpaceDE/>
      <w:autoSpaceDN/>
      <w:snapToGrid w:val="0"/>
      <w:ind w:left="400" w:leftChars="400"/>
      <w:jc w:val="both"/>
    </w:pPr>
    <w:rPr>
      <w:rFonts w:eastAsia="宋体"/>
      <w:sz w:val="24"/>
    </w:rPr>
  </w:style>
  <w:style w:type="paragraph" w:styleId="6">
    <w:name w:val="Balloon Text"/>
    <w:basedOn w:val="1"/>
    <w:link w:val="26"/>
    <w:semiHidden/>
    <w:unhideWhenUsed/>
    <w:uiPriority w:val="99"/>
    <w:rPr>
      <w:sz w:val="18"/>
      <w:szCs w:val="18"/>
    </w:rPr>
  </w:style>
  <w:style w:type="paragraph" w:styleId="7">
    <w:name w:val="footer"/>
    <w:basedOn w:val="1"/>
    <w:link w:val="22"/>
    <w:unhideWhenUsed/>
    <w:qFormat/>
    <w:uiPriority w:val="99"/>
    <w:pPr>
      <w:tabs>
        <w:tab w:val="center" w:pos="4153"/>
        <w:tab w:val="right" w:pos="8306"/>
      </w:tabs>
      <w:snapToGrid w:val="0"/>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left" w:pos="567"/>
        <w:tab w:val="right" w:leader="dot" w:pos="9354"/>
      </w:tabs>
      <w:overflowPunct w:val="0"/>
      <w:autoSpaceDE/>
      <w:autoSpaceDN/>
      <w:snapToGrid w:val="0"/>
      <w:spacing w:after="72" w:afterLines="30"/>
      <w:jc w:val="both"/>
    </w:pPr>
    <w:rPr>
      <w:rFonts w:eastAsia="宋体"/>
      <w:sz w:val="24"/>
    </w:rPr>
  </w:style>
  <w:style w:type="paragraph" w:styleId="10">
    <w:name w:val="footnote text"/>
    <w:basedOn w:val="1"/>
    <w:link w:val="20"/>
    <w:semiHidden/>
    <w:unhideWhenUsed/>
    <w:qFormat/>
    <w:uiPriority w:val="99"/>
    <w:pPr>
      <w:snapToGrid w:val="0"/>
    </w:pPr>
    <w:rPr>
      <w:sz w:val="18"/>
      <w:szCs w:val="18"/>
    </w:rPr>
  </w:style>
  <w:style w:type="paragraph" w:styleId="11">
    <w:name w:val="toc 2"/>
    <w:basedOn w:val="1"/>
    <w:next w:val="1"/>
    <w:unhideWhenUsed/>
    <w:uiPriority w:val="39"/>
    <w:pPr>
      <w:tabs>
        <w:tab w:val="left" w:pos="709"/>
        <w:tab w:val="right" w:leader="dot" w:pos="9354"/>
      </w:tabs>
      <w:overflowPunct w:val="0"/>
      <w:autoSpaceDE/>
      <w:autoSpaceDN/>
      <w:snapToGrid w:val="0"/>
      <w:ind w:left="77" w:leftChars="77"/>
      <w:jc w:val="both"/>
    </w:pPr>
    <w:rPr>
      <w:rFonts w:eastAsia="宋体"/>
      <w:sz w:val="24"/>
    </w:rPr>
  </w:style>
  <w:style w:type="paragraph" w:styleId="12">
    <w:name w:val="annotation subject"/>
    <w:basedOn w:val="4"/>
    <w:next w:val="4"/>
    <w:link w:val="25"/>
    <w:semiHidden/>
    <w:unhideWhenUsed/>
    <w:uiPriority w:val="99"/>
    <w:rPr>
      <w:b/>
      <w:bCs/>
    </w:rPr>
  </w:style>
  <w:style w:type="character" w:styleId="15">
    <w:name w:val="Hyperlink"/>
    <w:basedOn w:val="14"/>
    <w:unhideWhenUsed/>
    <w:qFormat/>
    <w:uiPriority w:val="99"/>
    <w:rPr>
      <w:color w:val="0563C1"/>
      <w:u w:val="single"/>
    </w:rPr>
  </w:style>
  <w:style w:type="character" w:styleId="16">
    <w:name w:val="annotation reference"/>
    <w:basedOn w:val="14"/>
    <w:semiHidden/>
    <w:unhideWhenUsed/>
    <w:uiPriority w:val="99"/>
    <w:rPr>
      <w:sz w:val="21"/>
      <w:szCs w:val="21"/>
    </w:rPr>
  </w:style>
  <w:style w:type="character" w:styleId="17">
    <w:name w:val="footnote reference"/>
    <w:basedOn w:val="14"/>
    <w:semiHidden/>
    <w:unhideWhenUsed/>
    <w:uiPriority w:val="99"/>
    <w:rPr>
      <w:rFonts w:cs="Times New Roman"/>
      <w:vertAlign w:val="superscript"/>
    </w:rPr>
  </w:style>
  <w:style w:type="character" w:customStyle="1" w:styleId="18">
    <w:name w:val="标题 1 字符"/>
    <w:basedOn w:val="14"/>
    <w:link w:val="2"/>
    <w:locked/>
    <w:uiPriority w:val="9"/>
    <w:rPr>
      <w:rFonts w:ascii="Times New Roman" w:hAnsi="Times New Roman" w:cs="Times New Roman"/>
      <w:b/>
      <w:bCs/>
      <w:kern w:val="0"/>
      <w:sz w:val="36"/>
      <w:szCs w:val="36"/>
    </w:rPr>
  </w:style>
  <w:style w:type="character" w:customStyle="1" w:styleId="19">
    <w:name w:val="标题 2 字符"/>
    <w:basedOn w:val="14"/>
    <w:link w:val="3"/>
    <w:qFormat/>
    <w:locked/>
    <w:uiPriority w:val="9"/>
    <w:rPr>
      <w:rFonts w:ascii="Times New Roman" w:hAnsi="Times New Roman" w:cs="Times New Roman"/>
      <w:b/>
      <w:bCs/>
      <w:kern w:val="0"/>
      <w:sz w:val="32"/>
      <w:szCs w:val="32"/>
    </w:rPr>
  </w:style>
  <w:style w:type="character" w:customStyle="1" w:styleId="20">
    <w:name w:val="脚注文本 字符"/>
    <w:basedOn w:val="14"/>
    <w:link w:val="10"/>
    <w:semiHidden/>
    <w:qFormat/>
    <w:locked/>
    <w:uiPriority w:val="99"/>
    <w:rPr>
      <w:rFonts w:ascii="Times New Roman" w:hAnsi="Times New Roman" w:cs="Times New Roman"/>
      <w:kern w:val="0"/>
      <w:sz w:val="18"/>
      <w:szCs w:val="18"/>
    </w:rPr>
  </w:style>
  <w:style w:type="character" w:customStyle="1" w:styleId="21">
    <w:name w:val="页眉 字符"/>
    <w:basedOn w:val="14"/>
    <w:link w:val="8"/>
    <w:locked/>
    <w:uiPriority w:val="99"/>
    <w:rPr>
      <w:rFonts w:ascii="Times New Roman" w:hAnsi="Times New Roman" w:cs="Times New Roman"/>
      <w:kern w:val="0"/>
      <w:sz w:val="18"/>
      <w:szCs w:val="18"/>
    </w:rPr>
  </w:style>
  <w:style w:type="character" w:customStyle="1" w:styleId="22">
    <w:name w:val="页脚 字符"/>
    <w:basedOn w:val="14"/>
    <w:link w:val="7"/>
    <w:locked/>
    <w:uiPriority w:val="99"/>
    <w:rPr>
      <w:rFonts w:ascii="Times New Roman" w:hAnsi="Times New Roman" w:cs="Times New Roman"/>
      <w:kern w:val="0"/>
      <w:sz w:val="18"/>
      <w:szCs w:val="18"/>
    </w:rPr>
  </w:style>
  <w:style w:type="paragraph" w:customStyle="1" w:styleId="23">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4">
    <w:name w:val="批注文字 字符"/>
    <w:basedOn w:val="14"/>
    <w:link w:val="4"/>
    <w:semiHidden/>
    <w:qFormat/>
    <w:uiPriority w:val="99"/>
    <w:rPr>
      <w:rFonts w:ascii="Times New Roman" w:hAnsi="Times New Roman"/>
      <w:kern w:val="0"/>
      <w:sz w:val="20"/>
      <w:szCs w:val="20"/>
    </w:rPr>
  </w:style>
  <w:style w:type="character" w:customStyle="1" w:styleId="25">
    <w:name w:val="批注主题 字符"/>
    <w:basedOn w:val="24"/>
    <w:link w:val="12"/>
    <w:semiHidden/>
    <w:qFormat/>
    <w:uiPriority w:val="99"/>
    <w:rPr>
      <w:rFonts w:ascii="Times New Roman" w:hAnsi="Times New Roman"/>
      <w:b/>
      <w:bCs/>
      <w:kern w:val="0"/>
      <w:sz w:val="20"/>
      <w:szCs w:val="20"/>
    </w:rPr>
  </w:style>
  <w:style w:type="character" w:customStyle="1" w:styleId="26">
    <w:name w:val="批注框文本 字符"/>
    <w:basedOn w:val="14"/>
    <w:link w:val="6"/>
    <w:semiHidden/>
    <w:qFormat/>
    <w:uiPriority w:val="99"/>
    <w:rPr>
      <w:rFonts w:ascii="Times New Roman" w:hAnsi="Times New Roman"/>
      <w:kern w:val="0"/>
      <w:sz w:val="18"/>
      <w:szCs w:val="18"/>
    </w:rPr>
  </w:style>
  <w:style w:type="paragraph" w:customStyle="1" w:styleId="27">
    <w:name w:val="Revision"/>
    <w:hidden/>
    <w:semiHidden/>
    <w:uiPriority w:val="99"/>
    <w:rPr>
      <w:rFonts w:ascii="Times New Roman" w:hAnsi="Times New Roman" w:cs="Times New Roman" w:eastAsiaTheme="minorEastAsia"/>
      <w:kern w:val="0"/>
      <w:sz w:val="20"/>
      <w:szCs w:val="20"/>
      <w:lang w:val="en-US" w:eastAsia="zh-CN" w:bidi="ar-SA"/>
    </w:rPr>
  </w:style>
  <w:style w:type="paragraph" w:styleId="28">
    <w:name w:val="List Paragraph"/>
    <w:basedOn w:val="1"/>
    <w:qFormat/>
    <w:uiPriority w:val="34"/>
    <w:pPr>
      <w:ind w:firstLine="420" w:firstLineChars="200"/>
    </w:pPr>
  </w:style>
  <w:style w:type="character" w:customStyle="1" w:styleId="29">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2FB7D-4CB5-4AAF-A9E7-56FCF6A74FB8}">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14931</Words>
  <Characters>17485</Characters>
  <Lines>293</Lines>
  <Paragraphs>82</Paragraphs>
  <TotalTime>103</TotalTime>
  <ScaleCrop>false</ScaleCrop>
  <LinksUpToDate>false</LinksUpToDate>
  <CharactersWithSpaces>17740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2022-03-21T11:13:00Z</dcterms:created>
  <dc:creator>ann</dc:creator>
  <cp:lastModifiedBy>太极箫客</cp:lastModifiedBy>
  <dcterms:modified xsi:type="dcterms:W3CDTF">2025-08-14T06:41:56Z</dcterms:modified>
  <dc:title>Guidance Coversheet - CDRH-CBER Level 1 FINAL</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033A8335D0204860A64AECCE2EA9E924</vt:lpwstr>
  </property>
  <property fmtid="{D5CDD505-2E9C-101B-9397-08002B2CF9AE}" pid="4" name="KSOTemplateDocerSaveRecord">
    <vt:lpwstr>eyJoZGlkIjoiMDJiMzI3ODBiNTFmMWRjNDUyMjM1ZmZjODY5NDc2MWMiLCJ1c2VySWQiOiI0NTQ4Nzg1NzAifQ==</vt:lpwstr>
  </property>
</Properties>
</file>