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B5C38">
      <w:pPr>
        <w:pBdr>
          <w:bottom w:val="single" w:color="auto" w:sz="4" w:space="1"/>
        </w:pBdr>
        <w:shd w:val="clear" w:color="auto" w:fill="FFFFFF"/>
        <w:topLinePunct/>
        <w:autoSpaceDE/>
        <w:autoSpaceDN/>
        <w:adjustRightInd/>
        <w:jc w:val="center"/>
        <w:rPr>
          <w:sz w:val="44"/>
          <w:szCs w:val="44"/>
        </w:rPr>
      </w:pPr>
      <w:bookmarkStart w:id="6" w:name="_GoBack"/>
      <w:bookmarkEnd w:id="6"/>
      <w:r>
        <w:rPr>
          <w:rFonts w:cs="宋体"/>
          <w:b/>
          <w:color w:val="000000"/>
          <w:sz w:val="44"/>
          <w:szCs w:val="44"/>
        </w:rPr>
        <w:t>医疗器械数据系统、医疗影像存储器械和</w:t>
      </w:r>
      <w:r>
        <w:rPr>
          <w:rFonts w:hint="eastAsia" w:cs="宋体"/>
          <w:b/>
          <w:color w:val="000000"/>
          <w:sz w:val="44"/>
          <w:szCs w:val="44"/>
        </w:rPr>
        <w:br w:type="textWrapping"/>
      </w:r>
      <w:r>
        <w:rPr>
          <w:rFonts w:cs="宋体"/>
          <w:b/>
          <w:color w:val="000000"/>
          <w:sz w:val="44"/>
          <w:szCs w:val="44"/>
        </w:rPr>
        <w:t>医疗影像通信器械</w:t>
      </w:r>
    </w:p>
    <w:p w14:paraId="44BDA5B0">
      <w:pPr>
        <w:shd w:val="clear" w:color="auto" w:fill="FFFFFF"/>
        <w:topLinePunct/>
        <w:autoSpaceDE/>
        <w:autoSpaceDN/>
        <w:adjustRightInd/>
        <w:jc w:val="center"/>
        <w:rPr>
          <w:b/>
          <w:bCs/>
          <w:color w:val="000000"/>
          <w:sz w:val="44"/>
          <w:szCs w:val="44"/>
        </w:rPr>
      </w:pPr>
      <w:r>
        <w:rPr>
          <w:rFonts w:cs="宋体"/>
          <w:b/>
          <w:color w:val="000000"/>
          <w:sz w:val="44"/>
          <w:szCs w:val="44"/>
        </w:rPr>
        <w:t>行业和美国食品药品监督管理局工作人员指南</w:t>
      </w:r>
    </w:p>
    <w:p w14:paraId="3A8A2682">
      <w:pPr>
        <w:shd w:val="clear" w:color="auto" w:fill="FFFFFF"/>
        <w:topLinePunct/>
        <w:autoSpaceDE/>
        <w:autoSpaceDN/>
        <w:adjustRightInd/>
        <w:jc w:val="both"/>
        <w:rPr>
          <w:sz w:val="24"/>
          <w:szCs w:val="24"/>
        </w:rPr>
      </w:pPr>
    </w:p>
    <w:p w14:paraId="60F40D56">
      <w:pPr>
        <w:shd w:val="clear" w:color="auto" w:fill="FFFFFF"/>
        <w:topLinePunct/>
        <w:autoSpaceDE/>
        <w:autoSpaceDN/>
        <w:adjustRightInd/>
        <w:jc w:val="center"/>
        <w:rPr>
          <w:b/>
          <w:bCs/>
          <w:color w:val="000000"/>
          <w:sz w:val="24"/>
          <w:szCs w:val="24"/>
        </w:rPr>
      </w:pPr>
      <w:r>
        <w:rPr>
          <w:rFonts w:cs="宋体"/>
          <w:b/>
          <w:color w:val="000000"/>
          <w:sz w:val="24"/>
          <w:szCs w:val="24"/>
        </w:rPr>
        <w:t>文件发布日期：2019年9月27日</w:t>
      </w:r>
    </w:p>
    <w:p w14:paraId="0DB07A5B">
      <w:pPr>
        <w:shd w:val="clear" w:color="auto" w:fill="FFFFFF"/>
        <w:topLinePunct/>
        <w:autoSpaceDE/>
        <w:autoSpaceDN/>
        <w:adjustRightInd/>
        <w:jc w:val="center"/>
        <w:rPr>
          <w:sz w:val="24"/>
          <w:szCs w:val="24"/>
        </w:rPr>
      </w:pPr>
    </w:p>
    <w:p w14:paraId="4652ADEE">
      <w:pPr>
        <w:shd w:val="clear" w:color="auto" w:fill="FFFFFF"/>
        <w:topLinePunct/>
        <w:autoSpaceDE/>
        <w:autoSpaceDN/>
        <w:adjustRightInd/>
        <w:jc w:val="center"/>
        <w:rPr>
          <w:b/>
          <w:bCs/>
          <w:color w:val="000000"/>
          <w:sz w:val="24"/>
          <w:szCs w:val="24"/>
        </w:rPr>
      </w:pPr>
      <w:r>
        <w:rPr>
          <w:rFonts w:cs="宋体"/>
          <w:b/>
          <w:color w:val="000000"/>
          <w:sz w:val="24"/>
          <w:szCs w:val="24"/>
        </w:rPr>
        <w:t>文件</w:t>
      </w:r>
      <w:r>
        <w:rPr>
          <w:rFonts w:hint="eastAsia" w:cs="宋体"/>
          <w:b/>
          <w:color w:val="000000"/>
          <w:sz w:val="24"/>
          <w:szCs w:val="24"/>
        </w:rPr>
        <w:t>初始发布</w:t>
      </w:r>
      <w:r>
        <w:rPr>
          <w:rFonts w:cs="宋体"/>
          <w:b/>
          <w:color w:val="000000"/>
          <w:sz w:val="24"/>
          <w:szCs w:val="24"/>
        </w:rPr>
        <w:t>日期：2015年2月9日</w:t>
      </w:r>
    </w:p>
    <w:p w14:paraId="6CE75821">
      <w:pPr>
        <w:shd w:val="clear" w:color="auto" w:fill="FFFFFF"/>
        <w:topLinePunct/>
        <w:autoSpaceDE/>
        <w:autoSpaceDN/>
        <w:adjustRightInd/>
        <w:jc w:val="center"/>
        <w:rPr>
          <w:sz w:val="24"/>
          <w:szCs w:val="24"/>
        </w:rPr>
      </w:pPr>
    </w:p>
    <w:p w14:paraId="022CCD92">
      <w:pPr>
        <w:shd w:val="clear" w:color="auto" w:fill="FFFFFF"/>
        <w:topLinePunct/>
        <w:autoSpaceDE/>
        <w:autoSpaceDN/>
        <w:adjustRightInd/>
        <w:ind w:firstLine="480" w:firstLineChars="200"/>
        <w:jc w:val="both"/>
        <w:rPr>
          <w:sz w:val="24"/>
          <w:szCs w:val="24"/>
        </w:rPr>
      </w:pPr>
      <w:r>
        <w:rPr>
          <w:rFonts w:cs="宋体"/>
          <w:color w:val="000000"/>
          <w:sz w:val="24"/>
          <w:szCs w:val="24"/>
        </w:rPr>
        <w:t>如对本文件有关CDRH监管器械的内容有任何疑问，请</w:t>
      </w:r>
      <w:r>
        <w:fldChar w:fldCharType="begin"/>
      </w:r>
      <w:r>
        <w:instrText xml:space="preserve"> HYPERLINK "mailto:发送电子邮件至digitalhealth@fda.hhs.gov" </w:instrText>
      </w:r>
      <w:r>
        <w:fldChar w:fldCharType="separate"/>
      </w:r>
      <w:r>
        <w:rPr>
          <w:rStyle w:val="13"/>
          <w:rFonts w:cs="宋体"/>
          <w:sz w:val="24"/>
          <w:szCs w:val="24"/>
        </w:rPr>
        <w:t>发送电子邮件至digitalhealth@fda.hhs.gov</w:t>
      </w:r>
      <w:r>
        <w:rPr>
          <w:rStyle w:val="13"/>
          <w:rFonts w:cs="宋体"/>
          <w:sz w:val="24"/>
          <w:szCs w:val="24"/>
        </w:rPr>
        <w:fldChar w:fldCharType="end"/>
      </w:r>
      <w:r>
        <w:rPr>
          <w:rStyle w:val="13"/>
          <w:rFonts w:cs="宋体"/>
          <w:sz w:val="24"/>
          <w:szCs w:val="24"/>
        </w:rPr>
        <w:t>联系</w:t>
      </w:r>
      <w:r>
        <w:rPr>
          <w:rFonts w:cs="宋体"/>
          <w:color w:val="000000"/>
          <w:sz w:val="24"/>
          <w:szCs w:val="24"/>
        </w:rPr>
        <w:t>数字</w:t>
      </w:r>
      <w:r>
        <w:rPr>
          <w:rFonts w:hint="eastAsia" w:cs="宋体"/>
          <w:color w:val="000000"/>
          <w:sz w:val="24"/>
          <w:szCs w:val="24"/>
        </w:rPr>
        <w:t>卫生</w:t>
      </w:r>
      <w:r>
        <w:rPr>
          <w:rFonts w:cs="宋体"/>
          <w:color w:val="000000"/>
          <w:sz w:val="24"/>
          <w:szCs w:val="24"/>
        </w:rPr>
        <w:t>部</w:t>
      </w:r>
      <w:r>
        <w:rPr>
          <w:rFonts w:hint="eastAsia" w:cs="宋体"/>
          <w:sz w:val="24"/>
          <w:szCs w:val="24"/>
        </w:rPr>
        <w:t>。</w:t>
      </w:r>
    </w:p>
    <w:p w14:paraId="64B4BAB2">
      <w:pPr>
        <w:shd w:val="clear" w:color="auto" w:fill="FFFFFF"/>
        <w:topLinePunct/>
        <w:autoSpaceDE/>
        <w:autoSpaceDN/>
        <w:adjustRightInd/>
        <w:ind w:firstLine="480" w:firstLineChars="200"/>
        <w:jc w:val="both"/>
        <w:rPr>
          <w:rFonts w:cs="宋体"/>
          <w:color w:val="000000"/>
          <w:sz w:val="24"/>
          <w:szCs w:val="24"/>
        </w:rPr>
      </w:pPr>
    </w:p>
    <w:p w14:paraId="0BD71CF4">
      <w:pPr>
        <w:shd w:val="clear" w:color="auto" w:fill="FFFFFF"/>
        <w:topLinePunct/>
        <w:autoSpaceDE/>
        <w:autoSpaceDN/>
        <w:adjustRightInd/>
        <w:ind w:firstLine="480" w:firstLineChars="200"/>
        <w:jc w:val="both"/>
        <w:rPr>
          <w:color w:val="000000"/>
          <w:sz w:val="24"/>
          <w:szCs w:val="24"/>
        </w:rPr>
      </w:pPr>
      <w:r>
        <w:rPr>
          <w:rFonts w:hint="eastAsia" w:cs="宋体"/>
          <w:color w:val="000000"/>
          <w:sz w:val="24"/>
          <w:szCs w:val="24"/>
        </w:rPr>
        <w:t>如对本文件有关</w:t>
      </w:r>
      <w:r>
        <w:rPr>
          <w:rFonts w:cs="宋体"/>
          <w:color w:val="000000"/>
          <w:sz w:val="24"/>
          <w:szCs w:val="24"/>
        </w:rPr>
        <w:t>CBER监管器械的</w:t>
      </w:r>
      <w:r>
        <w:rPr>
          <w:rFonts w:hint="eastAsia" w:cs="宋体"/>
          <w:color w:val="000000"/>
          <w:sz w:val="24"/>
          <w:szCs w:val="24"/>
        </w:rPr>
        <w:t>内容</w:t>
      </w:r>
      <w:r>
        <w:rPr>
          <w:rFonts w:cs="宋体"/>
          <w:color w:val="000000"/>
          <w:sz w:val="24"/>
          <w:szCs w:val="24"/>
        </w:rPr>
        <w:t>有任何</w:t>
      </w:r>
      <w:r>
        <w:rPr>
          <w:rFonts w:hint="eastAsia" w:cs="宋体"/>
          <w:color w:val="000000"/>
          <w:sz w:val="24"/>
          <w:szCs w:val="24"/>
        </w:rPr>
        <w:t>疑问</w:t>
      </w:r>
      <w:r>
        <w:rPr>
          <w:rFonts w:cs="宋体"/>
          <w:color w:val="000000"/>
          <w:sz w:val="24"/>
          <w:szCs w:val="24"/>
        </w:rPr>
        <w:t>，请致电1-800-835-4709或240-402-8010联系交流、外联和</w:t>
      </w:r>
      <w:r>
        <w:rPr>
          <w:rFonts w:hint="eastAsia" w:cs="宋体"/>
          <w:color w:val="000000"/>
          <w:sz w:val="24"/>
          <w:szCs w:val="24"/>
        </w:rPr>
        <w:t>发展</w:t>
      </w:r>
      <w:r>
        <w:rPr>
          <w:rFonts w:cs="宋体"/>
          <w:color w:val="000000"/>
          <w:sz w:val="24"/>
          <w:szCs w:val="24"/>
        </w:rPr>
        <w:t>办公室（OCOD）。</w:t>
      </w:r>
    </w:p>
    <w:p w14:paraId="567E77FC">
      <w:pPr>
        <w:shd w:val="clear" w:color="auto" w:fill="FFFFFF"/>
        <w:topLinePunct/>
        <w:autoSpaceDE/>
        <w:autoSpaceDN/>
        <w:adjustRightInd/>
        <w:jc w:val="both"/>
        <w:rPr>
          <w:sz w:val="24"/>
          <w:szCs w:val="24"/>
        </w:rPr>
      </w:pPr>
    </w:p>
    <w:p w14:paraId="4CCDE9FC">
      <w:pPr>
        <w:shd w:val="clear" w:color="auto" w:fill="FFFFFF"/>
        <w:topLinePunct/>
        <w:autoSpaceDE/>
        <w:autoSpaceDN/>
        <w:adjustRightInd/>
        <w:jc w:val="both"/>
        <w:rPr>
          <w:sz w:val="24"/>
          <w:szCs w:val="24"/>
        </w:rPr>
      </w:pPr>
    </w:p>
    <w:p w14:paraId="1296453C">
      <w:pPr>
        <w:shd w:val="clear" w:color="auto" w:fill="FFFFFF"/>
        <w:topLinePunct/>
        <w:autoSpaceDE/>
        <w:autoSpaceDN/>
        <w:adjustRightInd/>
        <w:jc w:val="both"/>
        <w:rPr>
          <w:sz w:val="24"/>
          <w:szCs w:val="24"/>
        </w:rPr>
      </w:pPr>
    </w:p>
    <w:p w14:paraId="29EADCB9">
      <w:pPr>
        <w:shd w:val="clear" w:color="auto" w:fill="FFFFFF"/>
        <w:topLinePunct/>
        <w:autoSpaceDE/>
        <w:autoSpaceDN/>
        <w:adjustRightInd/>
        <w:jc w:val="both"/>
        <w:rPr>
          <w:sz w:val="24"/>
          <w:szCs w:val="24"/>
        </w:rPr>
      </w:pPr>
    </w:p>
    <w:p w14:paraId="32227B73">
      <w:pPr>
        <w:shd w:val="clear" w:color="auto" w:fill="FFFFFF"/>
        <w:topLinePunct/>
        <w:autoSpaceDE/>
        <w:autoSpaceDN/>
        <w:adjustRightInd/>
        <w:jc w:val="both"/>
        <w:rPr>
          <w:sz w:val="24"/>
          <w:szCs w:val="24"/>
        </w:rPr>
      </w:pPr>
    </w:p>
    <w:p w14:paraId="6FE6C73C">
      <w:pPr>
        <w:shd w:val="clear" w:color="auto" w:fill="FFFFFF"/>
        <w:topLinePunct/>
        <w:autoSpaceDE/>
        <w:autoSpaceDN/>
        <w:adjustRightInd/>
        <w:jc w:val="both"/>
        <w:rPr>
          <w:sz w:val="24"/>
          <w:szCs w:val="24"/>
        </w:rPr>
      </w:pPr>
    </w:p>
    <w:p w14:paraId="03764E8C">
      <w:pPr>
        <w:shd w:val="clear" w:color="auto" w:fill="FFFFFF"/>
        <w:topLinePunct/>
        <w:autoSpaceDE/>
        <w:autoSpaceDN/>
        <w:adjustRightInd/>
        <w:jc w:val="both"/>
        <w:rPr>
          <w:sz w:val="24"/>
          <w:szCs w:val="24"/>
        </w:rPr>
      </w:pPr>
    </w:p>
    <w:p w14:paraId="6CB00D2D">
      <w:pPr>
        <w:shd w:val="clear" w:color="auto" w:fill="FFFFFF"/>
        <w:topLinePunct/>
        <w:autoSpaceDE/>
        <w:autoSpaceDN/>
        <w:adjustRightInd/>
        <w:jc w:val="both"/>
        <w:rPr>
          <w:sz w:val="24"/>
          <w:szCs w:val="24"/>
        </w:rPr>
      </w:pPr>
    </w:p>
    <w:tbl>
      <w:tblPr>
        <w:tblStyle w:val="10"/>
        <w:tblW w:w="0" w:type="auto"/>
        <w:tblInd w:w="0" w:type="dxa"/>
        <w:tblLayout w:type="fixed"/>
        <w:tblCellMar>
          <w:top w:w="0" w:type="dxa"/>
          <w:left w:w="108" w:type="dxa"/>
          <w:bottom w:w="0" w:type="dxa"/>
          <w:right w:w="108" w:type="dxa"/>
        </w:tblCellMar>
      </w:tblPr>
      <w:tblGrid>
        <w:gridCol w:w="4644"/>
        <w:gridCol w:w="4645"/>
      </w:tblGrid>
      <w:tr w14:paraId="50C7E6DF">
        <w:tblPrEx>
          <w:tblCellMar>
            <w:top w:w="0" w:type="dxa"/>
            <w:left w:w="108" w:type="dxa"/>
            <w:bottom w:w="0" w:type="dxa"/>
            <w:right w:w="108" w:type="dxa"/>
          </w:tblCellMar>
        </w:tblPrEx>
        <w:tc>
          <w:tcPr>
            <w:tcW w:w="4644" w:type="dxa"/>
            <w:shd w:val="clear" w:color="auto" w:fill="auto"/>
          </w:tcPr>
          <w:p w14:paraId="38F659A8">
            <w:pPr>
              <w:topLinePunct/>
              <w:autoSpaceDE/>
              <w:autoSpaceDN/>
              <w:adjustRightInd/>
              <w:jc w:val="both"/>
              <w:rPr>
                <w:sz w:val="21"/>
                <w:szCs w:val="21"/>
              </w:rPr>
            </w:pPr>
            <w:r>
              <w:rPr>
                <w:rFonts w:cs="宋体"/>
                <w:sz w:val="21"/>
                <w:szCs w:val="21"/>
              </w:rPr>
              <w:drawing>
                <wp:inline distT="0" distB="0" distL="0" distR="0">
                  <wp:extent cx="2802890" cy="6235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802890" cy="623570"/>
                          </a:xfrm>
                          <a:prstGeom prst="rect">
                            <a:avLst/>
                          </a:prstGeom>
                          <a:noFill/>
                          <a:ln>
                            <a:noFill/>
                          </a:ln>
                        </pic:spPr>
                      </pic:pic>
                    </a:graphicData>
                  </a:graphic>
                </wp:inline>
              </w:drawing>
            </w:r>
          </w:p>
        </w:tc>
        <w:tc>
          <w:tcPr>
            <w:tcW w:w="4645" w:type="dxa"/>
            <w:shd w:val="clear" w:color="auto" w:fill="auto"/>
          </w:tcPr>
          <w:p w14:paraId="5DDA417E">
            <w:pPr>
              <w:shd w:val="clear" w:color="auto" w:fill="FFFFFF"/>
              <w:topLinePunct/>
              <w:autoSpaceDE/>
              <w:autoSpaceDN/>
              <w:adjustRightInd/>
              <w:jc w:val="right"/>
              <w:rPr>
                <w:sz w:val="21"/>
                <w:szCs w:val="21"/>
              </w:rPr>
            </w:pPr>
            <w:r>
              <w:rPr>
                <w:rFonts w:cs="宋体"/>
                <w:b/>
                <w:color w:val="000000"/>
                <w:sz w:val="21"/>
                <w:szCs w:val="21"/>
              </w:rPr>
              <w:t>美国卫生与公共服务部</w:t>
            </w:r>
          </w:p>
          <w:p w14:paraId="190F7935">
            <w:pPr>
              <w:shd w:val="clear" w:color="auto" w:fill="FFFFFF"/>
              <w:topLinePunct/>
              <w:autoSpaceDE/>
              <w:autoSpaceDN/>
              <w:adjustRightInd/>
              <w:jc w:val="right"/>
              <w:rPr>
                <w:sz w:val="21"/>
                <w:szCs w:val="21"/>
              </w:rPr>
            </w:pPr>
            <w:r>
              <w:rPr>
                <w:rFonts w:cs="宋体"/>
                <w:b/>
                <w:color w:val="000000"/>
                <w:sz w:val="21"/>
                <w:szCs w:val="21"/>
              </w:rPr>
              <w:t>美国食品药品监督管理局</w:t>
            </w:r>
          </w:p>
          <w:p w14:paraId="01A9B874">
            <w:pPr>
              <w:shd w:val="clear" w:color="auto" w:fill="FFFFFF"/>
              <w:topLinePunct/>
              <w:autoSpaceDE/>
              <w:autoSpaceDN/>
              <w:adjustRightInd/>
              <w:jc w:val="right"/>
              <w:rPr>
                <w:sz w:val="21"/>
                <w:szCs w:val="21"/>
              </w:rPr>
            </w:pPr>
            <w:r>
              <w:rPr>
                <w:rFonts w:cs="宋体"/>
                <w:b/>
                <w:color w:val="000000"/>
                <w:sz w:val="21"/>
                <w:szCs w:val="21"/>
              </w:rPr>
              <w:t>医疗器械和辐射健康中心</w:t>
            </w:r>
          </w:p>
          <w:p w14:paraId="6715F794">
            <w:pPr>
              <w:shd w:val="clear" w:color="auto" w:fill="FFFFFF"/>
              <w:topLinePunct/>
              <w:autoSpaceDE/>
              <w:autoSpaceDN/>
              <w:adjustRightInd/>
              <w:jc w:val="right"/>
              <w:rPr>
                <w:sz w:val="21"/>
                <w:szCs w:val="21"/>
              </w:rPr>
            </w:pPr>
            <w:r>
              <w:rPr>
                <w:rFonts w:cs="宋体"/>
                <w:b/>
                <w:color w:val="000000"/>
                <w:sz w:val="21"/>
                <w:szCs w:val="21"/>
              </w:rPr>
              <w:t>生物制品评价与研究中心</w:t>
            </w:r>
          </w:p>
        </w:tc>
      </w:tr>
    </w:tbl>
    <w:p w14:paraId="1FF0D2DA">
      <w:pPr>
        <w:shd w:val="clear" w:color="auto" w:fill="FFFFFF"/>
        <w:topLinePunct/>
        <w:autoSpaceDE/>
        <w:autoSpaceDN/>
        <w:adjustRightInd/>
        <w:jc w:val="both"/>
        <w:rPr>
          <w:sz w:val="24"/>
          <w:szCs w:val="24"/>
        </w:rPr>
      </w:pPr>
    </w:p>
    <w:p w14:paraId="74D5C6DD">
      <w:pPr>
        <w:widowControl/>
        <w:autoSpaceDE/>
        <w:autoSpaceDN/>
        <w:adjustRightInd/>
        <w:rPr>
          <w:sz w:val="24"/>
          <w:szCs w:val="24"/>
        </w:rPr>
      </w:pPr>
      <w:r>
        <w:rPr>
          <w:rFonts w:cs="宋体"/>
          <w:sz w:val="24"/>
          <w:szCs w:val="24"/>
        </w:rPr>
        <w:br w:type="page"/>
      </w:r>
    </w:p>
    <w:p w14:paraId="483B0C0A">
      <w:pPr>
        <w:shd w:val="clear" w:color="auto" w:fill="FFFFFF"/>
        <w:topLinePunct/>
        <w:autoSpaceDE/>
        <w:autoSpaceDN/>
        <w:adjustRightInd/>
        <w:jc w:val="center"/>
        <w:rPr>
          <w:sz w:val="36"/>
          <w:szCs w:val="36"/>
        </w:rPr>
      </w:pPr>
      <w:r>
        <w:rPr>
          <w:rFonts w:cs="宋体"/>
          <w:b/>
          <w:color w:val="000000"/>
          <w:sz w:val="36"/>
          <w:szCs w:val="36"/>
        </w:rPr>
        <w:t>前言</w:t>
      </w:r>
    </w:p>
    <w:p w14:paraId="1C49A9EF">
      <w:pPr>
        <w:shd w:val="clear" w:color="auto" w:fill="FFFFFF"/>
        <w:topLinePunct/>
        <w:autoSpaceDE/>
        <w:autoSpaceDN/>
        <w:adjustRightInd/>
        <w:jc w:val="both"/>
        <w:rPr>
          <w:sz w:val="32"/>
          <w:szCs w:val="32"/>
        </w:rPr>
      </w:pPr>
      <w:r>
        <w:rPr>
          <w:rFonts w:cs="宋体"/>
          <w:b/>
          <w:color w:val="000000"/>
          <w:sz w:val="32"/>
          <w:szCs w:val="32"/>
        </w:rPr>
        <w:t>公众意见</w:t>
      </w:r>
    </w:p>
    <w:p w14:paraId="081D8B57">
      <w:pPr>
        <w:autoSpaceDE/>
        <w:autoSpaceDN/>
        <w:adjustRightInd/>
        <w:snapToGrid w:val="0"/>
        <w:ind w:firstLine="480" w:firstLineChars="200"/>
        <w:jc w:val="both"/>
        <w:rPr>
          <w:rFonts w:cs="宋体"/>
          <w:color w:val="000000"/>
          <w:sz w:val="24"/>
          <w:szCs w:val="24"/>
        </w:rPr>
      </w:pPr>
      <w:r>
        <w:rPr>
          <w:rFonts w:cs="宋体"/>
          <w:sz w:val="24"/>
          <w:szCs w:val="24"/>
          <w:lang w:eastAsia="en-US"/>
        </w:rPr>
        <w:t>电子版意见和建议可随时提交至</w:t>
      </w:r>
      <w:r>
        <w:fldChar w:fldCharType="begin"/>
      </w:r>
      <w:r>
        <w:instrText xml:space="preserve"> HYPERLINK "https://www.regulations.gov/" \h </w:instrText>
      </w:r>
      <w:r>
        <w:fldChar w:fldCharType="separate"/>
      </w:r>
      <w:r>
        <w:rPr>
          <w:rFonts w:cs="宋体"/>
          <w:color w:val="0000FF"/>
          <w:sz w:val="24"/>
          <w:szCs w:val="24"/>
          <w:u w:val="single" w:color="0000FF"/>
          <w:lang w:eastAsia="en-US"/>
        </w:rPr>
        <w:t>http://www.regulations.gov</w:t>
      </w:r>
      <w:r>
        <w:rPr>
          <w:rFonts w:cs="宋体"/>
          <w:color w:val="0000FF"/>
          <w:sz w:val="24"/>
          <w:szCs w:val="24"/>
          <w:u w:val="single" w:color="0000FF"/>
          <w:lang w:eastAsia="en-US"/>
        </w:rPr>
        <w:fldChar w:fldCharType="end"/>
      </w:r>
      <w:r>
        <w:rPr>
          <w:rFonts w:cs="宋体"/>
          <w:sz w:val="24"/>
          <w:szCs w:val="24"/>
          <w:lang w:eastAsia="en-US"/>
        </w:rPr>
        <w:t>，供FDA审议。</w:t>
      </w:r>
      <w:r>
        <w:rPr>
          <w:rFonts w:cs="宋体"/>
          <w:color w:val="000000"/>
          <w:sz w:val="24"/>
          <w:szCs w:val="24"/>
          <w:lang w:eastAsia="en-US"/>
        </w:rPr>
        <w:t>可将书面意见提交至：美国食品药品监督管理局备案文件管理部，地址为5630 Fishers Lane, Room 1061, (HFA-305), Rockville, MD 20852。</w:t>
      </w:r>
    </w:p>
    <w:p w14:paraId="1D4ADF5C">
      <w:pPr>
        <w:autoSpaceDE/>
        <w:autoSpaceDN/>
        <w:adjustRightInd/>
        <w:snapToGrid w:val="0"/>
        <w:ind w:firstLine="480" w:firstLineChars="200"/>
        <w:jc w:val="both"/>
        <w:rPr>
          <w:rFonts w:cs="宋体"/>
          <w:color w:val="000000"/>
          <w:sz w:val="24"/>
          <w:szCs w:val="24"/>
        </w:rPr>
      </w:pPr>
    </w:p>
    <w:p w14:paraId="49A979A0">
      <w:pPr>
        <w:autoSpaceDE/>
        <w:autoSpaceDN/>
        <w:adjustRightInd/>
        <w:snapToGrid w:val="0"/>
        <w:ind w:firstLine="480" w:firstLineChars="200"/>
        <w:jc w:val="both"/>
        <w:rPr>
          <w:rFonts w:cs="宋体"/>
          <w:color w:val="000000"/>
          <w:sz w:val="24"/>
          <w:szCs w:val="24"/>
        </w:rPr>
      </w:pPr>
      <w:r>
        <w:rPr>
          <w:rFonts w:cs="宋体"/>
          <w:color w:val="000000"/>
          <w:sz w:val="24"/>
          <w:szCs w:val="24"/>
        </w:rPr>
        <w:t>所有意见或建议均应注明备案文件编号FDA-201</w:t>
      </w:r>
      <w:r>
        <w:rPr>
          <w:rFonts w:hint="eastAsia" w:cs="宋体"/>
          <w:color w:val="000000"/>
          <w:sz w:val="24"/>
          <w:szCs w:val="24"/>
        </w:rPr>
        <w:t>4</w:t>
      </w:r>
      <w:r>
        <w:rPr>
          <w:rFonts w:cs="宋体"/>
          <w:color w:val="000000"/>
          <w:sz w:val="24"/>
          <w:szCs w:val="24"/>
        </w:rPr>
        <w:t>-D-</w:t>
      </w:r>
      <w:r>
        <w:rPr>
          <w:rFonts w:hint="eastAsia" w:cs="宋体"/>
          <w:color w:val="000000"/>
          <w:sz w:val="24"/>
          <w:szCs w:val="24"/>
        </w:rPr>
        <w:t>0798</w:t>
      </w:r>
      <w:r>
        <w:rPr>
          <w:rFonts w:cs="宋体"/>
          <w:color w:val="000000"/>
          <w:sz w:val="24"/>
          <w:szCs w:val="24"/>
        </w:rPr>
        <w:t>。下次修订或更新本文件时，FDA将考虑实施该意见。</w:t>
      </w:r>
    </w:p>
    <w:p w14:paraId="6057A467">
      <w:pPr>
        <w:autoSpaceDE/>
        <w:autoSpaceDN/>
        <w:adjustRightInd/>
        <w:snapToGrid w:val="0"/>
        <w:jc w:val="both"/>
        <w:rPr>
          <w:sz w:val="24"/>
          <w:szCs w:val="24"/>
        </w:rPr>
      </w:pPr>
    </w:p>
    <w:p w14:paraId="3C370FBD">
      <w:pPr>
        <w:shd w:val="clear" w:color="auto" w:fill="FFFFFF"/>
        <w:topLinePunct/>
        <w:autoSpaceDE/>
        <w:autoSpaceDN/>
        <w:adjustRightInd/>
        <w:jc w:val="both"/>
        <w:rPr>
          <w:sz w:val="32"/>
          <w:szCs w:val="32"/>
        </w:rPr>
      </w:pPr>
      <w:r>
        <w:rPr>
          <w:rFonts w:cs="宋体"/>
          <w:b/>
          <w:color w:val="000000"/>
          <w:sz w:val="32"/>
          <w:szCs w:val="32"/>
        </w:rPr>
        <w:t>更多副本</w:t>
      </w:r>
    </w:p>
    <w:p w14:paraId="5C677B07">
      <w:pPr>
        <w:shd w:val="clear" w:color="auto" w:fill="FFFFFF"/>
        <w:topLinePunct/>
        <w:autoSpaceDE/>
        <w:autoSpaceDN/>
        <w:adjustRightInd/>
        <w:jc w:val="both"/>
        <w:rPr>
          <w:rFonts w:cs="宋体"/>
          <w:b/>
          <w:color w:val="000000"/>
          <w:sz w:val="24"/>
          <w:szCs w:val="24"/>
        </w:rPr>
      </w:pPr>
    </w:p>
    <w:p w14:paraId="276396A9">
      <w:pPr>
        <w:shd w:val="clear" w:color="auto" w:fill="FFFFFF"/>
        <w:topLinePunct/>
        <w:autoSpaceDE/>
        <w:autoSpaceDN/>
        <w:adjustRightInd/>
        <w:jc w:val="both"/>
        <w:rPr>
          <w:sz w:val="24"/>
          <w:szCs w:val="24"/>
        </w:rPr>
      </w:pPr>
      <w:r>
        <w:rPr>
          <w:rFonts w:cs="宋体"/>
          <w:b/>
          <w:color w:val="000000"/>
          <w:sz w:val="24"/>
          <w:szCs w:val="24"/>
        </w:rPr>
        <w:t>CDRH</w:t>
      </w:r>
    </w:p>
    <w:p w14:paraId="3297926F">
      <w:pPr>
        <w:shd w:val="clear" w:color="auto" w:fill="FFFFFF"/>
        <w:topLinePunct/>
        <w:autoSpaceDE/>
        <w:autoSpaceDN/>
        <w:adjustRightInd/>
        <w:ind w:firstLine="480" w:firstLineChars="200"/>
        <w:jc w:val="both"/>
        <w:rPr>
          <w:sz w:val="24"/>
          <w:szCs w:val="24"/>
        </w:rPr>
      </w:pPr>
      <w:r>
        <w:rPr>
          <w:rFonts w:cs="宋体"/>
          <w:color w:val="000000"/>
          <w:sz w:val="24"/>
          <w:szCs w:val="24"/>
        </w:rPr>
        <w:t>更多副本可通过互联网</w:t>
      </w:r>
      <w:r>
        <w:rPr>
          <w:rFonts w:hint="eastAsia" w:cs="宋体"/>
          <w:color w:val="000000"/>
          <w:sz w:val="24"/>
          <w:szCs w:val="24"/>
        </w:rPr>
        <w:t>获取</w:t>
      </w:r>
      <w:r>
        <w:rPr>
          <w:rFonts w:cs="宋体"/>
          <w:color w:val="000000"/>
          <w:sz w:val="24"/>
          <w:szCs w:val="24"/>
        </w:rPr>
        <w:t>。</w:t>
      </w:r>
      <w:r>
        <w:rPr>
          <w:rFonts w:cs="宋体"/>
          <w:sz w:val="24"/>
          <w:szCs w:val="24"/>
        </w:rPr>
        <w:t>您也可以通过电子邮件发送请求至</w:t>
      </w:r>
      <w:r>
        <w:rPr>
          <w:rFonts w:cs="宋体"/>
          <w:color w:val="3333FF"/>
          <w:sz w:val="24"/>
          <w:szCs w:val="24"/>
          <w:u w:val="single"/>
        </w:rPr>
        <w:t>CDRH-Guidance@fda.hhs.gov</w:t>
      </w:r>
      <w:r>
        <w:rPr>
          <w:rFonts w:cs="宋体"/>
          <w:sz w:val="24"/>
          <w:szCs w:val="24"/>
        </w:rPr>
        <w:t>获取本指南的副本。</w:t>
      </w:r>
      <w:r>
        <w:rPr>
          <w:rFonts w:cs="宋体"/>
          <w:color w:val="000000"/>
          <w:sz w:val="24"/>
          <w:szCs w:val="24"/>
        </w:rPr>
        <w:t>请在请求中注明1400021号文件和指南的完整标题。</w:t>
      </w:r>
    </w:p>
    <w:p w14:paraId="08E794A3">
      <w:pPr>
        <w:shd w:val="clear" w:color="auto" w:fill="FFFFFF"/>
        <w:topLinePunct/>
        <w:autoSpaceDE/>
        <w:autoSpaceDN/>
        <w:adjustRightInd/>
        <w:jc w:val="both"/>
        <w:rPr>
          <w:rFonts w:cs="宋体"/>
          <w:b/>
          <w:color w:val="000000"/>
          <w:sz w:val="24"/>
          <w:szCs w:val="24"/>
        </w:rPr>
      </w:pPr>
    </w:p>
    <w:p w14:paraId="7BD97946">
      <w:pPr>
        <w:shd w:val="clear" w:color="auto" w:fill="FFFFFF"/>
        <w:topLinePunct/>
        <w:autoSpaceDE/>
        <w:autoSpaceDN/>
        <w:adjustRightInd/>
        <w:jc w:val="both"/>
        <w:rPr>
          <w:b/>
          <w:bCs/>
          <w:color w:val="000000"/>
          <w:sz w:val="24"/>
          <w:szCs w:val="24"/>
        </w:rPr>
      </w:pPr>
      <w:r>
        <w:rPr>
          <w:rFonts w:cs="宋体"/>
          <w:b/>
          <w:color w:val="000000"/>
          <w:sz w:val="24"/>
          <w:szCs w:val="24"/>
        </w:rPr>
        <w:t>CBER</w:t>
      </w:r>
    </w:p>
    <w:p w14:paraId="610E612C">
      <w:pPr>
        <w:shd w:val="clear" w:color="auto" w:fill="FFFFFF"/>
        <w:topLinePunct/>
        <w:autoSpaceDE/>
        <w:autoSpaceDN/>
        <w:adjustRightInd/>
        <w:ind w:firstLine="480" w:firstLineChars="200"/>
        <w:jc w:val="both"/>
        <w:rPr>
          <w:sz w:val="24"/>
          <w:szCs w:val="24"/>
        </w:rPr>
      </w:pPr>
      <w:r>
        <w:rPr>
          <w:rFonts w:hint="eastAsia" w:cs="宋体"/>
          <w:color w:val="000000"/>
          <w:sz w:val="24"/>
          <w:szCs w:val="24"/>
        </w:rPr>
        <w:t>更多副本</w:t>
      </w:r>
      <w:r>
        <w:rPr>
          <w:rFonts w:cs="宋体"/>
          <w:sz w:val="24"/>
          <w:szCs w:val="24"/>
        </w:rPr>
        <w:t>可通过以下</w:t>
      </w:r>
      <w:r>
        <w:rPr>
          <w:rFonts w:cs="宋体"/>
          <w:color w:val="000000"/>
          <w:sz w:val="24"/>
          <w:szCs w:val="24"/>
        </w:rPr>
        <w:t>途径</w:t>
      </w:r>
      <w:r>
        <w:rPr>
          <w:rFonts w:cs="宋体"/>
          <w:sz w:val="24"/>
          <w:szCs w:val="24"/>
        </w:rPr>
        <w:t>获取：寄送信函至</w:t>
      </w:r>
      <w:r>
        <w:rPr>
          <w:rFonts w:hint="eastAsia" w:cs="宋体"/>
          <w:sz w:val="24"/>
          <w:szCs w:val="24"/>
        </w:rPr>
        <w:t>：</w:t>
      </w:r>
      <w:r>
        <w:rPr>
          <w:rFonts w:cs="宋体"/>
          <w:sz w:val="24"/>
          <w:szCs w:val="24"/>
        </w:rPr>
        <w:t>生物制品评价与研究中心（CBER）</w:t>
      </w:r>
      <w:r>
        <w:rPr>
          <w:rFonts w:hint="eastAsia" w:cs="宋体"/>
          <w:sz w:val="24"/>
          <w:szCs w:val="24"/>
        </w:rPr>
        <w:t>、</w:t>
      </w:r>
      <w:r>
        <w:rPr>
          <w:rFonts w:cs="宋体"/>
          <w:color w:val="000000"/>
          <w:sz w:val="24"/>
          <w:szCs w:val="24"/>
        </w:rPr>
        <w:t>交流、外联和</w:t>
      </w:r>
      <w:r>
        <w:rPr>
          <w:rFonts w:hint="eastAsia" w:cs="宋体"/>
          <w:color w:val="000000"/>
          <w:sz w:val="24"/>
          <w:szCs w:val="24"/>
        </w:rPr>
        <w:t>发展</w:t>
      </w:r>
      <w:r>
        <w:rPr>
          <w:rFonts w:cs="宋体"/>
          <w:color w:val="000000"/>
          <w:sz w:val="24"/>
          <w:szCs w:val="24"/>
        </w:rPr>
        <w:t>办公室（OCOD）地址</w:t>
      </w:r>
      <w:r>
        <w:rPr>
          <w:rFonts w:hint="eastAsia" w:cs="宋体"/>
          <w:color w:val="000000"/>
          <w:sz w:val="24"/>
          <w:szCs w:val="24"/>
        </w:rPr>
        <w:t>：</w:t>
      </w:r>
      <w:r>
        <w:rPr>
          <w:rFonts w:cs="宋体"/>
          <w:sz w:val="24"/>
          <w:szCs w:val="24"/>
        </w:rPr>
        <w:t>10903 New Hampshire Ave., WO71, Room 3128, Silver Spring, MD 20903；或</w:t>
      </w:r>
      <w:r>
        <w:rPr>
          <w:rFonts w:hint="eastAsia" w:cs="宋体"/>
          <w:sz w:val="24"/>
          <w:szCs w:val="24"/>
        </w:rPr>
        <w:t>致电：</w:t>
      </w:r>
      <w:r>
        <w:rPr>
          <w:rFonts w:cs="宋体"/>
          <w:sz w:val="24"/>
          <w:szCs w:val="24"/>
        </w:rPr>
        <w:t>1-800-835-4709或240-402-8010；或发送电子邮件至</w:t>
      </w:r>
      <w:r>
        <w:rPr>
          <w:rFonts w:hint="eastAsia" w:cs="宋体"/>
          <w:sz w:val="24"/>
          <w:szCs w:val="24"/>
        </w:rPr>
        <w:t>：</w:t>
      </w:r>
      <w:r>
        <w:rPr>
          <w:rFonts w:cs="宋体"/>
          <w:color w:val="3333FF"/>
          <w:sz w:val="24"/>
          <w:szCs w:val="24"/>
          <w:u w:val="single"/>
        </w:rPr>
        <w:t>ocod@fda.hhs.gov</w:t>
      </w:r>
      <w:r>
        <w:rPr>
          <w:rFonts w:cs="宋体"/>
          <w:sz w:val="24"/>
          <w:szCs w:val="24"/>
        </w:rPr>
        <w:t>；或登录</w:t>
      </w:r>
      <w:r>
        <w:rPr>
          <w:rFonts w:hint="eastAsia" w:cs="宋体"/>
          <w:sz w:val="24"/>
          <w:szCs w:val="24"/>
        </w:rPr>
        <w:t>网址</w:t>
      </w:r>
      <w:r>
        <w:rPr>
          <w:rFonts w:cs="宋体"/>
          <w:sz w:val="24"/>
          <w:szCs w:val="24"/>
        </w:rPr>
        <w:t>：</w:t>
      </w:r>
      <w:r>
        <w:rPr>
          <w:rFonts w:hint="eastAsia" w:cs="宋体"/>
          <w:sz w:val="24"/>
          <w:szCs w:val="24"/>
        </w:rPr>
        <w:br w:type="textWrapping"/>
      </w:r>
      <w:r>
        <w:rPr>
          <w:rFonts w:cs="宋体"/>
          <w:color w:val="3333FF"/>
          <w:sz w:val="24"/>
          <w:szCs w:val="24"/>
          <w:u w:val="single"/>
        </w:rPr>
        <w:t>https://www.fda.gov/vaccines-blood-biologics/guidance-compliance-regulatory-informationbiologics/biologics-guidances</w:t>
      </w:r>
      <w:r>
        <w:rPr>
          <w:rFonts w:hint="eastAsia" w:cs="宋体"/>
          <w:color w:val="3333FF"/>
          <w:sz w:val="24"/>
          <w:szCs w:val="24"/>
          <w:u w:val="single"/>
        </w:rPr>
        <w:t>。</w:t>
      </w:r>
    </w:p>
    <w:p w14:paraId="7FB2C0CD">
      <w:pPr>
        <w:shd w:val="clear" w:color="auto" w:fill="FFFFFF"/>
        <w:topLinePunct/>
        <w:autoSpaceDE/>
        <w:autoSpaceDN/>
        <w:adjustRightInd/>
        <w:jc w:val="both"/>
        <w:rPr>
          <w:sz w:val="24"/>
          <w:szCs w:val="24"/>
        </w:rPr>
      </w:pPr>
    </w:p>
    <w:p w14:paraId="079B874A">
      <w:pPr>
        <w:widowControl/>
        <w:autoSpaceDE/>
        <w:autoSpaceDN/>
        <w:adjustRightInd/>
        <w:rPr>
          <w:sz w:val="24"/>
          <w:szCs w:val="24"/>
        </w:rPr>
      </w:pPr>
      <w:r>
        <w:rPr>
          <w:rFonts w:cs="宋体"/>
          <w:sz w:val="24"/>
          <w:szCs w:val="24"/>
        </w:rPr>
        <w:br w:type="page"/>
      </w:r>
    </w:p>
    <w:p w14:paraId="74A1DD73">
      <w:pPr>
        <w:shd w:val="clear" w:color="auto" w:fill="FFFFFF"/>
        <w:topLinePunct/>
        <w:autoSpaceDE/>
        <w:autoSpaceDN/>
        <w:adjustRightInd/>
        <w:jc w:val="center"/>
        <w:rPr>
          <w:sz w:val="36"/>
          <w:szCs w:val="36"/>
        </w:rPr>
      </w:pPr>
      <w:r>
        <w:rPr>
          <w:rFonts w:cs="宋体"/>
          <w:b/>
          <w:color w:val="000000"/>
          <w:sz w:val="36"/>
          <w:szCs w:val="36"/>
        </w:rPr>
        <w:t>目录</w:t>
      </w:r>
    </w:p>
    <w:p w14:paraId="0FA8EB22">
      <w:pPr>
        <w:pStyle w:val="7"/>
        <w:rPr>
          <w:rFonts w:asciiTheme="minorHAnsi" w:hAnsiTheme="minorHAnsi" w:eastAsiaTheme="minorEastAsia" w:cstheme="minorBidi"/>
          <w:kern w:val="2"/>
          <w:sz w:val="21"/>
          <w:szCs w:val="22"/>
          <w:lang w:bidi="he-IL"/>
        </w:rPr>
      </w:pPr>
      <w:r>
        <w:rPr>
          <w:szCs w:val="24"/>
        </w:rPr>
        <w:fldChar w:fldCharType="begin"/>
      </w:r>
      <w:r>
        <w:rPr>
          <w:szCs w:val="24"/>
        </w:rPr>
        <w:instrText xml:space="preserve"> TOC \o "1-3" \h \z \u </w:instrText>
      </w:r>
      <w:r>
        <w:rPr>
          <w:szCs w:val="24"/>
        </w:rPr>
        <w:fldChar w:fldCharType="separate"/>
      </w:r>
      <w:r>
        <w:fldChar w:fldCharType="begin"/>
      </w:r>
      <w:r>
        <w:instrText xml:space="preserve"> HYPERLINK \l "_Toc97389936" </w:instrText>
      </w:r>
      <w:r>
        <w:fldChar w:fldCharType="separate"/>
      </w:r>
      <w:r>
        <w:rPr>
          <w:rStyle w:val="13"/>
          <w:rFonts w:cs="宋体"/>
        </w:rPr>
        <w:t>I</w:t>
      </w:r>
      <w:r>
        <w:rPr>
          <w:rFonts w:asciiTheme="minorHAnsi" w:hAnsiTheme="minorHAnsi" w:eastAsiaTheme="minorEastAsia" w:cstheme="minorBidi"/>
          <w:kern w:val="2"/>
          <w:sz w:val="21"/>
          <w:szCs w:val="22"/>
          <w:lang w:bidi="he-IL"/>
        </w:rPr>
        <w:tab/>
      </w:r>
      <w:r>
        <w:rPr>
          <w:rStyle w:val="13"/>
          <w:rFonts w:hint="eastAsia" w:cs="宋体"/>
        </w:rPr>
        <w:t>引言</w:t>
      </w:r>
      <w:r>
        <w:tab/>
      </w:r>
      <w:r>
        <w:fldChar w:fldCharType="begin"/>
      </w:r>
      <w:r>
        <w:instrText xml:space="preserve"> PAGEREF _Toc97389936 \h </w:instrText>
      </w:r>
      <w:r>
        <w:fldChar w:fldCharType="separate"/>
      </w:r>
      <w:r>
        <w:t>1</w:t>
      </w:r>
      <w:r>
        <w:fldChar w:fldCharType="end"/>
      </w:r>
      <w:r>
        <w:fldChar w:fldCharType="end"/>
      </w:r>
    </w:p>
    <w:p w14:paraId="5E512F65">
      <w:pPr>
        <w:pStyle w:val="7"/>
        <w:rPr>
          <w:rFonts w:asciiTheme="minorHAnsi" w:hAnsiTheme="minorHAnsi" w:eastAsiaTheme="minorEastAsia" w:cstheme="minorBidi"/>
          <w:kern w:val="2"/>
          <w:sz w:val="21"/>
          <w:szCs w:val="22"/>
          <w:lang w:bidi="he-IL"/>
        </w:rPr>
      </w:pPr>
      <w:r>
        <w:fldChar w:fldCharType="begin"/>
      </w:r>
      <w:r>
        <w:instrText xml:space="preserve"> HYPERLINK \l "_Toc97389937" </w:instrText>
      </w:r>
      <w:r>
        <w:fldChar w:fldCharType="separate"/>
      </w:r>
      <w:r>
        <w:rPr>
          <w:rStyle w:val="13"/>
          <w:rFonts w:cs="宋体"/>
        </w:rPr>
        <w:t>II.</w:t>
      </w:r>
      <w:r>
        <w:rPr>
          <w:rFonts w:asciiTheme="minorHAnsi" w:hAnsiTheme="minorHAnsi" w:eastAsiaTheme="minorEastAsia" w:cstheme="minorBidi"/>
          <w:kern w:val="2"/>
          <w:sz w:val="21"/>
          <w:szCs w:val="22"/>
          <w:lang w:bidi="he-IL"/>
        </w:rPr>
        <w:tab/>
      </w:r>
      <w:r>
        <w:rPr>
          <w:rStyle w:val="13"/>
          <w:rFonts w:hint="eastAsia" w:cs="宋体"/>
        </w:rPr>
        <w:t>背景</w:t>
      </w:r>
      <w:r>
        <w:tab/>
      </w:r>
      <w:r>
        <w:fldChar w:fldCharType="begin"/>
      </w:r>
      <w:r>
        <w:instrText xml:space="preserve"> PAGEREF _Toc97389937 \h </w:instrText>
      </w:r>
      <w:r>
        <w:fldChar w:fldCharType="separate"/>
      </w:r>
      <w:r>
        <w:t>2</w:t>
      </w:r>
      <w:r>
        <w:fldChar w:fldCharType="end"/>
      </w:r>
      <w:r>
        <w:fldChar w:fldCharType="end"/>
      </w:r>
    </w:p>
    <w:p w14:paraId="6B9430CC">
      <w:pPr>
        <w:pStyle w:val="7"/>
        <w:rPr>
          <w:rFonts w:asciiTheme="minorHAnsi" w:hAnsiTheme="minorHAnsi" w:eastAsiaTheme="minorEastAsia" w:cstheme="minorBidi"/>
          <w:kern w:val="2"/>
          <w:sz w:val="21"/>
          <w:szCs w:val="22"/>
          <w:lang w:bidi="he-IL"/>
        </w:rPr>
      </w:pPr>
      <w:r>
        <w:fldChar w:fldCharType="begin"/>
      </w:r>
      <w:r>
        <w:instrText xml:space="preserve"> HYPERLINK \l "_Toc97389938" </w:instrText>
      </w:r>
      <w:r>
        <w:fldChar w:fldCharType="separate"/>
      </w:r>
      <w:r>
        <w:rPr>
          <w:rStyle w:val="13"/>
          <w:rFonts w:cs="宋体"/>
        </w:rPr>
        <w:t>III.</w:t>
      </w:r>
      <w:r>
        <w:rPr>
          <w:rFonts w:asciiTheme="minorHAnsi" w:hAnsiTheme="minorHAnsi" w:eastAsiaTheme="minorEastAsia" w:cstheme="minorBidi"/>
          <w:kern w:val="2"/>
          <w:sz w:val="21"/>
          <w:szCs w:val="22"/>
          <w:lang w:bidi="he-IL"/>
        </w:rPr>
        <w:tab/>
      </w:r>
      <w:r>
        <w:rPr>
          <w:rStyle w:val="13"/>
          <w:rFonts w:hint="eastAsia" w:cs="宋体"/>
        </w:rPr>
        <w:t>医疗器械数据系统、医疗影像存储器械和医疗影像通信器械政策</w:t>
      </w:r>
      <w:r>
        <w:tab/>
      </w:r>
      <w:r>
        <w:fldChar w:fldCharType="begin"/>
      </w:r>
      <w:r>
        <w:instrText xml:space="preserve"> PAGEREF _Toc97389938 \h </w:instrText>
      </w:r>
      <w:r>
        <w:fldChar w:fldCharType="separate"/>
      </w:r>
      <w:r>
        <w:t>5</w:t>
      </w:r>
      <w:r>
        <w:fldChar w:fldCharType="end"/>
      </w:r>
      <w:r>
        <w:fldChar w:fldCharType="end"/>
      </w:r>
    </w:p>
    <w:p w14:paraId="2F20ECA9">
      <w:pPr>
        <w:pStyle w:val="9"/>
        <w:rPr>
          <w:rFonts w:asciiTheme="minorHAnsi" w:hAnsiTheme="minorHAnsi" w:eastAsiaTheme="minorEastAsia" w:cstheme="minorBidi"/>
          <w:kern w:val="2"/>
          <w:sz w:val="21"/>
          <w:szCs w:val="22"/>
          <w:lang w:bidi="he-IL"/>
        </w:rPr>
      </w:pPr>
      <w:r>
        <w:fldChar w:fldCharType="begin"/>
      </w:r>
      <w:r>
        <w:instrText xml:space="preserve"> HYPERLINK \l "_Toc97389939" </w:instrText>
      </w:r>
      <w:r>
        <w:fldChar w:fldCharType="separate"/>
      </w:r>
      <w:r>
        <w:rPr>
          <w:rStyle w:val="13"/>
          <w:rFonts w:cs="宋体"/>
        </w:rPr>
        <w:t>A.</w:t>
      </w:r>
      <w:r>
        <w:rPr>
          <w:rFonts w:asciiTheme="minorHAnsi" w:hAnsiTheme="minorHAnsi" w:eastAsiaTheme="minorEastAsia" w:cstheme="minorBidi"/>
          <w:kern w:val="2"/>
          <w:sz w:val="21"/>
          <w:szCs w:val="22"/>
          <w:lang w:bidi="he-IL"/>
        </w:rPr>
        <w:tab/>
      </w:r>
      <w:r>
        <w:rPr>
          <w:rStyle w:val="13"/>
          <w:rFonts w:hint="eastAsia" w:cs="宋体"/>
        </w:rPr>
        <w:t>非器械</w:t>
      </w:r>
      <w:r>
        <w:rPr>
          <w:rStyle w:val="13"/>
          <w:rFonts w:cs="宋体"/>
        </w:rPr>
        <w:t>MDDS</w:t>
      </w:r>
      <w:r>
        <w:rPr>
          <w:rStyle w:val="13"/>
          <w:rFonts w:hint="eastAsia" w:cs="宋体"/>
        </w:rPr>
        <w:t>政策</w:t>
      </w:r>
      <w:r>
        <w:tab/>
      </w:r>
      <w:r>
        <w:fldChar w:fldCharType="begin"/>
      </w:r>
      <w:r>
        <w:instrText xml:space="preserve"> PAGEREF _Toc97389939 \h </w:instrText>
      </w:r>
      <w:r>
        <w:fldChar w:fldCharType="separate"/>
      </w:r>
      <w:r>
        <w:t>5</w:t>
      </w:r>
      <w:r>
        <w:fldChar w:fldCharType="end"/>
      </w:r>
      <w:r>
        <w:fldChar w:fldCharType="end"/>
      </w:r>
    </w:p>
    <w:p w14:paraId="1D23CE43">
      <w:pPr>
        <w:pStyle w:val="9"/>
        <w:rPr>
          <w:rFonts w:asciiTheme="minorHAnsi" w:hAnsiTheme="minorHAnsi" w:eastAsiaTheme="minorEastAsia" w:cstheme="minorBidi"/>
          <w:kern w:val="2"/>
          <w:sz w:val="21"/>
          <w:szCs w:val="22"/>
          <w:lang w:bidi="he-IL"/>
        </w:rPr>
      </w:pPr>
      <w:r>
        <w:fldChar w:fldCharType="begin"/>
      </w:r>
      <w:r>
        <w:instrText xml:space="preserve"> HYPERLINK \l "_Toc97389940" </w:instrText>
      </w:r>
      <w:r>
        <w:fldChar w:fldCharType="separate"/>
      </w:r>
      <w:r>
        <w:rPr>
          <w:rStyle w:val="13"/>
          <w:rFonts w:cs="宋体"/>
        </w:rPr>
        <w:t>B.</w:t>
      </w:r>
      <w:r>
        <w:rPr>
          <w:rFonts w:asciiTheme="minorHAnsi" w:hAnsiTheme="minorHAnsi" w:eastAsiaTheme="minorEastAsia" w:cstheme="minorBidi"/>
          <w:kern w:val="2"/>
          <w:sz w:val="21"/>
          <w:szCs w:val="22"/>
          <w:lang w:bidi="he-IL"/>
        </w:rPr>
        <w:tab/>
      </w:r>
      <w:r>
        <w:rPr>
          <w:rStyle w:val="13"/>
          <w:rFonts w:hint="eastAsia" w:cs="宋体"/>
        </w:rPr>
        <w:t>器械</w:t>
      </w:r>
      <w:r>
        <w:rPr>
          <w:rStyle w:val="13"/>
          <w:rFonts w:cs="宋体"/>
        </w:rPr>
        <w:t>MDDS</w:t>
      </w:r>
      <w:r>
        <w:rPr>
          <w:rStyle w:val="13"/>
          <w:rFonts w:hint="eastAsia" w:cs="宋体"/>
        </w:rPr>
        <w:t>政策</w:t>
      </w:r>
      <w:r>
        <w:tab/>
      </w:r>
      <w:r>
        <w:fldChar w:fldCharType="begin"/>
      </w:r>
      <w:r>
        <w:instrText xml:space="preserve"> PAGEREF _Toc97389940 \h </w:instrText>
      </w:r>
      <w:r>
        <w:fldChar w:fldCharType="separate"/>
      </w:r>
      <w:r>
        <w:t>5</w:t>
      </w:r>
      <w:r>
        <w:fldChar w:fldCharType="end"/>
      </w:r>
      <w:r>
        <w:fldChar w:fldCharType="end"/>
      </w:r>
    </w:p>
    <w:p w14:paraId="01ACA308">
      <w:pPr>
        <w:pStyle w:val="9"/>
        <w:rPr>
          <w:rFonts w:asciiTheme="minorHAnsi" w:hAnsiTheme="minorHAnsi" w:eastAsiaTheme="minorEastAsia" w:cstheme="minorBidi"/>
          <w:kern w:val="2"/>
          <w:sz w:val="21"/>
          <w:szCs w:val="22"/>
          <w:lang w:bidi="he-IL"/>
        </w:rPr>
      </w:pPr>
      <w:r>
        <w:fldChar w:fldCharType="begin"/>
      </w:r>
      <w:r>
        <w:instrText xml:space="preserve"> HYPERLINK \l "_Toc97389941" </w:instrText>
      </w:r>
      <w:r>
        <w:fldChar w:fldCharType="separate"/>
      </w:r>
      <w:r>
        <w:rPr>
          <w:rStyle w:val="13"/>
          <w:rFonts w:cs="宋体"/>
        </w:rPr>
        <w:t>C.</w:t>
      </w:r>
      <w:r>
        <w:rPr>
          <w:rFonts w:asciiTheme="minorHAnsi" w:hAnsiTheme="minorHAnsi" w:eastAsiaTheme="minorEastAsia" w:cstheme="minorBidi"/>
          <w:kern w:val="2"/>
          <w:sz w:val="21"/>
          <w:szCs w:val="22"/>
          <w:lang w:bidi="he-IL"/>
        </w:rPr>
        <w:tab/>
      </w:r>
      <w:r>
        <w:rPr>
          <w:rStyle w:val="13"/>
          <w:rFonts w:hint="eastAsia" w:cs="宋体"/>
        </w:rPr>
        <w:t>含非器械</w:t>
      </w:r>
      <w:r>
        <w:rPr>
          <w:rStyle w:val="13"/>
          <w:rFonts w:cs="宋体"/>
        </w:rPr>
        <w:t>MDDS</w:t>
      </w:r>
      <w:r>
        <w:rPr>
          <w:rStyle w:val="13"/>
          <w:rFonts w:hint="eastAsia" w:cs="宋体"/>
        </w:rPr>
        <w:t>或器械</w:t>
      </w:r>
      <w:r>
        <w:rPr>
          <w:rStyle w:val="13"/>
          <w:rFonts w:cs="宋体"/>
        </w:rPr>
        <w:t>MDDS</w:t>
      </w:r>
      <w:r>
        <w:rPr>
          <w:rStyle w:val="13"/>
          <w:rFonts w:hint="eastAsia" w:cs="宋体"/>
        </w:rPr>
        <w:t>的多功能器械产品</w:t>
      </w:r>
      <w:r>
        <w:tab/>
      </w:r>
      <w:r>
        <w:fldChar w:fldCharType="begin"/>
      </w:r>
      <w:r>
        <w:instrText xml:space="preserve"> PAGEREF _Toc97389941 \h </w:instrText>
      </w:r>
      <w:r>
        <w:fldChar w:fldCharType="separate"/>
      </w:r>
      <w:r>
        <w:t>6</w:t>
      </w:r>
      <w:r>
        <w:fldChar w:fldCharType="end"/>
      </w:r>
      <w:r>
        <w:fldChar w:fldCharType="end"/>
      </w:r>
    </w:p>
    <w:p w14:paraId="7A137A7B">
      <w:pPr>
        <w:shd w:val="clear" w:color="auto" w:fill="FFFFFF"/>
        <w:topLinePunct/>
        <w:autoSpaceDE/>
        <w:autoSpaceDN/>
        <w:adjustRightInd/>
        <w:jc w:val="both"/>
        <w:rPr>
          <w:sz w:val="24"/>
          <w:szCs w:val="24"/>
        </w:rPr>
      </w:pPr>
      <w:r>
        <w:rPr>
          <w:sz w:val="24"/>
          <w:szCs w:val="24"/>
        </w:rPr>
        <w:fldChar w:fldCharType="end"/>
      </w:r>
    </w:p>
    <w:p w14:paraId="584EBD37">
      <w:pPr>
        <w:shd w:val="clear" w:color="auto" w:fill="FFFFFF"/>
        <w:topLinePunct/>
        <w:autoSpaceDE/>
        <w:autoSpaceDN/>
        <w:adjustRightInd/>
        <w:jc w:val="both"/>
        <w:rPr>
          <w:sz w:val="24"/>
          <w:szCs w:val="24"/>
        </w:rPr>
        <w:sectPr>
          <w:headerReference r:id="rId4" w:type="default"/>
          <w:pgSz w:w="11909" w:h="16834"/>
          <w:pgMar w:top="1134" w:right="1134" w:bottom="1134" w:left="1418" w:header="567" w:footer="567" w:gutter="0"/>
          <w:cols w:space="60" w:num="1"/>
          <w:docGrid w:type="lines" w:linePitch="364" w:charSpace="0"/>
        </w:sectPr>
      </w:pPr>
    </w:p>
    <w:p w14:paraId="5FBDBC9F">
      <w:pPr>
        <w:pBdr>
          <w:bottom w:val="single" w:color="auto" w:sz="4" w:space="1"/>
        </w:pBdr>
        <w:shd w:val="clear" w:color="auto" w:fill="FFFFFF"/>
        <w:topLinePunct/>
        <w:autoSpaceDE/>
        <w:autoSpaceDN/>
        <w:adjustRightInd/>
        <w:jc w:val="center"/>
        <w:rPr>
          <w:sz w:val="44"/>
          <w:szCs w:val="44"/>
        </w:rPr>
      </w:pPr>
      <w:r>
        <w:rPr>
          <w:rFonts w:cs="宋体"/>
          <w:b/>
          <w:color w:val="000000"/>
          <w:sz w:val="44"/>
          <w:szCs w:val="44"/>
        </w:rPr>
        <w:t>医疗器械数据系统、医疗影像存储器械和</w:t>
      </w:r>
      <w:r>
        <w:rPr>
          <w:rFonts w:hint="eastAsia" w:cs="宋体"/>
          <w:b/>
          <w:color w:val="000000"/>
          <w:sz w:val="44"/>
          <w:szCs w:val="44"/>
        </w:rPr>
        <w:br w:type="textWrapping"/>
      </w:r>
      <w:r>
        <w:rPr>
          <w:rFonts w:cs="宋体"/>
          <w:b/>
          <w:color w:val="000000"/>
          <w:sz w:val="44"/>
          <w:szCs w:val="44"/>
        </w:rPr>
        <w:t>医疗影像通信器械</w:t>
      </w:r>
    </w:p>
    <w:p w14:paraId="0CFA1135">
      <w:pPr>
        <w:shd w:val="clear" w:color="auto" w:fill="FFFFFF"/>
        <w:topLinePunct/>
        <w:autoSpaceDE/>
        <w:autoSpaceDN/>
        <w:adjustRightInd/>
        <w:jc w:val="center"/>
        <w:rPr>
          <w:b/>
          <w:bCs/>
          <w:color w:val="000000"/>
          <w:sz w:val="44"/>
          <w:szCs w:val="44"/>
        </w:rPr>
      </w:pPr>
      <w:r>
        <w:rPr>
          <w:rFonts w:cs="宋体"/>
          <w:b/>
          <w:color w:val="000000"/>
          <w:sz w:val="44"/>
          <w:szCs w:val="44"/>
        </w:rPr>
        <w:t>行业和美国食品药品监督管理局工作人员指南</w:t>
      </w:r>
    </w:p>
    <w:p w14:paraId="00E90157"/>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289"/>
      </w:tblGrid>
      <w:tr w14:paraId="7FEA8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289" w:type="dxa"/>
            <w:tcBorders>
              <w:top w:val="thinThickThinSmallGap" w:color="auto" w:sz="18" w:space="0"/>
              <w:left w:val="thinThickThinSmallGap" w:color="auto" w:sz="18" w:space="0"/>
              <w:bottom w:val="thinThickThinSmallGap" w:color="auto" w:sz="18" w:space="0"/>
              <w:right w:val="thinThickThinSmallGap" w:color="auto" w:sz="18" w:space="0"/>
            </w:tcBorders>
            <w:shd w:val="clear" w:color="auto" w:fill="auto"/>
          </w:tcPr>
          <w:p w14:paraId="7072D1E0">
            <w:pPr>
              <w:shd w:val="clear" w:color="auto" w:fill="FFFFFF"/>
              <w:topLinePunct/>
              <w:autoSpaceDE/>
              <w:autoSpaceDN/>
              <w:adjustRightInd/>
              <w:ind w:left="56" w:leftChars="28" w:right="132" w:rightChars="66" w:firstLine="482" w:firstLineChars="200"/>
              <w:jc w:val="both"/>
              <w:rPr>
                <w:sz w:val="24"/>
                <w:szCs w:val="24"/>
              </w:rPr>
            </w:pPr>
            <w:r>
              <w:rPr>
                <w:rFonts w:hint="eastAsia" w:cs="宋体"/>
                <w:b/>
                <w:i/>
                <w:color w:val="000000"/>
                <w:sz w:val="24"/>
                <w:szCs w:val="24"/>
              </w:rPr>
              <w:t>本指南代表美国食品药品监督管理局（FDA或本机构）目前关于该主题的思考。其不会为任何人创造或赋予任何权利，也不会对FDA或公众产生约束。如果替代方法满足适用的法律法规要求，则可以使用该方法。如需讨论替代方法，请联系标题页负责实施本指南文件的FDA工作人员或办公室。</w:t>
            </w:r>
          </w:p>
        </w:tc>
      </w:tr>
    </w:tbl>
    <w:p w14:paraId="62E41B7A">
      <w:pPr>
        <w:pStyle w:val="2"/>
      </w:pPr>
      <w:bookmarkStart w:id="0" w:name="_Toc97389936"/>
      <w:r>
        <w:t>I</w:t>
      </w:r>
      <w:r>
        <w:tab/>
      </w:r>
      <w:r>
        <w:t>引言</w:t>
      </w:r>
      <w:bookmarkEnd w:id="0"/>
    </w:p>
    <w:p w14:paraId="63FF0CBB">
      <w:pPr>
        <w:shd w:val="clear" w:color="auto" w:fill="FFFFFF"/>
        <w:topLinePunct/>
        <w:autoSpaceDE/>
        <w:autoSpaceDN/>
        <w:adjustRightInd/>
        <w:ind w:firstLine="480" w:firstLineChars="200"/>
        <w:jc w:val="both"/>
        <w:rPr>
          <w:rFonts w:cs="宋体"/>
          <w:sz w:val="24"/>
          <w:szCs w:val="24"/>
        </w:rPr>
      </w:pPr>
      <w:r>
        <w:rPr>
          <w:rFonts w:cs="宋体"/>
          <w:color w:val="000000"/>
          <w:sz w:val="24"/>
          <w:szCs w:val="24"/>
        </w:rPr>
        <w:t>美国食品药品监督管理局（FDA）</w:t>
      </w:r>
      <w:r>
        <w:rPr>
          <w:rFonts w:hint="eastAsia" w:cs="宋体"/>
          <w:color w:val="000000"/>
          <w:sz w:val="24"/>
          <w:szCs w:val="24"/>
        </w:rPr>
        <w:t>认识</w:t>
      </w:r>
      <w:r>
        <w:rPr>
          <w:rFonts w:cs="宋体"/>
          <w:color w:val="000000"/>
          <w:sz w:val="24"/>
          <w:szCs w:val="24"/>
        </w:rPr>
        <w:t>到</w:t>
      </w:r>
      <w:r>
        <w:rPr>
          <w:rFonts w:hint="eastAsia" w:cs="宋体"/>
          <w:color w:val="000000"/>
          <w:sz w:val="24"/>
          <w:szCs w:val="24"/>
        </w:rPr>
        <w:t>，</w:t>
      </w:r>
      <w:r>
        <w:rPr>
          <w:rFonts w:cs="宋体"/>
          <w:color w:val="000000"/>
          <w:sz w:val="24"/>
          <w:szCs w:val="24"/>
        </w:rPr>
        <w:t>数字健康的</w:t>
      </w:r>
      <w:r>
        <w:rPr>
          <w:rFonts w:hint="eastAsia" w:cs="宋体"/>
          <w:color w:val="000000"/>
          <w:sz w:val="24"/>
          <w:szCs w:val="24"/>
        </w:rPr>
        <w:t>发展能够</w:t>
      </w:r>
      <w:r>
        <w:rPr>
          <w:rFonts w:cs="宋体"/>
          <w:color w:val="000000"/>
          <w:sz w:val="24"/>
          <w:szCs w:val="24"/>
        </w:rPr>
        <w:t>提供更好</w:t>
      </w:r>
      <w:r>
        <w:rPr>
          <w:rFonts w:hint="eastAsia" w:cs="宋体"/>
          <w:color w:val="000000"/>
          <w:sz w:val="24"/>
          <w:szCs w:val="24"/>
        </w:rPr>
        <w:t>、</w:t>
      </w:r>
      <w:r>
        <w:rPr>
          <w:rFonts w:cs="宋体"/>
          <w:color w:val="000000"/>
          <w:sz w:val="24"/>
          <w:szCs w:val="24"/>
        </w:rPr>
        <w:t>更高效的患者护理</w:t>
      </w:r>
      <w:r>
        <w:rPr>
          <w:rFonts w:hint="eastAsia" w:cs="宋体"/>
          <w:color w:val="000000"/>
          <w:sz w:val="24"/>
          <w:szCs w:val="24"/>
        </w:rPr>
        <w:t>并</w:t>
      </w:r>
      <w:r>
        <w:rPr>
          <w:rFonts w:cs="宋体"/>
          <w:color w:val="000000"/>
          <w:sz w:val="24"/>
          <w:szCs w:val="24"/>
        </w:rPr>
        <w:t>改善健康结局。为了实现这一目标，需要许多医疗器械与其他类型的医疗器械和各种类型的健康信息技术实现互操作。</w:t>
      </w:r>
      <w:r>
        <w:rPr>
          <w:rFonts w:cs="宋体"/>
          <w:sz w:val="24"/>
          <w:szCs w:val="24"/>
        </w:rPr>
        <w:t>此类互通的基础为硬件和软件，通常被称为医疗器械数据系统（MDDS），该系统可传输、存储、转换格式和显示医疗器械数据或医疗影像数据。</w:t>
      </w:r>
    </w:p>
    <w:p w14:paraId="7AFFFA46">
      <w:pPr>
        <w:shd w:val="clear" w:color="auto" w:fill="FFFFFF"/>
        <w:topLinePunct/>
        <w:autoSpaceDE/>
        <w:autoSpaceDN/>
        <w:adjustRightInd/>
        <w:ind w:firstLine="480" w:firstLineChars="200"/>
        <w:jc w:val="both"/>
        <w:rPr>
          <w:sz w:val="24"/>
          <w:szCs w:val="24"/>
        </w:rPr>
      </w:pPr>
    </w:p>
    <w:p w14:paraId="4A9853F9">
      <w:pPr>
        <w:shd w:val="clear" w:color="auto" w:fill="FFFFFF"/>
        <w:topLinePunct/>
        <w:autoSpaceDE/>
        <w:autoSpaceDN/>
        <w:adjustRightInd/>
        <w:ind w:firstLine="480" w:firstLineChars="200"/>
        <w:jc w:val="both"/>
        <w:rPr>
          <w:color w:val="000000"/>
          <w:sz w:val="24"/>
          <w:szCs w:val="24"/>
        </w:rPr>
      </w:pPr>
      <w:r>
        <w:rPr>
          <w:rFonts w:cs="宋体"/>
          <w:sz w:val="24"/>
          <w:szCs w:val="24"/>
        </w:rPr>
        <w:t>2011年2月15日，FDA发布了一项法规，将MDDS从III类（高风险）降为I类（低风险）（《MDDS法规》）。</w:t>
      </w:r>
      <w:r>
        <w:rPr>
          <w:rStyle w:val="14"/>
          <w:rFonts w:cs="宋体"/>
          <w:color w:val="000000"/>
          <w:sz w:val="24"/>
          <w:szCs w:val="24"/>
        </w:rPr>
        <w:footnoteReference w:id="0"/>
      </w:r>
      <w:r>
        <w:rPr>
          <w:rFonts w:cs="宋体"/>
          <w:color w:val="000000"/>
          <w:sz w:val="24"/>
          <w:szCs w:val="24"/>
        </w:rPr>
        <w:t>自从MDDS分类降级后，FDA</w:t>
      </w:r>
      <w:r>
        <w:rPr>
          <w:rFonts w:hint="eastAsia" w:cs="宋体"/>
          <w:color w:val="000000"/>
          <w:sz w:val="24"/>
          <w:szCs w:val="24"/>
        </w:rPr>
        <w:t>在这类技术方面</w:t>
      </w:r>
      <w:r>
        <w:rPr>
          <w:rFonts w:cs="宋体"/>
          <w:color w:val="000000"/>
          <w:sz w:val="24"/>
          <w:szCs w:val="24"/>
        </w:rPr>
        <w:t>获得了更多经验，并确定这些器械对公众构成的风险较低。</w:t>
      </w:r>
      <w:r>
        <w:rPr>
          <w:rFonts w:cs="宋体"/>
          <w:sz w:val="24"/>
          <w:szCs w:val="24"/>
        </w:rPr>
        <w:t>2015年2月9日，FDA发布了一份指南文件，告知制造商、分销商和其他实体，由于MDDS、医疗影像存储器械和医疗影像通信器械对患者构成的风险较低且在推进数字健康方面发挥了重要作用，FDA不会强制</w:t>
      </w:r>
      <w:r>
        <w:rPr>
          <w:rFonts w:hint="eastAsia" w:cs="宋体"/>
          <w:sz w:val="24"/>
          <w:szCs w:val="24"/>
        </w:rPr>
        <w:t>执行</w:t>
      </w:r>
      <w:r>
        <w:rPr>
          <w:rFonts w:cs="宋体"/>
          <w:sz w:val="24"/>
          <w:szCs w:val="24"/>
        </w:rPr>
        <w:t>适用于这些器械的监管控制。</w:t>
      </w:r>
    </w:p>
    <w:p w14:paraId="650E4404">
      <w:pPr>
        <w:shd w:val="clear" w:color="auto" w:fill="FFFFFF"/>
        <w:topLinePunct/>
        <w:autoSpaceDE/>
        <w:autoSpaceDN/>
        <w:adjustRightInd/>
        <w:jc w:val="both"/>
        <w:rPr>
          <w:sz w:val="24"/>
          <w:szCs w:val="24"/>
        </w:rPr>
      </w:pPr>
      <w:r>
        <w:rPr>
          <w:rFonts w:cs="宋体"/>
          <w:sz w:val="24"/>
          <w:szCs w:val="24"/>
        </w:rPr>
        <w:br w:type="page"/>
      </w:r>
    </w:p>
    <w:p w14:paraId="6F5447F5">
      <w:pPr>
        <w:shd w:val="clear" w:color="auto" w:fill="FFFFFF"/>
        <w:topLinePunct/>
        <w:autoSpaceDE/>
        <w:autoSpaceDN/>
        <w:adjustRightInd/>
        <w:ind w:firstLine="480" w:firstLineChars="200"/>
        <w:jc w:val="both"/>
        <w:rPr>
          <w:rFonts w:cs="宋体"/>
          <w:color w:val="000000"/>
          <w:sz w:val="24"/>
          <w:szCs w:val="24"/>
        </w:rPr>
      </w:pPr>
      <w:r>
        <w:rPr>
          <w:rFonts w:cs="宋体"/>
          <w:color w:val="000000"/>
          <w:sz w:val="24"/>
          <w:szCs w:val="24"/>
        </w:rPr>
        <w:t>自2015年发布指南文件起，《21世纪治愈法案》（《治愈法案》）第3060(a)节于2016年12月13日修订了《联邦食品、药品和化妆品法案》（《FD&amp;C法案》）第520节，将某些软件功能从《FD&amp;C法案》第201(h)节的器械定义中删除。</w:t>
      </w:r>
      <w:r>
        <w:rPr>
          <w:rFonts w:cs="宋体"/>
          <w:sz w:val="24"/>
          <w:szCs w:val="24"/>
        </w:rPr>
        <w:t>根据《FD&amp;C法案》第520(o)(1)(D)节，对于</w:t>
      </w:r>
      <w:r>
        <w:rPr>
          <w:rFonts w:cs="宋体"/>
          <w:i/>
          <w:sz w:val="24"/>
          <w:szCs w:val="24"/>
        </w:rPr>
        <w:t>仅用于</w:t>
      </w:r>
      <w:r>
        <w:rPr>
          <w:rFonts w:cs="宋体"/>
          <w:sz w:val="24"/>
          <w:szCs w:val="24"/>
        </w:rPr>
        <w:t>传输、存储、转换格式和显示医疗器械数据或医疗影像数据的</w:t>
      </w:r>
      <w:r>
        <w:rPr>
          <w:rFonts w:cs="宋体"/>
          <w:i/>
          <w:sz w:val="24"/>
          <w:szCs w:val="24"/>
        </w:rPr>
        <w:t>软件功能</w:t>
      </w:r>
      <w:r>
        <w:rPr>
          <w:rFonts w:hint="eastAsia" w:cs="宋体"/>
          <w:sz w:val="24"/>
          <w:szCs w:val="24"/>
        </w:rPr>
        <w:t>，</w:t>
      </w:r>
      <w:r>
        <w:rPr>
          <w:rFonts w:cs="宋体"/>
          <w:sz w:val="24"/>
          <w:szCs w:val="24"/>
        </w:rPr>
        <w:t>除非其</w:t>
      </w:r>
      <w:r>
        <w:rPr>
          <w:rFonts w:hint="eastAsia" w:cs="宋体"/>
          <w:sz w:val="24"/>
          <w:szCs w:val="24"/>
        </w:rPr>
        <w:t>旨在</w:t>
      </w:r>
      <w:r>
        <w:rPr>
          <w:rFonts w:cs="宋体"/>
          <w:sz w:val="24"/>
          <w:szCs w:val="24"/>
        </w:rPr>
        <w:t>解释或分析临床实验室测试或其他器械数据、结果和发现，否则不属于器械，并且不受FDA适用于器械的法律和法规约束。</w:t>
      </w:r>
      <w:r>
        <w:rPr>
          <w:rFonts w:cs="宋体"/>
          <w:color w:val="000000"/>
          <w:sz w:val="24"/>
          <w:szCs w:val="24"/>
        </w:rPr>
        <w:t>21 CFR 880.6310中的MDDS定义目前与根据《治愈法案》修订的器械定义不一致。FDA预期修订该法规，使之与修订器械的定义相一致。FDA目前关于MDDS定义的观点反映在本指南中。</w:t>
      </w:r>
    </w:p>
    <w:p w14:paraId="378FBC04">
      <w:pPr>
        <w:shd w:val="clear" w:color="auto" w:fill="FFFFFF"/>
        <w:topLinePunct/>
        <w:autoSpaceDE/>
        <w:autoSpaceDN/>
        <w:adjustRightInd/>
        <w:ind w:firstLine="480" w:firstLineChars="200"/>
        <w:jc w:val="both"/>
        <w:rPr>
          <w:sz w:val="24"/>
          <w:szCs w:val="24"/>
        </w:rPr>
      </w:pPr>
    </w:p>
    <w:p w14:paraId="0F598189">
      <w:pPr>
        <w:shd w:val="clear" w:color="auto" w:fill="FFFFFF"/>
        <w:topLinePunct/>
        <w:autoSpaceDE/>
        <w:autoSpaceDN/>
        <w:adjustRightInd/>
        <w:ind w:firstLine="480" w:firstLineChars="200"/>
        <w:jc w:val="both"/>
        <w:rPr>
          <w:rFonts w:cs="宋体"/>
          <w:sz w:val="24"/>
          <w:szCs w:val="24"/>
        </w:rPr>
      </w:pPr>
      <w:r>
        <w:rPr>
          <w:rFonts w:cs="宋体"/>
          <w:sz w:val="24"/>
          <w:szCs w:val="24"/>
        </w:rPr>
        <w:t>根据《FD&amp;C法案》第201(h)节，旨在传输、存储、转换格式和显示医疗器械数据和结果的</w:t>
      </w:r>
      <w:r>
        <w:rPr>
          <w:rFonts w:cs="宋体"/>
          <w:i/>
          <w:sz w:val="24"/>
          <w:szCs w:val="24"/>
        </w:rPr>
        <w:t>硬件产品</w:t>
      </w:r>
      <w:r>
        <w:rPr>
          <w:rFonts w:cs="宋体"/>
          <w:sz w:val="24"/>
          <w:szCs w:val="24"/>
        </w:rPr>
        <w:t>仍属于器械。只要硬件功能仅限于辅助以下软件功能：电子传输、存储、格式转换或显示医疗器械数据，FDA不会强制</w:t>
      </w:r>
      <w:r>
        <w:rPr>
          <w:rFonts w:hint="eastAsia" w:cs="宋体"/>
          <w:sz w:val="24"/>
          <w:szCs w:val="24"/>
        </w:rPr>
        <w:t>执行</w:t>
      </w:r>
      <w:r>
        <w:rPr>
          <w:rFonts w:cs="宋体"/>
          <w:sz w:val="24"/>
          <w:szCs w:val="24"/>
        </w:rPr>
        <w:t>对此类器械的监管控制。</w:t>
      </w:r>
    </w:p>
    <w:p w14:paraId="202CBCF9">
      <w:pPr>
        <w:shd w:val="clear" w:color="auto" w:fill="FFFFFF"/>
        <w:topLinePunct/>
        <w:autoSpaceDE/>
        <w:autoSpaceDN/>
        <w:adjustRightInd/>
        <w:ind w:firstLine="480" w:firstLineChars="200"/>
        <w:jc w:val="both"/>
        <w:rPr>
          <w:sz w:val="24"/>
          <w:szCs w:val="24"/>
        </w:rPr>
      </w:pPr>
    </w:p>
    <w:p w14:paraId="77CB1E3D">
      <w:pPr>
        <w:shd w:val="clear" w:color="auto" w:fill="FFFFFF"/>
        <w:topLinePunct/>
        <w:autoSpaceDE/>
        <w:autoSpaceDN/>
        <w:adjustRightInd/>
        <w:ind w:firstLine="480" w:firstLineChars="200"/>
        <w:jc w:val="both"/>
        <w:rPr>
          <w:rFonts w:cs="宋体"/>
          <w:color w:val="000000"/>
          <w:sz w:val="24"/>
          <w:szCs w:val="24"/>
        </w:rPr>
      </w:pPr>
      <w:r>
        <w:rPr>
          <w:rFonts w:cs="宋体"/>
          <w:color w:val="000000"/>
          <w:sz w:val="24"/>
          <w:szCs w:val="24"/>
        </w:rPr>
        <w:t>本指南文件中所述的政策也与</w:t>
      </w:r>
      <w:r>
        <w:rPr>
          <w:rFonts w:hint="eastAsia" w:cs="宋体"/>
          <w:color w:val="000000"/>
          <w:sz w:val="24"/>
          <w:szCs w:val="24"/>
        </w:rPr>
        <w:t>FDA</w:t>
      </w:r>
      <w:r>
        <w:rPr>
          <w:rFonts w:cs="宋体"/>
          <w:color w:val="000000"/>
          <w:sz w:val="24"/>
          <w:szCs w:val="24"/>
        </w:rPr>
        <w:t>的更新指南</w:t>
      </w:r>
      <w:r>
        <w:rPr>
          <w:rFonts w:cs="宋体"/>
          <w:color w:val="3333FF"/>
          <w:sz w:val="24"/>
          <w:szCs w:val="24"/>
          <w:u w:val="single"/>
        </w:rPr>
        <w:t>《器械软件功能和移动医疗应用政策》</w:t>
      </w:r>
      <w:r>
        <w:rPr>
          <w:rFonts w:cs="宋体"/>
          <w:color w:val="000000"/>
          <w:sz w:val="24"/>
          <w:szCs w:val="24"/>
        </w:rPr>
        <w:t>一致，该指南最初于2015年2月9日发布，标题为《移动医疗应用》</w:t>
      </w:r>
      <w:r>
        <w:rPr>
          <w:rStyle w:val="14"/>
          <w:rFonts w:cs="宋体"/>
          <w:color w:val="000000"/>
          <w:sz w:val="24"/>
          <w:szCs w:val="24"/>
        </w:rPr>
        <w:footnoteReference w:id="1"/>
      </w:r>
      <w:r>
        <w:rPr>
          <w:rFonts w:cs="宋体"/>
          <w:color w:val="000000"/>
          <w:sz w:val="24"/>
          <w:szCs w:val="24"/>
        </w:rPr>
        <w:t>。</w:t>
      </w:r>
    </w:p>
    <w:p w14:paraId="6F5A55ED">
      <w:pPr>
        <w:shd w:val="clear" w:color="auto" w:fill="FFFFFF"/>
        <w:topLinePunct/>
        <w:autoSpaceDE/>
        <w:autoSpaceDN/>
        <w:adjustRightInd/>
        <w:ind w:firstLine="480" w:firstLineChars="200"/>
        <w:jc w:val="both"/>
        <w:rPr>
          <w:sz w:val="24"/>
          <w:szCs w:val="24"/>
        </w:rPr>
      </w:pPr>
    </w:p>
    <w:p w14:paraId="4653F036">
      <w:pPr>
        <w:shd w:val="clear" w:color="auto" w:fill="FFFFFF"/>
        <w:topLinePunct/>
        <w:autoSpaceDE/>
        <w:autoSpaceDN/>
        <w:adjustRightInd/>
        <w:ind w:firstLine="480" w:firstLineChars="200"/>
        <w:jc w:val="both"/>
        <w:rPr>
          <w:rFonts w:cs="宋体"/>
          <w:sz w:val="24"/>
          <w:szCs w:val="24"/>
        </w:rPr>
      </w:pPr>
      <w:r>
        <w:rPr>
          <w:rFonts w:hint="eastAsia" w:cs="宋体"/>
          <w:color w:val="000000"/>
          <w:sz w:val="24"/>
          <w:szCs w:val="24"/>
        </w:rPr>
        <w:t>FDA指导性文件，包括本指南在内，不具有法律强制责任。相反，指南表明了FDA目前关于该主题的思考，除非引用具体的法规或法律要求，否则只应视为建议。在FDA指南中使用词语</w:t>
      </w:r>
      <w:r>
        <w:rPr>
          <w:rFonts w:hint="eastAsia" w:ascii="宋体" w:hAnsi="宋体" w:cs="宋体"/>
          <w:color w:val="000000"/>
          <w:sz w:val="24"/>
          <w:szCs w:val="24"/>
        </w:rPr>
        <w:t>“</w:t>
      </w:r>
      <w:r>
        <w:rPr>
          <w:rFonts w:hint="eastAsia" w:cs="宋体"/>
          <w:i/>
          <w:iCs/>
          <w:color w:val="000000"/>
          <w:sz w:val="24"/>
          <w:szCs w:val="24"/>
        </w:rPr>
        <w:t>应</w:t>
      </w:r>
      <w:r>
        <w:rPr>
          <w:rFonts w:hint="eastAsia" w:ascii="宋体" w:hAnsi="宋体" w:cs="宋体"/>
          <w:color w:val="000000"/>
          <w:sz w:val="24"/>
          <w:szCs w:val="24"/>
        </w:rPr>
        <w:t>”</w:t>
      </w:r>
      <w:r>
        <w:rPr>
          <w:rFonts w:hint="eastAsia" w:cs="宋体"/>
          <w:color w:val="000000"/>
          <w:sz w:val="24"/>
          <w:szCs w:val="24"/>
        </w:rPr>
        <w:t>是指建议或推荐进行某一事项，并非强制要求</w:t>
      </w:r>
      <w:r>
        <w:rPr>
          <w:rFonts w:cs="宋体"/>
          <w:sz w:val="24"/>
          <w:szCs w:val="24"/>
        </w:rPr>
        <w:t>。</w:t>
      </w:r>
    </w:p>
    <w:p w14:paraId="5EF16C14">
      <w:pPr>
        <w:shd w:val="clear" w:color="auto" w:fill="FFFFFF"/>
        <w:topLinePunct/>
        <w:autoSpaceDE/>
        <w:autoSpaceDN/>
        <w:adjustRightInd/>
        <w:ind w:firstLine="480" w:firstLineChars="200"/>
        <w:jc w:val="both"/>
        <w:rPr>
          <w:sz w:val="24"/>
          <w:szCs w:val="24"/>
        </w:rPr>
      </w:pPr>
    </w:p>
    <w:p w14:paraId="1D3330BE">
      <w:pPr>
        <w:pStyle w:val="2"/>
      </w:pPr>
      <w:bookmarkStart w:id="1" w:name="_Toc97389937"/>
      <w:r>
        <w:t>II.</w:t>
      </w:r>
      <w:r>
        <w:tab/>
      </w:r>
      <w:r>
        <w:t>背景</w:t>
      </w:r>
      <w:bookmarkEnd w:id="1"/>
    </w:p>
    <w:p w14:paraId="4FE1BCCB">
      <w:pPr>
        <w:shd w:val="clear" w:color="auto" w:fill="FFFFFF"/>
        <w:topLinePunct/>
        <w:autoSpaceDE/>
        <w:autoSpaceDN/>
        <w:adjustRightInd/>
        <w:ind w:firstLine="480" w:firstLineChars="200"/>
        <w:jc w:val="both"/>
        <w:rPr>
          <w:sz w:val="24"/>
          <w:szCs w:val="24"/>
        </w:rPr>
      </w:pPr>
      <w:r>
        <w:rPr>
          <w:rFonts w:cs="宋体"/>
          <w:color w:val="000000"/>
          <w:sz w:val="24"/>
          <w:szCs w:val="24"/>
        </w:rPr>
        <w:t>FDA在本指南中使用以下术语：</w:t>
      </w:r>
    </w:p>
    <w:p w14:paraId="15B532AE">
      <w:pPr>
        <w:shd w:val="clear" w:color="auto" w:fill="FFFFFF"/>
        <w:topLinePunct/>
        <w:autoSpaceDE/>
        <w:autoSpaceDN/>
        <w:adjustRightInd/>
        <w:ind w:left="600" w:leftChars="300"/>
        <w:jc w:val="both"/>
        <w:rPr>
          <w:rFonts w:cs="宋体"/>
          <w:b/>
          <w:sz w:val="24"/>
          <w:szCs w:val="24"/>
        </w:rPr>
      </w:pPr>
    </w:p>
    <w:p w14:paraId="2214946F">
      <w:pPr>
        <w:shd w:val="clear" w:color="auto" w:fill="FFFFFF"/>
        <w:topLinePunct/>
        <w:autoSpaceDE/>
        <w:autoSpaceDN/>
        <w:adjustRightInd/>
        <w:ind w:left="600" w:leftChars="300"/>
        <w:jc w:val="both"/>
        <w:rPr>
          <w:sz w:val="24"/>
          <w:szCs w:val="24"/>
        </w:rPr>
      </w:pPr>
      <w:r>
        <w:rPr>
          <w:rFonts w:cs="宋体"/>
          <w:b/>
          <w:sz w:val="24"/>
          <w:szCs w:val="24"/>
        </w:rPr>
        <w:t>非器械MDDS</w:t>
      </w:r>
      <w:r>
        <w:rPr>
          <w:rFonts w:cs="宋体"/>
          <w:sz w:val="24"/>
          <w:szCs w:val="24"/>
        </w:rPr>
        <w:t>：</w:t>
      </w:r>
      <w:r>
        <w:rPr>
          <w:rFonts w:cs="宋体"/>
          <w:i/>
          <w:sz w:val="24"/>
          <w:szCs w:val="24"/>
        </w:rPr>
        <w:t>仅用于</w:t>
      </w:r>
      <w:r>
        <w:rPr>
          <w:rFonts w:cs="宋体"/>
          <w:sz w:val="24"/>
          <w:szCs w:val="24"/>
        </w:rPr>
        <w:t>传输、存储、转换格式和显示医疗器械数据或结果的</w:t>
      </w:r>
      <w:r>
        <w:rPr>
          <w:rFonts w:cs="宋体"/>
          <w:i/>
          <w:sz w:val="24"/>
          <w:szCs w:val="24"/>
        </w:rPr>
        <w:t>软件功能</w:t>
      </w:r>
      <w:r>
        <w:rPr>
          <w:rFonts w:cs="宋体"/>
          <w:sz w:val="24"/>
          <w:szCs w:val="24"/>
        </w:rPr>
        <w:t>。</w:t>
      </w:r>
    </w:p>
    <w:p w14:paraId="2C88C332">
      <w:pPr>
        <w:shd w:val="clear" w:color="auto" w:fill="FFFFFF"/>
        <w:topLinePunct/>
        <w:autoSpaceDE/>
        <w:autoSpaceDN/>
        <w:adjustRightInd/>
        <w:ind w:left="600" w:leftChars="300"/>
        <w:jc w:val="both"/>
        <w:rPr>
          <w:rFonts w:cs="宋体"/>
          <w:b/>
          <w:sz w:val="24"/>
          <w:szCs w:val="24"/>
        </w:rPr>
      </w:pPr>
    </w:p>
    <w:p w14:paraId="0A8F3441">
      <w:pPr>
        <w:shd w:val="clear" w:color="auto" w:fill="FFFFFF"/>
        <w:topLinePunct/>
        <w:autoSpaceDE/>
        <w:autoSpaceDN/>
        <w:adjustRightInd/>
        <w:ind w:left="600" w:leftChars="300"/>
        <w:jc w:val="both"/>
        <w:rPr>
          <w:sz w:val="24"/>
          <w:szCs w:val="24"/>
        </w:rPr>
      </w:pPr>
      <w:r>
        <w:rPr>
          <w:rFonts w:cs="宋体"/>
          <w:b/>
          <w:sz w:val="24"/>
          <w:szCs w:val="24"/>
        </w:rPr>
        <w:t>器械MDDS</w:t>
      </w:r>
      <w:r>
        <w:rPr>
          <w:rFonts w:cs="宋体"/>
          <w:sz w:val="24"/>
          <w:szCs w:val="24"/>
        </w:rPr>
        <w:t>：</w:t>
      </w:r>
      <w:r>
        <w:rPr>
          <w:rFonts w:cs="宋体"/>
          <w:i/>
          <w:sz w:val="24"/>
          <w:szCs w:val="24"/>
        </w:rPr>
        <w:t>仅用于</w:t>
      </w:r>
      <w:r>
        <w:rPr>
          <w:rFonts w:cs="宋体"/>
          <w:sz w:val="24"/>
          <w:szCs w:val="24"/>
        </w:rPr>
        <w:t>传输、存储、转换格式和显示医疗器械数据或结果的</w:t>
      </w:r>
      <w:r>
        <w:rPr>
          <w:rFonts w:cs="宋体"/>
          <w:i/>
          <w:sz w:val="24"/>
          <w:szCs w:val="24"/>
        </w:rPr>
        <w:t>硬件功能</w:t>
      </w:r>
      <w:r>
        <w:rPr>
          <w:rFonts w:cs="宋体"/>
          <w:sz w:val="24"/>
          <w:szCs w:val="24"/>
        </w:rPr>
        <w:t>。</w:t>
      </w:r>
    </w:p>
    <w:p w14:paraId="6365FBB3">
      <w:pPr>
        <w:shd w:val="clear" w:color="auto" w:fill="FFFFFF"/>
        <w:topLinePunct/>
        <w:autoSpaceDE/>
        <w:autoSpaceDN/>
        <w:adjustRightInd/>
        <w:jc w:val="both"/>
        <w:rPr>
          <w:rFonts w:cs="宋体"/>
          <w:color w:val="000000"/>
          <w:sz w:val="24"/>
          <w:szCs w:val="24"/>
        </w:rPr>
      </w:pPr>
    </w:p>
    <w:p w14:paraId="32D4517E">
      <w:pPr>
        <w:shd w:val="clear" w:color="auto" w:fill="FFFFFF"/>
        <w:topLinePunct/>
        <w:autoSpaceDE/>
        <w:autoSpaceDN/>
        <w:adjustRightInd/>
        <w:ind w:firstLine="480" w:firstLineChars="200"/>
        <w:jc w:val="both"/>
        <w:rPr>
          <w:color w:val="000000"/>
          <w:sz w:val="24"/>
          <w:szCs w:val="24"/>
        </w:rPr>
      </w:pPr>
      <w:r>
        <w:rPr>
          <w:rFonts w:cs="宋体"/>
          <w:color w:val="000000"/>
          <w:sz w:val="24"/>
          <w:szCs w:val="24"/>
        </w:rPr>
        <w:t>FDA通过以下示例进一步定义了非器械MDDS和器械MDDS：</w:t>
      </w:r>
    </w:p>
    <w:p w14:paraId="16472B3D">
      <w:pPr>
        <w:shd w:val="clear" w:color="auto" w:fill="FFFFFF"/>
        <w:topLinePunct/>
        <w:autoSpaceDE/>
        <w:autoSpaceDN/>
        <w:adjustRightInd/>
        <w:jc w:val="both"/>
        <w:rPr>
          <w:color w:val="000000"/>
          <w:sz w:val="24"/>
          <w:szCs w:val="24"/>
        </w:rPr>
      </w:pPr>
    </w:p>
    <w:p w14:paraId="787574D5">
      <w:pPr>
        <w:shd w:val="clear" w:color="auto" w:fill="FFFFFF"/>
        <w:topLinePunct/>
        <w:autoSpaceDE/>
        <w:autoSpaceDN/>
        <w:adjustRightInd/>
        <w:ind w:left="480" w:hanging="480" w:hangingChars="200"/>
        <w:jc w:val="both"/>
        <w:rPr>
          <w:rFonts w:cs="宋体"/>
          <w:color w:val="3333FF"/>
          <w:sz w:val="24"/>
          <w:szCs w:val="24"/>
          <w:u w:val="single"/>
        </w:rPr>
      </w:pPr>
    </w:p>
    <w:p w14:paraId="4E72D351">
      <w:pPr>
        <w:shd w:val="clear" w:color="auto" w:fill="FFFFFF"/>
        <w:topLinePunct/>
        <w:autoSpaceDE/>
        <w:autoSpaceDN/>
        <w:adjustRightInd/>
        <w:ind w:left="480" w:hanging="480" w:hangingChars="200"/>
        <w:jc w:val="both"/>
        <w:rPr>
          <w:sz w:val="24"/>
          <w:szCs w:val="24"/>
        </w:rPr>
      </w:pPr>
      <w:r>
        <w:rPr>
          <w:rFonts w:cs="宋体"/>
          <w:sz w:val="24"/>
          <w:szCs w:val="24"/>
        </w:rPr>
        <w:br w:type="page"/>
      </w:r>
    </w:p>
    <w:p w14:paraId="2621A5C4">
      <w:pPr>
        <w:shd w:val="clear" w:color="auto" w:fill="FFFFFF"/>
        <w:topLinePunct/>
        <w:autoSpaceDE/>
        <w:autoSpaceDN/>
        <w:adjustRightInd/>
        <w:ind w:firstLine="480" w:firstLineChars="200"/>
        <w:jc w:val="both"/>
        <w:rPr>
          <w:rFonts w:cs="宋体"/>
          <w:color w:val="000000"/>
          <w:sz w:val="24"/>
          <w:szCs w:val="24"/>
        </w:rPr>
      </w:pPr>
      <w:r>
        <w:rPr>
          <w:rFonts w:cs="宋体"/>
          <w:color w:val="000000"/>
          <w:sz w:val="24"/>
          <w:szCs w:val="24"/>
        </w:rPr>
        <w:t>非器械MDDS是一种仅用于提供一种或多种以下用途的软件功能，</w:t>
      </w:r>
      <w:r>
        <w:rPr>
          <w:rFonts w:hint="eastAsia" w:cs="宋体"/>
          <w:color w:val="000000"/>
          <w:sz w:val="24"/>
          <w:szCs w:val="24"/>
        </w:rPr>
        <w:t>不会</w:t>
      </w:r>
      <w:r>
        <w:rPr>
          <w:rFonts w:cs="宋体"/>
          <w:color w:val="000000"/>
          <w:sz w:val="24"/>
          <w:szCs w:val="24"/>
        </w:rPr>
        <w:t>控制或更改任何所连接医疗器械的功能或参数，</w:t>
      </w:r>
      <w:r>
        <w:rPr>
          <w:rFonts w:hint="eastAsia" w:cs="宋体"/>
          <w:color w:val="000000"/>
          <w:sz w:val="24"/>
          <w:szCs w:val="24"/>
        </w:rPr>
        <w:t>这些功能或参数</w:t>
      </w:r>
      <w:r>
        <w:rPr>
          <w:rFonts w:cs="宋体"/>
          <w:color w:val="000000"/>
          <w:sz w:val="24"/>
          <w:szCs w:val="24"/>
        </w:rPr>
        <w:t>可能用于或不用于主动患者监测</w:t>
      </w:r>
      <w:r>
        <w:rPr>
          <w:rStyle w:val="14"/>
          <w:rFonts w:cs="宋体"/>
          <w:color w:val="000000"/>
          <w:sz w:val="24"/>
          <w:szCs w:val="24"/>
        </w:rPr>
        <w:footnoteReference w:id="2"/>
      </w:r>
      <w:r>
        <w:rPr>
          <w:rFonts w:cs="宋体"/>
          <w:color w:val="000000"/>
          <w:sz w:val="24"/>
          <w:szCs w:val="24"/>
        </w:rPr>
        <w:t>：</w:t>
      </w:r>
    </w:p>
    <w:p w14:paraId="19D85323">
      <w:pPr>
        <w:shd w:val="clear" w:color="auto" w:fill="FFFFFF"/>
        <w:topLinePunct/>
        <w:autoSpaceDE/>
        <w:autoSpaceDN/>
        <w:adjustRightInd/>
        <w:jc w:val="both"/>
        <w:rPr>
          <w:sz w:val="24"/>
          <w:szCs w:val="24"/>
        </w:rPr>
      </w:pPr>
    </w:p>
    <w:p w14:paraId="73E113C9">
      <w:pPr>
        <w:pStyle w:val="19"/>
        <w:numPr>
          <w:ilvl w:val="0"/>
          <w:numId w:val="1"/>
        </w:numPr>
        <w:shd w:val="clear" w:color="auto" w:fill="FFFFFF"/>
        <w:topLinePunct/>
        <w:autoSpaceDE/>
        <w:autoSpaceDN/>
        <w:adjustRightInd/>
        <w:ind w:left="880" w:leftChars="200" w:hanging="480" w:hangingChars="200"/>
        <w:jc w:val="both"/>
        <w:rPr>
          <w:sz w:val="24"/>
          <w:szCs w:val="24"/>
        </w:rPr>
      </w:pPr>
      <w:r>
        <w:rPr>
          <w:rFonts w:cs="宋体"/>
          <w:color w:val="000000"/>
          <w:sz w:val="24"/>
          <w:szCs w:val="24"/>
        </w:rPr>
        <w:t>医疗器械数据的电子传输或交换。例如，这将包括从呼吸机收集关于患者二氧化碳水平的输出并将信息传输至中央患者数据存储库的软件。</w:t>
      </w:r>
    </w:p>
    <w:p w14:paraId="1AFA29E7">
      <w:pPr>
        <w:pStyle w:val="19"/>
        <w:shd w:val="clear" w:color="auto" w:fill="FFFFFF"/>
        <w:topLinePunct/>
        <w:autoSpaceDE/>
        <w:autoSpaceDN/>
        <w:adjustRightInd/>
        <w:ind w:left="880" w:firstLine="0" w:firstLineChars="0"/>
        <w:jc w:val="both"/>
        <w:rPr>
          <w:sz w:val="24"/>
          <w:szCs w:val="24"/>
        </w:rPr>
      </w:pPr>
    </w:p>
    <w:p w14:paraId="1CC10015">
      <w:pPr>
        <w:pStyle w:val="19"/>
        <w:numPr>
          <w:ilvl w:val="0"/>
          <w:numId w:val="1"/>
        </w:numPr>
        <w:shd w:val="clear" w:color="auto" w:fill="FFFFFF"/>
        <w:topLinePunct/>
        <w:autoSpaceDE/>
        <w:autoSpaceDN/>
        <w:adjustRightInd/>
        <w:ind w:left="880" w:leftChars="200" w:hanging="480" w:hangingChars="200"/>
        <w:jc w:val="both"/>
        <w:rPr>
          <w:sz w:val="24"/>
          <w:szCs w:val="24"/>
        </w:rPr>
      </w:pPr>
      <w:r>
        <w:rPr>
          <w:rFonts w:cs="宋体"/>
          <w:color w:val="000000"/>
          <w:sz w:val="24"/>
          <w:szCs w:val="24"/>
        </w:rPr>
        <w:t>医疗器械数据的电子存储和检索。例如，存储历史血压信息供医疗保健提供者以后审查的软件。</w:t>
      </w:r>
    </w:p>
    <w:p w14:paraId="0A2641A3">
      <w:pPr>
        <w:pStyle w:val="19"/>
        <w:shd w:val="clear" w:color="auto" w:fill="FFFFFF"/>
        <w:topLinePunct/>
        <w:autoSpaceDE/>
        <w:autoSpaceDN/>
        <w:adjustRightInd/>
        <w:ind w:left="880" w:firstLine="0" w:firstLineChars="0"/>
        <w:jc w:val="both"/>
        <w:rPr>
          <w:sz w:val="24"/>
          <w:szCs w:val="24"/>
        </w:rPr>
      </w:pPr>
    </w:p>
    <w:p w14:paraId="332CD50F">
      <w:pPr>
        <w:pStyle w:val="19"/>
        <w:numPr>
          <w:ilvl w:val="0"/>
          <w:numId w:val="1"/>
        </w:numPr>
        <w:shd w:val="clear" w:color="auto" w:fill="FFFFFF"/>
        <w:topLinePunct/>
        <w:autoSpaceDE/>
        <w:autoSpaceDN/>
        <w:adjustRightInd/>
        <w:ind w:left="880" w:leftChars="200" w:hanging="480" w:hangingChars="200"/>
        <w:jc w:val="both"/>
        <w:rPr>
          <w:sz w:val="24"/>
          <w:szCs w:val="24"/>
        </w:rPr>
      </w:pPr>
      <w:r>
        <w:rPr>
          <w:rFonts w:cs="宋体"/>
          <w:color w:val="000000"/>
          <w:sz w:val="24"/>
          <w:szCs w:val="24"/>
        </w:rPr>
        <w:t>根据预定规范将医疗器械数据从一种格式电子转换为另一种格式。例如，将脉搏血氧仪产生的数字数据转换为可打印数字格式的软件。</w:t>
      </w:r>
    </w:p>
    <w:p w14:paraId="78B0BEF6">
      <w:pPr>
        <w:pStyle w:val="19"/>
        <w:shd w:val="clear" w:color="auto" w:fill="FFFFFF"/>
        <w:topLinePunct/>
        <w:autoSpaceDE/>
        <w:autoSpaceDN/>
        <w:adjustRightInd/>
        <w:ind w:left="880" w:firstLine="0" w:firstLineChars="0"/>
        <w:jc w:val="both"/>
        <w:rPr>
          <w:sz w:val="24"/>
          <w:szCs w:val="24"/>
        </w:rPr>
      </w:pPr>
    </w:p>
    <w:p w14:paraId="59F67976">
      <w:pPr>
        <w:pStyle w:val="19"/>
        <w:numPr>
          <w:ilvl w:val="0"/>
          <w:numId w:val="1"/>
        </w:numPr>
        <w:shd w:val="clear" w:color="auto" w:fill="FFFFFF"/>
        <w:topLinePunct/>
        <w:autoSpaceDE/>
        <w:autoSpaceDN/>
        <w:adjustRightInd/>
        <w:ind w:left="880" w:leftChars="200" w:hanging="480" w:hangingChars="200"/>
        <w:jc w:val="both"/>
        <w:rPr>
          <w:sz w:val="24"/>
          <w:szCs w:val="24"/>
        </w:rPr>
      </w:pPr>
      <w:r>
        <w:rPr>
          <w:rFonts w:cs="宋体"/>
          <w:color w:val="000000"/>
          <w:sz w:val="24"/>
          <w:szCs w:val="24"/>
        </w:rPr>
        <w:t>医疗器械数据的电子显示。例如，显示之前存储的某位患者的心电图的软件。</w:t>
      </w:r>
    </w:p>
    <w:p w14:paraId="2F9ADEC7">
      <w:pPr>
        <w:shd w:val="clear" w:color="auto" w:fill="FFFFFF"/>
        <w:topLinePunct/>
        <w:autoSpaceDE/>
        <w:autoSpaceDN/>
        <w:adjustRightInd/>
        <w:jc w:val="both"/>
        <w:rPr>
          <w:rFonts w:cs="宋体"/>
          <w:color w:val="000000"/>
          <w:sz w:val="24"/>
          <w:szCs w:val="24"/>
        </w:rPr>
      </w:pPr>
    </w:p>
    <w:p w14:paraId="5F9E9BFA">
      <w:pPr>
        <w:shd w:val="clear" w:color="auto" w:fill="FFFFFF"/>
        <w:topLinePunct/>
        <w:autoSpaceDE/>
        <w:autoSpaceDN/>
        <w:adjustRightInd/>
        <w:ind w:firstLine="480" w:firstLineChars="200"/>
        <w:jc w:val="both"/>
        <w:rPr>
          <w:rFonts w:cs="宋体"/>
          <w:color w:val="000000"/>
          <w:sz w:val="24"/>
          <w:szCs w:val="24"/>
        </w:rPr>
      </w:pPr>
      <w:r>
        <w:rPr>
          <w:rFonts w:cs="宋体"/>
          <w:color w:val="000000"/>
          <w:sz w:val="24"/>
          <w:szCs w:val="24"/>
        </w:rPr>
        <w:t>非器械MDDS的其他示例包括：</w:t>
      </w:r>
    </w:p>
    <w:p w14:paraId="63613210">
      <w:pPr>
        <w:shd w:val="clear" w:color="auto" w:fill="FFFFFF"/>
        <w:topLinePunct/>
        <w:autoSpaceDE/>
        <w:autoSpaceDN/>
        <w:adjustRightInd/>
        <w:jc w:val="both"/>
        <w:rPr>
          <w:sz w:val="24"/>
          <w:szCs w:val="24"/>
        </w:rPr>
      </w:pPr>
    </w:p>
    <w:p w14:paraId="62D2A62D">
      <w:pPr>
        <w:pStyle w:val="19"/>
        <w:numPr>
          <w:ilvl w:val="0"/>
          <w:numId w:val="1"/>
        </w:numPr>
        <w:shd w:val="clear" w:color="auto" w:fill="FFFFFF"/>
        <w:topLinePunct/>
        <w:autoSpaceDE/>
        <w:autoSpaceDN/>
        <w:adjustRightInd/>
        <w:ind w:left="880" w:leftChars="200" w:hanging="480" w:hangingChars="200"/>
        <w:jc w:val="both"/>
        <w:rPr>
          <w:sz w:val="24"/>
          <w:szCs w:val="24"/>
        </w:rPr>
      </w:pPr>
      <w:r>
        <w:rPr>
          <w:rFonts w:cs="宋体"/>
          <w:color w:val="000000"/>
          <w:sz w:val="24"/>
          <w:szCs w:val="24"/>
        </w:rPr>
        <w:t>任何网络组件的组合或安排，包括为符合MDDS法规中的预期用途而明确创建的专门软件。</w:t>
      </w:r>
    </w:p>
    <w:p w14:paraId="22CA6B61">
      <w:pPr>
        <w:pStyle w:val="19"/>
        <w:shd w:val="clear" w:color="auto" w:fill="FFFFFF"/>
        <w:topLinePunct/>
        <w:autoSpaceDE/>
        <w:autoSpaceDN/>
        <w:adjustRightInd/>
        <w:ind w:left="880" w:firstLine="0" w:firstLineChars="0"/>
        <w:jc w:val="both"/>
        <w:rPr>
          <w:sz w:val="24"/>
          <w:szCs w:val="24"/>
        </w:rPr>
      </w:pPr>
    </w:p>
    <w:p w14:paraId="463DFCD1">
      <w:pPr>
        <w:pStyle w:val="19"/>
        <w:numPr>
          <w:ilvl w:val="0"/>
          <w:numId w:val="1"/>
        </w:numPr>
        <w:shd w:val="clear" w:color="auto" w:fill="FFFFFF"/>
        <w:topLinePunct/>
        <w:autoSpaceDE/>
        <w:autoSpaceDN/>
        <w:adjustRightInd/>
        <w:ind w:left="880" w:leftChars="200" w:hanging="480" w:hangingChars="200"/>
        <w:jc w:val="both"/>
        <w:rPr>
          <w:sz w:val="24"/>
          <w:szCs w:val="24"/>
        </w:rPr>
      </w:pPr>
      <w:r>
        <w:rPr>
          <w:rFonts w:cs="宋体"/>
          <w:color w:val="000000"/>
          <w:sz w:val="24"/>
          <w:szCs w:val="24"/>
        </w:rPr>
        <w:t>制造商特别标注（根据21</w:t>
      </w:r>
      <w:r>
        <w:rPr>
          <w:rFonts w:hint="eastAsia" w:cs="宋体"/>
          <w:color w:val="000000"/>
          <w:sz w:val="24"/>
          <w:szCs w:val="24"/>
        </w:rPr>
        <w:t xml:space="preserve"> </w:t>
      </w:r>
      <w:r>
        <w:rPr>
          <w:rFonts w:cs="宋体"/>
          <w:color w:val="000000"/>
          <w:sz w:val="24"/>
          <w:szCs w:val="24"/>
        </w:rPr>
        <w:t>CFR</w:t>
      </w:r>
      <w:r>
        <w:rPr>
          <w:rFonts w:hint="eastAsia" w:cs="宋体"/>
          <w:color w:val="000000"/>
          <w:sz w:val="24"/>
          <w:szCs w:val="24"/>
        </w:rPr>
        <w:t xml:space="preserve"> </w:t>
      </w:r>
      <w:r>
        <w:rPr>
          <w:rFonts w:cs="宋体"/>
          <w:color w:val="000000"/>
          <w:sz w:val="24"/>
          <w:szCs w:val="24"/>
        </w:rPr>
        <w:t>801的规定）为MDDS的软件功能，只要此类产品不提供其他功能。</w:t>
      </w:r>
    </w:p>
    <w:p w14:paraId="4A861A5D">
      <w:pPr>
        <w:pStyle w:val="19"/>
        <w:shd w:val="clear" w:color="auto" w:fill="FFFFFF"/>
        <w:topLinePunct/>
        <w:autoSpaceDE/>
        <w:autoSpaceDN/>
        <w:adjustRightInd/>
        <w:ind w:left="880" w:firstLine="0" w:firstLineChars="0"/>
        <w:jc w:val="both"/>
        <w:rPr>
          <w:sz w:val="24"/>
          <w:szCs w:val="24"/>
        </w:rPr>
      </w:pPr>
    </w:p>
    <w:p w14:paraId="5318AA0D">
      <w:pPr>
        <w:pStyle w:val="19"/>
        <w:numPr>
          <w:ilvl w:val="0"/>
          <w:numId w:val="1"/>
        </w:numPr>
        <w:shd w:val="clear" w:color="auto" w:fill="FFFFFF"/>
        <w:topLinePunct/>
        <w:autoSpaceDE/>
        <w:autoSpaceDN/>
        <w:adjustRightInd/>
        <w:ind w:left="880" w:leftChars="200" w:hanging="480" w:hangingChars="200"/>
        <w:jc w:val="both"/>
        <w:rPr>
          <w:sz w:val="24"/>
          <w:szCs w:val="24"/>
        </w:rPr>
      </w:pPr>
      <w:r>
        <w:rPr>
          <w:rFonts w:cs="宋体"/>
          <w:color w:val="000000"/>
          <w:sz w:val="24"/>
          <w:szCs w:val="24"/>
        </w:rPr>
        <w:t>由原始医疗器械制造商以外的实体（例如医院、第三方供应商）编写的直接连接至医疗器械以获取医疗器械信息的定制软件。</w:t>
      </w:r>
    </w:p>
    <w:p w14:paraId="15AE4F7C">
      <w:pPr>
        <w:pStyle w:val="19"/>
        <w:shd w:val="clear" w:color="auto" w:fill="FFFFFF"/>
        <w:topLinePunct/>
        <w:autoSpaceDE/>
        <w:autoSpaceDN/>
        <w:adjustRightInd/>
        <w:ind w:left="880" w:firstLine="0" w:firstLineChars="0"/>
        <w:jc w:val="both"/>
        <w:rPr>
          <w:sz w:val="24"/>
          <w:szCs w:val="24"/>
        </w:rPr>
      </w:pPr>
    </w:p>
    <w:p w14:paraId="7440A38A">
      <w:pPr>
        <w:pStyle w:val="19"/>
        <w:numPr>
          <w:ilvl w:val="0"/>
          <w:numId w:val="1"/>
        </w:numPr>
        <w:shd w:val="clear" w:color="auto" w:fill="FFFFFF"/>
        <w:topLinePunct/>
        <w:autoSpaceDE/>
        <w:autoSpaceDN/>
        <w:adjustRightInd/>
        <w:ind w:left="880" w:leftChars="200" w:hanging="480" w:hangingChars="200"/>
        <w:jc w:val="both"/>
        <w:rPr>
          <w:sz w:val="24"/>
          <w:szCs w:val="24"/>
        </w:rPr>
      </w:pPr>
      <w:r>
        <w:rPr>
          <w:rFonts w:cs="宋体"/>
          <w:sz w:val="24"/>
          <w:szCs w:val="24"/>
        </w:rPr>
        <w:t>作为信息技术（IT）基础设施的一部分，为特定MDDS功能创建和/或修改（编写和编译软件）的软件的修改部分。</w:t>
      </w:r>
      <w:r>
        <w:rPr>
          <w:rFonts w:cs="宋体"/>
          <w:color w:val="000000"/>
          <w:sz w:val="24"/>
          <w:szCs w:val="24"/>
        </w:rPr>
        <w:t>例如，当为MDDS功能修改软件时，仅修改部分视为MDDS；原始软件并不视为MDDS。</w:t>
      </w:r>
    </w:p>
    <w:p w14:paraId="6ECED7C5">
      <w:pPr>
        <w:pStyle w:val="19"/>
        <w:shd w:val="clear" w:color="auto" w:fill="FFFFFF"/>
        <w:topLinePunct/>
        <w:autoSpaceDE/>
        <w:autoSpaceDN/>
        <w:adjustRightInd/>
        <w:ind w:left="1264" w:firstLine="0" w:firstLineChars="0"/>
        <w:jc w:val="both"/>
        <w:rPr>
          <w:sz w:val="24"/>
          <w:szCs w:val="24"/>
        </w:rPr>
      </w:pPr>
    </w:p>
    <w:p w14:paraId="66FDFD00">
      <w:pPr>
        <w:shd w:val="clear" w:color="auto" w:fill="FFFFFF"/>
        <w:topLinePunct/>
        <w:autoSpaceDE/>
        <w:autoSpaceDN/>
        <w:adjustRightInd/>
        <w:ind w:left="480" w:hanging="480" w:hangingChars="200"/>
        <w:jc w:val="both"/>
        <w:rPr>
          <w:sz w:val="24"/>
          <w:szCs w:val="24"/>
        </w:rPr>
      </w:pPr>
      <w:r>
        <w:rPr>
          <w:rFonts w:cs="宋体"/>
          <w:sz w:val="24"/>
          <w:szCs w:val="24"/>
        </w:rPr>
        <w:br w:type="page"/>
      </w:r>
    </w:p>
    <w:p w14:paraId="38DFE53B">
      <w:pPr>
        <w:shd w:val="clear" w:color="auto" w:fill="FFFFFF"/>
        <w:topLinePunct/>
        <w:autoSpaceDE/>
        <w:autoSpaceDN/>
        <w:adjustRightInd/>
        <w:ind w:firstLine="480" w:firstLineChars="200"/>
        <w:jc w:val="both"/>
        <w:rPr>
          <w:rFonts w:cs="宋体"/>
          <w:color w:val="000000"/>
          <w:sz w:val="24"/>
          <w:szCs w:val="24"/>
        </w:rPr>
      </w:pPr>
      <w:r>
        <w:rPr>
          <w:rFonts w:cs="宋体"/>
          <w:color w:val="000000"/>
          <w:sz w:val="24"/>
          <w:szCs w:val="24"/>
        </w:rPr>
        <w:t>MDDS不会修改数据，也不会控制任何连接的医疗</w:t>
      </w:r>
      <w:r>
        <w:rPr>
          <w:rFonts w:hint="eastAsia" w:cs="宋体"/>
          <w:color w:val="000000"/>
          <w:sz w:val="24"/>
          <w:szCs w:val="24"/>
        </w:rPr>
        <w:t>器械</w:t>
      </w:r>
      <w:r>
        <w:rPr>
          <w:rFonts w:cs="宋体"/>
          <w:color w:val="000000"/>
          <w:sz w:val="24"/>
          <w:szCs w:val="24"/>
        </w:rPr>
        <w:t>的功能或参数。用于在多患者显示器上生成警报或</w:t>
      </w:r>
      <w:r>
        <w:rPr>
          <w:rFonts w:hint="eastAsia" w:cs="宋体"/>
          <w:color w:val="000000"/>
          <w:sz w:val="24"/>
          <w:szCs w:val="24"/>
        </w:rPr>
        <w:t>警告，</w:t>
      </w:r>
      <w:r>
        <w:rPr>
          <w:rFonts w:cs="宋体"/>
          <w:color w:val="000000"/>
          <w:sz w:val="24"/>
          <w:szCs w:val="24"/>
        </w:rPr>
        <w:t>或对患者相关信息进行优先级排序的软件功能（通常用于主动患者监测）被视为器械软件功能，因为这些功能涉及实验室测试或其他器械数据和结果的分析或解释。如上所述，非器械MDDS可能包括传输、存储、转换格式或显示医疗器械数据的软件功能，这些数据可能用于也可能不用于主动患者监测。</w:t>
      </w:r>
    </w:p>
    <w:p w14:paraId="692F83E0">
      <w:pPr>
        <w:shd w:val="clear" w:color="auto" w:fill="FFFFFF"/>
        <w:topLinePunct/>
        <w:autoSpaceDE/>
        <w:autoSpaceDN/>
        <w:adjustRightInd/>
        <w:ind w:firstLine="480" w:firstLineChars="200"/>
        <w:jc w:val="both"/>
        <w:rPr>
          <w:sz w:val="24"/>
          <w:szCs w:val="24"/>
        </w:rPr>
      </w:pPr>
    </w:p>
    <w:p w14:paraId="0069E86C">
      <w:pPr>
        <w:shd w:val="clear" w:color="auto" w:fill="FFFFFF"/>
        <w:topLinePunct/>
        <w:autoSpaceDE/>
        <w:autoSpaceDN/>
        <w:adjustRightInd/>
        <w:ind w:firstLine="480" w:firstLineChars="200"/>
        <w:jc w:val="both"/>
        <w:rPr>
          <w:rFonts w:cs="宋体"/>
          <w:color w:val="000000"/>
          <w:sz w:val="24"/>
          <w:szCs w:val="24"/>
        </w:rPr>
      </w:pPr>
      <w:r>
        <w:rPr>
          <w:rFonts w:cs="宋体"/>
          <w:color w:val="000000"/>
          <w:sz w:val="24"/>
          <w:szCs w:val="24"/>
        </w:rPr>
        <w:t>用于主动患者监测的器械功能的软件功能包括以下特点：</w:t>
      </w:r>
    </w:p>
    <w:p w14:paraId="5EE30C7A">
      <w:pPr>
        <w:shd w:val="clear" w:color="auto" w:fill="FFFFFF"/>
        <w:topLinePunct/>
        <w:autoSpaceDE/>
        <w:autoSpaceDN/>
        <w:adjustRightInd/>
        <w:jc w:val="both"/>
        <w:rPr>
          <w:sz w:val="24"/>
          <w:szCs w:val="24"/>
        </w:rPr>
      </w:pPr>
    </w:p>
    <w:p w14:paraId="7A061E7E">
      <w:pPr>
        <w:pStyle w:val="19"/>
        <w:numPr>
          <w:ilvl w:val="0"/>
          <w:numId w:val="1"/>
        </w:numPr>
        <w:shd w:val="clear" w:color="auto" w:fill="FFFFFF"/>
        <w:topLinePunct/>
        <w:autoSpaceDE/>
        <w:autoSpaceDN/>
        <w:adjustRightInd/>
        <w:ind w:left="880" w:leftChars="200" w:hanging="480" w:hangingChars="200"/>
        <w:jc w:val="both"/>
        <w:rPr>
          <w:sz w:val="24"/>
          <w:szCs w:val="24"/>
        </w:rPr>
      </w:pPr>
      <w:r>
        <w:rPr>
          <w:rFonts w:cs="宋体"/>
          <w:color w:val="000000"/>
          <w:sz w:val="24"/>
          <w:szCs w:val="24"/>
        </w:rPr>
        <w:t>临床环境要求及时响应（</w:t>
      </w:r>
      <w:r>
        <w:rPr>
          <w:rFonts w:hint="eastAsia" w:cs="宋体"/>
          <w:color w:val="000000"/>
          <w:sz w:val="24"/>
          <w:szCs w:val="24"/>
        </w:rPr>
        <w:t>例如，</w:t>
      </w:r>
      <w:r>
        <w:rPr>
          <w:rFonts w:cs="宋体"/>
          <w:color w:val="000000"/>
          <w:sz w:val="24"/>
          <w:szCs w:val="24"/>
        </w:rPr>
        <w:t>院内患者监测）。</w:t>
      </w:r>
    </w:p>
    <w:p w14:paraId="476297EF">
      <w:pPr>
        <w:pStyle w:val="19"/>
        <w:shd w:val="clear" w:color="auto" w:fill="FFFFFF"/>
        <w:topLinePunct/>
        <w:autoSpaceDE/>
        <w:autoSpaceDN/>
        <w:adjustRightInd/>
        <w:ind w:left="880" w:firstLine="0" w:firstLineChars="0"/>
        <w:jc w:val="both"/>
        <w:rPr>
          <w:sz w:val="24"/>
          <w:szCs w:val="24"/>
        </w:rPr>
      </w:pPr>
    </w:p>
    <w:p w14:paraId="57CCCEDF">
      <w:pPr>
        <w:pStyle w:val="19"/>
        <w:numPr>
          <w:ilvl w:val="0"/>
          <w:numId w:val="1"/>
        </w:numPr>
        <w:shd w:val="clear" w:color="auto" w:fill="FFFFFF"/>
        <w:topLinePunct/>
        <w:autoSpaceDE/>
        <w:autoSpaceDN/>
        <w:adjustRightInd/>
        <w:ind w:left="880" w:leftChars="200" w:hanging="480" w:hangingChars="200"/>
        <w:jc w:val="both"/>
        <w:rPr>
          <w:sz w:val="24"/>
          <w:szCs w:val="24"/>
        </w:rPr>
      </w:pPr>
      <w:r>
        <w:rPr>
          <w:rFonts w:cs="宋体"/>
          <w:color w:val="000000"/>
          <w:sz w:val="24"/>
          <w:szCs w:val="24"/>
        </w:rPr>
        <w:t>临床状况（疾病或诊断）需要及时响应（例如，旨在检测危及生命的心律失常</w:t>
      </w:r>
      <w:r>
        <w:rPr>
          <w:rFonts w:hint="eastAsia" w:cs="宋体"/>
          <w:color w:val="000000"/>
          <w:sz w:val="24"/>
          <w:szCs w:val="24"/>
        </w:rPr>
        <w:t>（</w:t>
      </w:r>
      <w:r>
        <w:rPr>
          <w:rFonts w:cs="宋体"/>
          <w:color w:val="000000"/>
          <w:sz w:val="24"/>
          <w:szCs w:val="24"/>
        </w:rPr>
        <w:t>如心室颤动</w:t>
      </w:r>
      <w:r>
        <w:rPr>
          <w:rFonts w:hint="eastAsia" w:cs="宋体"/>
          <w:color w:val="000000"/>
          <w:sz w:val="24"/>
          <w:szCs w:val="24"/>
        </w:rPr>
        <w:t>）的</w:t>
      </w:r>
      <w:r>
        <w:rPr>
          <w:rFonts w:cs="宋体"/>
          <w:color w:val="000000"/>
          <w:sz w:val="24"/>
          <w:szCs w:val="24"/>
        </w:rPr>
        <w:t>监测器，或用于主动监测糖尿病以进行时效性干预的器械）。</w:t>
      </w:r>
    </w:p>
    <w:p w14:paraId="2C6B9014">
      <w:pPr>
        <w:shd w:val="clear" w:color="auto" w:fill="FFFFFF"/>
        <w:topLinePunct/>
        <w:autoSpaceDE/>
        <w:autoSpaceDN/>
        <w:adjustRightInd/>
        <w:jc w:val="both"/>
        <w:rPr>
          <w:rFonts w:cs="宋体"/>
          <w:color w:val="000000"/>
          <w:sz w:val="24"/>
          <w:szCs w:val="24"/>
        </w:rPr>
      </w:pPr>
    </w:p>
    <w:p w14:paraId="6729160E">
      <w:pPr>
        <w:shd w:val="clear" w:color="auto" w:fill="FFFFFF"/>
        <w:topLinePunct/>
        <w:autoSpaceDE/>
        <w:autoSpaceDN/>
        <w:adjustRightInd/>
        <w:ind w:firstLine="480" w:firstLineChars="200"/>
        <w:jc w:val="both"/>
        <w:rPr>
          <w:rFonts w:cs="宋体"/>
          <w:color w:val="000000"/>
          <w:sz w:val="24"/>
          <w:szCs w:val="24"/>
        </w:rPr>
      </w:pPr>
      <w:r>
        <w:rPr>
          <w:rFonts w:cs="宋体"/>
          <w:color w:val="000000"/>
          <w:sz w:val="24"/>
          <w:szCs w:val="24"/>
        </w:rPr>
        <w:t>提供主动患者监测的器械示例包括：</w:t>
      </w:r>
    </w:p>
    <w:p w14:paraId="35832A74">
      <w:pPr>
        <w:shd w:val="clear" w:color="auto" w:fill="FFFFFF"/>
        <w:topLinePunct/>
        <w:autoSpaceDE/>
        <w:autoSpaceDN/>
        <w:adjustRightInd/>
        <w:jc w:val="both"/>
        <w:rPr>
          <w:sz w:val="24"/>
          <w:szCs w:val="24"/>
        </w:rPr>
      </w:pPr>
    </w:p>
    <w:p w14:paraId="2E3FF725">
      <w:pPr>
        <w:pStyle w:val="19"/>
        <w:numPr>
          <w:ilvl w:val="0"/>
          <w:numId w:val="2"/>
        </w:numPr>
        <w:shd w:val="clear" w:color="auto" w:fill="FFFFFF"/>
        <w:topLinePunct/>
        <w:autoSpaceDE/>
        <w:autoSpaceDN/>
        <w:adjustRightInd/>
        <w:ind w:left="1304" w:leftChars="400" w:hanging="504" w:hangingChars="210"/>
        <w:jc w:val="both"/>
        <w:rPr>
          <w:sz w:val="24"/>
          <w:szCs w:val="24"/>
        </w:rPr>
      </w:pPr>
      <w:r>
        <w:rPr>
          <w:rFonts w:cs="宋体"/>
          <w:color w:val="000000"/>
          <w:sz w:val="24"/>
          <w:szCs w:val="24"/>
        </w:rPr>
        <w:t>接收和显示医院ICU</w:t>
      </w:r>
      <w:r>
        <w:rPr>
          <w:rFonts w:hint="eastAsia" w:cs="宋体"/>
          <w:color w:val="000000"/>
          <w:sz w:val="24"/>
          <w:szCs w:val="24"/>
        </w:rPr>
        <w:t>床边监测器</w:t>
      </w:r>
      <w:r>
        <w:rPr>
          <w:rFonts w:cs="宋体"/>
          <w:color w:val="000000"/>
          <w:sz w:val="24"/>
          <w:szCs w:val="24"/>
        </w:rPr>
        <w:t>的信息的护士遥测站。</w:t>
      </w:r>
    </w:p>
    <w:p w14:paraId="66F91B09">
      <w:pPr>
        <w:pStyle w:val="19"/>
        <w:numPr>
          <w:ilvl w:val="0"/>
          <w:numId w:val="2"/>
        </w:numPr>
        <w:shd w:val="clear" w:color="auto" w:fill="FFFFFF"/>
        <w:topLinePunct/>
        <w:autoSpaceDE/>
        <w:autoSpaceDN/>
        <w:adjustRightInd/>
        <w:ind w:left="1304" w:leftChars="400" w:hanging="504" w:hangingChars="210"/>
        <w:jc w:val="both"/>
        <w:rPr>
          <w:sz w:val="24"/>
          <w:szCs w:val="24"/>
        </w:rPr>
      </w:pPr>
      <w:r>
        <w:rPr>
          <w:rFonts w:cs="宋体"/>
          <w:color w:val="000000"/>
          <w:sz w:val="24"/>
          <w:szCs w:val="24"/>
        </w:rPr>
        <w:t>接收和/或显示家庭环境中监测器械的信息、警报或</w:t>
      </w:r>
      <w:r>
        <w:rPr>
          <w:rFonts w:hint="eastAsia" w:cs="宋体"/>
          <w:color w:val="000000"/>
          <w:sz w:val="24"/>
          <w:szCs w:val="24"/>
        </w:rPr>
        <w:t>警告并</w:t>
      </w:r>
      <w:r>
        <w:rPr>
          <w:rFonts w:cs="宋体"/>
          <w:color w:val="000000"/>
          <w:sz w:val="24"/>
          <w:szCs w:val="24"/>
        </w:rPr>
        <w:t>旨在提醒护理人员立即采取临床措施的器械。</w:t>
      </w:r>
    </w:p>
    <w:p w14:paraId="04008028">
      <w:pPr>
        <w:shd w:val="clear" w:color="auto" w:fill="FFFFFF"/>
        <w:topLinePunct/>
        <w:autoSpaceDE/>
        <w:autoSpaceDN/>
        <w:adjustRightInd/>
        <w:jc w:val="both"/>
        <w:rPr>
          <w:rFonts w:cs="宋体"/>
          <w:color w:val="000000"/>
          <w:sz w:val="24"/>
          <w:szCs w:val="24"/>
        </w:rPr>
      </w:pPr>
    </w:p>
    <w:p w14:paraId="7D8F04E1">
      <w:pPr>
        <w:shd w:val="clear" w:color="auto" w:fill="FFFFFF"/>
        <w:topLinePunct/>
        <w:autoSpaceDE/>
        <w:autoSpaceDN/>
        <w:adjustRightInd/>
        <w:ind w:firstLine="480" w:firstLineChars="200"/>
        <w:jc w:val="both"/>
        <w:rPr>
          <w:rFonts w:cs="宋体"/>
          <w:color w:val="000000"/>
          <w:sz w:val="24"/>
          <w:szCs w:val="24"/>
        </w:rPr>
      </w:pPr>
      <w:r>
        <w:rPr>
          <w:rFonts w:cs="宋体"/>
          <w:color w:val="000000"/>
          <w:sz w:val="24"/>
          <w:szCs w:val="24"/>
        </w:rPr>
        <w:t>传输、存储、转换格式或显示医疗器械数据且属于非器械MDDS的产品示例：</w:t>
      </w:r>
    </w:p>
    <w:p w14:paraId="2241341B">
      <w:pPr>
        <w:shd w:val="clear" w:color="auto" w:fill="FFFFFF"/>
        <w:topLinePunct/>
        <w:autoSpaceDE/>
        <w:autoSpaceDN/>
        <w:adjustRightInd/>
        <w:jc w:val="both"/>
        <w:rPr>
          <w:sz w:val="24"/>
          <w:szCs w:val="24"/>
        </w:rPr>
      </w:pPr>
    </w:p>
    <w:p w14:paraId="72BB190E">
      <w:pPr>
        <w:pStyle w:val="19"/>
        <w:numPr>
          <w:ilvl w:val="0"/>
          <w:numId w:val="2"/>
        </w:numPr>
        <w:shd w:val="clear" w:color="auto" w:fill="FFFFFF"/>
        <w:topLinePunct/>
        <w:autoSpaceDE/>
        <w:autoSpaceDN/>
        <w:adjustRightInd/>
        <w:ind w:left="1304" w:leftChars="400" w:hanging="504" w:hangingChars="210"/>
        <w:jc w:val="both"/>
        <w:rPr>
          <w:sz w:val="24"/>
          <w:szCs w:val="24"/>
        </w:rPr>
      </w:pPr>
      <w:r>
        <w:rPr>
          <w:rFonts w:cs="宋体"/>
          <w:color w:val="000000"/>
          <w:sz w:val="24"/>
          <w:szCs w:val="24"/>
        </w:rPr>
        <w:t>当儿童在学校的医务室/保健室时，将儿童的体温发送给家长/监护人的应用程序。</w:t>
      </w:r>
    </w:p>
    <w:p w14:paraId="0EBD2EE4">
      <w:pPr>
        <w:pStyle w:val="19"/>
        <w:numPr>
          <w:ilvl w:val="0"/>
          <w:numId w:val="2"/>
        </w:numPr>
        <w:shd w:val="clear" w:color="auto" w:fill="FFFFFF"/>
        <w:topLinePunct/>
        <w:autoSpaceDE/>
        <w:autoSpaceDN/>
        <w:adjustRightInd/>
        <w:ind w:left="1304" w:leftChars="400" w:hanging="504" w:hangingChars="210"/>
        <w:jc w:val="both"/>
        <w:rPr>
          <w:sz w:val="24"/>
          <w:szCs w:val="24"/>
        </w:rPr>
      </w:pPr>
      <w:r>
        <w:rPr>
          <w:rFonts w:cs="宋体"/>
          <w:color w:val="000000"/>
          <w:sz w:val="24"/>
          <w:szCs w:val="24"/>
        </w:rPr>
        <w:t>一种便于远程显示血糖仪信息的应用</w:t>
      </w:r>
      <w:r>
        <w:rPr>
          <w:rFonts w:hint="eastAsia" w:cs="宋体"/>
          <w:color w:val="000000"/>
          <w:sz w:val="24"/>
          <w:szCs w:val="24"/>
        </w:rPr>
        <w:t>程序</w:t>
      </w:r>
      <w:r>
        <w:rPr>
          <w:rFonts w:cs="宋体"/>
          <w:color w:val="000000"/>
          <w:sz w:val="24"/>
          <w:szCs w:val="24"/>
        </w:rPr>
        <w:t>，血糖仪用户可独立查看其血糖和血糖水平，其目的不是用于立即采取临床措施。在这些情况下，远程显示信息（如</w:t>
      </w:r>
      <w:r>
        <w:rPr>
          <w:rFonts w:hint="eastAsia" w:cs="宋体"/>
          <w:color w:val="000000"/>
          <w:sz w:val="24"/>
          <w:szCs w:val="24"/>
        </w:rPr>
        <w:t>最新</w:t>
      </w:r>
      <w:r>
        <w:rPr>
          <w:rFonts w:cs="宋体"/>
          <w:color w:val="000000"/>
          <w:sz w:val="24"/>
          <w:szCs w:val="24"/>
        </w:rPr>
        <w:t>的血糖值或血糖测量之间的时间间隔）不被视为主动患者监测。</w:t>
      </w:r>
    </w:p>
    <w:p w14:paraId="3A78C4C7">
      <w:pPr>
        <w:shd w:val="clear" w:color="auto" w:fill="FFFFFF"/>
        <w:topLinePunct/>
        <w:autoSpaceDE/>
        <w:autoSpaceDN/>
        <w:adjustRightInd/>
        <w:jc w:val="both"/>
        <w:rPr>
          <w:rFonts w:cs="宋体"/>
          <w:sz w:val="24"/>
          <w:szCs w:val="24"/>
        </w:rPr>
      </w:pPr>
    </w:p>
    <w:p w14:paraId="0ABC9D99">
      <w:pPr>
        <w:shd w:val="clear" w:color="auto" w:fill="FFFFFF"/>
        <w:topLinePunct/>
        <w:autoSpaceDE/>
        <w:autoSpaceDN/>
        <w:adjustRightInd/>
        <w:ind w:firstLine="480" w:firstLineChars="200"/>
        <w:jc w:val="both"/>
        <w:rPr>
          <w:rFonts w:cs="宋体"/>
          <w:color w:val="000000"/>
          <w:sz w:val="24"/>
          <w:szCs w:val="24"/>
        </w:rPr>
      </w:pPr>
      <w:r>
        <w:rPr>
          <w:rFonts w:cs="宋体"/>
          <w:sz w:val="24"/>
          <w:szCs w:val="24"/>
        </w:rPr>
        <w:t>本指南还规定了医疗影像存储和医疗影像通信器械的政策。</w:t>
      </w:r>
      <w:r>
        <w:rPr>
          <w:rFonts w:cs="宋体"/>
          <w:color w:val="000000"/>
          <w:sz w:val="24"/>
          <w:szCs w:val="24"/>
        </w:rPr>
        <w:t>这些器械的定义如下：</w:t>
      </w:r>
    </w:p>
    <w:p w14:paraId="4621DF62">
      <w:pPr>
        <w:shd w:val="clear" w:color="auto" w:fill="FFFFFF"/>
        <w:topLinePunct/>
        <w:autoSpaceDE/>
        <w:autoSpaceDN/>
        <w:adjustRightInd/>
        <w:jc w:val="both"/>
        <w:rPr>
          <w:sz w:val="24"/>
          <w:szCs w:val="24"/>
        </w:rPr>
      </w:pPr>
    </w:p>
    <w:p w14:paraId="00F6B5FA">
      <w:pPr>
        <w:pStyle w:val="19"/>
        <w:numPr>
          <w:ilvl w:val="0"/>
          <w:numId w:val="1"/>
        </w:numPr>
        <w:shd w:val="clear" w:color="auto" w:fill="FFFFFF"/>
        <w:topLinePunct/>
        <w:autoSpaceDE/>
        <w:autoSpaceDN/>
        <w:adjustRightInd/>
        <w:ind w:left="880" w:leftChars="200" w:hanging="480" w:hangingChars="200"/>
        <w:jc w:val="both"/>
        <w:rPr>
          <w:sz w:val="24"/>
          <w:szCs w:val="24"/>
        </w:rPr>
      </w:pPr>
      <w:r>
        <w:rPr>
          <w:rFonts w:cs="宋体"/>
          <w:color w:val="000000"/>
          <w:sz w:val="24"/>
          <w:szCs w:val="24"/>
        </w:rPr>
        <w:t>根据21 CFR 892.2010的定义，医疗影像存储器械是一种为医疗影像提供电子存储和检索功能的器械。</w:t>
      </w:r>
    </w:p>
    <w:p w14:paraId="1C838B52">
      <w:pPr>
        <w:pStyle w:val="19"/>
        <w:shd w:val="clear" w:color="auto" w:fill="FFFFFF"/>
        <w:topLinePunct/>
        <w:autoSpaceDE/>
        <w:autoSpaceDN/>
        <w:adjustRightInd/>
        <w:ind w:left="880" w:firstLine="0" w:firstLineChars="0"/>
        <w:jc w:val="both"/>
        <w:rPr>
          <w:sz w:val="24"/>
          <w:szCs w:val="24"/>
        </w:rPr>
      </w:pPr>
    </w:p>
    <w:p w14:paraId="13AFDE90">
      <w:pPr>
        <w:pStyle w:val="19"/>
        <w:numPr>
          <w:ilvl w:val="0"/>
          <w:numId w:val="1"/>
        </w:numPr>
        <w:shd w:val="clear" w:color="auto" w:fill="FFFFFF"/>
        <w:topLinePunct/>
        <w:autoSpaceDE/>
        <w:autoSpaceDN/>
        <w:adjustRightInd/>
        <w:ind w:left="880" w:leftChars="200" w:hanging="480" w:hangingChars="200"/>
        <w:jc w:val="both"/>
        <w:rPr>
          <w:sz w:val="24"/>
          <w:szCs w:val="24"/>
        </w:rPr>
      </w:pPr>
      <w:r>
        <w:rPr>
          <w:rFonts w:cs="宋体"/>
          <w:sz w:val="24"/>
          <w:szCs w:val="24"/>
        </w:rPr>
        <w:t>根据21 CFR 892.2020的定义</w:t>
      </w:r>
      <w:r>
        <w:rPr>
          <w:rFonts w:hint="eastAsia" w:cs="宋体"/>
          <w:sz w:val="24"/>
          <w:szCs w:val="24"/>
        </w:rPr>
        <w:t>，</w:t>
      </w:r>
      <w:r>
        <w:rPr>
          <w:rFonts w:cs="宋体"/>
          <w:sz w:val="24"/>
          <w:szCs w:val="24"/>
        </w:rPr>
        <w:t>医疗影像通信器械是一种在医疗器械之间提供医疗影像数据电子传输的器械。</w:t>
      </w:r>
    </w:p>
    <w:p w14:paraId="5CF9EA44">
      <w:pPr>
        <w:pStyle w:val="19"/>
        <w:widowControl/>
        <w:numPr>
          <w:ilvl w:val="0"/>
          <w:numId w:val="1"/>
        </w:numPr>
        <w:shd w:val="clear" w:color="auto" w:fill="FFFFFF"/>
        <w:topLinePunct/>
        <w:autoSpaceDE/>
        <w:autoSpaceDN/>
        <w:adjustRightInd/>
        <w:ind w:left="1264" w:leftChars="200" w:hanging="864" w:hangingChars="360"/>
        <w:jc w:val="both"/>
        <w:rPr>
          <w:sz w:val="24"/>
          <w:szCs w:val="24"/>
        </w:rPr>
      </w:pPr>
      <w:r>
        <w:rPr>
          <w:rFonts w:cs="宋体"/>
          <w:sz w:val="24"/>
          <w:szCs w:val="24"/>
        </w:rPr>
        <w:br w:type="page"/>
      </w:r>
    </w:p>
    <w:p w14:paraId="7A9D21A2">
      <w:pPr>
        <w:pStyle w:val="23"/>
        <w:snapToGrid w:val="0"/>
      </w:pPr>
      <w:bookmarkStart w:id="2" w:name="_Toc97389938"/>
      <w:r>
        <w:t>III.</w:t>
      </w:r>
      <w:r>
        <w:tab/>
      </w:r>
      <w:r>
        <w:t>医疗器械数据系统、医疗影像存储器械和医疗影像通信器械政策</w:t>
      </w:r>
      <w:bookmarkEnd w:id="2"/>
    </w:p>
    <w:p w14:paraId="078F9F95">
      <w:pPr>
        <w:shd w:val="clear" w:color="auto" w:fill="FFFFFF"/>
        <w:topLinePunct/>
        <w:autoSpaceDE/>
        <w:autoSpaceDN/>
        <w:adjustRightInd/>
        <w:jc w:val="both"/>
        <w:rPr>
          <w:rFonts w:cs="宋体"/>
          <w:color w:val="000000"/>
          <w:sz w:val="24"/>
          <w:szCs w:val="24"/>
        </w:rPr>
      </w:pPr>
      <w:bookmarkStart w:id="3" w:name="_Toc97389939"/>
    </w:p>
    <w:p w14:paraId="79202DCC">
      <w:pPr>
        <w:pStyle w:val="3"/>
      </w:pPr>
      <w:r>
        <w:t>A.</w:t>
      </w:r>
      <w:r>
        <w:tab/>
      </w:r>
      <w:r>
        <w:t>非器械MDDS政策</w:t>
      </w:r>
      <w:bookmarkEnd w:id="3"/>
    </w:p>
    <w:p w14:paraId="22A4DDCE">
      <w:pPr>
        <w:shd w:val="clear" w:color="auto" w:fill="FFFFFF"/>
        <w:topLinePunct/>
        <w:autoSpaceDE/>
        <w:autoSpaceDN/>
        <w:adjustRightInd/>
        <w:jc w:val="both"/>
        <w:rPr>
          <w:rFonts w:cs="宋体"/>
          <w:color w:val="000000"/>
          <w:sz w:val="24"/>
          <w:szCs w:val="24"/>
        </w:rPr>
      </w:pPr>
    </w:p>
    <w:p w14:paraId="6289E551">
      <w:pPr>
        <w:shd w:val="clear" w:color="auto" w:fill="FFFFFF"/>
        <w:topLinePunct/>
        <w:autoSpaceDE/>
        <w:autoSpaceDN/>
        <w:adjustRightInd/>
        <w:ind w:firstLine="480" w:firstLineChars="200"/>
        <w:jc w:val="both"/>
        <w:rPr>
          <w:rFonts w:cs="宋体"/>
          <w:color w:val="000000"/>
          <w:sz w:val="24"/>
          <w:szCs w:val="24"/>
        </w:rPr>
      </w:pPr>
      <w:r>
        <w:rPr>
          <w:rFonts w:cs="宋体"/>
          <w:color w:val="000000"/>
          <w:sz w:val="24"/>
          <w:szCs w:val="24"/>
        </w:rPr>
        <w:t>符合非器械MDDS定义的软件功能、医疗影像存储器械或医疗影像通信器械不属于《FD&amp;C法案》第201(h)节规定的器械。</w:t>
      </w:r>
      <w:r>
        <w:rPr>
          <w:rFonts w:cs="宋体"/>
          <w:sz w:val="24"/>
          <w:szCs w:val="24"/>
        </w:rPr>
        <w:t>因此，</w:t>
      </w:r>
      <w:r>
        <w:rPr>
          <w:rFonts w:cs="宋体"/>
          <w:i/>
          <w:sz w:val="24"/>
          <w:szCs w:val="24"/>
        </w:rPr>
        <w:t>仅用于</w:t>
      </w:r>
      <w:r>
        <w:rPr>
          <w:rFonts w:cs="宋体"/>
          <w:sz w:val="24"/>
          <w:szCs w:val="24"/>
        </w:rPr>
        <w:t>传输、存储、转换格式和显示医疗器械数据和结果的软件功能（包括医疗影像、波形、信号或其他临床信息）不属于器械，不受适用于器械的FDA监管要求约束。</w:t>
      </w:r>
      <w:r>
        <w:rPr>
          <w:rFonts w:cs="宋体"/>
          <w:color w:val="000000"/>
          <w:sz w:val="24"/>
          <w:szCs w:val="24"/>
        </w:rPr>
        <w:t>然而，除了传输、存储、转换格式或显示临床实验室测试或其他器械数据和结果之外，分析或解释医疗器械数据的软件功能仍需接受FDA的监管，除非它们符合《FD&amp;C法案》第520(o)(1)(E)节中列出的标准。</w:t>
      </w:r>
    </w:p>
    <w:p w14:paraId="29DDED5F">
      <w:pPr>
        <w:shd w:val="clear" w:color="auto" w:fill="FFFFFF"/>
        <w:topLinePunct/>
        <w:autoSpaceDE/>
        <w:autoSpaceDN/>
        <w:adjustRightInd/>
        <w:jc w:val="both"/>
        <w:rPr>
          <w:sz w:val="24"/>
          <w:szCs w:val="24"/>
        </w:rPr>
      </w:pPr>
    </w:p>
    <w:p w14:paraId="5F2F3827">
      <w:pPr>
        <w:pStyle w:val="3"/>
      </w:pPr>
      <w:bookmarkStart w:id="4" w:name="_Toc97389940"/>
      <w:r>
        <w:t>B.</w:t>
      </w:r>
      <w:r>
        <w:tab/>
      </w:r>
      <w:r>
        <w:t>器械MDDS政策</w:t>
      </w:r>
      <w:bookmarkEnd w:id="4"/>
    </w:p>
    <w:p w14:paraId="41E81E91">
      <w:pPr>
        <w:shd w:val="clear" w:color="auto" w:fill="FFFFFF"/>
        <w:topLinePunct/>
        <w:autoSpaceDE/>
        <w:autoSpaceDN/>
        <w:adjustRightInd/>
        <w:jc w:val="both"/>
        <w:rPr>
          <w:rFonts w:cs="宋体"/>
          <w:color w:val="000000"/>
          <w:sz w:val="24"/>
          <w:szCs w:val="24"/>
        </w:rPr>
      </w:pPr>
    </w:p>
    <w:p w14:paraId="318A274E">
      <w:pPr>
        <w:shd w:val="clear" w:color="auto" w:fill="FFFFFF"/>
        <w:topLinePunct/>
        <w:autoSpaceDE/>
        <w:autoSpaceDN/>
        <w:adjustRightInd/>
        <w:ind w:firstLine="480" w:firstLineChars="200"/>
        <w:jc w:val="both"/>
        <w:rPr>
          <w:rFonts w:cs="宋体"/>
          <w:color w:val="000000"/>
          <w:sz w:val="24"/>
          <w:szCs w:val="24"/>
        </w:rPr>
      </w:pPr>
      <w:r>
        <w:rPr>
          <w:rFonts w:cs="宋体"/>
          <w:color w:val="000000"/>
          <w:sz w:val="24"/>
          <w:szCs w:val="24"/>
        </w:rPr>
        <w:t>用于传输、存储、转换格式和显示医疗器械数据和结果的硬件功能仍然属于《FD&amp;C法案》第201(h)节规定的器械。</w:t>
      </w:r>
      <w:r>
        <w:rPr>
          <w:rFonts w:cs="宋体"/>
          <w:sz w:val="24"/>
          <w:szCs w:val="24"/>
        </w:rPr>
        <w:t>FDA不会对被视为器械MDDS、医疗影像存储或医疗影像通信器械的硬件产品强制执行《FD&amp;C法案》的要求，只要硬件功能仅限于辅助以下软件功能：电子传输、存储、格式转换或显示医疗器械数据。</w:t>
      </w:r>
      <w:r>
        <w:rPr>
          <w:rFonts w:cs="宋体"/>
          <w:color w:val="000000"/>
          <w:sz w:val="24"/>
          <w:szCs w:val="24"/>
        </w:rPr>
        <w:t>这些硬件功能可包括以下法规：</w:t>
      </w:r>
    </w:p>
    <w:p w14:paraId="00E97E57">
      <w:pPr>
        <w:shd w:val="clear" w:color="auto" w:fill="FFFFFF"/>
        <w:topLinePunct/>
        <w:autoSpaceDE/>
        <w:autoSpaceDN/>
        <w:adjustRightInd/>
        <w:jc w:val="both"/>
        <w:rPr>
          <w:sz w:val="24"/>
          <w:szCs w:val="24"/>
        </w:rPr>
      </w:pPr>
    </w:p>
    <w:p w14:paraId="1C12ADD6">
      <w:pPr>
        <w:numPr>
          <w:ilvl w:val="0"/>
          <w:numId w:val="3"/>
        </w:numPr>
        <w:shd w:val="clear" w:color="auto" w:fill="FFFFFF"/>
        <w:tabs>
          <w:tab w:val="left" w:pos="720"/>
        </w:tabs>
        <w:topLinePunct/>
        <w:autoSpaceDE/>
        <w:autoSpaceDN/>
        <w:adjustRightInd/>
        <w:ind w:left="880" w:leftChars="200" w:hanging="480" w:hangingChars="200"/>
        <w:jc w:val="both"/>
        <w:rPr>
          <w:color w:val="000000"/>
          <w:sz w:val="24"/>
          <w:szCs w:val="24"/>
        </w:rPr>
      </w:pPr>
      <w:r>
        <w:rPr>
          <w:rFonts w:cs="宋体"/>
          <w:color w:val="000000"/>
          <w:sz w:val="24"/>
          <w:szCs w:val="24"/>
        </w:rPr>
        <w:t>受21 CFR 880.6310约束的MDDS，</w:t>
      </w:r>
    </w:p>
    <w:p w14:paraId="13A39DB2">
      <w:pPr>
        <w:numPr>
          <w:ilvl w:val="0"/>
          <w:numId w:val="3"/>
        </w:numPr>
        <w:shd w:val="clear" w:color="auto" w:fill="FFFFFF"/>
        <w:tabs>
          <w:tab w:val="left" w:pos="720"/>
        </w:tabs>
        <w:topLinePunct/>
        <w:autoSpaceDE/>
        <w:autoSpaceDN/>
        <w:adjustRightInd/>
        <w:ind w:left="880" w:leftChars="200" w:hanging="480" w:hangingChars="200"/>
        <w:jc w:val="both"/>
        <w:rPr>
          <w:color w:val="000000"/>
          <w:sz w:val="24"/>
          <w:szCs w:val="24"/>
        </w:rPr>
      </w:pPr>
      <w:r>
        <w:rPr>
          <w:rFonts w:cs="宋体"/>
          <w:color w:val="000000"/>
          <w:sz w:val="24"/>
          <w:szCs w:val="24"/>
        </w:rPr>
        <w:t>受21 CFR 892.2010约束的医疗影像存储器械，以及</w:t>
      </w:r>
    </w:p>
    <w:p w14:paraId="06E57CED">
      <w:pPr>
        <w:numPr>
          <w:ilvl w:val="0"/>
          <w:numId w:val="3"/>
        </w:numPr>
        <w:shd w:val="clear" w:color="auto" w:fill="FFFFFF"/>
        <w:tabs>
          <w:tab w:val="left" w:pos="720"/>
        </w:tabs>
        <w:topLinePunct/>
        <w:autoSpaceDE/>
        <w:autoSpaceDN/>
        <w:adjustRightInd/>
        <w:ind w:left="880" w:leftChars="200" w:hanging="480" w:hangingChars="200"/>
        <w:jc w:val="both"/>
        <w:rPr>
          <w:color w:val="000000"/>
          <w:sz w:val="24"/>
          <w:szCs w:val="24"/>
        </w:rPr>
      </w:pPr>
      <w:r>
        <w:rPr>
          <w:rFonts w:cs="宋体"/>
          <w:color w:val="000000"/>
          <w:sz w:val="24"/>
          <w:szCs w:val="24"/>
        </w:rPr>
        <w:t>受21 CFR 892.2020约束的医疗影像通信器械。</w:t>
      </w:r>
    </w:p>
    <w:p w14:paraId="18A08508">
      <w:pPr>
        <w:shd w:val="clear" w:color="auto" w:fill="FFFFFF"/>
        <w:topLinePunct/>
        <w:autoSpaceDE/>
        <w:autoSpaceDN/>
        <w:adjustRightInd/>
        <w:jc w:val="both"/>
        <w:rPr>
          <w:rFonts w:cs="宋体"/>
          <w:color w:val="000000"/>
          <w:sz w:val="24"/>
          <w:szCs w:val="24"/>
        </w:rPr>
      </w:pPr>
    </w:p>
    <w:p w14:paraId="2CF6399C">
      <w:pPr>
        <w:shd w:val="clear" w:color="auto" w:fill="FFFFFF"/>
        <w:topLinePunct/>
        <w:autoSpaceDE/>
        <w:autoSpaceDN/>
        <w:adjustRightInd/>
        <w:ind w:firstLine="480" w:firstLineChars="200"/>
        <w:jc w:val="both"/>
        <w:rPr>
          <w:rFonts w:cs="宋体"/>
          <w:color w:val="000000"/>
          <w:sz w:val="24"/>
          <w:szCs w:val="24"/>
        </w:rPr>
      </w:pPr>
      <w:r>
        <w:rPr>
          <w:rFonts w:cs="宋体"/>
          <w:color w:val="000000"/>
          <w:sz w:val="24"/>
          <w:szCs w:val="24"/>
        </w:rPr>
        <w:t>这意味着，对于符合上述法规定义的硬件功能，FDA不会强制要求这些器械类型的制造商遵守</w:t>
      </w:r>
      <w:r>
        <w:rPr>
          <w:rFonts w:hint="eastAsia" w:cs="宋体"/>
          <w:color w:val="000000"/>
          <w:sz w:val="24"/>
          <w:szCs w:val="24"/>
        </w:rPr>
        <w:t>监管</w:t>
      </w:r>
      <w:r>
        <w:rPr>
          <w:rFonts w:cs="宋体"/>
          <w:color w:val="000000"/>
          <w:sz w:val="24"/>
          <w:szCs w:val="24"/>
        </w:rPr>
        <w:t>控制（包括注册和上市、上市前审查、上市后报告和质量体系监管）。</w:t>
      </w:r>
    </w:p>
    <w:p w14:paraId="5B478E6A">
      <w:pPr>
        <w:shd w:val="clear" w:color="auto" w:fill="FFFFFF"/>
        <w:topLinePunct/>
        <w:autoSpaceDE/>
        <w:autoSpaceDN/>
        <w:adjustRightInd/>
        <w:ind w:firstLine="480" w:firstLineChars="200"/>
        <w:jc w:val="both"/>
        <w:rPr>
          <w:sz w:val="24"/>
          <w:szCs w:val="24"/>
        </w:rPr>
      </w:pPr>
    </w:p>
    <w:p w14:paraId="7D0CE145">
      <w:pPr>
        <w:shd w:val="clear" w:color="auto" w:fill="FFFFFF"/>
        <w:topLinePunct/>
        <w:autoSpaceDE/>
        <w:autoSpaceDN/>
        <w:adjustRightInd/>
        <w:ind w:firstLine="480" w:firstLineChars="200"/>
        <w:jc w:val="both"/>
        <w:rPr>
          <w:rFonts w:cs="宋体"/>
          <w:color w:val="000000"/>
          <w:sz w:val="24"/>
          <w:szCs w:val="24"/>
        </w:rPr>
      </w:pPr>
      <w:r>
        <w:rPr>
          <w:rFonts w:cs="宋体"/>
          <w:color w:val="000000"/>
          <w:sz w:val="24"/>
          <w:szCs w:val="24"/>
        </w:rPr>
        <w:t>以上列出的每项器械MDDS法规均包含对上市前通知的豁免；然而，根据21 CFR 880.9和21 CFR 892.9确定的豁免限制要求在所列情况下提交上市前通知。即使超过这些限制，FDA也不会对符合上述法规定义的硬件功能强制执行监管控制。例如，在这些限制适用的范围内，如果器械属于用于评估心血管疾病风险（21 CFR 880.9(</w:t>
      </w:r>
      <w:r>
        <w:rPr>
          <w:rFonts w:hint="eastAsia" w:cs="宋体"/>
          <w:color w:val="000000"/>
          <w:sz w:val="24"/>
          <w:szCs w:val="24"/>
        </w:rPr>
        <w:t>c</w:t>
      </w:r>
      <w:r>
        <w:rPr>
          <w:rFonts w:cs="宋体"/>
          <w:color w:val="000000"/>
          <w:sz w:val="24"/>
          <w:szCs w:val="24"/>
        </w:rPr>
        <w:t>)(</w:t>
      </w:r>
      <w:r>
        <w:rPr>
          <w:rFonts w:hint="eastAsia" w:cs="宋体"/>
          <w:color w:val="000000"/>
          <w:sz w:val="24"/>
          <w:szCs w:val="24"/>
        </w:rPr>
        <w:t>4</w:t>
      </w:r>
      <w:r>
        <w:rPr>
          <w:rFonts w:cs="宋体"/>
          <w:color w:val="000000"/>
          <w:sz w:val="24"/>
          <w:szCs w:val="24"/>
        </w:rPr>
        <w:t>)）或用于糖尿病管理（21 CFR 880.9(</w:t>
      </w:r>
      <w:r>
        <w:rPr>
          <w:rFonts w:hint="eastAsia" w:cs="宋体"/>
          <w:color w:val="000000"/>
          <w:sz w:val="24"/>
          <w:szCs w:val="24"/>
        </w:rPr>
        <w:t>c</w:t>
      </w:r>
      <w:r>
        <w:rPr>
          <w:rFonts w:cs="宋体"/>
          <w:color w:val="000000"/>
          <w:sz w:val="24"/>
          <w:szCs w:val="24"/>
        </w:rPr>
        <w:t>)(5)）的体内器械，则FDA不会强制执行对器械MDDS的监管控制。</w:t>
      </w:r>
    </w:p>
    <w:p w14:paraId="632F68C0">
      <w:pPr>
        <w:shd w:val="clear" w:color="auto" w:fill="FFFFFF"/>
        <w:topLinePunct/>
        <w:autoSpaceDE/>
        <w:autoSpaceDN/>
        <w:adjustRightInd/>
        <w:ind w:firstLine="480" w:firstLineChars="200"/>
        <w:jc w:val="both"/>
        <w:rPr>
          <w:sz w:val="24"/>
          <w:szCs w:val="24"/>
        </w:rPr>
      </w:pPr>
    </w:p>
    <w:p w14:paraId="11F37F15">
      <w:pPr>
        <w:shd w:val="clear" w:color="auto" w:fill="FFFFFF"/>
        <w:topLinePunct/>
        <w:autoSpaceDE/>
        <w:autoSpaceDN/>
        <w:adjustRightInd/>
        <w:ind w:firstLine="480" w:firstLineChars="200"/>
        <w:jc w:val="both"/>
        <w:rPr>
          <w:rFonts w:cs="宋体"/>
          <w:color w:val="000000"/>
          <w:sz w:val="24"/>
          <w:szCs w:val="24"/>
        </w:rPr>
      </w:pPr>
      <w:r>
        <w:rPr>
          <w:rFonts w:cs="宋体"/>
          <w:color w:val="000000"/>
          <w:sz w:val="24"/>
          <w:szCs w:val="24"/>
        </w:rPr>
        <w:br w:type="page"/>
      </w:r>
    </w:p>
    <w:p w14:paraId="43D3D11F">
      <w:pPr>
        <w:shd w:val="clear" w:color="auto" w:fill="FFFFFF"/>
        <w:topLinePunct/>
        <w:autoSpaceDE/>
        <w:autoSpaceDN/>
        <w:adjustRightInd/>
        <w:ind w:firstLine="480" w:firstLineChars="200"/>
        <w:jc w:val="both"/>
        <w:rPr>
          <w:rFonts w:cs="宋体"/>
          <w:color w:val="000000"/>
          <w:sz w:val="24"/>
          <w:szCs w:val="24"/>
        </w:rPr>
      </w:pPr>
      <w:r>
        <w:rPr>
          <w:rFonts w:cs="宋体"/>
          <w:color w:val="000000"/>
          <w:sz w:val="24"/>
          <w:szCs w:val="24"/>
        </w:rPr>
        <w:t>用于数字乳腺造影术、放射学、病理学和眼科的专业医疗显示硬件器械（例如，参见21 CFR 892.2050）和其他对安全和有效使用医疗器械硬件产品不可或缺的专业医疗显示硬件（如机器人手术系统中的整体3D显示器和ICU</w:t>
      </w:r>
      <w:r>
        <w:rPr>
          <w:rFonts w:hint="eastAsia" w:cs="宋体"/>
          <w:color w:val="000000"/>
          <w:sz w:val="24"/>
          <w:szCs w:val="24"/>
        </w:rPr>
        <w:t>床边</w:t>
      </w:r>
      <w:r>
        <w:rPr>
          <w:rFonts w:cs="宋体"/>
          <w:color w:val="000000"/>
          <w:sz w:val="24"/>
          <w:szCs w:val="24"/>
        </w:rPr>
        <w:t>监测器中内置的显示器）尚未被视为MDDS、医疗影像存储或医疗影像通信器械。此类医疗显示硬件器械和其他与医疗器械</w:t>
      </w:r>
      <w:r>
        <w:rPr>
          <w:rFonts w:hint="eastAsia" w:cs="宋体"/>
          <w:color w:val="000000"/>
          <w:sz w:val="24"/>
          <w:szCs w:val="24"/>
        </w:rPr>
        <w:t>集成</w:t>
      </w:r>
      <w:r>
        <w:rPr>
          <w:rFonts w:cs="宋体"/>
          <w:color w:val="000000"/>
          <w:sz w:val="24"/>
          <w:szCs w:val="24"/>
        </w:rPr>
        <w:t>的其他专业医疗显示硬件并未被排除在《治愈法案》的器械定义之外，也不被视为器械MDDS。</w:t>
      </w:r>
    </w:p>
    <w:p w14:paraId="18BA0BF3">
      <w:pPr>
        <w:shd w:val="clear" w:color="auto" w:fill="FFFFFF"/>
        <w:topLinePunct/>
        <w:autoSpaceDE/>
        <w:autoSpaceDN/>
        <w:adjustRightInd/>
        <w:ind w:firstLine="480" w:firstLineChars="200"/>
        <w:jc w:val="both"/>
        <w:rPr>
          <w:rFonts w:cs="宋体"/>
          <w:color w:val="000000"/>
          <w:sz w:val="24"/>
          <w:szCs w:val="24"/>
        </w:rPr>
      </w:pPr>
    </w:p>
    <w:p w14:paraId="7B4ABA80">
      <w:pPr>
        <w:shd w:val="clear" w:color="auto" w:fill="FFFFFF"/>
        <w:topLinePunct/>
        <w:autoSpaceDE/>
        <w:autoSpaceDN/>
        <w:adjustRightInd/>
        <w:ind w:firstLine="480" w:firstLineChars="200"/>
        <w:jc w:val="both"/>
        <w:rPr>
          <w:rFonts w:cs="宋体"/>
          <w:color w:val="000000"/>
          <w:sz w:val="24"/>
          <w:szCs w:val="24"/>
        </w:rPr>
      </w:pPr>
      <w:r>
        <w:rPr>
          <w:rFonts w:cs="宋体"/>
          <w:color w:val="000000"/>
          <w:sz w:val="24"/>
          <w:szCs w:val="24"/>
        </w:rPr>
        <w:t>在某些情况下，传输、存储、转换格式或显示医疗器械数据和结果的软件功能</w:t>
      </w:r>
      <w:r>
        <w:rPr>
          <w:rFonts w:hint="eastAsia" w:cs="宋体"/>
          <w:color w:val="000000"/>
          <w:sz w:val="24"/>
          <w:szCs w:val="24"/>
        </w:rPr>
        <w:t>被用于硬件上</w:t>
      </w:r>
      <w:r>
        <w:rPr>
          <w:rFonts w:cs="宋体"/>
          <w:color w:val="000000"/>
          <w:sz w:val="24"/>
          <w:szCs w:val="24"/>
        </w:rPr>
        <w:t>，而硬件制造商并不会将这些硬件用于《FD&amp;C法案》第201(h)节规定的器械功能。例如，用于数据传输（</w:t>
      </w:r>
      <w:r>
        <w:rPr>
          <w:rFonts w:hint="eastAsia" w:cs="宋体"/>
          <w:color w:val="000000"/>
          <w:sz w:val="24"/>
          <w:szCs w:val="24"/>
        </w:rPr>
        <w:t>如</w:t>
      </w:r>
      <w:r>
        <w:rPr>
          <w:rFonts w:cs="宋体"/>
          <w:color w:val="000000"/>
          <w:sz w:val="24"/>
          <w:szCs w:val="24"/>
        </w:rPr>
        <w:t>网络路由器）、数据存储（</w:t>
      </w:r>
      <w:r>
        <w:rPr>
          <w:rFonts w:hint="eastAsia" w:cs="宋体"/>
          <w:color w:val="000000"/>
          <w:sz w:val="24"/>
          <w:szCs w:val="24"/>
        </w:rPr>
        <w:t>如</w:t>
      </w:r>
      <w:r>
        <w:rPr>
          <w:rFonts w:cs="宋体"/>
          <w:color w:val="000000"/>
          <w:sz w:val="24"/>
          <w:szCs w:val="24"/>
        </w:rPr>
        <w:t>网络附加存储（NAS））、数据转换（如PDF软件）和数据显示（计算机显示器）的通用硬件IT基础设施不属于器械功能。此类产品在软件或硬件功能方面均不符合《FD&amp;C法案》第201(h)节中的器械定义，因此不作为器械接受监管。</w:t>
      </w:r>
    </w:p>
    <w:p w14:paraId="455EF30A">
      <w:pPr>
        <w:shd w:val="clear" w:color="auto" w:fill="FFFFFF"/>
        <w:topLinePunct/>
        <w:autoSpaceDE/>
        <w:autoSpaceDN/>
        <w:adjustRightInd/>
        <w:ind w:firstLine="480" w:firstLineChars="200"/>
        <w:jc w:val="both"/>
        <w:rPr>
          <w:sz w:val="24"/>
          <w:szCs w:val="24"/>
        </w:rPr>
      </w:pPr>
    </w:p>
    <w:p w14:paraId="7CE1BAB4">
      <w:pPr>
        <w:pStyle w:val="3"/>
      </w:pPr>
      <w:bookmarkStart w:id="5" w:name="_Toc97389941"/>
      <w:r>
        <w:t>C.</w:t>
      </w:r>
      <w:r>
        <w:tab/>
      </w:r>
      <w:r>
        <w:t>含非器械MDDS或器械MDDS的多功能器械产品</w:t>
      </w:r>
      <w:bookmarkEnd w:id="5"/>
    </w:p>
    <w:p w14:paraId="669E9920">
      <w:pPr>
        <w:shd w:val="clear" w:color="auto" w:fill="FFFFFF"/>
        <w:topLinePunct/>
        <w:autoSpaceDE/>
        <w:autoSpaceDN/>
        <w:adjustRightInd/>
        <w:jc w:val="both"/>
        <w:rPr>
          <w:rFonts w:cs="宋体"/>
          <w:color w:val="000000"/>
          <w:sz w:val="24"/>
          <w:szCs w:val="24"/>
        </w:rPr>
      </w:pPr>
    </w:p>
    <w:p w14:paraId="62A786E5">
      <w:pPr>
        <w:shd w:val="clear" w:color="auto" w:fill="FFFFFF"/>
        <w:topLinePunct/>
        <w:autoSpaceDE/>
        <w:autoSpaceDN/>
        <w:adjustRightInd/>
        <w:ind w:firstLine="480" w:firstLineChars="200"/>
        <w:jc w:val="both"/>
        <w:rPr>
          <w:sz w:val="24"/>
          <w:szCs w:val="24"/>
        </w:rPr>
      </w:pPr>
      <w:r>
        <w:rPr>
          <w:rFonts w:hint="eastAsia" w:cs="宋体"/>
          <w:color w:val="000000"/>
          <w:sz w:val="24"/>
          <w:szCs w:val="24"/>
        </w:rPr>
        <w:t>与</w:t>
      </w:r>
      <w:r>
        <w:rPr>
          <w:rFonts w:cs="宋体"/>
          <w:color w:val="000000"/>
          <w:sz w:val="24"/>
          <w:szCs w:val="24"/>
        </w:rPr>
        <w:t>《FD&amp;C法案》第520(o)(2)节的规定一致</w:t>
      </w:r>
      <w:r>
        <w:rPr>
          <w:rFonts w:hint="eastAsia" w:cs="宋体"/>
          <w:color w:val="000000"/>
          <w:sz w:val="24"/>
          <w:szCs w:val="24"/>
        </w:rPr>
        <w:t>，</w:t>
      </w:r>
      <w:r>
        <w:rPr>
          <w:rFonts w:cs="宋体"/>
          <w:color w:val="000000"/>
          <w:sz w:val="24"/>
          <w:szCs w:val="24"/>
        </w:rPr>
        <w:t>该节描述了对具有多种功能（包括至少一种器械功能和至少一种非器械软件功能）的产品的监管，FDA不会对包含在多功能器械产品中的非器械MDDS功能进行监管。如果一个多功能器械产品包含器械MDDS功能，基于我们目前对这些器械风险的理解，FDA目前并不会强制执行《FD&amp;C法案》的要求。然而，FDA可能会评估这些非器械MDDS和器械MDDS功能对多功能器械产品中器械功能安全性和有效性的影响。FDA预期在另一份指南文件中提供关于此类具有多功能的产品的监管建议。</w:t>
      </w:r>
    </w:p>
    <w:p w14:paraId="7B5EDFE6">
      <w:pPr>
        <w:pBdr>
          <w:bottom w:val="single" w:color="auto" w:sz="4" w:space="1"/>
        </w:pBdr>
        <w:shd w:val="clear" w:color="auto" w:fill="FFFFFF"/>
        <w:topLinePunct/>
        <w:autoSpaceDE/>
        <w:autoSpaceDN/>
        <w:adjustRightInd/>
        <w:jc w:val="center"/>
        <w:rPr>
          <w:rFonts w:hint="eastAsia" w:eastAsia="宋体"/>
          <w:lang w:eastAsia="zh-CN"/>
        </w:rPr>
      </w:pPr>
    </w:p>
    <w:p w14:paraId="083CFEB4">
      <w:pPr>
        <w:pBdr>
          <w:bottom w:val="single" w:color="auto" w:sz="4" w:space="1"/>
        </w:pBdr>
        <w:shd w:val="clear" w:color="auto" w:fill="FFFFFF"/>
        <w:topLinePunct/>
        <w:autoSpaceDE/>
        <w:autoSpaceDN/>
        <w:adjustRightInd/>
        <w:jc w:val="center"/>
        <w:rPr>
          <w:rFonts w:hint="eastAsia" w:eastAsia="宋体"/>
          <w:lang w:eastAsia="zh-CN"/>
        </w:rPr>
      </w:pPr>
    </w:p>
    <w:p w14:paraId="18ECDCED">
      <w:pPr>
        <w:pBdr>
          <w:bottom w:val="single" w:color="auto" w:sz="4" w:space="1"/>
        </w:pBdr>
        <w:shd w:val="clear" w:color="auto" w:fill="FFFFFF"/>
        <w:topLinePunct/>
        <w:autoSpaceDE/>
        <w:autoSpaceDN/>
        <w:adjustRightInd/>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8"/>
                    <a:stretch>
                      <a:fillRect/>
                    </a:stretch>
                  </pic:blipFill>
                  <pic:spPr>
                    <a:xfrm>
                      <a:off x="0" y="0"/>
                      <a:ext cx="5210175" cy="7343775"/>
                    </a:xfrm>
                    <a:prstGeom prst="rect">
                      <a:avLst/>
                    </a:prstGeom>
                  </pic:spPr>
                </pic:pic>
              </a:graphicData>
            </a:graphic>
          </wp:inline>
        </w:drawing>
      </w:r>
    </w:p>
    <w:sectPr>
      <w:footerReference r:id="rId5" w:type="default"/>
      <w:pgSz w:w="11909" w:h="16834"/>
      <w:pgMar w:top="1134" w:right="1134" w:bottom="1134" w:left="1418" w:header="567" w:footer="567" w:gutter="0"/>
      <w:pgNumType w:start="1"/>
      <w:cols w:space="60" w:num="1"/>
      <w:docGrid w:type="lines" w:linePitch="36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142FE">
    <w:pPr>
      <w:pStyle w:val="5"/>
      <w:jc w:val="right"/>
      <w:rPr>
        <w:sz w:val="21"/>
        <w:szCs w:val="21"/>
      </w:rPr>
    </w:pPr>
    <w:r>
      <w:rPr>
        <w:vanish/>
        <w:sz w:val="21"/>
        <w:szCs w:val="21"/>
      </w:rPr>
      <w:fldChar w:fldCharType="begin"/>
    </w:r>
    <w:r>
      <w:rPr>
        <w:vanish/>
        <w:sz w:val="21"/>
        <w:szCs w:val="21"/>
      </w:rPr>
      <w:instrText xml:space="preserve">PAGE   \* MERGEFORMAT</w:instrText>
    </w:r>
    <w:r>
      <w:rPr>
        <w:vanish/>
        <w:sz w:val="21"/>
        <w:szCs w:val="21"/>
      </w:rPr>
      <w:fldChar w:fldCharType="separate"/>
    </w:r>
    <w:r>
      <w:rPr>
        <w:sz w:val="21"/>
        <w:szCs w:val="21"/>
        <w:lang w:val="zh-CN"/>
      </w:rPr>
      <w:t>6</w:t>
    </w:r>
    <w:r>
      <w:rPr>
        <w:vanish/>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65B54114">
      <w:pPr>
        <w:shd w:val="clear" w:color="auto" w:fill="FFFFFF"/>
        <w:topLinePunct/>
        <w:autoSpaceDE/>
        <w:autoSpaceDN/>
        <w:adjustRightInd/>
        <w:snapToGrid w:val="0"/>
        <w:jc w:val="both"/>
        <w:rPr>
          <w:color w:val="000000"/>
          <w:sz w:val="21"/>
          <w:szCs w:val="21"/>
        </w:rPr>
      </w:pPr>
      <w:r>
        <w:rPr>
          <w:rStyle w:val="14"/>
          <w:sz w:val="21"/>
          <w:szCs w:val="21"/>
        </w:rPr>
        <w:footnoteRef/>
      </w:r>
      <w:r>
        <w:rPr>
          <w:color w:val="000000"/>
          <w:sz w:val="21"/>
          <w:szCs w:val="21"/>
        </w:rPr>
        <w:t>参见医疗器械；《医疗器械数据系统最终规范》（76 FR 8637）（2011年2月15日）。</w:t>
      </w:r>
    </w:p>
  </w:footnote>
  <w:footnote w:id="1">
    <w:p w14:paraId="3FF744DA">
      <w:pPr>
        <w:shd w:val="clear" w:color="auto" w:fill="FFFFFF"/>
        <w:topLinePunct/>
        <w:autoSpaceDE/>
        <w:autoSpaceDN/>
        <w:adjustRightInd/>
        <w:snapToGrid w:val="0"/>
        <w:jc w:val="both"/>
        <w:rPr>
          <w:sz w:val="21"/>
          <w:szCs w:val="21"/>
        </w:rPr>
      </w:pPr>
      <w:r>
        <w:rPr>
          <w:rStyle w:val="14"/>
          <w:sz w:val="21"/>
          <w:szCs w:val="21"/>
        </w:rPr>
        <w:footnoteRef/>
      </w:r>
      <w:r>
        <w:rPr>
          <w:sz w:val="21"/>
          <w:szCs w:val="21"/>
        </w:rPr>
        <w:t>可登录以下网址获取：</w:t>
      </w:r>
      <w:r>
        <w:fldChar w:fldCharType="begin"/>
      </w:r>
      <w:r>
        <w:instrText xml:space="preserve"> HYPERLINK "https://www.fda.gov/regulatory-information/search-fda-guidance-documents/" </w:instrText>
      </w:r>
      <w:r>
        <w:fldChar w:fldCharType="separate"/>
      </w:r>
      <w:r>
        <w:rPr>
          <w:rStyle w:val="13"/>
          <w:sz w:val="21"/>
          <w:szCs w:val="21"/>
        </w:rPr>
        <w:t>https://www.fda.gov/regulatory-information/search-fda-guidance-documents/</w:t>
      </w:r>
      <w:r>
        <w:rPr>
          <w:rStyle w:val="13"/>
          <w:sz w:val="21"/>
          <w:szCs w:val="21"/>
        </w:rPr>
        <w:fldChar w:fldCharType="end"/>
      </w:r>
      <w:r>
        <w:rPr>
          <w:color w:val="3333FF"/>
          <w:sz w:val="21"/>
          <w:szCs w:val="21"/>
          <w:u w:val="single"/>
        </w:rPr>
        <w:t xml:space="preserve"> Policy -device-software-functions-and-mobile-medical-applications.</w:t>
      </w:r>
    </w:p>
  </w:footnote>
  <w:footnote w:id="2">
    <w:p w14:paraId="1A8BEF92">
      <w:pPr>
        <w:pStyle w:val="8"/>
        <w:rPr>
          <w:sz w:val="21"/>
          <w:szCs w:val="21"/>
        </w:rPr>
      </w:pPr>
      <w:r>
        <w:rPr>
          <w:rStyle w:val="14"/>
          <w:sz w:val="21"/>
          <w:szCs w:val="21"/>
        </w:rPr>
        <w:footnoteRef/>
      </w:r>
      <w:r>
        <w:rPr>
          <w:sz w:val="21"/>
          <w:szCs w:val="21"/>
        </w:rPr>
        <w:t>正如MDDS法规序言中所述，</w:t>
      </w:r>
      <w:r>
        <w:rPr>
          <w:rFonts w:ascii="宋体" w:hAnsi="宋体"/>
          <w:sz w:val="21"/>
          <w:szCs w:val="21"/>
        </w:rPr>
        <w:t>“</w:t>
      </w:r>
      <w:r>
        <w:rPr>
          <w:i/>
          <w:iCs/>
          <w:sz w:val="21"/>
          <w:szCs w:val="21"/>
        </w:rPr>
        <w:t>主动</w:t>
      </w:r>
      <w:r>
        <w:rPr>
          <w:rFonts w:ascii="宋体" w:hAnsi="宋体"/>
          <w:sz w:val="21"/>
          <w:szCs w:val="21"/>
        </w:rPr>
        <w:t>”</w:t>
      </w:r>
      <w:r>
        <w:rPr>
          <w:sz w:val="21"/>
          <w:szCs w:val="21"/>
        </w:rPr>
        <w:t>一词代表</w:t>
      </w:r>
      <w:r>
        <w:rPr>
          <w:rFonts w:ascii="宋体" w:hAnsi="宋体"/>
          <w:sz w:val="21"/>
          <w:szCs w:val="21"/>
        </w:rPr>
        <w:t>“</w:t>
      </w:r>
      <w:r>
        <w:rPr>
          <w:i/>
          <w:iCs/>
          <w:sz w:val="21"/>
          <w:szCs w:val="21"/>
        </w:rPr>
        <w:t>任何旨在决定立即采取临床措施拟依赖的任何器械</w:t>
      </w:r>
      <w:r>
        <w:rPr>
          <w:rFonts w:ascii="宋体" w:hAnsi="宋体"/>
          <w:sz w:val="21"/>
          <w:szCs w:val="21"/>
        </w:rPr>
        <w:t>”</w:t>
      </w:r>
      <w:r>
        <w:rPr>
          <w:sz w:val="21"/>
          <w:szCs w:val="21"/>
        </w:rPr>
        <w:t>（</w:t>
      </w:r>
      <w:r>
        <w:rPr>
          <w:color w:val="000000"/>
          <w:sz w:val="21"/>
          <w:szCs w:val="21"/>
        </w:rPr>
        <w:t>21</w:t>
      </w:r>
      <w:r>
        <w:rPr>
          <w:rFonts w:hint="eastAsia"/>
          <w:color w:val="000000"/>
          <w:sz w:val="21"/>
          <w:szCs w:val="21"/>
        </w:rPr>
        <w:t xml:space="preserve"> </w:t>
      </w:r>
      <w:r>
        <w:rPr>
          <w:color w:val="000000"/>
          <w:sz w:val="21"/>
          <w:szCs w:val="21"/>
        </w:rPr>
        <w:t>CFR</w:t>
      </w:r>
      <w:r>
        <w:rPr>
          <w:sz w:val="21"/>
          <w:szCs w:val="21"/>
        </w:rPr>
        <w:t xml:space="preserve"> 8637 8644）。</w:t>
      </w:r>
      <w:r>
        <w:rPr>
          <w:color w:val="000000"/>
          <w:sz w:val="21"/>
          <w:szCs w:val="21"/>
        </w:rPr>
        <w:t>FDA进一步指出，现有患者监测器械的分类（例如，参见21</w:t>
      </w:r>
      <w:r>
        <w:rPr>
          <w:rFonts w:hint="eastAsia"/>
          <w:color w:val="000000"/>
          <w:sz w:val="21"/>
          <w:szCs w:val="21"/>
        </w:rPr>
        <w:t xml:space="preserve"> </w:t>
      </w:r>
      <w:r>
        <w:rPr>
          <w:color w:val="000000"/>
          <w:sz w:val="21"/>
          <w:szCs w:val="21"/>
        </w:rPr>
        <w:t>CFR</w:t>
      </w:r>
      <w:r>
        <w:rPr>
          <w:rFonts w:hint="eastAsia"/>
          <w:color w:val="000000"/>
          <w:sz w:val="21"/>
          <w:szCs w:val="21"/>
        </w:rPr>
        <w:t xml:space="preserve"> </w:t>
      </w:r>
      <w:r>
        <w:rPr>
          <w:color w:val="000000"/>
          <w:sz w:val="21"/>
          <w:szCs w:val="21"/>
        </w:rPr>
        <w:t>880</w:t>
      </w:r>
      <w:r>
        <w:rPr>
          <w:rFonts w:hint="eastAsia"/>
          <w:color w:val="000000"/>
          <w:sz w:val="21"/>
          <w:szCs w:val="21"/>
        </w:rPr>
        <w:t xml:space="preserve"> </w:t>
      </w:r>
      <w:r>
        <w:rPr>
          <w:color w:val="000000"/>
          <w:sz w:val="21"/>
          <w:szCs w:val="21"/>
        </w:rPr>
        <w:t>C子部分（一般医院和个人使用监测器械）；21</w:t>
      </w:r>
      <w:r>
        <w:rPr>
          <w:rFonts w:hint="eastAsia"/>
          <w:color w:val="000000"/>
          <w:sz w:val="21"/>
          <w:szCs w:val="21"/>
        </w:rPr>
        <w:t xml:space="preserve"> </w:t>
      </w:r>
      <w:r>
        <w:rPr>
          <w:color w:val="000000"/>
          <w:sz w:val="21"/>
          <w:szCs w:val="21"/>
        </w:rPr>
        <w:t>CFR 868</w:t>
      </w:r>
      <w:r>
        <w:rPr>
          <w:rFonts w:hint="eastAsia"/>
          <w:color w:val="000000"/>
          <w:sz w:val="21"/>
          <w:szCs w:val="21"/>
        </w:rPr>
        <w:t xml:space="preserve"> </w:t>
      </w:r>
      <w:r>
        <w:rPr>
          <w:color w:val="000000"/>
          <w:sz w:val="21"/>
          <w:szCs w:val="21"/>
        </w:rPr>
        <w:t>C子部分（麻醉监测器械）；21</w:t>
      </w:r>
      <w:r>
        <w:rPr>
          <w:rFonts w:hint="eastAsia"/>
          <w:color w:val="000000"/>
          <w:sz w:val="21"/>
          <w:szCs w:val="21"/>
        </w:rPr>
        <w:t xml:space="preserve"> </w:t>
      </w:r>
      <w:r>
        <w:rPr>
          <w:color w:val="000000"/>
          <w:sz w:val="21"/>
          <w:szCs w:val="21"/>
        </w:rPr>
        <w:t>CFR 884</w:t>
      </w:r>
      <w:r>
        <w:rPr>
          <w:rFonts w:hint="eastAsia"/>
          <w:color w:val="000000"/>
          <w:sz w:val="21"/>
          <w:szCs w:val="21"/>
        </w:rPr>
        <w:t xml:space="preserve"> </w:t>
      </w:r>
      <w:r>
        <w:rPr>
          <w:color w:val="000000"/>
          <w:sz w:val="21"/>
          <w:szCs w:val="21"/>
        </w:rPr>
        <w:t>C子部分（产科和妇科监测器械）；以及21</w:t>
      </w:r>
      <w:r>
        <w:rPr>
          <w:rFonts w:hint="eastAsia"/>
          <w:color w:val="000000"/>
          <w:sz w:val="21"/>
          <w:szCs w:val="21"/>
        </w:rPr>
        <w:t xml:space="preserve"> </w:t>
      </w:r>
      <w:r>
        <w:rPr>
          <w:color w:val="000000"/>
          <w:sz w:val="21"/>
          <w:szCs w:val="21"/>
        </w:rPr>
        <w:t>CFR 870 C子部分（心血管监测器械））。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5043C">
    <w:pPr>
      <w:pStyle w:val="6"/>
      <w:pBdr>
        <w:bottom w:val="none" w:color="auto" w:sz="0" w:space="0"/>
      </w:pBdr>
      <w:rPr>
        <w:sz w:val="21"/>
        <w:szCs w:val="21"/>
      </w:rPr>
    </w:pPr>
    <w:r>
      <w:rPr>
        <w:rFonts w:hint="eastAsia" w:cs="宋体"/>
        <w:b/>
        <w:i/>
        <w:color w:val="000000"/>
        <w:sz w:val="21"/>
        <w:szCs w:val="20"/>
      </w:rPr>
      <w:t>所含建议不具约束力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D6218F"/>
    <w:multiLevelType w:val="multilevel"/>
    <w:tmpl w:val="1BD6218F"/>
    <w:lvl w:ilvl="0" w:tentative="0">
      <w:start w:val="1"/>
      <w:numFmt w:val="bullet"/>
      <w:lvlText w:val="●"/>
      <w:lvlJc w:val="left"/>
      <w:pPr>
        <w:ind w:left="720" w:hanging="7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E1A7EAD"/>
    <w:multiLevelType w:val="multilevel"/>
    <w:tmpl w:val="1E1A7EAD"/>
    <w:lvl w:ilvl="0" w:tentative="0">
      <w:start w:val="1"/>
      <w:numFmt w:val="bullet"/>
      <w:lvlText w:val="○"/>
      <w:lvlJc w:val="left"/>
      <w:pPr>
        <w:ind w:left="420" w:hanging="420"/>
      </w:pPr>
      <w:rPr>
        <w:rFonts w:hint="default" w:ascii="Times New Roman" w:hAnsi="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6525552"/>
    <w:multiLevelType w:val="singleLevel"/>
    <w:tmpl w:val="26525552"/>
    <w:lvl w:ilvl="0" w:tentative="0">
      <w:start w:val="1"/>
      <w:numFmt w:val="lowerLetter"/>
      <w:lvlText w:val="%1）"/>
      <w:lvlJc w:val="left"/>
      <w:pPr>
        <w:ind w:left="420" w:hanging="42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720"/>
  <w:drawingGridHorizontalSpacing w:val="100"/>
  <w:drawingGridVerticalSpacing w:val="182"/>
  <w:displayHorizontalDrawingGridEvery w:val="0"/>
  <w:displayVerticalDrawingGridEvery w:val="2"/>
  <w:doNotShadeFormData w:val="1"/>
  <w:characterSpacingControl w:val="compressPunctuation"/>
  <w:doNotValidateAgainstSchema/>
  <w:doNotDemarcateInvalidXml/>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BB6"/>
    <w:rsid w:val="000044FB"/>
    <w:rsid w:val="00006241"/>
    <w:rsid w:val="00060E91"/>
    <w:rsid w:val="000B7BB8"/>
    <w:rsid w:val="000C3CE3"/>
    <w:rsid w:val="000F4D4D"/>
    <w:rsid w:val="000F5EFD"/>
    <w:rsid w:val="00114F84"/>
    <w:rsid w:val="001216D7"/>
    <w:rsid w:val="00122688"/>
    <w:rsid w:val="00134FA7"/>
    <w:rsid w:val="00182060"/>
    <w:rsid w:val="001B1C03"/>
    <w:rsid w:val="001D01E7"/>
    <w:rsid w:val="001E0B6E"/>
    <w:rsid w:val="001E0C2C"/>
    <w:rsid w:val="001F293E"/>
    <w:rsid w:val="002108E4"/>
    <w:rsid w:val="00216746"/>
    <w:rsid w:val="002256F2"/>
    <w:rsid w:val="002456D0"/>
    <w:rsid w:val="002D6ABD"/>
    <w:rsid w:val="00336F68"/>
    <w:rsid w:val="0035119E"/>
    <w:rsid w:val="00362477"/>
    <w:rsid w:val="00364E29"/>
    <w:rsid w:val="003A102E"/>
    <w:rsid w:val="0040133E"/>
    <w:rsid w:val="00402BC5"/>
    <w:rsid w:val="00402BEA"/>
    <w:rsid w:val="004224D6"/>
    <w:rsid w:val="00423622"/>
    <w:rsid w:val="00435678"/>
    <w:rsid w:val="00445CA3"/>
    <w:rsid w:val="00456D9F"/>
    <w:rsid w:val="00464C19"/>
    <w:rsid w:val="004656C1"/>
    <w:rsid w:val="00467BB2"/>
    <w:rsid w:val="0049740B"/>
    <w:rsid w:val="004D7CF1"/>
    <w:rsid w:val="004E007C"/>
    <w:rsid w:val="004F1307"/>
    <w:rsid w:val="004F500C"/>
    <w:rsid w:val="00512F26"/>
    <w:rsid w:val="00594434"/>
    <w:rsid w:val="005B3C71"/>
    <w:rsid w:val="005E10E0"/>
    <w:rsid w:val="0065637F"/>
    <w:rsid w:val="00672BB6"/>
    <w:rsid w:val="006F42D9"/>
    <w:rsid w:val="00771A72"/>
    <w:rsid w:val="007A6638"/>
    <w:rsid w:val="007B451C"/>
    <w:rsid w:val="007C1A8C"/>
    <w:rsid w:val="007C53FB"/>
    <w:rsid w:val="00803C8B"/>
    <w:rsid w:val="00815EBE"/>
    <w:rsid w:val="0086064E"/>
    <w:rsid w:val="008A4ECD"/>
    <w:rsid w:val="008B7905"/>
    <w:rsid w:val="008C4028"/>
    <w:rsid w:val="008D388C"/>
    <w:rsid w:val="008D515C"/>
    <w:rsid w:val="008E6364"/>
    <w:rsid w:val="008F1ADA"/>
    <w:rsid w:val="008F3B6E"/>
    <w:rsid w:val="008F6839"/>
    <w:rsid w:val="009023F4"/>
    <w:rsid w:val="009548AA"/>
    <w:rsid w:val="00971D3B"/>
    <w:rsid w:val="009816F5"/>
    <w:rsid w:val="009B3290"/>
    <w:rsid w:val="00A23F5E"/>
    <w:rsid w:val="00A411BB"/>
    <w:rsid w:val="00A47012"/>
    <w:rsid w:val="00A64162"/>
    <w:rsid w:val="00AE71C9"/>
    <w:rsid w:val="00B04738"/>
    <w:rsid w:val="00B10DD2"/>
    <w:rsid w:val="00B558FC"/>
    <w:rsid w:val="00B75CD0"/>
    <w:rsid w:val="00B90F94"/>
    <w:rsid w:val="00BA4752"/>
    <w:rsid w:val="00BB0B0A"/>
    <w:rsid w:val="00BE5970"/>
    <w:rsid w:val="00C0458B"/>
    <w:rsid w:val="00C76032"/>
    <w:rsid w:val="00CB7D4A"/>
    <w:rsid w:val="00CC7952"/>
    <w:rsid w:val="00CF4156"/>
    <w:rsid w:val="00D27D8C"/>
    <w:rsid w:val="00D37DC3"/>
    <w:rsid w:val="00D6342D"/>
    <w:rsid w:val="00D8093A"/>
    <w:rsid w:val="00D859D8"/>
    <w:rsid w:val="00DA3DBB"/>
    <w:rsid w:val="00DE3591"/>
    <w:rsid w:val="00E10F97"/>
    <w:rsid w:val="00E37E49"/>
    <w:rsid w:val="00E63FB3"/>
    <w:rsid w:val="00EA0F03"/>
    <w:rsid w:val="00EE0EC9"/>
    <w:rsid w:val="00F33758"/>
    <w:rsid w:val="00F456F0"/>
    <w:rsid w:val="00F52FC0"/>
    <w:rsid w:val="00F569F6"/>
    <w:rsid w:val="00FB2C0D"/>
    <w:rsid w:val="68A84B2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宋体" w:cs="Times New Roman"/>
      <w:lang w:val="en-US" w:eastAsia="zh-CN" w:bidi="ar-SA"/>
    </w:rPr>
  </w:style>
  <w:style w:type="paragraph" w:styleId="2">
    <w:name w:val="heading 1"/>
    <w:basedOn w:val="1"/>
    <w:next w:val="1"/>
    <w:link w:val="18"/>
    <w:autoRedefine/>
    <w:qFormat/>
    <w:uiPriority w:val="9"/>
    <w:pPr>
      <w:tabs>
        <w:tab w:val="left" w:pos="993"/>
      </w:tabs>
      <w:topLinePunct/>
      <w:autoSpaceDE/>
      <w:autoSpaceDN/>
      <w:ind w:left="707" w:hanging="707" w:hangingChars="220"/>
      <w:jc w:val="both"/>
      <w:outlineLvl w:val="0"/>
    </w:pPr>
    <w:rPr>
      <w:rFonts w:cs="宋体"/>
      <w:b/>
      <w:bCs/>
      <w:kern w:val="44"/>
      <w:sz w:val="32"/>
      <w:szCs w:val="32"/>
    </w:rPr>
  </w:style>
  <w:style w:type="paragraph" w:styleId="3">
    <w:name w:val="heading 2"/>
    <w:basedOn w:val="1"/>
    <w:next w:val="1"/>
    <w:link w:val="20"/>
    <w:autoRedefine/>
    <w:unhideWhenUsed/>
    <w:qFormat/>
    <w:uiPriority w:val="9"/>
    <w:pPr>
      <w:topLinePunct/>
      <w:autoSpaceDE/>
      <w:autoSpaceDN/>
      <w:ind w:left="1418" w:leftChars="355" w:hanging="708" w:hangingChars="252"/>
      <w:jc w:val="both"/>
      <w:outlineLvl w:val="1"/>
    </w:pPr>
    <w:rPr>
      <w:rFonts w:cs="宋体"/>
      <w:b/>
      <w:bCs/>
      <w:sz w:val="28"/>
      <w:szCs w:val="28"/>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Balloon Text"/>
    <w:basedOn w:val="1"/>
    <w:link w:val="17"/>
    <w:semiHidden/>
    <w:unhideWhenUsed/>
    <w:uiPriority w:val="99"/>
    <w:rPr>
      <w:sz w:val="18"/>
      <w:szCs w:val="18"/>
    </w:rPr>
  </w:style>
  <w:style w:type="paragraph" w:styleId="5">
    <w:name w:val="footer"/>
    <w:basedOn w:val="1"/>
    <w:link w:val="16"/>
    <w:unhideWhenUsed/>
    <w:uiPriority w:val="99"/>
    <w:pPr>
      <w:tabs>
        <w:tab w:val="center" w:pos="4153"/>
        <w:tab w:val="right" w:pos="8306"/>
      </w:tabs>
      <w:snapToGrid w:val="0"/>
    </w:pPr>
    <w:rPr>
      <w:sz w:val="18"/>
      <w:szCs w:val="18"/>
    </w:rPr>
  </w:style>
  <w:style w:type="paragraph" w:styleId="6">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uiPriority w:val="39"/>
    <w:pPr>
      <w:tabs>
        <w:tab w:val="right" w:leader="dot" w:pos="9347"/>
      </w:tabs>
      <w:topLinePunct/>
      <w:autoSpaceDE/>
      <w:autoSpaceDN/>
      <w:ind w:left="720" w:hanging="720" w:hangingChars="300"/>
      <w:jc w:val="both"/>
    </w:pPr>
    <w:rPr>
      <w:sz w:val="24"/>
    </w:rPr>
  </w:style>
  <w:style w:type="paragraph" w:styleId="8">
    <w:name w:val="footnote text"/>
    <w:basedOn w:val="1"/>
    <w:link w:val="22"/>
    <w:semiHidden/>
    <w:unhideWhenUsed/>
    <w:uiPriority w:val="99"/>
    <w:pPr>
      <w:snapToGrid w:val="0"/>
    </w:pPr>
    <w:rPr>
      <w:sz w:val="18"/>
      <w:szCs w:val="18"/>
    </w:rPr>
  </w:style>
  <w:style w:type="paragraph" w:styleId="9">
    <w:name w:val="toc 2"/>
    <w:basedOn w:val="1"/>
    <w:next w:val="1"/>
    <w:autoRedefine/>
    <w:unhideWhenUsed/>
    <w:uiPriority w:val="39"/>
    <w:pPr>
      <w:tabs>
        <w:tab w:val="left" w:pos="1050"/>
        <w:tab w:val="right" w:leader="dot" w:pos="9347"/>
      </w:tabs>
      <w:topLinePunct/>
      <w:autoSpaceDE/>
      <w:autoSpaceDN/>
      <w:ind w:left="1120" w:leftChars="200" w:hanging="720" w:hangingChars="300"/>
      <w:jc w:val="both"/>
    </w:pPr>
    <w:rPr>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unhideWhenUsed/>
    <w:qFormat/>
    <w:uiPriority w:val="99"/>
    <w:rPr>
      <w:color w:val="0000FF"/>
      <w:u w:val="single"/>
    </w:rPr>
  </w:style>
  <w:style w:type="character" w:styleId="14">
    <w:name w:val="footnote reference"/>
    <w:basedOn w:val="12"/>
    <w:semiHidden/>
    <w:unhideWhenUsed/>
    <w:uiPriority w:val="99"/>
    <w:rPr>
      <w:vertAlign w:val="superscript"/>
    </w:rPr>
  </w:style>
  <w:style w:type="character" w:customStyle="1" w:styleId="15">
    <w:name w:val="页眉 Char"/>
    <w:link w:val="6"/>
    <w:uiPriority w:val="99"/>
    <w:rPr>
      <w:rFonts w:ascii="Times New Roman" w:hAnsi="Times New Roman" w:cs="Times New Roman"/>
      <w:kern w:val="0"/>
      <w:sz w:val="18"/>
      <w:szCs w:val="18"/>
    </w:rPr>
  </w:style>
  <w:style w:type="character" w:customStyle="1" w:styleId="16">
    <w:name w:val="页脚 Char"/>
    <w:link w:val="5"/>
    <w:uiPriority w:val="99"/>
    <w:rPr>
      <w:rFonts w:ascii="Times New Roman" w:hAnsi="Times New Roman" w:cs="Times New Roman"/>
      <w:kern w:val="0"/>
      <w:sz w:val="18"/>
      <w:szCs w:val="18"/>
    </w:rPr>
  </w:style>
  <w:style w:type="character" w:customStyle="1" w:styleId="17">
    <w:name w:val="批注框文本 Char"/>
    <w:link w:val="4"/>
    <w:semiHidden/>
    <w:uiPriority w:val="99"/>
    <w:rPr>
      <w:rFonts w:ascii="Times New Roman" w:hAnsi="Times New Roman" w:cs="Times New Roman"/>
      <w:kern w:val="0"/>
      <w:sz w:val="18"/>
      <w:szCs w:val="18"/>
    </w:rPr>
  </w:style>
  <w:style w:type="character" w:customStyle="1" w:styleId="18">
    <w:name w:val="标题 1 Char"/>
    <w:link w:val="2"/>
    <w:uiPriority w:val="9"/>
    <w:rPr>
      <w:rFonts w:ascii="Times New Roman" w:hAnsi="Times New Roman" w:cs="宋体"/>
      <w:b/>
      <w:bCs/>
      <w:kern w:val="44"/>
      <w:sz w:val="32"/>
      <w:szCs w:val="32"/>
    </w:rPr>
  </w:style>
  <w:style w:type="paragraph" w:styleId="19">
    <w:name w:val="List Paragraph"/>
    <w:basedOn w:val="1"/>
    <w:qFormat/>
    <w:uiPriority w:val="34"/>
    <w:pPr>
      <w:ind w:firstLine="420" w:firstLineChars="200"/>
    </w:pPr>
  </w:style>
  <w:style w:type="character" w:customStyle="1" w:styleId="20">
    <w:name w:val="标题 2 Char"/>
    <w:link w:val="3"/>
    <w:qFormat/>
    <w:uiPriority w:val="9"/>
    <w:rPr>
      <w:rFonts w:ascii="Times New Roman" w:hAnsi="Times New Roman" w:cs="宋体"/>
      <w:b/>
      <w:bCs/>
      <w:sz w:val="28"/>
      <w:szCs w:val="28"/>
    </w:rPr>
  </w:style>
  <w:style w:type="paragraph" w:customStyle="1" w:styleId="21">
    <w:name w:val="Revision"/>
    <w:hidden/>
    <w:semiHidden/>
    <w:qFormat/>
    <w:uiPriority w:val="99"/>
    <w:rPr>
      <w:rFonts w:ascii="Times New Roman" w:hAnsi="Times New Roman" w:eastAsia="宋体" w:cs="Times New Roman"/>
      <w:lang w:val="en-US" w:eastAsia="zh-CN" w:bidi="ar-SA"/>
    </w:rPr>
  </w:style>
  <w:style w:type="character" w:customStyle="1" w:styleId="22">
    <w:name w:val="脚注文本 Char"/>
    <w:basedOn w:val="12"/>
    <w:link w:val="8"/>
    <w:semiHidden/>
    <w:uiPriority w:val="99"/>
    <w:rPr>
      <w:rFonts w:ascii="Times New Roman" w:hAnsi="Times New Roman"/>
      <w:sz w:val="18"/>
      <w:szCs w:val="18"/>
    </w:rPr>
  </w:style>
  <w:style w:type="paragraph" w:customStyle="1" w:styleId="23">
    <w:name w:val="样式1"/>
    <w:basedOn w:val="2"/>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3A90E-4AD5-4DF3-9928-FAEF40AD365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4165</Words>
  <Characters>5024</Characters>
  <Lines>40</Lines>
  <Paragraphs>11</Paragraphs>
  <TotalTime>16</TotalTime>
  <ScaleCrop>false</ScaleCrop>
  <LinksUpToDate>false</LinksUpToDate>
  <CharactersWithSpaces>5084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2022-03-11T06:05:00Z</dcterms:created>
  <dc:creator>Administrator</dc:creator>
  <cp:lastModifiedBy>太极箫客</cp:lastModifiedBy>
  <dcterms:modified xsi:type="dcterms:W3CDTF">2025-08-14T06:40:47Z</dcterms:modified>
  <dc:title>Medical Device Data Systems, Medical Image Storage Devices, and Medical Image Communications Devices - Guidance for Industry and Food and Drug Administration Staff</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8DD838E86865495A818CA4EDF2EB24A5_12</vt:lpwstr>
  </property>
</Properties>
</file>