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4266"/>
      </w:tblGrid>
      <w:tr w14:paraId="7D8987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1" w:type="dxa"/>
          </w:tcPr>
          <w:p w14:paraId="5753CACD">
            <w:pPr>
              <w:spacing w:line="360" w:lineRule="auto"/>
              <w:rPr>
                <w:kern w:val="0"/>
              </w:rPr>
            </w:pPr>
            <w:bookmarkStart w:id="0" w:name="_GoBack"/>
            <w:bookmarkEnd w:id="0"/>
            <w:r>
              <w:rPr>
                <w:lang w:val="en-US"/>
              </w:rPr>
              <w:drawing>
                <wp:inline distT="0" distB="0" distL="0" distR="0">
                  <wp:extent cx="1028700" cy="695325"/>
                  <wp:effectExtent l="0" t="0" r="0" b="952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6" w:type="dxa"/>
          </w:tcPr>
          <w:p w14:paraId="1F816785">
            <w:pPr>
              <w:spacing w:line="36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cs="Times New Roman"/>
                <w:kern w:val="0"/>
              </w:rPr>
              <w:t>欧洲委员会</w:t>
            </w:r>
          </w:p>
          <w:p w14:paraId="68AD4786">
            <w:pPr>
              <w:spacing w:line="36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cs="Times New Roman"/>
                <w:kern w:val="0"/>
              </w:rPr>
              <w:t>企业与工业总署</w:t>
            </w:r>
          </w:p>
          <w:p w14:paraId="207E183A">
            <w:pPr>
              <w:spacing w:line="360" w:lineRule="auto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cs="Times New Roman"/>
                <w:kern w:val="0"/>
              </w:rPr>
              <w:t>消费者商品</w:t>
            </w:r>
          </w:p>
          <w:p w14:paraId="5354B226">
            <w:pPr>
              <w:spacing w:line="360" w:lineRule="auto"/>
              <w:rPr>
                <w:kern w:val="0"/>
              </w:rPr>
            </w:pPr>
            <w:r>
              <w:rPr>
                <w:rFonts w:hint="eastAsia" w:ascii="Times New Roman" w:cs="Times New Roman"/>
                <w:kern w:val="0"/>
              </w:rPr>
              <w:t>化妆品和医疗器械</w:t>
            </w:r>
          </w:p>
        </w:tc>
      </w:tr>
    </w:tbl>
    <w:p w14:paraId="110E6237">
      <w:pPr>
        <w:spacing w:line="360" w:lineRule="auto"/>
        <w:rPr>
          <w:rFonts w:ascii="Times New Roman" w:cs="Times New Roman"/>
          <w:kern w:val="0"/>
        </w:rPr>
      </w:pPr>
    </w:p>
    <w:p w14:paraId="5EF79E66">
      <w:pPr>
        <w:spacing w:line="360" w:lineRule="auto"/>
        <w:rPr>
          <w:rFonts w:ascii="Times New Roman" w:hAnsi="Times New Roman" w:cs="Times New Roman"/>
          <w:kern w:val="0"/>
        </w:rPr>
      </w:pPr>
    </w:p>
    <w:tbl>
      <w:tblPr>
        <w:tblStyle w:val="6"/>
        <w:tblW w:w="0" w:type="auto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</w:tblGrid>
      <w:tr w14:paraId="00C09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2943" w:type="dxa"/>
            <w:shd w:val="clear" w:color="auto" w:fill="D9D9D9"/>
          </w:tcPr>
          <w:p w14:paraId="3CA746FE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b/>
                <w:kern w:val="0"/>
                <w:lang w:val="en-US"/>
              </w:rPr>
              <w:t>MEDDEV. 2.15 Rev.3</w:t>
            </w:r>
          </w:p>
        </w:tc>
      </w:tr>
      <w:tr w14:paraId="776E0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2943" w:type="dxa"/>
            <w:shd w:val="clear" w:color="auto" w:fill="D9D9D9"/>
          </w:tcPr>
          <w:p w14:paraId="6CEC0791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b/>
                <w:kern w:val="0"/>
                <w:lang w:val="en-US"/>
              </w:rPr>
              <w:t>2008</w:t>
            </w:r>
            <w:r>
              <w:rPr>
                <w:rFonts w:hint="eastAsia" w:ascii="Times New Roman" w:cs="Times New Roman"/>
                <w:b/>
                <w:kern w:val="0"/>
                <w:lang w:val="en-US"/>
              </w:rPr>
              <w:t>年</w:t>
            </w:r>
            <w:r>
              <w:rPr>
                <w:rFonts w:ascii="Times New Roman" w:hAnsi="Times New Roman" w:cs="Times New Roman"/>
                <w:b/>
                <w:kern w:val="0"/>
                <w:lang w:val="en-US"/>
              </w:rPr>
              <w:t>12</w:t>
            </w:r>
            <w:r>
              <w:rPr>
                <w:rFonts w:hint="eastAsia" w:ascii="Times New Roman" w:cs="Times New Roman"/>
                <w:b/>
                <w:kern w:val="0"/>
                <w:lang w:val="en-US"/>
              </w:rPr>
              <w:t>月</w:t>
            </w:r>
          </w:p>
        </w:tc>
      </w:tr>
    </w:tbl>
    <w:p w14:paraId="3C71E0AA">
      <w:pPr>
        <w:pStyle w:val="14"/>
        <w:adjustRightInd/>
        <w:spacing w:line="360" w:lineRule="auto"/>
        <w:jc w:val="center"/>
        <w:rPr>
          <w:rFonts w:ascii="Times New Roman" w:cs="Times New Roman"/>
          <w:b/>
          <w:bCs/>
          <w:sz w:val="21"/>
          <w:szCs w:val="21"/>
        </w:rPr>
      </w:pPr>
    </w:p>
    <w:p w14:paraId="1D873E47">
      <w:pPr>
        <w:pStyle w:val="14"/>
        <w:adjustRightInd/>
        <w:spacing w:line="360" w:lineRule="auto"/>
        <w:jc w:val="center"/>
        <w:rPr>
          <w:rFonts w:ascii="Times New Roman" w:cs="Times New Roman"/>
          <w:b/>
          <w:bCs/>
          <w:sz w:val="21"/>
          <w:szCs w:val="21"/>
        </w:rPr>
      </w:pPr>
    </w:p>
    <w:p w14:paraId="7E4ED006">
      <w:pPr>
        <w:spacing w:line="360" w:lineRule="auto"/>
        <w:jc w:val="center"/>
        <w:rPr>
          <w:b/>
          <w:bCs/>
          <w:kern w:val="0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AFE9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1" w:type="dxa"/>
          </w:tcPr>
          <w:p w14:paraId="7D16AB8E">
            <w:pPr>
              <w:spacing w:line="360" w:lineRule="auto"/>
              <w:jc w:val="center"/>
              <w:rPr>
                <w:b/>
                <w:bCs/>
                <w:kern w:val="0"/>
              </w:rPr>
            </w:pPr>
            <w:r>
              <w:rPr>
                <w:rFonts w:hint="eastAsia"/>
                <w:b/>
                <w:bCs/>
                <w:kern w:val="0"/>
              </w:rPr>
              <w:t>医疗器械指南</w:t>
            </w:r>
          </w:p>
        </w:tc>
      </w:tr>
    </w:tbl>
    <w:p w14:paraId="50ADABA4">
      <w:pPr>
        <w:spacing w:line="360" w:lineRule="auto"/>
        <w:jc w:val="center"/>
        <w:rPr>
          <w:b/>
          <w:bCs/>
          <w:kern w:val="0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6BE5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1" w:type="dxa"/>
            <w:shd w:val="clear" w:color="auto" w:fill="C0C0C0"/>
          </w:tcPr>
          <w:p w14:paraId="46273DD2">
            <w:pPr>
              <w:spacing w:line="360" w:lineRule="auto"/>
              <w:jc w:val="center"/>
              <w:rPr>
                <w:kern w:val="0"/>
              </w:rPr>
            </w:pPr>
            <w:r>
              <w:rPr>
                <w:rFonts w:hint="eastAsia" w:ascii="Times New Roman" w:cs="Times New Roman"/>
                <w:b/>
                <w:snapToGrid w:val="0"/>
              </w:rPr>
              <w:t>医疗器械指令实施促进委员会</w:t>
            </w:r>
            <w:r>
              <w:rPr>
                <w:rFonts w:ascii="Times New Roman" w:hAnsi="Times New Roman" w:cs="Times New Roman"/>
                <w:b/>
                <w:snapToGrid w:val="0"/>
              </w:rPr>
              <w:t>/</w:t>
            </w:r>
            <w:r>
              <w:rPr>
                <w:rFonts w:hint="eastAsia" w:ascii="Times New Roman" w:cs="Times New Roman"/>
                <w:b/>
                <w:snapToGrid w:val="0"/>
              </w:rPr>
              <w:t>工作小组</w:t>
            </w:r>
          </w:p>
        </w:tc>
      </w:tr>
    </w:tbl>
    <w:p w14:paraId="5FD895E2">
      <w:pPr>
        <w:spacing w:before="2400" w:beforeLines="1000" w:line="360" w:lineRule="auto"/>
        <w:rPr>
          <w:rFonts w:ascii="Times New Roman" w:cs="Times New Roman"/>
          <w:kern w:val="0"/>
          <w:u w:val="single"/>
          <w:lang w:val="en-US"/>
        </w:rPr>
      </w:pPr>
      <w:r>
        <w:rPr>
          <w:rFonts w:hint="eastAsia" w:ascii="Times New Roman" w:cs="Times New Roman"/>
          <w:kern w:val="0"/>
          <w:u w:val="single"/>
          <w:lang w:val="en-US"/>
        </w:rPr>
        <w:t>注：</w:t>
      </w:r>
    </w:p>
    <w:p w14:paraId="217D489B">
      <w:pPr>
        <w:pStyle w:val="10"/>
        <w:adjustRightInd/>
        <w:spacing w:before="240" w:line="360" w:lineRule="auto"/>
        <w:jc w:val="both"/>
        <w:rPr>
          <w:rFonts w:ascii="Times New Roman" w:hAnsi="Times New Roman" w:cs="Times New Roman"/>
          <w:snapToGrid w:val="0"/>
          <w:color w:val="auto"/>
          <w:sz w:val="21"/>
          <w:szCs w:val="21"/>
        </w:rPr>
      </w:pPr>
      <w:r>
        <w:rPr>
          <w:rFonts w:hint="eastAsia" w:ascii="Times New Roman" w:cs="Times New Roman"/>
          <w:snapToGrid w:val="0"/>
          <w:color w:val="auto"/>
          <w:sz w:val="21"/>
          <w:szCs w:val="21"/>
        </w:rPr>
        <w:t>本指南给出关于医疗器械指令实施实际工作结构的信息。不具有法律约束力，但由各相关方包括主管机构、欧盟委员会服务与工业共同起草。因此，可以作为反映相关方在医疗器械行业所采取的立场，预计成员国内部将遵循并帮助确保该指令有关规定的统一适用。</w:t>
      </w:r>
    </w:p>
    <w:p w14:paraId="2766E560">
      <w:pPr>
        <w:pStyle w:val="12"/>
        <w:adjustRightInd/>
        <w:spacing w:before="240" w:after="0" w:line="360" w:lineRule="auto"/>
        <w:jc w:val="both"/>
        <w:rPr>
          <w:rFonts w:ascii="Times New Roman" w:hAnsi="Times New Roman" w:cs="Times New Roman"/>
          <w:b/>
          <w:bCs/>
          <w:snapToGrid w:val="0"/>
          <w:sz w:val="21"/>
          <w:szCs w:val="21"/>
        </w:rPr>
      </w:pPr>
      <w:r>
        <w:rPr>
          <w:rFonts w:ascii="Times New Roman" w:hAnsi="Times New Roman" w:cs="Times New Roman"/>
          <w:b/>
          <w:bCs/>
          <w:snapToGrid w:val="0"/>
          <w:sz w:val="21"/>
          <w:szCs w:val="21"/>
        </w:rPr>
        <w:br w:type="page"/>
      </w:r>
      <w:r>
        <w:rPr>
          <w:rFonts w:hint="eastAsia" w:ascii="Times New Roman" w:cs="Times New Roman"/>
          <w:b/>
          <w:snapToGrid w:val="0"/>
          <w:sz w:val="21"/>
          <w:szCs w:val="21"/>
        </w:rPr>
        <w:t>简介</w:t>
      </w:r>
    </w:p>
    <w:p w14:paraId="5B181DA9">
      <w:pPr>
        <w:pStyle w:val="12"/>
        <w:adjustRightInd/>
        <w:spacing w:before="240" w:after="0" w:line="360" w:lineRule="auto"/>
        <w:jc w:val="both"/>
        <w:rPr>
          <w:rFonts w:ascii="Times New Roman" w:hAnsi="Times New Roman" w:cs="Times New Roman"/>
          <w:snapToGrid w:val="0"/>
          <w:sz w:val="21"/>
          <w:szCs w:val="21"/>
        </w:rPr>
      </w:pPr>
      <w:r>
        <w:rPr>
          <w:rFonts w:hint="eastAsia" w:ascii="Times New Roman" w:cs="Times New Roman"/>
          <w:snapToGrid w:val="0"/>
          <w:sz w:val="21"/>
          <w:szCs w:val="21"/>
        </w:rPr>
        <w:t>各个委员会工作小组负责实施该医疗器械指令（医疗器械指令</w:t>
      </w:r>
      <w:r>
        <w:rPr>
          <w:rFonts w:ascii="Times New Roman" w:hAnsi="Times New Roman" w:cs="Times New Roman"/>
          <w:snapToGrid w:val="0"/>
          <w:sz w:val="21"/>
          <w:szCs w:val="21"/>
        </w:rPr>
        <w:t>93/42/EEC</w:t>
      </w:r>
      <w:r>
        <w:rPr>
          <w:rFonts w:hint="eastAsia" w:ascii="Times New Roman" w:cs="Times New Roman"/>
          <w:snapToGrid w:val="0"/>
          <w:sz w:val="21"/>
          <w:szCs w:val="21"/>
        </w:rPr>
        <w:t>、有源可植入医疗器械的</w:t>
      </w:r>
      <w:r>
        <w:rPr>
          <w:rFonts w:ascii="Times New Roman" w:hAnsi="Times New Roman" w:cs="Times New Roman"/>
          <w:snapToGrid w:val="0"/>
          <w:sz w:val="21"/>
          <w:szCs w:val="21"/>
        </w:rPr>
        <w:t>90/385/EEC</w:t>
      </w:r>
      <w:r>
        <w:rPr>
          <w:rFonts w:hint="eastAsia" w:ascii="Times New Roman" w:cs="Times New Roman"/>
          <w:snapToGrid w:val="0"/>
          <w:sz w:val="21"/>
          <w:szCs w:val="21"/>
        </w:rPr>
        <w:t>及体外医疗器械的</w:t>
      </w:r>
      <w:r>
        <w:rPr>
          <w:rFonts w:ascii="Times New Roman" w:hAnsi="Times New Roman" w:cs="Times New Roman"/>
          <w:snapToGrid w:val="0"/>
          <w:sz w:val="21"/>
          <w:szCs w:val="21"/>
        </w:rPr>
        <w:t>98/79/EC</w:t>
      </w:r>
      <w:r>
        <w:rPr>
          <w:rFonts w:hint="eastAsia" w:ascii="Times New Roman" w:cs="Times New Roman"/>
          <w:snapToGrid w:val="0"/>
          <w:sz w:val="21"/>
          <w:szCs w:val="21"/>
        </w:rPr>
        <w:t>）。本文概述了现有的团体及其功能、团体参与和工作实践。这些团体具有法律规定的执行功能（如医疗器械委员会）或促进指令的统一实施和应用，并支持委员会在新政策和举措的有关医疗器械的发展。</w:t>
      </w:r>
    </w:p>
    <w:p w14:paraId="09F54BED">
      <w:pPr>
        <w:pStyle w:val="12"/>
        <w:adjustRightInd/>
        <w:spacing w:before="240" w:after="0" w:line="360" w:lineRule="auto"/>
        <w:jc w:val="both"/>
        <w:rPr>
          <w:rFonts w:ascii="Times New Roman" w:hAnsi="Times New Roman" w:cs="Times New Roman"/>
          <w:b/>
          <w:bCs/>
          <w:snapToGrid w:val="0"/>
          <w:sz w:val="21"/>
          <w:szCs w:val="21"/>
        </w:rPr>
      </w:pPr>
      <w:r>
        <w:rPr>
          <w:rFonts w:ascii="Times New Roman" w:hAnsi="Times New Roman" w:cs="Times New Roman"/>
          <w:b/>
          <w:snapToGrid w:val="0"/>
          <w:sz w:val="21"/>
          <w:szCs w:val="21"/>
        </w:rPr>
        <w:t>1.</w:t>
      </w:r>
      <w:r>
        <w:rPr>
          <w:rFonts w:hint="eastAsia" w:ascii="Times New Roman" w:cs="Times New Roman"/>
          <w:b/>
          <w:snapToGrid w:val="0"/>
          <w:sz w:val="21"/>
          <w:szCs w:val="21"/>
        </w:rPr>
        <w:t>现有团体及其功能</w:t>
      </w:r>
    </w:p>
    <w:p w14:paraId="02974941">
      <w:pPr>
        <w:pStyle w:val="12"/>
        <w:adjustRightInd/>
        <w:spacing w:before="240" w:after="0" w:line="360" w:lineRule="auto"/>
        <w:ind w:left="420" w:leftChars="200"/>
        <w:jc w:val="both"/>
        <w:rPr>
          <w:rFonts w:ascii="Times New Roman" w:hAnsi="Times New Roman" w:cs="Times New Roman"/>
          <w:b/>
          <w:bCs/>
          <w:snapToGrid w:val="0"/>
          <w:sz w:val="21"/>
          <w:szCs w:val="21"/>
        </w:rPr>
      </w:pPr>
      <w:r>
        <w:rPr>
          <w:rFonts w:ascii="Times New Roman" w:hAnsi="Times New Roman" w:cs="Times New Roman"/>
          <w:b/>
          <w:snapToGrid w:val="0"/>
          <w:sz w:val="21"/>
          <w:szCs w:val="21"/>
        </w:rPr>
        <w:t>1.1.</w:t>
      </w:r>
      <w:r>
        <w:rPr>
          <w:rFonts w:hint="eastAsia" w:ascii="Times New Roman" w:cs="Times New Roman"/>
          <w:b/>
          <w:snapToGrid w:val="0"/>
          <w:sz w:val="21"/>
          <w:szCs w:val="21"/>
        </w:rPr>
        <w:t>委员会</w:t>
      </w:r>
    </w:p>
    <w:p w14:paraId="453635A9">
      <w:pPr>
        <w:pStyle w:val="12"/>
        <w:adjustRightInd/>
        <w:spacing w:before="240" w:after="0" w:line="360" w:lineRule="auto"/>
        <w:ind w:left="840" w:leftChars="400"/>
        <w:jc w:val="both"/>
        <w:rPr>
          <w:rFonts w:ascii="Times New Roman" w:hAnsi="Times New Roman" w:cs="Times New Roman"/>
          <w:i/>
          <w:iCs/>
          <w:snapToGrid w:val="0"/>
          <w:sz w:val="21"/>
          <w:szCs w:val="21"/>
        </w:rPr>
      </w:pPr>
      <w:r>
        <w:rPr>
          <w:rFonts w:ascii="Times New Roman" w:hAnsi="Times New Roman" w:cs="Times New Roman"/>
          <w:i/>
          <w:snapToGrid w:val="0"/>
          <w:sz w:val="21"/>
          <w:szCs w:val="21"/>
        </w:rPr>
        <w:t>1.1.1.</w:t>
      </w:r>
      <w:r>
        <w:rPr>
          <w:rFonts w:hint="eastAsia" w:ascii="Times New Roman" w:cs="Times New Roman"/>
          <w:i/>
          <w:snapToGrid w:val="0"/>
          <w:sz w:val="21"/>
          <w:szCs w:val="21"/>
        </w:rPr>
        <w:t>医疗器械委员会</w:t>
      </w:r>
    </w:p>
    <w:p w14:paraId="414CDA6A">
      <w:pPr>
        <w:pStyle w:val="12"/>
        <w:adjustRightInd/>
        <w:spacing w:before="240" w:after="0" w:line="360" w:lineRule="auto"/>
        <w:jc w:val="both"/>
        <w:rPr>
          <w:rFonts w:ascii="Times New Roman" w:hAnsi="Times New Roman" w:cs="Times New Roman"/>
          <w:snapToGrid w:val="0"/>
          <w:sz w:val="21"/>
          <w:szCs w:val="21"/>
        </w:rPr>
      </w:pPr>
      <w:r>
        <w:rPr>
          <w:rFonts w:ascii="Times New Roman" w:hAnsi="Times New Roman" w:cs="Times New Roman"/>
          <w:snapToGrid w:val="0"/>
          <w:sz w:val="21"/>
          <w:szCs w:val="21"/>
        </w:rPr>
        <w:t>“</w:t>
      </w:r>
      <w:r>
        <w:rPr>
          <w:rFonts w:hint="eastAsia" w:ascii="Times New Roman" w:cs="Times New Roman"/>
          <w:snapToGrid w:val="0"/>
          <w:sz w:val="21"/>
          <w:szCs w:val="21"/>
        </w:rPr>
        <w:t>医疗器械委员会</w:t>
      </w:r>
      <w:r>
        <w:rPr>
          <w:rFonts w:ascii="Times New Roman" w:hAnsi="Times New Roman" w:cs="Times New Roman"/>
          <w:snapToGrid w:val="0"/>
          <w:sz w:val="21"/>
          <w:szCs w:val="21"/>
        </w:rPr>
        <w:t>”</w:t>
      </w:r>
      <w:r>
        <w:rPr>
          <w:rFonts w:hint="eastAsia" w:ascii="Times New Roman" w:cs="Times New Roman"/>
          <w:snapToGrid w:val="0"/>
          <w:sz w:val="21"/>
          <w:szCs w:val="21"/>
        </w:rPr>
        <w:t>具有医疗器械指令所述的具体监管权力，例如包括改变分类规则，建立欧盟医疗器械数据库，采纳社区健康监测措施与修订与临床研究要求相关的非基本要素。委员会采取的措施具有法律约束力。此类措施示例为委员会指令</w:t>
      </w:r>
      <w:r>
        <w:rPr>
          <w:rFonts w:ascii="Times New Roman" w:hAnsi="Times New Roman" w:cs="Times New Roman"/>
          <w:snapToGrid w:val="0"/>
          <w:sz w:val="21"/>
          <w:szCs w:val="21"/>
        </w:rPr>
        <w:t>2005/50/EC</w:t>
      </w:r>
      <w:r>
        <w:rPr>
          <w:rFonts w:hint="eastAsia" w:ascii="Times New Roman" w:cs="Times New Roman"/>
          <w:snapToGrid w:val="0"/>
          <w:sz w:val="21"/>
          <w:szCs w:val="21"/>
        </w:rPr>
        <w:t>对臀部、膝盖和肩关节置换的重新分类。该委员会有自己的议事规则，由成员国代表组成。</w:t>
      </w:r>
    </w:p>
    <w:p w14:paraId="011E84C0">
      <w:pPr>
        <w:pStyle w:val="12"/>
        <w:adjustRightInd/>
        <w:spacing w:before="240" w:after="0" w:line="360" w:lineRule="auto"/>
        <w:ind w:left="840" w:leftChars="400"/>
        <w:jc w:val="both"/>
        <w:rPr>
          <w:rFonts w:ascii="Times New Roman" w:hAnsi="Times New Roman" w:cs="Times New Roman"/>
          <w:i/>
          <w:iCs/>
          <w:snapToGrid w:val="0"/>
          <w:sz w:val="21"/>
          <w:szCs w:val="21"/>
        </w:rPr>
      </w:pPr>
      <w:r>
        <w:rPr>
          <w:rFonts w:ascii="Times New Roman" w:hAnsi="Times New Roman" w:cs="Times New Roman"/>
          <w:i/>
          <w:snapToGrid w:val="0"/>
          <w:sz w:val="21"/>
          <w:szCs w:val="21"/>
        </w:rPr>
        <w:t>1.1.2.</w:t>
      </w:r>
      <w:r>
        <w:rPr>
          <w:rFonts w:hint="eastAsia" w:ascii="Times New Roman" w:cs="Times New Roman"/>
          <w:i/>
          <w:snapToGrid w:val="0"/>
          <w:sz w:val="21"/>
          <w:szCs w:val="21"/>
        </w:rPr>
        <w:t>遵守指令</w:t>
      </w:r>
      <w:r>
        <w:rPr>
          <w:rFonts w:ascii="Times New Roman" w:hAnsi="Times New Roman" w:cs="Times New Roman"/>
          <w:i/>
          <w:snapToGrid w:val="0"/>
          <w:sz w:val="21"/>
          <w:szCs w:val="21"/>
        </w:rPr>
        <w:t>98/34 / EC</w:t>
      </w:r>
      <w:r>
        <w:rPr>
          <w:rFonts w:hint="eastAsia" w:ascii="Times New Roman" w:cs="Times New Roman"/>
          <w:i/>
          <w:snapToGrid w:val="0"/>
          <w:sz w:val="21"/>
          <w:szCs w:val="21"/>
        </w:rPr>
        <w:t>成立的委员会</w:t>
      </w:r>
    </w:p>
    <w:p w14:paraId="5F2A4F17">
      <w:pPr>
        <w:pStyle w:val="12"/>
        <w:adjustRightInd/>
        <w:spacing w:before="240" w:after="0" w:line="360" w:lineRule="auto"/>
        <w:jc w:val="both"/>
        <w:rPr>
          <w:rFonts w:ascii="Times New Roman" w:hAnsi="Times New Roman" w:cs="Times New Roman"/>
          <w:snapToGrid w:val="0"/>
          <w:sz w:val="21"/>
          <w:szCs w:val="21"/>
        </w:rPr>
      </w:pPr>
      <w:r>
        <w:rPr>
          <w:rFonts w:hint="eastAsia" w:ascii="Times New Roman" w:cs="Times New Roman"/>
          <w:snapToGrid w:val="0"/>
          <w:sz w:val="21"/>
          <w:szCs w:val="21"/>
        </w:rPr>
        <w:t>医疗器械的指令还涉及根据指令</w:t>
      </w:r>
      <w:r>
        <w:rPr>
          <w:rFonts w:ascii="Times New Roman" w:hAnsi="Times New Roman" w:cs="Times New Roman"/>
          <w:snapToGrid w:val="0"/>
          <w:sz w:val="21"/>
          <w:szCs w:val="21"/>
        </w:rPr>
        <w:t>98/34/EC</w:t>
      </w:r>
      <w:r>
        <w:rPr>
          <w:rFonts w:hint="eastAsia" w:ascii="Times New Roman" w:cs="Times New Roman"/>
          <w:snapToGrid w:val="0"/>
          <w:sz w:val="21"/>
          <w:szCs w:val="21"/>
        </w:rPr>
        <w:t>成立的委员会，处理标准化事项。这涉及与标准化的程序任务有关在协调标准受到挑战时使用的程序，无论是本身或保障条款内容。（</w:t>
      </w:r>
      <w:r>
        <w:rPr>
          <w:rFonts w:ascii="Times New Roman" w:hAnsi="Times New Roman" w:cs="Times New Roman"/>
          <w:snapToGrid w:val="0"/>
          <w:sz w:val="21"/>
          <w:szCs w:val="21"/>
        </w:rPr>
        <w:t>http://ec.europa.eu/enterprise/standards_policy/general_framework/index.htm</w:t>
      </w:r>
      <w:r>
        <w:rPr>
          <w:rFonts w:hint="eastAsia" w:ascii="Times New Roman" w:cs="Times New Roman"/>
          <w:snapToGrid w:val="0"/>
          <w:sz w:val="21"/>
          <w:szCs w:val="21"/>
        </w:rPr>
        <w:t>）</w:t>
      </w:r>
    </w:p>
    <w:p w14:paraId="56FD89B6">
      <w:pPr>
        <w:pStyle w:val="12"/>
        <w:adjustRightInd/>
        <w:spacing w:before="240" w:after="0" w:line="360" w:lineRule="auto"/>
        <w:ind w:left="840" w:leftChars="400"/>
        <w:jc w:val="both"/>
        <w:rPr>
          <w:rFonts w:ascii="Times New Roman" w:hAnsi="Times New Roman" w:cs="Times New Roman"/>
          <w:i/>
          <w:iCs/>
          <w:snapToGrid w:val="0"/>
          <w:sz w:val="21"/>
          <w:szCs w:val="21"/>
        </w:rPr>
      </w:pPr>
      <w:r>
        <w:rPr>
          <w:rFonts w:ascii="Times New Roman" w:hAnsi="Times New Roman" w:cs="Times New Roman"/>
          <w:i/>
          <w:snapToGrid w:val="0"/>
          <w:sz w:val="21"/>
          <w:szCs w:val="21"/>
        </w:rPr>
        <w:t>1.1.3.</w:t>
      </w:r>
      <w:r>
        <w:rPr>
          <w:rFonts w:hint="eastAsia" w:ascii="Times New Roman" w:cs="Times New Roman"/>
          <w:i/>
          <w:snapToGrid w:val="0"/>
          <w:sz w:val="21"/>
          <w:szCs w:val="21"/>
        </w:rPr>
        <w:t>科学委员会</w:t>
      </w:r>
    </w:p>
    <w:p w14:paraId="35CA0E40">
      <w:pPr>
        <w:pStyle w:val="12"/>
        <w:adjustRightInd/>
        <w:spacing w:before="240" w:after="0" w:line="360" w:lineRule="auto"/>
        <w:jc w:val="both"/>
        <w:rPr>
          <w:rFonts w:ascii="Times New Roman" w:hAnsi="Times New Roman" w:cs="Times New Roman"/>
          <w:snapToGrid w:val="0"/>
          <w:sz w:val="21"/>
          <w:szCs w:val="21"/>
        </w:rPr>
      </w:pPr>
      <w:r>
        <w:rPr>
          <w:rFonts w:hint="eastAsia" w:ascii="Times New Roman" w:cs="Times New Roman"/>
          <w:snapToGrid w:val="0"/>
          <w:sz w:val="21"/>
          <w:szCs w:val="21"/>
        </w:rPr>
        <w:t>该委员会由</w:t>
      </w:r>
      <w:r>
        <w:rPr>
          <w:rFonts w:ascii="Times New Roman" w:hAnsi="Times New Roman" w:cs="Times New Roman"/>
          <w:snapToGrid w:val="0"/>
          <w:sz w:val="21"/>
          <w:szCs w:val="21"/>
        </w:rPr>
        <w:t>“</w:t>
      </w:r>
      <w:r>
        <w:rPr>
          <w:rFonts w:hint="eastAsia" w:ascii="Times New Roman" w:cs="Times New Roman"/>
          <w:snapToGrid w:val="0"/>
          <w:sz w:val="21"/>
          <w:szCs w:val="21"/>
        </w:rPr>
        <w:t>科学委员会</w:t>
      </w:r>
      <w:r>
        <w:rPr>
          <w:rFonts w:ascii="Times New Roman" w:hAnsi="Times New Roman" w:cs="Times New Roman"/>
          <w:snapToGrid w:val="0"/>
          <w:sz w:val="21"/>
          <w:szCs w:val="21"/>
        </w:rPr>
        <w:t>”</w:t>
      </w:r>
      <w:r>
        <w:rPr>
          <w:rFonts w:hint="eastAsia" w:ascii="Times New Roman" w:cs="Times New Roman"/>
          <w:snapToGrid w:val="0"/>
          <w:sz w:val="21"/>
          <w:szCs w:val="21"/>
        </w:rPr>
        <w:t>，特别是在医疗器械方面由提供独立科学专业知识的</w:t>
      </w:r>
      <w:r>
        <w:rPr>
          <w:rFonts w:ascii="Times New Roman" w:hAnsi="Times New Roman" w:cs="Times New Roman"/>
          <w:snapToGrid w:val="0"/>
          <w:sz w:val="21"/>
          <w:szCs w:val="21"/>
        </w:rPr>
        <w:t>“</w:t>
      </w:r>
      <w:r>
        <w:rPr>
          <w:rFonts w:hint="eastAsia" w:ascii="Times New Roman" w:cs="Times New Roman"/>
          <w:snapToGrid w:val="0"/>
          <w:sz w:val="21"/>
          <w:szCs w:val="21"/>
        </w:rPr>
        <w:t>新兴健康风险科学委员会（</w:t>
      </w:r>
      <w:r>
        <w:rPr>
          <w:rFonts w:ascii="Times New Roman" w:hAnsi="Times New Roman" w:cs="Times New Roman"/>
          <w:snapToGrid w:val="0"/>
          <w:sz w:val="21"/>
          <w:szCs w:val="21"/>
        </w:rPr>
        <w:t>SCENIHR</w:t>
      </w:r>
      <w:r>
        <w:rPr>
          <w:rFonts w:hint="eastAsia" w:ascii="Times New Roman" w:cs="Times New Roman"/>
          <w:snapToGrid w:val="0"/>
          <w:sz w:val="21"/>
          <w:szCs w:val="21"/>
        </w:rPr>
        <w:t>）</w:t>
      </w:r>
      <w:r>
        <w:rPr>
          <w:rFonts w:ascii="Times New Roman" w:hAnsi="Times New Roman" w:cs="Times New Roman"/>
          <w:snapToGrid w:val="0"/>
          <w:sz w:val="21"/>
          <w:szCs w:val="21"/>
        </w:rPr>
        <w:t>”</w:t>
      </w:r>
      <w:r>
        <w:rPr>
          <w:rFonts w:hint="eastAsia" w:ascii="Times New Roman" w:cs="Times New Roman"/>
          <w:snapToGrid w:val="0"/>
          <w:sz w:val="21"/>
          <w:szCs w:val="21"/>
        </w:rPr>
        <w:t>协助。（</w:t>
      </w:r>
      <w:r>
        <w:rPr>
          <w:rFonts w:ascii="Times New Roman" w:hAnsi="Times New Roman" w:cs="Times New Roman"/>
          <w:snapToGrid w:val="0"/>
          <w:sz w:val="21"/>
          <w:szCs w:val="21"/>
        </w:rPr>
        <w:t>http://ec.europa.eu/health/scientific_committees/emerging/index_en.htm</w:t>
      </w:r>
      <w:r>
        <w:rPr>
          <w:rFonts w:hint="eastAsia" w:ascii="Times New Roman" w:cs="Times New Roman"/>
          <w:snapToGrid w:val="0"/>
          <w:sz w:val="21"/>
          <w:szCs w:val="21"/>
        </w:rPr>
        <w:t>）</w:t>
      </w:r>
    </w:p>
    <w:p w14:paraId="25E1C6F6">
      <w:pPr>
        <w:pStyle w:val="12"/>
        <w:adjustRightInd/>
        <w:spacing w:before="240" w:after="0" w:line="360" w:lineRule="auto"/>
        <w:ind w:left="420" w:leftChars="200"/>
        <w:jc w:val="both"/>
        <w:rPr>
          <w:rFonts w:ascii="Times New Roman" w:hAnsi="Times New Roman" w:cs="Times New Roman"/>
          <w:b/>
          <w:bCs/>
          <w:snapToGrid w:val="0"/>
          <w:sz w:val="21"/>
          <w:szCs w:val="21"/>
          <w:vertAlign w:val="superscript"/>
        </w:rPr>
      </w:pPr>
      <w:r>
        <w:rPr>
          <w:rFonts w:ascii="Times New Roman" w:hAnsi="Times New Roman" w:cs="Times New Roman"/>
          <w:b/>
          <w:snapToGrid w:val="0"/>
          <w:sz w:val="21"/>
          <w:szCs w:val="21"/>
        </w:rPr>
        <w:t>1.2.</w:t>
      </w:r>
      <w:r>
        <w:rPr>
          <w:rFonts w:hint="eastAsia" w:ascii="Times New Roman" w:cs="Times New Roman"/>
          <w:b/>
          <w:snapToGrid w:val="0"/>
          <w:sz w:val="21"/>
          <w:szCs w:val="21"/>
        </w:rPr>
        <w:t>工作组</w:t>
      </w:r>
      <w:r>
        <w:rPr>
          <w:rStyle w:val="9"/>
          <w:rFonts w:ascii="Times New Roman" w:hAnsi="Times New Roman"/>
          <w:b/>
          <w:snapToGrid w:val="0"/>
          <w:sz w:val="21"/>
          <w:szCs w:val="21"/>
        </w:rPr>
        <w:footnoteReference w:id="0"/>
      </w:r>
    </w:p>
    <w:p w14:paraId="11FF7A33">
      <w:pPr>
        <w:pStyle w:val="11"/>
        <w:adjustRightInd/>
        <w:spacing w:before="240" w:line="360" w:lineRule="auto"/>
        <w:jc w:val="both"/>
        <w:rPr>
          <w:rFonts w:ascii="Times New Roman" w:hAnsi="Times New Roman" w:cs="Times New Roman"/>
          <w:snapToGrid w:val="0"/>
          <w:sz w:val="21"/>
          <w:szCs w:val="21"/>
        </w:rPr>
      </w:pPr>
      <w:r>
        <w:rPr>
          <w:rFonts w:hint="eastAsia" w:ascii="Times New Roman" w:cs="Times New Roman"/>
          <w:snapToGrid w:val="0"/>
          <w:sz w:val="21"/>
          <w:szCs w:val="21"/>
        </w:rPr>
        <w:t>委员会和成员国在实施医疗器械指令方面受多个工作组支持。这些工作组除其他事项外制定了多个可在委员会网站查询的所谓</w:t>
      </w:r>
      <w:r>
        <w:rPr>
          <w:rFonts w:ascii="Times New Roman" w:hAnsi="Times New Roman" w:cs="Times New Roman"/>
          <w:snapToGrid w:val="0"/>
          <w:sz w:val="21"/>
          <w:szCs w:val="21"/>
        </w:rPr>
        <w:t>MEDDEV</w:t>
      </w:r>
      <w:r>
        <w:rPr>
          <w:rFonts w:hint="eastAsia" w:ascii="Times New Roman" w:cs="Times New Roman"/>
          <w:snapToGrid w:val="0"/>
          <w:sz w:val="21"/>
          <w:szCs w:val="21"/>
        </w:rPr>
        <w:t>指导文件。</w:t>
      </w:r>
    </w:p>
    <w:p w14:paraId="39B49093">
      <w:pPr>
        <w:pStyle w:val="12"/>
        <w:adjustRightInd/>
        <w:spacing w:before="240" w:after="0" w:line="360" w:lineRule="auto"/>
        <w:jc w:val="both"/>
        <w:rPr>
          <w:rFonts w:ascii="Times New Roman" w:hAnsi="Times New Roman" w:cs="Times New Roman"/>
          <w:snapToGrid w:val="0"/>
          <w:sz w:val="21"/>
          <w:szCs w:val="21"/>
        </w:rPr>
      </w:pPr>
      <w:r>
        <w:rPr>
          <w:rFonts w:ascii="Times New Roman" w:hAnsi="Times New Roman" w:cs="Times New Roman"/>
          <w:snapToGrid w:val="0"/>
          <w:sz w:val="21"/>
          <w:szCs w:val="21"/>
          <w:vertAlign w:val="superscript"/>
        </w:rPr>
        <w:br w:type="page"/>
      </w:r>
      <w:r>
        <w:rPr>
          <w:rFonts w:hint="eastAsia" w:ascii="Times New Roman" w:cs="Times New Roman"/>
          <w:snapToGrid w:val="0"/>
          <w:sz w:val="21"/>
          <w:szCs w:val="21"/>
        </w:rPr>
        <w:t>同样，委员会已开始在其网站上发布</w:t>
      </w:r>
      <w:r>
        <w:rPr>
          <w:rFonts w:ascii="Times New Roman" w:hAnsi="Times New Roman" w:cs="Times New Roman"/>
          <w:snapToGrid w:val="0"/>
          <w:sz w:val="21"/>
          <w:szCs w:val="21"/>
        </w:rPr>
        <w:t>MDEG</w:t>
      </w:r>
      <w:r>
        <w:rPr>
          <w:rFonts w:hint="eastAsia" w:ascii="Times New Roman" w:cs="Times New Roman"/>
          <w:snapToGrid w:val="0"/>
          <w:sz w:val="21"/>
          <w:szCs w:val="21"/>
        </w:rPr>
        <w:t>对问题达成共识的</w:t>
      </w:r>
      <w:r>
        <w:rPr>
          <w:rFonts w:ascii="Times New Roman" w:hAnsi="Times New Roman" w:cs="Times New Roman"/>
          <w:snapToGrid w:val="0"/>
          <w:sz w:val="21"/>
          <w:szCs w:val="21"/>
        </w:rPr>
        <w:t>“</w:t>
      </w:r>
      <w:r>
        <w:rPr>
          <w:rFonts w:hint="eastAsia" w:ascii="Times New Roman" w:cs="Times New Roman"/>
          <w:snapToGrid w:val="0"/>
          <w:sz w:val="21"/>
          <w:szCs w:val="21"/>
        </w:rPr>
        <w:t>共识声明</w:t>
      </w:r>
      <w:r>
        <w:rPr>
          <w:rFonts w:ascii="Times New Roman" w:hAnsi="Times New Roman" w:cs="Times New Roman"/>
          <w:snapToGrid w:val="0"/>
          <w:sz w:val="21"/>
          <w:szCs w:val="21"/>
        </w:rPr>
        <w:t>”</w:t>
      </w:r>
      <w:r>
        <w:rPr>
          <w:rFonts w:hint="eastAsia" w:ascii="Times New Roman" w:cs="Times New Roman"/>
          <w:snapToGrid w:val="0"/>
          <w:sz w:val="21"/>
          <w:szCs w:val="21"/>
        </w:rPr>
        <w:t>。</w:t>
      </w:r>
    </w:p>
    <w:p w14:paraId="0BB8BD8E">
      <w:pPr>
        <w:pStyle w:val="12"/>
        <w:adjustRightInd/>
        <w:spacing w:before="240" w:after="0" w:line="360" w:lineRule="auto"/>
        <w:jc w:val="both"/>
        <w:rPr>
          <w:rFonts w:ascii="Times New Roman" w:hAnsi="Times New Roman" w:cs="Times New Roman"/>
          <w:snapToGrid w:val="0"/>
          <w:sz w:val="21"/>
          <w:szCs w:val="21"/>
        </w:rPr>
      </w:pPr>
      <w:r>
        <w:rPr>
          <w:rFonts w:hint="eastAsia" w:ascii="Times New Roman" w:cs="Times New Roman"/>
          <w:snapToGrid w:val="0"/>
          <w:sz w:val="21"/>
          <w:szCs w:val="21"/>
        </w:rPr>
        <w:t>这些文件无管制权，不能制定具有法律约束力的规定。但其由主管机构、欧盟委员会公共事业机构和业界等各相关方共同起草。因此，可以作为反映相关方在医疗器械行业所采取的立场，预计成员国内部将遵循并帮助确保该指令有关规定的统一适用。</w:t>
      </w:r>
    </w:p>
    <w:p w14:paraId="6561FACE">
      <w:pPr>
        <w:pStyle w:val="12"/>
        <w:adjustRightInd/>
        <w:spacing w:before="240" w:after="0" w:line="360" w:lineRule="auto"/>
        <w:ind w:left="840" w:leftChars="400"/>
        <w:jc w:val="both"/>
        <w:rPr>
          <w:rFonts w:ascii="Times New Roman" w:hAnsi="Times New Roman" w:cs="Times New Roman"/>
          <w:i/>
          <w:iCs/>
          <w:snapToGrid w:val="0"/>
          <w:sz w:val="21"/>
          <w:szCs w:val="21"/>
        </w:rPr>
      </w:pPr>
      <w:r>
        <w:rPr>
          <w:rFonts w:ascii="Times New Roman" w:hAnsi="Times New Roman" w:cs="Times New Roman"/>
          <w:i/>
          <w:snapToGrid w:val="0"/>
          <w:sz w:val="21"/>
          <w:szCs w:val="21"/>
        </w:rPr>
        <w:t>1.2.1.</w:t>
      </w:r>
      <w:r>
        <w:rPr>
          <w:rFonts w:hint="eastAsia" w:ascii="Times New Roman" w:cs="Times New Roman"/>
          <w:i/>
          <w:snapToGrid w:val="0"/>
          <w:sz w:val="21"/>
          <w:szCs w:val="21"/>
        </w:rPr>
        <w:t>总体协调</w:t>
      </w:r>
      <w:r>
        <w:rPr>
          <w:rFonts w:ascii="Times New Roman" w:hAnsi="Times New Roman" w:cs="Times New Roman"/>
          <w:i/>
          <w:snapToGrid w:val="0"/>
          <w:sz w:val="21"/>
          <w:szCs w:val="21"/>
        </w:rPr>
        <w:t>/</w:t>
      </w:r>
      <w:r>
        <w:rPr>
          <w:rFonts w:hint="eastAsia" w:ascii="Times New Roman" w:cs="Times New Roman"/>
          <w:i/>
          <w:snapToGrid w:val="0"/>
          <w:sz w:val="21"/>
          <w:szCs w:val="21"/>
        </w:rPr>
        <w:t>政策和战略相关组</w:t>
      </w:r>
    </w:p>
    <w:p w14:paraId="621D074A">
      <w:pPr>
        <w:pStyle w:val="12"/>
        <w:adjustRightInd/>
        <w:spacing w:before="240" w:after="0" w:line="360" w:lineRule="auto"/>
        <w:jc w:val="both"/>
        <w:rPr>
          <w:rFonts w:ascii="Times New Roman" w:hAnsi="Times New Roman" w:cs="Times New Roman"/>
          <w:snapToGrid w:val="0"/>
          <w:sz w:val="21"/>
          <w:szCs w:val="21"/>
        </w:rPr>
      </w:pPr>
      <w:r>
        <w:rPr>
          <w:rFonts w:hint="eastAsia" w:ascii="Times New Roman" w:cs="Times New Roman"/>
          <w:snapToGrid w:val="0"/>
          <w:sz w:val="21"/>
          <w:szCs w:val="21"/>
        </w:rPr>
        <w:t>协调所有利益相关者的广泛论坛是委员会医疗器械专家组（</w:t>
      </w:r>
      <w:r>
        <w:rPr>
          <w:rFonts w:ascii="Times New Roman" w:hAnsi="Times New Roman" w:cs="Times New Roman"/>
          <w:snapToGrid w:val="0"/>
          <w:sz w:val="21"/>
          <w:szCs w:val="21"/>
        </w:rPr>
        <w:t>MDEG</w:t>
      </w:r>
      <w:r>
        <w:rPr>
          <w:rFonts w:hint="eastAsia" w:ascii="Times New Roman" w:cs="Times New Roman"/>
          <w:snapToGrid w:val="0"/>
          <w:sz w:val="21"/>
          <w:szCs w:val="21"/>
        </w:rPr>
        <w:t>），其中国家主管机构、欧洲标准机构代表、认证机构代表和欧洲贸易联合会代表也代表中小型企业，并视情况代表患者组织等其他利益相关者。</w:t>
      </w:r>
      <w:r>
        <w:rPr>
          <w:rFonts w:ascii="Times New Roman" w:hAnsi="Times New Roman" w:cs="Times New Roman"/>
          <w:snapToGrid w:val="0"/>
          <w:sz w:val="21"/>
          <w:szCs w:val="21"/>
        </w:rPr>
        <w:t>MDEG</w:t>
      </w:r>
      <w:r>
        <w:rPr>
          <w:rFonts w:hint="eastAsia" w:ascii="Times New Roman" w:cs="Times New Roman"/>
          <w:snapToGrid w:val="0"/>
          <w:sz w:val="21"/>
          <w:szCs w:val="21"/>
        </w:rPr>
        <w:t>旨在讨论协调战略问题、医疗器械指令实施问题以及协调监督其他工作组工作。</w:t>
      </w:r>
    </w:p>
    <w:p w14:paraId="04B45DCB">
      <w:pPr>
        <w:pStyle w:val="12"/>
        <w:adjustRightInd/>
        <w:spacing w:before="240" w:after="0" w:line="360" w:lineRule="auto"/>
        <w:jc w:val="both"/>
        <w:rPr>
          <w:rFonts w:ascii="Times New Roman" w:hAnsi="Times New Roman" w:cs="Times New Roman"/>
          <w:snapToGrid w:val="0"/>
          <w:sz w:val="21"/>
          <w:szCs w:val="21"/>
        </w:rPr>
      </w:pPr>
      <w:r>
        <w:rPr>
          <w:rFonts w:hint="eastAsia" w:ascii="Times New Roman" w:cs="Times New Roman"/>
          <w:snapToGrid w:val="0"/>
          <w:sz w:val="21"/>
          <w:szCs w:val="21"/>
        </w:rPr>
        <w:t>成员国代表在主管机构（</w:t>
      </w:r>
      <w:r>
        <w:rPr>
          <w:rFonts w:ascii="Times New Roman" w:hAnsi="Times New Roman" w:cs="Times New Roman"/>
          <w:snapToGrid w:val="0"/>
          <w:sz w:val="21"/>
          <w:szCs w:val="21"/>
        </w:rPr>
        <w:t>CA</w:t>
      </w:r>
      <w:r>
        <w:rPr>
          <w:rFonts w:hint="eastAsia" w:ascii="Times New Roman" w:cs="Times New Roman"/>
          <w:snapToGrid w:val="0"/>
          <w:sz w:val="21"/>
          <w:szCs w:val="21"/>
        </w:rPr>
        <w:t>）会议上会面，会议由轮值理事会主席成员国组织。主管机构也仅参加医疗器械专家组（</w:t>
      </w:r>
      <w:r>
        <w:rPr>
          <w:rFonts w:ascii="Times New Roman" w:hAnsi="Times New Roman" w:cs="Times New Roman"/>
          <w:snapToGrid w:val="0"/>
          <w:sz w:val="21"/>
          <w:szCs w:val="21"/>
        </w:rPr>
        <w:t>MDEG/CA</w:t>
      </w:r>
      <w:r>
        <w:rPr>
          <w:rFonts w:hint="eastAsia" w:ascii="Times New Roman" w:cs="Times New Roman"/>
          <w:snapToGrid w:val="0"/>
          <w:sz w:val="21"/>
          <w:szCs w:val="21"/>
        </w:rPr>
        <w:t>）非公开会议。</w:t>
      </w:r>
    </w:p>
    <w:p w14:paraId="0150DABF">
      <w:pPr>
        <w:pStyle w:val="12"/>
        <w:adjustRightInd/>
        <w:spacing w:before="240" w:after="0" w:line="360" w:lineRule="auto"/>
        <w:ind w:left="840" w:leftChars="400"/>
        <w:jc w:val="both"/>
        <w:rPr>
          <w:rFonts w:ascii="Times New Roman" w:hAnsi="Times New Roman" w:cs="Times New Roman"/>
          <w:i/>
          <w:iCs/>
          <w:snapToGrid w:val="0"/>
          <w:sz w:val="21"/>
          <w:szCs w:val="21"/>
        </w:rPr>
      </w:pPr>
      <w:r>
        <w:rPr>
          <w:rFonts w:ascii="Times New Roman" w:hAnsi="Times New Roman" w:cs="Times New Roman"/>
          <w:i/>
          <w:snapToGrid w:val="0"/>
          <w:sz w:val="21"/>
          <w:szCs w:val="21"/>
        </w:rPr>
        <w:t>1.2.2.</w:t>
      </w:r>
      <w:r>
        <w:rPr>
          <w:rFonts w:hint="eastAsia" w:ascii="Times New Roman" w:cs="Times New Roman"/>
          <w:i/>
          <w:snapToGrid w:val="0"/>
          <w:sz w:val="21"/>
          <w:szCs w:val="21"/>
        </w:rPr>
        <w:t>常设工作组</w:t>
      </w:r>
    </w:p>
    <w:p w14:paraId="48420C48">
      <w:pPr>
        <w:pStyle w:val="12"/>
        <w:adjustRightInd/>
        <w:spacing w:before="240" w:after="0" w:line="360" w:lineRule="auto"/>
        <w:jc w:val="both"/>
        <w:rPr>
          <w:rFonts w:ascii="Times New Roman" w:hAnsi="Times New Roman" w:cs="Times New Roman"/>
          <w:snapToGrid w:val="0"/>
          <w:sz w:val="21"/>
          <w:szCs w:val="21"/>
        </w:rPr>
      </w:pPr>
      <w:r>
        <w:rPr>
          <w:rFonts w:hint="eastAsia" w:ascii="Times New Roman" w:cs="Times New Roman"/>
          <w:snapToGrid w:val="0"/>
          <w:sz w:val="21"/>
          <w:szCs w:val="21"/>
        </w:rPr>
        <w:t>有一些在成员国之间不断协调解决指令实施问题的工作组，特别是协调医疗器械指令下成员国执行能力的合规执行组（</w:t>
      </w:r>
      <w:r>
        <w:rPr>
          <w:rFonts w:ascii="Times New Roman" w:hAnsi="Times New Roman" w:cs="Times New Roman"/>
          <w:snapToGrid w:val="0"/>
          <w:sz w:val="21"/>
          <w:szCs w:val="21"/>
        </w:rPr>
        <w:t>COEN</w:t>
      </w:r>
      <w:r>
        <w:rPr>
          <w:rFonts w:hint="eastAsia" w:ascii="Times New Roman" w:cs="Times New Roman"/>
          <w:snapToGrid w:val="0"/>
          <w:sz w:val="21"/>
          <w:szCs w:val="21"/>
        </w:rPr>
        <w:t>）和认证机构业务组（</w:t>
      </w:r>
      <w:r>
        <w:rPr>
          <w:rFonts w:ascii="Times New Roman" w:hAnsi="Times New Roman" w:cs="Times New Roman"/>
          <w:snapToGrid w:val="0"/>
          <w:sz w:val="21"/>
          <w:szCs w:val="21"/>
        </w:rPr>
        <w:t>NBOG</w:t>
      </w:r>
      <w:r>
        <w:rPr>
          <w:rFonts w:hint="eastAsia" w:ascii="Times New Roman" w:cs="Times New Roman"/>
          <w:snapToGrid w:val="0"/>
          <w:sz w:val="21"/>
          <w:szCs w:val="21"/>
        </w:rPr>
        <w:t>）。这些小组都在主管机构的监督之下。</w:t>
      </w:r>
    </w:p>
    <w:p w14:paraId="353057A1">
      <w:pPr>
        <w:pStyle w:val="12"/>
        <w:adjustRightInd/>
        <w:spacing w:before="240" w:after="0" w:line="360" w:lineRule="auto"/>
        <w:jc w:val="both"/>
        <w:rPr>
          <w:rFonts w:ascii="Times New Roman" w:hAnsi="Times New Roman" w:cs="Times New Roman"/>
          <w:snapToGrid w:val="0"/>
          <w:sz w:val="21"/>
          <w:szCs w:val="21"/>
        </w:rPr>
      </w:pPr>
      <w:r>
        <w:rPr>
          <w:rFonts w:hint="eastAsia" w:ascii="Times New Roman" w:cs="Times New Roman"/>
          <w:snapToGrid w:val="0"/>
          <w:sz w:val="21"/>
          <w:szCs w:val="21"/>
        </w:rPr>
        <w:t>同样，医疗器械警戒专家组、医疗器械边界分类组、临床调查评估工作组和</w:t>
      </w:r>
      <w:r>
        <w:rPr>
          <w:rFonts w:ascii="Times New Roman" w:hAnsi="Times New Roman" w:cs="Times New Roman"/>
          <w:snapToGrid w:val="0"/>
          <w:sz w:val="21"/>
          <w:szCs w:val="21"/>
        </w:rPr>
        <w:t>IVD</w:t>
      </w:r>
      <w:r>
        <w:rPr>
          <w:rFonts w:hint="eastAsia" w:ascii="Times New Roman" w:cs="Times New Roman"/>
          <w:snapToGrid w:val="0"/>
          <w:sz w:val="21"/>
          <w:szCs w:val="21"/>
        </w:rPr>
        <w:t>技术组是处理一般实施协调的工作组。</w:t>
      </w:r>
    </w:p>
    <w:p w14:paraId="0F227C60">
      <w:pPr>
        <w:pStyle w:val="12"/>
        <w:adjustRightInd/>
        <w:spacing w:before="240" w:after="0" w:line="360" w:lineRule="auto"/>
        <w:ind w:left="840" w:leftChars="400"/>
        <w:jc w:val="both"/>
        <w:rPr>
          <w:rFonts w:ascii="Times New Roman" w:hAnsi="Times New Roman" w:cs="Times New Roman"/>
          <w:i/>
          <w:iCs/>
          <w:snapToGrid w:val="0"/>
          <w:sz w:val="21"/>
          <w:szCs w:val="21"/>
        </w:rPr>
      </w:pPr>
      <w:r>
        <w:rPr>
          <w:rFonts w:ascii="Times New Roman" w:hAnsi="Times New Roman" w:cs="Times New Roman"/>
          <w:i/>
          <w:snapToGrid w:val="0"/>
          <w:sz w:val="21"/>
          <w:szCs w:val="21"/>
        </w:rPr>
        <w:t>1.2.3.</w:t>
      </w:r>
      <w:r>
        <w:rPr>
          <w:rFonts w:hint="eastAsia" w:ascii="Times New Roman" w:cs="Times New Roman"/>
          <w:i/>
          <w:snapToGrid w:val="0"/>
          <w:sz w:val="21"/>
          <w:szCs w:val="21"/>
        </w:rPr>
        <w:t>特别工作组</w:t>
      </w:r>
    </w:p>
    <w:p w14:paraId="52FA5469">
      <w:pPr>
        <w:pStyle w:val="12"/>
        <w:adjustRightInd/>
        <w:spacing w:before="240" w:after="0" w:line="360" w:lineRule="auto"/>
        <w:jc w:val="both"/>
        <w:rPr>
          <w:rFonts w:ascii="Times New Roman" w:hAnsi="Times New Roman" w:cs="Times New Roman"/>
          <w:snapToGrid w:val="0"/>
          <w:sz w:val="21"/>
          <w:szCs w:val="21"/>
        </w:rPr>
      </w:pPr>
      <w:r>
        <w:rPr>
          <w:rFonts w:ascii="Times New Roman" w:hAnsi="Times New Roman" w:cs="Times New Roman"/>
          <w:snapToGrid w:val="0"/>
          <w:sz w:val="21"/>
          <w:szCs w:val="21"/>
        </w:rPr>
        <w:t>MDEG</w:t>
      </w:r>
      <w:r>
        <w:rPr>
          <w:rFonts w:hint="eastAsia" w:ascii="Times New Roman" w:cs="Times New Roman"/>
          <w:snapToGrid w:val="0"/>
          <w:sz w:val="21"/>
          <w:szCs w:val="21"/>
        </w:rPr>
        <w:t>还设立了几个处理欧洲医疗器械数据库（</w:t>
      </w:r>
      <w:r>
        <w:rPr>
          <w:rFonts w:ascii="Times New Roman" w:hAnsi="Times New Roman" w:cs="Times New Roman"/>
          <w:snapToGrid w:val="0"/>
          <w:sz w:val="21"/>
          <w:szCs w:val="21"/>
        </w:rPr>
        <w:t>EUDAMED</w:t>
      </w:r>
      <w:r>
        <w:rPr>
          <w:rFonts w:hint="eastAsia" w:ascii="Times New Roman" w:cs="Times New Roman"/>
          <w:snapToGrid w:val="0"/>
          <w:sz w:val="21"/>
          <w:szCs w:val="21"/>
        </w:rPr>
        <w:t>）和新兴技术等问题的工作组。</w:t>
      </w:r>
    </w:p>
    <w:p w14:paraId="4138A3E5">
      <w:pPr>
        <w:pStyle w:val="12"/>
        <w:adjustRightInd/>
        <w:spacing w:before="240" w:after="0" w:line="360" w:lineRule="auto"/>
        <w:ind w:left="420" w:leftChars="200"/>
        <w:jc w:val="both"/>
        <w:rPr>
          <w:rFonts w:ascii="Times New Roman" w:hAnsi="Times New Roman" w:cs="Times New Roman"/>
          <w:b/>
          <w:bCs/>
          <w:snapToGrid w:val="0"/>
          <w:sz w:val="21"/>
          <w:szCs w:val="21"/>
        </w:rPr>
      </w:pPr>
      <w:r>
        <w:rPr>
          <w:rFonts w:ascii="Times New Roman" w:hAnsi="Times New Roman" w:cs="Times New Roman"/>
          <w:b/>
          <w:snapToGrid w:val="0"/>
          <w:sz w:val="21"/>
          <w:szCs w:val="21"/>
        </w:rPr>
        <w:t>1.3.</w:t>
      </w:r>
      <w:r>
        <w:rPr>
          <w:rFonts w:hint="eastAsia" w:ascii="Times New Roman" w:cs="Times New Roman"/>
          <w:b/>
          <w:snapToGrid w:val="0"/>
          <w:sz w:val="21"/>
          <w:szCs w:val="21"/>
        </w:rPr>
        <w:t>认证机构组</w:t>
      </w:r>
    </w:p>
    <w:p w14:paraId="4E7C915D">
      <w:pPr>
        <w:pStyle w:val="16"/>
        <w:adjustRightInd/>
        <w:spacing w:before="240" w:line="360" w:lineRule="auto"/>
        <w:jc w:val="both"/>
        <w:rPr>
          <w:rFonts w:ascii="Times New Roman" w:hAnsi="Times New Roman" w:cs="Times New Roman"/>
          <w:snapToGrid w:val="0"/>
          <w:sz w:val="21"/>
          <w:szCs w:val="21"/>
        </w:rPr>
      </w:pPr>
      <w:r>
        <w:rPr>
          <w:rFonts w:hint="eastAsia" w:ascii="Times New Roman" w:cs="Times New Roman"/>
          <w:snapToGrid w:val="0"/>
          <w:sz w:val="21"/>
          <w:szCs w:val="21"/>
        </w:rPr>
        <w:t>委员会公共事业机构设立了认证机构组（</w:t>
      </w:r>
      <w:r>
        <w:rPr>
          <w:rFonts w:ascii="Times New Roman" w:hAnsi="Times New Roman" w:cs="Times New Roman"/>
          <w:snapToGrid w:val="0"/>
          <w:sz w:val="21"/>
          <w:szCs w:val="21"/>
        </w:rPr>
        <w:t>NB - MED</w:t>
      </w:r>
      <w:r>
        <w:rPr>
          <w:rFonts w:hint="eastAsia" w:ascii="Times New Roman" w:cs="Times New Roman"/>
          <w:snapToGrid w:val="0"/>
          <w:sz w:val="21"/>
          <w:szCs w:val="21"/>
        </w:rPr>
        <w:t>），以确保医疗器械领域认证机构之间的密切合作。</w:t>
      </w:r>
    </w:p>
    <w:p w14:paraId="5F5C013D">
      <w:pPr>
        <w:pStyle w:val="16"/>
        <w:adjustRightInd/>
        <w:spacing w:before="240" w:line="360" w:lineRule="auto"/>
        <w:jc w:val="both"/>
        <w:rPr>
          <w:rFonts w:ascii="Times New Roman" w:hAnsi="Times New Roman" w:cs="Times New Roman"/>
          <w:snapToGrid w:val="0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br w:type="page"/>
      </w:r>
      <w:r>
        <w:rPr>
          <w:rFonts w:hint="eastAsia" w:ascii="Times New Roman" w:cs="Times New Roman"/>
          <w:snapToGrid w:val="0"/>
          <w:sz w:val="21"/>
          <w:szCs w:val="21"/>
        </w:rPr>
        <w:t>该合作需要实施一致的合格评定程序。</w:t>
      </w:r>
    </w:p>
    <w:p w14:paraId="3C60FCEC">
      <w:pPr>
        <w:pStyle w:val="12"/>
        <w:adjustRightInd/>
        <w:spacing w:before="240" w:after="0" w:line="360" w:lineRule="auto"/>
        <w:jc w:val="both"/>
        <w:rPr>
          <w:rFonts w:ascii="Times New Roman" w:hAnsi="Times New Roman" w:cs="Times New Roman"/>
          <w:b/>
          <w:bCs/>
          <w:snapToGrid w:val="0"/>
          <w:sz w:val="21"/>
          <w:szCs w:val="21"/>
        </w:rPr>
      </w:pPr>
      <w:r>
        <w:rPr>
          <w:rFonts w:ascii="Times New Roman" w:hAnsi="Times New Roman" w:cs="Times New Roman"/>
          <w:b/>
          <w:snapToGrid w:val="0"/>
          <w:sz w:val="21"/>
          <w:szCs w:val="21"/>
        </w:rPr>
        <w:t>2.</w:t>
      </w:r>
      <w:r>
        <w:rPr>
          <w:rFonts w:hint="eastAsia" w:ascii="Times New Roman" w:cs="Times New Roman"/>
          <w:b/>
          <w:snapToGrid w:val="0"/>
          <w:sz w:val="21"/>
          <w:szCs w:val="21"/>
        </w:rPr>
        <w:t>参与</w:t>
      </w:r>
    </w:p>
    <w:p w14:paraId="350930D5">
      <w:pPr>
        <w:pStyle w:val="18"/>
        <w:adjustRightInd/>
        <w:spacing w:before="240" w:after="0" w:line="360" w:lineRule="auto"/>
        <w:jc w:val="both"/>
        <w:rPr>
          <w:rFonts w:ascii="Times New Roman" w:hAnsi="Times New Roman" w:cs="Times New Roman"/>
          <w:snapToGrid w:val="0"/>
          <w:sz w:val="21"/>
          <w:szCs w:val="21"/>
        </w:rPr>
      </w:pPr>
      <w:r>
        <w:rPr>
          <w:rFonts w:hint="eastAsia" w:ascii="Times New Roman" w:cs="Times New Roman"/>
          <w:snapToGrid w:val="0"/>
          <w:sz w:val="21"/>
          <w:szCs w:val="21"/>
        </w:rPr>
        <w:t>医疗器械委员会仅限于成员国代表参加。</w:t>
      </w:r>
    </w:p>
    <w:p w14:paraId="067A67E1">
      <w:pPr>
        <w:pStyle w:val="18"/>
        <w:adjustRightInd/>
        <w:spacing w:before="240" w:after="0" w:line="360" w:lineRule="auto"/>
        <w:jc w:val="both"/>
        <w:rPr>
          <w:rFonts w:ascii="Times New Roman" w:hAnsi="Times New Roman" w:cs="Times New Roman"/>
          <w:snapToGrid w:val="0"/>
          <w:sz w:val="21"/>
          <w:szCs w:val="21"/>
        </w:rPr>
      </w:pPr>
      <w:r>
        <w:rPr>
          <w:rFonts w:hint="eastAsia" w:ascii="Times New Roman" w:cs="Times New Roman"/>
          <w:snapToGrid w:val="0"/>
          <w:sz w:val="21"/>
          <w:szCs w:val="21"/>
        </w:rPr>
        <w:t>主管机构会议、合规执行组（</w:t>
      </w:r>
      <w:r>
        <w:rPr>
          <w:rFonts w:ascii="Times New Roman" w:hAnsi="Times New Roman" w:cs="Times New Roman"/>
          <w:snapToGrid w:val="0"/>
          <w:sz w:val="21"/>
          <w:szCs w:val="21"/>
        </w:rPr>
        <w:t>COEN</w:t>
      </w:r>
      <w:r>
        <w:rPr>
          <w:rFonts w:hint="eastAsia" w:ascii="Times New Roman" w:cs="Times New Roman"/>
          <w:snapToGrid w:val="0"/>
          <w:sz w:val="21"/>
          <w:szCs w:val="21"/>
        </w:rPr>
        <w:t>）和认证机构业务组（</w:t>
      </w:r>
      <w:r>
        <w:rPr>
          <w:rFonts w:ascii="Times New Roman" w:hAnsi="Times New Roman" w:cs="Times New Roman"/>
          <w:snapToGrid w:val="0"/>
          <w:sz w:val="21"/>
          <w:szCs w:val="21"/>
        </w:rPr>
        <w:t>NBOG</w:t>
      </w:r>
      <w:r>
        <w:rPr>
          <w:rFonts w:hint="eastAsia" w:ascii="Times New Roman" w:cs="Times New Roman"/>
          <w:snapToGrid w:val="0"/>
          <w:sz w:val="21"/>
          <w:szCs w:val="21"/>
        </w:rPr>
        <w:t>）也仅限于成员国代表和相应主管机构</w:t>
      </w:r>
      <w:r>
        <w:rPr>
          <w:rFonts w:ascii="Times New Roman" w:hAnsi="Times New Roman" w:cs="Times New Roman"/>
          <w:snapToGrid w:val="0"/>
          <w:sz w:val="21"/>
          <w:szCs w:val="21"/>
        </w:rPr>
        <w:t>/</w:t>
      </w:r>
      <w:r>
        <w:rPr>
          <w:rFonts w:hint="eastAsia" w:ascii="Times New Roman" w:cs="Times New Roman"/>
          <w:snapToGrid w:val="0"/>
          <w:sz w:val="21"/>
          <w:szCs w:val="21"/>
        </w:rPr>
        <w:t>制定机构代表参加。</w:t>
      </w:r>
    </w:p>
    <w:p w14:paraId="3F820D48">
      <w:pPr>
        <w:pStyle w:val="12"/>
        <w:adjustRightInd/>
        <w:spacing w:before="240" w:after="0" w:line="360" w:lineRule="auto"/>
        <w:jc w:val="both"/>
        <w:rPr>
          <w:rFonts w:ascii="Times New Roman" w:hAnsi="Times New Roman" w:cs="Times New Roman"/>
          <w:snapToGrid w:val="0"/>
          <w:sz w:val="21"/>
          <w:szCs w:val="21"/>
        </w:rPr>
      </w:pPr>
      <w:r>
        <w:rPr>
          <w:rFonts w:hint="eastAsia" w:ascii="Times New Roman" w:cs="Times New Roman"/>
          <w:snapToGrid w:val="0"/>
          <w:sz w:val="21"/>
          <w:szCs w:val="21"/>
        </w:rPr>
        <w:t>除明确规定的非公开会议外，其他工作组一般对邀请的所有利益相关者开放。利益相关者包括特定行业代表、患者和用户代表以及认证机构代表。为确保会议均衡参与和代表性且保持会议可行规模，会议仅限于欧盟伞式组织参加。因此，单一制造商、患者或用户代表及国家贸易协会通常不能参加这些会议。</w:t>
      </w:r>
    </w:p>
    <w:p w14:paraId="625104B9">
      <w:pPr>
        <w:pStyle w:val="12"/>
        <w:adjustRightInd/>
        <w:spacing w:before="240" w:after="0" w:line="360" w:lineRule="auto"/>
        <w:jc w:val="both"/>
        <w:rPr>
          <w:rFonts w:ascii="Times New Roman" w:hAnsi="Times New Roman" w:cs="Times New Roman"/>
          <w:b/>
          <w:bCs/>
          <w:snapToGrid w:val="0"/>
          <w:sz w:val="21"/>
          <w:szCs w:val="21"/>
        </w:rPr>
      </w:pPr>
      <w:r>
        <w:rPr>
          <w:rFonts w:ascii="Times New Roman" w:hAnsi="Times New Roman" w:cs="Times New Roman"/>
          <w:b/>
          <w:snapToGrid w:val="0"/>
          <w:sz w:val="21"/>
          <w:szCs w:val="21"/>
        </w:rPr>
        <w:t>3.</w:t>
      </w:r>
      <w:r>
        <w:rPr>
          <w:rFonts w:hint="eastAsia" w:ascii="Times New Roman" w:cs="Times New Roman"/>
          <w:b/>
          <w:snapToGrid w:val="0"/>
          <w:sz w:val="21"/>
          <w:szCs w:val="21"/>
        </w:rPr>
        <w:t>会议次数</w:t>
      </w:r>
    </w:p>
    <w:p w14:paraId="4CA73371">
      <w:pPr>
        <w:pStyle w:val="12"/>
        <w:adjustRightInd/>
        <w:spacing w:before="240" w:after="0" w:line="360" w:lineRule="auto"/>
        <w:jc w:val="both"/>
        <w:rPr>
          <w:rFonts w:ascii="Times New Roman" w:hAnsi="Times New Roman" w:cs="Times New Roman"/>
          <w:snapToGrid w:val="0"/>
          <w:sz w:val="21"/>
          <w:szCs w:val="21"/>
        </w:rPr>
      </w:pPr>
      <w:r>
        <w:rPr>
          <w:rFonts w:hint="eastAsia" w:ascii="Times New Roman" w:cs="Times New Roman"/>
          <w:snapToGrid w:val="0"/>
          <w:sz w:val="21"/>
          <w:szCs w:val="21"/>
        </w:rPr>
        <w:t>医疗器械委员会仅在必要时列席会议，无定期会议频率。</w:t>
      </w:r>
      <w:r>
        <w:rPr>
          <w:rFonts w:ascii="Times New Roman" w:hAnsi="Times New Roman" w:cs="Times New Roman"/>
          <w:snapToGrid w:val="0"/>
          <w:sz w:val="21"/>
          <w:szCs w:val="21"/>
        </w:rPr>
        <w:t>MDEG</w:t>
      </w:r>
      <w:r>
        <w:rPr>
          <w:rFonts w:hint="eastAsia" w:ascii="Times New Roman" w:cs="Times New Roman"/>
          <w:snapToGrid w:val="0"/>
          <w:sz w:val="21"/>
          <w:szCs w:val="21"/>
        </w:rPr>
        <w:t>和</w:t>
      </w:r>
      <w:r>
        <w:rPr>
          <w:rFonts w:ascii="Times New Roman" w:hAnsi="Times New Roman" w:cs="Times New Roman"/>
          <w:snapToGrid w:val="0"/>
          <w:sz w:val="21"/>
          <w:szCs w:val="21"/>
        </w:rPr>
        <w:t>CA</w:t>
      </w:r>
      <w:r>
        <w:rPr>
          <w:rFonts w:hint="eastAsia" w:ascii="Times New Roman" w:cs="Times New Roman"/>
          <w:snapToGrid w:val="0"/>
          <w:sz w:val="21"/>
          <w:szCs w:val="21"/>
        </w:rPr>
        <w:t>会议每年召开两次。其他工作组的会议频率根据需要确定，但每个工作组通常一年召开</w:t>
      </w:r>
      <w:r>
        <w:rPr>
          <w:rFonts w:ascii="Times New Roman" w:hAnsi="Times New Roman" w:cs="Times New Roman"/>
          <w:snapToGrid w:val="0"/>
          <w:sz w:val="21"/>
          <w:szCs w:val="21"/>
        </w:rPr>
        <w:t>2 - 4</w:t>
      </w:r>
      <w:r>
        <w:rPr>
          <w:rFonts w:hint="eastAsia" w:ascii="Times New Roman" w:cs="Times New Roman"/>
          <w:snapToGrid w:val="0"/>
          <w:sz w:val="21"/>
          <w:szCs w:val="21"/>
        </w:rPr>
        <w:t>次会议。</w:t>
      </w:r>
    </w:p>
    <w:p w14:paraId="2AC50CF2">
      <w:pPr>
        <w:pStyle w:val="12"/>
        <w:adjustRightInd/>
        <w:spacing w:before="240" w:after="0" w:line="360" w:lineRule="auto"/>
        <w:jc w:val="both"/>
        <w:rPr>
          <w:rFonts w:ascii="Times New Roman" w:hAnsi="Times New Roman" w:cs="Times New Roman"/>
          <w:b/>
          <w:bCs/>
          <w:snapToGrid w:val="0"/>
          <w:sz w:val="21"/>
          <w:szCs w:val="21"/>
        </w:rPr>
      </w:pPr>
      <w:r>
        <w:rPr>
          <w:rFonts w:ascii="Times New Roman" w:hAnsi="Times New Roman" w:cs="Times New Roman"/>
          <w:b/>
          <w:snapToGrid w:val="0"/>
          <w:sz w:val="21"/>
          <w:szCs w:val="21"/>
        </w:rPr>
        <w:t>4.</w:t>
      </w:r>
      <w:r>
        <w:rPr>
          <w:rFonts w:hint="eastAsia" w:ascii="Times New Roman" w:cs="Times New Roman"/>
          <w:b/>
          <w:snapToGrid w:val="0"/>
          <w:sz w:val="21"/>
          <w:szCs w:val="21"/>
        </w:rPr>
        <w:t>工作惯例</w:t>
      </w:r>
    </w:p>
    <w:p w14:paraId="6BEBD1FA">
      <w:pPr>
        <w:pStyle w:val="12"/>
        <w:adjustRightInd/>
        <w:spacing w:before="240" w:after="0" w:line="360" w:lineRule="auto"/>
        <w:jc w:val="both"/>
        <w:rPr>
          <w:rFonts w:ascii="Times New Roman" w:hAnsi="Times New Roman" w:cs="Times New Roman"/>
          <w:snapToGrid w:val="0"/>
          <w:sz w:val="21"/>
          <w:szCs w:val="21"/>
        </w:rPr>
      </w:pPr>
      <w:r>
        <w:rPr>
          <w:rFonts w:hint="eastAsia" w:ascii="Times New Roman" w:cs="Times New Roman"/>
          <w:snapToGrid w:val="0"/>
          <w:sz w:val="21"/>
          <w:szCs w:val="21"/>
        </w:rPr>
        <w:t>为确保会议高效率有效召开，工作组计划按以下工作实践进行工作：</w:t>
      </w:r>
    </w:p>
    <w:p w14:paraId="7B4F5FC5">
      <w:pPr>
        <w:pStyle w:val="10"/>
        <w:numPr>
          <w:ilvl w:val="0"/>
          <w:numId w:val="1"/>
        </w:numPr>
        <w:adjustRightInd/>
        <w:spacing w:before="240" w:line="360" w:lineRule="auto"/>
        <w:jc w:val="both"/>
        <w:rPr>
          <w:rFonts w:ascii="Times New Roman" w:hAnsi="Times New Roman" w:cs="Times New Roman"/>
          <w:snapToGrid w:val="0"/>
          <w:color w:val="auto"/>
          <w:sz w:val="21"/>
          <w:szCs w:val="21"/>
        </w:rPr>
      </w:pPr>
      <w:r>
        <w:rPr>
          <w:rFonts w:hint="eastAsia" w:ascii="Times New Roman" w:cs="Times New Roman"/>
          <w:snapToGrid w:val="0"/>
          <w:color w:val="auto"/>
          <w:sz w:val="21"/>
          <w:szCs w:val="21"/>
        </w:rPr>
        <w:t>每个小组有</w:t>
      </w:r>
      <w:r>
        <w:rPr>
          <w:rFonts w:ascii="Times New Roman" w:hAnsi="Times New Roman" w:cs="Times New Roman"/>
          <w:snapToGrid w:val="0"/>
          <w:color w:val="auto"/>
          <w:sz w:val="21"/>
          <w:szCs w:val="21"/>
        </w:rPr>
        <w:t>MDEG/CA</w:t>
      </w:r>
      <w:r>
        <w:rPr>
          <w:rFonts w:hint="eastAsia" w:ascii="Times New Roman" w:cs="Times New Roman"/>
          <w:snapToGrid w:val="0"/>
          <w:color w:val="auto"/>
          <w:sz w:val="21"/>
          <w:szCs w:val="21"/>
        </w:rPr>
        <w:t>认可的明确</w:t>
      </w:r>
      <w:r>
        <w:rPr>
          <w:rFonts w:ascii="Times New Roman" w:hAnsi="Times New Roman" w:cs="Times New Roman"/>
          <w:snapToGrid w:val="0"/>
          <w:color w:val="auto"/>
          <w:sz w:val="21"/>
          <w:szCs w:val="21"/>
        </w:rPr>
        <w:t>“</w:t>
      </w:r>
      <w:r>
        <w:rPr>
          <w:rFonts w:hint="eastAsia" w:ascii="Times New Roman" w:cs="Times New Roman"/>
          <w:snapToGrid w:val="0"/>
          <w:color w:val="auto"/>
          <w:sz w:val="21"/>
          <w:szCs w:val="21"/>
        </w:rPr>
        <w:t>职权范围</w:t>
      </w:r>
      <w:r>
        <w:rPr>
          <w:rFonts w:ascii="Times New Roman" w:hAnsi="Times New Roman" w:cs="Times New Roman"/>
          <w:snapToGrid w:val="0"/>
          <w:color w:val="auto"/>
          <w:sz w:val="21"/>
          <w:szCs w:val="21"/>
        </w:rPr>
        <w:t>”</w:t>
      </w:r>
      <w:r>
        <w:rPr>
          <w:rFonts w:hint="eastAsia" w:ascii="Times New Roman" w:cs="Times New Roman"/>
          <w:snapToGrid w:val="0"/>
          <w:color w:val="auto"/>
          <w:sz w:val="21"/>
          <w:szCs w:val="21"/>
        </w:rPr>
        <w:t>，</w:t>
      </w:r>
    </w:p>
    <w:p w14:paraId="1D4F8167">
      <w:pPr>
        <w:pStyle w:val="10"/>
        <w:numPr>
          <w:ilvl w:val="0"/>
          <w:numId w:val="1"/>
        </w:numPr>
        <w:adjustRightInd/>
        <w:spacing w:line="360" w:lineRule="auto"/>
        <w:jc w:val="both"/>
        <w:rPr>
          <w:rFonts w:ascii="Times New Roman" w:hAnsi="Times New Roman" w:cs="Times New Roman"/>
          <w:snapToGrid w:val="0"/>
          <w:color w:val="auto"/>
          <w:sz w:val="21"/>
          <w:szCs w:val="21"/>
        </w:rPr>
      </w:pPr>
      <w:r>
        <w:rPr>
          <w:rFonts w:hint="eastAsia" w:ascii="Times New Roman" w:cs="Times New Roman"/>
          <w:snapToGrid w:val="0"/>
          <w:color w:val="auto"/>
          <w:sz w:val="21"/>
          <w:szCs w:val="21"/>
        </w:rPr>
        <w:t>每个小组有年度工作计划并编制年度活动报告，</w:t>
      </w:r>
    </w:p>
    <w:p w14:paraId="438DAEAD">
      <w:pPr>
        <w:pStyle w:val="10"/>
        <w:numPr>
          <w:ilvl w:val="0"/>
          <w:numId w:val="1"/>
        </w:numPr>
        <w:adjustRightInd/>
        <w:spacing w:line="360" w:lineRule="auto"/>
        <w:jc w:val="both"/>
        <w:rPr>
          <w:rFonts w:ascii="Times New Roman" w:hAnsi="Times New Roman" w:cs="Times New Roman"/>
          <w:snapToGrid w:val="0"/>
          <w:color w:val="auto"/>
          <w:sz w:val="21"/>
          <w:szCs w:val="21"/>
        </w:rPr>
      </w:pPr>
      <w:r>
        <w:rPr>
          <w:rFonts w:hint="eastAsia" w:ascii="Times New Roman" w:cs="Times New Roman"/>
          <w:snapToGrid w:val="0"/>
          <w:color w:val="auto"/>
          <w:sz w:val="21"/>
          <w:szCs w:val="21"/>
        </w:rPr>
        <w:t>会议提前预告，</w:t>
      </w:r>
    </w:p>
    <w:p w14:paraId="411DCB3C">
      <w:pPr>
        <w:pStyle w:val="10"/>
        <w:numPr>
          <w:ilvl w:val="0"/>
          <w:numId w:val="1"/>
        </w:numPr>
        <w:adjustRightInd/>
        <w:spacing w:line="360" w:lineRule="auto"/>
        <w:jc w:val="both"/>
        <w:rPr>
          <w:rFonts w:ascii="Times New Roman" w:hAnsi="Times New Roman" w:cs="Times New Roman"/>
          <w:snapToGrid w:val="0"/>
          <w:color w:val="auto"/>
          <w:sz w:val="21"/>
          <w:szCs w:val="21"/>
        </w:rPr>
      </w:pPr>
      <w:r>
        <w:rPr>
          <w:rFonts w:hint="eastAsia" w:ascii="Times New Roman" w:cs="Times New Roman"/>
          <w:snapToGrid w:val="0"/>
          <w:color w:val="auto"/>
          <w:sz w:val="21"/>
          <w:szCs w:val="21"/>
        </w:rPr>
        <w:t>若议程项目不足，会议将被取消或延期，</w:t>
      </w:r>
    </w:p>
    <w:p w14:paraId="1B253B85">
      <w:pPr>
        <w:pStyle w:val="10"/>
        <w:numPr>
          <w:ilvl w:val="0"/>
          <w:numId w:val="1"/>
        </w:numPr>
        <w:adjustRightInd/>
        <w:spacing w:line="360" w:lineRule="auto"/>
        <w:jc w:val="both"/>
        <w:rPr>
          <w:rFonts w:ascii="Times New Roman" w:hAnsi="Times New Roman" w:cs="Times New Roman"/>
          <w:snapToGrid w:val="0"/>
          <w:color w:val="auto"/>
          <w:sz w:val="21"/>
          <w:szCs w:val="21"/>
        </w:rPr>
      </w:pPr>
      <w:r>
        <w:rPr>
          <w:rFonts w:hint="eastAsia" w:ascii="Times New Roman" w:cs="Times New Roman"/>
          <w:snapToGrid w:val="0"/>
          <w:color w:val="auto"/>
          <w:sz w:val="21"/>
          <w:szCs w:val="21"/>
        </w:rPr>
        <w:t>初步议程草案应至少在会议召开前一个月确定，</w:t>
      </w:r>
    </w:p>
    <w:p w14:paraId="3A02A268">
      <w:pPr>
        <w:pStyle w:val="10"/>
        <w:numPr>
          <w:ilvl w:val="0"/>
          <w:numId w:val="1"/>
        </w:numPr>
        <w:adjustRightInd/>
        <w:spacing w:line="360" w:lineRule="auto"/>
        <w:jc w:val="both"/>
        <w:rPr>
          <w:rFonts w:ascii="Times New Roman" w:hAnsi="Times New Roman" w:cs="Times New Roman"/>
          <w:snapToGrid w:val="0"/>
          <w:color w:val="auto"/>
          <w:sz w:val="21"/>
          <w:szCs w:val="21"/>
        </w:rPr>
      </w:pPr>
      <w:r>
        <w:rPr>
          <w:rFonts w:hint="eastAsia" w:ascii="Times New Roman" w:cs="Times New Roman"/>
          <w:snapToGrid w:val="0"/>
          <w:color w:val="auto"/>
          <w:sz w:val="21"/>
          <w:szCs w:val="21"/>
        </w:rPr>
        <w:t>报告或更新内容应在会议召开前书面提交，以在会议上讨论，</w:t>
      </w:r>
    </w:p>
    <w:p w14:paraId="285DDE87">
      <w:pPr>
        <w:pStyle w:val="10"/>
        <w:numPr>
          <w:ilvl w:val="0"/>
          <w:numId w:val="1"/>
        </w:numPr>
        <w:adjustRightInd/>
        <w:spacing w:line="360" w:lineRule="auto"/>
        <w:jc w:val="both"/>
        <w:rPr>
          <w:rFonts w:ascii="Times New Roman" w:hAnsi="Times New Roman" w:cs="Times New Roman"/>
          <w:snapToGrid w:val="0"/>
          <w:color w:val="auto"/>
          <w:sz w:val="21"/>
          <w:szCs w:val="21"/>
        </w:rPr>
      </w:pPr>
      <w:r>
        <w:rPr>
          <w:rFonts w:ascii="Times New Roman" w:hAnsi="Times New Roman" w:cs="Times New Roman"/>
          <w:snapToGrid w:val="0"/>
          <w:color w:val="auto"/>
          <w:sz w:val="21"/>
          <w:szCs w:val="21"/>
        </w:rPr>
        <w:t>CIRCA</w:t>
      </w:r>
      <w:r>
        <w:rPr>
          <w:rFonts w:hint="eastAsia" w:ascii="Times New Roman" w:cs="Times New Roman"/>
          <w:snapToGrid w:val="0"/>
          <w:color w:val="auto"/>
          <w:sz w:val="21"/>
          <w:szCs w:val="21"/>
        </w:rPr>
        <w:t>进一步用于协调会议和散发文件，</w:t>
      </w:r>
    </w:p>
    <w:p w14:paraId="46E1066E">
      <w:pPr>
        <w:pStyle w:val="10"/>
        <w:numPr>
          <w:ilvl w:val="0"/>
          <w:numId w:val="1"/>
        </w:numPr>
        <w:adjustRightInd/>
        <w:spacing w:line="360" w:lineRule="auto"/>
        <w:jc w:val="both"/>
        <w:rPr>
          <w:rFonts w:ascii="Times New Roman" w:hAnsi="Times New Roman" w:cs="Times New Roman"/>
          <w:snapToGrid w:val="0"/>
          <w:color w:val="auto"/>
          <w:sz w:val="21"/>
          <w:szCs w:val="21"/>
        </w:rPr>
      </w:pPr>
      <w:r>
        <w:rPr>
          <w:rFonts w:hint="eastAsia" w:ascii="Times New Roman" w:cs="Times New Roman"/>
          <w:snapToGrid w:val="0"/>
          <w:color w:val="auto"/>
          <w:sz w:val="21"/>
          <w:szCs w:val="21"/>
        </w:rPr>
        <w:t>所有文件不迟于会议前两周提交，</w:t>
      </w:r>
    </w:p>
    <w:p w14:paraId="7C0B1D23">
      <w:pPr>
        <w:pStyle w:val="10"/>
        <w:numPr>
          <w:ilvl w:val="0"/>
          <w:numId w:val="1"/>
        </w:numPr>
        <w:adjustRightInd/>
        <w:spacing w:line="360" w:lineRule="auto"/>
        <w:jc w:val="both"/>
        <w:rPr>
          <w:rFonts w:ascii="Times New Roman" w:hAnsi="Times New Roman" w:cs="Times New Roman"/>
          <w:snapToGrid w:val="0"/>
          <w:color w:val="auto"/>
          <w:sz w:val="21"/>
          <w:szCs w:val="21"/>
        </w:rPr>
      </w:pPr>
      <w:r>
        <w:rPr>
          <w:rFonts w:hint="eastAsia" w:ascii="Times New Roman" w:cs="Times New Roman"/>
          <w:snapToGrid w:val="0"/>
          <w:color w:val="auto"/>
          <w:sz w:val="21"/>
          <w:szCs w:val="21"/>
        </w:rPr>
        <w:t>委员会在适用情况下将与会议主席一起至少在会议前两周向</w:t>
      </w:r>
      <w:r>
        <w:rPr>
          <w:rFonts w:ascii="Times New Roman" w:hAnsi="Times New Roman" w:cs="Times New Roman"/>
          <w:snapToGrid w:val="0"/>
          <w:color w:val="auto"/>
          <w:sz w:val="21"/>
          <w:szCs w:val="21"/>
        </w:rPr>
        <w:t>CIRCA</w:t>
      </w:r>
      <w:r>
        <w:rPr>
          <w:rFonts w:hint="eastAsia" w:ascii="Times New Roman" w:cs="Times New Roman"/>
          <w:snapToGrid w:val="0"/>
          <w:color w:val="auto"/>
          <w:sz w:val="21"/>
          <w:szCs w:val="21"/>
        </w:rPr>
        <w:t>提交所有文件。</w:t>
      </w:r>
    </w:p>
    <w:p w14:paraId="6706C638">
      <w:pPr>
        <w:pStyle w:val="10"/>
        <w:numPr>
          <w:ilvl w:val="0"/>
          <w:numId w:val="1"/>
        </w:numPr>
        <w:adjustRightInd/>
        <w:spacing w:line="360" w:lineRule="auto"/>
        <w:jc w:val="both"/>
        <w:rPr>
          <w:rFonts w:ascii="Times New Roman" w:hAnsi="Times New Roman" w:cs="Times New Roman"/>
          <w:snapToGrid w:val="0"/>
          <w:color w:val="auto"/>
          <w:sz w:val="21"/>
          <w:szCs w:val="21"/>
        </w:rPr>
      </w:pPr>
      <w:r>
        <w:rPr>
          <w:rFonts w:hint="eastAsia" w:ascii="Times New Roman" w:cs="Times New Roman"/>
          <w:snapToGrid w:val="0"/>
          <w:color w:val="auto"/>
          <w:sz w:val="21"/>
          <w:szCs w:val="21"/>
        </w:rPr>
        <w:t>草案说明</w:t>
      </w:r>
      <w:r>
        <w:rPr>
          <w:rFonts w:ascii="Times New Roman" w:hAnsi="Times New Roman" w:cs="Times New Roman"/>
          <w:snapToGrid w:val="0"/>
          <w:color w:val="auto"/>
          <w:sz w:val="21"/>
          <w:szCs w:val="21"/>
        </w:rPr>
        <w:t>/</w:t>
      </w:r>
      <w:r>
        <w:rPr>
          <w:rFonts w:hint="eastAsia" w:ascii="Times New Roman" w:cs="Times New Roman"/>
          <w:snapToGrid w:val="0"/>
          <w:color w:val="auto"/>
          <w:sz w:val="21"/>
          <w:szCs w:val="21"/>
        </w:rPr>
        <w:t>操作结论应按原则在会议结束后一个月内编制。</w:t>
      </w:r>
    </w:p>
    <w:p w14:paraId="324C7778">
      <w:pPr>
        <w:spacing w:before="240" w:line="360" w:lineRule="auto"/>
        <w:rPr>
          <w:rFonts w:ascii="Times New Roman" w:hAnsi="Times New Roman" w:cs="Times New Roman"/>
          <w:b/>
          <w:snapToGrid w:val="0"/>
          <w:kern w:val="0"/>
        </w:rPr>
      </w:pPr>
      <w:r>
        <w:rPr>
          <w:rFonts w:ascii="Times New Roman" w:hAnsi="Times New Roman" w:cs="Times New Roman"/>
        </w:rPr>
        <w:br w:type="page"/>
      </w:r>
      <w:r>
        <w:rPr>
          <w:rFonts w:ascii="Times New Roman" w:hAnsi="Times New Roman" w:cs="Times New Roman"/>
          <w:b/>
          <w:snapToGrid w:val="0"/>
          <w:kern w:val="0"/>
        </w:rPr>
        <w:t>5.</w:t>
      </w:r>
      <w:r>
        <w:rPr>
          <w:rFonts w:ascii="Times New Roman" w:hAnsi="Times New Roman" w:cs="Times New Roman"/>
          <w:b/>
          <w:snapToGrid w:val="0"/>
          <w:kern w:val="0"/>
        </w:rPr>
        <w:tab/>
      </w:r>
      <w:r>
        <w:rPr>
          <w:rFonts w:hint="eastAsia" w:ascii="Times New Roman" w:cs="Times New Roman"/>
          <w:b/>
          <w:snapToGrid w:val="0"/>
          <w:kern w:val="0"/>
        </w:rPr>
        <w:t>委员会和工作组结构概述</w:t>
      </w:r>
    </w:p>
    <w:p w14:paraId="52BE2F58">
      <w:pPr>
        <w:spacing w:line="360" w:lineRule="auto"/>
        <w:rPr>
          <w:rFonts w:ascii="Times New Roman" w:cs="Times New Roman"/>
          <w:b/>
          <w:snapToGrid w:val="0"/>
          <w:kern w:val="0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7"/>
      </w:tblGrid>
      <w:tr w14:paraId="5528C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  <w:shd w:val="clear" w:color="auto" w:fill="9ACCFF"/>
          </w:tcPr>
          <w:p w14:paraId="1ADE471A">
            <w:pPr>
              <w:spacing w:line="360" w:lineRule="auto"/>
              <w:rPr>
                <w:rFonts w:ascii="Times New Roman" w:cs="Times New Roman"/>
                <w:b/>
                <w:snapToGrid w:val="0"/>
                <w:kern w:val="0"/>
              </w:rPr>
            </w:pPr>
            <w:r>
              <w:rPr>
                <w:rFonts w:hint="eastAsia" w:ascii="Times New Roman" w:cs="Times New Roman"/>
                <w:b/>
                <w:snapToGrid w:val="0"/>
                <w:kern w:val="0"/>
              </w:rPr>
              <w:t>医疗委员会</w:t>
            </w:r>
          </w:p>
        </w:tc>
      </w:tr>
      <w:tr w14:paraId="39971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  <w:shd w:val="clear" w:color="auto" w:fill="9ACCFF"/>
          </w:tcPr>
          <w:p w14:paraId="5D6974C3">
            <w:pPr>
              <w:spacing w:line="360" w:lineRule="auto"/>
              <w:rPr>
                <w:rFonts w:ascii="Times New Roman" w:cs="Times New Roman"/>
                <w:b/>
                <w:snapToGrid w:val="0"/>
                <w:kern w:val="0"/>
              </w:rPr>
            </w:pPr>
            <w:r>
              <w:rPr>
                <w:rFonts w:hint="eastAsia" w:ascii="Times New Roman" w:cs="Times New Roman"/>
                <w:b/>
                <w:snapToGrid w:val="0"/>
                <w:kern w:val="0"/>
              </w:rPr>
              <w:t>器械委员会</w:t>
            </w:r>
            <w:r>
              <w:rPr>
                <w:rFonts w:ascii="Times New Roman" w:hAnsi="Times New Roman" w:cs="Times New Roman"/>
                <w:b/>
                <w:snapToGrid w:val="0"/>
                <w:kern w:val="0"/>
              </w:rPr>
              <w:t>98/34</w:t>
            </w:r>
          </w:p>
        </w:tc>
      </w:tr>
      <w:tr w14:paraId="3AEEE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</w:tcPr>
          <w:p w14:paraId="24FC64CF">
            <w:pPr>
              <w:spacing w:line="360" w:lineRule="auto"/>
              <w:rPr>
                <w:rFonts w:ascii="Times New Roman" w:cs="Times New Roman"/>
                <w:b/>
                <w:snapToGrid w:val="0"/>
                <w:kern w:val="0"/>
              </w:rPr>
            </w:pPr>
            <w:r>
              <w:rPr>
                <w:rFonts w:hint="eastAsia" w:ascii="Times New Roman" w:cs="Times New Roman"/>
                <w:b/>
                <w:snapToGrid w:val="0"/>
                <w:kern w:val="0"/>
              </w:rPr>
              <w:t>科学委员会</w:t>
            </w:r>
          </w:p>
        </w:tc>
      </w:tr>
    </w:tbl>
    <w:p w14:paraId="73E83AFE">
      <w:pPr>
        <w:spacing w:line="360" w:lineRule="auto"/>
        <w:rPr>
          <w:rFonts w:ascii="Times New Roman" w:cs="Times New Roman"/>
          <w:b/>
          <w:snapToGrid w:val="0"/>
          <w:kern w:val="0"/>
        </w:rPr>
      </w:pPr>
    </w:p>
    <w:tbl>
      <w:tblPr>
        <w:tblStyle w:val="6"/>
        <w:tblW w:w="5000" w:type="pct"/>
        <w:tblInd w:w="-10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1"/>
        <w:gridCol w:w="101"/>
        <w:gridCol w:w="1404"/>
        <w:gridCol w:w="97"/>
        <w:gridCol w:w="1091"/>
        <w:gridCol w:w="1060"/>
        <w:gridCol w:w="608"/>
        <w:gridCol w:w="392"/>
        <w:gridCol w:w="1260"/>
        <w:gridCol w:w="1118"/>
      </w:tblGrid>
      <w:tr w14:paraId="63D3C5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44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6C21807">
            <w:pPr>
              <w:pStyle w:val="10"/>
              <w:adjustRightInd/>
              <w:spacing w:line="360" w:lineRule="auto"/>
              <w:rPr>
                <w:rFonts w:ascii="Times New Roman" w:hAnsi="Times New Roman" w:cs="Times New Roman"/>
                <w:snapToGrid w:val="0"/>
                <w:color w:val="auto"/>
                <w:sz w:val="21"/>
                <w:szCs w:val="21"/>
              </w:rPr>
            </w:pPr>
            <w:r>
              <w:rPr>
                <w:rFonts w:hint="eastAsia" w:ascii="Times New Roman" w:cs="Times New Roman"/>
                <w:b/>
                <w:snapToGrid w:val="0"/>
                <w:color w:val="auto"/>
                <w:sz w:val="21"/>
                <w:szCs w:val="21"/>
              </w:rPr>
              <w:t>政策和战略</w:t>
            </w:r>
            <w:r>
              <w:rPr>
                <w:rFonts w:ascii="Times New Roman" w:hAnsi="Times New Roman" w:cs="Times New Roman"/>
                <w:b/>
                <w:snapToGrid w:val="0"/>
                <w:color w:val="auto"/>
                <w:sz w:val="21"/>
                <w:szCs w:val="21"/>
              </w:rPr>
              <w:t>/</w:t>
            </w:r>
            <w:r>
              <w:rPr>
                <w:rFonts w:hint="eastAsia" w:ascii="Times New Roman" w:cs="Times New Roman"/>
                <w:b/>
                <w:snapToGrid w:val="0"/>
                <w:color w:val="auto"/>
                <w:sz w:val="21"/>
                <w:szCs w:val="21"/>
              </w:rPr>
              <w:t>总体协调</w:t>
            </w:r>
          </w:p>
        </w:tc>
        <w:tc>
          <w:tcPr>
            <w:tcW w:w="656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42DC8D">
            <w:pPr>
              <w:pStyle w:val="10"/>
              <w:adjustRightInd/>
              <w:spacing w:line="360" w:lineRule="auto"/>
              <w:rPr>
                <w:rFonts w:ascii="Times New Roman" w:hAnsi="Times New Roman" w:cs="Times New Roman"/>
                <w:snapToGrid w:val="0"/>
                <w:color w:val="auto"/>
                <w:sz w:val="21"/>
                <w:szCs w:val="21"/>
              </w:rPr>
            </w:pPr>
          </w:p>
        </w:tc>
      </w:tr>
      <w:tr w14:paraId="539873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ACCFF"/>
          </w:tcPr>
          <w:p w14:paraId="5DA51622">
            <w:pPr>
              <w:pStyle w:val="10"/>
              <w:adjustRightInd/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lang w:val="en-US"/>
              </w:rPr>
              <w:t>CA</w:t>
            </w:r>
            <w:r>
              <w:rPr>
                <w:rFonts w:hint="eastAsia" w:ascii="Times New Roman" w:hAnsi="Times New Roman" w:cs="Times New Roman"/>
                <w:b/>
                <w:bCs/>
                <w:snapToGrid w:val="0"/>
                <w:lang w:val="en-US"/>
              </w:rPr>
              <w:t>会议</w:t>
            </w:r>
          </w:p>
        </w:tc>
        <w:tc>
          <w:tcPr>
            <w:tcW w:w="264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9A"/>
            <w:vAlign w:val="bottom"/>
          </w:tcPr>
          <w:p w14:paraId="08DEDF77">
            <w:pPr>
              <w:pStyle w:val="10"/>
              <w:adjustRightInd/>
              <w:spacing w:line="360" w:lineRule="auto"/>
              <w:jc w:val="center"/>
              <w:rPr>
                <w:rFonts w:ascii="Times New Roman" w:hAnsi="Times New Roman" w:cs="Times New Roman"/>
                <w:b/>
                <w:snapToGrid w:val="0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napToGrid w:val="0"/>
                <w:color w:val="auto"/>
                <w:sz w:val="21"/>
                <w:szCs w:val="21"/>
              </w:rPr>
              <w:t>MDEG</w:t>
            </w:r>
          </w:p>
          <w:p w14:paraId="0AC2AF22">
            <w:pPr>
              <w:pStyle w:val="10"/>
              <w:adjustRightInd/>
              <w:spacing w:line="360" w:lineRule="auto"/>
              <w:jc w:val="center"/>
              <w:rPr>
                <w:rFonts w:ascii="Times New Roman" w:hAnsi="Times New Roman" w:cs="Times New Roman"/>
                <w:snapToGrid w:val="0"/>
                <w:color w:val="auto"/>
                <w:sz w:val="21"/>
                <w:szCs w:val="21"/>
              </w:rPr>
            </w:pPr>
            <w:r>
              <w:rPr>
                <w:rFonts w:hint="eastAsia" w:ascii="Times New Roman" w:cs="Times New Roman"/>
                <w:b/>
                <w:snapToGrid w:val="0"/>
                <w:color w:val="auto"/>
                <w:sz w:val="21"/>
                <w:szCs w:val="21"/>
              </w:rPr>
              <w:t>（仅部分机构）</w:t>
            </w:r>
          </w:p>
        </w:tc>
        <w:tc>
          <w:tcPr>
            <w:tcW w:w="656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9A"/>
          </w:tcPr>
          <w:p w14:paraId="64A3AFB5">
            <w:pPr>
              <w:pStyle w:val="10"/>
              <w:adjustRightInd/>
              <w:spacing w:line="360" w:lineRule="auto"/>
              <w:rPr>
                <w:rFonts w:ascii="Times New Roman" w:hAnsi="Times New Roman" w:cs="Times New Roman"/>
                <w:snapToGrid w:val="0"/>
                <w:color w:val="auto"/>
                <w:sz w:val="21"/>
                <w:szCs w:val="21"/>
              </w:rPr>
            </w:pPr>
          </w:p>
        </w:tc>
      </w:tr>
      <w:tr w14:paraId="7C3DE5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44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FFB7E67">
            <w:pPr>
              <w:pStyle w:val="10"/>
              <w:adjustRightInd/>
              <w:spacing w:line="360" w:lineRule="auto"/>
              <w:rPr>
                <w:rFonts w:ascii="Times New Roman" w:hAnsi="Times New Roman" w:cs="Times New Roman"/>
                <w:snapToGrid w:val="0"/>
                <w:color w:val="auto"/>
                <w:sz w:val="21"/>
                <w:szCs w:val="21"/>
              </w:rPr>
            </w:pPr>
            <w:r>
              <w:rPr>
                <w:rFonts w:hint="eastAsia" w:ascii="Times New Roman" w:cs="Times New Roman"/>
                <w:b/>
                <w:snapToGrid w:val="0"/>
                <w:color w:val="auto"/>
                <w:sz w:val="21"/>
                <w:szCs w:val="21"/>
              </w:rPr>
              <w:t>常设工作组</w:t>
            </w:r>
          </w:p>
        </w:tc>
        <w:tc>
          <w:tcPr>
            <w:tcW w:w="656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CB036E">
            <w:pPr>
              <w:pStyle w:val="10"/>
              <w:adjustRightInd/>
              <w:spacing w:line="360" w:lineRule="auto"/>
              <w:rPr>
                <w:rFonts w:ascii="Times New Roman" w:hAnsi="Times New Roman" w:cs="Times New Roman"/>
                <w:snapToGrid w:val="0"/>
                <w:color w:val="auto"/>
                <w:sz w:val="21"/>
                <w:szCs w:val="21"/>
              </w:rPr>
            </w:pPr>
          </w:p>
        </w:tc>
      </w:tr>
      <w:tr w14:paraId="543F4C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ACCFF"/>
          </w:tcPr>
          <w:p w14:paraId="728BB8DF">
            <w:pPr>
              <w:pStyle w:val="10"/>
              <w:adjustRightInd/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</w:rPr>
              <w:t>COEN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ACCFF"/>
          </w:tcPr>
          <w:p w14:paraId="48FF8360">
            <w:pPr>
              <w:pStyle w:val="10"/>
              <w:adjustRightInd/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</w:rPr>
              <w:t>NBOG</w:t>
            </w:r>
          </w:p>
        </w:tc>
        <w:tc>
          <w:tcPr>
            <w:tcW w:w="6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9A"/>
          </w:tcPr>
          <w:p w14:paraId="2D65603F">
            <w:pPr>
              <w:pStyle w:val="10"/>
              <w:adjustRightInd/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color w:val="auto"/>
                <w:sz w:val="21"/>
                <w:szCs w:val="21"/>
              </w:rPr>
            </w:pPr>
            <w:r>
              <w:rPr>
                <w:rFonts w:hint="eastAsia" w:ascii="Times New Roman" w:cs="Times New Roman"/>
                <w:b/>
                <w:snapToGrid w:val="0"/>
                <w:color w:val="auto"/>
                <w:sz w:val="21"/>
                <w:szCs w:val="21"/>
              </w:rPr>
              <w:t>警戒</w:t>
            </w:r>
          </w:p>
        </w:tc>
        <w:tc>
          <w:tcPr>
            <w:tcW w:w="9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9A"/>
          </w:tcPr>
          <w:p w14:paraId="2C7A7884">
            <w:pPr>
              <w:pStyle w:val="10"/>
              <w:adjustRightInd/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color w:val="auto"/>
                <w:sz w:val="21"/>
                <w:szCs w:val="21"/>
              </w:rPr>
            </w:pPr>
            <w:r>
              <w:rPr>
                <w:rFonts w:hint="eastAsia" w:ascii="Times New Roman" w:cs="Times New Roman"/>
                <w:b/>
                <w:snapToGrid w:val="0"/>
                <w:color w:val="auto"/>
                <w:sz w:val="21"/>
                <w:szCs w:val="21"/>
              </w:rPr>
              <w:t>分类和边界</w:t>
            </w:r>
          </w:p>
        </w:tc>
        <w:tc>
          <w:tcPr>
            <w:tcW w:w="9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9A"/>
            <w:vAlign w:val="center"/>
          </w:tcPr>
          <w:p w14:paraId="0FF51148">
            <w:pPr>
              <w:pStyle w:val="10"/>
              <w:adjustRightInd/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color w:val="auto"/>
                <w:sz w:val="21"/>
                <w:szCs w:val="21"/>
              </w:rPr>
            </w:pPr>
            <w:r>
              <w:rPr>
                <w:rFonts w:hint="eastAsia" w:ascii="Times New Roman" w:cs="Times New Roman"/>
                <w:b/>
                <w:snapToGrid w:val="0"/>
                <w:color w:val="auto"/>
                <w:sz w:val="21"/>
                <w:szCs w:val="21"/>
              </w:rPr>
              <w:t>临床调查评估（</w:t>
            </w:r>
            <w:r>
              <w:rPr>
                <w:rFonts w:ascii="Times New Roman" w:hAnsi="Times New Roman" w:cs="Times New Roman"/>
                <w:b/>
                <w:snapToGrid w:val="0"/>
                <w:color w:val="auto"/>
                <w:sz w:val="21"/>
                <w:szCs w:val="21"/>
              </w:rPr>
              <w:t>CIE</w:t>
            </w:r>
            <w:r>
              <w:rPr>
                <w:rFonts w:hint="eastAsia" w:ascii="Times New Roman" w:cs="Times New Roman"/>
                <w:b/>
                <w:snapToGrid w:val="0"/>
                <w:color w:val="auto"/>
                <w:sz w:val="21"/>
                <w:szCs w:val="21"/>
              </w:rPr>
              <w:t>）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9A"/>
          </w:tcPr>
          <w:p w14:paraId="6788662A">
            <w:pPr>
              <w:pStyle w:val="10"/>
              <w:adjustRightInd/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</w:rPr>
              <w:t>IVD</w:t>
            </w:r>
            <w:r>
              <w:rPr>
                <w:rFonts w:hint="eastAsia" w:ascii="Times New Roman" w:cs="Times New Roman"/>
                <w:b/>
                <w:bCs/>
                <w:color w:val="auto"/>
                <w:sz w:val="21"/>
                <w:szCs w:val="21"/>
              </w:rPr>
              <w:t>技术组</w:t>
            </w:r>
          </w:p>
        </w:tc>
      </w:tr>
      <w:tr w14:paraId="3B7CC2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02B91C">
            <w:pPr>
              <w:pStyle w:val="10"/>
              <w:adjustRightInd/>
              <w:spacing w:line="360" w:lineRule="auto"/>
              <w:rPr>
                <w:rFonts w:ascii="Times New Roman" w:hAnsi="Times New Roman" w:cs="Times New Roman"/>
                <w:snapToGrid w:val="0"/>
                <w:color w:val="auto"/>
                <w:sz w:val="21"/>
                <w:szCs w:val="21"/>
              </w:rPr>
            </w:pPr>
            <w:r>
              <w:rPr>
                <w:rFonts w:hint="eastAsia" w:ascii="Times New Roman" w:cs="Times New Roman"/>
                <w:b/>
                <w:snapToGrid w:val="0"/>
                <w:color w:val="auto"/>
                <w:sz w:val="21"/>
                <w:szCs w:val="21"/>
              </w:rPr>
              <w:t>特别工作组（</w:t>
            </w:r>
            <w:r>
              <w:rPr>
                <w:rFonts w:ascii="Times New Roman" w:hAnsi="Times New Roman" w:cs="Times New Roman"/>
                <w:b/>
                <w:snapToGrid w:val="0"/>
                <w:color w:val="auto"/>
                <w:sz w:val="21"/>
                <w:szCs w:val="21"/>
              </w:rPr>
              <w:t>WG</w:t>
            </w:r>
            <w:r>
              <w:rPr>
                <w:rFonts w:hint="eastAsia" w:ascii="Times New Roman" w:cs="Times New Roman"/>
                <w:b/>
                <w:snapToGrid w:val="0"/>
                <w:color w:val="auto"/>
                <w:sz w:val="21"/>
                <w:szCs w:val="21"/>
              </w:rPr>
              <w:t>）</w:t>
            </w:r>
          </w:p>
        </w:tc>
      </w:tr>
      <w:tr w14:paraId="23B069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9A"/>
            <w:vAlign w:val="center"/>
          </w:tcPr>
          <w:p w14:paraId="18C02FF5">
            <w:pPr>
              <w:pStyle w:val="10"/>
              <w:adjustRightInd/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EUDAMED WG</w:t>
            </w:r>
          </w:p>
        </w:tc>
        <w:tc>
          <w:tcPr>
            <w:tcW w:w="94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9A"/>
            <w:vAlign w:val="center"/>
          </w:tcPr>
          <w:p w14:paraId="10132C71">
            <w:pPr>
              <w:pStyle w:val="10"/>
              <w:adjustRightInd/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color w:val="auto"/>
                <w:sz w:val="21"/>
                <w:szCs w:val="21"/>
              </w:rPr>
            </w:pPr>
            <w:r>
              <w:rPr>
                <w:rFonts w:hint="eastAsia" w:ascii="Times New Roman" w:cs="Times New Roman"/>
                <w:snapToGrid w:val="0"/>
                <w:color w:val="auto"/>
                <w:sz w:val="21"/>
                <w:szCs w:val="21"/>
              </w:rPr>
              <w:t>新兴医疗器械技术（</w:t>
            </w:r>
            <w:r>
              <w:rPr>
                <w:rFonts w:ascii="Times New Roman" w:hAnsi="Times New Roman" w:cs="Times New Roman"/>
                <w:snapToGrid w:val="0"/>
                <w:color w:val="auto"/>
                <w:sz w:val="21"/>
                <w:szCs w:val="21"/>
              </w:rPr>
              <w:t>NET</w:t>
            </w:r>
            <w:r>
              <w:rPr>
                <w:rFonts w:hint="eastAsia" w:ascii="Times New Roman" w:cs="Times New Roman"/>
                <w:snapToGrid w:val="0"/>
                <w:color w:val="auto"/>
                <w:sz w:val="21"/>
                <w:szCs w:val="21"/>
              </w:rPr>
              <w:t>）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9A"/>
            <w:vAlign w:val="center"/>
          </w:tcPr>
          <w:p w14:paraId="6A4DFE1D">
            <w:pPr>
              <w:pStyle w:val="10"/>
              <w:adjustRightInd/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auto"/>
                <w:sz w:val="21"/>
                <w:szCs w:val="21"/>
              </w:rPr>
              <w:t>E-</w:t>
            </w:r>
            <w:r>
              <w:rPr>
                <w:rFonts w:hint="eastAsia" w:ascii="Times New Roman" w:cs="Times New Roman"/>
                <w:snapToGrid w:val="0"/>
                <w:color w:val="auto"/>
                <w:sz w:val="21"/>
                <w:szCs w:val="21"/>
              </w:rPr>
              <w:t>标签</w:t>
            </w:r>
          </w:p>
          <w:p w14:paraId="04AEEE0F">
            <w:pPr>
              <w:pStyle w:val="10"/>
              <w:adjustRightInd/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auto"/>
                <w:sz w:val="21"/>
                <w:szCs w:val="21"/>
              </w:rPr>
              <w:t>WG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9A"/>
            <w:vAlign w:val="center"/>
          </w:tcPr>
          <w:p w14:paraId="2BFB025D">
            <w:pPr>
              <w:pStyle w:val="10"/>
              <w:adjustRightInd/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color w:val="auto"/>
                <w:sz w:val="21"/>
                <w:szCs w:val="21"/>
              </w:rPr>
            </w:pPr>
            <w:r>
              <w:rPr>
                <w:rFonts w:hint="eastAsia" w:ascii="Times New Roman" w:cs="Times New Roman"/>
                <w:snapToGrid w:val="0"/>
                <w:color w:val="auto"/>
                <w:sz w:val="21"/>
                <w:szCs w:val="21"/>
              </w:rPr>
              <w:t>软件</w:t>
            </w:r>
          </w:p>
          <w:p w14:paraId="115F36AF">
            <w:pPr>
              <w:pStyle w:val="10"/>
              <w:adjustRightInd/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auto"/>
                <w:sz w:val="21"/>
                <w:szCs w:val="21"/>
              </w:rPr>
              <w:t>WG</w:t>
            </w:r>
          </w:p>
        </w:tc>
        <w:tc>
          <w:tcPr>
            <w:tcW w:w="5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9A"/>
            <w:vAlign w:val="center"/>
          </w:tcPr>
          <w:p w14:paraId="60C3A87E">
            <w:pPr>
              <w:pStyle w:val="10"/>
              <w:adjustRightInd/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MRA WG</w:t>
            </w:r>
            <w:r>
              <w:rPr>
                <w:rFonts w:hint="eastAsia" w:ascii="Times New Roman" w:cs="Times New Roman"/>
                <w:snapToGrid w:val="0"/>
                <w:color w:val="auto"/>
                <w:sz w:val="21"/>
                <w:szCs w:val="21"/>
              </w:rPr>
              <w:t>（无效）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9A"/>
            <w:vAlign w:val="center"/>
          </w:tcPr>
          <w:p w14:paraId="6C65C9FA">
            <w:pPr>
              <w:pStyle w:val="10"/>
              <w:adjustRightInd/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PVC-DEHP WG</w:t>
            </w:r>
            <w:r>
              <w:rPr>
                <w:rFonts w:hint="eastAsia" w:ascii="Times New Roman" w:cs="Times New Roman"/>
                <w:snapToGrid w:val="0"/>
                <w:color w:val="auto"/>
                <w:sz w:val="21"/>
                <w:szCs w:val="21"/>
              </w:rPr>
              <w:t>（无效）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9A"/>
            <w:vAlign w:val="center"/>
          </w:tcPr>
          <w:p w14:paraId="3055A761">
            <w:pPr>
              <w:pStyle w:val="10"/>
              <w:adjustRightInd/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napToGrid w:val="0"/>
                <w:color w:val="auto"/>
                <w:sz w:val="21"/>
                <w:szCs w:val="21"/>
              </w:rPr>
              <w:t>BSE / TSE WG</w:t>
            </w:r>
            <w:r>
              <w:rPr>
                <w:rFonts w:hint="eastAsia" w:ascii="Times New Roman" w:cs="Times New Roman"/>
                <w:snapToGrid w:val="0"/>
                <w:color w:val="auto"/>
                <w:sz w:val="21"/>
                <w:szCs w:val="21"/>
              </w:rPr>
              <w:t>（无效）</w:t>
            </w:r>
          </w:p>
        </w:tc>
      </w:tr>
      <w:tr w14:paraId="6EF640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A00409">
            <w:pPr>
              <w:pStyle w:val="10"/>
              <w:adjustRightInd/>
              <w:spacing w:line="360" w:lineRule="auto"/>
              <w:rPr>
                <w:rFonts w:ascii="Times New Roman" w:hAnsi="Times New Roman" w:cs="Times New Roman"/>
                <w:snapToGrid w:val="0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</w:rPr>
              <w:t>NB-MED</w:t>
            </w:r>
          </w:p>
        </w:tc>
      </w:tr>
    </w:tbl>
    <w:p w14:paraId="72C41488">
      <w:pPr>
        <w:pStyle w:val="10"/>
        <w:adjustRightInd/>
        <w:spacing w:line="360" w:lineRule="auto"/>
        <w:jc w:val="both"/>
        <w:rPr>
          <w:rFonts w:ascii="Times New Roman" w:hAnsi="Times New Roman" w:cs="Times New Roman"/>
          <w:snapToGrid w:val="0"/>
          <w:color w:val="auto"/>
          <w:sz w:val="21"/>
          <w:szCs w:val="21"/>
        </w:rPr>
      </w:pPr>
    </w:p>
    <w:tbl>
      <w:tblPr>
        <w:tblStyle w:val="6"/>
        <w:tblW w:w="0" w:type="auto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"/>
        <w:gridCol w:w="2424"/>
      </w:tblGrid>
      <w:tr w14:paraId="3C831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9ACCFF"/>
          </w:tcPr>
          <w:p w14:paraId="2B7F3F7F">
            <w:pPr>
              <w:pStyle w:val="10"/>
              <w:adjustRightInd/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2424" w:type="dxa"/>
          </w:tcPr>
          <w:p w14:paraId="32C12E93">
            <w:pPr>
              <w:spacing w:line="360" w:lineRule="auto"/>
              <w:rPr>
                <w:rFonts w:ascii="Times New Roman" w:hAnsi="Times New Roman" w:cs="Times New Roman"/>
                <w:b/>
                <w:bCs/>
                <w:snapToGrid w:val="0"/>
                <w:kern w:val="0"/>
              </w:rPr>
            </w:pPr>
            <w:r>
              <w:rPr>
                <w:rFonts w:hint="eastAsia" w:ascii="Times New Roman" w:cs="Times New Roman"/>
                <w:b/>
                <w:snapToGrid w:val="0"/>
                <w:kern w:val="0"/>
              </w:rPr>
              <w:t>成员国</w:t>
            </w:r>
          </w:p>
        </w:tc>
      </w:tr>
      <w:tr w14:paraId="6CDC0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FFFF9A"/>
          </w:tcPr>
          <w:p w14:paraId="135EEFC6">
            <w:pPr>
              <w:pStyle w:val="10"/>
              <w:adjustRightInd/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2424" w:type="dxa"/>
          </w:tcPr>
          <w:p w14:paraId="29E6AE9E">
            <w:pPr>
              <w:spacing w:line="360" w:lineRule="auto"/>
              <w:rPr>
                <w:rFonts w:ascii="Times New Roman" w:hAnsi="Times New Roman" w:cs="Times New Roman"/>
                <w:b/>
                <w:bCs/>
                <w:snapToGrid w:val="0"/>
                <w:kern w:val="0"/>
              </w:rPr>
            </w:pPr>
            <w:r>
              <w:rPr>
                <w:rFonts w:hint="eastAsia" w:ascii="Times New Roman" w:cs="Times New Roman"/>
                <w:b/>
                <w:snapToGrid w:val="0"/>
                <w:kern w:val="0"/>
              </w:rPr>
              <w:t>所有利益相关者（但在某些情况下可能参加非公开会议）</w:t>
            </w:r>
          </w:p>
        </w:tc>
      </w:tr>
    </w:tbl>
    <w:p w14:paraId="24ACEE31">
      <w:pPr>
        <w:pStyle w:val="10"/>
        <w:adjustRightInd/>
        <w:spacing w:line="360" w:lineRule="auto"/>
        <w:jc w:val="both"/>
        <w:rPr>
          <w:rFonts w:ascii="Times New Roman" w:hAnsi="Times New Roman" w:cs="Times New Roman"/>
          <w:snapToGrid w:val="0"/>
          <w:color w:val="auto"/>
          <w:sz w:val="21"/>
          <w:szCs w:val="21"/>
        </w:rPr>
      </w:pPr>
      <w:r>
        <w:rPr>
          <w:rFonts w:ascii="Times New Roman" w:hAnsi="Times New Roman" w:cs="Times New Roman"/>
          <w:snapToGrid w:val="0"/>
          <w:color w:val="auto"/>
          <w:sz w:val="21"/>
          <w:szCs w:val="21"/>
        </w:rPr>
        <w:br w:type="page"/>
      </w:r>
    </w:p>
    <w:sectPr>
      <w:headerReference r:id="rId4" w:type="default"/>
      <w:type w:val="continuous"/>
      <w:pgSz w:w="11900" w:h="16840"/>
      <w:pgMar w:top="1440" w:right="1797" w:bottom="1440" w:left="1797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r>
        <w:separator/>
      </w:r>
    </w:p>
  </w:footnote>
  <w:footnote w:type="continuationSeparator" w:id="3">
    <w:p>
      <w:r>
        <w:continuationSeparator/>
      </w:r>
    </w:p>
  </w:footnote>
  <w:footnote w:id="0">
    <w:p w14:paraId="6D523CAA">
      <w:pPr>
        <w:pStyle w:val="5"/>
        <w:spacing w:line="360" w:lineRule="auto"/>
      </w:pPr>
      <w:r>
        <w:rPr>
          <w:rStyle w:val="9"/>
          <w:rFonts w:cs="宋体"/>
        </w:rPr>
        <w:footnoteRef/>
      </w:r>
      <w:r>
        <w:t xml:space="preserve"> </w:t>
      </w:r>
      <w:r>
        <w:rPr>
          <w:rFonts w:ascii="Times New Roman" w:hAnsi="Times New Roman" w:cs="Times New Roman"/>
          <w:snapToGrid w:val="0"/>
        </w:rPr>
        <w:t>“</w:t>
      </w:r>
      <w:r>
        <w:rPr>
          <w:rFonts w:hint="eastAsia" w:ascii="Times New Roman" w:cs="Times New Roman"/>
          <w:snapToGrid w:val="0"/>
        </w:rPr>
        <w:t>工作组</w:t>
      </w:r>
      <w:r>
        <w:rPr>
          <w:rFonts w:ascii="Times New Roman" w:hAnsi="Times New Roman" w:cs="Times New Roman"/>
          <w:snapToGrid w:val="0"/>
        </w:rPr>
        <w:t>”</w:t>
      </w:r>
      <w:r>
        <w:rPr>
          <w:rFonts w:hint="eastAsia" w:ascii="Times New Roman" w:cs="Times New Roman"/>
          <w:snapToGrid w:val="0"/>
        </w:rPr>
        <w:t>在这里用作各类群体和主管机构小组、专家组等不同群体的涵盖性术语。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159DAC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712A7E"/>
    <w:multiLevelType w:val="multilevel"/>
    <w:tmpl w:val="72712A7E"/>
    <w:lvl w:ilvl="0" w:tentative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  <w:lvl w:ilvl="1" w:tentative="0">
      <w:start w:val="0"/>
      <w:numFmt w:val="decimal"/>
      <w:lvlText w:val=""/>
      <w:lvlJc w:val="left"/>
      <w:rPr>
        <w:rFonts w:cs="Times New Roman"/>
      </w:rPr>
    </w:lvl>
    <w:lvl w:ilvl="2" w:tentative="0">
      <w:start w:val="0"/>
      <w:numFmt w:val="decimal"/>
      <w:lvlText w:val=""/>
      <w:lvlJc w:val="left"/>
      <w:rPr>
        <w:rFonts w:cs="Times New Roman"/>
      </w:rPr>
    </w:lvl>
    <w:lvl w:ilvl="3" w:tentative="0">
      <w:start w:val="0"/>
      <w:numFmt w:val="decimal"/>
      <w:lvlText w:val=""/>
      <w:lvlJc w:val="left"/>
      <w:rPr>
        <w:rFonts w:cs="Times New Roman"/>
      </w:rPr>
    </w:lvl>
    <w:lvl w:ilvl="4" w:tentative="0">
      <w:start w:val="0"/>
      <w:numFmt w:val="decimal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800"/>
  <w:drawingGridVerticalOrigin w:val="1440"/>
  <w:doNotShadeFormData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2"/>
    <w:footnote w:id="3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03B"/>
    <w:rsid w:val="000D13CA"/>
    <w:rsid w:val="000E29D5"/>
    <w:rsid w:val="001942D3"/>
    <w:rsid w:val="00237284"/>
    <w:rsid w:val="002E3BA2"/>
    <w:rsid w:val="002E7164"/>
    <w:rsid w:val="003324F8"/>
    <w:rsid w:val="003C7A82"/>
    <w:rsid w:val="0043510F"/>
    <w:rsid w:val="004F6359"/>
    <w:rsid w:val="00556A13"/>
    <w:rsid w:val="005A15DF"/>
    <w:rsid w:val="005C2EDC"/>
    <w:rsid w:val="005C65C0"/>
    <w:rsid w:val="006016E6"/>
    <w:rsid w:val="00633E2C"/>
    <w:rsid w:val="00651126"/>
    <w:rsid w:val="006636BD"/>
    <w:rsid w:val="006A2D60"/>
    <w:rsid w:val="006C0DF0"/>
    <w:rsid w:val="006C397C"/>
    <w:rsid w:val="006F2A0B"/>
    <w:rsid w:val="007834C5"/>
    <w:rsid w:val="007857AA"/>
    <w:rsid w:val="00793075"/>
    <w:rsid w:val="00812153"/>
    <w:rsid w:val="008A503B"/>
    <w:rsid w:val="008C32C6"/>
    <w:rsid w:val="008F3F42"/>
    <w:rsid w:val="00B060F0"/>
    <w:rsid w:val="00B23EA8"/>
    <w:rsid w:val="00B53FAE"/>
    <w:rsid w:val="00B952A7"/>
    <w:rsid w:val="00BD25FE"/>
    <w:rsid w:val="00C10D87"/>
    <w:rsid w:val="00C31FB8"/>
    <w:rsid w:val="00C81219"/>
    <w:rsid w:val="00CA5E93"/>
    <w:rsid w:val="00CD5A30"/>
    <w:rsid w:val="00D11651"/>
    <w:rsid w:val="00D53681"/>
    <w:rsid w:val="00D852F6"/>
    <w:rsid w:val="00DC23FF"/>
    <w:rsid w:val="00EC6DD9"/>
    <w:rsid w:val="00F210AE"/>
    <w:rsid w:val="00F462F7"/>
    <w:rsid w:val="00FF42EA"/>
    <w:rsid w:val="31943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宋体" w:hAnsi="宋体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nhideWhenUsed="0"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nhideWhenUsed="0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宋体"/>
      <w:kern w:val="2"/>
      <w:sz w:val="21"/>
      <w:szCs w:val="21"/>
      <w:lang w:val="zh-CN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23"/>
    <w:semiHidden/>
    <w:uiPriority w:val="99"/>
    <w:rPr>
      <w:sz w:val="18"/>
      <w:szCs w:val="18"/>
    </w:rPr>
  </w:style>
  <w:style w:type="paragraph" w:styleId="3">
    <w:name w:val="footer"/>
    <w:basedOn w:val="1"/>
    <w:link w:val="2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9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note text"/>
    <w:basedOn w:val="1"/>
    <w:link w:val="22"/>
    <w:semiHidden/>
    <w:uiPriority w:val="99"/>
    <w:pPr>
      <w:snapToGrid w:val="0"/>
      <w:jc w:val="left"/>
    </w:pPr>
    <w:rPr>
      <w:sz w:val="18"/>
      <w:szCs w:val="18"/>
    </w:rPr>
  </w:style>
  <w:style w:type="table" w:styleId="7">
    <w:name w:val="Table Grid"/>
    <w:basedOn w:val="6"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footnote reference"/>
    <w:basedOn w:val="8"/>
    <w:semiHidden/>
    <w:uiPriority w:val="99"/>
    <w:rPr>
      <w:rFonts w:cs="Times New Roman"/>
      <w:vertAlign w:val="superscript"/>
    </w:rPr>
  </w:style>
  <w:style w:type="paragraph" w:customStyle="1" w:styleId="10">
    <w:name w:val="Default"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zh-CN" w:eastAsia="zh-CN" w:bidi="ar-SA"/>
    </w:rPr>
  </w:style>
  <w:style w:type="paragraph" w:customStyle="1" w:styleId="11">
    <w:name w:val="CM1"/>
    <w:basedOn w:val="10"/>
    <w:next w:val="10"/>
    <w:uiPriority w:val="99"/>
    <w:pPr>
      <w:spacing w:line="273" w:lineRule="atLeast"/>
    </w:pPr>
    <w:rPr>
      <w:color w:val="auto"/>
    </w:rPr>
  </w:style>
  <w:style w:type="paragraph" w:customStyle="1" w:styleId="12">
    <w:name w:val="CM8"/>
    <w:basedOn w:val="10"/>
    <w:next w:val="10"/>
    <w:uiPriority w:val="99"/>
    <w:pPr>
      <w:spacing w:after="223"/>
    </w:pPr>
    <w:rPr>
      <w:color w:val="auto"/>
    </w:rPr>
  </w:style>
  <w:style w:type="paragraph" w:customStyle="1" w:styleId="13">
    <w:name w:val="CM2"/>
    <w:basedOn w:val="10"/>
    <w:next w:val="10"/>
    <w:uiPriority w:val="99"/>
    <w:rPr>
      <w:color w:val="auto"/>
    </w:rPr>
  </w:style>
  <w:style w:type="paragraph" w:customStyle="1" w:styleId="14">
    <w:name w:val="CM3"/>
    <w:basedOn w:val="10"/>
    <w:next w:val="10"/>
    <w:uiPriority w:val="99"/>
    <w:pPr>
      <w:spacing w:line="276" w:lineRule="atLeast"/>
    </w:pPr>
    <w:rPr>
      <w:color w:val="auto"/>
    </w:rPr>
  </w:style>
  <w:style w:type="paragraph" w:customStyle="1" w:styleId="15">
    <w:name w:val="CM4"/>
    <w:basedOn w:val="10"/>
    <w:next w:val="10"/>
    <w:uiPriority w:val="99"/>
    <w:pPr>
      <w:spacing w:line="268" w:lineRule="atLeast"/>
    </w:pPr>
    <w:rPr>
      <w:color w:val="auto"/>
    </w:rPr>
  </w:style>
  <w:style w:type="paragraph" w:customStyle="1" w:styleId="16">
    <w:name w:val="CM5"/>
    <w:basedOn w:val="10"/>
    <w:next w:val="10"/>
    <w:uiPriority w:val="99"/>
    <w:pPr>
      <w:spacing w:line="276" w:lineRule="atLeast"/>
    </w:pPr>
    <w:rPr>
      <w:color w:val="auto"/>
    </w:rPr>
  </w:style>
  <w:style w:type="paragraph" w:customStyle="1" w:styleId="17">
    <w:name w:val="CM6"/>
    <w:basedOn w:val="10"/>
    <w:next w:val="10"/>
    <w:uiPriority w:val="99"/>
    <w:pPr>
      <w:spacing w:line="276" w:lineRule="atLeast"/>
    </w:pPr>
    <w:rPr>
      <w:color w:val="auto"/>
    </w:rPr>
  </w:style>
  <w:style w:type="paragraph" w:customStyle="1" w:styleId="18">
    <w:name w:val="CM9"/>
    <w:basedOn w:val="10"/>
    <w:next w:val="10"/>
    <w:uiPriority w:val="99"/>
    <w:pPr>
      <w:spacing w:after="273"/>
    </w:pPr>
    <w:rPr>
      <w:color w:val="auto"/>
    </w:rPr>
  </w:style>
  <w:style w:type="character" w:customStyle="1" w:styleId="19">
    <w:name w:val="页眉 Char"/>
    <w:basedOn w:val="8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20">
    <w:name w:val="页脚 Char"/>
    <w:basedOn w:val="8"/>
    <w:link w:val="3"/>
    <w:semiHidden/>
    <w:qFormat/>
    <w:locked/>
    <w:uiPriority w:val="99"/>
    <w:rPr>
      <w:rFonts w:cs="Times New Roman"/>
      <w:sz w:val="18"/>
      <w:szCs w:val="18"/>
    </w:rPr>
  </w:style>
  <w:style w:type="paragraph" w:customStyle="1" w:styleId="21">
    <w:name w:val="CM14"/>
    <w:basedOn w:val="10"/>
    <w:next w:val="10"/>
    <w:uiPriority w:val="99"/>
    <w:pPr>
      <w:spacing w:after="255"/>
    </w:pPr>
    <w:rPr>
      <w:rFonts w:ascii="Arial" w:hAnsi="Arial" w:cs="Arial"/>
      <w:color w:val="auto"/>
      <w:lang w:val="en-US"/>
    </w:rPr>
  </w:style>
  <w:style w:type="character" w:customStyle="1" w:styleId="22">
    <w:name w:val="脚注文本 Char"/>
    <w:basedOn w:val="8"/>
    <w:link w:val="5"/>
    <w:semiHidden/>
    <w:qFormat/>
    <w:locked/>
    <w:uiPriority w:val="99"/>
    <w:rPr>
      <w:rFonts w:cs="Times New Roman"/>
      <w:sz w:val="18"/>
      <w:szCs w:val="18"/>
      <w:lang w:val="zh-CN"/>
    </w:rPr>
  </w:style>
  <w:style w:type="character" w:customStyle="1" w:styleId="23">
    <w:name w:val="批注框文本 Char"/>
    <w:basedOn w:val="8"/>
    <w:link w:val="2"/>
    <w:semiHidden/>
    <w:uiPriority w:val="99"/>
    <w:rPr>
      <w:sz w:val="0"/>
      <w:szCs w:val="0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xlmedtrans</Company>
  <Pages>6</Pages>
  <Words>1967</Words>
  <Characters>2349</Characters>
  <Lines>17</Lines>
  <Paragraphs>4</Paragraphs>
  <TotalTime>3</TotalTime>
  <ScaleCrop>false</ScaleCrop>
  <LinksUpToDate>false</LinksUpToDate>
  <CharactersWithSpaces>2364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2017-03-06T15:24:00Z</dcterms:created>
  <dc:creator>xlmedtrans</dc:creator>
  <cp:lastModifiedBy>太极箫客</cp:lastModifiedBy>
  <dcterms:modified xsi:type="dcterms:W3CDTF">2025-08-14T06:40:44Z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eyJoZGlkIjoiMDJiMzI3ODBiNTFmMWRjNDUyMjM1ZmZjODY5NDc2MWMiLCJ1c2VySWQiOiI0NTQ4Nzg1NzAifQ==</vt:lpwstr>
  </property>
  <property fmtid="{D5CDD505-2E9C-101B-9397-08002B2CF9AE}" pid="3" name="KSOProductBuildVer">
    <vt:lpwstr>2052-12.1.0.21915</vt:lpwstr>
  </property>
  <property fmtid="{D5CDD505-2E9C-101B-9397-08002B2CF9AE}" pid="4" name="ICV">
    <vt:lpwstr>9535A9BC2CEF45CDA46C1FA370265B54_12</vt:lpwstr>
  </property>
</Properties>
</file>