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D9BC3A">
      <w:pPr>
        <w:pBdr>
          <w:bottom w:val="single" w:color="auto" w:sz="4" w:space="1"/>
        </w:pBdr>
        <w:overflowPunct w:val="0"/>
        <w:spacing w:before="120" w:beforeLines="50" w:line="300" w:lineRule="auto"/>
        <w:jc w:val="center"/>
        <w:rPr>
          <w:rFonts w:cs="Times New Roman"/>
          <w:b/>
          <w:sz w:val="36"/>
          <w:szCs w:val="36"/>
          <w:lang w:eastAsia="zh-CN"/>
        </w:rPr>
      </w:pPr>
      <w:bookmarkStart w:id="26" w:name="_GoBack"/>
      <w:bookmarkEnd w:id="26"/>
      <w:r>
        <w:rPr>
          <w:rFonts w:cs="宋体"/>
          <w:b/>
          <w:sz w:val="36"/>
          <w:szCs w:val="36"/>
          <w:lang w:eastAsia="zh-CN"/>
        </w:rPr>
        <w:t>医疗器械开发工具资格认证</w:t>
      </w:r>
    </w:p>
    <w:p w14:paraId="2716F45C">
      <w:pPr>
        <w:overflowPunct w:val="0"/>
        <w:spacing w:before="120" w:beforeLines="50" w:line="300" w:lineRule="auto"/>
        <w:jc w:val="center"/>
        <w:rPr>
          <w:rFonts w:cs="Times New Roman"/>
          <w:b/>
          <w:sz w:val="36"/>
          <w:szCs w:val="36"/>
          <w:lang w:eastAsia="zh-CN"/>
        </w:rPr>
      </w:pPr>
      <w:r>
        <w:rPr>
          <w:rFonts w:cs="宋体"/>
          <w:b/>
          <w:sz w:val="36"/>
          <w:szCs w:val="36"/>
          <w:lang w:eastAsia="zh-CN"/>
        </w:rPr>
        <w:t>行业、工具开发者和美国食品药品监督管理局工作人员指南</w:t>
      </w:r>
    </w:p>
    <w:p w14:paraId="36A9277E">
      <w:pPr>
        <w:overflowPunct w:val="0"/>
        <w:spacing w:before="120" w:beforeLines="50" w:line="300" w:lineRule="auto"/>
        <w:jc w:val="center"/>
        <w:rPr>
          <w:rFonts w:cs="Times New Roman"/>
          <w:b/>
          <w:sz w:val="24"/>
          <w:szCs w:val="24"/>
          <w:lang w:eastAsia="zh-CN"/>
        </w:rPr>
      </w:pPr>
    </w:p>
    <w:p w14:paraId="125CDDD9">
      <w:pPr>
        <w:overflowPunct w:val="0"/>
        <w:spacing w:before="120" w:beforeLines="50" w:line="300" w:lineRule="auto"/>
        <w:jc w:val="center"/>
        <w:rPr>
          <w:rFonts w:cs="Times New Roman"/>
          <w:b/>
          <w:sz w:val="24"/>
          <w:szCs w:val="24"/>
          <w:lang w:eastAsia="zh-CN"/>
        </w:rPr>
      </w:pPr>
      <w:r>
        <w:rPr>
          <w:rFonts w:cs="宋体"/>
          <w:b/>
          <w:sz w:val="24"/>
          <w:lang w:eastAsia="zh-CN"/>
        </w:rPr>
        <w:t>文件发布日期：2017年8月10日</w:t>
      </w:r>
    </w:p>
    <w:p w14:paraId="0FB795D7">
      <w:pPr>
        <w:overflowPunct w:val="0"/>
        <w:spacing w:before="120" w:beforeLines="50" w:line="300" w:lineRule="auto"/>
        <w:jc w:val="center"/>
        <w:rPr>
          <w:rFonts w:cs="Times New Roman"/>
          <w:b/>
          <w:sz w:val="24"/>
          <w:szCs w:val="24"/>
          <w:lang w:eastAsia="zh-CN"/>
        </w:rPr>
      </w:pPr>
      <w:r>
        <w:rPr>
          <w:rFonts w:cs="宋体"/>
          <w:b/>
          <w:sz w:val="24"/>
          <w:lang w:eastAsia="zh-CN"/>
        </w:rPr>
        <w:t>本指南文件草案发布日期：2013年11月14日</w:t>
      </w:r>
    </w:p>
    <w:p w14:paraId="10FC21F0">
      <w:pPr>
        <w:overflowPunct w:val="0"/>
        <w:spacing w:before="120" w:beforeLines="50" w:line="300" w:lineRule="auto"/>
        <w:jc w:val="center"/>
        <w:rPr>
          <w:rFonts w:cs="Times New Roman"/>
          <w:sz w:val="24"/>
          <w:szCs w:val="24"/>
        </w:rPr>
      </w:pPr>
      <w:r>
        <w:rPr>
          <w:rFonts w:cs="宋体"/>
          <w:sz w:val="24"/>
        </w:rPr>
        <w:t>如对本文件有任何疑问，请发送电子邮件至</w:t>
      </w:r>
      <w:r>
        <w:rPr>
          <w:rFonts w:cs="宋体"/>
          <w:color w:val="0000FF"/>
          <w:sz w:val="24"/>
          <w:u w:val="single"/>
        </w:rPr>
        <w:t>MDDT@fda.hhs.gov</w:t>
      </w:r>
      <w:r>
        <w:rPr>
          <w:rFonts w:cs="宋体"/>
          <w:sz w:val="24"/>
        </w:rPr>
        <w:t>。</w:t>
      </w:r>
    </w:p>
    <w:p w14:paraId="33AEBCF2">
      <w:pPr>
        <w:overflowPunct w:val="0"/>
        <w:spacing w:before="120" w:beforeLines="50" w:line="300" w:lineRule="auto"/>
        <w:rPr>
          <w:rFonts w:cs="Times New Roman"/>
          <w:sz w:val="24"/>
          <w:szCs w:val="24"/>
          <w:lang w:eastAsia="zh-CN"/>
        </w:rPr>
      </w:pPr>
    </w:p>
    <w:p w14:paraId="519351B3">
      <w:pPr>
        <w:overflowPunct w:val="0"/>
        <w:spacing w:before="120" w:beforeLines="50" w:line="300" w:lineRule="auto"/>
        <w:rPr>
          <w:rFonts w:cs="Times New Roman"/>
          <w:sz w:val="24"/>
          <w:szCs w:val="24"/>
          <w:lang w:eastAsia="zh-CN"/>
        </w:rPr>
      </w:pPr>
    </w:p>
    <w:p w14:paraId="1BB22C4D">
      <w:pPr>
        <w:overflowPunct w:val="0"/>
        <w:spacing w:before="120" w:beforeLines="50" w:line="300" w:lineRule="auto"/>
        <w:rPr>
          <w:rFonts w:cs="Times New Roman"/>
          <w:sz w:val="24"/>
          <w:szCs w:val="24"/>
          <w:lang w:eastAsia="zh-CN"/>
        </w:rPr>
      </w:pPr>
    </w:p>
    <w:p w14:paraId="1D5A4B82">
      <w:pPr>
        <w:overflowPunct w:val="0"/>
        <w:spacing w:before="120" w:beforeLines="50" w:line="300" w:lineRule="auto"/>
        <w:rPr>
          <w:rFonts w:cs="Times New Roman"/>
          <w:sz w:val="24"/>
          <w:szCs w:val="24"/>
          <w:lang w:eastAsia="zh-CN"/>
        </w:rPr>
      </w:pPr>
    </w:p>
    <w:p w14:paraId="2C0F8348">
      <w:pPr>
        <w:overflowPunct w:val="0"/>
        <w:spacing w:before="120" w:beforeLines="50" w:line="300" w:lineRule="auto"/>
        <w:rPr>
          <w:rFonts w:cs="Times New Roman"/>
          <w:sz w:val="24"/>
          <w:szCs w:val="24"/>
          <w:lang w:eastAsia="zh-CN"/>
        </w:rPr>
      </w:pPr>
    </w:p>
    <w:p w14:paraId="6A2C3ED0">
      <w:pPr>
        <w:overflowPunct w:val="0"/>
        <w:spacing w:before="120" w:beforeLines="50" w:line="300" w:lineRule="auto"/>
        <w:rPr>
          <w:rFonts w:cs="Times New Roman"/>
          <w:sz w:val="24"/>
          <w:szCs w:val="24"/>
          <w:lang w:eastAsia="zh-CN"/>
        </w:rPr>
      </w:pPr>
    </w:p>
    <w:p w14:paraId="3E72B3B7">
      <w:pPr>
        <w:overflowPunct w:val="0"/>
        <w:spacing w:before="120" w:beforeLines="50" w:line="300" w:lineRule="auto"/>
        <w:rPr>
          <w:rFonts w:cs="Times New Roman"/>
          <w:sz w:val="24"/>
          <w:szCs w:val="24"/>
          <w:lang w:eastAsia="zh-CN"/>
        </w:rPr>
      </w:pPr>
    </w:p>
    <w:p w14:paraId="51653A83">
      <w:pPr>
        <w:overflowPunct w:val="0"/>
        <w:spacing w:before="120" w:beforeLines="50" w:line="300" w:lineRule="auto"/>
        <w:rPr>
          <w:rFonts w:cs="Times New Roman"/>
          <w:sz w:val="24"/>
          <w:szCs w:val="24"/>
          <w:lang w:eastAsia="zh-CN"/>
        </w:rPr>
      </w:pPr>
    </w:p>
    <w:p w14:paraId="338294EC">
      <w:pPr>
        <w:overflowPunct w:val="0"/>
        <w:spacing w:before="120" w:beforeLines="50" w:line="300" w:lineRule="auto"/>
        <w:rPr>
          <w:rFonts w:cs="Times New Roman"/>
          <w:sz w:val="24"/>
          <w:szCs w:val="24"/>
          <w:lang w:eastAsia="zh-CN"/>
        </w:rPr>
      </w:pPr>
    </w:p>
    <w:p w14:paraId="3397F9B4">
      <w:pPr>
        <w:overflowPunct w:val="0"/>
        <w:spacing w:before="120" w:beforeLines="50" w:line="300" w:lineRule="auto"/>
        <w:rPr>
          <w:rFonts w:cs="Times New Roman"/>
          <w:sz w:val="24"/>
          <w:szCs w:val="24"/>
          <w:lang w:eastAsia="zh-CN"/>
        </w:rPr>
      </w:pPr>
    </w:p>
    <w:p w14:paraId="68532B4E">
      <w:pPr>
        <w:overflowPunct w:val="0"/>
        <w:spacing w:before="120" w:beforeLines="50" w:line="300" w:lineRule="auto"/>
        <w:rPr>
          <w:rFonts w:cs="Times New Roman"/>
          <w:sz w:val="24"/>
          <w:szCs w:val="24"/>
          <w:lang w:eastAsia="zh-CN"/>
        </w:rPr>
      </w:pPr>
    </w:p>
    <w:p w14:paraId="59B14306">
      <w:pPr>
        <w:overflowPunct w:val="0"/>
        <w:spacing w:before="120" w:beforeLines="50" w:line="300" w:lineRule="auto"/>
        <w:rPr>
          <w:rFonts w:cs="Times New Roman"/>
          <w:sz w:val="24"/>
          <w:szCs w:val="24"/>
          <w:lang w:eastAsia="zh-CN"/>
        </w:rPr>
      </w:pPr>
    </w:p>
    <w:p w14:paraId="00652868">
      <w:pPr>
        <w:overflowPunct w:val="0"/>
        <w:spacing w:before="120" w:beforeLines="50" w:line="300" w:lineRule="auto"/>
        <w:rPr>
          <w:rFonts w:cs="Times New Roman"/>
          <w:sz w:val="24"/>
          <w:szCs w:val="24"/>
          <w:lang w:eastAsia="zh-CN"/>
        </w:rPr>
      </w:pPr>
    </w:p>
    <w:p w14:paraId="43CBCE7C">
      <w:pPr>
        <w:overflowPunct w:val="0"/>
        <w:spacing w:before="120" w:beforeLines="50" w:line="300" w:lineRule="auto"/>
        <w:rPr>
          <w:rFonts w:cs="Times New Roman"/>
          <w:sz w:val="24"/>
          <w:szCs w:val="24"/>
          <w:lang w:eastAsia="zh-CN"/>
        </w:rPr>
      </w:pPr>
    </w:p>
    <w:p w14:paraId="7CBD476E">
      <w:pPr>
        <w:overflowPunct w:val="0"/>
        <w:spacing w:before="120" w:beforeLines="50" w:line="300" w:lineRule="auto"/>
        <w:rPr>
          <w:rFonts w:cs="Times New Roman"/>
          <w:sz w:val="24"/>
          <w:szCs w:val="24"/>
          <w:lang w:eastAsia="zh-CN"/>
        </w:rPr>
      </w:pPr>
    </w:p>
    <w:p w14:paraId="046A5421">
      <w:pPr>
        <w:overflowPunct w:val="0"/>
        <w:spacing w:before="120" w:beforeLines="50" w:line="300" w:lineRule="auto"/>
        <w:rPr>
          <w:rFonts w:cs="Times New Roman"/>
          <w:sz w:val="24"/>
          <w:szCs w:val="24"/>
          <w:lang w:eastAsia="zh-CN"/>
        </w:rPr>
      </w:pPr>
    </w:p>
    <w:tbl>
      <w:tblPr>
        <w:tblStyle w:val="12"/>
        <w:tblW w:w="5000" w:type="pct"/>
        <w:tblInd w:w="0" w:type="dxa"/>
        <w:tblLayout w:type="autofit"/>
        <w:tblCellMar>
          <w:top w:w="0" w:type="dxa"/>
          <w:left w:w="108" w:type="dxa"/>
          <w:bottom w:w="0" w:type="dxa"/>
          <w:right w:w="108" w:type="dxa"/>
        </w:tblCellMar>
      </w:tblPr>
      <w:tblGrid>
        <w:gridCol w:w="4361"/>
        <w:gridCol w:w="4926"/>
      </w:tblGrid>
      <w:tr w14:paraId="5236B97B">
        <w:tblPrEx>
          <w:tblCellMar>
            <w:top w:w="0" w:type="dxa"/>
            <w:left w:w="108" w:type="dxa"/>
            <w:bottom w:w="0" w:type="dxa"/>
            <w:right w:w="108" w:type="dxa"/>
          </w:tblCellMar>
        </w:tblPrEx>
        <w:tc>
          <w:tcPr>
            <w:tcW w:w="2348" w:type="pct"/>
          </w:tcPr>
          <w:p w14:paraId="7E2A318E">
            <w:pPr>
              <w:overflowPunct w:val="0"/>
              <w:spacing w:before="36" w:beforeLines="15" w:line="276" w:lineRule="auto"/>
              <w:rPr>
                <w:rFonts w:cs="Times New Roman"/>
              </w:rPr>
            </w:pPr>
            <w:r>
              <w:rPr>
                <w:rFonts w:cs="宋体"/>
                <w:lang w:eastAsia="zh-CN"/>
              </w:rPr>
              <w:drawing>
                <wp:inline distT="0" distB="0" distL="0" distR="0">
                  <wp:extent cx="2449830" cy="661035"/>
                  <wp:effectExtent l="0" t="0" r="0" b="0"/>
                  <wp:docPr id="2" name="image1.png" descr="FDA Center for Devices and Radiological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FDA Center for Devices and Radiological Health logo"/>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50464" cy="661035"/>
                          </a:xfrm>
                          <a:prstGeom prst="rect">
                            <a:avLst/>
                          </a:prstGeom>
                        </pic:spPr>
                      </pic:pic>
                    </a:graphicData>
                  </a:graphic>
                </wp:inline>
              </w:drawing>
            </w:r>
          </w:p>
        </w:tc>
        <w:tc>
          <w:tcPr>
            <w:tcW w:w="2652" w:type="pct"/>
          </w:tcPr>
          <w:p w14:paraId="33BBFDF0">
            <w:pPr>
              <w:overflowPunct w:val="0"/>
              <w:spacing w:before="36" w:beforeLines="15" w:line="276" w:lineRule="auto"/>
              <w:jc w:val="right"/>
              <w:rPr>
                <w:rFonts w:cs="Times New Roman"/>
                <w:b/>
                <w:lang w:eastAsia="zh-CN"/>
              </w:rPr>
            </w:pPr>
            <w:r>
              <w:rPr>
                <w:rFonts w:cs="宋体"/>
                <w:b/>
                <w:lang w:eastAsia="zh-CN"/>
              </w:rPr>
              <w:t>美国卫生与公共服务部</w:t>
            </w:r>
          </w:p>
          <w:p w14:paraId="4E09A2A6">
            <w:pPr>
              <w:overflowPunct w:val="0"/>
              <w:spacing w:before="36" w:beforeLines="15" w:line="276" w:lineRule="auto"/>
              <w:jc w:val="right"/>
              <w:rPr>
                <w:rFonts w:cs="Times New Roman"/>
                <w:b/>
                <w:lang w:eastAsia="zh-CN"/>
              </w:rPr>
            </w:pPr>
            <w:r>
              <w:rPr>
                <w:rFonts w:cs="宋体"/>
                <w:b/>
                <w:lang w:eastAsia="zh-CN"/>
              </w:rPr>
              <w:t>美国食品药品监督管理局</w:t>
            </w:r>
          </w:p>
          <w:p w14:paraId="62B19890">
            <w:pPr>
              <w:overflowPunct w:val="0"/>
              <w:spacing w:before="36" w:beforeLines="15" w:line="276" w:lineRule="auto"/>
              <w:jc w:val="right"/>
              <w:rPr>
                <w:rFonts w:cs="Times New Roman"/>
                <w:b/>
                <w:lang w:eastAsia="zh-CN"/>
              </w:rPr>
            </w:pPr>
            <w:r>
              <w:rPr>
                <w:rFonts w:cs="宋体"/>
                <w:b/>
                <w:lang w:eastAsia="zh-CN"/>
              </w:rPr>
              <w:t>医疗器械</w:t>
            </w:r>
            <w:r>
              <w:rPr>
                <w:rFonts w:hint="eastAsia" w:cs="宋体"/>
                <w:b/>
                <w:lang w:eastAsia="zh-CN"/>
              </w:rPr>
              <w:t>与辐射</w:t>
            </w:r>
            <w:r>
              <w:rPr>
                <w:rFonts w:cs="宋体"/>
                <w:b/>
                <w:lang w:eastAsia="zh-CN"/>
              </w:rPr>
              <w:t>健康中心</w:t>
            </w:r>
          </w:p>
        </w:tc>
      </w:tr>
    </w:tbl>
    <w:p w14:paraId="1876967A">
      <w:pPr>
        <w:overflowPunct w:val="0"/>
        <w:spacing w:before="120" w:beforeLines="50" w:line="300" w:lineRule="auto"/>
        <w:rPr>
          <w:rFonts w:cs="Times New Roman"/>
          <w:b/>
          <w:sz w:val="24"/>
          <w:szCs w:val="24"/>
          <w:lang w:eastAsia="zh-CN"/>
        </w:rPr>
      </w:pPr>
    </w:p>
    <w:p w14:paraId="1877844A">
      <w:pPr>
        <w:overflowPunct w:val="0"/>
        <w:spacing w:before="120" w:beforeLines="50" w:line="300" w:lineRule="auto"/>
        <w:rPr>
          <w:rFonts w:cs="Times New Roman"/>
          <w:b/>
          <w:sz w:val="24"/>
          <w:szCs w:val="24"/>
          <w:lang w:eastAsia="zh-CN"/>
        </w:rPr>
        <w:sectPr>
          <w:headerReference r:id="rId3" w:type="default"/>
          <w:footerReference r:id="rId4" w:type="default"/>
          <w:pgSz w:w="11907" w:h="16839"/>
          <w:pgMar w:top="1418" w:right="1418" w:bottom="1418" w:left="1418" w:header="720" w:footer="720" w:gutter="0"/>
          <w:cols w:space="720" w:num="1"/>
          <w:docGrid w:linePitch="286" w:charSpace="0"/>
        </w:sectPr>
      </w:pPr>
    </w:p>
    <w:p w14:paraId="3C1AC6AD">
      <w:pPr>
        <w:overflowPunct w:val="0"/>
        <w:spacing w:before="120" w:beforeLines="50" w:line="300" w:lineRule="auto"/>
        <w:jc w:val="center"/>
        <w:rPr>
          <w:rFonts w:cs="Times New Roman"/>
          <w:b/>
          <w:sz w:val="36"/>
          <w:szCs w:val="36"/>
        </w:rPr>
      </w:pPr>
      <w:r>
        <w:rPr>
          <w:rFonts w:cs="宋体"/>
          <w:b/>
          <w:sz w:val="36"/>
          <w:szCs w:val="36"/>
        </w:rPr>
        <w:t>前言</w:t>
      </w:r>
    </w:p>
    <w:p w14:paraId="6A44B2BC">
      <w:pPr>
        <w:overflowPunct w:val="0"/>
        <w:spacing w:before="120" w:beforeLines="50" w:line="300" w:lineRule="auto"/>
        <w:rPr>
          <w:rFonts w:cs="Times New Roman"/>
          <w:b/>
          <w:sz w:val="30"/>
          <w:szCs w:val="30"/>
        </w:rPr>
      </w:pPr>
      <w:r>
        <w:rPr>
          <w:rFonts w:cs="宋体"/>
          <w:b/>
          <w:sz w:val="30"/>
          <w:szCs w:val="30"/>
        </w:rPr>
        <w:t>公众意见</w:t>
      </w:r>
    </w:p>
    <w:p w14:paraId="6889D8F8">
      <w:pPr>
        <w:overflowPunct w:val="0"/>
        <w:spacing w:before="120" w:beforeLines="50" w:line="300" w:lineRule="auto"/>
        <w:rPr>
          <w:rFonts w:cs="Times New Roman"/>
          <w:sz w:val="24"/>
          <w:szCs w:val="24"/>
        </w:rPr>
      </w:pPr>
      <w:r>
        <w:rPr>
          <w:rFonts w:cs="宋体"/>
          <w:sz w:val="24"/>
        </w:rPr>
        <w:t>您可随时登录</w:t>
      </w:r>
      <w:r>
        <w:rPr>
          <w:rFonts w:cs="宋体"/>
          <w:color w:val="0000FF"/>
          <w:sz w:val="24"/>
          <w:u w:val="single"/>
        </w:rPr>
        <w:t>http://www.regulations.gov</w:t>
      </w:r>
      <w:r>
        <w:rPr>
          <w:rFonts w:cs="宋体"/>
          <w:sz w:val="24"/>
        </w:rPr>
        <w:t>，提供电子版意见和建议，供</w:t>
      </w:r>
      <w:r>
        <w:rPr>
          <w:rFonts w:hint="eastAsia" w:cs="宋体"/>
          <w:sz w:val="24"/>
          <w:lang w:eastAsia="zh-CN"/>
        </w:rPr>
        <w:t>FDA</w:t>
      </w:r>
      <w:r>
        <w:rPr>
          <w:rFonts w:cs="宋体"/>
          <w:sz w:val="24"/>
        </w:rPr>
        <w:t>审议。书面意见可提交至：美国食品药品监督管理局的备案文件管理部，地址：5630 Fishers Lane, Room 1061, (HFA-305), Rockville, MD 20852。所有意见均应注明备案文件编号FDA-2013-D-1279。在下次修订或更新本文件时，FDA将考虑实施该意见。</w:t>
      </w:r>
    </w:p>
    <w:p w14:paraId="0B5599E8">
      <w:pPr>
        <w:overflowPunct w:val="0"/>
        <w:spacing w:before="120" w:beforeLines="50" w:line="300" w:lineRule="auto"/>
        <w:rPr>
          <w:rFonts w:cs="Times New Roman"/>
          <w:b/>
          <w:sz w:val="30"/>
          <w:szCs w:val="30"/>
          <w:lang w:eastAsia="zh-CN"/>
        </w:rPr>
      </w:pPr>
      <w:r>
        <w:rPr>
          <w:rFonts w:cs="宋体"/>
          <w:b/>
          <w:sz w:val="30"/>
          <w:szCs w:val="30"/>
          <w:lang w:eastAsia="zh-CN"/>
        </w:rPr>
        <w:t>更多副本</w:t>
      </w:r>
    </w:p>
    <w:p w14:paraId="6DFE1DC3">
      <w:pPr>
        <w:overflowPunct w:val="0"/>
        <w:spacing w:before="120" w:beforeLines="50" w:line="300" w:lineRule="auto"/>
        <w:rPr>
          <w:rFonts w:cs="Times New Roman"/>
          <w:sz w:val="24"/>
          <w:szCs w:val="24"/>
          <w:lang w:eastAsia="zh-CN"/>
        </w:rPr>
      </w:pPr>
      <w:r>
        <w:rPr>
          <w:rFonts w:cs="宋体"/>
          <w:sz w:val="24"/>
          <w:lang w:eastAsia="zh-CN"/>
        </w:rPr>
        <w:t>更多副本可通过互联网获得。您也可以通过电子邮件发送请求至</w:t>
      </w:r>
      <w:r>
        <w:rPr>
          <w:rFonts w:cs="宋体"/>
          <w:color w:val="0000FF"/>
          <w:sz w:val="24"/>
          <w:u w:val="single"/>
          <w:lang w:eastAsia="zh-CN"/>
        </w:rPr>
        <w:t>CDRH-Guidance@fda.hhs.gov</w:t>
      </w:r>
      <w:r>
        <w:rPr>
          <w:rFonts w:cs="宋体"/>
          <w:sz w:val="24"/>
          <w:lang w:eastAsia="zh-CN"/>
        </w:rPr>
        <w:t>获取本指南的副本。请使用文件编号1882，以便明确您需要的指南。</w:t>
      </w:r>
    </w:p>
    <w:p w14:paraId="48C8C2CB">
      <w:pPr>
        <w:overflowPunct w:val="0"/>
        <w:spacing w:before="120" w:beforeLines="50" w:line="300" w:lineRule="auto"/>
        <w:rPr>
          <w:rFonts w:cs="Times New Roman"/>
          <w:sz w:val="24"/>
          <w:szCs w:val="24"/>
          <w:lang w:eastAsia="zh-CN"/>
        </w:rPr>
      </w:pPr>
      <w:r>
        <w:rPr>
          <w:rFonts w:cs="宋体"/>
          <w:sz w:val="24"/>
          <w:lang w:eastAsia="zh-CN"/>
        </w:rPr>
        <w:br w:type="page"/>
      </w:r>
    </w:p>
    <w:p w14:paraId="58E5B073">
      <w:pPr>
        <w:overflowPunct w:val="0"/>
        <w:spacing w:before="120" w:beforeLines="50" w:line="300" w:lineRule="auto"/>
        <w:jc w:val="center"/>
        <w:rPr>
          <w:rFonts w:cs="Times New Roman"/>
          <w:b/>
          <w:sz w:val="32"/>
          <w:szCs w:val="32"/>
        </w:rPr>
      </w:pPr>
      <w:r>
        <w:rPr>
          <w:rFonts w:cs="宋体"/>
          <w:b/>
          <w:sz w:val="32"/>
        </w:rPr>
        <w:t>目录</w:t>
      </w:r>
    </w:p>
    <w:p w14:paraId="7EAF0949">
      <w:pPr>
        <w:pStyle w:val="10"/>
        <w:overflowPunct w:val="0"/>
        <w:rPr>
          <w:rFonts w:asciiTheme="minorHAnsi" w:hAnsiTheme="minorHAnsi" w:eastAsiaTheme="minorEastAsia"/>
          <w:kern w:val="2"/>
          <w:sz w:val="21"/>
          <w:szCs w:val="22"/>
          <w:lang w:eastAsia="zh-CN"/>
        </w:rPr>
      </w:pPr>
      <w:r>
        <w:rPr>
          <w:rFonts w:cs="Times New Roman"/>
          <w:b/>
          <w:lang w:eastAsia="zh-CN"/>
        </w:rPr>
        <w:fldChar w:fldCharType="begin"/>
      </w:r>
      <w:r>
        <w:rPr>
          <w:rFonts w:cs="Times New Roman"/>
          <w:b/>
          <w:lang w:eastAsia="zh-CN"/>
        </w:rPr>
        <w:instrText xml:space="preserve"> </w:instrText>
      </w:r>
      <w:r>
        <w:rPr>
          <w:rFonts w:hint="eastAsia" w:cs="Times New Roman"/>
          <w:b/>
          <w:lang w:eastAsia="zh-CN"/>
        </w:rPr>
        <w:instrText xml:space="preserve">TOC \o "1-3" \h \z \u</w:instrText>
      </w:r>
      <w:r>
        <w:rPr>
          <w:rFonts w:cs="Times New Roman"/>
          <w:b/>
          <w:lang w:eastAsia="zh-CN"/>
        </w:rPr>
        <w:instrText xml:space="preserve"> </w:instrText>
      </w:r>
      <w:r>
        <w:rPr>
          <w:rFonts w:cs="Times New Roman"/>
          <w:b/>
          <w:lang w:eastAsia="zh-CN"/>
        </w:rPr>
        <w:fldChar w:fldCharType="separate"/>
      </w:r>
      <w:r>
        <w:fldChar w:fldCharType="begin"/>
      </w:r>
      <w:r>
        <w:instrText xml:space="preserve"> HYPERLINK \l "_Toc91244859" </w:instrText>
      </w:r>
      <w:r>
        <w:fldChar w:fldCharType="separate"/>
      </w:r>
      <w:r>
        <w:rPr>
          <w:rStyle w:val="15"/>
          <w:rFonts w:cs="宋体"/>
          <w:lang w:eastAsia="zh-CN"/>
        </w:rPr>
        <w:t>I.</w:t>
      </w:r>
      <w:r>
        <w:rPr>
          <w:rFonts w:asciiTheme="minorHAnsi" w:hAnsiTheme="minorHAnsi" w:eastAsiaTheme="minorEastAsia"/>
          <w:kern w:val="2"/>
          <w:sz w:val="21"/>
          <w:szCs w:val="22"/>
          <w:lang w:eastAsia="zh-CN"/>
        </w:rPr>
        <w:tab/>
      </w:r>
      <w:r>
        <w:rPr>
          <w:rStyle w:val="15"/>
          <w:rFonts w:hint="eastAsia" w:cs="宋体"/>
          <w:lang w:eastAsia="zh-CN"/>
        </w:rPr>
        <w:t>引言</w:t>
      </w:r>
      <w:r>
        <w:tab/>
      </w:r>
      <w:r>
        <w:fldChar w:fldCharType="begin"/>
      </w:r>
      <w:r>
        <w:instrText xml:space="preserve"> PAGEREF _Toc91244859 \h </w:instrText>
      </w:r>
      <w:r>
        <w:fldChar w:fldCharType="separate"/>
      </w:r>
      <w:r>
        <w:t>1</w:t>
      </w:r>
      <w:r>
        <w:fldChar w:fldCharType="end"/>
      </w:r>
      <w:r>
        <w:fldChar w:fldCharType="end"/>
      </w:r>
    </w:p>
    <w:p w14:paraId="1C0429BC">
      <w:pPr>
        <w:pStyle w:val="10"/>
        <w:overflowPunct w:val="0"/>
        <w:rPr>
          <w:rFonts w:asciiTheme="minorHAnsi" w:hAnsiTheme="minorHAnsi" w:eastAsiaTheme="minorEastAsia"/>
          <w:kern w:val="2"/>
          <w:sz w:val="21"/>
          <w:szCs w:val="22"/>
          <w:lang w:eastAsia="zh-CN"/>
        </w:rPr>
      </w:pPr>
      <w:r>
        <w:fldChar w:fldCharType="begin"/>
      </w:r>
      <w:r>
        <w:instrText xml:space="preserve"> HYPERLINK \l "_Toc91244860" </w:instrText>
      </w:r>
      <w:r>
        <w:fldChar w:fldCharType="separate"/>
      </w:r>
      <w:r>
        <w:rPr>
          <w:rStyle w:val="15"/>
          <w:rFonts w:cs="宋体"/>
          <w:lang w:eastAsia="zh-CN"/>
        </w:rPr>
        <w:t>II.</w:t>
      </w:r>
      <w:r>
        <w:rPr>
          <w:rFonts w:asciiTheme="minorHAnsi" w:hAnsiTheme="minorHAnsi" w:eastAsiaTheme="minorEastAsia"/>
          <w:kern w:val="2"/>
          <w:sz w:val="21"/>
          <w:szCs w:val="22"/>
          <w:lang w:eastAsia="zh-CN"/>
        </w:rPr>
        <w:tab/>
      </w:r>
      <w:r>
        <w:rPr>
          <w:rStyle w:val="15"/>
          <w:rFonts w:hint="eastAsia" w:cs="宋体"/>
          <w:lang w:eastAsia="zh-CN"/>
        </w:rPr>
        <w:t>综述</w:t>
      </w:r>
      <w:r>
        <w:tab/>
      </w:r>
      <w:r>
        <w:fldChar w:fldCharType="begin"/>
      </w:r>
      <w:r>
        <w:instrText xml:space="preserve"> PAGEREF _Toc91244860 \h </w:instrText>
      </w:r>
      <w:r>
        <w:fldChar w:fldCharType="separate"/>
      </w:r>
      <w:r>
        <w:t>2</w:t>
      </w:r>
      <w:r>
        <w:fldChar w:fldCharType="end"/>
      </w:r>
      <w:r>
        <w:fldChar w:fldCharType="end"/>
      </w:r>
    </w:p>
    <w:p w14:paraId="66C1E0A5">
      <w:pPr>
        <w:pStyle w:val="11"/>
        <w:overflowPunct w:val="0"/>
        <w:rPr>
          <w:rFonts w:asciiTheme="minorHAnsi" w:hAnsiTheme="minorHAnsi" w:eastAsiaTheme="minorEastAsia"/>
          <w:kern w:val="2"/>
          <w:sz w:val="21"/>
          <w:szCs w:val="22"/>
          <w:lang w:eastAsia="zh-CN"/>
        </w:rPr>
      </w:pPr>
      <w:r>
        <w:fldChar w:fldCharType="begin"/>
      </w:r>
      <w:r>
        <w:instrText xml:space="preserve"> HYPERLINK \l "_Toc91244861" </w:instrText>
      </w:r>
      <w:r>
        <w:fldChar w:fldCharType="separate"/>
      </w:r>
      <w:r>
        <w:rPr>
          <w:rStyle w:val="15"/>
          <w:rFonts w:cs="宋体"/>
          <w:lang w:eastAsia="zh-CN"/>
        </w:rPr>
        <w:t>A.</w:t>
      </w:r>
      <w:r>
        <w:rPr>
          <w:rFonts w:asciiTheme="minorHAnsi" w:hAnsiTheme="minorHAnsi" w:eastAsiaTheme="minorEastAsia"/>
          <w:kern w:val="2"/>
          <w:sz w:val="21"/>
          <w:szCs w:val="22"/>
          <w:lang w:eastAsia="zh-CN"/>
        </w:rPr>
        <w:tab/>
      </w:r>
      <w:r>
        <w:rPr>
          <w:rStyle w:val="15"/>
          <w:rFonts w:hint="eastAsia" w:cs="宋体"/>
          <w:lang w:eastAsia="zh-CN"/>
        </w:rPr>
        <w:t>什么是</w:t>
      </w:r>
      <w:r>
        <w:rPr>
          <w:rStyle w:val="15"/>
          <w:rFonts w:cs="宋体"/>
          <w:lang w:eastAsia="zh-CN"/>
        </w:rPr>
        <w:t>MDDT</w:t>
      </w:r>
      <w:r>
        <w:rPr>
          <w:rStyle w:val="15"/>
          <w:rFonts w:hint="eastAsia" w:cs="宋体"/>
          <w:lang w:eastAsia="zh-CN"/>
        </w:rPr>
        <w:t>和</w:t>
      </w:r>
      <w:r>
        <w:rPr>
          <w:rStyle w:val="15"/>
          <w:rFonts w:cs="宋体"/>
          <w:lang w:eastAsia="zh-CN"/>
        </w:rPr>
        <w:t>MDDT</w:t>
      </w:r>
      <w:r>
        <w:rPr>
          <w:rStyle w:val="15"/>
          <w:rFonts w:hint="eastAsia" w:cs="宋体"/>
          <w:lang w:eastAsia="zh-CN"/>
        </w:rPr>
        <w:t>资格认证？</w:t>
      </w:r>
      <w:r>
        <w:tab/>
      </w:r>
      <w:r>
        <w:fldChar w:fldCharType="begin"/>
      </w:r>
      <w:r>
        <w:instrText xml:space="preserve"> PAGEREF _Toc91244861 \h </w:instrText>
      </w:r>
      <w:r>
        <w:fldChar w:fldCharType="separate"/>
      </w:r>
      <w:r>
        <w:t>2</w:t>
      </w:r>
      <w:r>
        <w:fldChar w:fldCharType="end"/>
      </w:r>
      <w:r>
        <w:fldChar w:fldCharType="end"/>
      </w:r>
    </w:p>
    <w:p w14:paraId="36D4017E">
      <w:pPr>
        <w:pStyle w:val="11"/>
        <w:overflowPunct w:val="0"/>
        <w:rPr>
          <w:rFonts w:asciiTheme="minorHAnsi" w:hAnsiTheme="minorHAnsi" w:eastAsiaTheme="minorEastAsia"/>
          <w:kern w:val="2"/>
          <w:sz w:val="21"/>
          <w:szCs w:val="22"/>
          <w:lang w:eastAsia="zh-CN"/>
        </w:rPr>
      </w:pPr>
      <w:r>
        <w:fldChar w:fldCharType="begin"/>
      </w:r>
      <w:r>
        <w:instrText xml:space="preserve"> HYPERLINK \l "_Toc91244862" </w:instrText>
      </w:r>
      <w:r>
        <w:fldChar w:fldCharType="separate"/>
      </w:r>
      <w:r>
        <w:rPr>
          <w:rStyle w:val="15"/>
          <w:rFonts w:cs="宋体"/>
          <w:lang w:eastAsia="zh-CN"/>
        </w:rPr>
        <w:t>B.</w:t>
      </w:r>
      <w:r>
        <w:rPr>
          <w:rFonts w:asciiTheme="minorHAnsi" w:hAnsiTheme="minorHAnsi" w:eastAsiaTheme="minorEastAsia"/>
          <w:kern w:val="2"/>
          <w:sz w:val="21"/>
          <w:szCs w:val="22"/>
          <w:lang w:eastAsia="zh-CN"/>
        </w:rPr>
        <w:tab/>
      </w:r>
      <w:r>
        <w:rPr>
          <w:rStyle w:val="15"/>
          <w:rFonts w:hint="eastAsia" w:cs="宋体"/>
          <w:lang w:eastAsia="zh-CN"/>
        </w:rPr>
        <w:t>为什么资格认证项目有益？</w:t>
      </w:r>
      <w:r>
        <w:tab/>
      </w:r>
      <w:r>
        <w:fldChar w:fldCharType="begin"/>
      </w:r>
      <w:r>
        <w:instrText xml:space="preserve"> PAGEREF _Toc91244862 \h </w:instrText>
      </w:r>
      <w:r>
        <w:fldChar w:fldCharType="separate"/>
      </w:r>
      <w:r>
        <w:t>3</w:t>
      </w:r>
      <w:r>
        <w:fldChar w:fldCharType="end"/>
      </w:r>
      <w:r>
        <w:fldChar w:fldCharType="end"/>
      </w:r>
    </w:p>
    <w:p w14:paraId="7E4A19A8">
      <w:pPr>
        <w:pStyle w:val="11"/>
        <w:overflowPunct w:val="0"/>
        <w:rPr>
          <w:rFonts w:asciiTheme="minorHAnsi" w:hAnsiTheme="minorHAnsi" w:eastAsiaTheme="minorEastAsia"/>
          <w:kern w:val="2"/>
          <w:sz w:val="21"/>
          <w:szCs w:val="22"/>
          <w:lang w:eastAsia="zh-CN"/>
        </w:rPr>
      </w:pPr>
      <w:r>
        <w:fldChar w:fldCharType="begin"/>
      </w:r>
      <w:r>
        <w:instrText xml:space="preserve"> HYPERLINK \l "_Toc91244863" </w:instrText>
      </w:r>
      <w:r>
        <w:fldChar w:fldCharType="separate"/>
      </w:r>
      <w:r>
        <w:rPr>
          <w:rStyle w:val="15"/>
          <w:rFonts w:cs="宋体"/>
          <w:lang w:eastAsia="zh-CN"/>
        </w:rPr>
        <w:t>C.</w:t>
      </w:r>
      <w:r>
        <w:rPr>
          <w:rFonts w:asciiTheme="minorHAnsi" w:hAnsiTheme="minorHAnsi" w:eastAsiaTheme="minorEastAsia"/>
          <w:kern w:val="2"/>
          <w:sz w:val="21"/>
          <w:szCs w:val="22"/>
          <w:lang w:eastAsia="zh-CN"/>
        </w:rPr>
        <w:tab/>
      </w:r>
      <w:r>
        <w:rPr>
          <w:rStyle w:val="15"/>
          <w:rFonts w:cs="宋体"/>
          <w:lang w:eastAsia="zh-CN"/>
        </w:rPr>
        <w:t>MDDT</w:t>
      </w:r>
      <w:r>
        <w:rPr>
          <w:rStyle w:val="15"/>
          <w:rFonts w:hint="eastAsia" w:cs="宋体"/>
          <w:lang w:eastAsia="zh-CN"/>
        </w:rPr>
        <w:t>如何用于器械评价和监管决策？</w:t>
      </w:r>
      <w:r>
        <w:tab/>
      </w:r>
      <w:r>
        <w:fldChar w:fldCharType="begin"/>
      </w:r>
      <w:r>
        <w:instrText xml:space="preserve"> PAGEREF _Toc91244863 \h </w:instrText>
      </w:r>
      <w:r>
        <w:fldChar w:fldCharType="separate"/>
      </w:r>
      <w:r>
        <w:t>4</w:t>
      </w:r>
      <w:r>
        <w:fldChar w:fldCharType="end"/>
      </w:r>
      <w:r>
        <w:fldChar w:fldCharType="end"/>
      </w:r>
    </w:p>
    <w:p w14:paraId="7BC74EE5">
      <w:pPr>
        <w:pStyle w:val="10"/>
        <w:overflowPunct w:val="0"/>
        <w:rPr>
          <w:rFonts w:asciiTheme="minorHAnsi" w:hAnsiTheme="minorHAnsi" w:eastAsiaTheme="minorEastAsia"/>
          <w:kern w:val="2"/>
          <w:sz w:val="21"/>
          <w:szCs w:val="22"/>
          <w:lang w:eastAsia="zh-CN"/>
        </w:rPr>
      </w:pPr>
      <w:r>
        <w:fldChar w:fldCharType="begin"/>
      </w:r>
      <w:r>
        <w:instrText xml:space="preserve"> HYPERLINK \l "_Toc91244864" </w:instrText>
      </w:r>
      <w:r>
        <w:fldChar w:fldCharType="separate"/>
      </w:r>
      <w:r>
        <w:rPr>
          <w:rStyle w:val="15"/>
          <w:rFonts w:cs="宋体"/>
          <w:lang w:eastAsia="zh-CN"/>
        </w:rPr>
        <w:t>III.</w:t>
      </w:r>
      <w:r>
        <w:rPr>
          <w:rFonts w:asciiTheme="minorHAnsi" w:hAnsiTheme="minorHAnsi" w:eastAsiaTheme="minorEastAsia"/>
          <w:kern w:val="2"/>
          <w:sz w:val="21"/>
          <w:szCs w:val="22"/>
          <w:lang w:eastAsia="zh-CN"/>
        </w:rPr>
        <w:tab/>
      </w:r>
      <w:r>
        <w:rPr>
          <w:rStyle w:val="15"/>
          <w:rFonts w:hint="eastAsia" w:cs="宋体"/>
          <w:lang w:eastAsia="zh-CN"/>
        </w:rPr>
        <w:t>关键概念的定义</w:t>
      </w:r>
      <w:r>
        <w:tab/>
      </w:r>
      <w:r>
        <w:fldChar w:fldCharType="begin"/>
      </w:r>
      <w:r>
        <w:instrText xml:space="preserve"> PAGEREF _Toc91244864 \h </w:instrText>
      </w:r>
      <w:r>
        <w:fldChar w:fldCharType="separate"/>
      </w:r>
      <w:r>
        <w:t>5</w:t>
      </w:r>
      <w:r>
        <w:fldChar w:fldCharType="end"/>
      </w:r>
      <w:r>
        <w:fldChar w:fldCharType="end"/>
      </w:r>
    </w:p>
    <w:p w14:paraId="282A939D">
      <w:pPr>
        <w:pStyle w:val="10"/>
        <w:overflowPunct w:val="0"/>
        <w:rPr>
          <w:rFonts w:asciiTheme="minorHAnsi" w:hAnsiTheme="minorHAnsi" w:eastAsiaTheme="minorEastAsia"/>
          <w:kern w:val="2"/>
          <w:sz w:val="21"/>
          <w:szCs w:val="22"/>
          <w:lang w:eastAsia="zh-CN"/>
        </w:rPr>
      </w:pPr>
      <w:r>
        <w:fldChar w:fldCharType="begin"/>
      </w:r>
      <w:r>
        <w:instrText xml:space="preserve"> HYPERLINK \l "_Toc91244865" </w:instrText>
      </w:r>
      <w:r>
        <w:fldChar w:fldCharType="separate"/>
      </w:r>
      <w:r>
        <w:rPr>
          <w:rStyle w:val="15"/>
          <w:rFonts w:cs="宋体"/>
          <w:lang w:eastAsia="zh-CN"/>
        </w:rPr>
        <w:t>IV.</w:t>
      </w:r>
      <w:r>
        <w:rPr>
          <w:rFonts w:asciiTheme="minorHAnsi" w:hAnsiTheme="minorHAnsi" w:eastAsiaTheme="minorEastAsia"/>
          <w:kern w:val="2"/>
          <w:sz w:val="21"/>
          <w:szCs w:val="22"/>
          <w:lang w:eastAsia="zh-CN"/>
        </w:rPr>
        <w:tab/>
      </w:r>
      <w:r>
        <w:rPr>
          <w:rStyle w:val="15"/>
          <w:rFonts w:cs="宋体"/>
          <w:lang w:eastAsia="zh-CN"/>
        </w:rPr>
        <w:t>CDRH</w:t>
      </w:r>
      <w:r>
        <w:rPr>
          <w:rStyle w:val="15"/>
          <w:rFonts w:hint="eastAsia" w:cs="宋体"/>
          <w:lang w:eastAsia="zh-CN"/>
        </w:rPr>
        <w:t>资格认证决策框架</w:t>
      </w:r>
      <w:r>
        <w:tab/>
      </w:r>
      <w:r>
        <w:fldChar w:fldCharType="begin"/>
      </w:r>
      <w:r>
        <w:instrText xml:space="preserve"> PAGEREF _Toc91244865 \h </w:instrText>
      </w:r>
      <w:r>
        <w:fldChar w:fldCharType="separate"/>
      </w:r>
      <w:r>
        <w:t>8</w:t>
      </w:r>
      <w:r>
        <w:fldChar w:fldCharType="end"/>
      </w:r>
      <w:r>
        <w:fldChar w:fldCharType="end"/>
      </w:r>
    </w:p>
    <w:p w14:paraId="046DC196">
      <w:pPr>
        <w:pStyle w:val="11"/>
        <w:overflowPunct w:val="0"/>
        <w:rPr>
          <w:rFonts w:asciiTheme="minorHAnsi" w:hAnsiTheme="minorHAnsi" w:eastAsiaTheme="minorEastAsia"/>
          <w:kern w:val="2"/>
          <w:sz w:val="21"/>
          <w:szCs w:val="22"/>
          <w:lang w:eastAsia="zh-CN"/>
        </w:rPr>
      </w:pPr>
      <w:r>
        <w:fldChar w:fldCharType="begin"/>
      </w:r>
      <w:r>
        <w:instrText xml:space="preserve"> HYPERLINK \l "_Toc91244866" </w:instrText>
      </w:r>
      <w:r>
        <w:fldChar w:fldCharType="separate"/>
      </w:r>
      <w:r>
        <w:rPr>
          <w:rStyle w:val="15"/>
          <w:rFonts w:cs="宋体"/>
          <w:lang w:eastAsia="zh-CN"/>
        </w:rPr>
        <w:t>A.</w:t>
      </w:r>
      <w:r>
        <w:rPr>
          <w:rFonts w:asciiTheme="minorHAnsi" w:hAnsiTheme="minorHAnsi" w:eastAsiaTheme="minorEastAsia"/>
          <w:kern w:val="2"/>
          <w:sz w:val="21"/>
          <w:szCs w:val="22"/>
          <w:lang w:eastAsia="zh-CN"/>
        </w:rPr>
        <w:tab/>
      </w:r>
      <w:r>
        <w:rPr>
          <w:rStyle w:val="15"/>
          <w:rFonts w:hint="eastAsia" w:cs="宋体"/>
          <w:lang w:eastAsia="zh-CN"/>
        </w:rPr>
        <w:t>合格使用情景</w:t>
      </w:r>
      <w:r>
        <w:tab/>
      </w:r>
      <w:r>
        <w:fldChar w:fldCharType="begin"/>
      </w:r>
      <w:r>
        <w:instrText xml:space="preserve"> PAGEREF _Toc91244866 \h </w:instrText>
      </w:r>
      <w:r>
        <w:fldChar w:fldCharType="separate"/>
      </w:r>
      <w:r>
        <w:t>9</w:t>
      </w:r>
      <w:r>
        <w:fldChar w:fldCharType="end"/>
      </w:r>
      <w:r>
        <w:fldChar w:fldCharType="end"/>
      </w:r>
    </w:p>
    <w:p w14:paraId="01A838EA">
      <w:pPr>
        <w:pStyle w:val="11"/>
        <w:overflowPunct w:val="0"/>
        <w:rPr>
          <w:rFonts w:asciiTheme="minorHAnsi" w:hAnsiTheme="minorHAnsi" w:eastAsiaTheme="minorEastAsia"/>
          <w:kern w:val="2"/>
          <w:sz w:val="21"/>
          <w:szCs w:val="22"/>
          <w:lang w:eastAsia="zh-CN"/>
        </w:rPr>
      </w:pPr>
      <w:r>
        <w:fldChar w:fldCharType="begin"/>
      </w:r>
      <w:r>
        <w:instrText xml:space="preserve"> HYPERLINK \l "_Toc91244867" </w:instrText>
      </w:r>
      <w:r>
        <w:fldChar w:fldCharType="separate"/>
      </w:r>
      <w:r>
        <w:rPr>
          <w:rStyle w:val="15"/>
          <w:rFonts w:cs="宋体"/>
          <w:lang w:eastAsia="zh-CN"/>
        </w:rPr>
        <w:t>B.</w:t>
      </w:r>
      <w:r>
        <w:rPr>
          <w:rFonts w:asciiTheme="minorHAnsi" w:hAnsiTheme="minorHAnsi" w:eastAsiaTheme="minorEastAsia"/>
          <w:kern w:val="2"/>
          <w:sz w:val="21"/>
          <w:szCs w:val="22"/>
          <w:lang w:eastAsia="zh-CN"/>
        </w:rPr>
        <w:tab/>
      </w:r>
      <w:r>
        <w:rPr>
          <w:rStyle w:val="15"/>
          <w:rFonts w:hint="eastAsia" w:cs="宋体"/>
          <w:lang w:eastAsia="zh-CN"/>
        </w:rPr>
        <w:t>支持资格认证的证据</w:t>
      </w:r>
      <w:r>
        <w:tab/>
      </w:r>
      <w:r>
        <w:fldChar w:fldCharType="begin"/>
      </w:r>
      <w:r>
        <w:instrText xml:space="preserve"> PAGEREF _Toc91244867 \h </w:instrText>
      </w:r>
      <w:r>
        <w:fldChar w:fldCharType="separate"/>
      </w:r>
      <w:r>
        <w:t>9</w:t>
      </w:r>
      <w:r>
        <w:fldChar w:fldCharType="end"/>
      </w:r>
      <w:r>
        <w:fldChar w:fldCharType="end"/>
      </w:r>
    </w:p>
    <w:p w14:paraId="2D9C1CEF">
      <w:pPr>
        <w:pStyle w:val="11"/>
        <w:overflowPunct w:val="0"/>
        <w:rPr>
          <w:rFonts w:asciiTheme="minorHAnsi" w:hAnsiTheme="minorHAnsi" w:eastAsiaTheme="minorEastAsia"/>
          <w:kern w:val="2"/>
          <w:sz w:val="21"/>
          <w:szCs w:val="22"/>
          <w:lang w:eastAsia="zh-CN"/>
        </w:rPr>
      </w:pPr>
      <w:r>
        <w:fldChar w:fldCharType="begin"/>
      </w:r>
      <w:r>
        <w:instrText xml:space="preserve"> HYPERLINK \l "_Toc91244868" </w:instrText>
      </w:r>
      <w:r>
        <w:fldChar w:fldCharType="separate"/>
      </w:r>
      <w:r>
        <w:rPr>
          <w:rStyle w:val="15"/>
          <w:rFonts w:cs="宋体"/>
          <w:lang w:eastAsia="zh-CN"/>
        </w:rPr>
        <w:t>C.</w:t>
      </w:r>
      <w:r>
        <w:rPr>
          <w:rFonts w:asciiTheme="minorHAnsi" w:hAnsiTheme="minorHAnsi" w:eastAsiaTheme="minorEastAsia"/>
          <w:kern w:val="2"/>
          <w:sz w:val="21"/>
          <w:szCs w:val="22"/>
          <w:lang w:eastAsia="zh-CN"/>
        </w:rPr>
        <w:tab/>
      </w:r>
      <w:r>
        <w:rPr>
          <w:rStyle w:val="15"/>
          <w:rFonts w:hint="eastAsia" w:cs="宋体"/>
          <w:lang w:eastAsia="zh-CN"/>
        </w:rPr>
        <w:t>评价资格认证的优势和劣势</w:t>
      </w:r>
      <w:r>
        <w:tab/>
      </w:r>
      <w:r>
        <w:fldChar w:fldCharType="begin"/>
      </w:r>
      <w:r>
        <w:instrText xml:space="preserve"> PAGEREF _Toc91244868 \h </w:instrText>
      </w:r>
      <w:r>
        <w:fldChar w:fldCharType="separate"/>
      </w:r>
      <w:r>
        <w:t>12</w:t>
      </w:r>
      <w:r>
        <w:fldChar w:fldCharType="end"/>
      </w:r>
      <w:r>
        <w:fldChar w:fldCharType="end"/>
      </w:r>
    </w:p>
    <w:p w14:paraId="590ED1F1">
      <w:pPr>
        <w:pStyle w:val="11"/>
        <w:overflowPunct w:val="0"/>
        <w:rPr>
          <w:rFonts w:asciiTheme="minorHAnsi" w:hAnsiTheme="minorHAnsi" w:eastAsiaTheme="minorEastAsia"/>
          <w:kern w:val="2"/>
          <w:sz w:val="21"/>
          <w:szCs w:val="22"/>
          <w:lang w:eastAsia="zh-CN"/>
        </w:rPr>
      </w:pPr>
      <w:r>
        <w:fldChar w:fldCharType="begin"/>
      </w:r>
      <w:r>
        <w:instrText xml:space="preserve"> HYPERLINK \l "_Toc91244869" </w:instrText>
      </w:r>
      <w:r>
        <w:fldChar w:fldCharType="separate"/>
      </w:r>
      <w:r>
        <w:rPr>
          <w:rStyle w:val="15"/>
          <w:rFonts w:cs="宋体"/>
          <w:lang w:eastAsia="zh-CN"/>
        </w:rPr>
        <w:t>D.</w:t>
      </w:r>
      <w:r>
        <w:rPr>
          <w:rFonts w:asciiTheme="minorHAnsi" w:hAnsiTheme="minorHAnsi" w:eastAsiaTheme="minorEastAsia"/>
          <w:kern w:val="2"/>
          <w:sz w:val="21"/>
          <w:szCs w:val="22"/>
          <w:lang w:eastAsia="zh-CN"/>
        </w:rPr>
        <w:tab/>
      </w:r>
      <w:r>
        <w:rPr>
          <w:rStyle w:val="15"/>
          <w:rFonts w:hint="eastAsia" w:cs="宋体"/>
          <w:lang w:eastAsia="zh-CN"/>
        </w:rPr>
        <w:t>监管考虑因素和相关建议</w:t>
      </w:r>
      <w:r>
        <w:tab/>
      </w:r>
      <w:r>
        <w:fldChar w:fldCharType="begin"/>
      </w:r>
      <w:r>
        <w:instrText xml:space="preserve"> PAGEREF _Toc91244869 \h </w:instrText>
      </w:r>
      <w:r>
        <w:fldChar w:fldCharType="separate"/>
      </w:r>
      <w:r>
        <w:t>14</w:t>
      </w:r>
      <w:r>
        <w:fldChar w:fldCharType="end"/>
      </w:r>
      <w:r>
        <w:fldChar w:fldCharType="end"/>
      </w:r>
    </w:p>
    <w:p w14:paraId="2898FD15">
      <w:pPr>
        <w:pStyle w:val="10"/>
        <w:overflowPunct w:val="0"/>
        <w:rPr>
          <w:rFonts w:asciiTheme="minorHAnsi" w:hAnsiTheme="minorHAnsi" w:eastAsiaTheme="minorEastAsia"/>
          <w:kern w:val="2"/>
          <w:sz w:val="21"/>
          <w:szCs w:val="22"/>
          <w:lang w:eastAsia="zh-CN"/>
        </w:rPr>
      </w:pPr>
      <w:r>
        <w:fldChar w:fldCharType="begin"/>
      </w:r>
      <w:r>
        <w:instrText xml:space="preserve"> HYPERLINK \l "_Toc91244870" </w:instrText>
      </w:r>
      <w:r>
        <w:fldChar w:fldCharType="separate"/>
      </w:r>
      <w:r>
        <w:rPr>
          <w:rStyle w:val="15"/>
          <w:rFonts w:cs="宋体"/>
          <w:lang w:eastAsia="zh-CN"/>
        </w:rPr>
        <w:t>V.</w:t>
      </w:r>
      <w:r>
        <w:rPr>
          <w:rFonts w:asciiTheme="minorHAnsi" w:hAnsiTheme="minorHAnsi" w:eastAsiaTheme="minorEastAsia"/>
          <w:kern w:val="2"/>
          <w:sz w:val="21"/>
          <w:szCs w:val="22"/>
          <w:lang w:eastAsia="zh-CN"/>
        </w:rPr>
        <w:tab/>
      </w:r>
      <w:r>
        <w:rPr>
          <w:rStyle w:val="15"/>
          <w:rFonts w:cs="宋体"/>
          <w:lang w:eastAsia="zh-CN"/>
        </w:rPr>
        <w:t>CDRH</w:t>
      </w:r>
      <w:r>
        <w:rPr>
          <w:rStyle w:val="15"/>
          <w:rFonts w:hint="eastAsia" w:cs="宋体"/>
          <w:lang w:eastAsia="zh-CN"/>
        </w:rPr>
        <w:t>资格认证过程</w:t>
      </w:r>
      <w:r>
        <w:tab/>
      </w:r>
      <w:r>
        <w:fldChar w:fldCharType="begin"/>
      </w:r>
      <w:r>
        <w:instrText xml:space="preserve"> PAGEREF _Toc91244870 \h </w:instrText>
      </w:r>
      <w:r>
        <w:fldChar w:fldCharType="separate"/>
      </w:r>
      <w:r>
        <w:t>15</w:t>
      </w:r>
      <w:r>
        <w:fldChar w:fldCharType="end"/>
      </w:r>
      <w:r>
        <w:fldChar w:fldCharType="end"/>
      </w:r>
    </w:p>
    <w:p w14:paraId="1031C76E">
      <w:pPr>
        <w:pStyle w:val="11"/>
        <w:overflowPunct w:val="0"/>
        <w:rPr>
          <w:rFonts w:asciiTheme="minorHAnsi" w:hAnsiTheme="minorHAnsi" w:eastAsiaTheme="minorEastAsia"/>
          <w:kern w:val="2"/>
          <w:sz w:val="21"/>
          <w:szCs w:val="22"/>
          <w:lang w:eastAsia="zh-CN"/>
        </w:rPr>
      </w:pPr>
      <w:r>
        <w:fldChar w:fldCharType="begin"/>
      </w:r>
      <w:r>
        <w:instrText xml:space="preserve"> HYPERLINK \l "_Toc91244871" </w:instrText>
      </w:r>
      <w:r>
        <w:fldChar w:fldCharType="separate"/>
      </w:r>
      <w:r>
        <w:rPr>
          <w:rStyle w:val="15"/>
          <w:rFonts w:cs="宋体"/>
          <w:lang w:eastAsia="zh-CN"/>
        </w:rPr>
        <w:t>A.</w:t>
      </w:r>
      <w:r>
        <w:rPr>
          <w:rFonts w:asciiTheme="minorHAnsi" w:hAnsiTheme="minorHAnsi" w:eastAsiaTheme="minorEastAsia"/>
          <w:kern w:val="2"/>
          <w:sz w:val="21"/>
          <w:szCs w:val="22"/>
          <w:lang w:eastAsia="zh-CN"/>
        </w:rPr>
        <w:tab/>
      </w:r>
      <w:r>
        <w:rPr>
          <w:rStyle w:val="15"/>
          <w:rFonts w:hint="eastAsia" w:cs="宋体"/>
          <w:lang w:eastAsia="zh-CN"/>
        </w:rPr>
        <w:t>提案阶段</w:t>
      </w:r>
      <w:r>
        <w:tab/>
      </w:r>
      <w:r>
        <w:fldChar w:fldCharType="begin"/>
      </w:r>
      <w:r>
        <w:instrText xml:space="preserve"> PAGEREF _Toc91244871 \h </w:instrText>
      </w:r>
      <w:r>
        <w:fldChar w:fldCharType="separate"/>
      </w:r>
      <w:r>
        <w:t>15</w:t>
      </w:r>
      <w:r>
        <w:fldChar w:fldCharType="end"/>
      </w:r>
      <w:r>
        <w:fldChar w:fldCharType="end"/>
      </w:r>
    </w:p>
    <w:p w14:paraId="60BC6E4C">
      <w:pPr>
        <w:pStyle w:val="11"/>
        <w:overflowPunct w:val="0"/>
        <w:rPr>
          <w:rFonts w:asciiTheme="minorHAnsi" w:hAnsiTheme="minorHAnsi" w:eastAsiaTheme="minorEastAsia"/>
          <w:kern w:val="2"/>
          <w:sz w:val="21"/>
          <w:szCs w:val="22"/>
          <w:lang w:eastAsia="zh-CN"/>
        </w:rPr>
      </w:pPr>
      <w:r>
        <w:fldChar w:fldCharType="begin"/>
      </w:r>
      <w:r>
        <w:instrText xml:space="preserve"> HYPERLINK \l "_Toc91244872" </w:instrText>
      </w:r>
      <w:r>
        <w:fldChar w:fldCharType="separate"/>
      </w:r>
      <w:r>
        <w:rPr>
          <w:rStyle w:val="15"/>
          <w:rFonts w:cs="宋体"/>
          <w:lang w:eastAsia="zh-CN"/>
        </w:rPr>
        <w:t>B.</w:t>
      </w:r>
      <w:r>
        <w:rPr>
          <w:rFonts w:asciiTheme="minorHAnsi" w:hAnsiTheme="minorHAnsi" w:eastAsiaTheme="minorEastAsia"/>
          <w:kern w:val="2"/>
          <w:sz w:val="21"/>
          <w:szCs w:val="22"/>
          <w:lang w:eastAsia="zh-CN"/>
        </w:rPr>
        <w:tab/>
      </w:r>
      <w:r>
        <w:rPr>
          <w:rStyle w:val="15"/>
          <w:rFonts w:hint="eastAsia" w:cs="宋体"/>
          <w:lang w:eastAsia="zh-CN"/>
        </w:rPr>
        <w:t>孵化阶段（可选）</w:t>
      </w:r>
      <w:r>
        <w:tab/>
      </w:r>
      <w:r>
        <w:fldChar w:fldCharType="begin"/>
      </w:r>
      <w:r>
        <w:instrText xml:space="preserve"> PAGEREF _Toc91244872 \h </w:instrText>
      </w:r>
      <w:r>
        <w:fldChar w:fldCharType="separate"/>
      </w:r>
      <w:r>
        <w:t>17</w:t>
      </w:r>
      <w:r>
        <w:fldChar w:fldCharType="end"/>
      </w:r>
      <w:r>
        <w:fldChar w:fldCharType="end"/>
      </w:r>
    </w:p>
    <w:p w14:paraId="37E04150">
      <w:pPr>
        <w:pStyle w:val="11"/>
        <w:overflowPunct w:val="0"/>
        <w:rPr>
          <w:rFonts w:asciiTheme="minorHAnsi" w:hAnsiTheme="minorHAnsi" w:eastAsiaTheme="minorEastAsia"/>
          <w:kern w:val="2"/>
          <w:sz w:val="21"/>
          <w:szCs w:val="22"/>
          <w:lang w:eastAsia="zh-CN"/>
        </w:rPr>
      </w:pPr>
      <w:r>
        <w:fldChar w:fldCharType="begin"/>
      </w:r>
      <w:r>
        <w:instrText xml:space="preserve"> HYPERLINK \l "_Toc91244873" </w:instrText>
      </w:r>
      <w:r>
        <w:fldChar w:fldCharType="separate"/>
      </w:r>
      <w:r>
        <w:rPr>
          <w:rStyle w:val="15"/>
          <w:rFonts w:cs="宋体"/>
          <w:lang w:eastAsia="zh-CN"/>
        </w:rPr>
        <w:t>C.</w:t>
      </w:r>
      <w:r>
        <w:rPr>
          <w:rFonts w:asciiTheme="minorHAnsi" w:hAnsiTheme="minorHAnsi" w:eastAsiaTheme="minorEastAsia"/>
          <w:kern w:val="2"/>
          <w:sz w:val="21"/>
          <w:szCs w:val="22"/>
          <w:lang w:eastAsia="zh-CN"/>
        </w:rPr>
        <w:tab/>
      </w:r>
      <w:r>
        <w:rPr>
          <w:rStyle w:val="15"/>
          <w:rFonts w:hint="eastAsia" w:cs="宋体"/>
          <w:lang w:eastAsia="zh-CN"/>
        </w:rPr>
        <w:t>预资格认证阶段（可选）</w:t>
      </w:r>
      <w:r>
        <w:tab/>
      </w:r>
      <w:r>
        <w:fldChar w:fldCharType="begin"/>
      </w:r>
      <w:r>
        <w:instrText xml:space="preserve"> PAGEREF _Toc91244873 \h </w:instrText>
      </w:r>
      <w:r>
        <w:fldChar w:fldCharType="separate"/>
      </w:r>
      <w:r>
        <w:t>18</w:t>
      </w:r>
      <w:r>
        <w:fldChar w:fldCharType="end"/>
      </w:r>
      <w:r>
        <w:fldChar w:fldCharType="end"/>
      </w:r>
    </w:p>
    <w:p w14:paraId="31365C86">
      <w:pPr>
        <w:pStyle w:val="11"/>
        <w:overflowPunct w:val="0"/>
        <w:rPr>
          <w:rFonts w:asciiTheme="minorHAnsi" w:hAnsiTheme="minorHAnsi" w:eastAsiaTheme="minorEastAsia"/>
          <w:kern w:val="2"/>
          <w:sz w:val="21"/>
          <w:szCs w:val="22"/>
          <w:lang w:eastAsia="zh-CN"/>
        </w:rPr>
      </w:pPr>
      <w:r>
        <w:fldChar w:fldCharType="begin"/>
      </w:r>
      <w:r>
        <w:instrText xml:space="preserve"> HYPERLINK \l "_Toc91244874" </w:instrText>
      </w:r>
      <w:r>
        <w:fldChar w:fldCharType="separate"/>
      </w:r>
      <w:r>
        <w:rPr>
          <w:rStyle w:val="15"/>
          <w:rFonts w:cs="宋体"/>
          <w:lang w:eastAsia="zh-CN"/>
        </w:rPr>
        <w:t>D.</w:t>
      </w:r>
      <w:r>
        <w:rPr>
          <w:rFonts w:asciiTheme="minorHAnsi" w:hAnsiTheme="minorHAnsi" w:eastAsiaTheme="minorEastAsia"/>
          <w:kern w:val="2"/>
          <w:sz w:val="21"/>
          <w:szCs w:val="22"/>
          <w:lang w:eastAsia="zh-CN"/>
        </w:rPr>
        <w:tab/>
      </w:r>
      <w:r>
        <w:rPr>
          <w:rStyle w:val="15"/>
          <w:rFonts w:hint="eastAsia" w:cs="宋体"/>
          <w:lang w:eastAsia="zh-CN"/>
        </w:rPr>
        <w:t>资格认证阶段</w:t>
      </w:r>
      <w:r>
        <w:tab/>
      </w:r>
      <w:r>
        <w:fldChar w:fldCharType="begin"/>
      </w:r>
      <w:r>
        <w:instrText xml:space="preserve"> PAGEREF _Toc91244874 \h </w:instrText>
      </w:r>
      <w:r>
        <w:fldChar w:fldCharType="separate"/>
      </w:r>
      <w:r>
        <w:t>18</w:t>
      </w:r>
      <w:r>
        <w:fldChar w:fldCharType="end"/>
      </w:r>
      <w:r>
        <w:fldChar w:fldCharType="end"/>
      </w:r>
    </w:p>
    <w:p w14:paraId="0D885EF1">
      <w:pPr>
        <w:pStyle w:val="11"/>
        <w:overflowPunct w:val="0"/>
        <w:rPr>
          <w:rFonts w:asciiTheme="minorHAnsi" w:hAnsiTheme="minorHAnsi" w:eastAsiaTheme="minorEastAsia"/>
          <w:kern w:val="2"/>
          <w:sz w:val="21"/>
          <w:szCs w:val="22"/>
          <w:lang w:eastAsia="zh-CN"/>
        </w:rPr>
      </w:pPr>
      <w:r>
        <w:fldChar w:fldCharType="begin"/>
      </w:r>
      <w:r>
        <w:instrText xml:space="preserve"> HYPERLINK \l "_Toc91244875" </w:instrText>
      </w:r>
      <w:r>
        <w:fldChar w:fldCharType="separate"/>
      </w:r>
      <w:r>
        <w:rPr>
          <w:rStyle w:val="15"/>
          <w:rFonts w:cs="宋体"/>
          <w:lang w:eastAsia="zh-CN"/>
        </w:rPr>
        <w:t>E.</w:t>
      </w:r>
      <w:r>
        <w:rPr>
          <w:rFonts w:asciiTheme="minorHAnsi" w:hAnsiTheme="minorHAnsi" w:eastAsiaTheme="minorEastAsia"/>
          <w:kern w:val="2"/>
          <w:sz w:val="21"/>
          <w:szCs w:val="22"/>
          <w:lang w:eastAsia="zh-CN"/>
        </w:rPr>
        <w:tab/>
      </w:r>
      <w:r>
        <w:rPr>
          <w:rStyle w:val="15"/>
          <w:rFonts w:hint="eastAsia" w:cs="宋体"/>
          <w:lang w:eastAsia="zh-CN"/>
        </w:rPr>
        <w:t>资格认证状态的潜在变化</w:t>
      </w:r>
      <w:r>
        <w:tab/>
      </w:r>
      <w:r>
        <w:fldChar w:fldCharType="begin"/>
      </w:r>
      <w:r>
        <w:instrText xml:space="preserve"> PAGEREF _Toc91244875 \h </w:instrText>
      </w:r>
      <w:r>
        <w:fldChar w:fldCharType="separate"/>
      </w:r>
      <w:r>
        <w:t>19</w:t>
      </w:r>
      <w:r>
        <w:fldChar w:fldCharType="end"/>
      </w:r>
      <w:r>
        <w:fldChar w:fldCharType="end"/>
      </w:r>
    </w:p>
    <w:p w14:paraId="43AF0A5C">
      <w:pPr>
        <w:pStyle w:val="10"/>
        <w:overflowPunct w:val="0"/>
        <w:rPr>
          <w:rFonts w:asciiTheme="minorHAnsi" w:hAnsiTheme="minorHAnsi" w:eastAsiaTheme="minorEastAsia"/>
          <w:kern w:val="2"/>
          <w:sz w:val="21"/>
          <w:szCs w:val="22"/>
          <w:lang w:eastAsia="zh-CN"/>
        </w:rPr>
      </w:pPr>
      <w:r>
        <w:fldChar w:fldCharType="begin"/>
      </w:r>
      <w:r>
        <w:instrText xml:space="preserve"> HYPERLINK \l "_Toc91244876" </w:instrText>
      </w:r>
      <w:r>
        <w:fldChar w:fldCharType="separate"/>
      </w:r>
      <w:r>
        <w:rPr>
          <w:rStyle w:val="15"/>
          <w:rFonts w:cs="宋体"/>
          <w:lang w:eastAsia="zh-CN"/>
        </w:rPr>
        <w:t>VI.</w:t>
      </w:r>
      <w:r>
        <w:rPr>
          <w:rFonts w:asciiTheme="minorHAnsi" w:hAnsiTheme="minorHAnsi" w:eastAsiaTheme="minorEastAsia"/>
          <w:kern w:val="2"/>
          <w:sz w:val="21"/>
          <w:szCs w:val="22"/>
          <w:lang w:eastAsia="zh-CN"/>
        </w:rPr>
        <w:tab/>
      </w:r>
      <w:r>
        <w:rPr>
          <w:rStyle w:val="15"/>
          <w:rFonts w:hint="eastAsia" w:cs="宋体"/>
          <w:lang w:eastAsia="zh-CN"/>
        </w:rPr>
        <w:t>向公众传达</w:t>
      </w:r>
      <w:r>
        <w:rPr>
          <w:rStyle w:val="15"/>
          <w:rFonts w:cs="宋体"/>
          <w:lang w:eastAsia="zh-CN"/>
        </w:rPr>
        <w:t>FDA</w:t>
      </w:r>
      <w:r>
        <w:rPr>
          <w:rStyle w:val="15"/>
          <w:rFonts w:hint="eastAsia" w:cs="宋体"/>
          <w:lang w:eastAsia="zh-CN"/>
        </w:rPr>
        <w:t>的资格认证决定</w:t>
      </w:r>
      <w:r>
        <w:tab/>
      </w:r>
      <w:r>
        <w:fldChar w:fldCharType="begin"/>
      </w:r>
      <w:r>
        <w:instrText xml:space="preserve"> PAGEREF _Toc91244876 \h </w:instrText>
      </w:r>
      <w:r>
        <w:fldChar w:fldCharType="separate"/>
      </w:r>
      <w:r>
        <w:t>19</w:t>
      </w:r>
      <w:r>
        <w:fldChar w:fldCharType="end"/>
      </w:r>
      <w:r>
        <w:fldChar w:fldCharType="end"/>
      </w:r>
    </w:p>
    <w:p w14:paraId="2D2D37DA">
      <w:pPr>
        <w:pStyle w:val="10"/>
        <w:overflowPunct w:val="0"/>
        <w:rPr>
          <w:rFonts w:asciiTheme="minorHAnsi" w:hAnsiTheme="minorHAnsi" w:eastAsiaTheme="minorEastAsia"/>
          <w:kern w:val="2"/>
          <w:sz w:val="21"/>
          <w:szCs w:val="22"/>
          <w:lang w:eastAsia="zh-CN"/>
        </w:rPr>
      </w:pPr>
      <w:r>
        <w:fldChar w:fldCharType="begin"/>
      </w:r>
      <w:r>
        <w:instrText xml:space="preserve"> HYPERLINK \l "_Toc91244877" </w:instrText>
      </w:r>
      <w:r>
        <w:fldChar w:fldCharType="separate"/>
      </w:r>
      <w:r>
        <w:rPr>
          <w:rStyle w:val="15"/>
          <w:rFonts w:hint="eastAsia" w:cs="宋体"/>
          <w:lang w:eastAsia="zh-CN"/>
        </w:rPr>
        <w:t>附录</w:t>
      </w:r>
      <w:r>
        <w:rPr>
          <w:rStyle w:val="15"/>
          <w:rFonts w:cs="宋体"/>
          <w:lang w:eastAsia="zh-CN"/>
        </w:rPr>
        <w:t xml:space="preserve">1 </w:t>
      </w:r>
      <w:r>
        <w:rPr>
          <w:rStyle w:val="15"/>
          <w:rFonts w:hint="eastAsia" w:cs="宋体"/>
          <w:lang w:eastAsia="zh-CN"/>
        </w:rPr>
        <w:t>资格认证包内容的示范概述</w:t>
      </w:r>
      <w:r>
        <w:tab/>
      </w:r>
      <w:r>
        <w:fldChar w:fldCharType="begin"/>
      </w:r>
      <w:r>
        <w:instrText xml:space="preserve"> PAGEREF _Toc91244877 \h </w:instrText>
      </w:r>
      <w:r>
        <w:fldChar w:fldCharType="separate"/>
      </w:r>
      <w:r>
        <w:t>21</w:t>
      </w:r>
      <w:r>
        <w:fldChar w:fldCharType="end"/>
      </w:r>
      <w:r>
        <w:fldChar w:fldCharType="end"/>
      </w:r>
    </w:p>
    <w:p w14:paraId="3AC46429">
      <w:pPr>
        <w:overflowPunct w:val="0"/>
        <w:spacing w:before="120" w:beforeLines="50" w:line="300" w:lineRule="auto"/>
        <w:jc w:val="center"/>
        <w:rPr>
          <w:rFonts w:cs="Times New Roman"/>
          <w:b/>
          <w:sz w:val="24"/>
          <w:szCs w:val="24"/>
          <w:lang w:eastAsia="zh-CN"/>
        </w:rPr>
      </w:pPr>
      <w:r>
        <w:rPr>
          <w:rFonts w:cs="Times New Roman"/>
          <w:b/>
          <w:sz w:val="24"/>
          <w:szCs w:val="24"/>
          <w:lang w:eastAsia="zh-CN"/>
        </w:rPr>
        <w:fldChar w:fldCharType="end"/>
      </w:r>
    </w:p>
    <w:p w14:paraId="1B435B0E">
      <w:pPr>
        <w:overflowPunct w:val="0"/>
        <w:spacing w:before="120" w:beforeLines="50" w:line="300" w:lineRule="auto"/>
        <w:jc w:val="center"/>
        <w:rPr>
          <w:rFonts w:cs="Times New Roman"/>
          <w:b/>
          <w:sz w:val="24"/>
          <w:szCs w:val="24"/>
        </w:rPr>
        <w:sectPr>
          <w:headerReference r:id="rId5" w:type="default"/>
          <w:pgSz w:w="11907" w:h="16839"/>
          <w:pgMar w:top="1418" w:right="1418" w:bottom="1418" w:left="1418" w:header="720" w:footer="720" w:gutter="0"/>
          <w:cols w:space="720" w:num="1"/>
          <w:docGrid w:linePitch="286" w:charSpace="0"/>
        </w:sectPr>
      </w:pPr>
    </w:p>
    <w:p w14:paraId="0208D99E">
      <w:pPr>
        <w:pBdr>
          <w:bottom w:val="single" w:color="auto" w:sz="4" w:space="1"/>
        </w:pBdr>
        <w:overflowPunct w:val="0"/>
        <w:spacing w:before="120" w:beforeLines="50" w:line="300" w:lineRule="auto"/>
        <w:jc w:val="center"/>
        <w:rPr>
          <w:rFonts w:cs="Times New Roman"/>
          <w:b/>
          <w:sz w:val="36"/>
          <w:szCs w:val="36"/>
          <w:lang w:eastAsia="zh-CN"/>
        </w:rPr>
      </w:pPr>
      <w:r>
        <w:rPr>
          <w:rFonts w:cs="宋体"/>
          <w:b/>
          <w:sz w:val="36"/>
          <w:szCs w:val="36"/>
          <w:lang w:eastAsia="zh-CN"/>
        </w:rPr>
        <w:t>医疗器械开发工具资格认证</w:t>
      </w:r>
    </w:p>
    <w:p w14:paraId="28913859">
      <w:pPr>
        <w:overflowPunct w:val="0"/>
        <w:spacing w:before="120" w:beforeLines="50" w:line="300" w:lineRule="auto"/>
        <w:jc w:val="center"/>
        <w:rPr>
          <w:rFonts w:cs="Times New Roman"/>
          <w:b/>
          <w:sz w:val="36"/>
          <w:szCs w:val="36"/>
          <w:lang w:eastAsia="zh-CN"/>
        </w:rPr>
      </w:pPr>
      <w:r>
        <w:rPr>
          <w:rFonts w:cs="宋体"/>
          <w:b/>
          <w:sz w:val="36"/>
          <w:szCs w:val="36"/>
          <w:lang w:eastAsia="zh-CN"/>
        </w:rPr>
        <w:t>行业、工具开发者和美国食品药品监督管理局工作人员指南</w:t>
      </w:r>
    </w:p>
    <w:p w14:paraId="662B7FC8">
      <w:pPr>
        <w:pBdr>
          <w:top w:val="single" w:color="auto" w:sz="4" w:space="1"/>
          <w:left w:val="single" w:color="auto" w:sz="4" w:space="4"/>
          <w:bottom w:val="single" w:color="auto" w:sz="4" w:space="1"/>
          <w:right w:val="single" w:color="auto" w:sz="4" w:space="4"/>
        </w:pBdr>
        <w:overflowPunct w:val="0"/>
        <w:spacing w:before="120" w:beforeLines="50" w:line="300" w:lineRule="auto"/>
        <w:rPr>
          <w:rFonts w:cs="Times New Roman"/>
          <w:b/>
          <w:i/>
          <w:lang w:eastAsia="zh-CN"/>
        </w:rPr>
      </w:pPr>
      <w:r>
        <w:rPr>
          <w:rFonts w:hint="eastAsia" w:cs="宋体"/>
          <w:b/>
          <w:i/>
          <w:lang w:eastAsia="zh-CN"/>
        </w:rPr>
        <w:t>指南代表美国食品药品监督管理局（FDA）目前关于该主题的思考。其不会为任何人创造或赋予任何权利，也不会对FDA或公众产生约束。如果替代方法满足适用的法律法规的要求，则可以使用该方法。如需讨论替代方法，请联系标题页负责实施本指南文件的FDA工作人员或办公室。</w:t>
      </w:r>
    </w:p>
    <w:p w14:paraId="2DD1F725">
      <w:pPr>
        <w:pStyle w:val="2"/>
        <w:overflowPunct w:val="0"/>
        <w:rPr>
          <w:szCs w:val="32"/>
          <w:lang w:eastAsia="zh-CN"/>
        </w:rPr>
      </w:pPr>
      <w:bookmarkStart w:id="0" w:name="_Toc91244859"/>
      <w:r>
        <w:rPr>
          <w:rFonts w:cs="宋体"/>
          <w:szCs w:val="32"/>
          <w:lang w:eastAsia="zh-CN"/>
        </w:rPr>
        <w:t>I.</w:t>
      </w:r>
      <w:r>
        <w:rPr>
          <w:rFonts w:cs="宋体"/>
          <w:szCs w:val="32"/>
          <w:lang w:eastAsia="zh-CN"/>
        </w:rPr>
        <w:tab/>
      </w:r>
      <w:r>
        <w:rPr>
          <w:rFonts w:cs="宋体"/>
          <w:szCs w:val="32"/>
          <w:lang w:eastAsia="zh-CN"/>
        </w:rPr>
        <w:t>引言</w:t>
      </w:r>
      <w:bookmarkEnd w:id="0"/>
    </w:p>
    <w:p w14:paraId="6B0317F6">
      <w:pPr>
        <w:overflowPunct w:val="0"/>
        <w:spacing w:before="120" w:beforeLines="50" w:line="300" w:lineRule="auto"/>
        <w:rPr>
          <w:rFonts w:cs="Times New Roman"/>
          <w:sz w:val="24"/>
          <w:szCs w:val="24"/>
          <w:lang w:eastAsia="zh-CN"/>
        </w:rPr>
      </w:pPr>
      <w:r>
        <w:rPr>
          <w:rFonts w:cs="宋体"/>
          <w:sz w:val="24"/>
          <w:lang w:eastAsia="zh-CN"/>
        </w:rPr>
        <w:t>本文件为医疗器械开发工具（MDDT）资格认证自愿项目提供指导，用于评价医疗器械和</w:t>
      </w:r>
      <w:r>
        <w:rPr>
          <w:rFonts w:hint="eastAsia" w:cs="宋体"/>
          <w:sz w:val="24"/>
          <w:lang w:eastAsia="zh-CN"/>
        </w:rPr>
        <w:t>辐射</w:t>
      </w:r>
      <w:r>
        <w:rPr>
          <w:rFonts w:cs="宋体"/>
          <w:sz w:val="24"/>
          <w:lang w:eastAsia="zh-CN"/>
        </w:rPr>
        <w:t>健康中心（CDRH）监管的器械。CDRH认为，该政策通过提供一种收集必要信息的更有效和更具可预测性的手段以支持监管申请和相关决策，从而促进医疗器械的开发和及时评价。</w:t>
      </w:r>
    </w:p>
    <w:p w14:paraId="70BB2A2E">
      <w:pPr>
        <w:overflowPunct w:val="0"/>
        <w:spacing w:before="120" w:beforeLines="50" w:line="300" w:lineRule="auto"/>
        <w:rPr>
          <w:rFonts w:cs="Times New Roman"/>
          <w:sz w:val="24"/>
          <w:szCs w:val="24"/>
          <w:lang w:eastAsia="zh-CN"/>
        </w:rPr>
      </w:pPr>
      <w:r>
        <w:rPr>
          <w:rFonts w:cs="宋体"/>
          <w:sz w:val="24"/>
          <w:lang w:eastAsia="zh-CN"/>
        </w:rPr>
        <w:t>本指南旨在描述MDDT自愿提案和资格认证的框架和过程，包括适用术语的定义、评价MDDT具体使用情景的标准、资格认证的考虑因素以及资格认证包的内容。在本指南中，提交者是指负责并使用本指南中所述程序启动MDDT资格认证过程的个人、团体、联合体或组织（包括联邦政府）。</w:t>
      </w:r>
    </w:p>
    <w:p w14:paraId="574E239E">
      <w:pPr>
        <w:overflowPunct w:val="0"/>
        <w:spacing w:before="120" w:beforeLines="50" w:line="300" w:lineRule="auto"/>
        <w:rPr>
          <w:rFonts w:cs="Times New Roman"/>
          <w:sz w:val="24"/>
          <w:szCs w:val="24"/>
          <w:lang w:eastAsia="zh-CN"/>
        </w:rPr>
      </w:pPr>
      <w:r>
        <w:rPr>
          <w:rFonts w:cs="宋体"/>
          <w:sz w:val="24"/>
          <w:lang w:eastAsia="zh-CN"/>
        </w:rPr>
        <w:t>本指南不涉及审查在个别上市前监管申请中提交的用于特定医疗器械的工具，也不涉及个别MDDT申请资格认证的具体证据或性能预期。</w:t>
      </w:r>
    </w:p>
    <w:p w14:paraId="6BB93671">
      <w:pPr>
        <w:overflowPunct w:val="0"/>
        <w:spacing w:before="120" w:beforeLines="50" w:line="300" w:lineRule="auto"/>
        <w:rPr>
          <w:rFonts w:cs="Times New Roman"/>
          <w:sz w:val="24"/>
          <w:szCs w:val="24"/>
          <w:lang w:eastAsia="zh-CN"/>
        </w:rPr>
      </w:pPr>
      <w:r>
        <w:rPr>
          <w:rFonts w:hint="eastAsia" w:cs="宋体"/>
          <w:sz w:val="24"/>
          <w:lang w:eastAsia="zh-CN"/>
        </w:rPr>
        <w:t>FDA指导性文件，包括本指南在内，不具有法律强制责任。相反，该指南表明了该机构关于该主题的当前思考，除引用具体的法规或法律要求之外，本指南仅供推荐性使用。在本机构指南中使用词语“应该”是指建议或推荐，并非强制要求。</w:t>
      </w:r>
    </w:p>
    <w:p w14:paraId="3B6A8948">
      <w:pPr>
        <w:overflowPunct w:val="0"/>
        <w:rPr>
          <w:rFonts w:cs="Times New Roman"/>
          <w:sz w:val="24"/>
          <w:szCs w:val="24"/>
          <w:lang w:eastAsia="zh-CN"/>
        </w:rPr>
      </w:pPr>
      <w:r>
        <w:rPr>
          <w:rFonts w:cs="宋体"/>
          <w:sz w:val="24"/>
          <w:lang w:eastAsia="zh-CN"/>
        </w:rPr>
        <w:br w:type="page"/>
      </w:r>
    </w:p>
    <w:p w14:paraId="01216F4B">
      <w:pPr>
        <w:pStyle w:val="2"/>
        <w:overflowPunct w:val="0"/>
        <w:rPr>
          <w:szCs w:val="32"/>
          <w:lang w:eastAsia="zh-CN"/>
        </w:rPr>
      </w:pPr>
      <w:bookmarkStart w:id="1" w:name="_Toc91244860"/>
      <w:r>
        <w:rPr>
          <w:rFonts w:cs="宋体"/>
          <w:szCs w:val="32"/>
          <w:lang w:eastAsia="zh-CN"/>
        </w:rPr>
        <w:t>II.</w:t>
      </w:r>
      <w:r>
        <w:rPr>
          <w:rFonts w:cs="宋体"/>
          <w:szCs w:val="32"/>
          <w:lang w:eastAsia="zh-CN"/>
        </w:rPr>
        <w:tab/>
      </w:r>
      <w:r>
        <w:rPr>
          <w:rFonts w:cs="宋体"/>
          <w:szCs w:val="32"/>
          <w:lang w:eastAsia="zh-CN"/>
        </w:rPr>
        <w:t>综述</w:t>
      </w:r>
      <w:bookmarkEnd w:id="1"/>
    </w:p>
    <w:p w14:paraId="7AB74571">
      <w:pPr>
        <w:pStyle w:val="3"/>
        <w:overflowPunct w:val="0"/>
        <w:rPr>
          <w:lang w:eastAsia="zh-CN"/>
        </w:rPr>
      </w:pPr>
      <w:bookmarkStart w:id="2" w:name="_Toc91244861"/>
      <w:r>
        <w:rPr>
          <w:rFonts w:cs="宋体"/>
          <w:lang w:eastAsia="zh-CN"/>
        </w:rPr>
        <w:t>A.</w:t>
      </w:r>
      <w:r>
        <w:rPr>
          <w:rFonts w:cs="宋体"/>
          <w:lang w:eastAsia="zh-CN"/>
        </w:rPr>
        <w:tab/>
      </w:r>
      <w:r>
        <w:rPr>
          <w:rFonts w:cs="宋体"/>
          <w:lang w:eastAsia="zh-CN"/>
        </w:rPr>
        <w:t>什么是MDDT和MDDT资格认证？</w:t>
      </w:r>
      <w:bookmarkEnd w:id="2"/>
    </w:p>
    <w:p w14:paraId="63EFFEE7">
      <w:pPr>
        <w:overflowPunct w:val="0"/>
        <w:spacing w:before="120" w:beforeLines="50" w:line="300" w:lineRule="auto"/>
        <w:rPr>
          <w:rFonts w:cs="Times New Roman"/>
          <w:sz w:val="24"/>
          <w:szCs w:val="24"/>
          <w:lang w:eastAsia="zh-CN"/>
        </w:rPr>
      </w:pPr>
      <w:r>
        <w:rPr>
          <w:rFonts w:cs="宋体"/>
          <w:sz w:val="24"/>
          <w:lang w:eastAsia="zh-CN"/>
        </w:rPr>
        <w:t>MDDT是指用于评估医疗器械的有效性、安全性或性能的方法、材料或测量。MDDT经过科学确认和资格认证，可用于器械评价，并且支持监管决策。MDDT示例包括临床结局评价、生物标志物评价和非临床评价方法或模型。产品申请方可自愿使用合格MDDT。</w:t>
      </w:r>
    </w:p>
    <w:p w14:paraId="0912DD3B">
      <w:pPr>
        <w:overflowPunct w:val="0"/>
        <w:spacing w:before="120" w:beforeLines="50" w:line="300" w:lineRule="auto"/>
        <w:rPr>
          <w:rFonts w:cs="Times New Roman"/>
          <w:sz w:val="24"/>
          <w:szCs w:val="24"/>
          <w:lang w:eastAsia="zh-CN"/>
        </w:rPr>
      </w:pPr>
      <w:r>
        <w:rPr>
          <w:rFonts w:cs="宋体"/>
          <w:sz w:val="24"/>
          <w:lang w:eastAsia="zh-CN"/>
        </w:rPr>
        <w:t>资格认证</w:t>
      </w:r>
      <w:r>
        <w:rPr>
          <w:rFonts w:cs="宋体"/>
          <w:sz w:val="24"/>
          <w:vertAlign w:val="superscript"/>
          <w:lang w:eastAsia="zh-CN"/>
        </w:rPr>
        <w:t>1</w:t>
      </w:r>
      <w:r>
        <w:rPr>
          <w:rFonts w:cs="宋体"/>
          <w:sz w:val="24"/>
          <w:lang w:eastAsia="zh-CN"/>
        </w:rPr>
        <w:t>反映了CDRH的预期，即在特定使用情景内（描述MDDT合格使用的条件和界限的声明），在器械评价中可依据MDDT使用的评价结果，并且支持监管决策。简而言之，资格认证是指为支持监管决策而建立特定用途MDDT相关科学严谨性的自愿过程。</w:t>
      </w:r>
    </w:p>
    <w:p w14:paraId="33BDD6D5">
      <w:pPr>
        <w:overflowPunct w:val="0"/>
        <w:spacing w:before="120" w:beforeLines="50" w:line="300" w:lineRule="auto"/>
        <w:rPr>
          <w:rFonts w:cs="Times New Roman"/>
          <w:sz w:val="24"/>
          <w:szCs w:val="24"/>
          <w:lang w:eastAsia="zh-CN"/>
        </w:rPr>
      </w:pPr>
      <w:r>
        <w:rPr>
          <w:rFonts w:cs="宋体"/>
          <w:sz w:val="24"/>
          <w:lang w:eastAsia="zh-CN"/>
        </w:rPr>
        <w:t>该自愿CDRH MDDT项目旨在促进工具的开发和使用，以简化器械开发和监管评价。一旦MDDT符合特定使用情景，CDRH鼓励开发者公开其合格MDDT，可在许可安排下纳入，以便任何医疗器械申请方可以在该使用情景下使用。CDRH审查员应接受用于合格使用情景的MDDT，而无需在CDRH监管申请中使用时重新确认MDDT的适用性和效用。CDRH审查部门有责任使用从合格MDDT中获得的信息对监管申请进行评价。</w:t>
      </w:r>
    </w:p>
    <w:p w14:paraId="14E77E47">
      <w:pPr>
        <w:overflowPunct w:val="0"/>
        <w:spacing w:before="120" w:beforeLines="50" w:line="300" w:lineRule="auto"/>
        <w:rPr>
          <w:rFonts w:cs="Times New Roman"/>
          <w:sz w:val="24"/>
          <w:szCs w:val="24"/>
          <w:lang w:eastAsia="zh-CN"/>
        </w:rPr>
      </w:pPr>
      <w:r>
        <w:rPr>
          <w:rFonts w:cs="宋体"/>
          <w:sz w:val="24"/>
          <w:lang w:eastAsia="zh-CN"/>
        </w:rPr>
        <w:t>可通过以下三种方式之一启动MDDT资格认证过程：1）FDA确定需求领域和/或呼吁在特定领域开展开发活动；2）个人或利益相关者联合体（可能包括学术界、行业、医学会、患者团体）确定某一领域的需求和兴趣；或3）MDDT开发者寻求资格认证以促进该工具的广泛使用，可能跨越多个器械开发项目。</w:t>
      </w:r>
    </w:p>
    <w:p w14:paraId="0FE4158E">
      <w:pPr>
        <w:overflowPunct w:val="0"/>
        <w:spacing w:before="120" w:beforeLines="50" w:line="300" w:lineRule="auto"/>
        <w:rPr>
          <w:rFonts w:cs="Times New Roman"/>
          <w:sz w:val="24"/>
          <w:szCs w:val="24"/>
          <w:lang w:eastAsia="zh-CN"/>
        </w:rPr>
      </w:pPr>
      <w:r>
        <w:rPr>
          <w:rFonts w:cs="宋体"/>
          <w:sz w:val="24"/>
          <w:lang w:eastAsia="zh-CN"/>
        </w:rPr>
        <w:t>合格MDDT的存在并不意味着要求必须在器械开发或监管评价过程中使用该工具。也可使用其他科学有效工具或方法。此外，对一种工具类型（如外科手术后生活质量的患者报告结局测量）的资格认证并不禁止不同工具开发者对具有相同使用情景的类似工具进行资格认证。</w:t>
      </w:r>
    </w:p>
    <w:p w14:paraId="3C1B9F0F">
      <w:pPr>
        <w:pStyle w:val="21"/>
        <w:overflowPunct w:val="0"/>
        <w:rPr>
          <w:lang w:eastAsia="zh-CN"/>
        </w:rPr>
      </w:pPr>
      <w:r>
        <w:rPr>
          <w:rFonts w:cs="宋体"/>
          <w:lang w:eastAsia="zh-CN"/>
        </w:rPr>
        <w:t>_______________________</w:t>
      </w:r>
    </w:p>
    <w:p w14:paraId="0AB1DE51">
      <w:pPr>
        <w:pStyle w:val="21"/>
        <w:overflowPunct w:val="0"/>
        <w:rPr>
          <w:lang w:eastAsia="zh-CN"/>
        </w:rPr>
      </w:pPr>
      <w:r>
        <w:rPr>
          <w:rFonts w:cs="宋体"/>
          <w:vertAlign w:val="superscript"/>
          <w:lang w:eastAsia="zh-CN"/>
        </w:rPr>
        <w:t>1</w:t>
      </w:r>
      <w:r>
        <w:rPr>
          <w:rFonts w:cs="宋体"/>
          <w:lang w:eastAsia="zh-CN"/>
        </w:rPr>
        <w:tab/>
      </w:r>
      <w:r>
        <w:rPr>
          <w:rFonts w:cs="宋体"/>
          <w:lang w:eastAsia="zh-CN"/>
        </w:rPr>
        <w:t>本指南中的资格认证定义与BEST定义一致。</w:t>
      </w:r>
      <w:r>
        <w:rPr>
          <w:rFonts w:cs="宋体"/>
          <w:i/>
          <w:lang w:eastAsia="zh-CN"/>
        </w:rPr>
        <w:t>参见</w:t>
      </w:r>
      <w:r>
        <w:rPr>
          <w:rFonts w:cs="宋体"/>
          <w:lang w:eastAsia="zh-CN"/>
        </w:rPr>
        <w:t>BEST（生物标志物、终点和其他工具）资源；词汇表（可登录以下网址查阅：http://www.ncbi.nlm.nih.gov/books/NBK338448/）。</w:t>
      </w:r>
    </w:p>
    <w:p w14:paraId="64AA7110">
      <w:pPr>
        <w:overflowPunct w:val="0"/>
        <w:spacing w:before="120" w:beforeLines="50" w:line="300" w:lineRule="auto"/>
        <w:rPr>
          <w:rFonts w:cs="Times New Roman"/>
          <w:sz w:val="24"/>
          <w:szCs w:val="24"/>
          <w:lang w:eastAsia="zh-CN"/>
        </w:rPr>
      </w:pPr>
      <w:r>
        <w:rPr>
          <w:rFonts w:cs="宋体"/>
          <w:sz w:val="24"/>
          <w:lang w:eastAsia="zh-CN"/>
        </w:rPr>
        <w:br w:type="page"/>
      </w:r>
    </w:p>
    <w:p w14:paraId="79C05005">
      <w:pPr>
        <w:overflowPunct w:val="0"/>
        <w:spacing w:before="120" w:beforeLines="50" w:line="300" w:lineRule="auto"/>
        <w:rPr>
          <w:rFonts w:cs="Times New Roman"/>
          <w:sz w:val="24"/>
          <w:szCs w:val="24"/>
          <w:lang w:eastAsia="zh-CN"/>
        </w:rPr>
      </w:pPr>
      <w:r>
        <w:rPr>
          <w:rFonts w:cs="宋体"/>
          <w:sz w:val="24"/>
          <w:lang w:eastAsia="zh-CN"/>
        </w:rPr>
        <w:t>资格认证工具的决定反映了CDRH对在特定使用情景内使用MDDT的支持。可供许多申请方使用的合格MDDT将有助于简化器械开发和监管评价。一旦MDDT合格，可能有助于多个器械开发者在多个医疗器械开发项目中接受和使用MDDT，这将提高对公众健康的影响。为了推进这些目标，FDA仅预期在以下情况下对工具进行资格认证：FDA能够公开关于合格工具是否存在及其潜在效用的某些高级信息。未经工具开发者的许可，FDA不会公开任何专有信息。下文第VI节对这些问题进行了更详细的讨论。</w:t>
      </w:r>
    </w:p>
    <w:p w14:paraId="61CACE85">
      <w:pPr>
        <w:pStyle w:val="3"/>
        <w:overflowPunct w:val="0"/>
        <w:rPr>
          <w:lang w:eastAsia="zh-CN"/>
        </w:rPr>
      </w:pPr>
      <w:bookmarkStart w:id="3" w:name="_Toc91244862"/>
      <w:r>
        <w:rPr>
          <w:rFonts w:cs="宋体"/>
          <w:lang w:eastAsia="zh-CN"/>
        </w:rPr>
        <w:t>B.</w:t>
      </w:r>
      <w:r>
        <w:rPr>
          <w:rFonts w:cs="宋体"/>
          <w:lang w:eastAsia="zh-CN"/>
        </w:rPr>
        <w:tab/>
      </w:r>
      <w:r>
        <w:rPr>
          <w:rFonts w:cs="宋体"/>
          <w:lang w:eastAsia="zh-CN"/>
        </w:rPr>
        <w:t>为什么资格认证项目有益？</w:t>
      </w:r>
      <w:bookmarkEnd w:id="3"/>
    </w:p>
    <w:p w14:paraId="3C61A426">
      <w:pPr>
        <w:overflowPunct w:val="0"/>
        <w:spacing w:before="120" w:beforeLines="50" w:line="300" w:lineRule="auto"/>
        <w:rPr>
          <w:rFonts w:cs="Times New Roman"/>
          <w:sz w:val="24"/>
          <w:szCs w:val="24"/>
          <w:lang w:eastAsia="zh-CN"/>
        </w:rPr>
      </w:pPr>
      <w:r>
        <w:rPr>
          <w:rFonts w:cs="宋体"/>
          <w:sz w:val="24"/>
          <w:lang w:eastAsia="zh-CN"/>
        </w:rPr>
        <w:t>如本指南所述，资格认证旨在提高器械评价和监管决策的可预测性，向未来申请方明确表示当在合格使用情景内使用时FDA接受来自MDDT的评价，以便证明医疗器械的安全性、有效性或性能，而无需重新确认MDDT的适用性和效用。资格认证也提高了监管过程的效率，因为多个申请方可以将一个合格MDDT用于多个医疗器械开发项目。</w:t>
      </w:r>
    </w:p>
    <w:p w14:paraId="08E32BDC">
      <w:pPr>
        <w:overflowPunct w:val="0"/>
        <w:spacing w:before="120" w:beforeLines="50" w:line="300" w:lineRule="auto"/>
        <w:rPr>
          <w:rFonts w:cs="Times New Roman"/>
          <w:sz w:val="24"/>
          <w:szCs w:val="24"/>
          <w:lang w:eastAsia="zh-CN"/>
        </w:rPr>
      </w:pPr>
      <w:r>
        <w:rPr>
          <w:rFonts w:cs="宋体"/>
          <w:sz w:val="24"/>
          <w:lang w:eastAsia="zh-CN"/>
        </w:rPr>
        <w:t>此外，资格认证项目为利用监管科学的进展提供了方法。监管科学的进展有助于缩小医疗器械研发与向患者提供优质、安全、有效的器械之间的差距。CDRH致力于推动监管科学的进展，</w:t>
      </w:r>
      <w:r>
        <w:rPr>
          <w:rFonts w:cs="宋体"/>
          <w:sz w:val="24"/>
          <w:vertAlign w:val="superscript"/>
          <w:lang w:eastAsia="zh-CN"/>
        </w:rPr>
        <w:t xml:space="preserve">2 </w:t>
      </w:r>
      <w:r>
        <w:rPr>
          <w:rFonts w:cs="宋体"/>
          <w:sz w:val="24"/>
          <w:lang w:eastAsia="zh-CN"/>
        </w:rPr>
        <w:t>监管科学提供了评价本局所监管的产品的安全性、有效性、质量和性能所需的工具、标准和方法。本局正在通过持续进展（比如本资格认证项目）使监管评价过程现代化，并减少开发和评价新医疗产品所需的时间和资源。这一举措可以促进创新，支持优质产品制造，并加快患者获得安全和有效医疗技术的速度。</w:t>
      </w:r>
    </w:p>
    <w:p w14:paraId="0E165989">
      <w:pPr>
        <w:overflowPunct w:val="0"/>
        <w:spacing w:before="120" w:beforeLines="50" w:line="300" w:lineRule="auto"/>
        <w:rPr>
          <w:rFonts w:cs="Times New Roman"/>
          <w:sz w:val="24"/>
          <w:szCs w:val="24"/>
          <w:lang w:eastAsia="zh-CN"/>
        </w:rPr>
      </w:pPr>
      <w:r>
        <w:rPr>
          <w:rFonts w:cs="宋体"/>
          <w:sz w:val="24"/>
          <w:lang w:eastAsia="zh-CN"/>
        </w:rPr>
        <w:t>资格认证还促进了MDDT的开发和采用，包括在非竞争环境下的合作，即多个相关方（个人/利益相关者、公司/联合体或组织）可以一起合作并汇集资源以加快MDDT的开发、确认和使用。CDRH鼓励组成联合体或其他合作，促进MDDT开发项目，以通过共同努力提高工具开发效率并减少任何个人或公司的资源支出。本指南进一步作出了详细说明，希望讨论开发MDDT以获得潜在资格的利益相关者应联系FDA。</w:t>
      </w:r>
    </w:p>
    <w:p w14:paraId="0A75A29B">
      <w:pPr>
        <w:pStyle w:val="21"/>
        <w:overflowPunct w:val="0"/>
        <w:rPr>
          <w:lang w:eastAsia="zh-CN"/>
        </w:rPr>
      </w:pPr>
      <w:r>
        <w:rPr>
          <w:rFonts w:cs="宋体"/>
          <w:lang w:eastAsia="zh-CN"/>
        </w:rPr>
        <w:t>_______________________</w:t>
      </w:r>
    </w:p>
    <w:p w14:paraId="5DEBD2DF">
      <w:pPr>
        <w:pStyle w:val="21"/>
        <w:overflowPunct w:val="0"/>
        <w:rPr>
          <w:lang w:eastAsia="zh-CN"/>
        </w:rPr>
      </w:pPr>
      <w:r>
        <w:rPr>
          <w:rFonts w:cs="宋体"/>
          <w:vertAlign w:val="superscript"/>
          <w:lang w:eastAsia="zh-CN"/>
        </w:rPr>
        <w:t>2</w:t>
      </w:r>
      <w:r>
        <w:rPr>
          <w:rFonts w:cs="宋体"/>
          <w:lang w:eastAsia="zh-CN"/>
        </w:rPr>
        <w:t>《FDA医疗器械和辐射健康中心的监管科学：保护和促进公众健康的重要框架》可登录：</w:t>
      </w:r>
      <w:r>
        <w:fldChar w:fldCharType="begin"/>
      </w:r>
      <w:r>
        <w:instrText xml:space="preserve"> HYPERLINK "http://www.fda.gov/downloads/AboutFDA/CentersOffices/OfficeofMedicalProductsandTobacco/CDRH/CDRHRep%20orts/UCM274162.pdf" </w:instrText>
      </w:r>
      <w:r>
        <w:fldChar w:fldCharType="separate"/>
      </w:r>
      <w:r>
        <w:rPr>
          <w:rStyle w:val="15"/>
          <w:rFonts w:cs="宋体"/>
          <w:lang w:eastAsia="zh-CN"/>
        </w:rPr>
        <w:t>http://www.fda.gov/downloads/AboutFDA/CentersOffices/OfficeofMedicalProductsandTobacco/CDRH/CDRHRep orts/UCM274162.pdf</w:t>
      </w:r>
      <w:r>
        <w:rPr>
          <w:rStyle w:val="15"/>
          <w:rFonts w:cs="宋体"/>
          <w:lang w:eastAsia="zh-CN"/>
        </w:rPr>
        <w:fldChar w:fldCharType="end"/>
      </w:r>
      <w:r>
        <w:rPr>
          <w:rFonts w:hint="eastAsia" w:cs="宋体"/>
          <w:lang w:eastAsia="zh-CN"/>
        </w:rPr>
        <w:t>查阅。</w:t>
      </w:r>
    </w:p>
    <w:p w14:paraId="3B05A88D">
      <w:pPr>
        <w:overflowPunct w:val="0"/>
        <w:spacing w:before="120" w:beforeLines="50" w:line="300" w:lineRule="auto"/>
        <w:rPr>
          <w:rFonts w:cs="Times New Roman"/>
          <w:sz w:val="24"/>
          <w:szCs w:val="24"/>
          <w:lang w:eastAsia="zh-CN"/>
        </w:rPr>
      </w:pPr>
      <w:r>
        <w:rPr>
          <w:rFonts w:cs="宋体"/>
          <w:sz w:val="24"/>
          <w:lang w:eastAsia="zh-CN"/>
        </w:rPr>
        <w:br w:type="page"/>
      </w:r>
    </w:p>
    <w:p w14:paraId="63200682">
      <w:pPr>
        <w:overflowPunct w:val="0"/>
        <w:spacing w:before="120" w:beforeLines="50" w:line="300" w:lineRule="auto"/>
        <w:rPr>
          <w:rFonts w:cs="Times New Roman"/>
          <w:sz w:val="24"/>
          <w:szCs w:val="24"/>
          <w:lang w:eastAsia="zh-CN"/>
        </w:rPr>
      </w:pPr>
      <w:r>
        <w:rPr>
          <w:rFonts w:cs="宋体"/>
          <w:sz w:val="24"/>
          <w:lang w:eastAsia="zh-CN"/>
        </w:rPr>
        <w:t>资格认证项目也为CDRH提供了审查资源方面的优势。之前如果有意使用特定工具产生监管决策的支持性证据（如患者报告结局测量），则各FDA器械审查小组均单独评价评判各产品或用途的工具使用的数据。在该新项目中，在对个别监管申请的审查之外进行对工具及其相关数据的审查，并将在MDDT资格认证过程中进行审查。一旦合格，FDA工作人员就可以在使用情景内依据该工具，而无需进一步详细审查MDDT的适用性。申请方可以在公开提供的资格认证总结文件中找到使用特定合格MDDT的说明。</w:t>
      </w:r>
    </w:p>
    <w:p w14:paraId="5EA68889">
      <w:pPr>
        <w:pStyle w:val="3"/>
        <w:overflowPunct w:val="0"/>
        <w:rPr>
          <w:lang w:eastAsia="zh-CN"/>
        </w:rPr>
      </w:pPr>
      <w:bookmarkStart w:id="4" w:name="_Toc91244863"/>
      <w:r>
        <w:rPr>
          <w:rFonts w:cs="宋体"/>
          <w:lang w:eastAsia="zh-CN"/>
        </w:rPr>
        <w:t>C.</w:t>
      </w:r>
      <w:r>
        <w:rPr>
          <w:rFonts w:cs="宋体"/>
          <w:lang w:eastAsia="zh-CN"/>
        </w:rPr>
        <w:tab/>
      </w:r>
      <w:r>
        <w:rPr>
          <w:rFonts w:cs="宋体"/>
          <w:lang w:eastAsia="zh-CN"/>
        </w:rPr>
        <w:t>MDDT如何用于器械评价和监管决策？</w:t>
      </w:r>
      <w:bookmarkEnd w:id="4"/>
    </w:p>
    <w:p w14:paraId="35D0CB68">
      <w:pPr>
        <w:overflowPunct w:val="0"/>
        <w:spacing w:before="120" w:beforeLines="50" w:line="300" w:lineRule="auto"/>
        <w:rPr>
          <w:rFonts w:cs="Times New Roman"/>
          <w:sz w:val="24"/>
          <w:szCs w:val="24"/>
          <w:lang w:eastAsia="zh-CN"/>
        </w:rPr>
      </w:pPr>
      <w:r>
        <w:rPr>
          <w:rFonts w:cs="宋体"/>
          <w:sz w:val="24"/>
          <w:lang w:eastAsia="zh-CN"/>
        </w:rPr>
        <w:t>MDDT可通过促进在非临床或临床环境中有效提供支持性证据以证明安全性、有效性或器械性能，并支持监管决策。MDDT在器械临床研究中可能有多种作用，如患者选择、丰富研究群体、监测治疗反应、预测或确定与医疗器械治疗相关的安全性问题或确定患者是否适合某些治疗形式。此外，MDDT可以多种方式用于收集、评价和/或预测台架或体内性能。通过提供关于器械性能的可靠预测，或确定更有可能对治疗作出反应的患者或在不久的将来出现疾病进展的患者，合格MDDT的适当使用可以提高器械开发和评价过程的效率。MDDT在器械开发中的具体作用示例包括：</w:t>
      </w:r>
    </w:p>
    <w:p w14:paraId="2618343E">
      <w:pPr>
        <w:pStyle w:val="23"/>
        <w:numPr>
          <w:ilvl w:val="0"/>
          <w:numId w:val="1"/>
        </w:numPr>
        <w:overflowPunct w:val="0"/>
        <w:spacing w:before="120" w:beforeLines="50" w:line="300" w:lineRule="auto"/>
        <w:ind w:firstLineChars="0"/>
        <w:rPr>
          <w:rFonts w:cs="Times New Roman"/>
          <w:sz w:val="24"/>
          <w:szCs w:val="24"/>
          <w:lang w:eastAsia="zh-CN"/>
        </w:rPr>
      </w:pPr>
      <w:r>
        <w:rPr>
          <w:rFonts w:cs="宋体"/>
          <w:sz w:val="24"/>
          <w:lang w:eastAsia="zh-CN"/>
        </w:rPr>
        <w:t>用于选择临床研究受试者：</w:t>
      </w:r>
    </w:p>
    <w:p w14:paraId="0998F1BD">
      <w:pPr>
        <w:pStyle w:val="23"/>
        <w:numPr>
          <w:ilvl w:val="0"/>
          <w:numId w:val="2"/>
        </w:numPr>
        <w:overflowPunct w:val="0"/>
        <w:spacing w:before="120" w:beforeLines="50" w:line="300" w:lineRule="auto"/>
        <w:ind w:left="420" w:leftChars="200" w:firstLineChars="0"/>
        <w:rPr>
          <w:rFonts w:cs="Times New Roman"/>
          <w:sz w:val="24"/>
          <w:szCs w:val="24"/>
          <w:lang w:eastAsia="zh-CN"/>
        </w:rPr>
      </w:pPr>
      <w:r>
        <w:rPr>
          <w:rFonts w:cs="宋体"/>
          <w:sz w:val="24"/>
          <w:lang w:eastAsia="zh-CN"/>
        </w:rPr>
        <w:t>根据预测风险对患者群体进行分层；</w:t>
      </w:r>
    </w:p>
    <w:p w14:paraId="4B7E9083">
      <w:pPr>
        <w:pStyle w:val="23"/>
        <w:numPr>
          <w:ilvl w:val="0"/>
          <w:numId w:val="1"/>
        </w:numPr>
        <w:overflowPunct w:val="0"/>
        <w:spacing w:before="120" w:beforeLines="50" w:line="300" w:lineRule="auto"/>
        <w:ind w:firstLineChars="0"/>
        <w:rPr>
          <w:rFonts w:cs="Times New Roman"/>
          <w:sz w:val="24"/>
          <w:szCs w:val="24"/>
          <w:lang w:eastAsia="zh-CN"/>
        </w:rPr>
      </w:pPr>
      <w:r>
        <w:rPr>
          <w:rFonts w:cs="宋体"/>
          <w:sz w:val="24"/>
          <w:lang w:eastAsia="zh-CN"/>
        </w:rPr>
        <w:t>用于丰富研究群体；</w:t>
      </w:r>
    </w:p>
    <w:p w14:paraId="517ADBEA">
      <w:pPr>
        <w:pStyle w:val="23"/>
        <w:numPr>
          <w:ilvl w:val="0"/>
          <w:numId w:val="2"/>
        </w:numPr>
        <w:overflowPunct w:val="0"/>
        <w:spacing w:before="120" w:beforeLines="50" w:line="300" w:lineRule="auto"/>
        <w:ind w:left="420" w:leftChars="200" w:firstLineChars="0"/>
        <w:rPr>
          <w:rFonts w:cs="Times New Roman"/>
          <w:sz w:val="24"/>
          <w:szCs w:val="24"/>
          <w:lang w:eastAsia="zh-CN"/>
        </w:rPr>
      </w:pPr>
      <w:r>
        <w:rPr>
          <w:rFonts w:cs="宋体"/>
          <w:sz w:val="24"/>
          <w:lang w:eastAsia="zh-CN"/>
        </w:rPr>
        <w:t>用于中间终点；</w:t>
      </w:r>
      <w:r>
        <w:rPr>
          <w:rFonts w:cs="宋体"/>
          <w:sz w:val="24"/>
          <w:vertAlign w:val="superscript"/>
          <w:lang w:eastAsia="zh-CN"/>
        </w:rPr>
        <w:t>3, 5</w:t>
      </w:r>
    </w:p>
    <w:p w14:paraId="7153702E">
      <w:pPr>
        <w:pStyle w:val="23"/>
        <w:numPr>
          <w:ilvl w:val="0"/>
          <w:numId w:val="1"/>
        </w:numPr>
        <w:overflowPunct w:val="0"/>
        <w:spacing w:before="120" w:beforeLines="50" w:line="300" w:lineRule="auto"/>
        <w:ind w:firstLineChars="0"/>
        <w:rPr>
          <w:rFonts w:cs="Times New Roman"/>
          <w:sz w:val="24"/>
          <w:szCs w:val="24"/>
          <w:lang w:eastAsia="zh-CN"/>
        </w:rPr>
      </w:pPr>
      <w:r>
        <w:rPr>
          <w:rFonts w:cs="宋体"/>
          <w:sz w:val="24"/>
          <w:lang w:eastAsia="zh-CN"/>
        </w:rPr>
        <w:t>用于替代终点；</w:t>
      </w:r>
      <w:r>
        <w:rPr>
          <w:rFonts w:cs="宋体"/>
          <w:sz w:val="24"/>
          <w:vertAlign w:val="superscript"/>
          <w:lang w:eastAsia="zh-CN"/>
        </w:rPr>
        <w:t>4, 5</w:t>
      </w:r>
    </w:p>
    <w:p w14:paraId="29037C30">
      <w:pPr>
        <w:pStyle w:val="21"/>
        <w:overflowPunct w:val="0"/>
        <w:rPr>
          <w:lang w:eastAsia="zh-CN"/>
        </w:rPr>
      </w:pPr>
      <w:r>
        <w:rPr>
          <w:rFonts w:cs="宋体"/>
          <w:lang w:eastAsia="zh-CN"/>
        </w:rPr>
        <w:t>_______________________</w:t>
      </w:r>
    </w:p>
    <w:p w14:paraId="05C01170">
      <w:pPr>
        <w:pStyle w:val="21"/>
        <w:overflowPunct w:val="0"/>
        <w:rPr>
          <w:lang w:eastAsia="zh-CN"/>
        </w:rPr>
      </w:pPr>
      <w:r>
        <w:rPr>
          <w:rFonts w:cs="宋体"/>
          <w:vertAlign w:val="superscript"/>
          <w:lang w:eastAsia="zh-CN"/>
        </w:rPr>
        <w:t>3</w:t>
      </w:r>
      <w:r>
        <w:rPr>
          <w:rFonts w:cs="宋体"/>
          <w:lang w:eastAsia="zh-CN"/>
        </w:rPr>
        <w:tab/>
      </w:r>
      <w:r>
        <w:rPr>
          <w:rFonts w:cs="宋体"/>
          <w:b/>
          <w:lang w:eastAsia="zh-CN"/>
        </w:rPr>
        <w:t>中间终点</w:t>
      </w:r>
      <w:r>
        <w:rPr>
          <w:rFonts w:cs="宋体"/>
          <w:lang w:eastAsia="zh-CN"/>
        </w:rPr>
        <w:t>本身就是关于症状或功能测量的临床终点，而不是疾病的最终结局。根据中间终点获得改善有益于患者，即使这并不会导致发病率或死亡率降低。中间终点也可以是在更早时间点（早于过去接受的时间点）测量的临床终点。中间终点显示的治疗效果也可以作为预期良好最终结局的理由；在该意义上，中间终点起到了替代终点的作用。例如，在心力衰竭治疗试验中，运动耐力有时用作中间终点。</w:t>
      </w:r>
    </w:p>
    <w:p w14:paraId="34699A8E">
      <w:pPr>
        <w:pStyle w:val="21"/>
        <w:overflowPunct w:val="0"/>
        <w:rPr>
          <w:lang w:eastAsia="zh-CN"/>
        </w:rPr>
      </w:pPr>
      <w:r>
        <w:rPr>
          <w:rFonts w:cs="宋体"/>
          <w:vertAlign w:val="superscript"/>
          <w:lang w:eastAsia="zh-CN"/>
        </w:rPr>
        <w:t>4</w:t>
      </w:r>
      <w:r>
        <w:rPr>
          <w:rFonts w:cs="宋体"/>
          <w:lang w:eastAsia="zh-CN"/>
        </w:rPr>
        <w:tab/>
      </w:r>
      <w:r>
        <w:rPr>
          <w:rFonts w:cs="宋体"/>
          <w:b/>
          <w:lang w:eastAsia="zh-CN"/>
        </w:rPr>
        <w:t>替代终点</w:t>
      </w:r>
      <w:r>
        <w:rPr>
          <w:rFonts w:cs="宋体"/>
          <w:lang w:eastAsia="zh-CN"/>
        </w:rPr>
        <w:t>是指在试验中用于替代临床终点的测量，并预期根据流行病学、治疗学、病理生理学或其他科学证据反映临床结局。例如，在抗高血压治疗试验中，血压测量有时用作终点，作为中风、心肌梗塞或死亡率等临床终点的替代。</w:t>
      </w:r>
    </w:p>
    <w:p w14:paraId="525AFB26">
      <w:pPr>
        <w:pStyle w:val="21"/>
        <w:overflowPunct w:val="0"/>
        <w:rPr>
          <w:lang w:eastAsia="zh-CN"/>
        </w:rPr>
      </w:pPr>
      <w:r>
        <w:rPr>
          <w:rFonts w:cs="宋体"/>
          <w:vertAlign w:val="superscript"/>
          <w:lang w:eastAsia="zh-CN"/>
        </w:rPr>
        <w:t>5</w:t>
      </w:r>
      <w:r>
        <w:rPr>
          <w:rFonts w:cs="宋体"/>
          <w:lang w:eastAsia="zh-CN"/>
        </w:rPr>
        <w:tab/>
      </w:r>
      <w:r>
        <w:rPr>
          <w:rFonts w:cs="宋体"/>
          <w:lang w:eastAsia="zh-CN"/>
        </w:rPr>
        <w:t>使用</w:t>
      </w:r>
      <w:r>
        <w:rPr>
          <w:rFonts w:cs="宋体"/>
          <w:b/>
          <w:lang w:eastAsia="zh-CN"/>
        </w:rPr>
        <w:t>中间终点或替代终点</w:t>
      </w:r>
      <w:r>
        <w:rPr>
          <w:rFonts w:cs="宋体"/>
          <w:lang w:eastAsia="zh-CN"/>
        </w:rPr>
        <w:t>可能允许较小试验或较短随访，或者比疾病或病症的传统临床结局更易于测量。使用中间终点或替代终点的最佳条件包括：传统终点是极少发生的事件或延迟出现的事件（如某些慢性病）；终点测量具有入侵性、会造成不适、成本高或容易混淆；或治疗效果不佳，因此需要非实际的试验规模，以达到统计学显著性。</w:t>
      </w:r>
    </w:p>
    <w:p w14:paraId="0761B82D">
      <w:pPr>
        <w:overflowPunct w:val="0"/>
        <w:spacing w:before="120" w:beforeLines="50" w:line="300" w:lineRule="auto"/>
        <w:rPr>
          <w:rFonts w:cs="Times New Roman"/>
          <w:sz w:val="24"/>
          <w:szCs w:val="24"/>
          <w:lang w:eastAsia="zh-CN"/>
        </w:rPr>
      </w:pPr>
      <w:r>
        <w:rPr>
          <w:rFonts w:cs="宋体"/>
          <w:sz w:val="24"/>
          <w:lang w:eastAsia="zh-CN"/>
        </w:rPr>
        <w:br w:type="page"/>
      </w:r>
    </w:p>
    <w:p w14:paraId="4AE341E1">
      <w:pPr>
        <w:pStyle w:val="23"/>
        <w:numPr>
          <w:ilvl w:val="0"/>
          <w:numId w:val="3"/>
        </w:numPr>
        <w:overflowPunct w:val="0"/>
        <w:spacing w:before="120" w:beforeLines="50" w:line="300" w:lineRule="auto"/>
        <w:ind w:left="420" w:leftChars="200" w:firstLineChars="0"/>
        <w:rPr>
          <w:rFonts w:cs="Times New Roman"/>
          <w:sz w:val="24"/>
          <w:szCs w:val="24"/>
          <w:lang w:eastAsia="zh-CN"/>
        </w:rPr>
      </w:pPr>
      <w:r>
        <w:rPr>
          <w:rFonts w:cs="宋体"/>
          <w:sz w:val="24"/>
          <w:lang w:eastAsia="zh-CN"/>
        </w:rPr>
        <w:t>用于不良事件（AE）或疾病症状的定义；</w:t>
      </w:r>
    </w:p>
    <w:p w14:paraId="0B634309">
      <w:pPr>
        <w:pStyle w:val="23"/>
        <w:numPr>
          <w:ilvl w:val="0"/>
          <w:numId w:val="3"/>
        </w:numPr>
        <w:overflowPunct w:val="0"/>
        <w:spacing w:before="120" w:beforeLines="50" w:line="300" w:lineRule="auto"/>
        <w:ind w:left="420" w:leftChars="200" w:firstLineChars="0"/>
        <w:rPr>
          <w:rFonts w:cs="Times New Roman"/>
          <w:sz w:val="24"/>
          <w:szCs w:val="24"/>
          <w:lang w:eastAsia="zh-CN"/>
        </w:rPr>
      </w:pPr>
      <w:r>
        <w:rPr>
          <w:rFonts w:cs="宋体"/>
          <w:sz w:val="24"/>
          <w:lang w:eastAsia="zh-CN"/>
        </w:rPr>
        <w:t>减少试验时间或尽量减少样本量，例如作为计算模型使用；</w:t>
      </w:r>
    </w:p>
    <w:p w14:paraId="7A0F7221">
      <w:pPr>
        <w:pStyle w:val="23"/>
        <w:numPr>
          <w:ilvl w:val="0"/>
          <w:numId w:val="3"/>
        </w:numPr>
        <w:overflowPunct w:val="0"/>
        <w:spacing w:before="120" w:beforeLines="50" w:line="300" w:lineRule="auto"/>
        <w:ind w:left="420" w:leftChars="200" w:firstLineChars="0"/>
        <w:rPr>
          <w:rFonts w:cs="Times New Roman"/>
          <w:sz w:val="24"/>
          <w:szCs w:val="24"/>
          <w:lang w:eastAsia="zh-CN"/>
        </w:rPr>
      </w:pPr>
      <w:r>
        <w:rPr>
          <w:rFonts w:cs="宋体"/>
          <w:sz w:val="24"/>
          <w:lang w:eastAsia="zh-CN"/>
        </w:rPr>
        <w:t>取代通常在人体研究中进行的评价；</w:t>
      </w:r>
    </w:p>
    <w:p w14:paraId="3D9A4F3A">
      <w:pPr>
        <w:pStyle w:val="23"/>
        <w:numPr>
          <w:ilvl w:val="0"/>
          <w:numId w:val="3"/>
        </w:numPr>
        <w:overflowPunct w:val="0"/>
        <w:spacing w:before="120" w:beforeLines="50" w:line="300" w:lineRule="auto"/>
        <w:ind w:left="420" w:leftChars="200" w:firstLineChars="0"/>
        <w:rPr>
          <w:rFonts w:cs="Times New Roman"/>
          <w:sz w:val="24"/>
          <w:szCs w:val="24"/>
          <w:lang w:eastAsia="zh-CN"/>
        </w:rPr>
      </w:pPr>
      <w:r>
        <w:rPr>
          <w:rFonts w:cs="宋体"/>
          <w:sz w:val="24"/>
          <w:lang w:eastAsia="zh-CN"/>
        </w:rPr>
        <w:t>减少或尽量减少对动物的使用（例如进行模拟试验）；</w:t>
      </w:r>
    </w:p>
    <w:p w14:paraId="63DE4BFE">
      <w:pPr>
        <w:pStyle w:val="23"/>
        <w:numPr>
          <w:ilvl w:val="0"/>
          <w:numId w:val="3"/>
        </w:numPr>
        <w:overflowPunct w:val="0"/>
        <w:spacing w:before="120" w:beforeLines="50" w:line="300" w:lineRule="auto"/>
        <w:ind w:left="420" w:leftChars="200" w:firstLineChars="0"/>
        <w:rPr>
          <w:rFonts w:cs="Times New Roman"/>
          <w:sz w:val="24"/>
          <w:szCs w:val="24"/>
          <w:lang w:eastAsia="zh-CN"/>
        </w:rPr>
      </w:pPr>
      <w:r>
        <w:rPr>
          <w:rFonts w:cs="宋体"/>
          <w:sz w:val="24"/>
          <w:lang w:eastAsia="zh-CN"/>
        </w:rPr>
        <w:t>用于开发上市后监测方法，例如：</w:t>
      </w:r>
    </w:p>
    <w:p w14:paraId="62164D00">
      <w:pPr>
        <w:overflowPunct w:val="0"/>
        <w:spacing w:before="120" w:beforeLines="50" w:line="300" w:lineRule="auto"/>
        <w:ind w:left="1320" w:leftChars="400" w:hanging="480" w:hangingChars="200"/>
        <w:rPr>
          <w:rFonts w:cs="Times New Roman"/>
          <w:sz w:val="24"/>
          <w:szCs w:val="24"/>
          <w:lang w:eastAsia="zh-CN"/>
        </w:rPr>
      </w:pPr>
      <w:r>
        <w:rPr>
          <w:rFonts w:cs="宋体"/>
          <w:sz w:val="24"/>
          <w:lang w:eastAsia="zh-CN"/>
        </w:rPr>
        <w:t>1)</w:t>
      </w:r>
      <w:r>
        <w:rPr>
          <w:rFonts w:cs="宋体"/>
          <w:sz w:val="24"/>
          <w:lang w:eastAsia="zh-CN"/>
        </w:rPr>
        <w:tab/>
      </w:r>
      <w:r>
        <w:rPr>
          <w:rFonts w:cs="宋体"/>
          <w:sz w:val="24"/>
          <w:lang w:eastAsia="zh-CN"/>
        </w:rPr>
        <w:t>已获批器械的患者报告结局（PRO）；以及2）捕获真实世界结局的方法或模型。</w:t>
      </w:r>
    </w:p>
    <w:p w14:paraId="0C94F143">
      <w:pPr>
        <w:pStyle w:val="2"/>
        <w:overflowPunct w:val="0"/>
        <w:rPr>
          <w:lang w:eastAsia="zh-CN"/>
        </w:rPr>
      </w:pPr>
      <w:bookmarkStart w:id="5" w:name="_Toc91244864"/>
      <w:r>
        <w:rPr>
          <w:rFonts w:cs="宋体"/>
          <w:lang w:eastAsia="zh-CN"/>
        </w:rPr>
        <w:t>III.</w:t>
      </w:r>
      <w:r>
        <w:rPr>
          <w:rFonts w:cs="宋体"/>
          <w:lang w:eastAsia="zh-CN"/>
        </w:rPr>
        <w:tab/>
      </w:r>
      <w:r>
        <w:rPr>
          <w:rFonts w:cs="宋体"/>
          <w:lang w:eastAsia="zh-CN"/>
        </w:rPr>
        <w:t>关键概念的定义</w:t>
      </w:r>
      <w:bookmarkEnd w:id="5"/>
    </w:p>
    <w:p w14:paraId="48F85F45">
      <w:pPr>
        <w:overflowPunct w:val="0"/>
        <w:spacing w:before="120" w:beforeLines="50" w:line="300" w:lineRule="auto"/>
        <w:rPr>
          <w:rFonts w:cs="Times New Roman"/>
          <w:sz w:val="24"/>
          <w:szCs w:val="24"/>
          <w:lang w:eastAsia="zh-CN"/>
        </w:rPr>
      </w:pPr>
      <w:r>
        <w:rPr>
          <w:rFonts w:cs="宋体"/>
          <w:sz w:val="24"/>
          <w:lang w:eastAsia="zh-CN"/>
        </w:rPr>
        <w:t>在本指南中，以下定义适用最近生物标志物、终点和其他工具（BEST）资源</w:t>
      </w:r>
      <w:r>
        <w:rPr>
          <w:rFonts w:cs="宋体"/>
          <w:sz w:val="24"/>
          <w:vertAlign w:val="superscript"/>
          <w:lang w:eastAsia="zh-CN"/>
        </w:rPr>
        <w:t>6</w:t>
      </w:r>
      <w:r>
        <w:rPr>
          <w:rFonts w:cs="宋体"/>
          <w:sz w:val="24"/>
          <w:lang w:eastAsia="zh-CN"/>
        </w:rPr>
        <w:t>并与其保持一致。本节包括简要定义、示例和其他有关术语的解释信息。</w:t>
      </w:r>
    </w:p>
    <w:p w14:paraId="7B6BC24A">
      <w:pPr>
        <w:pStyle w:val="23"/>
        <w:numPr>
          <w:ilvl w:val="0"/>
          <w:numId w:val="4"/>
        </w:numPr>
        <w:overflowPunct w:val="0"/>
        <w:spacing w:before="120" w:beforeLines="50" w:line="300" w:lineRule="auto"/>
        <w:ind w:left="420" w:leftChars="200" w:firstLineChars="0"/>
        <w:rPr>
          <w:rFonts w:cs="Times New Roman"/>
          <w:sz w:val="24"/>
          <w:szCs w:val="24"/>
          <w:lang w:eastAsia="zh-CN"/>
        </w:rPr>
      </w:pPr>
      <w:r>
        <w:rPr>
          <w:rFonts w:cs="宋体"/>
          <w:b/>
          <w:sz w:val="24"/>
          <w:lang w:eastAsia="zh-CN"/>
        </w:rPr>
        <w:t>医疗器械开发工具（MDDT）</w:t>
      </w:r>
      <w:r>
        <w:rPr>
          <w:rFonts w:cs="宋体"/>
          <w:sz w:val="24"/>
          <w:lang w:eastAsia="zh-CN"/>
        </w:rPr>
        <w:t>是指用于评价医疗器械的有效性、安全性或性能的方法、材料或测量。MDDT经过科学确认和资格认证，可用于器械评价，并且支持特定使用情景内的监管决策。</w:t>
      </w:r>
    </w:p>
    <w:p w14:paraId="7009841F">
      <w:pPr>
        <w:overflowPunct w:val="0"/>
        <w:spacing w:before="120" w:beforeLines="50" w:line="300" w:lineRule="auto"/>
        <w:ind w:left="840" w:leftChars="400"/>
        <w:rPr>
          <w:rFonts w:cs="Times New Roman"/>
          <w:sz w:val="24"/>
          <w:szCs w:val="24"/>
          <w:lang w:eastAsia="zh-CN"/>
        </w:rPr>
      </w:pPr>
      <w:r>
        <w:rPr>
          <w:rFonts w:cs="宋体"/>
          <w:sz w:val="24"/>
          <w:lang w:eastAsia="zh-CN"/>
        </w:rPr>
        <w:t>MDDT可以是临床结局评价（COA）（如患者报告或临床医生报告结局评分表）、生物标志物测试（BT）（如化学分析物或医学成像方法的测定），或者非临床评价模型（NAM）（如体外方法、动物或计算模型），用于器械评价和支持监管决策。</w:t>
      </w:r>
    </w:p>
    <w:p w14:paraId="381E8130">
      <w:pPr>
        <w:pStyle w:val="23"/>
        <w:numPr>
          <w:ilvl w:val="0"/>
          <w:numId w:val="4"/>
        </w:numPr>
        <w:overflowPunct w:val="0"/>
        <w:spacing w:before="120" w:beforeLines="50" w:line="300" w:lineRule="auto"/>
        <w:ind w:left="420" w:leftChars="200" w:firstLineChars="0"/>
        <w:rPr>
          <w:rFonts w:cs="Times New Roman"/>
          <w:sz w:val="24"/>
          <w:szCs w:val="24"/>
          <w:lang w:eastAsia="zh-CN"/>
        </w:rPr>
      </w:pPr>
      <w:r>
        <w:rPr>
          <w:rFonts w:cs="宋体"/>
          <w:b/>
          <w:sz w:val="24"/>
          <w:lang w:eastAsia="zh-CN"/>
        </w:rPr>
        <w:t>使用情景（COU）</w:t>
      </w:r>
      <w:r>
        <w:rPr>
          <w:rFonts w:cs="宋体"/>
          <w:sz w:val="24"/>
          <w:lang w:eastAsia="zh-CN"/>
        </w:rPr>
        <w:t>是指对MDDT的使用方式以及与医疗产品开发相关的使用目的进行的充分且明确的说明。</w:t>
      </w:r>
    </w:p>
    <w:p w14:paraId="054EE5E2">
      <w:pPr>
        <w:pStyle w:val="23"/>
        <w:numPr>
          <w:ilvl w:val="0"/>
          <w:numId w:val="4"/>
        </w:numPr>
        <w:overflowPunct w:val="0"/>
        <w:spacing w:before="120" w:beforeLines="50" w:line="300" w:lineRule="auto"/>
        <w:ind w:left="420" w:leftChars="200" w:firstLineChars="0"/>
        <w:rPr>
          <w:rFonts w:cs="Times New Roman"/>
          <w:sz w:val="24"/>
          <w:szCs w:val="24"/>
          <w:lang w:eastAsia="zh-CN"/>
        </w:rPr>
      </w:pPr>
      <w:r>
        <w:rPr>
          <w:rFonts w:cs="宋体"/>
          <w:b/>
          <w:sz w:val="24"/>
          <w:lang w:eastAsia="zh-CN"/>
        </w:rPr>
        <w:t>资格认证</w:t>
      </w:r>
      <w:r>
        <w:rPr>
          <w:rFonts w:cs="宋体"/>
          <w:sz w:val="24"/>
          <w:lang w:eastAsia="zh-CN"/>
        </w:rPr>
        <w:t>是根据FDA审查得出的结论，即在所述使用情景下，可依据医疗产品开发工具在医疗产品开发和监管审查中进行具体解释和应用。</w:t>
      </w:r>
    </w:p>
    <w:p w14:paraId="3ED5C19B">
      <w:pPr>
        <w:overflowPunct w:val="0"/>
        <w:spacing w:before="120" w:beforeLines="50" w:line="300" w:lineRule="auto"/>
        <w:rPr>
          <w:rFonts w:cs="Times New Roman"/>
          <w:i/>
          <w:sz w:val="24"/>
          <w:szCs w:val="24"/>
          <w:lang w:eastAsia="zh-CN"/>
        </w:rPr>
      </w:pPr>
      <w:r>
        <w:rPr>
          <w:rFonts w:cs="宋体"/>
          <w:sz w:val="24"/>
          <w:lang w:eastAsia="zh-CN"/>
        </w:rPr>
        <w:t>因此，资格认证反映了CDRH的预期，即在特定使用范围内（描述MDDT合格使用的条件和界限的声明），在器械评价中可依据使用MDDT的评价结果，并且支持监管决策。</w:t>
      </w:r>
    </w:p>
    <w:p w14:paraId="29711B1F">
      <w:pPr>
        <w:pStyle w:val="21"/>
        <w:overflowPunct w:val="0"/>
        <w:rPr>
          <w:lang w:eastAsia="zh-CN"/>
        </w:rPr>
      </w:pPr>
      <w:r>
        <w:rPr>
          <w:rFonts w:cs="宋体"/>
          <w:lang w:eastAsia="zh-CN"/>
        </w:rPr>
        <w:t>_______________________</w:t>
      </w:r>
    </w:p>
    <w:p w14:paraId="732A367F">
      <w:pPr>
        <w:pStyle w:val="22"/>
        <w:overflowPunct w:val="0"/>
        <w:rPr>
          <w:lang w:eastAsia="zh-CN"/>
        </w:rPr>
      </w:pPr>
      <w:r>
        <w:rPr>
          <w:rFonts w:cs="宋体"/>
          <w:vertAlign w:val="superscript"/>
          <w:lang w:eastAsia="zh-CN"/>
        </w:rPr>
        <w:t xml:space="preserve">6 </w:t>
      </w:r>
      <w:r>
        <w:rPr>
          <w:rFonts w:cs="宋体"/>
          <w:lang w:eastAsia="zh-CN"/>
        </w:rPr>
        <w:tab/>
      </w:r>
      <w:r>
        <w:rPr>
          <w:rFonts w:cs="宋体"/>
          <w:i/>
          <w:lang w:eastAsia="zh-CN"/>
        </w:rPr>
        <w:t>参见</w:t>
      </w:r>
      <w:r>
        <w:rPr>
          <w:rFonts w:cs="宋体"/>
          <w:lang w:eastAsia="zh-CN"/>
        </w:rPr>
        <w:t>BEST资源，前注1。</w:t>
      </w:r>
    </w:p>
    <w:p w14:paraId="357995DB">
      <w:pPr>
        <w:overflowPunct w:val="0"/>
        <w:spacing w:before="120" w:beforeLines="50" w:line="300" w:lineRule="auto"/>
        <w:rPr>
          <w:rFonts w:cs="Times New Roman"/>
          <w:sz w:val="24"/>
          <w:szCs w:val="24"/>
          <w:lang w:eastAsia="zh-CN"/>
        </w:rPr>
      </w:pPr>
      <w:r>
        <w:rPr>
          <w:rFonts w:cs="宋体"/>
          <w:sz w:val="24"/>
          <w:lang w:eastAsia="zh-CN"/>
        </w:rPr>
        <w:br w:type="page"/>
      </w:r>
    </w:p>
    <w:p w14:paraId="1476C5CF">
      <w:pPr>
        <w:overflowPunct w:val="0"/>
        <w:spacing w:before="120" w:beforeLines="50" w:line="300" w:lineRule="auto"/>
        <w:rPr>
          <w:rFonts w:cs="Times New Roman"/>
          <w:sz w:val="24"/>
          <w:szCs w:val="24"/>
          <w:lang w:eastAsia="zh-CN"/>
        </w:rPr>
      </w:pPr>
      <w:r>
        <w:rPr>
          <w:rFonts w:cs="宋体"/>
          <w:sz w:val="24"/>
          <w:lang w:eastAsia="zh-CN"/>
        </w:rPr>
        <w:t>CDRH认可三种MDDT类型，这三种类型主要以工具测量相关参数的方式来区分：临床结局评价（COA）、生物标志物测试（BT）和非临床评价模型（NAM）。以下定义与BEST资源一致：</w:t>
      </w:r>
    </w:p>
    <w:p w14:paraId="2B8F421C">
      <w:pPr>
        <w:overflowPunct w:val="0"/>
        <w:spacing w:before="120" w:beforeLines="50" w:line="300" w:lineRule="auto"/>
        <w:ind w:left="420" w:hanging="420"/>
        <w:rPr>
          <w:rFonts w:cs="Times New Roman"/>
          <w:sz w:val="24"/>
          <w:szCs w:val="24"/>
          <w:lang w:eastAsia="zh-CN"/>
        </w:rPr>
      </w:pPr>
      <w:r>
        <w:rPr>
          <w:rFonts w:cs="宋体"/>
          <w:sz w:val="24"/>
          <w:lang w:eastAsia="zh-CN"/>
        </w:rPr>
        <w:t>1.</w:t>
      </w:r>
      <w:r>
        <w:rPr>
          <w:rFonts w:cs="宋体"/>
          <w:sz w:val="24"/>
          <w:lang w:eastAsia="zh-CN"/>
        </w:rPr>
        <w:tab/>
      </w:r>
      <w:r>
        <w:rPr>
          <w:rFonts w:cs="宋体"/>
          <w:sz w:val="24"/>
          <w:lang w:eastAsia="zh-CN"/>
        </w:rPr>
        <w:t>可以通过临床医生、患者、非临床医生观察者的报告或通过基于性能的评价进行</w:t>
      </w:r>
      <w:r>
        <w:rPr>
          <w:rFonts w:cs="宋体"/>
          <w:b/>
          <w:sz w:val="24"/>
          <w:lang w:eastAsia="zh-CN"/>
        </w:rPr>
        <w:t>临床结局评价（COA）</w:t>
      </w:r>
      <w:r>
        <w:rPr>
          <w:rFonts w:cs="宋体"/>
          <w:sz w:val="24"/>
          <w:lang w:eastAsia="zh-CN"/>
        </w:rPr>
        <w:t>。</w:t>
      </w:r>
    </w:p>
    <w:p w14:paraId="31E7F095">
      <w:pPr>
        <w:overflowPunct w:val="0"/>
        <w:spacing w:before="120" w:beforeLines="50" w:line="300" w:lineRule="auto"/>
        <w:ind w:left="420" w:leftChars="200"/>
        <w:rPr>
          <w:rFonts w:cs="Times New Roman"/>
          <w:sz w:val="24"/>
          <w:szCs w:val="24"/>
          <w:lang w:eastAsia="zh-CN"/>
        </w:rPr>
      </w:pPr>
      <w:r>
        <w:rPr>
          <w:rFonts w:cs="宋体"/>
          <w:sz w:val="24"/>
          <w:lang w:eastAsia="zh-CN"/>
        </w:rPr>
        <w:t>临床结局评价包括患者报告、临床医生报告和观察者报告的结局测量，通常是包括量表或分数的工具。COA不仅包括产生分数的测量方法，还包括明确定义的方法和工具的使用说明、数据采集的标准格式，以及目标患者群体的评分、分析和结果解释的详细记录方法。COA可直接或间接地衡量治疗效果（例如用于记录疼痛强度的缓解疼痛治疗日记）。</w:t>
      </w:r>
    </w:p>
    <w:p w14:paraId="2A0557C0">
      <w:pPr>
        <w:overflowPunct w:val="0"/>
        <w:spacing w:before="120" w:beforeLines="50" w:line="300" w:lineRule="auto"/>
        <w:ind w:left="420" w:leftChars="200"/>
        <w:rPr>
          <w:rFonts w:cs="Times New Roman"/>
          <w:sz w:val="24"/>
          <w:szCs w:val="24"/>
          <w:lang w:eastAsia="zh-CN"/>
        </w:rPr>
      </w:pPr>
      <w:r>
        <w:rPr>
          <w:rFonts w:cs="宋体"/>
          <w:sz w:val="24"/>
          <w:lang w:eastAsia="zh-CN"/>
        </w:rPr>
        <w:t>四种常见COA包括患者报告结局（PRO）测量、临床医生报告结局（ClinRO）测量、观察者报告结局（ObsRO）测量以及性能结局（PerfO）测量。其他用作患者利益或安全性测量的COA也可资格认证为MDDT。</w:t>
      </w:r>
    </w:p>
    <w:p w14:paraId="2A042F80">
      <w:pPr>
        <w:pStyle w:val="23"/>
        <w:numPr>
          <w:ilvl w:val="0"/>
          <w:numId w:val="5"/>
        </w:numPr>
        <w:overflowPunct w:val="0"/>
        <w:spacing w:before="120" w:beforeLines="50" w:line="300" w:lineRule="auto"/>
        <w:ind w:left="420" w:leftChars="200" w:firstLineChars="0"/>
        <w:rPr>
          <w:rFonts w:cs="Times New Roman"/>
          <w:sz w:val="24"/>
          <w:szCs w:val="24"/>
          <w:lang w:eastAsia="zh-CN"/>
        </w:rPr>
      </w:pPr>
      <w:r>
        <w:rPr>
          <w:rFonts w:cs="宋体"/>
          <w:b/>
          <w:sz w:val="24"/>
          <w:lang w:eastAsia="zh-CN"/>
        </w:rPr>
        <w:t>患者报告结局（PRO）测量</w:t>
      </w:r>
      <w:r>
        <w:rPr>
          <w:rFonts w:cs="宋体"/>
          <w:sz w:val="24"/>
          <w:vertAlign w:val="superscript"/>
          <w:lang w:eastAsia="zh-CN"/>
        </w:rPr>
        <w:t>7</w:t>
      </w:r>
      <w:r>
        <w:rPr>
          <w:rFonts w:cs="宋体"/>
          <w:b/>
          <w:sz w:val="24"/>
          <w:lang w:eastAsia="zh-CN"/>
        </w:rPr>
        <w:t>：</w:t>
      </w:r>
      <w:r>
        <w:rPr>
          <w:rFonts w:cs="宋体"/>
          <w:sz w:val="24"/>
          <w:lang w:eastAsia="zh-CN"/>
        </w:rPr>
        <w:t>PRO是基于患者（即研究受试者）关于其健康状况报告的测量，无需临床医生或其他任何人对患者报告进行修正或解释。可以通过自我报告或访谈对PRO进行测量，前提是访谈者仅记录患者的回答。症状或其他只有患者知道的不可观察概念（例如疼痛严重程度或恶心）只能通过PRO测量。PRO也可评价患者对功能或活动的看法，而这些功能或活动也可能由其他人观察到。示例包括生活质量或健康状况评分，例如慢性肺病恶化工具 – 患者报告结局（EXACCT-PRO）。</w:t>
      </w:r>
    </w:p>
    <w:p w14:paraId="7D9F17AA">
      <w:pPr>
        <w:pStyle w:val="23"/>
        <w:numPr>
          <w:ilvl w:val="0"/>
          <w:numId w:val="5"/>
        </w:numPr>
        <w:overflowPunct w:val="0"/>
        <w:spacing w:before="120" w:beforeLines="50" w:line="300" w:lineRule="auto"/>
        <w:ind w:left="420" w:leftChars="200" w:firstLineChars="0"/>
        <w:rPr>
          <w:rFonts w:cs="Times New Roman"/>
          <w:sz w:val="24"/>
          <w:szCs w:val="24"/>
          <w:lang w:eastAsia="zh-CN"/>
        </w:rPr>
      </w:pPr>
      <w:r>
        <w:rPr>
          <w:rFonts w:cs="宋体"/>
          <w:b/>
          <w:sz w:val="24"/>
          <w:lang w:eastAsia="zh-CN"/>
        </w:rPr>
        <w:t>观察者报告结局（ObsRO）测量：</w:t>
      </w:r>
      <w:r>
        <w:rPr>
          <w:rFonts w:cs="宋体"/>
          <w:sz w:val="24"/>
          <w:lang w:eastAsia="zh-CN"/>
        </w:rPr>
        <w:t>观察者报告结局不包括医学判断或解释。ObsRO通常由父母、护理者或在日常生活中观察患者的人员进行报告。对于自身无法回答的患者（如婴儿或认知障碍者），本局鼓励观察者进行报告，仅限那些可观察到的事件或行为。例如，观察者不能有效地报告婴儿的疼痛强度（一种症状），但可以报告被视为由疼痛引起的婴儿行为（如哭泣）。例如，评价儿童在课堂上的功能时，教师是最合适的观察者。ObsRO示例包括父母对孩子呕吐发作的报告，或将自身无法报告的患者的皱眉蹙额视为疼痛结果的报告。</w:t>
      </w:r>
    </w:p>
    <w:p w14:paraId="5B5BD09D">
      <w:pPr>
        <w:pStyle w:val="21"/>
        <w:overflowPunct w:val="0"/>
        <w:rPr>
          <w:lang w:eastAsia="zh-CN"/>
        </w:rPr>
      </w:pPr>
      <w:r>
        <w:rPr>
          <w:rFonts w:cs="宋体"/>
        </w:rPr>
        <w:t>_______________________</w:t>
      </w:r>
    </w:p>
    <w:p w14:paraId="6C5EFA9D">
      <w:pPr>
        <w:pStyle w:val="21"/>
        <w:overflowPunct w:val="0"/>
        <w:rPr>
          <w:lang w:eastAsia="zh-CN"/>
        </w:rPr>
      </w:pPr>
      <w:r>
        <w:rPr>
          <w:rFonts w:cs="宋体"/>
          <w:vertAlign w:val="superscript"/>
        </w:rPr>
        <w:t xml:space="preserve">7 </w:t>
      </w:r>
      <w:r>
        <w:rPr>
          <w:rFonts w:cs="宋体"/>
        </w:rPr>
        <w:tab/>
      </w:r>
      <w:r>
        <w:rPr>
          <w:rFonts w:cs="宋体"/>
        </w:rPr>
        <w:t>2009年12月发布的《行业和FDA工作人员指南：患者报告结局测量：在医疗产品开发中使用以支持标签声明》，可登录：</w:t>
      </w:r>
      <w:r>
        <w:fldChar w:fldCharType="begin"/>
      </w:r>
      <w:r>
        <w:instrText xml:space="preserve"> HYPERLINK "http://www.fda.gov/downloads/Drugs/Guidances/UCM193282.pdf" </w:instrText>
      </w:r>
      <w:r>
        <w:fldChar w:fldCharType="separate"/>
      </w:r>
      <w:r>
        <w:rPr>
          <w:rStyle w:val="15"/>
          <w:rFonts w:cs="宋体"/>
        </w:rPr>
        <w:t>http://www.fda.gov/downloads/Drugs/Guidances/UCM193282.pdf</w:t>
      </w:r>
      <w:r>
        <w:rPr>
          <w:rStyle w:val="15"/>
          <w:rFonts w:cs="宋体"/>
        </w:rPr>
        <w:fldChar w:fldCharType="end"/>
      </w:r>
      <w:r>
        <w:rPr>
          <w:rFonts w:hint="eastAsia" w:cs="宋体"/>
          <w:lang w:eastAsia="zh-CN"/>
        </w:rPr>
        <w:t>查阅。</w:t>
      </w:r>
    </w:p>
    <w:p w14:paraId="12C1423D">
      <w:pPr>
        <w:overflowPunct w:val="0"/>
        <w:spacing w:before="120" w:beforeLines="50" w:line="300" w:lineRule="auto"/>
        <w:rPr>
          <w:rFonts w:cs="Times New Roman"/>
          <w:sz w:val="24"/>
          <w:szCs w:val="24"/>
        </w:rPr>
      </w:pPr>
      <w:r>
        <w:rPr>
          <w:rFonts w:cs="宋体"/>
          <w:sz w:val="24"/>
        </w:rPr>
        <w:br w:type="page"/>
      </w:r>
    </w:p>
    <w:p w14:paraId="1B16D28A">
      <w:pPr>
        <w:pStyle w:val="23"/>
        <w:numPr>
          <w:ilvl w:val="0"/>
          <w:numId w:val="6"/>
        </w:numPr>
        <w:overflowPunct w:val="0"/>
        <w:spacing w:before="120" w:beforeLines="50" w:line="300" w:lineRule="auto"/>
        <w:ind w:left="420" w:leftChars="200" w:firstLineChars="0"/>
        <w:rPr>
          <w:rFonts w:cs="Times New Roman"/>
          <w:sz w:val="24"/>
          <w:szCs w:val="24"/>
          <w:lang w:eastAsia="zh-CN"/>
        </w:rPr>
      </w:pPr>
      <w:r>
        <w:rPr>
          <w:rFonts w:cs="宋体"/>
          <w:b/>
          <w:sz w:val="24"/>
          <w:lang w:eastAsia="zh-CN"/>
        </w:rPr>
        <w:t>临床医生报告结局（ClinRO）测量：</w:t>
      </w:r>
      <w:r>
        <w:rPr>
          <w:rFonts w:cs="宋体"/>
          <w:sz w:val="24"/>
          <w:lang w:eastAsia="zh-CN"/>
        </w:rPr>
        <w:t>临床医生报告基于受过培训的医护人员在观察患者健康状况后所做的报告。ClinRO测量包括对可观察体征、行为或其他视为与某种疾病或病症有关的身体表现的临床判断或解释。ClinRO测量不能直接评价只有患者知道的症状（例如疼痛强度）。</w:t>
      </w:r>
    </w:p>
    <w:p w14:paraId="5597AA55">
      <w:pPr>
        <w:pStyle w:val="23"/>
        <w:numPr>
          <w:ilvl w:val="0"/>
          <w:numId w:val="6"/>
        </w:numPr>
        <w:overflowPunct w:val="0"/>
        <w:spacing w:before="120" w:beforeLines="50" w:line="300" w:lineRule="auto"/>
        <w:ind w:left="420" w:leftChars="200" w:firstLineChars="0"/>
        <w:rPr>
          <w:rFonts w:cs="Times New Roman"/>
          <w:sz w:val="24"/>
          <w:szCs w:val="24"/>
          <w:lang w:eastAsia="zh-CN"/>
        </w:rPr>
      </w:pPr>
      <w:r>
        <w:rPr>
          <w:rFonts w:cs="宋体"/>
          <w:b/>
          <w:sz w:val="24"/>
          <w:lang w:eastAsia="zh-CN"/>
        </w:rPr>
        <w:t>性能结局（PerfO）测量：</w:t>
      </w:r>
      <w:r>
        <w:rPr>
          <w:rFonts w:cs="宋体"/>
          <w:sz w:val="24"/>
          <w:lang w:eastAsia="zh-CN"/>
        </w:rPr>
        <w:t>PerfO是基于患者根据医护人员的指示完成的任务而进行的测量。性能结局需要患者合作和激励。这包括步态速度测量（例如定时25英尺步行测试）、回忆或其他认知测试（例如数字符号替换测试）。</w:t>
      </w:r>
    </w:p>
    <w:p w14:paraId="366E738B">
      <w:pPr>
        <w:overflowPunct w:val="0"/>
        <w:spacing w:before="120" w:beforeLines="50" w:line="300" w:lineRule="auto"/>
        <w:rPr>
          <w:rFonts w:cs="Times New Roman"/>
          <w:sz w:val="24"/>
          <w:szCs w:val="24"/>
          <w:lang w:eastAsia="zh-CN"/>
        </w:rPr>
      </w:pPr>
      <w:r>
        <w:rPr>
          <w:rFonts w:cs="宋体"/>
          <w:sz w:val="24"/>
          <w:lang w:eastAsia="zh-CN"/>
        </w:rPr>
        <w:t>基于临床决策的其他临床结局如果可以用于评价治疗效果，也可作为MDDT。示例包括住院率或再手术率。</w:t>
      </w:r>
    </w:p>
    <w:p w14:paraId="46536E38">
      <w:pPr>
        <w:overflowPunct w:val="0"/>
        <w:spacing w:before="120" w:beforeLines="50" w:line="300" w:lineRule="auto"/>
        <w:rPr>
          <w:rFonts w:cs="Times New Roman"/>
          <w:sz w:val="24"/>
          <w:szCs w:val="24"/>
          <w:lang w:eastAsia="zh-CN"/>
        </w:rPr>
      </w:pPr>
      <w:r>
        <w:rPr>
          <w:rFonts w:cs="宋体"/>
          <w:sz w:val="24"/>
          <w:lang w:eastAsia="zh-CN"/>
        </w:rPr>
        <w:t>2.</w:t>
      </w:r>
      <w:r>
        <w:rPr>
          <w:rFonts w:cs="宋体"/>
          <w:sz w:val="24"/>
          <w:lang w:eastAsia="zh-CN"/>
        </w:rPr>
        <w:tab/>
      </w:r>
      <w:r>
        <w:rPr>
          <w:rFonts w:cs="宋体"/>
          <w:b/>
          <w:sz w:val="24"/>
          <w:lang w:eastAsia="zh-CN"/>
        </w:rPr>
        <w:t>生物标志物测试（BT）</w:t>
      </w:r>
      <w:r>
        <w:rPr>
          <w:rFonts w:cs="宋体"/>
          <w:sz w:val="24"/>
          <w:lang w:eastAsia="zh-CN"/>
        </w:rPr>
        <w:t>是用于检测或测量生物标志物的测试或仪器。</w:t>
      </w:r>
    </w:p>
    <w:p w14:paraId="09B82234">
      <w:pPr>
        <w:overflowPunct w:val="0"/>
        <w:spacing w:before="120" w:beforeLines="50" w:line="300" w:lineRule="auto"/>
        <w:ind w:left="420" w:leftChars="200"/>
        <w:rPr>
          <w:rFonts w:cs="Times New Roman"/>
          <w:sz w:val="24"/>
          <w:szCs w:val="24"/>
          <w:lang w:eastAsia="zh-CN"/>
        </w:rPr>
      </w:pPr>
      <w:r>
        <w:rPr>
          <w:rFonts w:cs="宋体"/>
          <w:b/>
          <w:sz w:val="24"/>
          <w:lang w:eastAsia="zh-CN"/>
        </w:rPr>
        <w:t>生物标志物</w:t>
      </w:r>
      <w:r>
        <w:rPr>
          <w:rFonts w:cs="宋体"/>
          <w:sz w:val="24"/>
          <w:lang w:eastAsia="zh-CN"/>
        </w:rPr>
        <w:t>是一种作为正常生物过程、致病过程或对治疗干预的反应的指标得到客观测量和评价的已确定特征。生物标志物的类型包括分子、组织学、放射学或生理学特征。生物标志物并非是对个体感觉、功能或生存状况的评价。</w:t>
      </w:r>
    </w:p>
    <w:p w14:paraId="7804DFC8">
      <w:pPr>
        <w:overflowPunct w:val="0"/>
        <w:spacing w:before="120" w:beforeLines="50" w:line="300" w:lineRule="auto"/>
        <w:ind w:left="420" w:leftChars="200"/>
        <w:rPr>
          <w:rFonts w:cs="Times New Roman"/>
          <w:sz w:val="24"/>
          <w:szCs w:val="24"/>
          <w:lang w:eastAsia="zh-CN"/>
        </w:rPr>
      </w:pPr>
      <w:r>
        <w:rPr>
          <w:rFonts w:cs="宋体"/>
          <w:sz w:val="24"/>
          <w:lang w:eastAsia="zh-CN"/>
        </w:rPr>
        <w:t>生物标志物的类别包括：</w:t>
      </w:r>
    </w:p>
    <w:p w14:paraId="6E09F304">
      <w:pPr>
        <w:pStyle w:val="23"/>
        <w:numPr>
          <w:ilvl w:val="0"/>
          <w:numId w:val="7"/>
        </w:numPr>
        <w:overflowPunct w:val="0"/>
        <w:spacing w:before="120" w:beforeLines="50" w:line="300" w:lineRule="auto"/>
        <w:ind w:left="840" w:leftChars="400" w:firstLineChars="0"/>
        <w:rPr>
          <w:rFonts w:cs="Times New Roman"/>
          <w:sz w:val="24"/>
          <w:szCs w:val="24"/>
          <w:lang w:eastAsia="zh-CN"/>
        </w:rPr>
      </w:pPr>
      <w:r>
        <w:rPr>
          <w:rFonts w:cs="宋体"/>
          <w:sz w:val="24"/>
          <w:lang w:eastAsia="zh-CN"/>
        </w:rPr>
        <w:t>易感性/风险生物标志物；</w:t>
      </w:r>
      <w:r>
        <w:rPr>
          <w:rFonts w:cs="宋体"/>
          <w:sz w:val="24"/>
          <w:vertAlign w:val="superscript"/>
          <w:lang w:eastAsia="zh-CN"/>
        </w:rPr>
        <w:t>8</w:t>
      </w:r>
    </w:p>
    <w:p w14:paraId="0EBCC7EF">
      <w:pPr>
        <w:pStyle w:val="23"/>
        <w:numPr>
          <w:ilvl w:val="0"/>
          <w:numId w:val="7"/>
        </w:numPr>
        <w:overflowPunct w:val="0"/>
        <w:spacing w:before="120" w:beforeLines="50" w:line="300" w:lineRule="auto"/>
        <w:ind w:left="840" w:leftChars="400" w:firstLineChars="0"/>
        <w:rPr>
          <w:rFonts w:cs="Times New Roman"/>
          <w:sz w:val="24"/>
          <w:szCs w:val="24"/>
          <w:lang w:eastAsia="zh-CN"/>
        </w:rPr>
      </w:pPr>
      <w:r>
        <w:rPr>
          <w:rFonts w:cs="宋体"/>
          <w:sz w:val="24"/>
          <w:lang w:eastAsia="zh-CN"/>
        </w:rPr>
        <w:t>诊断性生物标志物；</w:t>
      </w:r>
      <w:r>
        <w:rPr>
          <w:rFonts w:cs="宋体"/>
          <w:sz w:val="24"/>
          <w:vertAlign w:val="superscript"/>
          <w:lang w:eastAsia="zh-CN"/>
        </w:rPr>
        <w:t>9</w:t>
      </w:r>
    </w:p>
    <w:p w14:paraId="7B4EC974">
      <w:pPr>
        <w:pStyle w:val="23"/>
        <w:numPr>
          <w:ilvl w:val="0"/>
          <w:numId w:val="7"/>
        </w:numPr>
        <w:overflowPunct w:val="0"/>
        <w:spacing w:before="120" w:beforeLines="50" w:line="300" w:lineRule="auto"/>
        <w:ind w:left="840" w:leftChars="400" w:firstLineChars="0"/>
        <w:rPr>
          <w:rFonts w:cs="Times New Roman"/>
          <w:sz w:val="24"/>
          <w:szCs w:val="24"/>
          <w:lang w:eastAsia="zh-CN"/>
        </w:rPr>
      </w:pPr>
      <w:r>
        <w:rPr>
          <w:rFonts w:cs="宋体"/>
          <w:sz w:val="24"/>
          <w:lang w:eastAsia="zh-CN"/>
        </w:rPr>
        <w:t>监测性生物标志物；</w:t>
      </w:r>
      <w:r>
        <w:rPr>
          <w:rFonts w:cs="宋体"/>
          <w:sz w:val="24"/>
          <w:vertAlign w:val="superscript"/>
          <w:lang w:eastAsia="zh-CN"/>
        </w:rPr>
        <w:t>10</w:t>
      </w:r>
    </w:p>
    <w:p w14:paraId="189358BC">
      <w:pPr>
        <w:pStyle w:val="23"/>
        <w:numPr>
          <w:ilvl w:val="0"/>
          <w:numId w:val="7"/>
        </w:numPr>
        <w:overflowPunct w:val="0"/>
        <w:spacing w:before="120" w:beforeLines="50" w:line="300" w:lineRule="auto"/>
        <w:ind w:left="840" w:leftChars="400" w:firstLineChars="0"/>
        <w:rPr>
          <w:rFonts w:cs="Times New Roman"/>
          <w:sz w:val="24"/>
          <w:szCs w:val="24"/>
          <w:lang w:eastAsia="zh-CN"/>
        </w:rPr>
      </w:pPr>
      <w:r>
        <w:rPr>
          <w:rFonts w:cs="宋体"/>
          <w:sz w:val="24"/>
          <w:lang w:eastAsia="zh-CN"/>
        </w:rPr>
        <w:t>预后性生物标志物；</w:t>
      </w:r>
      <w:r>
        <w:rPr>
          <w:rFonts w:cs="宋体"/>
          <w:sz w:val="24"/>
          <w:vertAlign w:val="superscript"/>
          <w:lang w:eastAsia="zh-CN"/>
        </w:rPr>
        <w:t>11</w:t>
      </w:r>
    </w:p>
    <w:p w14:paraId="67BFE5DB">
      <w:pPr>
        <w:pStyle w:val="23"/>
        <w:numPr>
          <w:ilvl w:val="0"/>
          <w:numId w:val="7"/>
        </w:numPr>
        <w:overflowPunct w:val="0"/>
        <w:spacing w:before="120" w:beforeLines="50" w:line="300" w:lineRule="auto"/>
        <w:ind w:left="840" w:leftChars="400" w:firstLineChars="0"/>
        <w:rPr>
          <w:rFonts w:cs="Times New Roman"/>
          <w:sz w:val="24"/>
          <w:szCs w:val="24"/>
          <w:lang w:eastAsia="zh-CN"/>
        </w:rPr>
      </w:pPr>
      <w:r>
        <w:rPr>
          <w:rFonts w:cs="宋体"/>
          <w:sz w:val="24"/>
          <w:lang w:eastAsia="zh-CN"/>
        </w:rPr>
        <w:t>预测性生物标志物；</w:t>
      </w:r>
      <w:r>
        <w:rPr>
          <w:rFonts w:cs="宋体"/>
          <w:sz w:val="24"/>
          <w:vertAlign w:val="superscript"/>
          <w:lang w:eastAsia="zh-CN"/>
        </w:rPr>
        <w:t>12</w:t>
      </w:r>
    </w:p>
    <w:p w14:paraId="47E2004A">
      <w:pPr>
        <w:pStyle w:val="23"/>
        <w:numPr>
          <w:ilvl w:val="0"/>
          <w:numId w:val="7"/>
        </w:numPr>
        <w:overflowPunct w:val="0"/>
        <w:spacing w:before="120" w:beforeLines="50" w:line="300" w:lineRule="auto"/>
        <w:ind w:left="840" w:leftChars="400" w:firstLineChars="0"/>
        <w:rPr>
          <w:rFonts w:cs="Times New Roman"/>
          <w:sz w:val="24"/>
          <w:szCs w:val="24"/>
          <w:lang w:eastAsia="zh-CN"/>
        </w:rPr>
      </w:pPr>
      <w:r>
        <w:rPr>
          <w:rFonts w:cs="宋体"/>
          <w:sz w:val="24"/>
          <w:lang w:eastAsia="zh-CN"/>
        </w:rPr>
        <w:t>药效学/反应性生物标志物；</w:t>
      </w:r>
      <w:r>
        <w:rPr>
          <w:rFonts w:cs="宋体"/>
          <w:sz w:val="24"/>
          <w:vertAlign w:val="superscript"/>
          <w:lang w:eastAsia="zh-CN"/>
        </w:rPr>
        <w:t>13</w:t>
      </w:r>
      <w:r>
        <w:rPr>
          <w:rFonts w:cs="宋体"/>
          <w:sz w:val="24"/>
          <w:lang w:eastAsia="zh-CN"/>
        </w:rPr>
        <w:t>以及</w:t>
      </w:r>
    </w:p>
    <w:p w14:paraId="4431E8C8">
      <w:pPr>
        <w:pStyle w:val="23"/>
        <w:numPr>
          <w:ilvl w:val="0"/>
          <w:numId w:val="7"/>
        </w:numPr>
        <w:overflowPunct w:val="0"/>
        <w:spacing w:before="120" w:beforeLines="50" w:line="300" w:lineRule="auto"/>
        <w:ind w:left="840" w:leftChars="400" w:firstLineChars="0"/>
        <w:rPr>
          <w:rFonts w:cs="Times New Roman"/>
          <w:sz w:val="24"/>
          <w:szCs w:val="24"/>
          <w:lang w:eastAsia="zh-CN"/>
        </w:rPr>
      </w:pPr>
      <w:r>
        <w:rPr>
          <w:rFonts w:cs="宋体"/>
          <w:sz w:val="24"/>
          <w:lang w:eastAsia="zh-CN"/>
        </w:rPr>
        <w:t>安全性生物标志物。</w:t>
      </w:r>
      <w:r>
        <w:rPr>
          <w:rFonts w:cs="宋体"/>
          <w:sz w:val="24"/>
          <w:vertAlign w:val="superscript"/>
          <w:lang w:eastAsia="zh-CN"/>
        </w:rPr>
        <w:t>14</w:t>
      </w:r>
    </w:p>
    <w:p w14:paraId="49BC0896">
      <w:pPr>
        <w:pStyle w:val="21"/>
        <w:overflowPunct w:val="0"/>
        <w:rPr>
          <w:lang w:eastAsia="zh-CN"/>
        </w:rPr>
      </w:pPr>
      <w:r>
        <w:rPr>
          <w:rFonts w:cs="宋体"/>
        </w:rPr>
        <w:t>_______________________</w:t>
      </w:r>
    </w:p>
    <w:p w14:paraId="4DA24AB8">
      <w:pPr>
        <w:pStyle w:val="21"/>
        <w:overflowPunct w:val="0"/>
      </w:pPr>
      <w:r>
        <w:rPr>
          <w:vertAlign w:val="superscript"/>
        </w:rPr>
        <w:t xml:space="preserve">8 </w:t>
      </w:r>
      <w:r>
        <w:t>https://www.ncbi.nlm.nih.gov/books/NBK338448/def-item/susceptibility-risk-biomarker/</w:t>
      </w:r>
    </w:p>
    <w:p w14:paraId="661941B8">
      <w:pPr>
        <w:pStyle w:val="21"/>
        <w:overflowPunct w:val="0"/>
      </w:pPr>
      <w:r>
        <w:rPr>
          <w:vertAlign w:val="superscript"/>
        </w:rPr>
        <w:t xml:space="preserve">9 </w:t>
      </w:r>
      <w:r>
        <w:t>https://www.ncbi.nlm.nih.gov/books/NBK338448/def-item/diagnostic-biomarker/</w:t>
      </w:r>
    </w:p>
    <w:p w14:paraId="71FB179E">
      <w:pPr>
        <w:pStyle w:val="21"/>
        <w:overflowPunct w:val="0"/>
      </w:pPr>
      <w:bookmarkStart w:id="6" w:name="_bookmark15"/>
      <w:bookmarkEnd w:id="6"/>
      <w:r>
        <w:rPr>
          <w:vertAlign w:val="superscript"/>
        </w:rPr>
        <w:t xml:space="preserve">10 </w:t>
      </w:r>
      <w:r>
        <w:t>https://www.ncbi.nlm.nih.gov/books/NBK338448/def-item/monitoring-biomarker/</w:t>
      </w:r>
    </w:p>
    <w:p w14:paraId="48C5F831">
      <w:pPr>
        <w:pStyle w:val="21"/>
        <w:overflowPunct w:val="0"/>
      </w:pPr>
      <w:bookmarkStart w:id="7" w:name="_bookmark16"/>
      <w:bookmarkEnd w:id="7"/>
      <w:r>
        <w:rPr>
          <w:vertAlign w:val="superscript"/>
        </w:rPr>
        <w:t xml:space="preserve">11 </w:t>
      </w:r>
      <w:r>
        <w:t>https://www.ncbi.nlm.nih.gov/books/NBK338448/def-item/prognostic-biomarker/</w:t>
      </w:r>
    </w:p>
    <w:p w14:paraId="6DCF49F0">
      <w:pPr>
        <w:pStyle w:val="21"/>
        <w:overflowPunct w:val="0"/>
      </w:pPr>
      <w:bookmarkStart w:id="8" w:name="_bookmark17"/>
      <w:bookmarkEnd w:id="8"/>
      <w:r>
        <w:rPr>
          <w:vertAlign w:val="superscript"/>
        </w:rPr>
        <w:t xml:space="preserve">12 </w:t>
      </w:r>
      <w:r>
        <w:t>https://www.ncbi.nlm.nih.gov/books/NBK338448/def-item/predictive-biomarker/</w:t>
      </w:r>
    </w:p>
    <w:p w14:paraId="445469BC">
      <w:pPr>
        <w:pStyle w:val="21"/>
        <w:overflowPunct w:val="0"/>
      </w:pPr>
      <w:bookmarkStart w:id="9" w:name="_bookmark18"/>
      <w:bookmarkEnd w:id="9"/>
      <w:r>
        <w:rPr>
          <w:vertAlign w:val="superscript"/>
        </w:rPr>
        <w:t xml:space="preserve">13 </w:t>
      </w:r>
      <w:r>
        <w:t>https://www.ncbi.nlm.nih.gov/books/NBK338448/def-item/pharmacodynamic-response-biomarker/</w:t>
      </w:r>
    </w:p>
    <w:p w14:paraId="75691A59">
      <w:pPr>
        <w:pStyle w:val="21"/>
        <w:overflowPunct w:val="0"/>
        <w:rPr>
          <w:sz w:val="24"/>
          <w:szCs w:val="24"/>
        </w:rPr>
      </w:pPr>
      <w:bookmarkStart w:id="10" w:name="_bookmark19"/>
      <w:bookmarkEnd w:id="10"/>
      <w:r>
        <w:rPr>
          <w:vertAlign w:val="superscript"/>
        </w:rPr>
        <w:t xml:space="preserve">14 </w:t>
      </w:r>
      <w:r>
        <w:t>https://www.ncbi.nlm.nih.gov/books/NBK338448/def-item/safety-biomarker/</w:t>
      </w:r>
      <w:r>
        <w:rPr>
          <w:sz w:val="24"/>
          <w:szCs w:val="24"/>
        </w:rPr>
        <w:br w:type="page"/>
      </w:r>
    </w:p>
    <w:p w14:paraId="5C24CC5B">
      <w:pPr>
        <w:overflowPunct w:val="0"/>
        <w:spacing w:before="120" w:beforeLines="50" w:line="300" w:lineRule="auto"/>
        <w:ind w:left="420" w:leftChars="200"/>
        <w:rPr>
          <w:rFonts w:cs="Times New Roman"/>
          <w:sz w:val="24"/>
          <w:szCs w:val="24"/>
          <w:lang w:eastAsia="zh-CN"/>
        </w:rPr>
      </w:pPr>
      <w:r>
        <w:rPr>
          <w:rFonts w:cs="宋体"/>
          <w:sz w:val="24"/>
          <w:lang w:eastAsia="zh-CN"/>
        </w:rPr>
        <w:t>BT示例包括测量血压的仪器或方法（如血压测量法）和测量某些血清蛋白浓度的仪器或方法。</w:t>
      </w:r>
    </w:p>
    <w:p w14:paraId="0AC09B00">
      <w:pPr>
        <w:overflowPunct w:val="0"/>
        <w:spacing w:before="120" w:beforeLines="50" w:line="300" w:lineRule="auto"/>
        <w:ind w:left="420" w:leftChars="200"/>
        <w:rPr>
          <w:rFonts w:cs="Times New Roman"/>
          <w:sz w:val="24"/>
          <w:szCs w:val="24"/>
          <w:lang w:eastAsia="zh-CN"/>
        </w:rPr>
      </w:pPr>
      <w:r>
        <w:rPr>
          <w:rFonts w:cs="宋体"/>
          <w:sz w:val="24"/>
          <w:lang w:eastAsia="zh-CN"/>
        </w:rPr>
        <w:t>如果来自医学成像的MDDT特征（如肿瘤直径）经过客观测量，CDRH还预期将该MDDT视为BT。</w:t>
      </w:r>
    </w:p>
    <w:p w14:paraId="1A06FD9C">
      <w:pPr>
        <w:overflowPunct w:val="0"/>
        <w:spacing w:before="120" w:beforeLines="50" w:line="300" w:lineRule="auto"/>
        <w:ind w:left="420" w:leftChars="200"/>
        <w:rPr>
          <w:rFonts w:cs="Times New Roman"/>
          <w:sz w:val="24"/>
          <w:szCs w:val="24"/>
          <w:lang w:eastAsia="zh-CN"/>
        </w:rPr>
      </w:pPr>
      <w:r>
        <w:rPr>
          <w:rFonts w:cs="宋体"/>
          <w:sz w:val="24"/>
          <w:lang w:eastAsia="zh-CN"/>
        </w:rPr>
        <w:t>生物标志物的可靠测量可通过对器械性能进行定量预测以帮助减少器械开发和评价的不确定性。用于在治疗前测量患者生物标志物的BT可以用于选择患者以纳入临床试验中。用于检测治疗后生物标志物变化的BT可以预测或确定与治疗器械有关的安全性问题，或揭示对干预措施的反应，以预测治疗的临床获益。</w:t>
      </w:r>
    </w:p>
    <w:p w14:paraId="193BFC67">
      <w:pPr>
        <w:overflowPunct w:val="0"/>
        <w:spacing w:before="120" w:beforeLines="50" w:line="300" w:lineRule="auto"/>
        <w:ind w:left="420" w:leftChars="200"/>
        <w:rPr>
          <w:rFonts w:cs="Times New Roman"/>
          <w:sz w:val="24"/>
          <w:szCs w:val="24"/>
          <w:lang w:eastAsia="zh-CN"/>
        </w:rPr>
      </w:pPr>
      <w:r>
        <w:rPr>
          <w:rFonts w:cs="宋体"/>
          <w:b/>
          <w:sz w:val="24"/>
          <w:lang w:eastAsia="zh-CN"/>
        </w:rPr>
        <w:t>非临床评价模型（NAM）</w:t>
      </w:r>
      <w:r>
        <w:rPr>
          <w:rFonts w:cs="宋体"/>
          <w:sz w:val="24"/>
          <w:lang w:eastAsia="zh-CN"/>
        </w:rPr>
        <w:t>是一种测量或预测器械功能或体内器械性能的非临床测试模型或方法。</w:t>
      </w:r>
    </w:p>
    <w:p w14:paraId="2D4EADC5">
      <w:pPr>
        <w:overflowPunct w:val="0"/>
        <w:spacing w:before="120" w:beforeLines="50" w:line="300" w:lineRule="auto"/>
        <w:ind w:left="420" w:leftChars="200"/>
        <w:rPr>
          <w:rFonts w:cs="Times New Roman"/>
          <w:sz w:val="24"/>
          <w:szCs w:val="24"/>
          <w:lang w:eastAsia="zh-CN"/>
        </w:rPr>
      </w:pPr>
      <w:r>
        <w:rPr>
          <w:rFonts w:cs="宋体"/>
          <w:sz w:val="24"/>
          <w:lang w:eastAsia="zh-CN"/>
        </w:rPr>
        <w:t>NAM可以是体外（“台架”）模型、体外模型、动物模型或计算模型，并且为了测量或预测相关参数而开发。NAM示例包括：取代动物测试的体外模型，评价成像或其他器械的组织和其他材料体模，以及基于物理、化学或生物的计算模型。</w:t>
      </w:r>
    </w:p>
    <w:p w14:paraId="3E6D3ACE">
      <w:pPr>
        <w:overflowPunct w:val="0"/>
        <w:spacing w:before="120" w:beforeLines="50" w:line="300" w:lineRule="auto"/>
        <w:ind w:left="420" w:leftChars="200"/>
        <w:rPr>
          <w:rFonts w:cs="Times New Roman"/>
          <w:sz w:val="24"/>
          <w:szCs w:val="24"/>
          <w:lang w:eastAsia="zh-CN"/>
        </w:rPr>
      </w:pPr>
      <w:r>
        <w:rPr>
          <w:rFonts w:cs="宋体"/>
          <w:sz w:val="24"/>
          <w:lang w:eastAsia="zh-CN"/>
        </w:rPr>
        <w:t>合格NAM可用于评价新材料特性、现有设计修改，或通过其他台架、动物或人体测试评价的器械特性。</w:t>
      </w:r>
    </w:p>
    <w:p w14:paraId="7F75BB50">
      <w:pPr>
        <w:pStyle w:val="2"/>
        <w:overflowPunct w:val="0"/>
        <w:rPr>
          <w:lang w:eastAsia="zh-CN"/>
        </w:rPr>
      </w:pPr>
      <w:bookmarkStart w:id="11" w:name="_Toc91244865"/>
      <w:r>
        <w:rPr>
          <w:rFonts w:cs="宋体"/>
          <w:lang w:eastAsia="zh-CN"/>
        </w:rPr>
        <w:t>IV.</w:t>
      </w:r>
      <w:r>
        <w:rPr>
          <w:rFonts w:cs="宋体"/>
          <w:lang w:eastAsia="zh-CN"/>
        </w:rPr>
        <w:tab/>
      </w:r>
      <w:r>
        <w:rPr>
          <w:rFonts w:cs="宋体"/>
          <w:lang w:eastAsia="zh-CN"/>
        </w:rPr>
        <w:t>CDRH资格认证决策框架</w:t>
      </w:r>
      <w:bookmarkEnd w:id="11"/>
    </w:p>
    <w:p w14:paraId="629FDB08">
      <w:pPr>
        <w:overflowPunct w:val="0"/>
        <w:spacing w:before="120" w:beforeLines="50" w:line="300" w:lineRule="auto"/>
        <w:rPr>
          <w:rFonts w:cs="Times New Roman"/>
          <w:sz w:val="24"/>
          <w:szCs w:val="24"/>
          <w:lang w:eastAsia="zh-CN"/>
        </w:rPr>
      </w:pPr>
      <w:r>
        <w:rPr>
          <w:rFonts w:cs="宋体"/>
          <w:sz w:val="24"/>
          <w:lang w:eastAsia="zh-CN"/>
        </w:rPr>
        <w:t>在决定是否对拟定MDDT进行资格认证时，CDRH将考虑以下因素：</w:t>
      </w:r>
    </w:p>
    <w:p w14:paraId="29A29C32">
      <w:pPr>
        <w:pStyle w:val="23"/>
        <w:numPr>
          <w:ilvl w:val="0"/>
          <w:numId w:val="8"/>
        </w:numPr>
        <w:overflowPunct w:val="0"/>
        <w:spacing w:before="120" w:beforeLines="50" w:line="300" w:lineRule="auto"/>
        <w:ind w:left="420" w:leftChars="200" w:firstLineChars="0"/>
        <w:rPr>
          <w:rFonts w:cs="Times New Roman"/>
          <w:sz w:val="24"/>
          <w:szCs w:val="24"/>
        </w:rPr>
      </w:pPr>
      <w:r>
        <w:rPr>
          <w:rFonts w:cs="宋体"/>
          <w:i/>
          <w:sz w:val="24"/>
        </w:rPr>
        <w:t>MDDT描述</w:t>
      </w:r>
      <w:r>
        <w:rPr>
          <w:rFonts w:cs="宋体"/>
          <w:sz w:val="24"/>
        </w:rPr>
        <w:t>。是否充分描述MDDT？</w:t>
      </w:r>
    </w:p>
    <w:p w14:paraId="5E4EFF48">
      <w:pPr>
        <w:pStyle w:val="23"/>
        <w:numPr>
          <w:ilvl w:val="0"/>
          <w:numId w:val="8"/>
        </w:numPr>
        <w:overflowPunct w:val="0"/>
        <w:spacing w:before="120" w:beforeLines="50" w:line="300" w:lineRule="auto"/>
        <w:ind w:left="420" w:leftChars="200" w:firstLineChars="0"/>
        <w:rPr>
          <w:rFonts w:cs="Times New Roman"/>
          <w:sz w:val="24"/>
          <w:szCs w:val="24"/>
          <w:lang w:eastAsia="zh-CN"/>
        </w:rPr>
      </w:pPr>
      <w:r>
        <w:rPr>
          <w:rFonts w:cs="宋体"/>
          <w:i/>
          <w:sz w:val="24"/>
          <w:lang w:eastAsia="zh-CN"/>
        </w:rPr>
        <w:t>使用情景</w:t>
      </w:r>
      <w:r>
        <w:rPr>
          <w:rFonts w:cs="宋体"/>
          <w:sz w:val="24"/>
          <w:lang w:eastAsia="zh-CN"/>
        </w:rPr>
        <w:t>。是否充分和适当地确定拟定使用情景？</w:t>
      </w:r>
    </w:p>
    <w:p w14:paraId="17A4542F">
      <w:pPr>
        <w:pStyle w:val="23"/>
        <w:numPr>
          <w:ilvl w:val="0"/>
          <w:numId w:val="8"/>
        </w:numPr>
        <w:overflowPunct w:val="0"/>
        <w:spacing w:before="120" w:beforeLines="50" w:line="300" w:lineRule="auto"/>
        <w:ind w:left="420" w:leftChars="200" w:firstLineChars="0"/>
        <w:rPr>
          <w:rFonts w:cs="Times New Roman"/>
          <w:sz w:val="24"/>
          <w:szCs w:val="24"/>
          <w:lang w:eastAsia="zh-CN"/>
        </w:rPr>
      </w:pPr>
      <w:r>
        <w:rPr>
          <w:rFonts w:cs="宋体"/>
          <w:i/>
          <w:sz w:val="24"/>
          <w:lang w:eastAsia="zh-CN"/>
        </w:rPr>
        <w:t>公共健康影响</w:t>
      </w:r>
      <w:r>
        <w:rPr>
          <w:rFonts w:cs="宋体"/>
          <w:sz w:val="24"/>
          <w:lang w:eastAsia="zh-CN"/>
        </w:rPr>
        <w:t>。该工具的范围和使用是否会产生广泛的公共健康影响？</w:t>
      </w:r>
    </w:p>
    <w:p w14:paraId="163E5F8D">
      <w:pPr>
        <w:pStyle w:val="23"/>
        <w:numPr>
          <w:ilvl w:val="0"/>
          <w:numId w:val="8"/>
        </w:numPr>
        <w:overflowPunct w:val="0"/>
        <w:spacing w:before="120" w:beforeLines="50" w:line="300" w:lineRule="auto"/>
        <w:ind w:left="420" w:leftChars="200" w:firstLineChars="0"/>
        <w:rPr>
          <w:rFonts w:cs="Times New Roman"/>
          <w:sz w:val="24"/>
          <w:szCs w:val="24"/>
          <w:lang w:eastAsia="zh-CN"/>
        </w:rPr>
      </w:pPr>
      <w:r>
        <w:rPr>
          <w:rFonts w:cs="宋体"/>
          <w:i/>
          <w:sz w:val="24"/>
          <w:lang w:eastAsia="zh-CN"/>
        </w:rPr>
        <w:t>证据强度</w:t>
      </w:r>
      <w:r>
        <w:rPr>
          <w:rFonts w:cs="宋体"/>
          <w:sz w:val="24"/>
          <w:lang w:eastAsia="zh-CN"/>
        </w:rPr>
        <w:t>。现有科学证据是否证明MDDT可靠而准确地测量了预期内容，在科学上可信并合理地预测了相关结局？</w:t>
      </w:r>
    </w:p>
    <w:p w14:paraId="71E45AD8">
      <w:pPr>
        <w:pStyle w:val="23"/>
        <w:numPr>
          <w:ilvl w:val="0"/>
          <w:numId w:val="8"/>
        </w:numPr>
        <w:overflowPunct w:val="0"/>
        <w:spacing w:before="120" w:beforeLines="50" w:line="300" w:lineRule="auto"/>
        <w:ind w:left="420" w:leftChars="200" w:firstLineChars="0"/>
        <w:rPr>
          <w:rFonts w:cs="Times New Roman"/>
          <w:sz w:val="24"/>
          <w:szCs w:val="24"/>
          <w:lang w:eastAsia="zh-CN"/>
        </w:rPr>
      </w:pPr>
      <w:r>
        <w:rPr>
          <w:rFonts w:cs="宋体"/>
          <w:i/>
          <w:sz w:val="24"/>
          <w:lang w:eastAsia="zh-CN"/>
        </w:rPr>
        <w:t>优势和劣势评估</w:t>
      </w:r>
      <w:r>
        <w:rPr>
          <w:rFonts w:cs="宋体"/>
          <w:sz w:val="24"/>
          <w:lang w:eastAsia="zh-CN"/>
        </w:rPr>
        <w:t>。在指定使用情景内，考虑到现有证据强度，根据使用MDDT获得的测量结果进行决策，其优势是否大于潜在劣势？尤其重要的是监管、公共健康和/或临床影响。</w:t>
      </w:r>
      <w:r>
        <w:rPr>
          <w:rFonts w:cs="宋体"/>
          <w:sz w:val="24"/>
          <w:lang w:eastAsia="zh-CN"/>
        </w:rPr>
        <w:br w:type="page"/>
      </w:r>
    </w:p>
    <w:p w14:paraId="607DFA44">
      <w:pPr>
        <w:pStyle w:val="3"/>
        <w:overflowPunct w:val="0"/>
        <w:rPr>
          <w:lang w:eastAsia="zh-CN"/>
        </w:rPr>
      </w:pPr>
      <w:bookmarkStart w:id="12" w:name="_Toc91244866"/>
      <w:r>
        <w:rPr>
          <w:rFonts w:cs="宋体"/>
          <w:lang w:eastAsia="zh-CN"/>
        </w:rPr>
        <w:t>A.</w:t>
      </w:r>
      <w:r>
        <w:rPr>
          <w:rFonts w:cs="宋体"/>
          <w:lang w:eastAsia="zh-CN"/>
        </w:rPr>
        <w:tab/>
      </w:r>
      <w:r>
        <w:rPr>
          <w:rFonts w:cs="宋体"/>
          <w:lang w:eastAsia="zh-CN"/>
        </w:rPr>
        <w:t>合格使用情景</w:t>
      </w:r>
      <w:bookmarkEnd w:id="12"/>
    </w:p>
    <w:p w14:paraId="5BF6EED3">
      <w:pPr>
        <w:overflowPunct w:val="0"/>
        <w:spacing w:before="120" w:beforeLines="50" w:line="300" w:lineRule="auto"/>
        <w:rPr>
          <w:rFonts w:cs="Times New Roman"/>
          <w:sz w:val="24"/>
          <w:szCs w:val="24"/>
          <w:lang w:eastAsia="zh-CN"/>
        </w:rPr>
      </w:pPr>
      <w:r>
        <w:rPr>
          <w:rFonts w:cs="宋体"/>
          <w:sz w:val="24"/>
          <w:lang w:eastAsia="zh-CN"/>
        </w:rPr>
        <w:t>使用情景（COU）是资格认证的一个关键方面。使用情景描述了MDDT的使用方式、MDDT的目的以及MDDT合格的条件。一旦MDDT合格，使用情景可确定可用数据充分支持使用MDDT的界限。</w:t>
      </w:r>
    </w:p>
    <w:p w14:paraId="2B34F29D">
      <w:pPr>
        <w:overflowPunct w:val="0"/>
        <w:spacing w:before="120" w:beforeLines="50" w:line="300" w:lineRule="auto"/>
        <w:rPr>
          <w:rFonts w:cs="Times New Roman"/>
          <w:sz w:val="24"/>
          <w:szCs w:val="24"/>
          <w:lang w:eastAsia="zh-CN"/>
        </w:rPr>
      </w:pPr>
      <w:r>
        <w:rPr>
          <w:rFonts w:cs="宋体"/>
          <w:sz w:val="24"/>
          <w:lang w:eastAsia="zh-CN"/>
        </w:rPr>
        <w:t>COU应描述MDDT在器械开发中的具体作用。完整COU应包括：</w:t>
      </w:r>
    </w:p>
    <w:p w14:paraId="294C4256">
      <w:pPr>
        <w:overflowPunct w:val="0"/>
        <w:spacing w:before="120" w:beforeLines="50" w:line="300" w:lineRule="auto"/>
        <w:ind w:left="900" w:leftChars="200" w:hanging="480" w:hangingChars="200"/>
        <w:rPr>
          <w:rFonts w:cs="Times New Roman"/>
          <w:sz w:val="24"/>
          <w:szCs w:val="24"/>
          <w:lang w:eastAsia="zh-CN"/>
        </w:rPr>
      </w:pPr>
      <w:r>
        <w:rPr>
          <w:rFonts w:cs="宋体"/>
          <w:sz w:val="24"/>
          <w:lang w:eastAsia="zh-CN"/>
        </w:rPr>
        <w:t>1)</w:t>
      </w:r>
      <w:r>
        <w:rPr>
          <w:rFonts w:cs="宋体"/>
          <w:sz w:val="24"/>
          <w:lang w:eastAsia="zh-CN"/>
        </w:rPr>
        <w:tab/>
      </w:r>
      <w:r>
        <w:rPr>
          <w:rFonts w:cs="宋体"/>
          <w:sz w:val="24"/>
          <w:lang w:eastAsia="zh-CN"/>
        </w:rPr>
        <w:t>拟议资格认证MDDT的工具或产品领域；</w:t>
      </w:r>
    </w:p>
    <w:p w14:paraId="6D9993CA">
      <w:pPr>
        <w:overflowPunct w:val="0"/>
        <w:spacing w:before="120" w:beforeLines="50" w:line="300" w:lineRule="auto"/>
        <w:ind w:left="900" w:leftChars="200" w:hanging="480" w:hangingChars="200"/>
        <w:rPr>
          <w:rFonts w:cs="Times New Roman"/>
          <w:sz w:val="24"/>
          <w:szCs w:val="24"/>
          <w:lang w:eastAsia="zh-CN"/>
        </w:rPr>
      </w:pPr>
      <w:r>
        <w:rPr>
          <w:rFonts w:cs="宋体"/>
          <w:sz w:val="24"/>
          <w:lang w:eastAsia="zh-CN"/>
        </w:rPr>
        <w:t>2)</w:t>
      </w:r>
      <w:r>
        <w:rPr>
          <w:rFonts w:cs="宋体"/>
          <w:sz w:val="24"/>
          <w:lang w:eastAsia="zh-CN"/>
        </w:rPr>
        <w:tab/>
      </w:r>
      <w:r>
        <w:rPr>
          <w:rFonts w:cs="宋体"/>
          <w:sz w:val="24"/>
          <w:lang w:eastAsia="zh-CN"/>
        </w:rPr>
        <w:t>MDDT的特定输出/测量；</w:t>
      </w:r>
    </w:p>
    <w:p w14:paraId="37C78F37">
      <w:pPr>
        <w:overflowPunct w:val="0"/>
        <w:spacing w:before="120" w:beforeLines="50" w:line="300" w:lineRule="auto"/>
        <w:ind w:left="900" w:leftChars="200" w:hanging="480" w:hangingChars="200"/>
        <w:rPr>
          <w:rFonts w:cs="Times New Roman"/>
          <w:sz w:val="24"/>
          <w:szCs w:val="24"/>
          <w:lang w:eastAsia="zh-CN"/>
        </w:rPr>
      </w:pPr>
      <w:r>
        <w:rPr>
          <w:rFonts w:cs="宋体"/>
          <w:sz w:val="24"/>
          <w:lang w:eastAsia="zh-CN"/>
        </w:rPr>
        <w:t>3)</w:t>
      </w:r>
      <w:r>
        <w:rPr>
          <w:rFonts w:cs="宋体"/>
          <w:sz w:val="24"/>
          <w:lang w:eastAsia="zh-CN"/>
        </w:rPr>
        <w:tab/>
      </w:r>
      <w:r>
        <w:rPr>
          <w:rFonts w:cs="宋体"/>
          <w:sz w:val="24"/>
          <w:lang w:eastAsia="zh-CN"/>
        </w:rPr>
        <w:t>MDDT在监管评价中的作用（例如在临床研究中使用，这包括研究群体或疾病特征，以及具体用途 – 诊断、患者选择、研究终点）；以及</w:t>
      </w:r>
    </w:p>
    <w:p w14:paraId="7DCDFAEE">
      <w:pPr>
        <w:overflowPunct w:val="0"/>
        <w:spacing w:before="120" w:beforeLines="50" w:line="300" w:lineRule="auto"/>
        <w:ind w:left="900" w:leftChars="200" w:hanging="480" w:hangingChars="200"/>
        <w:rPr>
          <w:rFonts w:cs="Times New Roman"/>
          <w:sz w:val="24"/>
          <w:szCs w:val="24"/>
          <w:lang w:eastAsia="zh-CN"/>
        </w:rPr>
      </w:pPr>
      <w:r>
        <w:rPr>
          <w:rFonts w:cs="宋体"/>
          <w:sz w:val="24"/>
          <w:lang w:eastAsia="zh-CN"/>
        </w:rPr>
        <w:t>4)</w:t>
      </w:r>
      <w:r>
        <w:rPr>
          <w:rFonts w:cs="宋体"/>
          <w:sz w:val="24"/>
          <w:lang w:eastAsia="zh-CN"/>
        </w:rPr>
        <w:tab/>
      </w:r>
      <w:r>
        <w:rPr>
          <w:rFonts w:cs="宋体"/>
          <w:sz w:val="24"/>
          <w:lang w:eastAsia="zh-CN"/>
        </w:rPr>
        <w:t>可以使用工具测量的医疗器械开发阶段（例如设计评价、动物测试、早期临床研究、支持市场应用的关键临床研究、上市后研究或变更等）。</w:t>
      </w:r>
    </w:p>
    <w:p w14:paraId="62208760">
      <w:pPr>
        <w:overflowPunct w:val="0"/>
        <w:spacing w:before="120" w:beforeLines="50" w:line="300" w:lineRule="auto"/>
        <w:rPr>
          <w:rFonts w:cs="Times New Roman"/>
          <w:sz w:val="24"/>
          <w:szCs w:val="24"/>
          <w:lang w:eastAsia="zh-CN"/>
        </w:rPr>
      </w:pPr>
      <w:r>
        <w:rPr>
          <w:rFonts w:cs="宋体"/>
          <w:sz w:val="24"/>
          <w:lang w:eastAsia="zh-CN"/>
        </w:rPr>
        <w:t>COU确定了可用证据充分支持使用MDDT的界限。支持资格认证所需的证据数量和强度主要取决于确定的COU。COU应描述MDDT合格的所有标准。合格使用情景可以包括对预测范围的任何限制。</w:t>
      </w:r>
    </w:p>
    <w:p w14:paraId="14F66517">
      <w:pPr>
        <w:overflowPunct w:val="0"/>
        <w:spacing w:before="120" w:beforeLines="50" w:line="300" w:lineRule="auto"/>
        <w:rPr>
          <w:rFonts w:cs="Times New Roman"/>
          <w:sz w:val="24"/>
          <w:szCs w:val="24"/>
          <w:lang w:eastAsia="zh-CN"/>
        </w:rPr>
      </w:pPr>
      <w:r>
        <w:rPr>
          <w:rFonts w:cs="宋体"/>
          <w:sz w:val="24"/>
          <w:lang w:eastAsia="zh-CN"/>
        </w:rPr>
        <w:t>一旦MDDT合格，COU可以根据新数据或不断变化的科学来修改或扩展。工具开发者如果希望FDA考虑变更合格MDDT的COU，应提交新MDDT资格认证包。由于COU对于MDDT的适当使用至关重要，本局建议当工具开发者向其他器械开发者提供其MDDT时，应主要发送COU。</w:t>
      </w:r>
    </w:p>
    <w:p w14:paraId="4B90D675">
      <w:pPr>
        <w:pStyle w:val="3"/>
        <w:overflowPunct w:val="0"/>
        <w:rPr>
          <w:lang w:eastAsia="zh-CN"/>
        </w:rPr>
      </w:pPr>
      <w:bookmarkStart w:id="13" w:name="_Toc91244867"/>
      <w:r>
        <w:rPr>
          <w:rFonts w:cs="宋体"/>
          <w:lang w:eastAsia="zh-CN"/>
        </w:rPr>
        <w:t>B.</w:t>
      </w:r>
      <w:r>
        <w:rPr>
          <w:rFonts w:cs="宋体"/>
          <w:lang w:eastAsia="zh-CN"/>
        </w:rPr>
        <w:tab/>
      </w:r>
      <w:r>
        <w:rPr>
          <w:rFonts w:cs="宋体"/>
          <w:lang w:eastAsia="zh-CN"/>
        </w:rPr>
        <w:t>支持资格认证的证据</w:t>
      </w:r>
      <w:bookmarkEnd w:id="13"/>
    </w:p>
    <w:p w14:paraId="0E801BB3">
      <w:pPr>
        <w:overflowPunct w:val="0"/>
        <w:spacing w:before="120" w:beforeLines="50" w:line="300" w:lineRule="auto"/>
        <w:rPr>
          <w:rFonts w:cs="Times New Roman"/>
          <w:sz w:val="24"/>
          <w:szCs w:val="24"/>
          <w:lang w:eastAsia="zh-CN"/>
        </w:rPr>
      </w:pPr>
      <w:r>
        <w:rPr>
          <w:rFonts w:cs="宋体"/>
          <w:sz w:val="24"/>
          <w:lang w:eastAsia="zh-CN"/>
        </w:rPr>
        <w:t>支持MDDT资格认证所需的证据数量和强度将根据COU和工具类型而有所不同。例如，建议用作临床研究中测量不良事件的一个组成部分的MDDT可能比建议用于测量新型高风险器械关键研究中的主要终点的生物标志物测试工具需要的数据少。由于接受不准确MDDT用于该COU的潜在劣势，后者可能需要更多证据来证明其有效性。</w:t>
      </w:r>
    </w:p>
    <w:p w14:paraId="63B369A8">
      <w:pPr>
        <w:overflowPunct w:val="0"/>
        <w:spacing w:before="120" w:beforeLines="50" w:line="300" w:lineRule="auto"/>
        <w:rPr>
          <w:rFonts w:cs="Times New Roman"/>
          <w:sz w:val="24"/>
          <w:szCs w:val="24"/>
          <w:lang w:eastAsia="zh-CN"/>
        </w:rPr>
      </w:pPr>
      <w:r>
        <w:rPr>
          <w:rFonts w:cs="宋体"/>
          <w:sz w:val="24"/>
          <w:lang w:eastAsia="zh-CN"/>
        </w:rPr>
        <w:t>提交者应解释使用MDDT的证据强度如何足以支持拟定COU。证据可包括影响MDDT有用性的工具的性能特征，如：</w:t>
      </w:r>
    </w:p>
    <w:p w14:paraId="74E944BE">
      <w:pPr>
        <w:overflowPunct w:val="0"/>
        <w:spacing w:before="120" w:beforeLines="50" w:line="300" w:lineRule="auto"/>
        <w:rPr>
          <w:rFonts w:cs="Times New Roman"/>
          <w:sz w:val="24"/>
          <w:szCs w:val="24"/>
          <w:lang w:eastAsia="zh-CN"/>
        </w:rPr>
      </w:pPr>
      <w:r>
        <w:rPr>
          <w:rFonts w:cs="宋体"/>
          <w:sz w:val="24"/>
          <w:lang w:eastAsia="zh-CN"/>
        </w:rPr>
        <w:br w:type="page"/>
      </w:r>
    </w:p>
    <w:p w14:paraId="33FF30C0">
      <w:pPr>
        <w:pStyle w:val="23"/>
        <w:numPr>
          <w:ilvl w:val="0"/>
          <w:numId w:val="9"/>
        </w:numPr>
        <w:overflowPunct w:val="0"/>
        <w:spacing w:before="120" w:beforeLines="50" w:line="300" w:lineRule="auto"/>
        <w:ind w:left="420" w:leftChars="200" w:firstLineChars="0"/>
        <w:rPr>
          <w:rFonts w:cs="Times New Roman"/>
          <w:sz w:val="24"/>
          <w:szCs w:val="24"/>
          <w:lang w:eastAsia="zh-CN"/>
        </w:rPr>
      </w:pPr>
      <w:r>
        <w:rPr>
          <w:rFonts w:cs="宋体"/>
          <w:b/>
          <w:sz w:val="24"/>
          <w:lang w:eastAsia="zh-CN"/>
        </w:rPr>
        <w:t>工具有效性及其他性能特征：</w:t>
      </w:r>
      <w:r>
        <w:rPr>
          <w:rFonts w:cs="宋体"/>
          <w:sz w:val="24"/>
          <w:lang w:eastAsia="zh-CN"/>
        </w:rPr>
        <w:t>该证据应证明工具能提供准确和精确的测量。应提供充足数据来充分描述该工具的性能特征。根据工具类型，该证据可包括分析性、临床性、构念效度、外部有效性、减少偏差、本构模型验证、不确定性定量、数字收敛等。提交者可以参考美国临床和实验室标准协会（CLSI）</w:t>
      </w:r>
      <w:r>
        <w:rPr>
          <w:rFonts w:cs="宋体"/>
          <w:sz w:val="24"/>
          <w:vertAlign w:val="superscript"/>
          <w:lang w:eastAsia="zh-CN"/>
        </w:rPr>
        <w:t>15</w:t>
      </w:r>
      <w:r>
        <w:rPr>
          <w:rFonts w:cs="宋体"/>
          <w:sz w:val="24"/>
          <w:lang w:eastAsia="zh-CN"/>
        </w:rPr>
        <w:t>文件等资源，了解更多关于确认的信息。</w:t>
      </w:r>
    </w:p>
    <w:p w14:paraId="5FFDF5D0">
      <w:pPr>
        <w:pStyle w:val="23"/>
        <w:numPr>
          <w:ilvl w:val="0"/>
          <w:numId w:val="9"/>
        </w:numPr>
        <w:overflowPunct w:val="0"/>
        <w:spacing w:before="120" w:beforeLines="50" w:line="300" w:lineRule="auto"/>
        <w:ind w:left="420" w:leftChars="200" w:firstLineChars="0"/>
        <w:rPr>
          <w:rFonts w:cs="Times New Roman"/>
          <w:sz w:val="24"/>
          <w:szCs w:val="24"/>
          <w:lang w:eastAsia="zh-CN"/>
        </w:rPr>
      </w:pPr>
      <w:r>
        <w:rPr>
          <w:rFonts w:cs="宋体"/>
          <w:b/>
          <w:sz w:val="24"/>
          <w:lang w:eastAsia="zh-CN"/>
        </w:rPr>
        <w:t>预测能力：</w:t>
      </w:r>
      <w:r>
        <w:rPr>
          <w:rFonts w:cs="宋体"/>
          <w:sz w:val="24"/>
          <w:lang w:eastAsia="zh-CN"/>
        </w:rPr>
        <w:t>该证据应描述工具测量与相关结局的关联程度。这应包括有关该预测关系强度的证据，以及该预测在多项研究中获反复证明或作为一种类效应。</w:t>
      </w:r>
    </w:p>
    <w:p w14:paraId="2CCC1204">
      <w:pPr>
        <w:pStyle w:val="23"/>
        <w:numPr>
          <w:ilvl w:val="0"/>
          <w:numId w:val="9"/>
        </w:numPr>
        <w:overflowPunct w:val="0"/>
        <w:spacing w:before="120" w:beforeLines="50" w:line="300" w:lineRule="auto"/>
        <w:ind w:left="420" w:leftChars="200" w:firstLineChars="0"/>
        <w:rPr>
          <w:rFonts w:cs="Times New Roman"/>
          <w:sz w:val="24"/>
          <w:szCs w:val="24"/>
          <w:lang w:eastAsia="zh-CN"/>
        </w:rPr>
      </w:pPr>
      <w:r>
        <w:rPr>
          <w:rFonts w:cs="宋体"/>
          <w:b/>
          <w:sz w:val="24"/>
          <w:lang w:eastAsia="zh-CN"/>
        </w:rPr>
        <w:t>预测程度 - 捕获：</w:t>
      </w:r>
      <w:r>
        <w:rPr>
          <w:rFonts w:cs="宋体"/>
          <w:sz w:val="24"/>
          <w:lang w:eastAsia="zh-CN"/>
        </w:rPr>
        <w:t>证据应表明该工具有能力捕获对相关真实结局的总体影响。可用数据应说明医疗器械的每一个用于预测程度的主要影响。</w:t>
      </w:r>
    </w:p>
    <w:p w14:paraId="2BDBFB0C">
      <w:pPr>
        <w:overflowPunct w:val="0"/>
        <w:spacing w:before="120" w:beforeLines="50" w:line="300" w:lineRule="auto"/>
        <w:rPr>
          <w:rFonts w:cs="Times New Roman"/>
          <w:sz w:val="24"/>
          <w:szCs w:val="24"/>
          <w:lang w:eastAsia="zh-CN"/>
        </w:rPr>
      </w:pPr>
      <w:r>
        <w:rPr>
          <w:rFonts w:cs="宋体"/>
          <w:sz w:val="24"/>
          <w:lang w:eastAsia="zh-CN"/>
        </w:rPr>
        <w:t>所需证据类型将根据工具类型和COU的不同而不同，可能酌情包括（但不限于）：</w:t>
      </w:r>
    </w:p>
    <w:p w14:paraId="313ABBCD">
      <w:pPr>
        <w:pStyle w:val="23"/>
        <w:numPr>
          <w:ilvl w:val="0"/>
          <w:numId w:val="9"/>
        </w:numPr>
        <w:overflowPunct w:val="0"/>
        <w:spacing w:before="120" w:beforeLines="50" w:line="300" w:lineRule="auto"/>
        <w:ind w:left="420" w:leftChars="200" w:firstLineChars="0"/>
        <w:rPr>
          <w:rFonts w:cs="Times New Roman"/>
          <w:sz w:val="24"/>
          <w:szCs w:val="24"/>
          <w:lang w:eastAsia="zh-CN"/>
        </w:rPr>
      </w:pPr>
      <w:r>
        <w:rPr>
          <w:rFonts w:cs="宋体"/>
          <w:sz w:val="24"/>
          <w:lang w:eastAsia="zh-CN"/>
        </w:rPr>
        <w:t>设计验证；</w:t>
      </w:r>
    </w:p>
    <w:p w14:paraId="3543630B">
      <w:pPr>
        <w:pStyle w:val="23"/>
        <w:numPr>
          <w:ilvl w:val="0"/>
          <w:numId w:val="9"/>
        </w:numPr>
        <w:overflowPunct w:val="0"/>
        <w:spacing w:before="120" w:beforeLines="50" w:line="300" w:lineRule="auto"/>
        <w:ind w:left="420" w:leftChars="200" w:firstLineChars="0"/>
        <w:rPr>
          <w:rFonts w:cs="Times New Roman"/>
          <w:sz w:val="24"/>
          <w:szCs w:val="24"/>
          <w:lang w:eastAsia="zh-CN"/>
        </w:rPr>
      </w:pPr>
      <w:r>
        <w:rPr>
          <w:rFonts w:cs="宋体"/>
          <w:sz w:val="24"/>
          <w:lang w:eastAsia="zh-CN"/>
        </w:rPr>
        <w:t>计算模型的模拟结果；</w:t>
      </w:r>
    </w:p>
    <w:p w14:paraId="753B5FFB">
      <w:pPr>
        <w:pStyle w:val="23"/>
        <w:numPr>
          <w:ilvl w:val="0"/>
          <w:numId w:val="9"/>
        </w:numPr>
        <w:overflowPunct w:val="0"/>
        <w:spacing w:before="120" w:beforeLines="50" w:line="300" w:lineRule="auto"/>
        <w:ind w:left="420" w:leftChars="200" w:firstLineChars="0"/>
        <w:rPr>
          <w:rFonts w:cs="Times New Roman"/>
          <w:sz w:val="24"/>
          <w:szCs w:val="24"/>
          <w:lang w:eastAsia="zh-CN"/>
        </w:rPr>
      </w:pPr>
      <w:r>
        <w:rPr>
          <w:rFonts w:cs="宋体"/>
          <w:sz w:val="24"/>
          <w:lang w:eastAsia="zh-CN"/>
        </w:rPr>
        <w:t>台架性能数据（包括完整测试报告和方案）；</w:t>
      </w:r>
    </w:p>
    <w:p w14:paraId="01DE08DD">
      <w:pPr>
        <w:pStyle w:val="23"/>
        <w:numPr>
          <w:ilvl w:val="0"/>
          <w:numId w:val="9"/>
        </w:numPr>
        <w:overflowPunct w:val="0"/>
        <w:spacing w:before="120" w:beforeLines="50" w:line="300" w:lineRule="auto"/>
        <w:ind w:left="420" w:leftChars="200" w:firstLineChars="0"/>
        <w:rPr>
          <w:rFonts w:cs="Times New Roman"/>
          <w:sz w:val="24"/>
          <w:szCs w:val="24"/>
          <w:lang w:eastAsia="zh-CN"/>
        </w:rPr>
      </w:pPr>
      <w:r>
        <w:rPr>
          <w:rFonts w:cs="宋体"/>
          <w:sz w:val="24"/>
          <w:lang w:eastAsia="zh-CN"/>
        </w:rPr>
        <w:t>动物性能数据（包括完整测试报告和方案）；</w:t>
      </w:r>
    </w:p>
    <w:p w14:paraId="3E06B052">
      <w:pPr>
        <w:pStyle w:val="23"/>
        <w:numPr>
          <w:ilvl w:val="0"/>
          <w:numId w:val="9"/>
        </w:numPr>
        <w:overflowPunct w:val="0"/>
        <w:spacing w:before="120" w:beforeLines="50" w:line="300" w:lineRule="auto"/>
        <w:ind w:left="420" w:leftChars="200" w:firstLineChars="0"/>
        <w:rPr>
          <w:rFonts w:cs="Times New Roman"/>
          <w:sz w:val="24"/>
          <w:szCs w:val="24"/>
          <w:lang w:eastAsia="zh-CN"/>
        </w:rPr>
      </w:pPr>
      <w:r>
        <w:rPr>
          <w:rFonts w:cs="宋体"/>
          <w:sz w:val="24"/>
          <w:lang w:eastAsia="zh-CN"/>
        </w:rPr>
        <w:t>临床数据（包括完整测试报告、方案和所有适当的（预定）统计分析，以证明工具和COU之间的关系）；</w:t>
      </w:r>
    </w:p>
    <w:p w14:paraId="21A70FD0">
      <w:pPr>
        <w:pStyle w:val="23"/>
        <w:numPr>
          <w:ilvl w:val="0"/>
          <w:numId w:val="9"/>
        </w:numPr>
        <w:overflowPunct w:val="0"/>
        <w:spacing w:before="120" w:beforeLines="50" w:line="300" w:lineRule="auto"/>
        <w:ind w:left="420" w:leftChars="200" w:firstLineChars="0"/>
        <w:rPr>
          <w:rFonts w:cs="Times New Roman"/>
          <w:sz w:val="24"/>
          <w:szCs w:val="24"/>
          <w:lang w:eastAsia="zh-CN"/>
        </w:rPr>
      </w:pPr>
      <w:r>
        <w:rPr>
          <w:rFonts w:cs="宋体"/>
          <w:sz w:val="24"/>
          <w:lang w:eastAsia="zh-CN"/>
        </w:rPr>
        <w:t>人为因素测试；和/或</w:t>
      </w:r>
    </w:p>
    <w:p w14:paraId="211656C3">
      <w:pPr>
        <w:pStyle w:val="23"/>
        <w:numPr>
          <w:ilvl w:val="0"/>
          <w:numId w:val="9"/>
        </w:numPr>
        <w:overflowPunct w:val="0"/>
        <w:spacing w:before="120" w:beforeLines="50" w:line="300" w:lineRule="auto"/>
        <w:ind w:left="420" w:leftChars="200" w:firstLineChars="0"/>
        <w:rPr>
          <w:rFonts w:cs="Times New Roman"/>
          <w:sz w:val="24"/>
          <w:szCs w:val="24"/>
          <w:lang w:eastAsia="zh-CN"/>
        </w:rPr>
      </w:pPr>
      <w:r>
        <w:rPr>
          <w:rFonts w:cs="宋体"/>
          <w:sz w:val="24"/>
          <w:lang w:eastAsia="zh-CN"/>
        </w:rPr>
        <w:t>文献文章（文章全文、摘要和对文章如何支持资格认证的描述）。</w:t>
      </w:r>
    </w:p>
    <w:p w14:paraId="710B3328">
      <w:pPr>
        <w:overflowPunct w:val="0"/>
        <w:spacing w:before="120" w:beforeLines="50" w:line="300" w:lineRule="auto"/>
        <w:rPr>
          <w:rFonts w:cs="Times New Roman"/>
          <w:sz w:val="24"/>
          <w:szCs w:val="24"/>
          <w:lang w:eastAsia="zh-CN"/>
        </w:rPr>
      </w:pPr>
      <w:r>
        <w:rPr>
          <w:rFonts w:cs="宋体"/>
          <w:sz w:val="24"/>
          <w:lang w:eastAsia="zh-CN"/>
        </w:rPr>
        <w:t>对于COA，CDRH将审查证据，该证据支持拟定工具是对患者在日常活动中的感觉或功能的有效评价。</w:t>
      </w:r>
    </w:p>
    <w:p w14:paraId="55B667D6">
      <w:pPr>
        <w:overflowPunct w:val="0"/>
        <w:spacing w:before="120" w:beforeLines="50" w:line="300" w:lineRule="auto"/>
        <w:rPr>
          <w:rFonts w:cs="Times New Roman"/>
          <w:sz w:val="24"/>
          <w:szCs w:val="24"/>
          <w:lang w:eastAsia="zh-CN"/>
        </w:rPr>
      </w:pPr>
      <w:r>
        <w:rPr>
          <w:rFonts w:cs="宋体"/>
          <w:sz w:val="24"/>
          <w:lang w:eastAsia="zh-CN"/>
        </w:rPr>
        <w:t>对于BT，需要注意的是，正在考虑进行资格认证的生物标志物测试在概念上独立于生物标志物（如血压计与血压）。然而，如果没有可靠的测量手段，则无法资格认证生物标志物。评价资格认证用BT时，CDRH将评价支持该生物标志物用于指定COU的证据强度，以及用于提供生物标志物数据测试的性能特征。测试有效性（如精确性和准确度）应在拟定COU中得到证明。</w:t>
      </w:r>
      <w:r>
        <w:rPr>
          <w:rFonts w:cs="宋体"/>
          <w:sz w:val="24"/>
          <w:vertAlign w:val="superscript"/>
          <w:lang w:eastAsia="zh-CN"/>
        </w:rPr>
        <w:t>16</w:t>
      </w:r>
    </w:p>
    <w:p w14:paraId="51BA6292">
      <w:pPr>
        <w:pStyle w:val="21"/>
        <w:overflowPunct w:val="0"/>
        <w:rPr>
          <w:lang w:eastAsia="zh-CN"/>
        </w:rPr>
      </w:pPr>
      <w:r>
        <w:rPr>
          <w:rFonts w:cs="宋体"/>
          <w:lang w:eastAsia="zh-CN"/>
        </w:rPr>
        <w:t>_______________________</w:t>
      </w:r>
    </w:p>
    <w:p w14:paraId="76644F1B">
      <w:pPr>
        <w:pStyle w:val="21"/>
        <w:overflowPunct w:val="0"/>
        <w:rPr>
          <w:lang w:eastAsia="zh-CN"/>
        </w:rPr>
      </w:pPr>
      <w:r>
        <w:rPr>
          <w:vertAlign w:val="superscript"/>
          <w:lang w:eastAsia="zh-CN"/>
        </w:rPr>
        <w:t xml:space="preserve">15 </w:t>
      </w:r>
      <w:r>
        <w:rPr>
          <w:lang w:eastAsia="zh-CN"/>
        </w:rPr>
        <w:t>http://clsi.org/</w:t>
      </w:r>
    </w:p>
    <w:p w14:paraId="013BB75F">
      <w:pPr>
        <w:pStyle w:val="21"/>
        <w:overflowPunct w:val="0"/>
        <w:rPr>
          <w:lang w:eastAsia="zh-CN"/>
        </w:rPr>
      </w:pPr>
      <w:r>
        <w:rPr>
          <w:rFonts w:cs="宋体"/>
          <w:vertAlign w:val="superscript"/>
          <w:lang w:eastAsia="zh-CN"/>
        </w:rPr>
        <w:t>16</w:t>
      </w:r>
      <w:r>
        <w:rPr>
          <w:rFonts w:cs="宋体"/>
          <w:lang w:eastAsia="zh-CN"/>
        </w:rPr>
        <w:t>支持BT资格认证所需新证据的数量和类型也可能部分取决于是否有任何用于测量生物标志物的测试或仪器已被FDA通过上市前审查许可或批准用于临床，如有，则BT的拟定COU是否与已获许可或批准的产品的适应症一致。为了使BT有资格测量没有相应FDA许可或批准器械的生物标志物，应证明拟定COU的测试性能特征（例如，精确性和准确度）。相反，涉及已获FDA许可或批准的测试或涉及FDA已建立测量特定COU所需的分析性能标准的生物标志物的MDDT资格认证提案，可以利用支持测试的分析有效性的现有数据，只要MDDT提交者获合法授权如此行事。在这两种情况下，资格认证取决于是否符合作为拟定COU的MDDT的测试性能标准。</w:t>
      </w:r>
      <w:r>
        <w:rPr>
          <w:rFonts w:cs="宋体"/>
          <w:sz w:val="24"/>
          <w:lang w:eastAsia="zh-CN"/>
        </w:rPr>
        <w:br w:type="page"/>
      </w:r>
    </w:p>
    <w:p w14:paraId="6AF67507">
      <w:pPr>
        <w:overflowPunct w:val="0"/>
        <w:spacing w:before="120" w:beforeLines="50" w:line="300" w:lineRule="auto"/>
        <w:rPr>
          <w:rFonts w:cs="Times New Roman"/>
          <w:sz w:val="24"/>
          <w:szCs w:val="24"/>
          <w:lang w:eastAsia="zh-CN"/>
        </w:rPr>
      </w:pPr>
      <w:r>
        <w:rPr>
          <w:rFonts w:cs="宋体"/>
          <w:sz w:val="24"/>
          <w:lang w:eastAsia="zh-CN"/>
        </w:rPr>
        <w:t>当CDRH资格认证BT时，这意味着本局也接受支持该生物标志物用于指定COU的证据强度。后续寻求类似COU资格认证的BT仅需证明测试的性能特征，以测量相同生物标志物。</w:t>
      </w:r>
    </w:p>
    <w:p w14:paraId="0BF46C42">
      <w:pPr>
        <w:overflowPunct w:val="0"/>
        <w:spacing w:before="120" w:beforeLines="50" w:line="300" w:lineRule="auto"/>
        <w:rPr>
          <w:rFonts w:cs="Times New Roman"/>
          <w:sz w:val="24"/>
          <w:szCs w:val="24"/>
          <w:lang w:eastAsia="zh-CN"/>
        </w:rPr>
      </w:pPr>
      <w:r>
        <w:rPr>
          <w:rFonts w:cs="宋体"/>
          <w:sz w:val="24"/>
          <w:lang w:eastAsia="zh-CN"/>
        </w:rPr>
        <w:t>对于NAM，CDRH将审查证据，以证明拟定工具可以充分替代另一个公认测试或测量，或者是对器械功能的有效评价或对体内器械性能的预测。</w:t>
      </w:r>
    </w:p>
    <w:p w14:paraId="3AE9CF68">
      <w:pPr>
        <w:pStyle w:val="3"/>
        <w:overflowPunct w:val="0"/>
        <w:rPr>
          <w:lang w:eastAsia="zh-CN"/>
        </w:rPr>
      </w:pPr>
      <w:bookmarkStart w:id="14" w:name="_Toc91244868"/>
      <w:r>
        <w:rPr>
          <w:rFonts w:cs="宋体"/>
          <w:lang w:eastAsia="zh-CN"/>
        </w:rPr>
        <w:t>C.</w:t>
      </w:r>
      <w:r>
        <w:rPr>
          <w:rFonts w:cs="宋体"/>
          <w:lang w:eastAsia="zh-CN"/>
        </w:rPr>
        <w:tab/>
      </w:r>
      <w:r>
        <w:rPr>
          <w:rFonts w:cs="宋体"/>
          <w:lang w:eastAsia="zh-CN"/>
        </w:rPr>
        <w:t>评价资格认证的优势和劣势</w:t>
      </w:r>
      <w:bookmarkEnd w:id="14"/>
    </w:p>
    <w:p w14:paraId="36C6A1CC">
      <w:pPr>
        <w:overflowPunct w:val="0"/>
        <w:spacing w:before="120" w:beforeLines="50" w:line="300" w:lineRule="auto"/>
        <w:rPr>
          <w:rFonts w:cs="Times New Roman"/>
          <w:sz w:val="24"/>
          <w:szCs w:val="24"/>
          <w:lang w:eastAsia="zh-CN"/>
        </w:rPr>
      </w:pPr>
      <w:r>
        <w:rPr>
          <w:rFonts w:cs="宋体"/>
          <w:sz w:val="24"/>
          <w:lang w:eastAsia="zh-CN"/>
        </w:rPr>
        <w:t>资格认证将取决于根据使用MDDT获得的测量结果进行决策的可能优势是否超过可能的劣势。CDRH预期侧重于监管、公共健康和/或临床影响。</w:t>
      </w:r>
    </w:p>
    <w:p w14:paraId="7D39E0DA">
      <w:pPr>
        <w:overflowPunct w:val="0"/>
        <w:spacing w:before="120" w:beforeLines="50" w:line="300" w:lineRule="auto"/>
        <w:rPr>
          <w:rFonts w:cs="Times New Roman"/>
          <w:sz w:val="24"/>
          <w:szCs w:val="24"/>
          <w:lang w:eastAsia="zh-CN"/>
        </w:rPr>
      </w:pPr>
      <w:r>
        <w:rPr>
          <w:rFonts w:cs="宋体"/>
          <w:sz w:val="24"/>
          <w:lang w:eastAsia="zh-CN"/>
        </w:rPr>
        <w:t>评价优势和劣势时，CDRH预期考虑以下因素：</w:t>
      </w:r>
    </w:p>
    <w:p w14:paraId="307411EB">
      <w:pPr>
        <w:pStyle w:val="23"/>
        <w:numPr>
          <w:ilvl w:val="0"/>
          <w:numId w:val="10"/>
        </w:numPr>
        <w:overflowPunct w:val="0"/>
        <w:spacing w:before="120" w:beforeLines="50" w:line="300" w:lineRule="auto"/>
        <w:ind w:firstLineChars="0"/>
        <w:rPr>
          <w:rFonts w:cs="Times New Roman"/>
          <w:b/>
          <w:sz w:val="24"/>
          <w:szCs w:val="24"/>
          <w:lang w:eastAsia="zh-CN"/>
        </w:rPr>
      </w:pPr>
      <w:r>
        <w:rPr>
          <w:rFonts w:cs="宋体"/>
          <w:b/>
          <w:sz w:val="24"/>
          <w:lang w:eastAsia="zh-CN"/>
        </w:rPr>
        <w:t>对使用MDDT的优势评价：</w:t>
      </w:r>
    </w:p>
    <w:p w14:paraId="6FE02E9F">
      <w:pPr>
        <w:overflowPunct w:val="0"/>
        <w:spacing w:before="120" w:beforeLines="50" w:line="300" w:lineRule="auto"/>
        <w:ind w:left="1320" w:leftChars="4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b/>
          <w:sz w:val="24"/>
          <w:lang w:eastAsia="zh-CN"/>
        </w:rPr>
        <w:t>优势的类型。</w:t>
      </w:r>
      <w:r>
        <w:rPr>
          <w:rFonts w:cs="宋体"/>
          <w:sz w:val="24"/>
          <w:lang w:eastAsia="zh-CN"/>
        </w:rPr>
        <w:t>优势可能包括：显著加快开发和评价器械的时间；允许时间更短或规模更小的临床或非临床研究；允许比替代方案更安全或更少侵入性、更容易、更方便或更少变化的测量；以及加速开发具有公共健康重要性的新技术。</w:t>
      </w:r>
    </w:p>
    <w:p w14:paraId="06698A31">
      <w:pPr>
        <w:overflowPunct w:val="0"/>
        <w:spacing w:before="120" w:beforeLines="50" w:line="300" w:lineRule="auto"/>
        <w:ind w:left="1320" w:leftChars="4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b/>
          <w:sz w:val="24"/>
          <w:lang w:eastAsia="zh-CN"/>
        </w:rPr>
        <w:t>优势的程度。</w:t>
      </w:r>
      <w:r>
        <w:rPr>
          <w:rFonts w:cs="宋体"/>
          <w:sz w:val="24"/>
          <w:lang w:eastAsia="zh-CN"/>
        </w:rPr>
        <w:t>这可能包括：是否可能影响多个器械开发项目；COU是否包括危及生命的疾病或病症和/或严重慢性疾病或病症、没有替代方案或替代方案不佳的疾病/病症，或弱势群体（如儿童）；或MDDT是否用于没有既定监管评价范式的新型技术。</w:t>
      </w:r>
    </w:p>
    <w:p w14:paraId="19E73A2B">
      <w:pPr>
        <w:overflowPunct w:val="0"/>
        <w:spacing w:before="120" w:beforeLines="50" w:line="300" w:lineRule="auto"/>
        <w:ind w:left="1320" w:leftChars="4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b/>
          <w:sz w:val="24"/>
          <w:lang w:eastAsia="zh-CN"/>
        </w:rPr>
        <w:t>优势的可能性。</w:t>
      </w:r>
      <w:r>
        <w:rPr>
          <w:rFonts w:cs="宋体"/>
          <w:sz w:val="24"/>
          <w:lang w:eastAsia="zh-CN"/>
        </w:rPr>
        <w:t>这基于支持MDDT的证据强度以及与现有替代方案的比较。</w:t>
      </w:r>
    </w:p>
    <w:p w14:paraId="56AF3838">
      <w:pPr>
        <w:overflowPunct w:val="0"/>
        <w:spacing w:before="120" w:beforeLines="50" w:line="300" w:lineRule="auto"/>
        <w:rPr>
          <w:rFonts w:cs="Times New Roman"/>
          <w:sz w:val="24"/>
          <w:szCs w:val="24"/>
          <w:lang w:eastAsia="zh-CN"/>
        </w:rPr>
      </w:pPr>
      <w:r>
        <w:rPr>
          <w:rFonts w:cs="宋体"/>
          <w:sz w:val="24"/>
          <w:lang w:eastAsia="zh-CN"/>
        </w:rPr>
        <w:br w:type="page"/>
      </w:r>
    </w:p>
    <w:p w14:paraId="1B0CA9D1">
      <w:pPr>
        <w:pStyle w:val="23"/>
        <w:numPr>
          <w:ilvl w:val="0"/>
          <w:numId w:val="10"/>
        </w:numPr>
        <w:overflowPunct w:val="0"/>
        <w:spacing w:before="120" w:beforeLines="50" w:line="300" w:lineRule="auto"/>
        <w:ind w:firstLineChars="0"/>
        <w:rPr>
          <w:rFonts w:cs="Times New Roman"/>
          <w:b/>
          <w:sz w:val="24"/>
          <w:szCs w:val="24"/>
          <w:lang w:eastAsia="zh-CN"/>
        </w:rPr>
      </w:pPr>
      <w:r>
        <w:rPr>
          <w:rFonts w:cs="宋体"/>
          <w:b/>
          <w:sz w:val="24"/>
          <w:lang w:eastAsia="zh-CN"/>
        </w:rPr>
        <w:t>对使用MDDT的劣势评价：</w:t>
      </w:r>
    </w:p>
    <w:p w14:paraId="4FDB78DD">
      <w:pPr>
        <w:overflowPunct w:val="0"/>
        <w:spacing w:before="120" w:beforeLines="50" w:line="300" w:lineRule="auto"/>
        <w:ind w:left="1320" w:leftChars="4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b/>
          <w:sz w:val="24"/>
          <w:lang w:eastAsia="zh-CN"/>
        </w:rPr>
        <w:t>劣势的类型。</w:t>
      </w:r>
      <w:r>
        <w:rPr>
          <w:rFonts w:cs="宋体"/>
          <w:sz w:val="24"/>
          <w:lang w:eastAsia="zh-CN"/>
        </w:rPr>
        <w:t>考虑到COU，对于使用不合格MDDT，可能会做出哪些类型的决定？例如，如果在早期器械设计期间，与关键临床研究相比，使用不良外部有效性的COA的劣势可能较小。</w:t>
      </w:r>
    </w:p>
    <w:p w14:paraId="31B88A22">
      <w:pPr>
        <w:overflowPunct w:val="0"/>
        <w:spacing w:before="120" w:beforeLines="50" w:line="300" w:lineRule="auto"/>
        <w:ind w:left="1320" w:leftChars="4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b/>
          <w:sz w:val="24"/>
          <w:lang w:eastAsia="zh-CN"/>
        </w:rPr>
        <w:t>劣势的程度。</w:t>
      </w:r>
      <w:r>
        <w:rPr>
          <w:rFonts w:cs="宋体"/>
          <w:sz w:val="24"/>
          <w:lang w:eastAsia="zh-CN"/>
        </w:rPr>
        <w:t>根据MDDT获得的不准确结论做出决策的影响范围基于风险的严重程度、对MDDT与其替代方案的比较以及对COU的考虑。</w:t>
      </w:r>
    </w:p>
    <w:p w14:paraId="0F97F7A5">
      <w:pPr>
        <w:overflowPunct w:val="0"/>
        <w:spacing w:before="120" w:beforeLines="50" w:line="300" w:lineRule="auto"/>
        <w:ind w:left="1320" w:leftChars="4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b/>
          <w:sz w:val="24"/>
          <w:lang w:eastAsia="zh-CN"/>
        </w:rPr>
        <w:t>劣势的可能性。</w:t>
      </w:r>
      <w:r>
        <w:rPr>
          <w:rFonts w:cs="宋体"/>
          <w:sz w:val="24"/>
          <w:lang w:eastAsia="zh-CN"/>
        </w:rPr>
        <w:t>发生某一特定风险的可能性有多大？这可以依据支持工具有效性的证据。例如，对于BT，这可以是MDDT报告假阳性、假阴性或预测值的错误估计的可能性。</w:t>
      </w:r>
    </w:p>
    <w:p w14:paraId="54043EBF">
      <w:pPr>
        <w:overflowPunct w:val="0"/>
        <w:spacing w:before="120" w:beforeLines="50" w:line="300" w:lineRule="auto"/>
        <w:ind w:left="1320" w:leftChars="4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b/>
          <w:sz w:val="24"/>
          <w:lang w:eastAsia="zh-CN"/>
        </w:rPr>
        <w:t>减轻劣势</w:t>
      </w:r>
      <w:r>
        <w:rPr>
          <w:rFonts w:cs="宋体"/>
          <w:sz w:val="24"/>
          <w:lang w:eastAsia="zh-CN"/>
        </w:rPr>
        <w:t>。使用缓解措施可以使依据MDDT的风险最小化。例如，替代性补充信息来源或来自后期时间点的确认性数据可以减轻基于MDDT信息的决策风险。</w:t>
      </w:r>
    </w:p>
    <w:p w14:paraId="41E7FC01">
      <w:pPr>
        <w:pStyle w:val="23"/>
        <w:numPr>
          <w:ilvl w:val="0"/>
          <w:numId w:val="10"/>
        </w:numPr>
        <w:overflowPunct w:val="0"/>
        <w:spacing w:before="120" w:beforeLines="50" w:line="300" w:lineRule="auto"/>
        <w:ind w:firstLineChars="0"/>
        <w:rPr>
          <w:rFonts w:cs="Times New Roman"/>
          <w:b/>
          <w:sz w:val="24"/>
          <w:szCs w:val="24"/>
          <w:lang w:eastAsia="zh-CN"/>
        </w:rPr>
      </w:pPr>
      <w:r>
        <w:rPr>
          <w:rFonts w:cs="宋体"/>
          <w:b/>
          <w:sz w:val="24"/>
          <w:lang w:eastAsia="zh-CN"/>
        </w:rPr>
        <w:t>评价使用MDDT的优势和劣势的其他因素：</w:t>
      </w:r>
    </w:p>
    <w:p w14:paraId="7BBB8B4D">
      <w:pPr>
        <w:overflowPunct w:val="0"/>
        <w:spacing w:before="120" w:beforeLines="50" w:line="300" w:lineRule="auto"/>
        <w:ind w:left="1320" w:leftChars="4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b/>
          <w:sz w:val="24"/>
          <w:lang w:eastAsia="zh-CN"/>
        </w:rPr>
        <w:t>确定性的程度。</w:t>
      </w:r>
      <w:r>
        <w:rPr>
          <w:rFonts w:cs="宋体"/>
          <w:sz w:val="24"/>
          <w:lang w:eastAsia="zh-CN"/>
        </w:rPr>
        <w:t>如果使用MDDT的优势较大而劣势极小，则可以接受较低确定性（较不严格的证据强度）以支持其使用。另一方面，如果优势极小，或者潜在劣势较大，可能需要更严格的证据来支持MDDT资格认证。</w:t>
      </w:r>
    </w:p>
    <w:p w14:paraId="64DBFA1D">
      <w:pPr>
        <w:overflowPunct w:val="0"/>
        <w:spacing w:before="120" w:beforeLines="50" w:line="300" w:lineRule="auto"/>
        <w:ind w:left="1320" w:leftChars="4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b/>
          <w:sz w:val="24"/>
          <w:lang w:eastAsia="zh-CN"/>
        </w:rPr>
        <w:t>技术的新颖性。</w:t>
      </w:r>
      <w:r>
        <w:rPr>
          <w:rFonts w:cs="宋体"/>
          <w:sz w:val="24"/>
          <w:lang w:eastAsia="zh-CN"/>
        </w:rPr>
        <w:t>评价将考虑MDDT是否有利于以下器械的开发和监管评价：解决未满足需求领域的器械，或采用可能提供新优势的新技术（尤其是首创技术）的器械。特别是在提供者和患者可用的替代方案有限的情况下，使用MDDT可以促进患者的使用并鼓励创新。</w:t>
      </w:r>
    </w:p>
    <w:p w14:paraId="66170F29">
      <w:pPr>
        <w:overflowPunct w:val="0"/>
        <w:spacing w:before="120" w:beforeLines="50" w:line="300" w:lineRule="auto"/>
        <w:rPr>
          <w:rFonts w:cs="Times New Roman"/>
          <w:sz w:val="24"/>
          <w:szCs w:val="24"/>
          <w:lang w:eastAsia="zh-CN"/>
        </w:rPr>
      </w:pPr>
      <w:r>
        <w:rPr>
          <w:rFonts w:cs="宋体"/>
          <w:sz w:val="24"/>
          <w:lang w:eastAsia="zh-CN"/>
        </w:rPr>
        <w:t>需要强调的是，对优势和劣势的评价并不是指评价工具的准确度、精确性、预测能力或预测程度。相反，这种评价将涉及确定在开发和/或评价医疗器械的过程中使用该工具是否利大于弊。虽然准确度、精确性、预测能力和预测程度可能产生优势或劣势，但这并不是唯一的评价手段。</w:t>
      </w:r>
    </w:p>
    <w:p w14:paraId="1DAD95ED">
      <w:pPr>
        <w:overflowPunct w:val="0"/>
        <w:spacing w:before="120" w:beforeLines="50" w:line="300" w:lineRule="auto"/>
        <w:rPr>
          <w:rFonts w:cs="Times New Roman"/>
          <w:sz w:val="24"/>
          <w:szCs w:val="24"/>
          <w:lang w:eastAsia="zh-CN"/>
        </w:rPr>
      </w:pPr>
      <w:r>
        <w:rPr>
          <w:rFonts w:cs="宋体"/>
          <w:sz w:val="24"/>
          <w:lang w:eastAsia="zh-CN"/>
        </w:rPr>
        <w:br w:type="page"/>
      </w:r>
    </w:p>
    <w:p w14:paraId="275D6C82">
      <w:pPr>
        <w:pStyle w:val="3"/>
        <w:overflowPunct w:val="0"/>
        <w:rPr>
          <w:lang w:eastAsia="zh-CN"/>
        </w:rPr>
      </w:pPr>
      <w:bookmarkStart w:id="15" w:name="_Toc91244869"/>
      <w:r>
        <w:rPr>
          <w:rFonts w:cs="宋体"/>
          <w:lang w:eastAsia="zh-CN"/>
        </w:rPr>
        <w:t>D.</w:t>
      </w:r>
      <w:r>
        <w:rPr>
          <w:rFonts w:cs="宋体"/>
          <w:lang w:eastAsia="zh-CN"/>
        </w:rPr>
        <w:tab/>
      </w:r>
      <w:r>
        <w:rPr>
          <w:rFonts w:cs="宋体"/>
          <w:lang w:eastAsia="zh-CN"/>
        </w:rPr>
        <w:t>监管考虑因素和相关建议</w:t>
      </w:r>
      <w:bookmarkEnd w:id="15"/>
    </w:p>
    <w:p w14:paraId="46186EAC">
      <w:pPr>
        <w:overflowPunct w:val="0"/>
        <w:spacing w:before="120" w:beforeLines="50" w:line="300" w:lineRule="auto"/>
        <w:rPr>
          <w:rFonts w:cs="Times New Roman"/>
          <w:sz w:val="24"/>
          <w:szCs w:val="24"/>
          <w:lang w:eastAsia="zh-CN"/>
        </w:rPr>
      </w:pPr>
      <w:r>
        <w:rPr>
          <w:rFonts w:cs="宋体"/>
          <w:sz w:val="24"/>
          <w:lang w:eastAsia="zh-CN"/>
        </w:rPr>
        <w:t>一些MDDT可能符合《FD&amp;C法案》第201(h)节对器械的定义。MDDT是否属于《FD&amp;C法案》第201(h)节规定的医疗器械，往往取决于其使用方式。例如，如果MDDT产品仅用于器械开发/评价，而不是用于诊断或治疗患者或研究受试者，则不属于器械。另一方面，如果MDDT预期用于诊断或治疗，或协助诊断或治疗临床研究受试者，则属于器械。预期用于诊断或治疗，或协助诊断或治疗非临床研究患者的产品属于器械，但不属于MDDT。一些MDDT可能既有器械用途，也有非器械用途。</w:t>
      </w:r>
    </w:p>
    <w:p w14:paraId="325AA636">
      <w:pPr>
        <w:overflowPunct w:val="0"/>
        <w:spacing w:before="120" w:beforeLines="50" w:line="300" w:lineRule="auto"/>
        <w:rPr>
          <w:rFonts w:cs="Times New Roman"/>
          <w:sz w:val="24"/>
          <w:szCs w:val="24"/>
          <w:lang w:eastAsia="zh-CN"/>
        </w:rPr>
      </w:pPr>
      <w:r>
        <w:rPr>
          <w:rFonts w:cs="宋体"/>
          <w:sz w:val="24"/>
          <w:u w:val="single"/>
          <w:lang w:eastAsia="zh-CN"/>
        </w:rPr>
        <w:t>临床研究中的MDDT使用</w:t>
      </w:r>
    </w:p>
    <w:p w14:paraId="5AA72468">
      <w:pPr>
        <w:overflowPunct w:val="0"/>
        <w:spacing w:before="120" w:beforeLines="50" w:line="300" w:lineRule="auto"/>
        <w:rPr>
          <w:rFonts w:cs="Times New Roman"/>
          <w:sz w:val="24"/>
          <w:szCs w:val="24"/>
          <w:lang w:eastAsia="zh-CN"/>
        </w:rPr>
      </w:pPr>
      <w:r>
        <w:rPr>
          <w:rFonts w:cs="宋体"/>
          <w:sz w:val="24"/>
          <w:lang w:eastAsia="zh-CN"/>
        </w:rPr>
        <w:t>预期用于临床调查的器械可豁免于适用于器械的大多数要求，包括上市前许可或批准，只要该研究符合适用要求（如CFR第21篇第812部分的要求）或豁免于这些要求。</w:t>
      </w:r>
      <w:r>
        <w:rPr>
          <w:rFonts w:cs="宋体"/>
          <w:sz w:val="24"/>
          <w:vertAlign w:val="superscript"/>
          <w:lang w:eastAsia="zh-CN"/>
        </w:rPr>
        <w:t>17</w:t>
      </w:r>
      <w:r>
        <w:rPr>
          <w:rFonts w:cs="宋体"/>
          <w:sz w:val="24"/>
          <w:lang w:eastAsia="zh-CN"/>
        </w:rPr>
        <w:t>由于MDDT通常用于医疗器械的研究或调查，只要临床调查符合要求，作为器械的MDDT通常豁免于许可、批准和其他器械要求。</w:t>
      </w:r>
    </w:p>
    <w:p w14:paraId="592C8BDC">
      <w:pPr>
        <w:overflowPunct w:val="0"/>
        <w:spacing w:before="120" w:beforeLines="50" w:line="300" w:lineRule="auto"/>
        <w:rPr>
          <w:rFonts w:cs="Times New Roman"/>
          <w:sz w:val="24"/>
          <w:szCs w:val="24"/>
          <w:lang w:eastAsia="zh-CN"/>
        </w:rPr>
      </w:pPr>
      <w:r>
        <w:rPr>
          <w:rFonts w:cs="宋体"/>
          <w:sz w:val="24"/>
          <w:lang w:eastAsia="zh-CN"/>
        </w:rPr>
        <w:t>在医疗器械临床研究中使用MDDT并不会改变针对特定调查的IDE要求（参见CFR第21篇第812部分）。MDDT资格认证并不意味着器械开发者无需满足现有监管要求，或不改变医疗器械相关监管决策的获益风险阈值；相反，MDDT资格认证可以通过提供更有效和可预测的手段来收集必要信息以进行监管评价，从而促进医疗器械的开发和监管评价。</w:t>
      </w:r>
    </w:p>
    <w:p w14:paraId="1CFE6E36">
      <w:pPr>
        <w:overflowPunct w:val="0"/>
        <w:spacing w:before="120" w:beforeLines="50" w:line="300" w:lineRule="auto"/>
        <w:rPr>
          <w:rFonts w:cs="Times New Roman"/>
          <w:sz w:val="24"/>
          <w:szCs w:val="24"/>
          <w:lang w:eastAsia="zh-CN"/>
        </w:rPr>
      </w:pPr>
      <w:r>
        <w:rPr>
          <w:rFonts w:cs="宋体"/>
          <w:sz w:val="24"/>
          <w:u w:val="single"/>
          <w:lang w:eastAsia="zh-CN"/>
        </w:rPr>
        <w:t>MDDT资格认证与医疗器械许可或批准</w:t>
      </w:r>
    </w:p>
    <w:p w14:paraId="67D6C7AF">
      <w:pPr>
        <w:overflowPunct w:val="0"/>
        <w:spacing w:before="120" w:beforeLines="50" w:line="300" w:lineRule="auto"/>
        <w:rPr>
          <w:rFonts w:cs="Times New Roman"/>
          <w:sz w:val="24"/>
          <w:szCs w:val="24"/>
          <w:lang w:eastAsia="zh-CN"/>
        </w:rPr>
      </w:pPr>
      <w:r>
        <w:rPr>
          <w:rFonts w:cs="宋体"/>
          <w:sz w:val="24"/>
          <w:lang w:eastAsia="zh-CN"/>
        </w:rPr>
        <w:t>FDA对MDDT的资格认证不同于其对医疗器械的许可或批准。支持MDDT资格认证所需的证据类型与支持医疗器械上市许可所需的证据类型不同。如第IV.B节所述，FDA预期在作出资格认证决定时评价工具的有效性、预测能力和预测捕获程度；对于许可或批准，FDA会评价该器械是否实质等同或具有合理的安全性和有效性保证。因此，当产品未获许可或批准时，使用合格MDDT对患者进行临床治疗或诊断，可能会对患者造成意外伤害。</w:t>
      </w:r>
    </w:p>
    <w:p w14:paraId="35B77C03">
      <w:pPr>
        <w:pStyle w:val="21"/>
        <w:overflowPunct w:val="0"/>
        <w:rPr>
          <w:lang w:eastAsia="zh-CN"/>
        </w:rPr>
      </w:pPr>
      <w:r>
        <w:rPr>
          <w:rFonts w:cs="宋体"/>
          <w:lang w:eastAsia="zh-CN"/>
        </w:rPr>
        <w:t>_______________________</w:t>
      </w:r>
    </w:p>
    <w:p w14:paraId="5B1D4718">
      <w:pPr>
        <w:pStyle w:val="21"/>
        <w:overflowPunct w:val="0"/>
        <w:rPr>
          <w:lang w:eastAsia="zh-CN"/>
        </w:rPr>
      </w:pPr>
      <w:r>
        <w:rPr>
          <w:rFonts w:cs="宋体"/>
          <w:vertAlign w:val="superscript"/>
          <w:lang w:eastAsia="zh-CN"/>
        </w:rPr>
        <w:t>17</w:t>
      </w:r>
      <w:r>
        <w:rPr>
          <w:rFonts w:cs="宋体"/>
          <w:lang w:eastAsia="zh-CN"/>
        </w:rPr>
        <w:t>如果作为调查目标的器械具有重大风险，如21 CFR 812.3(m)的定义所述，调查（包括MDDT使用）应遵守CFR第21篇第812部分的所有要求。如果作为调查目标的器械不属于重大风险器械，则21 CFR 812.2(b)中所列的简略要求适用于调查（包括MDDT使用）。符合21 CFR 812.2(c)（包括812.2(c)(3)）所述豁免标准之一的调查（包括MDDT使用）无需遵守第812部分的要求，但第812.119节除外。</w:t>
      </w:r>
    </w:p>
    <w:p w14:paraId="0D3D52EA">
      <w:pPr>
        <w:overflowPunct w:val="0"/>
        <w:spacing w:before="120" w:beforeLines="50" w:line="300" w:lineRule="auto"/>
        <w:rPr>
          <w:rFonts w:cs="Times New Roman"/>
          <w:sz w:val="24"/>
          <w:szCs w:val="24"/>
          <w:lang w:eastAsia="zh-CN"/>
        </w:rPr>
      </w:pPr>
      <w:r>
        <w:rPr>
          <w:rFonts w:cs="宋体"/>
          <w:sz w:val="24"/>
          <w:lang w:eastAsia="zh-CN"/>
        </w:rPr>
        <w:br w:type="page"/>
      </w:r>
    </w:p>
    <w:p w14:paraId="04A2A3C4">
      <w:pPr>
        <w:overflowPunct w:val="0"/>
        <w:spacing w:before="120" w:beforeLines="50" w:line="300" w:lineRule="auto"/>
        <w:rPr>
          <w:rFonts w:cs="Times New Roman"/>
          <w:sz w:val="24"/>
          <w:szCs w:val="24"/>
          <w:lang w:eastAsia="zh-CN"/>
        </w:rPr>
      </w:pPr>
      <w:r>
        <w:rPr>
          <w:rFonts w:cs="宋体"/>
          <w:sz w:val="24"/>
          <w:lang w:eastAsia="zh-CN"/>
        </w:rPr>
        <w:t>出于临床诊断目的使用此类测试可能会误导医疗服务提供者，并对患者造成严重不良健康后果，因为这些人不知道自己根据研究或研究性产品的测试结果接受诊断或治疗。为避免混淆或误导医疗服务提供者或患者，本局建议工具开发者向使用者明确说明，资格认证并不构成FDA对产品作为医疗器械的许可或批准。例如，工具开发者在MDDT标签和宣传材料中作出关于其产品获FDA资格认证为MDDT的主要声明时，可以附带说明MDDT资格认证并不构成FDA许可或批准。再如，MDDT开发者可以明确表示，合格COU仅适用于产品在器械开发或评价中使用，并且该工具尚未获FDA许可或批准。此外，为了避免标签的误导，同时也是合法上市医疗器械的MDDT的制造商应将FDA监管标签与产品作为MDDT使用的材料分开。</w:t>
      </w:r>
    </w:p>
    <w:p w14:paraId="6E7157FD">
      <w:pPr>
        <w:overflowPunct w:val="0"/>
        <w:spacing w:before="120" w:beforeLines="50" w:line="300" w:lineRule="auto"/>
        <w:rPr>
          <w:rFonts w:cs="Times New Roman"/>
          <w:sz w:val="24"/>
          <w:szCs w:val="24"/>
          <w:lang w:eastAsia="zh-CN"/>
        </w:rPr>
      </w:pPr>
      <w:r>
        <w:rPr>
          <w:rFonts w:cs="宋体"/>
          <w:sz w:val="24"/>
          <w:lang w:eastAsia="zh-CN"/>
        </w:rPr>
        <w:t>工具开发者可能知悉解决这些问题的不同方法，本局鼓励其在提出MDDT时与FDA审查小组讨论其他方法。</w:t>
      </w:r>
    </w:p>
    <w:p w14:paraId="0D49712F">
      <w:pPr>
        <w:overflowPunct w:val="0"/>
        <w:spacing w:before="120" w:beforeLines="50" w:line="300" w:lineRule="auto"/>
        <w:rPr>
          <w:rFonts w:cs="Times New Roman"/>
          <w:sz w:val="24"/>
          <w:szCs w:val="24"/>
          <w:lang w:eastAsia="zh-CN"/>
        </w:rPr>
      </w:pPr>
      <w:r>
        <w:rPr>
          <w:rFonts w:cs="宋体"/>
          <w:sz w:val="24"/>
          <w:u w:val="single"/>
          <w:lang w:eastAsia="zh-CN"/>
        </w:rPr>
        <w:t>与共识标准和器械特定FDA指南相比的MDDT资格认证</w:t>
      </w:r>
    </w:p>
    <w:p w14:paraId="5587DDAE">
      <w:pPr>
        <w:overflowPunct w:val="0"/>
        <w:spacing w:before="120" w:beforeLines="50" w:line="300" w:lineRule="auto"/>
        <w:rPr>
          <w:rFonts w:cs="Times New Roman"/>
          <w:sz w:val="24"/>
          <w:szCs w:val="24"/>
          <w:lang w:eastAsia="zh-CN"/>
        </w:rPr>
      </w:pPr>
      <w:r>
        <w:rPr>
          <w:rFonts w:cs="宋体"/>
          <w:sz w:val="24"/>
          <w:lang w:eastAsia="zh-CN"/>
        </w:rPr>
        <w:t>MDDT资格认证项目不会取代共识标准制定和认可过程</w:t>
      </w:r>
      <w:r>
        <w:rPr>
          <w:rFonts w:cs="宋体"/>
          <w:sz w:val="24"/>
          <w:vertAlign w:val="superscript"/>
          <w:lang w:eastAsia="zh-CN"/>
        </w:rPr>
        <w:t>18</w:t>
      </w:r>
      <w:r>
        <w:rPr>
          <w:rFonts w:cs="宋体"/>
          <w:sz w:val="24"/>
          <w:lang w:eastAsia="zh-CN"/>
        </w:rPr>
        <w:t xml:space="preserve"> 或FDA发布的器械特定指南文件。FDA认为MDDT资格认证项目属于补充项目，用于评价和认可对医疗器械评价有用的工具，并支持监管决策。</w:t>
      </w:r>
    </w:p>
    <w:p w14:paraId="58505299">
      <w:pPr>
        <w:overflowPunct w:val="0"/>
        <w:spacing w:before="120" w:beforeLines="50" w:line="300" w:lineRule="auto"/>
        <w:rPr>
          <w:rFonts w:cs="Times New Roman"/>
          <w:sz w:val="24"/>
          <w:szCs w:val="24"/>
          <w:lang w:eastAsia="zh-CN"/>
        </w:rPr>
      </w:pPr>
      <w:r>
        <w:rPr>
          <w:rFonts w:cs="宋体"/>
          <w:sz w:val="24"/>
          <w:lang w:eastAsia="zh-CN"/>
        </w:rPr>
        <w:t>共识标准通常为技术方法。对于那些成熟并被社会公认为标准的方法和途径，共识标准认可可能是一个更合适的途径。</w:t>
      </w:r>
    </w:p>
    <w:p w14:paraId="1C7D9120">
      <w:pPr>
        <w:overflowPunct w:val="0"/>
        <w:spacing w:before="120" w:beforeLines="50" w:line="300" w:lineRule="auto"/>
        <w:rPr>
          <w:rFonts w:cs="Times New Roman"/>
          <w:sz w:val="24"/>
          <w:szCs w:val="24"/>
          <w:lang w:eastAsia="zh-CN"/>
        </w:rPr>
      </w:pPr>
      <w:r>
        <w:rPr>
          <w:rFonts w:cs="宋体"/>
          <w:sz w:val="24"/>
          <w:lang w:eastAsia="zh-CN"/>
        </w:rPr>
        <w:t>器械特定指南文件通常概述了FDA关于一个产品领域不同类型评价的建议，而MDDT专注于可能对一系列不同产品有用的一种评价或测量方法。</w:t>
      </w:r>
    </w:p>
    <w:p w14:paraId="18352E6D">
      <w:pPr>
        <w:pStyle w:val="2"/>
        <w:overflowPunct w:val="0"/>
        <w:rPr>
          <w:lang w:eastAsia="zh-CN"/>
        </w:rPr>
      </w:pPr>
      <w:bookmarkStart w:id="16" w:name="_Toc91244870"/>
      <w:r>
        <w:rPr>
          <w:rFonts w:cs="宋体"/>
          <w:lang w:eastAsia="zh-CN"/>
        </w:rPr>
        <w:t>V.</w:t>
      </w:r>
      <w:r>
        <w:rPr>
          <w:rFonts w:cs="宋体"/>
          <w:lang w:eastAsia="zh-CN"/>
        </w:rPr>
        <w:tab/>
      </w:r>
      <w:r>
        <w:rPr>
          <w:rFonts w:cs="宋体"/>
          <w:lang w:eastAsia="zh-CN"/>
        </w:rPr>
        <w:t>CDRH资格认证过程</w:t>
      </w:r>
      <w:bookmarkEnd w:id="16"/>
    </w:p>
    <w:p w14:paraId="4B42CF1C">
      <w:pPr>
        <w:overflowPunct w:val="0"/>
        <w:spacing w:before="120" w:beforeLines="50" w:line="300" w:lineRule="auto"/>
        <w:rPr>
          <w:rFonts w:cs="Times New Roman"/>
          <w:sz w:val="24"/>
          <w:szCs w:val="24"/>
          <w:lang w:eastAsia="zh-CN"/>
        </w:rPr>
      </w:pPr>
      <w:r>
        <w:rPr>
          <w:rFonts w:cs="宋体"/>
          <w:sz w:val="24"/>
          <w:lang w:eastAsia="zh-CN"/>
        </w:rPr>
        <w:t>自愿资格认证过程包括如下所述的几个阶段。</w:t>
      </w:r>
      <w:r>
        <w:rPr>
          <w:rFonts w:cs="宋体"/>
          <w:sz w:val="24"/>
          <w:vertAlign w:val="superscript"/>
          <w:lang w:eastAsia="zh-CN"/>
        </w:rPr>
        <w:t>19</w:t>
      </w:r>
    </w:p>
    <w:p w14:paraId="5D1031E6">
      <w:pPr>
        <w:pStyle w:val="3"/>
        <w:overflowPunct w:val="0"/>
        <w:rPr>
          <w:lang w:eastAsia="zh-CN"/>
        </w:rPr>
      </w:pPr>
      <w:bookmarkStart w:id="17" w:name="_Toc91244871"/>
      <w:r>
        <w:rPr>
          <w:rFonts w:cs="宋体"/>
          <w:lang w:eastAsia="zh-CN"/>
        </w:rPr>
        <w:t>A.</w:t>
      </w:r>
      <w:r>
        <w:rPr>
          <w:rFonts w:cs="宋体"/>
          <w:lang w:eastAsia="zh-CN"/>
        </w:rPr>
        <w:tab/>
      </w:r>
      <w:r>
        <w:rPr>
          <w:rFonts w:cs="宋体"/>
          <w:lang w:eastAsia="zh-CN"/>
        </w:rPr>
        <w:t>提案阶段</w:t>
      </w:r>
      <w:bookmarkEnd w:id="17"/>
    </w:p>
    <w:p w14:paraId="51571E65">
      <w:pPr>
        <w:pStyle w:val="21"/>
        <w:overflowPunct w:val="0"/>
        <w:rPr>
          <w:lang w:eastAsia="zh-CN"/>
        </w:rPr>
      </w:pPr>
      <w:r>
        <w:rPr>
          <w:rFonts w:cs="宋体"/>
          <w:lang w:eastAsia="zh-CN"/>
        </w:rPr>
        <w:t>_______________________</w:t>
      </w:r>
    </w:p>
    <w:p w14:paraId="1635DA5E">
      <w:pPr>
        <w:pStyle w:val="21"/>
        <w:overflowPunct w:val="0"/>
        <w:jc w:val="left"/>
        <w:rPr>
          <w:lang w:eastAsia="zh-CN"/>
        </w:rPr>
      </w:pPr>
      <w:r>
        <w:rPr>
          <w:rFonts w:cs="宋体"/>
          <w:vertAlign w:val="superscript"/>
          <w:lang w:eastAsia="zh-CN"/>
        </w:rPr>
        <w:t>18</w:t>
      </w:r>
      <w:r>
        <w:rPr>
          <w:rFonts w:cs="宋体"/>
          <w:lang w:eastAsia="zh-CN"/>
        </w:rPr>
        <w:t>可登录以下网址查阅MDDT项目：https://www.fda.gov/MedicalDevices/ScienceandResearch/MedicalDeviceDevelopmentToolsMDDT/</w:t>
      </w:r>
    </w:p>
    <w:p w14:paraId="2B06FB2D">
      <w:pPr>
        <w:pStyle w:val="21"/>
        <w:overflowPunct w:val="0"/>
        <w:rPr>
          <w:i/>
          <w:lang w:eastAsia="zh-CN"/>
        </w:rPr>
      </w:pPr>
      <w:r>
        <w:rPr>
          <w:vertAlign w:val="superscript"/>
          <w:lang w:eastAsia="zh-CN"/>
        </w:rPr>
        <w:t xml:space="preserve">19 </w:t>
      </w:r>
      <w:r>
        <w:rPr>
          <w:i/>
          <w:lang w:eastAsia="zh-CN"/>
        </w:rPr>
        <w:t>Id.</w:t>
      </w:r>
    </w:p>
    <w:p w14:paraId="45DEBB93">
      <w:pPr>
        <w:overflowPunct w:val="0"/>
        <w:spacing w:before="120" w:beforeLines="50" w:line="300" w:lineRule="auto"/>
        <w:rPr>
          <w:rFonts w:cs="Times New Roman"/>
          <w:i/>
          <w:sz w:val="24"/>
          <w:szCs w:val="24"/>
          <w:lang w:eastAsia="zh-CN"/>
        </w:rPr>
      </w:pPr>
      <w:r>
        <w:rPr>
          <w:rFonts w:cs="宋体"/>
          <w:sz w:val="24"/>
          <w:lang w:eastAsia="zh-CN"/>
        </w:rPr>
        <w:br w:type="page"/>
      </w:r>
    </w:p>
    <w:p w14:paraId="0CCEC229">
      <w:pPr>
        <w:overflowPunct w:val="0"/>
        <w:spacing w:before="120" w:beforeLines="50" w:line="300" w:lineRule="auto"/>
        <w:rPr>
          <w:rFonts w:cs="Times New Roman"/>
          <w:sz w:val="24"/>
          <w:szCs w:val="24"/>
          <w:lang w:eastAsia="zh-CN"/>
        </w:rPr>
      </w:pPr>
      <w:r>
        <w:rPr>
          <w:rFonts w:cs="宋体"/>
          <w:sz w:val="24"/>
          <w:lang w:eastAsia="zh-CN"/>
        </w:rPr>
        <w:t>提案阶段旨在确定MDDT是否适合通过MDDT项目进行资格认证。接受提案的数量将取决于FDA的可用资源。</w:t>
      </w:r>
    </w:p>
    <w:p w14:paraId="72FB4481">
      <w:pPr>
        <w:overflowPunct w:val="0"/>
        <w:spacing w:before="120" w:beforeLines="50" w:line="300" w:lineRule="auto"/>
        <w:ind w:left="840" w:leftChars="200" w:hanging="420"/>
        <w:rPr>
          <w:rFonts w:cs="Times New Roman"/>
          <w:sz w:val="24"/>
          <w:szCs w:val="24"/>
          <w:lang w:eastAsia="zh-CN"/>
        </w:rPr>
      </w:pPr>
      <w:r>
        <w:rPr>
          <w:rFonts w:cs="宋体"/>
          <w:sz w:val="24"/>
          <w:lang w:eastAsia="zh-CN"/>
        </w:rPr>
        <w:t>1.</w:t>
      </w:r>
      <w:r>
        <w:rPr>
          <w:rFonts w:cs="宋体"/>
          <w:sz w:val="24"/>
          <w:lang w:eastAsia="zh-CN"/>
        </w:rPr>
        <w:tab/>
      </w:r>
      <w:r>
        <w:rPr>
          <w:rFonts w:cs="宋体"/>
          <w:sz w:val="24"/>
          <w:lang w:eastAsia="zh-CN"/>
        </w:rPr>
        <w:t>那些意图寻求资格认证的人应从提交提案开始。完整提案包应包括以下内容：</w:t>
      </w:r>
    </w:p>
    <w:p w14:paraId="2C80101C">
      <w:pPr>
        <w:overflowPunct w:val="0"/>
        <w:spacing w:before="120" w:beforeLines="50" w:line="300" w:lineRule="auto"/>
        <w:ind w:left="840" w:leftChars="400"/>
        <w:rPr>
          <w:rFonts w:cs="Times New Roman"/>
          <w:b/>
          <w:sz w:val="24"/>
          <w:szCs w:val="24"/>
          <w:u w:val="single"/>
          <w:lang w:eastAsia="zh-CN"/>
        </w:rPr>
      </w:pPr>
      <w:r>
        <w:rPr>
          <w:rFonts w:cs="宋体"/>
          <w:b/>
          <w:sz w:val="24"/>
          <w:u w:val="single"/>
          <w:lang w:eastAsia="zh-CN"/>
        </w:rPr>
        <w:t>MDDT描述</w:t>
      </w:r>
    </w:p>
    <w:p w14:paraId="47F6D6C4">
      <w:pPr>
        <w:pStyle w:val="23"/>
        <w:numPr>
          <w:ilvl w:val="0"/>
          <w:numId w:val="11"/>
        </w:numPr>
        <w:overflowPunct w:val="0"/>
        <w:spacing w:before="120" w:beforeLines="50" w:line="300" w:lineRule="auto"/>
        <w:ind w:firstLineChars="0"/>
        <w:rPr>
          <w:rFonts w:cs="Times New Roman"/>
          <w:sz w:val="24"/>
          <w:szCs w:val="24"/>
          <w:lang w:eastAsia="zh-CN"/>
        </w:rPr>
      </w:pPr>
      <w:r>
        <w:rPr>
          <w:rFonts w:cs="宋体"/>
          <w:sz w:val="24"/>
          <w:lang w:eastAsia="zh-CN"/>
        </w:rPr>
        <w:t>对开发工具类别（COA、BT、NAM）的描述，并作出适当解释。</w:t>
      </w:r>
    </w:p>
    <w:p w14:paraId="6399F9D0">
      <w:pPr>
        <w:pStyle w:val="23"/>
        <w:numPr>
          <w:ilvl w:val="0"/>
          <w:numId w:val="11"/>
        </w:numPr>
        <w:overflowPunct w:val="0"/>
        <w:spacing w:before="120" w:beforeLines="50" w:line="300" w:lineRule="auto"/>
        <w:ind w:firstLineChars="0"/>
        <w:rPr>
          <w:rFonts w:cs="Times New Roman"/>
          <w:sz w:val="24"/>
          <w:szCs w:val="24"/>
          <w:lang w:eastAsia="zh-CN"/>
        </w:rPr>
      </w:pPr>
      <w:r>
        <w:rPr>
          <w:rFonts w:cs="宋体"/>
          <w:sz w:val="24"/>
          <w:lang w:eastAsia="zh-CN"/>
        </w:rPr>
        <w:t>说明该产品（拟定开发工具）是否是已许可或已获批的医疗器械的声明。</w:t>
      </w:r>
    </w:p>
    <w:p w14:paraId="25118DE3">
      <w:pPr>
        <w:pStyle w:val="23"/>
        <w:numPr>
          <w:ilvl w:val="0"/>
          <w:numId w:val="11"/>
        </w:numPr>
        <w:overflowPunct w:val="0"/>
        <w:spacing w:before="120" w:beforeLines="50" w:line="300" w:lineRule="auto"/>
        <w:ind w:firstLineChars="0"/>
        <w:rPr>
          <w:rFonts w:cs="Times New Roman"/>
          <w:sz w:val="24"/>
          <w:szCs w:val="24"/>
          <w:lang w:eastAsia="zh-CN"/>
        </w:rPr>
      </w:pPr>
      <w:r>
        <w:rPr>
          <w:rFonts w:cs="宋体"/>
          <w:sz w:val="24"/>
          <w:lang w:eastAsia="zh-CN"/>
        </w:rPr>
        <w:t>对拟定使用情景的描述，并解释器械申请方在使用情景内如何使用该开发工具（即该工具旨在测量或评价哪些内容）。</w:t>
      </w:r>
    </w:p>
    <w:p w14:paraId="2D7CF177">
      <w:pPr>
        <w:pStyle w:val="23"/>
        <w:numPr>
          <w:ilvl w:val="0"/>
          <w:numId w:val="11"/>
        </w:numPr>
        <w:overflowPunct w:val="0"/>
        <w:spacing w:before="120" w:beforeLines="50" w:line="300" w:lineRule="auto"/>
        <w:ind w:firstLineChars="0"/>
        <w:rPr>
          <w:rFonts w:cs="Times New Roman"/>
          <w:sz w:val="24"/>
          <w:szCs w:val="24"/>
          <w:lang w:eastAsia="zh-CN"/>
        </w:rPr>
      </w:pPr>
      <w:r>
        <w:rPr>
          <w:rFonts w:cs="宋体"/>
          <w:sz w:val="24"/>
          <w:lang w:eastAsia="zh-CN"/>
        </w:rPr>
        <w:t>对开发工具的描述，应有充足细节以便CDRH了解该开发工具。</w:t>
      </w:r>
    </w:p>
    <w:p w14:paraId="2D483E52">
      <w:pPr>
        <w:pStyle w:val="23"/>
        <w:numPr>
          <w:ilvl w:val="0"/>
          <w:numId w:val="11"/>
        </w:numPr>
        <w:overflowPunct w:val="0"/>
        <w:spacing w:before="120" w:beforeLines="50" w:line="300" w:lineRule="auto"/>
        <w:ind w:firstLineChars="0"/>
        <w:rPr>
          <w:rFonts w:cs="Times New Roman"/>
          <w:sz w:val="24"/>
          <w:szCs w:val="24"/>
          <w:lang w:eastAsia="zh-CN"/>
        </w:rPr>
      </w:pPr>
      <w:r>
        <w:rPr>
          <w:rFonts w:cs="宋体"/>
          <w:sz w:val="24"/>
          <w:lang w:eastAsia="zh-CN"/>
        </w:rPr>
        <w:t>关于开发工具如何实现特定措施的描述。这可以酌情包括示意图、照片、数据和工程图。</w:t>
      </w:r>
    </w:p>
    <w:p w14:paraId="478B8C55">
      <w:pPr>
        <w:overflowPunct w:val="0"/>
        <w:spacing w:before="120" w:beforeLines="50" w:line="300" w:lineRule="auto"/>
        <w:ind w:left="840" w:leftChars="400"/>
        <w:rPr>
          <w:rFonts w:cs="Times New Roman"/>
          <w:b/>
          <w:sz w:val="24"/>
          <w:szCs w:val="24"/>
          <w:u w:val="single"/>
          <w:lang w:eastAsia="zh-CN"/>
        </w:rPr>
      </w:pPr>
      <w:r>
        <w:rPr>
          <w:rFonts w:cs="宋体"/>
          <w:b/>
          <w:sz w:val="24"/>
          <w:u w:val="single"/>
          <w:lang w:eastAsia="zh-CN"/>
        </w:rPr>
        <w:t>依据</w:t>
      </w:r>
    </w:p>
    <w:p w14:paraId="4F9369BA">
      <w:pPr>
        <w:pStyle w:val="23"/>
        <w:numPr>
          <w:ilvl w:val="0"/>
          <w:numId w:val="12"/>
        </w:numPr>
        <w:overflowPunct w:val="0"/>
        <w:spacing w:before="120" w:beforeLines="50" w:line="300" w:lineRule="auto"/>
        <w:ind w:firstLineChars="0"/>
        <w:rPr>
          <w:rFonts w:cs="Times New Roman"/>
          <w:sz w:val="24"/>
          <w:szCs w:val="24"/>
          <w:lang w:eastAsia="zh-CN"/>
        </w:rPr>
      </w:pPr>
      <w:r>
        <w:rPr>
          <w:rFonts w:cs="宋体"/>
          <w:sz w:val="24"/>
          <w:lang w:eastAsia="zh-CN"/>
        </w:rPr>
        <w:t>关于该工具如何满足公共健康需求的描述。</w:t>
      </w:r>
    </w:p>
    <w:p w14:paraId="654BDE08">
      <w:pPr>
        <w:pStyle w:val="23"/>
        <w:numPr>
          <w:ilvl w:val="0"/>
          <w:numId w:val="12"/>
        </w:numPr>
        <w:overflowPunct w:val="0"/>
        <w:spacing w:before="120" w:beforeLines="50" w:line="300" w:lineRule="auto"/>
        <w:ind w:firstLineChars="0"/>
        <w:rPr>
          <w:rFonts w:cs="Times New Roman"/>
          <w:sz w:val="24"/>
          <w:szCs w:val="24"/>
          <w:lang w:eastAsia="zh-CN"/>
        </w:rPr>
      </w:pPr>
      <w:r>
        <w:rPr>
          <w:rFonts w:cs="宋体"/>
          <w:sz w:val="24"/>
          <w:lang w:eastAsia="zh-CN"/>
        </w:rPr>
        <w:t>对开发工具准备情况的描述。如果工具尚未完全开发，应包括开发时间表。</w:t>
      </w:r>
    </w:p>
    <w:p w14:paraId="2A91D477">
      <w:pPr>
        <w:pStyle w:val="23"/>
        <w:numPr>
          <w:ilvl w:val="0"/>
          <w:numId w:val="12"/>
        </w:numPr>
        <w:overflowPunct w:val="0"/>
        <w:spacing w:before="120" w:beforeLines="50" w:line="300" w:lineRule="auto"/>
        <w:ind w:firstLineChars="0"/>
        <w:rPr>
          <w:rFonts w:cs="Times New Roman"/>
          <w:sz w:val="24"/>
          <w:szCs w:val="24"/>
          <w:lang w:eastAsia="zh-CN"/>
        </w:rPr>
      </w:pPr>
      <w:r>
        <w:rPr>
          <w:rFonts w:cs="宋体"/>
          <w:sz w:val="24"/>
          <w:lang w:eastAsia="zh-CN"/>
        </w:rPr>
        <w:t>用于资格认证开发工具的拟定证据计划的简要概述（包括时间表）。</w:t>
      </w:r>
    </w:p>
    <w:p w14:paraId="3790A0DD">
      <w:pPr>
        <w:pStyle w:val="23"/>
        <w:numPr>
          <w:ilvl w:val="0"/>
          <w:numId w:val="12"/>
        </w:numPr>
        <w:overflowPunct w:val="0"/>
        <w:spacing w:before="120" w:beforeLines="50" w:line="300" w:lineRule="auto"/>
        <w:ind w:firstLineChars="0"/>
        <w:rPr>
          <w:rFonts w:cs="Times New Roman"/>
          <w:sz w:val="24"/>
          <w:szCs w:val="24"/>
          <w:lang w:eastAsia="zh-CN"/>
        </w:rPr>
      </w:pPr>
      <w:r>
        <w:rPr>
          <w:rFonts w:cs="宋体"/>
          <w:sz w:val="24"/>
          <w:lang w:eastAsia="zh-CN"/>
        </w:rPr>
        <w:t>意图寻求资格认证的人应通过FDA的Q-申请项目与FDA会面。</w:t>
      </w:r>
      <w:r>
        <w:rPr>
          <w:rFonts w:cs="宋体"/>
          <w:sz w:val="24"/>
          <w:vertAlign w:val="superscript"/>
          <w:lang w:eastAsia="zh-CN"/>
        </w:rPr>
        <w:t>20</w:t>
      </w:r>
    </w:p>
    <w:p w14:paraId="42780AA3">
      <w:pPr>
        <w:overflowPunct w:val="0"/>
        <w:spacing w:before="120" w:beforeLines="50" w:line="300" w:lineRule="auto"/>
        <w:ind w:left="840" w:leftChars="200" w:hanging="420"/>
        <w:rPr>
          <w:rFonts w:cs="Times New Roman"/>
          <w:sz w:val="24"/>
          <w:szCs w:val="24"/>
          <w:lang w:eastAsia="zh-CN"/>
        </w:rPr>
      </w:pPr>
      <w:r>
        <w:rPr>
          <w:rFonts w:cs="宋体"/>
          <w:sz w:val="24"/>
          <w:lang w:eastAsia="zh-CN"/>
        </w:rPr>
        <w:t>2.</w:t>
      </w:r>
      <w:r>
        <w:rPr>
          <w:rFonts w:cs="宋体"/>
          <w:sz w:val="24"/>
          <w:lang w:eastAsia="zh-CN"/>
        </w:rPr>
        <w:tab/>
      </w:r>
      <w:r>
        <w:rPr>
          <w:rFonts w:cs="宋体"/>
          <w:sz w:val="24"/>
          <w:lang w:eastAsia="zh-CN"/>
        </w:rPr>
        <w:t>CDRH计划审查提案，并优先考虑那些更有可能满足公共健康需求的提案。以下各项将有利于工具满足公共健康需求：</w:t>
      </w:r>
    </w:p>
    <w:p w14:paraId="123CEC94">
      <w:pPr>
        <w:pStyle w:val="21"/>
        <w:overflowPunct w:val="0"/>
        <w:rPr>
          <w:lang w:eastAsia="zh-CN"/>
        </w:rPr>
      </w:pPr>
      <w:bookmarkStart w:id="18" w:name="_bookmark32"/>
      <w:bookmarkEnd w:id="18"/>
      <w:r>
        <w:rPr>
          <w:rFonts w:hint="eastAsia"/>
        </w:rPr>
        <w:t>_______________________</w:t>
      </w:r>
    </w:p>
    <w:p w14:paraId="464CA9AE">
      <w:pPr>
        <w:pStyle w:val="21"/>
        <w:overflowPunct w:val="0"/>
        <w:topLinePunct/>
        <w:autoSpaceDE/>
        <w:autoSpaceDN/>
        <w:jc w:val="left"/>
      </w:pPr>
      <w:r>
        <w:rPr>
          <w:vertAlign w:val="superscript"/>
        </w:rPr>
        <w:t xml:space="preserve">20 </w:t>
      </w:r>
      <w:r>
        <w:t>http://www.fda.gov/downloads/medicaldevices/deviceregulationandguidance/guidancedocuments/ucm311176.pdf</w:t>
      </w:r>
    </w:p>
    <w:p w14:paraId="06164FBB">
      <w:pPr>
        <w:overflowPunct w:val="0"/>
        <w:spacing w:before="120" w:beforeLines="50" w:line="300" w:lineRule="auto"/>
        <w:rPr>
          <w:rFonts w:cs="Times New Roman"/>
          <w:sz w:val="24"/>
          <w:szCs w:val="24"/>
        </w:rPr>
      </w:pPr>
      <w:r>
        <w:rPr>
          <w:rFonts w:cs="宋体"/>
          <w:sz w:val="24"/>
        </w:rPr>
        <w:br w:type="page"/>
      </w:r>
    </w:p>
    <w:p w14:paraId="20FD7268">
      <w:pPr>
        <w:pStyle w:val="23"/>
        <w:numPr>
          <w:ilvl w:val="2"/>
          <w:numId w:val="13"/>
        </w:numPr>
        <w:overflowPunct w:val="0"/>
        <w:spacing w:before="120" w:beforeLines="50" w:line="300" w:lineRule="auto"/>
        <w:ind w:firstLineChars="0"/>
        <w:rPr>
          <w:rFonts w:cs="Times New Roman"/>
          <w:sz w:val="24"/>
          <w:szCs w:val="24"/>
          <w:lang w:eastAsia="zh-CN"/>
        </w:rPr>
      </w:pPr>
      <w:r>
        <w:rPr>
          <w:rFonts w:cs="宋体"/>
          <w:sz w:val="24"/>
          <w:lang w:eastAsia="zh-CN"/>
        </w:rPr>
        <w:t>使用情景包括危及生命的疾病或病症和/或严重疾病或病症，或弱势群体（如儿童）；</w:t>
      </w:r>
    </w:p>
    <w:p w14:paraId="361ABF79">
      <w:pPr>
        <w:pStyle w:val="23"/>
        <w:numPr>
          <w:ilvl w:val="2"/>
          <w:numId w:val="13"/>
        </w:numPr>
        <w:overflowPunct w:val="0"/>
        <w:spacing w:before="120" w:beforeLines="50" w:line="300" w:lineRule="auto"/>
        <w:ind w:firstLineChars="0"/>
        <w:rPr>
          <w:rFonts w:cs="Times New Roman"/>
          <w:sz w:val="24"/>
          <w:szCs w:val="24"/>
          <w:lang w:eastAsia="zh-CN"/>
        </w:rPr>
      </w:pPr>
      <w:r>
        <w:rPr>
          <w:rFonts w:cs="宋体"/>
          <w:sz w:val="24"/>
          <w:lang w:eastAsia="zh-CN"/>
        </w:rPr>
        <w:t>使用情景包括没有既定监管评价范例的新技术或创新技术；</w:t>
      </w:r>
    </w:p>
    <w:p w14:paraId="3B304792">
      <w:pPr>
        <w:pStyle w:val="23"/>
        <w:numPr>
          <w:ilvl w:val="2"/>
          <w:numId w:val="13"/>
        </w:numPr>
        <w:overflowPunct w:val="0"/>
        <w:spacing w:before="120" w:beforeLines="50" w:line="300" w:lineRule="auto"/>
        <w:ind w:firstLineChars="0"/>
        <w:rPr>
          <w:rFonts w:cs="Times New Roman"/>
          <w:sz w:val="24"/>
          <w:szCs w:val="24"/>
          <w:lang w:eastAsia="zh-CN"/>
        </w:rPr>
      </w:pPr>
      <w:r>
        <w:rPr>
          <w:rFonts w:cs="宋体"/>
          <w:sz w:val="24"/>
          <w:lang w:eastAsia="zh-CN"/>
        </w:rPr>
        <w:t>没有/不良替代方案或未满足科学需求；</w:t>
      </w:r>
    </w:p>
    <w:p w14:paraId="463671DF">
      <w:pPr>
        <w:pStyle w:val="23"/>
        <w:numPr>
          <w:ilvl w:val="2"/>
          <w:numId w:val="13"/>
        </w:numPr>
        <w:overflowPunct w:val="0"/>
        <w:spacing w:before="120" w:beforeLines="50" w:line="300" w:lineRule="auto"/>
        <w:ind w:firstLineChars="0"/>
        <w:rPr>
          <w:rFonts w:cs="Times New Roman"/>
          <w:sz w:val="24"/>
          <w:szCs w:val="24"/>
          <w:lang w:eastAsia="zh-CN"/>
        </w:rPr>
      </w:pPr>
      <w:r>
        <w:rPr>
          <w:rFonts w:cs="宋体"/>
          <w:sz w:val="24"/>
          <w:lang w:eastAsia="zh-CN"/>
        </w:rPr>
        <w:t>在器械开发和评价时间方面效率较高；</w:t>
      </w:r>
    </w:p>
    <w:p w14:paraId="31BB5CF1">
      <w:pPr>
        <w:pStyle w:val="23"/>
        <w:numPr>
          <w:ilvl w:val="2"/>
          <w:numId w:val="13"/>
        </w:numPr>
        <w:overflowPunct w:val="0"/>
        <w:spacing w:before="120" w:beforeLines="50" w:line="300" w:lineRule="auto"/>
        <w:ind w:firstLineChars="0"/>
        <w:rPr>
          <w:rFonts w:cs="Times New Roman"/>
          <w:sz w:val="24"/>
          <w:szCs w:val="24"/>
          <w:lang w:eastAsia="zh-CN"/>
        </w:rPr>
      </w:pPr>
      <w:r>
        <w:rPr>
          <w:rFonts w:cs="宋体"/>
          <w:sz w:val="24"/>
          <w:lang w:eastAsia="zh-CN"/>
        </w:rPr>
        <w:t>与替代方案相比，使用该开发工具可以实现更安全或更少侵入性、更容易、更方便或更少可变性的测量；或</w:t>
      </w:r>
    </w:p>
    <w:p w14:paraId="7BE956B9">
      <w:pPr>
        <w:pStyle w:val="23"/>
        <w:numPr>
          <w:ilvl w:val="2"/>
          <w:numId w:val="13"/>
        </w:numPr>
        <w:overflowPunct w:val="0"/>
        <w:spacing w:before="120" w:beforeLines="50" w:line="300" w:lineRule="auto"/>
        <w:ind w:firstLineChars="0"/>
        <w:rPr>
          <w:rFonts w:cs="Times New Roman"/>
          <w:sz w:val="24"/>
          <w:szCs w:val="24"/>
          <w:lang w:eastAsia="zh-CN"/>
        </w:rPr>
      </w:pPr>
      <w:r>
        <w:rPr>
          <w:rFonts w:cs="宋体"/>
          <w:sz w:val="24"/>
          <w:lang w:eastAsia="zh-CN"/>
        </w:rPr>
        <w:t>可能影响多个器械开发项目和/或多个申请方。</w:t>
      </w:r>
    </w:p>
    <w:p w14:paraId="41B0FADB">
      <w:pPr>
        <w:overflowPunct w:val="0"/>
        <w:spacing w:before="120" w:beforeLines="50" w:line="300" w:lineRule="auto"/>
        <w:ind w:left="840" w:leftChars="200" w:hanging="420"/>
        <w:rPr>
          <w:rFonts w:cs="Times New Roman"/>
          <w:sz w:val="24"/>
          <w:szCs w:val="24"/>
          <w:lang w:eastAsia="zh-CN"/>
        </w:rPr>
      </w:pPr>
      <w:r>
        <w:rPr>
          <w:rFonts w:cs="宋体"/>
          <w:sz w:val="24"/>
          <w:lang w:eastAsia="zh-CN"/>
        </w:rPr>
        <w:t>3.</w:t>
      </w:r>
      <w:r>
        <w:rPr>
          <w:rFonts w:cs="宋体"/>
          <w:sz w:val="24"/>
          <w:lang w:eastAsia="zh-CN"/>
        </w:rPr>
        <w:tab/>
      </w:r>
      <w:r>
        <w:rPr>
          <w:rFonts w:cs="宋体"/>
          <w:sz w:val="24"/>
          <w:lang w:eastAsia="zh-CN"/>
        </w:rPr>
        <w:t>对于可能满足公共健康需求的提案，CDRH计划根据以下情况决定是否接受：</w:t>
      </w:r>
    </w:p>
    <w:p w14:paraId="3D9482F1">
      <w:pPr>
        <w:pStyle w:val="23"/>
        <w:numPr>
          <w:ilvl w:val="2"/>
          <w:numId w:val="13"/>
        </w:numPr>
        <w:overflowPunct w:val="0"/>
        <w:spacing w:before="120" w:beforeLines="50" w:line="300" w:lineRule="auto"/>
        <w:ind w:firstLineChars="0"/>
        <w:rPr>
          <w:rFonts w:cs="Times New Roman"/>
          <w:sz w:val="24"/>
          <w:szCs w:val="24"/>
          <w:lang w:eastAsia="zh-CN"/>
        </w:rPr>
      </w:pPr>
      <w:r>
        <w:rPr>
          <w:rFonts w:cs="宋体"/>
          <w:b/>
          <w:sz w:val="24"/>
          <w:lang w:eastAsia="zh-CN"/>
        </w:rPr>
        <w:t>拟定使用情景：</w:t>
      </w:r>
      <w:r>
        <w:rPr>
          <w:rFonts w:cs="宋体"/>
          <w:sz w:val="24"/>
          <w:lang w:eastAsia="zh-CN"/>
        </w:rPr>
        <w:t>现有信息是否支持拟定使用情景的工具原理/测量方法？使用情景是否可行并有利于满足公共健康需求？</w:t>
      </w:r>
    </w:p>
    <w:p w14:paraId="05703A29">
      <w:pPr>
        <w:pStyle w:val="23"/>
        <w:numPr>
          <w:ilvl w:val="2"/>
          <w:numId w:val="13"/>
        </w:numPr>
        <w:overflowPunct w:val="0"/>
        <w:spacing w:before="120" w:beforeLines="50" w:line="300" w:lineRule="auto"/>
        <w:ind w:firstLineChars="0"/>
        <w:rPr>
          <w:rFonts w:cs="Times New Roman"/>
          <w:sz w:val="24"/>
          <w:szCs w:val="24"/>
          <w:lang w:eastAsia="zh-CN"/>
        </w:rPr>
      </w:pPr>
      <w:r>
        <w:rPr>
          <w:rFonts w:cs="宋体"/>
          <w:b/>
          <w:sz w:val="24"/>
          <w:lang w:eastAsia="zh-CN"/>
        </w:rPr>
        <w:t>优先级：</w:t>
      </w:r>
      <w:r>
        <w:rPr>
          <w:rFonts w:cs="宋体"/>
          <w:sz w:val="24"/>
          <w:lang w:eastAsia="zh-CN"/>
        </w:rPr>
        <w:t>CDRH是否有适当资源审查该工具（根据满足确定的公共健康需求的潜在影响）？提交者提交资格认证包的预期时间是否能满足公共健康需求？</w:t>
      </w:r>
    </w:p>
    <w:p w14:paraId="3D73EBDF">
      <w:pPr>
        <w:pStyle w:val="23"/>
        <w:numPr>
          <w:ilvl w:val="2"/>
          <w:numId w:val="13"/>
        </w:numPr>
        <w:overflowPunct w:val="0"/>
        <w:spacing w:before="120" w:beforeLines="50" w:line="300" w:lineRule="auto"/>
        <w:ind w:firstLineChars="0"/>
        <w:rPr>
          <w:rFonts w:cs="Times New Roman"/>
          <w:sz w:val="24"/>
          <w:szCs w:val="24"/>
          <w:lang w:eastAsia="zh-CN"/>
        </w:rPr>
      </w:pPr>
      <w:r>
        <w:rPr>
          <w:rFonts w:cs="宋体"/>
          <w:b/>
          <w:sz w:val="24"/>
          <w:lang w:eastAsia="zh-CN"/>
        </w:rPr>
        <w:t>工具准备情况：</w:t>
      </w:r>
      <w:r>
        <w:rPr>
          <w:rFonts w:cs="宋体"/>
          <w:sz w:val="24"/>
          <w:lang w:eastAsia="zh-CN"/>
        </w:rPr>
        <w:t>该工具是否以原型或最终形式存在？</w:t>
      </w:r>
    </w:p>
    <w:p w14:paraId="232C8D99">
      <w:pPr>
        <w:overflowPunct w:val="0"/>
        <w:spacing w:before="120" w:beforeLines="50" w:line="300" w:lineRule="auto"/>
        <w:ind w:left="840" w:leftChars="200" w:hanging="420"/>
        <w:rPr>
          <w:rFonts w:cs="Times New Roman"/>
          <w:sz w:val="24"/>
          <w:szCs w:val="24"/>
          <w:lang w:eastAsia="zh-CN"/>
        </w:rPr>
      </w:pPr>
      <w:r>
        <w:rPr>
          <w:rFonts w:cs="宋体"/>
          <w:sz w:val="24"/>
          <w:lang w:eastAsia="zh-CN"/>
        </w:rPr>
        <w:t>4.</w:t>
      </w:r>
      <w:r>
        <w:rPr>
          <w:rFonts w:cs="宋体"/>
          <w:sz w:val="24"/>
          <w:lang w:eastAsia="zh-CN"/>
        </w:rPr>
        <w:tab/>
      </w:r>
      <w:r>
        <w:rPr>
          <w:rFonts w:cs="宋体"/>
          <w:sz w:val="24"/>
          <w:lang w:eastAsia="zh-CN"/>
        </w:rPr>
        <w:t>CDRH预期在收到提案后60天左右以书面形式通知提交者关于提案接受的决定。对于获接受的提案，CDRH预期为提交者推荐适合的下一阶段（孵化、预资格认证或资格认证阶段）。对于那些未获接受的提案，CDRH还预期说明作出该决定的因素。</w:t>
      </w:r>
    </w:p>
    <w:p w14:paraId="7F40FA46">
      <w:pPr>
        <w:pStyle w:val="3"/>
        <w:overflowPunct w:val="0"/>
        <w:rPr>
          <w:lang w:eastAsia="zh-CN"/>
        </w:rPr>
      </w:pPr>
      <w:bookmarkStart w:id="19" w:name="_Toc91244872"/>
      <w:r>
        <w:rPr>
          <w:rFonts w:cs="宋体"/>
          <w:lang w:eastAsia="zh-CN"/>
        </w:rPr>
        <w:t>B.</w:t>
      </w:r>
      <w:r>
        <w:rPr>
          <w:rFonts w:cs="宋体"/>
          <w:lang w:eastAsia="zh-CN"/>
        </w:rPr>
        <w:tab/>
      </w:r>
      <w:r>
        <w:rPr>
          <w:rFonts w:cs="宋体"/>
          <w:lang w:eastAsia="zh-CN"/>
        </w:rPr>
        <w:t>孵化阶段（可选）</w:t>
      </w:r>
      <w:bookmarkEnd w:id="19"/>
    </w:p>
    <w:p w14:paraId="7ACE4B82">
      <w:pPr>
        <w:overflowPunct w:val="0"/>
        <w:spacing w:before="120" w:beforeLines="50" w:line="300" w:lineRule="auto"/>
        <w:rPr>
          <w:rFonts w:cs="Times New Roman"/>
          <w:sz w:val="24"/>
          <w:szCs w:val="24"/>
          <w:lang w:eastAsia="zh-CN"/>
        </w:rPr>
      </w:pPr>
      <w:r>
        <w:rPr>
          <w:rFonts w:cs="宋体"/>
          <w:sz w:val="24"/>
          <w:lang w:eastAsia="zh-CN"/>
        </w:rPr>
        <w:t>在某些情况下，CDRH可能接受具有重大潜在公共健康影响但尚未完全开发的工具。 孵化阶段旨在促成CDRH与提交者合作，促进可能显著改善公共健康的工具开发。CDRH参与孵化阶段的能力可能受到现有资源的限制。</w:t>
      </w:r>
    </w:p>
    <w:p w14:paraId="5733B2A3">
      <w:pPr>
        <w:overflowPunct w:val="0"/>
        <w:spacing w:before="120" w:beforeLines="50" w:line="300" w:lineRule="auto"/>
        <w:rPr>
          <w:rFonts w:cs="Times New Roman"/>
          <w:sz w:val="24"/>
          <w:szCs w:val="24"/>
          <w:lang w:eastAsia="zh-CN"/>
        </w:rPr>
      </w:pPr>
      <w:r>
        <w:rPr>
          <w:rFonts w:cs="宋体"/>
          <w:sz w:val="24"/>
          <w:lang w:eastAsia="zh-CN"/>
        </w:rPr>
        <w:br w:type="page"/>
      </w:r>
    </w:p>
    <w:p w14:paraId="7558ED28">
      <w:pPr>
        <w:overflowPunct w:val="0"/>
        <w:spacing w:before="120" w:beforeLines="50" w:line="300" w:lineRule="auto"/>
        <w:ind w:left="420" w:hanging="420"/>
        <w:rPr>
          <w:rFonts w:cs="Times New Roman"/>
          <w:sz w:val="24"/>
          <w:szCs w:val="24"/>
          <w:lang w:eastAsia="zh-CN"/>
        </w:rPr>
      </w:pPr>
      <w:r>
        <w:rPr>
          <w:rFonts w:cs="宋体"/>
          <w:sz w:val="24"/>
          <w:lang w:eastAsia="zh-CN"/>
        </w:rPr>
        <w:t>1.</w:t>
      </w:r>
      <w:r>
        <w:rPr>
          <w:rFonts w:cs="宋体"/>
          <w:sz w:val="24"/>
          <w:lang w:eastAsia="zh-CN"/>
        </w:rPr>
        <w:tab/>
      </w:r>
      <w:r>
        <w:rPr>
          <w:rFonts w:cs="宋体"/>
          <w:sz w:val="24"/>
          <w:lang w:eastAsia="zh-CN"/>
        </w:rPr>
        <w:t>CDRH将在提案决定函中邀请适合的提交者参与孵化阶段的工作。</w:t>
      </w:r>
    </w:p>
    <w:p w14:paraId="6F8EFE7B">
      <w:pPr>
        <w:overflowPunct w:val="0"/>
        <w:spacing w:before="120" w:beforeLines="50" w:line="300" w:lineRule="auto"/>
        <w:ind w:left="420" w:hanging="420"/>
        <w:rPr>
          <w:rFonts w:cs="Times New Roman"/>
          <w:sz w:val="24"/>
          <w:szCs w:val="24"/>
          <w:lang w:eastAsia="zh-CN"/>
        </w:rPr>
      </w:pPr>
      <w:r>
        <w:rPr>
          <w:rFonts w:cs="宋体"/>
          <w:sz w:val="24"/>
          <w:lang w:eastAsia="zh-CN"/>
        </w:rPr>
        <w:t>2.</w:t>
      </w:r>
      <w:r>
        <w:rPr>
          <w:rFonts w:cs="宋体"/>
          <w:sz w:val="24"/>
          <w:lang w:eastAsia="zh-CN"/>
        </w:rPr>
        <w:tab/>
      </w:r>
      <w:r>
        <w:rPr>
          <w:rFonts w:cs="宋体"/>
          <w:sz w:val="24"/>
          <w:lang w:eastAsia="zh-CN"/>
        </w:rPr>
        <w:t>提交者可通过提交孵化咨询包（IIP）参与CDRH的工作。IIP应包括与提案包类似的内容，并应包括最新工具开发计划，该计划包括时间表、向CDRH提出的问题清单以及为进行富有成效的讨论而提供的任何其他信息：</w:t>
      </w:r>
    </w:p>
    <w:p w14:paraId="5BC5A4B3">
      <w:pPr>
        <w:overflowPunct w:val="0"/>
        <w:spacing w:before="120" w:beforeLines="50" w:line="300" w:lineRule="auto"/>
        <w:ind w:left="420" w:hanging="420"/>
        <w:rPr>
          <w:rFonts w:cs="Times New Roman"/>
          <w:sz w:val="24"/>
          <w:szCs w:val="24"/>
          <w:lang w:eastAsia="zh-CN"/>
        </w:rPr>
      </w:pPr>
      <w:r>
        <w:rPr>
          <w:rFonts w:cs="宋体"/>
          <w:sz w:val="24"/>
          <w:lang w:eastAsia="zh-CN"/>
        </w:rPr>
        <w:t>3.</w:t>
      </w:r>
      <w:r>
        <w:rPr>
          <w:rFonts w:cs="宋体"/>
          <w:sz w:val="24"/>
          <w:lang w:eastAsia="zh-CN"/>
        </w:rPr>
        <w:tab/>
      </w:r>
      <w:r>
        <w:rPr>
          <w:rFonts w:cs="宋体"/>
          <w:sz w:val="24"/>
          <w:lang w:eastAsia="zh-CN"/>
        </w:rPr>
        <w:t>CDRH预期对提交者的问题提供反馈，以协助工具的开发。在每次互动结束后，CDRH还可能建议该工具是否可以进入预资格认证或资格认证阶段。</w:t>
      </w:r>
    </w:p>
    <w:p w14:paraId="484C5625">
      <w:pPr>
        <w:pStyle w:val="3"/>
        <w:overflowPunct w:val="0"/>
        <w:rPr>
          <w:lang w:eastAsia="zh-CN"/>
        </w:rPr>
      </w:pPr>
      <w:bookmarkStart w:id="20" w:name="_Toc91244873"/>
      <w:r>
        <w:rPr>
          <w:rFonts w:cs="宋体"/>
          <w:lang w:eastAsia="zh-CN"/>
        </w:rPr>
        <w:t>C.</w:t>
      </w:r>
      <w:r>
        <w:rPr>
          <w:rFonts w:cs="宋体"/>
          <w:lang w:eastAsia="zh-CN"/>
        </w:rPr>
        <w:tab/>
      </w:r>
      <w:r>
        <w:rPr>
          <w:rFonts w:cs="宋体"/>
          <w:lang w:eastAsia="zh-CN"/>
        </w:rPr>
        <w:t>预资格认证阶段（可选）</w:t>
      </w:r>
      <w:bookmarkEnd w:id="20"/>
    </w:p>
    <w:p w14:paraId="3391B198">
      <w:pPr>
        <w:overflowPunct w:val="0"/>
        <w:spacing w:before="120" w:beforeLines="50" w:line="300" w:lineRule="auto"/>
        <w:rPr>
          <w:rFonts w:cs="Times New Roman"/>
          <w:sz w:val="24"/>
          <w:szCs w:val="24"/>
          <w:lang w:eastAsia="zh-CN"/>
        </w:rPr>
      </w:pPr>
      <w:r>
        <w:rPr>
          <w:rFonts w:cs="宋体"/>
          <w:sz w:val="24"/>
          <w:lang w:eastAsia="zh-CN"/>
        </w:rPr>
        <w:t>预资格认证阶段旨在使CDRH对收集证据以支持工具资格认证的计划提供反馈。</w:t>
      </w:r>
    </w:p>
    <w:p w14:paraId="7756DA20">
      <w:pPr>
        <w:overflowPunct w:val="0"/>
        <w:spacing w:before="120" w:beforeLines="50" w:line="300" w:lineRule="auto"/>
        <w:ind w:left="840" w:leftChars="200" w:hanging="420"/>
        <w:rPr>
          <w:rFonts w:cs="Times New Roman"/>
          <w:sz w:val="24"/>
          <w:szCs w:val="24"/>
          <w:lang w:eastAsia="zh-CN"/>
        </w:rPr>
      </w:pPr>
      <w:r>
        <w:rPr>
          <w:rFonts w:cs="宋体"/>
          <w:sz w:val="24"/>
          <w:lang w:eastAsia="zh-CN"/>
        </w:rPr>
        <w:t>1.</w:t>
      </w:r>
      <w:r>
        <w:rPr>
          <w:rFonts w:cs="宋体"/>
          <w:sz w:val="24"/>
          <w:lang w:eastAsia="zh-CN"/>
        </w:rPr>
        <w:tab/>
      </w:r>
      <w:r>
        <w:rPr>
          <w:rFonts w:cs="宋体"/>
          <w:sz w:val="24"/>
          <w:lang w:eastAsia="zh-CN"/>
        </w:rPr>
        <w:t>提交者应提供预资格认证包（PQP），其中包括与提案类似的内容，并提供其他细节，以便CDRH能够充分了解该工具和拟定COU。</w:t>
      </w:r>
    </w:p>
    <w:p w14:paraId="59FAE985">
      <w:pPr>
        <w:overflowPunct w:val="0"/>
        <w:spacing w:before="120" w:beforeLines="50" w:line="300" w:lineRule="auto"/>
        <w:ind w:left="840" w:leftChars="400"/>
        <w:rPr>
          <w:rFonts w:cs="Times New Roman"/>
          <w:sz w:val="24"/>
          <w:szCs w:val="24"/>
          <w:lang w:eastAsia="zh-CN"/>
        </w:rPr>
      </w:pPr>
      <w:r>
        <w:rPr>
          <w:rFonts w:cs="宋体"/>
          <w:sz w:val="24"/>
          <w:lang w:eastAsia="zh-CN"/>
        </w:rPr>
        <w:t>PQP应包括收集必要证据支持工具资格认证的完整计划。证据计划应包括为支持资格认证而完成的所有研究和测试的详细方案。还应酌情包括统计分析计划。虽然可提供已收集证据的总计数据以支持最终证据计划，但在预资格认证阶段不会审查完整测试报告和数据。</w:t>
      </w:r>
    </w:p>
    <w:p w14:paraId="09DD82BD">
      <w:pPr>
        <w:overflowPunct w:val="0"/>
        <w:spacing w:before="120" w:beforeLines="50" w:line="300" w:lineRule="auto"/>
        <w:ind w:left="840" w:leftChars="200" w:hanging="420"/>
        <w:rPr>
          <w:rFonts w:cs="Times New Roman"/>
          <w:sz w:val="24"/>
          <w:szCs w:val="24"/>
          <w:lang w:eastAsia="zh-CN"/>
        </w:rPr>
      </w:pPr>
      <w:r>
        <w:rPr>
          <w:rFonts w:cs="宋体"/>
          <w:sz w:val="24"/>
          <w:lang w:eastAsia="zh-CN"/>
        </w:rPr>
        <w:t>2.</w:t>
      </w:r>
      <w:r>
        <w:rPr>
          <w:rFonts w:cs="宋体"/>
          <w:sz w:val="24"/>
          <w:lang w:eastAsia="zh-CN"/>
        </w:rPr>
        <w:tab/>
      </w:r>
      <w:r>
        <w:rPr>
          <w:rFonts w:cs="宋体"/>
          <w:sz w:val="24"/>
          <w:lang w:eastAsia="zh-CN"/>
        </w:rPr>
        <w:t>CDRH之后会对工具描述、拟定COU和证据计划进行专家审查，并针对任何可能的研究或方案修改提供反馈，以改善证据计划。最后，当工具提交者证明所提交的证据计划似乎足以支持拟定COU时，该工具将进入资格认证阶段。</w:t>
      </w:r>
    </w:p>
    <w:p w14:paraId="11ED43F6">
      <w:pPr>
        <w:pStyle w:val="3"/>
        <w:overflowPunct w:val="0"/>
        <w:rPr>
          <w:lang w:eastAsia="zh-CN"/>
        </w:rPr>
      </w:pPr>
      <w:bookmarkStart w:id="21" w:name="_Toc91244874"/>
      <w:r>
        <w:rPr>
          <w:rFonts w:cs="宋体"/>
          <w:lang w:eastAsia="zh-CN"/>
        </w:rPr>
        <w:t>D.</w:t>
      </w:r>
      <w:r>
        <w:rPr>
          <w:rFonts w:cs="宋体"/>
          <w:lang w:eastAsia="zh-CN"/>
        </w:rPr>
        <w:tab/>
      </w:r>
      <w:r>
        <w:rPr>
          <w:rFonts w:cs="宋体"/>
          <w:lang w:eastAsia="zh-CN"/>
        </w:rPr>
        <w:t>资格认证阶段</w:t>
      </w:r>
      <w:bookmarkEnd w:id="21"/>
    </w:p>
    <w:p w14:paraId="5654E9CA">
      <w:pPr>
        <w:overflowPunct w:val="0"/>
        <w:spacing w:before="120" w:beforeLines="50" w:line="300" w:lineRule="auto"/>
        <w:rPr>
          <w:rFonts w:cs="Times New Roman"/>
          <w:sz w:val="24"/>
          <w:szCs w:val="24"/>
          <w:lang w:eastAsia="zh-CN"/>
        </w:rPr>
      </w:pPr>
      <w:r>
        <w:rPr>
          <w:rFonts w:cs="宋体"/>
          <w:sz w:val="24"/>
          <w:lang w:eastAsia="zh-CN"/>
        </w:rPr>
        <w:t>资格认证阶段旨在根据所提供的证据和依据，确定某一特定COU的工具是否合格（关于CDRH是否对MDDT进行资格认证时将考虑的因素，请参见第IV节）。</w:t>
      </w:r>
    </w:p>
    <w:p w14:paraId="1299D7C8">
      <w:pPr>
        <w:overflowPunct w:val="0"/>
        <w:spacing w:before="120" w:beforeLines="50" w:line="300" w:lineRule="auto"/>
        <w:ind w:left="840" w:leftChars="200" w:hanging="420"/>
        <w:rPr>
          <w:rFonts w:cs="Times New Roman"/>
          <w:sz w:val="24"/>
          <w:szCs w:val="24"/>
          <w:lang w:eastAsia="zh-CN"/>
        </w:rPr>
      </w:pPr>
      <w:r>
        <w:rPr>
          <w:rFonts w:cs="宋体"/>
          <w:sz w:val="24"/>
          <w:lang w:eastAsia="zh-CN"/>
        </w:rPr>
        <w:t>1.</w:t>
      </w:r>
      <w:r>
        <w:rPr>
          <w:rFonts w:cs="宋体"/>
          <w:sz w:val="24"/>
          <w:lang w:eastAsia="zh-CN"/>
        </w:rPr>
        <w:tab/>
      </w:r>
      <w:r>
        <w:rPr>
          <w:rFonts w:cs="宋体"/>
          <w:sz w:val="24"/>
          <w:lang w:eastAsia="zh-CN"/>
        </w:rPr>
        <w:t>提交者应提供完整资格认证包（资格认证包的示范概述参见附录1）。简而言之，该资格认证包应包括：</w:t>
      </w:r>
    </w:p>
    <w:p w14:paraId="32F7CEA0">
      <w:pPr>
        <w:overflowPunct w:val="0"/>
        <w:spacing w:before="120" w:beforeLines="50" w:line="300" w:lineRule="auto"/>
        <w:ind w:left="1260" w:leftChars="400" w:hanging="420"/>
        <w:rPr>
          <w:rFonts w:cs="Times New Roman"/>
          <w:sz w:val="24"/>
          <w:szCs w:val="24"/>
          <w:lang w:eastAsia="zh-CN"/>
        </w:rPr>
      </w:pPr>
      <w:r>
        <w:rPr>
          <w:rFonts w:cs="宋体"/>
          <w:sz w:val="24"/>
          <w:lang w:eastAsia="zh-CN"/>
        </w:rPr>
        <w:t>a.</w:t>
      </w:r>
      <w:r>
        <w:rPr>
          <w:rFonts w:cs="宋体"/>
          <w:sz w:val="24"/>
          <w:lang w:eastAsia="zh-CN"/>
        </w:rPr>
        <w:tab/>
      </w:r>
      <w:r>
        <w:rPr>
          <w:rFonts w:cs="宋体"/>
          <w:sz w:val="24"/>
          <w:lang w:eastAsia="zh-CN"/>
        </w:rPr>
        <w:t>提案和预资格认证部分中所述的所有描述性要素和方案；</w:t>
      </w:r>
    </w:p>
    <w:p w14:paraId="67BEA817">
      <w:pPr>
        <w:overflowPunct w:val="0"/>
        <w:spacing w:before="120" w:beforeLines="50" w:line="300" w:lineRule="auto"/>
        <w:rPr>
          <w:rFonts w:cs="Times New Roman"/>
          <w:sz w:val="24"/>
          <w:szCs w:val="24"/>
          <w:lang w:eastAsia="zh-CN"/>
        </w:rPr>
      </w:pPr>
      <w:r>
        <w:rPr>
          <w:rFonts w:cs="宋体"/>
          <w:sz w:val="24"/>
          <w:lang w:eastAsia="zh-CN"/>
        </w:rPr>
        <w:br w:type="page"/>
      </w:r>
    </w:p>
    <w:p w14:paraId="18435DA3">
      <w:pPr>
        <w:overflowPunct w:val="0"/>
        <w:spacing w:before="120" w:beforeLines="50" w:line="300" w:lineRule="auto"/>
        <w:ind w:left="1260" w:leftChars="400" w:hanging="420"/>
        <w:rPr>
          <w:rFonts w:cs="Times New Roman"/>
          <w:sz w:val="24"/>
          <w:szCs w:val="24"/>
          <w:lang w:eastAsia="zh-CN"/>
        </w:rPr>
      </w:pPr>
      <w:r>
        <w:rPr>
          <w:rFonts w:cs="宋体"/>
          <w:sz w:val="24"/>
          <w:lang w:eastAsia="zh-CN"/>
        </w:rPr>
        <w:t>b.</w:t>
      </w:r>
      <w:r>
        <w:rPr>
          <w:rFonts w:cs="宋体"/>
          <w:sz w:val="24"/>
          <w:lang w:eastAsia="zh-CN"/>
        </w:rPr>
        <w:tab/>
      </w:r>
      <w:r>
        <w:rPr>
          <w:rFonts w:cs="宋体"/>
          <w:sz w:val="24"/>
          <w:lang w:eastAsia="zh-CN"/>
        </w:rPr>
        <w:t>声明（如果该工具之前已提交给MDDT项目或通过药物开发工具项目提交）；</w:t>
      </w:r>
      <w:r>
        <w:rPr>
          <w:rFonts w:cs="宋体"/>
          <w:sz w:val="24"/>
          <w:vertAlign w:val="superscript"/>
          <w:lang w:eastAsia="zh-CN"/>
        </w:rPr>
        <w:t>21</w:t>
      </w:r>
    </w:p>
    <w:p w14:paraId="6B6C038A">
      <w:pPr>
        <w:overflowPunct w:val="0"/>
        <w:spacing w:before="120" w:beforeLines="50" w:line="300" w:lineRule="auto"/>
        <w:ind w:left="1260" w:leftChars="400" w:hanging="420"/>
        <w:rPr>
          <w:rFonts w:cs="Times New Roman"/>
          <w:sz w:val="24"/>
          <w:szCs w:val="24"/>
          <w:lang w:eastAsia="zh-CN"/>
        </w:rPr>
      </w:pPr>
      <w:r>
        <w:rPr>
          <w:rFonts w:cs="宋体"/>
          <w:sz w:val="24"/>
          <w:lang w:eastAsia="zh-CN"/>
        </w:rPr>
        <w:t>c.</w:t>
      </w:r>
      <w:r>
        <w:rPr>
          <w:rFonts w:cs="宋体"/>
          <w:sz w:val="24"/>
          <w:lang w:eastAsia="zh-CN"/>
        </w:rPr>
        <w:tab/>
      </w:r>
      <w:r>
        <w:rPr>
          <w:rFonts w:cs="宋体"/>
          <w:sz w:val="24"/>
          <w:lang w:eastAsia="zh-CN"/>
        </w:rPr>
        <w:t>MDDT描述；</w:t>
      </w:r>
    </w:p>
    <w:p w14:paraId="29D0B05B">
      <w:pPr>
        <w:overflowPunct w:val="0"/>
        <w:spacing w:before="120" w:beforeLines="50" w:line="300" w:lineRule="auto"/>
        <w:ind w:left="1260" w:leftChars="400" w:hanging="420"/>
        <w:rPr>
          <w:rFonts w:cs="Times New Roman"/>
          <w:sz w:val="24"/>
          <w:szCs w:val="24"/>
          <w:lang w:eastAsia="zh-CN"/>
        </w:rPr>
      </w:pPr>
      <w:r>
        <w:rPr>
          <w:rFonts w:cs="宋体"/>
          <w:sz w:val="24"/>
          <w:lang w:eastAsia="zh-CN"/>
        </w:rPr>
        <w:t>d.</w:t>
      </w:r>
      <w:r>
        <w:rPr>
          <w:rFonts w:cs="宋体"/>
          <w:sz w:val="24"/>
          <w:lang w:eastAsia="zh-CN"/>
        </w:rPr>
        <w:tab/>
      </w:r>
      <w:r>
        <w:rPr>
          <w:rFonts w:cs="宋体"/>
          <w:sz w:val="24"/>
          <w:lang w:eastAsia="zh-CN"/>
        </w:rPr>
        <w:t>支持资格认证所需的所有证据；</w:t>
      </w:r>
    </w:p>
    <w:p w14:paraId="460A6A33">
      <w:pPr>
        <w:overflowPunct w:val="0"/>
        <w:spacing w:before="120" w:beforeLines="50" w:line="300" w:lineRule="auto"/>
        <w:ind w:left="1260" w:leftChars="400" w:hanging="420"/>
        <w:rPr>
          <w:rFonts w:cs="Times New Roman"/>
          <w:sz w:val="24"/>
          <w:szCs w:val="24"/>
          <w:lang w:eastAsia="zh-CN"/>
        </w:rPr>
      </w:pPr>
      <w:r>
        <w:rPr>
          <w:rFonts w:cs="宋体"/>
          <w:sz w:val="24"/>
          <w:lang w:eastAsia="zh-CN"/>
        </w:rPr>
        <w:t>e.</w:t>
      </w:r>
      <w:r>
        <w:rPr>
          <w:rFonts w:cs="宋体"/>
          <w:sz w:val="24"/>
          <w:lang w:eastAsia="zh-CN"/>
        </w:rPr>
        <w:tab/>
      </w:r>
      <w:r>
        <w:rPr>
          <w:rFonts w:cs="宋体"/>
          <w:sz w:val="24"/>
          <w:lang w:eastAsia="zh-CN"/>
        </w:rPr>
        <w:t>关于证据强度如何支持资格认证的讨论；</w:t>
      </w:r>
    </w:p>
    <w:p w14:paraId="189909E3">
      <w:pPr>
        <w:overflowPunct w:val="0"/>
        <w:spacing w:before="120" w:beforeLines="50" w:line="300" w:lineRule="auto"/>
        <w:ind w:left="1260" w:leftChars="400" w:hanging="420"/>
        <w:rPr>
          <w:rFonts w:cs="Times New Roman"/>
          <w:sz w:val="24"/>
          <w:szCs w:val="24"/>
          <w:lang w:eastAsia="zh-CN"/>
        </w:rPr>
      </w:pPr>
      <w:r>
        <w:rPr>
          <w:rFonts w:cs="宋体"/>
          <w:sz w:val="24"/>
          <w:lang w:eastAsia="zh-CN"/>
        </w:rPr>
        <w:t>f.</w:t>
      </w:r>
      <w:r>
        <w:rPr>
          <w:rFonts w:cs="宋体"/>
          <w:sz w:val="24"/>
          <w:lang w:eastAsia="zh-CN"/>
        </w:rPr>
        <w:tab/>
      </w:r>
      <w:r>
        <w:rPr>
          <w:rFonts w:cs="宋体"/>
          <w:sz w:val="24"/>
          <w:lang w:eastAsia="zh-CN"/>
        </w:rPr>
        <w:t>对工具使用的优势和劣势的评价。</w:t>
      </w:r>
    </w:p>
    <w:p w14:paraId="421CF765">
      <w:pPr>
        <w:overflowPunct w:val="0"/>
        <w:spacing w:before="120" w:beforeLines="50" w:line="300" w:lineRule="auto"/>
        <w:ind w:left="840" w:leftChars="400"/>
        <w:rPr>
          <w:rFonts w:cs="Times New Roman"/>
          <w:sz w:val="24"/>
          <w:szCs w:val="24"/>
          <w:lang w:eastAsia="zh-CN"/>
        </w:rPr>
      </w:pPr>
      <w:r>
        <w:rPr>
          <w:rFonts w:cs="宋体"/>
          <w:sz w:val="24"/>
          <w:lang w:eastAsia="zh-CN"/>
        </w:rPr>
        <w:t>该资格认证包还应包括以下内容，以促进MDDT的正确使用：</w:t>
      </w:r>
    </w:p>
    <w:p w14:paraId="6C4BC4CA">
      <w:pPr>
        <w:overflowPunct w:val="0"/>
        <w:spacing w:before="120" w:beforeLines="50" w:line="300" w:lineRule="auto"/>
        <w:ind w:left="1320" w:leftChars="4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如何与工具开发者联系以获取工具的信息，以及</w:t>
      </w:r>
    </w:p>
    <w:p w14:paraId="31C97730">
      <w:pPr>
        <w:overflowPunct w:val="0"/>
        <w:spacing w:before="120" w:beforeLines="50" w:line="300" w:lineRule="auto"/>
        <w:ind w:left="1320" w:leftChars="4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关于申请方如何使用在临床试验中来源于该工具使用的数据提交监管申请的信息。</w:t>
      </w:r>
    </w:p>
    <w:p w14:paraId="18EE4561">
      <w:pPr>
        <w:overflowPunct w:val="0"/>
        <w:spacing w:before="120" w:beforeLines="50" w:line="300" w:lineRule="auto"/>
        <w:ind w:left="840" w:leftChars="200" w:hanging="420"/>
        <w:rPr>
          <w:rFonts w:cs="Times New Roman"/>
          <w:sz w:val="24"/>
          <w:szCs w:val="24"/>
          <w:lang w:eastAsia="zh-CN"/>
        </w:rPr>
      </w:pPr>
      <w:r>
        <w:rPr>
          <w:rFonts w:cs="宋体"/>
          <w:sz w:val="24"/>
          <w:lang w:eastAsia="zh-CN"/>
        </w:rPr>
        <w:t>2.</w:t>
      </w:r>
      <w:r>
        <w:rPr>
          <w:rFonts w:cs="宋体"/>
          <w:sz w:val="24"/>
          <w:lang w:eastAsia="zh-CN"/>
        </w:rPr>
        <w:tab/>
      </w:r>
      <w:r>
        <w:rPr>
          <w:rFonts w:cs="宋体"/>
          <w:sz w:val="24"/>
          <w:lang w:eastAsia="zh-CN"/>
        </w:rPr>
        <w:t>CDRH计划根据第IV节中所述的决策框架审查资格认证包。如果该工具予以充分描述，拟定COU获得适当确定，证据强度支持在拟定COU中使用MDDT，并且在拟定使用情景下使用工具的可能优势超过可能劣势，则CDRH预期判定MDDT合格。一旦CDRH决定是否对某一工具进行资格认证，CDRH将以书面形式通知提交者该决定。</w:t>
      </w:r>
    </w:p>
    <w:p w14:paraId="07E86505">
      <w:pPr>
        <w:overflowPunct w:val="0"/>
        <w:spacing w:before="120" w:beforeLines="50" w:line="300" w:lineRule="auto"/>
        <w:ind w:left="840" w:leftChars="200" w:hanging="420"/>
        <w:rPr>
          <w:rFonts w:cs="Times New Roman"/>
          <w:sz w:val="24"/>
          <w:szCs w:val="24"/>
          <w:lang w:eastAsia="zh-CN"/>
        </w:rPr>
      </w:pPr>
      <w:r>
        <w:rPr>
          <w:rFonts w:cs="宋体"/>
          <w:sz w:val="24"/>
          <w:lang w:eastAsia="zh-CN"/>
        </w:rPr>
        <w:t>3.</w:t>
      </w:r>
      <w:r>
        <w:rPr>
          <w:rFonts w:cs="宋体"/>
          <w:sz w:val="24"/>
          <w:lang w:eastAsia="zh-CN"/>
        </w:rPr>
        <w:tab/>
      </w:r>
      <w:r>
        <w:rPr>
          <w:rFonts w:cs="宋体"/>
          <w:sz w:val="24"/>
          <w:lang w:eastAsia="zh-CN"/>
        </w:rPr>
        <w:t>如第VI节所述，CDRH预期公布有关合格工具的某些高级信息。</w:t>
      </w:r>
    </w:p>
    <w:p w14:paraId="79782EEE">
      <w:pPr>
        <w:pStyle w:val="3"/>
        <w:overflowPunct w:val="0"/>
        <w:rPr>
          <w:lang w:eastAsia="zh-CN"/>
        </w:rPr>
      </w:pPr>
      <w:bookmarkStart w:id="22" w:name="_Toc91244875"/>
      <w:r>
        <w:rPr>
          <w:rFonts w:cs="宋体"/>
          <w:lang w:eastAsia="zh-CN"/>
        </w:rPr>
        <w:t>E.</w:t>
      </w:r>
      <w:r>
        <w:rPr>
          <w:rFonts w:cs="宋体"/>
          <w:lang w:eastAsia="zh-CN"/>
        </w:rPr>
        <w:tab/>
      </w:r>
      <w:r>
        <w:rPr>
          <w:rFonts w:cs="宋体"/>
          <w:lang w:eastAsia="zh-CN"/>
        </w:rPr>
        <w:t>资格认证状态的潜在变化</w:t>
      </w:r>
      <w:bookmarkEnd w:id="22"/>
    </w:p>
    <w:p w14:paraId="12AD508F">
      <w:pPr>
        <w:overflowPunct w:val="0"/>
        <w:spacing w:before="120" w:beforeLines="50" w:line="300" w:lineRule="auto"/>
        <w:rPr>
          <w:rFonts w:cs="Times New Roman"/>
          <w:sz w:val="24"/>
          <w:szCs w:val="24"/>
          <w:lang w:eastAsia="zh-CN"/>
        </w:rPr>
      </w:pPr>
      <w:r>
        <w:rPr>
          <w:rFonts w:cs="宋体"/>
          <w:sz w:val="24"/>
          <w:lang w:eastAsia="zh-CN"/>
        </w:rPr>
        <w:t>MDDT合格后，其开发者可能希望根据新数据或不断变化的科学来修改或扩展其COU。随着时间的推移，可以通过资格认证程序对合格COU进行修改或逐步扩展。也可能出现这样的情况，即判定MDDT合格的依据发生了变化，CDRH可以重新评价资格认证决定。</w:t>
      </w:r>
    </w:p>
    <w:p w14:paraId="1DF8273D">
      <w:pPr>
        <w:pStyle w:val="2"/>
        <w:overflowPunct w:val="0"/>
        <w:rPr>
          <w:lang w:eastAsia="zh-CN"/>
        </w:rPr>
      </w:pPr>
      <w:bookmarkStart w:id="23" w:name="_Toc91244876"/>
      <w:r>
        <w:rPr>
          <w:rFonts w:cs="宋体"/>
          <w:lang w:eastAsia="zh-CN"/>
        </w:rPr>
        <w:t>VI.</w:t>
      </w:r>
      <w:r>
        <w:rPr>
          <w:rFonts w:cs="宋体"/>
          <w:lang w:eastAsia="zh-CN"/>
        </w:rPr>
        <w:tab/>
      </w:r>
      <w:r>
        <w:rPr>
          <w:rFonts w:cs="宋体"/>
          <w:lang w:eastAsia="zh-CN"/>
        </w:rPr>
        <w:t>向公众传达FDA的资格认证决定</w:t>
      </w:r>
      <w:bookmarkEnd w:id="23"/>
    </w:p>
    <w:p w14:paraId="540605DB">
      <w:pPr>
        <w:overflowPunct w:val="0"/>
        <w:spacing w:before="120" w:beforeLines="50" w:line="300" w:lineRule="auto"/>
        <w:rPr>
          <w:rFonts w:cs="Times New Roman"/>
          <w:sz w:val="24"/>
          <w:szCs w:val="24"/>
        </w:rPr>
      </w:pPr>
      <w:r>
        <w:rPr>
          <w:rFonts w:cs="宋体"/>
          <w:sz w:val="24"/>
          <w:lang w:eastAsia="zh-CN"/>
        </w:rPr>
        <w:t>一旦MDDT获得特定COU的资格，FDA预期接受任何医疗器械申请方对该COU的使用。该自愿FDA MDDT项目旨在促进工具的开发和广泛使用，以简化器械开发和监管评价。为了实现这些目标，最佳办法是公开这些工具的某些高级信息，以便工具开发者以外的器械申请方了解合格工具的存在及潜在效用。因此，FDA仅预期在其可以公开这些信息的情况下对工具进行资格认证。具体而言，如果FDA资格认证工具，则预期公开披露证据总结和资格认证依据（SEBQ）。</w:t>
      </w:r>
      <w:r>
        <w:rPr>
          <w:rFonts w:cs="宋体"/>
          <w:sz w:val="24"/>
        </w:rPr>
        <w:t>SEBQ包括：</w:t>
      </w:r>
    </w:p>
    <w:p w14:paraId="061B9354">
      <w:pPr>
        <w:pStyle w:val="21"/>
        <w:overflowPunct w:val="0"/>
        <w:rPr>
          <w:lang w:eastAsia="zh-CN"/>
        </w:rPr>
      </w:pPr>
      <w:r>
        <w:rPr>
          <w:rFonts w:cs="宋体"/>
        </w:rPr>
        <w:t>_______________________</w:t>
      </w:r>
    </w:p>
    <w:p w14:paraId="6AEFBF27">
      <w:pPr>
        <w:pStyle w:val="21"/>
        <w:overflowPunct w:val="0"/>
      </w:pPr>
      <w:r>
        <w:rPr>
          <w:vertAlign w:val="superscript"/>
        </w:rPr>
        <w:t xml:space="preserve">21 </w:t>
      </w:r>
      <w:r>
        <w:t>http://www.fda.gov/Drugs/DevelopmentApprovalProcess/DrugDevelopmentToolsQualificationProgram/</w:t>
      </w:r>
    </w:p>
    <w:p w14:paraId="0A851982">
      <w:pPr>
        <w:overflowPunct w:val="0"/>
        <w:spacing w:before="120" w:beforeLines="50" w:line="300" w:lineRule="auto"/>
        <w:rPr>
          <w:rFonts w:cs="Times New Roman"/>
          <w:sz w:val="24"/>
          <w:szCs w:val="24"/>
        </w:rPr>
      </w:pPr>
      <w:r>
        <w:rPr>
          <w:rFonts w:cs="宋体"/>
          <w:sz w:val="24"/>
        </w:rPr>
        <w:br w:type="page"/>
      </w:r>
    </w:p>
    <w:p w14:paraId="2F3037B7">
      <w:pPr>
        <w:pStyle w:val="23"/>
        <w:numPr>
          <w:ilvl w:val="0"/>
          <w:numId w:val="14"/>
        </w:numPr>
        <w:overflowPunct w:val="0"/>
        <w:spacing w:before="120" w:beforeLines="50" w:line="300" w:lineRule="auto"/>
        <w:ind w:firstLineChars="0"/>
        <w:rPr>
          <w:rFonts w:cs="Times New Roman"/>
          <w:sz w:val="24"/>
          <w:szCs w:val="24"/>
          <w:lang w:eastAsia="zh-CN"/>
        </w:rPr>
      </w:pPr>
      <w:r>
        <w:rPr>
          <w:rFonts w:cs="宋体"/>
          <w:sz w:val="24"/>
          <w:lang w:eastAsia="zh-CN"/>
        </w:rPr>
        <w:t>对工具及其操作原理的简要描述；</w:t>
      </w:r>
    </w:p>
    <w:p w14:paraId="67D636C1">
      <w:pPr>
        <w:pStyle w:val="23"/>
        <w:numPr>
          <w:ilvl w:val="0"/>
          <w:numId w:val="14"/>
        </w:numPr>
        <w:overflowPunct w:val="0"/>
        <w:spacing w:before="120" w:beforeLines="50" w:line="300" w:lineRule="auto"/>
        <w:ind w:firstLineChars="0"/>
        <w:rPr>
          <w:rFonts w:cs="Times New Roman"/>
          <w:sz w:val="24"/>
          <w:szCs w:val="24"/>
          <w:lang w:eastAsia="zh-CN"/>
        </w:rPr>
      </w:pPr>
      <w:r>
        <w:rPr>
          <w:rFonts w:cs="宋体"/>
          <w:sz w:val="24"/>
          <w:lang w:eastAsia="zh-CN"/>
        </w:rPr>
        <w:t>合格使用情景；</w:t>
      </w:r>
    </w:p>
    <w:p w14:paraId="1FFF6AB3">
      <w:pPr>
        <w:pStyle w:val="23"/>
        <w:numPr>
          <w:ilvl w:val="0"/>
          <w:numId w:val="14"/>
        </w:numPr>
        <w:overflowPunct w:val="0"/>
        <w:spacing w:before="120" w:beforeLines="50" w:line="300" w:lineRule="auto"/>
        <w:ind w:firstLineChars="0"/>
        <w:rPr>
          <w:rFonts w:cs="Times New Roman"/>
          <w:sz w:val="24"/>
          <w:szCs w:val="24"/>
          <w:lang w:eastAsia="zh-CN"/>
        </w:rPr>
      </w:pPr>
      <w:r>
        <w:rPr>
          <w:rFonts w:cs="宋体"/>
          <w:sz w:val="24"/>
          <w:lang w:eastAsia="zh-CN"/>
        </w:rPr>
        <w:t>资格认证支持证据的一般总结以及对该证据强度的讨论情况；</w:t>
      </w:r>
    </w:p>
    <w:p w14:paraId="24AD0DAD">
      <w:pPr>
        <w:pStyle w:val="23"/>
        <w:numPr>
          <w:ilvl w:val="0"/>
          <w:numId w:val="14"/>
        </w:numPr>
        <w:overflowPunct w:val="0"/>
        <w:spacing w:before="120" w:beforeLines="50" w:line="300" w:lineRule="auto"/>
        <w:ind w:firstLineChars="0"/>
        <w:rPr>
          <w:rFonts w:cs="Times New Roman"/>
          <w:sz w:val="24"/>
          <w:szCs w:val="24"/>
          <w:lang w:eastAsia="zh-CN"/>
        </w:rPr>
      </w:pPr>
      <w:r>
        <w:rPr>
          <w:rFonts w:cs="宋体"/>
          <w:sz w:val="24"/>
          <w:lang w:eastAsia="zh-CN"/>
        </w:rPr>
        <w:t>对在合格使用情景内使用MDDT的优势和劣势的简要评价；以及</w:t>
      </w:r>
    </w:p>
    <w:p w14:paraId="1DF2659D">
      <w:pPr>
        <w:pStyle w:val="23"/>
        <w:numPr>
          <w:ilvl w:val="0"/>
          <w:numId w:val="14"/>
        </w:numPr>
        <w:overflowPunct w:val="0"/>
        <w:spacing w:before="120" w:beforeLines="50" w:line="300" w:lineRule="auto"/>
        <w:ind w:firstLineChars="0"/>
        <w:rPr>
          <w:rFonts w:cs="Times New Roman"/>
          <w:sz w:val="24"/>
          <w:szCs w:val="24"/>
          <w:lang w:eastAsia="zh-CN"/>
        </w:rPr>
      </w:pPr>
      <w:r>
        <w:rPr>
          <w:rFonts w:cs="宋体"/>
          <w:sz w:val="24"/>
          <w:lang w:eastAsia="zh-CN"/>
        </w:rPr>
        <w:t>关于器械开发者如何与工具开发者联系以获得工具的信息。</w:t>
      </w:r>
    </w:p>
    <w:p w14:paraId="7731019D">
      <w:pPr>
        <w:overflowPunct w:val="0"/>
        <w:spacing w:before="120" w:beforeLines="50" w:line="300" w:lineRule="auto"/>
        <w:rPr>
          <w:rFonts w:cs="Times New Roman"/>
          <w:sz w:val="24"/>
          <w:szCs w:val="24"/>
          <w:lang w:eastAsia="zh-CN"/>
        </w:rPr>
      </w:pPr>
      <w:r>
        <w:rPr>
          <w:rFonts w:cs="宋体"/>
          <w:sz w:val="24"/>
          <w:lang w:eastAsia="zh-CN"/>
        </w:rPr>
        <w:t>如果任何工具提交者对FDA预期在SEBQ中提供的内容和细节有任何疑问，应在提案阶段向FDA提出。在公开披露工具开发者的任何专有信息之前，FDA将获得工具开发者的书面许可。</w:t>
      </w:r>
    </w:p>
    <w:p w14:paraId="2E17CC1D">
      <w:pPr>
        <w:overflowPunct w:val="0"/>
        <w:spacing w:before="120" w:beforeLines="50" w:line="300" w:lineRule="auto"/>
        <w:rPr>
          <w:rFonts w:cs="Times New Roman"/>
          <w:sz w:val="24"/>
          <w:szCs w:val="24"/>
          <w:lang w:eastAsia="zh-CN"/>
        </w:rPr>
      </w:pPr>
      <w:r>
        <w:rPr>
          <w:rFonts w:cs="宋体"/>
          <w:sz w:val="24"/>
          <w:lang w:eastAsia="zh-CN"/>
        </w:rPr>
        <w:t>MDDT项目不对MDDT许可或费用、工具开发者可能给予器械申请方的MDDT相关知识产权访问程度进行限制或要求。</w:t>
      </w:r>
    </w:p>
    <w:p w14:paraId="61FE338C">
      <w:pPr>
        <w:overflowPunct w:val="0"/>
        <w:spacing w:before="120" w:beforeLines="50" w:line="300" w:lineRule="auto"/>
        <w:rPr>
          <w:rFonts w:cs="Times New Roman"/>
          <w:sz w:val="24"/>
          <w:szCs w:val="24"/>
          <w:lang w:eastAsia="zh-CN"/>
        </w:rPr>
      </w:pPr>
      <w:r>
        <w:rPr>
          <w:rFonts w:cs="宋体"/>
          <w:sz w:val="24"/>
          <w:lang w:eastAsia="zh-CN"/>
        </w:rPr>
        <w:br w:type="page"/>
      </w:r>
    </w:p>
    <w:p w14:paraId="700C78D8">
      <w:pPr>
        <w:pStyle w:val="2"/>
        <w:overflowPunct w:val="0"/>
        <w:jc w:val="center"/>
        <w:rPr>
          <w:lang w:eastAsia="zh-CN"/>
        </w:rPr>
      </w:pPr>
      <w:bookmarkStart w:id="24" w:name="_Toc91244877"/>
      <w:r>
        <w:rPr>
          <w:rFonts w:cs="宋体"/>
          <w:lang w:eastAsia="zh-CN"/>
        </w:rPr>
        <w:t>附录1</w:t>
      </w:r>
      <w:r>
        <w:rPr>
          <w:rFonts w:cs="宋体"/>
          <w:b w:val="0"/>
          <w:lang w:eastAsia="zh-CN"/>
        </w:rPr>
        <w:br w:type="textWrapping"/>
      </w:r>
      <w:r>
        <w:rPr>
          <w:rFonts w:cs="宋体"/>
          <w:lang w:eastAsia="zh-CN"/>
        </w:rPr>
        <w:t>资格认证包内容的示范概述</w:t>
      </w:r>
      <w:bookmarkEnd w:id="24"/>
    </w:p>
    <w:p w14:paraId="2984E165">
      <w:pPr>
        <w:overflowPunct w:val="0"/>
        <w:spacing w:before="120" w:beforeLines="50" w:line="300" w:lineRule="auto"/>
        <w:rPr>
          <w:rFonts w:cs="Times New Roman"/>
          <w:sz w:val="24"/>
          <w:szCs w:val="24"/>
          <w:lang w:eastAsia="zh-CN"/>
        </w:rPr>
      </w:pPr>
      <w:r>
        <w:rPr>
          <w:rFonts w:cs="宋体"/>
          <w:sz w:val="24"/>
          <w:lang w:eastAsia="zh-CN"/>
        </w:rPr>
        <w:t>以下建议的概述仅作为示例进行说明，并非要求。详情请参见第IV节。示范资格认证包应包括以下信息：</w:t>
      </w:r>
    </w:p>
    <w:p w14:paraId="69C79AF5">
      <w:pPr>
        <w:overflowPunct w:val="0"/>
        <w:spacing w:line="300" w:lineRule="auto"/>
        <w:rPr>
          <w:rFonts w:cs="Times New Roman"/>
          <w:sz w:val="24"/>
          <w:szCs w:val="24"/>
          <w:lang w:eastAsia="zh-CN"/>
        </w:rPr>
      </w:pPr>
      <w:r>
        <w:rPr>
          <w:rFonts w:cs="宋体"/>
          <w:sz w:val="24"/>
          <w:lang w:eastAsia="zh-CN"/>
        </w:rPr>
        <w:t>1.</w:t>
      </w:r>
      <w:r>
        <w:rPr>
          <w:rFonts w:cs="宋体"/>
          <w:sz w:val="24"/>
          <w:lang w:eastAsia="zh-CN"/>
        </w:rPr>
        <w:tab/>
      </w:r>
      <w:r>
        <w:rPr>
          <w:rFonts w:cs="宋体"/>
          <w:sz w:val="24"/>
          <w:lang w:eastAsia="zh-CN"/>
        </w:rPr>
        <w:t>管理信息：</w:t>
      </w:r>
    </w:p>
    <w:p w14:paraId="29909CD8">
      <w:pPr>
        <w:overflowPunct w:val="0"/>
        <w:spacing w:line="300" w:lineRule="auto"/>
        <w:ind w:left="420" w:leftChars="200"/>
        <w:rPr>
          <w:rFonts w:cs="Times New Roman"/>
          <w:sz w:val="24"/>
          <w:szCs w:val="24"/>
          <w:lang w:eastAsia="zh-CN"/>
        </w:rPr>
      </w:pPr>
      <w:r>
        <w:rPr>
          <w:rFonts w:cs="宋体"/>
          <w:sz w:val="24"/>
          <w:lang w:eastAsia="zh-CN"/>
        </w:rPr>
        <w:t>a.</w:t>
      </w:r>
      <w:r>
        <w:rPr>
          <w:rFonts w:cs="宋体"/>
          <w:sz w:val="24"/>
          <w:lang w:eastAsia="zh-CN"/>
        </w:rPr>
        <w:tab/>
      </w:r>
      <w:r>
        <w:rPr>
          <w:rFonts w:cs="宋体"/>
          <w:sz w:val="24"/>
          <w:lang w:eastAsia="zh-CN"/>
        </w:rPr>
        <w:t>工具名称</w:t>
      </w:r>
    </w:p>
    <w:p w14:paraId="2BDDDD44">
      <w:pPr>
        <w:overflowPunct w:val="0"/>
        <w:spacing w:line="300" w:lineRule="auto"/>
        <w:ind w:left="420" w:leftChars="200"/>
        <w:rPr>
          <w:rFonts w:cs="Times New Roman"/>
          <w:sz w:val="24"/>
          <w:szCs w:val="24"/>
          <w:lang w:eastAsia="zh-CN"/>
        </w:rPr>
      </w:pPr>
      <w:r>
        <w:rPr>
          <w:rFonts w:cs="宋体"/>
          <w:sz w:val="24"/>
          <w:lang w:eastAsia="zh-CN"/>
        </w:rPr>
        <w:t>b.</w:t>
      </w:r>
      <w:r>
        <w:rPr>
          <w:rFonts w:cs="宋体"/>
          <w:sz w:val="24"/>
          <w:lang w:eastAsia="zh-CN"/>
        </w:rPr>
        <w:tab/>
      </w:r>
      <w:r>
        <w:rPr>
          <w:rFonts w:cs="宋体"/>
          <w:sz w:val="24"/>
          <w:lang w:eastAsia="zh-CN"/>
        </w:rPr>
        <w:t>工具类型，包括，</w:t>
      </w:r>
    </w:p>
    <w:p w14:paraId="797E4886">
      <w:pPr>
        <w:overflowPunct w:val="0"/>
        <w:spacing w:line="300" w:lineRule="auto"/>
        <w:ind w:left="840" w:leftChars="400"/>
        <w:rPr>
          <w:rFonts w:cs="Times New Roman"/>
          <w:sz w:val="24"/>
          <w:szCs w:val="24"/>
          <w:lang w:eastAsia="zh-CN"/>
        </w:rPr>
      </w:pPr>
      <w:r>
        <w:rPr>
          <w:rFonts w:cs="宋体"/>
          <w:sz w:val="24"/>
        </w:rPr>
        <w:sym w:font="Wingdings 2" w:char="F0A1"/>
      </w:r>
      <w:r>
        <w:rPr>
          <w:sz w:val="24"/>
          <w:lang w:eastAsia="zh-CN"/>
        </w:rPr>
        <w:tab/>
      </w:r>
      <w:r>
        <w:rPr>
          <w:rFonts w:cs="宋体"/>
          <w:sz w:val="24"/>
          <w:lang w:eastAsia="zh-CN"/>
        </w:rPr>
        <w:t>COA（临床结局评价），</w:t>
      </w:r>
    </w:p>
    <w:p w14:paraId="7CB1402D">
      <w:pPr>
        <w:overflowPunct w:val="0"/>
        <w:spacing w:line="300" w:lineRule="auto"/>
        <w:ind w:left="840" w:leftChars="400"/>
        <w:rPr>
          <w:rFonts w:cs="Times New Roman"/>
          <w:sz w:val="24"/>
          <w:szCs w:val="24"/>
          <w:lang w:eastAsia="zh-CN"/>
        </w:rPr>
      </w:pPr>
      <w:r>
        <w:rPr>
          <w:rFonts w:cs="宋体"/>
          <w:sz w:val="24"/>
        </w:rPr>
        <w:sym w:font="Wingdings 2" w:char="F0A1"/>
      </w:r>
      <w:r>
        <w:rPr>
          <w:sz w:val="24"/>
          <w:lang w:eastAsia="zh-CN"/>
        </w:rPr>
        <w:tab/>
      </w:r>
      <w:r>
        <w:rPr>
          <w:rFonts w:cs="宋体"/>
          <w:sz w:val="24"/>
          <w:lang w:eastAsia="zh-CN"/>
        </w:rPr>
        <w:t>NAM（非临床评价模型），以及</w:t>
      </w:r>
    </w:p>
    <w:p w14:paraId="36F7F629">
      <w:pPr>
        <w:overflowPunct w:val="0"/>
        <w:spacing w:line="300" w:lineRule="auto"/>
        <w:ind w:left="840" w:leftChars="400"/>
        <w:rPr>
          <w:rFonts w:cs="Times New Roman"/>
          <w:sz w:val="24"/>
          <w:szCs w:val="24"/>
          <w:lang w:eastAsia="zh-CN"/>
        </w:rPr>
      </w:pPr>
      <w:r>
        <w:rPr>
          <w:rFonts w:cs="宋体"/>
          <w:sz w:val="24"/>
        </w:rPr>
        <w:sym w:font="Wingdings 2" w:char="F0A1"/>
      </w:r>
      <w:r>
        <w:rPr>
          <w:sz w:val="24"/>
          <w:lang w:eastAsia="zh-CN"/>
        </w:rPr>
        <w:tab/>
      </w:r>
      <w:r>
        <w:rPr>
          <w:rFonts w:cs="宋体"/>
          <w:sz w:val="24"/>
          <w:lang w:eastAsia="zh-CN"/>
        </w:rPr>
        <w:t>BT（生物标志物测试）。</w:t>
      </w:r>
    </w:p>
    <w:p w14:paraId="61AB4774">
      <w:pPr>
        <w:overflowPunct w:val="0"/>
        <w:spacing w:line="300" w:lineRule="auto"/>
        <w:ind w:left="420" w:leftChars="200"/>
        <w:rPr>
          <w:rFonts w:cs="Times New Roman"/>
          <w:sz w:val="24"/>
          <w:szCs w:val="24"/>
          <w:lang w:eastAsia="zh-CN"/>
        </w:rPr>
      </w:pPr>
      <w:r>
        <w:rPr>
          <w:rFonts w:cs="宋体"/>
          <w:sz w:val="24"/>
          <w:lang w:eastAsia="zh-CN"/>
        </w:rPr>
        <w:t>c.</w:t>
      </w:r>
      <w:r>
        <w:rPr>
          <w:rFonts w:cs="宋体"/>
          <w:sz w:val="24"/>
          <w:lang w:eastAsia="zh-CN"/>
        </w:rPr>
        <w:tab/>
      </w:r>
      <w:r>
        <w:rPr>
          <w:rFonts w:cs="宋体"/>
          <w:sz w:val="24"/>
          <w:lang w:eastAsia="zh-CN"/>
        </w:rPr>
        <w:t>申请包阶段：</w:t>
      </w:r>
    </w:p>
    <w:p w14:paraId="02E10EB4">
      <w:pPr>
        <w:overflowPunct w:val="0"/>
        <w:spacing w:line="300" w:lineRule="auto"/>
        <w:ind w:left="840" w:leftChars="400"/>
        <w:rPr>
          <w:rFonts w:cs="Times New Roman"/>
          <w:sz w:val="24"/>
          <w:szCs w:val="24"/>
          <w:lang w:eastAsia="zh-CN"/>
        </w:rPr>
      </w:pPr>
      <w:r>
        <w:rPr>
          <w:rFonts w:cs="宋体"/>
          <w:sz w:val="24"/>
        </w:rPr>
        <w:sym w:font="Wingdings 2" w:char="F0A1"/>
      </w:r>
      <w:r>
        <w:rPr>
          <w:sz w:val="24"/>
          <w:lang w:eastAsia="zh-CN"/>
        </w:rPr>
        <w:tab/>
      </w:r>
      <w:r>
        <w:rPr>
          <w:rFonts w:cs="宋体"/>
          <w:sz w:val="24"/>
          <w:lang w:eastAsia="zh-CN"/>
        </w:rPr>
        <w:t>提案；</w:t>
      </w:r>
    </w:p>
    <w:p w14:paraId="0EFDAF8A">
      <w:pPr>
        <w:overflowPunct w:val="0"/>
        <w:spacing w:line="300" w:lineRule="auto"/>
        <w:ind w:left="840" w:leftChars="400"/>
        <w:rPr>
          <w:rFonts w:cs="Times New Roman"/>
          <w:sz w:val="24"/>
          <w:szCs w:val="24"/>
          <w:lang w:eastAsia="zh-CN"/>
        </w:rPr>
      </w:pPr>
      <w:r>
        <w:rPr>
          <w:rFonts w:cs="宋体"/>
          <w:sz w:val="24"/>
        </w:rPr>
        <w:sym w:font="Wingdings 2" w:char="F0A1"/>
      </w:r>
      <w:r>
        <w:rPr>
          <w:sz w:val="24"/>
          <w:lang w:eastAsia="zh-CN"/>
        </w:rPr>
        <w:tab/>
      </w:r>
      <w:r>
        <w:rPr>
          <w:rFonts w:cs="宋体"/>
          <w:sz w:val="24"/>
          <w:lang w:eastAsia="zh-CN"/>
        </w:rPr>
        <w:t>孵化；</w:t>
      </w:r>
    </w:p>
    <w:p w14:paraId="3543F1B1">
      <w:pPr>
        <w:overflowPunct w:val="0"/>
        <w:spacing w:line="300" w:lineRule="auto"/>
        <w:ind w:left="840" w:leftChars="400"/>
        <w:rPr>
          <w:rFonts w:cs="Times New Roman"/>
          <w:sz w:val="24"/>
          <w:szCs w:val="24"/>
          <w:lang w:eastAsia="zh-CN"/>
        </w:rPr>
      </w:pPr>
      <w:r>
        <w:rPr>
          <w:rFonts w:cs="宋体"/>
          <w:sz w:val="24"/>
        </w:rPr>
        <w:sym w:font="Wingdings 2" w:char="F0A1"/>
      </w:r>
      <w:r>
        <w:rPr>
          <w:sz w:val="24"/>
          <w:lang w:eastAsia="zh-CN"/>
        </w:rPr>
        <w:tab/>
      </w:r>
      <w:r>
        <w:rPr>
          <w:rFonts w:cs="宋体"/>
          <w:sz w:val="24"/>
          <w:lang w:eastAsia="zh-CN"/>
        </w:rPr>
        <w:t>预资格认证；以及</w:t>
      </w:r>
    </w:p>
    <w:p w14:paraId="0A9BD265">
      <w:pPr>
        <w:overflowPunct w:val="0"/>
        <w:spacing w:line="300" w:lineRule="auto"/>
        <w:ind w:left="840" w:leftChars="400"/>
        <w:rPr>
          <w:rFonts w:cs="Times New Roman"/>
          <w:sz w:val="24"/>
          <w:szCs w:val="24"/>
          <w:lang w:eastAsia="zh-CN"/>
        </w:rPr>
      </w:pPr>
      <w:r>
        <w:rPr>
          <w:rFonts w:cs="宋体"/>
          <w:sz w:val="24"/>
        </w:rPr>
        <w:sym w:font="Wingdings 2" w:char="F0A1"/>
      </w:r>
      <w:r>
        <w:rPr>
          <w:sz w:val="24"/>
          <w:lang w:eastAsia="zh-CN"/>
        </w:rPr>
        <w:tab/>
      </w:r>
      <w:r>
        <w:rPr>
          <w:rFonts w:cs="宋体"/>
          <w:sz w:val="24"/>
          <w:lang w:eastAsia="zh-CN"/>
        </w:rPr>
        <w:t>资格认证。</w:t>
      </w:r>
    </w:p>
    <w:p w14:paraId="16E31DEC">
      <w:pPr>
        <w:overflowPunct w:val="0"/>
        <w:spacing w:line="300" w:lineRule="auto"/>
        <w:ind w:left="840" w:leftChars="200" w:hanging="420"/>
        <w:rPr>
          <w:rFonts w:cs="Times New Roman"/>
          <w:sz w:val="24"/>
          <w:szCs w:val="24"/>
          <w:lang w:eastAsia="zh-CN"/>
        </w:rPr>
      </w:pPr>
      <w:r>
        <w:rPr>
          <w:rFonts w:cs="宋体"/>
          <w:sz w:val="24"/>
          <w:lang w:eastAsia="zh-CN"/>
        </w:rPr>
        <w:t>d.</w:t>
      </w:r>
      <w:r>
        <w:rPr>
          <w:rFonts w:cs="宋体"/>
          <w:sz w:val="24"/>
          <w:lang w:eastAsia="zh-CN"/>
        </w:rPr>
        <w:tab/>
      </w:r>
      <w:r>
        <w:rPr>
          <w:rFonts w:cs="宋体"/>
          <w:sz w:val="24"/>
          <w:lang w:eastAsia="zh-CN"/>
        </w:rPr>
        <w:t>MDDT跟踪号（如知悉）。</w:t>
      </w:r>
    </w:p>
    <w:p w14:paraId="21FFA72D">
      <w:pPr>
        <w:overflowPunct w:val="0"/>
        <w:spacing w:line="300" w:lineRule="auto"/>
        <w:ind w:left="840" w:leftChars="200" w:hanging="420"/>
        <w:rPr>
          <w:rFonts w:cs="Times New Roman"/>
          <w:sz w:val="24"/>
          <w:szCs w:val="24"/>
          <w:lang w:eastAsia="zh-CN"/>
        </w:rPr>
      </w:pPr>
      <w:r>
        <w:rPr>
          <w:rFonts w:cs="宋体"/>
          <w:sz w:val="24"/>
          <w:lang w:eastAsia="zh-CN"/>
        </w:rPr>
        <w:t>e.</w:t>
      </w:r>
      <w:r>
        <w:rPr>
          <w:rFonts w:cs="宋体"/>
          <w:sz w:val="24"/>
          <w:lang w:eastAsia="zh-CN"/>
        </w:rPr>
        <w:tab/>
      </w:r>
      <w:r>
        <w:rPr>
          <w:rFonts w:cs="宋体"/>
          <w:sz w:val="24"/>
          <w:lang w:eastAsia="zh-CN"/>
        </w:rPr>
        <w:t>关于该工具之前是否已提交给MDDT项目或药物开发工具项目的声明。</w:t>
      </w:r>
    </w:p>
    <w:p w14:paraId="67BD24EA">
      <w:pPr>
        <w:overflowPunct w:val="0"/>
        <w:spacing w:line="300" w:lineRule="auto"/>
        <w:ind w:left="840" w:leftChars="200" w:hanging="420"/>
        <w:rPr>
          <w:rFonts w:cs="Times New Roman"/>
          <w:sz w:val="24"/>
          <w:szCs w:val="24"/>
          <w:lang w:eastAsia="zh-CN"/>
        </w:rPr>
      </w:pPr>
      <w:r>
        <w:rPr>
          <w:rFonts w:cs="宋体"/>
          <w:sz w:val="24"/>
          <w:lang w:eastAsia="zh-CN"/>
        </w:rPr>
        <w:t>f.</w:t>
      </w:r>
      <w:r>
        <w:rPr>
          <w:rFonts w:cs="宋体"/>
          <w:sz w:val="24"/>
          <w:lang w:eastAsia="zh-CN"/>
        </w:rPr>
        <w:tab/>
      </w:r>
      <w:r>
        <w:rPr>
          <w:rFonts w:cs="宋体"/>
          <w:sz w:val="24"/>
          <w:lang w:eastAsia="zh-CN"/>
        </w:rPr>
        <w:t>关于该产品（拟定工具）是否是已许可或已获批的医疗器械的声明。</w:t>
      </w:r>
    </w:p>
    <w:p w14:paraId="5E3E0E5B">
      <w:pPr>
        <w:overflowPunct w:val="0"/>
        <w:spacing w:line="300" w:lineRule="auto"/>
        <w:rPr>
          <w:rFonts w:cs="Times New Roman"/>
          <w:sz w:val="24"/>
          <w:szCs w:val="24"/>
          <w:lang w:eastAsia="zh-CN"/>
        </w:rPr>
      </w:pPr>
      <w:r>
        <w:rPr>
          <w:rFonts w:cs="宋体"/>
          <w:sz w:val="24"/>
          <w:lang w:eastAsia="zh-CN"/>
        </w:rPr>
        <w:t>2.</w:t>
      </w:r>
      <w:r>
        <w:rPr>
          <w:rFonts w:cs="宋体"/>
          <w:sz w:val="24"/>
          <w:lang w:eastAsia="zh-CN"/>
        </w:rPr>
        <w:tab/>
      </w:r>
      <w:r>
        <w:rPr>
          <w:rFonts w:cs="宋体"/>
          <w:sz w:val="24"/>
          <w:lang w:eastAsia="zh-CN"/>
        </w:rPr>
        <w:t>MDDT描述：</w:t>
      </w:r>
    </w:p>
    <w:p w14:paraId="0DB9A1BD">
      <w:pPr>
        <w:overflowPunct w:val="0"/>
        <w:spacing w:line="300" w:lineRule="auto"/>
        <w:ind w:left="840" w:leftChars="200" w:hanging="420"/>
        <w:rPr>
          <w:rFonts w:cs="Times New Roman"/>
          <w:sz w:val="24"/>
          <w:szCs w:val="24"/>
          <w:lang w:eastAsia="zh-CN"/>
        </w:rPr>
      </w:pPr>
      <w:r>
        <w:rPr>
          <w:rFonts w:cs="宋体"/>
          <w:sz w:val="24"/>
          <w:lang w:eastAsia="zh-CN"/>
        </w:rPr>
        <w:t>a.</w:t>
      </w:r>
      <w:r>
        <w:rPr>
          <w:rFonts w:cs="宋体"/>
          <w:sz w:val="24"/>
          <w:lang w:eastAsia="zh-CN"/>
        </w:rPr>
        <w:tab/>
      </w:r>
      <w:r>
        <w:rPr>
          <w:rFonts w:cs="宋体"/>
          <w:sz w:val="24"/>
          <w:lang w:eastAsia="zh-CN"/>
        </w:rPr>
        <w:t>提供的测量，</w:t>
      </w:r>
    </w:p>
    <w:p w14:paraId="257E799F">
      <w:pPr>
        <w:overflowPunct w:val="0"/>
        <w:spacing w:line="300" w:lineRule="auto"/>
        <w:ind w:left="840" w:leftChars="200" w:hanging="420"/>
        <w:rPr>
          <w:rFonts w:cs="Times New Roman"/>
          <w:sz w:val="24"/>
          <w:szCs w:val="24"/>
          <w:lang w:eastAsia="zh-CN"/>
        </w:rPr>
      </w:pPr>
      <w:r>
        <w:rPr>
          <w:rFonts w:cs="宋体"/>
          <w:sz w:val="24"/>
          <w:lang w:eastAsia="zh-CN"/>
        </w:rPr>
        <w:t>b.</w:t>
      </w:r>
      <w:r>
        <w:rPr>
          <w:rFonts w:cs="宋体"/>
          <w:sz w:val="24"/>
          <w:lang w:eastAsia="zh-CN"/>
        </w:rPr>
        <w:tab/>
      </w:r>
      <w:r>
        <w:rPr>
          <w:rFonts w:cs="宋体"/>
          <w:sz w:val="24"/>
          <w:lang w:eastAsia="zh-CN"/>
        </w:rPr>
        <w:t>工具原理和测量方法，以及</w:t>
      </w:r>
    </w:p>
    <w:p w14:paraId="000C97D1">
      <w:pPr>
        <w:overflowPunct w:val="0"/>
        <w:spacing w:line="300" w:lineRule="auto"/>
        <w:ind w:left="840" w:leftChars="200" w:hanging="420"/>
        <w:rPr>
          <w:rFonts w:cs="Times New Roman"/>
          <w:sz w:val="24"/>
          <w:szCs w:val="24"/>
          <w:lang w:eastAsia="zh-CN"/>
        </w:rPr>
      </w:pPr>
      <w:r>
        <w:rPr>
          <w:rFonts w:cs="宋体"/>
          <w:sz w:val="24"/>
          <w:lang w:eastAsia="zh-CN"/>
        </w:rPr>
        <w:t>c.</w:t>
      </w:r>
      <w:r>
        <w:rPr>
          <w:rFonts w:cs="宋体"/>
          <w:sz w:val="24"/>
          <w:lang w:eastAsia="zh-CN"/>
        </w:rPr>
        <w:tab/>
      </w:r>
      <w:r>
        <w:rPr>
          <w:rFonts w:cs="宋体"/>
          <w:sz w:val="24"/>
          <w:lang w:eastAsia="zh-CN"/>
        </w:rPr>
        <w:t>工具准备情况的描述。</w:t>
      </w:r>
    </w:p>
    <w:p w14:paraId="7E28D23D">
      <w:pPr>
        <w:overflowPunct w:val="0"/>
        <w:spacing w:line="300" w:lineRule="auto"/>
        <w:rPr>
          <w:rFonts w:cs="Times New Roman"/>
          <w:sz w:val="24"/>
          <w:szCs w:val="24"/>
          <w:lang w:eastAsia="zh-CN"/>
        </w:rPr>
      </w:pPr>
      <w:r>
        <w:rPr>
          <w:rFonts w:cs="宋体"/>
          <w:sz w:val="24"/>
          <w:lang w:eastAsia="zh-CN"/>
        </w:rPr>
        <w:t>3.</w:t>
      </w:r>
      <w:r>
        <w:rPr>
          <w:rFonts w:cs="宋体"/>
          <w:sz w:val="24"/>
          <w:lang w:eastAsia="zh-CN"/>
        </w:rPr>
        <w:tab/>
      </w:r>
      <w:r>
        <w:rPr>
          <w:rFonts w:cs="宋体"/>
          <w:sz w:val="24"/>
          <w:lang w:eastAsia="zh-CN"/>
        </w:rPr>
        <w:t>使用情景：</w:t>
      </w:r>
    </w:p>
    <w:p w14:paraId="7F165988">
      <w:pPr>
        <w:overflowPunct w:val="0"/>
        <w:spacing w:line="300" w:lineRule="auto"/>
        <w:ind w:left="840" w:leftChars="200" w:hanging="420"/>
        <w:rPr>
          <w:rFonts w:cs="Times New Roman"/>
          <w:sz w:val="24"/>
          <w:szCs w:val="24"/>
          <w:lang w:eastAsia="zh-CN"/>
        </w:rPr>
      </w:pPr>
      <w:r>
        <w:rPr>
          <w:rFonts w:cs="宋体"/>
          <w:sz w:val="24"/>
          <w:lang w:eastAsia="zh-CN"/>
        </w:rPr>
        <w:t>a.</w:t>
      </w:r>
      <w:r>
        <w:rPr>
          <w:rFonts w:cs="宋体"/>
          <w:sz w:val="24"/>
          <w:lang w:eastAsia="zh-CN"/>
        </w:rPr>
        <w:tab/>
      </w:r>
      <w:r>
        <w:rPr>
          <w:rFonts w:cs="宋体"/>
          <w:sz w:val="24"/>
          <w:lang w:eastAsia="zh-CN"/>
        </w:rPr>
        <w:t>工具或产品领域；</w:t>
      </w:r>
    </w:p>
    <w:p w14:paraId="1775A920">
      <w:pPr>
        <w:overflowPunct w:val="0"/>
        <w:spacing w:line="300" w:lineRule="auto"/>
        <w:ind w:left="840" w:leftChars="200" w:hanging="420"/>
        <w:rPr>
          <w:rFonts w:cs="Times New Roman"/>
          <w:sz w:val="24"/>
          <w:szCs w:val="24"/>
          <w:lang w:eastAsia="zh-CN"/>
        </w:rPr>
      </w:pPr>
      <w:r>
        <w:rPr>
          <w:rFonts w:cs="宋体"/>
          <w:sz w:val="24"/>
          <w:lang w:eastAsia="zh-CN"/>
        </w:rPr>
        <w:t>b.</w:t>
      </w:r>
      <w:r>
        <w:rPr>
          <w:rFonts w:cs="宋体"/>
          <w:sz w:val="24"/>
          <w:lang w:eastAsia="zh-CN"/>
        </w:rPr>
        <w:tab/>
      </w:r>
      <w:r>
        <w:rPr>
          <w:rFonts w:cs="宋体"/>
          <w:sz w:val="24"/>
          <w:lang w:eastAsia="zh-CN"/>
        </w:rPr>
        <w:t>MDDT的特定输出/测量；</w:t>
      </w:r>
    </w:p>
    <w:p w14:paraId="17E5E7B3">
      <w:pPr>
        <w:overflowPunct w:val="0"/>
        <w:spacing w:line="300" w:lineRule="auto"/>
        <w:ind w:left="840" w:leftChars="200" w:hanging="420"/>
        <w:rPr>
          <w:rFonts w:cs="Times New Roman"/>
          <w:sz w:val="24"/>
          <w:szCs w:val="24"/>
          <w:lang w:eastAsia="zh-CN"/>
        </w:rPr>
      </w:pPr>
      <w:r>
        <w:rPr>
          <w:rFonts w:cs="宋体"/>
          <w:sz w:val="24"/>
          <w:lang w:eastAsia="zh-CN"/>
        </w:rPr>
        <w:t>c.</w:t>
      </w:r>
      <w:r>
        <w:rPr>
          <w:rFonts w:cs="宋体"/>
          <w:sz w:val="24"/>
          <w:lang w:eastAsia="zh-CN"/>
        </w:rPr>
        <w:tab/>
      </w:r>
      <w:r>
        <w:rPr>
          <w:rFonts w:cs="宋体"/>
          <w:sz w:val="24"/>
          <w:lang w:eastAsia="zh-CN"/>
        </w:rPr>
        <w:t>MDDT在监管评价中的作用；以及</w:t>
      </w:r>
    </w:p>
    <w:p w14:paraId="69F684E8">
      <w:pPr>
        <w:overflowPunct w:val="0"/>
        <w:spacing w:line="300" w:lineRule="auto"/>
        <w:ind w:left="840" w:leftChars="200" w:hanging="420"/>
        <w:rPr>
          <w:rFonts w:cs="Times New Roman"/>
          <w:sz w:val="24"/>
          <w:szCs w:val="24"/>
          <w:lang w:eastAsia="zh-CN"/>
        </w:rPr>
      </w:pPr>
      <w:r>
        <w:rPr>
          <w:rFonts w:cs="宋体"/>
          <w:sz w:val="24"/>
          <w:lang w:eastAsia="zh-CN"/>
        </w:rPr>
        <w:t>d.</w:t>
      </w:r>
      <w:r>
        <w:rPr>
          <w:rFonts w:cs="宋体"/>
          <w:sz w:val="24"/>
          <w:lang w:eastAsia="zh-CN"/>
        </w:rPr>
        <w:tab/>
      </w:r>
      <w:r>
        <w:rPr>
          <w:rFonts w:cs="宋体"/>
          <w:sz w:val="24"/>
          <w:lang w:eastAsia="zh-CN"/>
        </w:rPr>
        <w:t>工具开发阶段。</w:t>
      </w:r>
    </w:p>
    <w:p w14:paraId="3155B20A">
      <w:pPr>
        <w:overflowPunct w:val="0"/>
        <w:spacing w:line="300" w:lineRule="auto"/>
        <w:rPr>
          <w:rFonts w:cs="Times New Roman"/>
          <w:sz w:val="24"/>
          <w:szCs w:val="24"/>
          <w:lang w:eastAsia="zh-CN"/>
        </w:rPr>
      </w:pPr>
      <w:r>
        <w:rPr>
          <w:rFonts w:cs="宋体"/>
          <w:sz w:val="24"/>
          <w:lang w:eastAsia="zh-CN"/>
        </w:rPr>
        <w:t>4.</w:t>
      </w:r>
      <w:r>
        <w:rPr>
          <w:rFonts w:cs="宋体"/>
          <w:sz w:val="24"/>
          <w:lang w:eastAsia="zh-CN"/>
        </w:rPr>
        <w:tab/>
      </w:r>
      <w:r>
        <w:rPr>
          <w:rFonts w:cs="宋体"/>
          <w:sz w:val="24"/>
          <w:lang w:eastAsia="zh-CN"/>
        </w:rPr>
        <w:t>支持资格认证的证据，包括（视情况而定）：</w:t>
      </w:r>
    </w:p>
    <w:p w14:paraId="3F9C09D7">
      <w:pPr>
        <w:overflowPunct w:val="0"/>
        <w:spacing w:line="300" w:lineRule="auto"/>
        <w:ind w:left="840" w:leftChars="200" w:hanging="420"/>
        <w:rPr>
          <w:rFonts w:cs="Times New Roman"/>
          <w:sz w:val="24"/>
          <w:szCs w:val="24"/>
          <w:lang w:eastAsia="zh-CN"/>
        </w:rPr>
      </w:pPr>
      <w:r>
        <w:rPr>
          <w:rFonts w:cs="宋体"/>
          <w:sz w:val="24"/>
          <w:lang w:eastAsia="zh-CN"/>
        </w:rPr>
        <w:t>a.</w:t>
      </w:r>
      <w:r>
        <w:rPr>
          <w:rFonts w:cs="宋体"/>
          <w:sz w:val="24"/>
          <w:lang w:eastAsia="zh-CN"/>
        </w:rPr>
        <w:tab/>
      </w:r>
      <w:r>
        <w:rPr>
          <w:rFonts w:cs="宋体"/>
          <w:sz w:val="24"/>
          <w:lang w:eastAsia="zh-CN"/>
        </w:rPr>
        <w:t>设计验证；</w:t>
      </w:r>
    </w:p>
    <w:p w14:paraId="60325FA2">
      <w:pPr>
        <w:overflowPunct w:val="0"/>
        <w:spacing w:line="300" w:lineRule="auto"/>
        <w:ind w:left="840" w:leftChars="200" w:hanging="420"/>
        <w:rPr>
          <w:rFonts w:cs="Times New Roman"/>
          <w:sz w:val="24"/>
          <w:szCs w:val="24"/>
          <w:lang w:eastAsia="zh-CN"/>
        </w:rPr>
      </w:pPr>
      <w:r>
        <w:rPr>
          <w:rFonts w:cs="宋体"/>
          <w:sz w:val="24"/>
          <w:lang w:eastAsia="zh-CN"/>
        </w:rPr>
        <w:t>b.</w:t>
      </w:r>
      <w:r>
        <w:rPr>
          <w:rFonts w:cs="宋体"/>
          <w:sz w:val="24"/>
          <w:lang w:eastAsia="zh-CN"/>
        </w:rPr>
        <w:tab/>
      </w:r>
      <w:r>
        <w:rPr>
          <w:rFonts w:cs="宋体"/>
          <w:sz w:val="24"/>
          <w:lang w:eastAsia="zh-CN"/>
        </w:rPr>
        <w:t>计算机模拟；</w:t>
      </w:r>
    </w:p>
    <w:p w14:paraId="078BC496">
      <w:pPr>
        <w:overflowPunct w:val="0"/>
        <w:spacing w:line="300" w:lineRule="auto"/>
        <w:ind w:left="840" w:leftChars="200" w:hanging="420"/>
        <w:rPr>
          <w:rFonts w:cs="Times New Roman"/>
          <w:sz w:val="24"/>
          <w:szCs w:val="24"/>
          <w:lang w:eastAsia="zh-CN"/>
        </w:rPr>
      </w:pPr>
      <w:r>
        <w:rPr>
          <w:rFonts w:cs="宋体"/>
          <w:sz w:val="24"/>
          <w:lang w:eastAsia="zh-CN"/>
        </w:rPr>
        <w:t>c.</w:t>
      </w:r>
      <w:r>
        <w:rPr>
          <w:rFonts w:cs="宋体"/>
          <w:sz w:val="24"/>
          <w:lang w:eastAsia="zh-CN"/>
        </w:rPr>
        <w:tab/>
      </w:r>
      <w:r>
        <w:rPr>
          <w:rFonts w:cs="宋体"/>
          <w:sz w:val="24"/>
          <w:lang w:eastAsia="zh-CN"/>
        </w:rPr>
        <w:t>台架性能数据；</w:t>
      </w:r>
    </w:p>
    <w:p w14:paraId="18017634">
      <w:pPr>
        <w:overflowPunct w:val="0"/>
        <w:spacing w:line="300" w:lineRule="auto"/>
        <w:ind w:left="840" w:leftChars="200" w:hanging="420"/>
        <w:rPr>
          <w:rFonts w:cs="Times New Roman"/>
          <w:sz w:val="24"/>
          <w:szCs w:val="24"/>
          <w:lang w:eastAsia="zh-CN"/>
        </w:rPr>
      </w:pPr>
      <w:r>
        <w:rPr>
          <w:rFonts w:cs="宋体"/>
          <w:sz w:val="24"/>
          <w:lang w:eastAsia="zh-CN"/>
        </w:rPr>
        <w:t>d.</w:t>
      </w:r>
      <w:r>
        <w:rPr>
          <w:rFonts w:cs="宋体"/>
          <w:sz w:val="24"/>
          <w:lang w:eastAsia="zh-CN"/>
        </w:rPr>
        <w:tab/>
      </w:r>
      <w:r>
        <w:rPr>
          <w:rFonts w:cs="宋体"/>
          <w:sz w:val="24"/>
          <w:lang w:eastAsia="zh-CN"/>
        </w:rPr>
        <w:t>动物性能数据；</w:t>
      </w:r>
    </w:p>
    <w:p w14:paraId="0B2055DA">
      <w:pPr>
        <w:overflowPunct w:val="0"/>
        <w:spacing w:line="300" w:lineRule="auto"/>
        <w:ind w:left="840" w:leftChars="200" w:hanging="420"/>
        <w:rPr>
          <w:rFonts w:cs="Times New Roman"/>
          <w:sz w:val="24"/>
          <w:szCs w:val="24"/>
          <w:lang w:eastAsia="zh-CN"/>
        </w:rPr>
      </w:pPr>
      <w:r>
        <w:rPr>
          <w:rFonts w:cs="宋体"/>
          <w:sz w:val="24"/>
          <w:lang w:eastAsia="zh-CN"/>
        </w:rPr>
        <w:t>e.</w:t>
      </w:r>
      <w:r>
        <w:rPr>
          <w:rFonts w:cs="宋体"/>
          <w:sz w:val="24"/>
          <w:lang w:eastAsia="zh-CN"/>
        </w:rPr>
        <w:tab/>
      </w:r>
      <w:r>
        <w:rPr>
          <w:rFonts w:cs="宋体"/>
          <w:sz w:val="24"/>
          <w:lang w:eastAsia="zh-CN"/>
        </w:rPr>
        <w:t>临床性能数据；</w:t>
      </w:r>
    </w:p>
    <w:p w14:paraId="728A3F12">
      <w:pPr>
        <w:overflowPunct w:val="0"/>
        <w:spacing w:line="300" w:lineRule="auto"/>
        <w:ind w:left="840" w:leftChars="200" w:hanging="420"/>
        <w:rPr>
          <w:rFonts w:cs="Times New Roman"/>
          <w:sz w:val="24"/>
          <w:szCs w:val="24"/>
          <w:lang w:eastAsia="zh-CN"/>
        </w:rPr>
      </w:pPr>
      <w:r>
        <w:rPr>
          <w:rFonts w:cs="宋体"/>
          <w:sz w:val="24"/>
          <w:lang w:eastAsia="zh-CN"/>
        </w:rPr>
        <w:t>f.</w:t>
      </w:r>
      <w:r>
        <w:rPr>
          <w:rFonts w:cs="宋体"/>
          <w:sz w:val="24"/>
          <w:lang w:eastAsia="zh-CN"/>
        </w:rPr>
        <w:tab/>
      </w:r>
      <w:r>
        <w:rPr>
          <w:rFonts w:cs="宋体"/>
          <w:sz w:val="24"/>
          <w:lang w:eastAsia="zh-CN"/>
        </w:rPr>
        <w:t>人为因素测试；以及</w:t>
      </w:r>
    </w:p>
    <w:p w14:paraId="3CA27C31">
      <w:pPr>
        <w:overflowPunct w:val="0"/>
        <w:spacing w:line="300" w:lineRule="auto"/>
        <w:ind w:left="840" w:leftChars="200" w:hanging="420"/>
        <w:rPr>
          <w:rFonts w:cs="Times New Roman"/>
          <w:sz w:val="24"/>
          <w:szCs w:val="24"/>
          <w:lang w:eastAsia="zh-CN"/>
        </w:rPr>
      </w:pPr>
      <w:r>
        <w:rPr>
          <w:rFonts w:cs="宋体"/>
          <w:sz w:val="24"/>
          <w:lang w:eastAsia="zh-CN"/>
        </w:rPr>
        <w:t>g.</w:t>
      </w:r>
      <w:r>
        <w:rPr>
          <w:rFonts w:cs="宋体"/>
          <w:sz w:val="24"/>
          <w:lang w:eastAsia="zh-CN"/>
        </w:rPr>
        <w:tab/>
      </w:r>
      <w:r>
        <w:rPr>
          <w:rFonts w:cs="宋体"/>
          <w:sz w:val="24"/>
          <w:lang w:eastAsia="zh-CN"/>
        </w:rPr>
        <w:t>文献参考。</w:t>
      </w:r>
      <w:r>
        <w:rPr>
          <w:rFonts w:cs="宋体"/>
          <w:sz w:val="24"/>
          <w:lang w:eastAsia="zh-CN"/>
        </w:rPr>
        <w:br w:type="page"/>
      </w:r>
    </w:p>
    <w:p w14:paraId="408337F2">
      <w:pPr>
        <w:overflowPunct w:val="0"/>
        <w:spacing w:before="120" w:beforeLines="50" w:line="300" w:lineRule="auto"/>
        <w:rPr>
          <w:rFonts w:cs="Times New Roman"/>
          <w:sz w:val="24"/>
          <w:szCs w:val="24"/>
          <w:lang w:eastAsia="zh-CN"/>
        </w:rPr>
      </w:pPr>
      <w:r>
        <w:rPr>
          <w:rFonts w:cs="宋体"/>
          <w:sz w:val="24"/>
          <w:lang w:eastAsia="zh-CN"/>
        </w:rPr>
        <w:t>5.</w:t>
      </w:r>
      <w:r>
        <w:rPr>
          <w:rFonts w:cs="宋体"/>
          <w:sz w:val="24"/>
          <w:lang w:eastAsia="zh-CN"/>
        </w:rPr>
        <w:tab/>
      </w:r>
      <w:r>
        <w:rPr>
          <w:rFonts w:cs="宋体"/>
          <w:sz w:val="24"/>
          <w:lang w:eastAsia="zh-CN"/>
        </w:rPr>
        <w:t>支持资格认证的证据强度讨论：</w:t>
      </w:r>
    </w:p>
    <w:p w14:paraId="05061815">
      <w:pPr>
        <w:overflowPunct w:val="0"/>
        <w:spacing w:before="120" w:beforeLines="50" w:line="300" w:lineRule="auto"/>
        <w:ind w:left="840" w:leftChars="200" w:hanging="420"/>
        <w:rPr>
          <w:rFonts w:cs="Times New Roman"/>
          <w:sz w:val="24"/>
          <w:szCs w:val="24"/>
          <w:lang w:eastAsia="zh-CN"/>
        </w:rPr>
      </w:pPr>
      <w:r>
        <w:rPr>
          <w:rFonts w:cs="宋体"/>
          <w:sz w:val="24"/>
          <w:lang w:eastAsia="zh-CN"/>
        </w:rPr>
        <w:t>a.</w:t>
      </w:r>
      <w:r>
        <w:rPr>
          <w:rFonts w:cs="宋体"/>
          <w:sz w:val="24"/>
          <w:lang w:eastAsia="zh-CN"/>
        </w:rPr>
        <w:tab/>
      </w:r>
      <w:r>
        <w:rPr>
          <w:rFonts w:cs="宋体"/>
          <w:sz w:val="24"/>
          <w:lang w:eastAsia="zh-CN"/>
        </w:rPr>
        <w:t>工具有效性和其他性能特征（如准确度和精确性等）</w:t>
      </w:r>
    </w:p>
    <w:p w14:paraId="55D696F3">
      <w:pPr>
        <w:overflowPunct w:val="0"/>
        <w:spacing w:before="120" w:beforeLines="50" w:line="300" w:lineRule="auto"/>
        <w:ind w:left="840" w:leftChars="200" w:hanging="420"/>
        <w:rPr>
          <w:rFonts w:cs="Times New Roman"/>
          <w:sz w:val="24"/>
          <w:szCs w:val="24"/>
          <w:lang w:eastAsia="zh-CN"/>
        </w:rPr>
      </w:pPr>
      <w:r>
        <w:rPr>
          <w:rFonts w:cs="宋体"/>
          <w:sz w:val="24"/>
          <w:lang w:eastAsia="zh-CN"/>
        </w:rPr>
        <w:t>b.</w:t>
      </w:r>
      <w:r>
        <w:rPr>
          <w:rFonts w:cs="宋体"/>
          <w:sz w:val="24"/>
          <w:lang w:eastAsia="zh-CN"/>
        </w:rPr>
        <w:tab/>
      </w:r>
      <w:r>
        <w:rPr>
          <w:rFonts w:cs="宋体"/>
          <w:sz w:val="24"/>
          <w:lang w:eastAsia="zh-CN"/>
        </w:rPr>
        <w:t>预测能力；以及</w:t>
      </w:r>
    </w:p>
    <w:p w14:paraId="2469C065">
      <w:pPr>
        <w:overflowPunct w:val="0"/>
        <w:spacing w:before="120" w:beforeLines="50" w:line="300" w:lineRule="auto"/>
        <w:ind w:left="840" w:leftChars="200" w:hanging="420"/>
        <w:rPr>
          <w:rFonts w:cs="Times New Roman"/>
          <w:sz w:val="24"/>
          <w:szCs w:val="24"/>
          <w:lang w:eastAsia="zh-CN"/>
        </w:rPr>
      </w:pPr>
      <w:r>
        <w:rPr>
          <w:rFonts w:cs="宋体"/>
          <w:sz w:val="24"/>
          <w:lang w:eastAsia="zh-CN"/>
        </w:rPr>
        <w:t>c.</w:t>
      </w:r>
      <w:r>
        <w:rPr>
          <w:rFonts w:cs="宋体"/>
          <w:sz w:val="24"/>
          <w:lang w:eastAsia="zh-CN"/>
        </w:rPr>
        <w:tab/>
      </w:r>
      <w:r>
        <w:rPr>
          <w:rFonts w:cs="宋体"/>
          <w:sz w:val="24"/>
          <w:lang w:eastAsia="zh-CN"/>
        </w:rPr>
        <w:t>预测程度（捕获）。</w:t>
      </w:r>
    </w:p>
    <w:p w14:paraId="0806AD8C">
      <w:pPr>
        <w:overflowPunct w:val="0"/>
        <w:spacing w:before="120" w:beforeLines="50" w:line="300" w:lineRule="auto"/>
        <w:ind w:left="420" w:hanging="420"/>
        <w:rPr>
          <w:rFonts w:cs="Times New Roman"/>
          <w:sz w:val="24"/>
          <w:szCs w:val="24"/>
          <w:lang w:eastAsia="zh-CN"/>
        </w:rPr>
      </w:pPr>
      <w:r>
        <w:rPr>
          <w:rFonts w:cs="宋体"/>
          <w:sz w:val="24"/>
          <w:lang w:eastAsia="zh-CN"/>
        </w:rPr>
        <w:t>6.</w:t>
      </w:r>
      <w:r>
        <w:rPr>
          <w:rFonts w:cs="宋体"/>
          <w:sz w:val="24"/>
          <w:lang w:eastAsia="zh-CN"/>
        </w:rPr>
        <w:tab/>
      </w:r>
      <w:r>
        <w:rPr>
          <w:rFonts w:cs="宋体"/>
          <w:sz w:val="24"/>
          <w:lang w:eastAsia="zh-CN"/>
        </w:rPr>
        <w:t>工具使用的优势和劣势评价：</w:t>
      </w:r>
    </w:p>
    <w:p w14:paraId="033C98F3">
      <w:pPr>
        <w:overflowPunct w:val="0"/>
        <w:spacing w:before="120" w:beforeLines="50" w:line="300" w:lineRule="auto"/>
        <w:ind w:left="840" w:leftChars="200" w:hanging="420"/>
        <w:rPr>
          <w:rFonts w:cs="Times New Roman"/>
          <w:sz w:val="24"/>
          <w:szCs w:val="24"/>
          <w:lang w:eastAsia="zh-CN"/>
        </w:rPr>
      </w:pPr>
      <w:r>
        <w:rPr>
          <w:rFonts w:cs="宋体"/>
          <w:sz w:val="24"/>
          <w:lang w:eastAsia="zh-CN"/>
        </w:rPr>
        <w:t>a.</w:t>
      </w:r>
      <w:r>
        <w:rPr>
          <w:rFonts w:cs="宋体"/>
          <w:sz w:val="24"/>
          <w:lang w:eastAsia="zh-CN"/>
        </w:rPr>
        <w:tab/>
      </w:r>
      <w:r>
        <w:rPr>
          <w:rFonts w:cs="宋体"/>
          <w:sz w:val="24"/>
          <w:lang w:eastAsia="zh-CN"/>
        </w:rPr>
        <w:t>在公共健康方面使用工具的优势；</w:t>
      </w:r>
    </w:p>
    <w:p w14:paraId="46C44186">
      <w:pPr>
        <w:overflowPunct w:val="0"/>
        <w:spacing w:before="120" w:beforeLines="50" w:line="300" w:lineRule="auto"/>
        <w:ind w:left="840" w:leftChars="200" w:hanging="420"/>
        <w:rPr>
          <w:rFonts w:cs="Times New Roman"/>
          <w:sz w:val="24"/>
          <w:szCs w:val="24"/>
          <w:lang w:eastAsia="zh-CN"/>
        </w:rPr>
      </w:pPr>
      <w:r>
        <w:rPr>
          <w:rFonts w:cs="宋体"/>
          <w:sz w:val="24"/>
          <w:lang w:eastAsia="zh-CN"/>
        </w:rPr>
        <w:t>b.</w:t>
      </w:r>
      <w:r>
        <w:rPr>
          <w:rFonts w:cs="宋体"/>
          <w:sz w:val="24"/>
          <w:lang w:eastAsia="zh-CN"/>
        </w:rPr>
        <w:tab/>
      </w:r>
      <w:r>
        <w:rPr>
          <w:rFonts w:cs="宋体"/>
          <w:sz w:val="24"/>
          <w:lang w:eastAsia="zh-CN"/>
        </w:rPr>
        <w:t>在公共健康方面使用工具的劣势；</w:t>
      </w:r>
    </w:p>
    <w:p w14:paraId="721281B4">
      <w:pPr>
        <w:overflowPunct w:val="0"/>
        <w:spacing w:before="120" w:beforeLines="50" w:line="300" w:lineRule="auto"/>
        <w:ind w:left="840" w:leftChars="200" w:hanging="420"/>
        <w:rPr>
          <w:rFonts w:cs="Times New Roman"/>
          <w:sz w:val="24"/>
          <w:szCs w:val="24"/>
          <w:lang w:eastAsia="zh-CN"/>
        </w:rPr>
      </w:pPr>
      <w:r>
        <w:rPr>
          <w:rFonts w:cs="宋体"/>
          <w:sz w:val="24"/>
          <w:lang w:eastAsia="zh-CN"/>
        </w:rPr>
        <w:t>c.</w:t>
      </w:r>
      <w:r>
        <w:rPr>
          <w:rFonts w:cs="宋体"/>
          <w:sz w:val="24"/>
          <w:lang w:eastAsia="zh-CN"/>
        </w:rPr>
        <w:tab/>
      </w:r>
      <w:r>
        <w:rPr>
          <w:rFonts w:cs="宋体"/>
          <w:sz w:val="24"/>
          <w:lang w:eastAsia="zh-CN"/>
        </w:rPr>
        <w:t>工具使用的确定性程度；以及</w:t>
      </w:r>
    </w:p>
    <w:p w14:paraId="4B06C6EF">
      <w:pPr>
        <w:overflowPunct w:val="0"/>
        <w:spacing w:before="120" w:beforeLines="50" w:line="300" w:lineRule="auto"/>
        <w:ind w:left="840" w:leftChars="200" w:hanging="420"/>
        <w:rPr>
          <w:rFonts w:cs="Times New Roman"/>
          <w:sz w:val="24"/>
          <w:szCs w:val="24"/>
          <w:lang w:eastAsia="zh-CN"/>
        </w:rPr>
      </w:pPr>
      <w:r>
        <w:rPr>
          <w:rFonts w:cs="宋体"/>
          <w:sz w:val="24"/>
          <w:lang w:eastAsia="zh-CN"/>
        </w:rPr>
        <w:t>d.</w:t>
      </w:r>
      <w:r>
        <w:rPr>
          <w:rFonts w:cs="宋体"/>
          <w:sz w:val="24"/>
          <w:lang w:eastAsia="zh-CN"/>
        </w:rPr>
        <w:tab/>
      </w:r>
      <w:r>
        <w:rPr>
          <w:rFonts w:cs="宋体"/>
          <w:sz w:val="24"/>
          <w:lang w:eastAsia="zh-CN"/>
        </w:rPr>
        <w:t>影响公共健康的工具技术的新颖性。</w:t>
      </w:r>
    </w:p>
    <w:p w14:paraId="5E0A9211">
      <w:pPr>
        <w:overflowPunct w:val="0"/>
        <w:spacing w:before="120" w:beforeLines="50" w:line="300" w:lineRule="auto"/>
        <w:ind w:left="420" w:hanging="420"/>
        <w:rPr>
          <w:rFonts w:cs="Times New Roman"/>
          <w:sz w:val="24"/>
          <w:szCs w:val="24"/>
          <w:lang w:eastAsia="zh-CN"/>
        </w:rPr>
      </w:pPr>
      <w:r>
        <w:rPr>
          <w:rFonts w:cs="宋体"/>
          <w:sz w:val="24"/>
          <w:lang w:eastAsia="zh-CN"/>
        </w:rPr>
        <w:t>7.</w:t>
      </w:r>
      <w:r>
        <w:rPr>
          <w:rFonts w:cs="宋体"/>
          <w:sz w:val="24"/>
          <w:lang w:eastAsia="zh-CN"/>
        </w:rPr>
        <w:tab/>
      </w:r>
      <w:r>
        <w:rPr>
          <w:rFonts w:cs="宋体"/>
          <w:sz w:val="24"/>
          <w:lang w:eastAsia="zh-CN"/>
        </w:rPr>
        <w:t>工具使用的拟定材料：</w:t>
      </w:r>
    </w:p>
    <w:p w14:paraId="56928ECF">
      <w:pPr>
        <w:overflowPunct w:val="0"/>
        <w:spacing w:before="120" w:beforeLines="50" w:line="300" w:lineRule="auto"/>
        <w:ind w:left="840" w:leftChars="200" w:hanging="420"/>
        <w:rPr>
          <w:rFonts w:cs="Times New Roman"/>
          <w:sz w:val="24"/>
          <w:szCs w:val="24"/>
          <w:lang w:eastAsia="zh-CN"/>
        </w:rPr>
      </w:pPr>
      <w:r>
        <w:rPr>
          <w:rFonts w:cs="宋体"/>
          <w:sz w:val="24"/>
          <w:lang w:eastAsia="zh-CN"/>
        </w:rPr>
        <w:t>a.</w:t>
      </w:r>
      <w:r>
        <w:rPr>
          <w:rFonts w:cs="宋体"/>
          <w:sz w:val="24"/>
          <w:lang w:eastAsia="zh-CN"/>
        </w:rPr>
        <w:tab/>
      </w:r>
      <w:r>
        <w:rPr>
          <w:rFonts w:cs="宋体"/>
          <w:sz w:val="24"/>
          <w:lang w:eastAsia="zh-CN"/>
        </w:rPr>
        <w:t>真实性声明；</w:t>
      </w:r>
      <w:r>
        <w:rPr>
          <w:rFonts w:cs="宋体"/>
          <w:sz w:val="24"/>
          <w:vertAlign w:val="superscript"/>
          <w:lang w:eastAsia="zh-CN"/>
        </w:rPr>
        <w:t>22</w:t>
      </w:r>
    </w:p>
    <w:p w14:paraId="4F7D85F9">
      <w:pPr>
        <w:overflowPunct w:val="0"/>
        <w:spacing w:before="120" w:beforeLines="50" w:line="300" w:lineRule="auto"/>
        <w:ind w:left="840" w:leftChars="200" w:hanging="420"/>
        <w:rPr>
          <w:rFonts w:cs="Times New Roman"/>
          <w:sz w:val="24"/>
          <w:szCs w:val="24"/>
          <w:lang w:eastAsia="zh-CN"/>
        </w:rPr>
      </w:pPr>
      <w:r>
        <w:rPr>
          <w:rFonts w:cs="宋体"/>
          <w:sz w:val="24"/>
          <w:lang w:eastAsia="zh-CN"/>
        </w:rPr>
        <w:t>b.</w:t>
      </w:r>
      <w:r>
        <w:rPr>
          <w:rFonts w:cs="宋体"/>
          <w:sz w:val="24"/>
          <w:lang w:eastAsia="zh-CN"/>
        </w:rPr>
        <w:tab/>
      </w:r>
      <w:r>
        <w:rPr>
          <w:rFonts w:cs="宋体"/>
          <w:sz w:val="24"/>
          <w:lang w:eastAsia="zh-CN"/>
        </w:rPr>
        <w:t>合格工具的版本；</w:t>
      </w:r>
    </w:p>
    <w:p w14:paraId="1D897514">
      <w:pPr>
        <w:overflowPunct w:val="0"/>
        <w:spacing w:before="120" w:beforeLines="50" w:line="300" w:lineRule="auto"/>
        <w:ind w:left="840" w:leftChars="200" w:hanging="420"/>
        <w:rPr>
          <w:rFonts w:cs="Times New Roman"/>
          <w:sz w:val="24"/>
          <w:szCs w:val="24"/>
          <w:lang w:eastAsia="zh-CN"/>
        </w:rPr>
      </w:pPr>
      <w:r>
        <w:rPr>
          <w:rFonts w:cs="宋体"/>
          <w:sz w:val="24"/>
          <w:lang w:eastAsia="zh-CN"/>
        </w:rPr>
        <w:t>c.</w:t>
      </w:r>
      <w:r>
        <w:rPr>
          <w:rFonts w:cs="宋体"/>
          <w:sz w:val="24"/>
          <w:lang w:eastAsia="zh-CN"/>
        </w:rPr>
        <w:tab/>
      </w:r>
      <w:r>
        <w:rPr>
          <w:rFonts w:cs="宋体"/>
          <w:sz w:val="24"/>
          <w:lang w:eastAsia="zh-CN"/>
        </w:rPr>
        <w:t>合格工具版本的变更文件（视情况而定）；</w:t>
      </w:r>
    </w:p>
    <w:p w14:paraId="3D5D4F04">
      <w:pPr>
        <w:overflowPunct w:val="0"/>
        <w:spacing w:before="120" w:beforeLines="50" w:line="300" w:lineRule="auto"/>
        <w:ind w:left="840" w:leftChars="200" w:hanging="420"/>
        <w:rPr>
          <w:rFonts w:cs="Times New Roman"/>
          <w:sz w:val="24"/>
          <w:szCs w:val="24"/>
          <w:lang w:eastAsia="zh-CN"/>
        </w:rPr>
      </w:pPr>
      <w:r>
        <w:rPr>
          <w:rFonts w:cs="宋体"/>
          <w:sz w:val="24"/>
          <w:lang w:eastAsia="zh-CN"/>
        </w:rPr>
        <w:t>d.</w:t>
      </w:r>
      <w:r>
        <w:rPr>
          <w:rFonts w:cs="宋体"/>
          <w:sz w:val="24"/>
          <w:lang w:eastAsia="zh-CN"/>
        </w:rPr>
        <w:tab/>
      </w:r>
      <w:r>
        <w:rPr>
          <w:rFonts w:cs="宋体"/>
          <w:sz w:val="24"/>
          <w:lang w:eastAsia="zh-CN"/>
        </w:rPr>
        <w:t>使用情景声明；</w:t>
      </w:r>
    </w:p>
    <w:p w14:paraId="3FAD229F">
      <w:pPr>
        <w:overflowPunct w:val="0"/>
        <w:spacing w:before="120" w:beforeLines="50" w:line="300" w:lineRule="auto"/>
        <w:ind w:left="840" w:leftChars="200" w:hanging="420"/>
        <w:rPr>
          <w:rFonts w:cs="Times New Roman"/>
          <w:sz w:val="24"/>
          <w:szCs w:val="24"/>
          <w:lang w:eastAsia="zh-CN"/>
        </w:rPr>
      </w:pPr>
      <w:r>
        <w:rPr>
          <w:rFonts w:cs="宋体"/>
          <w:sz w:val="24"/>
          <w:lang w:eastAsia="zh-CN"/>
        </w:rPr>
        <w:t>e.</w:t>
      </w:r>
      <w:r>
        <w:rPr>
          <w:rFonts w:cs="宋体"/>
          <w:sz w:val="24"/>
          <w:lang w:eastAsia="zh-CN"/>
        </w:rPr>
        <w:tab/>
      </w:r>
      <w:r>
        <w:rPr>
          <w:rFonts w:cs="宋体"/>
          <w:sz w:val="24"/>
          <w:lang w:eastAsia="zh-CN"/>
        </w:rPr>
        <w:t>说明手册；以及</w:t>
      </w:r>
    </w:p>
    <w:p w14:paraId="70160341">
      <w:pPr>
        <w:overflowPunct w:val="0"/>
        <w:spacing w:before="120" w:beforeLines="50" w:line="300" w:lineRule="auto"/>
        <w:ind w:left="840" w:leftChars="200" w:hanging="420"/>
        <w:rPr>
          <w:rFonts w:cs="Times New Roman"/>
          <w:sz w:val="24"/>
          <w:szCs w:val="24"/>
          <w:lang w:eastAsia="zh-CN"/>
        </w:rPr>
      </w:pPr>
      <w:r>
        <w:rPr>
          <w:rFonts w:cs="宋体"/>
          <w:sz w:val="24"/>
          <w:lang w:eastAsia="zh-CN"/>
        </w:rPr>
        <w:t>f.</w:t>
      </w:r>
      <w:r>
        <w:rPr>
          <w:rFonts w:cs="宋体"/>
          <w:sz w:val="24"/>
          <w:lang w:eastAsia="zh-CN"/>
        </w:rPr>
        <w:tab/>
      </w:r>
      <w:r>
        <w:rPr>
          <w:rFonts w:cs="宋体"/>
          <w:sz w:val="24"/>
          <w:lang w:eastAsia="zh-CN"/>
        </w:rPr>
        <w:t>确认（控制和校准）程序。</w:t>
      </w:r>
    </w:p>
    <w:p w14:paraId="1787B81F">
      <w:pPr>
        <w:pStyle w:val="21"/>
        <w:overflowPunct w:val="0"/>
        <w:rPr>
          <w:lang w:eastAsia="zh-CN"/>
        </w:rPr>
      </w:pPr>
      <w:bookmarkStart w:id="25" w:name="_bookmark41"/>
      <w:bookmarkEnd w:id="25"/>
    </w:p>
    <w:p w14:paraId="4CAF3921">
      <w:pPr>
        <w:pStyle w:val="21"/>
        <w:overflowPunct w:val="0"/>
        <w:rPr>
          <w:lang w:eastAsia="zh-CN"/>
        </w:rPr>
      </w:pPr>
    </w:p>
    <w:p w14:paraId="792F85D8">
      <w:pPr>
        <w:pStyle w:val="21"/>
        <w:overflowPunct w:val="0"/>
        <w:rPr>
          <w:lang w:eastAsia="zh-CN"/>
        </w:rPr>
      </w:pPr>
    </w:p>
    <w:p w14:paraId="2F2EAE06">
      <w:pPr>
        <w:pStyle w:val="21"/>
        <w:overflowPunct w:val="0"/>
        <w:rPr>
          <w:lang w:eastAsia="zh-CN"/>
        </w:rPr>
      </w:pPr>
    </w:p>
    <w:p w14:paraId="2CD6EE14">
      <w:pPr>
        <w:pStyle w:val="21"/>
        <w:overflowPunct w:val="0"/>
        <w:rPr>
          <w:lang w:eastAsia="zh-CN"/>
        </w:rPr>
      </w:pPr>
    </w:p>
    <w:p w14:paraId="4C783D32">
      <w:pPr>
        <w:pStyle w:val="21"/>
        <w:overflowPunct w:val="0"/>
        <w:rPr>
          <w:lang w:eastAsia="zh-CN"/>
        </w:rPr>
      </w:pPr>
    </w:p>
    <w:p w14:paraId="3BD08F64">
      <w:pPr>
        <w:pStyle w:val="21"/>
        <w:overflowPunct w:val="0"/>
        <w:rPr>
          <w:lang w:eastAsia="zh-CN"/>
        </w:rPr>
      </w:pPr>
    </w:p>
    <w:p w14:paraId="4B19BC34">
      <w:pPr>
        <w:pStyle w:val="21"/>
        <w:overflowPunct w:val="0"/>
        <w:rPr>
          <w:lang w:eastAsia="zh-CN"/>
        </w:rPr>
      </w:pPr>
    </w:p>
    <w:p w14:paraId="3555FEAB">
      <w:pPr>
        <w:pStyle w:val="21"/>
        <w:overflowPunct w:val="0"/>
        <w:rPr>
          <w:lang w:eastAsia="zh-CN"/>
        </w:rPr>
      </w:pPr>
    </w:p>
    <w:p w14:paraId="3F17AF8D">
      <w:pPr>
        <w:pStyle w:val="21"/>
        <w:overflowPunct w:val="0"/>
        <w:rPr>
          <w:lang w:eastAsia="zh-CN"/>
        </w:rPr>
      </w:pPr>
    </w:p>
    <w:p w14:paraId="0AB68E5D">
      <w:pPr>
        <w:pStyle w:val="21"/>
        <w:overflowPunct w:val="0"/>
        <w:rPr>
          <w:lang w:eastAsia="zh-CN"/>
        </w:rPr>
      </w:pPr>
    </w:p>
    <w:p w14:paraId="18804CF8">
      <w:pPr>
        <w:pStyle w:val="21"/>
        <w:overflowPunct w:val="0"/>
        <w:rPr>
          <w:lang w:eastAsia="zh-CN"/>
        </w:rPr>
      </w:pPr>
    </w:p>
    <w:p w14:paraId="0D158F01">
      <w:pPr>
        <w:pStyle w:val="21"/>
        <w:overflowPunct w:val="0"/>
        <w:rPr>
          <w:lang w:eastAsia="zh-CN"/>
        </w:rPr>
      </w:pPr>
    </w:p>
    <w:p w14:paraId="0F1BC2BA">
      <w:pPr>
        <w:pStyle w:val="21"/>
        <w:overflowPunct w:val="0"/>
        <w:rPr>
          <w:lang w:eastAsia="zh-CN"/>
        </w:rPr>
      </w:pPr>
    </w:p>
    <w:p w14:paraId="370A173D">
      <w:pPr>
        <w:pStyle w:val="21"/>
        <w:overflowPunct w:val="0"/>
        <w:rPr>
          <w:lang w:eastAsia="zh-CN"/>
        </w:rPr>
      </w:pPr>
      <w:r>
        <w:rPr>
          <w:rFonts w:cs="宋体"/>
          <w:lang w:eastAsia="zh-CN"/>
        </w:rPr>
        <w:t>_______________________</w:t>
      </w:r>
    </w:p>
    <w:p w14:paraId="192A4572">
      <w:pPr>
        <w:pStyle w:val="21"/>
        <w:overflowPunct w:val="0"/>
        <w:rPr>
          <w:lang w:eastAsia="zh-CN"/>
        </w:rPr>
      </w:pPr>
      <w:r>
        <w:rPr>
          <w:rFonts w:cs="宋体"/>
          <w:vertAlign w:val="superscript"/>
          <w:lang w:eastAsia="zh-CN"/>
        </w:rPr>
        <w:t>22</w:t>
      </w:r>
      <w:r>
        <w:rPr>
          <w:rFonts w:cs="宋体"/>
          <w:lang w:eastAsia="zh-CN"/>
        </w:rPr>
        <w:t>所有工具提交者应提供一份声明，证明所提交的所有信息均真实且未遗漏任何重要事实。</w:t>
      </w:r>
    </w:p>
    <w:p w14:paraId="290058A1">
      <w:pPr>
        <w:pBdr>
          <w:bottom w:val="single" w:color="auto" w:sz="4" w:space="1"/>
        </w:pBdr>
        <w:overflowPunct w:val="0"/>
        <w:spacing w:before="120" w:beforeLines="50" w:line="300" w:lineRule="auto"/>
        <w:jc w:val="center"/>
        <w:rPr>
          <w:rFonts w:hint="eastAsia" w:eastAsia="宋体"/>
          <w:lang w:eastAsia="zh-CN"/>
        </w:rPr>
      </w:pPr>
    </w:p>
    <w:p w14:paraId="524B8BB1">
      <w:pPr>
        <w:pBdr>
          <w:bottom w:val="single" w:color="auto" w:sz="4" w:space="1"/>
        </w:pBdr>
        <w:overflowPunct w:val="0"/>
        <w:spacing w:before="120" w:beforeLines="50" w:line="300" w:lineRule="auto"/>
        <w:jc w:val="center"/>
        <w:rPr>
          <w:rFonts w:hint="eastAsia" w:eastAsia="宋体"/>
          <w:lang w:eastAsia="zh-CN"/>
        </w:rPr>
      </w:pPr>
    </w:p>
    <w:p w14:paraId="0BE4E0BD">
      <w:pPr>
        <w:pBdr>
          <w:bottom w:val="single" w:color="auto" w:sz="4" w:space="1"/>
        </w:pBdr>
        <w:overflowPunct w:val="0"/>
        <w:spacing w:before="120" w:beforeLines="50"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9"/>
                    <a:stretch>
                      <a:fillRect/>
                    </a:stretch>
                  </pic:blipFill>
                  <pic:spPr>
                    <a:xfrm>
                      <a:off x="0" y="0"/>
                      <a:ext cx="5210175" cy="7343775"/>
                    </a:xfrm>
                    <a:prstGeom prst="rect">
                      <a:avLst/>
                    </a:prstGeom>
                  </pic:spPr>
                </pic:pic>
              </a:graphicData>
            </a:graphic>
          </wp:inline>
        </w:drawing>
      </w:r>
    </w:p>
    <w:sectPr>
      <w:footerReference r:id="rId6" w:type="default"/>
      <w:pgSz w:w="11907" w:h="16839"/>
      <w:pgMar w:top="1418" w:right="1418" w:bottom="1418" w:left="1418" w:header="720" w:footer="720" w:gutter="0"/>
      <w:pgNumType w:start="1"/>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F7667">
    <w:pPr>
      <w:pStyle w:val="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45313">
    <w:pPr>
      <w:pStyle w:val="8"/>
      <w:jc w:val="center"/>
      <w:rPr>
        <w:sz w:val="21"/>
        <w:szCs w:val="21"/>
      </w:rPr>
    </w:pPr>
    <w:r>
      <w:rPr>
        <w:rStyle w:val="14"/>
        <w:sz w:val="21"/>
        <w:szCs w:val="21"/>
      </w:rPr>
      <w:fldChar w:fldCharType="begin"/>
    </w:r>
    <w:r>
      <w:rPr>
        <w:rStyle w:val="14"/>
        <w:sz w:val="21"/>
        <w:szCs w:val="21"/>
      </w:rPr>
      <w:instrText xml:space="preserve"> PAGE </w:instrText>
    </w:r>
    <w:r>
      <w:rPr>
        <w:rStyle w:val="14"/>
        <w:sz w:val="21"/>
        <w:szCs w:val="21"/>
      </w:rPr>
      <w:fldChar w:fldCharType="separate"/>
    </w:r>
    <w:r>
      <w:rPr>
        <w:rStyle w:val="14"/>
        <w:sz w:val="21"/>
        <w:szCs w:val="21"/>
      </w:rPr>
      <w:t>1</w:t>
    </w:r>
    <w:r>
      <w:rPr>
        <w:rStyle w:val="14"/>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C5C53">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99D3C">
    <w:pPr>
      <w:pStyle w:val="9"/>
    </w:pPr>
    <w:r>
      <w:rPr>
        <w:rFonts w:hint="eastAsia" w:cs="宋体"/>
        <w:i/>
        <w:sz w:val="21"/>
        <w:szCs w:val="21"/>
      </w:rPr>
      <w:t>所含建议不具约束力</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DB6E54"/>
    <w:multiLevelType w:val="multilevel"/>
    <w:tmpl w:val="01DB6E5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1C5A5273"/>
    <w:multiLevelType w:val="multilevel"/>
    <w:tmpl w:val="1C5A527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221834CC"/>
    <w:multiLevelType w:val="multilevel"/>
    <w:tmpl w:val="221834C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2FC30FC0"/>
    <w:multiLevelType w:val="multilevel"/>
    <w:tmpl w:val="2FC30FC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305D1863"/>
    <w:multiLevelType w:val="multilevel"/>
    <w:tmpl w:val="305D186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32EB0F38"/>
    <w:multiLevelType w:val="multilevel"/>
    <w:tmpl w:val="32EB0F3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43752248"/>
    <w:multiLevelType w:val="multilevel"/>
    <w:tmpl w:val="43752248"/>
    <w:lvl w:ilvl="0" w:tentative="0">
      <w:start w:val="1"/>
      <w:numFmt w:val="bullet"/>
      <w:lvlText w:val=""/>
      <w:lvlJc w:val="left"/>
      <w:pPr>
        <w:ind w:left="1680" w:hanging="420"/>
      </w:pPr>
      <w:rPr>
        <w:rFonts w:hint="default" w:ascii="Wingdings" w:hAnsi="Wingdings"/>
      </w:rPr>
    </w:lvl>
    <w:lvl w:ilvl="1" w:tentative="0">
      <w:start w:val="1"/>
      <w:numFmt w:val="bullet"/>
      <w:lvlText w:val=""/>
      <w:lvlJc w:val="left"/>
      <w:pPr>
        <w:ind w:left="2100" w:hanging="420"/>
      </w:pPr>
      <w:rPr>
        <w:rFonts w:hint="default" w:ascii="Wingdings" w:hAnsi="Wingdings"/>
      </w:rPr>
    </w:lvl>
    <w:lvl w:ilvl="2" w:tentative="0">
      <w:start w:val="1"/>
      <w:numFmt w:val="bullet"/>
      <w:lvlText w:val=""/>
      <w:lvlJc w:val="left"/>
      <w:pPr>
        <w:ind w:left="2520" w:hanging="420"/>
      </w:pPr>
      <w:rPr>
        <w:rFonts w:hint="default" w:ascii="Wingdings" w:hAnsi="Wingdings"/>
      </w:rPr>
    </w:lvl>
    <w:lvl w:ilvl="3" w:tentative="0">
      <w:start w:val="1"/>
      <w:numFmt w:val="bullet"/>
      <w:lvlText w:val=""/>
      <w:lvlJc w:val="left"/>
      <w:pPr>
        <w:ind w:left="2940" w:hanging="420"/>
      </w:pPr>
      <w:rPr>
        <w:rFonts w:hint="default" w:ascii="Wingdings" w:hAnsi="Wingdings"/>
      </w:rPr>
    </w:lvl>
    <w:lvl w:ilvl="4" w:tentative="0">
      <w:start w:val="1"/>
      <w:numFmt w:val="bullet"/>
      <w:lvlText w:val=""/>
      <w:lvlJc w:val="left"/>
      <w:pPr>
        <w:ind w:left="3360" w:hanging="420"/>
      </w:pPr>
      <w:rPr>
        <w:rFonts w:hint="default" w:ascii="Wingdings" w:hAnsi="Wingdings"/>
      </w:rPr>
    </w:lvl>
    <w:lvl w:ilvl="5" w:tentative="0">
      <w:start w:val="1"/>
      <w:numFmt w:val="bullet"/>
      <w:lvlText w:val=""/>
      <w:lvlJc w:val="left"/>
      <w:pPr>
        <w:ind w:left="3780" w:hanging="420"/>
      </w:pPr>
      <w:rPr>
        <w:rFonts w:hint="default" w:ascii="Wingdings" w:hAnsi="Wingdings"/>
      </w:rPr>
    </w:lvl>
    <w:lvl w:ilvl="6" w:tentative="0">
      <w:start w:val="1"/>
      <w:numFmt w:val="bullet"/>
      <w:lvlText w:val=""/>
      <w:lvlJc w:val="left"/>
      <w:pPr>
        <w:ind w:left="4200" w:hanging="420"/>
      </w:pPr>
      <w:rPr>
        <w:rFonts w:hint="default" w:ascii="Wingdings" w:hAnsi="Wingdings"/>
      </w:rPr>
    </w:lvl>
    <w:lvl w:ilvl="7" w:tentative="0">
      <w:start w:val="1"/>
      <w:numFmt w:val="bullet"/>
      <w:lvlText w:val=""/>
      <w:lvlJc w:val="left"/>
      <w:pPr>
        <w:ind w:left="4620" w:hanging="420"/>
      </w:pPr>
      <w:rPr>
        <w:rFonts w:hint="default" w:ascii="Wingdings" w:hAnsi="Wingdings"/>
      </w:rPr>
    </w:lvl>
    <w:lvl w:ilvl="8" w:tentative="0">
      <w:start w:val="1"/>
      <w:numFmt w:val="bullet"/>
      <w:lvlText w:val=""/>
      <w:lvlJc w:val="left"/>
      <w:pPr>
        <w:ind w:left="5040" w:hanging="420"/>
      </w:pPr>
      <w:rPr>
        <w:rFonts w:hint="default" w:ascii="Wingdings" w:hAnsi="Wingdings"/>
      </w:rPr>
    </w:lvl>
  </w:abstractNum>
  <w:abstractNum w:abstractNumId="7">
    <w:nsid w:val="47E2693B"/>
    <w:multiLevelType w:val="multilevel"/>
    <w:tmpl w:val="47E2693B"/>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320" w:hanging="48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8">
    <w:nsid w:val="4D975169"/>
    <w:multiLevelType w:val="multilevel"/>
    <w:tmpl w:val="4D97516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9">
    <w:nsid w:val="55D061A7"/>
    <w:multiLevelType w:val="multilevel"/>
    <w:tmpl w:val="55D061A7"/>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0">
    <w:nsid w:val="579534B7"/>
    <w:multiLevelType w:val="multilevel"/>
    <w:tmpl w:val="579534B7"/>
    <w:lvl w:ilvl="0" w:tentative="0">
      <w:start w:val="1"/>
      <w:numFmt w:val="bullet"/>
      <w:lvlText w:val=""/>
      <w:lvlJc w:val="left"/>
      <w:pPr>
        <w:ind w:left="615" w:hanging="420"/>
      </w:pPr>
      <w:rPr>
        <w:rFonts w:hint="default" w:ascii="Wingdings" w:hAnsi="Wingdings"/>
      </w:rPr>
    </w:lvl>
    <w:lvl w:ilvl="1" w:tentative="0">
      <w:start w:val="1"/>
      <w:numFmt w:val="bullet"/>
      <w:lvlText w:val=""/>
      <w:lvlJc w:val="left"/>
      <w:pPr>
        <w:ind w:left="1035" w:hanging="420"/>
      </w:pPr>
      <w:rPr>
        <w:rFonts w:hint="default" w:ascii="Wingdings" w:hAnsi="Wingdings"/>
      </w:rPr>
    </w:lvl>
    <w:lvl w:ilvl="2" w:tentative="0">
      <w:start w:val="1"/>
      <w:numFmt w:val="bullet"/>
      <w:lvlText w:val=""/>
      <w:lvlJc w:val="left"/>
      <w:pPr>
        <w:ind w:left="1455" w:hanging="420"/>
      </w:pPr>
      <w:rPr>
        <w:rFonts w:hint="default" w:ascii="Wingdings" w:hAnsi="Wingdings"/>
      </w:rPr>
    </w:lvl>
    <w:lvl w:ilvl="3" w:tentative="0">
      <w:start w:val="1"/>
      <w:numFmt w:val="bullet"/>
      <w:lvlText w:val=""/>
      <w:lvlJc w:val="left"/>
      <w:pPr>
        <w:ind w:left="1875" w:hanging="420"/>
      </w:pPr>
      <w:rPr>
        <w:rFonts w:hint="default" w:ascii="Wingdings" w:hAnsi="Wingdings"/>
      </w:rPr>
    </w:lvl>
    <w:lvl w:ilvl="4" w:tentative="0">
      <w:start w:val="1"/>
      <w:numFmt w:val="bullet"/>
      <w:lvlText w:val=""/>
      <w:lvlJc w:val="left"/>
      <w:pPr>
        <w:ind w:left="2295" w:hanging="420"/>
      </w:pPr>
      <w:rPr>
        <w:rFonts w:hint="default" w:ascii="Wingdings" w:hAnsi="Wingdings"/>
      </w:rPr>
    </w:lvl>
    <w:lvl w:ilvl="5" w:tentative="0">
      <w:start w:val="1"/>
      <w:numFmt w:val="bullet"/>
      <w:lvlText w:val=""/>
      <w:lvlJc w:val="left"/>
      <w:pPr>
        <w:ind w:left="2715" w:hanging="420"/>
      </w:pPr>
      <w:rPr>
        <w:rFonts w:hint="default" w:ascii="Wingdings" w:hAnsi="Wingdings"/>
      </w:rPr>
    </w:lvl>
    <w:lvl w:ilvl="6" w:tentative="0">
      <w:start w:val="1"/>
      <w:numFmt w:val="bullet"/>
      <w:lvlText w:val=""/>
      <w:lvlJc w:val="left"/>
      <w:pPr>
        <w:ind w:left="3135" w:hanging="420"/>
      </w:pPr>
      <w:rPr>
        <w:rFonts w:hint="default" w:ascii="Wingdings" w:hAnsi="Wingdings"/>
      </w:rPr>
    </w:lvl>
    <w:lvl w:ilvl="7" w:tentative="0">
      <w:start w:val="1"/>
      <w:numFmt w:val="bullet"/>
      <w:lvlText w:val=""/>
      <w:lvlJc w:val="left"/>
      <w:pPr>
        <w:ind w:left="3555" w:hanging="420"/>
      </w:pPr>
      <w:rPr>
        <w:rFonts w:hint="default" w:ascii="Wingdings" w:hAnsi="Wingdings"/>
      </w:rPr>
    </w:lvl>
    <w:lvl w:ilvl="8" w:tentative="0">
      <w:start w:val="1"/>
      <w:numFmt w:val="bullet"/>
      <w:lvlText w:val=""/>
      <w:lvlJc w:val="left"/>
      <w:pPr>
        <w:ind w:left="3975" w:hanging="420"/>
      </w:pPr>
      <w:rPr>
        <w:rFonts w:hint="default" w:ascii="Wingdings" w:hAnsi="Wingdings"/>
      </w:rPr>
    </w:lvl>
  </w:abstractNum>
  <w:abstractNum w:abstractNumId="11">
    <w:nsid w:val="5F9F2DE7"/>
    <w:multiLevelType w:val="multilevel"/>
    <w:tmpl w:val="5F9F2DE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71D66FCB"/>
    <w:multiLevelType w:val="multilevel"/>
    <w:tmpl w:val="71D66FCB"/>
    <w:lvl w:ilvl="0" w:tentative="0">
      <w:start w:val="1"/>
      <w:numFmt w:val="bullet"/>
      <w:lvlText w:val=""/>
      <w:lvlJc w:val="left"/>
      <w:pPr>
        <w:ind w:left="1680" w:hanging="420"/>
      </w:pPr>
      <w:rPr>
        <w:rFonts w:hint="default" w:ascii="Wingdings" w:hAnsi="Wingdings"/>
      </w:rPr>
    </w:lvl>
    <w:lvl w:ilvl="1" w:tentative="0">
      <w:start w:val="1"/>
      <w:numFmt w:val="bullet"/>
      <w:lvlText w:val=""/>
      <w:lvlJc w:val="left"/>
      <w:pPr>
        <w:ind w:left="2100" w:hanging="420"/>
      </w:pPr>
      <w:rPr>
        <w:rFonts w:hint="default" w:ascii="Wingdings" w:hAnsi="Wingdings"/>
      </w:rPr>
    </w:lvl>
    <w:lvl w:ilvl="2" w:tentative="0">
      <w:start w:val="1"/>
      <w:numFmt w:val="bullet"/>
      <w:lvlText w:val=""/>
      <w:lvlJc w:val="left"/>
      <w:pPr>
        <w:ind w:left="2520" w:hanging="420"/>
      </w:pPr>
      <w:rPr>
        <w:rFonts w:hint="default" w:ascii="Wingdings" w:hAnsi="Wingdings"/>
      </w:rPr>
    </w:lvl>
    <w:lvl w:ilvl="3" w:tentative="0">
      <w:start w:val="1"/>
      <w:numFmt w:val="bullet"/>
      <w:lvlText w:val=""/>
      <w:lvlJc w:val="left"/>
      <w:pPr>
        <w:ind w:left="2940" w:hanging="420"/>
      </w:pPr>
      <w:rPr>
        <w:rFonts w:hint="default" w:ascii="Wingdings" w:hAnsi="Wingdings"/>
      </w:rPr>
    </w:lvl>
    <w:lvl w:ilvl="4" w:tentative="0">
      <w:start w:val="1"/>
      <w:numFmt w:val="bullet"/>
      <w:lvlText w:val=""/>
      <w:lvlJc w:val="left"/>
      <w:pPr>
        <w:ind w:left="3360" w:hanging="420"/>
      </w:pPr>
      <w:rPr>
        <w:rFonts w:hint="default" w:ascii="Wingdings" w:hAnsi="Wingdings"/>
      </w:rPr>
    </w:lvl>
    <w:lvl w:ilvl="5" w:tentative="0">
      <w:start w:val="1"/>
      <w:numFmt w:val="bullet"/>
      <w:lvlText w:val=""/>
      <w:lvlJc w:val="left"/>
      <w:pPr>
        <w:ind w:left="3780" w:hanging="420"/>
      </w:pPr>
      <w:rPr>
        <w:rFonts w:hint="default" w:ascii="Wingdings" w:hAnsi="Wingdings"/>
      </w:rPr>
    </w:lvl>
    <w:lvl w:ilvl="6" w:tentative="0">
      <w:start w:val="1"/>
      <w:numFmt w:val="bullet"/>
      <w:lvlText w:val=""/>
      <w:lvlJc w:val="left"/>
      <w:pPr>
        <w:ind w:left="4200" w:hanging="420"/>
      </w:pPr>
      <w:rPr>
        <w:rFonts w:hint="default" w:ascii="Wingdings" w:hAnsi="Wingdings"/>
      </w:rPr>
    </w:lvl>
    <w:lvl w:ilvl="7" w:tentative="0">
      <w:start w:val="1"/>
      <w:numFmt w:val="bullet"/>
      <w:lvlText w:val=""/>
      <w:lvlJc w:val="left"/>
      <w:pPr>
        <w:ind w:left="4620" w:hanging="420"/>
      </w:pPr>
      <w:rPr>
        <w:rFonts w:hint="default" w:ascii="Wingdings" w:hAnsi="Wingdings"/>
      </w:rPr>
    </w:lvl>
    <w:lvl w:ilvl="8" w:tentative="0">
      <w:start w:val="1"/>
      <w:numFmt w:val="bullet"/>
      <w:lvlText w:val=""/>
      <w:lvlJc w:val="left"/>
      <w:pPr>
        <w:ind w:left="5040" w:hanging="420"/>
      </w:pPr>
      <w:rPr>
        <w:rFonts w:hint="default" w:ascii="Wingdings" w:hAnsi="Wingdings"/>
      </w:rPr>
    </w:lvl>
  </w:abstractNum>
  <w:abstractNum w:abstractNumId="13">
    <w:nsid w:val="746A5545"/>
    <w:multiLevelType w:val="multilevel"/>
    <w:tmpl w:val="746A554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7"/>
  </w:num>
  <w:num w:numId="2">
    <w:abstractNumId w:val="13"/>
  </w:num>
  <w:num w:numId="3">
    <w:abstractNumId w:val="0"/>
  </w:num>
  <w:num w:numId="4">
    <w:abstractNumId w:val="4"/>
  </w:num>
  <w:num w:numId="5">
    <w:abstractNumId w:val="10"/>
  </w:num>
  <w:num w:numId="6">
    <w:abstractNumId w:val="1"/>
  </w:num>
  <w:num w:numId="7">
    <w:abstractNumId w:val="2"/>
  </w:num>
  <w:num w:numId="8">
    <w:abstractNumId w:val="5"/>
  </w:num>
  <w:num w:numId="9">
    <w:abstractNumId w:val="3"/>
  </w:num>
  <w:num w:numId="10">
    <w:abstractNumId w:val="8"/>
  </w:num>
  <w:num w:numId="11">
    <w:abstractNumId w:val="12"/>
  </w:num>
  <w:num w:numId="12">
    <w:abstractNumId w:val="6"/>
  </w:num>
  <w:num w:numId="13">
    <w:abstractNumId w:val="1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dit="readOnly" w:enforcement="0"/>
  <w:defaultTabStop w:val="420"/>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9C0D95"/>
    <w:rsid w:val="00072D83"/>
    <w:rsid w:val="00076366"/>
    <w:rsid w:val="00082C96"/>
    <w:rsid w:val="000D7600"/>
    <w:rsid w:val="000E629D"/>
    <w:rsid w:val="00137342"/>
    <w:rsid w:val="00147311"/>
    <w:rsid w:val="00152379"/>
    <w:rsid w:val="00190329"/>
    <w:rsid w:val="001B0176"/>
    <w:rsid w:val="00213ECB"/>
    <w:rsid w:val="002D09AC"/>
    <w:rsid w:val="002D7DC1"/>
    <w:rsid w:val="002E63F4"/>
    <w:rsid w:val="002F56B9"/>
    <w:rsid w:val="003368A8"/>
    <w:rsid w:val="00380C8B"/>
    <w:rsid w:val="00383CFD"/>
    <w:rsid w:val="003A0449"/>
    <w:rsid w:val="003D02E0"/>
    <w:rsid w:val="0040177F"/>
    <w:rsid w:val="004763DB"/>
    <w:rsid w:val="00477241"/>
    <w:rsid w:val="00485E42"/>
    <w:rsid w:val="004B0B18"/>
    <w:rsid w:val="004E731C"/>
    <w:rsid w:val="004F16FE"/>
    <w:rsid w:val="00517F21"/>
    <w:rsid w:val="005340AD"/>
    <w:rsid w:val="0054765D"/>
    <w:rsid w:val="00575C2A"/>
    <w:rsid w:val="006406C5"/>
    <w:rsid w:val="00671548"/>
    <w:rsid w:val="006751A1"/>
    <w:rsid w:val="006A4067"/>
    <w:rsid w:val="006E1640"/>
    <w:rsid w:val="00703445"/>
    <w:rsid w:val="0078746F"/>
    <w:rsid w:val="007A14B5"/>
    <w:rsid w:val="00836EDE"/>
    <w:rsid w:val="0084218C"/>
    <w:rsid w:val="008467DC"/>
    <w:rsid w:val="00875501"/>
    <w:rsid w:val="008879AA"/>
    <w:rsid w:val="008B18EB"/>
    <w:rsid w:val="008B2C5E"/>
    <w:rsid w:val="008B6376"/>
    <w:rsid w:val="008C7CC3"/>
    <w:rsid w:val="008D46E9"/>
    <w:rsid w:val="008F1775"/>
    <w:rsid w:val="009140AA"/>
    <w:rsid w:val="00917004"/>
    <w:rsid w:val="00935F6C"/>
    <w:rsid w:val="00943895"/>
    <w:rsid w:val="009A5E7E"/>
    <w:rsid w:val="009C0D95"/>
    <w:rsid w:val="009C2353"/>
    <w:rsid w:val="009D60F4"/>
    <w:rsid w:val="009F2CD5"/>
    <w:rsid w:val="00A02F62"/>
    <w:rsid w:val="00A24623"/>
    <w:rsid w:val="00A827D1"/>
    <w:rsid w:val="00A923EA"/>
    <w:rsid w:val="00A97BE3"/>
    <w:rsid w:val="00AC176A"/>
    <w:rsid w:val="00AC2D13"/>
    <w:rsid w:val="00AC316D"/>
    <w:rsid w:val="00AC5FC9"/>
    <w:rsid w:val="00AC7D64"/>
    <w:rsid w:val="00AE1D95"/>
    <w:rsid w:val="00B2507E"/>
    <w:rsid w:val="00B9174D"/>
    <w:rsid w:val="00BA2BA3"/>
    <w:rsid w:val="00BE03B7"/>
    <w:rsid w:val="00C02C12"/>
    <w:rsid w:val="00C221A5"/>
    <w:rsid w:val="00C342AF"/>
    <w:rsid w:val="00C96FEF"/>
    <w:rsid w:val="00CB3A19"/>
    <w:rsid w:val="00CB6DF8"/>
    <w:rsid w:val="00D20361"/>
    <w:rsid w:val="00D26B90"/>
    <w:rsid w:val="00D60C6F"/>
    <w:rsid w:val="00D73439"/>
    <w:rsid w:val="00D803A1"/>
    <w:rsid w:val="00DC0D16"/>
    <w:rsid w:val="00DC0ECC"/>
    <w:rsid w:val="00E0748A"/>
    <w:rsid w:val="00E41110"/>
    <w:rsid w:val="00E55E25"/>
    <w:rsid w:val="00E714A7"/>
    <w:rsid w:val="00F3209E"/>
    <w:rsid w:val="00F42593"/>
    <w:rsid w:val="00FC0160"/>
    <w:rsid w:val="7A070A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1"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jc w:val="both"/>
    </w:pPr>
    <w:rPr>
      <w:rFonts w:ascii="Times New Roman" w:hAnsi="Times New Roman" w:eastAsia="宋体" w:cstheme="minorBidi"/>
      <w:sz w:val="21"/>
      <w:szCs w:val="21"/>
      <w:lang w:val="en-US" w:eastAsia="en-US" w:bidi="ar-SA"/>
    </w:rPr>
  </w:style>
  <w:style w:type="paragraph" w:styleId="2">
    <w:name w:val="heading 1"/>
    <w:basedOn w:val="1"/>
    <w:qFormat/>
    <w:uiPriority w:val="1"/>
    <w:pPr>
      <w:keepNext/>
      <w:spacing w:before="120" w:beforeLines="50" w:line="300" w:lineRule="auto"/>
      <w:outlineLvl w:val="0"/>
    </w:pPr>
    <w:rPr>
      <w:rFonts w:cs="Times New Roman"/>
      <w:b/>
      <w:sz w:val="32"/>
      <w:szCs w:val="24"/>
    </w:rPr>
  </w:style>
  <w:style w:type="paragraph" w:styleId="3">
    <w:name w:val="heading 2"/>
    <w:basedOn w:val="1"/>
    <w:qFormat/>
    <w:uiPriority w:val="1"/>
    <w:pPr>
      <w:keepNext/>
      <w:spacing w:before="120" w:beforeLines="50" w:line="300" w:lineRule="auto"/>
      <w:ind w:left="420" w:hanging="420"/>
      <w:outlineLvl w:val="1"/>
    </w:pPr>
    <w:rPr>
      <w:rFonts w:cs="Times New Roman"/>
      <w:b/>
      <w:sz w:val="28"/>
      <w:szCs w:val="24"/>
    </w:rPr>
  </w:style>
  <w:style w:type="paragraph" w:styleId="4">
    <w:name w:val="heading 3"/>
    <w:basedOn w:val="1"/>
    <w:qFormat/>
    <w:uiPriority w:val="1"/>
    <w:pPr>
      <w:spacing w:before="1"/>
      <w:ind w:left="780" w:right="816"/>
      <w:jc w:val="center"/>
      <w:outlineLvl w:val="2"/>
    </w:pPr>
    <w:rPr>
      <w:b/>
      <w:bCs/>
      <w:sz w:val="28"/>
      <w:szCs w:val="28"/>
    </w:rPr>
  </w:style>
  <w:style w:type="paragraph" w:styleId="5">
    <w:name w:val="heading 4"/>
    <w:basedOn w:val="1"/>
    <w:link w:val="17"/>
    <w:qFormat/>
    <w:uiPriority w:val="1"/>
    <w:pPr>
      <w:ind w:right="276"/>
      <w:jc w:val="right"/>
      <w:outlineLvl w:val="3"/>
    </w:pPr>
    <w:rPr>
      <w:b/>
      <w:bCs/>
      <w:sz w:val="24"/>
      <w:szCs w:val="24"/>
    </w:rPr>
  </w:style>
  <w:style w:type="paragraph" w:styleId="6">
    <w:name w:val="heading 5"/>
    <w:basedOn w:val="1"/>
    <w:link w:val="18"/>
    <w:qFormat/>
    <w:uiPriority w:val="1"/>
    <w:pPr>
      <w:ind w:left="960" w:hanging="360"/>
      <w:outlineLvl w:val="4"/>
    </w:pPr>
    <w:rPr>
      <w:b/>
      <w:bCs/>
      <w:sz w:val="24"/>
      <w:szCs w:val="2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16"/>
    <w:semiHidden/>
    <w:unhideWhenUsed/>
    <w:qFormat/>
    <w:uiPriority w:val="99"/>
    <w:rPr>
      <w:sz w:val="18"/>
      <w:szCs w:val="18"/>
    </w:rPr>
  </w:style>
  <w:style w:type="paragraph" w:styleId="8">
    <w:name w:val="footer"/>
    <w:basedOn w:val="1"/>
    <w:link w:val="20"/>
    <w:unhideWhenUsed/>
    <w:qFormat/>
    <w:uiPriority w:val="99"/>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unhideWhenUsed/>
    <w:qFormat/>
    <w:uiPriority w:val="39"/>
    <w:pPr>
      <w:tabs>
        <w:tab w:val="left" w:pos="630"/>
        <w:tab w:val="right" w:leader="dot" w:pos="9061"/>
      </w:tabs>
      <w:spacing w:before="120" w:beforeLines="50" w:line="300" w:lineRule="auto"/>
    </w:pPr>
    <w:rPr>
      <w:sz w:val="24"/>
      <w:szCs w:val="24"/>
    </w:rPr>
  </w:style>
  <w:style w:type="paragraph" w:styleId="11">
    <w:name w:val="toc 2"/>
    <w:basedOn w:val="1"/>
    <w:next w:val="1"/>
    <w:autoRedefine/>
    <w:unhideWhenUsed/>
    <w:qFormat/>
    <w:uiPriority w:val="39"/>
    <w:pPr>
      <w:tabs>
        <w:tab w:val="left" w:pos="840"/>
        <w:tab w:val="right" w:leader="dot" w:pos="9061"/>
      </w:tabs>
      <w:spacing w:before="120" w:beforeLines="50" w:line="300" w:lineRule="auto"/>
      <w:ind w:left="420" w:leftChars="200"/>
    </w:pPr>
    <w:rPr>
      <w:sz w:val="24"/>
      <w:szCs w:val="24"/>
    </w:rPr>
  </w:style>
  <w:style w:type="character" w:styleId="14">
    <w:name w:val="page number"/>
    <w:basedOn w:val="13"/>
    <w:semiHidden/>
    <w:unhideWhenUsed/>
    <w:qFormat/>
    <w:uiPriority w:val="99"/>
  </w:style>
  <w:style w:type="character" w:styleId="15">
    <w:name w:val="Hyperlink"/>
    <w:basedOn w:val="13"/>
    <w:unhideWhenUsed/>
    <w:qFormat/>
    <w:uiPriority w:val="99"/>
    <w:rPr>
      <w:color w:val="0000FF" w:themeColor="hyperlink"/>
      <w:u w:val="single"/>
    </w:rPr>
  </w:style>
  <w:style w:type="character" w:customStyle="1" w:styleId="16">
    <w:name w:val="批注框文本 Char"/>
    <w:basedOn w:val="13"/>
    <w:link w:val="7"/>
    <w:semiHidden/>
    <w:qFormat/>
    <w:uiPriority w:val="99"/>
    <w:rPr>
      <w:sz w:val="18"/>
      <w:szCs w:val="18"/>
    </w:rPr>
  </w:style>
  <w:style w:type="character" w:customStyle="1" w:styleId="17">
    <w:name w:val="标题 4 Char"/>
    <w:basedOn w:val="13"/>
    <w:link w:val="5"/>
    <w:qFormat/>
    <w:uiPriority w:val="1"/>
    <w:rPr>
      <w:rFonts w:ascii="Times New Roman" w:hAnsi="Times New Roman" w:eastAsia="Times New Roman" w:cs="Times New Roman"/>
      <w:b/>
      <w:bCs/>
      <w:sz w:val="24"/>
      <w:szCs w:val="24"/>
      <w:lang w:bidi="en-US"/>
    </w:rPr>
  </w:style>
  <w:style w:type="character" w:customStyle="1" w:styleId="18">
    <w:name w:val="标题 5 Char"/>
    <w:basedOn w:val="13"/>
    <w:link w:val="6"/>
    <w:qFormat/>
    <w:uiPriority w:val="1"/>
    <w:rPr>
      <w:rFonts w:ascii="Times New Roman" w:hAnsi="Times New Roman" w:eastAsia="Times New Roman" w:cs="Times New Roman"/>
      <w:b/>
      <w:bCs/>
      <w:sz w:val="24"/>
      <w:szCs w:val="24"/>
      <w:lang w:bidi="en-US"/>
    </w:rPr>
  </w:style>
  <w:style w:type="character" w:customStyle="1" w:styleId="19">
    <w:name w:val="页眉 Char"/>
    <w:basedOn w:val="13"/>
    <w:link w:val="9"/>
    <w:qFormat/>
    <w:uiPriority w:val="99"/>
    <w:rPr>
      <w:sz w:val="18"/>
      <w:szCs w:val="18"/>
    </w:rPr>
  </w:style>
  <w:style w:type="character" w:customStyle="1" w:styleId="20">
    <w:name w:val="页脚 Char"/>
    <w:basedOn w:val="13"/>
    <w:link w:val="8"/>
    <w:qFormat/>
    <w:uiPriority w:val="99"/>
    <w:rPr>
      <w:sz w:val="18"/>
      <w:szCs w:val="18"/>
    </w:rPr>
  </w:style>
  <w:style w:type="paragraph" w:customStyle="1" w:styleId="21">
    <w:name w:val="脚注新"/>
    <w:basedOn w:val="1"/>
    <w:next w:val="1"/>
    <w:qFormat/>
    <w:uiPriority w:val="1"/>
    <w:pPr>
      <w:spacing w:before="36" w:beforeLines="15" w:line="276" w:lineRule="auto"/>
    </w:pPr>
    <w:rPr>
      <w:rFonts w:cs="Times New Roman"/>
    </w:rPr>
  </w:style>
  <w:style w:type="paragraph" w:styleId="22">
    <w:name w:val="No Spacing"/>
    <w:qFormat/>
    <w:uiPriority w:val="1"/>
    <w:pPr>
      <w:widowControl w:val="0"/>
      <w:autoSpaceDE w:val="0"/>
      <w:autoSpaceDN w:val="0"/>
      <w:jc w:val="both"/>
    </w:pPr>
    <w:rPr>
      <w:rFonts w:ascii="Times New Roman" w:hAnsi="Times New Roman" w:eastAsia="宋体" w:cstheme="minorBidi"/>
      <w:sz w:val="21"/>
      <w:szCs w:val="21"/>
      <w:lang w:val="en-US" w:eastAsia="en-US" w:bidi="ar-SA"/>
    </w:rPr>
  </w:style>
  <w:style w:type="paragraph" w:styleId="23">
    <w:name w:val="List Paragraph"/>
    <w:basedOn w:val="1"/>
    <w:qFormat/>
    <w:uiPriority w:val="1"/>
    <w:pPr>
      <w:ind w:firstLine="420" w:firstLineChars="200"/>
    </w:pPr>
  </w:style>
  <w:style w:type="character" w:customStyle="1" w:styleId="24">
    <w:name w:val="Unresolved Mention"/>
    <w:basedOn w:val="1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50822-7C39-48B0-86D0-4B5004227DC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24</Pages>
  <Words>13340</Words>
  <Characters>16049</Characters>
  <Lines>127</Lines>
  <Paragraphs>35</Paragraphs>
  <TotalTime>34</TotalTime>
  <ScaleCrop>false</ScaleCrop>
  <LinksUpToDate>false</LinksUpToDate>
  <CharactersWithSpaces>16235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2021-11-10T07:55:00Z</dcterms:created>
  <dc:creator>CDRH</dc:creator>
  <cp:lastModifiedBy>太极箫客</cp:lastModifiedBy>
  <dcterms:modified xsi:type="dcterms:W3CDTF">2025-08-14T06:40:36Z</dcterms:modified>
  <dc:title>Providing Regulatory Submissions for Medical Devices in Electronic Format - Submissions Under Section 745A(b) of the Federal Food, Drug, and Cosmetic Act - Guidance for Industry and Food and Drug Administration Staff</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2020-07-13T00:00:00Z</vt:filetime>
  </property>
  <property fmtid="{D5CDD505-2E9C-101B-9397-08002B2CF9AE}" pid="3" name="Creator">
    <vt:lpwstr>CommonLook Office GlobalAccess-2.0.9.29</vt:lpwstr>
  </property>
  <property fmtid="{D5CDD505-2E9C-101B-9397-08002B2CF9AE}" pid="4" name="LastSaved">
    <vt:filetime>2021-11-08T00:00:00Z</vt:filetime>
  </property>
  <property fmtid="{D5CDD505-2E9C-101B-9397-08002B2CF9AE}" pid="5" name="KSOTemplateDocerSaveRecord">
    <vt:lpwstr>eyJoZGlkIjoiMDJiMzI3ODBiNTFmMWRjNDUyMjM1ZmZjODY5NDc2MWMiLCJ1c2VySWQiOiI0NTQ4Nzg1NzAifQ==</vt:lpwstr>
  </property>
  <property fmtid="{D5CDD505-2E9C-101B-9397-08002B2CF9AE}" pid="6" name="KSOProductBuildVer">
    <vt:lpwstr>2052-12.1.0.21915</vt:lpwstr>
  </property>
  <property fmtid="{D5CDD505-2E9C-101B-9397-08002B2CF9AE}" pid="7" name="ICV">
    <vt:lpwstr>9EA3A5222E0F44089FF0C6496D591E7A_12</vt:lpwstr>
  </property>
</Properties>
</file>