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6AAFD">
      <w:pPr>
        <w:pBdr>
          <w:bottom w:val="single" w:color="auto" w:sz="4" w:space="1"/>
        </w:pBdr>
        <w:adjustRightInd w:val="0"/>
        <w:snapToGrid w:val="0"/>
        <w:spacing w:before="120" w:beforeLines="50" w:line="300" w:lineRule="auto"/>
        <w:jc w:val="center"/>
        <w:rPr>
          <w:b/>
          <w:sz w:val="52"/>
          <w:szCs w:val="21"/>
          <w:lang w:eastAsia="zh-CN"/>
        </w:rPr>
      </w:pPr>
      <w:bookmarkStart w:id="38" w:name="_GoBack"/>
      <w:bookmarkEnd w:id="38"/>
      <w:r>
        <w:rPr>
          <w:rFonts w:eastAsia="宋体" w:cs="宋体"/>
          <w:b/>
          <w:sz w:val="52"/>
          <w:lang w:eastAsia="zh-CN"/>
        </w:rPr>
        <w:t>医疗器械在磁共振（MR）环境中的安全性试验和贴标</w:t>
      </w:r>
    </w:p>
    <w:p w14:paraId="1B3A79C3">
      <w:pPr>
        <w:adjustRightInd w:val="0"/>
        <w:snapToGrid w:val="0"/>
        <w:spacing w:before="120" w:beforeLines="50" w:line="300" w:lineRule="auto"/>
        <w:jc w:val="center"/>
        <w:rPr>
          <w:b/>
          <w:sz w:val="52"/>
          <w:szCs w:val="21"/>
          <w:lang w:eastAsia="zh-CN"/>
        </w:rPr>
      </w:pPr>
      <w:r>
        <w:rPr>
          <w:rFonts w:eastAsia="宋体" w:cs="宋体"/>
          <w:b/>
          <w:sz w:val="52"/>
          <w:lang w:eastAsia="zh-CN"/>
        </w:rPr>
        <w:t>行业和美国食品药品监督管理局工作人员指南草案</w:t>
      </w:r>
    </w:p>
    <w:p w14:paraId="2D5DFD1E">
      <w:pPr>
        <w:adjustRightInd w:val="0"/>
        <w:snapToGrid w:val="0"/>
        <w:spacing w:before="120" w:beforeLines="50" w:line="300" w:lineRule="auto"/>
        <w:jc w:val="center"/>
        <w:rPr>
          <w:b/>
          <w:i/>
          <w:sz w:val="28"/>
          <w:szCs w:val="24"/>
          <w:lang w:eastAsia="zh-CN"/>
        </w:rPr>
      </w:pPr>
      <w:r>
        <w:rPr>
          <w:rFonts w:eastAsia="宋体" w:cs="宋体"/>
          <w:b/>
          <w:i/>
          <w:sz w:val="28"/>
          <w:lang w:eastAsia="zh-CN"/>
        </w:rPr>
        <w:t>指南草案</w:t>
      </w:r>
    </w:p>
    <w:p w14:paraId="09C4221F">
      <w:pPr>
        <w:adjustRightInd w:val="0"/>
        <w:snapToGrid w:val="0"/>
        <w:spacing w:before="120" w:beforeLines="50" w:line="300" w:lineRule="auto"/>
        <w:jc w:val="center"/>
        <w:rPr>
          <w:b/>
          <w:sz w:val="24"/>
          <w:szCs w:val="24"/>
          <w:lang w:eastAsia="zh-CN"/>
        </w:rPr>
      </w:pPr>
      <w:r>
        <w:rPr>
          <w:rFonts w:eastAsia="宋体" w:cs="宋体"/>
          <w:b/>
          <w:sz w:val="24"/>
          <w:lang w:eastAsia="zh-CN"/>
        </w:rPr>
        <w:t>本指南文件仅供征求意见</w:t>
      </w:r>
    </w:p>
    <w:p w14:paraId="445DB7E8">
      <w:pPr>
        <w:adjustRightInd w:val="0"/>
        <w:snapToGrid w:val="0"/>
        <w:spacing w:before="120" w:beforeLines="50" w:line="300" w:lineRule="auto"/>
        <w:jc w:val="center"/>
        <w:rPr>
          <w:b/>
          <w:sz w:val="24"/>
          <w:szCs w:val="24"/>
          <w:lang w:eastAsia="zh-CN"/>
        </w:rPr>
      </w:pPr>
      <w:r>
        <w:rPr>
          <w:rFonts w:eastAsia="宋体" w:cs="宋体"/>
          <w:b/>
          <w:sz w:val="24"/>
          <w:lang w:eastAsia="zh-CN"/>
        </w:rPr>
        <w:t>文件发布日期：2019年8月2日</w:t>
      </w:r>
    </w:p>
    <w:p w14:paraId="5A652568">
      <w:pPr>
        <w:pStyle w:val="8"/>
        <w:adjustRightInd w:val="0"/>
        <w:snapToGrid w:val="0"/>
        <w:spacing w:before="120" w:beforeLines="50" w:line="300" w:lineRule="auto"/>
        <w:jc w:val="both"/>
        <w:rPr>
          <w:sz w:val="21"/>
          <w:szCs w:val="21"/>
          <w:lang w:eastAsia="zh-CN"/>
        </w:rPr>
      </w:pPr>
      <w:r>
        <w:rPr>
          <w:rFonts w:hint="eastAsia" w:eastAsia="宋体" w:cs="宋体"/>
          <w:sz w:val="21"/>
          <w:lang w:eastAsia="zh-CN"/>
        </w:rPr>
        <w:t>请在《联邦公报》刊登本指南草案的发布通知后</w:t>
      </w:r>
      <w:r>
        <w:rPr>
          <w:rFonts w:eastAsia="宋体" w:cs="宋体"/>
          <w:sz w:val="21"/>
          <w:lang w:eastAsia="zh-CN"/>
        </w:rPr>
        <w:t>90天之内提</w:t>
      </w:r>
      <w:r>
        <w:rPr>
          <w:rFonts w:hint="eastAsia" w:eastAsia="宋体" w:cs="宋体"/>
          <w:sz w:val="21"/>
          <w:lang w:eastAsia="zh-CN"/>
        </w:rPr>
        <w:t>交</w:t>
      </w:r>
      <w:r>
        <w:rPr>
          <w:rFonts w:eastAsia="宋体" w:cs="宋体"/>
          <w:sz w:val="21"/>
          <w:lang w:eastAsia="zh-CN"/>
        </w:rPr>
        <w:t>对本文件草案的意见和建议。可将电子版意见提交至</w:t>
      </w:r>
      <w:r>
        <w:fldChar w:fldCharType="begin"/>
      </w:r>
      <w:r>
        <w:instrText xml:space="preserve"> HYPERLINK "https://www.regulations.gov" </w:instrText>
      </w:r>
      <w:r>
        <w:fldChar w:fldCharType="separate"/>
      </w:r>
      <w:r>
        <w:rPr>
          <w:rStyle w:val="17"/>
          <w:rFonts w:eastAsia="宋体" w:cs="宋体"/>
          <w:sz w:val="21"/>
          <w:lang w:eastAsia="zh-CN"/>
        </w:rPr>
        <w:t>https://www.regulations.gov</w:t>
      </w:r>
      <w:r>
        <w:rPr>
          <w:rStyle w:val="17"/>
          <w:rFonts w:eastAsia="宋体" w:cs="宋体"/>
          <w:sz w:val="21"/>
          <w:lang w:eastAsia="zh-CN"/>
        </w:rPr>
        <w:fldChar w:fldCharType="end"/>
      </w:r>
      <w:r>
        <w:rPr>
          <w:rFonts w:hint="eastAsia" w:eastAsia="宋体" w:cs="宋体"/>
          <w:sz w:val="21"/>
          <w:lang w:eastAsia="zh-CN"/>
        </w:rPr>
        <w:t>，</w:t>
      </w:r>
      <w:r>
        <w:rPr>
          <w:rFonts w:eastAsia="宋体" w:cs="宋体"/>
          <w:sz w:val="21"/>
          <w:lang w:eastAsia="zh-CN"/>
        </w:rPr>
        <w:t>书面意见提交至美国食品药品监督管理局</w:t>
      </w:r>
      <w:r>
        <w:rPr>
          <w:rFonts w:hint="eastAsia" w:eastAsia="宋体" w:cs="宋体"/>
          <w:sz w:val="21"/>
          <w:lang w:eastAsia="zh-CN"/>
        </w:rPr>
        <w:t>备案文件管理部，地址为</w:t>
      </w:r>
      <w:r>
        <w:rPr>
          <w:rFonts w:eastAsia="宋体" w:cs="宋体"/>
          <w:sz w:val="21"/>
          <w:lang w:eastAsia="zh-CN"/>
        </w:rPr>
        <w:t>5630 Fishers Lane, Room 1061, (HFA-305), Rockville, MD 20852</w:t>
      </w:r>
      <w:r>
        <w:rPr>
          <w:rFonts w:hint="eastAsia" w:eastAsia="宋体" w:cs="宋体"/>
          <w:sz w:val="21"/>
          <w:lang w:eastAsia="zh-CN"/>
        </w:rPr>
        <w:t>。</w:t>
      </w:r>
      <w:r>
        <w:rPr>
          <w:rFonts w:eastAsia="宋体" w:cs="宋体"/>
          <w:sz w:val="21"/>
          <w:lang w:eastAsia="zh-CN"/>
        </w:rPr>
        <w:t>所</w:t>
      </w:r>
      <w:r>
        <w:rPr>
          <w:rFonts w:hint="eastAsia" w:eastAsia="宋体" w:cs="宋体"/>
          <w:sz w:val="21"/>
          <w:lang w:eastAsia="zh-CN"/>
        </w:rPr>
        <w:t>有</w:t>
      </w:r>
      <w:r>
        <w:rPr>
          <w:rFonts w:eastAsia="宋体" w:cs="宋体"/>
          <w:sz w:val="21"/>
          <w:lang w:eastAsia="zh-CN"/>
        </w:rPr>
        <w:t>意见</w:t>
      </w:r>
      <w:r>
        <w:rPr>
          <w:rFonts w:hint="eastAsia" w:eastAsia="宋体" w:cs="宋体"/>
          <w:sz w:val="21"/>
          <w:lang w:eastAsia="zh-CN"/>
        </w:rPr>
        <w:t>均应</w:t>
      </w:r>
      <w:r>
        <w:rPr>
          <w:rFonts w:eastAsia="宋体" w:cs="宋体"/>
          <w:sz w:val="21"/>
          <w:lang w:eastAsia="zh-CN"/>
        </w:rPr>
        <w:t>注明《联邦公报》发布的通知中列示的备案</w:t>
      </w:r>
      <w:r>
        <w:rPr>
          <w:rFonts w:hint="eastAsia" w:eastAsia="宋体" w:cs="宋体"/>
          <w:sz w:val="21"/>
          <w:lang w:eastAsia="zh-CN"/>
        </w:rPr>
        <w:t>文件</w:t>
      </w:r>
      <w:r>
        <w:rPr>
          <w:rFonts w:eastAsia="宋体" w:cs="宋体"/>
          <w:sz w:val="21"/>
          <w:lang w:eastAsia="zh-CN"/>
        </w:rPr>
        <w:t>编号。</w:t>
      </w:r>
    </w:p>
    <w:p w14:paraId="7558F6B9">
      <w:pPr>
        <w:pStyle w:val="8"/>
        <w:adjustRightInd w:val="0"/>
        <w:snapToGrid w:val="0"/>
        <w:spacing w:before="120" w:beforeLines="50" w:line="300" w:lineRule="auto"/>
        <w:jc w:val="both"/>
        <w:rPr>
          <w:sz w:val="21"/>
          <w:szCs w:val="21"/>
          <w:lang w:eastAsia="zh-CN"/>
        </w:rPr>
      </w:pPr>
      <w:r>
        <w:rPr>
          <w:rFonts w:eastAsia="宋体" w:cs="宋体"/>
          <w:sz w:val="21"/>
          <w:lang w:eastAsia="zh-CN"/>
        </w:rPr>
        <w:t>如对本文件有任何疑问，请发送电子邮件至terry.woods@fda.hhs.gov或致电</w:t>
      </w:r>
      <w:r>
        <w:rPr>
          <w:rFonts w:hint="eastAsia" w:eastAsia="宋体" w:cs="宋体"/>
          <w:sz w:val="21"/>
          <w:lang w:eastAsia="zh-CN"/>
        </w:rPr>
        <w:t>（301）</w:t>
      </w:r>
      <w:r>
        <w:rPr>
          <w:rFonts w:eastAsia="宋体" w:cs="宋体"/>
          <w:sz w:val="21"/>
          <w:lang w:eastAsia="zh-CN"/>
        </w:rPr>
        <w:t>796-2503联系科学与工程实验室办公室（OSEL）Terry O. Woods, Ph.D或致电</w:t>
      </w:r>
      <w:r>
        <w:rPr>
          <w:rFonts w:hint="eastAsia" w:eastAsia="宋体" w:cs="宋体"/>
          <w:sz w:val="21"/>
          <w:lang w:eastAsia="zh-CN"/>
        </w:rPr>
        <w:t>（</w:t>
      </w:r>
      <w:r>
        <w:rPr>
          <w:rFonts w:eastAsia="宋体" w:cs="宋体"/>
          <w:sz w:val="21"/>
          <w:lang w:eastAsia="zh-CN"/>
        </w:rPr>
        <w:t>301</w:t>
      </w:r>
      <w:r>
        <w:rPr>
          <w:rFonts w:hint="eastAsia" w:eastAsia="宋体" w:cs="宋体"/>
          <w:sz w:val="21"/>
          <w:lang w:eastAsia="zh-CN"/>
        </w:rPr>
        <w:t>）</w:t>
      </w:r>
      <w:r>
        <w:rPr>
          <w:rFonts w:eastAsia="宋体" w:cs="宋体"/>
          <w:sz w:val="21"/>
          <w:lang w:eastAsia="zh-CN"/>
        </w:rPr>
        <w:t xml:space="preserve"> 796-2501联系应用力学分部。</w:t>
      </w:r>
    </w:p>
    <w:p w14:paraId="70FDFF48">
      <w:pPr>
        <w:pStyle w:val="8"/>
        <w:adjustRightInd w:val="0"/>
        <w:snapToGrid w:val="0"/>
        <w:spacing w:before="120" w:beforeLines="50" w:line="300" w:lineRule="auto"/>
        <w:jc w:val="center"/>
        <w:rPr>
          <w:b/>
          <w:sz w:val="21"/>
          <w:szCs w:val="21"/>
          <w:lang w:eastAsia="zh-CN"/>
        </w:rPr>
      </w:pPr>
      <w:r>
        <w:rPr>
          <w:rFonts w:eastAsia="宋体" w:cs="宋体"/>
          <w:b/>
          <w:sz w:val="21"/>
          <w:lang w:eastAsia="zh-CN"/>
        </w:rPr>
        <w:t>最终定稿后，本指南将取代FDA于2014年12月11日发布的标题为《</w:t>
      </w:r>
      <w:r>
        <w:rPr>
          <w:rFonts w:eastAsia="宋体" w:cs="宋体"/>
          <w:b/>
          <w:color w:val="0000FF"/>
          <w:sz w:val="21"/>
          <w:u w:val="single"/>
          <w:lang w:eastAsia="zh-CN"/>
        </w:rPr>
        <w:t>确立无源植入物在磁共振（MR）环境中的安全性和兼容性</w:t>
      </w:r>
      <w:r>
        <w:rPr>
          <w:rFonts w:eastAsia="宋体" w:cs="宋体"/>
          <w:b/>
          <w:sz w:val="21"/>
          <w:lang w:eastAsia="zh-CN"/>
        </w:rPr>
        <w:t>》的指南。</w:t>
      </w:r>
    </w:p>
    <w:p w14:paraId="5B375288">
      <w:pPr>
        <w:pStyle w:val="8"/>
        <w:adjustRightInd w:val="0"/>
        <w:snapToGrid w:val="0"/>
        <w:spacing w:before="120" w:beforeLines="50" w:line="300" w:lineRule="auto"/>
        <w:jc w:val="both"/>
        <w:rPr>
          <w:rFonts w:eastAsiaTheme="minorEastAsia"/>
          <w:sz w:val="21"/>
          <w:szCs w:val="21"/>
          <w:lang w:eastAsia="zh-CN"/>
        </w:rPr>
      </w:pPr>
    </w:p>
    <w:tbl>
      <w:tblPr>
        <w:tblStyle w:val="19"/>
        <w:tblW w:w="5000" w:type="pct"/>
        <w:tblInd w:w="0" w:type="dxa"/>
        <w:tblLayout w:type="autofit"/>
        <w:tblCellMar>
          <w:top w:w="0" w:type="dxa"/>
          <w:left w:w="113" w:type="dxa"/>
          <w:bottom w:w="0" w:type="dxa"/>
          <w:right w:w="113" w:type="dxa"/>
        </w:tblCellMar>
      </w:tblPr>
      <w:tblGrid>
        <w:gridCol w:w="4648"/>
        <w:gridCol w:w="4649"/>
      </w:tblGrid>
      <w:tr w14:paraId="7C230A09">
        <w:tblPrEx>
          <w:tblCellMar>
            <w:top w:w="0" w:type="dxa"/>
            <w:left w:w="113" w:type="dxa"/>
            <w:bottom w:w="0" w:type="dxa"/>
            <w:right w:w="113" w:type="dxa"/>
          </w:tblCellMar>
        </w:tblPrEx>
        <w:trPr>
          <w:trHeight w:val="293" w:hRule="atLeast"/>
        </w:trPr>
        <w:tc>
          <w:tcPr>
            <w:tcW w:w="2500" w:type="pct"/>
          </w:tcPr>
          <w:p w14:paraId="74662277">
            <w:pPr>
              <w:pStyle w:val="21"/>
              <w:adjustRightInd w:val="0"/>
              <w:snapToGrid w:val="0"/>
              <w:spacing w:before="36" w:beforeLines="15" w:line="276" w:lineRule="auto"/>
              <w:jc w:val="both"/>
              <w:rPr>
                <w:rFonts w:ascii="Times New Roman" w:hAnsi="Times New Roman" w:cs="Times New Roman"/>
                <w:sz w:val="21"/>
                <w:szCs w:val="21"/>
              </w:rPr>
            </w:pPr>
            <w:r>
              <w:rPr>
                <w:rFonts w:ascii="Times New Roman" w:hAnsi="Times New Roman" w:eastAsia="宋体" w:cs="宋体"/>
                <w:sz w:val="21"/>
                <w:lang w:eastAsia="zh-CN" w:bidi="ar-SA"/>
              </w:rPr>
              <w:drawing>
                <wp:inline distT="0" distB="0" distL="0" distR="0">
                  <wp:extent cx="2449195" cy="659130"/>
                  <wp:effectExtent l="0" t="0" r="8255" b="7620"/>
                  <wp:docPr id="139"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png" descr="FDA Center for Devices and Radiological Health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9195" cy="659130"/>
                          </a:xfrm>
                          <a:prstGeom prst="rect">
                            <a:avLst/>
                          </a:prstGeom>
                        </pic:spPr>
                      </pic:pic>
                    </a:graphicData>
                  </a:graphic>
                </wp:inline>
              </w:drawing>
            </w:r>
          </w:p>
        </w:tc>
        <w:tc>
          <w:tcPr>
            <w:tcW w:w="2500" w:type="pct"/>
          </w:tcPr>
          <w:p w14:paraId="0D452120">
            <w:pPr>
              <w:pStyle w:val="8"/>
              <w:adjustRightInd w:val="0"/>
              <w:snapToGrid w:val="0"/>
              <w:spacing w:before="36" w:beforeLines="15" w:line="276" w:lineRule="auto"/>
              <w:jc w:val="right"/>
              <w:rPr>
                <w:b/>
                <w:sz w:val="21"/>
                <w:szCs w:val="21"/>
                <w:lang w:eastAsia="zh-CN"/>
              </w:rPr>
            </w:pPr>
            <w:r>
              <w:rPr>
                <w:rFonts w:eastAsia="宋体" w:cs="宋体"/>
                <w:b/>
                <w:sz w:val="21"/>
                <w:lang w:eastAsia="zh-CN"/>
              </w:rPr>
              <w:t>美国卫生与公共服务部</w:t>
            </w:r>
          </w:p>
          <w:p w14:paraId="30147FB3">
            <w:pPr>
              <w:pStyle w:val="8"/>
              <w:adjustRightInd w:val="0"/>
              <w:snapToGrid w:val="0"/>
              <w:spacing w:before="36" w:beforeLines="15" w:line="276" w:lineRule="auto"/>
              <w:jc w:val="right"/>
              <w:rPr>
                <w:b/>
                <w:sz w:val="21"/>
                <w:szCs w:val="21"/>
                <w:lang w:eastAsia="zh-CN"/>
              </w:rPr>
            </w:pPr>
            <w:r>
              <w:rPr>
                <w:rFonts w:eastAsia="宋体" w:cs="宋体"/>
                <w:b/>
                <w:sz w:val="21"/>
                <w:lang w:eastAsia="zh-CN"/>
              </w:rPr>
              <w:t>美国食品药品监督管理局</w:t>
            </w:r>
          </w:p>
          <w:p w14:paraId="1D73BCE9">
            <w:pPr>
              <w:pStyle w:val="8"/>
              <w:adjustRightInd w:val="0"/>
              <w:snapToGrid w:val="0"/>
              <w:spacing w:before="36" w:beforeLines="15" w:line="276" w:lineRule="auto"/>
              <w:jc w:val="right"/>
              <w:rPr>
                <w:b/>
                <w:sz w:val="21"/>
                <w:szCs w:val="21"/>
                <w:lang w:eastAsia="zh-CN"/>
              </w:rPr>
            </w:pPr>
            <w:r>
              <w:rPr>
                <w:rFonts w:eastAsia="宋体" w:cs="宋体"/>
                <w:b/>
                <w:sz w:val="21"/>
                <w:lang w:eastAsia="zh-CN"/>
              </w:rPr>
              <w:t>医疗器械和</w:t>
            </w:r>
            <w:r>
              <w:rPr>
                <w:rFonts w:hint="eastAsia" w:eastAsia="宋体" w:cs="宋体"/>
                <w:b/>
                <w:sz w:val="21"/>
                <w:lang w:eastAsia="zh-CN"/>
              </w:rPr>
              <w:t>辐射</w:t>
            </w:r>
            <w:r>
              <w:rPr>
                <w:rFonts w:eastAsia="宋体" w:cs="宋体"/>
                <w:b/>
                <w:sz w:val="21"/>
                <w:lang w:eastAsia="zh-CN"/>
              </w:rPr>
              <w:t>健康中心</w:t>
            </w:r>
          </w:p>
        </w:tc>
      </w:tr>
    </w:tbl>
    <w:p w14:paraId="674501D7">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5D6477A2">
      <w:pPr>
        <w:adjustRightInd w:val="0"/>
        <w:snapToGrid w:val="0"/>
        <w:spacing w:before="120" w:beforeLines="50" w:line="300" w:lineRule="auto"/>
        <w:jc w:val="center"/>
        <w:rPr>
          <w:b/>
          <w:sz w:val="44"/>
          <w:szCs w:val="44"/>
          <w:lang w:eastAsia="zh-CN"/>
        </w:rPr>
      </w:pPr>
      <w:r>
        <w:rPr>
          <w:rFonts w:eastAsia="宋体" w:cs="宋体"/>
          <w:b/>
          <w:sz w:val="44"/>
          <w:lang w:eastAsia="zh-CN"/>
        </w:rPr>
        <w:t>前言</w:t>
      </w:r>
    </w:p>
    <w:p w14:paraId="724E7C95">
      <w:pPr>
        <w:adjustRightInd w:val="0"/>
        <w:snapToGrid w:val="0"/>
        <w:spacing w:before="120" w:beforeLines="50" w:line="300" w:lineRule="auto"/>
        <w:jc w:val="both"/>
        <w:rPr>
          <w:b/>
          <w:sz w:val="28"/>
          <w:szCs w:val="28"/>
          <w:lang w:eastAsia="zh-CN"/>
        </w:rPr>
      </w:pPr>
      <w:r>
        <w:rPr>
          <w:rFonts w:eastAsia="宋体" w:cs="宋体"/>
          <w:b/>
          <w:sz w:val="28"/>
          <w:lang w:eastAsia="zh-CN"/>
        </w:rPr>
        <w:t>更多副本</w:t>
      </w:r>
    </w:p>
    <w:p w14:paraId="480E4E33">
      <w:pPr>
        <w:pStyle w:val="8"/>
        <w:adjustRightInd w:val="0"/>
        <w:snapToGrid w:val="0"/>
        <w:spacing w:before="120" w:beforeLines="50" w:line="300" w:lineRule="auto"/>
        <w:jc w:val="both"/>
        <w:rPr>
          <w:sz w:val="21"/>
          <w:szCs w:val="21"/>
          <w:lang w:eastAsia="zh-CN"/>
        </w:rPr>
      </w:pPr>
      <w:r>
        <w:rPr>
          <w:rFonts w:eastAsia="宋体" w:cs="宋体"/>
          <w:sz w:val="21"/>
          <w:lang w:eastAsia="zh-CN"/>
        </w:rPr>
        <w:t>副本可通过互联网获得。也可以通过电子邮件发送请求至</w:t>
      </w:r>
      <w:r>
        <w:rPr>
          <w:rFonts w:eastAsia="宋体" w:cs="宋体"/>
          <w:color w:val="0000FF"/>
          <w:sz w:val="21"/>
          <w:u w:val="single"/>
          <w:lang w:eastAsia="zh-CN"/>
        </w:rPr>
        <w:t>CDRH-Guidance@fda.hhs.gov</w:t>
      </w:r>
      <w:r>
        <w:rPr>
          <w:rFonts w:eastAsia="宋体" w:cs="宋体"/>
          <w:sz w:val="21"/>
          <w:lang w:eastAsia="zh-CN"/>
        </w:rPr>
        <w:t>获取本指南的副本。请使用文件编号1500059，以便明确需要的指南。</w:t>
      </w:r>
    </w:p>
    <w:p w14:paraId="67DACDEC">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501AB6F1">
      <w:pPr>
        <w:adjustRightInd w:val="0"/>
        <w:snapToGrid w:val="0"/>
        <w:spacing w:before="120" w:beforeLines="50" w:line="300" w:lineRule="auto"/>
        <w:jc w:val="center"/>
        <w:rPr>
          <w:b/>
          <w:sz w:val="28"/>
          <w:szCs w:val="28"/>
        </w:rPr>
      </w:pPr>
      <w:r>
        <w:rPr>
          <w:rFonts w:eastAsia="宋体" w:cs="宋体"/>
          <w:b/>
          <w:sz w:val="28"/>
        </w:rPr>
        <w:t>目录</w:t>
      </w:r>
    </w:p>
    <w:p w14:paraId="2BE91E15">
      <w:pPr>
        <w:pStyle w:val="12"/>
        <w:tabs>
          <w:tab w:val="right" w:pos="9061"/>
        </w:tabs>
        <w:spacing w:before="120" w:beforeLines="50"/>
        <w:ind w:left="422" w:hanging="422" w:hangingChars="200"/>
        <w:rPr>
          <w:rFonts w:eastAsiaTheme="minorEastAsia"/>
          <w:kern w:val="2"/>
          <w:sz w:val="18"/>
          <w:szCs w:val="22"/>
          <w:lang w:eastAsia="zh-CN" w:bidi="ar-SA"/>
        </w:rPr>
      </w:pPr>
      <w:r>
        <w:rPr>
          <w:rFonts w:eastAsiaTheme="minorEastAsia"/>
          <w:b/>
          <w:sz w:val="21"/>
          <w:szCs w:val="21"/>
          <w:lang w:eastAsia="zh-CN"/>
        </w:rPr>
        <w:fldChar w:fldCharType="begin"/>
      </w:r>
      <w:r>
        <w:rPr>
          <w:rFonts w:eastAsiaTheme="minorEastAsia"/>
          <w:b/>
          <w:sz w:val="21"/>
          <w:szCs w:val="21"/>
          <w:lang w:eastAsia="zh-CN"/>
        </w:rPr>
        <w:instrText xml:space="preserve"> TOC \o "1-3" \h \z \u </w:instrText>
      </w:r>
      <w:r>
        <w:rPr>
          <w:rFonts w:eastAsiaTheme="minorEastAsia"/>
          <w:b/>
          <w:sz w:val="21"/>
          <w:szCs w:val="21"/>
          <w:lang w:eastAsia="zh-CN"/>
        </w:rPr>
        <w:fldChar w:fldCharType="separate"/>
      </w:r>
      <w:r>
        <w:fldChar w:fldCharType="begin"/>
      </w:r>
      <w:r>
        <w:instrText xml:space="preserve"> HYPERLINK \l "_Toc91866599" </w:instrText>
      </w:r>
      <w:r>
        <w:fldChar w:fldCharType="separate"/>
      </w:r>
      <w:r>
        <w:rPr>
          <w:rStyle w:val="17"/>
          <w:rFonts w:eastAsia="宋体"/>
          <w:sz w:val="21"/>
          <w:lang w:eastAsia="zh-CN"/>
        </w:rPr>
        <w:t>I.</w:t>
      </w:r>
      <w:r>
        <w:rPr>
          <w:rFonts w:eastAsiaTheme="minorEastAsia"/>
          <w:kern w:val="2"/>
          <w:sz w:val="18"/>
          <w:szCs w:val="22"/>
          <w:lang w:eastAsia="zh-CN" w:bidi="ar-SA"/>
        </w:rPr>
        <w:tab/>
      </w:r>
      <w:r>
        <w:rPr>
          <w:rStyle w:val="17"/>
          <w:rFonts w:eastAsia="宋体"/>
          <w:sz w:val="21"/>
          <w:lang w:eastAsia="zh-CN"/>
        </w:rPr>
        <w:t>引言</w:t>
      </w:r>
      <w:r>
        <w:rPr>
          <w:sz w:val="21"/>
        </w:rPr>
        <w:tab/>
      </w:r>
      <w:r>
        <w:rPr>
          <w:sz w:val="21"/>
        </w:rPr>
        <w:fldChar w:fldCharType="begin"/>
      </w:r>
      <w:r>
        <w:rPr>
          <w:sz w:val="21"/>
        </w:rPr>
        <w:instrText xml:space="preserve"> PAGEREF _Toc91866599 \h </w:instrText>
      </w:r>
      <w:r>
        <w:rPr>
          <w:sz w:val="21"/>
        </w:rPr>
        <w:fldChar w:fldCharType="separate"/>
      </w:r>
      <w:r>
        <w:rPr>
          <w:sz w:val="21"/>
        </w:rPr>
        <w:t>1</w:t>
      </w:r>
      <w:r>
        <w:rPr>
          <w:sz w:val="21"/>
        </w:rPr>
        <w:fldChar w:fldCharType="end"/>
      </w:r>
      <w:r>
        <w:rPr>
          <w:sz w:val="21"/>
        </w:rPr>
        <w:fldChar w:fldCharType="end"/>
      </w:r>
    </w:p>
    <w:p w14:paraId="2933E000">
      <w:pPr>
        <w:pStyle w:val="12"/>
        <w:tabs>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"_Toc91866600" </w:instrText>
      </w:r>
      <w:r>
        <w:fldChar w:fldCharType="separate"/>
      </w:r>
      <w:r>
        <w:rPr>
          <w:rStyle w:val="17"/>
          <w:rFonts w:eastAsia="宋体"/>
          <w:sz w:val="21"/>
          <w:lang w:eastAsia="zh-CN"/>
        </w:rPr>
        <w:t>II.</w:t>
      </w:r>
      <w:r>
        <w:rPr>
          <w:rFonts w:eastAsiaTheme="minorEastAsia"/>
          <w:kern w:val="2"/>
          <w:sz w:val="18"/>
          <w:szCs w:val="22"/>
          <w:lang w:eastAsia="zh-CN" w:bidi="ar-SA"/>
        </w:rPr>
        <w:tab/>
      </w:r>
      <w:r>
        <w:rPr>
          <w:rStyle w:val="17"/>
          <w:rFonts w:eastAsia="宋体"/>
          <w:sz w:val="21"/>
          <w:lang w:eastAsia="zh-CN"/>
        </w:rPr>
        <w:t>范围</w:t>
      </w:r>
      <w:r>
        <w:rPr>
          <w:sz w:val="21"/>
        </w:rPr>
        <w:tab/>
      </w:r>
      <w:r>
        <w:rPr>
          <w:sz w:val="21"/>
        </w:rPr>
        <w:fldChar w:fldCharType="begin"/>
      </w:r>
      <w:r>
        <w:rPr>
          <w:sz w:val="21"/>
        </w:rPr>
        <w:instrText xml:space="preserve"> PAGEREF _Toc91866600 \h </w:instrText>
      </w:r>
      <w:r>
        <w:rPr>
          <w:sz w:val="21"/>
        </w:rPr>
        <w:fldChar w:fldCharType="separate"/>
      </w:r>
      <w:r>
        <w:rPr>
          <w:sz w:val="21"/>
        </w:rPr>
        <w:t>2</w:t>
      </w:r>
      <w:r>
        <w:rPr>
          <w:sz w:val="21"/>
        </w:rPr>
        <w:fldChar w:fldCharType="end"/>
      </w:r>
      <w:r>
        <w:rPr>
          <w:sz w:val="21"/>
        </w:rPr>
        <w:fldChar w:fldCharType="end"/>
      </w:r>
    </w:p>
    <w:p w14:paraId="462527B5">
      <w:pPr>
        <w:pStyle w:val="12"/>
        <w:tabs>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"_Toc91866601" </w:instrText>
      </w:r>
      <w:r>
        <w:fldChar w:fldCharType="separate"/>
      </w:r>
      <w:r>
        <w:rPr>
          <w:rStyle w:val="17"/>
          <w:rFonts w:eastAsia="宋体"/>
          <w:sz w:val="21"/>
          <w:lang w:eastAsia="zh-CN"/>
        </w:rPr>
        <w:t>III.</w:t>
      </w:r>
      <w:r>
        <w:rPr>
          <w:rFonts w:eastAsiaTheme="minorEastAsia"/>
          <w:kern w:val="2"/>
          <w:sz w:val="18"/>
          <w:szCs w:val="22"/>
          <w:lang w:eastAsia="zh-CN" w:bidi="ar-SA"/>
        </w:rPr>
        <w:tab/>
      </w:r>
      <w:r>
        <w:rPr>
          <w:rStyle w:val="17"/>
          <w:rFonts w:eastAsia="宋体"/>
          <w:sz w:val="21"/>
          <w:lang w:eastAsia="zh-CN"/>
        </w:rPr>
        <w:t>术语</w:t>
      </w:r>
      <w:r>
        <w:rPr>
          <w:sz w:val="21"/>
        </w:rPr>
        <w:tab/>
      </w:r>
      <w:r>
        <w:rPr>
          <w:sz w:val="21"/>
        </w:rPr>
        <w:fldChar w:fldCharType="begin"/>
      </w:r>
      <w:r>
        <w:rPr>
          <w:sz w:val="21"/>
        </w:rPr>
        <w:instrText xml:space="preserve"> PAGEREF _Toc91866601 \h </w:instrText>
      </w:r>
      <w:r>
        <w:rPr>
          <w:sz w:val="21"/>
        </w:rPr>
        <w:fldChar w:fldCharType="separate"/>
      </w:r>
      <w:r>
        <w:rPr>
          <w:sz w:val="21"/>
        </w:rPr>
        <w:t>2</w:t>
      </w:r>
      <w:r>
        <w:rPr>
          <w:sz w:val="21"/>
        </w:rPr>
        <w:fldChar w:fldCharType="end"/>
      </w:r>
      <w:r>
        <w:rPr>
          <w:sz w:val="21"/>
        </w:rPr>
        <w:fldChar w:fldCharType="end"/>
      </w:r>
    </w:p>
    <w:p w14:paraId="1A711E14">
      <w:pPr>
        <w:pStyle w:val="12"/>
        <w:tabs>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"_Toc91866602" </w:instrText>
      </w:r>
      <w:r>
        <w:fldChar w:fldCharType="separate"/>
      </w:r>
      <w:r>
        <w:rPr>
          <w:rStyle w:val="17"/>
          <w:rFonts w:eastAsia="宋体"/>
          <w:sz w:val="21"/>
          <w:lang w:eastAsia="zh-CN"/>
        </w:rPr>
        <w:t>IV.</w:t>
      </w:r>
      <w:r>
        <w:rPr>
          <w:rFonts w:eastAsiaTheme="minorEastAsia"/>
          <w:kern w:val="2"/>
          <w:sz w:val="18"/>
          <w:szCs w:val="22"/>
          <w:lang w:eastAsia="zh-CN" w:bidi="ar-SA"/>
        </w:rPr>
        <w:tab/>
      </w:r>
      <w:r>
        <w:rPr>
          <w:rStyle w:val="17"/>
          <w:rFonts w:eastAsia="宋体"/>
          <w:sz w:val="21"/>
          <w:lang w:eastAsia="zh-CN"/>
        </w:rPr>
        <w:t>相关标准和指南文件</w:t>
      </w:r>
      <w:r>
        <w:rPr>
          <w:sz w:val="21"/>
        </w:rPr>
        <w:tab/>
      </w:r>
      <w:r>
        <w:rPr>
          <w:sz w:val="21"/>
        </w:rPr>
        <w:fldChar w:fldCharType="begin"/>
      </w:r>
      <w:r>
        <w:rPr>
          <w:sz w:val="21"/>
        </w:rPr>
        <w:instrText xml:space="preserve"> PAGEREF _Toc91866602 \h </w:instrText>
      </w:r>
      <w:r>
        <w:rPr>
          <w:sz w:val="21"/>
        </w:rPr>
        <w:fldChar w:fldCharType="separate"/>
      </w:r>
      <w:r>
        <w:rPr>
          <w:sz w:val="21"/>
        </w:rPr>
        <w:t>3</w:t>
      </w:r>
      <w:r>
        <w:rPr>
          <w:sz w:val="21"/>
        </w:rPr>
        <w:fldChar w:fldCharType="end"/>
      </w:r>
      <w:r>
        <w:rPr>
          <w:sz w:val="21"/>
        </w:rPr>
        <w:fldChar w:fldCharType="end"/>
      </w:r>
    </w:p>
    <w:p w14:paraId="009B9825">
      <w:pPr>
        <w:pStyle w:val="13"/>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"_Toc91866603" </w:instrText>
      </w:r>
      <w:r>
        <w:fldChar w:fldCharType="separate"/>
      </w:r>
      <w:r>
        <w:rPr>
          <w:rStyle w:val="17"/>
          <w:rFonts w:eastAsia="宋体"/>
          <w:sz w:val="21"/>
          <w:lang w:eastAsia="zh-CN"/>
        </w:rPr>
        <w:t>A.</w:t>
      </w:r>
      <w:r>
        <w:rPr>
          <w:rFonts w:eastAsiaTheme="minorEastAsia"/>
          <w:kern w:val="2"/>
          <w:sz w:val="18"/>
          <w:szCs w:val="22"/>
          <w:lang w:eastAsia="zh-CN" w:bidi="ar-SA"/>
        </w:rPr>
        <w:tab/>
      </w:r>
      <w:r>
        <w:rPr>
          <w:rStyle w:val="17"/>
          <w:rFonts w:eastAsia="宋体"/>
          <w:sz w:val="21"/>
          <w:lang w:eastAsia="zh-CN"/>
        </w:rPr>
        <w:t>标准</w:t>
      </w:r>
      <w:r>
        <w:rPr>
          <w:sz w:val="21"/>
        </w:rPr>
        <w:tab/>
      </w:r>
      <w:r>
        <w:rPr>
          <w:sz w:val="21"/>
        </w:rPr>
        <w:fldChar w:fldCharType="begin"/>
      </w:r>
      <w:r>
        <w:rPr>
          <w:sz w:val="21"/>
        </w:rPr>
        <w:instrText xml:space="preserve"> PAGEREF _Toc91866603 \h </w:instrText>
      </w:r>
      <w:r>
        <w:rPr>
          <w:sz w:val="21"/>
        </w:rPr>
        <w:fldChar w:fldCharType="separate"/>
      </w:r>
      <w:r>
        <w:rPr>
          <w:sz w:val="21"/>
        </w:rPr>
        <w:t>4</w:t>
      </w:r>
      <w:r>
        <w:rPr>
          <w:sz w:val="21"/>
        </w:rPr>
        <w:fldChar w:fldCharType="end"/>
      </w:r>
      <w:r>
        <w:rPr>
          <w:sz w:val="21"/>
        </w:rPr>
        <w:fldChar w:fldCharType="end"/>
      </w:r>
    </w:p>
    <w:p w14:paraId="6C2883BA">
      <w:pPr>
        <w:pStyle w:val="13"/>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"_Toc91866604" </w:instrText>
      </w:r>
      <w:r>
        <w:fldChar w:fldCharType="separate"/>
      </w:r>
      <w:r>
        <w:rPr>
          <w:rStyle w:val="17"/>
          <w:rFonts w:eastAsia="宋体"/>
          <w:sz w:val="21"/>
          <w:lang w:eastAsia="zh-CN"/>
        </w:rPr>
        <w:t>B.</w:t>
      </w:r>
      <w:r>
        <w:rPr>
          <w:rFonts w:eastAsiaTheme="minorEastAsia"/>
          <w:kern w:val="2"/>
          <w:sz w:val="18"/>
          <w:szCs w:val="22"/>
          <w:lang w:eastAsia="zh-CN" w:bidi="ar-SA"/>
        </w:rPr>
        <w:tab/>
      </w:r>
      <w:r>
        <w:rPr>
          <w:rStyle w:val="17"/>
          <w:rFonts w:eastAsia="宋体"/>
          <w:sz w:val="21"/>
          <w:lang w:eastAsia="zh-CN"/>
        </w:rPr>
        <w:t>指南文件</w:t>
      </w:r>
      <w:r>
        <w:rPr>
          <w:sz w:val="21"/>
        </w:rPr>
        <w:tab/>
      </w:r>
      <w:r>
        <w:rPr>
          <w:sz w:val="21"/>
        </w:rPr>
        <w:fldChar w:fldCharType="begin"/>
      </w:r>
      <w:r>
        <w:rPr>
          <w:sz w:val="21"/>
        </w:rPr>
        <w:instrText xml:space="preserve"> PAGEREF _Toc91866604 \h </w:instrText>
      </w:r>
      <w:r>
        <w:rPr>
          <w:sz w:val="21"/>
        </w:rPr>
        <w:fldChar w:fldCharType="separate"/>
      </w:r>
      <w:r>
        <w:rPr>
          <w:sz w:val="21"/>
        </w:rPr>
        <w:t>4</w:t>
      </w:r>
      <w:r>
        <w:rPr>
          <w:sz w:val="21"/>
        </w:rPr>
        <w:fldChar w:fldCharType="end"/>
      </w:r>
      <w:r>
        <w:rPr>
          <w:sz w:val="21"/>
        </w:rPr>
        <w:fldChar w:fldCharType="end"/>
      </w:r>
    </w:p>
    <w:p w14:paraId="695270ED">
      <w:pPr>
        <w:pStyle w:val="12"/>
        <w:tabs>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"_Toc91866605" </w:instrText>
      </w:r>
      <w:r>
        <w:fldChar w:fldCharType="separate"/>
      </w:r>
      <w:r>
        <w:rPr>
          <w:rStyle w:val="17"/>
          <w:rFonts w:eastAsia="宋体"/>
          <w:sz w:val="21"/>
          <w:lang w:eastAsia="zh-CN"/>
        </w:rPr>
        <w:t>V.</w:t>
      </w:r>
      <w:r>
        <w:rPr>
          <w:rFonts w:eastAsiaTheme="minorEastAsia"/>
          <w:kern w:val="2"/>
          <w:sz w:val="18"/>
          <w:szCs w:val="22"/>
          <w:lang w:eastAsia="zh-CN" w:bidi="ar-SA"/>
        </w:rPr>
        <w:tab/>
      </w:r>
      <w:r>
        <w:rPr>
          <w:rStyle w:val="17"/>
          <w:rFonts w:eastAsia="宋体"/>
          <w:sz w:val="21"/>
          <w:lang w:eastAsia="zh-CN"/>
        </w:rPr>
        <w:t>解决MR环境中医疗器械的危险</w:t>
      </w:r>
      <w:r>
        <w:rPr>
          <w:sz w:val="21"/>
        </w:rPr>
        <w:tab/>
      </w:r>
      <w:r>
        <w:rPr>
          <w:sz w:val="21"/>
        </w:rPr>
        <w:fldChar w:fldCharType="begin"/>
      </w:r>
      <w:r>
        <w:rPr>
          <w:sz w:val="21"/>
        </w:rPr>
        <w:instrText xml:space="preserve"> PAGEREF _Toc91866605 \h </w:instrText>
      </w:r>
      <w:r>
        <w:rPr>
          <w:sz w:val="21"/>
        </w:rPr>
        <w:fldChar w:fldCharType="separate"/>
      </w:r>
      <w:r>
        <w:rPr>
          <w:sz w:val="21"/>
        </w:rPr>
        <w:t>5</w:t>
      </w:r>
      <w:r>
        <w:rPr>
          <w:sz w:val="21"/>
        </w:rPr>
        <w:fldChar w:fldCharType="end"/>
      </w:r>
      <w:r>
        <w:rPr>
          <w:sz w:val="21"/>
        </w:rPr>
        <w:fldChar w:fldCharType="end"/>
      </w:r>
    </w:p>
    <w:p w14:paraId="1AC3314E">
      <w:pPr>
        <w:pStyle w:val="13"/>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"_Toc91866606" </w:instrText>
      </w:r>
      <w:r>
        <w:fldChar w:fldCharType="separate"/>
      </w:r>
      <w:r>
        <w:rPr>
          <w:rStyle w:val="17"/>
          <w:rFonts w:eastAsia="宋体"/>
          <w:sz w:val="21"/>
          <w:lang w:eastAsia="zh-CN"/>
        </w:rPr>
        <w:t>A.</w:t>
      </w:r>
      <w:r>
        <w:rPr>
          <w:rFonts w:eastAsiaTheme="minorEastAsia"/>
          <w:kern w:val="2"/>
          <w:sz w:val="18"/>
          <w:szCs w:val="22"/>
          <w:lang w:eastAsia="zh-CN" w:bidi="ar-SA"/>
        </w:rPr>
        <w:tab/>
      </w:r>
      <w:r>
        <w:rPr>
          <w:rStyle w:val="17"/>
          <w:rFonts w:eastAsia="宋体"/>
          <w:sz w:val="21"/>
          <w:lang w:eastAsia="zh-CN"/>
        </w:rPr>
        <w:t>磁感应位移力</w:t>
      </w:r>
      <w:r>
        <w:rPr>
          <w:sz w:val="21"/>
        </w:rPr>
        <w:tab/>
      </w:r>
      <w:r>
        <w:rPr>
          <w:sz w:val="21"/>
        </w:rPr>
        <w:fldChar w:fldCharType="begin"/>
      </w:r>
      <w:r>
        <w:rPr>
          <w:sz w:val="21"/>
        </w:rPr>
        <w:instrText xml:space="preserve"> PAGEREF _Toc91866606 \h </w:instrText>
      </w:r>
      <w:r>
        <w:rPr>
          <w:sz w:val="21"/>
        </w:rPr>
        <w:fldChar w:fldCharType="separate"/>
      </w:r>
      <w:r>
        <w:rPr>
          <w:sz w:val="21"/>
        </w:rPr>
        <w:t>6</w:t>
      </w:r>
      <w:r>
        <w:rPr>
          <w:sz w:val="21"/>
        </w:rPr>
        <w:fldChar w:fldCharType="end"/>
      </w:r>
      <w:r>
        <w:rPr>
          <w:sz w:val="21"/>
        </w:rPr>
        <w:fldChar w:fldCharType="end"/>
      </w:r>
    </w:p>
    <w:p w14:paraId="4D4744D1">
      <w:pPr>
        <w:pStyle w:val="13"/>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"_Toc91866607" </w:instrText>
      </w:r>
      <w:r>
        <w:fldChar w:fldCharType="separate"/>
      </w:r>
      <w:r>
        <w:rPr>
          <w:rStyle w:val="17"/>
          <w:rFonts w:eastAsia="宋体"/>
          <w:sz w:val="21"/>
          <w:lang w:eastAsia="zh-CN"/>
        </w:rPr>
        <w:t>B.</w:t>
      </w:r>
      <w:r>
        <w:rPr>
          <w:rFonts w:eastAsiaTheme="minorEastAsia"/>
          <w:kern w:val="2"/>
          <w:sz w:val="18"/>
          <w:szCs w:val="22"/>
          <w:lang w:eastAsia="zh-CN" w:bidi="ar-SA"/>
        </w:rPr>
        <w:tab/>
      </w:r>
      <w:r>
        <w:rPr>
          <w:rStyle w:val="17"/>
          <w:rFonts w:eastAsia="宋体"/>
          <w:sz w:val="21"/>
          <w:lang w:eastAsia="zh-CN"/>
        </w:rPr>
        <w:t>磁感应扭矩</w:t>
      </w:r>
      <w:r>
        <w:rPr>
          <w:sz w:val="21"/>
        </w:rPr>
        <w:tab/>
      </w:r>
      <w:r>
        <w:rPr>
          <w:sz w:val="21"/>
        </w:rPr>
        <w:fldChar w:fldCharType="begin"/>
      </w:r>
      <w:r>
        <w:rPr>
          <w:sz w:val="21"/>
        </w:rPr>
        <w:instrText xml:space="preserve"> PAGEREF _Toc91866607 \h </w:instrText>
      </w:r>
      <w:r>
        <w:rPr>
          <w:sz w:val="21"/>
        </w:rPr>
        <w:fldChar w:fldCharType="separate"/>
      </w:r>
      <w:r>
        <w:rPr>
          <w:sz w:val="21"/>
        </w:rPr>
        <w:t>7</w:t>
      </w:r>
      <w:r>
        <w:rPr>
          <w:sz w:val="21"/>
        </w:rPr>
        <w:fldChar w:fldCharType="end"/>
      </w:r>
      <w:r>
        <w:rPr>
          <w:sz w:val="21"/>
        </w:rPr>
        <w:fldChar w:fldCharType="end"/>
      </w:r>
    </w:p>
    <w:p w14:paraId="4227EAB4">
      <w:pPr>
        <w:pStyle w:val="13"/>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"_Toc91866608" </w:instrText>
      </w:r>
      <w:r>
        <w:fldChar w:fldCharType="separate"/>
      </w:r>
      <w:r>
        <w:rPr>
          <w:rStyle w:val="17"/>
          <w:rFonts w:eastAsia="宋体"/>
          <w:sz w:val="21"/>
          <w:lang w:eastAsia="zh-CN"/>
        </w:rPr>
        <w:t>C.</w:t>
      </w:r>
      <w:r>
        <w:rPr>
          <w:rFonts w:eastAsiaTheme="minorEastAsia"/>
          <w:kern w:val="2"/>
          <w:sz w:val="18"/>
          <w:szCs w:val="22"/>
          <w:lang w:eastAsia="zh-CN" w:bidi="ar-SA"/>
        </w:rPr>
        <w:tab/>
      </w:r>
      <w:r>
        <w:rPr>
          <w:rStyle w:val="17"/>
          <w:rFonts w:eastAsia="宋体"/>
          <w:sz w:val="21"/>
          <w:lang w:eastAsia="zh-CN"/>
        </w:rPr>
        <w:t>发热</w:t>
      </w:r>
      <w:r>
        <w:rPr>
          <w:sz w:val="21"/>
        </w:rPr>
        <w:tab/>
      </w:r>
      <w:r>
        <w:rPr>
          <w:sz w:val="21"/>
        </w:rPr>
        <w:fldChar w:fldCharType="begin"/>
      </w:r>
      <w:r>
        <w:rPr>
          <w:sz w:val="21"/>
        </w:rPr>
        <w:instrText xml:space="preserve"> PAGEREF _Toc91866608 \h </w:instrText>
      </w:r>
      <w:r>
        <w:rPr>
          <w:sz w:val="21"/>
        </w:rPr>
        <w:fldChar w:fldCharType="separate"/>
      </w:r>
      <w:r>
        <w:rPr>
          <w:sz w:val="21"/>
        </w:rPr>
        <w:t>7</w:t>
      </w:r>
      <w:r>
        <w:rPr>
          <w:sz w:val="21"/>
        </w:rPr>
        <w:fldChar w:fldCharType="end"/>
      </w:r>
      <w:r>
        <w:rPr>
          <w:sz w:val="21"/>
        </w:rPr>
        <w:fldChar w:fldCharType="end"/>
      </w:r>
    </w:p>
    <w:p w14:paraId="1063E0FF">
      <w:pPr>
        <w:pStyle w:val="13"/>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"_Toc91866609" </w:instrText>
      </w:r>
      <w:r>
        <w:fldChar w:fldCharType="separate"/>
      </w:r>
      <w:r>
        <w:rPr>
          <w:rStyle w:val="17"/>
          <w:rFonts w:eastAsia="宋体"/>
          <w:sz w:val="21"/>
          <w:lang w:eastAsia="zh-CN"/>
        </w:rPr>
        <w:t>D.</w:t>
      </w:r>
      <w:r>
        <w:rPr>
          <w:rFonts w:eastAsiaTheme="minorEastAsia"/>
          <w:kern w:val="2"/>
          <w:sz w:val="18"/>
          <w:szCs w:val="22"/>
          <w:lang w:eastAsia="zh-CN" w:bidi="ar-SA"/>
        </w:rPr>
        <w:tab/>
      </w:r>
      <w:r>
        <w:rPr>
          <w:rStyle w:val="17"/>
          <w:rFonts w:eastAsia="宋体"/>
          <w:sz w:val="21"/>
          <w:lang w:eastAsia="zh-CN"/>
        </w:rPr>
        <w:t>梯度场感应振动</w:t>
      </w:r>
      <w:r>
        <w:rPr>
          <w:sz w:val="21"/>
        </w:rPr>
        <w:tab/>
      </w:r>
      <w:r>
        <w:rPr>
          <w:sz w:val="21"/>
        </w:rPr>
        <w:fldChar w:fldCharType="begin"/>
      </w:r>
      <w:r>
        <w:rPr>
          <w:sz w:val="21"/>
        </w:rPr>
        <w:instrText xml:space="preserve"> PAGEREF _Toc91866609 \h </w:instrText>
      </w:r>
      <w:r>
        <w:rPr>
          <w:sz w:val="21"/>
        </w:rPr>
        <w:fldChar w:fldCharType="separate"/>
      </w:r>
      <w:r>
        <w:rPr>
          <w:sz w:val="21"/>
        </w:rPr>
        <w:t>9</w:t>
      </w:r>
      <w:r>
        <w:rPr>
          <w:sz w:val="21"/>
        </w:rPr>
        <w:fldChar w:fldCharType="end"/>
      </w:r>
      <w:r>
        <w:rPr>
          <w:sz w:val="21"/>
        </w:rPr>
        <w:fldChar w:fldCharType="end"/>
      </w:r>
    </w:p>
    <w:p w14:paraId="62BB55CD">
      <w:pPr>
        <w:pStyle w:val="13"/>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"_Toc91866610" </w:instrText>
      </w:r>
      <w:r>
        <w:fldChar w:fldCharType="separate"/>
      </w:r>
      <w:r>
        <w:rPr>
          <w:rStyle w:val="17"/>
          <w:rFonts w:eastAsia="宋体"/>
          <w:sz w:val="21"/>
          <w:lang w:eastAsia="zh-CN"/>
        </w:rPr>
        <w:t>E.</w:t>
      </w:r>
      <w:r>
        <w:rPr>
          <w:rFonts w:eastAsiaTheme="minorEastAsia"/>
          <w:kern w:val="2"/>
          <w:sz w:val="18"/>
          <w:szCs w:val="22"/>
          <w:lang w:eastAsia="zh-CN" w:bidi="ar-SA"/>
        </w:rPr>
        <w:tab/>
      </w:r>
      <w:r>
        <w:rPr>
          <w:rStyle w:val="17"/>
          <w:rFonts w:eastAsia="宋体"/>
          <w:sz w:val="21"/>
          <w:lang w:eastAsia="zh-CN"/>
        </w:rPr>
        <w:t>梯度感应外电势（非预期刺激）</w:t>
      </w:r>
      <w:r>
        <w:rPr>
          <w:sz w:val="21"/>
        </w:rPr>
        <w:tab/>
      </w:r>
      <w:r>
        <w:rPr>
          <w:sz w:val="21"/>
        </w:rPr>
        <w:fldChar w:fldCharType="begin"/>
      </w:r>
      <w:r>
        <w:rPr>
          <w:sz w:val="21"/>
        </w:rPr>
        <w:instrText xml:space="preserve"> PAGEREF _Toc91866610 \h </w:instrText>
      </w:r>
      <w:r>
        <w:rPr>
          <w:sz w:val="21"/>
        </w:rPr>
        <w:fldChar w:fldCharType="separate"/>
      </w:r>
      <w:r>
        <w:rPr>
          <w:sz w:val="21"/>
        </w:rPr>
        <w:t>9</w:t>
      </w:r>
      <w:r>
        <w:rPr>
          <w:sz w:val="21"/>
        </w:rPr>
        <w:fldChar w:fldCharType="end"/>
      </w:r>
      <w:r>
        <w:rPr>
          <w:sz w:val="21"/>
        </w:rPr>
        <w:fldChar w:fldCharType="end"/>
      </w:r>
    </w:p>
    <w:p w14:paraId="47D77808">
      <w:pPr>
        <w:pStyle w:val="13"/>
        <w:tabs>
          <w:tab w:val="left" w:pos="1777"/>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"_Toc91866611" </w:instrText>
      </w:r>
      <w:r>
        <w:fldChar w:fldCharType="separate"/>
      </w:r>
      <w:r>
        <w:rPr>
          <w:rStyle w:val="17"/>
          <w:rFonts w:eastAsia="宋体"/>
          <w:sz w:val="21"/>
          <w:lang w:eastAsia="zh-CN"/>
        </w:rPr>
        <w:t>F.</w:t>
      </w:r>
      <w:r>
        <w:rPr>
          <w:rFonts w:eastAsiaTheme="minorEastAsia"/>
          <w:kern w:val="2"/>
          <w:sz w:val="18"/>
          <w:szCs w:val="22"/>
          <w:lang w:eastAsia="zh-CN" w:bidi="ar-SA"/>
        </w:rPr>
        <w:tab/>
      </w:r>
      <w:r>
        <w:rPr>
          <w:rStyle w:val="17"/>
          <w:rFonts w:eastAsia="宋体"/>
          <w:sz w:val="21"/>
          <w:lang w:eastAsia="zh-CN"/>
        </w:rPr>
        <w:t>MR检查的射频脉冲整流（非预期刺激）</w:t>
      </w:r>
      <w:r>
        <w:rPr>
          <w:sz w:val="21"/>
        </w:rPr>
        <w:tab/>
      </w:r>
      <w:r>
        <w:rPr>
          <w:sz w:val="21"/>
        </w:rPr>
        <w:fldChar w:fldCharType="begin"/>
      </w:r>
      <w:r>
        <w:rPr>
          <w:sz w:val="21"/>
        </w:rPr>
        <w:instrText xml:space="preserve"> PAGEREF _Toc91866611 \h </w:instrText>
      </w:r>
      <w:r>
        <w:rPr>
          <w:sz w:val="21"/>
        </w:rPr>
        <w:fldChar w:fldCharType="separate"/>
      </w:r>
      <w:r>
        <w:rPr>
          <w:sz w:val="21"/>
        </w:rPr>
        <w:t>10</w:t>
      </w:r>
      <w:r>
        <w:rPr>
          <w:sz w:val="21"/>
        </w:rPr>
        <w:fldChar w:fldCharType="end"/>
      </w:r>
      <w:r>
        <w:rPr>
          <w:sz w:val="21"/>
        </w:rPr>
        <w:fldChar w:fldCharType="end"/>
      </w:r>
    </w:p>
    <w:p w14:paraId="3024AD97">
      <w:pPr>
        <w:pStyle w:val="13"/>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"_Toc91866612" </w:instrText>
      </w:r>
      <w:r>
        <w:fldChar w:fldCharType="separate"/>
      </w:r>
      <w:r>
        <w:rPr>
          <w:rStyle w:val="17"/>
          <w:rFonts w:eastAsia="宋体"/>
          <w:sz w:val="21"/>
          <w:lang w:eastAsia="zh-CN"/>
        </w:rPr>
        <w:t>G.</w:t>
      </w:r>
      <w:r>
        <w:rPr>
          <w:rFonts w:eastAsiaTheme="minorEastAsia"/>
          <w:kern w:val="2"/>
          <w:sz w:val="18"/>
          <w:szCs w:val="22"/>
          <w:lang w:eastAsia="zh-CN" w:bidi="ar-SA"/>
        </w:rPr>
        <w:tab/>
      </w:r>
      <w:r>
        <w:rPr>
          <w:rStyle w:val="17"/>
          <w:rFonts w:eastAsia="宋体"/>
          <w:sz w:val="21"/>
          <w:lang w:eastAsia="zh-CN"/>
        </w:rPr>
        <w:t>医疗器械故障</w:t>
      </w:r>
      <w:r>
        <w:rPr>
          <w:sz w:val="21"/>
        </w:rPr>
        <w:tab/>
      </w:r>
      <w:r>
        <w:rPr>
          <w:sz w:val="21"/>
        </w:rPr>
        <w:fldChar w:fldCharType="begin"/>
      </w:r>
      <w:r>
        <w:rPr>
          <w:sz w:val="21"/>
        </w:rPr>
        <w:instrText xml:space="preserve"> PAGEREF _Toc91866612 \h </w:instrText>
      </w:r>
      <w:r>
        <w:rPr>
          <w:sz w:val="21"/>
        </w:rPr>
        <w:fldChar w:fldCharType="separate"/>
      </w:r>
      <w:r>
        <w:rPr>
          <w:sz w:val="21"/>
        </w:rPr>
        <w:t>10</w:t>
      </w:r>
      <w:r>
        <w:rPr>
          <w:sz w:val="21"/>
        </w:rPr>
        <w:fldChar w:fldCharType="end"/>
      </w:r>
      <w:r>
        <w:rPr>
          <w:sz w:val="21"/>
        </w:rPr>
        <w:fldChar w:fldCharType="end"/>
      </w:r>
    </w:p>
    <w:p w14:paraId="0A2435CD">
      <w:pPr>
        <w:pStyle w:val="13"/>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"_Toc91866613" </w:instrText>
      </w:r>
      <w:r>
        <w:fldChar w:fldCharType="separate"/>
      </w:r>
      <w:r>
        <w:rPr>
          <w:rStyle w:val="17"/>
          <w:rFonts w:eastAsia="宋体"/>
          <w:sz w:val="21"/>
          <w:lang w:eastAsia="zh-CN"/>
        </w:rPr>
        <w:t>H.</w:t>
      </w:r>
      <w:r>
        <w:rPr>
          <w:rFonts w:eastAsiaTheme="minorEastAsia"/>
          <w:kern w:val="2"/>
          <w:sz w:val="18"/>
          <w:szCs w:val="22"/>
          <w:lang w:eastAsia="zh-CN" w:bidi="ar-SA"/>
        </w:rPr>
        <w:tab/>
      </w:r>
      <w:r>
        <w:rPr>
          <w:rStyle w:val="17"/>
          <w:rFonts w:eastAsia="宋体"/>
          <w:sz w:val="21"/>
          <w:lang w:eastAsia="zh-CN"/>
        </w:rPr>
        <w:t>图像伪影程度</w:t>
      </w:r>
      <w:r>
        <w:rPr>
          <w:sz w:val="21"/>
        </w:rPr>
        <w:tab/>
      </w:r>
      <w:r>
        <w:rPr>
          <w:sz w:val="21"/>
        </w:rPr>
        <w:fldChar w:fldCharType="begin"/>
      </w:r>
      <w:r>
        <w:rPr>
          <w:sz w:val="21"/>
        </w:rPr>
        <w:instrText xml:space="preserve"> PAGEREF _Toc91866613 \h </w:instrText>
      </w:r>
      <w:r>
        <w:rPr>
          <w:sz w:val="21"/>
        </w:rPr>
        <w:fldChar w:fldCharType="separate"/>
      </w:r>
      <w:r>
        <w:rPr>
          <w:sz w:val="21"/>
        </w:rPr>
        <w:t>12</w:t>
      </w:r>
      <w:r>
        <w:rPr>
          <w:sz w:val="21"/>
        </w:rPr>
        <w:fldChar w:fldCharType="end"/>
      </w:r>
      <w:r>
        <w:rPr>
          <w:sz w:val="21"/>
        </w:rPr>
        <w:fldChar w:fldCharType="end"/>
      </w:r>
    </w:p>
    <w:p w14:paraId="2A30B8F0">
      <w:pPr>
        <w:pStyle w:val="12"/>
        <w:tabs>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"_Toc91866614" </w:instrText>
      </w:r>
      <w:r>
        <w:fldChar w:fldCharType="separate"/>
      </w:r>
      <w:r>
        <w:rPr>
          <w:rStyle w:val="17"/>
          <w:rFonts w:eastAsia="宋体"/>
          <w:sz w:val="21"/>
          <w:lang w:eastAsia="zh-CN"/>
        </w:rPr>
        <w:t>VI.</w:t>
      </w:r>
      <w:r>
        <w:rPr>
          <w:rFonts w:eastAsiaTheme="minorEastAsia"/>
          <w:kern w:val="2"/>
          <w:sz w:val="18"/>
          <w:szCs w:val="22"/>
          <w:lang w:eastAsia="zh-CN" w:bidi="ar-SA"/>
        </w:rPr>
        <w:tab/>
      </w:r>
      <w:r>
        <w:rPr>
          <w:rStyle w:val="17"/>
          <w:rFonts w:eastAsia="宋体"/>
          <w:sz w:val="21"/>
          <w:lang w:eastAsia="zh-CN"/>
        </w:rPr>
        <w:t>报告结果</w:t>
      </w:r>
      <w:r>
        <w:rPr>
          <w:sz w:val="21"/>
        </w:rPr>
        <w:tab/>
      </w:r>
      <w:r>
        <w:rPr>
          <w:sz w:val="21"/>
        </w:rPr>
        <w:fldChar w:fldCharType="begin"/>
      </w:r>
      <w:r>
        <w:rPr>
          <w:sz w:val="21"/>
        </w:rPr>
        <w:instrText xml:space="preserve"> PAGEREF _Toc91866614 \h </w:instrText>
      </w:r>
      <w:r>
        <w:rPr>
          <w:sz w:val="21"/>
        </w:rPr>
        <w:fldChar w:fldCharType="separate"/>
      </w:r>
      <w:r>
        <w:rPr>
          <w:sz w:val="21"/>
        </w:rPr>
        <w:t>12</w:t>
      </w:r>
      <w:r>
        <w:rPr>
          <w:sz w:val="21"/>
        </w:rPr>
        <w:fldChar w:fldCharType="end"/>
      </w:r>
      <w:r>
        <w:rPr>
          <w:sz w:val="21"/>
        </w:rPr>
        <w:fldChar w:fldCharType="end"/>
      </w:r>
    </w:p>
    <w:p w14:paraId="2A33A342">
      <w:pPr>
        <w:pStyle w:val="12"/>
        <w:tabs>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"_Toc91866615" </w:instrText>
      </w:r>
      <w:r>
        <w:fldChar w:fldCharType="separate"/>
      </w:r>
      <w:r>
        <w:rPr>
          <w:rStyle w:val="17"/>
          <w:rFonts w:eastAsia="宋体"/>
          <w:sz w:val="21"/>
          <w:lang w:eastAsia="zh-CN"/>
        </w:rPr>
        <w:t>VII.</w:t>
      </w:r>
      <w:r>
        <w:rPr>
          <w:rFonts w:eastAsiaTheme="minorEastAsia"/>
          <w:kern w:val="2"/>
          <w:sz w:val="18"/>
          <w:szCs w:val="22"/>
          <w:lang w:eastAsia="zh-CN" w:bidi="ar-SA"/>
        </w:rPr>
        <w:tab/>
      </w:r>
      <w:r>
        <w:rPr>
          <w:rStyle w:val="17"/>
          <w:rFonts w:eastAsia="宋体"/>
          <w:sz w:val="21"/>
          <w:lang w:eastAsia="zh-CN"/>
        </w:rPr>
        <w:t>MRI安全标签及说明书</w:t>
      </w:r>
      <w:r>
        <w:rPr>
          <w:sz w:val="21"/>
        </w:rPr>
        <w:tab/>
      </w:r>
      <w:r>
        <w:rPr>
          <w:sz w:val="21"/>
        </w:rPr>
        <w:fldChar w:fldCharType="begin"/>
      </w:r>
      <w:r>
        <w:rPr>
          <w:sz w:val="21"/>
        </w:rPr>
        <w:instrText xml:space="preserve"> PAGEREF _Toc91866615 \h </w:instrText>
      </w:r>
      <w:r>
        <w:rPr>
          <w:sz w:val="21"/>
        </w:rPr>
        <w:fldChar w:fldCharType="separate"/>
      </w:r>
      <w:r>
        <w:rPr>
          <w:sz w:val="21"/>
        </w:rPr>
        <w:t>14</w:t>
      </w:r>
      <w:r>
        <w:rPr>
          <w:sz w:val="21"/>
        </w:rPr>
        <w:fldChar w:fldCharType="end"/>
      </w:r>
      <w:r>
        <w:rPr>
          <w:sz w:val="21"/>
        </w:rPr>
        <w:fldChar w:fldCharType="end"/>
      </w:r>
    </w:p>
    <w:p w14:paraId="1A0AED2D">
      <w:pPr>
        <w:pStyle w:val="13"/>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"_Toc91866616" </w:instrText>
      </w:r>
      <w:r>
        <w:fldChar w:fldCharType="separate"/>
      </w:r>
      <w:r>
        <w:rPr>
          <w:rStyle w:val="17"/>
          <w:rFonts w:eastAsia="宋体"/>
          <w:sz w:val="21"/>
          <w:lang w:eastAsia="zh-CN"/>
        </w:rPr>
        <w:t>A.</w:t>
      </w:r>
      <w:r>
        <w:rPr>
          <w:rFonts w:eastAsiaTheme="minorEastAsia"/>
          <w:kern w:val="2"/>
          <w:sz w:val="18"/>
          <w:szCs w:val="22"/>
          <w:lang w:eastAsia="zh-CN" w:bidi="ar-SA"/>
        </w:rPr>
        <w:tab/>
      </w:r>
      <w:r>
        <w:rPr>
          <w:rStyle w:val="17"/>
          <w:rFonts w:eastAsia="宋体"/>
          <w:sz w:val="21"/>
          <w:lang w:eastAsia="zh-CN"/>
        </w:rPr>
        <w:t>MR安全</w:t>
      </w:r>
      <w:r>
        <w:rPr>
          <w:sz w:val="21"/>
        </w:rPr>
        <w:tab/>
      </w:r>
      <w:r>
        <w:rPr>
          <w:sz w:val="21"/>
        </w:rPr>
        <w:fldChar w:fldCharType="begin"/>
      </w:r>
      <w:r>
        <w:rPr>
          <w:sz w:val="21"/>
        </w:rPr>
        <w:instrText xml:space="preserve"> PAGEREF _Toc91866616 \h </w:instrText>
      </w:r>
      <w:r>
        <w:rPr>
          <w:sz w:val="21"/>
        </w:rPr>
        <w:fldChar w:fldCharType="separate"/>
      </w:r>
      <w:r>
        <w:rPr>
          <w:sz w:val="21"/>
        </w:rPr>
        <w:t>16</w:t>
      </w:r>
      <w:r>
        <w:rPr>
          <w:sz w:val="21"/>
        </w:rPr>
        <w:fldChar w:fldCharType="end"/>
      </w:r>
      <w:r>
        <w:rPr>
          <w:sz w:val="21"/>
        </w:rPr>
        <w:fldChar w:fldCharType="end"/>
      </w:r>
    </w:p>
    <w:p w14:paraId="303994CA">
      <w:pPr>
        <w:pStyle w:val="13"/>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"_Toc91866617" </w:instrText>
      </w:r>
      <w:r>
        <w:fldChar w:fldCharType="separate"/>
      </w:r>
      <w:r>
        <w:rPr>
          <w:rStyle w:val="17"/>
          <w:rFonts w:eastAsia="宋体"/>
          <w:sz w:val="21"/>
          <w:lang w:eastAsia="zh-CN"/>
        </w:rPr>
        <w:t>B.</w:t>
      </w:r>
      <w:r>
        <w:rPr>
          <w:rFonts w:eastAsiaTheme="minorEastAsia"/>
          <w:kern w:val="2"/>
          <w:sz w:val="18"/>
          <w:szCs w:val="22"/>
          <w:lang w:eastAsia="zh-CN" w:bidi="ar-SA"/>
        </w:rPr>
        <w:tab/>
      </w:r>
      <w:r>
        <w:rPr>
          <w:rStyle w:val="17"/>
          <w:rFonts w:eastAsia="宋体"/>
          <w:sz w:val="21"/>
          <w:lang w:eastAsia="zh-CN"/>
        </w:rPr>
        <w:t>MR危险</w:t>
      </w:r>
      <w:r>
        <w:rPr>
          <w:sz w:val="21"/>
        </w:rPr>
        <w:tab/>
      </w:r>
      <w:r>
        <w:rPr>
          <w:sz w:val="21"/>
        </w:rPr>
        <w:fldChar w:fldCharType="begin"/>
      </w:r>
      <w:r>
        <w:rPr>
          <w:sz w:val="21"/>
        </w:rPr>
        <w:instrText xml:space="preserve"> PAGEREF _Toc91866617 \h </w:instrText>
      </w:r>
      <w:r>
        <w:rPr>
          <w:sz w:val="21"/>
        </w:rPr>
        <w:fldChar w:fldCharType="separate"/>
      </w:r>
      <w:r>
        <w:rPr>
          <w:sz w:val="21"/>
        </w:rPr>
        <w:t>16</w:t>
      </w:r>
      <w:r>
        <w:rPr>
          <w:sz w:val="21"/>
        </w:rPr>
        <w:fldChar w:fldCharType="end"/>
      </w:r>
      <w:r>
        <w:rPr>
          <w:sz w:val="21"/>
        </w:rPr>
        <w:fldChar w:fldCharType="end"/>
      </w:r>
    </w:p>
    <w:p w14:paraId="2C0DE120">
      <w:pPr>
        <w:pStyle w:val="13"/>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"_Toc91866618" </w:instrText>
      </w:r>
      <w:r>
        <w:fldChar w:fldCharType="separate"/>
      </w:r>
      <w:r>
        <w:rPr>
          <w:rStyle w:val="17"/>
          <w:rFonts w:eastAsia="宋体"/>
          <w:sz w:val="21"/>
          <w:lang w:eastAsia="zh-CN"/>
        </w:rPr>
        <w:t>C.</w:t>
      </w:r>
      <w:r>
        <w:rPr>
          <w:rFonts w:eastAsiaTheme="minorEastAsia"/>
          <w:kern w:val="2"/>
          <w:sz w:val="18"/>
          <w:szCs w:val="22"/>
          <w:lang w:eastAsia="zh-CN" w:bidi="ar-SA"/>
        </w:rPr>
        <w:tab/>
      </w:r>
      <w:r>
        <w:rPr>
          <w:rStyle w:val="17"/>
          <w:rFonts w:eastAsia="宋体"/>
          <w:sz w:val="21"/>
          <w:lang w:eastAsia="zh-CN"/>
        </w:rPr>
        <w:t>MR特定条件安全</w:t>
      </w:r>
      <w:r>
        <w:rPr>
          <w:sz w:val="21"/>
        </w:rPr>
        <w:tab/>
      </w:r>
      <w:r>
        <w:rPr>
          <w:sz w:val="21"/>
        </w:rPr>
        <w:fldChar w:fldCharType="begin"/>
      </w:r>
      <w:r>
        <w:rPr>
          <w:sz w:val="21"/>
        </w:rPr>
        <w:instrText xml:space="preserve"> PAGEREF _Toc91866618 \h </w:instrText>
      </w:r>
      <w:r>
        <w:rPr>
          <w:sz w:val="21"/>
        </w:rPr>
        <w:fldChar w:fldCharType="separate"/>
      </w:r>
      <w:r>
        <w:rPr>
          <w:sz w:val="21"/>
        </w:rPr>
        <w:t>17</w:t>
      </w:r>
      <w:r>
        <w:rPr>
          <w:sz w:val="21"/>
        </w:rPr>
        <w:fldChar w:fldCharType="end"/>
      </w:r>
      <w:r>
        <w:rPr>
          <w:sz w:val="21"/>
        </w:rPr>
        <w:fldChar w:fldCharType="end"/>
      </w:r>
    </w:p>
    <w:p w14:paraId="2B825700">
      <w:pPr>
        <w:pStyle w:val="13"/>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"_Toc91866619" </w:instrText>
      </w:r>
      <w:r>
        <w:fldChar w:fldCharType="separate"/>
      </w:r>
      <w:r>
        <w:rPr>
          <w:rStyle w:val="17"/>
          <w:rFonts w:eastAsia="宋体"/>
          <w:sz w:val="21"/>
          <w:lang w:eastAsia="zh-CN"/>
        </w:rPr>
        <w:t>D.</w:t>
      </w:r>
      <w:r>
        <w:rPr>
          <w:rFonts w:eastAsiaTheme="minorEastAsia"/>
          <w:kern w:val="2"/>
          <w:sz w:val="18"/>
          <w:szCs w:val="22"/>
          <w:lang w:eastAsia="zh-CN" w:bidi="ar-SA"/>
        </w:rPr>
        <w:tab/>
      </w:r>
      <w:r>
        <w:rPr>
          <w:rStyle w:val="17"/>
          <w:rFonts w:eastAsia="宋体"/>
          <w:sz w:val="21"/>
          <w:lang w:eastAsia="zh-CN"/>
        </w:rPr>
        <w:t>未进行评价的MRI安全性</w:t>
      </w:r>
      <w:r>
        <w:rPr>
          <w:sz w:val="21"/>
        </w:rPr>
        <w:tab/>
      </w:r>
      <w:r>
        <w:rPr>
          <w:sz w:val="21"/>
        </w:rPr>
        <w:fldChar w:fldCharType="begin"/>
      </w:r>
      <w:r>
        <w:rPr>
          <w:sz w:val="21"/>
        </w:rPr>
        <w:instrText xml:space="preserve"> PAGEREF _Toc91866619 \h </w:instrText>
      </w:r>
      <w:r>
        <w:rPr>
          <w:sz w:val="21"/>
        </w:rPr>
        <w:fldChar w:fldCharType="separate"/>
      </w:r>
      <w:r>
        <w:rPr>
          <w:sz w:val="21"/>
        </w:rPr>
        <w:t>19</w:t>
      </w:r>
      <w:r>
        <w:rPr>
          <w:sz w:val="21"/>
        </w:rPr>
        <w:fldChar w:fldCharType="end"/>
      </w:r>
      <w:r>
        <w:rPr>
          <w:sz w:val="21"/>
        </w:rPr>
        <w:fldChar w:fldCharType="end"/>
      </w:r>
    </w:p>
    <w:p w14:paraId="425074B0">
      <w:pPr>
        <w:pStyle w:val="12"/>
        <w:tabs>
          <w:tab w:val="right" w:pos="9061"/>
        </w:tabs>
        <w:spacing w:before="120" w:beforeLines="50"/>
        <w:ind w:left="960" w:hanging="960" w:hangingChars="400"/>
        <w:rPr>
          <w:rFonts w:eastAsiaTheme="minorEastAsia"/>
          <w:kern w:val="2"/>
          <w:sz w:val="18"/>
          <w:szCs w:val="22"/>
          <w:lang w:eastAsia="zh-CN" w:bidi="ar-SA"/>
        </w:rPr>
      </w:pPr>
      <w:r>
        <w:fldChar w:fldCharType="begin"/>
      </w:r>
      <w:r>
        <w:instrText xml:space="preserve"> HYPERLINK \l "_Toc91866620" </w:instrText>
      </w:r>
      <w:r>
        <w:fldChar w:fldCharType="separate"/>
      </w:r>
      <w:r>
        <w:rPr>
          <w:rStyle w:val="17"/>
          <w:rFonts w:eastAsia="宋体"/>
          <w:sz w:val="21"/>
        </w:rPr>
        <w:t>附录</w:t>
      </w:r>
      <w:r>
        <w:rPr>
          <w:rFonts w:eastAsiaTheme="minorEastAsia"/>
          <w:kern w:val="2"/>
          <w:sz w:val="18"/>
          <w:szCs w:val="22"/>
          <w:lang w:eastAsia="zh-CN" w:bidi="ar-SA"/>
        </w:rPr>
        <w:tab/>
      </w:r>
      <w:r>
        <w:rPr>
          <w:rStyle w:val="17"/>
          <w:rFonts w:eastAsia="宋体"/>
          <w:sz w:val="21"/>
        </w:rPr>
        <w:t>1.试验结果总结示例</w:t>
      </w:r>
      <w:r>
        <w:rPr>
          <w:sz w:val="21"/>
        </w:rPr>
        <w:tab/>
      </w:r>
      <w:r>
        <w:rPr>
          <w:sz w:val="21"/>
        </w:rPr>
        <w:fldChar w:fldCharType="begin"/>
      </w:r>
      <w:r>
        <w:rPr>
          <w:sz w:val="21"/>
        </w:rPr>
        <w:instrText xml:space="preserve"> PAGEREF _Toc91866620 \h </w:instrText>
      </w:r>
      <w:r>
        <w:rPr>
          <w:sz w:val="21"/>
        </w:rPr>
        <w:fldChar w:fldCharType="separate"/>
      </w:r>
      <w:r>
        <w:rPr>
          <w:sz w:val="21"/>
        </w:rPr>
        <w:t>21</w:t>
      </w:r>
      <w:r>
        <w:rPr>
          <w:sz w:val="21"/>
        </w:rPr>
        <w:fldChar w:fldCharType="end"/>
      </w:r>
      <w:r>
        <w:rPr>
          <w:sz w:val="21"/>
        </w:rPr>
        <w:fldChar w:fldCharType="end"/>
      </w:r>
    </w:p>
    <w:p w14:paraId="23996E0A">
      <w:pPr>
        <w:pStyle w:val="12"/>
        <w:tabs>
          <w:tab w:val="right" w:pos="9061"/>
        </w:tabs>
        <w:spacing w:before="120" w:beforeLines="50"/>
        <w:ind w:left="960" w:hanging="960" w:hangingChars="400"/>
        <w:rPr>
          <w:rFonts w:eastAsiaTheme="minorEastAsia"/>
          <w:kern w:val="2"/>
          <w:sz w:val="18"/>
          <w:szCs w:val="22"/>
          <w:lang w:eastAsia="zh-CN" w:bidi="ar-SA"/>
        </w:rPr>
      </w:pPr>
      <w:r>
        <w:fldChar w:fldCharType="begin"/>
      </w:r>
      <w:r>
        <w:instrText xml:space="preserve"> HYPERLINK \l "_Toc91866621" </w:instrText>
      </w:r>
      <w:r>
        <w:fldChar w:fldCharType="separate"/>
      </w:r>
      <w:r>
        <w:rPr>
          <w:rStyle w:val="17"/>
          <w:rFonts w:eastAsia="宋体"/>
          <w:sz w:val="21"/>
          <w:lang w:eastAsia="zh-CN"/>
        </w:rPr>
        <w:t>附录</w:t>
      </w:r>
      <w:r>
        <w:rPr>
          <w:rFonts w:eastAsiaTheme="minorEastAsia"/>
          <w:kern w:val="2"/>
          <w:sz w:val="18"/>
          <w:szCs w:val="22"/>
          <w:lang w:eastAsia="zh-CN" w:bidi="ar-SA"/>
        </w:rPr>
        <w:tab/>
      </w:r>
      <w:r>
        <w:rPr>
          <w:rStyle w:val="17"/>
          <w:rFonts w:eastAsia="宋体"/>
          <w:sz w:val="21"/>
          <w:lang w:eastAsia="zh-CN"/>
        </w:rPr>
        <w:t>2.MR特定条件安全标签及说明书示例</w:t>
      </w:r>
      <w:r>
        <w:rPr>
          <w:sz w:val="21"/>
        </w:rPr>
        <w:tab/>
      </w:r>
      <w:r>
        <w:rPr>
          <w:sz w:val="21"/>
        </w:rPr>
        <w:fldChar w:fldCharType="begin"/>
      </w:r>
      <w:r>
        <w:rPr>
          <w:sz w:val="21"/>
        </w:rPr>
        <w:instrText xml:space="preserve"> PAGEREF _Toc91866621 \h </w:instrText>
      </w:r>
      <w:r>
        <w:rPr>
          <w:sz w:val="21"/>
        </w:rPr>
        <w:fldChar w:fldCharType="separate"/>
      </w:r>
      <w:r>
        <w:rPr>
          <w:sz w:val="21"/>
        </w:rPr>
        <w:t>22</w:t>
      </w:r>
      <w:r>
        <w:rPr>
          <w:sz w:val="21"/>
        </w:rPr>
        <w:fldChar w:fldCharType="end"/>
      </w:r>
      <w:r>
        <w:rPr>
          <w:sz w:val="21"/>
        </w:rPr>
        <w:fldChar w:fldCharType="end"/>
      </w:r>
    </w:p>
    <w:p w14:paraId="501F30E7">
      <w:pPr>
        <w:adjustRightInd w:val="0"/>
        <w:snapToGrid w:val="0"/>
        <w:spacing w:before="120" w:beforeLines="50" w:line="300" w:lineRule="auto"/>
        <w:jc w:val="both"/>
        <w:rPr>
          <w:rFonts w:eastAsiaTheme="minorEastAsia"/>
          <w:b/>
          <w:sz w:val="21"/>
          <w:szCs w:val="21"/>
          <w:lang w:eastAsia="zh-CN"/>
        </w:rPr>
      </w:pPr>
      <w:r>
        <w:rPr>
          <w:rFonts w:eastAsiaTheme="minorEastAsia"/>
          <w:b/>
          <w:sz w:val="21"/>
          <w:szCs w:val="21"/>
          <w:lang w:eastAsia="zh-CN"/>
        </w:rPr>
        <w:fldChar w:fldCharType="end"/>
      </w:r>
    </w:p>
    <w:p w14:paraId="57A3DB65">
      <w:pPr>
        <w:adjustRightInd w:val="0"/>
        <w:snapToGrid w:val="0"/>
        <w:spacing w:before="120" w:beforeLines="50" w:line="300" w:lineRule="auto"/>
        <w:jc w:val="both"/>
        <w:rPr>
          <w:b/>
          <w:sz w:val="21"/>
          <w:szCs w:val="21"/>
        </w:rPr>
        <w:sectPr>
          <w:headerReference r:id="rId3" w:type="default"/>
          <w:pgSz w:w="11907" w:h="16840"/>
          <w:pgMar w:top="1418" w:right="1418" w:bottom="1418" w:left="1418" w:header="720" w:footer="720" w:gutter="0"/>
          <w:cols w:space="720" w:num="1"/>
        </w:sectPr>
      </w:pPr>
    </w:p>
    <w:p w14:paraId="4424847D">
      <w:pPr>
        <w:pBdr>
          <w:bottom w:val="single" w:color="auto" w:sz="4" w:space="1"/>
        </w:pBdr>
        <w:adjustRightInd w:val="0"/>
        <w:snapToGrid w:val="0"/>
        <w:spacing w:before="120" w:beforeLines="50" w:line="300" w:lineRule="auto"/>
        <w:jc w:val="center"/>
        <w:rPr>
          <w:b/>
          <w:sz w:val="52"/>
          <w:szCs w:val="21"/>
          <w:lang w:eastAsia="zh-CN"/>
        </w:rPr>
      </w:pPr>
      <w:r>
        <w:rPr>
          <w:rFonts w:eastAsia="宋体" w:cs="宋体"/>
          <w:b/>
          <w:sz w:val="52"/>
          <w:lang w:eastAsia="zh-CN"/>
        </w:rPr>
        <w:t>医疗器械在磁共振（MR）环境中的安全性试验和贴标</w:t>
      </w:r>
    </w:p>
    <w:p w14:paraId="47FB7E3C">
      <w:pPr>
        <w:adjustRightInd w:val="0"/>
        <w:snapToGrid w:val="0"/>
        <w:spacing w:before="120" w:beforeLines="50" w:line="300" w:lineRule="auto"/>
        <w:jc w:val="center"/>
        <w:rPr>
          <w:b/>
          <w:sz w:val="52"/>
          <w:szCs w:val="21"/>
          <w:lang w:eastAsia="zh-CN"/>
        </w:rPr>
      </w:pPr>
      <w:r>
        <w:rPr>
          <w:rFonts w:eastAsia="宋体" w:cs="宋体"/>
          <w:b/>
          <w:sz w:val="52"/>
          <w:lang w:eastAsia="zh-CN"/>
        </w:rPr>
        <w:t>行业和美国食品药品监督管理局工作人员指南草案</w:t>
      </w:r>
    </w:p>
    <w:tbl>
      <w:tblPr>
        <w:tblStyle w:val="19"/>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62F8C232">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1626A0F0">
            <w:pPr>
              <w:pStyle w:val="8"/>
              <w:adjustRightInd w:val="0"/>
              <w:snapToGrid w:val="0"/>
              <w:spacing w:before="120" w:beforeLines="50" w:line="300" w:lineRule="auto"/>
              <w:jc w:val="both"/>
              <w:rPr>
                <w:b/>
                <w:i/>
                <w:sz w:val="21"/>
                <w:szCs w:val="21"/>
                <w:lang w:eastAsia="zh-CN"/>
              </w:rPr>
            </w:pPr>
            <w:r>
              <w:rPr>
                <w:rFonts w:hint="eastAsia" w:eastAsia="宋体" w:cs="宋体"/>
                <w:b/>
                <w:i/>
                <w:sz w:val="21"/>
                <w:lang w:eastAsia="zh-CN"/>
              </w:rPr>
              <w:t>本指南草案代表食品药品管理局（</w:t>
            </w:r>
            <w:r>
              <w:rPr>
                <w:rFonts w:eastAsia="宋体" w:cs="宋体"/>
                <w:b/>
                <w:i/>
                <w:sz w:val="21"/>
                <w:lang w:eastAsia="zh-CN"/>
              </w:rPr>
              <w:t>FDA或本机构</w:t>
            </w:r>
            <w:r>
              <w:rPr>
                <w:rFonts w:hint="eastAsia" w:eastAsia="宋体" w:cs="宋体"/>
                <w:b/>
                <w:i/>
                <w:sz w:val="21"/>
                <w:lang w:eastAsia="zh-CN"/>
              </w:rPr>
              <w:t>）目前关于该主题的思考。其不会为任何人创造或赋予任何权利，也不会对</w:t>
            </w:r>
            <w:r>
              <w:rPr>
                <w:rFonts w:eastAsia="宋体" w:cs="宋体"/>
                <w:b/>
                <w:i/>
                <w:sz w:val="21"/>
                <w:lang w:eastAsia="zh-CN"/>
              </w:rPr>
              <w:t>FDA</w:t>
            </w:r>
            <w:r>
              <w:rPr>
                <w:rFonts w:hint="eastAsia" w:eastAsia="宋体" w:cs="宋体"/>
                <w:b/>
                <w:i/>
                <w:sz w:val="21"/>
                <w:lang w:eastAsia="zh-CN"/>
              </w:rPr>
              <w:t>或公众产生约束。如果替代方法满足适用的法律法规的要求，则可以使用该方法。如需讨论替代方法，请联系标题页负责实施本指南文件的</w:t>
            </w:r>
            <w:r>
              <w:rPr>
                <w:rFonts w:eastAsia="宋体" w:cs="宋体"/>
                <w:b/>
                <w:i/>
                <w:sz w:val="21"/>
                <w:lang w:eastAsia="zh-CN"/>
              </w:rPr>
              <w:t>FDA</w:t>
            </w:r>
            <w:r>
              <w:rPr>
                <w:rFonts w:hint="eastAsia" w:eastAsia="宋体" w:cs="宋体"/>
                <w:b/>
                <w:i/>
                <w:sz w:val="21"/>
                <w:lang w:eastAsia="zh-CN"/>
              </w:rPr>
              <w:t>工作人员或办公室。</w:t>
            </w:r>
          </w:p>
        </w:tc>
      </w:tr>
    </w:tbl>
    <w:p w14:paraId="7C3EDC0A">
      <w:pPr>
        <w:pStyle w:val="8"/>
        <w:adjustRightInd w:val="0"/>
        <w:snapToGrid w:val="0"/>
        <w:spacing w:before="120" w:beforeLines="50" w:line="300" w:lineRule="auto"/>
        <w:ind w:left="843" w:hanging="843" w:hangingChars="300"/>
        <w:jc w:val="both"/>
        <w:outlineLvl w:val="0"/>
        <w:rPr>
          <w:b/>
          <w:sz w:val="28"/>
          <w:szCs w:val="21"/>
          <w:lang w:eastAsia="zh-CN"/>
        </w:rPr>
      </w:pPr>
      <w:bookmarkStart w:id="0" w:name="_Toc91866599"/>
      <w:r>
        <w:rPr>
          <w:rFonts w:eastAsia="宋体" w:cs="宋体"/>
          <w:b/>
          <w:sz w:val="28"/>
          <w:lang w:eastAsia="zh-CN"/>
        </w:rPr>
        <w:t>I.</w:t>
      </w:r>
      <w:r>
        <w:rPr>
          <w:rFonts w:eastAsia="宋体" w:cs="宋体"/>
          <w:b/>
          <w:lang w:eastAsia="zh-CN"/>
        </w:rPr>
        <w:tab/>
      </w:r>
      <w:r>
        <w:rPr>
          <w:rFonts w:eastAsia="宋体" w:cs="宋体"/>
          <w:b/>
          <w:sz w:val="28"/>
          <w:lang w:eastAsia="zh-CN"/>
        </w:rPr>
        <w:t>引言</w:t>
      </w:r>
      <w:bookmarkEnd w:id="0"/>
    </w:p>
    <w:p w14:paraId="128C70B5">
      <w:pPr>
        <w:pStyle w:val="8"/>
        <w:adjustRightInd w:val="0"/>
        <w:snapToGrid w:val="0"/>
        <w:spacing w:before="120" w:beforeLines="50" w:line="300" w:lineRule="auto"/>
        <w:jc w:val="both"/>
        <w:rPr>
          <w:sz w:val="21"/>
          <w:szCs w:val="21"/>
          <w:lang w:eastAsia="zh-CN"/>
        </w:rPr>
      </w:pPr>
      <w:r>
        <w:rPr>
          <w:rFonts w:eastAsia="宋体" w:cs="宋体"/>
          <w:sz w:val="21"/>
          <w:lang w:eastAsia="zh-CN"/>
        </w:rPr>
        <w:t>本指南文件草案提供了美国食品药品监督管理局（以下简称为“FDA”或“本</w:t>
      </w:r>
      <w:r>
        <w:rPr>
          <w:rFonts w:hint="eastAsia" w:eastAsia="宋体" w:cs="宋体"/>
          <w:sz w:val="21"/>
          <w:lang w:eastAsia="zh-CN"/>
        </w:rPr>
        <w:t>机构</w:t>
      </w:r>
      <w:r>
        <w:rPr>
          <w:rFonts w:eastAsia="宋体" w:cs="宋体"/>
          <w:sz w:val="21"/>
          <w:lang w:eastAsia="zh-CN"/>
        </w:rPr>
        <w:t>”）对评估医疗器械在磁共振（MR）环境中的安全性和兼容性的试验的建议以及医疗器械标签中磁共振成像（MRI）安全性信息的推荐格式。最终定稿后，本指南将取代FDA于2014年12月11日发布的标题为《</w:t>
      </w:r>
      <w:r>
        <w:rPr>
          <w:rFonts w:eastAsia="宋体" w:cs="宋体"/>
          <w:color w:val="0000FF"/>
          <w:sz w:val="21"/>
          <w:u w:val="single"/>
          <w:lang w:eastAsia="zh-CN"/>
        </w:rPr>
        <w:t>确立无源植入物在磁共振（MR）环境中的安全性和兼容性</w:t>
      </w:r>
      <w:r>
        <w:rPr>
          <w:rFonts w:eastAsia="宋体" w:cs="宋体"/>
          <w:sz w:val="21"/>
          <w:lang w:eastAsia="zh-CN"/>
        </w:rPr>
        <w:t>》</w:t>
      </w:r>
      <w:r>
        <w:rPr>
          <w:rFonts w:hint="eastAsia" w:eastAsia="宋体" w:cs="宋体"/>
          <w:sz w:val="21"/>
          <w:vertAlign w:val="superscript"/>
          <w:lang w:eastAsia="zh-CN"/>
        </w:rPr>
        <w:t>1</w:t>
      </w:r>
      <w:r>
        <w:rPr>
          <w:rFonts w:eastAsia="宋体" w:cs="宋体"/>
          <w:sz w:val="21"/>
          <w:lang w:eastAsia="zh-CN"/>
        </w:rPr>
        <w:t>的指南。</w:t>
      </w:r>
    </w:p>
    <w:p w14:paraId="30CC9A02">
      <w:pPr>
        <w:pStyle w:val="8"/>
        <w:adjustRightInd w:val="0"/>
        <w:snapToGrid w:val="0"/>
        <w:spacing w:before="120" w:beforeLines="50" w:line="300" w:lineRule="auto"/>
        <w:jc w:val="both"/>
        <w:rPr>
          <w:sz w:val="21"/>
          <w:szCs w:val="21"/>
        </w:rPr>
      </w:pPr>
      <w:r>
        <w:rPr>
          <w:rFonts w:eastAsia="宋体" w:cs="宋体"/>
          <w:sz w:val="21"/>
          <w:lang w:eastAsia="zh-CN"/>
        </w:rPr>
        <w:t>请登录</w:t>
      </w:r>
      <w:r>
        <w:rPr>
          <w:rFonts w:eastAsia="宋体" w:cs="宋体"/>
          <w:color w:val="0000FF"/>
          <w:sz w:val="21"/>
          <w:u w:val="single"/>
          <w:lang w:eastAsia="zh-CN"/>
        </w:rPr>
        <w:t>FDA共识标准数据库</w:t>
      </w:r>
      <w:r>
        <w:rPr>
          <w:rFonts w:eastAsia="宋体" w:cs="宋体"/>
          <w:sz w:val="21"/>
          <w:lang w:eastAsia="zh-CN"/>
        </w:rPr>
        <w:t>，获取在本文中所引用的现行版FDA认可的标准。</w:t>
      </w:r>
      <w:r>
        <w:rPr>
          <w:rFonts w:eastAsia="宋体" w:cs="宋体"/>
          <w:sz w:val="21"/>
          <w:vertAlign w:val="superscript"/>
          <w:lang w:eastAsia="zh-CN"/>
        </w:rPr>
        <w:t>2</w:t>
      </w:r>
      <w:r>
        <w:rPr>
          <w:rFonts w:eastAsia="宋体" w:cs="宋体"/>
          <w:sz w:val="21"/>
          <w:lang w:eastAsia="zh-CN"/>
        </w:rPr>
        <w:t>有关共识标准在监管申请中的使用的更多信息，请参见FDA发布的标题为《</w:t>
      </w:r>
      <w:bookmarkStart w:id="1" w:name="_Hlk95486559"/>
      <w:r>
        <w:rPr>
          <w:rFonts w:eastAsia="宋体" w:cs="宋体"/>
          <w:color w:val="0000FF"/>
          <w:sz w:val="21"/>
          <w:u w:val="single"/>
          <w:lang w:eastAsia="zh-CN"/>
        </w:rPr>
        <w:t>自愿共识标准在医疗器械上市前申请中的合理使用</w:t>
      </w:r>
      <w:bookmarkEnd w:id="1"/>
      <w:r>
        <w:rPr>
          <w:rFonts w:eastAsia="宋体" w:cs="宋体"/>
          <w:sz w:val="21"/>
          <w:lang w:eastAsia="zh-CN"/>
        </w:rPr>
        <w:t>》的指南。</w:t>
      </w:r>
      <w:r>
        <w:rPr>
          <w:rFonts w:eastAsia="宋体" w:cs="宋体"/>
          <w:color w:val="000000" w:themeColor="text1"/>
          <w:sz w:val="21"/>
          <w:vertAlign w:val="superscript"/>
          <w14:textFill>
            <w14:solidFill>
              <w14:schemeClr w14:val="tx1"/>
            </w14:solidFill>
          </w14:textFill>
        </w:rPr>
        <w:t>3</w:t>
      </w:r>
    </w:p>
    <w:p w14:paraId="343D18CB">
      <w:pPr>
        <w:pStyle w:val="8"/>
        <w:adjustRightInd w:val="0"/>
        <w:snapToGrid w:val="0"/>
        <w:spacing w:before="3600" w:beforeLines="1500" w:line="300" w:lineRule="auto"/>
        <w:jc w:val="both"/>
        <w:rPr>
          <w:rFonts w:eastAsiaTheme="minorEastAsia"/>
          <w:sz w:val="21"/>
          <w:szCs w:val="21"/>
          <w:lang w:eastAsia="zh-CN"/>
        </w:rPr>
      </w:pPr>
      <w:r>
        <w:rPr>
          <w:rFonts w:eastAsia="宋体" w:cs="宋体"/>
          <w:sz w:val="21"/>
        </w:rPr>
        <w:t>____________________</w:t>
      </w:r>
    </w:p>
    <w:p w14:paraId="26ECE3F6">
      <w:pPr>
        <w:wordWrap w:val="0"/>
        <w:adjustRightInd w:val="0"/>
        <w:snapToGrid w:val="0"/>
        <w:spacing w:before="36" w:beforeLines="15" w:line="276" w:lineRule="auto"/>
        <w:jc w:val="both"/>
        <w:rPr>
          <w:sz w:val="18"/>
          <w:szCs w:val="21"/>
        </w:rPr>
      </w:pPr>
      <w:r>
        <w:rPr>
          <w:sz w:val="18"/>
          <w:szCs w:val="21"/>
          <w:vertAlign w:val="superscript"/>
        </w:rPr>
        <w:t>1</w:t>
      </w:r>
      <w:r>
        <w:rPr>
          <w:sz w:val="18"/>
          <w:szCs w:val="21"/>
        </w:rPr>
        <w:t xml:space="preserve"> </w:t>
      </w:r>
      <w:r>
        <w:rPr>
          <w:color w:val="0000FF"/>
          <w:sz w:val="18"/>
          <w:szCs w:val="21"/>
          <w:u w:val="single" w:color="0000FF"/>
        </w:rPr>
        <w:t>https://www.fda.gov/regulatory-information/search-fda-guidance-documents/establishing-safety-and-</w:t>
      </w:r>
      <w:r>
        <w:rPr>
          <w:color w:val="0000FF"/>
          <w:sz w:val="18"/>
          <w:szCs w:val="21"/>
        </w:rPr>
        <w:t xml:space="preserve"> </w:t>
      </w:r>
      <w:r>
        <w:rPr>
          <w:color w:val="0000FF"/>
          <w:sz w:val="18"/>
          <w:szCs w:val="21"/>
          <w:u w:val="single" w:color="0000FF"/>
        </w:rPr>
        <w:t>compatibility-passive-implants-magnetic-resonance-mr-environment</w:t>
      </w:r>
    </w:p>
    <w:p w14:paraId="68F22164">
      <w:pPr>
        <w:wordWrap w:val="0"/>
        <w:adjustRightInd w:val="0"/>
        <w:snapToGrid w:val="0"/>
        <w:spacing w:before="36" w:beforeLines="15" w:line="276" w:lineRule="auto"/>
        <w:jc w:val="both"/>
        <w:rPr>
          <w:sz w:val="18"/>
          <w:szCs w:val="21"/>
        </w:rPr>
      </w:pPr>
      <w:r>
        <w:rPr>
          <w:rFonts w:eastAsia="宋体" w:cs="宋体"/>
          <w:sz w:val="18"/>
          <w:vertAlign w:val="superscript"/>
        </w:rPr>
        <w:t>2</w:t>
      </w:r>
      <w:r>
        <w:rPr>
          <w:rFonts w:eastAsia="宋体" w:cs="宋体"/>
          <w:sz w:val="18"/>
        </w:rPr>
        <w:t xml:space="preserve"> 可登录以下网址获取：</w:t>
      </w:r>
      <w:r>
        <w:rPr>
          <w:rFonts w:eastAsia="宋体" w:cs="宋体"/>
          <w:color w:val="0000FF"/>
          <w:sz w:val="18"/>
          <w:u w:val="single"/>
        </w:rPr>
        <w:t>https://www.accessdata.fda.gov/scripts/cdrh/cfdocs/cfStandards/search.cfm</w:t>
      </w:r>
    </w:p>
    <w:p w14:paraId="2BF7EF0B">
      <w:pPr>
        <w:wordWrap w:val="0"/>
        <w:adjustRightInd w:val="0"/>
        <w:snapToGrid w:val="0"/>
        <w:spacing w:before="36" w:beforeLines="15" w:line="276" w:lineRule="auto"/>
        <w:jc w:val="both"/>
        <w:rPr>
          <w:b/>
          <w:sz w:val="21"/>
          <w:szCs w:val="21"/>
        </w:rPr>
      </w:pPr>
      <w:bookmarkStart w:id="2" w:name="_bookmark3"/>
      <w:bookmarkEnd w:id="2"/>
      <w:r>
        <w:rPr>
          <w:sz w:val="18"/>
          <w:szCs w:val="21"/>
          <w:vertAlign w:val="superscript"/>
        </w:rPr>
        <w:t>3</w:t>
      </w:r>
      <w:r>
        <w:rPr>
          <w:sz w:val="18"/>
          <w:szCs w:val="21"/>
        </w:rPr>
        <w:t xml:space="preserve"> </w:t>
      </w:r>
      <w:r>
        <w:rPr>
          <w:color w:val="0000FF"/>
          <w:sz w:val="18"/>
          <w:szCs w:val="21"/>
          <w:u w:val="single" w:color="0000FF"/>
        </w:rPr>
        <w:t>https://www.fda.gov/regulatory-information/search-fda-guidance-documents/appropriate-use-voluntary-</w:t>
      </w:r>
      <w:r>
        <w:rPr>
          <w:color w:val="0000FF"/>
          <w:sz w:val="18"/>
          <w:szCs w:val="21"/>
        </w:rPr>
        <w:t xml:space="preserve"> </w:t>
      </w:r>
      <w:r>
        <w:rPr>
          <w:color w:val="0000FF"/>
          <w:sz w:val="18"/>
          <w:szCs w:val="21"/>
          <w:u w:val="single" w:color="0000FF"/>
        </w:rPr>
        <w:t>consensus-standards-premarket-submissions-medical-devices</w:t>
      </w:r>
      <w:r>
        <w:rPr>
          <w:b/>
          <w:sz w:val="21"/>
          <w:szCs w:val="21"/>
        </w:rPr>
        <w:br w:type="page"/>
      </w:r>
    </w:p>
    <w:p w14:paraId="6AFFFFB9">
      <w:pPr>
        <w:pStyle w:val="8"/>
        <w:adjustRightInd w:val="0"/>
        <w:snapToGrid w:val="0"/>
        <w:spacing w:before="120" w:beforeLines="50" w:line="300" w:lineRule="auto"/>
        <w:jc w:val="both"/>
        <w:rPr>
          <w:sz w:val="21"/>
          <w:szCs w:val="21"/>
          <w:lang w:eastAsia="zh-CN"/>
        </w:rPr>
      </w:pPr>
      <w:r>
        <w:rPr>
          <w:rFonts w:eastAsia="宋体" w:cs="宋体"/>
          <w:sz w:val="21"/>
          <w:lang w:eastAsia="zh-CN"/>
        </w:rPr>
        <w:t>FDA</w:t>
      </w:r>
      <w:r>
        <w:rPr>
          <w:rFonts w:hint="eastAsia" w:eastAsia="宋体" w:cs="宋体"/>
          <w:sz w:val="21"/>
          <w:lang w:eastAsia="zh-CN"/>
        </w:rPr>
        <w:t>指导性文件，包括本指南在内，不具有法律强制责任。相反，指南表明了本机构目前关于该主题的思考，除非引用具体的法规或法律要求，否则只应视为建议。在本机构指南中使用词语“应”是指建议或推荐进行某一事项，并非强制要求。</w:t>
      </w:r>
    </w:p>
    <w:p w14:paraId="74B6F7F6">
      <w:pPr>
        <w:pStyle w:val="8"/>
        <w:adjustRightInd w:val="0"/>
        <w:snapToGrid w:val="0"/>
        <w:spacing w:before="120" w:beforeLines="50" w:line="300" w:lineRule="auto"/>
        <w:ind w:left="843" w:hanging="843" w:hangingChars="300"/>
        <w:jc w:val="both"/>
        <w:outlineLvl w:val="0"/>
        <w:rPr>
          <w:b/>
          <w:sz w:val="28"/>
          <w:szCs w:val="21"/>
          <w:lang w:eastAsia="zh-CN"/>
        </w:rPr>
      </w:pPr>
      <w:bookmarkStart w:id="3" w:name="_Toc91866600"/>
      <w:r>
        <w:rPr>
          <w:rFonts w:eastAsia="宋体" w:cs="宋体"/>
          <w:b/>
          <w:sz w:val="28"/>
          <w:lang w:eastAsia="zh-CN"/>
        </w:rPr>
        <w:t>II.</w:t>
      </w:r>
      <w:r>
        <w:rPr>
          <w:rFonts w:eastAsia="宋体" w:cs="宋体"/>
          <w:b/>
          <w:lang w:eastAsia="zh-CN"/>
        </w:rPr>
        <w:tab/>
      </w:r>
      <w:r>
        <w:rPr>
          <w:rFonts w:eastAsia="宋体" w:cs="宋体"/>
          <w:b/>
          <w:sz w:val="28"/>
          <w:lang w:eastAsia="zh-CN"/>
        </w:rPr>
        <w:t>范围</w:t>
      </w:r>
      <w:bookmarkEnd w:id="3"/>
    </w:p>
    <w:p w14:paraId="2A537EDF">
      <w:pPr>
        <w:adjustRightInd w:val="0"/>
        <w:snapToGrid w:val="0"/>
        <w:spacing w:before="120" w:beforeLines="50" w:line="300" w:lineRule="auto"/>
        <w:jc w:val="both"/>
        <w:rPr>
          <w:sz w:val="21"/>
          <w:szCs w:val="21"/>
          <w:lang w:eastAsia="zh-CN"/>
        </w:rPr>
      </w:pPr>
      <w:r>
        <w:rPr>
          <w:rFonts w:eastAsia="宋体" w:cs="宋体"/>
          <w:sz w:val="21"/>
          <w:lang w:eastAsia="zh-CN"/>
        </w:rPr>
        <w:t>本指南文件适用于所有植入式医疗器械、固定在患者身上或由患者携带的体外医疗器械（例如外部胰岛素泵）以及所有预期进入MR环境的医疗器械。本指南文件不适用于MR系统。本指南文件提供了有关MR安全性和兼容性评估以及上市前申请（即上市前批准（PMA）申请、人道主义器械豁免（HDE）申请、上市前通知（510(k)）申请、</w:t>
      </w:r>
      <w:r>
        <w:rPr>
          <w:rFonts w:hint="eastAsia" w:eastAsia="宋体" w:cs="宋体"/>
          <w:sz w:val="21"/>
          <w:lang w:eastAsia="zh-CN"/>
        </w:rPr>
        <w:t>试验用</w:t>
      </w:r>
      <w:r>
        <w:rPr>
          <w:rFonts w:eastAsia="宋体" w:cs="宋体"/>
          <w:sz w:val="21"/>
          <w:lang w:eastAsia="zh-CN"/>
        </w:rPr>
        <w:t>器械豁免（IDE）申请和</w:t>
      </w:r>
      <w:r>
        <w:rPr>
          <w:rFonts w:hint="eastAsia" w:eastAsia="宋体" w:cs="宋体"/>
          <w:sz w:val="21"/>
          <w:lang w:eastAsia="zh-CN"/>
        </w:rPr>
        <w:t>创新</w:t>
      </w:r>
      <w:r>
        <w:rPr>
          <w:rFonts w:eastAsia="宋体" w:cs="宋体"/>
          <w:sz w:val="21"/>
          <w:lang w:eastAsia="zh-CN"/>
        </w:rPr>
        <w:t>产品分类请求）中应纳入的标签信息的建议。</w:t>
      </w:r>
    </w:p>
    <w:p w14:paraId="6036F711">
      <w:pPr>
        <w:pStyle w:val="8"/>
        <w:adjustRightInd w:val="0"/>
        <w:snapToGrid w:val="0"/>
        <w:spacing w:before="120" w:beforeLines="50" w:line="300" w:lineRule="auto"/>
        <w:ind w:left="843" w:hanging="843" w:hangingChars="300"/>
        <w:jc w:val="both"/>
        <w:outlineLvl w:val="0"/>
        <w:rPr>
          <w:b/>
          <w:sz w:val="28"/>
          <w:szCs w:val="21"/>
          <w:lang w:eastAsia="zh-CN"/>
        </w:rPr>
      </w:pPr>
      <w:bookmarkStart w:id="4" w:name="_Toc91866601"/>
      <w:r>
        <w:rPr>
          <w:rFonts w:eastAsia="宋体" w:cs="宋体"/>
          <w:b/>
          <w:sz w:val="28"/>
          <w:lang w:eastAsia="zh-CN"/>
        </w:rPr>
        <w:t>III.</w:t>
      </w:r>
      <w:r>
        <w:rPr>
          <w:rFonts w:eastAsia="宋体" w:cs="宋体"/>
          <w:b/>
          <w:lang w:eastAsia="zh-CN"/>
        </w:rPr>
        <w:tab/>
      </w:r>
      <w:r>
        <w:rPr>
          <w:rFonts w:eastAsia="宋体" w:cs="宋体"/>
          <w:b/>
          <w:sz w:val="28"/>
          <w:lang w:eastAsia="zh-CN"/>
        </w:rPr>
        <w:t>术语</w:t>
      </w:r>
      <w:bookmarkEnd w:id="4"/>
    </w:p>
    <w:p w14:paraId="37B14103">
      <w:pPr>
        <w:pStyle w:val="8"/>
        <w:adjustRightInd w:val="0"/>
        <w:snapToGrid w:val="0"/>
        <w:spacing w:before="120" w:beforeLines="50" w:line="300" w:lineRule="auto"/>
        <w:jc w:val="both"/>
        <w:rPr>
          <w:sz w:val="21"/>
          <w:szCs w:val="21"/>
          <w:lang w:eastAsia="zh-CN"/>
        </w:rPr>
      </w:pPr>
      <w:r>
        <w:rPr>
          <w:rFonts w:eastAsia="宋体" w:cs="宋体"/>
          <w:sz w:val="21"/>
          <w:lang w:eastAsia="zh-CN"/>
        </w:rPr>
        <w:t>测试医疗器械在MR环境中的安全性时，建议使用以下术语，并用三个标准化术语中的一个标记医疗器械：MR安全、MR危险和MR特定条件安全。</w:t>
      </w:r>
    </w:p>
    <w:p w14:paraId="2617D0E8">
      <w:pPr>
        <w:pStyle w:val="8"/>
        <w:adjustRightInd w:val="0"/>
        <w:snapToGrid w:val="0"/>
        <w:spacing w:before="120" w:beforeLines="50" w:line="300" w:lineRule="auto"/>
        <w:jc w:val="both"/>
        <w:rPr>
          <w:sz w:val="21"/>
          <w:szCs w:val="21"/>
          <w:lang w:eastAsia="zh-CN"/>
        </w:rPr>
      </w:pPr>
      <w:r>
        <w:rPr>
          <w:rFonts w:eastAsia="宋体" w:cs="宋体"/>
          <w:b/>
          <w:sz w:val="21"/>
          <w:lang w:eastAsia="zh-CN"/>
        </w:rPr>
        <w:t xml:space="preserve">有源医疗器械 </w:t>
      </w:r>
      <w:r>
        <w:rPr>
          <w:rFonts w:eastAsia="宋体" w:cs="宋体"/>
          <w:sz w:val="21"/>
          <w:lang w:eastAsia="zh-CN"/>
        </w:rPr>
        <w:t>— “</w:t>
      </w:r>
      <w:r>
        <w:rPr>
          <w:rFonts w:hint="eastAsia" w:eastAsia="宋体" w:cs="宋体"/>
          <w:sz w:val="21"/>
          <w:lang w:eastAsia="zh-CN"/>
        </w:rPr>
        <w:t>依靠电能或其他能源而非人体直接或重力产生的能源而发挥其功能的医疗器械</w:t>
      </w:r>
      <w:r>
        <w:rPr>
          <w:rFonts w:eastAsia="宋体" w:cs="宋体"/>
          <w:sz w:val="21"/>
          <w:lang w:eastAsia="zh-CN"/>
        </w:rPr>
        <w:t>”</w:t>
      </w:r>
      <w:r>
        <w:rPr>
          <w:rFonts w:eastAsia="宋体" w:cs="宋体"/>
          <w:sz w:val="21"/>
          <w:vertAlign w:val="superscript"/>
          <w:lang w:eastAsia="zh-CN"/>
        </w:rPr>
        <w:t>4</w:t>
      </w:r>
    </w:p>
    <w:p w14:paraId="7AB60C53">
      <w:pPr>
        <w:pStyle w:val="8"/>
        <w:adjustRightInd w:val="0"/>
        <w:snapToGrid w:val="0"/>
        <w:spacing w:before="120" w:beforeLines="50" w:line="300" w:lineRule="auto"/>
        <w:jc w:val="both"/>
        <w:rPr>
          <w:sz w:val="21"/>
          <w:szCs w:val="21"/>
          <w:lang w:eastAsia="zh-CN"/>
        </w:rPr>
      </w:pPr>
      <w:r>
        <w:rPr>
          <w:rFonts w:hint="eastAsia" w:eastAsia="宋体" w:cs="宋体"/>
          <w:b/>
          <w:sz w:val="21"/>
          <w:lang w:eastAsia="zh-CN"/>
        </w:rPr>
        <w:t>植入人体内的有源医疗器械</w:t>
      </w:r>
      <w:r>
        <w:rPr>
          <w:rFonts w:eastAsia="宋体" w:cs="宋体"/>
          <w:b/>
          <w:sz w:val="21"/>
          <w:lang w:eastAsia="zh-CN"/>
        </w:rPr>
        <w:t>（AIMD）</w:t>
      </w:r>
      <w:r>
        <w:rPr>
          <w:rFonts w:eastAsia="宋体" w:cs="宋体"/>
          <w:sz w:val="21"/>
          <w:lang w:eastAsia="zh-CN"/>
        </w:rPr>
        <w:t>— “</w:t>
      </w:r>
      <w:r>
        <w:rPr>
          <w:rFonts w:hint="eastAsia" w:eastAsia="宋体" w:cs="宋体"/>
          <w:sz w:val="21"/>
          <w:lang w:eastAsia="zh-CN"/>
        </w:rPr>
        <w:t>通过外科手术或内科方法，部分或整体地植入</w:t>
      </w:r>
      <w:r>
        <w:rPr>
          <w:rFonts w:eastAsia="宋体" w:cs="宋体"/>
          <w:sz w:val="21"/>
          <w:lang w:eastAsia="zh-CN"/>
        </w:rPr>
        <w:t>人体内</w:t>
      </w:r>
      <w:r>
        <w:rPr>
          <w:rFonts w:hint="eastAsia" w:eastAsia="宋体" w:cs="宋体"/>
          <w:sz w:val="21"/>
          <w:lang w:eastAsia="zh-CN"/>
        </w:rPr>
        <w:t>的；</w:t>
      </w:r>
      <w:r>
        <w:rPr>
          <w:rFonts w:eastAsia="宋体" w:cs="宋体"/>
          <w:sz w:val="21"/>
          <w:lang w:eastAsia="zh-CN"/>
        </w:rPr>
        <w:t>或通过医</w:t>
      </w:r>
      <w:r>
        <w:rPr>
          <w:rFonts w:hint="eastAsia" w:eastAsia="宋体" w:cs="宋体"/>
          <w:sz w:val="21"/>
          <w:lang w:eastAsia="zh-CN"/>
        </w:rPr>
        <w:t>疗侵入手段进入自然腔口的，并且</w:t>
      </w:r>
      <w:r>
        <w:rPr>
          <w:rFonts w:eastAsia="宋体" w:cs="宋体"/>
          <w:sz w:val="21"/>
          <w:lang w:eastAsia="zh-CN"/>
        </w:rPr>
        <w:t>术后仍留在</w:t>
      </w:r>
      <w:r>
        <w:rPr>
          <w:rFonts w:hint="eastAsia" w:eastAsia="宋体" w:cs="宋体"/>
          <w:sz w:val="21"/>
          <w:lang w:eastAsia="zh-CN"/>
        </w:rPr>
        <w:t>体内的有源医疗器械</w:t>
      </w:r>
      <w:r>
        <w:rPr>
          <w:rFonts w:eastAsia="宋体" w:cs="宋体"/>
          <w:sz w:val="21"/>
          <w:lang w:eastAsia="zh-CN"/>
        </w:rPr>
        <w:t>。”</w:t>
      </w:r>
      <w:r>
        <w:rPr>
          <w:rFonts w:eastAsia="宋体" w:cs="宋体"/>
          <w:sz w:val="21"/>
          <w:vertAlign w:val="superscript"/>
          <w:lang w:eastAsia="zh-CN"/>
        </w:rPr>
        <w:t>5</w:t>
      </w:r>
    </w:p>
    <w:p w14:paraId="3503C743">
      <w:pPr>
        <w:pStyle w:val="8"/>
        <w:adjustRightInd w:val="0"/>
        <w:snapToGrid w:val="0"/>
        <w:spacing w:before="120" w:beforeLines="50" w:line="300" w:lineRule="auto"/>
        <w:jc w:val="both"/>
        <w:rPr>
          <w:sz w:val="21"/>
          <w:szCs w:val="21"/>
          <w:lang w:eastAsia="zh-CN"/>
        </w:rPr>
      </w:pPr>
      <w:r>
        <w:rPr>
          <w:rFonts w:eastAsia="宋体" w:cs="宋体"/>
          <w:b/>
          <w:sz w:val="21"/>
          <w:lang w:eastAsia="zh-CN"/>
        </w:rPr>
        <w:t>受控</w:t>
      </w:r>
      <w:r>
        <w:rPr>
          <w:rFonts w:hint="eastAsia" w:eastAsia="宋体" w:cs="宋体"/>
          <w:b/>
          <w:sz w:val="21"/>
          <w:lang w:eastAsia="zh-CN"/>
        </w:rPr>
        <w:t>进入区</w:t>
      </w:r>
      <w:r>
        <w:rPr>
          <w:rFonts w:eastAsia="宋体" w:cs="宋体"/>
          <w:b/>
          <w:sz w:val="21"/>
          <w:lang w:eastAsia="zh-CN"/>
        </w:rPr>
        <w:t xml:space="preserve"> </w:t>
      </w:r>
      <w:r>
        <w:rPr>
          <w:rFonts w:eastAsia="宋体" w:cs="宋体"/>
          <w:sz w:val="21"/>
          <w:lang w:eastAsia="zh-CN"/>
        </w:rPr>
        <w:t>— “MR系统周围访问受控以防止磁场危险的区域。”</w:t>
      </w:r>
      <w:r>
        <w:rPr>
          <w:rFonts w:eastAsia="宋体" w:cs="宋体"/>
          <w:sz w:val="21"/>
          <w:vertAlign w:val="superscript"/>
          <w:lang w:eastAsia="zh-CN"/>
        </w:rPr>
        <w:t>6</w:t>
      </w:r>
    </w:p>
    <w:p w14:paraId="6D001999">
      <w:pPr>
        <w:pStyle w:val="8"/>
        <w:adjustRightInd w:val="0"/>
        <w:snapToGrid w:val="0"/>
        <w:spacing w:before="120" w:beforeLines="50" w:line="300" w:lineRule="auto"/>
        <w:jc w:val="both"/>
        <w:rPr>
          <w:sz w:val="21"/>
          <w:szCs w:val="21"/>
          <w:lang w:eastAsia="zh-CN"/>
        </w:rPr>
      </w:pPr>
      <w:r>
        <w:rPr>
          <w:rFonts w:eastAsia="宋体" w:cs="宋体"/>
          <w:b/>
          <w:sz w:val="21"/>
          <w:lang w:eastAsia="zh-CN"/>
        </w:rPr>
        <w:t xml:space="preserve">磁共振（MR）环境 </w:t>
      </w:r>
      <w:r>
        <w:rPr>
          <w:rFonts w:eastAsia="宋体" w:cs="宋体"/>
          <w:sz w:val="21"/>
          <w:lang w:eastAsia="zh-CN"/>
        </w:rPr>
        <w:t>— MR磁体周围空间的三维体积，包括法拉第屏蔽体积和0.50 mT场等高线（5高斯（G）线）。此体积是一个区域，</w:t>
      </w:r>
      <w:r>
        <w:rPr>
          <w:rFonts w:hint="eastAsia" w:eastAsia="宋体" w:cs="宋体"/>
          <w:sz w:val="21"/>
          <w:lang w:eastAsia="zh-CN"/>
        </w:rPr>
        <w:t>其中的医疗器械可能会因暴露至</w:t>
      </w:r>
      <w:r>
        <w:rPr>
          <w:rFonts w:eastAsia="宋体" w:cs="宋体"/>
          <w:sz w:val="21"/>
          <w:lang w:eastAsia="zh-CN"/>
        </w:rPr>
        <w:t>MR</w:t>
      </w:r>
      <w:r>
        <w:rPr>
          <w:rFonts w:hint="eastAsia" w:eastAsia="宋体" w:cs="宋体"/>
          <w:sz w:val="21"/>
          <w:lang w:eastAsia="zh-CN"/>
        </w:rPr>
        <w:t>设备和配件所产生电磁场而构成危险（源）</w:t>
      </w:r>
      <w:r>
        <w:rPr>
          <w:rFonts w:eastAsia="宋体" w:cs="宋体"/>
          <w:sz w:val="21"/>
          <w:vertAlign w:val="superscript"/>
          <w:lang w:eastAsia="zh-CN"/>
        </w:rPr>
        <w:t>7</w:t>
      </w:r>
    </w:p>
    <w:p w14:paraId="37E2EEA1">
      <w:pPr>
        <w:pStyle w:val="8"/>
        <w:adjustRightInd w:val="0"/>
        <w:snapToGrid w:val="0"/>
        <w:spacing w:before="4440" w:beforeLines="1850" w:line="300" w:lineRule="auto"/>
        <w:jc w:val="both"/>
        <w:rPr>
          <w:rFonts w:eastAsiaTheme="minorEastAsia"/>
          <w:sz w:val="21"/>
          <w:szCs w:val="21"/>
          <w:lang w:eastAsia="zh-CN"/>
        </w:rPr>
      </w:pPr>
      <w:r>
        <w:rPr>
          <w:rFonts w:eastAsia="宋体" w:cs="宋体"/>
          <w:sz w:val="21"/>
          <w:lang w:eastAsia="zh-CN"/>
        </w:rPr>
        <w:t>____________________</w:t>
      </w:r>
    </w:p>
    <w:p w14:paraId="17E96DA2">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4</w:t>
      </w:r>
      <w:r>
        <w:rPr>
          <w:rFonts w:eastAsia="宋体" w:cs="宋体"/>
          <w:sz w:val="18"/>
          <w:lang w:eastAsia="zh-CN"/>
        </w:rPr>
        <w:t xml:space="preserve"> ISO 14708-1:2014有源植入式医疗器械 -- 第1部分：安全、标记和制造商所提供信息的通用要求。</w:t>
      </w:r>
    </w:p>
    <w:p w14:paraId="711F9CD7">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5</w:t>
      </w:r>
      <w:r>
        <w:rPr>
          <w:rFonts w:eastAsia="宋体" w:cs="宋体"/>
          <w:sz w:val="18"/>
          <w:lang w:eastAsia="zh-CN"/>
        </w:rPr>
        <w:t xml:space="preserve"> ISO 14708-1:2014有源植入式医疗器械 -- 第1部分：安全、标记和制造商所提供信息的通用要求。</w:t>
      </w:r>
    </w:p>
    <w:p w14:paraId="64D0DEC3">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6</w:t>
      </w:r>
      <w:r>
        <w:rPr>
          <w:rFonts w:eastAsia="宋体" w:cs="宋体"/>
          <w:sz w:val="18"/>
          <w:lang w:eastAsia="zh-CN"/>
        </w:rPr>
        <w:t xml:space="preserve"> IEC 60601-2-33:2010 + AMD1:2013 + AMD2:2015 CSV医用电气设备 -- 第2-33部分：医疗诊断用磁共振设备的基本安全和</w:t>
      </w:r>
      <w:r>
        <w:rPr>
          <w:rFonts w:hint="eastAsia" w:eastAsia="宋体" w:cs="宋体"/>
          <w:sz w:val="18"/>
          <w:lang w:eastAsia="zh-CN"/>
        </w:rPr>
        <w:t>基本</w:t>
      </w:r>
      <w:r>
        <w:rPr>
          <w:rFonts w:eastAsia="宋体" w:cs="宋体"/>
          <w:sz w:val="18"/>
          <w:lang w:eastAsia="zh-CN"/>
        </w:rPr>
        <w:t>性能专用要求</w:t>
      </w:r>
      <w:r>
        <w:rPr>
          <w:rFonts w:eastAsia="宋体" w:cs="宋体"/>
          <w:b/>
          <w:sz w:val="21"/>
          <w:lang w:eastAsia="zh-CN"/>
        </w:rPr>
        <w:br w:type="page"/>
      </w:r>
    </w:p>
    <w:p w14:paraId="3BFEC604">
      <w:pPr>
        <w:pStyle w:val="8"/>
        <w:adjustRightInd w:val="0"/>
        <w:snapToGrid w:val="0"/>
        <w:spacing w:before="120" w:beforeLines="50" w:line="300" w:lineRule="auto"/>
        <w:jc w:val="both"/>
        <w:rPr>
          <w:sz w:val="21"/>
          <w:szCs w:val="21"/>
          <w:lang w:eastAsia="zh-CN"/>
        </w:rPr>
      </w:pPr>
      <w:r>
        <w:rPr>
          <w:rFonts w:eastAsia="宋体" w:cs="宋体"/>
          <w:b/>
          <w:sz w:val="21"/>
          <w:lang w:eastAsia="zh-CN"/>
        </w:rPr>
        <w:t xml:space="preserve">磁共振（MR）系统 </w:t>
      </w:r>
      <w:r>
        <w:rPr>
          <w:rFonts w:eastAsia="宋体" w:cs="宋体"/>
          <w:sz w:val="21"/>
          <w:lang w:eastAsia="zh-CN"/>
        </w:rPr>
        <w:t>— “MR设备、附件的集合，包括显示装置、控制装置、能量供应装置和</w:t>
      </w:r>
      <w:r>
        <w:rPr>
          <w:rFonts w:hint="eastAsia" w:eastAsia="宋体" w:cs="宋体"/>
          <w:sz w:val="21"/>
          <w:lang w:eastAsia="zh-CN"/>
        </w:rPr>
        <w:t>受控进入区</w:t>
      </w:r>
      <w:r>
        <w:rPr>
          <w:rFonts w:eastAsia="宋体" w:cs="宋体"/>
          <w:sz w:val="21"/>
          <w:lang w:eastAsia="zh-CN"/>
        </w:rPr>
        <w:t>（如提供）”</w:t>
      </w:r>
      <w:r>
        <w:rPr>
          <w:rFonts w:eastAsia="宋体" w:cs="宋体"/>
          <w:sz w:val="21"/>
          <w:vertAlign w:val="superscript"/>
          <w:lang w:eastAsia="zh-CN"/>
        </w:rPr>
        <w:t>8</w:t>
      </w:r>
    </w:p>
    <w:p w14:paraId="37FF65DD">
      <w:pPr>
        <w:pStyle w:val="8"/>
        <w:adjustRightInd w:val="0"/>
        <w:snapToGrid w:val="0"/>
        <w:spacing w:before="120" w:beforeLines="50" w:line="300" w:lineRule="auto"/>
        <w:jc w:val="both"/>
        <w:rPr>
          <w:sz w:val="21"/>
          <w:szCs w:val="21"/>
          <w:lang w:eastAsia="zh-CN"/>
        </w:rPr>
      </w:pPr>
      <w:r>
        <w:rPr>
          <w:rFonts w:eastAsia="宋体" w:cs="宋体"/>
          <w:b/>
          <w:sz w:val="21"/>
          <w:lang w:eastAsia="zh-CN"/>
        </w:rPr>
        <w:t xml:space="preserve">MR特定条件安全 </w:t>
      </w:r>
      <w:r>
        <w:rPr>
          <w:rFonts w:eastAsia="宋体" w:cs="宋体"/>
          <w:sz w:val="21"/>
          <w:lang w:eastAsia="zh-CN"/>
        </w:rPr>
        <w:t>— 在定义条件下的MR环境中显示出安全性的医疗器械。至少要讨论静态磁场、切换梯度磁场和射频场的条件。可能需要附加条件，包括医疗器械的特定配置</w:t>
      </w:r>
      <w:r>
        <w:rPr>
          <w:rFonts w:eastAsia="宋体" w:cs="宋体"/>
          <w:sz w:val="21"/>
          <w:vertAlign w:val="superscript"/>
          <w:lang w:eastAsia="zh-CN"/>
        </w:rPr>
        <w:t>9</w:t>
      </w:r>
    </w:p>
    <w:p w14:paraId="5BF3A407">
      <w:pPr>
        <w:pStyle w:val="8"/>
        <w:adjustRightInd w:val="0"/>
        <w:snapToGrid w:val="0"/>
        <w:spacing w:before="120" w:beforeLines="50" w:line="300" w:lineRule="auto"/>
        <w:jc w:val="both"/>
        <w:rPr>
          <w:sz w:val="21"/>
          <w:szCs w:val="21"/>
          <w:lang w:eastAsia="zh-CN"/>
        </w:rPr>
      </w:pPr>
      <w:r>
        <w:rPr>
          <w:rFonts w:eastAsia="宋体" w:cs="宋体"/>
          <w:b/>
          <w:sz w:val="21"/>
          <w:lang w:eastAsia="zh-CN"/>
        </w:rPr>
        <w:t xml:space="preserve">MR安全 </w:t>
      </w:r>
      <w:r>
        <w:rPr>
          <w:rFonts w:eastAsia="宋体" w:cs="宋体"/>
          <w:sz w:val="21"/>
          <w:lang w:eastAsia="zh-CN"/>
        </w:rPr>
        <w:t>— 不会因暴露于任何MR环境而造成已知危险的医疗器械。MR安全医疗器械包括不导电、非金属和非磁性材料</w:t>
      </w:r>
      <w:r>
        <w:rPr>
          <w:rFonts w:eastAsia="宋体" w:cs="宋体"/>
          <w:sz w:val="21"/>
          <w:vertAlign w:val="superscript"/>
          <w:lang w:eastAsia="zh-CN"/>
        </w:rPr>
        <w:t>10</w:t>
      </w:r>
    </w:p>
    <w:p w14:paraId="2CE88B18">
      <w:pPr>
        <w:pStyle w:val="8"/>
        <w:adjustRightInd w:val="0"/>
        <w:snapToGrid w:val="0"/>
        <w:spacing w:before="120" w:beforeLines="50" w:line="300" w:lineRule="auto"/>
        <w:jc w:val="both"/>
        <w:rPr>
          <w:sz w:val="21"/>
          <w:szCs w:val="21"/>
          <w:lang w:eastAsia="zh-CN"/>
        </w:rPr>
      </w:pPr>
      <w:r>
        <w:rPr>
          <w:rFonts w:eastAsia="宋体" w:cs="宋体"/>
          <w:b/>
          <w:sz w:val="21"/>
          <w:lang w:eastAsia="zh-CN"/>
        </w:rPr>
        <w:t xml:space="preserve">MR危险 </w:t>
      </w:r>
      <w:r>
        <w:rPr>
          <w:rFonts w:eastAsia="宋体" w:cs="宋体"/>
          <w:sz w:val="21"/>
          <w:lang w:eastAsia="zh-CN"/>
        </w:rPr>
        <w:t>— 对MR环境中的患者、医务人员或他人造成不可接受风险的医疗器械</w:t>
      </w:r>
      <w:r>
        <w:rPr>
          <w:rFonts w:eastAsia="宋体" w:cs="宋体"/>
          <w:sz w:val="21"/>
          <w:vertAlign w:val="superscript"/>
          <w:lang w:eastAsia="zh-CN"/>
        </w:rPr>
        <w:t>11</w:t>
      </w:r>
    </w:p>
    <w:p w14:paraId="702CD66E">
      <w:pPr>
        <w:pStyle w:val="8"/>
        <w:adjustRightInd w:val="0"/>
        <w:snapToGrid w:val="0"/>
        <w:spacing w:before="120" w:beforeLines="50" w:line="300" w:lineRule="auto"/>
        <w:jc w:val="both"/>
        <w:rPr>
          <w:sz w:val="21"/>
          <w:szCs w:val="21"/>
          <w:lang w:eastAsia="zh-CN"/>
        </w:rPr>
      </w:pPr>
      <w:r>
        <w:rPr>
          <w:rFonts w:eastAsia="宋体" w:cs="宋体"/>
          <w:b/>
          <w:sz w:val="21"/>
          <w:lang w:eastAsia="zh-CN"/>
        </w:rPr>
        <w:t>无源植入物</w:t>
      </w:r>
      <w:r>
        <w:rPr>
          <w:rFonts w:eastAsia="宋体" w:cs="宋体"/>
          <w:sz w:val="21"/>
          <w:lang w:eastAsia="zh-CN"/>
        </w:rPr>
        <w:t xml:space="preserve"> — 一种无需电源即可发挥功能的植入物</w:t>
      </w:r>
      <w:r>
        <w:rPr>
          <w:rFonts w:eastAsia="宋体" w:cs="宋体"/>
          <w:sz w:val="21"/>
          <w:vertAlign w:val="superscript"/>
          <w:lang w:eastAsia="zh-CN"/>
        </w:rPr>
        <w:t>12</w:t>
      </w:r>
    </w:p>
    <w:p w14:paraId="032B3B71">
      <w:pPr>
        <w:pStyle w:val="8"/>
        <w:adjustRightInd w:val="0"/>
        <w:snapToGrid w:val="0"/>
        <w:spacing w:before="120" w:beforeLines="50" w:line="300" w:lineRule="auto"/>
        <w:ind w:left="843" w:hanging="843" w:hangingChars="300"/>
        <w:jc w:val="both"/>
        <w:outlineLvl w:val="0"/>
        <w:rPr>
          <w:rFonts w:eastAsiaTheme="minorEastAsia"/>
          <w:b/>
          <w:sz w:val="28"/>
          <w:szCs w:val="21"/>
          <w:lang w:eastAsia="zh-CN"/>
        </w:rPr>
      </w:pPr>
      <w:bookmarkStart w:id="5" w:name="_Toc91866602"/>
      <w:r>
        <w:rPr>
          <w:rFonts w:eastAsia="宋体" w:cs="宋体"/>
          <w:b/>
          <w:sz w:val="28"/>
          <w:lang w:eastAsia="zh-CN"/>
        </w:rPr>
        <w:t>IV.</w:t>
      </w:r>
      <w:r>
        <w:rPr>
          <w:rFonts w:eastAsia="宋体" w:cs="宋体"/>
          <w:b/>
          <w:lang w:eastAsia="zh-CN"/>
        </w:rPr>
        <w:tab/>
      </w:r>
      <w:r>
        <w:rPr>
          <w:rFonts w:eastAsia="宋体" w:cs="宋体"/>
          <w:b/>
          <w:sz w:val="28"/>
          <w:lang w:eastAsia="zh-CN"/>
        </w:rPr>
        <w:t>相关标准和指南文件</w:t>
      </w:r>
      <w:bookmarkEnd w:id="5"/>
    </w:p>
    <w:p w14:paraId="2C940CBC">
      <w:pPr>
        <w:pStyle w:val="8"/>
        <w:adjustRightInd w:val="0"/>
        <w:snapToGrid w:val="0"/>
        <w:spacing w:before="120" w:beforeLines="50" w:line="300" w:lineRule="auto"/>
        <w:jc w:val="both"/>
        <w:rPr>
          <w:sz w:val="21"/>
          <w:szCs w:val="21"/>
          <w:lang w:eastAsia="zh-CN"/>
        </w:rPr>
      </w:pPr>
      <w:r>
        <w:rPr>
          <w:rFonts w:eastAsia="宋体" w:cs="宋体"/>
          <w:sz w:val="21"/>
          <w:lang w:eastAsia="zh-CN"/>
        </w:rPr>
        <w:t>在评估医疗器械在MR环境中的安全性或开发医疗器械标签的MRI安全性相关信息时，获得FDA认可的以下标准和指南文件可能有用。这些是广泛适用于许多医疗器械的通用或交叉标准或指南。可能存在与特定医疗器械相关的标准，这些标准也可能包含与MR安全性相关的信息，但未明确纳入此列表中。器械特定指南还可能包括有关MR安全性试验和贴标的附加建议。</w:t>
      </w:r>
      <w:r>
        <w:rPr>
          <w:rFonts w:eastAsia="宋体" w:cs="宋体"/>
          <w:sz w:val="21"/>
          <w:vertAlign w:val="superscript"/>
          <w:lang w:eastAsia="zh-CN"/>
        </w:rPr>
        <w:t>13</w:t>
      </w:r>
    </w:p>
    <w:p w14:paraId="46B941FE">
      <w:pPr>
        <w:pStyle w:val="8"/>
        <w:adjustRightInd w:val="0"/>
        <w:snapToGrid w:val="0"/>
        <w:spacing w:before="4560" w:beforeLines="1900" w:line="300" w:lineRule="auto"/>
        <w:jc w:val="both"/>
        <w:rPr>
          <w:rFonts w:eastAsiaTheme="minorEastAsia"/>
          <w:sz w:val="21"/>
          <w:szCs w:val="21"/>
          <w:lang w:eastAsia="zh-CN"/>
        </w:rPr>
      </w:pPr>
      <w:r>
        <w:rPr>
          <w:rFonts w:eastAsia="宋体" w:cs="宋体"/>
          <w:sz w:val="21"/>
          <w:lang w:eastAsia="zh-CN"/>
        </w:rPr>
        <w:t>____________________</w:t>
      </w:r>
    </w:p>
    <w:p w14:paraId="4C2598DF">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7</w:t>
      </w:r>
      <w:r>
        <w:rPr>
          <w:rFonts w:eastAsia="宋体" w:cs="宋体"/>
          <w:sz w:val="18"/>
          <w:lang w:eastAsia="zh-CN"/>
        </w:rPr>
        <w:t xml:space="preserve"> 改编自ASTM F2503-13磁共振环境中医疗器械和其他物品安全标记的标准实施规程，该标准将体积定义为“物品可能构成危险的区域”。</w:t>
      </w:r>
    </w:p>
    <w:p w14:paraId="4ADF13BB">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8</w:t>
      </w:r>
      <w:r>
        <w:rPr>
          <w:rFonts w:eastAsia="宋体" w:cs="宋体"/>
          <w:sz w:val="18"/>
          <w:lang w:eastAsia="zh-CN"/>
        </w:rPr>
        <w:t xml:space="preserve"> IEC 60601-2-33:2010 + AMD1:2013 + AMD2:2015 CSV医用电气设备 -- 第2-33部分：医疗诊断用磁共振设备的基本安全和</w:t>
      </w:r>
      <w:r>
        <w:rPr>
          <w:rFonts w:hint="eastAsia" w:eastAsia="宋体" w:cs="宋体"/>
          <w:sz w:val="18"/>
          <w:lang w:eastAsia="zh-CN"/>
        </w:rPr>
        <w:t>基本</w:t>
      </w:r>
      <w:r>
        <w:rPr>
          <w:rFonts w:eastAsia="宋体" w:cs="宋体"/>
          <w:sz w:val="18"/>
          <w:lang w:eastAsia="zh-CN"/>
        </w:rPr>
        <w:t>性能专用要求</w:t>
      </w:r>
    </w:p>
    <w:p w14:paraId="6B04C738">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9</w:t>
      </w:r>
      <w:r>
        <w:rPr>
          <w:rFonts w:eastAsia="宋体" w:cs="宋体"/>
          <w:sz w:val="18"/>
          <w:lang w:eastAsia="zh-CN"/>
        </w:rPr>
        <w:t xml:space="preserve"> 改编自ASTM F2503-13磁共振环境中医疗器械和其他物品安全标记的标准实施规程，该规程定义了“显示出安全性的物品”和“......可能需要具有特定配置的物品”</w:t>
      </w:r>
    </w:p>
    <w:p w14:paraId="315BAAD4">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10</w:t>
      </w:r>
      <w:r>
        <w:rPr>
          <w:rFonts w:eastAsia="宋体" w:cs="宋体"/>
          <w:sz w:val="18"/>
          <w:lang w:eastAsia="zh-CN"/>
        </w:rPr>
        <w:t xml:space="preserve"> 改编自ASTM F2503-13磁共振环境中医疗器械和其他物品安全标记的标准实施规程，该规程定义了“不会构成已知危险的物品”和“MR安全物品…...”</w:t>
      </w:r>
    </w:p>
    <w:p w14:paraId="24B547AE">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11</w:t>
      </w:r>
      <w:r>
        <w:rPr>
          <w:rFonts w:eastAsia="宋体" w:cs="宋体"/>
          <w:sz w:val="18"/>
          <w:lang w:eastAsia="zh-CN"/>
        </w:rPr>
        <w:t>改编自ASTM F2503-13磁共振环境中医疗器械和其他物品安全标记的标准实施规程，该规程定义了“构成不可接受风险的物品”</w:t>
      </w:r>
    </w:p>
    <w:p w14:paraId="598BAEAF">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12</w:t>
      </w:r>
      <w:r>
        <w:rPr>
          <w:rFonts w:eastAsia="宋体" w:cs="宋体"/>
          <w:sz w:val="18"/>
          <w:lang w:eastAsia="zh-CN"/>
        </w:rPr>
        <w:t xml:space="preserve"> ASTM F2182-11a磁共振成像期间测量无源植入物附近射频感应致热的标准试验方法</w:t>
      </w:r>
    </w:p>
    <w:p w14:paraId="5EB94C8F">
      <w:pPr>
        <w:adjustRightInd w:val="0"/>
        <w:snapToGrid w:val="0"/>
        <w:spacing w:before="36" w:beforeLines="15" w:line="276" w:lineRule="auto"/>
        <w:jc w:val="both"/>
        <w:rPr>
          <w:b/>
          <w:sz w:val="21"/>
          <w:szCs w:val="21"/>
        </w:rPr>
      </w:pPr>
      <w:r>
        <w:rPr>
          <w:rFonts w:eastAsia="宋体" w:cs="宋体"/>
          <w:sz w:val="18"/>
          <w:vertAlign w:val="superscript"/>
        </w:rPr>
        <w:t>13</w:t>
      </w:r>
      <w:r>
        <w:rPr>
          <w:rFonts w:eastAsia="宋体" w:cs="宋体"/>
          <w:sz w:val="18"/>
        </w:rPr>
        <w:t xml:space="preserve"> 请参见</w:t>
      </w:r>
      <w:r>
        <w:rPr>
          <w:rFonts w:eastAsia="宋体" w:cs="宋体"/>
          <w:color w:val="0000FF"/>
          <w:sz w:val="18"/>
          <w:u w:val="single"/>
        </w:rPr>
        <w:t>https://www.fda.gov/MedicalDevices/DeviceRegulationandGuidance/GuidanceDocuments/default.htm</w:t>
      </w:r>
      <w:r>
        <w:rPr>
          <w:rFonts w:eastAsia="宋体" w:cs="宋体"/>
          <w:b/>
          <w:sz w:val="21"/>
        </w:rPr>
        <w:br w:type="page"/>
      </w:r>
    </w:p>
    <w:p w14:paraId="05BAF3C0">
      <w:pPr>
        <w:pStyle w:val="8"/>
        <w:adjustRightInd w:val="0"/>
        <w:snapToGrid w:val="0"/>
        <w:spacing w:before="120" w:beforeLines="50" w:line="300" w:lineRule="auto"/>
        <w:ind w:left="922" w:leftChars="200" w:hanging="482" w:hangingChars="200"/>
        <w:jc w:val="both"/>
        <w:outlineLvl w:val="1"/>
        <w:rPr>
          <w:b/>
          <w:szCs w:val="21"/>
          <w:lang w:eastAsia="zh-CN"/>
        </w:rPr>
      </w:pPr>
      <w:bookmarkStart w:id="6" w:name="_Toc91866603"/>
      <w:r>
        <w:rPr>
          <w:rFonts w:eastAsia="宋体" w:cs="宋体"/>
          <w:b/>
          <w:lang w:eastAsia="zh-CN"/>
        </w:rPr>
        <w:t>A.</w:t>
      </w:r>
      <w:r>
        <w:rPr>
          <w:rFonts w:eastAsia="宋体" w:cs="宋体"/>
          <w:b/>
          <w:lang w:eastAsia="zh-CN"/>
        </w:rPr>
        <w:tab/>
      </w:r>
      <w:r>
        <w:rPr>
          <w:rFonts w:eastAsia="宋体" w:cs="宋体"/>
          <w:b/>
          <w:lang w:eastAsia="zh-CN"/>
        </w:rPr>
        <w:t>标准</w:t>
      </w:r>
      <w:bookmarkEnd w:id="6"/>
    </w:p>
    <w:p w14:paraId="7025D281">
      <w:pPr>
        <w:pStyle w:val="8"/>
        <w:adjustRightInd w:val="0"/>
        <w:snapToGrid w:val="0"/>
        <w:spacing w:before="120" w:beforeLines="50" w:line="300" w:lineRule="auto"/>
        <w:jc w:val="both"/>
        <w:rPr>
          <w:sz w:val="21"/>
          <w:szCs w:val="21"/>
          <w:lang w:eastAsia="zh-CN"/>
        </w:rPr>
      </w:pPr>
      <w:r>
        <w:rPr>
          <w:rFonts w:eastAsia="宋体" w:cs="宋体"/>
          <w:sz w:val="21"/>
          <w:lang w:eastAsia="zh-CN"/>
        </w:rPr>
        <w:t>请登录</w:t>
      </w:r>
      <w:r>
        <w:rPr>
          <w:rFonts w:eastAsia="宋体" w:cs="宋体"/>
          <w:color w:val="0000FF"/>
          <w:sz w:val="21"/>
          <w:u w:val="single"/>
          <w:lang w:eastAsia="zh-CN"/>
        </w:rPr>
        <w:t>FDA共识标准数据库</w:t>
      </w:r>
      <w:r>
        <w:rPr>
          <w:rFonts w:eastAsia="宋体" w:cs="宋体"/>
          <w:sz w:val="21"/>
          <w:lang w:eastAsia="zh-CN"/>
        </w:rPr>
        <w:t>，获取在本文中所引用的现行版FDA认可的标准。</w:t>
      </w:r>
      <w:r>
        <w:rPr>
          <w:rFonts w:eastAsia="宋体" w:cs="宋体"/>
          <w:sz w:val="21"/>
          <w:vertAlign w:val="superscript"/>
          <w:lang w:eastAsia="zh-CN"/>
        </w:rPr>
        <w:t>14</w:t>
      </w:r>
    </w:p>
    <w:p w14:paraId="7609A32F">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1.</w:t>
      </w:r>
      <w:r>
        <w:rPr>
          <w:rFonts w:eastAsia="宋体" w:cs="宋体"/>
          <w:sz w:val="21"/>
          <w:lang w:eastAsia="zh-CN"/>
        </w:rPr>
        <w:tab/>
      </w:r>
      <w:r>
        <w:rPr>
          <w:rFonts w:eastAsia="宋体" w:cs="宋体"/>
          <w:sz w:val="21"/>
          <w:lang w:eastAsia="zh-CN"/>
        </w:rPr>
        <w:t xml:space="preserve">YY/T 0987.2-2016 </w:t>
      </w:r>
      <w:r>
        <w:rPr>
          <w:rFonts w:hint="eastAsia" w:eastAsia="宋体" w:cs="宋体"/>
          <w:sz w:val="21"/>
          <w:lang w:eastAsia="zh-CN"/>
        </w:rPr>
        <w:t>外科植入物磁共振兼容性</w:t>
      </w:r>
      <w:r>
        <w:rPr>
          <w:rFonts w:eastAsia="宋体" w:cs="宋体"/>
          <w:sz w:val="21"/>
          <w:lang w:eastAsia="zh-CN"/>
        </w:rPr>
        <w:t xml:space="preserve"> </w:t>
      </w:r>
      <w:r>
        <w:rPr>
          <w:rFonts w:hint="eastAsia" w:eastAsia="宋体" w:cs="宋体"/>
          <w:sz w:val="21"/>
          <w:lang w:eastAsia="zh-CN"/>
        </w:rPr>
        <w:t>第</w:t>
      </w:r>
      <w:r>
        <w:rPr>
          <w:rFonts w:eastAsia="宋体" w:cs="宋体"/>
          <w:sz w:val="21"/>
          <w:lang w:eastAsia="zh-CN"/>
        </w:rPr>
        <w:t>2</w:t>
      </w:r>
      <w:r>
        <w:rPr>
          <w:rFonts w:hint="eastAsia" w:eastAsia="宋体" w:cs="宋体"/>
          <w:sz w:val="21"/>
          <w:lang w:eastAsia="zh-CN"/>
        </w:rPr>
        <w:t>部分：磁致位移力试验方法</w:t>
      </w:r>
      <w:r>
        <w:rPr>
          <w:rFonts w:eastAsia="宋体" w:cs="宋体"/>
          <w:sz w:val="21"/>
          <w:lang w:eastAsia="zh-CN"/>
        </w:rPr>
        <w:t>。</w:t>
      </w:r>
    </w:p>
    <w:p w14:paraId="6AC639E2">
      <w:pPr>
        <w:adjustRightInd w:val="0"/>
        <w:snapToGrid w:val="0"/>
        <w:spacing w:before="120" w:beforeLines="50" w:line="300" w:lineRule="auto"/>
        <w:ind w:left="420" w:hanging="420" w:hangingChars="200"/>
        <w:jc w:val="both"/>
        <w:rPr>
          <w:i/>
          <w:sz w:val="21"/>
          <w:szCs w:val="21"/>
          <w:lang w:eastAsia="zh-CN"/>
        </w:rPr>
      </w:pPr>
      <w:r>
        <w:rPr>
          <w:rFonts w:eastAsia="宋体" w:cs="宋体"/>
          <w:sz w:val="21"/>
          <w:lang w:eastAsia="zh-CN"/>
        </w:rPr>
        <w:t>2.</w:t>
      </w:r>
      <w:r>
        <w:rPr>
          <w:rFonts w:eastAsia="宋体" w:cs="宋体"/>
          <w:i/>
          <w:sz w:val="21"/>
          <w:lang w:eastAsia="zh-CN"/>
        </w:rPr>
        <w:tab/>
      </w:r>
      <w:r>
        <w:rPr>
          <w:rFonts w:eastAsia="宋体" w:cs="宋体"/>
          <w:sz w:val="21"/>
          <w:lang w:eastAsia="zh-CN"/>
        </w:rPr>
        <w:t xml:space="preserve">YY/T 0987.3-2016 </w:t>
      </w:r>
      <w:r>
        <w:rPr>
          <w:rFonts w:hint="eastAsia" w:eastAsia="宋体" w:cs="宋体"/>
          <w:sz w:val="21"/>
          <w:lang w:eastAsia="zh-CN"/>
        </w:rPr>
        <w:t>外科植入物磁共振兼容性</w:t>
      </w:r>
      <w:r>
        <w:rPr>
          <w:rFonts w:eastAsia="宋体" w:cs="宋体"/>
          <w:sz w:val="21"/>
          <w:lang w:eastAsia="zh-CN"/>
        </w:rPr>
        <w:t xml:space="preserve"> </w:t>
      </w:r>
      <w:r>
        <w:rPr>
          <w:rFonts w:hint="eastAsia" w:eastAsia="宋体" w:cs="宋体"/>
          <w:sz w:val="21"/>
          <w:lang w:eastAsia="zh-CN"/>
        </w:rPr>
        <w:t>第</w:t>
      </w:r>
      <w:r>
        <w:rPr>
          <w:rFonts w:eastAsia="宋体" w:cs="宋体"/>
          <w:sz w:val="21"/>
          <w:lang w:eastAsia="zh-CN"/>
        </w:rPr>
        <w:t>3</w:t>
      </w:r>
      <w:r>
        <w:rPr>
          <w:rFonts w:hint="eastAsia" w:eastAsia="宋体" w:cs="宋体"/>
          <w:sz w:val="21"/>
          <w:lang w:eastAsia="zh-CN"/>
        </w:rPr>
        <w:t>部分：图像伪影评价方法</w:t>
      </w:r>
      <w:r>
        <w:rPr>
          <w:rFonts w:eastAsia="宋体" w:cs="宋体"/>
          <w:sz w:val="21"/>
          <w:lang w:eastAsia="zh-CN"/>
        </w:rPr>
        <w:t>。</w:t>
      </w:r>
    </w:p>
    <w:p w14:paraId="51A77E06">
      <w:pPr>
        <w:adjustRightInd w:val="0"/>
        <w:snapToGrid w:val="0"/>
        <w:spacing w:before="120" w:beforeLines="50" w:line="300" w:lineRule="auto"/>
        <w:ind w:left="420" w:hanging="420" w:hangingChars="200"/>
        <w:jc w:val="both"/>
        <w:rPr>
          <w:i/>
          <w:sz w:val="21"/>
          <w:szCs w:val="21"/>
          <w:lang w:eastAsia="zh-CN"/>
        </w:rPr>
      </w:pPr>
      <w:r>
        <w:rPr>
          <w:rFonts w:eastAsia="宋体" w:cs="宋体"/>
          <w:sz w:val="21"/>
          <w:lang w:eastAsia="zh-CN"/>
        </w:rPr>
        <w:t>3.</w:t>
      </w:r>
      <w:r>
        <w:rPr>
          <w:rFonts w:eastAsia="宋体" w:cs="宋体"/>
          <w:i/>
          <w:sz w:val="21"/>
          <w:lang w:eastAsia="zh-CN"/>
        </w:rPr>
        <w:tab/>
      </w:r>
      <w:r>
        <w:rPr>
          <w:rFonts w:eastAsia="宋体" w:cs="宋体"/>
          <w:sz w:val="21"/>
          <w:lang w:eastAsia="zh-CN"/>
        </w:rPr>
        <w:t xml:space="preserve">YY/T 0987.4-2016 </w:t>
      </w:r>
      <w:r>
        <w:rPr>
          <w:rFonts w:hint="eastAsia" w:eastAsia="宋体" w:cs="宋体"/>
          <w:sz w:val="21"/>
          <w:lang w:eastAsia="zh-CN"/>
        </w:rPr>
        <w:t>外科植入物磁共振兼容性</w:t>
      </w:r>
      <w:r>
        <w:rPr>
          <w:rFonts w:eastAsia="宋体" w:cs="宋体"/>
          <w:sz w:val="21"/>
          <w:lang w:eastAsia="zh-CN"/>
        </w:rPr>
        <w:t xml:space="preserve"> </w:t>
      </w:r>
      <w:r>
        <w:rPr>
          <w:rFonts w:hint="eastAsia" w:eastAsia="宋体" w:cs="宋体"/>
          <w:sz w:val="21"/>
          <w:lang w:eastAsia="zh-CN"/>
        </w:rPr>
        <w:t>第</w:t>
      </w:r>
      <w:r>
        <w:rPr>
          <w:rFonts w:eastAsia="宋体" w:cs="宋体"/>
          <w:sz w:val="21"/>
          <w:lang w:eastAsia="zh-CN"/>
        </w:rPr>
        <w:t>4</w:t>
      </w:r>
      <w:r>
        <w:rPr>
          <w:rFonts w:hint="eastAsia" w:eastAsia="宋体" w:cs="宋体"/>
          <w:sz w:val="21"/>
          <w:lang w:eastAsia="zh-CN"/>
        </w:rPr>
        <w:t>部分：射频致热试验方法</w:t>
      </w:r>
      <w:r>
        <w:rPr>
          <w:rFonts w:eastAsia="宋体" w:cs="宋体"/>
          <w:sz w:val="21"/>
          <w:lang w:eastAsia="zh-CN"/>
        </w:rPr>
        <w:t>。</w:t>
      </w:r>
    </w:p>
    <w:p w14:paraId="219A8DD0">
      <w:pPr>
        <w:adjustRightInd w:val="0"/>
        <w:snapToGrid w:val="0"/>
        <w:spacing w:before="120" w:beforeLines="50" w:line="300" w:lineRule="auto"/>
        <w:ind w:left="420" w:hanging="420" w:hangingChars="200"/>
        <w:jc w:val="both"/>
        <w:rPr>
          <w:i/>
          <w:sz w:val="21"/>
          <w:szCs w:val="21"/>
          <w:lang w:eastAsia="zh-CN"/>
        </w:rPr>
      </w:pPr>
      <w:r>
        <w:rPr>
          <w:rFonts w:eastAsia="宋体" w:cs="宋体"/>
          <w:sz w:val="21"/>
          <w:lang w:eastAsia="zh-CN"/>
        </w:rPr>
        <w:t>4.</w:t>
      </w:r>
      <w:r>
        <w:rPr>
          <w:rFonts w:eastAsia="宋体" w:cs="宋体"/>
          <w:i/>
          <w:sz w:val="21"/>
          <w:lang w:eastAsia="zh-CN"/>
        </w:rPr>
        <w:tab/>
      </w:r>
      <w:r>
        <w:rPr>
          <w:rFonts w:eastAsia="宋体" w:cs="宋体"/>
          <w:sz w:val="21"/>
          <w:lang w:eastAsia="zh-CN"/>
        </w:rPr>
        <w:t xml:space="preserve">YY/T 0987.5-2016 </w:t>
      </w:r>
      <w:r>
        <w:rPr>
          <w:rFonts w:hint="eastAsia" w:eastAsia="宋体" w:cs="宋体"/>
          <w:sz w:val="21"/>
          <w:lang w:eastAsia="zh-CN"/>
        </w:rPr>
        <w:t>外科植入物磁共振兼容性</w:t>
      </w:r>
      <w:r>
        <w:rPr>
          <w:rFonts w:eastAsia="宋体" w:cs="宋体"/>
          <w:sz w:val="21"/>
          <w:lang w:eastAsia="zh-CN"/>
        </w:rPr>
        <w:t xml:space="preserve"> </w:t>
      </w:r>
      <w:r>
        <w:rPr>
          <w:rFonts w:hint="eastAsia" w:eastAsia="宋体" w:cs="宋体"/>
          <w:sz w:val="21"/>
          <w:lang w:eastAsia="zh-CN"/>
        </w:rPr>
        <w:t>第</w:t>
      </w:r>
      <w:r>
        <w:rPr>
          <w:rFonts w:eastAsia="宋体" w:cs="宋体"/>
          <w:sz w:val="21"/>
          <w:lang w:eastAsia="zh-CN"/>
        </w:rPr>
        <w:t>5</w:t>
      </w:r>
      <w:r>
        <w:rPr>
          <w:rFonts w:hint="eastAsia" w:eastAsia="宋体" w:cs="宋体"/>
          <w:sz w:val="21"/>
          <w:lang w:eastAsia="zh-CN"/>
        </w:rPr>
        <w:t>部分：磁致扭矩试验方法</w:t>
      </w:r>
      <w:r>
        <w:rPr>
          <w:rFonts w:eastAsia="宋体" w:cs="宋体"/>
          <w:sz w:val="21"/>
          <w:lang w:eastAsia="zh-CN"/>
        </w:rPr>
        <w:t>。</w:t>
      </w:r>
    </w:p>
    <w:p w14:paraId="413F320A">
      <w:pPr>
        <w:adjustRightInd w:val="0"/>
        <w:snapToGrid w:val="0"/>
        <w:spacing w:before="120" w:beforeLines="50" w:line="300" w:lineRule="auto"/>
        <w:ind w:left="420" w:hanging="420" w:hangingChars="200"/>
        <w:jc w:val="both"/>
        <w:rPr>
          <w:i/>
          <w:sz w:val="21"/>
          <w:szCs w:val="21"/>
          <w:lang w:eastAsia="zh-CN"/>
        </w:rPr>
      </w:pPr>
      <w:r>
        <w:rPr>
          <w:rFonts w:eastAsia="宋体" w:cs="宋体"/>
          <w:sz w:val="21"/>
          <w:lang w:eastAsia="zh-CN"/>
        </w:rPr>
        <w:t>5.</w:t>
      </w:r>
      <w:r>
        <w:rPr>
          <w:rFonts w:eastAsia="宋体" w:cs="宋体"/>
          <w:i/>
          <w:sz w:val="21"/>
          <w:lang w:eastAsia="zh-CN"/>
        </w:rPr>
        <w:tab/>
      </w:r>
      <w:r>
        <w:rPr>
          <w:rFonts w:eastAsia="宋体" w:cs="宋体"/>
          <w:sz w:val="21"/>
          <w:lang w:eastAsia="zh-CN"/>
        </w:rPr>
        <w:t xml:space="preserve">YY/T 0987.1-2016 </w:t>
      </w:r>
      <w:r>
        <w:rPr>
          <w:rFonts w:hint="eastAsia" w:eastAsia="宋体" w:cs="宋体"/>
          <w:sz w:val="21"/>
          <w:lang w:eastAsia="zh-CN"/>
        </w:rPr>
        <w:t>外科植入物磁共振兼容性</w:t>
      </w:r>
      <w:r>
        <w:rPr>
          <w:rFonts w:eastAsia="宋体" w:cs="宋体"/>
          <w:sz w:val="21"/>
          <w:lang w:eastAsia="zh-CN"/>
        </w:rPr>
        <w:t xml:space="preserve"> </w:t>
      </w:r>
      <w:r>
        <w:rPr>
          <w:rFonts w:hint="eastAsia" w:eastAsia="宋体" w:cs="宋体"/>
          <w:sz w:val="21"/>
          <w:lang w:eastAsia="zh-CN"/>
        </w:rPr>
        <w:t>第</w:t>
      </w:r>
      <w:r>
        <w:rPr>
          <w:rFonts w:eastAsia="宋体" w:cs="宋体"/>
          <w:sz w:val="21"/>
          <w:lang w:eastAsia="zh-CN"/>
        </w:rPr>
        <w:t>1</w:t>
      </w:r>
      <w:r>
        <w:rPr>
          <w:rFonts w:hint="eastAsia" w:eastAsia="宋体" w:cs="宋体"/>
          <w:sz w:val="21"/>
          <w:lang w:eastAsia="zh-CN"/>
        </w:rPr>
        <w:t>部分：安全标记</w:t>
      </w:r>
      <w:r>
        <w:rPr>
          <w:rFonts w:eastAsia="宋体" w:cs="宋体"/>
          <w:sz w:val="21"/>
          <w:lang w:eastAsia="zh-CN"/>
        </w:rPr>
        <w:t>。</w:t>
      </w:r>
    </w:p>
    <w:p w14:paraId="306F7C6E">
      <w:pPr>
        <w:adjustRightInd w:val="0"/>
        <w:snapToGrid w:val="0"/>
        <w:spacing w:before="120" w:beforeLines="50" w:line="300" w:lineRule="auto"/>
        <w:ind w:left="420" w:hanging="420" w:hangingChars="200"/>
        <w:jc w:val="both"/>
        <w:rPr>
          <w:i/>
          <w:sz w:val="21"/>
          <w:szCs w:val="21"/>
          <w:lang w:eastAsia="zh-CN"/>
        </w:rPr>
      </w:pPr>
      <w:r>
        <w:rPr>
          <w:rFonts w:eastAsia="宋体" w:cs="宋体"/>
          <w:sz w:val="21"/>
          <w:lang w:eastAsia="zh-CN"/>
        </w:rPr>
        <w:t>6.</w:t>
      </w:r>
      <w:r>
        <w:rPr>
          <w:rFonts w:eastAsia="宋体" w:cs="宋体"/>
          <w:i/>
          <w:sz w:val="21"/>
          <w:lang w:eastAsia="zh-CN"/>
        </w:rPr>
        <w:tab/>
      </w:r>
      <w:r>
        <w:rPr>
          <w:rFonts w:eastAsia="宋体" w:cs="宋体"/>
          <w:sz w:val="21"/>
          <w:lang w:eastAsia="zh-CN"/>
        </w:rPr>
        <w:t>ISO/TS 10974</w:t>
      </w:r>
      <w:r>
        <w:rPr>
          <w:rFonts w:hint="eastAsia" w:eastAsia="宋体" w:cs="宋体"/>
          <w:sz w:val="21"/>
          <w:lang w:eastAsia="zh-CN"/>
        </w:rPr>
        <w:t>植入</w:t>
      </w:r>
      <w:r>
        <w:rPr>
          <w:rFonts w:eastAsia="宋体" w:cs="宋体"/>
          <w:sz w:val="21"/>
          <w:lang w:eastAsia="zh-CN"/>
        </w:rPr>
        <w:t>有源植入式医疗器械的患者的磁共振成像安全性评估</w:t>
      </w:r>
      <w:r>
        <w:rPr>
          <w:rFonts w:hint="eastAsia" w:eastAsia="宋体" w:cs="宋体"/>
          <w:sz w:val="21"/>
          <w:lang w:eastAsia="zh-CN"/>
        </w:rPr>
        <w:t>。</w:t>
      </w:r>
    </w:p>
    <w:p w14:paraId="400556C9">
      <w:pPr>
        <w:pStyle w:val="8"/>
        <w:adjustRightInd w:val="0"/>
        <w:snapToGrid w:val="0"/>
        <w:spacing w:before="120" w:beforeLines="50" w:line="300" w:lineRule="auto"/>
        <w:ind w:left="440" w:leftChars="200"/>
        <w:jc w:val="both"/>
        <w:rPr>
          <w:sz w:val="21"/>
          <w:szCs w:val="21"/>
          <w:lang w:eastAsia="zh-CN"/>
        </w:rPr>
      </w:pPr>
      <w:r>
        <w:rPr>
          <w:rFonts w:eastAsia="宋体" w:cs="宋体"/>
          <w:sz w:val="21"/>
          <w:lang w:eastAsia="zh-CN"/>
        </w:rPr>
        <w:t>注：截至本指南发布之日，ISO/TS 10974已纳入大量关于将有源植入式医疗器械（AIMD）引入MR环境的信息。尽管ISO/TS 10974的适用范围为有源植入式医疗器械，但该标准还包含MR环境中医疗器械危险的详细信息以及对其他类型医疗器械有用的特定危险评估方法。</w:t>
      </w:r>
    </w:p>
    <w:p w14:paraId="27DF3A28">
      <w:pPr>
        <w:pStyle w:val="8"/>
        <w:adjustRightInd w:val="0"/>
        <w:snapToGrid w:val="0"/>
        <w:spacing w:before="120" w:beforeLines="50" w:line="300" w:lineRule="auto"/>
        <w:ind w:left="922" w:leftChars="200" w:hanging="482" w:hangingChars="200"/>
        <w:jc w:val="both"/>
        <w:outlineLvl w:val="1"/>
        <w:rPr>
          <w:b/>
          <w:szCs w:val="21"/>
          <w:lang w:eastAsia="zh-CN"/>
        </w:rPr>
      </w:pPr>
      <w:bookmarkStart w:id="7" w:name="_Toc91866604"/>
      <w:r>
        <w:rPr>
          <w:rFonts w:eastAsia="宋体" w:cs="宋体"/>
          <w:b/>
          <w:lang w:eastAsia="zh-CN"/>
        </w:rPr>
        <w:t>B.</w:t>
      </w:r>
      <w:r>
        <w:rPr>
          <w:rFonts w:eastAsia="宋体" w:cs="宋体"/>
          <w:b/>
          <w:lang w:eastAsia="zh-CN"/>
        </w:rPr>
        <w:tab/>
      </w:r>
      <w:r>
        <w:rPr>
          <w:rFonts w:eastAsia="宋体" w:cs="宋体"/>
          <w:b/>
          <w:lang w:eastAsia="zh-CN"/>
        </w:rPr>
        <w:t>指南文件</w:t>
      </w:r>
      <w:bookmarkEnd w:id="7"/>
    </w:p>
    <w:p w14:paraId="39C6E1E7">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1.</w:t>
      </w:r>
      <w:r>
        <w:rPr>
          <w:rFonts w:eastAsia="宋体" w:cs="宋体"/>
          <w:sz w:val="21"/>
          <w:lang w:eastAsia="zh-CN"/>
        </w:rPr>
        <w:tab/>
      </w:r>
      <w:r>
        <w:rPr>
          <w:rFonts w:eastAsia="宋体" w:cs="宋体"/>
          <w:color w:val="0000FF"/>
          <w:sz w:val="21"/>
          <w:u w:val="single"/>
          <w:lang w:eastAsia="zh-CN"/>
        </w:rPr>
        <w:t>《</w:t>
      </w:r>
      <w:bookmarkStart w:id="8" w:name="_Hlk95488418"/>
      <w:r>
        <w:rPr>
          <w:rFonts w:eastAsia="宋体" w:cs="宋体"/>
          <w:color w:val="0000FF"/>
          <w:sz w:val="21"/>
          <w:u w:val="single"/>
          <w:lang w:eastAsia="zh-CN"/>
        </w:rPr>
        <w:t>磁共振（MR）环境中多配置无源医疗器械射频感应致热的评估</w:t>
      </w:r>
      <w:bookmarkEnd w:id="8"/>
      <w:r>
        <w:rPr>
          <w:rFonts w:eastAsia="宋体" w:cs="宋体"/>
          <w:color w:val="0000FF"/>
          <w:sz w:val="21"/>
          <w:u w:val="single"/>
          <w:lang w:eastAsia="zh-CN"/>
        </w:rPr>
        <w:t>》指南（</w:t>
      </w:r>
      <w:bookmarkStart w:id="9" w:name="_Hlk95488435"/>
      <w:r>
        <w:rPr>
          <w:rFonts w:eastAsia="宋体" w:cs="宋体"/>
          <w:color w:val="0000FF"/>
          <w:sz w:val="21"/>
          <w:u w:val="single"/>
          <w:lang w:eastAsia="zh-CN"/>
        </w:rPr>
        <w:t>于2016年3月22日发布</w:t>
      </w:r>
      <w:bookmarkEnd w:id="9"/>
      <w:r>
        <w:rPr>
          <w:rFonts w:eastAsia="宋体" w:cs="宋体"/>
          <w:color w:val="0000FF"/>
          <w:sz w:val="21"/>
          <w:u w:val="single"/>
          <w:lang w:eastAsia="zh-CN"/>
        </w:rPr>
        <w:t>）</w:t>
      </w:r>
      <w:r>
        <w:rPr>
          <w:rFonts w:eastAsia="宋体" w:cs="宋体"/>
          <w:sz w:val="21"/>
          <w:vertAlign w:val="superscript"/>
          <w:lang w:eastAsia="zh-CN"/>
        </w:rPr>
        <w:t>15</w:t>
      </w:r>
    </w:p>
    <w:p w14:paraId="1DD53ECD">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2.</w:t>
      </w:r>
      <w:r>
        <w:rPr>
          <w:rFonts w:eastAsia="宋体" w:cs="宋体"/>
          <w:sz w:val="21"/>
          <w:lang w:eastAsia="zh-CN"/>
        </w:rPr>
        <w:tab/>
      </w:r>
      <w:r>
        <w:rPr>
          <w:rFonts w:eastAsia="宋体" w:cs="宋体"/>
          <w:color w:val="0000FF"/>
          <w:sz w:val="21"/>
          <w:u w:val="single"/>
          <w:lang w:eastAsia="zh-CN"/>
        </w:rPr>
        <w:t>《医疗器械申请中的计算建模研究报告》指南</w:t>
      </w:r>
      <w:bookmarkStart w:id="10" w:name="_Hlk95488448"/>
      <w:r>
        <w:rPr>
          <w:rFonts w:eastAsia="宋体" w:cs="宋体"/>
          <w:color w:val="0000FF"/>
          <w:sz w:val="21"/>
          <w:u w:val="single"/>
          <w:lang w:eastAsia="zh-CN"/>
        </w:rPr>
        <w:t>（于2016年9月21日发布）</w:t>
      </w:r>
      <w:bookmarkEnd w:id="10"/>
      <w:r>
        <w:rPr>
          <w:rFonts w:eastAsia="宋体" w:cs="宋体"/>
          <w:sz w:val="21"/>
          <w:vertAlign w:val="superscript"/>
          <w:lang w:eastAsia="zh-CN"/>
        </w:rPr>
        <w:t>16</w:t>
      </w:r>
    </w:p>
    <w:p w14:paraId="18D6F6D2">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3.</w:t>
      </w:r>
      <w:r>
        <w:rPr>
          <w:rFonts w:eastAsia="宋体" w:cs="宋体"/>
          <w:sz w:val="21"/>
          <w:lang w:eastAsia="zh-CN"/>
        </w:rPr>
        <w:tab/>
      </w:r>
      <w:r>
        <w:rPr>
          <w:rFonts w:eastAsia="宋体" w:cs="宋体"/>
          <w:color w:val="0000FF"/>
          <w:sz w:val="21"/>
          <w:u w:val="single"/>
          <w:lang w:eastAsia="zh-CN"/>
        </w:rPr>
        <w:t>《医疗器械申请的反馈和会议请求：Q-申请计划》指南</w:t>
      </w:r>
      <w:bookmarkStart w:id="11" w:name="_Hlk95488456"/>
      <w:r>
        <w:rPr>
          <w:rFonts w:eastAsia="宋体" w:cs="宋体"/>
          <w:color w:val="0000FF"/>
          <w:sz w:val="21"/>
          <w:u w:val="single"/>
          <w:lang w:eastAsia="zh-CN"/>
        </w:rPr>
        <w:t>（于2019年5月7日发布）</w:t>
      </w:r>
      <w:bookmarkEnd w:id="11"/>
      <w:r>
        <w:rPr>
          <w:rFonts w:eastAsia="宋体" w:cs="宋体"/>
          <w:sz w:val="21"/>
          <w:vertAlign w:val="superscript"/>
          <w:lang w:eastAsia="zh-CN"/>
        </w:rPr>
        <w:t>17</w:t>
      </w:r>
    </w:p>
    <w:p w14:paraId="09C7A08C">
      <w:pPr>
        <w:pStyle w:val="8"/>
        <w:adjustRightInd w:val="0"/>
        <w:snapToGrid w:val="0"/>
        <w:spacing w:before="4680" w:beforeLines="1950" w:line="300" w:lineRule="auto"/>
        <w:jc w:val="both"/>
        <w:rPr>
          <w:rFonts w:eastAsiaTheme="minorEastAsia"/>
          <w:sz w:val="21"/>
          <w:szCs w:val="21"/>
          <w:lang w:eastAsia="zh-CN"/>
        </w:rPr>
      </w:pPr>
      <w:r>
        <w:rPr>
          <w:rFonts w:eastAsia="宋体" w:cs="宋体"/>
          <w:sz w:val="21"/>
        </w:rPr>
        <w:t>____________________</w:t>
      </w:r>
    </w:p>
    <w:p w14:paraId="4A66CE8F">
      <w:pPr>
        <w:wordWrap w:val="0"/>
        <w:adjustRightInd w:val="0"/>
        <w:snapToGrid w:val="0"/>
        <w:spacing w:before="36" w:beforeLines="15" w:line="276" w:lineRule="auto"/>
        <w:jc w:val="both"/>
        <w:rPr>
          <w:sz w:val="18"/>
          <w:szCs w:val="21"/>
        </w:rPr>
      </w:pPr>
      <w:r>
        <w:rPr>
          <w:rFonts w:eastAsia="宋体" w:cs="宋体"/>
          <w:sz w:val="18"/>
          <w:vertAlign w:val="superscript"/>
        </w:rPr>
        <w:t>14</w:t>
      </w:r>
      <w:r>
        <w:rPr>
          <w:rFonts w:eastAsia="宋体" w:cs="宋体"/>
          <w:sz w:val="18"/>
        </w:rPr>
        <w:t xml:space="preserve"> 可登录以下网址获取：</w:t>
      </w:r>
      <w:r>
        <w:rPr>
          <w:rFonts w:eastAsia="宋体" w:cs="宋体"/>
          <w:color w:val="0000FF"/>
          <w:sz w:val="18"/>
          <w:u w:val="single"/>
        </w:rPr>
        <w:t>https://www.accessdata.fda.gov/scripts/cdrh/cfdocs/cfStandards/search.cfm</w:t>
      </w:r>
    </w:p>
    <w:p w14:paraId="650F2A86">
      <w:pPr>
        <w:wordWrap w:val="0"/>
        <w:adjustRightInd w:val="0"/>
        <w:snapToGrid w:val="0"/>
        <w:spacing w:before="36" w:beforeLines="15" w:line="276" w:lineRule="auto"/>
        <w:jc w:val="both"/>
        <w:rPr>
          <w:sz w:val="18"/>
          <w:szCs w:val="21"/>
        </w:rPr>
      </w:pPr>
      <w:bookmarkStart w:id="12" w:name="_bookmark20"/>
      <w:bookmarkEnd w:id="12"/>
      <w:r>
        <w:rPr>
          <w:sz w:val="18"/>
          <w:szCs w:val="21"/>
          <w:vertAlign w:val="superscript"/>
        </w:rPr>
        <w:t>15</w:t>
      </w:r>
      <w:r>
        <w:rPr>
          <w:color w:val="0000FF"/>
          <w:sz w:val="18"/>
          <w:szCs w:val="21"/>
          <w:u w:val="single" w:color="0000FF"/>
        </w:rPr>
        <w:t xml:space="preserve"> https://www.fda.gov/regulatory-information/search-fda-guidance-documents/assessment-radiofrequency-</w:t>
      </w:r>
    </w:p>
    <w:p w14:paraId="11DF4A13">
      <w:pPr>
        <w:wordWrap w:val="0"/>
        <w:adjustRightInd w:val="0"/>
        <w:snapToGrid w:val="0"/>
        <w:spacing w:before="36" w:beforeLines="15" w:line="276" w:lineRule="auto"/>
        <w:jc w:val="both"/>
        <w:rPr>
          <w:sz w:val="18"/>
          <w:szCs w:val="21"/>
        </w:rPr>
      </w:pPr>
      <w:r>
        <w:rPr>
          <w:color w:val="0000FF"/>
          <w:sz w:val="18"/>
          <w:szCs w:val="21"/>
          <w:u w:val="single" w:color="0000FF"/>
        </w:rPr>
        <w:t>induced-heating-magnetic-resonance-mr-environment-multi-configuration</w:t>
      </w:r>
    </w:p>
    <w:p w14:paraId="3E2963E3">
      <w:pPr>
        <w:wordWrap w:val="0"/>
        <w:adjustRightInd w:val="0"/>
        <w:snapToGrid w:val="0"/>
        <w:spacing w:before="36" w:beforeLines="15" w:line="276" w:lineRule="auto"/>
        <w:jc w:val="both"/>
        <w:rPr>
          <w:sz w:val="18"/>
          <w:szCs w:val="21"/>
        </w:rPr>
      </w:pPr>
      <w:bookmarkStart w:id="13" w:name="_bookmark21"/>
      <w:bookmarkEnd w:id="13"/>
      <w:r>
        <w:rPr>
          <w:sz w:val="18"/>
          <w:szCs w:val="21"/>
          <w:vertAlign w:val="superscript"/>
        </w:rPr>
        <w:t>16</w:t>
      </w:r>
      <w:r>
        <w:rPr>
          <w:sz w:val="18"/>
          <w:szCs w:val="21"/>
        </w:rPr>
        <w:t xml:space="preserve"> </w:t>
      </w:r>
      <w:r>
        <w:rPr>
          <w:color w:val="0000FF"/>
          <w:sz w:val="18"/>
          <w:szCs w:val="21"/>
          <w:u w:val="single" w:color="0000FF"/>
        </w:rPr>
        <w:t>https://www.fda.gov/regulatory-information/search-fda-guidance-documents/reporting-computational-</w:t>
      </w:r>
      <w:r>
        <w:rPr>
          <w:color w:val="0000FF"/>
          <w:sz w:val="18"/>
          <w:szCs w:val="21"/>
        </w:rPr>
        <w:t xml:space="preserve"> </w:t>
      </w:r>
      <w:r>
        <w:rPr>
          <w:color w:val="0000FF"/>
          <w:sz w:val="18"/>
          <w:szCs w:val="21"/>
          <w:u w:val="single" w:color="0000FF"/>
        </w:rPr>
        <w:t>modeling-studies-medical-device-submissions</w:t>
      </w:r>
    </w:p>
    <w:p w14:paraId="54E9E304">
      <w:pPr>
        <w:wordWrap w:val="0"/>
        <w:adjustRightInd w:val="0"/>
        <w:snapToGrid w:val="0"/>
        <w:spacing w:before="36" w:beforeLines="15" w:line="276" w:lineRule="auto"/>
        <w:jc w:val="both"/>
        <w:rPr>
          <w:b/>
          <w:sz w:val="21"/>
          <w:szCs w:val="21"/>
        </w:rPr>
      </w:pPr>
      <w:bookmarkStart w:id="14" w:name="_bookmark22"/>
      <w:bookmarkEnd w:id="14"/>
      <w:r>
        <w:rPr>
          <w:sz w:val="18"/>
          <w:szCs w:val="21"/>
          <w:vertAlign w:val="superscript"/>
        </w:rPr>
        <w:t>17</w:t>
      </w:r>
      <w:r>
        <w:rPr>
          <w:sz w:val="18"/>
          <w:szCs w:val="21"/>
        </w:rPr>
        <w:t xml:space="preserve"> </w:t>
      </w:r>
      <w:r>
        <w:rPr>
          <w:color w:val="0000FF"/>
          <w:sz w:val="18"/>
          <w:szCs w:val="21"/>
          <w:u w:val="single" w:color="0000FF"/>
        </w:rPr>
        <w:t>https://www.fda.gov/regulatory-information/search-fda-guidance-documents/requests-feedback-and-meetings-medical-</w:t>
      </w:r>
      <w:r>
        <w:rPr>
          <w:color w:val="0000FF"/>
          <w:sz w:val="18"/>
          <w:szCs w:val="21"/>
        </w:rPr>
        <w:t xml:space="preserve"> </w:t>
      </w:r>
      <w:r>
        <w:rPr>
          <w:color w:val="0000FF"/>
          <w:sz w:val="18"/>
          <w:szCs w:val="21"/>
          <w:u w:val="single" w:color="0000FF"/>
        </w:rPr>
        <w:t>device-submissions-q-submission-program</w:t>
      </w:r>
      <w:r>
        <w:rPr>
          <w:rFonts w:eastAsia="宋体" w:cs="宋体"/>
          <w:b/>
          <w:sz w:val="21"/>
        </w:rPr>
        <w:br w:type="page"/>
      </w:r>
    </w:p>
    <w:p w14:paraId="2BB6EB58">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4.</w:t>
      </w:r>
      <w:r>
        <w:rPr>
          <w:rFonts w:eastAsia="宋体" w:cs="宋体"/>
          <w:sz w:val="21"/>
          <w:lang w:eastAsia="zh-CN"/>
        </w:rPr>
        <w:tab/>
      </w:r>
      <w:bookmarkStart w:id="15" w:name="_Hlk95488476"/>
      <w:r>
        <w:rPr>
          <w:rFonts w:eastAsia="宋体" w:cs="宋体"/>
          <w:color w:val="0000FF"/>
          <w:sz w:val="21"/>
          <w:u w:val="single"/>
          <w:lang w:eastAsia="zh-CN"/>
        </w:rPr>
        <w:t>《上市前申请中非临床</w:t>
      </w:r>
      <w:r>
        <w:rPr>
          <w:rFonts w:hint="eastAsia" w:eastAsia="宋体" w:cs="宋体"/>
          <w:color w:val="0000FF"/>
          <w:sz w:val="21"/>
          <w:u w:val="single"/>
          <w:lang w:eastAsia="zh-CN"/>
        </w:rPr>
        <w:t>台架</w:t>
      </w:r>
      <w:r>
        <w:rPr>
          <w:rFonts w:eastAsia="宋体" w:cs="宋体"/>
          <w:color w:val="0000FF"/>
          <w:sz w:val="21"/>
          <w:u w:val="single"/>
          <w:lang w:eastAsia="zh-CN"/>
        </w:rPr>
        <w:t>性能试验的完整试验报告的推荐内容和格式》指南（于2019年4月26日发布）</w:t>
      </w:r>
      <w:bookmarkEnd w:id="15"/>
      <w:r>
        <w:rPr>
          <w:rFonts w:eastAsia="宋体" w:cs="宋体"/>
          <w:sz w:val="21"/>
          <w:vertAlign w:val="superscript"/>
          <w:lang w:eastAsia="zh-CN"/>
        </w:rPr>
        <w:t>18</w:t>
      </w:r>
    </w:p>
    <w:p w14:paraId="236F4F1C">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5.</w:t>
      </w:r>
      <w:r>
        <w:rPr>
          <w:rFonts w:eastAsia="宋体" w:cs="宋体"/>
          <w:sz w:val="21"/>
          <w:lang w:eastAsia="zh-CN"/>
        </w:rPr>
        <w:tab/>
      </w:r>
      <w:bookmarkStart w:id="16" w:name="_Hlk95488485"/>
      <w:r>
        <w:rPr>
          <w:rFonts w:eastAsia="宋体" w:cs="宋体"/>
          <w:color w:val="0000FF"/>
          <w:sz w:val="21"/>
          <w:u w:val="single"/>
          <w:lang w:eastAsia="zh-CN"/>
        </w:rPr>
        <w:t>《磁共振诊断器械的上市前通知申请》指南（于2016年11月18日发布）</w:t>
      </w:r>
      <w:bookmarkEnd w:id="16"/>
      <w:r>
        <w:rPr>
          <w:rFonts w:eastAsia="宋体" w:cs="宋体"/>
          <w:sz w:val="21"/>
          <w:vertAlign w:val="superscript"/>
          <w:lang w:eastAsia="zh-CN"/>
        </w:rPr>
        <w:t>19</w:t>
      </w:r>
    </w:p>
    <w:p w14:paraId="003AAB3C">
      <w:pPr>
        <w:pStyle w:val="8"/>
        <w:adjustRightInd w:val="0"/>
        <w:snapToGrid w:val="0"/>
        <w:spacing w:before="120" w:beforeLines="50" w:line="300" w:lineRule="auto"/>
        <w:ind w:left="843" w:hanging="843" w:hangingChars="300"/>
        <w:jc w:val="both"/>
        <w:outlineLvl w:val="0"/>
        <w:rPr>
          <w:rFonts w:eastAsiaTheme="minorEastAsia"/>
          <w:b/>
          <w:sz w:val="28"/>
          <w:szCs w:val="21"/>
          <w:lang w:eastAsia="zh-CN"/>
        </w:rPr>
      </w:pPr>
      <w:bookmarkStart w:id="17" w:name="_Toc91866605"/>
      <w:r>
        <w:rPr>
          <w:rFonts w:eastAsia="宋体" w:cs="宋体"/>
          <w:b/>
          <w:sz w:val="28"/>
          <w:lang w:eastAsia="zh-CN"/>
        </w:rPr>
        <w:t>V.</w:t>
      </w:r>
      <w:r>
        <w:rPr>
          <w:rFonts w:eastAsia="宋体" w:cs="宋体"/>
          <w:b/>
          <w:lang w:eastAsia="zh-CN"/>
        </w:rPr>
        <w:tab/>
      </w:r>
      <w:r>
        <w:rPr>
          <w:rFonts w:eastAsia="宋体" w:cs="宋体"/>
          <w:b/>
          <w:sz w:val="28"/>
          <w:lang w:eastAsia="zh-CN"/>
        </w:rPr>
        <w:t>解决MR环境中医疗器械的危险</w:t>
      </w:r>
      <w:bookmarkEnd w:id="17"/>
      <w:r>
        <w:rPr>
          <w:rFonts w:eastAsia="宋体" w:cs="宋体"/>
          <w:b/>
          <w:sz w:val="28"/>
          <w:lang w:eastAsia="zh-CN"/>
        </w:rPr>
        <w:t>（源）</w:t>
      </w:r>
    </w:p>
    <w:p w14:paraId="65C7C9E7">
      <w:pPr>
        <w:pStyle w:val="8"/>
        <w:adjustRightInd w:val="0"/>
        <w:snapToGrid w:val="0"/>
        <w:spacing w:before="120" w:beforeLines="50" w:line="300" w:lineRule="auto"/>
        <w:jc w:val="both"/>
        <w:rPr>
          <w:sz w:val="21"/>
          <w:szCs w:val="21"/>
          <w:lang w:eastAsia="zh-CN"/>
        </w:rPr>
      </w:pPr>
      <w:r>
        <w:rPr>
          <w:rFonts w:eastAsia="宋体" w:cs="宋体"/>
          <w:sz w:val="21"/>
          <w:lang w:eastAsia="zh-CN"/>
        </w:rPr>
        <w:t>MR环境对位于MR系统附近或内部的</w:t>
      </w:r>
      <w:r>
        <w:rPr>
          <w:rFonts w:hint="eastAsia" w:eastAsia="宋体" w:cs="宋体"/>
          <w:sz w:val="21"/>
          <w:lang w:eastAsia="zh-CN"/>
        </w:rPr>
        <w:t>配有</w:t>
      </w:r>
      <w:r>
        <w:rPr>
          <w:rFonts w:eastAsia="宋体" w:cs="宋体"/>
          <w:sz w:val="21"/>
          <w:lang w:eastAsia="zh-CN"/>
        </w:rPr>
        <w:t>医疗器械的患者和其他人员构成了特有的安全危险。</w:t>
      </w:r>
      <w:r>
        <w:rPr>
          <w:rFonts w:eastAsia="宋体" w:cs="宋体"/>
          <w:sz w:val="21"/>
          <w:vertAlign w:val="superscript"/>
          <w:lang w:eastAsia="zh-CN"/>
        </w:rPr>
        <w:t>20</w:t>
      </w:r>
      <w:r>
        <w:rPr>
          <w:rFonts w:eastAsia="宋体" w:cs="宋体"/>
          <w:sz w:val="21"/>
          <w:lang w:eastAsia="zh-CN"/>
        </w:rPr>
        <w:t>确保预期进入MR环境的植入物和其他医疗器械的安全性和有效性是医疗器械风险管理的一个组成部分。适当的试验和分析、科学依据和标签（如下文所述的得到充分支持的MR特定条件安全标签及说明书）构成充分缓解MR环境</w:t>
      </w:r>
      <w:r>
        <w:rPr>
          <w:rFonts w:hint="eastAsia" w:eastAsia="宋体" w:cs="宋体"/>
          <w:sz w:val="21"/>
          <w:lang w:eastAsia="zh-CN"/>
        </w:rPr>
        <w:t>中</w:t>
      </w:r>
      <w:r>
        <w:rPr>
          <w:rFonts w:eastAsia="宋体" w:cs="宋体"/>
          <w:sz w:val="21"/>
          <w:lang w:eastAsia="zh-CN"/>
        </w:rPr>
        <w:t>特有安全</w:t>
      </w:r>
      <w:r>
        <w:rPr>
          <w:rFonts w:hint="eastAsia" w:eastAsia="宋体" w:cs="宋体"/>
          <w:sz w:val="21"/>
          <w:lang w:eastAsia="zh-CN"/>
        </w:rPr>
        <w:t>危险</w:t>
      </w:r>
      <w:r>
        <w:rPr>
          <w:rFonts w:eastAsia="宋体" w:cs="宋体"/>
          <w:sz w:val="21"/>
          <w:lang w:eastAsia="zh-CN"/>
        </w:rPr>
        <w:t>的基础。</w:t>
      </w:r>
    </w:p>
    <w:p w14:paraId="3C998A19">
      <w:pPr>
        <w:pStyle w:val="8"/>
        <w:adjustRightInd w:val="0"/>
        <w:snapToGrid w:val="0"/>
        <w:spacing w:before="120" w:beforeLines="50" w:line="300" w:lineRule="auto"/>
        <w:jc w:val="both"/>
        <w:rPr>
          <w:sz w:val="21"/>
          <w:szCs w:val="21"/>
          <w:lang w:eastAsia="zh-CN"/>
        </w:rPr>
      </w:pPr>
      <w:r>
        <w:rPr>
          <w:rFonts w:eastAsia="宋体" w:cs="宋体"/>
          <w:sz w:val="21"/>
          <w:lang w:eastAsia="zh-CN"/>
        </w:rPr>
        <w:t>MR环境中的医疗器械对患者和其他人员构成的危险如下所述。以下相关章节列出了用于解决特定危险的标准化试验方法。在可用的情况下，应采用标准化试验方法解决特定危险。此外，最坏情况医疗器械或医疗器械配置可能因以下各节所述的不同危险而有所不同。</w:t>
      </w:r>
    </w:p>
    <w:p w14:paraId="6953A783">
      <w:pPr>
        <w:pStyle w:val="8"/>
        <w:adjustRightInd w:val="0"/>
        <w:snapToGrid w:val="0"/>
        <w:spacing w:before="120" w:beforeLines="50" w:line="300" w:lineRule="auto"/>
        <w:jc w:val="both"/>
        <w:rPr>
          <w:sz w:val="21"/>
          <w:szCs w:val="21"/>
          <w:lang w:eastAsia="zh-CN"/>
        </w:rPr>
      </w:pPr>
      <w:r>
        <w:rPr>
          <w:rFonts w:eastAsia="宋体" w:cs="宋体"/>
          <w:sz w:val="21"/>
          <w:lang w:eastAsia="zh-CN"/>
        </w:rPr>
        <w:t>应针对医疗器械可能暴露的每个磁场强度（例如1.5 T和3.0 T）MR系统评估医疗器械的安全性和性能。在1.5 T MR系统中具有MR特定条件安全性的医疗器械在磁场强度更高或更低的MR系统中可能不安全。例如，根据器械的尺寸和形状，在磁场强度较高或较低的MR系统中，器械发热程度可大可小。静磁场、梯度磁场和射频线圈的特性存在显著差异，因此可能导致风险概况不同。对于预期在MR程序执行期间或MR环境中运行的电力驱动的有源医疗器械，例如预期用于监测患者或提供治疗的电力驱动的有源医疗器械，应进行适当的试验，以证明该器械在MR检查期间的使用具有安全性。如果提供了充分的科学依据，则可能不需要进行试验。</w:t>
      </w:r>
    </w:p>
    <w:p w14:paraId="494E42E7">
      <w:pPr>
        <w:pStyle w:val="8"/>
        <w:wordWrap w:val="0"/>
        <w:adjustRightInd w:val="0"/>
        <w:snapToGrid w:val="0"/>
        <w:spacing w:before="5160" w:beforeLines="2150" w:line="300" w:lineRule="auto"/>
        <w:jc w:val="both"/>
        <w:rPr>
          <w:rFonts w:eastAsiaTheme="minorEastAsia"/>
          <w:sz w:val="21"/>
          <w:szCs w:val="21"/>
          <w:lang w:eastAsia="zh-CN"/>
        </w:rPr>
      </w:pPr>
      <w:r>
        <w:rPr>
          <w:rFonts w:eastAsia="宋体" w:cs="宋体"/>
          <w:sz w:val="21"/>
        </w:rPr>
        <w:t>____________________</w:t>
      </w:r>
    </w:p>
    <w:p w14:paraId="5A696A7D">
      <w:pPr>
        <w:wordWrap w:val="0"/>
        <w:adjustRightInd w:val="0"/>
        <w:snapToGrid w:val="0"/>
        <w:spacing w:before="36" w:beforeLines="15" w:line="276" w:lineRule="auto"/>
        <w:jc w:val="both"/>
        <w:rPr>
          <w:sz w:val="18"/>
          <w:szCs w:val="21"/>
        </w:rPr>
      </w:pPr>
      <w:r>
        <w:rPr>
          <w:sz w:val="18"/>
          <w:szCs w:val="21"/>
          <w:vertAlign w:val="superscript"/>
        </w:rPr>
        <w:t>18</w:t>
      </w:r>
      <w:r>
        <w:rPr>
          <w:sz w:val="18"/>
          <w:szCs w:val="21"/>
        </w:rPr>
        <w:t xml:space="preserve"> </w:t>
      </w:r>
      <w:r>
        <w:rPr>
          <w:color w:val="0000FF"/>
          <w:sz w:val="18"/>
          <w:szCs w:val="21"/>
          <w:u w:val="single" w:color="0000FF"/>
        </w:rPr>
        <w:t>https://www.fda.gov/regulatory-information/search-fda-guidance-documents/recommended-content-and-format-non-</w:t>
      </w:r>
      <w:r>
        <w:rPr>
          <w:color w:val="0000FF"/>
          <w:sz w:val="18"/>
          <w:szCs w:val="21"/>
        </w:rPr>
        <w:t xml:space="preserve"> </w:t>
      </w:r>
      <w:r>
        <w:rPr>
          <w:color w:val="0000FF"/>
          <w:sz w:val="18"/>
          <w:szCs w:val="21"/>
          <w:u w:val="single" w:color="0000FF"/>
        </w:rPr>
        <w:t>clinical-bench-performance-testing-information-premarket</w:t>
      </w:r>
    </w:p>
    <w:p w14:paraId="19271DB2">
      <w:pPr>
        <w:wordWrap w:val="0"/>
        <w:adjustRightInd w:val="0"/>
        <w:snapToGrid w:val="0"/>
        <w:spacing w:before="36" w:beforeLines="15" w:line="276" w:lineRule="auto"/>
        <w:jc w:val="both"/>
        <w:rPr>
          <w:sz w:val="18"/>
          <w:szCs w:val="21"/>
        </w:rPr>
      </w:pPr>
      <w:bookmarkStart w:id="18" w:name="_bookmark25"/>
      <w:bookmarkEnd w:id="18"/>
      <w:r>
        <w:rPr>
          <w:sz w:val="18"/>
          <w:szCs w:val="21"/>
          <w:vertAlign w:val="superscript"/>
        </w:rPr>
        <w:t>19</w:t>
      </w:r>
      <w:r>
        <w:rPr>
          <w:sz w:val="18"/>
          <w:szCs w:val="21"/>
        </w:rPr>
        <w:t xml:space="preserve"> </w:t>
      </w:r>
      <w:r>
        <w:rPr>
          <w:color w:val="0000FF"/>
          <w:sz w:val="18"/>
          <w:szCs w:val="21"/>
          <w:u w:val="single" w:color="0000FF"/>
        </w:rPr>
        <w:t>https://www.fda.gov/regulatory-information/search-fda-guidance-documents/submission-premarket-notifications-</w:t>
      </w:r>
      <w:r>
        <w:rPr>
          <w:color w:val="0000FF"/>
          <w:sz w:val="18"/>
          <w:szCs w:val="21"/>
        </w:rPr>
        <w:t xml:space="preserve"> </w:t>
      </w:r>
      <w:r>
        <w:rPr>
          <w:color w:val="0000FF"/>
          <w:sz w:val="18"/>
          <w:szCs w:val="21"/>
          <w:u w:val="single" w:color="0000FF"/>
        </w:rPr>
        <w:t>magnetic-resonance-diagnostic-devices</w:t>
      </w:r>
    </w:p>
    <w:p w14:paraId="0CAAF8CE">
      <w:pPr>
        <w:adjustRightInd w:val="0"/>
        <w:snapToGrid w:val="0"/>
        <w:spacing w:before="36" w:beforeLines="15" w:line="276" w:lineRule="auto"/>
        <w:jc w:val="both"/>
        <w:rPr>
          <w:b/>
          <w:sz w:val="21"/>
          <w:szCs w:val="21"/>
        </w:rPr>
      </w:pPr>
      <w:r>
        <w:rPr>
          <w:rFonts w:eastAsia="宋体" w:cs="宋体"/>
          <w:sz w:val="18"/>
          <w:vertAlign w:val="superscript"/>
        </w:rPr>
        <w:t>20</w:t>
      </w:r>
      <w:r>
        <w:rPr>
          <w:rFonts w:eastAsia="宋体" w:cs="宋体"/>
          <w:sz w:val="18"/>
        </w:rPr>
        <w:t xml:space="preserve"> Woods, T.O. “MRI Safety” in Wiley Encyclopedia of Biomedical Engineering (Metin Akay, ed.)Hoboken: John Wiley &amp; Sons, Inc., 2006, pp.2360-2371.</w:t>
      </w:r>
      <w:r>
        <w:rPr>
          <w:rFonts w:eastAsia="宋体" w:cs="宋体"/>
          <w:b/>
          <w:sz w:val="21"/>
        </w:rPr>
        <w:br w:type="page"/>
      </w:r>
    </w:p>
    <w:p w14:paraId="1617A0B9">
      <w:pPr>
        <w:pStyle w:val="8"/>
        <w:adjustRightInd w:val="0"/>
        <w:snapToGrid w:val="0"/>
        <w:spacing w:before="120" w:beforeLines="50" w:line="300" w:lineRule="auto"/>
        <w:jc w:val="both"/>
        <w:rPr>
          <w:sz w:val="21"/>
          <w:szCs w:val="21"/>
          <w:lang w:eastAsia="zh-CN"/>
        </w:rPr>
      </w:pPr>
      <w:r>
        <w:rPr>
          <w:rFonts w:eastAsia="宋体" w:cs="宋体"/>
          <w:sz w:val="21"/>
          <w:lang w:eastAsia="zh-CN"/>
        </w:rPr>
        <w:t>由于不同类型的医疗器械所适合进行的试验有所不同，因此如果对特定医疗器械的最合适试验有疑问，本机构建议在制定医疗器械的具体试验计划时寻求FDA的意见。有关构建预申请的更多信息，请参见FDA指南《</w:t>
      </w:r>
      <w:r>
        <w:rPr>
          <w:rFonts w:eastAsia="宋体" w:cs="宋体"/>
          <w:color w:val="0000FF"/>
          <w:sz w:val="21"/>
          <w:u w:val="single"/>
          <w:lang w:eastAsia="zh-CN"/>
        </w:rPr>
        <w:t>医疗器械申请的反馈和会议请求：Q-申请计划</w:t>
      </w:r>
      <w:r>
        <w:rPr>
          <w:rFonts w:eastAsia="宋体" w:cs="宋体"/>
          <w:sz w:val="21"/>
          <w:lang w:eastAsia="zh-CN"/>
        </w:rPr>
        <w:t>》</w:t>
      </w:r>
      <w:r>
        <w:rPr>
          <w:rFonts w:eastAsia="宋体" w:cs="宋体"/>
          <w:sz w:val="21"/>
          <w:vertAlign w:val="superscript"/>
          <w:lang w:eastAsia="zh-CN"/>
        </w:rPr>
        <w:t>21</w:t>
      </w:r>
      <w:r>
        <w:rPr>
          <w:rFonts w:eastAsia="宋体" w:cs="宋体"/>
          <w:sz w:val="21"/>
          <w:lang w:eastAsia="zh-CN"/>
        </w:rPr>
        <w:t>。</w:t>
      </w:r>
    </w:p>
    <w:p w14:paraId="237DA14A">
      <w:pPr>
        <w:pStyle w:val="8"/>
        <w:adjustRightInd w:val="0"/>
        <w:snapToGrid w:val="0"/>
        <w:spacing w:before="120" w:beforeLines="50" w:line="300" w:lineRule="auto"/>
        <w:ind w:left="922" w:leftChars="200" w:hanging="482" w:hangingChars="200"/>
        <w:jc w:val="both"/>
        <w:outlineLvl w:val="1"/>
        <w:rPr>
          <w:b/>
          <w:szCs w:val="21"/>
          <w:lang w:eastAsia="zh-CN"/>
        </w:rPr>
      </w:pPr>
      <w:bookmarkStart w:id="19" w:name="_Toc91866606"/>
      <w:r>
        <w:rPr>
          <w:rFonts w:eastAsia="宋体" w:cs="宋体"/>
          <w:b/>
          <w:lang w:eastAsia="zh-CN"/>
        </w:rPr>
        <w:t>A.</w:t>
      </w:r>
      <w:r>
        <w:rPr>
          <w:rFonts w:eastAsia="宋体" w:cs="宋体"/>
          <w:b/>
          <w:lang w:eastAsia="zh-CN"/>
        </w:rPr>
        <w:tab/>
      </w:r>
      <w:r>
        <w:rPr>
          <w:rFonts w:eastAsia="宋体" w:cs="宋体"/>
          <w:b/>
          <w:lang w:eastAsia="zh-CN"/>
        </w:rPr>
        <w:t>磁感应位移力</w:t>
      </w:r>
      <w:bookmarkEnd w:id="19"/>
    </w:p>
    <w:p w14:paraId="25A163AF">
      <w:pPr>
        <w:pStyle w:val="8"/>
        <w:adjustRightInd w:val="0"/>
        <w:snapToGrid w:val="0"/>
        <w:spacing w:before="120" w:beforeLines="50" w:line="300" w:lineRule="auto"/>
        <w:jc w:val="both"/>
        <w:rPr>
          <w:sz w:val="21"/>
          <w:szCs w:val="21"/>
          <w:lang w:eastAsia="zh-CN"/>
        </w:rPr>
      </w:pPr>
      <w:r>
        <w:rPr>
          <w:rFonts w:eastAsia="宋体" w:cs="宋体"/>
          <w:sz w:val="21"/>
          <w:lang w:eastAsia="zh-CN"/>
        </w:rPr>
        <w:t>静磁场和静磁场的空间场梯度都会对磁性材料产生感应力。该磁感应位移力可能会引起医疗器械出现不必要的移动，从而造成组织损伤。</w:t>
      </w:r>
    </w:p>
    <w:p w14:paraId="3B79F536">
      <w:pPr>
        <w:pStyle w:val="8"/>
        <w:adjustRightInd w:val="0"/>
        <w:snapToGrid w:val="0"/>
        <w:spacing w:before="120" w:beforeLines="50" w:line="300" w:lineRule="auto"/>
        <w:jc w:val="both"/>
        <w:rPr>
          <w:sz w:val="21"/>
          <w:szCs w:val="21"/>
          <w:lang w:eastAsia="zh-CN"/>
        </w:rPr>
      </w:pPr>
      <w:r>
        <w:rPr>
          <w:rFonts w:eastAsia="宋体" w:cs="宋体"/>
          <w:sz w:val="21"/>
          <w:lang w:eastAsia="zh-CN"/>
        </w:rPr>
        <w:t>应解决预期进入MR环境的所有医疗器械的这一危险。对于可以悬挂在绳子上的体积相对较小的医疗器械，ASTM F2052提供了一种测量磁感应位移力的试验方法。对于体积过大无法悬挂在绳子上的医疗器械，建议开发替代试验方法。</w:t>
      </w:r>
    </w:p>
    <w:p w14:paraId="50C0DAC7">
      <w:pPr>
        <w:pStyle w:val="8"/>
        <w:adjustRightInd w:val="0"/>
        <w:snapToGrid w:val="0"/>
        <w:spacing w:before="120" w:beforeLines="50" w:line="300" w:lineRule="auto"/>
        <w:jc w:val="both"/>
        <w:rPr>
          <w:sz w:val="21"/>
          <w:szCs w:val="21"/>
          <w:lang w:eastAsia="zh-CN"/>
        </w:rPr>
      </w:pPr>
      <w:r>
        <w:rPr>
          <w:rFonts w:eastAsia="宋体" w:cs="宋体"/>
          <w:sz w:val="21"/>
          <w:lang w:eastAsia="zh-CN"/>
        </w:rPr>
        <w:t>对于有多种尺寸可供选择的医疗器械，质量最大或磁性材料占总质量比例最大的医疗器械通常是用于评估磁感应位移力的最坏情况。</w:t>
      </w:r>
    </w:p>
    <w:p w14:paraId="1195ED0C">
      <w:pPr>
        <w:pStyle w:val="8"/>
        <w:adjustRightInd w:val="0"/>
        <w:snapToGrid w:val="0"/>
        <w:spacing w:before="120" w:beforeLines="50" w:line="300" w:lineRule="auto"/>
        <w:jc w:val="both"/>
        <w:rPr>
          <w:sz w:val="21"/>
          <w:szCs w:val="21"/>
          <w:lang w:eastAsia="zh-CN"/>
        </w:rPr>
      </w:pPr>
      <w:r>
        <w:rPr>
          <w:rFonts w:eastAsia="宋体" w:cs="宋体"/>
          <w:sz w:val="21"/>
          <w:lang w:eastAsia="zh-CN"/>
        </w:rPr>
        <w:t>为了减少预期在MRI扫描室内但在MR系统孔腔外使用的医疗器械（例如呼吸机和麻醉系统）发生抛射事件的可能性，建议永久固定医疗器械，以免其移动到危险区域。如果不可行，建议纳入以下一项或多项，作为医疗器械的一部分：安全制动器、安装在医疗器械上的高斯计和系带。</w:t>
      </w:r>
    </w:p>
    <w:p w14:paraId="3FB3964A">
      <w:pPr>
        <w:pStyle w:val="8"/>
        <w:adjustRightInd w:val="0"/>
        <w:snapToGrid w:val="0"/>
        <w:spacing w:before="120" w:beforeLines="50" w:line="300" w:lineRule="auto"/>
        <w:jc w:val="both"/>
        <w:rPr>
          <w:sz w:val="21"/>
          <w:szCs w:val="21"/>
          <w:lang w:eastAsia="zh-CN"/>
        </w:rPr>
      </w:pPr>
      <w:r>
        <w:rPr>
          <w:rFonts w:eastAsia="宋体" w:cs="宋体"/>
          <w:sz w:val="21"/>
          <w:lang w:eastAsia="zh-CN"/>
        </w:rPr>
        <w:t>通常将磁感应偏转力小于或等于医疗器械上的重力用作保守验收标准。根据邻近植入物或医疗器械的组织的特性以及体外医疗器械固定到患者身上的方式，固定到患者身上的植入物或医疗器械</w:t>
      </w:r>
      <w:r>
        <w:rPr>
          <w:rFonts w:hint="eastAsia" w:eastAsia="宋体" w:cs="宋体"/>
          <w:sz w:val="21"/>
          <w:lang w:eastAsia="zh-CN"/>
        </w:rPr>
        <w:t>可以接受更大的</w:t>
      </w:r>
      <w:r>
        <w:rPr>
          <w:rFonts w:eastAsia="宋体" w:cs="宋体"/>
          <w:sz w:val="21"/>
          <w:lang w:eastAsia="zh-CN"/>
        </w:rPr>
        <w:t>磁感应偏转力。</w:t>
      </w:r>
    </w:p>
    <w:p w14:paraId="67995FCF">
      <w:pPr>
        <w:pStyle w:val="8"/>
        <w:adjustRightInd w:val="0"/>
        <w:snapToGrid w:val="0"/>
        <w:spacing w:before="120" w:beforeLines="50" w:line="300" w:lineRule="auto"/>
        <w:jc w:val="both"/>
        <w:rPr>
          <w:sz w:val="21"/>
          <w:szCs w:val="21"/>
          <w:lang w:eastAsia="zh-CN"/>
        </w:rPr>
      </w:pPr>
      <w:r>
        <w:rPr>
          <w:rFonts w:eastAsia="宋体" w:cs="宋体"/>
          <w:sz w:val="21"/>
          <w:lang w:eastAsia="zh-CN"/>
        </w:rPr>
        <w:t>同样，对于未固定在患者身上的医疗器械，如果提供了可防止器械进入其将成为抛射体的区域的系统，则可采用大于重力的验收标准。此类约束系统可能包括永久安装到MR系统室、系带、安全制动器和高斯报警装置。</w:t>
      </w:r>
    </w:p>
    <w:p w14:paraId="01FD7A9E">
      <w:pPr>
        <w:pStyle w:val="8"/>
        <w:adjustRightInd w:val="0"/>
        <w:snapToGrid w:val="0"/>
        <w:spacing w:before="5400" w:beforeLines="2250" w:line="300" w:lineRule="auto"/>
        <w:jc w:val="both"/>
        <w:rPr>
          <w:rFonts w:eastAsiaTheme="minorEastAsia"/>
          <w:sz w:val="21"/>
          <w:szCs w:val="21"/>
          <w:lang w:eastAsia="zh-CN"/>
        </w:rPr>
      </w:pPr>
      <w:r>
        <w:rPr>
          <w:rFonts w:eastAsia="宋体" w:cs="宋体"/>
          <w:sz w:val="21"/>
        </w:rPr>
        <w:t>____________________</w:t>
      </w:r>
    </w:p>
    <w:p w14:paraId="7455C0E2">
      <w:pPr>
        <w:wordWrap w:val="0"/>
        <w:adjustRightInd w:val="0"/>
        <w:snapToGrid w:val="0"/>
        <w:spacing w:before="36" w:beforeLines="15" w:line="276" w:lineRule="auto"/>
        <w:jc w:val="both"/>
        <w:rPr>
          <w:b/>
          <w:sz w:val="21"/>
          <w:szCs w:val="21"/>
        </w:rPr>
      </w:pPr>
      <w:r>
        <w:rPr>
          <w:sz w:val="18"/>
          <w:szCs w:val="21"/>
          <w:vertAlign w:val="superscript"/>
        </w:rPr>
        <w:t>21</w:t>
      </w:r>
      <w:r>
        <w:rPr>
          <w:sz w:val="18"/>
          <w:szCs w:val="21"/>
        </w:rPr>
        <w:t xml:space="preserve"> </w:t>
      </w:r>
      <w:r>
        <w:rPr>
          <w:color w:val="0000FF"/>
          <w:sz w:val="18"/>
          <w:szCs w:val="21"/>
          <w:u w:val="single" w:color="0000FF"/>
        </w:rPr>
        <w:t>https://www.fda.gov/regulatory-information/search-fda-guidance-documents/requests-feedback-and-meetings-medical-</w:t>
      </w:r>
      <w:r>
        <w:rPr>
          <w:color w:val="0000FF"/>
          <w:sz w:val="18"/>
          <w:szCs w:val="21"/>
        </w:rPr>
        <w:t xml:space="preserve"> </w:t>
      </w:r>
      <w:r>
        <w:rPr>
          <w:color w:val="0000FF"/>
          <w:sz w:val="18"/>
          <w:szCs w:val="21"/>
          <w:u w:val="single" w:color="0000FF"/>
        </w:rPr>
        <w:t>device-submissions-q-submission-program</w:t>
      </w:r>
      <w:r>
        <w:rPr>
          <w:rFonts w:eastAsia="宋体" w:cs="宋体"/>
          <w:b/>
          <w:sz w:val="21"/>
        </w:rPr>
        <w:br w:type="page"/>
      </w:r>
    </w:p>
    <w:p w14:paraId="18D594DE">
      <w:pPr>
        <w:pStyle w:val="8"/>
        <w:adjustRightInd w:val="0"/>
        <w:snapToGrid w:val="0"/>
        <w:spacing w:before="120" w:beforeLines="50" w:line="300" w:lineRule="auto"/>
        <w:ind w:left="922" w:leftChars="200" w:hanging="482" w:hangingChars="200"/>
        <w:jc w:val="both"/>
        <w:outlineLvl w:val="1"/>
        <w:rPr>
          <w:b/>
          <w:szCs w:val="21"/>
          <w:lang w:eastAsia="zh-CN"/>
        </w:rPr>
      </w:pPr>
      <w:bookmarkStart w:id="20" w:name="_Toc91866607"/>
      <w:r>
        <w:rPr>
          <w:rFonts w:eastAsia="宋体" w:cs="宋体"/>
          <w:b/>
          <w:lang w:eastAsia="zh-CN"/>
        </w:rPr>
        <w:t>B.</w:t>
      </w:r>
      <w:r>
        <w:rPr>
          <w:rFonts w:eastAsia="宋体" w:cs="宋体"/>
          <w:b/>
          <w:lang w:eastAsia="zh-CN"/>
        </w:rPr>
        <w:tab/>
      </w:r>
      <w:r>
        <w:rPr>
          <w:rFonts w:eastAsia="宋体" w:cs="宋体"/>
          <w:b/>
          <w:lang w:eastAsia="zh-CN"/>
        </w:rPr>
        <w:t>磁感应扭矩</w:t>
      </w:r>
      <w:bookmarkEnd w:id="20"/>
    </w:p>
    <w:p w14:paraId="54BCCF4E">
      <w:pPr>
        <w:pStyle w:val="8"/>
        <w:adjustRightInd w:val="0"/>
        <w:snapToGrid w:val="0"/>
        <w:spacing w:before="120" w:beforeLines="50" w:line="300" w:lineRule="auto"/>
        <w:jc w:val="both"/>
        <w:rPr>
          <w:sz w:val="21"/>
          <w:szCs w:val="21"/>
          <w:lang w:eastAsia="zh-CN"/>
        </w:rPr>
      </w:pPr>
      <w:r>
        <w:rPr>
          <w:rFonts w:eastAsia="宋体" w:cs="宋体"/>
          <w:sz w:val="21"/>
          <w:lang w:eastAsia="zh-CN"/>
        </w:rPr>
        <w:t>MR系统的静磁场会对磁性材料产生扭矩。该磁感应扭矩可能会引起医疗器械出现不必要的移动，从而造成组织损伤。</w:t>
      </w:r>
    </w:p>
    <w:p w14:paraId="6A69C830">
      <w:pPr>
        <w:pStyle w:val="8"/>
        <w:adjustRightInd w:val="0"/>
        <w:snapToGrid w:val="0"/>
        <w:spacing w:before="120" w:beforeLines="50" w:line="300" w:lineRule="auto"/>
        <w:jc w:val="both"/>
        <w:rPr>
          <w:sz w:val="21"/>
          <w:szCs w:val="21"/>
          <w:lang w:eastAsia="zh-CN"/>
        </w:rPr>
      </w:pPr>
      <w:r>
        <w:rPr>
          <w:rFonts w:eastAsia="宋体" w:cs="宋体"/>
          <w:sz w:val="21"/>
          <w:lang w:eastAsia="zh-CN"/>
        </w:rPr>
        <w:t>应解决预期进入MR系统孔腔的所有医疗器械的这一危险。ASTM F2213提供了测量磁感应扭矩的标准方法。</w:t>
      </w:r>
    </w:p>
    <w:p w14:paraId="7731C601">
      <w:pPr>
        <w:pStyle w:val="8"/>
        <w:adjustRightInd w:val="0"/>
        <w:snapToGrid w:val="0"/>
        <w:spacing w:before="120" w:beforeLines="50" w:line="300" w:lineRule="auto"/>
        <w:jc w:val="both"/>
        <w:rPr>
          <w:sz w:val="21"/>
          <w:szCs w:val="21"/>
          <w:lang w:eastAsia="zh-CN"/>
        </w:rPr>
      </w:pPr>
      <w:r>
        <w:rPr>
          <w:rFonts w:eastAsia="宋体" w:cs="宋体"/>
          <w:sz w:val="21"/>
          <w:lang w:eastAsia="zh-CN"/>
        </w:rPr>
        <w:t>对于有多种尺寸可供选择的金属医疗器械，最长的医疗器械通常可作为评估磁感应扭矩的最坏情况。</w:t>
      </w:r>
    </w:p>
    <w:p w14:paraId="4B861C22">
      <w:pPr>
        <w:pStyle w:val="8"/>
        <w:adjustRightInd w:val="0"/>
        <w:snapToGrid w:val="0"/>
        <w:spacing w:before="120" w:beforeLines="50" w:line="300" w:lineRule="auto"/>
        <w:jc w:val="both"/>
        <w:rPr>
          <w:sz w:val="21"/>
          <w:szCs w:val="21"/>
          <w:lang w:eastAsia="zh-CN"/>
        </w:rPr>
      </w:pPr>
      <w:r>
        <w:rPr>
          <w:rFonts w:eastAsia="宋体" w:cs="宋体"/>
          <w:sz w:val="21"/>
          <w:lang w:eastAsia="zh-CN"/>
        </w:rPr>
        <w:t>通常将磁感应扭矩小于或等于医疗器械上的重力扭矩用作保守验收标准。根据邻近医疗器械的组织类型或体外医疗器械固定到患者身上或器械位于MR系统孔腔内时被限制移动的方式，较大的磁感应扭矩可接受。</w:t>
      </w:r>
    </w:p>
    <w:p w14:paraId="72F22348">
      <w:pPr>
        <w:pStyle w:val="8"/>
        <w:adjustRightInd w:val="0"/>
        <w:snapToGrid w:val="0"/>
        <w:spacing w:before="120" w:beforeLines="50" w:line="300" w:lineRule="auto"/>
        <w:ind w:left="922" w:leftChars="200" w:hanging="482" w:hangingChars="200"/>
        <w:jc w:val="both"/>
        <w:outlineLvl w:val="1"/>
        <w:rPr>
          <w:b/>
          <w:szCs w:val="21"/>
          <w:lang w:eastAsia="zh-CN"/>
        </w:rPr>
      </w:pPr>
      <w:bookmarkStart w:id="21" w:name="_Toc91866608"/>
      <w:r>
        <w:rPr>
          <w:rFonts w:eastAsia="宋体" w:cs="宋体"/>
          <w:b/>
          <w:lang w:eastAsia="zh-CN"/>
        </w:rPr>
        <w:t>C.</w:t>
      </w:r>
      <w:r>
        <w:rPr>
          <w:rFonts w:eastAsia="宋体" w:cs="宋体"/>
          <w:b/>
          <w:lang w:eastAsia="zh-CN"/>
        </w:rPr>
        <w:tab/>
      </w:r>
      <w:r>
        <w:rPr>
          <w:rFonts w:eastAsia="宋体" w:cs="宋体"/>
          <w:b/>
          <w:lang w:eastAsia="zh-CN"/>
        </w:rPr>
        <w:t>发热</w:t>
      </w:r>
      <w:bookmarkEnd w:id="21"/>
    </w:p>
    <w:p w14:paraId="4E4086AE">
      <w:pPr>
        <w:pStyle w:val="8"/>
        <w:adjustRightInd w:val="0"/>
        <w:snapToGrid w:val="0"/>
        <w:spacing w:before="120" w:beforeLines="50" w:line="300" w:lineRule="auto"/>
        <w:jc w:val="both"/>
        <w:rPr>
          <w:sz w:val="21"/>
          <w:szCs w:val="21"/>
          <w:lang w:eastAsia="zh-CN"/>
        </w:rPr>
      </w:pPr>
      <w:r>
        <w:rPr>
          <w:rFonts w:eastAsia="宋体" w:cs="宋体"/>
          <w:sz w:val="21"/>
          <w:lang w:eastAsia="zh-CN"/>
        </w:rPr>
        <w:t>MR系统的射频（RF）和切换梯度场（dB/dt）可引起邻近医疗器械的组织发热和/或医疗器械本身发热。应解决预期进入MR系统孔腔的所有医疗器械的这一危险。</w:t>
      </w:r>
    </w:p>
    <w:p w14:paraId="1C7B8F10">
      <w:pPr>
        <w:pStyle w:val="8"/>
        <w:adjustRightInd w:val="0"/>
        <w:snapToGrid w:val="0"/>
        <w:spacing w:before="120" w:beforeLines="50" w:line="300" w:lineRule="auto"/>
        <w:jc w:val="both"/>
        <w:rPr>
          <w:b/>
          <w:sz w:val="21"/>
          <w:szCs w:val="21"/>
          <w:u w:val="single"/>
          <w:lang w:eastAsia="zh-CN"/>
        </w:rPr>
      </w:pPr>
      <w:r>
        <w:rPr>
          <w:rFonts w:eastAsia="宋体" w:cs="宋体"/>
          <w:b/>
          <w:sz w:val="21"/>
          <w:u w:val="single"/>
          <w:lang w:eastAsia="zh-CN"/>
        </w:rPr>
        <w:t>射频感应致热</w:t>
      </w:r>
    </w:p>
    <w:p w14:paraId="4B2C2816">
      <w:pPr>
        <w:pStyle w:val="8"/>
        <w:adjustRightInd w:val="0"/>
        <w:snapToGrid w:val="0"/>
        <w:spacing w:before="120" w:beforeLines="50" w:line="300" w:lineRule="auto"/>
        <w:jc w:val="both"/>
        <w:rPr>
          <w:sz w:val="21"/>
          <w:szCs w:val="21"/>
          <w:lang w:eastAsia="zh-CN"/>
        </w:rPr>
      </w:pPr>
      <w:r>
        <w:rPr>
          <w:rFonts w:eastAsia="宋体" w:cs="宋体"/>
          <w:sz w:val="21"/>
          <w:lang w:eastAsia="zh-CN"/>
        </w:rPr>
        <w:t>射频感应组织发热是一种复杂的相互作用，取决于许多变量，包括MR系统射频线圈的特性（例如几何形状、材料、物理特性）、射频发射模式（例如圆极化、多通道-2（MC-2））以及患者解剖结构、组织特性和相对于射频线圈的位置（即成像标志）。此外，对于置入植入式医疗器械或与患者接触的医疗器械的患者，射频致热还取决于医疗器械的特性（例如几何形状、材料、物理特性）以及器械在场内、患者体内或体外的位置。预期在MR环境中使用的医疗器械的射频安全性评价应将所有上述变量考虑在内，以确保对临床相关的最坏情况致热场景进行评估。此类评价可包括适当的实验测量、计算建模和模拟（例如虚拟解剖模型）、科学文献数据和/或科学依据。</w:t>
      </w:r>
    </w:p>
    <w:p w14:paraId="780AB492">
      <w:pPr>
        <w:pStyle w:val="8"/>
        <w:adjustRightInd w:val="0"/>
        <w:snapToGrid w:val="0"/>
        <w:spacing w:before="120" w:beforeLines="50" w:line="300" w:lineRule="auto"/>
        <w:jc w:val="both"/>
        <w:rPr>
          <w:sz w:val="21"/>
          <w:szCs w:val="21"/>
          <w:lang w:eastAsia="zh-CN"/>
        </w:rPr>
      </w:pPr>
      <w:r>
        <w:rPr>
          <w:rFonts w:eastAsia="宋体" w:cs="宋体"/>
          <w:sz w:val="21"/>
          <w:lang w:eastAsia="zh-CN"/>
        </w:rPr>
        <w:t>在此背景下，医疗器械通常分为完全植入的无源医疗器械（例如支架、固定夹、螺钉、接骨板、心脏瓣膜、髋关节植入物）、AIMD（例如神经刺激器、起搏器、人工耳蜗）、部分植入医疗器械（例如MR引导的消融导管、骨科外固定支架）或与身体相连的体外医疗器械（例如EEG电极、EKG电极、脉搏血氧仪）。</w:t>
      </w:r>
    </w:p>
    <w:p w14:paraId="4DBE4A69">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18398446">
      <w:pPr>
        <w:pStyle w:val="8"/>
        <w:adjustRightInd w:val="0"/>
        <w:snapToGrid w:val="0"/>
        <w:spacing w:before="120" w:beforeLines="50" w:line="300" w:lineRule="auto"/>
        <w:jc w:val="both"/>
        <w:rPr>
          <w:sz w:val="21"/>
          <w:szCs w:val="21"/>
          <w:lang w:eastAsia="zh-CN"/>
        </w:rPr>
      </w:pPr>
      <w:r>
        <w:rPr>
          <w:rFonts w:eastAsia="宋体" w:cs="宋体"/>
          <w:sz w:val="21"/>
          <w:lang w:eastAsia="zh-CN"/>
        </w:rPr>
        <w:t>对于完全植入的无源医疗器械，ASTM F2182提供了一种测量射频致热的方法。</w:t>
      </w:r>
      <w:r>
        <w:rPr>
          <w:rFonts w:eastAsia="宋体" w:cs="宋体"/>
          <w:color w:val="0000FF"/>
          <w:sz w:val="21"/>
          <w:u w:val="single"/>
          <w:lang w:eastAsia="zh-CN"/>
        </w:rPr>
        <w:t>FDA发布的《</w:t>
      </w:r>
      <w:bookmarkStart w:id="22" w:name="_Hlk95488681"/>
      <w:r>
        <w:rPr>
          <w:rFonts w:eastAsia="宋体" w:cs="宋体"/>
          <w:color w:val="0000FF"/>
          <w:sz w:val="21"/>
          <w:u w:val="single"/>
          <w:lang w:eastAsia="zh-CN"/>
        </w:rPr>
        <w:t>磁共振（MR）环境中多配置无源医疗器械射频感应致热的评估</w:t>
      </w:r>
      <w:bookmarkEnd w:id="22"/>
      <w:r>
        <w:rPr>
          <w:rFonts w:eastAsia="宋体" w:cs="宋体"/>
          <w:color w:val="0000FF"/>
          <w:sz w:val="21"/>
          <w:u w:val="single"/>
          <w:lang w:eastAsia="zh-CN"/>
        </w:rPr>
        <w:t>》指南文件</w:t>
      </w:r>
      <w:r>
        <w:rPr>
          <w:rFonts w:eastAsia="宋体" w:cs="宋体"/>
          <w:sz w:val="21"/>
          <w:vertAlign w:val="superscript"/>
          <w:lang w:eastAsia="zh-CN"/>
        </w:rPr>
        <w:t>22</w:t>
      </w:r>
      <w:r>
        <w:rPr>
          <w:rFonts w:eastAsia="宋体" w:cs="宋体"/>
          <w:sz w:val="21"/>
          <w:lang w:eastAsia="zh-CN"/>
        </w:rPr>
        <w:t>提供了有助于确定用于评估无源医疗器械中射频感应致热的最坏情况配置的信息。请注意，本指南还可用于确定采用单一配置的无源医疗器械（例如支架）的最大预期温升位置。</w:t>
      </w:r>
    </w:p>
    <w:p w14:paraId="71943B02">
      <w:pPr>
        <w:pStyle w:val="8"/>
        <w:adjustRightInd w:val="0"/>
        <w:snapToGrid w:val="0"/>
        <w:spacing w:before="120" w:beforeLines="50" w:line="300" w:lineRule="auto"/>
        <w:jc w:val="both"/>
        <w:rPr>
          <w:sz w:val="21"/>
          <w:szCs w:val="21"/>
          <w:lang w:eastAsia="zh-CN"/>
        </w:rPr>
      </w:pPr>
      <w:r>
        <w:rPr>
          <w:rFonts w:eastAsia="宋体" w:cs="宋体"/>
          <w:sz w:val="21"/>
          <w:lang w:eastAsia="zh-CN"/>
        </w:rPr>
        <w:t>不需要在小于或等于3.0 T的磁场强度下对在所有方向上的展开尺寸均小于2 cm且距离其他金属医疗器械至少3 cm的医疗器械进行射频致热试验，因为预计在1.5 T和3.0 T频率下暴露1小时后，温度变化小于2℃。当医疗器械的多个复制品（例如多个锚定装置）植入医疗器械的3 cm范围内时，该条件不成立。推荐距离为3 cm，以避免与其他相邻医疗器械发生任何射频耦合。上述</w:t>
      </w:r>
      <w:r>
        <w:rPr>
          <w:rFonts w:hint="eastAsia" w:eastAsia="宋体" w:cs="宋体"/>
          <w:sz w:val="21"/>
          <w:lang w:eastAsia="zh-CN"/>
        </w:rPr>
        <w:t>数</w:t>
      </w:r>
      <w:r>
        <w:rPr>
          <w:rFonts w:eastAsia="宋体" w:cs="宋体"/>
          <w:sz w:val="21"/>
          <w:lang w:eastAsia="zh-CN"/>
        </w:rPr>
        <w:t>值源自既往上市前申请和文献。</w:t>
      </w:r>
      <w:r>
        <w:rPr>
          <w:rFonts w:eastAsia="宋体" w:cs="宋体"/>
          <w:sz w:val="21"/>
          <w:vertAlign w:val="superscript"/>
          <w:lang w:eastAsia="zh-CN"/>
        </w:rPr>
        <w:t>23,24,25</w:t>
      </w:r>
    </w:p>
    <w:p w14:paraId="5EA8A3CD">
      <w:pPr>
        <w:pStyle w:val="8"/>
        <w:adjustRightInd w:val="0"/>
        <w:snapToGrid w:val="0"/>
        <w:spacing w:before="120" w:beforeLines="50" w:line="300" w:lineRule="auto"/>
        <w:jc w:val="both"/>
        <w:rPr>
          <w:sz w:val="21"/>
          <w:szCs w:val="21"/>
          <w:lang w:eastAsia="zh-CN"/>
        </w:rPr>
      </w:pPr>
      <w:r>
        <w:rPr>
          <w:rFonts w:eastAsia="宋体" w:cs="宋体"/>
          <w:sz w:val="21"/>
          <w:lang w:eastAsia="zh-CN"/>
        </w:rPr>
        <w:t>对于AIMD，ISO/TS 10974提供了一种用于评估射频致热的分层方法。</w:t>
      </w:r>
    </w:p>
    <w:p w14:paraId="06A0D4DB">
      <w:pPr>
        <w:pStyle w:val="8"/>
        <w:adjustRightInd w:val="0"/>
        <w:snapToGrid w:val="0"/>
        <w:spacing w:before="120" w:beforeLines="50" w:line="300" w:lineRule="auto"/>
        <w:jc w:val="both"/>
        <w:rPr>
          <w:sz w:val="21"/>
          <w:szCs w:val="21"/>
          <w:lang w:eastAsia="zh-CN"/>
        </w:rPr>
      </w:pPr>
      <w:r>
        <w:rPr>
          <w:rFonts w:eastAsia="宋体" w:cs="宋体"/>
          <w:sz w:val="21"/>
          <w:lang w:eastAsia="zh-CN"/>
        </w:rPr>
        <w:t>没有用于评估部分植入医疗器械或与患者接触的体外医疗器械在MR环境中的射频致热的标准方法。由于ASTM F2182是针对完全植入的医疗器械开发的，因此标准中描述的体模试验可能不适用于该目的。因此，建议通过Q-申请流程寻求有关拟议试验计划的反馈，以评估与患者接触但未植入或部分植入医疗器械的发热程度。</w:t>
      </w:r>
    </w:p>
    <w:p w14:paraId="63127FD1">
      <w:pPr>
        <w:pStyle w:val="8"/>
        <w:adjustRightInd w:val="0"/>
        <w:snapToGrid w:val="0"/>
        <w:spacing w:before="120" w:beforeLines="50" w:line="300" w:lineRule="auto"/>
        <w:jc w:val="both"/>
        <w:rPr>
          <w:sz w:val="21"/>
          <w:szCs w:val="21"/>
          <w:lang w:eastAsia="zh-CN"/>
        </w:rPr>
      </w:pPr>
      <w:r>
        <w:rPr>
          <w:rFonts w:eastAsia="宋体" w:cs="宋体"/>
          <w:sz w:val="21"/>
          <w:lang w:eastAsia="zh-CN"/>
        </w:rPr>
        <w:t>应依据科学依据或现有文献，根据医疗器械在体内或体外的位置确立温度/时间剂量的验收标准。不需要提供温升小于或等于2℃的理由。</w:t>
      </w:r>
      <w:r>
        <w:rPr>
          <w:rFonts w:eastAsia="宋体" w:cs="宋体"/>
          <w:sz w:val="21"/>
          <w:vertAlign w:val="superscript"/>
          <w:lang w:eastAsia="zh-CN"/>
        </w:rPr>
        <w:t>26</w:t>
      </w:r>
    </w:p>
    <w:p w14:paraId="57BE5FD9">
      <w:pPr>
        <w:pStyle w:val="8"/>
        <w:adjustRightInd w:val="0"/>
        <w:snapToGrid w:val="0"/>
        <w:spacing w:before="120" w:beforeLines="50" w:line="300" w:lineRule="auto"/>
        <w:jc w:val="both"/>
        <w:rPr>
          <w:b/>
          <w:sz w:val="21"/>
          <w:szCs w:val="21"/>
          <w:u w:val="single"/>
          <w:lang w:eastAsia="zh-CN"/>
        </w:rPr>
      </w:pPr>
      <w:r>
        <w:rPr>
          <w:rFonts w:eastAsia="宋体" w:cs="宋体"/>
          <w:b/>
          <w:sz w:val="21"/>
          <w:u w:val="single"/>
          <w:lang w:eastAsia="zh-CN"/>
        </w:rPr>
        <w:t>时变磁场梯度引起的发热（dB/dt）</w:t>
      </w:r>
    </w:p>
    <w:p w14:paraId="3D6FE964">
      <w:pPr>
        <w:pStyle w:val="8"/>
        <w:adjustRightInd w:val="0"/>
        <w:snapToGrid w:val="0"/>
        <w:spacing w:before="120" w:beforeLines="50" w:line="300" w:lineRule="auto"/>
        <w:jc w:val="both"/>
        <w:rPr>
          <w:sz w:val="21"/>
          <w:szCs w:val="21"/>
          <w:lang w:eastAsia="zh-CN"/>
        </w:rPr>
      </w:pPr>
      <w:r>
        <w:rPr>
          <w:rFonts w:eastAsia="宋体" w:cs="宋体"/>
          <w:sz w:val="21"/>
          <w:lang w:eastAsia="zh-CN"/>
        </w:rPr>
        <w:t>暴露于时变磁场（梯度脉冲）可在放置在MR系统孔腔内的金属植入物的导电表面上以及导线和电线的导电回路中诱发涡流。磁场梯度脉冲沉积的功率主要取决于导体的表面积和厚度、磁场变化率、电导率和导电回路的相对</w:t>
      </w:r>
      <w:r>
        <w:rPr>
          <w:rFonts w:hint="eastAsia" w:eastAsia="宋体" w:cs="宋体"/>
          <w:sz w:val="21"/>
          <w:lang w:eastAsia="zh-CN"/>
        </w:rPr>
        <w:t>方向</w:t>
      </w:r>
      <w:r>
        <w:rPr>
          <w:rFonts w:eastAsia="宋体" w:cs="宋体"/>
          <w:sz w:val="21"/>
          <w:lang w:eastAsia="zh-CN"/>
        </w:rPr>
        <w:t>。</w:t>
      </w:r>
    </w:p>
    <w:p w14:paraId="095967D7">
      <w:pPr>
        <w:pStyle w:val="8"/>
        <w:adjustRightInd w:val="0"/>
        <w:snapToGrid w:val="0"/>
        <w:spacing w:before="3960" w:beforeLines="1650" w:line="300" w:lineRule="auto"/>
        <w:jc w:val="both"/>
        <w:rPr>
          <w:rFonts w:eastAsiaTheme="minorEastAsia"/>
          <w:sz w:val="21"/>
          <w:szCs w:val="21"/>
          <w:lang w:eastAsia="zh-CN"/>
        </w:rPr>
      </w:pPr>
      <w:r>
        <w:rPr>
          <w:rFonts w:eastAsia="宋体" w:cs="宋体"/>
          <w:sz w:val="21"/>
        </w:rPr>
        <w:t>____________________</w:t>
      </w:r>
    </w:p>
    <w:p w14:paraId="45F153A9">
      <w:pPr>
        <w:adjustRightInd w:val="0"/>
        <w:snapToGrid w:val="0"/>
        <w:spacing w:before="36" w:beforeLines="15" w:line="276" w:lineRule="auto"/>
        <w:jc w:val="both"/>
        <w:rPr>
          <w:sz w:val="18"/>
          <w:szCs w:val="21"/>
        </w:rPr>
      </w:pPr>
      <w:r>
        <w:rPr>
          <w:sz w:val="18"/>
          <w:szCs w:val="21"/>
          <w:vertAlign w:val="superscript"/>
        </w:rPr>
        <w:t>22</w:t>
      </w:r>
      <w:r>
        <w:rPr>
          <w:sz w:val="18"/>
          <w:szCs w:val="21"/>
        </w:rPr>
        <w:t xml:space="preserve"> </w:t>
      </w:r>
      <w:r>
        <w:rPr>
          <w:color w:val="0000FF"/>
          <w:sz w:val="18"/>
          <w:szCs w:val="21"/>
          <w:u w:val="single" w:color="0000FF"/>
        </w:rPr>
        <w:t>https://www.fda.gov/regulatory-information/search-fda-guidance-documents/assessment-radiofrequency-</w:t>
      </w:r>
      <w:r>
        <w:rPr>
          <w:color w:val="0000FF"/>
          <w:sz w:val="18"/>
          <w:szCs w:val="21"/>
        </w:rPr>
        <w:t xml:space="preserve"> </w:t>
      </w:r>
      <w:r>
        <w:rPr>
          <w:color w:val="0000FF"/>
          <w:sz w:val="18"/>
          <w:szCs w:val="21"/>
          <w:u w:val="single" w:color="0000FF"/>
        </w:rPr>
        <w:t>induced-heating-magnetic-resonance-mr-environment-multi-configuration</w:t>
      </w:r>
    </w:p>
    <w:p w14:paraId="562348D8">
      <w:pPr>
        <w:adjustRightInd w:val="0"/>
        <w:snapToGrid w:val="0"/>
        <w:spacing w:before="36" w:beforeLines="15" w:line="276" w:lineRule="auto"/>
        <w:jc w:val="both"/>
        <w:rPr>
          <w:sz w:val="18"/>
          <w:szCs w:val="21"/>
        </w:rPr>
      </w:pPr>
      <w:r>
        <w:rPr>
          <w:rFonts w:eastAsia="宋体" w:cs="宋体"/>
          <w:sz w:val="18"/>
          <w:vertAlign w:val="superscript"/>
        </w:rPr>
        <w:t>23</w:t>
      </w:r>
      <w:r>
        <w:rPr>
          <w:rFonts w:eastAsia="宋体" w:cs="宋体"/>
          <w:sz w:val="18"/>
        </w:rPr>
        <w:t xml:space="preserve"> Song, T., Xu, Z., Iacono, M.I., Angelone, L.M., Rajan, S.S., “Retrospective Analysis of RF Heating measurements of Passive Medical Implants,” </w:t>
      </w:r>
      <w:r>
        <w:rPr>
          <w:rFonts w:eastAsia="宋体" w:cs="宋体"/>
          <w:i/>
          <w:sz w:val="18"/>
        </w:rPr>
        <w:t>Magn Reson Med</w:t>
      </w:r>
      <w:r>
        <w:rPr>
          <w:rFonts w:eastAsia="宋体" w:cs="宋体"/>
          <w:sz w:val="18"/>
        </w:rPr>
        <w:t>., 2018, pp. 2726–2730. http://dx.doi.org/10.1002/mrm.27346.</w:t>
      </w:r>
    </w:p>
    <w:p w14:paraId="22AE6721">
      <w:pPr>
        <w:adjustRightInd w:val="0"/>
        <w:snapToGrid w:val="0"/>
        <w:spacing w:before="36" w:beforeLines="15" w:line="276" w:lineRule="auto"/>
        <w:jc w:val="both"/>
        <w:rPr>
          <w:sz w:val="18"/>
          <w:szCs w:val="21"/>
        </w:rPr>
      </w:pPr>
      <w:r>
        <w:rPr>
          <w:rFonts w:eastAsia="宋体" w:cs="宋体"/>
          <w:sz w:val="18"/>
          <w:vertAlign w:val="superscript"/>
        </w:rPr>
        <w:t>24</w:t>
      </w:r>
      <w:r>
        <w:rPr>
          <w:rFonts w:eastAsia="宋体" w:cs="宋体"/>
          <w:sz w:val="18"/>
        </w:rPr>
        <w:t xml:space="preserve"> Yeung, C.J., Susil, R.C., Atalar, E., “RF Safety of Wires in Interventional MRI: Using a Safety Index,” </w:t>
      </w:r>
      <w:r>
        <w:rPr>
          <w:rFonts w:eastAsia="宋体" w:cs="宋体"/>
          <w:i/>
          <w:sz w:val="18"/>
        </w:rPr>
        <w:t>Magn Reson Med</w:t>
      </w:r>
      <w:r>
        <w:rPr>
          <w:rFonts w:eastAsia="宋体" w:cs="宋体"/>
          <w:sz w:val="18"/>
        </w:rPr>
        <w:t>, 2002, pp.187–193.</w:t>
      </w:r>
    </w:p>
    <w:p w14:paraId="17B71C9B">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25</w:t>
      </w:r>
      <w:r>
        <w:rPr>
          <w:rFonts w:eastAsia="宋体" w:cs="宋体"/>
          <w:sz w:val="18"/>
          <w:lang w:eastAsia="zh-CN"/>
        </w:rPr>
        <w:t xml:space="preserve"> ISO 14708-3-2017手术植入物－有源植入式医疗器械 — 第3部分：植入式神经刺激器</w:t>
      </w:r>
    </w:p>
    <w:p w14:paraId="66D121F3">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26</w:t>
      </w:r>
      <w:r>
        <w:rPr>
          <w:rFonts w:eastAsia="宋体" w:cs="宋体"/>
          <w:sz w:val="18"/>
          <w:lang w:eastAsia="zh-CN"/>
        </w:rPr>
        <w:t xml:space="preserve"> ISO 14708-3-2017手术植入物－有源植入式医疗器械 — 第3部分：植入式神经刺激器</w:t>
      </w:r>
      <w:r>
        <w:rPr>
          <w:rFonts w:eastAsia="宋体" w:cs="宋体"/>
          <w:b/>
          <w:sz w:val="18"/>
          <w:lang w:eastAsia="zh-CN"/>
        </w:rPr>
        <w:br w:type="page"/>
      </w:r>
    </w:p>
    <w:p w14:paraId="00105799">
      <w:pPr>
        <w:pStyle w:val="8"/>
        <w:adjustRightInd w:val="0"/>
        <w:snapToGrid w:val="0"/>
        <w:spacing w:before="120" w:beforeLines="50" w:line="300" w:lineRule="auto"/>
        <w:jc w:val="both"/>
        <w:rPr>
          <w:sz w:val="21"/>
          <w:szCs w:val="21"/>
          <w:lang w:eastAsia="zh-CN"/>
        </w:rPr>
      </w:pPr>
      <w:r>
        <w:rPr>
          <w:rFonts w:eastAsia="宋体" w:cs="宋体"/>
          <w:sz w:val="21"/>
          <w:lang w:eastAsia="zh-CN"/>
        </w:rPr>
        <w:t>ISO/TS 10974纳入了评估AIMD梯度感应致热的试验方法。没有用于评估无源医疗器械梯度感应致热的标准试验方法。可采用ISO/TS 10974中的方法，以便使其得到更广泛地应用。</w:t>
      </w:r>
    </w:p>
    <w:p w14:paraId="0DFD46C7">
      <w:pPr>
        <w:pStyle w:val="8"/>
        <w:adjustRightInd w:val="0"/>
        <w:snapToGrid w:val="0"/>
        <w:spacing w:before="120" w:beforeLines="50" w:line="300" w:lineRule="auto"/>
        <w:jc w:val="both"/>
        <w:rPr>
          <w:sz w:val="21"/>
          <w:szCs w:val="21"/>
          <w:lang w:eastAsia="zh-CN"/>
        </w:rPr>
      </w:pPr>
      <w:r>
        <w:rPr>
          <w:rFonts w:eastAsia="宋体" w:cs="宋体"/>
          <w:sz w:val="21"/>
          <w:lang w:eastAsia="zh-CN"/>
        </w:rPr>
        <w:t>由于MR系统孔腔外的梯度场快速下降，因此梯度感应致热不会对位于孔腔外的医疗器械构成危险。</w:t>
      </w:r>
    </w:p>
    <w:p w14:paraId="4890EAA1">
      <w:pPr>
        <w:pStyle w:val="8"/>
        <w:adjustRightInd w:val="0"/>
        <w:snapToGrid w:val="0"/>
        <w:spacing w:before="120" w:beforeLines="50" w:line="300" w:lineRule="auto"/>
        <w:jc w:val="both"/>
        <w:rPr>
          <w:sz w:val="21"/>
          <w:szCs w:val="21"/>
          <w:lang w:eastAsia="zh-CN"/>
        </w:rPr>
      </w:pPr>
      <w:r>
        <w:rPr>
          <w:rFonts w:eastAsia="宋体" w:cs="宋体"/>
          <w:sz w:val="21"/>
          <w:lang w:eastAsia="zh-CN"/>
        </w:rPr>
        <w:t>应依据科学依据或现有文献，根据医疗器械在体内或体外的位置确立温度/时间剂量的验收标准。不需要提供温升小于或等于2℃的理由。</w:t>
      </w:r>
      <w:r>
        <w:rPr>
          <w:rFonts w:eastAsia="宋体" w:cs="宋体"/>
          <w:sz w:val="21"/>
          <w:vertAlign w:val="superscript"/>
          <w:lang w:eastAsia="zh-CN"/>
        </w:rPr>
        <w:t>27</w:t>
      </w:r>
    </w:p>
    <w:p w14:paraId="7A85FBAB">
      <w:pPr>
        <w:pStyle w:val="8"/>
        <w:adjustRightInd w:val="0"/>
        <w:snapToGrid w:val="0"/>
        <w:spacing w:before="120" w:beforeLines="50" w:line="300" w:lineRule="auto"/>
        <w:jc w:val="both"/>
        <w:rPr>
          <w:sz w:val="21"/>
          <w:szCs w:val="21"/>
          <w:lang w:eastAsia="zh-CN"/>
        </w:rPr>
      </w:pPr>
      <w:r>
        <w:rPr>
          <w:rFonts w:eastAsia="宋体" w:cs="宋体"/>
          <w:sz w:val="21"/>
          <w:lang w:eastAsia="zh-CN"/>
        </w:rPr>
        <w:t>510(k)总结或安全性和有效性决策总结（SSED）应包括确定发热允许温度所依据的验收标准。例如：预计&lt;插入温度&gt;&lt;插入分钟数&gt;的局部温升不会对邻近器械的组织造成热损伤。</w:t>
      </w:r>
    </w:p>
    <w:p w14:paraId="0114CD4E">
      <w:pPr>
        <w:pStyle w:val="8"/>
        <w:adjustRightInd w:val="0"/>
        <w:snapToGrid w:val="0"/>
        <w:spacing w:before="120" w:beforeLines="50" w:line="300" w:lineRule="auto"/>
        <w:ind w:left="922" w:leftChars="200" w:hanging="482" w:hangingChars="200"/>
        <w:jc w:val="both"/>
        <w:outlineLvl w:val="1"/>
        <w:rPr>
          <w:b/>
          <w:szCs w:val="21"/>
          <w:lang w:eastAsia="zh-CN"/>
        </w:rPr>
      </w:pPr>
      <w:bookmarkStart w:id="23" w:name="_Toc91866609"/>
      <w:r>
        <w:rPr>
          <w:rFonts w:eastAsia="宋体" w:cs="宋体"/>
          <w:b/>
          <w:lang w:eastAsia="zh-CN"/>
        </w:rPr>
        <w:t>D.</w:t>
      </w:r>
      <w:r>
        <w:rPr>
          <w:rFonts w:eastAsia="宋体" w:cs="宋体"/>
          <w:b/>
          <w:lang w:eastAsia="zh-CN"/>
        </w:rPr>
        <w:tab/>
      </w:r>
      <w:r>
        <w:rPr>
          <w:rFonts w:eastAsia="宋体" w:cs="宋体"/>
          <w:b/>
          <w:lang w:eastAsia="zh-CN"/>
        </w:rPr>
        <w:t>梯度场感应振动</w:t>
      </w:r>
      <w:bookmarkEnd w:id="23"/>
    </w:p>
    <w:p w14:paraId="1614D852">
      <w:pPr>
        <w:pStyle w:val="8"/>
        <w:adjustRightInd w:val="0"/>
        <w:snapToGrid w:val="0"/>
        <w:spacing w:before="120" w:beforeLines="50" w:line="300" w:lineRule="auto"/>
        <w:jc w:val="both"/>
        <w:rPr>
          <w:sz w:val="21"/>
          <w:szCs w:val="21"/>
          <w:lang w:eastAsia="zh-CN"/>
        </w:rPr>
      </w:pPr>
      <w:r>
        <w:rPr>
          <w:rFonts w:eastAsia="宋体" w:cs="宋体"/>
          <w:sz w:val="21"/>
          <w:lang w:eastAsia="zh-CN"/>
        </w:rPr>
        <w:t>MR系统的脉冲梯度磁场可能会对金属医疗器械产生作用力，从而导致器械振动。这种梯度感应振动可能导致器械故障或组织损伤。应解决所有AIMD的这一危险。ISO/TS 10974提供了一种评估AIMD梯度感应振动的试验方法。由于典型的平面表面积较小，因此对于无源医疗器械，梯度感应振动通常不会构成组织损伤或医疗器械故障的危险。</w:t>
      </w:r>
    </w:p>
    <w:p w14:paraId="38BB70FF">
      <w:pPr>
        <w:pStyle w:val="8"/>
        <w:adjustRightInd w:val="0"/>
        <w:snapToGrid w:val="0"/>
        <w:spacing w:before="120" w:beforeLines="50" w:line="300" w:lineRule="auto"/>
        <w:jc w:val="both"/>
        <w:rPr>
          <w:sz w:val="21"/>
          <w:szCs w:val="21"/>
          <w:lang w:eastAsia="zh-CN"/>
        </w:rPr>
      </w:pPr>
      <w:r>
        <w:rPr>
          <w:rFonts w:eastAsia="宋体" w:cs="宋体"/>
          <w:sz w:val="21"/>
          <w:lang w:eastAsia="zh-CN"/>
        </w:rPr>
        <w:t>应依据科学依据或现有文献，根据医疗器械在体内或体外的位置确立验收标准。</w:t>
      </w:r>
    </w:p>
    <w:p w14:paraId="09EAB640">
      <w:pPr>
        <w:pStyle w:val="8"/>
        <w:adjustRightInd w:val="0"/>
        <w:snapToGrid w:val="0"/>
        <w:spacing w:before="120" w:beforeLines="50" w:line="300" w:lineRule="auto"/>
        <w:ind w:left="922" w:leftChars="200" w:hanging="482" w:hangingChars="200"/>
        <w:jc w:val="both"/>
        <w:outlineLvl w:val="1"/>
        <w:rPr>
          <w:b/>
          <w:szCs w:val="21"/>
          <w:lang w:eastAsia="zh-CN"/>
        </w:rPr>
      </w:pPr>
      <w:bookmarkStart w:id="24" w:name="_Toc91866610"/>
      <w:r>
        <w:rPr>
          <w:rFonts w:eastAsia="宋体" w:cs="宋体"/>
          <w:b/>
          <w:lang w:eastAsia="zh-CN"/>
        </w:rPr>
        <w:t>E.</w:t>
      </w:r>
      <w:r>
        <w:rPr>
          <w:rFonts w:eastAsia="宋体" w:cs="宋体"/>
          <w:b/>
          <w:lang w:eastAsia="zh-CN"/>
        </w:rPr>
        <w:tab/>
      </w:r>
      <w:r>
        <w:rPr>
          <w:rFonts w:eastAsia="宋体" w:cs="宋体"/>
          <w:b/>
          <w:lang w:eastAsia="zh-CN"/>
        </w:rPr>
        <w:t>梯度感应外电势（非预期刺激）</w:t>
      </w:r>
      <w:bookmarkEnd w:id="24"/>
    </w:p>
    <w:p w14:paraId="0C5E7BB0">
      <w:pPr>
        <w:pStyle w:val="8"/>
        <w:adjustRightInd w:val="0"/>
        <w:snapToGrid w:val="0"/>
        <w:spacing w:before="120" w:beforeLines="50" w:line="300" w:lineRule="auto"/>
        <w:jc w:val="both"/>
        <w:rPr>
          <w:sz w:val="21"/>
          <w:szCs w:val="21"/>
          <w:lang w:eastAsia="zh-CN"/>
        </w:rPr>
      </w:pPr>
      <w:r>
        <w:rPr>
          <w:rFonts w:eastAsia="宋体" w:cs="宋体"/>
          <w:sz w:val="21"/>
          <w:lang w:eastAsia="zh-CN"/>
        </w:rPr>
        <w:t>MR检查中使用的梯度脉冲产生的时变磁场可在导线的电极处感应电势。外电势可能在单</w:t>
      </w:r>
      <w:r>
        <w:rPr>
          <w:rFonts w:hint="eastAsia" w:eastAsia="宋体" w:cs="宋体"/>
          <w:sz w:val="21"/>
          <w:lang w:eastAsia="zh-CN"/>
        </w:rPr>
        <w:t>根</w:t>
      </w:r>
      <w:r>
        <w:rPr>
          <w:rFonts w:eastAsia="宋体" w:cs="宋体"/>
          <w:sz w:val="21"/>
          <w:lang w:eastAsia="zh-CN"/>
        </w:rPr>
        <w:t>AIMD导线（导线内）、多导线AIMD的电极之间（导线间）或电极和与组织接触的导电AIMD外壳之间产生。感应电压可驱动会导致非预期生理刺激或医疗器械故障的电流。应解决AIMD和接触神经或肌肉组织的部分植入有源医疗器械的这一危险。</w:t>
      </w:r>
    </w:p>
    <w:p w14:paraId="1FBBB886">
      <w:pPr>
        <w:pStyle w:val="8"/>
        <w:adjustRightInd w:val="0"/>
        <w:snapToGrid w:val="0"/>
        <w:spacing w:before="6000" w:beforeLines="2500" w:line="300" w:lineRule="auto"/>
        <w:jc w:val="both"/>
        <w:rPr>
          <w:rFonts w:eastAsiaTheme="minorEastAsia"/>
          <w:sz w:val="21"/>
          <w:szCs w:val="21"/>
          <w:lang w:eastAsia="zh-CN"/>
        </w:rPr>
      </w:pPr>
      <w:r>
        <w:rPr>
          <w:rFonts w:eastAsia="宋体" w:cs="宋体"/>
          <w:sz w:val="21"/>
          <w:lang w:eastAsia="zh-CN"/>
        </w:rPr>
        <w:t>____________________</w:t>
      </w:r>
    </w:p>
    <w:p w14:paraId="7FA2BF3F">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27</w:t>
      </w:r>
      <w:r>
        <w:rPr>
          <w:rFonts w:eastAsia="宋体" w:cs="宋体"/>
          <w:sz w:val="18"/>
          <w:lang w:eastAsia="zh-CN"/>
        </w:rPr>
        <w:t xml:space="preserve"> ISO 14708-3-2017手术植入物－有源植入式医疗器械 — 第3部分：植入式神经刺激器</w:t>
      </w:r>
      <w:r>
        <w:rPr>
          <w:rFonts w:eastAsia="宋体" w:cs="宋体"/>
          <w:b/>
          <w:sz w:val="18"/>
          <w:lang w:eastAsia="zh-CN"/>
        </w:rPr>
        <w:br w:type="page"/>
      </w:r>
    </w:p>
    <w:p w14:paraId="218FDA89">
      <w:pPr>
        <w:pStyle w:val="8"/>
        <w:adjustRightInd w:val="0"/>
        <w:snapToGrid w:val="0"/>
        <w:spacing w:before="120" w:beforeLines="50" w:line="300" w:lineRule="auto"/>
        <w:jc w:val="both"/>
        <w:rPr>
          <w:sz w:val="21"/>
          <w:szCs w:val="21"/>
          <w:lang w:eastAsia="zh-CN"/>
        </w:rPr>
      </w:pPr>
      <w:r>
        <w:rPr>
          <w:rFonts w:eastAsia="宋体" w:cs="宋体"/>
          <w:sz w:val="21"/>
          <w:lang w:eastAsia="zh-CN"/>
        </w:rPr>
        <w:t>ISO/TS 10974中概述的试验测量了由于脉冲梯度磁场而产生的非预期电荷量和电流。</w:t>
      </w:r>
    </w:p>
    <w:p w14:paraId="26BF7CFB">
      <w:pPr>
        <w:pStyle w:val="8"/>
        <w:adjustRightInd w:val="0"/>
        <w:snapToGrid w:val="0"/>
        <w:spacing w:before="120" w:beforeLines="50" w:line="300" w:lineRule="auto"/>
        <w:jc w:val="both"/>
        <w:rPr>
          <w:sz w:val="21"/>
          <w:szCs w:val="21"/>
          <w:lang w:eastAsia="zh-CN"/>
        </w:rPr>
      </w:pPr>
      <w:r>
        <w:rPr>
          <w:rFonts w:eastAsia="宋体" w:cs="宋体"/>
          <w:sz w:val="21"/>
          <w:lang w:eastAsia="zh-CN"/>
        </w:rPr>
        <w:t>应依据科学依据或现有文献，根据医疗器械在体内或体外的位置确立验收标准。</w:t>
      </w:r>
    </w:p>
    <w:p w14:paraId="1B2A8067">
      <w:pPr>
        <w:pStyle w:val="8"/>
        <w:adjustRightInd w:val="0"/>
        <w:snapToGrid w:val="0"/>
        <w:spacing w:before="120" w:beforeLines="50" w:line="300" w:lineRule="auto"/>
        <w:ind w:left="922" w:leftChars="200" w:hanging="482" w:hangingChars="200"/>
        <w:jc w:val="both"/>
        <w:outlineLvl w:val="1"/>
        <w:rPr>
          <w:b/>
          <w:szCs w:val="21"/>
          <w:lang w:eastAsia="zh-CN"/>
        </w:rPr>
      </w:pPr>
      <w:bookmarkStart w:id="25" w:name="_Toc91866611"/>
      <w:r>
        <w:rPr>
          <w:rFonts w:eastAsia="宋体" w:cs="宋体"/>
          <w:b/>
          <w:lang w:eastAsia="zh-CN"/>
        </w:rPr>
        <w:t>F.</w:t>
      </w:r>
      <w:r>
        <w:rPr>
          <w:rFonts w:eastAsia="宋体" w:cs="宋体"/>
          <w:b/>
          <w:lang w:eastAsia="zh-CN"/>
        </w:rPr>
        <w:tab/>
      </w:r>
      <w:r>
        <w:rPr>
          <w:rFonts w:eastAsia="宋体" w:cs="宋体"/>
          <w:b/>
          <w:lang w:eastAsia="zh-CN"/>
        </w:rPr>
        <w:t>MR检查的射频脉冲整流（非预期刺激）</w:t>
      </w:r>
      <w:bookmarkEnd w:id="25"/>
    </w:p>
    <w:p w14:paraId="488CB361">
      <w:pPr>
        <w:pStyle w:val="8"/>
        <w:adjustRightInd w:val="0"/>
        <w:snapToGrid w:val="0"/>
        <w:spacing w:before="120" w:beforeLines="50" w:line="300" w:lineRule="auto"/>
        <w:jc w:val="both"/>
        <w:rPr>
          <w:sz w:val="21"/>
          <w:szCs w:val="21"/>
          <w:lang w:eastAsia="zh-CN"/>
        </w:rPr>
      </w:pPr>
      <w:r>
        <w:rPr>
          <w:rFonts w:eastAsia="宋体" w:cs="宋体"/>
          <w:sz w:val="21"/>
          <w:lang w:eastAsia="zh-CN"/>
        </w:rPr>
        <w:t>医疗器械处于MR环境中时，整流是指将射频波形转换为能够产生非预期组织刺激的变化缓慢的电压。如果医疗器械电极处产生整流电压，则可能产生非预期组织刺激。</w:t>
      </w:r>
    </w:p>
    <w:p w14:paraId="58CA6069">
      <w:pPr>
        <w:pStyle w:val="8"/>
        <w:adjustRightInd w:val="0"/>
        <w:snapToGrid w:val="0"/>
        <w:spacing w:before="120" w:beforeLines="50" w:line="300" w:lineRule="auto"/>
        <w:jc w:val="both"/>
        <w:rPr>
          <w:sz w:val="21"/>
          <w:szCs w:val="21"/>
          <w:lang w:eastAsia="zh-CN"/>
        </w:rPr>
      </w:pPr>
      <w:r>
        <w:rPr>
          <w:rFonts w:eastAsia="宋体" w:cs="宋体"/>
          <w:sz w:val="21"/>
          <w:lang w:eastAsia="zh-CN"/>
        </w:rPr>
        <w:t>应解决AIMD、包含接触神经或肌肉组织的导线的部分植入有源医疗器械以及非植入式有源医疗器械的这一危险。ISO/TS 10974中概述的试验测量了AIMD在射频暴露期间产生的整流电压水平。这些方法适用于包含接触神经或肌肉组织的导线的部分植入有源医疗器械。对于非植入式有源医疗器械，应采用H部分所述的医疗器械故障检测来解决这一危险。</w:t>
      </w:r>
    </w:p>
    <w:p w14:paraId="66E1839E">
      <w:pPr>
        <w:pStyle w:val="8"/>
        <w:adjustRightInd w:val="0"/>
        <w:snapToGrid w:val="0"/>
        <w:spacing w:before="120" w:beforeLines="50" w:line="300" w:lineRule="auto"/>
        <w:jc w:val="both"/>
        <w:rPr>
          <w:sz w:val="21"/>
          <w:szCs w:val="21"/>
          <w:lang w:eastAsia="zh-CN"/>
        </w:rPr>
      </w:pPr>
      <w:r>
        <w:rPr>
          <w:rFonts w:eastAsia="宋体" w:cs="宋体"/>
          <w:sz w:val="21"/>
          <w:lang w:eastAsia="zh-CN"/>
        </w:rPr>
        <w:t>应依据科学依据或现有文献，根据医疗器械在体内或体外的位置确立验收标准。</w:t>
      </w:r>
    </w:p>
    <w:p w14:paraId="74833EAE">
      <w:pPr>
        <w:pStyle w:val="8"/>
        <w:adjustRightInd w:val="0"/>
        <w:snapToGrid w:val="0"/>
        <w:spacing w:before="120" w:beforeLines="50" w:line="300" w:lineRule="auto"/>
        <w:ind w:left="922" w:leftChars="200" w:hanging="482" w:hangingChars="200"/>
        <w:jc w:val="both"/>
        <w:outlineLvl w:val="1"/>
        <w:rPr>
          <w:b/>
          <w:szCs w:val="21"/>
          <w:lang w:eastAsia="zh-CN"/>
        </w:rPr>
      </w:pPr>
      <w:bookmarkStart w:id="26" w:name="_Toc91866612"/>
      <w:r>
        <w:rPr>
          <w:rFonts w:eastAsia="宋体" w:cs="宋体"/>
          <w:b/>
          <w:lang w:eastAsia="zh-CN"/>
        </w:rPr>
        <w:t>G.</w:t>
      </w:r>
      <w:r>
        <w:rPr>
          <w:rFonts w:eastAsia="宋体" w:cs="宋体"/>
          <w:b/>
          <w:lang w:eastAsia="zh-CN"/>
        </w:rPr>
        <w:tab/>
      </w:r>
      <w:r>
        <w:rPr>
          <w:rFonts w:eastAsia="宋体" w:cs="宋体"/>
          <w:b/>
          <w:lang w:eastAsia="zh-CN"/>
        </w:rPr>
        <w:t>医疗器械故障</w:t>
      </w:r>
      <w:bookmarkEnd w:id="26"/>
    </w:p>
    <w:p w14:paraId="6A0883D5">
      <w:pPr>
        <w:pStyle w:val="8"/>
        <w:adjustRightInd w:val="0"/>
        <w:snapToGrid w:val="0"/>
        <w:spacing w:before="120" w:beforeLines="50" w:line="300" w:lineRule="auto"/>
        <w:jc w:val="both"/>
        <w:rPr>
          <w:sz w:val="21"/>
          <w:szCs w:val="21"/>
          <w:lang w:eastAsia="zh-CN"/>
        </w:rPr>
      </w:pPr>
      <w:r>
        <w:rPr>
          <w:rFonts w:eastAsia="宋体" w:cs="宋体"/>
          <w:sz w:val="21"/>
          <w:lang w:eastAsia="zh-CN"/>
        </w:rPr>
        <w:t>电力驱动的有源医疗器械（例如AIMD、有源附件、射频调谐组件和磁化组件）以及带有磁性或磁控或热控组件的无源医疗器械暴露在MR环境中可能会导致医疗器械出现故障。此类故障可能是在MRI暴露或程序执行期间出现的暂时性的，也可能是永久性的，并在暴露后继续存在。</w:t>
      </w:r>
    </w:p>
    <w:p w14:paraId="63B66E80">
      <w:pPr>
        <w:pStyle w:val="8"/>
        <w:adjustRightInd w:val="0"/>
        <w:snapToGrid w:val="0"/>
        <w:spacing w:before="120" w:beforeLines="50" w:line="300" w:lineRule="auto"/>
        <w:jc w:val="both"/>
        <w:rPr>
          <w:sz w:val="21"/>
          <w:szCs w:val="21"/>
        </w:rPr>
      </w:pPr>
      <w:r>
        <w:rPr>
          <w:rFonts w:eastAsia="宋体" w:cs="宋体"/>
          <w:sz w:val="21"/>
          <w:lang w:eastAsia="zh-CN"/>
        </w:rPr>
        <w:t>对于电力驱动的有源医疗器械，建议证明MR系统的静磁场（B0）、切换梯度磁场（dB/dt）和脉冲射频（RF）场不会影响医疗器械的性能或安全操作。可将此视为阐述有源医疗器械在MR环境中的电磁兼容性（EMC）/电磁干扰（EMI）抗扰度的一部分。ISO/TS 10974提供了用于评估AIMD在MR环境中的故障的标准化试验方法。</w:t>
      </w:r>
      <w:r>
        <w:rPr>
          <w:rFonts w:eastAsia="宋体" w:cs="宋体"/>
          <w:sz w:val="21"/>
        </w:rPr>
        <w:t>包括MR场引起的潜在故障：</w:t>
      </w:r>
    </w:p>
    <w:p w14:paraId="68BA0275">
      <w:pPr>
        <w:adjustRightInd w:val="0"/>
        <w:snapToGrid w:val="0"/>
        <w:spacing w:before="120" w:beforeLines="50" w:line="300" w:lineRule="auto"/>
        <w:jc w:val="both"/>
        <w:rPr>
          <w:b/>
          <w:sz w:val="21"/>
          <w:szCs w:val="21"/>
        </w:rPr>
      </w:pPr>
      <w:r>
        <w:rPr>
          <w:rFonts w:eastAsia="宋体" w:cs="宋体"/>
          <w:b/>
          <w:sz w:val="21"/>
        </w:rPr>
        <w:br w:type="page"/>
      </w:r>
    </w:p>
    <w:p w14:paraId="42FD3A2A">
      <w:pPr>
        <w:pStyle w:val="20"/>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rPr>
        <w:t>MR静磁场（B</w:t>
      </w:r>
      <w:r>
        <w:rPr>
          <w:rFonts w:eastAsia="宋体" w:cs="宋体"/>
          <w:sz w:val="21"/>
          <w:vertAlign w:val="subscript"/>
        </w:rPr>
        <w:t>0</w:t>
      </w:r>
      <w:r>
        <w:rPr>
          <w:rFonts w:eastAsia="宋体" w:cs="宋体"/>
          <w:sz w:val="21"/>
        </w:rPr>
        <w:t>）</w:t>
      </w:r>
    </w:p>
    <w:p w14:paraId="07AD3A2C">
      <w:pPr>
        <w:pStyle w:val="20"/>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rPr>
        <w:t>射频场</w:t>
      </w:r>
    </w:p>
    <w:p w14:paraId="1B9D6674">
      <w:pPr>
        <w:pStyle w:val="20"/>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rPr>
        <w:t>梯度场（dB/dt）</w:t>
      </w:r>
    </w:p>
    <w:p w14:paraId="00703A06">
      <w:pPr>
        <w:pStyle w:val="20"/>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rPr>
        <w:t>组合场</w:t>
      </w:r>
    </w:p>
    <w:p w14:paraId="6C6EAF66">
      <w:pPr>
        <w:pStyle w:val="8"/>
        <w:adjustRightInd w:val="0"/>
        <w:snapToGrid w:val="0"/>
        <w:spacing w:before="120" w:beforeLines="50" w:line="300" w:lineRule="auto"/>
        <w:jc w:val="both"/>
        <w:rPr>
          <w:sz w:val="21"/>
          <w:szCs w:val="21"/>
          <w:lang w:eastAsia="zh-CN"/>
        </w:rPr>
      </w:pPr>
      <w:r>
        <w:rPr>
          <w:rFonts w:eastAsia="宋体" w:cs="宋体"/>
          <w:sz w:val="21"/>
          <w:lang w:eastAsia="zh-CN"/>
        </w:rPr>
        <w:t>ISO/TS 10974中概述的试验方法涉及在模拟和实际MR系统中的测量和试验。还包括分别对每种类型的磁场进行试验。由于MR检查期间的磁场暴露涉及静磁场、射频和脉冲梯度场的同时暴露，因此还应采用ISO/TS 10974组合场试验方法，通过将医疗器械暴露于MR系统中的典型MRI协议来对医疗器械进行试验。这些方法依赖于对功能正常的医疗器械进行试验（通过试验前进行检查予以验证），以及在暴露（扫描）期间对医疗器械进行监测，并在扫描完成后立即查看是否有故障迹象。该方法可模拟临床环境中的MRI检查，并有助于通过性能功能试验证明医疗器械的安全性和功能。由于医疗器械的故障或电磁干扰可能是永久性的，也可能是暂时性的，因此组合场试验的时间安排很重要。</w:t>
      </w:r>
    </w:p>
    <w:p w14:paraId="6D4BD73C">
      <w:pPr>
        <w:pStyle w:val="8"/>
        <w:adjustRightInd w:val="0"/>
        <w:snapToGrid w:val="0"/>
        <w:spacing w:before="120" w:beforeLines="50" w:line="300" w:lineRule="auto"/>
        <w:jc w:val="both"/>
        <w:rPr>
          <w:sz w:val="21"/>
          <w:szCs w:val="21"/>
          <w:lang w:eastAsia="zh-CN"/>
        </w:rPr>
      </w:pPr>
      <w:r>
        <w:rPr>
          <w:rFonts w:eastAsia="宋体" w:cs="宋体"/>
          <w:sz w:val="21"/>
          <w:lang w:eastAsia="zh-CN"/>
        </w:rPr>
        <w:t>对于非植入式有源医疗器械或预期在MRI暴露期间主动使用的医疗器械，应证明MR系统不会影响医疗器械在其预期使用位置的运行，也不会降低运行效率。例如，对于预期置于200高斯场线外的患者监护仪，应证明患者监护仪位于MR环境中的预期使用位置时仍符合其性能质量标准。</w:t>
      </w:r>
    </w:p>
    <w:p w14:paraId="118D15DB">
      <w:pPr>
        <w:pStyle w:val="8"/>
        <w:adjustRightInd w:val="0"/>
        <w:snapToGrid w:val="0"/>
        <w:spacing w:before="120" w:beforeLines="50" w:line="300" w:lineRule="auto"/>
        <w:jc w:val="both"/>
        <w:rPr>
          <w:sz w:val="21"/>
          <w:szCs w:val="21"/>
          <w:lang w:eastAsia="zh-CN"/>
        </w:rPr>
      </w:pPr>
      <w:r>
        <w:rPr>
          <w:rFonts w:eastAsia="宋体" w:cs="宋体"/>
          <w:sz w:val="21"/>
          <w:lang w:eastAsia="zh-CN"/>
        </w:rPr>
        <w:t>无源医疗器械通常不会因暴露于MR系统电场和磁场而导致医疗器械故障，但可能存在应对MR环境中的医疗器械故障进行评估的例外情况，例如，通过体温激活的无源药物输注泵、带有感应回路或磁激活或操作开关的医疗器械。对于此类无源医疗器械，建议视情况而定证明暴露于静磁场（B0）、切换梯度磁场（dB/dt）和/或致热不会对医疗器械的性能或安全操作产生不利影响。</w:t>
      </w:r>
    </w:p>
    <w:p w14:paraId="6C8C2C2D">
      <w:pPr>
        <w:pStyle w:val="8"/>
        <w:adjustRightInd w:val="0"/>
        <w:snapToGrid w:val="0"/>
        <w:spacing w:before="120" w:beforeLines="50" w:line="300" w:lineRule="auto"/>
        <w:jc w:val="both"/>
        <w:rPr>
          <w:sz w:val="21"/>
          <w:szCs w:val="21"/>
          <w:lang w:eastAsia="zh-CN"/>
        </w:rPr>
      </w:pPr>
      <w:r>
        <w:rPr>
          <w:rFonts w:eastAsia="宋体" w:cs="宋体"/>
          <w:sz w:val="21"/>
          <w:lang w:eastAsia="zh-CN"/>
        </w:rPr>
        <w:t>验收标准应基于医疗器械的安全性和基本性能。</w:t>
      </w:r>
    </w:p>
    <w:p w14:paraId="5887AE56">
      <w:pPr>
        <w:pStyle w:val="8"/>
        <w:adjustRightInd w:val="0"/>
        <w:snapToGrid w:val="0"/>
        <w:spacing w:before="120" w:beforeLines="50" w:line="300" w:lineRule="auto"/>
        <w:jc w:val="both"/>
        <w:rPr>
          <w:sz w:val="21"/>
          <w:szCs w:val="21"/>
          <w:lang w:eastAsia="zh-CN"/>
        </w:rPr>
      </w:pPr>
      <w:r>
        <w:rPr>
          <w:rFonts w:eastAsia="宋体" w:cs="宋体"/>
          <w:sz w:val="21"/>
          <w:lang w:eastAsia="zh-CN"/>
        </w:rPr>
        <w:t>此外，还应评估并证明有源医疗器械不会影响MR系统的运行和MRI图像质量。有关图像伪影的附加信息，请参见下一节。尽管目前没有标准化试验方法，但无论是否使用医疗器械，采用标准化试验方法（如NEMA MS 1</w:t>
      </w:r>
      <w:r>
        <w:rPr>
          <w:rFonts w:eastAsia="宋体" w:cs="宋体"/>
          <w:sz w:val="21"/>
          <w:vertAlign w:val="superscript"/>
          <w:lang w:eastAsia="zh-CN"/>
        </w:rPr>
        <w:t>28</w:t>
      </w:r>
      <w:r>
        <w:rPr>
          <w:rFonts w:eastAsia="宋体" w:cs="宋体"/>
          <w:sz w:val="21"/>
          <w:lang w:eastAsia="zh-CN"/>
        </w:rPr>
        <w:t>）对图像质量进行定性评估和测量信噪比（SNR）都可能是有用的。验收标准应基于医疗器械的预期用途和受益/风险分析。</w:t>
      </w:r>
    </w:p>
    <w:p w14:paraId="6837F9F9">
      <w:pPr>
        <w:pStyle w:val="8"/>
        <w:adjustRightInd w:val="0"/>
        <w:snapToGrid w:val="0"/>
        <w:spacing w:before="4080" w:beforeLines="1700" w:line="300" w:lineRule="auto"/>
        <w:jc w:val="both"/>
        <w:rPr>
          <w:rFonts w:eastAsiaTheme="minorEastAsia"/>
          <w:sz w:val="21"/>
          <w:szCs w:val="21"/>
          <w:lang w:eastAsia="zh-CN"/>
        </w:rPr>
      </w:pPr>
      <w:r>
        <w:rPr>
          <w:rFonts w:eastAsia="宋体" w:cs="宋体"/>
          <w:sz w:val="21"/>
          <w:lang w:eastAsia="zh-CN"/>
        </w:rPr>
        <w:t>____________________</w:t>
      </w:r>
    </w:p>
    <w:p w14:paraId="467DB267">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28</w:t>
      </w:r>
      <w:r>
        <w:rPr>
          <w:rFonts w:eastAsia="宋体" w:cs="宋体"/>
          <w:sz w:val="18"/>
          <w:lang w:eastAsia="zh-CN"/>
        </w:rPr>
        <w:t xml:space="preserve"> NEMA MS 1-2008（R2014）诊断磁共振成像中信噪比（SNR）的测定</w:t>
      </w:r>
      <w:r>
        <w:rPr>
          <w:rFonts w:eastAsia="宋体" w:cs="宋体"/>
          <w:b/>
          <w:sz w:val="18"/>
          <w:lang w:eastAsia="zh-CN"/>
        </w:rPr>
        <w:br w:type="page"/>
      </w:r>
    </w:p>
    <w:p w14:paraId="5F31F74D">
      <w:pPr>
        <w:pStyle w:val="8"/>
        <w:adjustRightInd w:val="0"/>
        <w:snapToGrid w:val="0"/>
        <w:spacing w:before="120" w:beforeLines="50" w:line="300" w:lineRule="auto"/>
        <w:ind w:left="922" w:leftChars="200" w:hanging="482" w:hangingChars="200"/>
        <w:jc w:val="both"/>
        <w:outlineLvl w:val="1"/>
        <w:rPr>
          <w:b/>
          <w:szCs w:val="21"/>
          <w:lang w:eastAsia="zh-CN"/>
        </w:rPr>
      </w:pPr>
      <w:bookmarkStart w:id="27" w:name="_Toc91866613"/>
      <w:r>
        <w:rPr>
          <w:rFonts w:eastAsia="宋体" w:cs="宋体"/>
          <w:b/>
          <w:lang w:eastAsia="zh-CN"/>
        </w:rPr>
        <w:t>H.</w:t>
      </w:r>
      <w:r>
        <w:rPr>
          <w:rFonts w:eastAsia="宋体" w:cs="宋体"/>
          <w:b/>
          <w:lang w:eastAsia="zh-CN"/>
        </w:rPr>
        <w:tab/>
      </w:r>
      <w:r>
        <w:rPr>
          <w:rFonts w:eastAsia="宋体" w:cs="宋体"/>
          <w:b/>
          <w:lang w:eastAsia="zh-CN"/>
        </w:rPr>
        <w:t>图像伪影程度</w:t>
      </w:r>
      <w:bookmarkEnd w:id="27"/>
    </w:p>
    <w:p w14:paraId="1AE935AB">
      <w:pPr>
        <w:pStyle w:val="8"/>
        <w:adjustRightInd w:val="0"/>
        <w:snapToGrid w:val="0"/>
        <w:spacing w:before="120" w:beforeLines="50" w:line="300" w:lineRule="auto"/>
        <w:jc w:val="both"/>
        <w:rPr>
          <w:sz w:val="21"/>
          <w:szCs w:val="21"/>
          <w:lang w:eastAsia="zh-CN"/>
        </w:rPr>
      </w:pPr>
      <w:r>
        <w:rPr>
          <w:rFonts w:eastAsia="宋体" w:cs="宋体"/>
          <w:sz w:val="21"/>
          <w:lang w:eastAsia="zh-CN"/>
        </w:rPr>
        <w:t>金属植入物或其他医疗器械会导致采集的MR图像中出现磁化率伪影。有源医疗器械的操作可能导致采集的MR图像出现伪影或损坏。两者均可能导致无法解释或无法诊断的图像或疾病模拟伪影。应解决预期进入MR环境的所有医疗器械的这一危险。</w:t>
      </w:r>
    </w:p>
    <w:p w14:paraId="7FBC9BC9">
      <w:pPr>
        <w:pStyle w:val="8"/>
        <w:adjustRightInd w:val="0"/>
        <w:snapToGrid w:val="0"/>
        <w:spacing w:before="120" w:beforeLines="50" w:line="300" w:lineRule="auto"/>
        <w:jc w:val="both"/>
        <w:rPr>
          <w:sz w:val="21"/>
          <w:szCs w:val="21"/>
          <w:lang w:eastAsia="zh-CN"/>
        </w:rPr>
      </w:pPr>
      <w:r>
        <w:rPr>
          <w:rFonts w:eastAsia="宋体" w:cs="宋体"/>
          <w:sz w:val="21"/>
          <w:lang w:eastAsia="zh-CN"/>
        </w:rPr>
        <w:t>ASTM F2119提供了一种用于评估磁化率图像伪影的标准化试验方法。尽管该标准的适用范围为无源植入式医疗器械，但该方法同样适用于AIMD、部分植入医疗器械或预期置入MR系统孔腔中的非植入式医疗器械。</w:t>
      </w:r>
    </w:p>
    <w:p w14:paraId="01B176D8">
      <w:pPr>
        <w:pStyle w:val="8"/>
        <w:adjustRightInd w:val="0"/>
        <w:snapToGrid w:val="0"/>
        <w:spacing w:before="120" w:beforeLines="50" w:line="300" w:lineRule="auto"/>
        <w:jc w:val="both"/>
        <w:rPr>
          <w:sz w:val="21"/>
          <w:szCs w:val="21"/>
          <w:lang w:eastAsia="zh-CN"/>
        </w:rPr>
      </w:pPr>
      <w:r>
        <w:rPr>
          <w:rFonts w:eastAsia="宋体" w:cs="宋体"/>
          <w:sz w:val="21"/>
          <w:lang w:eastAsia="zh-CN"/>
        </w:rPr>
        <w:t>对于有多种尺寸可供选择的医疗器械，最大的医疗器械或磁性材料占总质量比例最大的医疗器械通常可作为评估图像伪影的最坏情况。对于多组件医疗器械，应将所有临床相关配置考虑在内。</w:t>
      </w:r>
    </w:p>
    <w:p w14:paraId="1028E3A9">
      <w:pPr>
        <w:pStyle w:val="8"/>
        <w:adjustRightInd w:val="0"/>
        <w:snapToGrid w:val="0"/>
        <w:spacing w:before="120" w:beforeLines="50" w:line="300" w:lineRule="auto"/>
        <w:jc w:val="both"/>
        <w:rPr>
          <w:sz w:val="21"/>
          <w:szCs w:val="21"/>
          <w:lang w:eastAsia="zh-CN"/>
        </w:rPr>
      </w:pPr>
      <w:r>
        <w:rPr>
          <w:rFonts w:eastAsia="宋体" w:cs="宋体"/>
          <w:sz w:val="21"/>
          <w:lang w:eastAsia="zh-CN"/>
        </w:rPr>
        <w:t>对于不进入MR系统孔腔的电力驱动的有源医疗器械，EMC</w:t>
      </w:r>
      <w:r>
        <w:rPr>
          <w:rFonts w:hint="eastAsia" w:eastAsia="宋体" w:cs="宋体"/>
          <w:sz w:val="21"/>
          <w:lang w:eastAsia="zh-CN"/>
        </w:rPr>
        <w:t>发射</w:t>
      </w:r>
      <w:r>
        <w:rPr>
          <w:rFonts w:eastAsia="宋体" w:cs="宋体"/>
          <w:sz w:val="21"/>
          <w:lang w:eastAsia="zh-CN"/>
        </w:rPr>
        <w:t>应符合MR系统制造商标签中针对特殊环境</w:t>
      </w:r>
      <w:r>
        <w:rPr>
          <w:rFonts w:eastAsia="宋体" w:cs="宋体"/>
          <w:sz w:val="21"/>
          <w:vertAlign w:val="superscript"/>
          <w:lang w:eastAsia="zh-CN"/>
        </w:rPr>
        <w:t>29</w:t>
      </w:r>
      <w:r>
        <w:rPr>
          <w:rFonts w:eastAsia="宋体" w:cs="宋体"/>
          <w:sz w:val="21"/>
          <w:lang w:eastAsia="zh-CN"/>
        </w:rPr>
        <w:t>规定的标准。</w:t>
      </w:r>
      <w:r>
        <w:rPr>
          <w:rFonts w:eastAsia="宋体" w:cs="宋体"/>
          <w:sz w:val="21"/>
          <w:vertAlign w:val="superscript"/>
          <w:lang w:eastAsia="zh-CN"/>
        </w:rPr>
        <w:t>30</w:t>
      </w:r>
    </w:p>
    <w:p w14:paraId="0BB27DCD">
      <w:pPr>
        <w:pStyle w:val="8"/>
        <w:adjustRightInd w:val="0"/>
        <w:snapToGrid w:val="0"/>
        <w:spacing w:before="120" w:beforeLines="50" w:line="300" w:lineRule="auto"/>
        <w:jc w:val="both"/>
        <w:rPr>
          <w:sz w:val="21"/>
          <w:szCs w:val="21"/>
          <w:lang w:eastAsia="zh-CN"/>
        </w:rPr>
      </w:pPr>
      <w:r>
        <w:rPr>
          <w:rFonts w:eastAsia="宋体" w:cs="宋体"/>
          <w:sz w:val="21"/>
          <w:lang w:eastAsia="zh-CN"/>
        </w:rPr>
        <w:t>一般而言，图像伪影没有验收标准，因为在医疗器械标签中载明此信息的目的是向医疗服务提供者提供其可用于就患者的MR检查作出受益-风险决策的信息。对于将后续MR检查作为标准治疗的植入式医疗器械，可能需要提供有关图像伪影的附加信息。如果希望在医疗器械标签中注明可在植入式医疗器械的指定距离内进行MRI诊断，则应在上市前申请中证明该声明。</w:t>
      </w:r>
    </w:p>
    <w:p w14:paraId="5990DCD1">
      <w:pPr>
        <w:pStyle w:val="8"/>
        <w:adjustRightInd w:val="0"/>
        <w:snapToGrid w:val="0"/>
        <w:spacing w:before="120" w:beforeLines="50" w:line="300" w:lineRule="auto"/>
        <w:ind w:left="843" w:hanging="843" w:hangingChars="300"/>
        <w:jc w:val="both"/>
        <w:outlineLvl w:val="0"/>
        <w:rPr>
          <w:rFonts w:eastAsiaTheme="minorEastAsia"/>
          <w:b/>
          <w:sz w:val="28"/>
          <w:szCs w:val="21"/>
          <w:lang w:eastAsia="zh-CN"/>
        </w:rPr>
      </w:pPr>
      <w:bookmarkStart w:id="28" w:name="_Toc91866614"/>
      <w:r>
        <w:rPr>
          <w:rFonts w:eastAsia="宋体" w:cs="宋体"/>
          <w:b/>
          <w:sz w:val="28"/>
          <w:lang w:eastAsia="zh-CN"/>
        </w:rPr>
        <w:t>VI.</w:t>
      </w:r>
      <w:r>
        <w:rPr>
          <w:rFonts w:eastAsia="宋体" w:cs="宋体"/>
          <w:b/>
          <w:lang w:eastAsia="zh-CN"/>
        </w:rPr>
        <w:tab/>
      </w:r>
      <w:r>
        <w:rPr>
          <w:rFonts w:eastAsia="宋体" w:cs="宋体"/>
          <w:b/>
          <w:sz w:val="28"/>
          <w:lang w:eastAsia="zh-CN"/>
        </w:rPr>
        <w:t>报告结果</w:t>
      </w:r>
      <w:bookmarkEnd w:id="28"/>
    </w:p>
    <w:p w14:paraId="2574125F">
      <w:pPr>
        <w:pStyle w:val="8"/>
        <w:adjustRightInd w:val="0"/>
        <w:snapToGrid w:val="0"/>
        <w:spacing w:before="120" w:beforeLines="50" w:line="300" w:lineRule="auto"/>
        <w:jc w:val="both"/>
        <w:rPr>
          <w:sz w:val="21"/>
          <w:szCs w:val="21"/>
          <w:lang w:eastAsia="zh-CN"/>
        </w:rPr>
      </w:pPr>
      <w:r>
        <w:rPr>
          <w:rFonts w:eastAsia="宋体" w:cs="宋体"/>
          <w:sz w:val="21"/>
          <w:lang w:eastAsia="zh-CN"/>
        </w:rPr>
        <w:t>建议按照FDA发布的标题为《</w:t>
      </w:r>
      <w:r>
        <w:rPr>
          <w:rFonts w:eastAsia="宋体" w:cs="宋体"/>
          <w:color w:val="0000FF"/>
          <w:sz w:val="21"/>
          <w:u w:val="single"/>
          <w:lang w:eastAsia="zh-CN"/>
        </w:rPr>
        <w:t>上市前申请中非临床</w:t>
      </w:r>
      <w:r>
        <w:rPr>
          <w:rFonts w:hint="eastAsia" w:eastAsia="宋体" w:cs="宋体"/>
          <w:color w:val="0000FF"/>
          <w:sz w:val="21"/>
          <w:u w:val="single"/>
          <w:lang w:eastAsia="zh-CN"/>
        </w:rPr>
        <w:t>台架</w:t>
      </w:r>
      <w:r>
        <w:rPr>
          <w:rFonts w:eastAsia="宋体" w:cs="宋体"/>
          <w:color w:val="0000FF"/>
          <w:sz w:val="21"/>
          <w:u w:val="single"/>
          <w:lang w:eastAsia="zh-CN"/>
        </w:rPr>
        <w:t>性能试验的完整试验报告的推荐内容和格式</w:t>
      </w:r>
      <w:r>
        <w:rPr>
          <w:rFonts w:eastAsia="宋体" w:cs="宋体"/>
          <w:sz w:val="21"/>
          <w:lang w:eastAsia="zh-CN"/>
        </w:rPr>
        <w:t>》的指南提供试验报告总结和完整试验报告（如适用）。</w:t>
      </w:r>
      <w:r>
        <w:rPr>
          <w:rFonts w:eastAsia="宋体" w:cs="宋体"/>
          <w:sz w:val="21"/>
          <w:vertAlign w:val="superscript"/>
          <w:lang w:eastAsia="zh-CN"/>
        </w:rPr>
        <w:t>31</w:t>
      </w:r>
      <w:r>
        <w:rPr>
          <w:rFonts w:eastAsia="宋体" w:cs="宋体"/>
          <w:sz w:val="21"/>
          <w:lang w:eastAsia="zh-CN"/>
        </w:rPr>
        <w:t>此外，应在试验报告总结和完整试验报告中提供以下信息：</w:t>
      </w:r>
    </w:p>
    <w:p w14:paraId="70F1952F">
      <w:pPr>
        <w:pStyle w:val="8"/>
        <w:adjustRightInd w:val="0"/>
        <w:snapToGrid w:val="0"/>
        <w:spacing w:before="4560" w:beforeLines="1900" w:line="300" w:lineRule="auto"/>
        <w:jc w:val="both"/>
        <w:rPr>
          <w:rFonts w:eastAsiaTheme="minorEastAsia"/>
          <w:sz w:val="21"/>
          <w:szCs w:val="21"/>
          <w:lang w:eastAsia="zh-CN"/>
        </w:rPr>
      </w:pPr>
      <w:r>
        <w:rPr>
          <w:rFonts w:eastAsia="宋体" w:cs="宋体"/>
          <w:sz w:val="21"/>
          <w:lang w:eastAsia="zh-CN"/>
        </w:rPr>
        <w:t>____________________</w:t>
      </w:r>
    </w:p>
    <w:p w14:paraId="7EF521A2">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29</w:t>
      </w:r>
      <w:r>
        <w:rPr>
          <w:rFonts w:eastAsia="宋体" w:cs="宋体"/>
          <w:sz w:val="18"/>
          <w:lang w:eastAsia="zh-CN"/>
        </w:rPr>
        <w:t xml:space="preserve"> IEC 60601-1-2:2014医用电气设备 - 第1-2部分：基本安全和基本性能通用要求 - 并列标准：电磁干扰：要求和试验</w:t>
      </w:r>
    </w:p>
    <w:p w14:paraId="1D1843E8">
      <w:pPr>
        <w:wordWrap w:val="0"/>
        <w:adjustRightInd w:val="0"/>
        <w:snapToGrid w:val="0"/>
        <w:spacing w:before="36" w:beforeLines="15" w:line="276" w:lineRule="auto"/>
        <w:jc w:val="both"/>
        <w:rPr>
          <w:sz w:val="18"/>
          <w:szCs w:val="21"/>
        </w:rPr>
      </w:pPr>
      <w:r>
        <w:rPr>
          <w:rFonts w:eastAsia="宋体" w:cs="宋体"/>
          <w:sz w:val="18"/>
          <w:vertAlign w:val="superscript"/>
        </w:rPr>
        <w:t>30</w:t>
      </w:r>
      <w:r>
        <w:rPr>
          <w:rFonts w:eastAsia="宋体" w:cs="宋体"/>
          <w:sz w:val="18"/>
        </w:rPr>
        <w:t>2016年11月18日发布的《磁共振诊断器械的上市前通知申请》指南，可登录以下网址获取：</w:t>
      </w:r>
      <w:r>
        <w:rPr>
          <w:rFonts w:eastAsia="宋体" w:cs="宋体"/>
          <w:color w:val="0000FF"/>
          <w:sz w:val="18"/>
          <w:u w:val="single"/>
        </w:rPr>
        <w:t>https://www.fda.gov/regulatory-information/search-fda-guidance-</w:t>
      </w:r>
      <w:r>
        <w:rPr>
          <w:rFonts w:eastAsia="宋体" w:cs="宋体"/>
          <w:color w:val="0000FF"/>
          <w:sz w:val="18"/>
        </w:rPr>
        <w:t xml:space="preserve"> </w:t>
      </w:r>
      <w:r>
        <w:rPr>
          <w:rFonts w:eastAsia="宋体" w:cs="宋体"/>
          <w:color w:val="0000FF"/>
          <w:sz w:val="18"/>
          <w:u w:val="single"/>
        </w:rPr>
        <w:t>documents/submission-premarket-notifications-magnetic-resonance-diagnostic-devices</w:t>
      </w:r>
    </w:p>
    <w:p w14:paraId="46F1DF17">
      <w:pPr>
        <w:wordWrap w:val="0"/>
        <w:adjustRightInd w:val="0"/>
        <w:snapToGrid w:val="0"/>
        <w:spacing w:before="36" w:beforeLines="15" w:line="276" w:lineRule="auto"/>
        <w:jc w:val="both"/>
        <w:rPr>
          <w:b/>
          <w:sz w:val="21"/>
          <w:szCs w:val="21"/>
        </w:rPr>
      </w:pPr>
      <w:bookmarkStart w:id="29" w:name="_bookmark46"/>
      <w:bookmarkEnd w:id="29"/>
      <w:r>
        <w:rPr>
          <w:sz w:val="18"/>
          <w:szCs w:val="21"/>
          <w:vertAlign w:val="superscript"/>
        </w:rPr>
        <w:t>31</w:t>
      </w:r>
      <w:r>
        <w:rPr>
          <w:sz w:val="18"/>
          <w:szCs w:val="21"/>
        </w:rPr>
        <w:t xml:space="preserve"> </w:t>
      </w:r>
      <w:r>
        <w:rPr>
          <w:color w:val="0000FF"/>
          <w:sz w:val="18"/>
          <w:szCs w:val="21"/>
          <w:u w:val="single" w:color="0000FF"/>
        </w:rPr>
        <w:t>https://www.fda.gov/regulatory-information/search-fda-guidance-documents/recommended-content-and-format-non-</w:t>
      </w:r>
      <w:r>
        <w:rPr>
          <w:color w:val="0000FF"/>
          <w:sz w:val="18"/>
          <w:szCs w:val="21"/>
        </w:rPr>
        <w:t xml:space="preserve"> </w:t>
      </w:r>
      <w:r>
        <w:rPr>
          <w:color w:val="0000FF"/>
          <w:sz w:val="18"/>
          <w:szCs w:val="21"/>
          <w:u w:val="single" w:color="0000FF"/>
        </w:rPr>
        <w:t>clinical-bench-performance-testing-information-premarket</w:t>
      </w:r>
      <w:r>
        <w:rPr>
          <w:rFonts w:eastAsia="宋体" w:cs="宋体"/>
          <w:b/>
          <w:sz w:val="21"/>
        </w:rPr>
        <w:br w:type="page"/>
      </w:r>
    </w:p>
    <w:p w14:paraId="48085DF5">
      <w:pPr>
        <w:pStyle w:val="20"/>
        <w:numPr>
          <w:ilvl w:val="0"/>
          <w:numId w:val="2"/>
        </w:numPr>
        <w:adjustRightInd w:val="0"/>
        <w:snapToGrid w:val="0"/>
        <w:spacing w:before="120" w:beforeLines="50" w:line="300" w:lineRule="auto"/>
        <w:ind w:hangingChars="200"/>
        <w:jc w:val="both"/>
        <w:rPr>
          <w:sz w:val="21"/>
          <w:szCs w:val="21"/>
        </w:rPr>
      </w:pPr>
      <w:r>
        <w:rPr>
          <w:rFonts w:eastAsia="宋体" w:cs="宋体"/>
          <w:sz w:val="21"/>
        </w:rPr>
        <w:t>列出试验解决的危险。</w:t>
      </w:r>
    </w:p>
    <w:p w14:paraId="0409495D">
      <w:pPr>
        <w:pStyle w:val="20"/>
        <w:numPr>
          <w:ilvl w:val="0"/>
          <w:numId w:val="2"/>
        </w:numPr>
        <w:adjustRightInd w:val="0"/>
        <w:snapToGrid w:val="0"/>
        <w:spacing w:before="120" w:beforeLines="50" w:line="300" w:lineRule="auto"/>
        <w:ind w:hangingChars="200"/>
        <w:jc w:val="both"/>
        <w:rPr>
          <w:sz w:val="21"/>
          <w:szCs w:val="21"/>
          <w:lang w:eastAsia="zh-CN"/>
        </w:rPr>
      </w:pPr>
      <w:r>
        <w:rPr>
          <w:rFonts w:eastAsia="宋体" w:cs="宋体"/>
          <w:sz w:val="21"/>
          <w:lang w:eastAsia="zh-CN"/>
        </w:rPr>
        <w:t>列出所用的试验设备。使用MR系统进行试验时，请注明系统磁场强度、软件版本、制造商和型号。</w:t>
      </w:r>
    </w:p>
    <w:p w14:paraId="73502197">
      <w:pPr>
        <w:pStyle w:val="20"/>
        <w:numPr>
          <w:ilvl w:val="0"/>
          <w:numId w:val="2"/>
        </w:numPr>
        <w:adjustRightInd w:val="0"/>
        <w:snapToGrid w:val="0"/>
        <w:spacing w:before="120" w:beforeLines="50" w:line="300" w:lineRule="auto"/>
        <w:ind w:hangingChars="200"/>
        <w:jc w:val="both"/>
        <w:rPr>
          <w:sz w:val="21"/>
          <w:szCs w:val="21"/>
          <w:lang w:eastAsia="zh-CN"/>
        </w:rPr>
      </w:pPr>
      <w:r>
        <w:rPr>
          <w:rFonts w:eastAsia="宋体" w:cs="宋体"/>
          <w:sz w:val="21"/>
          <w:lang w:eastAsia="zh-CN"/>
        </w:rPr>
        <w:t>使用定义试验报告内容的共识标准时，应按照标准中的定义报告结果。如果采用计算建模，则报告应遵循FDA指南</w:t>
      </w:r>
      <w:r>
        <w:rPr>
          <w:rFonts w:eastAsia="宋体" w:cs="宋体"/>
          <w:sz w:val="21"/>
          <w:u w:val="single"/>
          <w:lang w:eastAsia="zh-CN"/>
        </w:rPr>
        <w:t>《</w:t>
      </w:r>
      <w:r>
        <w:rPr>
          <w:rFonts w:eastAsia="宋体" w:cs="宋体"/>
          <w:color w:val="0000FF"/>
          <w:sz w:val="21"/>
          <w:u w:val="single"/>
          <w:lang w:eastAsia="zh-CN"/>
        </w:rPr>
        <w:t>医疗器械申请中的计算建模研究报告</w:t>
      </w:r>
      <w:r>
        <w:rPr>
          <w:rFonts w:eastAsia="宋体" w:cs="宋体"/>
          <w:sz w:val="21"/>
          <w:lang w:eastAsia="zh-CN"/>
        </w:rPr>
        <w:t>》。</w:t>
      </w:r>
      <w:r>
        <w:rPr>
          <w:rFonts w:eastAsia="宋体" w:cs="宋体"/>
          <w:sz w:val="21"/>
          <w:vertAlign w:val="superscript"/>
          <w:lang w:eastAsia="zh-CN"/>
        </w:rPr>
        <w:t>32</w:t>
      </w:r>
    </w:p>
    <w:p w14:paraId="64258F85">
      <w:pPr>
        <w:pStyle w:val="20"/>
        <w:numPr>
          <w:ilvl w:val="0"/>
          <w:numId w:val="2"/>
        </w:numPr>
        <w:adjustRightInd w:val="0"/>
        <w:snapToGrid w:val="0"/>
        <w:spacing w:before="120" w:beforeLines="50" w:line="300" w:lineRule="auto"/>
        <w:ind w:hangingChars="200"/>
        <w:jc w:val="both"/>
        <w:rPr>
          <w:sz w:val="21"/>
          <w:szCs w:val="21"/>
          <w:lang w:eastAsia="zh-CN"/>
        </w:rPr>
      </w:pPr>
      <w:r>
        <w:rPr>
          <w:rFonts w:eastAsia="宋体" w:cs="宋体"/>
          <w:sz w:val="21"/>
          <w:lang w:eastAsia="zh-CN"/>
        </w:rPr>
        <w:t>对于基于ASTM F2182的试验，射频致热结果应以℃/（V/m）或°C/（W/kg）表示，并按临床使用中预期的绝对最坏情况温升（以℃表示）进行缩放。</w:t>
      </w:r>
    </w:p>
    <w:p w14:paraId="0FFFD04A">
      <w:pPr>
        <w:pStyle w:val="20"/>
        <w:numPr>
          <w:ilvl w:val="0"/>
          <w:numId w:val="2"/>
        </w:numPr>
        <w:adjustRightInd w:val="0"/>
        <w:snapToGrid w:val="0"/>
        <w:spacing w:before="120" w:beforeLines="50" w:line="300" w:lineRule="auto"/>
        <w:ind w:hangingChars="200"/>
        <w:jc w:val="both"/>
        <w:rPr>
          <w:rFonts w:eastAsiaTheme="minorEastAsia"/>
          <w:sz w:val="21"/>
          <w:szCs w:val="21"/>
          <w:lang w:eastAsia="zh-CN"/>
        </w:rPr>
      </w:pPr>
      <w:r>
        <w:rPr>
          <w:rFonts w:eastAsia="宋体" w:cs="宋体"/>
          <w:sz w:val="21"/>
          <w:lang w:eastAsia="zh-CN"/>
        </w:rPr>
        <w:t>作为每项非临床</w:t>
      </w:r>
      <w:r>
        <w:rPr>
          <w:rFonts w:hint="eastAsia" w:eastAsia="宋体" w:cs="宋体"/>
          <w:sz w:val="21"/>
          <w:lang w:eastAsia="zh-CN"/>
        </w:rPr>
        <w:t>台架</w:t>
      </w:r>
      <w:r>
        <w:rPr>
          <w:rFonts w:eastAsia="宋体" w:cs="宋体"/>
          <w:sz w:val="21"/>
          <w:lang w:eastAsia="zh-CN"/>
        </w:rPr>
        <w:t>性能试验的书面叙述的替代方案，可提供表格摘要来表述试验报告总结中推荐的信息（示例见下表1）。如果使用了汇总表，如有必要，仍建议对结果/结论进行叙述性讨论，如标题为《</w:t>
      </w:r>
      <w:r>
        <w:rPr>
          <w:rFonts w:eastAsia="宋体" w:cs="宋体"/>
          <w:color w:val="0000FF"/>
          <w:sz w:val="21"/>
          <w:u w:val="single"/>
          <w:lang w:eastAsia="zh-CN"/>
        </w:rPr>
        <w:t>上市前申请中非临床</w:t>
      </w:r>
      <w:r>
        <w:rPr>
          <w:rFonts w:hint="eastAsia" w:eastAsia="宋体" w:cs="宋体"/>
          <w:color w:val="0000FF"/>
          <w:sz w:val="21"/>
          <w:u w:val="single"/>
          <w:lang w:eastAsia="zh-CN"/>
        </w:rPr>
        <w:t>台架</w:t>
      </w:r>
      <w:r>
        <w:rPr>
          <w:rFonts w:eastAsia="宋体" w:cs="宋体"/>
          <w:color w:val="0000FF"/>
          <w:sz w:val="21"/>
          <w:u w:val="single"/>
          <w:lang w:eastAsia="zh-CN"/>
        </w:rPr>
        <w:t>性能试验的完整试验报告的推荐内容和格式</w:t>
      </w:r>
      <w:r>
        <w:rPr>
          <w:rFonts w:eastAsia="宋体" w:cs="宋体"/>
          <w:sz w:val="21"/>
          <w:lang w:eastAsia="zh-CN"/>
        </w:rPr>
        <w:t>》的指南</w:t>
      </w:r>
      <w:r>
        <w:rPr>
          <w:rFonts w:eastAsia="宋体" w:cs="宋体"/>
          <w:sz w:val="21"/>
          <w:vertAlign w:val="superscript"/>
          <w:lang w:eastAsia="zh-CN"/>
        </w:rPr>
        <w:t>33</w:t>
      </w:r>
      <w:r>
        <w:rPr>
          <w:rFonts w:eastAsia="宋体" w:cs="宋体"/>
          <w:sz w:val="21"/>
          <w:lang w:eastAsia="zh-CN"/>
        </w:rPr>
        <w:t>第II.A.6节中所述。</w:t>
      </w:r>
      <w:r>
        <w:rPr>
          <w:rFonts w:eastAsia="宋体" w:cs="宋体"/>
          <w:sz w:val="21"/>
        </w:rPr>
        <w:t>无源植入物示例如附录1中的表2所示。</w:t>
      </w:r>
    </w:p>
    <w:p w14:paraId="63E65ABB">
      <w:pPr>
        <w:pStyle w:val="8"/>
        <w:adjustRightInd w:val="0"/>
        <w:snapToGrid w:val="0"/>
        <w:spacing w:before="8280" w:beforeLines="3450" w:line="300" w:lineRule="auto"/>
        <w:jc w:val="both"/>
        <w:rPr>
          <w:rFonts w:eastAsiaTheme="minorEastAsia"/>
          <w:sz w:val="21"/>
          <w:szCs w:val="21"/>
          <w:lang w:eastAsia="zh-CN"/>
        </w:rPr>
      </w:pPr>
      <w:r>
        <w:rPr>
          <w:rFonts w:eastAsia="宋体" w:cs="宋体"/>
          <w:sz w:val="21"/>
        </w:rPr>
        <w:t>____________________</w:t>
      </w:r>
    </w:p>
    <w:p w14:paraId="1733AC73">
      <w:pPr>
        <w:wordWrap w:val="0"/>
        <w:adjustRightInd w:val="0"/>
        <w:snapToGrid w:val="0"/>
        <w:spacing w:before="36" w:beforeLines="15" w:line="276" w:lineRule="auto"/>
        <w:jc w:val="both"/>
        <w:rPr>
          <w:sz w:val="18"/>
          <w:szCs w:val="21"/>
        </w:rPr>
      </w:pPr>
      <w:r>
        <w:rPr>
          <w:sz w:val="18"/>
          <w:szCs w:val="21"/>
          <w:vertAlign w:val="superscript"/>
        </w:rPr>
        <w:t>32</w:t>
      </w:r>
      <w:r>
        <w:rPr>
          <w:sz w:val="18"/>
          <w:szCs w:val="21"/>
        </w:rPr>
        <w:t xml:space="preserve"> </w:t>
      </w:r>
      <w:r>
        <w:rPr>
          <w:color w:val="0000FF"/>
          <w:sz w:val="18"/>
          <w:szCs w:val="21"/>
          <w:u w:val="single" w:color="0000FF"/>
        </w:rPr>
        <w:t>https://www.fda.gov/regulatory-information/search-fda-guidance-documents/reporting-computational-modeling-studies-</w:t>
      </w:r>
      <w:r>
        <w:rPr>
          <w:color w:val="0000FF"/>
          <w:sz w:val="18"/>
          <w:szCs w:val="21"/>
        </w:rPr>
        <w:t xml:space="preserve"> </w:t>
      </w:r>
      <w:r>
        <w:rPr>
          <w:color w:val="0000FF"/>
          <w:sz w:val="18"/>
          <w:szCs w:val="21"/>
          <w:u w:val="single" w:color="0000FF"/>
        </w:rPr>
        <w:t>medical-device-submissions</w:t>
      </w:r>
    </w:p>
    <w:p w14:paraId="346B7C90">
      <w:pPr>
        <w:wordWrap w:val="0"/>
        <w:adjustRightInd w:val="0"/>
        <w:snapToGrid w:val="0"/>
        <w:spacing w:before="36" w:beforeLines="15" w:line="276" w:lineRule="auto"/>
        <w:jc w:val="both"/>
        <w:rPr>
          <w:b/>
          <w:sz w:val="21"/>
          <w:szCs w:val="21"/>
        </w:rPr>
      </w:pPr>
      <w:bookmarkStart w:id="30" w:name="_bookmark48"/>
      <w:bookmarkEnd w:id="30"/>
      <w:r>
        <w:rPr>
          <w:sz w:val="18"/>
          <w:szCs w:val="21"/>
          <w:vertAlign w:val="superscript"/>
        </w:rPr>
        <w:t>33</w:t>
      </w:r>
      <w:r>
        <w:rPr>
          <w:sz w:val="18"/>
          <w:szCs w:val="21"/>
        </w:rPr>
        <w:t xml:space="preserve"> </w:t>
      </w:r>
      <w:r>
        <w:rPr>
          <w:color w:val="0000FF"/>
          <w:sz w:val="18"/>
          <w:szCs w:val="21"/>
          <w:u w:val="single" w:color="0000FF"/>
        </w:rPr>
        <w:t>https://www.fda.gov/regulatory-information/search-fda-guidance-documents/recommended-content-and-format-non-</w:t>
      </w:r>
      <w:r>
        <w:rPr>
          <w:color w:val="0000FF"/>
          <w:sz w:val="18"/>
          <w:szCs w:val="21"/>
        </w:rPr>
        <w:t xml:space="preserve"> </w:t>
      </w:r>
      <w:r>
        <w:rPr>
          <w:color w:val="0000FF"/>
          <w:sz w:val="18"/>
          <w:szCs w:val="21"/>
          <w:u w:val="single" w:color="0000FF"/>
        </w:rPr>
        <w:t>clinical-bench-performance-testing-information-premarket</w:t>
      </w:r>
      <w:r>
        <w:rPr>
          <w:rFonts w:eastAsia="宋体" w:cs="宋体"/>
          <w:b/>
          <w:sz w:val="21"/>
        </w:rPr>
        <w:br w:type="page"/>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3" w:type="dxa"/>
          <w:bottom w:w="0" w:type="dxa"/>
          <w:right w:w="113" w:type="dxa"/>
        </w:tblCellMar>
      </w:tblPr>
      <w:tblGrid>
        <w:gridCol w:w="1389"/>
        <w:gridCol w:w="1218"/>
        <w:gridCol w:w="1506"/>
        <w:gridCol w:w="1445"/>
        <w:gridCol w:w="2159"/>
        <w:gridCol w:w="1580"/>
      </w:tblGrid>
      <w:tr w14:paraId="117E1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47" w:type="pct"/>
            <w:vAlign w:val="bottom"/>
          </w:tcPr>
          <w:p w14:paraId="1A96706A">
            <w:pPr>
              <w:pStyle w:val="21"/>
              <w:adjustRightInd w:val="0"/>
              <w:snapToGrid w:val="0"/>
              <w:spacing w:before="36" w:beforeLines="15" w:line="276" w:lineRule="auto"/>
              <w:jc w:val="both"/>
              <w:rPr>
                <w:rFonts w:ascii="Times New Roman" w:hAnsi="Times New Roman" w:cs="Times New Roman"/>
                <w:b/>
                <w:sz w:val="18"/>
                <w:szCs w:val="21"/>
              </w:rPr>
            </w:pPr>
            <w:r>
              <w:rPr>
                <w:rFonts w:ascii="Times New Roman" w:hAnsi="Times New Roman" w:eastAsia="宋体" w:cs="宋体"/>
                <w:b/>
                <w:sz w:val="18"/>
              </w:rPr>
              <w:t>已解决的危险</w:t>
            </w:r>
          </w:p>
        </w:tc>
        <w:tc>
          <w:tcPr>
            <w:tcW w:w="655" w:type="pct"/>
            <w:vAlign w:val="bottom"/>
          </w:tcPr>
          <w:p w14:paraId="18634CA8">
            <w:pPr>
              <w:pStyle w:val="21"/>
              <w:adjustRightInd w:val="0"/>
              <w:snapToGrid w:val="0"/>
              <w:spacing w:before="36" w:beforeLines="15" w:line="276" w:lineRule="auto"/>
              <w:jc w:val="both"/>
              <w:rPr>
                <w:rFonts w:ascii="Times New Roman" w:hAnsi="Times New Roman" w:cs="Times New Roman"/>
                <w:b/>
                <w:sz w:val="18"/>
                <w:szCs w:val="21"/>
              </w:rPr>
            </w:pPr>
            <w:r>
              <w:rPr>
                <w:rFonts w:ascii="Times New Roman" w:hAnsi="Times New Roman" w:eastAsia="宋体" w:cs="宋体"/>
                <w:b/>
                <w:sz w:val="18"/>
              </w:rPr>
              <w:t>采用的试验验方法</w:t>
            </w:r>
          </w:p>
        </w:tc>
        <w:tc>
          <w:tcPr>
            <w:tcW w:w="810" w:type="pct"/>
            <w:vAlign w:val="bottom"/>
          </w:tcPr>
          <w:p w14:paraId="34807AB6">
            <w:pPr>
              <w:pStyle w:val="21"/>
              <w:adjustRightInd w:val="0"/>
              <w:snapToGrid w:val="0"/>
              <w:spacing w:before="36" w:beforeLines="15" w:line="276" w:lineRule="auto"/>
              <w:jc w:val="both"/>
              <w:rPr>
                <w:rFonts w:ascii="Times New Roman" w:hAnsi="Times New Roman" w:cs="Times New Roman"/>
                <w:b/>
                <w:sz w:val="18"/>
                <w:szCs w:val="21"/>
              </w:rPr>
            </w:pPr>
            <w:r>
              <w:rPr>
                <w:rFonts w:ascii="Times New Roman" w:hAnsi="Times New Roman" w:eastAsia="宋体" w:cs="宋体"/>
                <w:b/>
                <w:sz w:val="18"/>
              </w:rPr>
              <w:t>验收标准和依据</w:t>
            </w:r>
          </w:p>
        </w:tc>
        <w:tc>
          <w:tcPr>
            <w:tcW w:w="777" w:type="pct"/>
            <w:vAlign w:val="bottom"/>
          </w:tcPr>
          <w:p w14:paraId="3FF05C01">
            <w:pPr>
              <w:pStyle w:val="21"/>
              <w:adjustRightInd w:val="0"/>
              <w:snapToGrid w:val="0"/>
              <w:spacing w:before="36" w:beforeLines="15" w:line="276" w:lineRule="auto"/>
              <w:jc w:val="both"/>
              <w:rPr>
                <w:rFonts w:ascii="Times New Roman" w:hAnsi="Times New Roman" w:cs="Times New Roman"/>
                <w:b/>
                <w:sz w:val="18"/>
                <w:szCs w:val="21"/>
              </w:rPr>
            </w:pPr>
            <w:r>
              <w:rPr>
                <w:rFonts w:ascii="Times New Roman" w:hAnsi="Times New Roman" w:eastAsia="宋体" w:cs="宋体"/>
                <w:b/>
                <w:sz w:val="18"/>
              </w:rPr>
              <w:t>试验的医疗器械配置</w:t>
            </w:r>
          </w:p>
        </w:tc>
        <w:tc>
          <w:tcPr>
            <w:tcW w:w="1161" w:type="pct"/>
            <w:vAlign w:val="bottom"/>
          </w:tcPr>
          <w:p w14:paraId="03065B93">
            <w:pPr>
              <w:pStyle w:val="21"/>
              <w:adjustRightInd w:val="0"/>
              <w:snapToGrid w:val="0"/>
              <w:spacing w:before="36" w:beforeLines="15" w:line="276" w:lineRule="auto"/>
              <w:jc w:val="both"/>
              <w:rPr>
                <w:rFonts w:ascii="Times New Roman" w:hAnsi="Times New Roman" w:cs="Times New Roman"/>
                <w:b/>
                <w:sz w:val="18"/>
                <w:szCs w:val="21"/>
                <w:lang w:eastAsia="zh-CN"/>
              </w:rPr>
            </w:pPr>
            <w:r>
              <w:rPr>
                <w:rFonts w:ascii="Times New Roman" w:hAnsi="Times New Roman" w:eastAsia="宋体" w:cs="宋体"/>
                <w:b/>
                <w:sz w:val="18"/>
                <w:lang w:eastAsia="zh-CN"/>
              </w:rPr>
              <w:t>试验结果总结，在适当情况下，填写“通过”/“未通过”</w:t>
            </w:r>
          </w:p>
        </w:tc>
        <w:tc>
          <w:tcPr>
            <w:tcW w:w="850" w:type="pct"/>
            <w:vAlign w:val="bottom"/>
          </w:tcPr>
          <w:p w14:paraId="25F3B546">
            <w:pPr>
              <w:pStyle w:val="21"/>
              <w:adjustRightInd w:val="0"/>
              <w:snapToGrid w:val="0"/>
              <w:spacing w:before="36" w:beforeLines="15" w:line="276" w:lineRule="auto"/>
              <w:jc w:val="both"/>
              <w:rPr>
                <w:rFonts w:ascii="Times New Roman" w:hAnsi="Times New Roman" w:cs="Times New Roman"/>
                <w:b/>
                <w:sz w:val="18"/>
                <w:szCs w:val="21"/>
              </w:rPr>
            </w:pPr>
            <w:r>
              <w:rPr>
                <w:rFonts w:ascii="Times New Roman" w:hAnsi="Times New Roman" w:eastAsia="宋体" w:cs="宋体"/>
                <w:b/>
                <w:sz w:val="18"/>
              </w:rPr>
              <w:t>在申请中的位置</w:t>
            </w:r>
          </w:p>
        </w:tc>
      </w:tr>
      <w:tr w14:paraId="6E7EE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47" w:type="pct"/>
            <w:vAlign w:val="bottom"/>
          </w:tcPr>
          <w:p w14:paraId="2C84829B">
            <w:pPr>
              <w:pStyle w:val="21"/>
              <w:adjustRightInd w:val="0"/>
              <w:snapToGrid w:val="0"/>
              <w:spacing w:before="36" w:beforeLines="15" w:line="276" w:lineRule="auto"/>
              <w:jc w:val="both"/>
              <w:rPr>
                <w:rFonts w:ascii="Times New Roman" w:hAnsi="Times New Roman" w:cs="Times New Roman"/>
                <w:sz w:val="18"/>
                <w:szCs w:val="21"/>
              </w:rPr>
            </w:pPr>
          </w:p>
          <w:p w14:paraId="72934587">
            <w:pPr>
              <w:pStyle w:val="21"/>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危险1</w:t>
            </w:r>
          </w:p>
        </w:tc>
        <w:tc>
          <w:tcPr>
            <w:tcW w:w="655" w:type="pct"/>
            <w:vAlign w:val="bottom"/>
          </w:tcPr>
          <w:p w14:paraId="16DF485A">
            <w:pPr>
              <w:pStyle w:val="21"/>
              <w:adjustRightInd w:val="0"/>
              <w:snapToGrid w:val="0"/>
              <w:spacing w:before="36" w:beforeLines="15" w:line="276" w:lineRule="auto"/>
              <w:jc w:val="both"/>
              <w:rPr>
                <w:rFonts w:ascii="Times New Roman" w:hAnsi="Times New Roman" w:cs="Times New Roman"/>
                <w:sz w:val="18"/>
                <w:szCs w:val="21"/>
              </w:rPr>
            </w:pPr>
          </w:p>
          <w:p w14:paraId="0EE7655D">
            <w:pPr>
              <w:pStyle w:val="21"/>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方法1</w:t>
            </w:r>
          </w:p>
        </w:tc>
        <w:tc>
          <w:tcPr>
            <w:tcW w:w="810" w:type="pct"/>
            <w:vAlign w:val="bottom"/>
          </w:tcPr>
          <w:p w14:paraId="5E284AE5">
            <w:pPr>
              <w:pStyle w:val="21"/>
              <w:adjustRightInd w:val="0"/>
              <w:snapToGrid w:val="0"/>
              <w:spacing w:before="36" w:beforeLines="15" w:line="276" w:lineRule="auto"/>
              <w:jc w:val="both"/>
              <w:rPr>
                <w:rFonts w:ascii="Times New Roman" w:hAnsi="Times New Roman" w:cs="Times New Roman"/>
                <w:sz w:val="18"/>
                <w:szCs w:val="21"/>
              </w:rPr>
            </w:pPr>
          </w:p>
        </w:tc>
        <w:tc>
          <w:tcPr>
            <w:tcW w:w="777" w:type="pct"/>
            <w:vAlign w:val="bottom"/>
          </w:tcPr>
          <w:p w14:paraId="4ACE102D">
            <w:pPr>
              <w:pStyle w:val="21"/>
              <w:adjustRightInd w:val="0"/>
              <w:snapToGrid w:val="0"/>
              <w:spacing w:before="36" w:beforeLines="15" w:line="276" w:lineRule="auto"/>
              <w:jc w:val="both"/>
              <w:rPr>
                <w:rFonts w:ascii="Times New Roman" w:hAnsi="Times New Roman" w:cs="Times New Roman"/>
                <w:sz w:val="18"/>
                <w:szCs w:val="21"/>
              </w:rPr>
            </w:pPr>
          </w:p>
        </w:tc>
        <w:tc>
          <w:tcPr>
            <w:tcW w:w="1161" w:type="pct"/>
            <w:vAlign w:val="bottom"/>
          </w:tcPr>
          <w:p w14:paraId="5E4F7825">
            <w:pPr>
              <w:pStyle w:val="21"/>
              <w:adjustRightInd w:val="0"/>
              <w:snapToGrid w:val="0"/>
              <w:spacing w:before="36" w:beforeLines="15" w:line="276" w:lineRule="auto"/>
              <w:jc w:val="both"/>
              <w:rPr>
                <w:rFonts w:ascii="Times New Roman" w:hAnsi="Times New Roman" w:cs="Times New Roman"/>
                <w:sz w:val="18"/>
                <w:szCs w:val="21"/>
              </w:rPr>
            </w:pPr>
          </w:p>
        </w:tc>
        <w:tc>
          <w:tcPr>
            <w:tcW w:w="850" w:type="pct"/>
            <w:vAlign w:val="bottom"/>
          </w:tcPr>
          <w:p w14:paraId="29C10F91">
            <w:pPr>
              <w:pStyle w:val="21"/>
              <w:adjustRightInd w:val="0"/>
              <w:snapToGrid w:val="0"/>
              <w:spacing w:before="36" w:beforeLines="15" w:line="276" w:lineRule="auto"/>
              <w:jc w:val="both"/>
              <w:rPr>
                <w:rFonts w:ascii="Times New Roman" w:hAnsi="Times New Roman" w:cs="Times New Roman"/>
                <w:sz w:val="18"/>
                <w:szCs w:val="21"/>
              </w:rPr>
            </w:pPr>
          </w:p>
        </w:tc>
      </w:tr>
      <w:tr w14:paraId="2308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47" w:type="pct"/>
            <w:vAlign w:val="bottom"/>
          </w:tcPr>
          <w:p w14:paraId="152E7FBB">
            <w:pPr>
              <w:pStyle w:val="21"/>
              <w:adjustRightInd w:val="0"/>
              <w:snapToGrid w:val="0"/>
              <w:spacing w:before="36" w:beforeLines="15" w:line="276" w:lineRule="auto"/>
              <w:jc w:val="both"/>
              <w:rPr>
                <w:rFonts w:ascii="Times New Roman" w:hAnsi="Times New Roman" w:cs="Times New Roman" w:eastAsiaTheme="minorEastAsia"/>
                <w:sz w:val="18"/>
                <w:szCs w:val="21"/>
                <w:lang w:eastAsia="zh-CN"/>
              </w:rPr>
            </w:pPr>
          </w:p>
          <w:p w14:paraId="33E6DF8F">
            <w:pPr>
              <w:pStyle w:val="21"/>
              <w:adjustRightInd w:val="0"/>
              <w:snapToGrid w:val="0"/>
              <w:spacing w:before="36" w:beforeLines="15" w:line="276" w:lineRule="auto"/>
              <w:jc w:val="both"/>
              <w:rPr>
                <w:rFonts w:ascii="Times New Roman" w:hAnsi="Times New Roman" w:cs="Times New Roman" w:eastAsiaTheme="minorEastAsia"/>
                <w:sz w:val="18"/>
                <w:szCs w:val="21"/>
                <w:lang w:eastAsia="zh-CN"/>
              </w:rPr>
            </w:pPr>
          </w:p>
          <w:p w14:paraId="3B1B3463">
            <w:pPr>
              <w:pStyle w:val="21"/>
              <w:adjustRightInd w:val="0"/>
              <w:snapToGrid w:val="0"/>
              <w:spacing w:before="36" w:beforeLines="15" w:line="276" w:lineRule="auto"/>
              <w:jc w:val="both"/>
              <w:rPr>
                <w:rFonts w:ascii="Times New Roman" w:hAnsi="Times New Roman" w:cs="Times New Roman" w:eastAsiaTheme="minorEastAsia"/>
                <w:sz w:val="18"/>
                <w:szCs w:val="21"/>
                <w:lang w:eastAsia="zh-CN"/>
              </w:rPr>
            </w:pPr>
          </w:p>
          <w:p w14:paraId="1DB57FBA">
            <w:pPr>
              <w:pStyle w:val="21"/>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危险2</w:t>
            </w:r>
          </w:p>
        </w:tc>
        <w:tc>
          <w:tcPr>
            <w:tcW w:w="655" w:type="pct"/>
            <w:vAlign w:val="bottom"/>
          </w:tcPr>
          <w:p w14:paraId="56F1BA2B">
            <w:pPr>
              <w:pStyle w:val="21"/>
              <w:adjustRightInd w:val="0"/>
              <w:snapToGrid w:val="0"/>
              <w:spacing w:before="36" w:beforeLines="15" w:line="276" w:lineRule="auto"/>
              <w:jc w:val="both"/>
              <w:rPr>
                <w:rFonts w:ascii="Times New Roman" w:hAnsi="Times New Roman" w:cs="Times New Roman"/>
                <w:sz w:val="18"/>
                <w:szCs w:val="21"/>
              </w:rPr>
            </w:pPr>
          </w:p>
          <w:p w14:paraId="127FD4EC">
            <w:pPr>
              <w:pStyle w:val="21"/>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方法 2</w:t>
            </w:r>
          </w:p>
        </w:tc>
        <w:tc>
          <w:tcPr>
            <w:tcW w:w="810" w:type="pct"/>
            <w:vAlign w:val="bottom"/>
          </w:tcPr>
          <w:p w14:paraId="4D181848">
            <w:pPr>
              <w:pStyle w:val="21"/>
              <w:adjustRightInd w:val="0"/>
              <w:snapToGrid w:val="0"/>
              <w:spacing w:before="36" w:beforeLines="15" w:line="276" w:lineRule="auto"/>
              <w:jc w:val="both"/>
              <w:rPr>
                <w:rFonts w:ascii="Times New Roman" w:hAnsi="Times New Roman" w:cs="Times New Roman"/>
                <w:sz w:val="18"/>
                <w:szCs w:val="21"/>
              </w:rPr>
            </w:pPr>
          </w:p>
        </w:tc>
        <w:tc>
          <w:tcPr>
            <w:tcW w:w="777" w:type="pct"/>
            <w:vAlign w:val="bottom"/>
          </w:tcPr>
          <w:p w14:paraId="306864FD">
            <w:pPr>
              <w:pStyle w:val="21"/>
              <w:adjustRightInd w:val="0"/>
              <w:snapToGrid w:val="0"/>
              <w:spacing w:before="36" w:beforeLines="15" w:line="276" w:lineRule="auto"/>
              <w:jc w:val="both"/>
              <w:rPr>
                <w:rFonts w:ascii="Times New Roman" w:hAnsi="Times New Roman" w:cs="Times New Roman"/>
                <w:sz w:val="18"/>
                <w:szCs w:val="21"/>
              </w:rPr>
            </w:pPr>
          </w:p>
        </w:tc>
        <w:tc>
          <w:tcPr>
            <w:tcW w:w="1161" w:type="pct"/>
            <w:vAlign w:val="bottom"/>
          </w:tcPr>
          <w:p w14:paraId="2FF707CA">
            <w:pPr>
              <w:pStyle w:val="21"/>
              <w:adjustRightInd w:val="0"/>
              <w:snapToGrid w:val="0"/>
              <w:spacing w:before="36" w:beforeLines="15" w:line="276" w:lineRule="auto"/>
              <w:jc w:val="both"/>
              <w:rPr>
                <w:rFonts w:ascii="Times New Roman" w:hAnsi="Times New Roman" w:cs="Times New Roman"/>
                <w:sz w:val="18"/>
                <w:szCs w:val="21"/>
              </w:rPr>
            </w:pPr>
          </w:p>
        </w:tc>
        <w:tc>
          <w:tcPr>
            <w:tcW w:w="850" w:type="pct"/>
            <w:vAlign w:val="bottom"/>
          </w:tcPr>
          <w:p w14:paraId="32F2ADF8">
            <w:pPr>
              <w:pStyle w:val="21"/>
              <w:adjustRightInd w:val="0"/>
              <w:snapToGrid w:val="0"/>
              <w:spacing w:before="36" w:beforeLines="15" w:line="276" w:lineRule="auto"/>
              <w:jc w:val="both"/>
              <w:rPr>
                <w:rFonts w:ascii="Times New Roman" w:hAnsi="Times New Roman" w:cs="Times New Roman"/>
                <w:sz w:val="18"/>
                <w:szCs w:val="21"/>
              </w:rPr>
            </w:pPr>
          </w:p>
        </w:tc>
      </w:tr>
      <w:tr w14:paraId="129E9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47" w:type="pct"/>
            <w:vAlign w:val="bottom"/>
          </w:tcPr>
          <w:p w14:paraId="254FF72A">
            <w:pPr>
              <w:pStyle w:val="21"/>
              <w:adjustRightInd w:val="0"/>
              <w:snapToGrid w:val="0"/>
              <w:spacing w:before="36" w:beforeLines="15" w:line="276" w:lineRule="auto"/>
              <w:jc w:val="both"/>
              <w:rPr>
                <w:rFonts w:ascii="Times New Roman" w:hAnsi="Times New Roman" w:cs="Times New Roman"/>
                <w:sz w:val="18"/>
                <w:szCs w:val="21"/>
              </w:rPr>
            </w:pPr>
          </w:p>
          <w:p w14:paraId="07C9C0DB">
            <w:pPr>
              <w:pStyle w:val="21"/>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危险n</w:t>
            </w:r>
          </w:p>
        </w:tc>
        <w:tc>
          <w:tcPr>
            <w:tcW w:w="655" w:type="pct"/>
            <w:vAlign w:val="bottom"/>
          </w:tcPr>
          <w:p w14:paraId="61F846AE">
            <w:pPr>
              <w:pStyle w:val="21"/>
              <w:adjustRightInd w:val="0"/>
              <w:snapToGrid w:val="0"/>
              <w:spacing w:before="36" w:beforeLines="15" w:line="276" w:lineRule="auto"/>
              <w:jc w:val="both"/>
              <w:rPr>
                <w:rFonts w:ascii="Times New Roman" w:hAnsi="Times New Roman" w:cs="Times New Roman"/>
                <w:sz w:val="18"/>
                <w:szCs w:val="21"/>
              </w:rPr>
            </w:pPr>
          </w:p>
          <w:p w14:paraId="0CBC791A">
            <w:pPr>
              <w:pStyle w:val="21"/>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方法n</w:t>
            </w:r>
          </w:p>
        </w:tc>
        <w:tc>
          <w:tcPr>
            <w:tcW w:w="810" w:type="pct"/>
            <w:vAlign w:val="bottom"/>
          </w:tcPr>
          <w:p w14:paraId="357E7F89">
            <w:pPr>
              <w:pStyle w:val="21"/>
              <w:adjustRightInd w:val="0"/>
              <w:snapToGrid w:val="0"/>
              <w:spacing w:before="36" w:beforeLines="15" w:line="276" w:lineRule="auto"/>
              <w:jc w:val="both"/>
              <w:rPr>
                <w:rFonts w:ascii="Times New Roman" w:hAnsi="Times New Roman" w:cs="Times New Roman"/>
                <w:sz w:val="18"/>
                <w:szCs w:val="21"/>
              </w:rPr>
            </w:pPr>
          </w:p>
        </w:tc>
        <w:tc>
          <w:tcPr>
            <w:tcW w:w="777" w:type="pct"/>
            <w:vAlign w:val="bottom"/>
          </w:tcPr>
          <w:p w14:paraId="50EF813C">
            <w:pPr>
              <w:pStyle w:val="21"/>
              <w:adjustRightInd w:val="0"/>
              <w:snapToGrid w:val="0"/>
              <w:spacing w:before="36" w:beforeLines="15" w:line="276" w:lineRule="auto"/>
              <w:jc w:val="both"/>
              <w:rPr>
                <w:rFonts w:ascii="Times New Roman" w:hAnsi="Times New Roman" w:cs="Times New Roman"/>
                <w:sz w:val="18"/>
                <w:szCs w:val="21"/>
              </w:rPr>
            </w:pPr>
          </w:p>
        </w:tc>
        <w:tc>
          <w:tcPr>
            <w:tcW w:w="1161" w:type="pct"/>
            <w:vAlign w:val="bottom"/>
          </w:tcPr>
          <w:p w14:paraId="0F3DCC2B">
            <w:pPr>
              <w:pStyle w:val="21"/>
              <w:adjustRightInd w:val="0"/>
              <w:snapToGrid w:val="0"/>
              <w:spacing w:before="36" w:beforeLines="15" w:line="276" w:lineRule="auto"/>
              <w:jc w:val="both"/>
              <w:rPr>
                <w:rFonts w:ascii="Times New Roman" w:hAnsi="Times New Roman" w:cs="Times New Roman"/>
                <w:sz w:val="18"/>
                <w:szCs w:val="21"/>
              </w:rPr>
            </w:pPr>
          </w:p>
        </w:tc>
        <w:tc>
          <w:tcPr>
            <w:tcW w:w="850" w:type="pct"/>
            <w:vAlign w:val="bottom"/>
          </w:tcPr>
          <w:p w14:paraId="50CE3A47">
            <w:pPr>
              <w:pStyle w:val="21"/>
              <w:adjustRightInd w:val="0"/>
              <w:snapToGrid w:val="0"/>
              <w:spacing w:before="36" w:beforeLines="15" w:line="276" w:lineRule="auto"/>
              <w:jc w:val="both"/>
              <w:rPr>
                <w:rFonts w:ascii="Times New Roman" w:hAnsi="Times New Roman" w:cs="Times New Roman"/>
                <w:sz w:val="18"/>
                <w:szCs w:val="21"/>
              </w:rPr>
            </w:pPr>
          </w:p>
        </w:tc>
      </w:tr>
    </w:tbl>
    <w:p w14:paraId="69747A73">
      <w:pPr>
        <w:pStyle w:val="8"/>
        <w:adjustRightInd w:val="0"/>
        <w:snapToGrid w:val="0"/>
        <w:spacing w:before="120" w:beforeLines="50" w:line="300" w:lineRule="auto"/>
        <w:jc w:val="both"/>
        <w:rPr>
          <w:sz w:val="21"/>
          <w:szCs w:val="21"/>
          <w:lang w:eastAsia="zh-CN"/>
        </w:rPr>
      </w:pPr>
      <w:r>
        <w:rPr>
          <w:rFonts w:eastAsia="宋体" w:cs="宋体"/>
          <w:sz w:val="21"/>
          <w:lang w:eastAsia="zh-CN"/>
        </w:rPr>
        <w:t>表1.试验结果汇总表，包括每项试验应包含的列</w:t>
      </w:r>
    </w:p>
    <w:p w14:paraId="348A86A3">
      <w:pPr>
        <w:pStyle w:val="8"/>
        <w:adjustRightInd w:val="0"/>
        <w:snapToGrid w:val="0"/>
        <w:spacing w:before="120" w:beforeLines="50" w:line="300" w:lineRule="auto"/>
        <w:ind w:left="843" w:hanging="843" w:hangingChars="300"/>
        <w:jc w:val="both"/>
        <w:outlineLvl w:val="0"/>
        <w:rPr>
          <w:rFonts w:eastAsiaTheme="minorEastAsia"/>
          <w:b/>
          <w:sz w:val="28"/>
          <w:szCs w:val="21"/>
          <w:lang w:eastAsia="zh-CN"/>
        </w:rPr>
      </w:pPr>
      <w:bookmarkStart w:id="31" w:name="_Toc91866615"/>
      <w:r>
        <w:rPr>
          <w:rFonts w:eastAsia="宋体" w:cs="宋体"/>
          <w:b/>
          <w:sz w:val="28"/>
          <w:lang w:eastAsia="zh-CN"/>
        </w:rPr>
        <w:t>VII.</w:t>
      </w:r>
      <w:r>
        <w:rPr>
          <w:rFonts w:eastAsia="宋体" w:cs="宋体"/>
          <w:b/>
          <w:lang w:eastAsia="zh-CN"/>
        </w:rPr>
        <w:tab/>
      </w:r>
      <w:r>
        <w:rPr>
          <w:rFonts w:eastAsia="宋体" w:cs="宋体"/>
          <w:b/>
          <w:sz w:val="28"/>
          <w:lang w:eastAsia="zh-CN"/>
        </w:rPr>
        <w:t>MRI</w:t>
      </w:r>
      <w:bookmarkEnd w:id="31"/>
      <w:r>
        <w:rPr>
          <w:rFonts w:eastAsia="宋体" w:cs="宋体"/>
          <w:b/>
          <w:sz w:val="28"/>
          <w:lang w:eastAsia="zh-CN"/>
        </w:rPr>
        <w:t>安全标签及说明书</w:t>
      </w:r>
    </w:p>
    <w:p w14:paraId="415BF488">
      <w:pPr>
        <w:adjustRightInd w:val="0"/>
        <w:snapToGrid w:val="0"/>
        <w:spacing w:before="120" w:beforeLines="50" w:line="300" w:lineRule="auto"/>
        <w:jc w:val="both"/>
        <w:rPr>
          <w:sz w:val="21"/>
          <w:szCs w:val="21"/>
          <w:lang w:eastAsia="zh-CN"/>
        </w:rPr>
      </w:pPr>
      <w:r>
        <w:rPr>
          <w:rFonts w:eastAsia="宋体" w:cs="宋体"/>
          <w:sz w:val="21"/>
          <w:lang w:eastAsia="zh-CN"/>
        </w:rPr>
        <w:t>上市前申请必须纳入足够详细的标签，以满足上市前申请类型的任何适用要求（如21 CFR 807.87(e)或21 CFR 406 814.20(b)(10)）。此外，器械标签必须满足所有适用的FDA标签要求，包括但不限于《美国联邦法规》第21篇第801部分的要求。器械标签应包含可供医护专业人员确定器械是否可安全进入MR环境的充分信息。具体而言，建议在器械标签中</w:t>
      </w:r>
      <w:r>
        <w:rPr>
          <w:rFonts w:hint="eastAsia" w:eastAsia="宋体" w:cs="宋体"/>
          <w:sz w:val="21"/>
          <w:lang w:eastAsia="zh-CN"/>
        </w:rPr>
        <w:t>单独</w:t>
      </w:r>
      <w:r>
        <w:rPr>
          <w:rFonts w:eastAsia="宋体" w:cs="宋体"/>
          <w:sz w:val="21"/>
          <w:lang w:eastAsia="zh-CN"/>
        </w:rPr>
        <w:t>描述医疗器械在MR环境中安全性的信息</w:t>
      </w:r>
      <w:r>
        <w:rPr>
          <w:rFonts w:hint="eastAsia" w:eastAsia="宋体" w:cs="宋体"/>
          <w:sz w:val="21"/>
          <w:lang w:eastAsia="zh-CN"/>
        </w:rPr>
        <w:t>并将</w:t>
      </w:r>
      <w:r>
        <w:rPr>
          <w:rFonts w:eastAsia="宋体" w:cs="宋体"/>
          <w:sz w:val="21"/>
          <w:lang w:eastAsia="zh-CN"/>
        </w:rPr>
        <w:t>标题命名为“MRI安全性相关信息”。为了便于用户查找，建议将此部分纳入标签文件的目录中（如适用）。根据评估结果，应将医疗器械标记为“MR安全”、“MR危险”或“MR特定条件安全”，并在器械标签中纳入ASTM F2503中的相应符号和/或相应术语。</w:t>
      </w:r>
    </w:p>
    <w:p w14:paraId="7FC0CCA9">
      <w:pPr>
        <w:pStyle w:val="8"/>
        <w:adjustRightInd w:val="0"/>
        <w:snapToGrid w:val="0"/>
        <w:spacing w:before="120" w:beforeLines="50" w:line="300" w:lineRule="auto"/>
        <w:jc w:val="both"/>
        <w:rPr>
          <w:sz w:val="21"/>
          <w:szCs w:val="21"/>
          <w:lang w:eastAsia="zh-CN"/>
        </w:rPr>
      </w:pPr>
      <w:r>
        <w:rPr>
          <w:rFonts w:eastAsia="宋体" w:cs="宋体"/>
          <w:sz w:val="21"/>
          <w:lang w:eastAsia="zh-CN"/>
        </w:rPr>
        <w:t>根据定义，MR安全医疗器械由不导电、非金属和非磁性材料组成。</w:t>
      </w:r>
      <w:r>
        <w:rPr>
          <w:rFonts w:eastAsia="宋体" w:cs="宋体"/>
          <w:sz w:val="21"/>
          <w:vertAlign w:val="superscript"/>
          <w:lang w:eastAsia="zh-CN"/>
        </w:rPr>
        <w:t>34</w:t>
      </w:r>
      <w:r>
        <w:rPr>
          <w:rFonts w:eastAsia="宋体" w:cs="宋体"/>
          <w:sz w:val="21"/>
          <w:lang w:eastAsia="zh-CN"/>
        </w:rPr>
        <w:t>为了确定医疗器械在MR环境中的安全性，如果电导率小于1 S/m，则医疗器械可定义为不导电。大多数塑料、玻璃和许多陶瓷材料均具有MR安全性。可依据科学依据而不是试验将医疗器械指定为具有MR安全性。</w:t>
      </w:r>
    </w:p>
    <w:p w14:paraId="227865A2">
      <w:pPr>
        <w:pStyle w:val="8"/>
        <w:adjustRightInd w:val="0"/>
        <w:snapToGrid w:val="0"/>
        <w:spacing w:before="5400" w:beforeLines="2250" w:line="300" w:lineRule="auto"/>
        <w:jc w:val="both"/>
        <w:rPr>
          <w:rFonts w:eastAsiaTheme="minorEastAsia"/>
          <w:sz w:val="21"/>
          <w:szCs w:val="21"/>
          <w:lang w:eastAsia="zh-CN"/>
        </w:rPr>
      </w:pPr>
      <w:r>
        <w:rPr>
          <w:rFonts w:eastAsia="宋体" w:cs="宋体"/>
          <w:sz w:val="21"/>
          <w:lang w:eastAsia="zh-CN"/>
        </w:rPr>
        <w:t>____________________</w:t>
      </w:r>
    </w:p>
    <w:p w14:paraId="7FDFC39A">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34</w:t>
      </w:r>
      <w:r>
        <w:rPr>
          <w:rFonts w:eastAsia="宋体" w:cs="宋体"/>
          <w:sz w:val="18"/>
          <w:lang w:eastAsia="zh-CN"/>
        </w:rPr>
        <w:t xml:space="preserve"> ASTM F2503-13磁共振环境中医疗器械和其他物品安全标记的标准实施规程</w:t>
      </w:r>
      <w:r>
        <w:rPr>
          <w:rFonts w:eastAsia="宋体" w:cs="宋体"/>
          <w:b/>
          <w:sz w:val="21"/>
          <w:lang w:eastAsia="zh-CN"/>
        </w:rPr>
        <w:br w:type="page"/>
      </w:r>
    </w:p>
    <w:p w14:paraId="465FDD49">
      <w:pPr>
        <w:pStyle w:val="8"/>
        <w:adjustRightInd w:val="0"/>
        <w:snapToGrid w:val="0"/>
        <w:spacing w:before="120" w:beforeLines="50" w:line="300" w:lineRule="auto"/>
        <w:jc w:val="both"/>
        <w:rPr>
          <w:sz w:val="21"/>
          <w:szCs w:val="21"/>
          <w:lang w:eastAsia="zh-CN"/>
        </w:rPr>
      </w:pPr>
      <w:r>
        <w:rPr>
          <w:rFonts w:eastAsia="宋体" w:cs="宋体"/>
          <w:sz w:val="21"/>
          <w:lang w:eastAsia="zh-CN"/>
        </w:rPr>
        <w:t>应将电力驱动的有源医疗器械指定为“MR特定条件安全”或“MR危险”，但不能指定为“MR安全”，因为器械包含导电组件。MRI安全标签及说明书应包括</w:t>
      </w:r>
      <w:r>
        <w:rPr>
          <w:rFonts w:hint="eastAsia" w:eastAsia="宋体" w:cs="宋体"/>
          <w:sz w:val="21"/>
          <w:lang w:eastAsia="zh-CN"/>
        </w:rPr>
        <w:t>向</w:t>
      </w:r>
      <w:r>
        <w:rPr>
          <w:rFonts w:eastAsia="宋体" w:cs="宋体"/>
          <w:sz w:val="21"/>
          <w:lang w:eastAsia="zh-CN"/>
        </w:rPr>
        <w:t>患者和医疗服务提供者</w:t>
      </w:r>
      <w:r>
        <w:rPr>
          <w:rFonts w:hint="eastAsia" w:eastAsia="宋体" w:cs="宋体"/>
          <w:sz w:val="21"/>
          <w:lang w:eastAsia="zh-CN"/>
        </w:rPr>
        <w:t>所提供</w:t>
      </w:r>
      <w:r>
        <w:rPr>
          <w:rFonts w:eastAsia="宋体" w:cs="宋体"/>
          <w:sz w:val="21"/>
          <w:lang w:eastAsia="zh-CN"/>
        </w:rPr>
        <w:t>的信息。根据特定医疗器械的适用情况，这应包括</w:t>
      </w:r>
      <w:r>
        <w:rPr>
          <w:rFonts w:hint="eastAsia" w:eastAsia="宋体" w:cs="宋体"/>
          <w:sz w:val="21"/>
          <w:lang w:eastAsia="zh-CN"/>
        </w:rPr>
        <w:t>向</w:t>
      </w:r>
      <w:r>
        <w:rPr>
          <w:rFonts w:eastAsia="宋体" w:cs="宋体"/>
          <w:sz w:val="21"/>
          <w:lang w:eastAsia="zh-CN"/>
        </w:rPr>
        <w:t>有关植入医疗器械或开具医疗器械处方的医疗服务提供者、为植入医疗器械的患者提供持续护理的医生或其他医疗服务提供者以及开具MR检查处方的医疗服务提供者</w:t>
      </w:r>
      <w:r>
        <w:rPr>
          <w:rFonts w:hint="eastAsia" w:eastAsia="宋体" w:cs="宋体"/>
          <w:sz w:val="21"/>
          <w:lang w:eastAsia="zh-CN"/>
        </w:rPr>
        <w:t>所提供</w:t>
      </w:r>
      <w:r>
        <w:rPr>
          <w:rFonts w:eastAsia="宋体" w:cs="宋体"/>
          <w:sz w:val="21"/>
          <w:lang w:eastAsia="zh-CN"/>
        </w:rPr>
        <w:t>的信息。在制定该标签信息时，请注意，开具MR检查处方的医疗服务提供者，也可能是为植入医疗器械的患者提供随访护理的医疗服务提供者，可能未将医疗器械植入患者体内或提供给患者。</w:t>
      </w:r>
    </w:p>
    <w:p w14:paraId="66B91A8D">
      <w:pPr>
        <w:pStyle w:val="8"/>
        <w:adjustRightInd w:val="0"/>
        <w:snapToGrid w:val="0"/>
        <w:spacing w:before="120" w:beforeLines="50" w:line="300" w:lineRule="auto"/>
        <w:jc w:val="both"/>
        <w:rPr>
          <w:sz w:val="21"/>
          <w:szCs w:val="21"/>
          <w:lang w:eastAsia="zh-CN"/>
        </w:rPr>
      </w:pPr>
      <w:r>
        <w:rPr>
          <w:rFonts w:eastAsia="宋体" w:cs="宋体"/>
          <w:sz w:val="21"/>
          <w:lang w:eastAsia="zh-CN"/>
        </w:rPr>
        <w:t>医疗服务提供者标签应明确标识医疗器械、标识医疗器械的MRI安全状态（MR安全、MR危险或MR特定条件安全），如果医疗器械具有MR特定条件安全性，则应提供在MR环境中安全使用的条件。如果医疗器械预期进入MR系统孔腔内，在MR环境中安全使用的条件应包括对植入医疗器械的患者安全执行MR程序的说明。这可能包括患者准备、程序说明、特殊医疗器械运行模式、所需周围设备、扫描过程中或之后所需患者监测或干预以及其它用于确保安全的类似说明。应清楚解释医疗器械在MR检查期间的所有预期操作。纳入的信息还应阐述采集的图像中可能由医疗器械引起的伪影。</w:t>
      </w:r>
    </w:p>
    <w:p w14:paraId="663C75AD">
      <w:pPr>
        <w:pStyle w:val="8"/>
        <w:adjustRightInd w:val="0"/>
        <w:snapToGrid w:val="0"/>
        <w:spacing w:before="120" w:beforeLines="50" w:line="300" w:lineRule="auto"/>
        <w:jc w:val="both"/>
        <w:rPr>
          <w:sz w:val="21"/>
          <w:szCs w:val="21"/>
          <w:lang w:eastAsia="zh-CN"/>
        </w:rPr>
      </w:pPr>
      <w:r>
        <w:rPr>
          <w:rFonts w:eastAsia="宋体" w:cs="宋体"/>
          <w:sz w:val="21"/>
          <w:lang w:eastAsia="zh-CN"/>
        </w:rPr>
        <w:t>患者标签应明确标识医疗器械并标识医疗器械的MRI安全状态（MR安全、MR危险或MR特定条件安全）。对于固定在患者身上的MR危险植入物和体外医疗器械，患者标签应明确告知患者，将器械植入患者体内或固定在患者身上时，患者不得接受MR检查。对于MR特定条件安全医疗器械，患者信息应指导患者在MR检查前咨询其医疗服务提供者，并在MR检查前告知MRI现场工作人员其已植入MR特定条件安全医疗器械。</w:t>
      </w:r>
    </w:p>
    <w:p w14:paraId="387B619D">
      <w:pPr>
        <w:pStyle w:val="8"/>
        <w:adjustRightInd w:val="0"/>
        <w:snapToGrid w:val="0"/>
        <w:spacing w:before="120" w:beforeLines="50" w:line="300" w:lineRule="auto"/>
        <w:jc w:val="both"/>
        <w:rPr>
          <w:sz w:val="21"/>
          <w:szCs w:val="21"/>
          <w:lang w:eastAsia="zh-CN"/>
        </w:rPr>
      </w:pPr>
      <w:r>
        <w:rPr>
          <w:rFonts w:eastAsia="宋体" w:cs="宋体"/>
          <w:sz w:val="21"/>
          <w:lang w:eastAsia="zh-CN"/>
        </w:rPr>
        <w:t>为了使医护专业人员能够识别患者植入的特定医疗器械、医疗器械的MRI安全状态，以及在MR环境中安全使用MR特定条件安全器械的条件，建议</w:t>
      </w:r>
      <w:r>
        <w:rPr>
          <w:rFonts w:hint="eastAsia" w:eastAsia="宋体" w:cs="宋体"/>
          <w:sz w:val="21"/>
          <w:lang w:eastAsia="zh-CN"/>
        </w:rPr>
        <w:t>对于</w:t>
      </w:r>
      <w:r>
        <w:rPr>
          <w:rFonts w:eastAsia="宋体" w:cs="宋体"/>
          <w:sz w:val="21"/>
          <w:lang w:eastAsia="zh-CN"/>
        </w:rPr>
        <w:t>植入式医疗器械以及固定到患者身上或由患者携带的体外医疗器械的患者标签纳入患者医疗器械卡。患者医疗器械卡应明确标识医疗器械、医疗器械的MRI安全状态（MR安全、MR危险或MR特定条件安全），如果医疗器械具有MR特定条件安全性，则提供安全MRI扫描条件或将用户引导至可找到当前MR特定条件安全标签及说明书的位置（即通过URL和/或电话号码）。</w:t>
      </w:r>
    </w:p>
    <w:p w14:paraId="705C8FDC">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2A07E43C">
      <w:pPr>
        <w:pStyle w:val="8"/>
        <w:adjustRightInd w:val="0"/>
        <w:snapToGrid w:val="0"/>
        <w:spacing w:before="120" w:beforeLines="50" w:line="300" w:lineRule="auto"/>
        <w:jc w:val="both"/>
        <w:rPr>
          <w:sz w:val="21"/>
          <w:szCs w:val="21"/>
          <w:lang w:eastAsia="zh-CN"/>
        </w:rPr>
      </w:pPr>
      <w:r>
        <w:rPr>
          <w:rFonts w:eastAsia="宋体" w:cs="宋体"/>
          <w:sz w:val="21"/>
          <w:lang w:eastAsia="zh-CN"/>
        </w:rPr>
        <w:t>下文和附录中给出了有关MR安全、MR危险和MR特定条件安全医疗器械标签的具体内容和格式的建议。下文和附录中还给出了MR安全、MR危险和MR特定条件安全医疗器械的标签示例。</w:t>
      </w:r>
    </w:p>
    <w:p w14:paraId="0BCB8846">
      <w:pPr>
        <w:pStyle w:val="8"/>
        <w:adjustRightInd w:val="0"/>
        <w:snapToGrid w:val="0"/>
        <w:spacing w:before="120" w:beforeLines="50" w:line="300" w:lineRule="auto"/>
        <w:ind w:left="922" w:leftChars="200" w:hanging="482" w:hangingChars="200"/>
        <w:jc w:val="both"/>
        <w:outlineLvl w:val="1"/>
        <w:rPr>
          <w:b/>
          <w:szCs w:val="21"/>
          <w:lang w:eastAsia="zh-CN"/>
        </w:rPr>
      </w:pPr>
      <w:bookmarkStart w:id="32" w:name="_Toc91866616"/>
      <w:r>
        <w:rPr>
          <w:rFonts w:eastAsia="宋体" w:cs="宋体"/>
          <w:b/>
          <w:lang w:eastAsia="zh-CN"/>
        </w:rPr>
        <w:t>A.</w:t>
      </w:r>
      <w:r>
        <w:rPr>
          <w:rFonts w:eastAsia="宋体" w:cs="宋体"/>
          <w:b/>
          <w:lang w:eastAsia="zh-CN"/>
        </w:rPr>
        <w:tab/>
      </w:r>
      <w:r>
        <w:rPr>
          <w:rFonts w:eastAsia="宋体" w:cs="宋体"/>
          <w:b/>
          <w:lang w:eastAsia="zh-CN"/>
        </w:rPr>
        <w:t>MR安全</w:t>
      </w:r>
      <w:bookmarkEnd w:id="32"/>
    </w:p>
    <w:p w14:paraId="1A379AEE">
      <w:pPr>
        <w:pStyle w:val="8"/>
        <w:adjustRightInd w:val="0"/>
        <w:snapToGrid w:val="0"/>
        <w:spacing w:before="120" w:beforeLines="50" w:line="300" w:lineRule="auto"/>
        <w:jc w:val="both"/>
        <w:rPr>
          <w:sz w:val="21"/>
          <w:szCs w:val="21"/>
          <w:lang w:eastAsia="zh-CN"/>
        </w:rPr>
      </w:pPr>
      <w:r>
        <w:rPr>
          <w:rFonts w:eastAsia="宋体" w:cs="宋体"/>
          <w:sz w:val="21"/>
          <w:lang w:eastAsia="zh-CN"/>
        </w:rPr>
        <w:t>MR安全医疗器械的MRI安全性相关信息应表明该医疗器械具有MR安全性，如下所示。对于非植入式医疗器械，此信息应尽可能直接显示在医疗器械上。为了提供简明易懂的MR安全性相关信息，建议MR安全医疗器械的标签不纳入医护专业人员安全进行MR检查不必要的附加信息（例如确定MR安全所依据的科学依据）。标签示例：</w:t>
      </w:r>
    </w:p>
    <w:p w14:paraId="623F6A76">
      <w:pPr>
        <w:adjustRightInd w:val="0"/>
        <w:snapToGrid w:val="0"/>
        <w:spacing w:before="120" w:beforeLines="50" w:line="300" w:lineRule="auto"/>
        <w:jc w:val="both"/>
        <w:rPr>
          <w:b/>
          <w:sz w:val="21"/>
          <w:szCs w:val="21"/>
          <w:lang w:eastAsia="zh-CN"/>
        </w:rPr>
      </w:pPr>
      <w:r>
        <w:rPr>
          <w:rFonts w:eastAsia="宋体" w:cs="宋体"/>
          <w:b/>
          <w:sz w:val="21"/>
          <w:lang w:eastAsia="zh-CN"/>
        </w:rPr>
        <w:t>MRI安全信息</w:t>
      </w:r>
    </w:p>
    <w:p w14:paraId="35E40E14">
      <w:pPr>
        <w:adjustRightInd w:val="0"/>
        <w:snapToGrid w:val="0"/>
        <w:spacing w:before="120" w:beforeLines="50" w:line="300" w:lineRule="auto"/>
        <w:ind w:left="440" w:leftChars="200"/>
        <w:jc w:val="both"/>
        <w:rPr>
          <w:sz w:val="21"/>
          <w:szCs w:val="21"/>
          <w:lang w:eastAsia="zh-CN"/>
        </w:rPr>
      </w:pPr>
      <w:r>
        <w:rPr>
          <w:rFonts w:eastAsia="宋体" w:cs="宋体"/>
          <w:sz w:val="21"/>
          <w:lang w:eastAsia="zh-CN" w:bidi="ar-SA"/>
        </w:rPr>
        <w:drawing>
          <wp:inline distT="0" distB="0" distL="0" distR="0">
            <wp:extent cx="456565" cy="466090"/>
            <wp:effectExtent l="0" t="0" r="635" b="0"/>
            <wp:docPr id="81" name="image38.jpeg" descr="D:\EPSWordDocs\Documents\in\101386_z.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8.jpeg" descr="D:\EPSWordDocs\Documents\in\101386_z.tif"/>
                    <pic:cNvPicPr>
                      <a:picLocks noChangeAspect="1"/>
                    </pic:cNvPicPr>
                  </pic:nvPicPr>
                  <pic:blipFill>
                    <a:blip r:embed="rId7" cstate="print"/>
                    <a:stretch>
                      <a:fillRect/>
                    </a:stretch>
                  </pic:blipFill>
                  <pic:spPr>
                    <a:xfrm>
                      <a:off x="0" y="0"/>
                      <a:ext cx="457199" cy="466721"/>
                    </a:xfrm>
                    <a:prstGeom prst="rect">
                      <a:avLst/>
                    </a:prstGeom>
                  </pic:spPr>
                </pic:pic>
              </a:graphicData>
            </a:graphic>
          </wp:inline>
        </w:drawing>
      </w:r>
      <w:r>
        <w:rPr>
          <w:rFonts w:eastAsia="宋体" w:cs="宋体"/>
          <w:sz w:val="21"/>
          <w:lang w:eastAsia="zh-CN"/>
        </w:rPr>
        <w:t>或</w:t>
      </w:r>
      <w:r>
        <w:rPr>
          <w:rFonts w:eastAsia="宋体" w:cs="宋体"/>
          <w:sz w:val="21"/>
          <w:lang w:eastAsia="zh-CN" w:bidi="ar-SA"/>
        </w:rPr>
        <w:drawing>
          <wp:inline distT="0" distB="0" distL="0" distR="0">
            <wp:extent cx="460375" cy="452755"/>
            <wp:effectExtent l="0" t="0" r="0" b="4445"/>
            <wp:docPr id="83" name="image39.png" descr="D:\EPSWordDocs\Documents\in\101387_z.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39.png" descr="D:\EPSWordDocs\Documents\in\101387_z.tif"/>
                    <pic:cNvPicPr>
                      <a:picLocks noChangeAspect="1"/>
                    </pic:cNvPicPr>
                  </pic:nvPicPr>
                  <pic:blipFill>
                    <a:blip r:embed="rId8" cstate="print"/>
                    <a:stretch>
                      <a:fillRect/>
                    </a:stretch>
                  </pic:blipFill>
                  <pic:spPr>
                    <a:xfrm>
                      <a:off x="0" y="0"/>
                      <a:ext cx="461009" cy="453386"/>
                    </a:xfrm>
                    <a:prstGeom prst="rect">
                      <a:avLst/>
                    </a:prstGeom>
                  </pic:spPr>
                </pic:pic>
              </a:graphicData>
            </a:graphic>
          </wp:inline>
        </w:drawing>
      </w:r>
    </w:p>
    <w:p w14:paraId="08FCED9C">
      <w:pPr>
        <w:adjustRightInd w:val="0"/>
        <w:snapToGrid w:val="0"/>
        <w:spacing w:before="120" w:beforeLines="50" w:line="300" w:lineRule="auto"/>
        <w:jc w:val="both"/>
        <w:rPr>
          <w:sz w:val="21"/>
          <w:szCs w:val="21"/>
          <w:lang w:eastAsia="zh-CN"/>
        </w:rPr>
      </w:pPr>
      <w:r>
        <w:rPr>
          <w:rFonts w:eastAsia="宋体" w:cs="宋体"/>
          <w:sz w:val="21"/>
          <w:lang w:eastAsia="zh-CN"/>
        </w:rPr>
        <w:t>和/或“&lt;</w:t>
      </w:r>
      <w:r>
        <w:rPr>
          <w:rFonts w:eastAsia="宋体" w:cs="宋体"/>
          <w:i/>
          <w:sz w:val="21"/>
          <w:lang w:eastAsia="zh-CN"/>
        </w:rPr>
        <w:t>插入医疗器械名称</w:t>
      </w:r>
      <w:r>
        <w:rPr>
          <w:rFonts w:eastAsia="宋体" w:cs="宋体"/>
          <w:sz w:val="21"/>
          <w:lang w:eastAsia="zh-CN"/>
        </w:rPr>
        <w:t>&gt;具有MR安全性”等声明。</w:t>
      </w:r>
    </w:p>
    <w:p w14:paraId="6A343311">
      <w:pPr>
        <w:pStyle w:val="8"/>
        <w:adjustRightInd w:val="0"/>
        <w:snapToGrid w:val="0"/>
        <w:spacing w:before="120" w:beforeLines="50" w:line="300" w:lineRule="auto"/>
        <w:ind w:left="922" w:leftChars="200" w:hanging="482" w:hangingChars="200"/>
        <w:jc w:val="both"/>
        <w:outlineLvl w:val="1"/>
        <w:rPr>
          <w:b/>
          <w:szCs w:val="21"/>
          <w:lang w:eastAsia="zh-CN"/>
        </w:rPr>
      </w:pPr>
      <w:bookmarkStart w:id="33" w:name="_Toc91866617"/>
      <w:r>
        <w:rPr>
          <w:rFonts w:eastAsia="宋体" w:cs="宋体"/>
          <w:b/>
          <w:lang w:eastAsia="zh-CN"/>
        </w:rPr>
        <w:t>B.</w:t>
      </w:r>
      <w:r>
        <w:rPr>
          <w:rFonts w:eastAsia="宋体" w:cs="宋体"/>
          <w:b/>
          <w:lang w:eastAsia="zh-CN"/>
        </w:rPr>
        <w:tab/>
      </w:r>
      <w:bookmarkEnd w:id="33"/>
      <w:r>
        <w:rPr>
          <w:rFonts w:eastAsia="宋体" w:cs="宋体"/>
          <w:b/>
          <w:lang w:eastAsia="zh-CN"/>
        </w:rPr>
        <w:t>MR危险</w:t>
      </w:r>
    </w:p>
    <w:p w14:paraId="6F97F242">
      <w:pPr>
        <w:pStyle w:val="8"/>
        <w:adjustRightInd w:val="0"/>
        <w:snapToGrid w:val="0"/>
        <w:spacing w:before="120" w:beforeLines="50" w:line="300" w:lineRule="auto"/>
        <w:jc w:val="both"/>
        <w:rPr>
          <w:sz w:val="21"/>
          <w:szCs w:val="21"/>
          <w:lang w:eastAsia="zh-CN"/>
        </w:rPr>
      </w:pPr>
      <w:r>
        <w:rPr>
          <w:rFonts w:eastAsia="宋体" w:cs="宋体"/>
          <w:sz w:val="21"/>
          <w:lang w:eastAsia="zh-CN"/>
        </w:rPr>
        <w:t>MR危险医疗器械的MRI安全性相关信息应表明该医疗器械不具有MR安全性，并应置于MRI扫描室外，如下所示。对于非植入式医疗器械，“MR危险”图标应尽可能直接显示在医疗器械上。如适用，标签还应注明医疗器械可能具有抛射危险。为了提供简明易懂的MRI安全性相关信息，建议MR危险医疗器械的标签不纳入医护专业人员安全进行MR检查不必要的附加信息（例如，确定MR危险所依据的科学依据）。例如：</w:t>
      </w:r>
    </w:p>
    <w:p w14:paraId="3335BB13">
      <w:pPr>
        <w:pStyle w:val="8"/>
        <w:adjustRightInd w:val="0"/>
        <w:snapToGrid w:val="0"/>
        <w:spacing w:before="120" w:beforeLines="50" w:line="300" w:lineRule="auto"/>
        <w:jc w:val="both"/>
        <w:rPr>
          <w:b/>
          <w:sz w:val="21"/>
          <w:szCs w:val="21"/>
          <w:lang w:eastAsia="zh-CN"/>
        </w:rPr>
      </w:pPr>
      <w:r>
        <w:rPr>
          <w:rFonts w:eastAsia="宋体" w:cs="宋体"/>
          <w:b/>
          <w:sz w:val="21"/>
          <w:lang w:eastAsia="zh-CN"/>
        </w:rPr>
        <w:t>MRI安全信息</w:t>
      </w:r>
    </w:p>
    <w:p w14:paraId="2F568D5D">
      <w:pPr>
        <w:pStyle w:val="8"/>
        <w:adjustRightInd w:val="0"/>
        <w:snapToGrid w:val="0"/>
        <w:spacing w:before="120" w:beforeLines="50" w:line="300" w:lineRule="auto"/>
        <w:jc w:val="both"/>
        <w:rPr>
          <w:b/>
          <w:sz w:val="21"/>
          <w:szCs w:val="21"/>
        </w:rPr>
      </w:pPr>
      <w:r>
        <w:rPr>
          <w:rFonts w:eastAsia="宋体" w:cs="宋体"/>
          <w:sz w:val="21"/>
          <w:lang w:eastAsia="zh-CN" w:bidi="ar-SA"/>
        </w:rPr>
        <w:drawing>
          <wp:inline distT="0" distB="0" distL="0" distR="0">
            <wp:extent cx="1031240" cy="859155"/>
            <wp:effectExtent l="0" t="0" r="0" b="0"/>
            <wp:docPr id="87"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41.jpe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1769" cy="859536"/>
                    </a:xfrm>
                    <a:prstGeom prst="rect">
                      <a:avLst/>
                    </a:prstGeom>
                  </pic:spPr>
                </pic:pic>
              </a:graphicData>
            </a:graphic>
          </wp:inline>
        </w:drawing>
      </w:r>
    </w:p>
    <w:p w14:paraId="2679EAE0">
      <w:pPr>
        <w:pStyle w:val="8"/>
        <w:adjustRightInd w:val="0"/>
        <w:snapToGrid w:val="0"/>
        <w:spacing w:before="120" w:beforeLines="50" w:line="300" w:lineRule="auto"/>
        <w:jc w:val="both"/>
        <w:rPr>
          <w:sz w:val="21"/>
          <w:szCs w:val="21"/>
          <w:lang w:eastAsia="zh-CN"/>
        </w:rPr>
      </w:pPr>
      <w:r>
        <w:rPr>
          <w:rFonts w:eastAsia="宋体" w:cs="宋体"/>
          <w:sz w:val="21"/>
          <w:lang w:eastAsia="zh-CN"/>
        </w:rPr>
        <w:t>“将&lt;</w:t>
      </w:r>
      <w:r>
        <w:rPr>
          <w:rFonts w:eastAsia="宋体" w:cs="宋体"/>
          <w:i/>
          <w:sz w:val="21"/>
          <w:lang w:eastAsia="zh-CN"/>
        </w:rPr>
        <w:t>插入医疗器械名称</w:t>
      </w:r>
      <w:r>
        <w:rPr>
          <w:rFonts w:eastAsia="宋体" w:cs="宋体"/>
          <w:sz w:val="21"/>
          <w:lang w:eastAsia="zh-CN"/>
        </w:rPr>
        <w:t>&gt;置于MRI扫描室外”，以及在适当情况下，“器械具有抛射危险”的声明。</w:t>
      </w:r>
    </w:p>
    <w:p w14:paraId="2E344ECB">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27BF9D29">
      <w:pPr>
        <w:pStyle w:val="8"/>
        <w:adjustRightInd w:val="0"/>
        <w:snapToGrid w:val="0"/>
        <w:spacing w:before="120" w:beforeLines="50" w:line="300" w:lineRule="auto"/>
        <w:jc w:val="both"/>
        <w:rPr>
          <w:sz w:val="21"/>
          <w:szCs w:val="21"/>
        </w:rPr>
      </w:pPr>
      <w:r>
        <w:rPr>
          <w:rFonts w:eastAsia="宋体" w:cs="宋体"/>
          <w:sz w:val="21"/>
        </w:rPr>
        <w:t>或</w:t>
      </w:r>
    </w:p>
    <w:p w14:paraId="7CFCF872">
      <w:pPr>
        <w:pStyle w:val="8"/>
        <w:adjustRightInd w:val="0"/>
        <w:snapToGrid w:val="0"/>
        <w:spacing w:before="120" w:beforeLines="50" w:line="300" w:lineRule="auto"/>
        <w:jc w:val="both"/>
        <w:rPr>
          <w:sz w:val="21"/>
          <w:szCs w:val="21"/>
        </w:rPr>
      </w:pPr>
      <w:r>
        <w:rPr>
          <w:rFonts w:eastAsia="宋体" w:cs="宋体"/>
          <w:sz w:val="21"/>
          <w:lang w:eastAsia="zh-CN" w:bidi="ar-SA"/>
        </w:rPr>
        <w:drawing>
          <wp:inline distT="0" distB="0" distL="0" distR="0">
            <wp:extent cx="793115" cy="767715"/>
            <wp:effectExtent l="0" t="0" r="6985" b="0"/>
            <wp:docPr id="89"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2.jpe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3670" cy="768096"/>
                    </a:xfrm>
                    <a:prstGeom prst="rect">
                      <a:avLst/>
                    </a:prstGeom>
                  </pic:spPr>
                </pic:pic>
              </a:graphicData>
            </a:graphic>
          </wp:inline>
        </w:drawing>
      </w:r>
    </w:p>
    <w:p w14:paraId="0FD4235B">
      <w:pPr>
        <w:adjustRightInd w:val="0"/>
        <w:snapToGrid w:val="0"/>
        <w:spacing w:before="120" w:beforeLines="50" w:line="300" w:lineRule="auto"/>
        <w:jc w:val="both"/>
        <w:rPr>
          <w:sz w:val="21"/>
          <w:szCs w:val="21"/>
          <w:lang w:eastAsia="zh-CN"/>
        </w:rPr>
      </w:pPr>
      <w:r>
        <w:rPr>
          <w:rFonts w:eastAsia="宋体" w:cs="宋体"/>
          <w:sz w:val="21"/>
          <w:lang w:eastAsia="zh-CN"/>
        </w:rPr>
        <w:t>和/或“&lt;</w:t>
      </w:r>
      <w:r>
        <w:rPr>
          <w:rFonts w:eastAsia="宋体" w:cs="宋体"/>
          <w:i/>
          <w:sz w:val="21"/>
          <w:lang w:eastAsia="zh-CN"/>
        </w:rPr>
        <w:t>插入医疗器械名称</w:t>
      </w:r>
      <w:r>
        <w:rPr>
          <w:rFonts w:eastAsia="宋体" w:cs="宋体"/>
          <w:sz w:val="21"/>
          <w:lang w:eastAsia="zh-CN"/>
        </w:rPr>
        <w:t>&gt;</w:t>
      </w:r>
      <w:r>
        <w:rPr>
          <w:rFonts w:hint="eastAsia" w:eastAsia="宋体" w:cs="宋体"/>
          <w:sz w:val="21"/>
          <w:lang w:eastAsia="zh-CN"/>
        </w:rPr>
        <w:t>是</w:t>
      </w:r>
      <w:r>
        <w:rPr>
          <w:rFonts w:eastAsia="宋体" w:cs="宋体"/>
          <w:sz w:val="21"/>
          <w:lang w:eastAsia="zh-CN"/>
        </w:rPr>
        <w:t>MR</w:t>
      </w:r>
      <w:r>
        <w:rPr>
          <w:rFonts w:hint="eastAsia" w:eastAsia="宋体" w:cs="宋体"/>
          <w:sz w:val="21"/>
          <w:lang w:eastAsia="zh-CN"/>
        </w:rPr>
        <w:t>危险</w:t>
      </w:r>
      <w:r>
        <w:rPr>
          <w:rFonts w:eastAsia="宋体" w:cs="宋体"/>
          <w:sz w:val="21"/>
          <w:lang w:eastAsia="zh-CN"/>
        </w:rPr>
        <w:t>。将其置于MRI扫描室外”等声明。</w:t>
      </w:r>
    </w:p>
    <w:p w14:paraId="585D09F0">
      <w:pPr>
        <w:pStyle w:val="8"/>
        <w:adjustRightInd w:val="0"/>
        <w:snapToGrid w:val="0"/>
        <w:spacing w:before="120" w:beforeLines="50" w:line="300" w:lineRule="auto"/>
        <w:jc w:val="both"/>
        <w:rPr>
          <w:sz w:val="21"/>
          <w:szCs w:val="21"/>
          <w:lang w:eastAsia="zh-CN"/>
        </w:rPr>
      </w:pPr>
      <w:r>
        <w:rPr>
          <w:rFonts w:eastAsia="宋体" w:cs="宋体"/>
          <w:sz w:val="21"/>
          <w:lang w:eastAsia="zh-CN"/>
        </w:rPr>
        <w:t>以及在适当情况下，“器械具有抛射危险”的声明。</w:t>
      </w:r>
    </w:p>
    <w:p w14:paraId="045318A7">
      <w:pPr>
        <w:pStyle w:val="8"/>
        <w:adjustRightInd w:val="0"/>
        <w:snapToGrid w:val="0"/>
        <w:spacing w:before="120" w:beforeLines="50" w:line="300" w:lineRule="auto"/>
        <w:jc w:val="both"/>
        <w:rPr>
          <w:sz w:val="21"/>
          <w:szCs w:val="21"/>
          <w:lang w:eastAsia="zh-CN"/>
        </w:rPr>
      </w:pPr>
      <w:r>
        <w:rPr>
          <w:rFonts w:eastAsia="宋体" w:cs="宋体"/>
          <w:sz w:val="21"/>
          <w:lang w:eastAsia="zh-CN"/>
        </w:rPr>
        <w:t>对于非植入式医疗器械，MR危险标签应尽可能直接显示在医疗器械上。例如：</w:t>
      </w:r>
    </w:p>
    <w:p w14:paraId="02E577B1">
      <w:pPr>
        <w:pStyle w:val="8"/>
        <w:adjustRightInd w:val="0"/>
        <w:snapToGrid w:val="0"/>
        <w:spacing w:before="120" w:beforeLines="50" w:line="300" w:lineRule="auto"/>
        <w:jc w:val="both"/>
        <w:rPr>
          <w:rFonts w:eastAsiaTheme="minorEastAsia"/>
          <w:sz w:val="21"/>
          <w:szCs w:val="21"/>
          <w:lang w:eastAsia="zh-CN"/>
        </w:rPr>
      </w:pPr>
      <w:r>
        <w:rPr>
          <w:sz w:val="21"/>
          <w:szCs w:val="21"/>
          <w:lang w:eastAsia="zh-CN" w:bidi="ar-SA"/>
        </w:rPr>
        <mc:AlternateContent>
          <mc:Choice Requires="wps">
            <w:drawing>
              <wp:anchor distT="0" distB="0" distL="114300" distR="114300" simplePos="0" relativeHeight="251659264" behindDoc="0" locked="0" layoutInCell="1" allowOverlap="1">
                <wp:simplePos x="0" y="0"/>
                <wp:positionH relativeFrom="page">
                  <wp:posOffset>2369185</wp:posOffset>
                </wp:positionH>
                <wp:positionV relativeFrom="paragraph">
                  <wp:posOffset>226060</wp:posOffset>
                </wp:positionV>
                <wp:extent cx="2429510" cy="742315"/>
                <wp:effectExtent l="0" t="0" r="8890" b="635"/>
                <wp:wrapNone/>
                <wp:docPr id="54" name="Text Box 25"/>
                <wp:cNvGraphicFramePr/>
                <a:graphic xmlns:a="http://schemas.openxmlformats.org/drawingml/2006/main">
                  <a:graphicData uri="http://schemas.microsoft.com/office/word/2010/wordprocessingShape">
                    <wps:wsp>
                      <wps:cNvSpPr txBox="1">
                        <a:spLocks noChangeArrowheads="1"/>
                      </wps:cNvSpPr>
                      <wps:spPr bwMode="auto">
                        <a:xfrm>
                          <a:off x="0" y="0"/>
                          <a:ext cx="2429510" cy="742315"/>
                        </a:xfrm>
                        <a:prstGeom prst="rect">
                          <a:avLst/>
                        </a:prstGeom>
                        <a:solidFill>
                          <a:srgbClr val="C00000"/>
                        </a:solidFill>
                        <a:ln w="27432">
                          <a:noFill/>
                          <a:prstDash val="solid"/>
                          <a:miter lim="800000"/>
                        </a:ln>
                      </wps:spPr>
                      <wps:txbx>
                        <w:txbxContent>
                          <w:p w14:paraId="6BC0DDE5">
                            <w:pPr>
                              <w:adjustRightInd w:val="0"/>
                              <w:snapToGrid w:val="0"/>
                              <w:jc w:val="center"/>
                              <w:rPr>
                                <w:b/>
                                <w:sz w:val="28"/>
                                <w:lang w:eastAsia="zh-CN"/>
                              </w:rPr>
                            </w:pPr>
                            <w:r>
                              <w:rPr>
                                <w:rFonts w:eastAsia="宋体" w:cs="宋体"/>
                                <w:b/>
                                <w:color w:val="FFFFFF"/>
                                <w:sz w:val="28"/>
                                <w:lang w:eastAsia="zh-CN"/>
                              </w:rPr>
                              <w:t>警告</w:t>
                            </w:r>
                          </w:p>
                          <w:p w14:paraId="610D8350">
                            <w:pPr>
                              <w:adjustRightInd w:val="0"/>
                              <w:snapToGrid w:val="0"/>
                              <w:jc w:val="center"/>
                              <w:rPr>
                                <w:b/>
                                <w:sz w:val="24"/>
                                <w:lang w:eastAsia="zh-CN"/>
                              </w:rPr>
                            </w:pPr>
                            <w:r>
                              <w:rPr>
                                <w:rFonts w:eastAsia="宋体" w:cs="宋体"/>
                                <w:b/>
                                <w:color w:val="FFFFFF"/>
                                <w:sz w:val="24"/>
                                <w:lang w:eastAsia="zh-CN"/>
                              </w:rPr>
                              <w:t>抛射危险</w:t>
                            </w:r>
                          </w:p>
                          <w:p w14:paraId="5E738E45">
                            <w:pPr>
                              <w:adjustRightInd w:val="0"/>
                              <w:snapToGrid w:val="0"/>
                              <w:jc w:val="center"/>
                              <w:rPr>
                                <w:b/>
                                <w:sz w:val="24"/>
                                <w:lang w:eastAsia="zh-CN"/>
                              </w:rPr>
                            </w:pPr>
                            <w:r>
                              <w:rPr>
                                <w:rFonts w:eastAsia="宋体" w:cs="宋体"/>
                                <w:b/>
                                <w:color w:val="FFFFFF"/>
                                <w:sz w:val="24"/>
                                <w:lang w:eastAsia="zh-CN"/>
                              </w:rPr>
                              <w:t>置于MRI扫描室外</w:t>
                            </w:r>
                          </w:p>
                        </w:txbxContent>
                      </wps:txbx>
                      <wps:bodyPr rot="0" vert="horz" wrap="square" lIns="0" tIns="0" rIns="0" bIns="0" anchor="ctr" anchorCtr="0" upright="1">
                        <a:noAutofit/>
                      </wps:bodyPr>
                    </wps:wsp>
                  </a:graphicData>
                </a:graphic>
              </wp:anchor>
            </w:drawing>
          </mc:Choice>
          <mc:Fallback>
            <w:pict>
              <v:shape id="Text Box 25" o:spid="_x0000_s1026" o:spt="202" type="#_x0000_t202" style="position:absolute;left:0pt;margin-left:186.55pt;margin-top:17.8pt;height:58.45pt;width:191.3pt;mso-position-horizontal-relative:page;z-index:251659264;v-text-anchor:middle;mso-width-relative:page;mso-height-relative:page;" fillcolor="#C00000" filled="t" stroked="f" coordsize="21600,21600" o:gfxdata="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XfgC3bAAAACgEAAA8AAAAAAAAAAQAgAAAAIgAAAGRycy9kb3ducmV2&#10;LnhtbFBLAQIUABQAAAAIAIdO4kBpVE9HMgIAAGsEAAAOAAAAAAAAAAEAIAAAACoBAABkcnMvZTJv&#10;RG9jLnhtbFBLBQYAAAAABgAGAFkBAADOBQAAAAA=&#10;">
                <v:fill on="t" focussize="0,0"/>
                <v:stroke on="f" weight="2.16pt" miterlimit="8" joinstyle="miter"/>
                <v:imagedata o:title=""/>
                <o:lock v:ext="edit" aspectratio="f"/>
                <v:textbox inset="0mm,0mm,0mm,0mm">
                  <w:txbxContent>
                    <w:p w14:paraId="6BC0DDE5">
                      <w:pPr>
                        <w:adjustRightInd w:val="0"/>
                        <w:snapToGrid w:val="0"/>
                        <w:jc w:val="center"/>
                        <w:rPr>
                          <w:b/>
                          <w:sz w:val="28"/>
                          <w:lang w:eastAsia="zh-CN"/>
                        </w:rPr>
                      </w:pPr>
                      <w:r>
                        <w:rPr>
                          <w:rFonts w:eastAsia="宋体" w:cs="宋体"/>
                          <w:b/>
                          <w:color w:val="FFFFFF"/>
                          <w:sz w:val="28"/>
                          <w:lang w:eastAsia="zh-CN"/>
                        </w:rPr>
                        <w:t>警告</w:t>
                      </w:r>
                    </w:p>
                    <w:p w14:paraId="610D8350">
                      <w:pPr>
                        <w:adjustRightInd w:val="0"/>
                        <w:snapToGrid w:val="0"/>
                        <w:jc w:val="center"/>
                        <w:rPr>
                          <w:b/>
                          <w:sz w:val="24"/>
                          <w:lang w:eastAsia="zh-CN"/>
                        </w:rPr>
                      </w:pPr>
                      <w:r>
                        <w:rPr>
                          <w:rFonts w:eastAsia="宋体" w:cs="宋体"/>
                          <w:b/>
                          <w:color w:val="FFFFFF"/>
                          <w:sz w:val="24"/>
                          <w:lang w:eastAsia="zh-CN"/>
                        </w:rPr>
                        <w:t>抛射危险</w:t>
                      </w:r>
                    </w:p>
                    <w:p w14:paraId="5E738E45">
                      <w:pPr>
                        <w:adjustRightInd w:val="0"/>
                        <w:snapToGrid w:val="0"/>
                        <w:jc w:val="center"/>
                        <w:rPr>
                          <w:b/>
                          <w:sz w:val="24"/>
                          <w:lang w:eastAsia="zh-CN"/>
                        </w:rPr>
                      </w:pPr>
                      <w:r>
                        <w:rPr>
                          <w:rFonts w:eastAsia="宋体" w:cs="宋体"/>
                          <w:b/>
                          <w:color w:val="FFFFFF"/>
                          <w:sz w:val="24"/>
                          <w:lang w:eastAsia="zh-CN"/>
                        </w:rPr>
                        <w:t>置于MRI扫描室外</w:t>
                      </w:r>
                    </w:p>
                  </w:txbxContent>
                </v:textbox>
              </v:shape>
            </w:pict>
          </mc:Fallback>
        </mc:AlternateContent>
      </w:r>
      <w:r>
        <w:rPr>
          <w:rFonts w:eastAsia="宋体" w:cs="宋体"/>
          <w:sz w:val="21"/>
          <w:lang w:eastAsia="zh-CN" w:bidi="ar-SA"/>
        </w:rPr>
        <w:drawing>
          <wp:inline distT="0" distB="0" distL="0" distR="0">
            <wp:extent cx="4066540" cy="1056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066667" cy="1057143"/>
                    </a:xfrm>
                    <a:prstGeom prst="rect">
                      <a:avLst/>
                    </a:prstGeom>
                  </pic:spPr>
                </pic:pic>
              </a:graphicData>
            </a:graphic>
          </wp:inline>
        </w:drawing>
      </w:r>
    </w:p>
    <w:p w14:paraId="382D7D8B">
      <w:pPr>
        <w:pStyle w:val="8"/>
        <w:adjustRightInd w:val="0"/>
        <w:snapToGrid w:val="0"/>
        <w:spacing w:before="120" w:beforeLines="50" w:line="300" w:lineRule="auto"/>
        <w:jc w:val="both"/>
        <w:rPr>
          <w:sz w:val="21"/>
          <w:szCs w:val="21"/>
          <w:lang w:eastAsia="zh-CN"/>
        </w:rPr>
      </w:pPr>
      <w:r>
        <w:rPr>
          <w:rFonts w:eastAsia="宋体" w:cs="宋体"/>
          <w:sz w:val="21"/>
          <w:lang w:eastAsia="zh-CN"/>
        </w:rPr>
        <w:t>对于植入式医疗器械以及固定在患者身上或由患者携带的体外医疗器械（例如外部胰岛素泵），建议提供患者医疗器械卡。对于MR危险医疗器械，患者医疗器械卡应包括以下信息：</w:t>
      </w:r>
    </w:p>
    <w:p w14:paraId="443618D6">
      <w:pPr>
        <w:pStyle w:val="20"/>
        <w:numPr>
          <w:ilvl w:val="0"/>
          <w:numId w:val="3"/>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MR危险符号和/或术语“MR危险”，以及</w:t>
      </w:r>
    </w:p>
    <w:p w14:paraId="6A63A454">
      <w:pPr>
        <w:pStyle w:val="20"/>
        <w:numPr>
          <w:ilvl w:val="0"/>
          <w:numId w:val="3"/>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“该患者&lt;选择‘</w:t>
      </w:r>
      <w:r>
        <w:rPr>
          <w:rFonts w:eastAsia="宋体" w:cs="宋体"/>
          <w:i/>
          <w:sz w:val="21"/>
          <w:lang w:eastAsia="zh-CN"/>
        </w:rPr>
        <w:t>植入了</w:t>
      </w:r>
      <w:r>
        <w:rPr>
          <w:rFonts w:eastAsia="宋体" w:cs="宋体"/>
          <w:sz w:val="21"/>
          <w:lang w:eastAsia="zh-CN"/>
        </w:rPr>
        <w:t>’或‘</w:t>
      </w:r>
      <w:r>
        <w:rPr>
          <w:rFonts w:eastAsia="宋体" w:cs="宋体"/>
          <w:i/>
          <w:sz w:val="21"/>
          <w:lang w:eastAsia="zh-CN"/>
        </w:rPr>
        <w:t>携带有</w:t>
      </w:r>
      <w:r>
        <w:rPr>
          <w:rFonts w:eastAsia="宋体" w:cs="宋体"/>
          <w:sz w:val="21"/>
          <w:lang w:eastAsia="zh-CN"/>
        </w:rPr>
        <w:t>’&gt;&lt;</w:t>
      </w:r>
      <w:r>
        <w:rPr>
          <w:rFonts w:eastAsia="宋体" w:cs="宋体"/>
          <w:i/>
          <w:sz w:val="21"/>
          <w:lang w:eastAsia="zh-CN"/>
        </w:rPr>
        <w:t>插入医疗器械名称</w:t>
      </w:r>
      <w:r>
        <w:rPr>
          <w:rFonts w:eastAsia="宋体" w:cs="宋体"/>
          <w:sz w:val="21"/>
          <w:lang w:eastAsia="zh-CN"/>
        </w:rPr>
        <w:t>&gt;。请勿进入MRI扫描室或MR系统。否则可能会导致患者严重受伤或死亡”的声明，以及</w:t>
      </w:r>
    </w:p>
    <w:p w14:paraId="0BA41B83">
      <w:pPr>
        <w:pStyle w:val="20"/>
        <w:numPr>
          <w:ilvl w:val="0"/>
          <w:numId w:val="3"/>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医疗器械制造商的URL和/或电话号码。</w:t>
      </w:r>
    </w:p>
    <w:p w14:paraId="31C020C5">
      <w:pPr>
        <w:pStyle w:val="8"/>
        <w:adjustRightInd w:val="0"/>
        <w:snapToGrid w:val="0"/>
        <w:spacing w:before="120" w:beforeLines="50" w:line="300" w:lineRule="auto"/>
        <w:ind w:left="922" w:leftChars="200" w:hanging="482" w:hangingChars="200"/>
        <w:jc w:val="both"/>
        <w:outlineLvl w:val="1"/>
        <w:rPr>
          <w:b/>
          <w:szCs w:val="21"/>
          <w:lang w:eastAsia="zh-CN"/>
        </w:rPr>
      </w:pPr>
      <w:bookmarkStart w:id="34" w:name="_Toc91866618"/>
      <w:r>
        <w:rPr>
          <w:rFonts w:eastAsia="宋体" w:cs="宋体"/>
          <w:b/>
          <w:lang w:eastAsia="zh-CN"/>
        </w:rPr>
        <w:t>C.</w:t>
      </w:r>
      <w:r>
        <w:rPr>
          <w:rFonts w:eastAsia="宋体" w:cs="宋体"/>
          <w:b/>
          <w:lang w:eastAsia="zh-CN"/>
        </w:rPr>
        <w:tab/>
      </w:r>
      <w:r>
        <w:rPr>
          <w:rFonts w:eastAsia="宋体" w:cs="宋体"/>
          <w:b/>
          <w:lang w:eastAsia="zh-CN"/>
        </w:rPr>
        <w:t>MR</w:t>
      </w:r>
      <w:bookmarkEnd w:id="34"/>
      <w:r>
        <w:rPr>
          <w:rFonts w:eastAsia="宋体" w:cs="宋体"/>
          <w:b/>
          <w:lang w:eastAsia="zh-CN"/>
        </w:rPr>
        <w:t>特定条件安全</w:t>
      </w:r>
    </w:p>
    <w:p w14:paraId="32B5F78A">
      <w:pPr>
        <w:pStyle w:val="8"/>
        <w:adjustRightInd w:val="0"/>
        <w:snapToGrid w:val="0"/>
        <w:spacing w:before="120" w:beforeLines="50" w:line="300" w:lineRule="auto"/>
        <w:jc w:val="both"/>
        <w:rPr>
          <w:sz w:val="21"/>
          <w:szCs w:val="21"/>
          <w:lang w:eastAsia="zh-CN"/>
        </w:rPr>
      </w:pPr>
      <w:r>
        <w:rPr>
          <w:rFonts w:eastAsia="宋体" w:cs="宋体"/>
          <w:sz w:val="21"/>
          <w:lang w:eastAsia="zh-CN"/>
        </w:rPr>
        <w:t>MR特定条件安全医疗器械的标签应列出ASTM F2503中所述的预期进入MR环境的医疗器械或置入植入物的患者或固定在患者身上或由患者携带的体外医疗器械可安全进入MR环境的条件。安全使用条件既应确保安全，又要尽量简洁易行。预期进入MR系统孔腔的医疗器械（例如植入物、一些患者监护仪）的标签通常需要包含比预期进入MRI扫描室但不进入MR系统孔腔的医疗器械（例如呼吸机、麻醉机）的标签更多的条件。</w:t>
      </w:r>
    </w:p>
    <w:p w14:paraId="09E63809">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60006F02">
      <w:pPr>
        <w:pStyle w:val="8"/>
        <w:adjustRightInd w:val="0"/>
        <w:snapToGrid w:val="0"/>
        <w:spacing w:before="120" w:beforeLines="50" w:line="300" w:lineRule="auto"/>
        <w:jc w:val="both"/>
        <w:rPr>
          <w:sz w:val="21"/>
          <w:szCs w:val="21"/>
          <w:lang w:eastAsia="zh-CN"/>
        </w:rPr>
      </w:pPr>
      <w:r>
        <w:rPr>
          <w:rFonts w:eastAsia="宋体" w:cs="宋体"/>
          <w:sz w:val="21"/>
          <w:lang w:eastAsia="zh-CN"/>
        </w:rPr>
        <w:t>对于MR特定条件安全医疗器械，患者医疗器械卡应至少包括以下MRI安全性相关信息：</w:t>
      </w:r>
    </w:p>
    <w:p w14:paraId="0BAF9358">
      <w:pPr>
        <w:pStyle w:val="20"/>
        <w:numPr>
          <w:ilvl w:val="0"/>
          <w:numId w:val="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MR特定条件安全符号和/或术语“MR特定条件安全”，以及</w:t>
      </w:r>
    </w:p>
    <w:p w14:paraId="69B454DB">
      <w:pPr>
        <w:pStyle w:val="20"/>
        <w:numPr>
          <w:ilvl w:val="0"/>
          <w:numId w:val="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“该患者&lt;选择‘</w:t>
      </w:r>
      <w:r>
        <w:rPr>
          <w:rFonts w:eastAsia="宋体" w:cs="宋体"/>
          <w:i/>
          <w:sz w:val="21"/>
          <w:lang w:eastAsia="zh-CN"/>
        </w:rPr>
        <w:t>植入了</w:t>
      </w:r>
      <w:r>
        <w:rPr>
          <w:rFonts w:eastAsia="宋体" w:cs="宋体"/>
          <w:sz w:val="21"/>
          <w:lang w:eastAsia="zh-CN"/>
        </w:rPr>
        <w:t>’或‘</w:t>
      </w:r>
      <w:r>
        <w:rPr>
          <w:rFonts w:eastAsia="宋体" w:cs="宋体"/>
          <w:i/>
          <w:sz w:val="21"/>
          <w:lang w:eastAsia="zh-CN"/>
        </w:rPr>
        <w:t>携带有</w:t>
      </w:r>
      <w:r>
        <w:rPr>
          <w:rFonts w:eastAsia="宋体" w:cs="宋体"/>
          <w:sz w:val="21"/>
          <w:lang w:eastAsia="zh-CN"/>
        </w:rPr>
        <w:t>’&gt;&lt;</w:t>
      </w:r>
      <w:r>
        <w:rPr>
          <w:rFonts w:eastAsia="宋体" w:cs="宋体"/>
          <w:i/>
          <w:sz w:val="21"/>
          <w:lang w:eastAsia="zh-CN"/>
        </w:rPr>
        <w:t>插入医疗器械名称</w:t>
      </w:r>
      <w:r>
        <w:rPr>
          <w:rFonts w:eastAsia="宋体" w:cs="宋体"/>
          <w:sz w:val="21"/>
          <w:lang w:eastAsia="zh-CN"/>
        </w:rPr>
        <w:t>&gt;，只有在非常特殊的条件下才能使用MRI进行安全扫描。在不同条件下进行扫描可能会导致&lt;选择以下一项或两项：‘</w:t>
      </w:r>
      <w:r>
        <w:rPr>
          <w:rFonts w:eastAsia="宋体" w:cs="宋体"/>
          <w:i/>
          <w:sz w:val="21"/>
          <w:lang w:eastAsia="zh-CN"/>
        </w:rPr>
        <w:t>患者严重受伤</w:t>
      </w:r>
      <w:r>
        <w:rPr>
          <w:rFonts w:eastAsia="宋体" w:cs="宋体"/>
          <w:sz w:val="21"/>
          <w:lang w:eastAsia="zh-CN"/>
        </w:rPr>
        <w:t>’和/或‘</w:t>
      </w:r>
      <w:r>
        <w:rPr>
          <w:rFonts w:eastAsia="宋体" w:cs="宋体"/>
          <w:i/>
          <w:sz w:val="21"/>
          <w:lang w:eastAsia="zh-CN"/>
        </w:rPr>
        <w:t>死亡</w:t>
      </w:r>
      <w:r>
        <w:rPr>
          <w:rFonts w:eastAsia="宋体" w:cs="宋体"/>
          <w:sz w:val="21"/>
          <w:lang w:eastAsia="zh-CN"/>
        </w:rPr>
        <w:t>’&gt;或器械故障。完整的MRI安全性相关信息可在&lt;</w:t>
      </w:r>
      <w:r>
        <w:rPr>
          <w:rFonts w:eastAsia="宋体" w:cs="宋体"/>
          <w:i/>
          <w:sz w:val="21"/>
          <w:lang w:eastAsia="zh-CN"/>
        </w:rPr>
        <w:t>插入包含MRI安全性相关信息的文件/手册的名称</w:t>
      </w:r>
      <w:r>
        <w:rPr>
          <w:rFonts w:eastAsia="宋体" w:cs="宋体"/>
          <w:sz w:val="21"/>
          <w:lang w:eastAsia="zh-CN"/>
        </w:rPr>
        <w:t>&gt;的‘MRI安全性相关信息’部分获取，相关文件/手册可在www.&lt;</w:t>
      </w:r>
      <w:r>
        <w:rPr>
          <w:rFonts w:eastAsia="宋体" w:cs="宋体"/>
          <w:i/>
          <w:sz w:val="21"/>
          <w:lang w:eastAsia="zh-CN"/>
        </w:rPr>
        <w:t>插入url</w:t>
      </w:r>
      <w:r>
        <w:rPr>
          <w:rFonts w:eastAsia="宋体" w:cs="宋体"/>
          <w:sz w:val="21"/>
          <w:lang w:eastAsia="zh-CN"/>
        </w:rPr>
        <w:t>&gt;或致电&lt;</w:t>
      </w:r>
      <w:r>
        <w:rPr>
          <w:rFonts w:eastAsia="宋体" w:cs="宋体"/>
          <w:i/>
          <w:sz w:val="21"/>
          <w:lang w:eastAsia="zh-CN"/>
        </w:rPr>
        <w:t>插入电话号码</w:t>
      </w:r>
      <w:r>
        <w:rPr>
          <w:rFonts w:eastAsia="宋体" w:cs="宋体"/>
          <w:sz w:val="21"/>
          <w:lang w:eastAsia="zh-CN"/>
        </w:rPr>
        <w:t>&gt;获取”等声明。</w:t>
      </w:r>
    </w:p>
    <w:p w14:paraId="4628571C">
      <w:pPr>
        <w:pStyle w:val="8"/>
        <w:adjustRightInd w:val="0"/>
        <w:snapToGrid w:val="0"/>
        <w:spacing w:before="120" w:beforeLines="50" w:line="300" w:lineRule="auto"/>
        <w:jc w:val="both"/>
        <w:rPr>
          <w:sz w:val="21"/>
          <w:szCs w:val="21"/>
          <w:lang w:eastAsia="zh-CN"/>
        </w:rPr>
      </w:pPr>
      <w:r>
        <w:rPr>
          <w:rFonts w:eastAsia="宋体" w:cs="宋体"/>
          <w:sz w:val="21"/>
          <w:lang w:eastAsia="zh-CN"/>
        </w:rPr>
        <w:t>特定医疗器械类型的患者医疗器械卡可能需要附加信息（例如患者姓名和植入日期）。</w:t>
      </w:r>
    </w:p>
    <w:p w14:paraId="14A2A930">
      <w:pPr>
        <w:pStyle w:val="8"/>
        <w:adjustRightInd w:val="0"/>
        <w:snapToGrid w:val="0"/>
        <w:spacing w:before="120" w:beforeLines="50" w:line="300" w:lineRule="auto"/>
        <w:jc w:val="both"/>
        <w:rPr>
          <w:sz w:val="21"/>
          <w:szCs w:val="21"/>
          <w:lang w:eastAsia="zh-CN"/>
        </w:rPr>
      </w:pPr>
      <w:r>
        <w:rPr>
          <w:rFonts w:eastAsia="宋体" w:cs="宋体"/>
          <w:sz w:val="21"/>
          <w:lang w:eastAsia="zh-CN"/>
        </w:rPr>
        <w:t>条件相对较少的器械（例如无源植入物）的患者医疗器械卡可列出器械安全进入MR环境以及在MR环境中安全使用器械的条件，而不是诸如上述示例的一般声明。</w:t>
      </w:r>
    </w:p>
    <w:p w14:paraId="3F414C03">
      <w:pPr>
        <w:pStyle w:val="8"/>
        <w:adjustRightInd w:val="0"/>
        <w:snapToGrid w:val="0"/>
        <w:spacing w:before="120" w:beforeLines="50" w:line="300" w:lineRule="auto"/>
        <w:jc w:val="both"/>
        <w:rPr>
          <w:b/>
          <w:sz w:val="21"/>
          <w:szCs w:val="21"/>
          <w:u w:val="single"/>
          <w:lang w:eastAsia="zh-CN"/>
        </w:rPr>
      </w:pPr>
      <w:r>
        <w:rPr>
          <w:rFonts w:eastAsia="宋体" w:cs="宋体"/>
          <w:b/>
          <w:sz w:val="21"/>
          <w:u w:val="single"/>
          <w:lang w:eastAsia="zh-CN"/>
        </w:rPr>
        <w:t>预期进入MR系统孔腔的MR特定条件安全医疗器械</w:t>
      </w:r>
    </w:p>
    <w:p w14:paraId="470DE40F">
      <w:pPr>
        <w:pStyle w:val="8"/>
        <w:adjustRightInd w:val="0"/>
        <w:snapToGrid w:val="0"/>
        <w:spacing w:before="120" w:beforeLines="50" w:line="300" w:lineRule="auto"/>
        <w:jc w:val="both"/>
        <w:rPr>
          <w:sz w:val="21"/>
          <w:szCs w:val="21"/>
          <w:lang w:eastAsia="zh-CN"/>
        </w:rPr>
      </w:pPr>
      <w:r>
        <w:rPr>
          <w:rFonts w:eastAsia="宋体" w:cs="宋体"/>
          <w:sz w:val="21"/>
          <w:lang w:eastAsia="zh-CN"/>
        </w:rPr>
        <w:t>预期进入MR系统孔腔的医疗器械的MR特定条件安全标签及说明书应包括：</w:t>
      </w:r>
    </w:p>
    <w:p w14:paraId="7AF2EC89">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1.</w:t>
      </w:r>
      <w:r>
        <w:rPr>
          <w:rFonts w:eastAsia="宋体" w:cs="宋体"/>
          <w:sz w:val="21"/>
          <w:lang w:eastAsia="zh-CN"/>
        </w:rPr>
        <w:tab/>
      </w:r>
      <w:r>
        <w:rPr>
          <w:rFonts w:eastAsia="宋体" w:cs="宋体"/>
          <w:sz w:val="21"/>
          <w:lang w:eastAsia="zh-CN"/>
        </w:rPr>
        <w:t>允许的静磁场值的标称值[T]</w:t>
      </w:r>
    </w:p>
    <w:p w14:paraId="546942D9">
      <w:pPr>
        <w:pStyle w:val="8"/>
        <w:adjustRightInd w:val="0"/>
        <w:snapToGrid w:val="0"/>
        <w:spacing w:before="120" w:beforeLines="50" w:line="300" w:lineRule="auto"/>
        <w:jc w:val="both"/>
        <w:rPr>
          <w:sz w:val="21"/>
          <w:szCs w:val="21"/>
          <w:lang w:eastAsia="zh-CN"/>
        </w:rPr>
      </w:pPr>
      <w:r>
        <w:rPr>
          <w:rFonts w:eastAsia="宋体" w:cs="宋体"/>
          <w:sz w:val="21"/>
          <w:lang w:eastAsia="zh-CN"/>
        </w:rPr>
        <w:t>对于特定医疗器械，如果需要，应纳入以下信息。请注意，如果未列出参数，则无需修改该参数即可使用特定医疗器械对患者进行安全扫描。</w:t>
      </w:r>
    </w:p>
    <w:p w14:paraId="65365B11">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2.</w:t>
      </w:r>
      <w:r>
        <w:rPr>
          <w:rFonts w:eastAsia="宋体" w:cs="宋体"/>
          <w:sz w:val="21"/>
          <w:lang w:eastAsia="zh-CN"/>
        </w:rPr>
        <w:tab/>
      </w:r>
      <w:r>
        <w:rPr>
          <w:rFonts w:eastAsia="宋体" w:cs="宋体"/>
          <w:sz w:val="21"/>
          <w:lang w:eastAsia="zh-CN"/>
        </w:rPr>
        <w:t>最大空间场梯度[T/m]和[G/cm]</w:t>
      </w:r>
    </w:p>
    <w:p w14:paraId="71508C04">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3.</w:t>
      </w:r>
      <w:r>
        <w:rPr>
          <w:rFonts w:eastAsia="宋体" w:cs="宋体"/>
          <w:sz w:val="21"/>
          <w:lang w:eastAsia="zh-CN"/>
        </w:rPr>
        <w:tab/>
      </w:r>
      <w:r>
        <w:rPr>
          <w:rFonts w:eastAsia="宋体" w:cs="宋体"/>
          <w:sz w:val="21"/>
          <w:lang w:eastAsia="zh-CN"/>
        </w:rPr>
        <w:t>允许的射频（RF）场暴露</w:t>
      </w:r>
    </w:p>
    <w:p w14:paraId="3A18646C">
      <w:pPr>
        <w:adjustRightInd w:val="0"/>
        <w:snapToGrid w:val="0"/>
        <w:spacing w:before="120" w:beforeLines="50" w:line="300" w:lineRule="auto"/>
        <w:ind w:left="1300" w:leftChars="40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射频发射线圈类型（例如全身发射线圈、头部射频发射-接收线圈或四肢射频发射-接收线圈、相控阵发射-接收线圈）</w:t>
      </w:r>
    </w:p>
    <w:p w14:paraId="54D15D86">
      <w:pPr>
        <w:adjustRightInd w:val="0"/>
        <w:snapToGrid w:val="0"/>
        <w:spacing w:before="120" w:beforeLines="50" w:line="300" w:lineRule="auto"/>
        <w:ind w:left="1300" w:leftChars="40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射频激励（例如圆极化（CP ）、多通道-2（MC-2））</w:t>
      </w:r>
    </w:p>
    <w:p w14:paraId="7EFDB2CB">
      <w:pPr>
        <w:adjustRightInd w:val="0"/>
        <w:snapToGrid w:val="0"/>
        <w:spacing w:before="120" w:beforeLines="50" w:line="300" w:lineRule="auto"/>
        <w:ind w:left="1300" w:leftChars="400" w:hanging="420" w:hangingChars="200"/>
        <w:jc w:val="both"/>
        <w:rPr>
          <w:sz w:val="21"/>
          <w:szCs w:val="21"/>
        </w:rPr>
      </w:pPr>
      <w:r>
        <w:rPr>
          <w:rFonts w:eastAsia="宋体" w:cs="宋体"/>
          <w:sz w:val="21"/>
        </w:rPr>
        <w:t>c.</w:t>
      </w:r>
      <w:r>
        <w:rPr>
          <w:rFonts w:eastAsia="宋体" w:cs="宋体"/>
          <w:sz w:val="21"/>
        </w:rPr>
        <w:tab/>
      </w:r>
      <w:r>
        <w:rPr>
          <w:rFonts w:eastAsia="宋体" w:cs="宋体"/>
          <w:sz w:val="21"/>
        </w:rPr>
        <w:t>最大允许全身平均</w:t>
      </w:r>
      <w:r>
        <w:rPr>
          <w:rFonts w:hint="eastAsia" w:eastAsia="宋体" w:cs="宋体"/>
          <w:sz w:val="21"/>
          <w:lang w:eastAsia="zh-CN"/>
        </w:rPr>
        <w:t>特定吸收率</w:t>
      </w:r>
      <w:r>
        <w:rPr>
          <w:rFonts w:eastAsia="宋体" w:cs="宋体"/>
          <w:sz w:val="21"/>
        </w:rPr>
        <w:t>（SAR）[W/kg]和/或最大允许头部平均SAR [W/kg]和/或最大允许部分身体SAR [W/kg]</w:t>
      </w:r>
    </w:p>
    <w:p w14:paraId="65C12322">
      <w:pPr>
        <w:adjustRightInd w:val="0"/>
        <w:snapToGrid w:val="0"/>
        <w:spacing w:before="120" w:beforeLines="50" w:line="300" w:lineRule="auto"/>
        <w:ind w:left="1300" w:leftChars="400" w:hanging="420" w:hangingChars="200"/>
        <w:jc w:val="both"/>
        <w:rPr>
          <w:sz w:val="21"/>
          <w:szCs w:val="21"/>
        </w:rPr>
      </w:pPr>
      <w:r>
        <w:rPr>
          <w:rFonts w:eastAsia="宋体" w:cs="宋体"/>
          <w:sz w:val="21"/>
        </w:rPr>
        <w:t>d.</w:t>
      </w:r>
      <w:r>
        <w:rPr>
          <w:rFonts w:eastAsia="宋体" w:cs="宋体"/>
          <w:sz w:val="21"/>
        </w:rPr>
        <w:tab/>
      </w:r>
      <w:r>
        <w:rPr>
          <w:rFonts w:eastAsia="宋体" w:cs="宋体"/>
          <w:sz w:val="21"/>
        </w:rPr>
        <w:t>最大允许B1 + rms值[μT]</w:t>
      </w:r>
    </w:p>
    <w:p w14:paraId="3D6DC643">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4.</w:t>
      </w:r>
      <w:r>
        <w:rPr>
          <w:rFonts w:eastAsia="宋体" w:cs="宋体"/>
          <w:sz w:val="21"/>
          <w:lang w:eastAsia="zh-CN"/>
        </w:rPr>
        <w:tab/>
      </w:r>
      <w:r>
        <w:rPr>
          <w:rFonts w:eastAsia="宋体" w:cs="宋体"/>
          <w:sz w:val="21"/>
          <w:lang w:eastAsia="zh-CN"/>
        </w:rPr>
        <w:t>允许的时变梯度场暴露</w:t>
      </w:r>
    </w:p>
    <w:p w14:paraId="375BDC4C">
      <w:pPr>
        <w:adjustRightInd w:val="0"/>
        <w:snapToGrid w:val="0"/>
        <w:spacing w:before="120" w:beforeLines="50" w:line="300" w:lineRule="auto"/>
        <w:ind w:left="1300" w:leftChars="40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 xml:space="preserve">各轴最大梯度切换速率[T/m/s] </w:t>
      </w:r>
    </w:p>
    <w:p w14:paraId="5A1F0EEC">
      <w:pPr>
        <w:adjustRightInd w:val="0"/>
        <w:snapToGrid w:val="0"/>
        <w:spacing w:before="120" w:beforeLines="50" w:line="300" w:lineRule="auto"/>
        <w:ind w:left="1300" w:leftChars="40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各轴的最大空间编码梯度振幅[mT/m]</w:t>
      </w:r>
    </w:p>
    <w:p w14:paraId="748C603A">
      <w:pPr>
        <w:pStyle w:val="8"/>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5.</w:t>
      </w:r>
      <w:r>
        <w:rPr>
          <w:rFonts w:eastAsia="宋体" w:cs="宋体"/>
          <w:sz w:val="21"/>
          <w:lang w:eastAsia="zh-CN"/>
        </w:rPr>
        <w:tab/>
      </w:r>
      <w:r>
        <w:rPr>
          <w:rFonts w:eastAsia="宋体" w:cs="宋体"/>
          <w:sz w:val="21"/>
          <w:lang w:eastAsia="zh-CN"/>
        </w:rPr>
        <w:t>扫描时间的限制（例如，“在&lt;</w:t>
      </w:r>
      <w:r>
        <w:rPr>
          <w:rFonts w:eastAsia="宋体" w:cs="宋体"/>
          <w:i/>
          <w:sz w:val="21"/>
          <w:lang w:eastAsia="zh-CN"/>
        </w:rPr>
        <w:t>插入数值</w:t>
      </w:r>
      <w:r>
        <w:rPr>
          <w:rFonts w:eastAsia="宋体" w:cs="宋体"/>
          <w:sz w:val="21"/>
          <w:lang w:eastAsia="zh-CN"/>
        </w:rPr>
        <w:t>&gt;分钟的时间段内最多扫描&lt;</w:t>
      </w:r>
      <w:r>
        <w:rPr>
          <w:rFonts w:eastAsia="宋体" w:cs="宋体"/>
          <w:i/>
          <w:sz w:val="21"/>
          <w:lang w:eastAsia="zh-CN"/>
        </w:rPr>
        <w:t>插入数值</w:t>
      </w:r>
      <w:r>
        <w:rPr>
          <w:rFonts w:eastAsia="宋体" w:cs="宋体"/>
          <w:sz w:val="21"/>
          <w:lang w:eastAsia="zh-CN"/>
        </w:rPr>
        <w:t>&gt;分钟。在下一个成像会话之前等待&lt;</w:t>
      </w:r>
      <w:r>
        <w:rPr>
          <w:rFonts w:eastAsia="宋体" w:cs="宋体"/>
          <w:i/>
          <w:sz w:val="21"/>
          <w:lang w:eastAsia="zh-CN"/>
        </w:rPr>
        <w:t>插入数值</w:t>
      </w:r>
      <w:r>
        <w:rPr>
          <w:rFonts w:eastAsia="宋体" w:cs="宋体"/>
          <w:sz w:val="21"/>
          <w:lang w:eastAsia="zh-CN"/>
        </w:rPr>
        <w:t>&gt;分钟”，或“</w:t>
      </w:r>
      <w:r>
        <w:rPr>
          <w:rFonts w:eastAsia="宋体" w:cs="宋体"/>
          <w:sz w:val="21"/>
          <w:szCs w:val="21"/>
          <w:lang w:eastAsia="zh-CN"/>
        </w:rPr>
        <w:t>持续射频（一个序列或背靠背序列/无中断扫描）&lt;</w:t>
      </w:r>
      <w:r>
        <w:rPr>
          <w:rFonts w:eastAsia="宋体" w:cs="宋体"/>
          <w:i/>
          <w:sz w:val="21"/>
          <w:szCs w:val="21"/>
          <w:lang w:eastAsia="zh-CN"/>
        </w:rPr>
        <w:t>插入数值</w:t>
      </w:r>
      <w:r>
        <w:rPr>
          <w:rFonts w:eastAsia="宋体" w:cs="宋体"/>
          <w:sz w:val="21"/>
          <w:szCs w:val="21"/>
          <w:lang w:eastAsia="zh-CN"/>
        </w:rPr>
        <w:t>&gt;分钟后，达到&lt;</w:t>
      </w:r>
      <w:r>
        <w:rPr>
          <w:rFonts w:eastAsia="宋体" w:cs="宋体"/>
          <w:i/>
          <w:sz w:val="21"/>
          <w:szCs w:val="21"/>
          <w:lang w:eastAsia="zh-CN"/>
        </w:rPr>
        <w:t>插入数值</w:t>
      </w:r>
      <w:r>
        <w:rPr>
          <w:rFonts w:eastAsia="宋体" w:cs="宋体"/>
          <w:sz w:val="21"/>
          <w:szCs w:val="21"/>
          <w:lang w:eastAsia="zh-CN"/>
        </w:rPr>
        <w:t>&gt;W/kg全身平均SAR</w:t>
      </w:r>
      <w:r>
        <w:rPr>
          <w:rFonts w:hint="eastAsia" w:eastAsia="宋体" w:cs="宋体"/>
          <w:sz w:val="21"/>
          <w:lang w:eastAsia="zh-CN"/>
        </w:rPr>
        <w:t>，如果达到限值，应等待</w:t>
      </w:r>
      <w:r>
        <w:rPr>
          <w:rFonts w:eastAsia="宋体" w:cs="宋体"/>
          <w:sz w:val="21"/>
          <w:lang w:eastAsia="zh-CN"/>
        </w:rPr>
        <w:t>&lt;</w:t>
      </w:r>
      <w:r>
        <w:rPr>
          <w:rFonts w:eastAsia="宋体" w:cs="宋体"/>
          <w:i/>
          <w:sz w:val="21"/>
          <w:lang w:eastAsia="zh-CN"/>
        </w:rPr>
        <w:t>插入数值</w:t>
      </w:r>
      <w:r>
        <w:rPr>
          <w:rFonts w:eastAsia="宋体" w:cs="宋体"/>
          <w:sz w:val="21"/>
          <w:lang w:eastAsia="zh-CN"/>
        </w:rPr>
        <w:t>&gt;分钟</w:t>
      </w:r>
      <w:r>
        <w:rPr>
          <w:rFonts w:hint="eastAsia" w:eastAsia="宋体" w:cs="宋体"/>
          <w:sz w:val="21"/>
          <w:lang w:eastAsia="zh-CN"/>
        </w:rPr>
        <w:t>。</w:t>
      </w:r>
      <w:r>
        <w:rPr>
          <w:rFonts w:eastAsia="宋体" w:cs="宋体"/>
          <w:sz w:val="21"/>
          <w:lang w:eastAsia="zh-CN"/>
        </w:rPr>
        <w:t>”）</w:t>
      </w:r>
    </w:p>
    <w:p w14:paraId="485491DF">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6F6CFB24">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6.</w:t>
      </w:r>
      <w:r>
        <w:rPr>
          <w:rFonts w:eastAsia="宋体" w:cs="宋体"/>
          <w:sz w:val="21"/>
          <w:lang w:eastAsia="zh-CN"/>
        </w:rPr>
        <w:tab/>
      </w:r>
      <w:r>
        <w:rPr>
          <w:rFonts w:eastAsia="宋体" w:cs="宋体"/>
          <w:sz w:val="21"/>
          <w:lang w:eastAsia="zh-CN"/>
        </w:rPr>
        <w:t>有关图像伪影的信息。例如：“该植入物可能会导致产生图像伪影。”</w:t>
      </w:r>
    </w:p>
    <w:p w14:paraId="42EB79D5">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7.</w:t>
      </w:r>
      <w:r>
        <w:rPr>
          <w:rFonts w:eastAsia="宋体" w:cs="宋体"/>
          <w:sz w:val="21"/>
          <w:lang w:eastAsia="zh-CN"/>
        </w:rPr>
        <w:tab/>
      </w:r>
      <w:r>
        <w:rPr>
          <w:rFonts w:eastAsia="宋体" w:cs="宋体"/>
          <w:sz w:val="21"/>
          <w:lang w:eastAsia="zh-CN"/>
        </w:rPr>
        <w:t>扫描排除区。纳入显示排除区的图表。</w:t>
      </w:r>
    </w:p>
    <w:p w14:paraId="5EADADA1">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8.</w:t>
      </w:r>
      <w:r>
        <w:rPr>
          <w:rFonts w:eastAsia="宋体" w:cs="宋体"/>
          <w:sz w:val="21"/>
          <w:lang w:eastAsia="zh-CN"/>
        </w:rPr>
        <w:tab/>
      </w:r>
      <w:r>
        <w:rPr>
          <w:rFonts w:eastAsia="宋体" w:cs="宋体"/>
          <w:sz w:val="21"/>
          <w:lang w:eastAsia="zh-CN"/>
        </w:rPr>
        <w:t>MR检查之前和/或之后应遵循的说明（例如患者准备、医疗器械检查或特殊模式程控）</w:t>
      </w:r>
    </w:p>
    <w:p w14:paraId="47EADDBE">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9.</w:t>
      </w:r>
      <w:r>
        <w:rPr>
          <w:rFonts w:eastAsia="宋体" w:cs="宋体"/>
          <w:sz w:val="21"/>
          <w:lang w:eastAsia="zh-CN"/>
        </w:rPr>
        <w:tab/>
      </w:r>
      <w:r>
        <w:rPr>
          <w:rFonts w:eastAsia="宋体" w:cs="宋体"/>
          <w:sz w:val="21"/>
          <w:lang w:eastAsia="zh-CN"/>
        </w:rPr>
        <w:t>在MR环境中安全使用所必需的附加说明或信息。</w:t>
      </w:r>
    </w:p>
    <w:p w14:paraId="18499D37">
      <w:pPr>
        <w:adjustRightInd w:val="0"/>
        <w:snapToGrid w:val="0"/>
        <w:spacing w:before="120" w:beforeLines="50" w:line="300" w:lineRule="auto"/>
        <w:ind w:left="860" w:leftChars="200" w:hanging="420" w:hangingChars="200"/>
        <w:jc w:val="both"/>
        <w:rPr>
          <w:i/>
          <w:sz w:val="21"/>
          <w:szCs w:val="21"/>
          <w:lang w:eastAsia="zh-CN"/>
        </w:rPr>
      </w:pPr>
      <w:r>
        <w:rPr>
          <w:rFonts w:eastAsia="宋体" w:cs="宋体"/>
          <w:sz w:val="21"/>
          <w:lang w:eastAsia="zh-CN"/>
        </w:rPr>
        <w:t>10.</w:t>
      </w:r>
      <w:r>
        <w:rPr>
          <w:rFonts w:eastAsia="宋体" w:cs="宋体"/>
          <w:i/>
          <w:sz w:val="21"/>
          <w:lang w:eastAsia="zh-CN"/>
        </w:rPr>
        <w:tab/>
      </w:r>
      <w:r>
        <w:rPr>
          <w:rFonts w:eastAsia="宋体" w:cs="宋体"/>
          <w:sz w:val="21"/>
          <w:lang w:eastAsia="zh-CN"/>
        </w:rPr>
        <w:t>“如果不包含有关特定参数的信息，则不存在与该参数相关联的条件”等声明。</w:t>
      </w:r>
    </w:p>
    <w:p w14:paraId="5B20FCA1">
      <w:pPr>
        <w:pStyle w:val="8"/>
        <w:adjustRightInd w:val="0"/>
        <w:snapToGrid w:val="0"/>
        <w:spacing w:before="120" w:beforeLines="50" w:line="300" w:lineRule="auto"/>
        <w:jc w:val="both"/>
        <w:rPr>
          <w:sz w:val="21"/>
          <w:szCs w:val="21"/>
          <w:lang w:eastAsia="zh-CN"/>
        </w:rPr>
      </w:pPr>
      <w:r>
        <w:rPr>
          <w:rFonts w:eastAsia="宋体" w:cs="宋体"/>
          <w:sz w:val="21"/>
          <w:lang w:eastAsia="zh-CN"/>
        </w:rPr>
        <w:t>建议用表格列出第1-6项中的信息。第7-10项中的信息可以以表格形式列出，或者如果采用其他形式可提高信息的清晰度，也可采用其他形式列出信息。无源植入物的MR特定条件安全标签及说明书示例请参见附录2中的表3。</w:t>
      </w:r>
    </w:p>
    <w:p w14:paraId="1B88886E">
      <w:pPr>
        <w:pStyle w:val="8"/>
        <w:adjustRightInd w:val="0"/>
        <w:snapToGrid w:val="0"/>
        <w:spacing w:before="120" w:beforeLines="50" w:line="300" w:lineRule="auto"/>
        <w:jc w:val="both"/>
        <w:rPr>
          <w:rFonts w:eastAsiaTheme="minorEastAsia"/>
          <w:b/>
          <w:sz w:val="21"/>
          <w:szCs w:val="21"/>
          <w:u w:val="single"/>
          <w:lang w:eastAsia="zh-CN"/>
        </w:rPr>
      </w:pPr>
      <w:r>
        <w:rPr>
          <w:rFonts w:eastAsia="宋体" w:cs="宋体"/>
          <w:b/>
          <w:sz w:val="21"/>
          <w:u w:val="single"/>
          <w:lang w:eastAsia="zh-CN"/>
        </w:rPr>
        <w:t>预期置于MR系统孔腔外的MR特定条件安全医疗器械</w:t>
      </w:r>
    </w:p>
    <w:p w14:paraId="5FE69291">
      <w:pPr>
        <w:pStyle w:val="8"/>
        <w:adjustRightInd w:val="0"/>
        <w:snapToGrid w:val="0"/>
        <w:spacing w:before="120" w:beforeLines="50" w:line="300" w:lineRule="auto"/>
        <w:jc w:val="both"/>
        <w:rPr>
          <w:sz w:val="21"/>
          <w:szCs w:val="21"/>
          <w:lang w:eastAsia="zh-CN"/>
        </w:rPr>
      </w:pPr>
      <w:r>
        <w:rPr>
          <w:rFonts w:eastAsia="宋体" w:cs="宋体"/>
          <w:sz w:val="21"/>
          <w:lang w:eastAsia="zh-CN"/>
        </w:rPr>
        <w:t>预期进入MR环境但置于MR系统孔腔外的MR特定条件安全医疗器械的标签应载明可安全使用医疗器械的条件。由于MR系统之间存在差异，MRI安全性相关信息应包括最大静磁场（又称为“高斯线限制”）[例如200 G（20 mT）]的位置条件，而不是距离。预期不进入MR系统孔腔内的无源医疗器械的标签通常不需要载明伪影信息。但是，预期置于MR系统孔腔外的有源医疗器械的标签应载明医疗器械对所采集MR图像质量的影响的信息。</w:t>
      </w:r>
    </w:p>
    <w:p w14:paraId="2B919DC4">
      <w:pPr>
        <w:pStyle w:val="8"/>
        <w:adjustRightInd w:val="0"/>
        <w:snapToGrid w:val="0"/>
        <w:spacing w:before="120" w:beforeLines="50" w:line="300" w:lineRule="auto"/>
        <w:jc w:val="both"/>
        <w:rPr>
          <w:sz w:val="21"/>
          <w:szCs w:val="21"/>
          <w:lang w:eastAsia="zh-CN"/>
        </w:rPr>
      </w:pPr>
      <w:r>
        <w:rPr>
          <w:rFonts w:eastAsia="宋体" w:cs="宋体"/>
          <w:sz w:val="21"/>
          <w:lang w:eastAsia="zh-CN"/>
        </w:rPr>
        <w:t>在可能的情况下，MR特定条件安全符号应直接粘贴在医疗器械上，如果空间允许，在MR环境中安全使用的条件也应纳入ASTM F2503中规定的补充标志中，然后将该标志粘贴在医疗器械上。补充符号至少应包括高斯线限制。在适当情况下，还应在补充标志中纳入“抛射危险”或“设备运行可能受到影响”等声明。</w:t>
      </w:r>
    </w:p>
    <w:p w14:paraId="0C5E40EC">
      <w:pPr>
        <w:pStyle w:val="8"/>
        <w:adjustRightInd w:val="0"/>
        <w:snapToGrid w:val="0"/>
        <w:spacing w:before="120" w:beforeLines="50" w:line="300" w:lineRule="auto"/>
        <w:jc w:val="both"/>
        <w:rPr>
          <w:sz w:val="21"/>
          <w:szCs w:val="21"/>
          <w:lang w:eastAsia="zh-CN"/>
        </w:rPr>
      </w:pPr>
      <w:r>
        <w:rPr>
          <w:rFonts w:eastAsia="宋体" w:cs="宋体"/>
          <w:sz w:val="21"/>
          <w:lang w:eastAsia="zh-CN"/>
        </w:rPr>
        <w:t>预期置于MR系统孔腔外的医疗器械的MR特定条件安全标签及说明书示例请参见附录2中的表4。附录2还包括预期不进入MR系统孔腔的医疗器械的MR特定条件安全标签及说明书示例以及补充标志，建议尽可能直接将其粘贴在医疗器械上。</w:t>
      </w:r>
    </w:p>
    <w:p w14:paraId="16ED539C">
      <w:pPr>
        <w:pStyle w:val="8"/>
        <w:adjustRightInd w:val="0"/>
        <w:snapToGrid w:val="0"/>
        <w:spacing w:before="120" w:beforeLines="50" w:line="300" w:lineRule="auto"/>
        <w:ind w:left="922" w:leftChars="200" w:hanging="482" w:hangingChars="200"/>
        <w:jc w:val="both"/>
        <w:outlineLvl w:val="1"/>
        <w:rPr>
          <w:b/>
          <w:szCs w:val="21"/>
          <w:lang w:eastAsia="zh-CN"/>
        </w:rPr>
      </w:pPr>
      <w:bookmarkStart w:id="35" w:name="_Toc91866619"/>
      <w:r>
        <w:rPr>
          <w:rFonts w:eastAsia="宋体" w:cs="宋体"/>
          <w:b/>
          <w:lang w:eastAsia="zh-CN"/>
        </w:rPr>
        <w:t>D.</w:t>
      </w:r>
      <w:r>
        <w:rPr>
          <w:rFonts w:eastAsia="宋体" w:cs="宋体"/>
          <w:b/>
          <w:lang w:eastAsia="zh-CN"/>
        </w:rPr>
        <w:tab/>
      </w:r>
      <w:r>
        <w:rPr>
          <w:rFonts w:eastAsia="宋体" w:cs="宋体"/>
          <w:b/>
          <w:lang w:eastAsia="zh-CN"/>
        </w:rPr>
        <w:t>未进行评价的MRI安全性</w:t>
      </w:r>
      <w:bookmarkEnd w:id="35"/>
    </w:p>
    <w:p w14:paraId="29AD5227">
      <w:pPr>
        <w:pStyle w:val="8"/>
        <w:adjustRightInd w:val="0"/>
        <w:snapToGrid w:val="0"/>
        <w:spacing w:before="120" w:beforeLines="50" w:line="300" w:lineRule="auto"/>
        <w:jc w:val="both"/>
        <w:rPr>
          <w:sz w:val="21"/>
          <w:szCs w:val="21"/>
          <w:lang w:eastAsia="zh-CN"/>
        </w:rPr>
      </w:pPr>
      <w:r>
        <w:rPr>
          <w:rFonts w:eastAsia="宋体" w:cs="宋体"/>
          <w:sz w:val="21"/>
          <w:lang w:eastAsia="zh-CN"/>
        </w:rPr>
        <w:t>对于未提供任何MRI安全性信息的器械，可能在特定环境下使用以下标签。如果使用，该信息应包含在标题为“MRI安全性相关信息”的部分中，如果标签有目录，则应包含在目录中。本机构建议提供确定本标签适用于器械的依据。标签应包括以下信息：</w:t>
      </w:r>
    </w:p>
    <w:p w14:paraId="79356AC5">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114E0826">
      <w:pPr>
        <w:pStyle w:val="8"/>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尚未评估</w:t>
      </w:r>
      <w:r>
        <w:rPr>
          <w:rFonts w:eastAsia="宋体" w:cs="宋体"/>
          <w:i/>
          <w:sz w:val="21"/>
          <w:lang w:eastAsia="zh-CN"/>
        </w:rPr>
        <w:t>&lt;插入医疗器械名称&gt;</w:t>
      </w:r>
      <w:r>
        <w:rPr>
          <w:rFonts w:eastAsia="宋体" w:cs="宋体"/>
          <w:sz w:val="21"/>
          <w:lang w:eastAsia="zh-CN"/>
        </w:rPr>
        <w:t>在MR环境下的安全性和兼容性。其尚未经过MR环境下发热、移位或伪影的试验。</w:t>
      </w:r>
      <w:r>
        <w:rPr>
          <w:rFonts w:eastAsia="宋体" w:cs="宋体"/>
          <w:i/>
          <w:sz w:val="21"/>
          <w:lang w:eastAsia="zh-CN"/>
        </w:rPr>
        <w:t>&lt;插入医疗器械名称&gt;</w:t>
      </w:r>
      <w:r>
        <w:rPr>
          <w:rFonts w:eastAsia="宋体" w:cs="宋体"/>
          <w:sz w:val="21"/>
          <w:lang w:eastAsia="zh-CN"/>
        </w:rPr>
        <w:t>在MR环境下的安全性尚未明确。对植入该器械的患者进行扫描可能会导致患者受伤。</w:t>
      </w:r>
    </w:p>
    <w:p w14:paraId="799B4197">
      <w:pPr>
        <w:pStyle w:val="8"/>
        <w:adjustRightInd w:val="0"/>
        <w:snapToGrid w:val="0"/>
        <w:spacing w:before="120" w:beforeLines="50" w:line="300" w:lineRule="auto"/>
        <w:jc w:val="both"/>
        <w:rPr>
          <w:sz w:val="21"/>
          <w:szCs w:val="21"/>
          <w:lang w:eastAsia="zh-CN"/>
        </w:rPr>
      </w:pPr>
      <w:r>
        <w:rPr>
          <w:rFonts w:eastAsia="宋体" w:cs="宋体"/>
          <w:sz w:val="21"/>
          <w:lang w:eastAsia="zh-CN"/>
        </w:rPr>
        <w:t>上述标签选项不适用于下列情况：</w:t>
      </w:r>
    </w:p>
    <w:p w14:paraId="54302901">
      <w:pPr>
        <w:pStyle w:val="20"/>
        <w:numPr>
          <w:ilvl w:val="0"/>
          <w:numId w:val="5"/>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对于器械或器械类型，已确定因接触MR环境导致不良影响或不良事件，或</w:t>
      </w:r>
    </w:p>
    <w:p w14:paraId="56A1DB9C">
      <w:pPr>
        <w:pStyle w:val="20"/>
        <w:numPr>
          <w:ilvl w:val="0"/>
          <w:numId w:val="5"/>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器械或器械类型已标记为MR特定条件安全或MR危险（例如包括但不限于心血管支架、颅内动脉瘤合夹、血管腔内移植物和经前列腺组织牵开器），或</w:t>
      </w:r>
    </w:p>
    <w:p w14:paraId="1A72DE1E">
      <w:pPr>
        <w:pStyle w:val="20"/>
        <w:numPr>
          <w:ilvl w:val="0"/>
          <w:numId w:val="5"/>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这是一种新型医疗器械，或</w:t>
      </w:r>
    </w:p>
    <w:p w14:paraId="43BFF4B2">
      <w:pPr>
        <w:pStyle w:val="20"/>
        <w:numPr>
          <w:ilvl w:val="0"/>
          <w:numId w:val="5"/>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医疗器械含有铁磁材料，或</w:t>
      </w:r>
    </w:p>
    <w:p w14:paraId="361B3BAA">
      <w:pPr>
        <w:pStyle w:val="20"/>
        <w:numPr>
          <w:ilvl w:val="0"/>
          <w:numId w:val="5"/>
        </w:numPr>
        <w:adjustRightInd w:val="0"/>
        <w:snapToGrid w:val="0"/>
        <w:spacing w:before="120" w:beforeLines="50" w:line="300" w:lineRule="auto"/>
        <w:ind w:left="860" w:leftChars="200" w:hangingChars="200"/>
        <w:jc w:val="both"/>
        <w:rPr>
          <w:sz w:val="21"/>
          <w:szCs w:val="21"/>
        </w:rPr>
      </w:pPr>
      <w:r>
        <w:rPr>
          <w:rFonts w:eastAsia="宋体" w:cs="宋体"/>
          <w:sz w:val="21"/>
        </w:rPr>
        <w:t>医疗器械具有电活性。</w:t>
      </w:r>
    </w:p>
    <w:p w14:paraId="4DCCAAEB">
      <w:pPr>
        <w:pStyle w:val="8"/>
        <w:adjustRightInd w:val="0"/>
        <w:snapToGrid w:val="0"/>
        <w:spacing w:before="120" w:beforeLines="50" w:line="300" w:lineRule="auto"/>
        <w:jc w:val="both"/>
        <w:rPr>
          <w:sz w:val="21"/>
          <w:szCs w:val="21"/>
        </w:rPr>
      </w:pPr>
      <w:r>
        <w:rPr>
          <w:rFonts w:eastAsia="宋体" w:cs="宋体"/>
          <w:sz w:val="21"/>
          <w:lang w:eastAsia="zh-CN"/>
        </w:rPr>
        <w:t>如果无法确定是否可以将器械标记为“MRI安全性未经评价”，本机构建议提交</w:t>
      </w:r>
      <w:r>
        <w:rPr>
          <w:rFonts w:eastAsia="宋体" w:cs="宋体"/>
          <w:color w:val="0000FF"/>
          <w:sz w:val="21"/>
          <w:u w:val="single"/>
          <w:lang w:eastAsia="zh-CN"/>
        </w:rPr>
        <w:t>预申请，以便在提交监管申请之前获得反馈</w:t>
      </w:r>
      <w:r>
        <w:rPr>
          <w:rFonts w:eastAsia="宋体" w:cs="宋体"/>
          <w:sz w:val="21"/>
          <w:lang w:eastAsia="zh-CN"/>
        </w:rPr>
        <w:t>。</w:t>
      </w:r>
      <w:r>
        <w:rPr>
          <w:rFonts w:eastAsia="宋体" w:cs="宋体"/>
          <w:sz w:val="21"/>
          <w:vertAlign w:val="superscript"/>
        </w:rPr>
        <w:t>35</w:t>
      </w:r>
    </w:p>
    <w:p w14:paraId="3FC5E21F">
      <w:pPr>
        <w:pStyle w:val="8"/>
        <w:adjustRightInd w:val="0"/>
        <w:snapToGrid w:val="0"/>
        <w:spacing w:before="8040" w:beforeLines="3350" w:line="300" w:lineRule="auto"/>
        <w:jc w:val="both"/>
        <w:rPr>
          <w:rFonts w:eastAsiaTheme="minorEastAsia"/>
          <w:sz w:val="21"/>
          <w:szCs w:val="21"/>
          <w:lang w:eastAsia="zh-CN"/>
        </w:rPr>
      </w:pPr>
      <w:r>
        <w:rPr>
          <w:rFonts w:eastAsia="宋体" w:cs="宋体"/>
          <w:sz w:val="21"/>
        </w:rPr>
        <w:t>____________________</w:t>
      </w:r>
    </w:p>
    <w:p w14:paraId="2580968E">
      <w:pPr>
        <w:adjustRightInd w:val="0"/>
        <w:snapToGrid w:val="0"/>
        <w:spacing w:before="36" w:beforeLines="15" w:line="276" w:lineRule="auto"/>
        <w:jc w:val="both"/>
        <w:rPr>
          <w:b/>
          <w:sz w:val="21"/>
          <w:szCs w:val="21"/>
        </w:rPr>
      </w:pPr>
      <w:r>
        <w:rPr>
          <w:sz w:val="18"/>
          <w:szCs w:val="21"/>
          <w:vertAlign w:val="superscript"/>
        </w:rPr>
        <w:t>35</w:t>
      </w:r>
      <w:r>
        <w:rPr>
          <w:sz w:val="18"/>
          <w:szCs w:val="21"/>
        </w:rPr>
        <w:t xml:space="preserve"> </w:t>
      </w:r>
      <w:r>
        <w:rPr>
          <w:color w:val="0000FF"/>
          <w:sz w:val="18"/>
          <w:szCs w:val="21"/>
          <w:u w:val="single" w:color="0000FF"/>
        </w:rPr>
        <w:t>https://www.fda.gov/regulatory-information/search-fda-guidance-documents/requests-feedback-and-</w:t>
      </w:r>
      <w:r>
        <w:rPr>
          <w:color w:val="0000FF"/>
          <w:sz w:val="18"/>
          <w:szCs w:val="21"/>
        </w:rPr>
        <w:t xml:space="preserve"> </w:t>
      </w:r>
      <w:r>
        <w:rPr>
          <w:color w:val="0000FF"/>
          <w:sz w:val="18"/>
          <w:szCs w:val="21"/>
          <w:u w:val="single" w:color="0000FF"/>
        </w:rPr>
        <w:t>meetings-medical-device-submissions-q-submission-program</w:t>
      </w:r>
      <w:r>
        <w:rPr>
          <w:b/>
          <w:sz w:val="21"/>
          <w:szCs w:val="21"/>
        </w:rPr>
        <w:br w:type="page"/>
      </w:r>
    </w:p>
    <w:p w14:paraId="511C9083">
      <w:pPr>
        <w:pStyle w:val="8"/>
        <w:adjustRightInd w:val="0"/>
        <w:snapToGrid w:val="0"/>
        <w:spacing w:before="120" w:beforeLines="50" w:line="300" w:lineRule="auto"/>
        <w:ind w:left="843" w:hanging="843" w:hangingChars="300"/>
        <w:jc w:val="both"/>
        <w:outlineLvl w:val="0"/>
        <w:rPr>
          <w:rFonts w:eastAsiaTheme="minorEastAsia"/>
          <w:b/>
          <w:sz w:val="28"/>
          <w:szCs w:val="21"/>
          <w:lang w:eastAsia="zh-CN"/>
        </w:rPr>
      </w:pPr>
      <w:bookmarkStart w:id="36" w:name="_Toc91866620"/>
      <w:r>
        <w:rPr>
          <w:rFonts w:eastAsia="宋体" w:cs="宋体"/>
          <w:b/>
          <w:sz w:val="28"/>
        </w:rPr>
        <w:t>附录</w:t>
      </w:r>
      <w:r>
        <w:rPr>
          <w:rFonts w:eastAsia="宋体" w:cs="宋体"/>
          <w:b/>
        </w:rPr>
        <w:tab/>
      </w:r>
      <w:r>
        <w:rPr>
          <w:rFonts w:eastAsia="宋体" w:cs="宋体"/>
          <w:b/>
          <w:sz w:val="28"/>
        </w:rPr>
        <w:t>1.试验结果总结示例</w:t>
      </w:r>
      <w:bookmarkEnd w:id="36"/>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3" w:type="dxa"/>
          <w:bottom w:w="0" w:type="dxa"/>
          <w:right w:w="113" w:type="dxa"/>
        </w:tblCellMar>
      </w:tblPr>
      <w:tblGrid>
        <w:gridCol w:w="1367"/>
        <w:gridCol w:w="1060"/>
        <w:gridCol w:w="1636"/>
        <w:gridCol w:w="1586"/>
        <w:gridCol w:w="2120"/>
        <w:gridCol w:w="1528"/>
      </w:tblGrid>
      <w:tr w14:paraId="10E1C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35" w:type="pct"/>
            <w:vAlign w:val="bottom"/>
          </w:tcPr>
          <w:p w14:paraId="4FE0E401">
            <w:pPr>
              <w:pStyle w:val="21"/>
              <w:adjustRightInd w:val="0"/>
              <w:snapToGrid w:val="0"/>
              <w:spacing w:before="36" w:beforeLines="15" w:line="276" w:lineRule="auto"/>
              <w:jc w:val="both"/>
              <w:rPr>
                <w:rFonts w:ascii="Times New Roman" w:hAnsi="Times New Roman" w:cs="Times New Roman"/>
                <w:b/>
                <w:sz w:val="18"/>
                <w:szCs w:val="18"/>
              </w:rPr>
            </w:pPr>
            <w:r>
              <w:rPr>
                <w:rFonts w:ascii="Times New Roman" w:hAnsi="Times New Roman" w:eastAsia="宋体" w:cs="宋体"/>
                <w:b/>
                <w:sz w:val="18"/>
              </w:rPr>
              <w:t>已解决的危险</w:t>
            </w:r>
          </w:p>
        </w:tc>
        <w:tc>
          <w:tcPr>
            <w:tcW w:w="570" w:type="pct"/>
            <w:vAlign w:val="bottom"/>
          </w:tcPr>
          <w:p w14:paraId="0197E238">
            <w:pPr>
              <w:pStyle w:val="21"/>
              <w:adjustRightInd w:val="0"/>
              <w:snapToGrid w:val="0"/>
              <w:spacing w:before="36" w:beforeLines="15" w:line="276" w:lineRule="auto"/>
              <w:jc w:val="both"/>
              <w:rPr>
                <w:rFonts w:ascii="Times New Roman" w:hAnsi="Times New Roman" w:cs="Times New Roman"/>
                <w:b/>
                <w:sz w:val="18"/>
                <w:szCs w:val="18"/>
              </w:rPr>
            </w:pPr>
            <w:r>
              <w:rPr>
                <w:rFonts w:ascii="Times New Roman" w:hAnsi="Times New Roman" w:eastAsia="宋体" w:cs="宋体"/>
                <w:b/>
                <w:sz w:val="18"/>
              </w:rPr>
              <w:t>采用的试验验方法</w:t>
            </w:r>
          </w:p>
        </w:tc>
        <w:tc>
          <w:tcPr>
            <w:tcW w:w="880" w:type="pct"/>
            <w:vAlign w:val="bottom"/>
          </w:tcPr>
          <w:p w14:paraId="3ACE2861">
            <w:pPr>
              <w:pStyle w:val="21"/>
              <w:adjustRightInd w:val="0"/>
              <w:snapToGrid w:val="0"/>
              <w:spacing w:before="36" w:beforeLines="15" w:line="276" w:lineRule="auto"/>
              <w:jc w:val="both"/>
              <w:rPr>
                <w:rFonts w:ascii="Times New Roman" w:hAnsi="Times New Roman" w:cs="Times New Roman"/>
                <w:b/>
                <w:sz w:val="18"/>
                <w:szCs w:val="18"/>
              </w:rPr>
            </w:pPr>
            <w:r>
              <w:rPr>
                <w:rFonts w:ascii="Times New Roman" w:hAnsi="Times New Roman" w:eastAsia="宋体" w:cs="宋体"/>
                <w:b/>
                <w:sz w:val="18"/>
              </w:rPr>
              <w:t>验收标准</w:t>
            </w:r>
          </w:p>
        </w:tc>
        <w:tc>
          <w:tcPr>
            <w:tcW w:w="853" w:type="pct"/>
            <w:vAlign w:val="bottom"/>
          </w:tcPr>
          <w:p w14:paraId="11EFE743">
            <w:pPr>
              <w:pStyle w:val="21"/>
              <w:adjustRightInd w:val="0"/>
              <w:snapToGrid w:val="0"/>
              <w:spacing w:before="36" w:beforeLines="15" w:line="276" w:lineRule="auto"/>
              <w:jc w:val="both"/>
              <w:rPr>
                <w:rFonts w:ascii="Times New Roman" w:hAnsi="Times New Roman" w:cs="Times New Roman"/>
                <w:b/>
                <w:sz w:val="18"/>
                <w:szCs w:val="18"/>
              </w:rPr>
            </w:pPr>
            <w:r>
              <w:rPr>
                <w:rFonts w:ascii="Times New Roman" w:hAnsi="Times New Roman" w:eastAsia="宋体" w:cs="宋体"/>
                <w:b/>
                <w:sz w:val="18"/>
              </w:rPr>
              <w:t>试验的医疗器械配置</w:t>
            </w:r>
          </w:p>
        </w:tc>
        <w:tc>
          <w:tcPr>
            <w:tcW w:w="1140" w:type="pct"/>
            <w:vAlign w:val="bottom"/>
          </w:tcPr>
          <w:p w14:paraId="3B87A1FF">
            <w:pPr>
              <w:pStyle w:val="21"/>
              <w:adjustRightInd w:val="0"/>
              <w:snapToGrid w:val="0"/>
              <w:spacing w:before="36" w:beforeLines="15" w:line="276" w:lineRule="auto"/>
              <w:jc w:val="both"/>
              <w:rPr>
                <w:rFonts w:ascii="Times New Roman" w:hAnsi="Times New Roman" w:cs="Times New Roman"/>
                <w:b/>
                <w:sz w:val="18"/>
                <w:szCs w:val="18"/>
                <w:lang w:eastAsia="zh-CN"/>
              </w:rPr>
            </w:pPr>
            <w:r>
              <w:rPr>
                <w:rFonts w:ascii="Times New Roman" w:hAnsi="Times New Roman" w:eastAsia="宋体" w:cs="宋体"/>
                <w:b/>
                <w:sz w:val="18"/>
                <w:lang w:eastAsia="zh-CN"/>
              </w:rPr>
              <w:t>试验结果总结，在适当情况下，填写“通过”/“未通过”</w:t>
            </w:r>
          </w:p>
        </w:tc>
        <w:tc>
          <w:tcPr>
            <w:tcW w:w="822" w:type="pct"/>
            <w:vAlign w:val="bottom"/>
          </w:tcPr>
          <w:p w14:paraId="5D5E975D">
            <w:pPr>
              <w:pStyle w:val="21"/>
              <w:adjustRightInd w:val="0"/>
              <w:snapToGrid w:val="0"/>
              <w:spacing w:before="36" w:beforeLines="15" w:line="276" w:lineRule="auto"/>
              <w:jc w:val="both"/>
              <w:rPr>
                <w:rFonts w:ascii="Times New Roman" w:hAnsi="Times New Roman" w:cs="Times New Roman"/>
                <w:b/>
                <w:sz w:val="18"/>
                <w:szCs w:val="18"/>
              </w:rPr>
            </w:pPr>
            <w:r>
              <w:rPr>
                <w:rFonts w:ascii="Times New Roman" w:hAnsi="Times New Roman" w:eastAsia="宋体" w:cs="宋体"/>
                <w:b/>
                <w:sz w:val="18"/>
              </w:rPr>
              <w:t>在申请中的位置</w:t>
            </w:r>
          </w:p>
        </w:tc>
      </w:tr>
      <w:tr w14:paraId="7331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35" w:type="pct"/>
            <w:vAlign w:val="bottom"/>
          </w:tcPr>
          <w:p w14:paraId="3FD94D3B">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图像伪影</w:t>
            </w:r>
          </w:p>
        </w:tc>
        <w:tc>
          <w:tcPr>
            <w:tcW w:w="570" w:type="pct"/>
            <w:vAlign w:val="bottom"/>
          </w:tcPr>
          <w:p w14:paraId="0E74A9C0">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cs="Times New Roman"/>
                <w:sz w:val="18"/>
                <w:szCs w:val="18"/>
              </w:rPr>
              <w:t>ASTM F2119-13</w:t>
            </w:r>
          </w:p>
        </w:tc>
        <w:tc>
          <w:tcPr>
            <w:tcW w:w="880" w:type="pct"/>
            <w:vAlign w:val="bottom"/>
          </w:tcPr>
          <w:p w14:paraId="2CA0F202">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用于表征目的</w:t>
            </w:r>
          </w:p>
        </w:tc>
        <w:tc>
          <w:tcPr>
            <w:tcW w:w="853" w:type="pct"/>
            <w:vAlign w:val="bottom"/>
          </w:tcPr>
          <w:p w14:paraId="3571069A">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cs="Times New Roman"/>
                <w:sz w:val="18"/>
                <w:szCs w:val="18"/>
              </w:rPr>
              <w:t>40 mm</w:t>
            </w:r>
          </w:p>
        </w:tc>
        <w:tc>
          <w:tcPr>
            <w:tcW w:w="1140" w:type="pct"/>
            <w:vAlign w:val="bottom"/>
          </w:tcPr>
          <w:p w14:paraId="4C170D8C">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在3 T磁场强度下进行GRE扫描时，最大伪影从器械延伸3 mm</w:t>
            </w:r>
          </w:p>
        </w:tc>
        <w:tc>
          <w:tcPr>
            <w:tcW w:w="822" w:type="pct"/>
            <w:vAlign w:val="bottom"/>
          </w:tcPr>
          <w:p w14:paraId="2B6F9844">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第2卷，第10.3节，第37页</w:t>
            </w:r>
          </w:p>
        </w:tc>
      </w:tr>
      <w:tr w14:paraId="393D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35" w:type="pct"/>
            <w:vAlign w:val="bottom"/>
          </w:tcPr>
          <w:p w14:paraId="405D4800">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磁感应位移力</w:t>
            </w:r>
          </w:p>
        </w:tc>
        <w:tc>
          <w:tcPr>
            <w:tcW w:w="570" w:type="pct"/>
            <w:vAlign w:val="bottom"/>
          </w:tcPr>
          <w:p w14:paraId="55A004D6">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cs="Times New Roman"/>
                <w:sz w:val="18"/>
                <w:szCs w:val="18"/>
              </w:rPr>
              <w:t>ASTM F2052-15</w:t>
            </w:r>
          </w:p>
        </w:tc>
        <w:tc>
          <w:tcPr>
            <w:tcW w:w="880" w:type="pct"/>
            <w:vAlign w:val="bottom"/>
          </w:tcPr>
          <w:p w14:paraId="76E6619A">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磁力小于医疗器械重量</w:t>
            </w:r>
          </w:p>
        </w:tc>
        <w:tc>
          <w:tcPr>
            <w:tcW w:w="853" w:type="pct"/>
            <w:vAlign w:val="bottom"/>
          </w:tcPr>
          <w:p w14:paraId="7F3B454E">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cs="Times New Roman"/>
                <w:sz w:val="18"/>
                <w:szCs w:val="18"/>
              </w:rPr>
              <w:t>40 mm</w:t>
            </w:r>
          </w:p>
        </w:tc>
        <w:tc>
          <w:tcPr>
            <w:tcW w:w="1140" w:type="pct"/>
            <w:vAlign w:val="bottom"/>
          </w:tcPr>
          <w:p w14:paraId="1FDEC4FD">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b/>
                <w:sz w:val="18"/>
                <w:lang w:eastAsia="zh-CN"/>
              </w:rPr>
              <w:t>B</w:t>
            </w:r>
            <w:r>
              <w:rPr>
                <w:rFonts w:ascii="Times New Roman" w:hAnsi="Times New Roman" w:eastAsia="宋体" w:cs="宋体"/>
                <w:sz w:val="18"/>
                <w:lang w:eastAsia="zh-CN"/>
              </w:rPr>
              <w:t xml:space="preserve"> = 1.52 T和dB/dz = 4.67 T/m位置处偏转2°；计算的最大空间场梯度= 30 T/m；通过</w:t>
            </w:r>
          </w:p>
        </w:tc>
        <w:tc>
          <w:tcPr>
            <w:tcW w:w="822" w:type="pct"/>
            <w:vAlign w:val="bottom"/>
          </w:tcPr>
          <w:p w14:paraId="4037D6EE">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第2卷，第10.4节，第45页</w:t>
            </w:r>
          </w:p>
        </w:tc>
      </w:tr>
      <w:tr w14:paraId="4A581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35" w:type="pct"/>
            <w:vAlign w:val="bottom"/>
          </w:tcPr>
          <w:p w14:paraId="7F75A683">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磁感应扭矩</w:t>
            </w:r>
          </w:p>
        </w:tc>
        <w:tc>
          <w:tcPr>
            <w:tcW w:w="570" w:type="pct"/>
            <w:vAlign w:val="bottom"/>
          </w:tcPr>
          <w:p w14:paraId="5F81D989">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ASTM F2213-17，低摩擦表面法</w:t>
            </w:r>
          </w:p>
        </w:tc>
        <w:tc>
          <w:tcPr>
            <w:tcW w:w="880" w:type="pct"/>
            <w:vAlign w:val="bottom"/>
          </w:tcPr>
          <w:p w14:paraId="138356FB">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扭矩小于重力扭矩</w:t>
            </w:r>
          </w:p>
        </w:tc>
        <w:tc>
          <w:tcPr>
            <w:tcW w:w="853" w:type="pct"/>
            <w:vAlign w:val="bottom"/>
          </w:tcPr>
          <w:p w14:paraId="30AC987A">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cs="Times New Roman"/>
                <w:sz w:val="18"/>
                <w:szCs w:val="18"/>
              </w:rPr>
              <w:t>40 mm</w:t>
            </w:r>
          </w:p>
        </w:tc>
        <w:tc>
          <w:tcPr>
            <w:tcW w:w="1140" w:type="pct"/>
            <w:tcBorders>
              <w:bottom w:val="single" w:color="000000" w:sz="8" w:space="0"/>
            </w:tcBorders>
            <w:vAlign w:val="bottom"/>
          </w:tcPr>
          <w:p w14:paraId="68624A1F">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磁场强度为3 T时无可观察到的扭矩；通过</w:t>
            </w:r>
          </w:p>
        </w:tc>
        <w:tc>
          <w:tcPr>
            <w:tcW w:w="822" w:type="pct"/>
            <w:vAlign w:val="bottom"/>
          </w:tcPr>
          <w:p w14:paraId="1DC2843F">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第2卷，第10.5节，第57页</w:t>
            </w:r>
          </w:p>
        </w:tc>
      </w:tr>
      <w:tr w14:paraId="3172C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35" w:type="pct"/>
            <w:vAlign w:val="bottom"/>
          </w:tcPr>
          <w:p w14:paraId="3088FB03">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射频感应致热</w:t>
            </w:r>
          </w:p>
        </w:tc>
        <w:tc>
          <w:tcPr>
            <w:tcW w:w="570" w:type="pct"/>
            <w:vAlign w:val="bottom"/>
          </w:tcPr>
          <w:p w14:paraId="12126035">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cs="Times New Roman"/>
                <w:sz w:val="18"/>
                <w:szCs w:val="18"/>
              </w:rPr>
              <w:t>ASTM F2182-</w:t>
            </w:r>
            <w:r>
              <w:rPr>
                <w:rFonts w:hint="eastAsia" w:ascii="Times New Roman" w:hAnsi="Times New Roman" w:cs="Times New Roman" w:eastAsiaTheme="minorEastAsia"/>
                <w:sz w:val="18"/>
                <w:szCs w:val="18"/>
                <w:lang w:eastAsia="zh-CN"/>
              </w:rPr>
              <w:t xml:space="preserve"> </w:t>
            </w:r>
            <w:r>
              <w:rPr>
                <w:rFonts w:ascii="Times New Roman" w:hAnsi="Times New Roman" w:cs="Times New Roman"/>
                <w:sz w:val="18"/>
                <w:szCs w:val="18"/>
              </w:rPr>
              <w:t>11a</w:t>
            </w:r>
          </w:p>
        </w:tc>
        <w:tc>
          <w:tcPr>
            <w:tcW w:w="880" w:type="pct"/>
            <w:vAlign w:val="bottom"/>
          </w:tcPr>
          <w:p w14:paraId="66019AFB">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发热温度低于5℃</w:t>
            </w:r>
          </w:p>
        </w:tc>
        <w:tc>
          <w:tcPr>
            <w:tcW w:w="853" w:type="pct"/>
            <w:tcBorders>
              <w:right w:val="single" w:color="000000" w:sz="8" w:space="0"/>
            </w:tcBorders>
            <w:vAlign w:val="bottom"/>
          </w:tcPr>
          <w:p w14:paraId="66A38532">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cs="Times New Roman"/>
                <w:sz w:val="18"/>
                <w:szCs w:val="18"/>
              </w:rPr>
              <w:t>40 mm</w:t>
            </w:r>
          </w:p>
        </w:tc>
        <w:tc>
          <w:tcPr>
            <w:tcW w:w="1140" w:type="pct"/>
            <w:tcBorders>
              <w:top w:val="single" w:color="000000" w:sz="8" w:space="0"/>
              <w:left w:val="single" w:color="000000" w:sz="8" w:space="0"/>
              <w:bottom w:val="single" w:color="000000" w:sz="8" w:space="0"/>
              <w:right w:val="single" w:color="000000" w:sz="8" w:space="0"/>
            </w:tcBorders>
            <w:vAlign w:val="bottom"/>
          </w:tcPr>
          <w:p w14:paraId="2A39AC3A">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鸟笼体线圈，正交驱动最大全身SAR为2 W/kg，15分钟内的温升为0.5℃/（W/kg）；通过</w:t>
            </w:r>
          </w:p>
        </w:tc>
        <w:tc>
          <w:tcPr>
            <w:tcW w:w="822" w:type="pct"/>
            <w:tcBorders>
              <w:left w:val="single" w:color="000000" w:sz="8" w:space="0"/>
            </w:tcBorders>
            <w:vAlign w:val="bottom"/>
          </w:tcPr>
          <w:p w14:paraId="0190F77A">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第2卷，第10.6节，第65页</w:t>
            </w:r>
          </w:p>
        </w:tc>
      </w:tr>
    </w:tbl>
    <w:p w14:paraId="1AFAC958">
      <w:pPr>
        <w:pStyle w:val="8"/>
        <w:adjustRightInd w:val="0"/>
        <w:snapToGrid w:val="0"/>
        <w:spacing w:before="120" w:beforeLines="50" w:line="300" w:lineRule="auto"/>
        <w:jc w:val="both"/>
        <w:rPr>
          <w:sz w:val="21"/>
          <w:szCs w:val="21"/>
          <w:lang w:eastAsia="zh-CN"/>
        </w:rPr>
      </w:pPr>
      <w:r>
        <w:rPr>
          <w:rFonts w:eastAsia="宋体" w:cs="宋体"/>
          <w:sz w:val="21"/>
          <w:lang w:eastAsia="zh-CN"/>
        </w:rPr>
        <w:t>表2.无源植入物试验结果汇总表示例</w:t>
      </w:r>
    </w:p>
    <w:p w14:paraId="220AE7E2">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176EA00F">
      <w:pPr>
        <w:pStyle w:val="8"/>
        <w:adjustRightInd w:val="0"/>
        <w:snapToGrid w:val="0"/>
        <w:spacing w:before="120" w:beforeLines="50" w:line="300" w:lineRule="auto"/>
        <w:ind w:left="843" w:hanging="843" w:hangingChars="300"/>
        <w:jc w:val="both"/>
        <w:outlineLvl w:val="0"/>
        <w:rPr>
          <w:rFonts w:eastAsiaTheme="minorEastAsia"/>
          <w:b/>
          <w:sz w:val="28"/>
          <w:szCs w:val="21"/>
          <w:lang w:eastAsia="zh-CN"/>
        </w:rPr>
      </w:pPr>
      <w:bookmarkStart w:id="37" w:name="_Toc91866621"/>
      <w:r>
        <w:rPr>
          <w:rFonts w:eastAsia="宋体" w:cs="宋体"/>
          <w:b/>
          <w:sz w:val="28"/>
          <w:lang w:eastAsia="zh-CN"/>
        </w:rPr>
        <w:t>附录</w:t>
      </w:r>
      <w:r>
        <w:rPr>
          <w:rFonts w:eastAsia="宋体" w:cs="宋体"/>
          <w:b/>
          <w:lang w:eastAsia="zh-CN"/>
        </w:rPr>
        <w:tab/>
      </w:r>
      <w:r>
        <w:rPr>
          <w:rFonts w:eastAsia="宋体" w:cs="宋体"/>
          <w:b/>
          <w:sz w:val="28"/>
          <w:lang w:eastAsia="zh-CN"/>
        </w:rPr>
        <w:t>2.MR特定条件安全标签及说明书示例</w:t>
      </w:r>
      <w:bookmarkEnd w:id="37"/>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3" w:type="dxa"/>
          <w:bottom w:w="0" w:type="dxa"/>
          <w:right w:w="113" w:type="dxa"/>
        </w:tblCellMar>
      </w:tblPr>
      <w:tblGrid>
        <w:gridCol w:w="3626"/>
        <w:gridCol w:w="5671"/>
      </w:tblGrid>
      <w:tr w14:paraId="34A5E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5000" w:type="pct"/>
            <w:gridSpan w:val="2"/>
          </w:tcPr>
          <w:p w14:paraId="09FF1E35">
            <w:pPr>
              <w:pStyle w:val="21"/>
              <w:tabs>
                <w:tab w:val="center" w:pos="4536"/>
              </w:tabs>
              <w:adjustRightInd w:val="0"/>
              <w:snapToGrid w:val="0"/>
              <w:spacing w:before="36" w:beforeLines="15" w:line="276" w:lineRule="auto"/>
              <w:jc w:val="both"/>
              <w:rPr>
                <w:rFonts w:ascii="Times New Roman" w:hAnsi="Times New Roman" w:cs="Times New Roman" w:eastAsiaTheme="minorEastAsia"/>
                <w:sz w:val="18"/>
                <w:szCs w:val="18"/>
                <w:lang w:eastAsia="zh-CN"/>
              </w:rPr>
            </w:pPr>
            <w:r>
              <w:rPr>
                <w:rFonts w:ascii="Times New Roman" w:hAnsi="Times New Roman" w:eastAsia="宋体" w:cs="宋体"/>
                <w:sz w:val="21"/>
                <w:lang w:eastAsia="zh-CN"/>
              </w:rPr>
              <w:t>MRI安全信息</w:t>
            </w:r>
            <w:r>
              <w:rPr>
                <w:rFonts w:ascii="Times New Roman" w:hAnsi="Times New Roman" w:eastAsia="宋体" w:cs="宋体"/>
                <w:sz w:val="21"/>
                <w:lang w:eastAsia="zh-CN"/>
              </w:rPr>
              <w:tab/>
            </w:r>
            <w:r>
              <w:rPr>
                <w:sz w:val="21"/>
                <w:lang w:eastAsia="zh-CN" w:bidi="ar-SA"/>
              </w:rPr>
              <w:drawing>
                <wp:inline distT="0" distB="0" distL="0" distR="0">
                  <wp:extent cx="732790" cy="608965"/>
                  <wp:effectExtent l="0" t="0" r="0" b="0"/>
                  <wp:docPr id="95" name="image45.png" descr="cid:image003.jpg@01CE02D9.3D90E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45.png" descr="cid:image003.jpg@01CE02D9.3D90ED70"/>
                          <pic:cNvPicPr>
                            <a:picLocks noChangeAspect="1"/>
                          </pic:cNvPicPr>
                        </pic:nvPicPr>
                        <pic:blipFill>
                          <a:blip r:embed="rId12" cstate="print"/>
                          <a:stretch>
                            <a:fillRect/>
                          </a:stretch>
                        </pic:blipFill>
                        <pic:spPr>
                          <a:xfrm>
                            <a:off x="0" y="0"/>
                            <a:ext cx="733424" cy="608990"/>
                          </a:xfrm>
                          <a:prstGeom prst="rect">
                            <a:avLst/>
                          </a:prstGeom>
                        </pic:spPr>
                      </pic:pic>
                    </a:graphicData>
                  </a:graphic>
                </wp:inline>
              </w:drawing>
            </w:r>
          </w:p>
          <w:p w14:paraId="1B367C4F">
            <w:pPr>
              <w:pStyle w:val="21"/>
              <w:tabs>
                <w:tab w:val="center" w:pos="4536"/>
              </w:tabs>
              <w:adjustRightInd w:val="0"/>
              <w:snapToGrid w:val="0"/>
              <w:spacing w:before="36" w:beforeLines="15" w:line="276" w:lineRule="auto"/>
              <w:jc w:val="both"/>
              <w:rPr>
                <w:rFonts w:ascii="Times New Roman" w:hAnsi="Times New Roman" w:cs="Times New Roman" w:eastAsiaTheme="minorEastAsia"/>
                <w:sz w:val="18"/>
                <w:szCs w:val="18"/>
                <w:lang w:eastAsia="zh-CN"/>
              </w:rPr>
            </w:pPr>
          </w:p>
          <w:p w14:paraId="144BA281">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可在以下条件下对植入</w:t>
            </w:r>
            <w:r>
              <w:rPr>
                <w:rFonts w:hint="eastAsia" w:ascii="Times New Roman" w:hAnsi="Times New Roman" w:eastAsia="宋体" w:cs="宋体"/>
                <w:sz w:val="18"/>
                <w:lang w:eastAsia="zh-CN"/>
              </w:rPr>
              <w:t>Star</w:t>
            </w:r>
            <w:r>
              <w:rPr>
                <w:rFonts w:ascii="Times New Roman" w:hAnsi="Times New Roman" w:eastAsia="宋体" w:cs="宋体"/>
                <w:sz w:val="18"/>
                <w:lang w:eastAsia="zh-CN"/>
              </w:rPr>
              <w:t>植入物的患者进行安全扫描。不遵守上述条件可能会导致患者受伤。</w:t>
            </w:r>
          </w:p>
        </w:tc>
      </w:tr>
      <w:tr w14:paraId="71F06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5BDEBA38">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器械名称/标识</w:t>
            </w:r>
          </w:p>
        </w:tc>
        <w:tc>
          <w:tcPr>
            <w:tcW w:w="3050" w:type="pct"/>
            <w:vAlign w:val="center"/>
          </w:tcPr>
          <w:p w14:paraId="0A9ADBD6">
            <w:pPr>
              <w:pStyle w:val="21"/>
              <w:adjustRightInd w:val="0"/>
              <w:snapToGrid w:val="0"/>
              <w:spacing w:before="36" w:beforeLines="15" w:line="276" w:lineRule="auto"/>
              <w:jc w:val="center"/>
              <w:rPr>
                <w:rFonts w:ascii="Times New Roman" w:hAnsi="Times New Roman" w:cs="Times New Roman"/>
                <w:sz w:val="18"/>
                <w:szCs w:val="18"/>
              </w:rPr>
            </w:pPr>
            <w:r>
              <w:rPr>
                <w:rFonts w:hint="eastAsia" w:ascii="Times New Roman" w:hAnsi="Times New Roman" w:eastAsia="宋体" w:cs="宋体"/>
                <w:sz w:val="18"/>
                <w:lang w:eastAsia="zh-CN"/>
              </w:rPr>
              <w:t>S</w:t>
            </w:r>
            <w:r>
              <w:rPr>
                <w:rFonts w:ascii="Times New Roman" w:hAnsi="Times New Roman" w:eastAsia="宋体" w:cs="宋体"/>
                <w:sz w:val="18"/>
                <w:lang w:eastAsia="zh-CN"/>
              </w:rPr>
              <w:t>tar</w:t>
            </w:r>
            <w:r>
              <w:rPr>
                <w:rFonts w:ascii="Times New Roman" w:hAnsi="Times New Roman" w:eastAsia="宋体" w:cs="宋体"/>
                <w:sz w:val="18"/>
              </w:rPr>
              <w:t>植入物</w:t>
            </w:r>
          </w:p>
        </w:tc>
      </w:tr>
      <w:tr w14:paraId="60370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2EEC76B6">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静磁场的标称值[T]</w:t>
            </w:r>
          </w:p>
        </w:tc>
        <w:tc>
          <w:tcPr>
            <w:tcW w:w="3050" w:type="pct"/>
            <w:vAlign w:val="center"/>
          </w:tcPr>
          <w:p w14:paraId="4092F112">
            <w:pPr>
              <w:pStyle w:val="21"/>
              <w:adjustRightInd w:val="0"/>
              <w:snapToGrid w:val="0"/>
              <w:spacing w:before="36" w:beforeLines="15" w:line="276" w:lineRule="auto"/>
              <w:jc w:val="center"/>
              <w:rPr>
                <w:rFonts w:ascii="Times New Roman" w:hAnsi="Times New Roman" w:cs="Times New Roman"/>
                <w:sz w:val="18"/>
                <w:szCs w:val="18"/>
              </w:rPr>
            </w:pPr>
            <w:r>
              <w:rPr>
                <w:rFonts w:ascii="Times New Roman" w:hAnsi="Times New Roman" w:eastAsia="宋体" w:cs="宋体"/>
                <w:sz w:val="18"/>
              </w:rPr>
              <w:t>1.5 T或3.0 T</w:t>
            </w:r>
          </w:p>
        </w:tc>
      </w:tr>
      <w:tr w14:paraId="39928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3A37AE0B">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最大空间场梯度[T/m和G/cm]</w:t>
            </w:r>
          </w:p>
        </w:tc>
        <w:tc>
          <w:tcPr>
            <w:tcW w:w="3050" w:type="pct"/>
            <w:vAlign w:val="center"/>
          </w:tcPr>
          <w:p w14:paraId="051CB683">
            <w:pPr>
              <w:pStyle w:val="21"/>
              <w:adjustRightInd w:val="0"/>
              <w:snapToGrid w:val="0"/>
              <w:spacing w:before="36" w:beforeLines="15" w:line="276" w:lineRule="auto"/>
              <w:jc w:val="center"/>
              <w:rPr>
                <w:rFonts w:ascii="Times New Roman" w:hAnsi="Times New Roman" w:cs="Times New Roman"/>
                <w:sz w:val="18"/>
                <w:szCs w:val="18"/>
              </w:rPr>
            </w:pPr>
            <w:r>
              <w:rPr>
                <w:rFonts w:ascii="Times New Roman" w:hAnsi="Times New Roman" w:eastAsia="宋体" w:cs="宋体"/>
                <w:sz w:val="18"/>
              </w:rPr>
              <w:t>30 T/m（3,000 G/cm）</w:t>
            </w:r>
          </w:p>
        </w:tc>
      </w:tr>
      <w:tr w14:paraId="4B556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44C208EA">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射频激励</w:t>
            </w:r>
          </w:p>
        </w:tc>
        <w:tc>
          <w:tcPr>
            <w:tcW w:w="3050" w:type="pct"/>
            <w:vAlign w:val="center"/>
          </w:tcPr>
          <w:p w14:paraId="62DCCA9A">
            <w:pPr>
              <w:pStyle w:val="21"/>
              <w:adjustRightInd w:val="0"/>
              <w:snapToGrid w:val="0"/>
              <w:spacing w:before="36" w:beforeLines="15" w:line="276" w:lineRule="auto"/>
              <w:jc w:val="center"/>
              <w:rPr>
                <w:rFonts w:ascii="Times New Roman" w:hAnsi="Times New Roman" w:cs="Times New Roman"/>
                <w:sz w:val="18"/>
                <w:szCs w:val="18"/>
              </w:rPr>
            </w:pPr>
            <w:r>
              <w:rPr>
                <w:rFonts w:ascii="Times New Roman" w:hAnsi="Times New Roman" w:eastAsia="宋体" w:cs="宋体"/>
                <w:sz w:val="18"/>
              </w:rPr>
              <w:t>圆极化（CP）</w:t>
            </w:r>
          </w:p>
        </w:tc>
      </w:tr>
      <w:tr w14:paraId="75F53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2785CE48">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射频发射线圈类型</w:t>
            </w:r>
          </w:p>
        </w:tc>
        <w:tc>
          <w:tcPr>
            <w:tcW w:w="3050" w:type="pct"/>
            <w:vAlign w:val="center"/>
          </w:tcPr>
          <w:p w14:paraId="53476B89">
            <w:pPr>
              <w:pStyle w:val="21"/>
              <w:adjustRightInd w:val="0"/>
              <w:snapToGrid w:val="0"/>
              <w:spacing w:before="36" w:beforeLines="15" w:line="276" w:lineRule="auto"/>
              <w:jc w:val="center"/>
              <w:rPr>
                <w:rFonts w:ascii="Times New Roman" w:hAnsi="Times New Roman" w:cs="Times New Roman"/>
                <w:sz w:val="18"/>
                <w:szCs w:val="18"/>
                <w:lang w:eastAsia="zh-CN"/>
              </w:rPr>
            </w:pPr>
            <w:r>
              <w:rPr>
                <w:rFonts w:ascii="Times New Roman" w:hAnsi="Times New Roman" w:eastAsia="宋体" w:cs="宋体"/>
                <w:sz w:val="18"/>
                <w:lang w:eastAsia="zh-CN"/>
              </w:rPr>
              <w:t>全身发射线圈、头部射频发射-接收线圈或四肢射频发射-接收线圈</w:t>
            </w:r>
          </w:p>
        </w:tc>
      </w:tr>
      <w:tr w14:paraId="07E22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5B2FC430">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最大全身SAR [W/kg]</w:t>
            </w:r>
          </w:p>
        </w:tc>
        <w:tc>
          <w:tcPr>
            <w:tcW w:w="3050" w:type="pct"/>
            <w:vAlign w:val="center"/>
          </w:tcPr>
          <w:p w14:paraId="52865E72">
            <w:pPr>
              <w:pStyle w:val="21"/>
              <w:adjustRightInd w:val="0"/>
              <w:snapToGrid w:val="0"/>
              <w:spacing w:before="36" w:beforeLines="15" w:line="276" w:lineRule="auto"/>
              <w:jc w:val="center"/>
              <w:rPr>
                <w:rFonts w:ascii="Times New Roman" w:hAnsi="Times New Roman" w:cs="Times New Roman"/>
                <w:sz w:val="18"/>
                <w:szCs w:val="18"/>
              </w:rPr>
            </w:pPr>
            <w:r>
              <w:rPr>
                <w:rFonts w:ascii="Times New Roman" w:hAnsi="Times New Roman" w:eastAsia="宋体" w:cs="宋体"/>
                <w:sz w:val="18"/>
              </w:rPr>
              <w:t>4 W/kg</w:t>
            </w:r>
          </w:p>
        </w:tc>
      </w:tr>
      <w:tr w14:paraId="7D218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0958B924">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最大头部SAR [W/kg]</w:t>
            </w:r>
          </w:p>
        </w:tc>
        <w:tc>
          <w:tcPr>
            <w:tcW w:w="3050" w:type="pct"/>
            <w:vAlign w:val="center"/>
          </w:tcPr>
          <w:p w14:paraId="2BC34457">
            <w:pPr>
              <w:pStyle w:val="21"/>
              <w:adjustRightInd w:val="0"/>
              <w:snapToGrid w:val="0"/>
              <w:spacing w:before="36" w:beforeLines="15" w:line="276" w:lineRule="auto"/>
              <w:jc w:val="center"/>
              <w:rPr>
                <w:rFonts w:ascii="Times New Roman" w:hAnsi="Times New Roman" w:cs="Times New Roman"/>
                <w:sz w:val="18"/>
                <w:szCs w:val="18"/>
              </w:rPr>
            </w:pPr>
            <w:r>
              <w:rPr>
                <w:rFonts w:ascii="Times New Roman" w:hAnsi="Times New Roman" w:eastAsia="宋体" w:cs="宋体"/>
                <w:sz w:val="18"/>
              </w:rPr>
              <w:t>3.2 W/kg</w:t>
            </w:r>
          </w:p>
        </w:tc>
      </w:tr>
      <w:tr w14:paraId="08790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098B66D1">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扫描时间限制</w:t>
            </w:r>
          </w:p>
        </w:tc>
        <w:tc>
          <w:tcPr>
            <w:tcW w:w="3050" w:type="pct"/>
            <w:vAlign w:val="center"/>
          </w:tcPr>
          <w:p w14:paraId="43F42695">
            <w:pPr>
              <w:pStyle w:val="21"/>
              <w:adjustRightInd w:val="0"/>
              <w:snapToGrid w:val="0"/>
              <w:spacing w:before="36" w:beforeLines="15" w:line="276" w:lineRule="auto"/>
              <w:jc w:val="center"/>
              <w:rPr>
                <w:rFonts w:ascii="Times New Roman" w:hAnsi="Times New Roman" w:cs="Times New Roman"/>
                <w:sz w:val="18"/>
                <w:szCs w:val="18"/>
                <w:lang w:eastAsia="zh-CN"/>
              </w:rPr>
            </w:pPr>
            <w:r>
              <w:rPr>
                <w:rFonts w:ascii="Times New Roman" w:hAnsi="Times New Roman" w:eastAsia="宋体" w:cs="宋体"/>
                <w:sz w:val="18"/>
                <w:lang w:eastAsia="zh-CN"/>
              </w:rPr>
              <w:t>持续射频（一个序列或背靠背序列/无中断扫描）（60）分钟后，达到4 W/kg全身平均SAR，等待（10）分钟后，确定是否达到该限值。</w:t>
            </w:r>
          </w:p>
        </w:tc>
      </w:tr>
      <w:tr w14:paraId="379DF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260DB7C2">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MR图像伪影</w:t>
            </w:r>
          </w:p>
        </w:tc>
        <w:tc>
          <w:tcPr>
            <w:tcW w:w="3050" w:type="pct"/>
            <w:vAlign w:val="center"/>
          </w:tcPr>
          <w:p w14:paraId="774F4884">
            <w:pPr>
              <w:pStyle w:val="21"/>
              <w:adjustRightInd w:val="0"/>
              <w:snapToGrid w:val="0"/>
              <w:spacing w:before="36" w:beforeLines="15" w:line="276" w:lineRule="auto"/>
              <w:jc w:val="center"/>
              <w:rPr>
                <w:rFonts w:ascii="Times New Roman" w:hAnsi="Times New Roman" w:cs="Times New Roman"/>
                <w:sz w:val="18"/>
                <w:szCs w:val="18"/>
                <w:lang w:eastAsia="zh-CN"/>
              </w:rPr>
            </w:pPr>
            <w:r>
              <w:rPr>
                <w:rFonts w:ascii="Times New Roman" w:hAnsi="Times New Roman" w:eastAsia="宋体" w:cs="宋体"/>
                <w:sz w:val="18"/>
                <w:lang w:eastAsia="zh-CN"/>
              </w:rPr>
              <w:t>该植入物可能会导致产生图像伪影。</w:t>
            </w:r>
          </w:p>
        </w:tc>
      </w:tr>
      <w:tr w14:paraId="5BB2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5000" w:type="pct"/>
            <w:gridSpan w:val="2"/>
          </w:tcPr>
          <w:p w14:paraId="41D6777C">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如果不包含关于特定参数的信息，则不存在与该参数关联的条件。</w:t>
            </w:r>
          </w:p>
        </w:tc>
      </w:tr>
    </w:tbl>
    <w:p w14:paraId="6F65E40F">
      <w:pPr>
        <w:pStyle w:val="8"/>
        <w:adjustRightInd w:val="0"/>
        <w:snapToGrid w:val="0"/>
        <w:spacing w:before="120" w:beforeLines="50" w:line="300" w:lineRule="auto"/>
        <w:jc w:val="both"/>
        <w:rPr>
          <w:sz w:val="21"/>
          <w:szCs w:val="21"/>
          <w:lang w:eastAsia="zh-CN"/>
        </w:rPr>
      </w:pPr>
      <w:r>
        <w:rPr>
          <w:rFonts w:eastAsia="宋体" w:cs="宋体"/>
          <w:sz w:val="21"/>
          <w:lang w:eastAsia="zh-CN"/>
        </w:rPr>
        <w:t>表3.称为“</w:t>
      </w:r>
      <w:r>
        <w:rPr>
          <w:rFonts w:hint="eastAsia" w:eastAsia="宋体" w:cs="宋体"/>
          <w:sz w:val="21"/>
          <w:lang w:eastAsia="zh-CN"/>
        </w:rPr>
        <w:t>S</w:t>
      </w:r>
      <w:r>
        <w:rPr>
          <w:rFonts w:eastAsia="宋体" w:cs="宋体"/>
          <w:sz w:val="21"/>
          <w:lang w:eastAsia="zh-CN"/>
        </w:rPr>
        <w:t>tar植入物”的无源医疗器械的MR特定条件安全标签及说明书示例</w:t>
      </w:r>
    </w:p>
    <w:p w14:paraId="32EAFCA6">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3" w:type="dxa"/>
          <w:bottom w:w="0" w:type="dxa"/>
          <w:right w:w="113" w:type="dxa"/>
        </w:tblCellMar>
      </w:tblPr>
      <w:tblGrid>
        <w:gridCol w:w="4334"/>
        <w:gridCol w:w="4963"/>
      </w:tblGrid>
      <w:tr w14:paraId="44AB0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5000" w:type="pct"/>
            <w:gridSpan w:val="2"/>
          </w:tcPr>
          <w:p w14:paraId="7BEB470A">
            <w:pPr>
              <w:pStyle w:val="21"/>
              <w:tabs>
                <w:tab w:val="center" w:pos="4536"/>
              </w:tabs>
              <w:adjustRightInd w:val="0"/>
              <w:snapToGrid w:val="0"/>
              <w:spacing w:before="36" w:beforeLines="15" w:line="276" w:lineRule="auto"/>
              <w:jc w:val="both"/>
              <w:rPr>
                <w:rFonts w:ascii="Times New Roman" w:hAnsi="Times New Roman" w:cs="Times New Roman" w:eastAsiaTheme="minorEastAsia"/>
                <w:sz w:val="21"/>
                <w:szCs w:val="18"/>
                <w:lang w:eastAsia="zh-CN"/>
              </w:rPr>
            </w:pPr>
            <w:r>
              <w:rPr>
                <w:rFonts w:ascii="Times New Roman" w:hAnsi="Times New Roman" w:eastAsia="宋体" w:cs="宋体"/>
                <w:sz w:val="21"/>
                <w:lang w:eastAsia="zh-CN"/>
              </w:rPr>
              <w:t>MRI安全信息</w:t>
            </w:r>
            <w:r>
              <w:rPr>
                <w:rFonts w:ascii="Times New Roman" w:hAnsi="Times New Roman" w:eastAsia="宋体" w:cs="宋体"/>
                <w:sz w:val="21"/>
                <w:lang w:eastAsia="zh-CN"/>
              </w:rPr>
              <w:tab/>
            </w:r>
            <w:r>
              <w:rPr>
                <w:sz w:val="21"/>
                <w:lang w:eastAsia="zh-CN" w:bidi="ar-SA"/>
              </w:rPr>
              <w:drawing>
                <wp:inline distT="0" distB="0" distL="0" distR="0">
                  <wp:extent cx="732790" cy="608965"/>
                  <wp:effectExtent l="0" t="0" r="0" b="0"/>
                  <wp:docPr id="97" name="image45.png" descr="cid:image003.jpg@01CE02D9.3D90E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45.png" descr="cid:image003.jpg@01CE02D9.3D90ED70"/>
                          <pic:cNvPicPr>
                            <a:picLocks noChangeAspect="1"/>
                          </pic:cNvPicPr>
                        </pic:nvPicPr>
                        <pic:blipFill>
                          <a:blip r:embed="rId12" cstate="print"/>
                          <a:stretch>
                            <a:fillRect/>
                          </a:stretch>
                        </pic:blipFill>
                        <pic:spPr>
                          <a:xfrm>
                            <a:off x="0" y="0"/>
                            <a:ext cx="733412" cy="609596"/>
                          </a:xfrm>
                          <a:prstGeom prst="rect">
                            <a:avLst/>
                          </a:prstGeom>
                        </pic:spPr>
                      </pic:pic>
                    </a:graphicData>
                  </a:graphic>
                </wp:inline>
              </w:drawing>
            </w:r>
          </w:p>
          <w:p w14:paraId="0C114991">
            <w:pPr>
              <w:pStyle w:val="21"/>
              <w:tabs>
                <w:tab w:val="center" w:pos="4536"/>
              </w:tabs>
              <w:adjustRightInd w:val="0"/>
              <w:snapToGrid w:val="0"/>
              <w:spacing w:before="36" w:beforeLines="15" w:line="276" w:lineRule="auto"/>
              <w:jc w:val="both"/>
              <w:rPr>
                <w:rFonts w:ascii="Times New Roman" w:hAnsi="Times New Roman" w:cs="Times New Roman" w:eastAsiaTheme="minorEastAsia"/>
                <w:sz w:val="18"/>
                <w:szCs w:val="18"/>
                <w:lang w:eastAsia="zh-CN"/>
              </w:rPr>
            </w:pPr>
          </w:p>
          <w:p w14:paraId="0E3FE7C4">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在以下条件下，</w:t>
            </w:r>
            <w:r>
              <w:rPr>
                <w:rFonts w:ascii="Times New Roman" w:hAnsi="Times New Roman" w:eastAsia="宋体" w:cs="宋体"/>
                <w:i/>
                <w:sz w:val="18"/>
                <w:lang w:eastAsia="zh-CN"/>
              </w:rPr>
              <w:t>&lt;插入器械名称&gt;</w:t>
            </w:r>
            <w:r>
              <w:rPr>
                <w:rFonts w:ascii="Times New Roman" w:hAnsi="Times New Roman" w:eastAsia="宋体" w:cs="宋体"/>
                <w:sz w:val="18"/>
                <w:lang w:eastAsia="zh-CN"/>
              </w:rPr>
              <w:t>可在MR环境中安全使用。不遵守上述条件可能会导致患者受伤。</w:t>
            </w:r>
          </w:p>
        </w:tc>
      </w:tr>
      <w:tr w14:paraId="2E3EA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2331" w:type="pct"/>
            <w:vAlign w:val="center"/>
          </w:tcPr>
          <w:p w14:paraId="6FD8621D">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医疗器械的名称/标识</w:t>
            </w:r>
          </w:p>
        </w:tc>
        <w:tc>
          <w:tcPr>
            <w:tcW w:w="2669" w:type="pct"/>
            <w:vAlign w:val="center"/>
          </w:tcPr>
          <w:p w14:paraId="5B38D48A">
            <w:pPr>
              <w:pStyle w:val="21"/>
              <w:adjustRightInd w:val="0"/>
              <w:snapToGrid w:val="0"/>
              <w:spacing w:before="36" w:beforeLines="15" w:line="276" w:lineRule="auto"/>
              <w:jc w:val="center"/>
              <w:rPr>
                <w:rFonts w:ascii="Times New Roman" w:hAnsi="Times New Roman" w:cs="Times New Roman"/>
                <w:sz w:val="18"/>
                <w:szCs w:val="18"/>
              </w:rPr>
            </w:pPr>
          </w:p>
        </w:tc>
      </w:tr>
      <w:tr w14:paraId="0269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2331" w:type="pct"/>
            <w:vAlign w:val="center"/>
          </w:tcPr>
          <w:p w14:paraId="33EAFA55">
            <w:pPr>
              <w:pStyle w:val="21"/>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最大静磁场[mT]和[G]</w:t>
            </w:r>
          </w:p>
        </w:tc>
        <w:tc>
          <w:tcPr>
            <w:tcW w:w="2669" w:type="pct"/>
            <w:vAlign w:val="center"/>
          </w:tcPr>
          <w:p w14:paraId="58925F93">
            <w:pPr>
              <w:pStyle w:val="21"/>
              <w:adjustRightInd w:val="0"/>
              <w:snapToGrid w:val="0"/>
              <w:spacing w:before="36" w:beforeLines="15" w:line="276" w:lineRule="auto"/>
              <w:jc w:val="center"/>
              <w:rPr>
                <w:rFonts w:ascii="Times New Roman" w:hAnsi="Times New Roman" w:cs="Times New Roman"/>
                <w:sz w:val="18"/>
                <w:szCs w:val="18"/>
              </w:rPr>
            </w:pPr>
            <w:r>
              <w:rPr>
                <w:rFonts w:ascii="Times New Roman" w:hAnsi="Times New Roman" w:eastAsia="宋体" w:cs="宋体"/>
                <w:sz w:val="18"/>
              </w:rPr>
              <w:t>不超过X [mT]（Y [G]）</w:t>
            </w:r>
          </w:p>
        </w:tc>
      </w:tr>
      <w:tr w14:paraId="62574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2331" w:type="pct"/>
            <w:vAlign w:val="center"/>
          </w:tcPr>
          <w:p w14:paraId="23D226AF">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MR检查之前和/或之后应遵循的说明</w:t>
            </w:r>
          </w:p>
        </w:tc>
        <w:tc>
          <w:tcPr>
            <w:tcW w:w="2669" w:type="pct"/>
            <w:vAlign w:val="center"/>
          </w:tcPr>
          <w:p w14:paraId="5022CE75">
            <w:pPr>
              <w:pStyle w:val="21"/>
              <w:adjustRightInd w:val="0"/>
              <w:snapToGrid w:val="0"/>
              <w:spacing w:before="36" w:beforeLines="15" w:line="276" w:lineRule="auto"/>
              <w:jc w:val="center"/>
              <w:rPr>
                <w:rFonts w:ascii="Times New Roman" w:hAnsi="Times New Roman" w:cs="Times New Roman"/>
                <w:sz w:val="18"/>
                <w:szCs w:val="18"/>
                <w:lang w:eastAsia="zh-CN"/>
              </w:rPr>
            </w:pPr>
          </w:p>
        </w:tc>
      </w:tr>
      <w:tr w14:paraId="19938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2331" w:type="pct"/>
            <w:vAlign w:val="center"/>
          </w:tcPr>
          <w:p w14:paraId="49949D0F">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在MR环境中安全使用所必需的附加说明或信息</w:t>
            </w:r>
          </w:p>
        </w:tc>
        <w:tc>
          <w:tcPr>
            <w:tcW w:w="2669" w:type="pct"/>
          </w:tcPr>
          <w:p w14:paraId="655A2BCD">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例如，附加位置要求（例如将器械系在房间内不可移动的位置；不移动时啮合制动器；将器械固定在房间内不可移动的位置）。</w:t>
            </w:r>
          </w:p>
          <w:p w14:paraId="4F4F5221">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例如，解释给定高斯线限制的附加信息（例如器械具有抛射危险；磁场强度大于X mT（Y G）时，器械运行可能受到影响）。</w:t>
            </w:r>
          </w:p>
          <w:p w14:paraId="310EA317">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例如，遵循所有附件器械的MR特定条件安全标签及说明书。</w:t>
            </w:r>
          </w:p>
        </w:tc>
      </w:tr>
      <w:tr w14:paraId="66033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5000" w:type="pct"/>
            <w:gridSpan w:val="2"/>
          </w:tcPr>
          <w:p w14:paraId="4AC0EAF9">
            <w:pPr>
              <w:pStyle w:val="21"/>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如果不包含关于特定参数的信息，则不存在与该参数关联的条件。</w:t>
            </w:r>
          </w:p>
        </w:tc>
      </w:tr>
    </w:tbl>
    <w:p w14:paraId="2539D517">
      <w:pPr>
        <w:pStyle w:val="8"/>
        <w:adjustRightInd w:val="0"/>
        <w:snapToGrid w:val="0"/>
        <w:spacing w:before="120" w:beforeLines="50" w:line="300" w:lineRule="auto"/>
        <w:jc w:val="both"/>
        <w:rPr>
          <w:sz w:val="21"/>
          <w:szCs w:val="21"/>
          <w:lang w:eastAsia="zh-CN"/>
        </w:rPr>
      </w:pPr>
      <w:r>
        <w:rPr>
          <w:rFonts w:eastAsia="宋体" w:cs="宋体"/>
          <w:sz w:val="21"/>
          <w:lang w:eastAsia="zh-CN"/>
        </w:rPr>
        <w:t>表4.预期置于MR系统孔腔外的医疗器械的MR特定条件安全标签及说明书中包含的示例信息。</w:t>
      </w:r>
    </w:p>
    <w:p w14:paraId="36B09CB6">
      <w:pPr>
        <w:pStyle w:val="8"/>
        <w:adjustRightInd w:val="0"/>
        <w:snapToGrid w:val="0"/>
        <w:spacing w:before="120" w:beforeLines="50" w:line="300" w:lineRule="auto"/>
        <w:jc w:val="both"/>
        <w:rPr>
          <w:sz w:val="21"/>
          <w:szCs w:val="21"/>
          <w:lang w:eastAsia="zh-CN"/>
        </w:rPr>
      </w:pPr>
      <w:r>
        <w:rPr>
          <w:rFonts w:eastAsia="宋体" w:cs="宋体"/>
          <w:sz w:val="21"/>
          <w:lang w:eastAsia="zh-CN"/>
        </w:rPr>
        <w:t>以下是预期不进入MR系统孔腔的医疗器械的MR特定条件安全标签及说明书示例，应尽可能直接粘贴在医疗器械上。</w:t>
      </w:r>
    </w:p>
    <w:p w14:paraId="3078C54A">
      <w:pPr>
        <w:pStyle w:val="8"/>
        <w:adjustRightInd w:val="0"/>
        <w:snapToGrid w:val="0"/>
        <w:spacing w:before="120" w:beforeLines="50" w:line="300" w:lineRule="auto"/>
        <w:jc w:val="both"/>
        <w:rPr>
          <w:rFonts w:eastAsiaTheme="minorEastAsia"/>
          <w:sz w:val="21"/>
          <w:szCs w:val="21"/>
          <w:lang w:eastAsia="zh-CN"/>
        </w:rPr>
      </w:pPr>
      <w:r>
        <w:rPr>
          <w:sz w:val="21"/>
          <w:szCs w:val="21"/>
          <w:lang w:eastAsia="zh-CN" w:bidi="ar-SA"/>
        </w:rPr>
        <mc:AlternateContent>
          <mc:Choice Requires="wps">
            <w:drawing>
              <wp:anchor distT="0" distB="0" distL="114300" distR="114300" simplePos="0" relativeHeight="251660288" behindDoc="0" locked="0" layoutInCell="1" allowOverlap="1">
                <wp:simplePos x="0" y="0"/>
                <wp:positionH relativeFrom="page">
                  <wp:posOffset>2422525</wp:posOffset>
                </wp:positionH>
                <wp:positionV relativeFrom="paragraph">
                  <wp:posOffset>241300</wp:posOffset>
                </wp:positionV>
                <wp:extent cx="3572510" cy="953770"/>
                <wp:effectExtent l="0" t="0" r="8890" b="0"/>
                <wp:wrapNone/>
                <wp:docPr id="22" name="Text Box 9"/>
                <wp:cNvGraphicFramePr/>
                <a:graphic xmlns:a="http://schemas.openxmlformats.org/drawingml/2006/main">
                  <a:graphicData uri="http://schemas.microsoft.com/office/word/2010/wordprocessingShape">
                    <wps:wsp>
                      <wps:cNvSpPr txBox="1">
                        <a:spLocks noChangeArrowheads="1"/>
                      </wps:cNvSpPr>
                      <wps:spPr bwMode="auto">
                        <a:xfrm>
                          <a:off x="0" y="0"/>
                          <a:ext cx="3572510" cy="953770"/>
                        </a:xfrm>
                        <a:prstGeom prst="rect">
                          <a:avLst/>
                        </a:prstGeom>
                        <a:solidFill>
                          <a:srgbClr val="FFC000"/>
                        </a:solidFill>
                        <a:ln w="27432">
                          <a:noFill/>
                          <a:prstDash val="solid"/>
                          <a:miter lim="800000"/>
                        </a:ln>
                      </wps:spPr>
                      <wps:txbx>
                        <w:txbxContent>
                          <w:p w14:paraId="4FC51303">
                            <w:pPr>
                              <w:adjustRightInd w:val="0"/>
                              <w:snapToGrid w:val="0"/>
                              <w:jc w:val="center"/>
                              <w:rPr>
                                <w:rFonts w:eastAsiaTheme="minorEastAsia"/>
                                <w:b/>
                                <w:sz w:val="24"/>
                                <w:lang w:eastAsia="zh-CN"/>
                              </w:rPr>
                            </w:pPr>
                            <w:r>
                              <w:rPr>
                                <w:rFonts w:eastAsia="宋体" w:cs="宋体"/>
                                <w:b/>
                                <w:sz w:val="24"/>
                                <w:lang w:eastAsia="zh-CN"/>
                              </w:rPr>
                              <w:t>抛射危险</w:t>
                            </w:r>
                          </w:p>
                          <w:p w14:paraId="567730B5">
                            <w:pPr>
                              <w:adjustRightInd w:val="0"/>
                              <w:snapToGrid w:val="0"/>
                              <w:jc w:val="center"/>
                              <w:rPr>
                                <w:b/>
                                <w:sz w:val="24"/>
                                <w:lang w:eastAsia="zh-CN"/>
                              </w:rPr>
                            </w:pPr>
                            <w:r>
                              <w:rPr>
                                <w:rFonts w:eastAsia="宋体" w:cs="宋体"/>
                                <w:b/>
                                <w:sz w:val="24"/>
                                <w:lang w:eastAsia="zh-CN"/>
                              </w:rPr>
                              <w:t>设备运行可能受到影响</w:t>
                            </w:r>
                          </w:p>
                          <w:p w14:paraId="359468B2">
                            <w:pPr>
                              <w:adjustRightInd w:val="0"/>
                              <w:snapToGrid w:val="0"/>
                              <w:jc w:val="center"/>
                              <w:rPr>
                                <w:b/>
                                <w:sz w:val="24"/>
                              </w:rPr>
                            </w:pPr>
                            <w:r>
                              <w:rPr>
                                <w:rFonts w:eastAsia="宋体" w:cs="宋体"/>
                                <w:b/>
                                <w:sz w:val="24"/>
                              </w:rPr>
                              <w:t>不得超过20 mT（200 G）</w:t>
                            </w:r>
                          </w:p>
                        </w:txbxContent>
                      </wps:txbx>
                      <wps:bodyPr rot="0" vert="horz" wrap="square" lIns="0" tIns="0" rIns="0" bIns="0" anchor="ctr" anchorCtr="0" upright="1">
                        <a:noAutofit/>
                      </wps:bodyPr>
                    </wps:wsp>
                  </a:graphicData>
                </a:graphic>
              </wp:anchor>
            </w:drawing>
          </mc:Choice>
          <mc:Fallback>
            <w:pict>
              <v:shape id="Text Box 9" o:spid="_x0000_s1026" o:spt="202" type="#_x0000_t202" style="position:absolute;left:0pt;margin-left:190.75pt;margin-top:19pt;height:75.1pt;width:281.3pt;mso-position-horizontal-relative:page;z-index:251660288;v-text-anchor:middle;mso-width-relative:page;mso-height-relative:page;" fillcolor="#FFC000" filled="t" stroked="f" coordsize="21600,21600" o:gfxdata="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jYrc9gAAAAKAQAADwAAAAAAAAABACAAAAAiAAAAZHJzL2Rvd25yZXYu&#10;eG1sUEsBAhQAFAAAAAgAh07iQO027PY0AgAAagQAAA4AAAAAAAAAAQAgAAAAJwEAAGRycy9lMm9E&#10;b2MueG1sUEsFBgAAAAAGAAYAWQEAAM0FAAAAAA==&#10;">
                <v:fill on="t" focussize="0,0"/>
                <v:stroke on="f" weight="2.16pt" miterlimit="8" joinstyle="miter"/>
                <v:imagedata o:title=""/>
                <o:lock v:ext="edit" aspectratio="f"/>
                <v:textbox inset="0mm,0mm,0mm,0mm">
                  <w:txbxContent>
                    <w:p w14:paraId="4FC51303">
                      <w:pPr>
                        <w:adjustRightInd w:val="0"/>
                        <w:snapToGrid w:val="0"/>
                        <w:jc w:val="center"/>
                        <w:rPr>
                          <w:rFonts w:eastAsiaTheme="minorEastAsia"/>
                          <w:b/>
                          <w:sz w:val="24"/>
                          <w:lang w:eastAsia="zh-CN"/>
                        </w:rPr>
                      </w:pPr>
                      <w:r>
                        <w:rPr>
                          <w:rFonts w:eastAsia="宋体" w:cs="宋体"/>
                          <w:b/>
                          <w:sz w:val="24"/>
                          <w:lang w:eastAsia="zh-CN"/>
                        </w:rPr>
                        <w:t>抛射危险</w:t>
                      </w:r>
                    </w:p>
                    <w:p w14:paraId="567730B5">
                      <w:pPr>
                        <w:adjustRightInd w:val="0"/>
                        <w:snapToGrid w:val="0"/>
                        <w:jc w:val="center"/>
                        <w:rPr>
                          <w:b/>
                          <w:sz w:val="24"/>
                          <w:lang w:eastAsia="zh-CN"/>
                        </w:rPr>
                      </w:pPr>
                      <w:r>
                        <w:rPr>
                          <w:rFonts w:eastAsia="宋体" w:cs="宋体"/>
                          <w:b/>
                          <w:sz w:val="24"/>
                          <w:lang w:eastAsia="zh-CN"/>
                        </w:rPr>
                        <w:t>设备运行可能受到影响</w:t>
                      </w:r>
                    </w:p>
                    <w:p w14:paraId="359468B2">
                      <w:pPr>
                        <w:adjustRightInd w:val="0"/>
                        <w:snapToGrid w:val="0"/>
                        <w:jc w:val="center"/>
                        <w:rPr>
                          <w:b/>
                          <w:sz w:val="24"/>
                        </w:rPr>
                      </w:pPr>
                      <w:r>
                        <w:rPr>
                          <w:rFonts w:eastAsia="宋体" w:cs="宋体"/>
                          <w:b/>
                          <w:sz w:val="24"/>
                        </w:rPr>
                        <w:t>不得超过20 mT（200 G）</w:t>
                      </w:r>
                    </w:p>
                  </w:txbxContent>
                </v:textbox>
              </v:shape>
            </w:pict>
          </mc:Fallback>
        </mc:AlternateContent>
      </w:r>
      <w:r>
        <w:rPr>
          <w:rFonts w:eastAsia="宋体" w:cs="宋体"/>
          <w:sz w:val="21"/>
          <w:lang w:eastAsia="zh-CN" w:bidi="ar-SA"/>
        </w:rPr>
        <w:drawing>
          <wp:inline distT="0" distB="0" distL="0" distR="0">
            <wp:extent cx="5313680" cy="1332865"/>
            <wp:effectExtent l="0" t="0" r="1270" b="635"/>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pic:cNvPicPr>
                      <a:picLocks noChangeAspect="1"/>
                    </pic:cNvPicPr>
                  </pic:nvPicPr>
                  <pic:blipFill>
                    <a:blip r:embed="rId13"/>
                    <a:stretch>
                      <a:fillRect/>
                    </a:stretch>
                  </pic:blipFill>
                  <pic:spPr>
                    <a:xfrm>
                      <a:off x="0" y="0"/>
                      <a:ext cx="5314286" cy="1333333"/>
                    </a:xfrm>
                    <a:prstGeom prst="rect">
                      <a:avLst/>
                    </a:prstGeom>
                  </pic:spPr>
                </pic:pic>
              </a:graphicData>
            </a:graphic>
          </wp:inline>
        </w:drawing>
      </w:r>
    </w:p>
    <w:p w14:paraId="008E639D">
      <w:pPr>
        <w:pBdr>
          <w:bottom w:val="single" w:color="auto" w:sz="4" w:space="1"/>
        </w:pBdr>
        <w:adjustRightInd w:val="0"/>
        <w:snapToGrid w:val="0"/>
        <w:spacing w:before="120" w:beforeLines="50" w:line="300" w:lineRule="auto"/>
        <w:jc w:val="center"/>
        <w:rPr>
          <w:rFonts w:hint="eastAsia" w:eastAsia="宋体"/>
          <w:lang w:eastAsia="zh-CN"/>
        </w:rPr>
      </w:pPr>
    </w:p>
    <w:p w14:paraId="2CEF3CD4">
      <w:pPr>
        <w:pBdr>
          <w:bottom w:val="single" w:color="auto" w:sz="4" w:space="1"/>
        </w:pBdr>
        <w:adjustRightInd w:val="0"/>
        <w:snapToGrid w:val="0"/>
        <w:spacing w:before="120" w:beforeLines="50" w:line="300" w:lineRule="auto"/>
        <w:jc w:val="center"/>
        <w:rPr>
          <w:rFonts w:hint="eastAsia" w:eastAsia="宋体"/>
          <w:lang w:eastAsia="zh-CN"/>
        </w:rPr>
      </w:pPr>
    </w:p>
    <w:p w14:paraId="3F09F3D6">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4"/>
                    <a:stretch>
                      <a:fillRect/>
                    </a:stretch>
                  </pic:blipFill>
                  <pic:spPr>
                    <a:xfrm>
                      <a:off x="0" y="0"/>
                      <a:ext cx="5210175" cy="7343775"/>
                    </a:xfrm>
                    <a:prstGeom prst="rect">
                      <a:avLst/>
                    </a:prstGeom>
                  </pic:spPr>
                </pic:pic>
              </a:graphicData>
            </a:graphic>
          </wp:inline>
        </w:drawing>
      </w:r>
    </w:p>
    <w:sectPr>
      <w:footerReference r:id="rId4" w:type="default"/>
      <w:pgSz w:w="11907" w:h="16840"/>
      <w:pgMar w:top="1418" w:right="1418" w:bottom="1418"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7BCBC">
    <w:pPr>
      <w:pStyle w:val="10"/>
      <w:jc w:val="right"/>
    </w:pPr>
    <w:r>
      <w:fldChar w:fldCharType="begin"/>
    </w:r>
    <w:r>
      <w:instrText xml:space="preserve">PAGE   \* MERGEFORMAT</w:instrText>
    </w:r>
    <w:r>
      <w:fldChar w:fldCharType="separate"/>
    </w:r>
    <w:r>
      <w:rPr>
        <w:lang w:val="zh-CN" w:eastAsia="zh-CN"/>
      </w:rPr>
      <w:t>23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F369">
    <w:pPr>
      <w:adjustRightInd w:val="0"/>
      <w:snapToGrid w:val="0"/>
      <w:jc w:val="center"/>
      <w:rPr>
        <w:rFonts w:eastAsiaTheme="minorEastAsia"/>
        <w:b/>
        <w:bCs/>
        <w:i/>
        <w:iCs/>
        <w:sz w:val="21"/>
        <w:szCs w:val="21"/>
        <w:lang w:eastAsia="zh-CN"/>
      </w:rPr>
    </w:pPr>
    <w:r>
      <w:rPr>
        <w:rFonts w:hint="eastAsia" w:eastAsia="宋体" w:cs="宋体"/>
        <w:b/>
        <w:i/>
        <w:sz w:val="21"/>
        <w:lang w:eastAsia="zh-CN"/>
      </w:rPr>
      <w:t>所含建议不具约束力</w:t>
    </w:r>
  </w:p>
  <w:p w14:paraId="6C2CA635">
    <w:pPr>
      <w:adjustRightInd w:val="0"/>
      <w:snapToGrid w:val="0"/>
      <w:jc w:val="center"/>
      <w:rPr>
        <w:sz w:val="21"/>
        <w:szCs w:val="21"/>
        <w:lang w:eastAsia="zh-CN"/>
      </w:rPr>
    </w:pPr>
    <w:r>
      <w:rPr>
        <w:rFonts w:eastAsia="宋体" w:cs="宋体"/>
        <w:i/>
        <w:sz w:val="21"/>
        <w:lang w:eastAsia="zh-CN"/>
      </w:rPr>
      <w:t>草案 - 非执行版本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DF0DFA"/>
    <w:multiLevelType w:val="multilevel"/>
    <w:tmpl w:val="25DF0DFA"/>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E3B62B9"/>
    <w:multiLevelType w:val="multilevel"/>
    <w:tmpl w:val="4E3B62B9"/>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4DE2368"/>
    <w:multiLevelType w:val="multilevel"/>
    <w:tmpl w:val="54DE2368"/>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5A010FA"/>
    <w:multiLevelType w:val="multilevel"/>
    <w:tmpl w:val="55A010FA"/>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55E796A"/>
    <w:multiLevelType w:val="multilevel"/>
    <w:tmpl w:val="755E796A"/>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09E"/>
    <w:rsid w:val="00003037"/>
    <w:rsid w:val="000259F7"/>
    <w:rsid w:val="000633A7"/>
    <w:rsid w:val="000710B4"/>
    <w:rsid w:val="00071DA3"/>
    <w:rsid w:val="0008074C"/>
    <w:rsid w:val="00081851"/>
    <w:rsid w:val="00097405"/>
    <w:rsid w:val="000A756B"/>
    <w:rsid w:val="000B59A3"/>
    <w:rsid w:val="00114184"/>
    <w:rsid w:val="0014248C"/>
    <w:rsid w:val="00164D87"/>
    <w:rsid w:val="0017374A"/>
    <w:rsid w:val="001C37C0"/>
    <w:rsid w:val="001E38B8"/>
    <w:rsid w:val="001F7594"/>
    <w:rsid w:val="0020303B"/>
    <w:rsid w:val="00203C4C"/>
    <w:rsid w:val="002176E9"/>
    <w:rsid w:val="00244A59"/>
    <w:rsid w:val="002A333A"/>
    <w:rsid w:val="002B4209"/>
    <w:rsid w:val="002D0C1A"/>
    <w:rsid w:val="003015C6"/>
    <w:rsid w:val="00306A7B"/>
    <w:rsid w:val="003142D0"/>
    <w:rsid w:val="00332D6A"/>
    <w:rsid w:val="00362D80"/>
    <w:rsid w:val="003716AA"/>
    <w:rsid w:val="00396FC2"/>
    <w:rsid w:val="003A5C7B"/>
    <w:rsid w:val="003B1C2A"/>
    <w:rsid w:val="003D164D"/>
    <w:rsid w:val="004432FB"/>
    <w:rsid w:val="00456F21"/>
    <w:rsid w:val="00494E56"/>
    <w:rsid w:val="00522343"/>
    <w:rsid w:val="0059517B"/>
    <w:rsid w:val="005A3833"/>
    <w:rsid w:val="005B1D23"/>
    <w:rsid w:val="005B3044"/>
    <w:rsid w:val="005E701E"/>
    <w:rsid w:val="005F14AB"/>
    <w:rsid w:val="0061269E"/>
    <w:rsid w:val="006320D2"/>
    <w:rsid w:val="006427F9"/>
    <w:rsid w:val="00644A05"/>
    <w:rsid w:val="0064638C"/>
    <w:rsid w:val="00651CC3"/>
    <w:rsid w:val="00651F0C"/>
    <w:rsid w:val="006529FC"/>
    <w:rsid w:val="00692A1E"/>
    <w:rsid w:val="006A1D56"/>
    <w:rsid w:val="006E5231"/>
    <w:rsid w:val="00700F18"/>
    <w:rsid w:val="00725171"/>
    <w:rsid w:val="00762885"/>
    <w:rsid w:val="007671F4"/>
    <w:rsid w:val="00784E6E"/>
    <w:rsid w:val="007E4921"/>
    <w:rsid w:val="007F1FB2"/>
    <w:rsid w:val="008039A3"/>
    <w:rsid w:val="00830AA2"/>
    <w:rsid w:val="00854024"/>
    <w:rsid w:val="00855E33"/>
    <w:rsid w:val="00857366"/>
    <w:rsid w:val="00877D39"/>
    <w:rsid w:val="008831A4"/>
    <w:rsid w:val="008A3848"/>
    <w:rsid w:val="008E1F0D"/>
    <w:rsid w:val="008E7261"/>
    <w:rsid w:val="00913803"/>
    <w:rsid w:val="009159CC"/>
    <w:rsid w:val="00916151"/>
    <w:rsid w:val="009173CF"/>
    <w:rsid w:val="00917C1B"/>
    <w:rsid w:val="0092533A"/>
    <w:rsid w:val="0093284A"/>
    <w:rsid w:val="00934569"/>
    <w:rsid w:val="00946E17"/>
    <w:rsid w:val="0095509E"/>
    <w:rsid w:val="009A5FC0"/>
    <w:rsid w:val="009B4C3F"/>
    <w:rsid w:val="009C7E2C"/>
    <w:rsid w:val="009D4F52"/>
    <w:rsid w:val="00A105ED"/>
    <w:rsid w:val="00A24067"/>
    <w:rsid w:val="00A25958"/>
    <w:rsid w:val="00A83EB9"/>
    <w:rsid w:val="00AB042F"/>
    <w:rsid w:val="00AB5830"/>
    <w:rsid w:val="00AB5E03"/>
    <w:rsid w:val="00B153A1"/>
    <w:rsid w:val="00B1776C"/>
    <w:rsid w:val="00B237D0"/>
    <w:rsid w:val="00B42CB4"/>
    <w:rsid w:val="00B76577"/>
    <w:rsid w:val="00C001B1"/>
    <w:rsid w:val="00C07CB2"/>
    <w:rsid w:val="00C468BD"/>
    <w:rsid w:val="00C81B48"/>
    <w:rsid w:val="00CB02B1"/>
    <w:rsid w:val="00CB1E41"/>
    <w:rsid w:val="00D755AE"/>
    <w:rsid w:val="00D814B3"/>
    <w:rsid w:val="00D85226"/>
    <w:rsid w:val="00D905C9"/>
    <w:rsid w:val="00DB4C45"/>
    <w:rsid w:val="00DC65D0"/>
    <w:rsid w:val="00DC7D43"/>
    <w:rsid w:val="00DF1037"/>
    <w:rsid w:val="00DF3029"/>
    <w:rsid w:val="00E456BB"/>
    <w:rsid w:val="00E61483"/>
    <w:rsid w:val="00E82EE9"/>
    <w:rsid w:val="00EB3391"/>
    <w:rsid w:val="00EC0EF9"/>
    <w:rsid w:val="00EE1558"/>
    <w:rsid w:val="00EF273E"/>
    <w:rsid w:val="00F025F5"/>
    <w:rsid w:val="00F30EA1"/>
    <w:rsid w:val="00F661D5"/>
    <w:rsid w:val="00FA4BDC"/>
    <w:rsid w:val="00FD160B"/>
    <w:rsid w:val="00FE1D4C"/>
    <w:rsid w:val="00FF2FE1"/>
    <w:rsid w:val="00FF5025"/>
    <w:rsid w:val="78C6704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spacing w:before="75"/>
      <w:ind w:left="947" w:right="629" w:firstLine="1"/>
      <w:jc w:val="center"/>
      <w:outlineLvl w:val="0"/>
    </w:pPr>
    <w:rPr>
      <w:b/>
      <w:bCs/>
      <w:sz w:val="56"/>
      <w:szCs w:val="56"/>
    </w:rPr>
  </w:style>
  <w:style w:type="paragraph" w:styleId="3">
    <w:name w:val="heading 2"/>
    <w:basedOn w:val="1"/>
    <w:qFormat/>
    <w:uiPriority w:val="1"/>
    <w:pPr>
      <w:spacing w:before="1"/>
      <w:ind w:left="1540"/>
      <w:outlineLvl w:val="1"/>
    </w:pPr>
    <w:rPr>
      <w:b/>
      <w:bCs/>
      <w:sz w:val="36"/>
      <w:szCs w:val="36"/>
    </w:rPr>
  </w:style>
  <w:style w:type="paragraph" w:styleId="4">
    <w:name w:val="heading 3"/>
    <w:basedOn w:val="1"/>
    <w:qFormat/>
    <w:uiPriority w:val="1"/>
    <w:pPr>
      <w:ind w:left="2259"/>
      <w:outlineLvl w:val="2"/>
    </w:pPr>
    <w:rPr>
      <w:b/>
      <w:bCs/>
      <w:sz w:val="32"/>
      <w:szCs w:val="32"/>
    </w:rPr>
  </w:style>
  <w:style w:type="paragraph" w:styleId="5">
    <w:name w:val="heading 4"/>
    <w:basedOn w:val="1"/>
    <w:qFormat/>
    <w:uiPriority w:val="1"/>
    <w:pPr>
      <w:ind w:left="274" w:right="652"/>
      <w:jc w:val="center"/>
      <w:outlineLvl w:val="3"/>
    </w:pPr>
    <w:rPr>
      <w:b/>
      <w:bCs/>
      <w:sz w:val="28"/>
      <w:szCs w:val="28"/>
    </w:rPr>
  </w:style>
  <w:style w:type="paragraph" w:styleId="6">
    <w:name w:val="heading 5"/>
    <w:basedOn w:val="1"/>
    <w:qFormat/>
    <w:uiPriority w:val="1"/>
    <w:pPr>
      <w:ind w:left="820"/>
      <w:outlineLvl w:val="4"/>
    </w:pPr>
    <w:rPr>
      <w:b/>
      <w:bCs/>
      <w:sz w:val="24"/>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9"/>
    <w:semiHidden/>
    <w:unhideWhenUsed/>
    <w:qFormat/>
    <w:uiPriority w:val="99"/>
  </w:style>
  <w:style w:type="paragraph" w:styleId="8">
    <w:name w:val="Body Text"/>
    <w:basedOn w:val="1"/>
    <w:link w:val="26"/>
    <w:qFormat/>
    <w:uiPriority w:val="1"/>
    <w:rPr>
      <w:sz w:val="24"/>
      <w:szCs w:val="24"/>
    </w:rPr>
  </w:style>
  <w:style w:type="paragraph" w:styleId="9">
    <w:name w:val="Balloon Text"/>
    <w:basedOn w:val="1"/>
    <w:link w:val="24"/>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qFormat/>
    <w:uiPriority w:val="39"/>
    <w:pPr>
      <w:ind w:left="820"/>
    </w:pPr>
    <w:rPr>
      <w:sz w:val="24"/>
      <w:szCs w:val="24"/>
    </w:rPr>
  </w:style>
  <w:style w:type="paragraph" w:styleId="13">
    <w:name w:val="toc 2"/>
    <w:basedOn w:val="1"/>
    <w:qFormat/>
    <w:uiPriority w:val="39"/>
    <w:pPr>
      <w:ind w:left="1360"/>
    </w:pPr>
    <w:rPr>
      <w:sz w:val="24"/>
      <w:szCs w:val="24"/>
    </w:rPr>
  </w:style>
  <w:style w:type="paragraph" w:styleId="14">
    <w:name w:val="annotation subject"/>
    <w:basedOn w:val="7"/>
    <w:next w:val="7"/>
    <w:link w:val="30"/>
    <w:semiHidden/>
    <w:unhideWhenUsed/>
    <w:qFormat/>
    <w:uiPriority w:val="99"/>
    <w:rPr>
      <w:b/>
      <w:bCs/>
    </w:r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table" w:customStyle="1" w:styleId="19">
    <w:name w:val="Table Normal1"/>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ind w:left="1540" w:hanging="360"/>
    </w:pPr>
  </w:style>
  <w:style w:type="paragraph" w:customStyle="1" w:styleId="21">
    <w:name w:val="Table Paragraph"/>
    <w:basedOn w:val="1"/>
    <w:qFormat/>
    <w:uiPriority w:val="1"/>
    <w:rPr>
      <w:rFonts w:ascii="Arial" w:hAnsi="Arial" w:eastAsia="Arial" w:cs="Arial"/>
    </w:rPr>
  </w:style>
  <w:style w:type="character" w:customStyle="1" w:styleId="22">
    <w:name w:val="页眉 Char"/>
    <w:basedOn w:val="16"/>
    <w:link w:val="11"/>
    <w:qFormat/>
    <w:uiPriority w:val="99"/>
    <w:rPr>
      <w:rFonts w:ascii="Times New Roman" w:hAnsi="Times New Roman" w:eastAsia="Times New Roman" w:cs="Times New Roman"/>
      <w:sz w:val="18"/>
      <w:szCs w:val="18"/>
      <w:lang w:bidi="en-US"/>
    </w:rPr>
  </w:style>
  <w:style w:type="character" w:customStyle="1" w:styleId="23">
    <w:name w:val="页脚 Char"/>
    <w:basedOn w:val="16"/>
    <w:link w:val="10"/>
    <w:qFormat/>
    <w:uiPriority w:val="99"/>
    <w:rPr>
      <w:rFonts w:ascii="Times New Roman" w:hAnsi="Times New Roman" w:eastAsia="Times New Roman" w:cs="Times New Roman"/>
      <w:sz w:val="18"/>
      <w:szCs w:val="18"/>
      <w:lang w:bidi="en-US"/>
    </w:rPr>
  </w:style>
  <w:style w:type="character" w:customStyle="1" w:styleId="24">
    <w:name w:val="批注框文本 Char"/>
    <w:basedOn w:val="16"/>
    <w:link w:val="9"/>
    <w:semiHidden/>
    <w:qFormat/>
    <w:uiPriority w:val="99"/>
    <w:rPr>
      <w:rFonts w:ascii="Times New Roman" w:hAnsi="Times New Roman" w:eastAsia="Times New Roman" w:cs="Times New Roman"/>
      <w:sz w:val="18"/>
      <w:szCs w:val="18"/>
      <w:lang w:bidi="en-US"/>
    </w:rPr>
  </w:style>
  <w:style w:type="paragraph" w:customStyle="1" w:styleId="2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26">
    <w:name w:val="正文文本 Char"/>
    <w:basedOn w:val="16"/>
    <w:link w:val="8"/>
    <w:qFormat/>
    <w:uiPriority w:val="1"/>
    <w:rPr>
      <w:rFonts w:ascii="Times New Roman" w:hAnsi="Times New Roman" w:eastAsia="Times New Roman" w:cs="Times New Roman"/>
      <w:sz w:val="24"/>
      <w:szCs w:val="24"/>
      <w:lang w:bidi="en-US"/>
    </w:rPr>
  </w:style>
  <w:style w:type="paragraph" w:customStyle="1" w:styleId="27">
    <w:name w:val="Revision"/>
    <w:hidden/>
    <w:semiHidden/>
    <w:qFormat/>
    <w:uiPriority w:val="99"/>
    <w:pPr>
      <w:widowControl/>
      <w:autoSpaceDE/>
      <w:autoSpaceDN/>
    </w:pPr>
    <w:rPr>
      <w:rFonts w:ascii="Times New Roman" w:hAnsi="Times New Roman" w:eastAsia="Times New Roman" w:cs="Times New Roman"/>
      <w:sz w:val="22"/>
      <w:szCs w:val="22"/>
      <w:lang w:val="en-US" w:eastAsia="en-US" w:bidi="en-US"/>
    </w:rPr>
  </w:style>
  <w:style w:type="character" w:customStyle="1" w:styleId="28">
    <w:name w:val="Unresolved Mention1"/>
    <w:basedOn w:val="16"/>
    <w:semiHidden/>
    <w:unhideWhenUsed/>
    <w:qFormat/>
    <w:uiPriority w:val="99"/>
    <w:rPr>
      <w:color w:val="605E5C"/>
      <w:shd w:val="clear" w:color="auto" w:fill="E1DFDD"/>
    </w:rPr>
  </w:style>
  <w:style w:type="character" w:customStyle="1" w:styleId="29">
    <w:name w:val="批注文字 Char"/>
    <w:basedOn w:val="16"/>
    <w:link w:val="7"/>
    <w:semiHidden/>
    <w:qFormat/>
    <w:uiPriority w:val="99"/>
    <w:rPr>
      <w:rFonts w:ascii="Times New Roman" w:hAnsi="Times New Roman" w:eastAsia="Times New Roman" w:cs="Times New Roman"/>
      <w:lang w:bidi="en-US"/>
    </w:rPr>
  </w:style>
  <w:style w:type="character" w:customStyle="1" w:styleId="30">
    <w:name w:val="批注主题 Char"/>
    <w:basedOn w:val="29"/>
    <w:link w:val="14"/>
    <w:semiHidden/>
    <w:qFormat/>
    <w:uiPriority w:val="99"/>
    <w:rPr>
      <w:rFonts w:ascii="Times New Roman" w:hAnsi="Times New Roman" w:eastAsia="Times New Roman" w:cs="Times New Roman"/>
      <w:b/>
      <w:bCs/>
      <w:lang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EB18F-F882-4784-9C22-16151043DDD4}">
  <ds:schemaRefs/>
</ds:datastoreItem>
</file>

<file path=docProps/app.xml><?xml version="1.0" encoding="utf-8"?>
<Properties xmlns="http://schemas.openxmlformats.org/officeDocument/2006/extended-properties" xmlns:vt="http://schemas.openxmlformats.org/officeDocument/2006/docPropsVTypes">
  <Template>Normal</Template>
  <Pages>27</Pages>
  <Words>13520</Words>
  <Characters>18084</Characters>
  <Lines>149</Lines>
  <Paragraphs>42</Paragraphs>
  <TotalTime>158</TotalTime>
  <ScaleCrop>false</ScaleCrop>
  <LinksUpToDate>false</LinksUpToDate>
  <CharactersWithSpaces>18452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2021-11-10T09:11:00Z</dcterms:created>
  <dc:creator>ann</dc:creator>
  <cp:lastModifiedBy>太极箫客</cp:lastModifiedBy>
  <dcterms:modified xsi:type="dcterms:W3CDTF">2025-08-14T06:40:13Z</dcterms:modified>
  <dc:title>Attachment B CDRH Draft Guidance Cover Sheet</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Acrobat PDFMaker 17 for Word</vt:lpwstr>
  </property>
  <property fmtid="{D5CDD505-2E9C-101B-9397-08002B2CF9AE}" pid="4" name="LastSaved">
    <vt:filetime>2021-11-10T00:00:00Z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CEBD5EBA28644B21875AAA736F365978_12</vt:lpwstr>
  </property>
</Properties>
</file>