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BAD46">
      <w:pPr>
        <w:pStyle w:val="16"/>
        <w:pBdr>
          <w:bottom w:val="single" w:color="auto" w:sz="4" w:space="1"/>
        </w:pBdr>
        <w:shd w:val="clear" w:color="auto" w:fill="auto"/>
        <w:snapToGrid w:val="0"/>
        <w:spacing w:after="64" w:line="300" w:lineRule="auto"/>
        <w:jc w:val="center"/>
        <w:rPr>
          <w:rFonts w:ascii="Arial" w:hAnsi="Arial" w:eastAsia="宋体" w:cs="Arial"/>
          <w:sz w:val="72"/>
          <w:szCs w:val="72"/>
        </w:rPr>
      </w:pPr>
      <w:bookmarkStart w:id="172" w:name="_GoBack"/>
      <w:bookmarkEnd w:id="172"/>
      <w:r>
        <w:rPr>
          <w:rFonts w:ascii="Arial" w:hAnsi="Arial" w:eastAsia="宋体" w:cs="Arial"/>
          <w:sz w:val="72"/>
          <w:szCs w:val="72"/>
        </w:rPr>
        <w:t>医疗器械动物研究总则</w:t>
      </w:r>
    </w:p>
    <w:p w14:paraId="76A60411">
      <w:pPr>
        <w:pStyle w:val="16"/>
        <w:shd w:val="clear" w:color="auto" w:fill="auto"/>
        <w:snapToGrid w:val="0"/>
        <w:spacing w:after="162" w:line="300" w:lineRule="auto"/>
        <w:jc w:val="center"/>
        <w:rPr>
          <w:rFonts w:ascii="Arial" w:hAnsi="Arial" w:eastAsia="宋体" w:cs="Arial"/>
          <w:sz w:val="72"/>
          <w:szCs w:val="72"/>
        </w:rPr>
      </w:pPr>
      <w:r>
        <w:rPr>
          <w:rFonts w:hint="eastAsia" w:ascii="Arial" w:hAnsi="Arial" w:eastAsia="宋体" w:cs="Arial"/>
          <w:sz w:val="72"/>
          <w:szCs w:val="72"/>
        </w:rPr>
        <w:t>行业及</w:t>
      </w:r>
      <w:r>
        <w:rPr>
          <w:rFonts w:ascii="Arial" w:hAnsi="Arial" w:eastAsia="宋体" w:cs="Arial"/>
          <w:sz w:val="72"/>
          <w:szCs w:val="72"/>
        </w:rPr>
        <w:t>食品药品</w:t>
      </w:r>
      <w:r>
        <w:rPr>
          <w:rFonts w:hint="eastAsia" w:ascii="Arial" w:hAnsi="Arial" w:eastAsia="宋体" w:cs="Arial"/>
          <w:sz w:val="72"/>
          <w:szCs w:val="72"/>
        </w:rPr>
        <w:t>监督管理局工作</w:t>
      </w:r>
      <w:r>
        <w:rPr>
          <w:rFonts w:ascii="Arial" w:hAnsi="Arial" w:eastAsia="宋体" w:cs="Arial"/>
          <w:sz w:val="72"/>
          <w:szCs w:val="72"/>
        </w:rPr>
        <w:t>人员指南草案</w:t>
      </w:r>
    </w:p>
    <w:p w14:paraId="39B5501E">
      <w:pPr>
        <w:pStyle w:val="18"/>
        <w:shd w:val="clear" w:color="auto" w:fill="auto"/>
        <w:snapToGrid w:val="0"/>
        <w:spacing w:before="0" w:line="300" w:lineRule="auto"/>
        <w:rPr>
          <w:rFonts w:ascii="Arial" w:hAnsi="Arial" w:eastAsia="宋体" w:cs="Arial"/>
        </w:rPr>
      </w:pPr>
      <w:r>
        <w:rPr>
          <w:rFonts w:ascii="Arial" w:hAnsi="Arial" w:eastAsia="宋体" w:cs="Arial"/>
        </w:rPr>
        <w:t>指南草案</w:t>
      </w:r>
    </w:p>
    <w:p w14:paraId="26573596">
      <w:pPr>
        <w:snapToGrid w:val="0"/>
        <w:spacing w:before="163" w:beforeLines="50" w:line="300" w:lineRule="auto"/>
        <w:jc w:val="center"/>
        <w:rPr>
          <w:rFonts w:ascii="Arial" w:hAnsi="Arial" w:eastAsia="宋体" w:cs="Arial"/>
          <w:b/>
          <w:lang w:eastAsia="zh-CN"/>
        </w:rPr>
      </w:pPr>
      <w:bookmarkStart w:id="0" w:name="bookmark0"/>
      <w:r>
        <w:rPr>
          <w:rFonts w:ascii="Arial" w:hAnsi="Arial" w:eastAsia="宋体" w:cs="Arial"/>
          <w:b/>
          <w:bCs/>
          <w:lang w:eastAsia="zh-CN"/>
        </w:rPr>
        <w:t>本指南文件的发布目的仅为</w:t>
      </w:r>
      <w:r>
        <w:rPr>
          <w:rFonts w:hint="eastAsia" w:ascii="Arial" w:hAnsi="Arial" w:eastAsia="宋体" w:cs="Arial"/>
          <w:b/>
          <w:bCs/>
          <w:lang w:eastAsia="zh-CN"/>
        </w:rPr>
        <w:t>征求</w:t>
      </w:r>
      <w:r>
        <w:rPr>
          <w:rFonts w:ascii="Arial" w:hAnsi="Arial" w:eastAsia="宋体" w:cs="Arial"/>
          <w:b/>
          <w:bCs/>
          <w:lang w:eastAsia="zh-CN"/>
        </w:rPr>
        <w:t>意见。</w:t>
      </w:r>
      <w:bookmarkEnd w:id="0"/>
    </w:p>
    <w:p w14:paraId="219D5F9D">
      <w:pPr>
        <w:snapToGrid w:val="0"/>
        <w:spacing w:before="163" w:beforeLines="50" w:line="300" w:lineRule="auto"/>
        <w:jc w:val="center"/>
        <w:rPr>
          <w:rFonts w:ascii="Arial" w:hAnsi="Arial" w:eastAsia="宋体" w:cs="Arial"/>
          <w:b/>
          <w:lang w:eastAsia="zh-CN"/>
        </w:rPr>
      </w:pPr>
      <w:bookmarkStart w:id="1" w:name="bookmark1"/>
      <w:r>
        <w:rPr>
          <w:rFonts w:ascii="Arial" w:hAnsi="Arial" w:eastAsia="宋体" w:cs="Arial"/>
          <w:b/>
          <w:bCs/>
          <w:lang w:eastAsia="zh-CN"/>
        </w:rPr>
        <w:t>文件发布日期：2015年10月14日。</w:t>
      </w:r>
      <w:bookmarkEnd w:id="1"/>
    </w:p>
    <w:p w14:paraId="0084C969">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 xml:space="preserve">关于该指南草案的意见建议应当在《联邦公报》发布通知，宣称该指南草案可用后的90日内提交。可将电子意见提交至 </w:t>
      </w:r>
      <w:r>
        <w:rPr>
          <w:rFonts w:ascii="Arial" w:hAnsi="Arial" w:eastAsia="宋体" w:cs="Arial"/>
          <w:color w:val="0000FF"/>
          <w:sz w:val="24"/>
          <w:szCs w:val="24"/>
          <w:u w:val="single"/>
        </w:rPr>
        <w:t>http://www.regulations.gov</w:t>
      </w:r>
      <w:r>
        <w:rPr>
          <w:rStyle w:val="13"/>
          <w:rFonts w:ascii="Arial" w:hAnsi="Arial" w:eastAsia="宋体" w:cs="Arial"/>
          <w:sz w:val="24"/>
          <w:szCs w:val="24"/>
          <w:u w:val="none"/>
        </w:rPr>
        <w:t>。</w:t>
      </w:r>
      <w:r>
        <w:rPr>
          <w:rFonts w:ascii="Arial" w:hAnsi="Arial" w:eastAsia="宋体" w:cs="Arial"/>
          <w:sz w:val="24"/>
          <w:szCs w:val="24"/>
        </w:rPr>
        <w:t>书面意见提交至食品药品监督管理局文档管理部（HFA-305）</w:t>
      </w:r>
      <w:r>
        <w:rPr>
          <w:rFonts w:hint="eastAsia" w:ascii="Arial" w:hAnsi="Arial" w:eastAsia="宋体" w:cs="Arial"/>
          <w:sz w:val="24"/>
          <w:szCs w:val="24"/>
        </w:rPr>
        <w:t>（</w:t>
      </w:r>
      <w:r>
        <w:rPr>
          <w:rFonts w:ascii="Arial" w:hAnsi="Arial" w:eastAsia="宋体" w:cs="Arial"/>
          <w:sz w:val="24"/>
          <w:szCs w:val="24"/>
        </w:rPr>
        <w:t>5630 Fishers Lane</w:t>
      </w:r>
      <w:r>
        <w:rPr>
          <w:rFonts w:hint="eastAsia" w:ascii="Arial" w:hAnsi="Arial" w:eastAsia="宋体" w:cs="Arial"/>
          <w:sz w:val="24"/>
          <w:szCs w:val="24"/>
        </w:rPr>
        <w:t xml:space="preserve">, </w:t>
      </w:r>
      <w:r>
        <w:rPr>
          <w:rFonts w:ascii="Arial" w:hAnsi="Arial" w:eastAsia="宋体" w:cs="Arial"/>
          <w:sz w:val="24"/>
          <w:szCs w:val="24"/>
        </w:rPr>
        <w:t>rm. 1061, Rockville, MD 20852</w:t>
      </w:r>
      <w:r>
        <w:rPr>
          <w:rFonts w:hint="eastAsia" w:ascii="Arial" w:hAnsi="Arial" w:eastAsia="宋体" w:cs="Arial"/>
          <w:sz w:val="24"/>
          <w:szCs w:val="24"/>
        </w:rPr>
        <w:t>）</w:t>
      </w:r>
      <w:r>
        <w:rPr>
          <w:rFonts w:ascii="Arial" w:hAnsi="Arial" w:eastAsia="宋体" w:cs="Arial"/>
          <w:sz w:val="24"/>
          <w:szCs w:val="24"/>
        </w:rPr>
        <w:t>。确认所有意见的编号均为《联邦公报》公布的可用性通知内所列出的文档编号。</w:t>
      </w:r>
    </w:p>
    <w:p w14:paraId="2A1FB51E">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如对本文件有疑问，可联系器械评价办公室Judith A. Davis，电话：301</w:t>
      </w:r>
      <w:r>
        <w:rPr>
          <w:rFonts w:hint="eastAsia" w:ascii="Arial" w:hAnsi="Arial" w:eastAsia="宋体" w:cs="Arial"/>
          <w:sz w:val="24"/>
          <w:szCs w:val="24"/>
        </w:rPr>
        <w:t>-</w:t>
      </w:r>
      <w:r>
        <w:rPr>
          <w:rFonts w:ascii="Arial" w:hAnsi="Arial" w:eastAsia="宋体" w:cs="Arial"/>
          <w:sz w:val="24"/>
          <w:szCs w:val="24"/>
        </w:rPr>
        <w:t>796-6636，网址：</w:t>
      </w:r>
      <w:r>
        <w:rPr>
          <w:rFonts w:ascii="Arial" w:hAnsi="Arial" w:eastAsia="宋体" w:cs="Arial"/>
          <w:color w:val="0000FF"/>
          <w:sz w:val="24"/>
          <w:szCs w:val="24"/>
          <w:u w:val="single"/>
        </w:rPr>
        <w:t>judith.davis@fda.hhs.gov</w:t>
      </w:r>
      <w:r>
        <w:rPr>
          <w:rFonts w:ascii="Arial" w:hAnsi="Arial" w:eastAsia="宋体" w:cs="Arial"/>
          <w:sz w:val="24"/>
          <w:szCs w:val="24"/>
        </w:rPr>
        <w:t>。</w:t>
      </w:r>
    </w:p>
    <w:p w14:paraId="4B2A5782">
      <w:pPr>
        <w:pStyle w:val="20"/>
        <w:snapToGrid w:val="0"/>
        <w:spacing w:before="163" w:beforeLines="50" w:after="0" w:line="300" w:lineRule="auto"/>
        <w:ind w:firstLine="0"/>
        <w:jc w:val="center"/>
        <w:rPr>
          <w:rFonts w:ascii="Arial" w:hAnsi="Arial" w:eastAsia="宋体" w:cs="Arial"/>
          <w:b/>
          <w:sz w:val="28"/>
          <w:szCs w:val="28"/>
        </w:rPr>
      </w:pPr>
      <w:r>
        <w:rPr>
          <w:rFonts w:ascii="Arial" w:hAnsi="Arial" w:eastAsia="宋体" w:cs="Arial"/>
          <w:b/>
          <w:bCs/>
          <w:sz w:val="28"/>
          <w:szCs w:val="28"/>
        </w:rPr>
        <w:t>定稿后，本指南将取代2010年7月29日发布的《</w:t>
      </w:r>
      <w:r>
        <w:rPr>
          <w:rFonts w:hint="eastAsia" w:ascii="Arial" w:hAnsi="Arial" w:eastAsia="宋体" w:cs="Arial"/>
          <w:b/>
          <w:bCs/>
          <w:sz w:val="28"/>
          <w:szCs w:val="28"/>
        </w:rPr>
        <w:t>行业及</w:t>
      </w:r>
      <w:r>
        <w:rPr>
          <w:rFonts w:ascii="Arial" w:hAnsi="Arial" w:eastAsia="宋体" w:cs="Arial"/>
          <w:b/>
          <w:bCs/>
          <w:sz w:val="28"/>
          <w:szCs w:val="28"/>
        </w:rPr>
        <w:t>FDA工作人员指南：心血管器械动物研究总则》。</w:t>
      </w:r>
    </w:p>
    <w:p w14:paraId="2AA400B7">
      <w:pPr>
        <w:pStyle w:val="22"/>
        <w:shd w:val="clear" w:color="auto" w:fill="auto"/>
        <w:snapToGrid w:val="0"/>
        <w:spacing w:before="0" w:line="300" w:lineRule="auto"/>
        <w:rPr>
          <w:rFonts w:ascii="Arial" w:hAnsi="Arial" w:eastAsia="宋体" w:cs="Arial"/>
          <w:sz w:val="24"/>
          <w:szCs w:val="24"/>
        </w:rPr>
      </w:pPr>
    </w:p>
    <w:p w14:paraId="4EEF78C1">
      <w:pPr>
        <w:pStyle w:val="22"/>
        <w:shd w:val="clear" w:color="auto" w:fill="auto"/>
        <w:snapToGrid w:val="0"/>
        <w:spacing w:before="0" w:line="300" w:lineRule="auto"/>
        <w:rPr>
          <w:rFonts w:ascii="Arial" w:hAnsi="Arial" w:eastAsia="宋体" w:cs="Arial"/>
          <w:sz w:val="24"/>
          <w:szCs w:val="24"/>
        </w:rPr>
      </w:pPr>
    </w:p>
    <w:p w14:paraId="2D234965">
      <w:pPr>
        <w:pStyle w:val="22"/>
        <w:shd w:val="clear" w:color="auto" w:fill="auto"/>
        <w:snapToGrid w:val="0"/>
        <w:spacing w:before="0" w:line="300" w:lineRule="auto"/>
        <w:rPr>
          <w:rFonts w:ascii="Arial" w:hAnsi="Arial" w:eastAsia="宋体" w:cs="Arial"/>
          <w:sz w:val="24"/>
          <w:szCs w:val="24"/>
        </w:rPr>
      </w:pPr>
    </w:p>
    <w:p w14:paraId="43529E3E">
      <w:pPr>
        <w:pStyle w:val="22"/>
        <w:shd w:val="clear" w:color="auto" w:fill="auto"/>
        <w:snapToGrid w:val="0"/>
        <w:spacing w:before="0" w:line="300" w:lineRule="auto"/>
        <w:rPr>
          <w:rFonts w:ascii="Arial" w:hAnsi="Arial" w:eastAsia="宋体" w:cs="Arial"/>
          <w:sz w:val="24"/>
          <w:szCs w:val="24"/>
        </w:rPr>
      </w:pPr>
    </w:p>
    <w:p w14:paraId="6A1F4DFB">
      <w:pPr>
        <w:pStyle w:val="22"/>
        <w:shd w:val="clear" w:color="auto" w:fill="auto"/>
        <w:snapToGrid w:val="0"/>
        <w:spacing w:before="0" w:line="300" w:lineRule="auto"/>
        <w:rPr>
          <w:rFonts w:ascii="Arial" w:hAnsi="Arial" w:eastAsia="宋体" w:cs="Arial"/>
          <w:sz w:val="24"/>
          <w:szCs w:val="24"/>
        </w:rPr>
      </w:pPr>
    </w:p>
    <w:p w14:paraId="6086885A">
      <w:pPr>
        <w:pStyle w:val="22"/>
        <w:shd w:val="clear" w:color="auto" w:fill="auto"/>
        <w:snapToGrid w:val="0"/>
        <w:spacing w:before="0" w:line="300" w:lineRule="auto"/>
        <w:rPr>
          <w:rFonts w:ascii="Arial" w:hAnsi="Arial" w:eastAsia="宋体" w:cs="Arial"/>
          <w:sz w:val="24"/>
          <w:szCs w:val="24"/>
        </w:rPr>
      </w:pPr>
    </w:p>
    <w:p w14:paraId="56A67F01">
      <w:pPr>
        <w:pStyle w:val="22"/>
        <w:shd w:val="clear" w:color="auto" w:fill="auto"/>
        <w:snapToGrid w:val="0"/>
        <w:spacing w:before="0" w:line="300" w:lineRule="auto"/>
        <w:rPr>
          <w:rFonts w:ascii="Arial" w:hAnsi="Arial" w:eastAsia="宋体" w:cs="Arial"/>
          <w:sz w:val="24"/>
          <w:szCs w:val="24"/>
        </w:rPr>
      </w:pPr>
      <w:r>
        <w:drawing>
          <wp:anchor distT="0" distB="0" distL="114300" distR="114300" simplePos="0" relativeHeight="251659264" behindDoc="0" locked="0" layoutInCell="1" allowOverlap="1">
            <wp:simplePos x="0" y="0"/>
            <wp:positionH relativeFrom="column">
              <wp:posOffset>196215</wp:posOffset>
            </wp:positionH>
            <wp:positionV relativeFrom="paragraph">
              <wp:posOffset>21590</wp:posOffset>
            </wp:positionV>
            <wp:extent cx="913765" cy="111379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13765" cy="1113790"/>
                    </a:xfrm>
                    <a:prstGeom prst="rect">
                      <a:avLst/>
                    </a:prstGeom>
                  </pic:spPr>
                </pic:pic>
              </a:graphicData>
            </a:graphic>
          </wp:anchor>
        </w:drawing>
      </w:r>
      <w:r>
        <w:rPr>
          <w:rFonts w:ascii="Arial" w:hAnsi="Arial" w:eastAsia="宋体" w:cs="Arial"/>
          <w:sz w:val="24"/>
          <w:szCs w:val="24"/>
        </w:rPr>
        <w:t>美国卫生</w:t>
      </w:r>
      <w:r>
        <w:rPr>
          <w:rFonts w:hint="eastAsia" w:ascii="Arial" w:hAnsi="Arial" w:eastAsia="宋体" w:cs="Arial"/>
          <w:sz w:val="24"/>
          <w:szCs w:val="24"/>
        </w:rPr>
        <w:t>和人类服务署</w:t>
      </w:r>
    </w:p>
    <w:p w14:paraId="0688FF28">
      <w:pPr>
        <w:pStyle w:val="22"/>
        <w:shd w:val="clear" w:color="auto" w:fill="auto"/>
        <w:snapToGrid w:val="0"/>
        <w:spacing w:before="0" w:line="300" w:lineRule="auto"/>
        <w:rPr>
          <w:rFonts w:ascii="Arial" w:hAnsi="Arial" w:eastAsia="宋体" w:cs="Arial"/>
          <w:sz w:val="24"/>
          <w:szCs w:val="24"/>
        </w:rPr>
      </w:pPr>
      <w:r>
        <w:rPr>
          <w:rFonts w:ascii="Arial" w:hAnsi="Arial" w:eastAsia="宋体" w:cs="Arial"/>
          <w:sz w:val="24"/>
          <w:szCs w:val="24"/>
        </w:rPr>
        <w:t>美国食品药品监督管理局</w:t>
      </w:r>
    </w:p>
    <w:p w14:paraId="7C1812CA">
      <w:pPr>
        <w:pStyle w:val="22"/>
        <w:shd w:val="clear" w:color="auto" w:fill="auto"/>
        <w:snapToGrid w:val="0"/>
        <w:spacing w:before="0" w:line="300" w:lineRule="auto"/>
        <w:rPr>
          <w:rFonts w:ascii="Arial" w:hAnsi="Arial" w:eastAsia="宋体" w:cs="Arial"/>
          <w:sz w:val="24"/>
          <w:szCs w:val="24"/>
        </w:rPr>
      </w:pPr>
      <w:r>
        <w:rPr>
          <w:rFonts w:ascii="Arial" w:hAnsi="Arial" w:eastAsia="宋体" w:cs="Arial"/>
          <w:sz w:val="24"/>
          <w:szCs w:val="24"/>
        </w:rPr>
        <w:t>器械和</w:t>
      </w:r>
      <w:r>
        <w:rPr>
          <w:rFonts w:hint="eastAsia" w:ascii="Arial" w:hAnsi="Arial" w:eastAsia="宋体" w:cs="Arial"/>
          <w:sz w:val="24"/>
          <w:szCs w:val="24"/>
        </w:rPr>
        <w:t>放射卫生</w:t>
      </w:r>
      <w:r>
        <w:rPr>
          <w:rFonts w:ascii="Arial" w:hAnsi="Arial" w:eastAsia="宋体" w:cs="Arial"/>
          <w:sz w:val="24"/>
          <w:szCs w:val="24"/>
        </w:rPr>
        <w:t>中心</w:t>
      </w:r>
    </w:p>
    <w:p w14:paraId="3E7F0873">
      <w:pPr>
        <w:pStyle w:val="22"/>
        <w:shd w:val="clear" w:color="auto" w:fill="auto"/>
        <w:snapToGrid w:val="0"/>
        <w:spacing w:before="0" w:line="300" w:lineRule="auto"/>
        <w:rPr>
          <w:rFonts w:ascii="Arial" w:hAnsi="Arial" w:eastAsia="宋体" w:cs="Arial"/>
          <w:sz w:val="24"/>
          <w:szCs w:val="24"/>
        </w:rPr>
      </w:pPr>
      <w:r>
        <w:rPr>
          <w:rFonts w:ascii="Arial" w:hAnsi="Arial" w:eastAsia="宋体" w:cs="Arial"/>
          <w:sz w:val="24"/>
          <w:szCs w:val="24"/>
        </w:rPr>
        <w:t>器械评价办公室</w:t>
      </w:r>
    </w:p>
    <w:p w14:paraId="22468F77">
      <w:pPr>
        <w:snapToGrid w:val="0"/>
        <w:spacing w:line="300" w:lineRule="auto"/>
        <w:jc w:val="right"/>
        <w:rPr>
          <w:rFonts w:ascii="Arial" w:hAnsi="Arial" w:eastAsia="宋体" w:cs="Arial"/>
          <w:b/>
          <w:lang w:eastAsia="zh-CN"/>
        </w:rPr>
      </w:pPr>
      <w:r>
        <w:rPr>
          <w:rFonts w:ascii="Arial" w:hAnsi="Arial" w:eastAsia="宋体" w:cs="Arial"/>
          <w:b/>
          <w:lang w:eastAsia="zh-CN"/>
        </w:rPr>
        <w:t>合规</w:t>
      </w:r>
      <w:r>
        <w:rPr>
          <w:rFonts w:hint="eastAsia" w:ascii="Arial" w:hAnsi="Arial" w:eastAsia="宋体" w:cs="Arial"/>
          <w:b/>
          <w:lang w:eastAsia="zh-CN"/>
        </w:rPr>
        <w:t>办公室</w:t>
      </w:r>
    </w:p>
    <w:p w14:paraId="38C0D946">
      <w:pPr>
        <w:snapToGrid w:val="0"/>
        <w:spacing w:line="300" w:lineRule="auto"/>
        <w:jc w:val="center"/>
        <w:rPr>
          <w:rFonts w:ascii="Arial" w:hAnsi="Arial" w:eastAsia="宋体" w:cs="Arial"/>
          <w:b/>
          <w:sz w:val="44"/>
          <w:szCs w:val="44"/>
          <w:lang w:eastAsia="zh-CN"/>
        </w:rPr>
      </w:pPr>
      <w:r>
        <w:rPr>
          <w:rFonts w:ascii="Arial" w:hAnsi="Arial" w:eastAsia="宋体" w:cs="Arial"/>
          <w:b/>
          <w:lang w:eastAsia="zh-CN"/>
        </w:rPr>
        <w:br w:type="page"/>
      </w:r>
      <w:bookmarkStart w:id="2" w:name="bookmark4"/>
      <w:r>
        <w:rPr>
          <w:rFonts w:ascii="Arial" w:hAnsi="Arial" w:eastAsia="宋体" w:cs="Arial"/>
          <w:b/>
          <w:bCs/>
          <w:sz w:val="44"/>
          <w:szCs w:val="44"/>
          <w:lang w:eastAsia="zh-CN"/>
        </w:rPr>
        <w:t>前言</w:t>
      </w:r>
      <w:bookmarkEnd w:id="2"/>
    </w:p>
    <w:p w14:paraId="50179CA5">
      <w:pPr>
        <w:snapToGrid w:val="0"/>
        <w:spacing w:line="300" w:lineRule="auto"/>
        <w:jc w:val="center"/>
        <w:rPr>
          <w:rFonts w:ascii="Arial" w:hAnsi="Arial" w:eastAsia="宋体" w:cs="Arial"/>
          <w:lang w:eastAsia="zh-CN"/>
        </w:rPr>
      </w:pPr>
    </w:p>
    <w:p w14:paraId="7F3798B3">
      <w:pPr>
        <w:snapToGrid w:val="0"/>
        <w:spacing w:line="300" w:lineRule="auto"/>
        <w:rPr>
          <w:rFonts w:ascii="Arial" w:hAnsi="Arial" w:eastAsia="宋体" w:cs="Arial"/>
          <w:b/>
          <w:sz w:val="32"/>
          <w:szCs w:val="32"/>
          <w:lang w:eastAsia="zh-CN"/>
        </w:rPr>
      </w:pPr>
      <w:bookmarkStart w:id="3" w:name="bookmark5"/>
      <w:r>
        <w:rPr>
          <w:rFonts w:ascii="Arial" w:hAnsi="Arial" w:eastAsia="宋体" w:cs="Arial"/>
          <w:b/>
          <w:bCs/>
          <w:sz w:val="32"/>
          <w:szCs w:val="32"/>
          <w:lang w:eastAsia="zh-CN"/>
        </w:rPr>
        <w:t>其</w:t>
      </w:r>
      <w:r>
        <w:rPr>
          <w:rFonts w:hint="eastAsia" w:ascii="Arial" w:hAnsi="Arial" w:eastAsia="宋体" w:cs="Arial"/>
          <w:b/>
          <w:bCs/>
          <w:sz w:val="32"/>
          <w:szCs w:val="32"/>
          <w:lang w:eastAsia="zh-CN"/>
        </w:rPr>
        <w:t>他</w:t>
      </w:r>
      <w:r>
        <w:rPr>
          <w:rFonts w:ascii="Arial" w:hAnsi="Arial" w:eastAsia="宋体" w:cs="Arial"/>
          <w:b/>
          <w:bCs/>
          <w:sz w:val="32"/>
          <w:szCs w:val="32"/>
          <w:lang w:eastAsia="zh-CN"/>
        </w:rPr>
        <w:t>副本</w:t>
      </w:r>
      <w:bookmarkEnd w:id="3"/>
    </w:p>
    <w:p w14:paraId="79AE30B7">
      <w:pPr>
        <w:snapToGrid w:val="0"/>
        <w:spacing w:before="163" w:beforeLines="50" w:line="300" w:lineRule="auto"/>
        <w:rPr>
          <w:rFonts w:ascii="Arial" w:hAnsi="Arial" w:eastAsia="宋体" w:cs="Arial"/>
          <w:b/>
          <w:sz w:val="30"/>
          <w:szCs w:val="30"/>
          <w:lang w:eastAsia="zh-CN"/>
        </w:rPr>
      </w:pPr>
      <w:r>
        <w:rPr>
          <w:rFonts w:ascii="Arial" w:hAnsi="Arial" w:eastAsia="宋体" w:cs="Arial"/>
          <w:lang w:eastAsia="zh-CN"/>
        </w:rPr>
        <w:t>可通过网络获取</w:t>
      </w:r>
      <w:r>
        <w:rPr>
          <w:rFonts w:hint="eastAsia" w:ascii="Arial" w:hAnsi="Arial" w:eastAsia="宋体" w:cs="Arial"/>
          <w:lang w:eastAsia="zh-CN"/>
        </w:rPr>
        <w:t>其他</w:t>
      </w:r>
      <w:r>
        <w:rPr>
          <w:rFonts w:ascii="Arial" w:hAnsi="Arial" w:eastAsia="宋体" w:cs="Arial"/>
          <w:lang w:eastAsia="zh-CN"/>
        </w:rPr>
        <w:t>副本。您可以向</w:t>
      </w:r>
      <w:r>
        <w:fldChar w:fldCharType="begin"/>
      </w:r>
      <w:r>
        <w:instrText xml:space="preserve"> HYPERLINK "file:///\\\\shundajiayi\\翻译客户\\翻译客户\\交流中心\\2017\\9月\\0928石慧\\需要翻译的指导原则（三）\\需要翻译的指导原则（三）\\邮箱：CDRH-Guidance@fda.hhs.gov" </w:instrText>
      </w:r>
      <w:r>
        <w:fldChar w:fldCharType="separate"/>
      </w:r>
      <w:r>
        <w:rPr>
          <w:rStyle w:val="13"/>
          <w:rFonts w:ascii="Arial" w:hAnsi="Arial" w:eastAsia="宋体" w:cs="Arial"/>
          <w:color w:val="0000FF"/>
          <w:lang w:eastAsia="zh-CN"/>
        </w:rPr>
        <w:t>CDRH-Guidance@fda.hhs.gov</w:t>
      </w:r>
      <w:r>
        <w:rPr>
          <w:rStyle w:val="13"/>
          <w:rFonts w:ascii="Arial" w:hAnsi="Arial" w:eastAsia="宋体" w:cs="Arial"/>
          <w:u w:val="none"/>
          <w:lang w:eastAsia="zh-CN"/>
        </w:rPr>
        <w:t xml:space="preserve"> </w:t>
      </w:r>
      <w:r>
        <w:rPr>
          <w:rStyle w:val="13"/>
          <w:rFonts w:ascii="Arial" w:hAnsi="Arial" w:eastAsia="宋体" w:cs="Arial"/>
          <w:u w:val="none"/>
          <w:lang w:eastAsia="zh-CN"/>
        </w:rPr>
        <w:fldChar w:fldCharType="end"/>
      </w:r>
      <w:r>
        <w:rPr>
          <w:rFonts w:ascii="Arial" w:hAnsi="Arial" w:eastAsia="宋体" w:cs="Arial"/>
          <w:lang w:eastAsia="zh-CN"/>
        </w:rPr>
        <w:t>发送e-mail，</w:t>
      </w:r>
      <w:r>
        <w:rPr>
          <w:rFonts w:hint="eastAsia" w:ascii="Arial" w:hAnsi="Arial" w:eastAsia="宋体" w:cs="Arial"/>
          <w:lang w:eastAsia="zh-CN"/>
        </w:rPr>
        <w:t>申请</w:t>
      </w:r>
      <w:r>
        <w:rPr>
          <w:rFonts w:ascii="Arial" w:hAnsi="Arial" w:eastAsia="宋体" w:cs="Arial"/>
          <w:lang w:eastAsia="zh-CN"/>
        </w:rPr>
        <w:t>获取该指南的电子副本。请使用文档编号1802</w:t>
      </w:r>
      <w:r>
        <w:rPr>
          <w:rFonts w:hint="eastAsia" w:ascii="Arial" w:hAnsi="Arial" w:eastAsia="宋体" w:cs="Arial"/>
          <w:lang w:eastAsia="zh-CN"/>
        </w:rPr>
        <w:t>来注明</w:t>
      </w:r>
      <w:r>
        <w:rPr>
          <w:rFonts w:ascii="Arial" w:hAnsi="Arial" w:eastAsia="宋体" w:cs="Arial"/>
          <w:lang w:eastAsia="zh-CN"/>
        </w:rPr>
        <w:t>您</w:t>
      </w:r>
      <w:r>
        <w:rPr>
          <w:rFonts w:hint="eastAsia" w:ascii="Arial" w:hAnsi="Arial" w:eastAsia="宋体" w:cs="Arial"/>
          <w:lang w:eastAsia="zh-CN"/>
        </w:rPr>
        <w:t>所要求获得的</w:t>
      </w:r>
      <w:r>
        <w:rPr>
          <w:rFonts w:ascii="Arial" w:hAnsi="Arial" w:eastAsia="宋体" w:cs="Arial"/>
          <w:lang w:eastAsia="zh-CN"/>
        </w:rPr>
        <w:t>指南。</w:t>
      </w:r>
      <w:r>
        <w:rPr>
          <w:rFonts w:ascii="Arial" w:hAnsi="Arial" w:eastAsia="宋体" w:cs="Arial"/>
          <w:lang w:eastAsia="zh-CN"/>
        </w:rPr>
        <w:br w:type="page"/>
      </w:r>
      <w:r>
        <w:rPr>
          <w:rFonts w:ascii="Arial" w:hAnsi="Arial" w:eastAsia="宋体" w:cs="Arial"/>
          <w:b/>
          <w:sz w:val="30"/>
          <w:szCs w:val="30"/>
          <w:lang w:eastAsia="zh-CN"/>
        </w:rPr>
        <w:t>目录</w:t>
      </w:r>
    </w:p>
    <w:p w14:paraId="0C7690EE">
      <w:pPr>
        <w:pStyle w:val="7"/>
        <w:rPr>
          <w:rFonts w:asciiTheme="minorHAnsi" w:hAnsiTheme="minorHAnsi" w:cstheme="minorBidi"/>
          <w:color w:val="auto"/>
          <w:kern w:val="2"/>
          <w:szCs w:val="22"/>
          <w:lang w:eastAsia="zh-CN" w:bidi="ar-SA"/>
        </w:rPr>
      </w:pPr>
      <w:r>
        <w:rPr>
          <w:rFonts w:ascii="Arial" w:hAnsi="Arial" w:eastAsia="宋体" w:cs="Arial"/>
          <w:b/>
          <w:lang w:eastAsia="zh-CN"/>
        </w:rPr>
        <w:fldChar w:fldCharType="begin"/>
      </w:r>
      <w:r>
        <w:rPr>
          <w:rFonts w:ascii="Arial" w:hAnsi="Arial" w:eastAsia="宋体" w:cs="Arial"/>
          <w:b/>
          <w:lang w:eastAsia="zh-CN"/>
        </w:rPr>
        <w:instrText xml:space="preserve"> TOC \o "1-4" \h \z \u </w:instrText>
      </w:r>
      <w:r>
        <w:rPr>
          <w:rFonts w:ascii="Arial" w:hAnsi="Arial" w:eastAsia="宋体" w:cs="Arial"/>
          <w:b/>
          <w:lang w:eastAsia="zh-CN"/>
        </w:rPr>
        <w:fldChar w:fldCharType="separate"/>
      </w:r>
      <w:r>
        <w:fldChar w:fldCharType="begin"/>
      </w:r>
      <w:r>
        <w:instrText xml:space="preserve"> HYPERLINK \l "_Toc496541624" </w:instrText>
      </w:r>
      <w:r>
        <w:fldChar w:fldCharType="separate"/>
      </w:r>
      <w:r>
        <w:rPr>
          <w:rStyle w:val="13"/>
          <w:rFonts w:ascii="Arial" w:hAnsi="Arial" w:eastAsia="宋体" w:cs="Arial"/>
        </w:rPr>
        <w:t>I.</w:t>
      </w:r>
      <w:r>
        <w:rPr>
          <w:rFonts w:asciiTheme="minorHAnsi" w:hAnsiTheme="minorHAnsi" w:cstheme="minorBidi"/>
          <w:color w:val="auto"/>
          <w:kern w:val="2"/>
          <w:szCs w:val="22"/>
          <w:lang w:eastAsia="zh-CN" w:bidi="ar-SA"/>
        </w:rPr>
        <w:tab/>
      </w:r>
      <w:r>
        <w:rPr>
          <w:rStyle w:val="13"/>
          <w:rFonts w:hint="eastAsia" w:ascii="Arial" w:hAnsi="Arial" w:eastAsia="宋体" w:cs="Arial"/>
        </w:rPr>
        <w:t>简介</w:t>
      </w:r>
      <w:r>
        <w:tab/>
      </w:r>
      <w:r>
        <w:fldChar w:fldCharType="begin"/>
      </w:r>
      <w:r>
        <w:instrText xml:space="preserve"> PAGEREF _Toc496541624 \h </w:instrText>
      </w:r>
      <w:r>
        <w:fldChar w:fldCharType="separate"/>
      </w:r>
      <w:r>
        <w:t>1</w:t>
      </w:r>
      <w:r>
        <w:fldChar w:fldCharType="end"/>
      </w:r>
      <w:r>
        <w:fldChar w:fldCharType="end"/>
      </w:r>
    </w:p>
    <w:p w14:paraId="67155ABE">
      <w:pPr>
        <w:pStyle w:val="7"/>
        <w:rPr>
          <w:rFonts w:asciiTheme="minorHAnsi" w:hAnsiTheme="minorHAnsi" w:cstheme="minorBidi"/>
          <w:color w:val="auto"/>
          <w:kern w:val="2"/>
          <w:szCs w:val="22"/>
          <w:lang w:eastAsia="zh-CN" w:bidi="ar-SA"/>
        </w:rPr>
      </w:pPr>
      <w:r>
        <w:fldChar w:fldCharType="begin"/>
      </w:r>
      <w:r>
        <w:instrText xml:space="preserve"> HYPERLINK \l "_Toc496541625" </w:instrText>
      </w:r>
      <w:r>
        <w:fldChar w:fldCharType="separate"/>
      </w:r>
      <w:r>
        <w:rPr>
          <w:rStyle w:val="13"/>
          <w:rFonts w:ascii="Arial" w:hAnsi="Arial" w:eastAsia="宋体" w:cs="Arial"/>
        </w:rPr>
        <w:t>II.</w:t>
      </w:r>
      <w:r>
        <w:rPr>
          <w:rFonts w:asciiTheme="minorHAnsi" w:hAnsiTheme="minorHAnsi" w:cstheme="minorBidi"/>
          <w:color w:val="auto"/>
          <w:kern w:val="2"/>
          <w:szCs w:val="22"/>
          <w:lang w:eastAsia="zh-CN" w:bidi="ar-SA"/>
        </w:rPr>
        <w:tab/>
      </w:r>
      <w:r>
        <w:rPr>
          <w:rStyle w:val="13"/>
          <w:rFonts w:hint="eastAsia" w:ascii="Arial" w:hAnsi="Arial" w:eastAsia="宋体" w:cs="Arial"/>
        </w:rPr>
        <w:t>范围</w:t>
      </w:r>
      <w:r>
        <w:tab/>
      </w:r>
      <w:r>
        <w:fldChar w:fldCharType="begin"/>
      </w:r>
      <w:r>
        <w:instrText xml:space="preserve"> PAGEREF _Toc496541625 \h </w:instrText>
      </w:r>
      <w:r>
        <w:fldChar w:fldCharType="separate"/>
      </w:r>
      <w:r>
        <w:t>2</w:t>
      </w:r>
      <w:r>
        <w:fldChar w:fldCharType="end"/>
      </w:r>
      <w:r>
        <w:fldChar w:fldCharType="end"/>
      </w:r>
    </w:p>
    <w:p w14:paraId="40F8F2BF">
      <w:pPr>
        <w:pStyle w:val="7"/>
        <w:rPr>
          <w:rFonts w:asciiTheme="minorHAnsi" w:hAnsiTheme="minorHAnsi" w:cstheme="minorBidi"/>
          <w:color w:val="auto"/>
          <w:kern w:val="2"/>
          <w:szCs w:val="22"/>
          <w:lang w:eastAsia="zh-CN" w:bidi="ar-SA"/>
        </w:rPr>
      </w:pPr>
      <w:r>
        <w:fldChar w:fldCharType="begin"/>
      </w:r>
      <w:r>
        <w:instrText xml:space="preserve"> HYPERLINK \l "_Toc496541626" </w:instrText>
      </w:r>
      <w:r>
        <w:fldChar w:fldCharType="separate"/>
      </w:r>
      <w:r>
        <w:rPr>
          <w:rStyle w:val="13"/>
          <w:rFonts w:ascii="Arial" w:hAnsi="Arial" w:eastAsia="宋体" w:cs="Arial"/>
        </w:rPr>
        <w:t>III.</w:t>
      </w:r>
      <w:r>
        <w:rPr>
          <w:rFonts w:asciiTheme="minorHAnsi" w:hAnsiTheme="minorHAnsi" w:cstheme="minorBidi"/>
          <w:color w:val="auto"/>
          <w:kern w:val="2"/>
          <w:szCs w:val="22"/>
          <w:lang w:eastAsia="zh-CN" w:bidi="ar-SA"/>
        </w:rPr>
        <w:tab/>
      </w:r>
      <w:r>
        <w:rPr>
          <w:rStyle w:val="13"/>
          <w:rFonts w:hint="eastAsia" w:ascii="Arial" w:hAnsi="Arial" w:eastAsia="宋体" w:cs="Arial"/>
        </w:rPr>
        <w:t>概述</w:t>
      </w:r>
      <w:r>
        <w:tab/>
      </w:r>
      <w:r>
        <w:fldChar w:fldCharType="begin"/>
      </w:r>
      <w:r>
        <w:instrText xml:space="preserve"> PAGEREF _Toc496541626 \h </w:instrText>
      </w:r>
      <w:r>
        <w:fldChar w:fldCharType="separate"/>
      </w:r>
      <w:r>
        <w:t>2</w:t>
      </w:r>
      <w:r>
        <w:fldChar w:fldCharType="end"/>
      </w:r>
      <w:r>
        <w:fldChar w:fldCharType="end"/>
      </w:r>
    </w:p>
    <w:p w14:paraId="4051865A">
      <w:pPr>
        <w:pStyle w:val="7"/>
        <w:rPr>
          <w:rFonts w:asciiTheme="minorHAnsi" w:hAnsiTheme="minorHAnsi" w:cstheme="minorBidi"/>
          <w:color w:val="auto"/>
          <w:kern w:val="2"/>
          <w:szCs w:val="22"/>
          <w:lang w:eastAsia="zh-CN" w:bidi="ar-SA"/>
        </w:rPr>
      </w:pPr>
      <w:r>
        <w:fldChar w:fldCharType="begin"/>
      </w:r>
      <w:r>
        <w:instrText xml:space="preserve"> HYPERLINK \l "_Toc496541627" </w:instrText>
      </w:r>
      <w:r>
        <w:fldChar w:fldCharType="separate"/>
      </w:r>
      <w:r>
        <w:rPr>
          <w:rStyle w:val="13"/>
          <w:rFonts w:ascii="Arial" w:hAnsi="Arial" w:eastAsia="宋体" w:cs="Arial"/>
        </w:rPr>
        <w:t>IV.</w:t>
      </w:r>
      <w:r>
        <w:rPr>
          <w:rFonts w:asciiTheme="minorHAnsi" w:hAnsiTheme="minorHAnsi" w:cstheme="minorBidi"/>
          <w:color w:val="auto"/>
          <w:kern w:val="2"/>
          <w:szCs w:val="22"/>
          <w:lang w:eastAsia="zh-CN" w:bidi="ar-SA"/>
        </w:rPr>
        <w:tab/>
      </w:r>
      <w:r>
        <w:rPr>
          <w:rStyle w:val="13"/>
          <w:rFonts w:hint="eastAsia" w:ascii="Arial" w:hAnsi="Arial" w:eastAsia="宋体" w:cs="Arial"/>
        </w:rPr>
        <w:t>研究计划和方案</w:t>
      </w:r>
      <w:r>
        <w:tab/>
      </w:r>
      <w:r>
        <w:fldChar w:fldCharType="begin"/>
      </w:r>
      <w:r>
        <w:instrText xml:space="preserve"> PAGEREF _Toc496541627 \h </w:instrText>
      </w:r>
      <w:r>
        <w:fldChar w:fldCharType="separate"/>
      </w:r>
      <w:r>
        <w:t>3</w:t>
      </w:r>
      <w:r>
        <w:fldChar w:fldCharType="end"/>
      </w:r>
      <w:r>
        <w:fldChar w:fldCharType="end"/>
      </w:r>
    </w:p>
    <w:p w14:paraId="77D19B5B">
      <w:pPr>
        <w:pStyle w:val="7"/>
        <w:rPr>
          <w:rFonts w:asciiTheme="minorHAnsi" w:hAnsiTheme="minorHAnsi" w:cstheme="minorBidi"/>
          <w:color w:val="auto"/>
          <w:kern w:val="2"/>
          <w:szCs w:val="22"/>
          <w:lang w:eastAsia="zh-CN" w:bidi="ar-SA"/>
        </w:rPr>
      </w:pPr>
      <w:r>
        <w:fldChar w:fldCharType="begin"/>
      </w:r>
      <w:r>
        <w:instrText xml:space="preserve"> HYPERLINK \l "_Toc496541628" </w:instrText>
      </w:r>
      <w:r>
        <w:fldChar w:fldCharType="separate"/>
      </w:r>
      <w:r>
        <w:rPr>
          <w:rStyle w:val="13"/>
          <w:rFonts w:ascii="Arial" w:hAnsi="Arial" w:eastAsia="宋体" w:cs="Arial"/>
        </w:rPr>
        <w:t>V.</w:t>
      </w:r>
      <w:r>
        <w:rPr>
          <w:rFonts w:asciiTheme="minorHAnsi" w:hAnsiTheme="minorHAnsi" w:cstheme="minorBidi"/>
          <w:color w:val="auto"/>
          <w:kern w:val="2"/>
          <w:szCs w:val="22"/>
          <w:lang w:eastAsia="zh-CN" w:bidi="ar-SA"/>
        </w:rPr>
        <w:tab/>
      </w:r>
      <w:r>
        <w:rPr>
          <w:rStyle w:val="13"/>
          <w:rFonts w:hint="eastAsia" w:ascii="Arial" w:hAnsi="Arial" w:eastAsia="宋体" w:cs="Arial"/>
        </w:rPr>
        <w:t>动物研究的要素</w:t>
      </w:r>
      <w:r>
        <w:tab/>
      </w:r>
      <w:r>
        <w:fldChar w:fldCharType="begin"/>
      </w:r>
      <w:r>
        <w:instrText xml:space="preserve"> PAGEREF _Toc496541628 \h </w:instrText>
      </w:r>
      <w:r>
        <w:fldChar w:fldCharType="separate"/>
      </w:r>
      <w:r>
        <w:t>4</w:t>
      </w:r>
      <w:r>
        <w:fldChar w:fldCharType="end"/>
      </w:r>
      <w:r>
        <w:fldChar w:fldCharType="end"/>
      </w:r>
    </w:p>
    <w:p w14:paraId="42421D85">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"_Toc496541629" </w:instrText>
      </w:r>
      <w:r>
        <w:fldChar w:fldCharType="separate"/>
      </w:r>
      <w:r>
        <w:rPr>
          <w:rStyle w:val="13"/>
          <w:rFonts w:ascii="Arial" w:hAnsi="Arial" w:eastAsia="宋体" w:cs="Arial"/>
        </w:rPr>
        <w:t>A.</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选择动物模型的依据</w:t>
      </w:r>
      <w:r>
        <w:tab/>
      </w:r>
      <w:r>
        <w:fldChar w:fldCharType="begin"/>
      </w:r>
      <w:r>
        <w:instrText xml:space="preserve"> PAGEREF _Toc496541629 \h </w:instrText>
      </w:r>
      <w:r>
        <w:fldChar w:fldCharType="separate"/>
      </w:r>
      <w:r>
        <w:t>5</w:t>
      </w:r>
      <w:r>
        <w:fldChar w:fldCharType="end"/>
      </w:r>
      <w:r>
        <w:fldChar w:fldCharType="end"/>
      </w:r>
    </w:p>
    <w:p w14:paraId="0219404E">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"_Toc496541630" </w:instrText>
      </w:r>
      <w:r>
        <w:fldChar w:fldCharType="separate"/>
      </w:r>
      <w:r>
        <w:rPr>
          <w:rStyle w:val="13"/>
          <w:rFonts w:ascii="Arial" w:hAnsi="Arial" w:eastAsia="宋体" w:cs="Arial"/>
        </w:rPr>
        <w:t>B.</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研究保证</w:t>
      </w:r>
      <w:r>
        <w:tab/>
      </w:r>
      <w:r>
        <w:fldChar w:fldCharType="begin"/>
      </w:r>
      <w:r>
        <w:instrText xml:space="preserve"> PAGEREF _Toc496541630 \h </w:instrText>
      </w:r>
      <w:r>
        <w:fldChar w:fldCharType="separate"/>
      </w:r>
      <w:r>
        <w:t>5</w:t>
      </w:r>
      <w:r>
        <w:fldChar w:fldCharType="end"/>
      </w:r>
      <w:r>
        <w:fldChar w:fldCharType="end"/>
      </w:r>
    </w:p>
    <w:p w14:paraId="7CA3EA8F">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"_Toc496541631" </w:instrText>
      </w:r>
      <w:r>
        <w:fldChar w:fldCharType="separate"/>
      </w:r>
      <w:r>
        <w:rPr>
          <w:rStyle w:val="13"/>
          <w:rFonts w:ascii="Arial" w:hAnsi="Arial" w:eastAsia="宋体" w:cs="Arial"/>
        </w:rPr>
        <w:t>C.</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研究目的</w:t>
      </w:r>
      <w:r>
        <w:tab/>
      </w:r>
      <w:r>
        <w:fldChar w:fldCharType="begin"/>
      </w:r>
      <w:r>
        <w:instrText xml:space="preserve"> PAGEREF _Toc496541631 \h </w:instrText>
      </w:r>
      <w:r>
        <w:fldChar w:fldCharType="separate"/>
      </w:r>
      <w:r>
        <w:t>6</w:t>
      </w:r>
      <w:r>
        <w:fldChar w:fldCharType="end"/>
      </w:r>
      <w:r>
        <w:fldChar w:fldCharType="end"/>
      </w:r>
    </w:p>
    <w:p w14:paraId="7371AF7D">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"_Toc496541632" </w:instrText>
      </w:r>
      <w:r>
        <w:fldChar w:fldCharType="separate"/>
      </w:r>
      <w:r>
        <w:rPr>
          <w:rStyle w:val="13"/>
          <w:rFonts w:ascii="Arial" w:hAnsi="Arial" w:eastAsia="宋体" w:cs="Arial"/>
        </w:rPr>
        <w:t>1.</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性能和操作</w:t>
      </w:r>
      <w:r>
        <w:tab/>
      </w:r>
      <w:r>
        <w:fldChar w:fldCharType="begin"/>
      </w:r>
      <w:r>
        <w:instrText xml:space="preserve"> PAGEREF _Toc496541632 \h </w:instrText>
      </w:r>
      <w:r>
        <w:fldChar w:fldCharType="separate"/>
      </w:r>
      <w:r>
        <w:t>6</w:t>
      </w:r>
      <w:r>
        <w:fldChar w:fldCharType="end"/>
      </w:r>
      <w:r>
        <w:fldChar w:fldCharType="end"/>
      </w:r>
    </w:p>
    <w:p w14:paraId="7C2339C0">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"_Toc496541633" </w:instrText>
      </w:r>
      <w:r>
        <w:fldChar w:fldCharType="separate"/>
      </w:r>
      <w:r>
        <w:rPr>
          <w:rStyle w:val="13"/>
          <w:rFonts w:ascii="Arial" w:hAnsi="Arial" w:eastAsia="宋体" w:cs="Arial"/>
        </w:rPr>
        <w:t>2.</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器械安全性</w:t>
      </w:r>
      <w:r>
        <w:tab/>
      </w:r>
      <w:r>
        <w:fldChar w:fldCharType="begin"/>
      </w:r>
      <w:r>
        <w:instrText xml:space="preserve"> PAGEREF _Toc496541633 \h </w:instrText>
      </w:r>
      <w:r>
        <w:fldChar w:fldCharType="separate"/>
      </w:r>
      <w:r>
        <w:t>6</w:t>
      </w:r>
      <w:r>
        <w:fldChar w:fldCharType="end"/>
      </w:r>
      <w:r>
        <w:fldChar w:fldCharType="end"/>
      </w:r>
    </w:p>
    <w:p w14:paraId="351240EE">
      <w:pPr>
        <w:pStyle w:val="8"/>
        <w:tabs>
          <w:tab w:val="left" w:pos="1050"/>
          <w:tab w:val="right" w:leader="dot" w:pos="8296"/>
        </w:tabs>
        <w:ind w:left="720"/>
        <w:rPr>
          <w:rFonts w:asciiTheme="minorHAnsi" w:hAnsiTheme="minorHAnsi" w:eastAsiaTheme="minorEastAsia" w:cstheme="minorBidi"/>
          <w:color w:val="auto"/>
          <w:kern w:val="2"/>
          <w:szCs w:val="22"/>
          <w:lang w:eastAsia="zh-CN" w:bidi="ar-SA"/>
        </w:rPr>
      </w:pPr>
      <w:r>
        <w:fldChar w:fldCharType="begin"/>
      </w:r>
      <w:r>
        <w:instrText xml:space="preserve"> HYPERLINK \l "_Toc496541634" </w:instrText>
      </w:r>
      <w:r>
        <w:fldChar w:fldCharType="separate"/>
      </w:r>
      <w:r>
        <w:rPr>
          <w:rStyle w:val="13"/>
          <w:rFonts w:ascii="Arial" w:hAnsi="Arial" w:eastAsia="宋体" w:cs="Arial"/>
        </w:rPr>
        <w:t>a.</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生物反应</w:t>
      </w:r>
      <w:r>
        <w:tab/>
      </w:r>
      <w:r>
        <w:fldChar w:fldCharType="begin"/>
      </w:r>
      <w:r>
        <w:instrText xml:space="preserve"> PAGEREF _Toc496541634 \h </w:instrText>
      </w:r>
      <w:r>
        <w:fldChar w:fldCharType="separate"/>
      </w:r>
      <w:r>
        <w:t>6</w:t>
      </w:r>
      <w:r>
        <w:fldChar w:fldCharType="end"/>
      </w:r>
      <w:r>
        <w:fldChar w:fldCharType="end"/>
      </w:r>
    </w:p>
    <w:p w14:paraId="6EE95494">
      <w:pPr>
        <w:pStyle w:val="8"/>
        <w:tabs>
          <w:tab w:val="left" w:pos="1050"/>
          <w:tab w:val="right" w:leader="dot" w:pos="8296"/>
        </w:tabs>
        <w:ind w:left="720"/>
        <w:rPr>
          <w:rFonts w:asciiTheme="minorHAnsi" w:hAnsiTheme="minorHAnsi" w:eastAsiaTheme="minorEastAsia" w:cstheme="minorBidi"/>
          <w:color w:val="auto"/>
          <w:kern w:val="2"/>
          <w:szCs w:val="22"/>
          <w:lang w:eastAsia="zh-CN" w:bidi="ar-SA"/>
        </w:rPr>
      </w:pPr>
      <w:r>
        <w:fldChar w:fldCharType="begin"/>
      </w:r>
      <w:r>
        <w:instrText xml:space="preserve"> HYPERLINK \l "_Toc496541635" </w:instrText>
      </w:r>
      <w:r>
        <w:fldChar w:fldCharType="separate"/>
      </w:r>
      <w:r>
        <w:rPr>
          <w:rStyle w:val="13"/>
          <w:rFonts w:ascii="Arial" w:hAnsi="Arial" w:eastAsia="宋体" w:cs="Arial"/>
        </w:rPr>
        <w:t>b.</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非预期发病率和死亡率</w:t>
      </w:r>
      <w:r>
        <w:tab/>
      </w:r>
      <w:r>
        <w:fldChar w:fldCharType="begin"/>
      </w:r>
      <w:r>
        <w:instrText xml:space="preserve"> PAGEREF _Toc496541635 \h </w:instrText>
      </w:r>
      <w:r>
        <w:fldChar w:fldCharType="separate"/>
      </w:r>
      <w:r>
        <w:t>7</w:t>
      </w:r>
      <w:r>
        <w:fldChar w:fldCharType="end"/>
      </w:r>
      <w:r>
        <w:fldChar w:fldCharType="end"/>
      </w:r>
    </w:p>
    <w:p w14:paraId="709C304E">
      <w:pPr>
        <w:pStyle w:val="8"/>
        <w:tabs>
          <w:tab w:val="left" w:pos="1050"/>
          <w:tab w:val="right" w:leader="dot" w:pos="8296"/>
        </w:tabs>
        <w:ind w:left="720"/>
        <w:rPr>
          <w:rFonts w:asciiTheme="minorHAnsi" w:hAnsiTheme="minorHAnsi" w:eastAsiaTheme="minorEastAsia" w:cstheme="minorBidi"/>
          <w:color w:val="auto"/>
          <w:kern w:val="2"/>
          <w:szCs w:val="22"/>
          <w:lang w:eastAsia="zh-CN" w:bidi="ar-SA"/>
        </w:rPr>
      </w:pPr>
      <w:r>
        <w:fldChar w:fldCharType="begin"/>
      </w:r>
      <w:r>
        <w:instrText xml:space="preserve"> HYPERLINK \l "_Toc496541636" </w:instrText>
      </w:r>
      <w:r>
        <w:fldChar w:fldCharType="separate"/>
      </w:r>
      <w:r>
        <w:rPr>
          <w:rStyle w:val="13"/>
          <w:rFonts w:ascii="Arial" w:hAnsi="Arial" w:eastAsia="宋体" w:cs="Arial"/>
        </w:rPr>
        <w:t>c.</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下游和全身性反应</w:t>
      </w:r>
      <w:r>
        <w:tab/>
      </w:r>
      <w:r>
        <w:fldChar w:fldCharType="begin"/>
      </w:r>
      <w:r>
        <w:instrText xml:space="preserve"> PAGEREF _Toc496541636 \h </w:instrText>
      </w:r>
      <w:r>
        <w:fldChar w:fldCharType="separate"/>
      </w:r>
      <w:r>
        <w:t>7</w:t>
      </w:r>
      <w:r>
        <w:fldChar w:fldCharType="end"/>
      </w:r>
      <w:r>
        <w:fldChar w:fldCharType="end"/>
      </w:r>
    </w:p>
    <w:p w14:paraId="4C583092">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"_Toc496541637" </w:instrText>
      </w:r>
      <w:r>
        <w:fldChar w:fldCharType="separate"/>
      </w:r>
      <w:r>
        <w:rPr>
          <w:rStyle w:val="13"/>
          <w:rFonts w:ascii="Arial" w:hAnsi="Arial" w:eastAsia="宋体" w:cs="Arial"/>
        </w:rPr>
        <w:t>D.</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研究时间表</w:t>
      </w:r>
      <w:r>
        <w:tab/>
      </w:r>
      <w:r>
        <w:fldChar w:fldCharType="begin"/>
      </w:r>
      <w:r>
        <w:instrText xml:space="preserve"> PAGEREF _Toc496541637 \h </w:instrText>
      </w:r>
      <w:r>
        <w:fldChar w:fldCharType="separate"/>
      </w:r>
      <w:r>
        <w:t>7</w:t>
      </w:r>
      <w:r>
        <w:fldChar w:fldCharType="end"/>
      </w:r>
      <w:r>
        <w:fldChar w:fldCharType="end"/>
      </w:r>
    </w:p>
    <w:p w14:paraId="3F3A6979">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"_Toc496541638" </w:instrText>
      </w:r>
      <w:r>
        <w:fldChar w:fldCharType="separate"/>
      </w:r>
      <w:r>
        <w:rPr>
          <w:rStyle w:val="13"/>
          <w:rFonts w:ascii="Arial" w:hAnsi="Arial" w:eastAsia="宋体" w:cs="Arial"/>
        </w:rPr>
        <w:t>E.</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供试品和对照品</w:t>
      </w:r>
      <w:r>
        <w:tab/>
      </w:r>
      <w:r>
        <w:fldChar w:fldCharType="begin"/>
      </w:r>
      <w:r>
        <w:instrText xml:space="preserve"> PAGEREF _Toc496541638 \h </w:instrText>
      </w:r>
      <w:r>
        <w:fldChar w:fldCharType="separate"/>
      </w:r>
      <w:r>
        <w:t>8</w:t>
      </w:r>
      <w:r>
        <w:fldChar w:fldCharType="end"/>
      </w:r>
      <w:r>
        <w:fldChar w:fldCharType="end"/>
      </w:r>
    </w:p>
    <w:p w14:paraId="6464C5E0">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"_Toc496541639" </w:instrText>
      </w:r>
      <w:r>
        <w:fldChar w:fldCharType="separate"/>
      </w:r>
      <w:r>
        <w:rPr>
          <w:rStyle w:val="13"/>
          <w:rFonts w:ascii="Arial" w:hAnsi="Arial" w:eastAsia="宋体" w:cs="Arial"/>
        </w:rPr>
        <w:t>F.</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辅助器械和设备</w:t>
      </w:r>
      <w:r>
        <w:tab/>
      </w:r>
      <w:r>
        <w:fldChar w:fldCharType="begin"/>
      </w:r>
      <w:r>
        <w:instrText xml:space="preserve"> PAGEREF _Toc496541639 \h </w:instrText>
      </w:r>
      <w:r>
        <w:fldChar w:fldCharType="separate"/>
      </w:r>
      <w:r>
        <w:t>8</w:t>
      </w:r>
      <w:r>
        <w:fldChar w:fldCharType="end"/>
      </w:r>
      <w:r>
        <w:fldChar w:fldCharType="end"/>
      </w:r>
    </w:p>
    <w:p w14:paraId="36E6F23F">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"_Toc496541640" </w:instrText>
      </w:r>
      <w:r>
        <w:fldChar w:fldCharType="separate"/>
      </w:r>
      <w:r>
        <w:rPr>
          <w:rStyle w:val="13"/>
          <w:rFonts w:ascii="Arial" w:hAnsi="Arial" w:eastAsia="宋体" w:cs="Arial"/>
        </w:rPr>
        <w:t>G.</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试验系统</w:t>
      </w:r>
      <w:r>
        <w:tab/>
      </w:r>
      <w:r>
        <w:fldChar w:fldCharType="begin"/>
      </w:r>
      <w:r>
        <w:instrText xml:space="preserve"> PAGEREF _Toc496541640 \h </w:instrText>
      </w:r>
      <w:r>
        <w:fldChar w:fldCharType="separate"/>
      </w:r>
      <w:r>
        <w:t>9</w:t>
      </w:r>
      <w:r>
        <w:fldChar w:fldCharType="end"/>
      </w:r>
      <w:r>
        <w:fldChar w:fldCharType="end"/>
      </w:r>
    </w:p>
    <w:p w14:paraId="67CFF0D7">
      <w:pPr>
        <w:pStyle w:val="7"/>
        <w:rPr>
          <w:rFonts w:asciiTheme="minorHAnsi" w:hAnsiTheme="minorHAnsi" w:cstheme="minorBidi"/>
          <w:color w:val="auto"/>
          <w:kern w:val="2"/>
          <w:szCs w:val="22"/>
          <w:lang w:eastAsia="zh-CN" w:bidi="ar-SA"/>
        </w:rPr>
      </w:pPr>
      <w:r>
        <w:fldChar w:fldCharType="begin"/>
      </w:r>
      <w:r>
        <w:instrText xml:space="preserve"> HYPERLINK \l "_Toc496541641" </w:instrText>
      </w:r>
      <w:r>
        <w:fldChar w:fldCharType="separate"/>
      </w:r>
      <w:r>
        <w:rPr>
          <w:rStyle w:val="13"/>
          <w:rFonts w:ascii="Arial" w:hAnsi="Arial" w:eastAsia="宋体" w:cs="Arial"/>
        </w:rPr>
        <w:t>VI.</w:t>
      </w:r>
      <w:r>
        <w:rPr>
          <w:rFonts w:asciiTheme="minorHAnsi" w:hAnsiTheme="minorHAnsi" w:cstheme="minorBidi"/>
          <w:color w:val="auto"/>
          <w:kern w:val="2"/>
          <w:szCs w:val="22"/>
          <w:lang w:eastAsia="zh-CN" w:bidi="ar-SA"/>
        </w:rPr>
        <w:tab/>
      </w:r>
      <w:r>
        <w:rPr>
          <w:rStyle w:val="13"/>
          <w:rFonts w:hint="eastAsia" w:ascii="Arial" w:hAnsi="Arial" w:eastAsia="宋体" w:cs="Arial"/>
        </w:rPr>
        <w:t>人员</w:t>
      </w:r>
      <w:r>
        <w:tab/>
      </w:r>
      <w:r>
        <w:fldChar w:fldCharType="begin"/>
      </w:r>
      <w:r>
        <w:instrText xml:space="preserve"> PAGEREF _Toc496541641 \h </w:instrText>
      </w:r>
      <w:r>
        <w:fldChar w:fldCharType="separate"/>
      </w:r>
      <w:r>
        <w:t>9</w:t>
      </w:r>
      <w:r>
        <w:fldChar w:fldCharType="end"/>
      </w:r>
      <w:r>
        <w:fldChar w:fldCharType="end"/>
      </w:r>
    </w:p>
    <w:p w14:paraId="1153C519">
      <w:pPr>
        <w:pStyle w:val="7"/>
        <w:rPr>
          <w:rFonts w:asciiTheme="minorHAnsi" w:hAnsiTheme="minorHAnsi" w:cstheme="minorBidi"/>
          <w:color w:val="auto"/>
          <w:kern w:val="2"/>
          <w:szCs w:val="22"/>
          <w:lang w:eastAsia="zh-CN" w:bidi="ar-SA"/>
        </w:rPr>
      </w:pPr>
      <w:r>
        <w:fldChar w:fldCharType="begin"/>
      </w:r>
      <w:r>
        <w:instrText xml:space="preserve"> HYPERLINK \l "_Toc496541642" </w:instrText>
      </w:r>
      <w:r>
        <w:fldChar w:fldCharType="separate"/>
      </w:r>
      <w:r>
        <w:rPr>
          <w:rStyle w:val="13"/>
          <w:rFonts w:ascii="Arial" w:hAnsi="Arial" w:eastAsia="宋体" w:cs="Arial"/>
        </w:rPr>
        <w:t>VII.</w:t>
      </w:r>
      <w:r>
        <w:rPr>
          <w:rFonts w:asciiTheme="minorHAnsi" w:hAnsiTheme="minorHAnsi" w:cstheme="minorBidi"/>
          <w:color w:val="auto"/>
          <w:kern w:val="2"/>
          <w:szCs w:val="22"/>
          <w:lang w:eastAsia="zh-CN" w:bidi="ar-SA"/>
        </w:rPr>
        <w:tab/>
      </w:r>
      <w:r>
        <w:rPr>
          <w:rStyle w:val="13"/>
          <w:rFonts w:hint="eastAsia" w:ascii="Arial" w:hAnsi="Arial" w:eastAsia="宋体" w:cs="Arial"/>
        </w:rPr>
        <w:t>设施</w:t>
      </w:r>
      <w:r>
        <w:tab/>
      </w:r>
      <w:r>
        <w:fldChar w:fldCharType="begin"/>
      </w:r>
      <w:r>
        <w:instrText xml:space="preserve"> PAGEREF _Toc496541642 \h </w:instrText>
      </w:r>
      <w:r>
        <w:fldChar w:fldCharType="separate"/>
      </w:r>
      <w:r>
        <w:t>10</w:t>
      </w:r>
      <w:r>
        <w:fldChar w:fldCharType="end"/>
      </w:r>
      <w:r>
        <w:fldChar w:fldCharType="end"/>
      </w:r>
    </w:p>
    <w:p w14:paraId="078B123F">
      <w:pPr>
        <w:pStyle w:val="10"/>
        <w:rPr>
          <w:rStyle w:val="13"/>
          <w:rFonts w:ascii="Arial" w:hAnsi="Arial" w:eastAsia="宋体" w:cs="Arial"/>
        </w:rPr>
      </w:pPr>
      <w:r>
        <w:fldChar w:fldCharType="begin"/>
      </w:r>
      <w:r>
        <w:instrText xml:space="preserve"> HYPERLINK \l "_Toc496541643" </w:instrText>
      </w:r>
      <w:r>
        <w:fldChar w:fldCharType="separate"/>
      </w:r>
      <w:r>
        <w:rPr>
          <w:rStyle w:val="13"/>
          <w:rFonts w:ascii="Arial" w:hAnsi="Arial" w:eastAsia="宋体" w:cs="Arial"/>
        </w:rPr>
        <w:t>A.</w:t>
      </w:r>
      <w:r>
        <w:rPr>
          <w:rStyle w:val="13"/>
          <w:rFonts w:ascii="Arial" w:hAnsi="Arial" w:eastAsia="宋体" w:cs="Arial"/>
        </w:rPr>
        <w:tab/>
      </w:r>
      <w:r>
        <w:rPr>
          <w:rStyle w:val="13"/>
          <w:rFonts w:hint="eastAsia" w:ascii="Arial" w:hAnsi="Arial" w:eastAsia="宋体" w:cs="Arial"/>
        </w:rPr>
        <w:t>环境</w:t>
      </w:r>
      <w:r>
        <w:rPr>
          <w:rStyle w:val="13"/>
          <w:rFonts w:ascii="Arial" w:hAnsi="Arial" w:eastAsia="宋体" w:cs="Arial"/>
        </w:rPr>
        <w:tab/>
      </w:r>
      <w:r>
        <w:rPr>
          <w:rStyle w:val="13"/>
          <w:rFonts w:ascii="Arial" w:hAnsi="Arial" w:eastAsia="宋体" w:cs="Arial"/>
          <w:b/>
        </w:rPr>
        <w:tab/>
      </w:r>
      <w:r>
        <w:rPr>
          <w:rStyle w:val="13"/>
          <w:rFonts w:ascii="Arial" w:hAnsi="Arial" w:eastAsia="宋体" w:cs="Arial"/>
        </w:rPr>
        <w:fldChar w:fldCharType="begin"/>
      </w:r>
      <w:r>
        <w:rPr>
          <w:rStyle w:val="13"/>
          <w:rFonts w:ascii="Arial" w:hAnsi="Arial" w:eastAsia="宋体" w:cs="Arial"/>
        </w:rPr>
        <w:instrText xml:space="preserve"> PAGEREF _Toc496541643 \h </w:instrText>
      </w:r>
      <w:r>
        <w:rPr>
          <w:rStyle w:val="13"/>
          <w:rFonts w:ascii="Arial" w:hAnsi="Arial" w:eastAsia="宋体" w:cs="Arial"/>
        </w:rPr>
        <w:fldChar w:fldCharType="separate"/>
      </w:r>
      <w:r>
        <w:rPr>
          <w:rStyle w:val="13"/>
          <w:rFonts w:ascii="Arial" w:hAnsi="Arial" w:eastAsia="宋体" w:cs="Arial"/>
        </w:rPr>
        <w:t>10</w:t>
      </w:r>
      <w:r>
        <w:rPr>
          <w:rStyle w:val="13"/>
          <w:rFonts w:ascii="Arial" w:hAnsi="Arial" w:eastAsia="宋体" w:cs="Arial"/>
        </w:rPr>
        <w:fldChar w:fldCharType="end"/>
      </w:r>
      <w:r>
        <w:rPr>
          <w:rStyle w:val="13"/>
          <w:rFonts w:ascii="Arial" w:hAnsi="Arial" w:eastAsia="宋体" w:cs="Arial"/>
        </w:rPr>
        <w:fldChar w:fldCharType="end"/>
      </w:r>
    </w:p>
    <w:p w14:paraId="352E1A05">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"_Toc496541644" </w:instrText>
      </w:r>
      <w:r>
        <w:fldChar w:fldCharType="separate"/>
      </w:r>
      <w:r>
        <w:rPr>
          <w:rStyle w:val="13"/>
          <w:rFonts w:ascii="Arial" w:hAnsi="Arial" w:eastAsia="宋体" w:cs="Arial"/>
        </w:rPr>
        <w:t>B.</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动物分组</w:t>
      </w:r>
      <w:r>
        <w:tab/>
      </w:r>
      <w:r>
        <w:fldChar w:fldCharType="begin"/>
      </w:r>
      <w:r>
        <w:instrText xml:space="preserve"> PAGEREF _Toc496541644 \h </w:instrText>
      </w:r>
      <w:r>
        <w:fldChar w:fldCharType="separate"/>
      </w:r>
      <w:r>
        <w:t>10</w:t>
      </w:r>
      <w:r>
        <w:fldChar w:fldCharType="end"/>
      </w:r>
      <w:r>
        <w:fldChar w:fldCharType="end"/>
      </w:r>
    </w:p>
    <w:p w14:paraId="1A8E2F9F">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"_Toc496541645" </w:instrText>
      </w:r>
      <w:r>
        <w:fldChar w:fldCharType="separate"/>
      </w:r>
      <w:r>
        <w:rPr>
          <w:rStyle w:val="13"/>
          <w:rFonts w:ascii="Arial" w:hAnsi="Arial" w:eastAsia="宋体" w:cs="Arial"/>
        </w:rPr>
        <w:t>C.</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主要和次要笼舍</w:t>
      </w:r>
      <w:r>
        <w:tab/>
      </w:r>
      <w:r>
        <w:fldChar w:fldCharType="begin"/>
      </w:r>
      <w:r>
        <w:instrText xml:space="preserve"> PAGEREF _Toc496541645 \h </w:instrText>
      </w:r>
      <w:r>
        <w:fldChar w:fldCharType="separate"/>
      </w:r>
      <w:r>
        <w:t>10</w:t>
      </w:r>
      <w:r>
        <w:fldChar w:fldCharType="end"/>
      </w:r>
      <w:r>
        <w:fldChar w:fldCharType="end"/>
      </w:r>
    </w:p>
    <w:p w14:paraId="7A2E2CA7">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"_Toc496541646" </w:instrText>
      </w:r>
      <w:r>
        <w:fldChar w:fldCharType="separate"/>
      </w:r>
      <w:r>
        <w:rPr>
          <w:rStyle w:val="13"/>
          <w:rFonts w:ascii="Arial" w:hAnsi="Arial" w:eastAsia="宋体" w:cs="Arial"/>
        </w:rPr>
        <w:t>D.</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运输系统</w:t>
      </w:r>
      <w:r>
        <w:tab/>
      </w:r>
      <w:r>
        <w:fldChar w:fldCharType="begin"/>
      </w:r>
      <w:r>
        <w:instrText xml:space="preserve"> PAGEREF _Toc496541646 \h </w:instrText>
      </w:r>
      <w:r>
        <w:fldChar w:fldCharType="separate"/>
      </w:r>
      <w:r>
        <w:t>11</w:t>
      </w:r>
      <w:r>
        <w:fldChar w:fldCharType="end"/>
      </w:r>
      <w:r>
        <w:fldChar w:fldCharType="end"/>
      </w:r>
    </w:p>
    <w:p w14:paraId="529237A3">
      <w:pPr>
        <w:pStyle w:val="7"/>
        <w:rPr>
          <w:rFonts w:asciiTheme="minorHAnsi" w:hAnsiTheme="minorHAnsi" w:cstheme="minorBidi"/>
          <w:color w:val="auto"/>
          <w:kern w:val="2"/>
          <w:szCs w:val="22"/>
          <w:lang w:eastAsia="zh-CN" w:bidi="ar-SA"/>
        </w:rPr>
      </w:pPr>
      <w:r>
        <w:fldChar w:fldCharType="begin"/>
      </w:r>
      <w:r>
        <w:instrText xml:space="preserve"> HYPERLINK \l "_Toc496541647" </w:instrText>
      </w:r>
      <w:r>
        <w:fldChar w:fldCharType="separate"/>
      </w:r>
      <w:r>
        <w:rPr>
          <w:rStyle w:val="13"/>
          <w:rFonts w:ascii="Arial" w:hAnsi="Arial" w:eastAsia="宋体" w:cs="Arial"/>
        </w:rPr>
        <w:t>VIII.</w:t>
      </w:r>
      <w:r>
        <w:rPr>
          <w:rFonts w:asciiTheme="minorHAnsi" w:hAnsiTheme="minorHAnsi" w:cstheme="minorBidi"/>
          <w:color w:val="auto"/>
          <w:kern w:val="2"/>
          <w:szCs w:val="22"/>
          <w:lang w:eastAsia="zh-CN" w:bidi="ar-SA"/>
        </w:rPr>
        <w:tab/>
      </w:r>
      <w:r>
        <w:rPr>
          <w:rStyle w:val="13"/>
          <w:rFonts w:hint="eastAsia" w:ascii="Arial" w:hAnsi="Arial" w:eastAsia="宋体" w:cs="Arial"/>
        </w:rPr>
        <w:t>研究方法和实施</w:t>
      </w:r>
      <w:r>
        <w:tab/>
      </w:r>
      <w:r>
        <w:fldChar w:fldCharType="begin"/>
      </w:r>
      <w:r>
        <w:instrText xml:space="preserve"> PAGEREF _Toc496541647 \h </w:instrText>
      </w:r>
      <w:r>
        <w:fldChar w:fldCharType="separate"/>
      </w:r>
      <w:r>
        <w:t>11</w:t>
      </w:r>
      <w:r>
        <w:fldChar w:fldCharType="end"/>
      </w:r>
      <w:r>
        <w:fldChar w:fldCharType="end"/>
      </w:r>
    </w:p>
    <w:p w14:paraId="02E190E8">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"_Toc496541648" </w:instrText>
      </w:r>
      <w:r>
        <w:fldChar w:fldCharType="separate"/>
      </w:r>
      <w:r>
        <w:rPr>
          <w:rStyle w:val="13"/>
          <w:rFonts w:ascii="Arial" w:hAnsi="Arial" w:eastAsia="宋体" w:cs="Arial"/>
        </w:rPr>
        <w:t>A.</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研究对照</w:t>
      </w:r>
      <w:r>
        <w:tab/>
      </w:r>
      <w:r>
        <w:fldChar w:fldCharType="begin"/>
      </w:r>
      <w:r>
        <w:instrText xml:space="preserve"> PAGEREF _Toc496541648 \h </w:instrText>
      </w:r>
      <w:r>
        <w:fldChar w:fldCharType="separate"/>
      </w:r>
      <w:r>
        <w:t>11</w:t>
      </w:r>
      <w:r>
        <w:fldChar w:fldCharType="end"/>
      </w:r>
      <w:r>
        <w:fldChar w:fldCharType="end"/>
      </w:r>
    </w:p>
    <w:p w14:paraId="73D26F5F">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"_Toc496541649" </w:instrText>
      </w:r>
      <w:r>
        <w:fldChar w:fldCharType="separate"/>
      </w:r>
      <w:r>
        <w:rPr>
          <w:rStyle w:val="13"/>
          <w:rFonts w:ascii="Arial" w:hAnsi="Arial" w:eastAsia="宋体" w:cs="Arial"/>
        </w:rPr>
        <w:t>B.</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研究设备</w:t>
      </w:r>
      <w:r>
        <w:tab/>
      </w:r>
      <w:r>
        <w:fldChar w:fldCharType="begin"/>
      </w:r>
      <w:r>
        <w:instrText xml:space="preserve"> PAGEREF _Toc496541649 \h </w:instrText>
      </w:r>
      <w:r>
        <w:fldChar w:fldCharType="separate"/>
      </w:r>
      <w:r>
        <w:t>11</w:t>
      </w:r>
      <w:r>
        <w:fldChar w:fldCharType="end"/>
      </w:r>
      <w:r>
        <w:fldChar w:fldCharType="end"/>
      </w:r>
    </w:p>
    <w:p w14:paraId="54AEFEB3">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"_Toc496541650" </w:instrText>
      </w:r>
      <w:r>
        <w:fldChar w:fldCharType="separate"/>
      </w:r>
      <w:r>
        <w:rPr>
          <w:rStyle w:val="13"/>
          <w:rFonts w:ascii="Arial" w:hAnsi="Arial" w:eastAsia="宋体" w:cs="Arial"/>
        </w:rPr>
        <w:t>C.</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动物标识</w:t>
      </w:r>
      <w:r>
        <w:tab/>
      </w:r>
      <w:r>
        <w:fldChar w:fldCharType="begin"/>
      </w:r>
      <w:r>
        <w:instrText xml:space="preserve"> PAGEREF _Toc496541650 \h </w:instrText>
      </w:r>
      <w:r>
        <w:fldChar w:fldCharType="separate"/>
      </w:r>
      <w:r>
        <w:t>12</w:t>
      </w:r>
      <w:r>
        <w:fldChar w:fldCharType="end"/>
      </w:r>
      <w:r>
        <w:fldChar w:fldCharType="end"/>
      </w:r>
    </w:p>
    <w:p w14:paraId="31832D81">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"_Toc496541651" </w:instrText>
      </w:r>
      <w:r>
        <w:fldChar w:fldCharType="separate"/>
      </w:r>
      <w:r>
        <w:rPr>
          <w:rStyle w:val="13"/>
          <w:rFonts w:ascii="Arial" w:hAnsi="Arial" w:eastAsia="宋体" w:cs="Arial"/>
        </w:rPr>
        <w:t>D.</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动物隔离和调节</w:t>
      </w:r>
      <w:r>
        <w:tab/>
      </w:r>
      <w:r>
        <w:fldChar w:fldCharType="begin"/>
      </w:r>
      <w:r>
        <w:instrText xml:space="preserve"> PAGEREF _Toc496541651 \h </w:instrText>
      </w:r>
      <w:r>
        <w:fldChar w:fldCharType="separate"/>
      </w:r>
      <w:r>
        <w:t>12</w:t>
      </w:r>
      <w:r>
        <w:fldChar w:fldCharType="end"/>
      </w:r>
      <w:r>
        <w:fldChar w:fldCharType="end"/>
      </w:r>
    </w:p>
    <w:p w14:paraId="49662408">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"_Toc496541652" </w:instrText>
      </w:r>
      <w:r>
        <w:fldChar w:fldCharType="separate"/>
      </w:r>
      <w:r>
        <w:rPr>
          <w:rStyle w:val="13"/>
          <w:rFonts w:ascii="Arial" w:hAnsi="Arial" w:eastAsia="宋体" w:cs="Arial"/>
        </w:rPr>
        <w:t>E.</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动物的实验分组</w:t>
      </w:r>
      <w:r>
        <w:tab/>
      </w:r>
      <w:r>
        <w:fldChar w:fldCharType="begin"/>
      </w:r>
      <w:r>
        <w:instrText xml:space="preserve"> PAGEREF _Toc496541652 \h </w:instrText>
      </w:r>
      <w:r>
        <w:fldChar w:fldCharType="separate"/>
      </w:r>
      <w:r>
        <w:t>12</w:t>
      </w:r>
      <w:r>
        <w:fldChar w:fldCharType="end"/>
      </w:r>
      <w:r>
        <w:fldChar w:fldCharType="end"/>
      </w:r>
    </w:p>
    <w:p w14:paraId="6BA6513D">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"_Toc496541653" </w:instrText>
      </w:r>
      <w:r>
        <w:fldChar w:fldCharType="separate"/>
      </w:r>
      <w:r>
        <w:rPr>
          <w:rStyle w:val="13"/>
          <w:rFonts w:ascii="Arial" w:hAnsi="Arial" w:eastAsia="宋体" w:cs="Arial"/>
        </w:rPr>
        <w:t>F.</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食物、饮水和基本饲养条件</w:t>
      </w:r>
      <w:r>
        <w:tab/>
      </w:r>
      <w:r>
        <w:fldChar w:fldCharType="begin"/>
      </w:r>
      <w:r>
        <w:instrText xml:space="preserve"> PAGEREF _Toc496541653 \h </w:instrText>
      </w:r>
      <w:r>
        <w:fldChar w:fldCharType="separate"/>
      </w:r>
      <w:r>
        <w:t>13</w:t>
      </w:r>
      <w:r>
        <w:fldChar w:fldCharType="end"/>
      </w:r>
      <w:r>
        <w:fldChar w:fldCharType="end"/>
      </w:r>
    </w:p>
    <w:p w14:paraId="4AE6FE8E">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"_Toc496541654" </w:instrText>
      </w:r>
      <w:r>
        <w:fldChar w:fldCharType="separate"/>
      </w:r>
      <w:r>
        <w:rPr>
          <w:rStyle w:val="13"/>
          <w:rFonts w:ascii="Arial" w:hAnsi="Arial" w:eastAsia="宋体" w:cs="Arial"/>
        </w:rPr>
        <w:t>G.</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观察期</w:t>
      </w:r>
      <w:r>
        <w:tab/>
      </w:r>
      <w:r>
        <w:fldChar w:fldCharType="begin"/>
      </w:r>
      <w:r>
        <w:instrText xml:space="preserve"> PAGEREF _Toc496541654 \h </w:instrText>
      </w:r>
      <w:r>
        <w:fldChar w:fldCharType="separate"/>
      </w:r>
      <w:r>
        <w:t>14</w:t>
      </w:r>
      <w:r>
        <w:fldChar w:fldCharType="end"/>
      </w:r>
      <w:r>
        <w:fldChar w:fldCharType="end"/>
      </w:r>
    </w:p>
    <w:p w14:paraId="4A0685D9">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"_Toc496541655" </w:instrText>
      </w:r>
      <w:r>
        <w:fldChar w:fldCharType="separate"/>
      </w:r>
      <w:r>
        <w:rPr>
          <w:rStyle w:val="13"/>
          <w:rFonts w:ascii="Arial" w:hAnsi="Arial" w:eastAsia="宋体" w:cs="Arial"/>
        </w:rPr>
        <w:t>1.</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术中监测</w:t>
      </w:r>
      <w:r>
        <w:tab/>
      </w:r>
      <w:r>
        <w:fldChar w:fldCharType="begin"/>
      </w:r>
      <w:r>
        <w:instrText xml:space="preserve"> PAGEREF _Toc496541655 \h </w:instrText>
      </w:r>
      <w:r>
        <w:fldChar w:fldCharType="separate"/>
      </w:r>
      <w:r>
        <w:t>14</w:t>
      </w:r>
      <w:r>
        <w:fldChar w:fldCharType="end"/>
      </w:r>
      <w:r>
        <w:fldChar w:fldCharType="end"/>
      </w:r>
    </w:p>
    <w:p w14:paraId="70F674BB">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"_Toc496541656" </w:instrText>
      </w:r>
      <w:r>
        <w:fldChar w:fldCharType="separate"/>
      </w:r>
      <w:r>
        <w:rPr>
          <w:rStyle w:val="13"/>
          <w:rFonts w:ascii="Arial" w:hAnsi="Arial" w:eastAsia="宋体" w:cs="Arial"/>
        </w:rPr>
        <w:t>2.</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急性研究</w:t>
      </w:r>
      <w:r>
        <w:tab/>
      </w:r>
      <w:r>
        <w:fldChar w:fldCharType="begin"/>
      </w:r>
      <w:r>
        <w:instrText xml:space="preserve"> PAGEREF _Toc496541656 \h </w:instrText>
      </w:r>
      <w:r>
        <w:fldChar w:fldCharType="separate"/>
      </w:r>
      <w:r>
        <w:t>15</w:t>
      </w:r>
      <w:r>
        <w:fldChar w:fldCharType="end"/>
      </w:r>
      <w:r>
        <w:fldChar w:fldCharType="end"/>
      </w:r>
    </w:p>
    <w:p w14:paraId="62EC562C">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"_Toc496541657" </w:instrText>
      </w:r>
      <w:r>
        <w:fldChar w:fldCharType="separate"/>
      </w:r>
      <w:r>
        <w:rPr>
          <w:rStyle w:val="13"/>
          <w:rFonts w:ascii="Arial" w:hAnsi="Arial" w:eastAsia="宋体" w:cs="Arial"/>
        </w:rPr>
        <w:t>3.</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慢性研究</w:t>
      </w:r>
      <w:r>
        <w:tab/>
      </w:r>
      <w:r>
        <w:fldChar w:fldCharType="begin"/>
      </w:r>
      <w:r>
        <w:instrText xml:space="preserve"> PAGEREF _Toc496541657 \h </w:instrText>
      </w:r>
      <w:r>
        <w:fldChar w:fldCharType="separate"/>
      </w:r>
      <w:r>
        <w:t>15</w:t>
      </w:r>
      <w:r>
        <w:fldChar w:fldCharType="end"/>
      </w:r>
      <w:r>
        <w:fldChar w:fldCharType="end"/>
      </w:r>
    </w:p>
    <w:p w14:paraId="7C2D12FA">
      <w:pPr>
        <w:pStyle w:val="8"/>
        <w:tabs>
          <w:tab w:val="left" w:pos="1050"/>
          <w:tab w:val="right" w:leader="dot" w:pos="8296"/>
        </w:tabs>
        <w:ind w:left="720"/>
        <w:rPr>
          <w:rFonts w:asciiTheme="minorHAnsi" w:hAnsiTheme="minorHAnsi" w:eastAsiaTheme="minorEastAsia" w:cstheme="minorBidi"/>
          <w:color w:val="auto"/>
          <w:kern w:val="2"/>
          <w:szCs w:val="22"/>
          <w:lang w:eastAsia="zh-CN" w:bidi="ar-SA"/>
        </w:rPr>
      </w:pPr>
      <w:r>
        <w:fldChar w:fldCharType="begin"/>
      </w:r>
      <w:r>
        <w:instrText xml:space="preserve"> HYPERLINK \l "_Toc496541658" </w:instrText>
      </w:r>
      <w:r>
        <w:fldChar w:fldCharType="separate"/>
      </w:r>
      <w:r>
        <w:rPr>
          <w:rStyle w:val="13"/>
          <w:rFonts w:ascii="Arial" w:hAnsi="Arial" w:eastAsia="宋体" w:cs="Arial"/>
        </w:rPr>
        <w:t>a.</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术后阶段</w:t>
      </w:r>
      <w:r>
        <w:tab/>
      </w:r>
      <w:r>
        <w:fldChar w:fldCharType="begin"/>
      </w:r>
      <w:r>
        <w:instrText xml:space="preserve"> PAGEREF _Toc496541658 \h </w:instrText>
      </w:r>
      <w:r>
        <w:fldChar w:fldCharType="separate"/>
      </w:r>
      <w:r>
        <w:t>15</w:t>
      </w:r>
      <w:r>
        <w:fldChar w:fldCharType="end"/>
      </w:r>
      <w:r>
        <w:fldChar w:fldCharType="end"/>
      </w:r>
    </w:p>
    <w:p w14:paraId="25CF3271">
      <w:pPr>
        <w:pStyle w:val="8"/>
        <w:tabs>
          <w:tab w:val="left" w:pos="1050"/>
          <w:tab w:val="right" w:leader="dot" w:pos="8296"/>
        </w:tabs>
        <w:ind w:left="720"/>
        <w:rPr>
          <w:rFonts w:asciiTheme="minorHAnsi" w:hAnsiTheme="minorHAnsi" w:eastAsiaTheme="minorEastAsia" w:cstheme="minorBidi"/>
          <w:color w:val="auto"/>
          <w:kern w:val="2"/>
          <w:szCs w:val="22"/>
          <w:lang w:eastAsia="zh-CN" w:bidi="ar-SA"/>
        </w:rPr>
      </w:pPr>
      <w:r>
        <w:fldChar w:fldCharType="begin"/>
      </w:r>
      <w:r>
        <w:instrText xml:space="preserve"> HYPERLINK \l "_Toc496541659" </w:instrText>
      </w:r>
      <w:r>
        <w:fldChar w:fldCharType="separate"/>
      </w:r>
      <w:r>
        <w:rPr>
          <w:rStyle w:val="13"/>
          <w:rFonts w:ascii="Arial" w:hAnsi="Arial" w:eastAsia="宋体" w:cs="Arial"/>
        </w:rPr>
        <w:t>b.</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中期观察</w:t>
      </w:r>
      <w:r>
        <w:tab/>
      </w:r>
      <w:r>
        <w:fldChar w:fldCharType="begin"/>
      </w:r>
      <w:r>
        <w:instrText xml:space="preserve"> PAGEREF _Toc496541659 \h </w:instrText>
      </w:r>
      <w:r>
        <w:fldChar w:fldCharType="separate"/>
      </w:r>
      <w:r>
        <w:t>15</w:t>
      </w:r>
      <w:r>
        <w:fldChar w:fldCharType="end"/>
      </w:r>
      <w:r>
        <w:fldChar w:fldCharType="end"/>
      </w:r>
    </w:p>
    <w:p w14:paraId="1BF8A295">
      <w:pPr>
        <w:pStyle w:val="8"/>
        <w:tabs>
          <w:tab w:val="left" w:pos="1050"/>
          <w:tab w:val="right" w:leader="dot" w:pos="8296"/>
        </w:tabs>
        <w:ind w:left="720"/>
        <w:rPr>
          <w:rFonts w:asciiTheme="minorHAnsi" w:hAnsiTheme="minorHAnsi" w:eastAsiaTheme="minorEastAsia" w:cstheme="minorBidi"/>
          <w:color w:val="auto"/>
          <w:kern w:val="2"/>
          <w:szCs w:val="22"/>
          <w:lang w:eastAsia="zh-CN" w:bidi="ar-SA"/>
        </w:rPr>
      </w:pPr>
      <w:r>
        <w:fldChar w:fldCharType="begin"/>
      </w:r>
      <w:r>
        <w:instrText xml:space="preserve"> HYPERLINK \l "_Toc496541660" </w:instrText>
      </w:r>
      <w:r>
        <w:fldChar w:fldCharType="separate"/>
      </w:r>
      <w:r>
        <w:rPr>
          <w:rStyle w:val="13"/>
          <w:rFonts w:ascii="Arial" w:hAnsi="Arial" w:eastAsia="宋体" w:cs="Arial"/>
        </w:rPr>
        <w:t>c.</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终末研究阶段</w:t>
      </w:r>
      <w:r>
        <w:tab/>
      </w:r>
      <w:r>
        <w:fldChar w:fldCharType="begin"/>
      </w:r>
      <w:r>
        <w:instrText xml:space="preserve"> PAGEREF _Toc496541660 \h </w:instrText>
      </w:r>
      <w:r>
        <w:fldChar w:fldCharType="separate"/>
      </w:r>
      <w:r>
        <w:t>15</w:t>
      </w:r>
      <w:r>
        <w:fldChar w:fldCharType="end"/>
      </w:r>
      <w:r>
        <w:fldChar w:fldCharType="end"/>
      </w:r>
    </w:p>
    <w:p w14:paraId="3D7A86A4">
      <w:pPr>
        <w:pStyle w:val="8"/>
        <w:tabs>
          <w:tab w:val="left" w:pos="1050"/>
          <w:tab w:val="right" w:leader="dot" w:pos="8296"/>
        </w:tabs>
        <w:ind w:left="720"/>
        <w:rPr>
          <w:rFonts w:asciiTheme="minorHAnsi" w:hAnsiTheme="minorHAnsi" w:eastAsiaTheme="minorEastAsia" w:cstheme="minorBidi"/>
          <w:color w:val="auto"/>
          <w:kern w:val="2"/>
          <w:szCs w:val="22"/>
          <w:lang w:eastAsia="zh-CN" w:bidi="ar-SA"/>
        </w:rPr>
      </w:pPr>
      <w:r>
        <w:fldChar w:fldCharType="begin"/>
      </w:r>
      <w:r>
        <w:instrText xml:space="preserve"> HYPERLINK \l "_Toc496541661" </w:instrText>
      </w:r>
      <w:r>
        <w:fldChar w:fldCharType="separate"/>
      </w:r>
      <w:r>
        <w:rPr>
          <w:rStyle w:val="13"/>
          <w:rFonts w:ascii="Arial" w:hAnsi="Arial" w:eastAsia="宋体" w:cs="Arial"/>
        </w:rPr>
        <w:t>d.</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尸检和死后评价</w:t>
      </w:r>
      <w:r>
        <w:tab/>
      </w:r>
      <w:r>
        <w:fldChar w:fldCharType="begin"/>
      </w:r>
      <w:r>
        <w:instrText xml:space="preserve"> PAGEREF _Toc496541661 \h </w:instrText>
      </w:r>
      <w:r>
        <w:fldChar w:fldCharType="separate"/>
      </w:r>
      <w:r>
        <w:t>16</w:t>
      </w:r>
      <w:r>
        <w:fldChar w:fldCharType="end"/>
      </w:r>
      <w:r>
        <w:fldChar w:fldCharType="end"/>
      </w:r>
    </w:p>
    <w:p w14:paraId="4D3DFD6D">
      <w:pPr>
        <w:pStyle w:val="10"/>
        <w:rPr>
          <w:rFonts w:asciiTheme="minorHAnsi" w:hAnsiTheme="minorHAnsi" w:eastAsiaTheme="minorEastAsia" w:cstheme="minorBidi"/>
          <w:color w:val="auto"/>
          <w:kern w:val="2"/>
          <w:szCs w:val="22"/>
          <w:lang w:eastAsia="zh-CN" w:bidi="ar-SA"/>
        </w:rPr>
      </w:pPr>
      <w:r>
        <w:fldChar w:fldCharType="begin"/>
      </w:r>
      <w:r>
        <w:instrText xml:space="preserve"> HYPERLINK \l "_Toc496541662" </w:instrText>
      </w:r>
      <w:r>
        <w:fldChar w:fldCharType="separate"/>
      </w:r>
      <w:r>
        <w:rPr>
          <w:rStyle w:val="13"/>
          <w:rFonts w:ascii="Arial" w:hAnsi="Arial" w:eastAsia="宋体" w:cs="Arial"/>
        </w:rPr>
        <w:t>H.</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死后成像和评估方法</w:t>
      </w:r>
      <w:r>
        <w:tab/>
      </w:r>
      <w:r>
        <w:fldChar w:fldCharType="begin"/>
      </w:r>
      <w:r>
        <w:instrText xml:space="preserve"> PAGEREF _Toc496541662 \h </w:instrText>
      </w:r>
      <w:r>
        <w:fldChar w:fldCharType="separate"/>
      </w:r>
      <w:r>
        <w:t>16</w:t>
      </w:r>
      <w:r>
        <w:fldChar w:fldCharType="end"/>
      </w:r>
      <w:r>
        <w:fldChar w:fldCharType="end"/>
      </w:r>
    </w:p>
    <w:p w14:paraId="4F46DECA">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"_Toc496541663" </w:instrText>
      </w:r>
      <w:r>
        <w:fldChar w:fldCharType="separate"/>
      </w:r>
      <w:r>
        <w:rPr>
          <w:rStyle w:val="13"/>
          <w:rFonts w:ascii="Arial" w:hAnsi="Arial" w:eastAsia="宋体" w:cs="Arial"/>
        </w:rPr>
        <w:t>1.</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外植体成像（即放射线照相术、显微</w:t>
      </w:r>
      <w:r>
        <w:rPr>
          <w:rStyle w:val="13"/>
          <w:rFonts w:ascii="Arial" w:hAnsi="Arial" w:eastAsia="宋体" w:cs="Arial"/>
        </w:rPr>
        <w:t>CT</w:t>
      </w:r>
      <w:r>
        <w:rPr>
          <w:rStyle w:val="13"/>
          <w:rFonts w:hint="eastAsia" w:ascii="Arial" w:hAnsi="Arial" w:eastAsia="宋体" w:cs="Arial"/>
        </w:rPr>
        <w:t>）</w:t>
      </w:r>
      <w:r>
        <w:tab/>
      </w:r>
      <w:r>
        <w:fldChar w:fldCharType="begin"/>
      </w:r>
      <w:r>
        <w:instrText xml:space="preserve"> PAGEREF _Toc496541663 \h </w:instrText>
      </w:r>
      <w:r>
        <w:fldChar w:fldCharType="separate"/>
      </w:r>
      <w:r>
        <w:t>16</w:t>
      </w:r>
      <w:r>
        <w:fldChar w:fldCharType="end"/>
      </w:r>
      <w:r>
        <w:fldChar w:fldCharType="end"/>
      </w:r>
    </w:p>
    <w:p w14:paraId="694AD89D">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"_Toc496541664" </w:instrText>
      </w:r>
      <w:r>
        <w:fldChar w:fldCharType="separate"/>
      </w:r>
      <w:r>
        <w:rPr>
          <w:rStyle w:val="13"/>
          <w:rFonts w:ascii="Arial" w:hAnsi="Arial" w:eastAsia="宋体" w:cs="Arial"/>
        </w:rPr>
        <w:t>2.</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扫描电子显微镜（</w:t>
      </w:r>
      <w:r>
        <w:rPr>
          <w:rStyle w:val="13"/>
          <w:rFonts w:ascii="Arial" w:hAnsi="Arial" w:eastAsia="宋体" w:cs="Arial"/>
        </w:rPr>
        <w:t>SEM</w:t>
      </w:r>
      <w:r>
        <w:rPr>
          <w:rStyle w:val="13"/>
          <w:rFonts w:hint="eastAsia" w:ascii="Arial" w:hAnsi="Arial" w:eastAsia="宋体" w:cs="Arial"/>
        </w:rPr>
        <w:t>）</w:t>
      </w:r>
      <w:r>
        <w:tab/>
      </w:r>
      <w:r>
        <w:fldChar w:fldCharType="begin"/>
      </w:r>
      <w:r>
        <w:instrText xml:space="preserve"> PAGEREF _Toc496541664 \h </w:instrText>
      </w:r>
      <w:r>
        <w:fldChar w:fldCharType="separate"/>
      </w:r>
      <w:r>
        <w:t>16</w:t>
      </w:r>
      <w:r>
        <w:fldChar w:fldCharType="end"/>
      </w:r>
      <w:r>
        <w:fldChar w:fldCharType="end"/>
      </w:r>
    </w:p>
    <w:p w14:paraId="05FA6B98">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"_Toc496541665" </w:instrText>
      </w:r>
      <w:r>
        <w:fldChar w:fldCharType="separate"/>
      </w:r>
      <w:r>
        <w:rPr>
          <w:rStyle w:val="13"/>
          <w:rFonts w:ascii="Arial" w:hAnsi="Arial" w:eastAsia="宋体" w:cs="Arial"/>
        </w:rPr>
        <w:t>3.</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组织形态分析</w:t>
      </w:r>
      <w:r>
        <w:tab/>
      </w:r>
      <w:r>
        <w:fldChar w:fldCharType="begin"/>
      </w:r>
      <w:r>
        <w:instrText xml:space="preserve"> PAGEREF _Toc496541665 \h </w:instrText>
      </w:r>
      <w:r>
        <w:fldChar w:fldCharType="separate"/>
      </w:r>
      <w:r>
        <w:t>16</w:t>
      </w:r>
      <w:r>
        <w:fldChar w:fldCharType="end"/>
      </w:r>
      <w:r>
        <w:fldChar w:fldCharType="end"/>
      </w:r>
    </w:p>
    <w:p w14:paraId="4881E1EA">
      <w:pPr>
        <w:pStyle w:val="3"/>
        <w:tabs>
          <w:tab w:val="left" w:pos="840"/>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"_Toc496541666" </w:instrText>
      </w:r>
      <w:r>
        <w:fldChar w:fldCharType="separate"/>
      </w:r>
      <w:r>
        <w:rPr>
          <w:rStyle w:val="13"/>
          <w:rFonts w:ascii="Arial" w:hAnsi="Arial" w:eastAsia="宋体" w:cs="Arial"/>
        </w:rPr>
        <w:t>4.</w:t>
      </w:r>
      <w:r>
        <w:rPr>
          <w:rFonts w:asciiTheme="minorHAnsi" w:hAnsiTheme="minorHAnsi" w:eastAsiaTheme="minorEastAsia" w:cstheme="minorBidi"/>
          <w:color w:val="auto"/>
          <w:kern w:val="2"/>
          <w:szCs w:val="22"/>
          <w:lang w:eastAsia="zh-CN" w:bidi="ar-SA"/>
        </w:rPr>
        <w:tab/>
      </w:r>
      <w:r>
        <w:rPr>
          <w:rStyle w:val="13"/>
          <w:rFonts w:hint="eastAsia" w:ascii="Arial" w:hAnsi="Arial" w:eastAsia="宋体" w:cs="Arial"/>
        </w:rPr>
        <w:t>局部和下游组织评估</w:t>
      </w:r>
      <w:r>
        <w:tab/>
      </w:r>
      <w:r>
        <w:fldChar w:fldCharType="begin"/>
      </w:r>
      <w:r>
        <w:instrText xml:space="preserve"> PAGEREF _Toc496541666 \h </w:instrText>
      </w:r>
      <w:r>
        <w:fldChar w:fldCharType="separate"/>
      </w:r>
      <w:r>
        <w:t>17</w:t>
      </w:r>
      <w:r>
        <w:fldChar w:fldCharType="end"/>
      </w:r>
      <w:r>
        <w:fldChar w:fldCharType="end"/>
      </w:r>
    </w:p>
    <w:p w14:paraId="2E966C3B">
      <w:pPr>
        <w:pStyle w:val="7"/>
        <w:rPr>
          <w:rFonts w:asciiTheme="minorHAnsi" w:hAnsiTheme="minorHAnsi" w:cstheme="minorBidi"/>
          <w:color w:val="auto"/>
          <w:kern w:val="2"/>
          <w:szCs w:val="22"/>
          <w:lang w:eastAsia="zh-CN" w:bidi="ar-SA"/>
        </w:rPr>
      </w:pPr>
      <w:r>
        <w:fldChar w:fldCharType="begin"/>
      </w:r>
      <w:r>
        <w:instrText xml:space="preserve"> HYPERLINK \l "_Toc496541667" </w:instrText>
      </w:r>
      <w:r>
        <w:fldChar w:fldCharType="separate"/>
      </w:r>
      <w:r>
        <w:rPr>
          <w:rStyle w:val="13"/>
          <w:rFonts w:ascii="Arial" w:hAnsi="Arial" w:eastAsia="宋体" w:cs="Arial"/>
        </w:rPr>
        <w:t>IX.</w:t>
      </w:r>
      <w:r>
        <w:rPr>
          <w:rFonts w:asciiTheme="minorHAnsi" w:hAnsiTheme="minorHAnsi" w:cstheme="minorBidi"/>
          <w:color w:val="auto"/>
          <w:kern w:val="2"/>
          <w:szCs w:val="22"/>
          <w:lang w:eastAsia="zh-CN" w:bidi="ar-SA"/>
        </w:rPr>
        <w:tab/>
      </w:r>
      <w:r>
        <w:rPr>
          <w:rStyle w:val="13"/>
          <w:rFonts w:hint="eastAsia" w:ascii="Arial" w:hAnsi="Arial" w:eastAsia="宋体" w:cs="Arial"/>
        </w:rPr>
        <w:t>记录和报告</w:t>
      </w:r>
      <w:r>
        <w:tab/>
      </w:r>
      <w:r>
        <w:fldChar w:fldCharType="begin"/>
      </w:r>
      <w:r>
        <w:instrText xml:space="preserve"> PAGEREF _Toc496541667 \h </w:instrText>
      </w:r>
      <w:r>
        <w:fldChar w:fldCharType="separate"/>
      </w:r>
      <w:r>
        <w:t>17</w:t>
      </w:r>
      <w:r>
        <w:fldChar w:fldCharType="end"/>
      </w:r>
      <w:r>
        <w:fldChar w:fldCharType="end"/>
      </w:r>
    </w:p>
    <w:p w14:paraId="642B70A5">
      <w:pPr>
        <w:pStyle w:val="7"/>
        <w:rPr>
          <w:rFonts w:asciiTheme="minorHAnsi" w:hAnsiTheme="minorHAnsi" w:cstheme="minorBidi"/>
          <w:color w:val="auto"/>
          <w:kern w:val="2"/>
          <w:szCs w:val="22"/>
          <w:lang w:eastAsia="zh-CN" w:bidi="ar-SA"/>
        </w:rPr>
      </w:pPr>
      <w:r>
        <w:fldChar w:fldCharType="begin"/>
      </w:r>
      <w:r>
        <w:instrText xml:space="preserve"> HYPERLINK \l "_Toc496541668" </w:instrText>
      </w:r>
      <w:r>
        <w:fldChar w:fldCharType="separate"/>
      </w:r>
      <w:r>
        <w:rPr>
          <w:rStyle w:val="13"/>
          <w:rFonts w:ascii="Arial" w:hAnsi="Arial" w:eastAsia="宋体" w:cs="Arial"/>
        </w:rPr>
        <w:t>X.</w:t>
      </w:r>
      <w:r>
        <w:rPr>
          <w:rFonts w:asciiTheme="minorHAnsi" w:hAnsiTheme="minorHAnsi" w:cstheme="minorBidi"/>
          <w:color w:val="auto"/>
          <w:kern w:val="2"/>
          <w:szCs w:val="22"/>
          <w:lang w:eastAsia="zh-CN" w:bidi="ar-SA"/>
        </w:rPr>
        <w:tab/>
      </w:r>
      <w:r>
        <w:rPr>
          <w:rStyle w:val="13"/>
          <w:rFonts w:hint="eastAsia" w:ascii="Arial" w:hAnsi="Arial" w:eastAsia="宋体" w:cs="Arial"/>
        </w:rPr>
        <w:t>注册提交资料的准备</w:t>
      </w:r>
      <w:r>
        <w:tab/>
      </w:r>
      <w:r>
        <w:fldChar w:fldCharType="begin"/>
      </w:r>
      <w:r>
        <w:instrText xml:space="preserve"> PAGEREF _Toc496541668 \h </w:instrText>
      </w:r>
      <w:r>
        <w:fldChar w:fldCharType="separate"/>
      </w:r>
      <w:r>
        <w:t>18</w:t>
      </w:r>
      <w:r>
        <w:fldChar w:fldCharType="end"/>
      </w:r>
      <w:r>
        <w:fldChar w:fldCharType="end"/>
      </w:r>
    </w:p>
    <w:p w14:paraId="2E1E2F27">
      <w:pPr>
        <w:pStyle w:val="3"/>
        <w:tabs>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"_Toc496541669" </w:instrText>
      </w:r>
      <w:r>
        <w:fldChar w:fldCharType="separate"/>
      </w:r>
      <w:r>
        <w:rPr>
          <w:rStyle w:val="13"/>
          <w:rFonts w:hint="eastAsia" w:ascii="Arial" w:hAnsi="Arial" w:eastAsia="宋体" w:cs="Arial"/>
        </w:rPr>
        <w:t>附录</w:t>
      </w:r>
      <w:r>
        <w:rPr>
          <w:rStyle w:val="13"/>
          <w:rFonts w:ascii="Arial" w:hAnsi="Arial" w:eastAsia="宋体" w:cs="Arial"/>
        </w:rPr>
        <w:t>A</w:t>
      </w:r>
      <w:r>
        <w:rPr>
          <w:rStyle w:val="13"/>
          <w:rFonts w:hint="eastAsia" w:ascii="Arial" w:hAnsi="Arial" w:eastAsia="宋体" w:cs="Arial"/>
        </w:rPr>
        <w:t>：与动物研究有关的常见缩写</w:t>
      </w:r>
      <w:r>
        <w:tab/>
      </w:r>
      <w:r>
        <w:fldChar w:fldCharType="begin"/>
      </w:r>
      <w:r>
        <w:instrText xml:space="preserve"> PAGEREF _Toc496541669 \h </w:instrText>
      </w:r>
      <w:r>
        <w:fldChar w:fldCharType="separate"/>
      </w:r>
      <w:r>
        <w:t>20</w:t>
      </w:r>
      <w:r>
        <w:fldChar w:fldCharType="end"/>
      </w:r>
      <w:r>
        <w:fldChar w:fldCharType="end"/>
      </w:r>
    </w:p>
    <w:p w14:paraId="62232DE0">
      <w:pPr>
        <w:pStyle w:val="3"/>
        <w:tabs>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"_Toc496541670" </w:instrText>
      </w:r>
      <w:r>
        <w:fldChar w:fldCharType="separate"/>
      </w:r>
      <w:r>
        <w:rPr>
          <w:rStyle w:val="13"/>
          <w:rFonts w:hint="eastAsia" w:ascii="Arial" w:hAnsi="Arial" w:eastAsia="宋体" w:cs="Arial"/>
        </w:rPr>
        <w:t>附录</w:t>
      </w:r>
      <w:r>
        <w:rPr>
          <w:rStyle w:val="13"/>
          <w:rFonts w:ascii="Arial" w:hAnsi="Arial" w:eastAsia="宋体" w:cs="Arial"/>
        </w:rPr>
        <w:t>B</w:t>
      </w:r>
      <w:r>
        <w:rPr>
          <w:rStyle w:val="13"/>
          <w:rFonts w:hint="eastAsia" w:ascii="Arial" w:hAnsi="Arial" w:eastAsia="宋体" w:cs="Arial"/>
        </w:rPr>
        <w:t>：医疗器械动物研究的样本决策树</w:t>
      </w:r>
      <w:r>
        <w:tab/>
      </w:r>
      <w:r>
        <w:fldChar w:fldCharType="begin"/>
      </w:r>
      <w:r>
        <w:instrText xml:space="preserve"> PAGEREF _Toc496541670 \h </w:instrText>
      </w:r>
      <w:r>
        <w:fldChar w:fldCharType="separate"/>
      </w:r>
      <w:r>
        <w:t>21</w:t>
      </w:r>
      <w:r>
        <w:fldChar w:fldCharType="end"/>
      </w:r>
      <w:r>
        <w:fldChar w:fldCharType="end"/>
      </w:r>
    </w:p>
    <w:p w14:paraId="25A601C7">
      <w:pPr>
        <w:pStyle w:val="3"/>
        <w:tabs>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"_Toc496541671" </w:instrText>
      </w:r>
      <w:r>
        <w:fldChar w:fldCharType="separate"/>
      </w:r>
      <w:r>
        <w:rPr>
          <w:rStyle w:val="13"/>
          <w:rFonts w:hint="eastAsia" w:ascii="Arial" w:hAnsi="Arial" w:eastAsia="宋体" w:cs="Arial"/>
        </w:rPr>
        <w:t>附录</w:t>
      </w:r>
      <w:r>
        <w:rPr>
          <w:rStyle w:val="13"/>
          <w:rFonts w:ascii="Arial" w:hAnsi="Arial" w:eastAsia="宋体" w:cs="Arial"/>
        </w:rPr>
        <w:t>C</w:t>
      </w:r>
      <w:r>
        <w:rPr>
          <w:rStyle w:val="13"/>
          <w:rFonts w:hint="eastAsia" w:ascii="Arial" w:hAnsi="Arial" w:eastAsia="宋体" w:cs="Arial"/>
        </w:rPr>
        <w:t>：考虑推荐的动物研究对照</w:t>
      </w:r>
      <w:r>
        <w:tab/>
      </w:r>
      <w:r>
        <w:fldChar w:fldCharType="begin"/>
      </w:r>
      <w:r>
        <w:instrText xml:space="preserve"> PAGEREF _Toc496541671 \h </w:instrText>
      </w:r>
      <w:r>
        <w:fldChar w:fldCharType="separate"/>
      </w:r>
      <w:r>
        <w:t>23</w:t>
      </w:r>
      <w:r>
        <w:fldChar w:fldCharType="end"/>
      </w:r>
      <w:r>
        <w:fldChar w:fldCharType="end"/>
      </w:r>
    </w:p>
    <w:p w14:paraId="70DC3896">
      <w:pPr>
        <w:pStyle w:val="3"/>
        <w:tabs>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"_Toc496541672" </w:instrText>
      </w:r>
      <w:r>
        <w:fldChar w:fldCharType="separate"/>
      </w:r>
      <w:r>
        <w:rPr>
          <w:rStyle w:val="13"/>
          <w:rFonts w:hint="eastAsia" w:ascii="Arial" w:hAnsi="Arial" w:eastAsia="宋体" w:cs="Arial"/>
        </w:rPr>
        <w:t>附录</w:t>
      </w:r>
      <w:r>
        <w:rPr>
          <w:rStyle w:val="13"/>
          <w:rFonts w:ascii="Arial" w:hAnsi="Arial" w:eastAsia="宋体" w:cs="Arial"/>
        </w:rPr>
        <w:t>D</w:t>
      </w:r>
      <w:r>
        <w:rPr>
          <w:rStyle w:val="13"/>
          <w:rFonts w:hint="eastAsia" w:ascii="Arial" w:hAnsi="Arial" w:eastAsia="宋体" w:cs="Arial"/>
        </w:rPr>
        <w:t>：提供动物研究试验报告各部分【包括原始数据（定义见</w:t>
      </w:r>
      <w:r>
        <w:rPr>
          <w:rStyle w:val="13"/>
          <w:rFonts w:ascii="Arial" w:hAnsi="Arial" w:eastAsia="宋体" w:cs="Arial"/>
        </w:rPr>
        <w:t>21 CFR 58.3</w:t>
      </w:r>
      <w:r>
        <w:rPr>
          <w:rStyle w:val="13"/>
          <w:rFonts w:hint="eastAsia" w:ascii="Arial" w:hAnsi="Arial" w:eastAsia="宋体" w:cs="Arial"/>
        </w:rPr>
        <w:t>（</w:t>
      </w:r>
      <w:r>
        <w:rPr>
          <w:rStyle w:val="13"/>
          <w:rFonts w:ascii="Arial" w:hAnsi="Arial" w:eastAsia="宋体" w:cs="Arial"/>
        </w:rPr>
        <w:t>k</w:t>
      </w:r>
      <w:r>
        <w:rPr>
          <w:rStyle w:val="13"/>
          <w:rFonts w:hint="eastAsia" w:ascii="Arial" w:hAnsi="Arial" w:eastAsia="宋体" w:cs="Arial"/>
        </w:rPr>
        <w:t>））】的组织结构样图以方便审核</w:t>
      </w:r>
      <w:r>
        <w:tab/>
      </w:r>
      <w:r>
        <w:fldChar w:fldCharType="begin"/>
      </w:r>
      <w:r>
        <w:instrText xml:space="preserve"> PAGEREF _Toc496541672 \h </w:instrText>
      </w:r>
      <w:r>
        <w:fldChar w:fldCharType="separate"/>
      </w:r>
      <w:r>
        <w:t>26</w:t>
      </w:r>
      <w:r>
        <w:fldChar w:fldCharType="end"/>
      </w:r>
      <w:r>
        <w:fldChar w:fldCharType="end"/>
      </w:r>
    </w:p>
    <w:p w14:paraId="359BFC9A">
      <w:pPr>
        <w:pStyle w:val="3"/>
        <w:tabs>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"_Toc496541673" </w:instrText>
      </w:r>
      <w:r>
        <w:fldChar w:fldCharType="separate"/>
      </w:r>
      <w:r>
        <w:rPr>
          <w:rStyle w:val="13"/>
          <w:rFonts w:hint="eastAsia" w:ascii="Arial" w:hAnsi="Arial" w:eastAsia="宋体" w:cs="Arial"/>
        </w:rPr>
        <w:t>附录</w:t>
      </w:r>
      <w:r>
        <w:rPr>
          <w:rStyle w:val="13"/>
          <w:rFonts w:ascii="Arial" w:hAnsi="Arial" w:eastAsia="宋体" w:cs="Arial"/>
        </w:rPr>
        <w:t>E</w:t>
      </w:r>
      <w:r>
        <w:rPr>
          <w:rStyle w:val="13"/>
          <w:rFonts w:hint="eastAsia" w:ascii="Arial" w:hAnsi="Arial" w:eastAsia="宋体" w:cs="Arial"/>
        </w:rPr>
        <w:t>：相关联邦法规和指南的表格摘要</w:t>
      </w:r>
      <w:r>
        <w:tab/>
      </w:r>
      <w:r>
        <w:fldChar w:fldCharType="begin"/>
      </w:r>
      <w:r>
        <w:instrText xml:space="preserve"> PAGEREF _Toc496541673 \h </w:instrText>
      </w:r>
      <w:r>
        <w:fldChar w:fldCharType="separate"/>
      </w:r>
      <w:r>
        <w:t>30</w:t>
      </w:r>
      <w:r>
        <w:fldChar w:fldCharType="end"/>
      </w:r>
      <w:r>
        <w:fldChar w:fldCharType="end"/>
      </w:r>
    </w:p>
    <w:p w14:paraId="69513E17">
      <w:pPr>
        <w:pStyle w:val="3"/>
        <w:tabs>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"_Toc496541674" </w:instrText>
      </w:r>
      <w:r>
        <w:fldChar w:fldCharType="separate"/>
      </w:r>
      <w:r>
        <w:rPr>
          <w:rStyle w:val="13"/>
          <w:rFonts w:hint="eastAsia" w:ascii="Arial" w:hAnsi="Arial" w:eastAsia="宋体" w:cs="Arial"/>
        </w:rPr>
        <w:t>（下表无意面面俱到）</w:t>
      </w:r>
      <w:r>
        <w:tab/>
      </w:r>
      <w:r>
        <w:fldChar w:fldCharType="begin"/>
      </w:r>
      <w:r>
        <w:instrText xml:space="preserve"> PAGEREF _Toc496541674 \h </w:instrText>
      </w:r>
      <w:r>
        <w:fldChar w:fldCharType="separate"/>
      </w:r>
      <w:r>
        <w:t>30</w:t>
      </w:r>
      <w:r>
        <w:fldChar w:fldCharType="end"/>
      </w:r>
      <w:r>
        <w:fldChar w:fldCharType="end"/>
      </w:r>
    </w:p>
    <w:p w14:paraId="7898A32A">
      <w:pPr>
        <w:pStyle w:val="3"/>
        <w:tabs>
          <w:tab w:val="right" w:leader="dot" w:pos="8296"/>
        </w:tabs>
        <w:ind w:left="480"/>
        <w:rPr>
          <w:rFonts w:asciiTheme="minorHAnsi" w:hAnsiTheme="minorHAnsi" w:eastAsiaTheme="minorEastAsia" w:cstheme="minorBidi"/>
          <w:color w:val="auto"/>
          <w:kern w:val="2"/>
          <w:szCs w:val="22"/>
          <w:lang w:eastAsia="zh-CN" w:bidi="ar-SA"/>
        </w:rPr>
      </w:pPr>
      <w:r>
        <w:fldChar w:fldCharType="begin"/>
      </w:r>
      <w:r>
        <w:instrText xml:space="preserve"> HYPERLINK \l "_Toc496541675" </w:instrText>
      </w:r>
      <w:r>
        <w:fldChar w:fldCharType="separate"/>
      </w:r>
      <w:r>
        <w:rPr>
          <w:rStyle w:val="13"/>
          <w:rFonts w:hint="eastAsia" w:ascii="Arial" w:hAnsi="Arial" w:eastAsia="宋体" w:cs="Arial"/>
        </w:rPr>
        <w:t>附录</w:t>
      </w:r>
      <w:r>
        <w:rPr>
          <w:rStyle w:val="13"/>
          <w:rFonts w:ascii="Arial" w:hAnsi="Arial" w:eastAsia="宋体" w:cs="Arial"/>
        </w:rPr>
        <w:t>F</w:t>
      </w:r>
      <w:r>
        <w:rPr>
          <w:rStyle w:val="13"/>
          <w:rFonts w:hint="eastAsia" w:ascii="Arial" w:hAnsi="Arial" w:eastAsia="宋体" w:cs="Arial"/>
        </w:rPr>
        <w:t>：动物护理和研究方面的其他资源</w:t>
      </w:r>
      <w:r>
        <w:tab/>
      </w:r>
      <w:r>
        <w:fldChar w:fldCharType="begin"/>
      </w:r>
      <w:r>
        <w:instrText xml:space="preserve"> PAGEREF _Toc496541675 \h </w:instrText>
      </w:r>
      <w:r>
        <w:fldChar w:fldCharType="separate"/>
      </w:r>
      <w:r>
        <w:t>31</w:t>
      </w:r>
      <w:r>
        <w:fldChar w:fldCharType="end"/>
      </w:r>
      <w:r>
        <w:fldChar w:fldCharType="end"/>
      </w:r>
    </w:p>
    <w:p w14:paraId="503F66CD">
      <w:pPr>
        <w:snapToGrid w:val="0"/>
        <w:spacing w:before="163" w:beforeLines="50" w:line="300" w:lineRule="auto"/>
        <w:rPr>
          <w:rFonts w:ascii="Arial" w:hAnsi="Arial" w:eastAsia="宋体" w:cs="Arial"/>
          <w:b/>
          <w:lang w:eastAsia="zh-CN"/>
        </w:rPr>
      </w:pPr>
      <w:r>
        <w:rPr>
          <w:rFonts w:ascii="Arial" w:hAnsi="Arial" w:eastAsia="宋体" w:cs="Arial"/>
          <w:b/>
          <w:sz w:val="21"/>
          <w:lang w:eastAsia="zh-CN"/>
        </w:rPr>
        <w:fldChar w:fldCharType="end"/>
      </w:r>
    </w:p>
    <w:p w14:paraId="7098A0D9">
      <w:pPr>
        <w:snapToGrid w:val="0"/>
        <w:spacing w:line="300" w:lineRule="auto"/>
        <w:rPr>
          <w:rFonts w:ascii="Arial" w:hAnsi="Arial" w:eastAsia="宋体" w:cs="Arial"/>
          <w:b/>
          <w:lang w:eastAsia="zh-CN"/>
        </w:rPr>
      </w:pPr>
    </w:p>
    <w:p w14:paraId="5AAF5D7E">
      <w:pPr>
        <w:pStyle w:val="16"/>
        <w:pBdr>
          <w:bottom w:val="single" w:color="auto" w:sz="4" w:space="1"/>
        </w:pBdr>
        <w:shd w:val="clear" w:color="auto" w:fill="auto"/>
        <w:snapToGrid w:val="0"/>
        <w:spacing w:after="540" w:line="300" w:lineRule="auto"/>
        <w:ind w:left="80"/>
        <w:jc w:val="center"/>
        <w:rPr>
          <w:rFonts w:ascii="Arial" w:hAnsi="Arial" w:eastAsia="宋体" w:cs="Arial"/>
        </w:rPr>
        <w:sectPr>
          <w:headerReference r:id="rId4" w:type="default"/>
          <w:pgSz w:w="11906" w:h="16838"/>
          <w:pgMar w:top="1440" w:right="1800" w:bottom="1440" w:left="1800" w:header="283" w:footer="992" w:gutter="0"/>
          <w:cols w:space="425" w:num="1"/>
          <w:docGrid w:type="lines" w:linePitch="326" w:charSpace="0"/>
        </w:sectPr>
      </w:pPr>
    </w:p>
    <w:p w14:paraId="25066909">
      <w:pPr>
        <w:pStyle w:val="16"/>
        <w:pBdr>
          <w:bottom w:val="single" w:color="auto" w:sz="4" w:space="1"/>
        </w:pBdr>
        <w:shd w:val="clear" w:color="auto" w:fill="auto"/>
        <w:snapToGrid w:val="0"/>
        <w:spacing w:after="540" w:line="300" w:lineRule="auto"/>
        <w:jc w:val="center"/>
        <w:rPr>
          <w:rFonts w:ascii="Arial" w:hAnsi="Arial" w:eastAsia="宋体" w:cs="Arial"/>
          <w:sz w:val="72"/>
          <w:szCs w:val="72"/>
          <w:lang w:bidi="en-US"/>
        </w:rPr>
      </w:pPr>
      <w:r>
        <w:rPr>
          <w:rFonts w:ascii="Arial" w:hAnsi="Arial" w:eastAsia="宋体" w:cs="Arial"/>
          <w:sz w:val="72"/>
          <w:szCs w:val="72"/>
        </w:rPr>
        <w:t>医疗器械动物研究总则</w:t>
      </w:r>
    </w:p>
    <w:p w14:paraId="7D8ABBE2">
      <w:pPr>
        <w:pStyle w:val="16"/>
        <w:shd w:val="clear" w:color="auto" w:fill="auto"/>
        <w:snapToGrid w:val="0"/>
        <w:spacing w:after="596" w:line="300" w:lineRule="auto"/>
        <w:ind w:left="60"/>
        <w:jc w:val="center"/>
        <w:rPr>
          <w:rFonts w:ascii="Arial" w:hAnsi="Arial" w:eastAsia="宋体" w:cs="Arial"/>
          <w:sz w:val="72"/>
          <w:szCs w:val="72"/>
        </w:rPr>
      </w:pPr>
      <w:r>
        <w:rPr>
          <w:rFonts w:hint="eastAsia" w:ascii="Arial" w:hAnsi="Arial" w:eastAsia="宋体" w:cs="Arial"/>
          <w:sz w:val="72"/>
          <w:szCs w:val="72"/>
        </w:rPr>
        <w:t>行业及</w:t>
      </w:r>
      <w:r>
        <w:rPr>
          <w:rFonts w:ascii="Arial" w:hAnsi="Arial" w:eastAsia="宋体" w:cs="Arial"/>
          <w:sz w:val="72"/>
          <w:szCs w:val="72"/>
        </w:rPr>
        <w:t>食品药品</w:t>
      </w:r>
      <w:r>
        <w:rPr>
          <w:rFonts w:hint="eastAsia" w:ascii="Arial" w:hAnsi="Arial" w:eastAsia="宋体" w:cs="Arial"/>
          <w:sz w:val="72"/>
          <w:szCs w:val="72"/>
        </w:rPr>
        <w:t>监督管理局工作</w:t>
      </w:r>
      <w:r>
        <w:rPr>
          <w:rFonts w:ascii="Arial" w:hAnsi="Arial" w:eastAsia="宋体" w:cs="Arial"/>
          <w:sz w:val="72"/>
          <w:szCs w:val="72"/>
        </w:rPr>
        <w:t>人员指南草案</w:t>
      </w:r>
    </w:p>
    <w:p w14:paraId="752B35E0">
      <w:pPr>
        <w:pStyle w:val="30"/>
        <w:pBdr>
          <w:top w:val="single" w:color="auto" w:sz="4" w:space="1"/>
          <w:left w:val="single" w:color="auto" w:sz="4" w:space="4"/>
          <w:bottom w:val="single" w:color="auto" w:sz="4" w:space="11"/>
          <w:right w:val="single" w:color="auto" w:sz="4" w:space="4"/>
        </w:pBdr>
        <w:shd w:val="clear" w:color="auto" w:fill="auto"/>
        <w:snapToGrid w:val="0"/>
        <w:spacing w:before="0" w:after="0" w:line="300" w:lineRule="auto"/>
        <w:rPr>
          <w:rFonts w:ascii="Arial" w:hAnsi="Arial" w:eastAsia="宋体" w:cs="Arial"/>
          <w:sz w:val="24"/>
          <w:szCs w:val="24"/>
        </w:rPr>
      </w:pPr>
      <w:bookmarkStart w:id="4" w:name="bookmark8"/>
      <w:r>
        <w:rPr>
          <w:rFonts w:ascii="Arial" w:hAnsi="Arial" w:eastAsia="宋体" w:cs="Arial"/>
          <w:sz w:val="24"/>
          <w:szCs w:val="24"/>
        </w:rPr>
        <w:t>定稿后，本指南草案将</w:t>
      </w:r>
      <w:r>
        <w:rPr>
          <w:rFonts w:hint="eastAsia" w:ascii="Arial" w:hAnsi="Arial" w:eastAsia="宋体" w:cs="Arial"/>
          <w:sz w:val="24"/>
          <w:szCs w:val="24"/>
        </w:rPr>
        <w:t>代表</w:t>
      </w:r>
      <w:r>
        <w:rPr>
          <w:rFonts w:ascii="Arial" w:hAnsi="Arial" w:eastAsia="宋体" w:cs="Arial"/>
          <w:sz w:val="24"/>
          <w:szCs w:val="24"/>
        </w:rPr>
        <w:t>食品药品监督管理局（FDA或监管部门）</w:t>
      </w:r>
      <w:r>
        <w:rPr>
          <w:rFonts w:hint="eastAsia" w:ascii="Arial" w:hAnsi="Arial" w:eastAsia="宋体" w:cs="Arial"/>
          <w:sz w:val="24"/>
          <w:szCs w:val="24"/>
        </w:rPr>
        <w:t>目前</w:t>
      </w:r>
      <w:r>
        <w:rPr>
          <w:rFonts w:ascii="Arial" w:hAnsi="Arial" w:eastAsia="宋体" w:cs="Arial"/>
          <w:sz w:val="24"/>
          <w:szCs w:val="24"/>
        </w:rPr>
        <w:t>关于该主题的</w:t>
      </w:r>
      <w:r>
        <w:rPr>
          <w:rFonts w:hint="eastAsia" w:ascii="Arial" w:hAnsi="Arial" w:eastAsia="宋体" w:cs="Arial"/>
          <w:sz w:val="24"/>
          <w:szCs w:val="24"/>
        </w:rPr>
        <w:t>思考</w:t>
      </w:r>
      <w:r>
        <w:rPr>
          <w:rFonts w:ascii="Arial" w:hAnsi="Arial" w:eastAsia="宋体" w:cs="Arial"/>
          <w:sz w:val="24"/>
          <w:szCs w:val="24"/>
        </w:rPr>
        <w:t>。该草案</w:t>
      </w:r>
      <w:r>
        <w:rPr>
          <w:rFonts w:hint="eastAsia" w:ascii="Arial" w:hAnsi="Arial" w:eastAsia="宋体" w:cs="Arial"/>
          <w:sz w:val="24"/>
          <w:szCs w:val="24"/>
        </w:rPr>
        <w:t>不会为任何人创造或</w:t>
      </w:r>
      <w:r>
        <w:rPr>
          <w:rFonts w:ascii="Arial" w:hAnsi="Arial" w:eastAsia="宋体" w:cs="Arial"/>
          <w:sz w:val="24"/>
          <w:szCs w:val="24"/>
        </w:rPr>
        <w:t>不赋予任何权利，</w:t>
      </w:r>
      <w:r>
        <w:rPr>
          <w:rFonts w:hint="eastAsia" w:ascii="Arial" w:hAnsi="Arial" w:eastAsia="宋体" w:cs="Arial"/>
          <w:sz w:val="24"/>
          <w:szCs w:val="24"/>
        </w:rPr>
        <w:t>也不会</w:t>
      </w:r>
      <w:r>
        <w:rPr>
          <w:rFonts w:ascii="Arial" w:hAnsi="Arial" w:eastAsia="宋体" w:cs="Arial"/>
          <w:sz w:val="24"/>
          <w:szCs w:val="24"/>
        </w:rPr>
        <w:t>对FDA或公众</w:t>
      </w:r>
      <w:r>
        <w:rPr>
          <w:rFonts w:hint="eastAsia" w:ascii="Arial" w:hAnsi="Arial" w:eastAsia="宋体" w:cs="Arial"/>
          <w:sz w:val="24"/>
          <w:szCs w:val="24"/>
        </w:rPr>
        <w:t>产生</w:t>
      </w:r>
      <w:r>
        <w:rPr>
          <w:rFonts w:ascii="Arial" w:hAnsi="Arial" w:eastAsia="宋体" w:cs="Arial"/>
          <w:sz w:val="24"/>
          <w:szCs w:val="24"/>
        </w:rPr>
        <w:t>约束力。</w:t>
      </w:r>
      <w:r>
        <w:rPr>
          <w:rFonts w:hint="eastAsia" w:ascii="Arial" w:hAnsi="Arial" w:eastAsia="宋体" w:cs="Arial"/>
          <w:sz w:val="24"/>
          <w:szCs w:val="24"/>
        </w:rPr>
        <w:t>如果替代方法满足适用的法律法规的要求，则可以使用该方法</w:t>
      </w:r>
      <w:r>
        <w:rPr>
          <w:rFonts w:ascii="Arial" w:hAnsi="Arial" w:eastAsia="宋体" w:cs="Arial"/>
          <w:sz w:val="24"/>
          <w:szCs w:val="24"/>
        </w:rPr>
        <w:t>。</w:t>
      </w:r>
      <w:r>
        <w:rPr>
          <w:rFonts w:hint="eastAsia" w:ascii="Arial" w:hAnsi="Arial" w:eastAsia="宋体" w:cs="Arial"/>
          <w:sz w:val="24"/>
          <w:szCs w:val="24"/>
        </w:rPr>
        <w:t>如果您想讨论另一种方法</w:t>
      </w:r>
      <w:r>
        <w:rPr>
          <w:rFonts w:ascii="Arial" w:hAnsi="Arial" w:eastAsia="宋体" w:cs="Arial"/>
          <w:sz w:val="24"/>
          <w:szCs w:val="24"/>
        </w:rPr>
        <w:t>，</w:t>
      </w:r>
      <w:r>
        <w:rPr>
          <w:rFonts w:hint="eastAsia" w:ascii="Arial" w:hAnsi="Arial" w:eastAsia="宋体" w:cs="Arial"/>
          <w:sz w:val="24"/>
          <w:szCs w:val="24"/>
        </w:rPr>
        <w:t>请联系</w:t>
      </w:r>
      <w:r>
        <w:rPr>
          <w:rFonts w:ascii="Arial" w:hAnsi="Arial" w:eastAsia="宋体" w:cs="Arial"/>
          <w:sz w:val="24"/>
          <w:szCs w:val="24"/>
        </w:rPr>
        <w:t>标题页所列</w:t>
      </w:r>
      <w:r>
        <w:rPr>
          <w:rFonts w:hint="eastAsia" w:ascii="Arial" w:hAnsi="Arial" w:eastAsia="宋体" w:cs="Arial"/>
          <w:sz w:val="24"/>
          <w:szCs w:val="24"/>
        </w:rPr>
        <w:t>的</w:t>
      </w:r>
      <w:r>
        <w:rPr>
          <w:rFonts w:ascii="Arial" w:hAnsi="Arial" w:eastAsia="宋体" w:cs="Arial"/>
          <w:sz w:val="24"/>
          <w:szCs w:val="24"/>
        </w:rPr>
        <w:t>负责</w:t>
      </w:r>
      <w:r>
        <w:rPr>
          <w:rFonts w:hint="eastAsia" w:ascii="Arial" w:hAnsi="Arial" w:eastAsia="宋体" w:cs="Arial"/>
          <w:sz w:val="24"/>
          <w:szCs w:val="24"/>
        </w:rPr>
        <w:t>本</w:t>
      </w:r>
      <w:r>
        <w:rPr>
          <w:rFonts w:ascii="Arial" w:hAnsi="Arial" w:eastAsia="宋体" w:cs="Arial"/>
          <w:sz w:val="24"/>
          <w:szCs w:val="24"/>
        </w:rPr>
        <w:t>指南的FDA工作人员。</w:t>
      </w:r>
      <w:bookmarkEnd w:id="4"/>
    </w:p>
    <w:p w14:paraId="32A94AFE">
      <w:pPr>
        <w:pStyle w:val="28"/>
        <w:numPr>
          <w:ilvl w:val="0"/>
          <w:numId w:val="1"/>
        </w:numPr>
        <w:snapToGrid w:val="0"/>
        <w:spacing w:before="163" w:beforeLines="50" w:after="0" w:line="300" w:lineRule="auto"/>
        <w:ind w:left="0" w:firstLine="0"/>
        <w:rPr>
          <w:rFonts w:ascii="Arial" w:hAnsi="Arial" w:eastAsia="宋体" w:cs="Arial"/>
          <w:sz w:val="30"/>
          <w:szCs w:val="30"/>
          <w:lang w:eastAsia="en-US"/>
        </w:rPr>
      </w:pPr>
      <w:bookmarkStart w:id="5" w:name="_Toc496541624"/>
      <w:bookmarkStart w:id="6" w:name="_Toc495870745"/>
      <w:bookmarkStart w:id="7" w:name="bookmark9"/>
      <w:r>
        <w:rPr>
          <w:rFonts w:ascii="Arial" w:hAnsi="Arial" w:eastAsia="宋体" w:cs="Arial"/>
          <w:sz w:val="30"/>
          <w:szCs w:val="30"/>
        </w:rPr>
        <w:t>简介</w:t>
      </w:r>
      <w:bookmarkEnd w:id="5"/>
      <w:bookmarkEnd w:id="6"/>
      <w:bookmarkEnd w:id="7"/>
    </w:p>
    <w:p w14:paraId="6C5025AE">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FDA制定该</w:t>
      </w:r>
      <w:r>
        <w:rPr>
          <w:rFonts w:hint="eastAsia" w:ascii="Arial" w:hAnsi="Arial" w:eastAsia="宋体" w:cs="Arial"/>
          <w:sz w:val="24"/>
          <w:szCs w:val="24"/>
        </w:rPr>
        <w:t>指导性文件</w:t>
      </w:r>
      <w:r>
        <w:rPr>
          <w:rFonts w:ascii="Arial" w:hAnsi="Arial" w:eastAsia="宋体" w:cs="Arial"/>
          <w:sz w:val="24"/>
          <w:szCs w:val="24"/>
        </w:rPr>
        <w:t>的目的是为</w:t>
      </w:r>
      <w:r>
        <w:rPr>
          <w:rFonts w:hint="eastAsia" w:ascii="Arial" w:hAnsi="Arial" w:eastAsia="宋体" w:cs="Arial"/>
          <w:sz w:val="24"/>
          <w:szCs w:val="24"/>
        </w:rPr>
        <w:t>行业</w:t>
      </w:r>
      <w:r>
        <w:rPr>
          <w:rFonts w:ascii="Arial" w:hAnsi="Arial" w:eastAsia="宋体" w:cs="Arial"/>
          <w:sz w:val="24"/>
          <w:szCs w:val="24"/>
        </w:rPr>
        <w:t>设计医疗器械动物研究评价策略及报告结果提供帮助。</w:t>
      </w:r>
      <w:r>
        <w:rPr>
          <w:rFonts w:hint="eastAsia" w:ascii="Arial" w:hAnsi="Arial" w:eastAsia="宋体" w:cs="Arial"/>
          <w:sz w:val="24"/>
          <w:szCs w:val="24"/>
        </w:rPr>
        <w:t>用于评估这些</w:t>
      </w:r>
      <w:r>
        <w:rPr>
          <w:rFonts w:ascii="Arial" w:hAnsi="Arial" w:eastAsia="宋体" w:cs="Arial"/>
          <w:sz w:val="24"/>
          <w:szCs w:val="24"/>
        </w:rPr>
        <w:t>器械</w:t>
      </w:r>
      <w:r>
        <w:rPr>
          <w:rFonts w:hint="eastAsia" w:ascii="Arial" w:hAnsi="Arial" w:eastAsia="宋体" w:cs="Arial"/>
          <w:sz w:val="24"/>
          <w:szCs w:val="24"/>
        </w:rPr>
        <w:t>的</w:t>
      </w:r>
      <w:r>
        <w:rPr>
          <w:rFonts w:ascii="Arial" w:hAnsi="Arial" w:eastAsia="宋体" w:cs="Arial"/>
          <w:sz w:val="24"/>
          <w:szCs w:val="24"/>
        </w:rPr>
        <w:t>动物研究</w:t>
      </w:r>
      <w:r>
        <w:rPr>
          <w:rFonts w:hint="eastAsia" w:ascii="Arial" w:hAnsi="Arial" w:eastAsia="宋体" w:cs="Arial"/>
          <w:sz w:val="24"/>
          <w:szCs w:val="24"/>
        </w:rPr>
        <w:t>通常</w:t>
      </w:r>
      <w:r>
        <w:rPr>
          <w:rFonts w:ascii="Arial" w:hAnsi="Arial" w:eastAsia="宋体" w:cs="Arial"/>
          <w:sz w:val="24"/>
          <w:szCs w:val="24"/>
        </w:rPr>
        <w:t>用于为器械的安全性、用于活体系统时的潜在性能及指向该器械的活体系统生物反应提供初步证据。该指南旨在为进行医疗器械动物研究的</w:t>
      </w:r>
      <w:r>
        <w:rPr>
          <w:rFonts w:hint="eastAsia" w:ascii="Arial" w:hAnsi="Arial" w:eastAsia="宋体" w:cs="Arial"/>
          <w:sz w:val="24"/>
          <w:szCs w:val="24"/>
        </w:rPr>
        <w:t>行业人员</w:t>
      </w:r>
      <w:r>
        <w:rPr>
          <w:rFonts w:ascii="Arial" w:hAnsi="Arial" w:eastAsia="宋体" w:cs="Arial"/>
          <w:sz w:val="24"/>
          <w:szCs w:val="24"/>
        </w:rPr>
        <w:t>和审核</w:t>
      </w:r>
      <w:r>
        <w:rPr>
          <w:rFonts w:hint="eastAsia" w:ascii="Arial" w:hAnsi="Arial" w:eastAsia="宋体" w:cs="Arial"/>
          <w:sz w:val="24"/>
          <w:szCs w:val="24"/>
        </w:rPr>
        <w:t>医疗器械动物研究评估</w:t>
      </w:r>
      <w:r>
        <w:rPr>
          <w:rFonts w:ascii="Arial" w:hAnsi="Arial" w:eastAsia="宋体" w:cs="Arial"/>
          <w:sz w:val="24"/>
          <w:szCs w:val="24"/>
        </w:rPr>
        <w:t>的FDA工作人员提供建议。本文件中</w:t>
      </w:r>
      <w:r>
        <w:rPr>
          <w:rFonts w:ascii="宋体" w:hAnsi="宋体" w:eastAsia="宋体" w:cs="Arial"/>
          <w:sz w:val="24"/>
          <w:szCs w:val="24"/>
        </w:rPr>
        <w:t>的“您”和“您的”均指</w:t>
      </w:r>
      <w:r>
        <w:rPr>
          <w:rFonts w:hint="eastAsia" w:ascii="宋体" w:hAnsi="宋体" w:eastAsia="宋体" w:cs="Arial"/>
          <w:sz w:val="24"/>
          <w:szCs w:val="24"/>
        </w:rPr>
        <w:t>行业成员</w:t>
      </w:r>
      <w:r>
        <w:rPr>
          <w:rFonts w:ascii="宋体" w:hAnsi="宋体" w:eastAsia="宋体" w:cs="Arial"/>
          <w:sz w:val="24"/>
          <w:szCs w:val="24"/>
        </w:rPr>
        <w:t>，也称为“申办方”或者“申请人”。“我们”、“我方”、“我们的”和“监管部门”均</w:t>
      </w:r>
      <w:r>
        <w:rPr>
          <w:rFonts w:ascii="Arial" w:hAnsi="Arial" w:eastAsia="宋体" w:cs="Arial"/>
          <w:sz w:val="24"/>
          <w:szCs w:val="24"/>
        </w:rPr>
        <w:t>指FDA。</w:t>
      </w:r>
    </w:p>
    <w:p w14:paraId="35C7FAE9">
      <w:pPr>
        <w:snapToGrid w:val="0"/>
        <w:spacing w:before="163" w:beforeLines="50" w:line="300" w:lineRule="auto"/>
        <w:jc w:val="both"/>
        <w:rPr>
          <w:rFonts w:ascii="Arial" w:hAnsi="Arial" w:eastAsia="宋体" w:cs="Arial"/>
          <w:lang w:eastAsia="zh-CN"/>
        </w:rPr>
      </w:pPr>
      <w:r>
        <w:rPr>
          <w:rFonts w:ascii="Arial" w:hAnsi="Arial" w:eastAsia="宋体" w:cs="Arial"/>
          <w:lang w:eastAsia="zh-CN"/>
        </w:rPr>
        <w:t>本指南（结合现代动物护理和使用策略）旨在为动物研究方法、实施过程以及动物研究数据的表述提供最佳参考方案，用以证明研究器械对于早期人类的</w:t>
      </w:r>
      <w:r>
        <w:rPr>
          <w:rFonts w:hint="eastAsia" w:ascii="Arial" w:hAnsi="Arial" w:eastAsia="宋体" w:cs="Arial"/>
          <w:lang w:eastAsia="zh-CN"/>
        </w:rPr>
        <w:t>经验</w:t>
      </w:r>
      <w:r>
        <w:rPr>
          <w:rFonts w:ascii="Arial" w:hAnsi="Arial" w:eastAsia="宋体" w:cs="Arial"/>
          <w:lang w:eastAsia="zh-CN"/>
        </w:rPr>
        <w:t>足够安全【</w:t>
      </w:r>
      <w:r>
        <w:rPr>
          <w:rFonts w:hint="eastAsia" w:ascii="Arial" w:hAnsi="Arial" w:eastAsia="宋体" w:cs="Arial"/>
          <w:lang w:eastAsia="zh-CN"/>
        </w:rPr>
        <w:t>例如</w:t>
      </w:r>
      <w:r>
        <w:rPr>
          <w:rFonts w:ascii="Arial" w:hAnsi="Arial" w:eastAsia="宋体" w:cs="Arial"/>
          <w:lang w:eastAsia="zh-CN"/>
        </w:rPr>
        <w:t>支持研究器械豁免（IDE）申请】，或者用于证明器械安全</w:t>
      </w:r>
      <w:r>
        <w:rPr>
          <w:rFonts w:hint="eastAsia" w:ascii="Arial" w:hAnsi="Arial" w:eastAsia="宋体" w:cs="Arial"/>
          <w:lang w:eastAsia="zh-CN"/>
        </w:rPr>
        <w:t>性</w:t>
      </w:r>
      <w:r>
        <w:rPr>
          <w:rFonts w:ascii="Arial" w:hAnsi="Arial" w:eastAsia="宋体" w:cs="Arial"/>
          <w:lang w:eastAsia="zh-CN"/>
        </w:rPr>
        <w:t>以支持上市申请。我们建议您在制定和表述动物研究方案、方法和报告以支持医疗器械的安全性和性能</w:t>
      </w:r>
      <w:r>
        <w:rPr>
          <w:rStyle w:val="14"/>
          <w:rFonts w:ascii="Arial" w:hAnsi="Arial" w:eastAsia="宋体" w:cs="Arial"/>
          <w:lang w:eastAsia="zh-CN"/>
        </w:rPr>
        <w:footnoteReference w:id="0"/>
      </w:r>
      <w:r>
        <w:rPr>
          <w:rFonts w:ascii="Arial" w:hAnsi="Arial" w:eastAsia="宋体" w:cs="Arial"/>
          <w:lang w:eastAsia="zh-CN"/>
        </w:rPr>
        <w:t>时使用本指南。考虑到可以</w:t>
      </w:r>
      <w:r>
        <w:rPr>
          <w:rFonts w:hint="eastAsia" w:ascii="Arial" w:hAnsi="Arial" w:eastAsia="宋体" w:cs="Arial"/>
          <w:lang w:eastAsia="zh-CN"/>
        </w:rPr>
        <w:t>支持</w:t>
      </w:r>
      <w:r>
        <w:rPr>
          <w:rFonts w:ascii="Arial" w:hAnsi="Arial" w:eastAsia="宋体" w:cs="Arial"/>
          <w:lang w:eastAsia="zh-CN"/>
        </w:rPr>
        <w:t>医疗器械的安全性和性能所需的动物数量和数据量，FDA建议在减少/替代/优化的伦理学原则和法律规定的最小负荷原则，以及使用必要的最少量动物生成有效的科学数据以证明其具有适当的安全性和性能之间取得平衡。</w:t>
      </w:r>
    </w:p>
    <w:p w14:paraId="394F3A1D">
      <w:pPr>
        <w:pStyle w:val="20"/>
        <w:shd w:val="clear" w:color="auto" w:fill="auto"/>
        <w:snapToGrid w:val="0"/>
        <w:spacing w:before="163" w:beforeLines="50" w:after="0" w:line="300" w:lineRule="auto"/>
        <w:ind w:firstLine="0"/>
        <w:rPr>
          <w:rFonts w:ascii="Arial" w:hAnsi="Arial" w:eastAsia="宋体" w:cs="Arial"/>
          <w:sz w:val="24"/>
          <w:szCs w:val="24"/>
          <w:lang w:bidi="en-US"/>
        </w:rPr>
      </w:pPr>
      <w:r>
        <w:rPr>
          <w:rFonts w:ascii="Arial" w:hAnsi="Arial" w:eastAsia="宋体" w:cs="Arial"/>
          <w:sz w:val="24"/>
          <w:szCs w:val="24"/>
        </w:rPr>
        <w:t>尽管本文件并未有意阐述其他监管部门的规定和政策，或者其他实验动物准则，但我们注意到本指南引用了部分由其他部门管理、涉及动物护理和使用的其他相关法规和政策。</w:t>
      </w:r>
      <w:r>
        <w:rPr>
          <w:rFonts w:ascii="Arial" w:hAnsi="Arial" w:eastAsia="宋体" w:cs="Arial"/>
          <w:sz w:val="24"/>
          <w:szCs w:val="24"/>
          <w:vertAlign w:val="superscript"/>
        </w:rPr>
        <w:t>1-4</w:t>
      </w:r>
      <w:r>
        <w:rPr>
          <w:rFonts w:ascii="Arial" w:hAnsi="Arial" w:eastAsia="宋体" w:cs="Arial"/>
          <w:sz w:val="24"/>
          <w:szCs w:val="24"/>
        </w:rPr>
        <w:t xml:space="preserve"> 相关联邦法规概述见附录E，与动物护理和研究有关的其他资料来源见附录F。需要注意的是，FDA存有与美国农业部（USDA）和美国国立卫生研究院（NIH）达成的解决动物护理和使用方面共同监管领域相关问题的谅解备忘录（MOU）</w:t>
      </w:r>
      <w:r>
        <w:rPr>
          <w:rFonts w:ascii="Arial" w:hAnsi="Arial" w:eastAsia="宋体" w:cs="Arial"/>
          <w:sz w:val="24"/>
          <w:szCs w:val="24"/>
          <w:vertAlign w:val="superscript"/>
        </w:rPr>
        <w:t>5</w:t>
      </w:r>
      <w:r>
        <w:rPr>
          <w:rFonts w:ascii="Arial" w:hAnsi="Arial" w:eastAsia="宋体" w:cs="Arial"/>
          <w:sz w:val="24"/>
          <w:szCs w:val="24"/>
        </w:rPr>
        <w:t>。</w:t>
      </w:r>
    </w:p>
    <w:p w14:paraId="4DADA952">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本指南草案定稿后，将替代2010年7月的《</w:t>
      </w:r>
      <w:r>
        <w:rPr>
          <w:rFonts w:hint="eastAsia" w:ascii="Arial" w:hAnsi="Arial" w:eastAsia="宋体" w:cs="Arial"/>
          <w:sz w:val="24"/>
          <w:szCs w:val="24"/>
        </w:rPr>
        <w:t>行业及</w:t>
      </w:r>
      <w:r>
        <w:rPr>
          <w:rFonts w:ascii="Arial" w:hAnsi="Arial" w:eastAsia="宋体" w:cs="Arial"/>
          <w:sz w:val="24"/>
          <w:szCs w:val="24"/>
        </w:rPr>
        <w:t>FDA工作人员指南：心血管器械动物研究总则》。</w:t>
      </w:r>
    </w:p>
    <w:p w14:paraId="0A355140">
      <w:pPr>
        <w:snapToGrid w:val="0"/>
        <w:spacing w:before="163" w:beforeLines="50" w:line="300" w:lineRule="auto"/>
        <w:rPr>
          <w:rFonts w:ascii="Arial" w:hAnsi="Arial" w:eastAsia="宋体" w:cs="Arial"/>
          <w:lang w:eastAsia="zh-CN"/>
        </w:rPr>
      </w:pPr>
      <w:bookmarkStart w:id="8" w:name="bookmark13"/>
      <w:r>
        <w:rPr>
          <w:rFonts w:ascii="Arial" w:hAnsi="Arial" w:eastAsia="宋体" w:cs="Arial"/>
          <w:lang w:eastAsia="zh-CN"/>
        </w:rPr>
        <w:t>FDA</w:t>
      </w:r>
      <w:r>
        <w:rPr>
          <w:rFonts w:hint="eastAsia" w:ascii="Arial" w:hAnsi="Arial" w:eastAsia="宋体" w:cs="Arial"/>
          <w:lang w:eastAsia="zh-CN"/>
        </w:rPr>
        <w:t>指导性文件</w:t>
      </w:r>
      <w:r>
        <w:rPr>
          <w:rFonts w:ascii="Arial" w:hAnsi="Arial" w:eastAsia="宋体" w:cs="Arial"/>
          <w:lang w:eastAsia="zh-CN"/>
        </w:rPr>
        <w:t>，包括本指南</w:t>
      </w:r>
      <w:r>
        <w:rPr>
          <w:rFonts w:hint="eastAsia" w:ascii="Arial" w:hAnsi="Arial" w:eastAsia="宋体" w:cs="Arial"/>
          <w:lang w:eastAsia="zh-CN"/>
        </w:rPr>
        <w:t>在内</w:t>
      </w:r>
      <w:r>
        <w:rPr>
          <w:rFonts w:ascii="Arial" w:hAnsi="Arial" w:eastAsia="宋体" w:cs="Arial"/>
          <w:lang w:eastAsia="zh-CN"/>
        </w:rPr>
        <w:t>，</w:t>
      </w:r>
      <w:r>
        <w:rPr>
          <w:rFonts w:hint="eastAsia" w:ascii="Arial" w:hAnsi="Arial" w:eastAsia="宋体" w:cs="Arial"/>
          <w:lang w:eastAsia="zh-CN"/>
        </w:rPr>
        <w:t>均不构成具有法律强制力的责任。</w:t>
      </w:r>
      <w:r>
        <w:rPr>
          <w:rFonts w:ascii="Arial" w:hAnsi="Arial" w:eastAsia="宋体" w:cs="Arial"/>
          <w:lang w:eastAsia="zh-CN"/>
        </w:rPr>
        <w:t>相反，</w:t>
      </w:r>
      <w:r>
        <w:rPr>
          <w:rFonts w:hint="eastAsia" w:ascii="Arial" w:hAnsi="Arial" w:eastAsia="宋体" w:cs="Arial"/>
          <w:lang w:eastAsia="zh-CN"/>
        </w:rPr>
        <w:t>本</w:t>
      </w:r>
      <w:r>
        <w:rPr>
          <w:rFonts w:ascii="Arial" w:hAnsi="Arial" w:eastAsia="宋体" w:cs="Arial"/>
          <w:lang w:eastAsia="zh-CN"/>
        </w:rPr>
        <w:t>指南描述的是</w:t>
      </w:r>
      <w:r>
        <w:rPr>
          <w:rFonts w:hint="eastAsia" w:ascii="Arial" w:hAnsi="Arial" w:eastAsia="宋体" w:cs="Arial"/>
          <w:lang w:eastAsia="zh-CN"/>
        </w:rPr>
        <w:t>机构目前对</w:t>
      </w:r>
      <w:r>
        <w:rPr>
          <w:rFonts w:ascii="Arial" w:hAnsi="Arial" w:eastAsia="宋体" w:cs="Arial"/>
          <w:lang w:eastAsia="zh-CN"/>
        </w:rPr>
        <w:t>某主题的考虑，</w:t>
      </w:r>
      <w:r>
        <w:rPr>
          <w:rFonts w:hint="eastAsia" w:ascii="Arial" w:hAnsi="Arial" w:eastAsia="宋体" w:cs="Arial"/>
          <w:lang w:eastAsia="zh-CN"/>
        </w:rPr>
        <w:t>除非引用具体的法规或法律要求，否则只应视为建议</w:t>
      </w:r>
      <w:r>
        <w:rPr>
          <w:rFonts w:ascii="Arial" w:hAnsi="Arial" w:eastAsia="宋体" w:cs="Arial"/>
          <w:lang w:eastAsia="zh-CN"/>
        </w:rPr>
        <w:t>。</w:t>
      </w:r>
      <w:r>
        <w:rPr>
          <w:rFonts w:hint="eastAsia" w:ascii="Arial" w:hAnsi="Arial" w:eastAsia="宋体" w:cs="Arial"/>
          <w:lang w:eastAsia="zh-CN"/>
        </w:rPr>
        <w:t>本</w:t>
      </w:r>
      <w:r>
        <w:rPr>
          <w:rFonts w:ascii="Arial" w:hAnsi="Arial" w:eastAsia="宋体" w:cs="Arial"/>
          <w:lang w:eastAsia="zh-CN"/>
        </w:rPr>
        <w:t>FDA指南中使用的词语“应”表示“建议”或“推荐”意见，并不是强制性的。</w:t>
      </w:r>
      <w:bookmarkEnd w:id="8"/>
    </w:p>
    <w:p w14:paraId="41A900D7">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9" w:name="_Toc495870746"/>
      <w:bookmarkStart w:id="10" w:name="_Toc496541625"/>
      <w:bookmarkStart w:id="11" w:name="bookmark14"/>
      <w:r>
        <w:rPr>
          <w:rFonts w:ascii="Arial" w:hAnsi="Arial" w:eastAsia="宋体" w:cs="Arial"/>
          <w:sz w:val="30"/>
          <w:szCs w:val="30"/>
        </w:rPr>
        <w:t>范围</w:t>
      </w:r>
      <w:bookmarkEnd w:id="9"/>
      <w:bookmarkEnd w:id="10"/>
      <w:bookmarkEnd w:id="11"/>
    </w:p>
    <w:p w14:paraId="23246009">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本指南适用于拟用于人体的医疗器械，定义见《联邦食品、药品和化妆品法案》（FD&amp;C法案）</w:t>
      </w:r>
      <w:r>
        <w:rPr>
          <w:rFonts w:hint="eastAsia" w:ascii="Arial" w:hAnsi="Arial" w:eastAsia="宋体" w:cs="Arial"/>
          <w:sz w:val="24"/>
          <w:szCs w:val="24"/>
        </w:rPr>
        <w:t>第</w:t>
      </w:r>
      <w:r>
        <w:rPr>
          <w:rFonts w:ascii="Arial" w:hAnsi="Arial" w:eastAsia="宋体" w:cs="Arial"/>
          <w:sz w:val="24"/>
          <w:szCs w:val="24"/>
        </w:rPr>
        <w:t>201（h）部分。本指南的建议适用于支持IDE申请、上市前许可（PMA）申请、上市前通告（510（k））、人道主义器械豁免（HDE）申请或从头分类</w:t>
      </w:r>
      <w:r>
        <w:rPr>
          <w:rFonts w:hint="eastAsia" w:ascii="Arial" w:hAnsi="Arial" w:eastAsia="宋体" w:cs="Arial"/>
          <w:sz w:val="24"/>
          <w:szCs w:val="24"/>
        </w:rPr>
        <w:t>提交</w:t>
      </w:r>
      <w:r>
        <w:rPr>
          <w:rFonts w:ascii="Arial" w:hAnsi="Arial" w:eastAsia="宋体" w:cs="Arial"/>
          <w:sz w:val="24"/>
          <w:szCs w:val="24"/>
        </w:rPr>
        <w:t>的动物研究。</w:t>
      </w:r>
    </w:p>
    <w:p w14:paraId="7B896F70">
      <w:pPr>
        <w:pStyle w:val="20"/>
        <w:shd w:val="clear" w:color="auto" w:fill="auto"/>
        <w:snapToGrid w:val="0"/>
        <w:spacing w:before="163" w:beforeLines="50" w:after="0" w:line="300" w:lineRule="auto"/>
        <w:ind w:firstLine="0"/>
        <w:rPr>
          <w:rFonts w:ascii="Arial" w:hAnsi="Arial" w:eastAsia="宋体" w:cs="Arial"/>
          <w:sz w:val="24"/>
          <w:szCs w:val="24"/>
        </w:rPr>
      </w:pPr>
      <w:bookmarkStart w:id="12" w:name="bookmark15"/>
      <w:r>
        <w:rPr>
          <w:rFonts w:ascii="Arial" w:hAnsi="Arial" w:eastAsia="宋体" w:cs="Arial"/>
          <w:sz w:val="24"/>
          <w:szCs w:val="24"/>
        </w:rPr>
        <w:t>本指南特别适用于</w:t>
      </w:r>
      <w:r>
        <w:rPr>
          <w:rFonts w:hint="eastAsia" w:ascii="Arial" w:hAnsi="Arial" w:eastAsia="宋体" w:cs="Arial"/>
          <w:sz w:val="24"/>
          <w:szCs w:val="24"/>
        </w:rPr>
        <w:t>第</w:t>
      </w:r>
      <w:r>
        <w:rPr>
          <w:rFonts w:ascii="Arial" w:hAnsi="Arial" w:eastAsia="宋体" w:cs="Arial"/>
          <w:sz w:val="24"/>
          <w:szCs w:val="24"/>
        </w:rPr>
        <w:t>21 CFR 58.3（d）部分规定的</w:t>
      </w:r>
      <w:r>
        <w:rPr>
          <w:rStyle w:val="31"/>
          <w:rFonts w:ascii="Arial" w:hAnsi="Arial" w:eastAsia="宋体" w:cs="Arial"/>
          <w:lang w:eastAsia="zh-CN"/>
        </w:rPr>
        <w:t>体内</w:t>
      </w:r>
      <w:r>
        <w:rPr>
          <w:rFonts w:ascii="Arial" w:hAnsi="Arial" w:eastAsia="宋体" w:cs="Arial"/>
          <w:sz w:val="24"/>
          <w:szCs w:val="24"/>
        </w:rPr>
        <w:t>非临床实验研究。关于这些研究中常见的首字母缩略词列表见附录A。</w:t>
      </w:r>
      <w:bookmarkEnd w:id="12"/>
    </w:p>
    <w:p w14:paraId="11734933">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13" w:name="_Toc495870747"/>
      <w:bookmarkStart w:id="14" w:name="bookmark16"/>
      <w:bookmarkStart w:id="15" w:name="_Toc496541626"/>
      <w:r>
        <w:rPr>
          <w:rFonts w:ascii="Arial" w:hAnsi="Arial" w:eastAsia="宋体" w:cs="Arial"/>
          <w:sz w:val="30"/>
          <w:szCs w:val="30"/>
        </w:rPr>
        <w:t>概述</w:t>
      </w:r>
      <w:bookmarkEnd w:id="13"/>
      <w:bookmarkEnd w:id="14"/>
      <w:bookmarkEnd w:id="15"/>
    </w:p>
    <w:p w14:paraId="2D43C278">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FDA建议您在制定医疗器械动物研究方案时考虑下述一般性指导原则：</w:t>
      </w:r>
    </w:p>
    <w:p w14:paraId="5CD0682B">
      <w:pPr>
        <w:pStyle w:val="32"/>
        <w:numPr>
          <w:ilvl w:val="0"/>
          <w:numId w:val="2"/>
        </w:numPr>
        <w:snapToGrid w:val="0"/>
        <w:spacing w:before="163" w:beforeLines="50" w:line="300" w:lineRule="auto"/>
        <w:ind w:firstLineChars="0"/>
        <w:rPr>
          <w:rFonts w:ascii="Arial" w:hAnsi="Arial" w:eastAsia="宋体" w:cs="Arial"/>
          <w:b/>
          <w:lang w:eastAsia="zh-CN"/>
        </w:rPr>
      </w:pPr>
      <w:r>
        <w:rPr>
          <w:rFonts w:ascii="Arial" w:hAnsi="Arial" w:eastAsia="宋体" w:cs="Arial"/>
          <w:lang w:eastAsia="zh-CN"/>
        </w:rPr>
        <w:t>对于准备提交</w:t>
      </w:r>
      <w:r>
        <w:rPr>
          <w:rFonts w:hint="eastAsia" w:ascii="Arial" w:hAnsi="Arial" w:eastAsia="宋体" w:cs="Arial"/>
          <w:lang w:eastAsia="zh-CN"/>
        </w:rPr>
        <w:t>至机构</w:t>
      </w:r>
      <w:r>
        <w:rPr>
          <w:rFonts w:ascii="Arial" w:hAnsi="Arial" w:eastAsia="宋体" w:cs="Arial"/>
          <w:lang w:eastAsia="zh-CN"/>
        </w:rPr>
        <w:t>，用以支持某医疗器械安全性的动物研究，适用《</w:t>
      </w:r>
      <w:r>
        <w:rPr>
          <w:rFonts w:hint="eastAsia" w:ascii="Arial" w:hAnsi="Arial" w:eastAsia="宋体" w:cs="Arial"/>
          <w:lang w:eastAsia="zh-CN"/>
        </w:rPr>
        <w:t>良好实验室规范</w:t>
      </w:r>
      <w:r>
        <w:rPr>
          <w:rFonts w:ascii="Arial" w:hAnsi="Arial" w:eastAsia="宋体" w:cs="Arial"/>
          <w:lang w:eastAsia="zh-CN"/>
        </w:rPr>
        <w:t>》</w:t>
      </w:r>
      <w:r>
        <w:rPr>
          <w:rFonts w:hint="eastAsia" w:ascii="Arial" w:hAnsi="Arial" w:eastAsia="宋体" w:cs="Arial"/>
          <w:lang w:eastAsia="zh-CN"/>
        </w:rPr>
        <w:t>（GLP）</w:t>
      </w:r>
      <w:r>
        <w:rPr>
          <w:rFonts w:ascii="Arial" w:hAnsi="Arial" w:eastAsia="宋体" w:cs="Arial"/>
          <w:lang w:eastAsia="zh-CN"/>
        </w:rPr>
        <w:t>（21 CFR第58部分）。如果您的动物研究未按照第58部分实施，在提交声明解释该研究未按GLP规定实施的原因时，应该详细论述相对于法规的所有偏离。该声明应包括有助于FDA重现该研究、解释所有混淆变量以及证明所采集和报告的试验数据可靠完整的相关信息。</w:t>
      </w:r>
    </w:p>
    <w:p w14:paraId="6E0D576A">
      <w:pPr>
        <w:widowControl/>
        <w:rPr>
          <w:rFonts w:ascii="Arial" w:hAnsi="Arial" w:eastAsia="宋体" w:cs="Arial"/>
          <w:lang w:eastAsia="zh-CN"/>
        </w:rPr>
      </w:pPr>
      <w:bookmarkStart w:id="16" w:name="bookmark17"/>
      <w:r>
        <w:rPr>
          <w:rFonts w:ascii="Arial" w:hAnsi="Arial" w:eastAsia="宋体" w:cs="Arial"/>
          <w:lang w:eastAsia="zh-CN"/>
        </w:rPr>
        <w:br w:type="page"/>
      </w:r>
    </w:p>
    <w:p w14:paraId="11DC2EC5">
      <w:pPr>
        <w:pStyle w:val="32"/>
        <w:numPr>
          <w:ilvl w:val="0"/>
          <w:numId w:val="2"/>
        </w:numPr>
        <w:snapToGrid w:val="0"/>
        <w:spacing w:before="163" w:beforeLines="50" w:line="300" w:lineRule="auto"/>
        <w:ind w:left="938" w:hanging="513" w:firstLineChars="0"/>
        <w:rPr>
          <w:rFonts w:ascii="Arial" w:hAnsi="Arial" w:eastAsia="宋体" w:cs="Arial"/>
          <w:lang w:eastAsia="zh-CN"/>
        </w:rPr>
      </w:pPr>
      <w:r>
        <w:rPr>
          <w:rFonts w:ascii="Arial" w:hAnsi="Arial" w:eastAsia="宋体" w:cs="Arial"/>
          <w:lang w:eastAsia="zh-CN"/>
        </w:rPr>
        <w:t>选择的动物模型应该是该类器械研究所公认的动物模型。</w:t>
      </w:r>
      <w:r>
        <w:rPr>
          <w:rFonts w:ascii="Arial" w:hAnsi="Arial" w:eastAsia="宋体" w:cs="Arial"/>
          <w:vertAlign w:val="superscript"/>
          <w:lang w:eastAsia="zh-CN"/>
        </w:rPr>
        <w:t>6 -12</w:t>
      </w:r>
      <w:r>
        <w:rPr>
          <w:rFonts w:ascii="Arial" w:hAnsi="Arial" w:eastAsia="宋体" w:cs="Arial"/>
          <w:lang w:eastAsia="zh-CN"/>
        </w:rPr>
        <w:t xml:space="preserve"> 应该有相应数量的科学证据证明该动物模型适用于该类器械的研究。在某些情况下，某类特定器械可能没有成熟的或公认的动物模型。我们认为动物试验仅限用于上述情况，如果有科学依据，最合适的做法是</w:t>
      </w:r>
      <w:r>
        <w:rPr>
          <w:rFonts w:hint="eastAsia" w:ascii="Arial" w:hAnsi="Arial" w:eastAsia="宋体" w:cs="Arial"/>
          <w:lang w:eastAsia="zh-CN"/>
        </w:rPr>
        <w:t>进行</w:t>
      </w:r>
      <w:r>
        <w:rPr>
          <w:rFonts w:ascii="Arial" w:hAnsi="Arial" w:eastAsia="宋体" w:cs="Arial"/>
          <w:lang w:eastAsia="zh-CN"/>
        </w:rPr>
        <w:t>有限的人体临床评价。在其他情况下，可使用其他动物模型，但需要进行相应论证。</w:t>
      </w:r>
      <w:bookmarkEnd w:id="16"/>
    </w:p>
    <w:p w14:paraId="05DBC744">
      <w:pPr>
        <w:pStyle w:val="32"/>
        <w:numPr>
          <w:ilvl w:val="0"/>
          <w:numId w:val="2"/>
        </w:numPr>
        <w:snapToGrid w:val="0"/>
        <w:spacing w:before="163" w:beforeLines="50" w:line="300" w:lineRule="auto"/>
        <w:ind w:left="938" w:hanging="513" w:firstLineChars="0"/>
        <w:rPr>
          <w:rFonts w:ascii="Arial" w:hAnsi="Arial" w:eastAsia="宋体" w:cs="Arial"/>
          <w:lang w:eastAsia="zh-CN"/>
        </w:rPr>
      </w:pPr>
      <w:r>
        <w:rPr>
          <w:rFonts w:ascii="Arial" w:hAnsi="Arial" w:eastAsia="宋体" w:cs="Arial"/>
          <w:lang w:eastAsia="zh-CN"/>
        </w:rPr>
        <w:t>FDA推荐动物研究的主要目的是帮助申请人提供安全性证据（包括性能和操作）。需要注意的是，在很多情况下，某种特定器械的性能与其安全性之间的关系错综复杂，比如提供循环支持的产品。</w:t>
      </w:r>
    </w:p>
    <w:p w14:paraId="329313B2">
      <w:pPr>
        <w:pStyle w:val="32"/>
        <w:numPr>
          <w:ilvl w:val="0"/>
          <w:numId w:val="2"/>
        </w:numPr>
        <w:snapToGrid w:val="0"/>
        <w:spacing w:before="163" w:beforeLines="50" w:line="300" w:lineRule="auto"/>
        <w:ind w:left="938" w:hanging="513" w:firstLineChars="0"/>
        <w:rPr>
          <w:rFonts w:ascii="Arial" w:hAnsi="Arial" w:eastAsia="宋体" w:cs="Arial"/>
          <w:lang w:eastAsia="zh-CN"/>
        </w:rPr>
      </w:pPr>
      <w:r>
        <w:rPr>
          <w:rFonts w:ascii="Arial" w:hAnsi="Arial" w:eastAsia="宋体" w:cs="Arial"/>
          <w:lang w:eastAsia="zh-CN"/>
        </w:rPr>
        <w:t>开展动物研究的另外一个目的可以是评价器械的功效或者进行原理验证。</w:t>
      </w:r>
    </w:p>
    <w:p w14:paraId="094A3988">
      <w:pPr>
        <w:pStyle w:val="32"/>
        <w:numPr>
          <w:ilvl w:val="0"/>
          <w:numId w:val="2"/>
        </w:numPr>
        <w:snapToGrid w:val="0"/>
        <w:spacing w:before="163" w:beforeLines="50" w:line="300" w:lineRule="auto"/>
        <w:ind w:left="938" w:hanging="513" w:firstLineChars="0"/>
        <w:rPr>
          <w:rFonts w:ascii="Arial" w:hAnsi="Arial" w:eastAsia="宋体" w:cs="Arial"/>
          <w:lang w:eastAsia="zh-CN"/>
        </w:rPr>
      </w:pPr>
      <w:r>
        <w:rPr>
          <w:rFonts w:ascii="Arial" w:hAnsi="Arial" w:eastAsia="宋体" w:cs="Arial"/>
          <w:lang w:eastAsia="zh-CN"/>
        </w:rPr>
        <w:t>通常在</w:t>
      </w:r>
      <w:r>
        <w:rPr>
          <w:i/>
          <w:iCs/>
          <w:lang w:eastAsia="zh-CN"/>
        </w:rPr>
        <w:t>体内</w:t>
      </w:r>
      <w:r>
        <w:rPr>
          <w:rFonts w:ascii="Arial" w:hAnsi="Arial" w:eastAsia="宋体" w:cs="Arial"/>
          <w:lang w:eastAsia="zh-CN"/>
        </w:rPr>
        <w:t>环境中对器械与生物系统如何作用以及生物系统如何影响器械，比如通过器械腐蚀和结构变形进行初步评价。</w:t>
      </w:r>
    </w:p>
    <w:p w14:paraId="3F770425">
      <w:pPr>
        <w:pStyle w:val="20"/>
        <w:shd w:val="clear" w:color="auto" w:fill="auto"/>
        <w:snapToGrid w:val="0"/>
        <w:spacing w:before="163" w:beforeLines="50" w:after="0" w:line="300" w:lineRule="auto"/>
        <w:ind w:firstLine="0"/>
        <w:rPr>
          <w:rFonts w:ascii="Arial" w:hAnsi="Arial" w:eastAsia="宋体" w:cs="Arial"/>
          <w:sz w:val="24"/>
          <w:szCs w:val="24"/>
          <w:lang w:bidi="en-US"/>
        </w:rPr>
      </w:pPr>
      <w:bookmarkStart w:id="17" w:name="bookmark18"/>
      <w:r>
        <w:rPr>
          <w:rFonts w:ascii="Arial" w:hAnsi="Arial" w:eastAsia="宋体" w:cs="Arial"/>
          <w:sz w:val="24"/>
          <w:szCs w:val="24"/>
        </w:rPr>
        <w:t>作为</w:t>
      </w:r>
      <w:r>
        <w:rPr>
          <w:rFonts w:hint="eastAsia" w:ascii="Arial" w:hAnsi="Arial" w:eastAsia="宋体" w:cs="Arial"/>
          <w:sz w:val="24"/>
          <w:szCs w:val="24"/>
        </w:rPr>
        <w:t>预提交的</w:t>
      </w:r>
      <w:r>
        <w:rPr>
          <w:rFonts w:ascii="Arial" w:hAnsi="Arial" w:eastAsia="宋体" w:cs="Arial"/>
          <w:sz w:val="24"/>
          <w:szCs w:val="24"/>
        </w:rPr>
        <w:t>一部分，FDA可以</w:t>
      </w:r>
      <w:r>
        <w:rPr>
          <w:rFonts w:hint="eastAsia" w:ascii="Arial" w:hAnsi="Arial" w:eastAsia="宋体" w:cs="Arial"/>
          <w:sz w:val="24"/>
          <w:szCs w:val="24"/>
        </w:rPr>
        <w:t>审查</w:t>
      </w:r>
      <w:r>
        <w:rPr>
          <w:rFonts w:ascii="Arial" w:hAnsi="Arial" w:eastAsia="宋体" w:cs="Arial"/>
          <w:sz w:val="24"/>
          <w:szCs w:val="24"/>
        </w:rPr>
        <w:t>您的动物研究原理和设计。</w:t>
      </w:r>
      <w:r>
        <w:rPr>
          <w:rFonts w:ascii="Arial" w:hAnsi="Arial" w:eastAsia="宋体" w:cs="Arial"/>
          <w:sz w:val="24"/>
          <w:szCs w:val="24"/>
          <w:vertAlign w:val="superscript"/>
        </w:rPr>
        <w:t>13</w:t>
      </w:r>
      <w:r>
        <w:rPr>
          <w:rFonts w:ascii="Arial" w:hAnsi="Arial" w:eastAsia="宋体" w:cs="Arial"/>
          <w:sz w:val="24"/>
          <w:szCs w:val="24"/>
        </w:rPr>
        <w:t>除此之外，进行研究设计时考虑下述要点至关重要：充分对照、时间选取和介入途径以及减小偏倚的方法（比如设盲、随机化、使用对照、根据生物反应的预期幅度确定样本量、报告缺失数据和明确统计学考虑等）。如果您对动物研究的要素（对</w:t>
      </w:r>
      <w:r>
        <w:rPr>
          <w:rFonts w:hint="eastAsia" w:ascii="Arial" w:hAnsi="Arial" w:eastAsia="宋体" w:cs="Arial"/>
          <w:sz w:val="24"/>
          <w:szCs w:val="24"/>
        </w:rPr>
        <w:t>机构</w:t>
      </w:r>
      <w:r>
        <w:rPr>
          <w:rFonts w:ascii="Arial" w:hAnsi="Arial" w:eastAsia="宋体" w:cs="Arial"/>
          <w:sz w:val="24"/>
          <w:szCs w:val="24"/>
        </w:rPr>
        <w:t>至关重要）存在疑问，请主动联系您的评审部门进行澄清。</w:t>
      </w:r>
      <w:bookmarkEnd w:id="17"/>
    </w:p>
    <w:p w14:paraId="2B68A364">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您应当遵守优化、减少和替代的最佳方案，以及现行的人道兽医护理和使用标准。这可能涉及考虑现有的有效替代方案。</w:t>
      </w:r>
      <w:r>
        <w:rPr>
          <w:rFonts w:ascii="Arial" w:hAnsi="Arial" w:eastAsia="宋体" w:cs="Arial"/>
          <w:sz w:val="24"/>
          <w:szCs w:val="24"/>
          <w:vertAlign w:val="superscript"/>
        </w:rPr>
        <w:t>14-20</w:t>
      </w:r>
    </w:p>
    <w:p w14:paraId="2561C12C">
      <w:pPr>
        <w:snapToGrid w:val="0"/>
        <w:spacing w:before="163" w:beforeLines="50" w:line="300" w:lineRule="auto"/>
        <w:rPr>
          <w:rFonts w:ascii="Arial" w:hAnsi="Arial" w:eastAsia="宋体" w:cs="Arial"/>
          <w:lang w:eastAsia="zh-CN"/>
        </w:rPr>
      </w:pPr>
      <w:bookmarkStart w:id="18" w:name="bookmark19"/>
      <w:r>
        <w:rPr>
          <w:rFonts w:ascii="Arial" w:hAnsi="Arial" w:eastAsia="宋体" w:cs="Arial"/>
          <w:lang w:eastAsia="zh-CN"/>
        </w:rPr>
        <w:t>关于动物研究特定要素的建议和其他考虑见下述部分。</w:t>
      </w:r>
      <w:bookmarkEnd w:id="18"/>
    </w:p>
    <w:p w14:paraId="494ADDDE">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19" w:name="_Toc495870748"/>
      <w:bookmarkStart w:id="20" w:name="bookmark20"/>
      <w:bookmarkStart w:id="21" w:name="_Toc496541627"/>
      <w:r>
        <w:rPr>
          <w:rFonts w:ascii="Arial" w:hAnsi="Arial" w:eastAsia="宋体" w:cs="Arial"/>
          <w:sz w:val="30"/>
          <w:szCs w:val="30"/>
        </w:rPr>
        <w:t>研究计划和方案</w:t>
      </w:r>
      <w:bookmarkEnd w:id="19"/>
      <w:bookmarkEnd w:id="20"/>
      <w:bookmarkEnd w:id="21"/>
    </w:p>
    <w:p w14:paraId="4DAAD3E6">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FDA认为，经过精心设计和执行的动物研究更有可能提供有用的数据，对器械</w:t>
      </w:r>
      <w:r>
        <w:rPr>
          <w:rFonts w:hint="eastAsia" w:ascii="Arial" w:hAnsi="Arial" w:eastAsia="宋体" w:cs="Arial"/>
          <w:sz w:val="24"/>
          <w:szCs w:val="24"/>
        </w:rPr>
        <w:t>上市前提交</w:t>
      </w:r>
      <w:r>
        <w:rPr>
          <w:rFonts w:ascii="Arial" w:hAnsi="Arial" w:eastAsia="宋体" w:cs="Arial"/>
          <w:sz w:val="24"/>
          <w:szCs w:val="24"/>
        </w:rPr>
        <w:t>更为有利。出于上述考虑，按照21 CFR 58.33，该研究应当由具有相应文凭和经验的人员进行规划，且必须由指定的具有相应文凭和经验的研究负责人进行指导。该研究负责人应当靠近实际研究位置，以便对该研究的技术实施进行监督。该研究负责人还要负责研究结果的解释、分析、记录和报告（21 CFR 58.33）。</w:t>
      </w:r>
    </w:p>
    <w:p w14:paraId="0E47F792">
      <w:pPr>
        <w:widowControl/>
        <w:rPr>
          <w:rFonts w:ascii="Arial" w:hAnsi="Arial" w:eastAsia="宋体" w:cs="Arial"/>
          <w:color w:val="auto"/>
          <w:kern w:val="2"/>
          <w:lang w:eastAsia="zh-CN" w:bidi="ar-SA"/>
        </w:rPr>
      </w:pPr>
      <w:r>
        <w:rPr>
          <w:rFonts w:ascii="Arial" w:hAnsi="Arial" w:eastAsia="宋体" w:cs="Arial"/>
          <w:lang w:eastAsia="zh-CN"/>
        </w:rPr>
        <w:br w:type="page"/>
      </w:r>
    </w:p>
    <w:p w14:paraId="16AB2761">
      <w:pPr>
        <w:pStyle w:val="20"/>
        <w:shd w:val="clear" w:color="auto" w:fill="auto"/>
        <w:snapToGrid w:val="0"/>
        <w:spacing w:before="163" w:beforeLines="50" w:after="0" w:line="300" w:lineRule="auto"/>
        <w:ind w:firstLine="0"/>
        <w:rPr>
          <w:rFonts w:ascii="Arial" w:hAnsi="Arial" w:eastAsia="宋体" w:cs="Arial"/>
          <w:sz w:val="24"/>
          <w:szCs w:val="24"/>
          <w:lang w:bidi="en-US"/>
        </w:rPr>
      </w:pPr>
      <w:r>
        <w:rPr>
          <w:rFonts w:ascii="Arial" w:hAnsi="Arial" w:eastAsia="宋体" w:cs="Arial"/>
          <w:sz w:val="24"/>
          <w:szCs w:val="24"/>
        </w:rPr>
        <w:t>在某些情况下，可能需要指定其他研究者或者参与科学家负责该研究的不同方面，比如活体部分和</w:t>
      </w:r>
      <w:r>
        <w:rPr>
          <w:rStyle w:val="31"/>
          <w:rFonts w:ascii="Arial" w:hAnsi="Arial" w:eastAsia="宋体" w:cs="Arial"/>
          <w:lang w:eastAsia="zh-CN"/>
        </w:rPr>
        <w:t>离体</w:t>
      </w:r>
      <w:r>
        <w:rPr>
          <w:rFonts w:ascii="Arial" w:hAnsi="Arial" w:eastAsia="宋体" w:cs="Arial"/>
          <w:sz w:val="24"/>
          <w:szCs w:val="24"/>
        </w:rPr>
        <w:t>成像。</w:t>
      </w:r>
    </w:p>
    <w:p w14:paraId="2A4A4FCA">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因为研究的主要目的是评价安全性和性能，因此我们建议您考虑风险分析（比如通过台架试验识别出与您的器械</w:t>
      </w:r>
      <w:r>
        <w:rPr>
          <w:rFonts w:hint="eastAsia" w:ascii="Arial" w:hAnsi="Arial" w:eastAsia="宋体" w:cs="Arial"/>
          <w:sz w:val="24"/>
          <w:szCs w:val="24"/>
        </w:rPr>
        <w:t>相关</w:t>
      </w:r>
      <w:r>
        <w:rPr>
          <w:rFonts w:ascii="Arial" w:hAnsi="Arial" w:eastAsia="宋体" w:cs="Arial"/>
          <w:sz w:val="24"/>
          <w:szCs w:val="24"/>
        </w:rPr>
        <w:t>的风险，以及其他信息，比如科学报告、文献综述，诸如此类），并设定研究目的，力求可以研究您的器械的所有已识别风险以及该类器械的所有已知风险。</w:t>
      </w:r>
    </w:p>
    <w:p w14:paraId="77367FE5">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研究必须在经过申办方批准，研究负责人签名并注</w:t>
      </w:r>
      <w:r>
        <w:rPr>
          <w:rFonts w:hint="eastAsia" w:ascii="Arial" w:hAnsi="Arial" w:eastAsia="宋体" w:cs="Arial"/>
          <w:sz w:val="24"/>
          <w:szCs w:val="24"/>
        </w:rPr>
        <w:t>明</w:t>
      </w:r>
      <w:r>
        <w:rPr>
          <w:rFonts w:ascii="Arial" w:hAnsi="Arial" w:eastAsia="宋体" w:cs="Arial"/>
          <w:sz w:val="24"/>
          <w:szCs w:val="24"/>
        </w:rPr>
        <w:t>日期的</w:t>
      </w:r>
      <w:r>
        <w:rPr>
          <w:rStyle w:val="31"/>
          <w:rFonts w:ascii="Arial" w:hAnsi="Arial" w:eastAsia="宋体" w:cs="Arial"/>
          <w:lang w:eastAsia="zh-CN"/>
        </w:rPr>
        <w:t>先验</w:t>
      </w:r>
      <w:r>
        <w:rPr>
          <w:rFonts w:ascii="Arial" w:hAnsi="Arial" w:eastAsia="宋体" w:cs="Arial"/>
          <w:sz w:val="24"/>
          <w:szCs w:val="24"/>
        </w:rPr>
        <w:t>研究方案的指导下进行（21 CFR 58.120）。方案必须包含21 CFR 58.120所列要素，应当包含研究说明（视具体情况而定）。对已经批准的最终方案的任何</w:t>
      </w:r>
      <w:r>
        <w:rPr>
          <w:rFonts w:hint="eastAsia" w:ascii="Arial" w:hAnsi="Arial" w:eastAsia="宋体" w:cs="Arial"/>
          <w:sz w:val="24"/>
          <w:szCs w:val="24"/>
        </w:rPr>
        <w:t>变更</w:t>
      </w:r>
      <w:r>
        <w:rPr>
          <w:rFonts w:ascii="Arial" w:hAnsi="Arial" w:eastAsia="宋体" w:cs="Arial"/>
          <w:sz w:val="24"/>
          <w:szCs w:val="24"/>
        </w:rPr>
        <w:t>或者修订，以及修改原因必须由研究负责人记录、注明日期并签名（21 CFR 58.120）。必须将方案及所有修订提交评审部门并接受审查（21 CFR 58.15）。</w:t>
      </w:r>
    </w:p>
    <w:p w14:paraId="74F4C6AD">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FDA建议，由实验动物护理和使用委员会（IACUC）对论述开始研究之前动物护理和使用的</w:t>
      </w:r>
      <w:r>
        <w:rPr>
          <w:rFonts w:ascii="Arial" w:hAnsi="Arial" w:eastAsia="宋体" w:cs="Arial"/>
          <w:i/>
          <w:iCs/>
          <w:sz w:val="24"/>
          <w:szCs w:val="24"/>
        </w:rPr>
        <w:t>先验</w:t>
      </w:r>
      <w:r>
        <w:rPr>
          <w:rFonts w:ascii="Arial" w:hAnsi="Arial" w:eastAsia="宋体" w:cs="Arial"/>
          <w:sz w:val="24"/>
          <w:szCs w:val="24"/>
        </w:rPr>
        <w:t>方案的所有要素，以及影响实施</w:t>
      </w:r>
      <w:r>
        <w:rPr>
          <w:rFonts w:hint="eastAsia" w:ascii="Arial" w:hAnsi="Arial" w:eastAsia="宋体" w:cs="Arial"/>
          <w:sz w:val="24"/>
          <w:szCs w:val="24"/>
        </w:rPr>
        <w:t>变更</w:t>
      </w:r>
      <w:r>
        <w:rPr>
          <w:rFonts w:ascii="Arial" w:hAnsi="Arial" w:eastAsia="宋体" w:cs="Arial"/>
          <w:sz w:val="24"/>
          <w:szCs w:val="24"/>
        </w:rPr>
        <w:t>之前动物护理和使用的所有主要的方案修订进行审核和批准（某些研究可能需要此类审核和批准</w:t>
      </w:r>
      <w:r>
        <w:rPr>
          <w:rFonts w:ascii="Arial" w:hAnsi="Arial" w:eastAsia="宋体" w:cs="Arial"/>
          <w:sz w:val="24"/>
          <w:szCs w:val="24"/>
          <w:vertAlign w:val="superscript"/>
        </w:rPr>
        <w:t>1</w:t>
      </w:r>
      <w:r>
        <w:rPr>
          <w:rFonts w:ascii="Arial" w:hAnsi="Arial" w:eastAsia="宋体" w:cs="Arial"/>
          <w:sz w:val="24"/>
          <w:szCs w:val="24"/>
        </w:rPr>
        <w:t>）。IACUC可以对向该委员会提交信息的过程和格式提供指导。</w:t>
      </w:r>
    </w:p>
    <w:p w14:paraId="3C33F831">
      <w:pPr>
        <w:pStyle w:val="20"/>
        <w:shd w:val="clear" w:color="auto" w:fill="auto"/>
        <w:snapToGrid w:val="0"/>
        <w:spacing w:before="163" w:beforeLines="50" w:after="0" w:line="300" w:lineRule="auto"/>
        <w:ind w:firstLine="0"/>
        <w:rPr>
          <w:rFonts w:ascii="Arial" w:hAnsi="Arial" w:eastAsia="宋体" w:cs="Arial"/>
          <w:sz w:val="24"/>
          <w:szCs w:val="24"/>
        </w:rPr>
      </w:pPr>
      <w:bookmarkStart w:id="22" w:name="bookmark21"/>
      <w:r>
        <w:rPr>
          <w:rFonts w:ascii="Arial" w:hAnsi="Arial" w:eastAsia="宋体" w:cs="Arial"/>
          <w:sz w:val="24"/>
          <w:szCs w:val="24"/>
        </w:rPr>
        <w:t>应当在开展初步试验和台架试验，得出部分可靠性意见和结果之后再设计动物和实验分组数量。在深思熟虑后进行尝试，使用最少量的动物得出有意义的解释至关重要，此类措施包括注意进行适当的实验对照、考虑潜在的实验混杂因素以及确定最佳观察间隔等（见附录C）。</w:t>
      </w:r>
      <w:bookmarkEnd w:id="22"/>
    </w:p>
    <w:p w14:paraId="7FCA3E06">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23" w:name="_Toc495870749"/>
      <w:bookmarkStart w:id="24" w:name="_Toc496541628"/>
      <w:bookmarkStart w:id="25" w:name="bookmark22"/>
      <w:r>
        <w:rPr>
          <w:rFonts w:ascii="Arial" w:hAnsi="Arial" w:eastAsia="宋体" w:cs="Arial"/>
          <w:sz w:val="30"/>
          <w:szCs w:val="30"/>
        </w:rPr>
        <w:t>动物研究的要素</w:t>
      </w:r>
      <w:bookmarkEnd w:id="23"/>
      <w:bookmarkEnd w:id="24"/>
      <w:bookmarkEnd w:id="25"/>
    </w:p>
    <w:p w14:paraId="3678EFA7">
      <w:pPr>
        <w:pStyle w:val="20"/>
        <w:shd w:val="clear" w:color="auto" w:fill="auto"/>
        <w:snapToGrid w:val="0"/>
        <w:spacing w:before="163" w:beforeLines="50" w:after="0" w:line="300" w:lineRule="auto"/>
        <w:ind w:firstLine="0"/>
        <w:rPr>
          <w:rFonts w:ascii="Arial" w:hAnsi="Arial" w:eastAsia="宋体" w:cs="Arial"/>
          <w:sz w:val="24"/>
          <w:szCs w:val="24"/>
        </w:rPr>
      </w:pPr>
      <w:r>
        <w:rPr>
          <w:rFonts w:ascii="Arial" w:hAnsi="Arial" w:eastAsia="宋体" w:cs="Arial"/>
          <w:sz w:val="24"/>
          <w:szCs w:val="24"/>
        </w:rPr>
        <w:t>我们建议，您的注册申请除符合21 CFR 58.185所列规定外，还要对动物研究的下述关键特性逐一进行讨论：</w:t>
      </w:r>
    </w:p>
    <w:p w14:paraId="52EA19E4">
      <w:pPr>
        <w:pStyle w:val="20"/>
        <w:numPr>
          <w:ilvl w:val="0"/>
          <w:numId w:val="3"/>
        </w:numPr>
        <w:shd w:val="clear" w:color="auto" w:fill="auto"/>
        <w:tabs>
          <w:tab w:val="left" w:pos="812"/>
        </w:tabs>
        <w:snapToGrid w:val="0"/>
        <w:spacing w:before="163" w:beforeLines="50" w:after="0" w:line="300" w:lineRule="auto"/>
        <w:ind w:left="809" w:leftChars="157" w:hanging="432" w:hangingChars="180"/>
        <w:jc w:val="both"/>
        <w:rPr>
          <w:rFonts w:ascii="Arial" w:hAnsi="Arial" w:eastAsia="宋体" w:cs="Arial"/>
          <w:sz w:val="24"/>
          <w:szCs w:val="24"/>
        </w:rPr>
      </w:pPr>
      <w:r>
        <w:rPr>
          <w:rFonts w:ascii="Arial" w:hAnsi="Arial" w:eastAsia="宋体" w:cs="Arial"/>
          <w:sz w:val="24"/>
          <w:szCs w:val="24"/>
        </w:rPr>
        <w:t>简介，包括选择特定动物模型的依据；</w:t>
      </w:r>
    </w:p>
    <w:p w14:paraId="60F27495">
      <w:pPr>
        <w:pStyle w:val="20"/>
        <w:numPr>
          <w:ilvl w:val="0"/>
          <w:numId w:val="3"/>
        </w:numPr>
        <w:shd w:val="clear" w:color="auto" w:fill="auto"/>
        <w:tabs>
          <w:tab w:val="left" w:pos="812"/>
        </w:tabs>
        <w:snapToGrid w:val="0"/>
        <w:spacing w:before="163" w:beforeLines="50" w:after="0" w:line="300" w:lineRule="auto"/>
        <w:ind w:left="809" w:leftChars="157" w:hanging="432" w:hangingChars="180"/>
        <w:jc w:val="both"/>
        <w:rPr>
          <w:rFonts w:ascii="Arial" w:hAnsi="Arial" w:eastAsia="宋体" w:cs="Arial"/>
          <w:sz w:val="24"/>
          <w:szCs w:val="24"/>
        </w:rPr>
      </w:pPr>
      <w:r>
        <w:rPr>
          <w:rFonts w:ascii="Arial" w:hAnsi="Arial" w:eastAsia="宋体" w:cs="Arial"/>
          <w:sz w:val="24"/>
          <w:szCs w:val="24"/>
        </w:rPr>
        <w:t>研究保证（比如USDA注册、AAALACi认证和NIH实验动物福利办公室【OLAW】保证声明编号）；</w:t>
      </w:r>
    </w:p>
    <w:p w14:paraId="0961BDA0">
      <w:pPr>
        <w:pStyle w:val="20"/>
        <w:numPr>
          <w:ilvl w:val="0"/>
          <w:numId w:val="3"/>
        </w:numPr>
        <w:shd w:val="clear" w:color="auto" w:fill="auto"/>
        <w:tabs>
          <w:tab w:val="left" w:pos="812"/>
        </w:tabs>
        <w:snapToGrid w:val="0"/>
        <w:spacing w:before="163" w:beforeLines="50" w:after="0" w:line="300" w:lineRule="auto"/>
        <w:ind w:left="809" w:leftChars="157" w:hanging="432" w:hangingChars="180"/>
        <w:jc w:val="both"/>
        <w:rPr>
          <w:rFonts w:ascii="Arial" w:hAnsi="Arial" w:eastAsia="宋体" w:cs="Arial"/>
          <w:sz w:val="24"/>
          <w:szCs w:val="24"/>
        </w:rPr>
      </w:pPr>
      <w:r>
        <w:rPr>
          <w:rFonts w:ascii="Arial" w:hAnsi="Arial" w:eastAsia="宋体" w:cs="Arial"/>
          <w:sz w:val="24"/>
          <w:szCs w:val="24"/>
        </w:rPr>
        <w:t>各试验方案的目的；</w:t>
      </w:r>
    </w:p>
    <w:p w14:paraId="4BF650ED">
      <w:pPr>
        <w:pStyle w:val="20"/>
        <w:numPr>
          <w:ilvl w:val="0"/>
          <w:numId w:val="3"/>
        </w:numPr>
        <w:shd w:val="clear" w:color="auto" w:fill="auto"/>
        <w:tabs>
          <w:tab w:val="left" w:pos="812"/>
        </w:tabs>
        <w:snapToGrid w:val="0"/>
        <w:spacing w:before="163" w:beforeLines="50" w:after="0" w:line="300" w:lineRule="auto"/>
        <w:ind w:left="809" w:leftChars="157" w:hanging="432" w:hangingChars="180"/>
        <w:jc w:val="both"/>
        <w:rPr>
          <w:rFonts w:ascii="Arial" w:hAnsi="Arial" w:eastAsia="宋体" w:cs="Arial"/>
          <w:sz w:val="24"/>
          <w:szCs w:val="24"/>
        </w:rPr>
      </w:pPr>
      <w:r>
        <w:rPr>
          <w:rFonts w:ascii="Arial" w:hAnsi="Arial" w:eastAsia="宋体" w:cs="Arial"/>
          <w:sz w:val="24"/>
          <w:szCs w:val="24"/>
        </w:rPr>
        <w:t>研究时间表；</w:t>
      </w:r>
    </w:p>
    <w:p w14:paraId="01AFA141">
      <w:pPr>
        <w:pStyle w:val="20"/>
        <w:numPr>
          <w:ilvl w:val="0"/>
          <w:numId w:val="3"/>
        </w:numPr>
        <w:shd w:val="clear" w:color="auto" w:fill="auto"/>
        <w:tabs>
          <w:tab w:val="left" w:pos="812"/>
        </w:tabs>
        <w:snapToGrid w:val="0"/>
        <w:spacing w:before="163" w:beforeLines="50" w:after="0" w:line="300" w:lineRule="auto"/>
        <w:ind w:left="809" w:leftChars="157" w:hanging="432" w:hangingChars="180"/>
        <w:jc w:val="both"/>
        <w:rPr>
          <w:rFonts w:ascii="Arial" w:hAnsi="Arial" w:eastAsia="宋体" w:cs="Arial"/>
          <w:sz w:val="24"/>
          <w:szCs w:val="24"/>
        </w:rPr>
      </w:pPr>
      <w:r>
        <w:rPr>
          <w:rFonts w:ascii="Arial" w:hAnsi="Arial" w:eastAsia="宋体" w:cs="Arial"/>
          <w:sz w:val="24"/>
          <w:szCs w:val="24"/>
        </w:rPr>
        <w:t>所有</w:t>
      </w:r>
      <w:r>
        <w:rPr>
          <w:rFonts w:eastAsiaTheme="minorEastAsia"/>
          <w:i/>
          <w:iCs/>
          <w:sz w:val="24"/>
          <w:szCs w:val="24"/>
        </w:rPr>
        <w:t>离体</w:t>
      </w:r>
      <w:r>
        <w:rPr>
          <w:rFonts w:ascii="Arial" w:hAnsi="Arial" w:eastAsia="宋体" w:cs="Arial"/>
          <w:sz w:val="24"/>
          <w:szCs w:val="24"/>
        </w:rPr>
        <w:t>组织表征；以及</w:t>
      </w:r>
    </w:p>
    <w:p w14:paraId="0B0386FC">
      <w:pPr>
        <w:pStyle w:val="20"/>
        <w:numPr>
          <w:ilvl w:val="0"/>
          <w:numId w:val="3"/>
        </w:numPr>
        <w:shd w:val="clear" w:color="auto" w:fill="auto"/>
        <w:tabs>
          <w:tab w:val="left" w:pos="812"/>
        </w:tabs>
        <w:snapToGrid w:val="0"/>
        <w:spacing w:before="163" w:beforeLines="50" w:after="0" w:line="300" w:lineRule="auto"/>
        <w:ind w:left="809" w:leftChars="157" w:hanging="432" w:hangingChars="180"/>
        <w:jc w:val="both"/>
        <w:rPr>
          <w:rFonts w:ascii="Arial" w:hAnsi="Arial" w:eastAsia="宋体" w:cs="Arial"/>
          <w:sz w:val="24"/>
          <w:szCs w:val="24"/>
        </w:rPr>
      </w:pPr>
      <w:r>
        <w:rPr>
          <w:rFonts w:ascii="Arial" w:hAnsi="Arial" w:eastAsia="宋体" w:cs="Arial"/>
          <w:sz w:val="24"/>
          <w:szCs w:val="24"/>
        </w:rPr>
        <w:t>选择的动物模型存在的所有局限性以及对试验方案原件的所有修订和偏离</w:t>
      </w:r>
    </w:p>
    <w:p w14:paraId="23F28534">
      <w:pPr>
        <w:pStyle w:val="34"/>
        <w:numPr>
          <w:ilvl w:val="0"/>
          <w:numId w:val="4"/>
        </w:numPr>
        <w:snapToGrid w:val="0"/>
        <w:spacing w:before="163" w:beforeLines="50" w:after="0" w:line="300" w:lineRule="auto"/>
        <w:ind w:left="480" w:firstLine="0"/>
        <w:rPr>
          <w:rFonts w:ascii="Arial" w:hAnsi="Arial" w:eastAsia="宋体" w:cs="Arial"/>
          <w:sz w:val="24"/>
          <w:szCs w:val="24"/>
          <w:lang w:eastAsia="en-US" w:bidi="en-US"/>
        </w:rPr>
      </w:pPr>
      <w:bookmarkStart w:id="26" w:name="bookmark24"/>
      <w:bookmarkStart w:id="27" w:name="_Toc496541629"/>
      <w:bookmarkStart w:id="28" w:name="_Toc495870750"/>
      <w:r>
        <w:rPr>
          <w:rFonts w:ascii="Arial" w:hAnsi="Arial" w:eastAsia="宋体" w:cs="Arial"/>
          <w:sz w:val="24"/>
          <w:szCs w:val="24"/>
        </w:rPr>
        <w:t>选择动物模型的依据</w:t>
      </w:r>
      <w:bookmarkEnd w:id="26"/>
      <w:bookmarkEnd w:id="27"/>
      <w:bookmarkEnd w:id="28"/>
    </w:p>
    <w:p w14:paraId="408A48B6">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FDA建议提供用于动物研究的特定动物模型的选择依据。该判定的样本决策分析流程图见附录B。动物及其相关环境和生理属性应当能够提供可以模拟临床条件的试验系统。在动物研究的实施依据中应明确指出要解决风险分析中的哪些部分，为什么选择该动物模型。如果该动物模型存在局限性，最好用台架或尸体试验来解决该器械的某些风险时，应描述其关系。您的选择依据</w:t>
      </w:r>
      <w:r>
        <w:rPr>
          <w:rFonts w:hint="eastAsia" w:ascii="Arial" w:hAnsi="Arial" w:eastAsia="宋体" w:cs="Arial"/>
          <w:sz w:val="24"/>
          <w:szCs w:val="24"/>
        </w:rPr>
        <w:t>也应描述</w:t>
      </w:r>
      <w:r>
        <w:rPr>
          <w:rFonts w:ascii="Arial" w:hAnsi="Arial" w:eastAsia="宋体" w:cs="Arial"/>
          <w:sz w:val="24"/>
          <w:szCs w:val="24"/>
        </w:rPr>
        <w:t>试验系统面临的固有挑战，比如：</w:t>
      </w:r>
    </w:p>
    <w:p w14:paraId="00B710F0">
      <w:pPr>
        <w:pStyle w:val="20"/>
        <w:numPr>
          <w:ilvl w:val="0"/>
          <w:numId w:val="3"/>
        </w:numPr>
        <w:shd w:val="clear" w:color="auto" w:fill="auto"/>
        <w:tabs>
          <w:tab w:val="left" w:pos="1736"/>
        </w:tabs>
        <w:snapToGrid w:val="0"/>
        <w:spacing w:before="163" w:beforeLines="50" w:after="0" w:line="300" w:lineRule="auto"/>
        <w:ind w:left="1734" w:leftChars="606" w:hanging="280" w:hangingChars="117"/>
        <w:jc w:val="both"/>
        <w:rPr>
          <w:rFonts w:ascii="Arial" w:hAnsi="Arial" w:eastAsia="宋体" w:cs="Arial"/>
          <w:sz w:val="24"/>
          <w:szCs w:val="24"/>
        </w:rPr>
      </w:pPr>
      <w:r>
        <w:rPr>
          <w:rFonts w:ascii="Arial" w:hAnsi="Arial" w:eastAsia="宋体" w:cs="Arial"/>
          <w:sz w:val="24"/>
          <w:szCs w:val="24"/>
        </w:rPr>
        <w:t>试验系统和人体在药物代谢或者使用辅助器械（用于器械植入的标准处理方法）方面的相似性和差异；</w:t>
      </w:r>
    </w:p>
    <w:p w14:paraId="31BEC014">
      <w:pPr>
        <w:pStyle w:val="20"/>
        <w:numPr>
          <w:ilvl w:val="0"/>
          <w:numId w:val="3"/>
        </w:numPr>
        <w:shd w:val="clear" w:color="auto" w:fill="auto"/>
        <w:tabs>
          <w:tab w:val="left" w:pos="1736"/>
        </w:tabs>
        <w:snapToGrid w:val="0"/>
        <w:spacing w:before="163" w:beforeLines="50" w:after="0" w:line="300" w:lineRule="auto"/>
        <w:ind w:left="1734" w:leftChars="606" w:hanging="280" w:hangingChars="117"/>
        <w:jc w:val="both"/>
        <w:rPr>
          <w:rFonts w:ascii="Arial" w:hAnsi="Arial" w:eastAsia="宋体" w:cs="Arial"/>
          <w:sz w:val="24"/>
          <w:szCs w:val="24"/>
        </w:rPr>
      </w:pPr>
      <w:r>
        <w:rPr>
          <w:rFonts w:ascii="Arial" w:hAnsi="Arial" w:eastAsia="宋体" w:cs="Arial"/>
          <w:sz w:val="24"/>
          <w:szCs w:val="24"/>
        </w:rPr>
        <w:t>器械和</w:t>
      </w:r>
      <w:r>
        <w:rPr>
          <w:rFonts w:hint="eastAsia" w:ascii="Arial" w:hAnsi="Arial" w:eastAsia="宋体" w:cs="Arial"/>
          <w:sz w:val="24"/>
          <w:szCs w:val="24"/>
        </w:rPr>
        <w:t>输送</w:t>
      </w:r>
      <w:r>
        <w:rPr>
          <w:rFonts w:ascii="Arial" w:hAnsi="Arial" w:eastAsia="宋体" w:cs="Arial"/>
          <w:sz w:val="24"/>
          <w:szCs w:val="24"/>
        </w:rPr>
        <w:t>系统的尺寸，与拟用于人体的器械版本的同种属性相比；</w:t>
      </w:r>
    </w:p>
    <w:p w14:paraId="5E569974">
      <w:pPr>
        <w:pStyle w:val="20"/>
        <w:numPr>
          <w:ilvl w:val="0"/>
          <w:numId w:val="3"/>
        </w:numPr>
        <w:shd w:val="clear" w:color="auto" w:fill="auto"/>
        <w:tabs>
          <w:tab w:val="left" w:pos="1736"/>
        </w:tabs>
        <w:snapToGrid w:val="0"/>
        <w:spacing w:before="163" w:beforeLines="50" w:after="0" w:line="300" w:lineRule="auto"/>
        <w:ind w:left="1734" w:leftChars="606" w:hanging="280" w:hangingChars="117"/>
        <w:jc w:val="both"/>
        <w:rPr>
          <w:rFonts w:ascii="Arial" w:hAnsi="Arial" w:eastAsia="宋体" w:cs="Arial"/>
          <w:sz w:val="24"/>
          <w:szCs w:val="24"/>
        </w:rPr>
      </w:pPr>
      <w:r>
        <w:rPr>
          <w:rFonts w:ascii="Arial" w:hAnsi="Arial" w:eastAsia="宋体" w:cs="Arial"/>
          <w:sz w:val="24"/>
          <w:szCs w:val="24"/>
        </w:rPr>
        <w:t>器械插入位置和追踪路径，或者如果是手术植入，则为动物与人体所用的手术入路解剖点和外科手术；以及</w:t>
      </w:r>
    </w:p>
    <w:p w14:paraId="764319C8">
      <w:pPr>
        <w:pStyle w:val="20"/>
        <w:numPr>
          <w:ilvl w:val="0"/>
          <w:numId w:val="3"/>
        </w:numPr>
        <w:shd w:val="clear" w:color="auto" w:fill="auto"/>
        <w:tabs>
          <w:tab w:val="left" w:pos="1736"/>
        </w:tabs>
        <w:snapToGrid w:val="0"/>
        <w:spacing w:before="163" w:beforeLines="50" w:after="0" w:line="300" w:lineRule="auto"/>
        <w:ind w:left="1734" w:leftChars="606" w:hanging="280" w:hangingChars="117"/>
        <w:jc w:val="both"/>
        <w:rPr>
          <w:rFonts w:ascii="Arial" w:hAnsi="Arial" w:eastAsia="宋体" w:cs="Arial"/>
          <w:sz w:val="24"/>
          <w:szCs w:val="24"/>
        </w:rPr>
      </w:pPr>
      <w:r>
        <w:rPr>
          <w:rFonts w:ascii="Arial" w:hAnsi="Arial" w:eastAsia="宋体" w:cs="Arial"/>
          <w:sz w:val="24"/>
          <w:szCs w:val="24"/>
        </w:rPr>
        <w:t>阻碍使用最合适的体型以及相应解剖学模型的体型限制（费用除外）</w:t>
      </w:r>
    </w:p>
    <w:p w14:paraId="70603CD5">
      <w:pPr>
        <w:pStyle w:val="34"/>
        <w:numPr>
          <w:ilvl w:val="0"/>
          <w:numId w:val="4"/>
        </w:numPr>
        <w:snapToGrid w:val="0"/>
        <w:spacing w:before="163" w:beforeLines="50" w:after="0" w:line="300" w:lineRule="auto"/>
        <w:ind w:left="480" w:firstLine="0"/>
        <w:rPr>
          <w:rFonts w:ascii="Arial" w:hAnsi="Arial" w:eastAsia="宋体" w:cs="Arial"/>
          <w:sz w:val="24"/>
          <w:szCs w:val="24"/>
          <w:lang w:eastAsia="en-US"/>
        </w:rPr>
      </w:pPr>
      <w:bookmarkStart w:id="29" w:name="bookmark25"/>
      <w:bookmarkStart w:id="30" w:name="_Toc496541630"/>
      <w:bookmarkStart w:id="31" w:name="_Toc495870751"/>
      <w:r>
        <w:rPr>
          <w:rFonts w:ascii="Arial" w:hAnsi="Arial" w:eastAsia="宋体" w:cs="Arial"/>
          <w:sz w:val="24"/>
          <w:szCs w:val="24"/>
        </w:rPr>
        <w:t>研究保证</w:t>
      </w:r>
      <w:bookmarkEnd w:id="29"/>
      <w:bookmarkEnd w:id="30"/>
      <w:bookmarkEnd w:id="31"/>
    </w:p>
    <w:p w14:paraId="79FE084B">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拟用于支持某种医疗器械安全性的动物研究必须符合21 CFR第58部分所述GLP规定。作为上述规定的一部分，</w:t>
      </w:r>
      <w:r>
        <w:rPr>
          <w:rFonts w:hint="eastAsia" w:ascii="Arial" w:hAnsi="Arial" w:eastAsia="宋体" w:cs="Arial"/>
          <w:sz w:val="24"/>
          <w:szCs w:val="24"/>
        </w:rPr>
        <w:t>根据</w:t>
      </w:r>
      <w:r>
        <w:rPr>
          <w:rFonts w:ascii="Arial" w:hAnsi="Arial" w:eastAsia="宋体" w:cs="Arial"/>
          <w:sz w:val="24"/>
          <w:szCs w:val="24"/>
        </w:rPr>
        <w:t>21 CFR 58.35规定，质量保证部门（QAU）必须</w:t>
      </w:r>
      <w:r>
        <w:rPr>
          <w:rFonts w:hint="eastAsia" w:ascii="Arial" w:hAnsi="Arial" w:eastAsia="宋体" w:cs="Arial"/>
          <w:sz w:val="24"/>
          <w:szCs w:val="24"/>
        </w:rPr>
        <w:t>与</w:t>
      </w:r>
      <w:r>
        <w:rPr>
          <w:rFonts w:ascii="Arial" w:hAnsi="Arial" w:eastAsia="宋体" w:cs="Arial"/>
          <w:sz w:val="24"/>
          <w:szCs w:val="24"/>
        </w:rPr>
        <w:t>参与研究指导和实施的人员</w:t>
      </w:r>
      <w:r>
        <w:rPr>
          <w:rFonts w:hint="eastAsia" w:ascii="Arial" w:hAnsi="Arial" w:eastAsia="宋体" w:cs="Arial"/>
          <w:sz w:val="24"/>
          <w:szCs w:val="24"/>
        </w:rPr>
        <w:t>分开设立</w:t>
      </w:r>
      <w:r>
        <w:rPr>
          <w:rFonts w:ascii="Arial" w:hAnsi="Arial" w:eastAsia="宋体" w:cs="Arial"/>
          <w:sz w:val="24"/>
          <w:szCs w:val="24"/>
        </w:rPr>
        <w:t>。研究总结报告必须包括经过签名的质量保证声明（QAS）（21 CFR 58.35和58.185），还应当注明日期。该声明还必须包括每次检查的日期（21 CFR 58.35）。</w:t>
      </w:r>
    </w:p>
    <w:p w14:paraId="5D545675">
      <w:pPr>
        <w:pStyle w:val="20"/>
        <w:shd w:val="clear" w:color="auto" w:fill="auto"/>
        <w:tabs>
          <w:tab w:val="left" w:pos="716"/>
        </w:tabs>
        <w:snapToGrid w:val="0"/>
        <w:spacing w:before="163" w:beforeLines="50" w:after="0" w:line="300" w:lineRule="auto"/>
        <w:ind w:left="709" w:firstLine="0"/>
        <w:jc w:val="both"/>
        <w:rPr>
          <w:rFonts w:ascii="Arial" w:hAnsi="Arial" w:eastAsia="宋体" w:cs="Arial"/>
          <w:sz w:val="24"/>
          <w:szCs w:val="24"/>
        </w:rPr>
      </w:pPr>
      <w:r>
        <w:rPr>
          <w:rFonts w:ascii="Arial" w:hAnsi="Arial" w:eastAsia="宋体" w:cs="Arial"/>
          <w:sz w:val="24"/>
          <w:szCs w:val="24"/>
        </w:rPr>
        <w:t>FDA</w:t>
      </w:r>
      <w:r>
        <w:rPr>
          <w:rFonts w:hint="eastAsia" w:ascii="Arial" w:hAnsi="Arial" w:eastAsia="宋体" w:cs="Arial"/>
          <w:sz w:val="24"/>
          <w:szCs w:val="24"/>
        </w:rPr>
        <w:t>认识到</w:t>
      </w:r>
      <w:r>
        <w:rPr>
          <w:rFonts w:ascii="Arial" w:hAnsi="Arial" w:eastAsia="宋体" w:cs="Arial"/>
          <w:sz w:val="24"/>
          <w:szCs w:val="24"/>
        </w:rPr>
        <w:t>，在</w:t>
      </w:r>
      <w:r>
        <w:rPr>
          <w:rFonts w:hint="eastAsia" w:ascii="Arial" w:hAnsi="Arial" w:eastAsia="宋体" w:cs="Arial"/>
          <w:sz w:val="24"/>
          <w:szCs w:val="24"/>
        </w:rPr>
        <w:t>多数</w:t>
      </w:r>
      <w:r>
        <w:rPr>
          <w:rFonts w:ascii="Arial" w:hAnsi="Arial" w:eastAsia="宋体" w:cs="Arial"/>
          <w:sz w:val="24"/>
          <w:szCs w:val="24"/>
        </w:rPr>
        <w:t>情况下无法使用经GLP认证的机构，比如具备某种高度专业化技能的研究者团队仅存在于某非GLP机构内时。</w:t>
      </w:r>
    </w:p>
    <w:p w14:paraId="4D312050">
      <w:pPr>
        <w:widowControl/>
        <w:rPr>
          <w:rFonts w:ascii="Arial" w:hAnsi="Arial" w:eastAsia="宋体" w:cs="Arial"/>
          <w:color w:val="auto"/>
          <w:kern w:val="2"/>
          <w:lang w:eastAsia="zh-CN" w:bidi="ar-SA"/>
        </w:rPr>
      </w:pPr>
      <w:r>
        <w:rPr>
          <w:rFonts w:ascii="Arial" w:hAnsi="Arial" w:eastAsia="宋体" w:cs="Arial"/>
          <w:lang w:eastAsia="zh-CN"/>
        </w:rPr>
        <w:br w:type="page"/>
      </w:r>
    </w:p>
    <w:p w14:paraId="09FF1727">
      <w:pPr>
        <w:pStyle w:val="20"/>
        <w:shd w:val="clear" w:color="auto" w:fill="auto"/>
        <w:snapToGrid w:val="0"/>
        <w:spacing w:before="163" w:beforeLines="50" w:after="0" w:line="300" w:lineRule="auto"/>
        <w:ind w:left="708" w:leftChars="295" w:firstLine="0"/>
        <w:jc w:val="both"/>
        <w:rPr>
          <w:rFonts w:ascii="Arial" w:hAnsi="Arial" w:eastAsia="宋体" w:cs="Arial"/>
          <w:sz w:val="24"/>
          <w:szCs w:val="24"/>
        </w:rPr>
      </w:pPr>
      <w:r>
        <w:rPr>
          <w:rFonts w:ascii="Arial" w:hAnsi="Arial" w:eastAsia="宋体" w:cs="Arial"/>
          <w:sz w:val="24"/>
          <w:szCs w:val="24"/>
        </w:rPr>
        <w:t>在这些情况下，FDA建议您提供选择该试验中心以及您遵循了最高水平的监督、记录留存和记录的全部依据。该依据应当包括与GLP的差异，</w:t>
      </w:r>
      <w:r>
        <w:rPr>
          <w:rFonts w:hint="eastAsia" w:ascii="Arial" w:hAnsi="Arial" w:eastAsia="宋体" w:cs="Arial"/>
          <w:sz w:val="24"/>
          <w:szCs w:val="24"/>
        </w:rPr>
        <w:t>并包括</w:t>
      </w:r>
      <w:r>
        <w:rPr>
          <w:rFonts w:ascii="Arial" w:hAnsi="Arial" w:eastAsia="宋体" w:cs="Arial"/>
          <w:sz w:val="24"/>
          <w:szCs w:val="24"/>
        </w:rPr>
        <w:t>对上述GLP偏离为何不影响数据完整性</w:t>
      </w:r>
      <w:r>
        <w:rPr>
          <w:rFonts w:hint="eastAsia" w:ascii="Arial" w:hAnsi="Arial" w:eastAsia="宋体" w:cs="Arial"/>
          <w:sz w:val="24"/>
          <w:szCs w:val="24"/>
        </w:rPr>
        <w:t>的</w:t>
      </w:r>
      <w:r>
        <w:rPr>
          <w:rFonts w:ascii="Arial" w:hAnsi="Arial" w:eastAsia="宋体" w:cs="Arial"/>
          <w:sz w:val="24"/>
          <w:szCs w:val="24"/>
        </w:rPr>
        <w:t>解释。如果不遵循GLP的原因是未设置QAU，FDA建议您聘用一名独立的稽查员，以提供公正的质量保证。比如，该质量保证稽查员应当</w:t>
      </w:r>
      <w:r>
        <w:rPr>
          <w:rFonts w:hint="eastAsia" w:ascii="Arial" w:hAnsi="Arial" w:eastAsia="宋体" w:cs="Arial"/>
          <w:sz w:val="24"/>
          <w:szCs w:val="24"/>
        </w:rPr>
        <w:t>监测</w:t>
      </w:r>
      <w:r>
        <w:rPr>
          <w:rFonts w:ascii="Arial" w:hAnsi="Arial" w:eastAsia="宋体" w:cs="Arial"/>
          <w:sz w:val="24"/>
          <w:szCs w:val="24"/>
        </w:rPr>
        <w:t>研究是否按研究方案和机构标准操作规程实施。该标准操作规程的范围和详细信息应当与GLP研究所用的典型标准操作规程相似。</w:t>
      </w:r>
    </w:p>
    <w:p w14:paraId="19F2EF0B">
      <w:pPr>
        <w:pStyle w:val="20"/>
        <w:shd w:val="clear" w:color="auto" w:fill="auto"/>
        <w:tabs>
          <w:tab w:val="left" w:pos="716"/>
        </w:tabs>
        <w:snapToGrid w:val="0"/>
        <w:spacing w:before="163" w:beforeLines="50" w:after="0" w:line="300" w:lineRule="auto"/>
        <w:ind w:firstLine="0"/>
        <w:jc w:val="both"/>
        <w:rPr>
          <w:rFonts w:ascii="Arial" w:hAnsi="Arial" w:eastAsia="宋体" w:cs="Arial"/>
          <w:sz w:val="24"/>
          <w:szCs w:val="24"/>
        </w:rPr>
      </w:pPr>
      <w:bookmarkStart w:id="32" w:name="bookmark26"/>
      <w:r>
        <w:rPr>
          <w:rFonts w:ascii="Arial" w:hAnsi="Arial" w:eastAsia="宋体" w:cs="Arial"/>
          <w:sz w:val="24"/>
          <w:szCs w:val="24"/>
        </w:rPr>
        <w:t>最后，在研究报告和/或其附录缺失关键数据和信息的情况下，如果该研究中心存在USDA注册、AAALACi认可和/或经NIH批准的动物福利保证声明等保证措施时，该试验机构的标准操作规程的范围和详细程度可以提供足够的证据，证明研究总结报告声明的有效性。</w:t>
      </w:r>
      <w:bookmarkEnd w:id="32"/>
    </w:p>
    <w:p w14:paraId="0849CC0D">
      <w:pPr>
        <w:pStyle w:val="34"/>
        <w:numPr>
          <w:ilvl w:val="0"/>
          <w:numId w:val="4"/>
        </w:numPr>
        <w:snapToGrid w:val="0"/>
        <w:spacing w:before="163" w:beforeLines="50" w:after="0" w:line="300" w:lineRule="auto"/>
        <w:ind w:left="480" w:firstLine="0"/>
        <w:rPr>
          <w:rFonts w:ascii="Arial" w:hAnsi="Arial" w:eastAsia="宋体" w:cs="Arial"/>
          <w:sz w:val="24"/>
          <w:szCs w:val="24"/>
          <w:lang w:eastAsia="en-US" w:bidi="en-US"/>
        </w:rPr>
      </w:pPr>
      <w:bookmarkStart w:id="33" w:name="_Toc495870752"/>
      <w:bookmarkStart w:id="34" w:name="bookmark27"/>
      <w:bookmarkStart w:id="35" w:name="_Toc496541631"/>
      <w:r>
        <w:rPr>
          <w:rFonts w:ascii="Arial" w:hAnsi="Arial" w:eastAsia="宋体" w:cs="Arial"/>
          <w:sz w:val="24"/>
          <w:szCs w:val="24"/>
        </w:rPr>
        <w:t>研究目的</w:t>
      </w:r>
      <w:bookmarkEnd w:id="33"/>
      <w:bookmarkEnd w:id="34"/>
      <w:bookmarkEnd w:id="35"/>
    </w:p>
    <w:p w14:paraId="0F172287">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FDA建议，根据从器械设计推测出的风险、该类器械的所有已知风险以及既往研究（比如台架试验或动物可行性研究/预试验）中出现的所有新风险的研究目的来设计医疗器械动物研究。</w:t>
      </w:r>
    </w:p>
    <w:p w14:paraId="61902FF8">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对于评价具体风险类型的建议见下文：</w:t>
      </w:r>
    </w:p>
    <w:p w14:paraId="1D6176BD">
      <w:pPr>
        <w:pStyle w:val="38"/>
        <w:numPr>
          <w:ilvl w:val="0"/>
          <w:numId w:val="5"/>
        </w:numPr>
        <w:snapToGrid w:val="0"/>
        <w:spacing w:before="163" w:beforeLines="50" w:after="0" w:line="300" w:lineRule="auto"/>
        <w:ind w:firstLine="0"/>
        <w:rPr>
          <w:rFonts w:ascii="Arial" w:hAnsi="Arial" w:eastAsia="宋体" w:cs="Arial"/>
          <w:sz w:val="24"/>
          <w:szCs w:val="24"/>
          <w:lang w:eastAsia="en-US"/>
        </w:rPr>
      </w:pPr>
      <w:bookmarkStart w:id="36" w:name="_Toc495870753"/>
      <w:bookmarkStart w:id="37" w:name="bookmark28"/>
      <w:bookmarkStart w:id="38" w:name="_Toc496541632"/>
      <w:r>
        <w:rPr>
          <w:rFonts w:ascii="Arial" w:hAnsi="Arial" w:eastAsia="宋体" w:cs="Arial"/>
          <w:sz w:val="24"/>
          <w:szCs w:val="24"/>
        </w:rPr>
        <w:t>性能和操作</w:t>
      </w:r>
      <w:bookmarkEnd w:id="36"/>
      <w:bookmarkEnd w:id="37"/>
      <w:bookmarkEnd w:id="38"/>
    </w:p>
    <w:p w14:paraId="30FF430B">
      <w:pPr>
        <w:pStyle w:val="20"/>
        <w:shd w:val="clear" w:color="auto" w:fill="auto"/>
        <w:snapToGrid w:val="0"/>
        <w:spacing w:before="163" w:beforeLines="50" w:after="0" w:line="300" w:lineRule="auto"/>
        <w:ind w:left="1077" w:firstLine="0"/>
        <w:jc w:val="both"/>
        <w:rPr>
          <w:rFonts w:ascii="Arial" w:hAnsi="Arial" w:eastAsia="宋体" w:cs="Arial"/>
          <w:sz w:val="24"/>
          <w:szCs w:val="24"/>
        </w:rPr>
      </w:pPr>
      <w:r>
        <w:rPr>
          <w:rFonts w:ascii="Arial" w:hAnsi="Arial" w:eastAsia="宋体" w:cs="Arial"/>
          <w:sz w:val="24"/>
          <w:szCs w:val="24"/>
        </w:rPr>
        <w:t>FDA建议，您的动物研究方案应尽可能模拟临床环境。您应当明确该器械的递送、植入或使用所需要的所有步骤，并制定每个步骤的</w:t>
      </w:r>
      <w:r>
        <w:rPr>
          <w:rFonts w:hint="eastAsia" w:ascii="Arial" w:hAnsi="Arial" w:eastAsia="宋体" w:cs="Arial"/>
          <w:sz w:val="24"/>
          <w:szCs w:val="24"/>
        </w:rPr>
        <w:t>验收</w:t>
      </w:r>
      <w:r>
        <w:rPr>
          <w:rFonts w:ascii="Arial" w:hAnsi="Arial" w:eastAsia="宋体" w:cs="Arial"/>
          <w:sz w:val="24"/>
          <w:szCs w:val="24"/>
        </w:rPr>
        <w:t>标准。FDA建议，您可以为每个</w:t>
      </w:r>
      <w:r>
        <w:rPr>
          <w:rFonts w:hint="eastAsia" w:ascii="Arial" w:hAnsi="Arial" w:eastAsia="宋体" w:cs="Arial"/>
          <w:sz w:val="24"/>
          <w:szCs w:val="24"/>
        </w:rPr>
        <w:t>验收</w:t>
      </w:r>
      <w:r>
        <w:rPr>
          <w:rFonts w:ascii="Arial" w:hAnsi="Arial" w:eastAsia="宋体" w:cs="Arial"/>
          <w:sz w:val="24"/>
          <w:szCs w:val="24"/>
        </w:rPr>
        <w:t>标准制定半客观</w:t>
      </w:r>
      <w:r>
        <w:rPr>
          <w:rFonts w:hint="eastAsia" w:ascii="Arial" w:hAnsi="Arial" w:eastAsia="宋体" w:cs="Arial"/>
          <w:sz w:val="24"/>
          <w:szCs w:val="24"/>
        </w:rPr>
        <w:t>评分</w:t>
      </w:r>
      <w:r>
        <w:rPr>
          <w:rFonts w:ascii="Arial" w:hAnsi="Arial" w:eastAsia="宋体" w:cs="Arial"/>
          <w:sz w:val="24"/>
          <w:szCs w:val="24"/>
        </w:rPr>
        <w:t>量表（比如Likert量表）。如果该器械需要与辅助设备一起递送或使用，则</w:t>
      </w:r>
      <w:r>
        <w:rPr>
          <w:rFonts w:hint="eastAsia" w:ascii="Arial" w:hAnsi="Arial" w:eastAsia="宋体" w:cs="Arial"/>
          <w:sz w:val="24"/>
          <w:szCs w:val="24"/>
        </w:rPr>
        <w:t>验收标准</w:t>
      </w:r>
      <w:r>
        <w:rPr>
          <w:rFonts w:ascii="Arial" w:hAnsi="Arial" w:eastAsia="宋体" w:cs="Arial"/>
          <w:sz w:val="24"/>
          <w:szCs w:val="24"/>
        </w:rPr>
        <w:t>应包括评价系统</w:t>
      </w:r>
      <w:r>
        <w:rPr>
          <w:rFonts w:hint="eastAsia" w:ascii="Arial" w:hAnsi="Arial" w:eastAsia="宋体" w:cs="Arial"/>
          <w:sz w:val="24"/>
          <w:szCs w:val="24"/>
        </w:rPr>
        <w:t>相容性</w:t>
      </w:r>
      <w:r>
        <w:rPr>
          <w:rFonts w:ascii="Arial" w:hAnsi="Arial" w:eastAsia="宋体" w:cs="Arial"/>
          <w:sz w:val="24"/>
          <w:szCs w:val="24"/>
        </w:rPr>
        <w:t>的</w:t>
      </w:r>
      <w:r>
        <w:rPr>
          <w:rFonts w:hint="eastAsia" w:ascii="Arial" w:hAnsi="Arial" w:eastAsia="宋体" w:cs="Arial"/>
          <w:sz w:val="24"/>
          <w:szCs w:val="24"/>
        </w:rPr>
        <w:t>因素</w:t>
      </w:r>
      <w:r>
        <w:rPr>
          <w:rFonts w:ascii="Arial" w:hAnsi="Arial" w:eastAsia="宋体" w:cs="Arial"/>
          <w:sz w:val="24"/>
          <w:szCs w:val="24"/>
        </w:rPr>
        <w:t>。</w:t>
      </w:r>
      <w:r>
        <w:rPr>
          <w:rFonts w:hint="eastAsia" w:ascii="Arial" w:hAnsi="Arial" w:eastAsia="宋体" w:cs="Arial"/>
          <w:sz w:val="24"/>
          <w:szCs w:val="24"/>
        </w:rPr>
        <w:t>评分</w:t>
      </w:r>
      <w:r>
        <w:rPr>
          <w:rFonts w:ascii="Arial" w:hAnsi="Arial" w:eastAsia="宋体" w:cs="Arial"/>
          <w:sz w:val="24"/>
          <w:szCs w:val="24"/>
        </w:rPr>
        <w:t>标准应包括制备器械到器械植入或使用的步骤，如适用，还要包括撤</w:t>
      </w:r>
      <w:r>
        <w:rPr>
          <w:rFonts w:hint="eastAsia" w:ascii="Arial" w:hAnsi="Arial" w:eastAsia="宋体" w:cs="Arial"/>
          <w:sz w:val="24"/>
          <w:szCs w:val="24"/>
        </w:rPr>
        <w:t>回</w:t>
      </w:r>
      <w:r>
        <w:rPr>
          <w:rFonts w:ascii="Arial" w:hAnsi="Arial" w:eastAsia="宋体" w:cs="Arial"/>
          <w:sz w:val="24"/>
          <w:szCs w:val="24"/>
        </w:rPr>
        <w:t>或重新植入步骤。如果该器械为手术植入，应描述从经体壁</w:t>
      </w:r>
      <w:r>
        <w:rPr>
          <w:rFonts w:hint="eastAsia" w:ascii="Arial" w:hAnsi="Arial" w:eastAsia="宋体" w:cs="Arial"/>
          <w:sz w:val="24"/>
          <w:szCs w:val="24"/>
        </w:rPr>
        <w:t>入路</w:t>
      </w:r>
      <w:r>
        <w:rPr>
          <w:rFonts w:ascii="Arial" w:hAnsi="Arial" w:eastAsia="宋体" w:cs="Arial"/>
          <w:sz w:val="24"/>
          <w:szCs w:val="24"/>
        </w:rPr>
        <w:t>直到最后的器械操作的所有步骤。</w:t>
      </w:r>
    </w:p>
    <w:p w14:paraId="35820875">
      <w:pPr>
        <w:pStyle w:val="38"/>
        <w:numPr>
          <w:ilvl w:val="0"/>
          <w:numId w:val="5"/>
        </w:numPr>
        <w:snapToGrid w:val="0"/>
        <w:spacing w:before="163" w:beforeLines="50" w:after="0" w:line="300" w:lineRule="auto"/>
        <w:ind w:firstLine="0"/>
        <w:rPr>
          <w:rFonts w:ascii="Arial" w:hAnsi="Arial" w:eastAsia="宋体" w:cs="Arial"/>
          <w:sz w:val="24"/>
          <w:szCs w:val="24"/>
          <w:lang w:eastAsia="en-US"/>
        </w:rPr>
      </w:pPr>
      <w:bookmarkStart w:id="39" w:name="_Toc495870754"/>
      <w:bookmarkStart w:id="40" w:name="bookmark29"/>
      <w:bookmarkStart w:id="41" w:name="_Toc496541633"/>
      <w:r>
        <w:rPr>
          <w:rFonts w:ascii="Arial" w:hAnsi="Arial" w:eastAsia="宋体" w:cs="Arial"/>
          <w:sz w:val="24"/>
          <w:szCs w:val="24"/>
        </w:rPr>
        <w:t>器械安全性</w:t>
      </w:r>
      <w:bookmarkEnd w:id="39"/>
      <w:bookmarkEnd w:id="40"/>
      <w:bookmarkEnd w:id="41"/>
    </w:p>
    <w:p w14:paraId="269BFF1B">
      <w:pPr>
        <w:pStyle w:val="36"/>
        <w:numPr>
          <w:ilvl w:val="0"/>
          <w:numId w:val="6"/>
        </w:numPr>
        <w:snapToGrid w:val="0"/>
        <w:spacing w:before="163" w:beforeLines="50" w:line="300" w:lineRule="auto"/>
        <w:ind w:left="1900" w:leftChars="617" w:hanging="419" w:hangingChars="174"/>
        <w:jc w:val="both"/>
        <w:rPr>
          <w:rFonts w:ascii="Arial" w:hAnsi="Arial" w:eastAsia="宋体" w:cs="Arial"/>
          <w:sz w:val="24"/>
          <w:szCs w:val="24"/>
        </w:rPr>
      </w:pPr>
      <w:bookmarkStart w:id="42" w:name="OLE_LINK1"/>
      <w:bookmarkStart w:id="43" w:name="_Toc496541634"/>
      <w:r>
        <w:rPr>
          <w:rFonts w:ascii="Arial" w:hAnsi="Arial" w:eastAsia="宋体" w:cs="Arial"/>
          <w:sz w:val="24"/>
          <w:szCs w:val="24"/>
        </w:rPr>
        <w:t>生物反应</w:t>
      </w:r>
      <w:bookmarkEnd w:id="42"/>
      <w:bookmarkEnd w:id="43"/>
    </w:p>
    <w:p w14:paraId="2C455A79">
      <w:pPr>
        <w:pStyle w:val="20"/>
        <w:shd w:val="clear" w:color="auto" w:fill="auto"/>
        <w:snapToGrid w:val="0"/>
        <w:spacing w:before="163" w:beforeLines="50" w:after="0" w:line="300" w:lineRule="auto"/>
        <w:ind w:left="1440" w:firstLine="0"/>
        <w:jc w:val="both"/>
        <w:rPr>
          <w:rFonts w:ascii="Arial" w:hAnsi="Arial" w:eastAsia="宋体" w:cs="Arial"/>
          <w:sz w:val="24"/>
          <w:szCs w:val="24"/>
        </w:rPr>
      </w:pPr>
      <w:r>
        <w:rPr>
          <w:rFonts w:ascii="Arial" w:hAnsi="Arial" w:eastAsia="宋体" w:cs="Arial"/>
          <w:sz w:val="24"/>
          <w:szCs w:val="24"/>
        </w:rPr>
        <w:t>医疗器械可以导致机械性或生物性应激反应。FDA建议，您要明确局部、靠近植入部位的位置（如适用）以及</w:t>
      </w:r>
      <w:r>
        <w:rPr>
          <w:rFonts w:hint="eastAsia" w:ascii="Arial" w:hAnsi="Arial" w:eastAsia="宋体" w:cs="Arial"/>
          <w:sz w:val="24"/>
          <w:szCs w:val="24"/>
        </w:rPr>
        <w:t>沿着所有的路径</w:t>
      </w:r>
      <w:r>
        <w:rPr>
          <w:rFonts w:ascii="Arial" w:hAnsi="Arial" w:eastAsia="宋体" w:cs="Arial"/>
          <w:sz w:val="24"/>
          <w:szCs w:val="24"/>
        </w:rPr>
        <w:t>和从植入点开始的关键生物学反应变量，或者制定研究器械对身体影响的有效方法。FDA强烈建议与病理学专家（比如经美国兽医病理学会认证的兽医）共同开展工作，制定研究方案。</w:t>
      </w:r>
    </w:p>
    <w:p w14:paraId="5D209A15">
      <w:pPr>
        <w:pStyle w:val="36"/>
        <w:numPr>
          <w:ilvl w:val="0"/>
          <w:numId w:val="6"/>
        </w:numPr>
        <w:snapToGrid w:val="0"/>
        <w:spacing w:before="163" w:beforeLines="50" w:line="300" w:lineRule="auto"/>
        <w:ind w:left="1900" w:leftChars="617" w:hanging="419" w:hangingChars="174"/>
        <w:jc w:val="both"/>
        <w:rPr>
          <w:rFonts w:ascii="Arial" w:hAnsi="Arial" w:eastAsia="宋体" w:cs="Arial"/>
          <w:sz w:val="24"/>
          <w:szCs w:val="24"/>
        </w:rPr>
      </w:pPr>
      <w:bookmarkStart w:id="44" w:name="_Toc495870756"/>
      <w:bookmarkStart w:id="45" w:name="_Toc496541635"/>
      <w:r>
        <w:rPr>
          <w:rFonts w:ascii="Arial" w:hAnsi="Arial" w:eastAsia="宋体" w:cs="Arial"/>
          <w:sz w:val="24"/>
          <w:szCs w:val="24"/>
        </w:rPr>
        <w:t>非预期发病率和死亡率</w:t>
      </w:r>
      <w:bookmarkEnd w:id="44"/>
      <w:bookmarkEnd w:id="45"/>
    </w:p>
    <w:p w14:paraId="48F00ED0">
      <w:pPr>
        <w:pStyle w:val="20"/>
        <w:shd w:val="clear" w:color="auto" w:fill="auto"/>
        <w:snapToGrid w:val="0"/>
        <w:spacing w:before="163" w:beforeLines="50" w:after="0" w:line="300" w:lineRule="auto"/>
        <w:ind w:left="1420" w:firstLine="0"/>
        <w:jc w:val="both"/>
        <w:rPr>
          <w:rFonts w:ascii="Arial" w:hAnsi="Arial" w:eastAsia="宋体" w:cs="Arial"/>
          <w:sz w:val="24"/>
          <w:szCs w:val="24"/>
        </w:rPr>
      </w:pPr>
      <w:r>
        <w:rPr>
          <w:rFonts w:ascii="Arial" w:hAnsi="Arial" w:eastAsia="宋体" w:cs="Arial"/>
          <w:sz w:val="24"/>
          <w:szCs w:val="24"/>
        </w:rPr>
        <w:t>您应当对观察到的所有动物疾病和死亡现象进行全面解释。所作出的关于此类事件是否与器械有关的任何声明，要详细论述其依据。由研究负责人、设计人员或解释兽医学临床结果的顾问作出的回顾性证明或声明应当有合适的证据、记录和报告作为</w:t>
      </w:r>
      <w:r>
        <w:rPr>
          <w:rFonts w:hint="eastAsia" w:ascii="Arial" w:hAnsi="Arial" w:eastAsia="宋体" w:cs="Arial"/>
          <w:sz w:val="24"/>
          <w:szCs w:val="24"/>
        </w:rPr>
        <w:t>支持</w:t>
      </w:r>
      <w:r>
        <w:rPr>
          <w:rFonts w:ascii="Arial" w:hAnsi="Arial" w:eastAsia="宋体" w:cs="Arial"/>
          <w:sz w:val="24"/>
          <w:szCs w:val="24"/>
        </w:rPr>
        <w:t>。如果</w:t>
      </w:r>
      <w:r>
        <w:rPr>
          <w:rFonts w:hint="eastAsia" w:ascii="Arial" w:hAnsi="Arial" w:eastAsia="宋体" w:cs="Arial"/>
          <w:sz w:val="24"/>
          <w:szCs w:val="24"/>
        </w:rPr>
        <w:t>死因</w:t>
      </w:r>
      <w:r>
        <w:rPr>
          <w:rFonts w:ascii="Arial" w:hAnsi="Arial" w:eastAsia="宋体" w:cs="Arial"/>
          <w:sz w:val="24"/>
          <w:szCs w:val="24"/>
        </w:rPr>
        <w:t>或发病与器械存在间接关系，您应当对该事件的病因学进行讨论。FDA建议遵循动物健康监测方面的最新方法，由具备资质的兽医用问题式兽医记录（POVMR）</w:t>
      </w:r>
      <w:r>
        <w:rPr>
          <w:rFonts w:ascii="Arial" w:hAnsi="Arial" w:eastAsia="宋体" w:cs="Arial"/>
          <w:sz w:val="24"/>
          <w:szCs w:val="24"/>
          <w:vertAlign w:val="superscript"/>
        </w:rPr>
        <w:t>21</w:t>
      </w:r>
      <w:r>
        <w:rPr>
          <w:rFonts w:ascii="Arial" w:hAnsi="Arial" w:eastAsia="宋体" w:cs="Arial"/>
          <w:sz w:val="24"/>
          <w:szCs w:val="24"/>
        </w:rPr>
        <w:t>详细论述健康状况和发病情况，包括制定用于器械性全身性反应的重点评估方法。这些评估包括术后、中期和终末临床病理学，包括但不限于：血清化学、血液学和凝血指标以及实验室参考值范围；影像学报告；以及专业评价（如心电图、行为学和神经评估）的病例报告表。</w:t>
      </w:r>
    </w:p>
    <w:p w14:paraId="4BC4E085">
      <w:pPr>
        <w:pStyle w:val="36"/>
        <w:numPr>
          <w:ilvl w:val="0"/>
          <w:numId w:val="6"/>
        </w:numPr>
        <w:snapToGrid w:val="0"/>
        <w:spacing w:before="163" w:beforeLines="50" w:line="300" w:lineRule="auto"/>
        <w:ind w:left="1900" w:leftChars="617" w:hanging="419" w:hangingChars="174"/>
        <w:jc w:val="both"/>
        <w:rPr>
          <w:rFonts w:ascii="Arial" w:hAnsi="Arial" w:eastAsia="宋体" w:cs="Arial"/>
          <w:sz w:val="24"/>
          <w:szCs w:val="24"/>
        </w:rPr>
      </w:pPr>
      <w:bookmarkStart w:id="46" w:name="_Toc495870757"/>
      <w:bookmarkStart w:id="47" w:name="_Toc496541636"/>
      <w:r>
        <w:rPr>
          <w:rFonts w:ascii="Arial" w:hAnsi="Arial" w:eastAsia="宋体" w:cs="Arial"/>
          <w:sz w:val="24"/>
          <w:szCs w:val="24"/>
        </w:rPr>
        <w:t>下游和全身性反应</w:t>
      </w:r>
      <w:bookmarkEnd w:id="46"/>
      <w:bookmarkEnd w:id="47"/>
    </w:p>
    <w:p w14:paraId="1B4F9121">
      <w:pPr>
        <w:pStyle w:val="20"/>
        <w:shd w:val="clear" w:color="auto" w:fill="auto"/>
        <w:snapToGrid w:val="0"/>
        <w:spacing w:before="163" w:beforeLines="50" w:after="0" w:line="300" w:lineRule="auto"/>
        <w:ind w:left="1420" w:firstLine="0"/>
        <w:jc w:val="both"/>
        <w:rPr>
          <w:rFonts w:ascii="Arial" w:hAnsi="Arial" w:eastAsia="宋体" w:cs="Arial"/>
          <w:sz w:val="24"/>
          <w:szCs w:val="24"/>
        </w:rPr>
      </w:pPr>
      <w:r>
        <w:rPr>
          <w:rFonts w:ascii="Arial" w:hAnsi="Arial" w:eastAsia="宋体" w:cs="Arial"/>
          <w:sz w:val="24"/>
          <w:szCs w:val="24"/>
        </w:rPr>
        <w:t>FDA建议评价器械能否对植入或使用部位的远端产生影响。如果您认为您的器械可能存在此类风险，您应当确保您的研究目的包括对其他组织形态（比如血液接触器械的下游组织或其他相关末端器官组织）进行评价，以证明潜在全身性问题可能是该器械和传输系统的固有特点。如出现上述结果，您应当制定计划，评估受影响组织的体量以及是否会因此导致任何功能性异常。</w:t>
      </w:r>
    </w:p>
    <w:p w14:paraId="40B627E9">
      <w:pPr>
        <w:pStyle w:val="34"/>
        <w:numPr>
          <w:ilvl w:val="0"/>
          <w:numId w:val="4"/>
        </w:numPr>
        <w:snapToGrid w:val="0"/>
        <w:spacing w:before="163" w:beforeLines="50" w:after="0" w:line="300" w:lineRule="auto"/>
        <w:ind w:left="480" w:firstLine="0"/>
        <w:rPr>
          <w:rFonts w:ascii="Arial" w:hAnsi="Arial" w:eastAsia="宋体" w:cs="Arial"/>
          <w:sz w:val="24"/>
          <w:szCs w:val="24"/>
          <w:lang w:eastAsia="en-US" w:bidi="en-US"/>
        </w:rPr>
      </w:pPr>
      <w:bookmarkStart w:id="48" w:name="bookmark30"/>
      <w:bookmarkStart w:id="49" w:name="_Toc496541637"/>
      <w:bookmarkStart w:id="50" w:name="_Toc495870758"/>
      <w:r>
        <w:rPr>
          <w:rFonts w:ascii="Arial" w:hAnsi="Arial" w:eastAsia="宋体" w:cs="Arial"/>
          <w:sz w:val="24"/>
          <w:szCs w:val="24"/>
        </w:rPr>
        <w:t>研究时间表</w:t>
      </w:r>
      <w:bookmarkEnd w:id="48"/>
      <w:bookmarkEnd w:id="49"/>
      <w:bookmarkEnd w:id="50"/>
    </w:p>
    <w:p w14:paraId="3FE88C81">
      <w:pPr>
        <w:pStyle w:val="20"/>
        <w:shd w:val="clear" w:color="auto" w:fill="auto"/>
        <w:snapToGrid w:val="0"/>
        <w:spacing w:before="163" w:beforeLines="50" w:after="0" w:line="300" w:lineRule="auto"/>
        <w:ind w:left="700" w:firstLine="0"/>
        <w:jc w:val="both"/>
        <w:rPr>
          <w:rFonts w:ascii="Arial" w:hAnsi="Arial" w:eastAsia="宋体" w:cs="Arial"/>
          <w:sz w:val="24"/>
          <w:szCs w:val="24"/>
        </w:rPr>
      </w:pPr>
      <w:r>
        <w:rPr>
          <w:rFonts w:ascii="Arial" w:hAnsi="Arial" w:eastAsia="宋体" w:cs="Arial"/>
          <w:sz w:val="24"/>
          <w:szCs w:val="24"/>
        </w:rPr>
        <w:t>FDA建议，您应当根据自己对已知风险的了解和使用该器械的预期后果，制定采取关键干预措施的时间表和研究时间点。这些时间点一般包括：</w:t>
      </w:r>
    </w:p>
    <w:p w14:paraId="7C92BE01">
      <w:pPr>
        <w:pStyle w:val="20"/>
        <w:numPr>
          <w:ilvl w:val="0"/>
          <w:numId w:val="3"/>
        </w:numPr>
        <w:shd w:val="clear" w:color="auto" w:fill="auto"/>
        <w:tabs>
          <w:tab w:val="left" w:pos="1435"/>
        </w:tabs>
        <w:snapToGrid w:val="0"/>
        <w:spacing w:before="163" w:beforeLines="50" w:after="0" w:line="300" w:lineRule="auto"/>
        <w:ind w:left="1080"/>
        <w:jc w:val="both"/>
        <w:rPr>
          <w:rFonts w:ascii="Arial" w:hAnsi="Arial" w:eastAsia="宋体" w:cs="Arial"/>
          <w:sz w:val="24"/>
          <w:szCs w:val="24"/>
        </w:rPr>
      </w:pPr>
      <w:r>
        <w:rPr>
          <w:rFonts w:ascii="Arial" w:hAnsi="Arial" w:eastAsia="宋体" w:cs="Arial"/>
          <w:sz w:val="24"/>
          <w:szCs w:val="24"/>
        </w:rPr>
        <w:t>器械性能和/或动物反应的全面表征、植入以及间歇性检查；</w:t>
      </w:r>
    </w:p>
    <w:p w14:paraId="13ABB6EC">
      <w:pPr>
        <w:pStyle w:val="20"/>
        <w:numPr>
          <w:ilvl w:val="0"/>
          <w:numId w:val="3"/>
        </w:numPr>
        <w:shd w:val="clear" w:color="auto" w:fill="auto"/>
        <w:tabs>
          <w:tab w:val="left" w:pos="1435"/>
        </w:tabs>
        <w:snapToGrid w:val="0"/>
        <w:spacing w:before="163" w:beforeLines="50" w:after="0" w:line="300" w:lineRule="auto"/>
        <w:ind w:left="1080"/>
        <w:jc w:val="both"/>
        <w:rPr>
          <w:rFonts w:ascii="Arial" w:hAnsi="Arial" w:eastAsia="宋体" w:cs="Arial"/>
          <w:sz w:val="24"/>
          <w:szCs w:val="24"/>
        </w:rPr>
      </w:pPr>
      <w:r>
        <w:rPr>
          <w:rFonts w:ascii="Arial" w:hAnsi="Arial" w:eastAsia="宋体" w:cs="Arial"/>
          <w:sz w:val="24"/>
          <w:szCs w:val="24"/>
        </w:rPr>
        <w:t>取出器械（如果是植入物的话）；</w:t>
      </w:r>
    </w:p>
    <w:p w14:paraId="4BB34F9B">
      <w:pPr>
        <w:pStyle w:val="20"/>
        <w:numPr>
          <w:ilvl w:val="0"/>
          <w:numId w:val="3"/>
        </w:numPr>
        <w:shd w:val="clear" w:color="auto" w:fill="auto"/>
        <w:tabs>
          <w:tab w:val="left" w:pos="1435"/>
        </w:tabs>
        <w:snapToGrid w:val="0"/>
        <w:spacing w:before="163" w:beforeLines="50" w:after="0" w:line="300" w:lineRule="auto"/>
        <w:ind w:left="1080"/>
        <w:jc w:val="both"/>
        <w:rPr>
          <w:rFonts w:ascii="Arial" w:hAnsi="Arial" w:eastAsia="宋体" w:cs="Arial"/>
          <w:sz w:val="24"/>
          <w:szCs w:val="24"/>
        </w:rPr>
      </w:pPr>
      <w:r>
        <w:rPr>
          <w:rFonts w:ascii="Arial" w:hAnsi="Arial" w:eastAsia="宋体" w:cs="Arial"/>
          <w:sz w:val="24"/>
          <w:szCs w:val="24"/>
        </w:rPr>
        <w:t>对所有外植组织进行全面分析；</w:t>
      </w:r>
    </w:p>
    <w:p w14:paraId="446C3F5F">
      <w:pPr>
        <w:pStyle w:val="20"/>
        <w:numPr>
          <w:ilvl w:val="0"/>
          <w:numId w:val="3"/>
        </w:numPr>
        <w:shd w:val="clear" w:color="auto" w:fill="auto"/>
        <w:tabs>
          <w:tab w:val="left" w:pos="1428"/>
        </w:tabs>
        <w:snapToGrid w:val="0"/>
        <w:spacing w:before="163" w:beforeLines="50" w:after="0" w:line="300" w:lineRule="auto"/>
        <w:ind w:left="1080"/>
        <w:jc w:val="both"/>
        <w:rPr>
          <w:rFonts w:ascii="Arial" w:hAnsi="Arial" w:eastAsia="宋体" w:cs="Arial"/>
          <w:sz w:val="24"/>
          <w:szCs w:val="24"/>
        </w:rPr>
      </w:pPr>
      <w:r>
        <w:rPr>
          <w:rFonts w:ascii="Arial" w:hAnsi="Arial" w:eastAsia="宋体" w:cs="Arial"/>
          <w:sz w:val="24"/>
          <w:szCs w:val="24"/>
        </w:rPr>
        <w:t>组织的制备；以及</w:t>
      </w:r>
    </w:p>
    <w:p w14:paraId="6DFF215E">
      <w:pPr>
        <w:pStyle w:val="20"/>
        <w:numPr>
          <w:ilvl w:val="0"/>
          <w:numId w:val="3"/>
        </w:numPr>
        <w:shd w:val="clear" w:color="auto" w:fill="auto"/>
        <w:tabs>
          <w:tab w:val="left" w:pos="1428"/>
        </w:tabs>
        <w:snapToGrid w:val="0"/>
        <w:spacing w:before="163" w:beforeLines="50" w:after="0" w:line="300" w:lineRule="auto"/>
        <w:ind w:left="1080"/>
        <w:jc w:val="both"/>
        <w:rPr>
          <w:rFonts w:ascii="Arial" w:hAnsi="Arial" w:eastAsia="宋体" w:cs="Arial"/>
          <w:sz w:val="24"/>
          <w:szCs w:val="24"/>
        </w:rPr>
      </w:pPr>
      <w:r>
        <w:rPr>
          <w:rFonts w:ascii="Arial" w:hAnsi="Arial" w:eastAsia="宋体" w:cs="Arial"/>
          <w:sz w:val="24"/>
          <w:szCs w:val="24"/>
        </w:rPr>
        <w:t>最终书面报告的编制和签发。</w:t>
      </w:r>
    </w:p>
    <w:p w14:paraId="238D4BE5">
      <w:pPr>
        <w:widowControl/>
        <w:rPr>
          <w:rFonts w:ascii="Arial" w:hAnsi="Arial" w:eastAsia="宋体" w:cs="Arial"/>
          <w:color w:val="auto"/>
          <w:kern w:val="2"/>
          <w:lang w:eastAsia="zh-CN" w:bidi="ar-SA"/>
        </w:rPr>
      </w:pPr>
      <w:r>
        <w:rPr>
          <w:rFonts w:ascii="Arial" w:hAnsi="Arial" w:eastAsia="宋体" w:cs="Arial"/>
          <w:lang w:eastAsia="zh-CN"/>
        </w:rPr>
        <w:br w:type="page"/>
      </w:r>
    </w:p>
    <w:p w14:paraId="5A3FFB7C">
      <w:pPr>
        <w:pStyle w:val="20"/>
        <w:shd w:val="clear" w:color="auto" w:fill="auto"/>
        <w:snapToGrid w:val="0"/>
        <w:spacing w:before="163" w:beforeLines="50" w:after="0" w:line="300" w:lineRule="auto"/>
        <w:ind w:left="697" w:firstLine="0"/>
        <w:jc w:val="both"/>
        <w:rPr>
          <w:rFonts w:ascii="Arial" w:hAnsi="Arial" w:eastAsia="宋体" w:cs="Arial"/>
          <w:sz w:val="24"/>
          <w:szCs w:val="24"/>
        </w:rPr>
      </w:pPr>
      <w:r>
        <w:rPr>
          <w:rFonts w:ascii="Arial" w:hAnsi="Arial" w:eastAsia="宋体" w:cs="Arial"/>
          <w:sz w:val="24"/>
          <w:szCs w:val="24"/>
        </w:rPr>
        <w:t>我们建议，QAU要特别</w:t>
      </w:r>
      <w:r>
        <w:rPr>
          <w:rFonts w:hint="eastAsia" w:ascii="Arial" w:hAnsi="Arial" w:eastAsia="宋体" w:cs="Arial"/>
          <w:sz w:val="24"/>
          <w:szCs w:val="24"/>
        </w:rPr>
        <w:t>注意</w:t>
      </w:r>
      <w:r>
        <w:rPr>
          <w:rFonts w:ascii="Arial" w:hAnsi="Arial" w:eastAsia="宋体" w:cs="Arial"/>
          <w:sz w:val="24"/>
          <w:szCs w:val="24"/>
        </w:rPr>
        <w:t>上述重要预定目标，可以安排中期研究监测和检查。因为医疗器械可能具有一定程度的侵入性和可以预测的动物存活率差异，该研究阶段内发生任何预期变化时，均需对上述参数进行调整，视中期数据而定。</w:t>
      </w:r>
      <w:r>
        <w:rPr>
          <w:rFonts w:hint="eastAsia" w:ascii="Arial" w:hAnsi="Arial" w:eastAsia="宋体" w:cs="Arial"/>
          <w:sz w:val="24"/>
          <w:szCs w:val="24"/>
        </w:rPr>
        <w:t>例</w:t>
      </w:r>
      <w:r>
        <w:rPr>
          <w:rFonts w:ascii="Arial" w:hAnsi="Arial" w:eastAsia="宋体" w:cs="Arial"/>
          <w:sz w:val="24"/>
          <w:szCs w:val="24"/>
        </w:rPr>
        <w:t>如，如果出现</w:t>
      </w:r>
      <w:r>
        <w:rPr>
          <w:rFonts w:hint="eastAsia" w:ascii="Arial" w:hAnsi="Arial" w:eastAsia="宋体" w:cs="Arial"/>
          <w:sz w:val="24"/>
          <w:szCs w:val="24"/>
        </w:rPr>
        <w:t>不良</w:t>
      </w:r>
      <w:r>
        <w:rPr>
          <w:rFonts w:ascii="Arial" w:hAnsi="Arial" w:eastAsia="宋体" w:cs="Arial"/>
          <w:sz w:val="24"/>
          <w:szCs w:val="24"/>
        </w:rPr>
        <w:t>结果的时间点早于预期时间点，您应当考虑改良观察和器械</w:t>
      </w:r>
      <w:r>
        <w:rPr>
          <w:rFonts w:hint="eastAsia" w:ascii="Arial" w:hAnsi="Arial" w:eastAsia="宋体" w:cs="Arial"/>
          <w:sz w:val="24"/>
          <w:szCs w:val="24"/>
        </w:rPr>
        <w:t>移除</w:t>
      </w:r>
      <w:r>
        <w:rPr>
          <w:rFonts w:ascii="Arial" w:hAnsi="Arial" w:eastAsia="宋体" w:cs="Arial"/>
          <w:sz w:val="24"/>
          <w:szCs w:val="24"/>
        </w:rPr>
        <w:t>时间表，确保有用的终末数据不会丢失。此外，我们认为，负责任地使用动物时，应对所有动物组织的使用进行优化，因此建议对所有动物的器官和组织进行全面的大体和显微评价，同时还要研究新鲜组织，力求避免可能的错误解释。</w:t>
      </w:r>
    </w:p>
    <w:p w14:paraId="5F6ED312">
      <w:pPr>
        <w:pStyle w:val="34"/>
        <w:numPr>
          <w:ilvl w:val="0"/>
          <w:numId w:val="4"/>
        </w:numPr>
        <w:snapToGrid w:val="0"/>
        <w:spacing w:before="163" w:beforeLines="50" w:after="0" w:line="300" w:lineRule="auto"/>
        <w:ind w:left="480" w:firstLine="0"/>
        <w:rPr>
          <w:rFonts w:ascii="Arial" w:hAnsi="Arial" w:eastAsia="宋体" w:cs="Arial"/>
          <w:sz w:val="24"/>
          <w:szCs w:val="24"/>
        </w:rPr>
      </w:pPr>
      <w:bookmarkStart w:id="51" w:name="_Toc496541638"/>
      <w:bookmarkStart w:id="52" w:name="_Toc495870759"/>
      <w:bookmarkStart w:id="53" w:name="bookmark31"/>
      <w:r>
        <w:rPr>
          <w:rFonts w:ascii="Arial" w:hAnsi="Arial" w:eastAsia="宋体" w:cs="Arial"/>
          <w:sz w:val="24"/>
          <w:szCs w:val="24"/>
        </w:rPr>
        <w:t>供试品和对照品</w:t>
      </w:r>
      <w:bookmarkEnd w:id="51"/>
      <w:bookmarkEnd w:id="52"/>
      <w:bookmarkEnd w:id="53"/>
    </w:p>
    <w:p w14:paraId="52946B60">
      <w:pPr>
        <w:pStyle w:val="20"/>
        <w:shd w:val="clear" w:color="auto" w:fill="auto"/>
        <w:snapToGrid w:val="0"/>
        <w:spacing w:before="163" w:beforeLines="50" w:after="0" w:line="300" w:lineRule="auto"/>
        <w:ind w:left="697" w:firstLine="0"/>
        <w:jc w:val="both"/>
        <w:rPr>
          <w:rFonts w:ascii="Arial" w:hAnsi="Arial" w:eastAsia="宋体" w:cs="Arial"/>
          <w:sz w:val="24"/>
          <w:szCs w:val="24"/>
        </w:rPr>
      </w:pPr>
      <w:r>
        <w:rPr>
          <w:rFonts w:ascii="Arial" w:hAnsi="Arial" w:eastAsia="宋体" w:cs="Arial"/>
          <w:sz w:val="24"/>
          <w:szCs w:val="24"/>
        </w:rPr>
        <w:t>21 CFR 58.105和58.107规定，要对研究所用的所有供试品和对照品进行全面表征和解释。由于申办方通常会在临床研究开始前对供试品进行若干次迭代，因此我们建议，关键性动物研究要使用能够体现最终临床设计的供试品。如果未使用最终设计，您应当提供最终临床设计未提到患者面临的新风险（相对于动物研究设计而言）的依据。FDA还建议，供试品和对照品的包装、灭菌和运输（至研究中心）方式要与临床用药方式相同。您应当制定供试品和对照品从生产或获取到最终使用的追踪方法并切实遵循。</w:t>
      </w:r>
    </w:p>
    <w:p w14:paraId="6D7F4813">
      <w:pPr>
        <w:pStyle w:val="34"/>
        <w:numPr>
          <w:ilvl w:val="0"/>
          <w:numId w:val="4"/>
        </w:numPr>
        <w:snapToGrid w:val="0"/>
        <w:spacing w:before="163" w:beforeLines="50" w:after="0" w:line="300" w:lineRule="auto"/>
        <w:ind w:left="480" w:firstLine="0"/>
        <w:rPr>
          <w:rFonts w:ascii="Arial" w:hAnsi="Arial" w:eastAsia="宋体" w:cs="Arial"/>
          <w:sz w:val="24"/>
          <w:szCs w:val="24"/>
          <w:lang w:eastAsia="en-US"/>
        </w:rPr>
      </w:pPr>
      <w:bookmarkStart w:id="54" w:name="bookmark32"/>
      <w:bookmarkStart w:id="55" w:name="_Toc495870760"/>
      <w:bookmarkStart w:id="56" w:name="_Toc496541639"/>
      <w:r>
        <w:rPr>
          <w:rFonts w:ascii="Arial" w:hAnsi="Arial" w:eastAsia="宋体" w:cs="Arial"/>
          <w:sz w:val="24"/>
          <w:szCs w:val="24"/>
        </w:rPr>
        <w:t>辅助器械和设备</w:t>
      </w:r>
      <w:bookmarkEnd w:id="54"/>
      <w:bookmarkEnd w:id="55"/>
      <w:bookmarkEnd w:id="56"/>
    </w:p>
    <w:p w14:paraId="7C8D42DB">
      <w:pPr>
        <w:pStyle w:val="20"/>
        <w:shd w:val="clear" w:color="auto" w:fill="auto"/>
        <w:snapToGrid w:val="0"/>
        <w:spacing w:before="163" w:beforeLines="50" w:after="0" w:line="300" w:lineRule="auto"/>
        <w:ind w:left="700" w:firstLine="0"/>
        <w:jc w:val="both"/>
        <w:rPr>
          <w:rFonts w:ascii="Arial" w:hAnsi="Arial" w:eastAsia="宋体" w:cs="Arial"/>
          <w:sz w:val="24"/>
          <w:szCs w:val="24"/>
        </w:rPr>
      </w:pPr>
      <w:r>
        <w:rPr>
          <w:rFonts w:ascii="Arial" w:hAnsi="Arial" w:eastAsia="宋体" w:cs="Arial"/>
          <w:sz w:val="24"/>
          <w:szCs w:val="24"/>
        </w:rPr>
        <w:t>某些供试品（比如血管支架）一般会与</w:t>
      </w:r>
      <w:r>
        <w:rPr>
          <w:rFonts w:hint="eastAsia" w:ascii="Arial" w:hAnsi="Arial" w:eastAsia="宋体" w:cs="Arial"/>
          <w:sz w:val="24"/>
          <w:szCs w:val="24"/>
        </w:rPr>
        <w:t>特定</w:t>
      </w:r>
      <w:r>
        <w:rPr>
          <w:rFonts w:ascii="Arial" w:hAnsi="Arial" w:eastAsia="宋体" w:cs="Arial"/>
          <w:sz w:val="24"/>
          <w:szCs w:val="24"/>
        </w:rPr>
        <w:t>或市售辅助器械或</w:t>
      </w:r>
      <w:r>
        <w:rPr>
          <w:rFonts w:hint="eastAsia" w:ascii="Arial" w:hAnsi="Arial" w:eastAsia="宋体" w:cs="Arial"/>
          <w:sz w:val="24"/>
          <w:szCs w:val="24"/>
        </w:rPr>
        <w:t>部件</w:t>
      </w:r>
      <w:r>
        <w:rPr>
          <w:rFonts w:ascii="Arial" w:hAnsi="Arial" w:eastAsia="宋体" w:cs="Arial"/>
          <w:sz w:val="24"/>
          <w:szCs w:val="24"/>
        </w:rPr>
        <w:t>（比如</w:t>
      </w:r>
      <w:r>
        <w:rPr>
          <w:rFonts w:hint="eastAsia" w:ascii="Arial" w:hAnsi="Arial" w:eastAsia="宋体" w:cs="Arial"/>
          <w:sz w:val="24"/>
          <w:szCs w:val="24"/>
        </w:rPr>
        <w:t>导引</w:t>
      </w:r>
      <w:r>
        <w:rPr>
          <w:rFonts w:ascii="Arial" w:hAnsi="Arial" w:eastAsia="宋体" w:cs="Arial"/>
          <w:sz w:val="24"/>
          <w:szCs w:val="24"/>
        </w:rPr>
        <w:t>导管或导丝）组合使用。有时这些辅助器械的使用对正确使用供试品是必要的，此时即可作为试验系统的一部分进行描述。我们建议在这种情况下，您要</w:t>
      </w:r>
      <w:r>
        <w:rPr>
          <w:rFonts w:hint="eastAsia" w:ascii="Arial" w:hAnsi="Arial" w:eastAsia="宋体" w:cs="Arial"/>
          <w:sz w:val="24"/>
          <w:szCs w:val="24"/>
        </w:rPr>
        <w:t>陈述</w:t>
      </w:r>
      <w:r>
        <w:rPr>
          <w:rFonts w:ascii="Arial" w:hAnsi="Arial" w:eastAsia="宋体" w:cs="Arial"/>
          <w:sz w:val="24"/>
          <w:szCs w:val="24"/>
        </w:rPr>
        <w:t>：</w:t>
      </w:r>
    </w:p>
    <w:p w14:paraId="21A20BA1">
      <w:pPr>
        <w:pStyle w:val="20"/>
        <w:numPr>
          <w:ilvl w:val="0"/>
          <w:numId w:val="3"/>
        </w:numPr>
        <w:shd w:val="clear" w:color="auto" w:fill="auto"/>
        <w:tabs>
          <w:tab w:val="left" w:pos="1428"/>
        </w:tabs>
        <w:snapToGrid w:val="0"/>
        <w:spacing w:before="163" w:beforeLines="50" w:after="0" w:line="300" w:lineRule="auto"/>
        <w:ind w:left="1411" w:leftChars="460" w:hanging="307" w:hangingChars="128"/>
        <w:jc w:val="both"/>
        <w:rPr>
          <w:rFonts w:ascii="Arial" w:hAnsi="Arial" w:eastAsia="宋体" w:cs="Arial"/>
          <w:sz w:val="24"/>
          <w:szCs w:val="24"/>
        </w:rPr>
      </w:pPr>
      <w:r>
        <w:rPr>
          <w:rFonts w:ascii="Arial" w:hAnsi="Arial" w:eastAsia="宋体" w:cs="Arial"/>
          <w:sz w:val="24"/>
          <w:szCs w:val="24"/>
        </w:rPr>
        <w:t>提供的所有动物研究用辅助器械是否与供试品完全分离（即市售），或者辅助器械是否与供试品一起销售（即一套）；以及</w:t>
      </w:r>
    </w:p>
    <w:p w14:paraId="43AC73B0">
      <w:pPr>
        <w:pStyle w:val="20"/>
        <w:numPr>
          <w:ilvl w:val="0"/>
          <w:numId w:val="3"/>
        </w:numPr>
        <w:shd w:val="clear" w:color="auto" w:fill="auto"/>
        <w:tabs>
          <w:tab w:val="left" w:pos="1435"/>
        </w:tabs>
        <w:snapToGrid w:val="0"/>
        <w:spacing w:before="163" w:beforeLines="50" w:after="0" w:line="300" w:lineRule="auto"/>
        <w:ind w:left="1411" w:leftChars="460" w:hanging="307" w:hangingChars="128"/>
        <w:jc w:val="both"/>
        <w:rPr>
          <w:rFonts w:ascii="Arial" w:hAnsi="Arial" w:eastAsia="宋体" w:cs="Arial"/>
          <w:sz w:val="24"/>
          <w:szCs w:val="24"/>
        </w:rPr>
      </w:pPr>
      <w:r>
        <w:rPr>
          <w:rFonts w:ascii="Arial" w:hAnsi="Arial" w:eastAsia="宋体" w:cs="Arial"/>
          <w:sz w:val="24"/>
          <w:szCs w:val="24"/>
        </w:rPr>
        <w:t>器械的最终标签是否包括辅助器械的选择或使用说明。</w:t>
      </w:r>
    </w:p>
    <w:p w14:paraId="5569B988">
      <w:pPr>
        <w:widowControl/>
        <w:rPr>
          <w:rFonts w:ascii="Arial" w:hAnsi="Arial" w:eastAsia="宋体" w:cs="Arial"/>
          <w:b/>
          <w:bCs/>
          <w:kern w:val="2"/>
          <w:lang w:eastAsia="zh-CN" w:bidi="ar-SA"/>
        </w:rPr>
      </w:pPr>
      <w:bookmarkStart w:id="57" w:name="bookmark33"/>
      <w:bookmarkStart w:id="58" w:name="_Toc495870761"/>
      <w:r>
        <w:rPr>
          <w:rFonts w:ascii="Arial" w:hAnsi="Arial" w:eastAsia="宋体" w:cs="Arial"/>
          <w:lang w:eastAsia="zh-CN"/>
        </w:rPr>
        <w:br w:type="page"/>
      </w:r>
    </w:p>
    <w:p w14:paraId="78DDAB01">
      <w:pPr>
        <w:pStyle w:val="34"/>
        <w:numPr>
          <w:ilvl w:val="0"/>
          <w:numId w:val="4"/>
        </w:numPr>
        <w:snapToGrid w:val="0"/>
        <w:spacing w:before="163" w:beforeLines="50" w:after="0" w:line="300" w:lineRule="auto"/>
        <w:ind w:left="480" w:firstLine="0"/>
        <w:rPr>
          <w:rFonts w:ascii="Arial" w:hAnsi="Arial" w:eastAsia="宋体" w:cs="Arial"/>
          <w:sz w:val="24"/>
          <w:szCs w:val="24"/>
          <w:lang w:eastAsia="en-US" w:bidi="en-US"/>
        </w:rPr>
      </w:pPr>
      <w:bookmarkStart w:id="59" w:name="_Toc496541640"/>
      <w:r>
        <w:rPr>
          <w:rFonts w:ascii="Arial" w:hAnsi="Arial" w:eastAsia="宋体" w:cs="Arial"/>
          <w:sz w:val="24"/>
          <w:szCs w:val="24"/>
        </w:rPr>
        <w:t>试验系统</w:t>
      </w:r>
      <w:bookmarkEnd w:id="57"/>
      <w:bookmarkEnd w:id="58"/>
      <w:bookmarkEnd w:id="59"/>
    </w:p>
    <w:p w14:paraId="24C48DF9">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研究总结报告必须包括试验系统描述内容（21 CFR 58.185）。21 CFR 58.3（i） 将</w:t>
      </w:r>
      <w:r>
        <w:rPr>
          <w:rFonts w:hint="eastAsia" w:ascii="Arial" w:hAnsi="Arial" w:eastAsia="宋体" w:cs="Arial"/>
          <w:sz w:val="24"/>
          <w:szCs w:val="24"/>
        </w:rPr>
        <w:t>“</w:t>
      </w:r>
      <w:r>
        <w:rPr>
          <w:rFonts w:hint="eastAsia" w:ascii="Arial" w:hAnsi="Arial" w:eastAsia="宋体" w:cs="Arial"/>
          <w:i/>
          <w:sz w:val="24"/>
          <w:szCs w:val="24"/>
        </w:rPr>
        <w:t>试验系统</w:t>
      </w:r>
      <w:r>
        <w:rPr>
          <w:rFonts w:hint="eastAsia" w:ascii="Arial" w:hAnsi="Arial" w:eastAsia="宋体" w:cs="Arial"/>
          <w:sz w:val="24"/>
          <w:szCs w:val="24"/>
        </w:rPr>
        <w:t>”</w:t>
      </w:r>
      <w:r>
        <w:rPr>
          <w:rFonts w:ascii="Arial" w:hAnsi="Arial" w:eastAsia="宋体" w:cs="Arial"/>
          <w:sz w:val="24"/>
          <w:szCs w:val="24"/>
        </w:rPr>
        <w:t>定义为</w:t>
      </w:r>
      <w:r>
        <w:rPr>
          <w:rFonts w:hint="eastAsia" w:ascii="Arial" w:hAnsi="Arial" w:eastAsia="宋体" w:cs="Arial"/>
          <w:sz w:val="24"/>
          <w:szCs w:val="24"/>
        </w:rPr>
        <w:t>“</w:t>
      </w:r>
      <w:r>
        <w:rPr>
          <w:rFonts w:ascii="Arial" w:hAnsi="Arial" w:eastAsia="宋体" w:cs="Arial"/>
          <w:sz w:val="24"/>
          <w:szCs w:val="24"/>
        </w:rPr>
        <w:t>给予或添加供试品或对照品的所有研究用动物、植物、微生物或其子部分</w:t>
      </w:r>
      <w:r>
        <w:rPr>
          <w:rFonts w:hint="eastAsia" w:ascii="Arial" w:hAnsi="Arial" w:eastAsia="宋体" w:cs="Arial"/>
          <w:sz w:val="24"/>
          <w:szCs w:val="24"/>
        </w:rPr>
        <w:t>”</w:t>
      </w:r>
      <w:r>
        <w:rPr>
          <w:rFonts w:ascii="Arial" w:hAnsi="Arial" w:eastAsia="宋体" w:cs="Arial"/>
          <w:sz w:val="24"/>
          <w:szCs w:val="24"/>
        </w:rPr>
        <w:t>。此外，FDA建议对可能</w:t>
      </w:r>
      <w:r>
        <w:rPr>
          <w:rFonts w:hint="eastAsia" w:ascii="Arial" w:hAnsi="Arial" w:eastAsia="宋体" w:cs="Arial"/>
          <w:sz w:val="24"/>
          <w:szCs w:val="24"/>
        </w:rPr>
        <w:t>涉及</w:t>
      </w:r>
      <w:r>
        <w:rPr>
          <w:rFonts w:ascii="Arial" w:hAnsi="Arial" w:eastAsia="宋体" w:cs="Arial"/>
          <w:sz w:val="24"/>
          <w:szCs w:val="24"/>
        </w:rPr>
        <w:t>或影响试验系统的下述因素（如适用）进行描述，以便我们能够合理地评估其对研究结果的贡献：环境，包括温度、光照和物理结构；营养状态；稳态控制，包括电解质、血糖、维持无菌和出血的控制；辅助诊断工具；以及用于定义或描述供试品或对照品与动物间相互作用的材料和方法。</w:t>
      </w:r>
    </w:p>
    <w:p w14:paraId="5C497805">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60" w:name="_Toc495870762"/>
      <w:bookmarkStart w:id="61" w:name="_Toc496541641"/>
      <w:bookmarkStart w:id="62" w:name="bookmark35"/>
      <w:bookmarkStart w:id="63" w:name="bookmark34"/>
      <w:r>
        <w:rPr>
          <w:rFonts w:ascii="Arial" w:hAnsi="Arial" w:eastAsia="宋体" w:cs="Arial"/>
          <w:sz w:val="30"/>
          <w:szCs w:val="30"/>
        </w:rPr>
        <w:t>人员</w:t>
      </w:r>
      <w:bookmarkEnd w:id="60"/>
      <w:bookmarkEnd w:id="61"/>
      <w:bookmarkEnd w:id="62"/>
      <w:bookmarkEnd w:id="63"/>
    </w:p>
    <w:p w14:paraId="38069411">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每份试验报告必须有一节列明关键研究人员（21 CFR 58.185（a）（10））。我们认为，监管部门应审查该信息，因为21 CFR 58.29（a）规定研究人员应当经过适当的培训，具备丰富的经验，能够正确履行其职责。该规定</w:t>
      </w:r>
      <w:r>
        <w:rPr>
          <w:rFonts w:hint="eastAsia" w:ascii="Arial" w:hAnsi="Arial" w:eastAsia="宋体" w:cs="Arial"/>
          <w:sz w:val="24"/>
          <w:szCs w:val="24"/>
        </w:rPr>
        <w:t>强调了</w:t>
      </w:r>
      <w:r>
        <w:rPr>
          <w:rFonts w:ascii="Arial" w:hAnsi="Arial" w:eastAsia="宋体" w:cs="Arial"/>
          <w:sz w:val="24"/>
          <w:szCs w:val="24"/>
        </w:rPr>
        <w:t>动物研究人员的培训和</w:t>
      </w:r>
      <w:r>
        <w:rPr>
          <w:rFonts w:hint="eastAsia" w:ascii="Arial" w:hAnsi="Arial" w:eastAsia="宋体" w:cs="Arial"/>
          <w:sz w:val="24"/>
          <w:szCs w:val="24"/>
        </w:rPr>
        <w:t>专业知识</w:t>
      </w:r>
      <w:r>
        <w:rPr>
          <w:rFonts w:ascii="Arial" w:hAnsi="Arial" w:eastAsia="宋体" w:cs="Arial"/>
          <w:sz w:val="24"/>
          <w:szCs w:val="24"/>
        </w:rPr>
        <w:t>的重要性。FDA建议，动物研究团队要包括技术娴熟的临床兽医学人员，以</w:t>
      </w:r>
      <w:r>
        <w:rPr>
          <w:rFonts w:hint="eastAsia" w:ascii="Arial" w:hAnsi="Arial" w:eastAsia="宋体" w:cs="Arial"/>
          <w:sz w:val="24"/>
          <w:szCs w:val="24"/>
        </w:rPr>
        <w:t>检测</w:t>
      </w:r>
      <w:r>
        <w:rPr>
          <w:rFonts w:ascii="Arial" w:hAnsi="Arial" w:eastAsia="宋体" w:cs="Arial"/>
          <w:sz w:val="24"/>
          <w:szCs w:val="24"/>
        </w:rPr>
        <w:t>和解决不利结果；确定干预、进行相应干预或者因人道护理偏离方案的必要性；保存有价值的组织；辅助</w:t>
      </w:r>
      <w:r>
        <w:rPr>
          <w:rFonts w:hint="eastAsia" w:ascii="Arial" w:hAnsi="Arial" w:eastAsia="宋体" w:cs="Arial"/>
          <w:sz w:val="24"/>
          <w:szCs w:val="24"/>
        </w:rPr>
        <w:t>确定</w:t>
      </w:r>
      <w:r>
        <w:rPr>
          <w:rFonts w:ascii="Arial" w:hAnsi="Arial" w:eastAsia="宋体" w:cs="Arial"/>
          <w:sz w:val="24"/>
          <w:szCs w:val="24"/>
        </w:rPr>
        <w:t>器械与所有</w:t>
      </w:r>
      <w:r>
        <w:rPr>
          <w:rFonts w:hint="eastAsia" w:ascii="Arial" w:hAnsi="Arial" w:eastAsia="宋体" w:cs="Arial"/>
          <w:sz w:val="24"/>
          <w:szCs w:val="24"/>
        </w:rPr>
        <w:t>不良</w:t>
      </w:r>
      <w:r>
        <w:rPr>
          <w:rFonts w:ascii="Arial" w:hAnsi="Arial" w:eastAsia="宋体" w:cs="Arial"/>
          <w:sz w:val="24"/>
          <w:szCs w:val="24"/>
        </w:rPr>
        <w:t>结果的关系。动物模型通常需要采取独特的手术方法、存在解剖学限制以及具有重要的伤口闭合特征，因此研究团队中最好包括训练有素的兽医手术专家。</w:t>
      </w:r>
    </w:p>
    <w:p w14:paraId="7996F222">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FDA建议，动物研究的研究者要具备多种专业</w:t>
      </w:r>
      <w:r>
        <w:rPr>
          <w:rFonts w:hint="eastAsia" w:ascii="Arial" w:hAnsi="Arial" w:eastAsia="宋体" w:cs="Arial"/>
          <w:sz w:val="24"/>
          <w:szCs w:val="24"/>
        </w:rPr>
        <w:t>知识</w:t>
      </w:r>
      <w:r>
        <w:rPr>
          <w:rFonts w:ascii="Arial" w:hAnsi="Arial" w:eastAsia="宋体" w:cs="Arial"/>
          <w:sz w:val="24"/>
          <w:szCs w:val="24"/>
        </w:rPr>
        <w:t>，包括人体临床、兽医临床和兽医病理学领域。为了符合21 CFR 58.29（b）的规定，您必须保存一份最新、参与或监督动物研究实施的所有人员的培训、经历和工作简介。FDA建议，对于关键人员竞争力的所有评估都要建立在上述人员适合正在开展的研究类型的依据基础上。</w:t>
      </w:r>
    </w:p>
    <w:p w14:paraId="0E8952AC">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FDA指出，其他相关指南以及其他监管部门的规定和政策中也提到研究人员要经过适当的培训和具备相应经验。</w:t>
      </w:r>
      <w:r>
        <w:rPr>
          <w:rFonts w:ascii="Arial" w:hAnsi="Arial" w:eastAsia="宋体" w:cs="Arial"/>
          <w:sz w:val="24"/>
          <w:szCs w:val="24"/>
          <w:vertAlign w:val="superscript"/>
        </w:rPr>
        <w:t>1,1,4</w:t>
      </w:r>
    </w:p>
    <w:p w14:paraId="148FDF20">
      <w:pPr>
        <w:pStyle w:val="20"/>
        <w:shd w:val="clear" w:color="auto" w:fill="auto"/>
        <w:tabs>
          <w:tab w:val="left" w:pos="1435"/>
        </w:tabs>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除去</w:t>
      </w:r>
      <w:r>
        <w:rPr>
          <w:rFonts w:hint="eastAsia" w:ascii="Arial" w:hAnsi="Arial" w:eastAsia="宋体" w:cs="Arial"/>
          <w:sz w:val="24"/>
          <w:szCs w:val="24"/>
        </w:rPr>
        <w:t>组建</w:t>
      </w:r>
      <w:r>
        <w:rPr>
          <w:rFonts w:ascii="Arial" w:hAnsi="Arial" w:eastAsia="宋体" w:cs="Arial"/>
          <w:sz w:val="24"/>
          <w:szCs w:val="24"/>
        </w:rPr>
        <w:t>一个能够胜任的监督人员团队（包括研究负责人、QAU、主治兽医和介入人员），FDA建议选择有资质人员及其资源（包括设备、外围和辅助人员、记录和报告以及标准操作规程）</w:t>
      </w:r>
      <w:r>
        <w:rPr>
          <w:rFonts w:hint="eastAsia" w:ascii="Arial" w:hAnsi="Arial" w:eastAsia="宋体" w:cs="Arial"/>
          <w:sz w:val="24"/>
          <w:szCs w:val="24"/>
        </w:rPr>
        <w:t>的数量</w:t>
      </w:r>
      <w:r>
        <w:rPr>
          <w:rFonts w:ascii="Arial" w:hAnsi="Arial" w:eastAsia="宋体" w:cs="Arial"/>
          <w:sz w:val="24"/>
          <w:szCs w:val="24"/>
        </w:rPr>
        <w:t>，确保在合适的时间点进行监测、治疗和采集试样，同时确保对这些时期内、既往动物试验或台架试验中的已知风险或预测风险，或可能来自类似产品既往经验的风险进行主动监测。最后，我们建议您任用经过适当培训，具备相应经验的兽医学专业人员对有意向签订合同（比如与动物研究或饲养机构签订合同）的上述业务实体的</w:t>
      </w:r>
      <w:r>
        <w:rPr>
          <w:rFonts w:hint="eastAsia" w:ascii="Arial" w:hAnsi="Arial" w:eastAsia="宋体" w:cs="Arial"/>
          <w:sz w:val="24"/>
          <w:szCs w:val="24"/>
        </w:rPr>
        <w:t>机构</w:t>
      </w:r>
      <w:r>
        <w:rPr>
          <w:rFonts w:ascii="Arial" w:hAnsi="Arial" w:eastAsia="宋体" w:cs="Arial"/>
          <w:sz w:val="24"/>
          <w:szCs w:val="24"/>
        </w:rPr>
        <w:t>、人员和方法学进行动物福利稽查。</w:t>
      </w:r>
    </w:p>
    <w:p w14:paraId="298FB26E">
      <w:pPr>
        <w:widowControl/>
        <w:rPr>
          <w:rFonts w:ascii="Arial" w:hAnsi="Arial" w:eastAsia="宋体" w:cs="Arial"/>
          <w:color w:val="auto"/>
          <w:kern w:val="2"/>
          <w:lang w:eastAsia="zh-CN" w:bidi="ar-SA"/>
        </w:rPr>
      </w:pPr>
      <w:r>
        <w:rPr>
          <w:rFonts w:ascii="Arial" w:hAnsi="Arial" w:eastAsia="宋体" w:cs="Arial"/>
          <w:lang w:eastAsia="zh-CN"/>
        </w:rPr>
        <w:br w:type="page"/>
      </w:r>
    </w:p>
    <w:p w14:paraId="6860655A">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64" w:name="_Toc496541642"/>
      <w:r>
        <w:rPr>
          <w:rFonts w:hint="eastAsia" w:ascii="Arial" w:hAnsi="Arial" w:eastAsia="宋体" w:cs="Arial"/>
          <w:sz w:val="30"/>
          <w:szCs w:val="30"/>
        </w:rPr>
        <w:t>设施</w:t>
      </w:r>
      <w:bookmarkEnd w:id="64"/>
    </w:p>
    <w:p w14:paraId="68845989">
      <w:pPr>
        <w:pStyle w:val="34"/>
        <w:numPr>
          <w:ilvl w:val="0"/>
          <w:numId w:val="7"/>
        </w:numPr>
        <w:snapToGrid w:val="0"/>
        <w:spacing w:before="163" w:beforeLines="50" w:after="0" w:line="300" w:lineRule="auto"/>
        <w:ind w:left="1339" w:leftChars="314" w:hanging="585" w:hangingChars="243"/>
        <w:rPr>
          <w:rFonts w:ascii="Arial" w:hAnsi="Arial" w:eastAsia="宋体" w:cs="Arial"/>
          <w:sz w:val="24"/>
          <w:szCs w:val="24"/>
        </w:rPr>
      </w:pPr>
      <w:bookmarkStart w:id="65" w:name="_Toc495870764"/>
      <w:bookmarkStart w:id="66" w:name="bookmark39"/>
      <w:bookmarkStart w:id="67" w:name="_Toc496541643"/>
      <w:r>
        <w:rPr>
          <w:rFonts w:ascii="Arial" w:hAnsi="Arial" w:eastAsia="宋体" w:cs="Arial"/>
          <w:sz w:val="24"/>
          <w:szCs w:val="24"/>
        </w:rPr>
        <w:t>环境</w:t>
      </w:r>
      <w:bookmarkEnd w:id="65"/>
      <w:bookmarkEnd w:id="66"/>
      <w:bookmarkEnd w:id="67"/>
    </w:p>
    <w:p w14:paraId="300560BE">
      <w:pPr>
        <w:pStyle w:val="20"/>
        <w:shd w:val="clear" w:color="auto" w:fill="auto"/>
        <w:snapToGrid w:val="0"/>
        <w:spacing w:before="163" w:beforeLines="50" w:after="0" w:line="300" w:lineRule="auto"/>
        <w:ind w:left="720" w:firstLine="0"/>
        <w:jc w:val="both"/>
        <w:rPr>
          <w:rFonts w:ascii="Arial" w:hAnsi="Arial" w:eastAsia="宋体" w:cs="Arial"/>
          <w:sz w:val="24"/>
          <w:szCs w:val="24"/>
        </w:rPr>
      </w:pPr>
      <w:bookmarkStart w:id="68" w:name="bookmark40"/>
      <w:r>
        <w:rPr>
          <w:rFonts w:ascii="Arial" w:hAnsi="Arial" w:eastAsia="宋体" w:cs="Arial"/>
          <w:sz w:val="24"/>
          <w:szCs w:val="24"/>
        </w:rPr>
        <w:t>我们建议您查阅已公布的、涉及动物研究模型的饲养和福利的</w:t>
      </w:r>
      <w:r>
        <w:rPr>
          <w:rFonts w:hint="eastAsia" w:ascii="Arial" w:hAnsi="Arial" w:eastAsia="宋体" w:cs="Arial"/>
          <w:sz w:val="24"/>
          <w:szCs w:val="24"/>
        </w:rPr>
        <w:t>指南</w:t>
      </w:r>
      <w:r>
        <w:rPr>
          <w:rFonts w:ascii="Arial" w:hAnsi="Arial" w:eastAsia="宋体" w:cs="Arial"/>
          <w:sz w:val="24"/>
          <w:szCs w:val="24"/>
        </w:rPr>
        <w:t>。</w:t>
      </w:r>
      <w:r>
        <w:rPr>
          <w:rFonts w:ascii="Arial" w:hAnsi="Arial" w:eastAsia="宋体" w:cs="Arial"/>
          <w:sz w:val="24"/>
          <w:szCs w:val="24"/>
          <w:vertAlign w:val="superscript"/>
        </w:rPr>
        <w:t>22-26</w:t>
      </w:r>
      <w:r>
        <w:rPr>
          <w:rFonts w:ascii="Arial" w:hAnsi="Arial" w:eastAsia="宋体" w:cs="Arial"/>
          <w:sz w:val="24"/>
          <w:szCs w:val="24"/>
        </w:rPr>
        <w:t xml:space="preserve"> </w:t>
      </w:r>
      <w:r>
        <w:rPr>
          <w:rFonts w:hint="eastAsia" w:ascii="Arial" w:hAnsi="Arial" w:eastAsia="宋体" w:cs="Arial"/>
          <w:sz w:val="24"/>
          <w:szCs w:val="24"/>
        </w:rPr>
        <w:t>参考的指南</w:t>
      </w:r>
      <w:r>
        <w:rPr>
          <w:rFonts w:ascii="Arial" w:hAnsi="Arial" w:eastAsia="宋体" w:cs="Arial"/>
          <w:sz w:val="24"/>
          <w:szCs w:val="24"/>
        </w:rPr>
        <w:t>提出了关于</w:t>
      </w:r>
      <w:r>
        <w:rPr>
          <w:rFonts w:hint="eastAsia" w:ascii="Arial" w:hAnsi="Arial" w:eastAsia="宋体" w:cs="Arial"/>
          <w:sz w:val="24"/>
          <w:szCs w:val="24"/>
        </w:rPr>
        <w:t>最低笼舍</w:t>
      </w:r>
      <w:r>
        <w:rPr>
          <w:rFonts w:ascii="Arial" w:hAnsi="Arial" w:eastAsia="宋体" w:cs="Arial"/>
          <w:sz w:val="24"/>
          <w:szCs w:val="24"/>
        </w:rPr>
        <w:t>和</w:t>
      </w:r>
      <w:r>
        <w:rPr>
          <w:rFonts w:hint="eastAsia" w:ascii="Arial" w:hAnsi="Arial" w:eastAsia="宋体" w:cs="Arial"/>
          <w:sz w:val="24"/>
          <w:szCs w:val="24"/>
        </w:rPr>
        <w:t>饲养标准</w:t>
      </w:r>
      <w:r>
        <w:rPr>
          <w:rFonts w:ascii="Arial" w:hAnsi="Arial" w:eastAsia="宋体" w:cs="Arial"/>
          <w:sz w:val="24"/>
          <w:szCs w:val="24"/>
        </w:rPr>
        <w:t>、社会和环境丰容以及制定标准操作规程，阐述及时充分的兽医学护理方面的建议。FDA认为，遵循这些</w:t>
      </w:r>
      <w:r>
        <w:rPr>
          <w:rFonts w:hint="eastAsia" w:ascii="Arial" w:hAnsi="Arial" w:eastAsia="宋体" w:cs="Arial"/>
          <w:sz w:val="24"/>
          <w:szCs w:val="24"/>
        </w:rPr>
        <w:t>指南</w:t>
      </w:r>
      <w:r>
        <w:rPr>
          <w:rFonts w:ascii="Arial" w:hAnsi="Arial" w:eastAsia="宋体" w:cs="Arial"/>
          <w:sz w:val="24"/>
          <w:szCs w:val="24"/>
        </w:rPr>
        <w:t>，让动物充分</w:t>
      </w:r>
      <w:r>
        <w:rPr>
          <w:rFonts w:hint="eastAsia" w:ascii="Arial" w:hAnsi="Arial" w:eastAsia="宋体" w:cs="Arial"/>
          <w:sz w:val="24"/>
          <w:szCs w:val="24"/>
        </w:rPr>
        <w:t>获取</w:t>
      </w:r>
      <w:r>
        <w:rPr>
          <w:rFonts w:ascii="Arial" w:hAnsi="Arial" w:eastAsia="宋体" w:cs="Arial"/>
          <w:sz w:val="24"/>
          <w:szCs w:val="24"/>
        </w:rPr>
        <w:t>食物和供水容器、丰容</w:t>
      </w:r>
      <w:r>
        <w:rPr>
          <w:rFonts w:hint="eastAsia" w:ascii="Arial" w:hAnsi="Arial" w:eastAsia="宋体" w:cs="Arial"/>
          <w:sz w:val="24"/>
          <w:szCs w:val="24"/>
        </w:rPr>
        <w:t>器械</w:t>
      </w:r>
      <w:r>
        <w:rPr>
          <w:rFonts w:ascii="Arial" w:hAnsi="Arial" w:eastAsia="宋体" w:cs="Arial"/>
          <w:sz w:val="24"/>
          <w:szCs w:val="24"/>
        </w:rPr>
        <w:t>（玩具）、适用于该物物种的干净栖息表面等资源，制定姿势调整规定，以及充分玩耍和运动是至关重要的。操作者操作的舒适度和熟悉度可以减少背景应激，因此会减少可能会对您的研究结果的解释造成</w:t>
      </w:r>
      <w:r>
        <w:rPr>
          <w:rFonts w:hint="eastAsia" w:ascii="Arial" w:hAnsi="Arial" w:eastAsia="宋体" w:cs="Arial"/>
          <w:sz w:val="24"/>
          <w:szCs w:val="24"/>
        </w:rPr>
        <w:t>不良</w:t>
      </w:r>
      <w:r>
        <w:rPr>
          <w:rFonts w:ascii="Arial" w:hAnsi="Arial" w:eastAsia="宋体" w:cs="Arial"/>
          <w:sz w:val="24"/>
          <w:szCs w:val="24"/>
        </w:rPr>
        <w:t>影响的实验性混杂因素。</w:t>
      </w:r>
      <w:bookmarkEnd w:id="68"/>
    </w:p>
    <w:p w14:paraId="030C9230">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为符合护理标准，易于进行表面消毒，我们建议动物饲养设施的地板、侧壁和顶棚为非多孔性结构。我们建议，要有充足的光照并充分进行光照控制，提供正常的白昼和试验机会。我们还建议，在使用上述设施时要对温度和湿度进行适当的环境控制，以避免温度应激，减少呼吸系统感染。</w:t>
      </w:r>
      <w:r>
        <w:rPr>
          <w:rFonts w:ascii="Arial" w:hAnsi="Arial" w:eastAsia="宋体" w:cs="Arial"/>
          <w:sz w:val="24"/>
          <w:szCs w:val="24"/>
          <w:vertAlign w:val="superscript"/>
        </w:rPr>
        <w:t>4</w:t>
      </w:r>
    </w:p>
    <w:p w14:paraId="65E08ED6">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此外，我们还要说明的是，我们已经制定了实验动物指南，其他</w:t>
      </w:r>
      <w:r>
        <w:rPr>
          <w:rFonts w:hint="eastAsia" w:ascii="Arial" w:hAnsi="Arial" w:eastAsia="宋体" w:cs="Arial"/>
          <w:sz w:val="24"/>
          <w:szCs w:val="24"/>
        </w:rPr>
        <w:t>机构</w:t>
      </w:r>
      <w:r>
        <w:rPr>
          <w:rFonts w:ascii="Arial" w:hAnsi="Arial" w:eastAsia="宋体" w:cs="Arial"/>
          <w:sz w:val="24"/>
          <w:szCs w:val="24"/>
        </w:rPr>
        <w:t>也已经制定了动物人道护理方面的法规和准则，包括向州郡、国家和国际</w:t>
      </w:r>
      <w:r>
        <w:rPr>
          <w:rFonts w:hint="eastAsia" w:ascii="Arial" w:hAnsi="Arial" w:eastAsia="宋体" w:cs="Arial"/>
          <w:sz w:val="24"/>
          <w:szCs w:val="24"/>
        </w:rPr>
        <w:t>权威机构</w:t>
      </w:r>
      <w:r>
        <w:rPr>
          <w:rFonts w:ascii="Arial" w:hAnsi="Arial" w:eastAsia="宋体" w:cs="Arial"/>
          <w:sz w:val="24"/>
          <w:szCs w:val="24"/>
        </w:rPr>
        <w:t>保证，作为一个控制良好的试验系统，研究期间始终保持动物福利状态。</w:t>
      </w:r>
      <w:r>
        <w:rPr>
          <w:rFonts w:ascii="Arial" w:hAnsi="Arial" w:eastAsia="宋体" w:cs="Arial"/>
          <w:sz w:val="24"/>
          <w:szCs w:val="24"/>
          <w:vertAlign w:val="superscript"/>
        </w:rPr>
        <w:t>1-3</w:t>
      </w:r>
    </w:p>
    <w:p w14:paraId="6DEC33C0">
      <w:pPr>
        <w:pStyle w:val="34"/>
        <w:numPr>
          <w:ilvl w:val="0"/>
          <w:numId w:val="7"/>
        </w:numPr>
        <w:snapToGrid w:val="0"/>
        <w:spacing w:before="163" w:beforeLines="50" w:after="0" w:line="300" w:lineRule="auto"/>
        <w:ind w:left="1339" w:leftChars="314" w:hanging="585" w:hangingChars="243"/>
        <w:rPr>
          <w:rFonts w:ascii="Arial" w:hAnsi="Arial" w:eastAsia="宋体" w:cs="Arial"/>
          <w:sz w:val="24"/>
          <w:szCs w:val="24"/>
        </w:rPr>
      </w:pPr>
      <w:bookmarkStart w:id="69" w:name="_Toc495870765"/>
      <w:bookmarkStart w:id="70" w:name="bookmark41"/>
      <w:bookmarkStart w:id="71" w:name="_Toc496541644"/>
      <w:r>
        <w:rPr>
          <w:rFonts w:ascii="Arial" w:hAnsi="Arial" w:eastAsia="宋体" w:cs="Arial"/>
          <w:sz w:val="24"/>
          <w:szCs w:val="24"/>
        </w:rPr>
        <w:t>动物分组</w:t>
      </w:r>
      <w:bookmarkEnd w:id="69"/>
      <w:bookmarkEnd w:id="70"/>
      <w:bookmarkEnd w:id="71"/>
    </w:p>
    <w:p w14:paraId="3D44DB44">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FDA的21 CFR 58.43规定，试验机构应具有符合需求的足够的动物房间或面积，以确保物种或试验系统间可以适当隔离。</w:t>
      </w:r>
      <w:r>
        <w:rPr>
          <w:rFonts w:hint="eastAsia" w:ascii="Arial" w:hAnsi="Arial" w:eastAsia="宋体" w:cs="Arial"/>
          <w:sz w:val="24"/>
          <w:szCs w:val="24"/>
        </w:rPr>
        <w:t>然而</w:t>
      </w:r>
      <w:r>
        <w:rPr>
          <w:rFonts w:ascii="Arial" w:hAnsi="Arial" w:eastAsia="宋体" w:cs="Arial"/>
          <w:sz w:val="24"/>
          <w:szCs w:val="24"/>
        </w:rPr>
        <w:t>，除术后监测期外，我们建议将社会性动物置于特定群体内。FDA告诫称，环境条件不得对研究评估造成干扰，所有动物均可充分</w:t>
      </w:r>
      <w:r>
        <w:rPr>
          <w:rFonts w:hint="eastAsia" w:ascii="Arial" w:hAnsi="Arial" w:eastAsia="宋体" w:cs="Arial"/>
          <w:sz w:val="24"/>
          <w:szCs w:val="24"/>
        </w:rPr>
        <w:t>获取</w:t>
      </w:r>
      <w:r>
        <w:rPr>
          <w:rFonts w:ascii="Arial" w:hAnsi="Arial" w:eastAsia="宋体" w:cs="Arial"/>
          <w:sz w:val="24"/>
          <w:szCs w:val="24"/>
        </w:rPr>
        <w:t>食物、饮水和玩具等资源，以避免欺凌和领土应激。</w:t>
      </w:r>
    </w:p>
    <w:p w14:paraId="215E2631">
      <w:pPr>
        <w:pStyle w:val="34"/>
        <w:numPr>
          <w:ilvl w:val="0"/>
          <w:numId w:val="7"/>
        </w:numPr>
        <w:snapToGrid w:val="0"/>
        <w:spacing w:before="163" w:beforeLines="50" w:after="0" w:line="300" w:lineRule="auto"/>
        <w:ind w:left="1339" w:leftChars="314" w:hanging="585" w:hangingChars="243"/>
        <w:rPr>
          <w:rFonts w:ascii="Arial" w:hAnsi="Arial" w:eastAsia="宋体" w:cs="Arial"/>
          <w:sz w:val="24"/>
          <w:szCs w:val="24"/>
        </w:rPr>
      </w:pPr>
      <w:bookmarkStart w:id="72" w:name="_Toc495870766"/>
      <w:bookmarkStart w:id="73" w:name="bookmark42"/>
      <w:bookmarkStart w:id="74" w:name="_Toc496541645"/>
      <w:r>
        <w:rPr>
          <w:rFonts w:ascii="Arial" w:hAnsi="Arial" w:eastAsia="宋体" w:cs="Arial"/>
          <w:sz w:val="24"/>
          <w:szCs w:val="24"/>
        </w:rPr>
        <w:t>主要和次要笼舍</w:t>
      </w:r>
      <w:bookmarkEnd w:id="72"/>
      <w:bookmarkEnd w:id="73"/>
      <w:bookmarkEnd w:id="74"/>
    </w:p>
    <w:p w14:paraId="7E001F87">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因为与手术过程有关的很多3类器械和植入物需要在在某些亚急性期内进行频繁观察，FDA建议您的实验设施要与小型恢复室或笼舍相通，可以提供集中监护，比如氧气、静脉给药用旋转系统、远程ECG监测以及温度和/或湿度调控等。</w:t>
      </w:r>
    </w:p>
    <w:p w14:paraId="6B5B17E1">
      <w:pPr>
        <w:widowControl/>
        <w:rPr>
          <w:rFonts w:ascii="Arial" w:hAnsi="Arial" w:eastAsia="宋体" w:cs="Arial"/>
          <w:color w:val="auto"/>
          <w:kern w:val="2"/>
          <w:lang w:eastAsia="zh-CN" w:bidi="ar-SA"/>
        </w:rPr>
      </w:pPr>
      <w:r>
        <w:rPr>
          <w:rFonts w:ascii="Arial" w:hAnsi="Arial" w:eastAsia="宋体" w:cs="Arial"/>
          <w:lang w:eastAsia="zh-CN"/>
        </w:rPr>
        <w:br w:type="page"/>
      </w:r>
    </w:p>
    <w:p w14:paraId="711FE10F">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我们还建议您考虑您的方案是否应当包括将动物安置在高水平实验设施内，待完成术后稳定后将其转运至更加偏农用的设施内的时间段。</w:t>
      </w:r>
    </w:p>
    <w:p w14:paraId="64CDAC0C">
      <w:pPr>
        <w:pStyle w:val="34"/>
        <w:numPr>
          <w:ilvl w:val="0"/>
          <w:numId w:val="7"/>
        </w:numPr>
        <w:snapToGrid w:val="0"/>
        <w:spacing w:before="163" w:beforeLines="50" w:after="0" w:line="300" w:lineRule="auto"/>
        <w:ind w:left="1339" w:leftChars="314" w:hanging="585" w:hangingChars="243"/>
        <w:rPr>
          <w:rFonts w:ascii="Arial" w:hAnsi="Arial" w:eastAsia="宋体" w:cs="Arial"/>
          <w:sz w:val="24"/>
          <w:szCs w:val="24"/>
        </w:rPr>
      </w:pPr>
      <w:bookmarkStart w:id="75" w:name="_Toc495870767"/>
      <w:bookmarkStart w:id="76" w:name="_Toc496541646"/>
      <w:bookmarkStart w:id="77" w:name="bookmark43"/>
      <w:r>
        <w:rPr>
          <w:rFonts w:ascii="Arial" w:hAnsi="Arial" w:eastAsia="宋体" w:cs="Arial"/>
          <w:sz w:val="24"/>
          <w:szCs w:val="24"/>
        </w:rPr>
        <w:t>运输系统</w:t>
      </w:r>
      <w:bookmarkEnd w:id="75"/>
      <w:bookmarkEnd w:id="76"/>
      <w:bookmarkEnd w:id="77"/>
    </w:p>
    <w:p w14:paraId="140CF473">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为减少运输过程中的动物应激，FDA建议您考虑使用带架空活动底板、软式减震装置、大瓶、草网或其他丰容及食物/饮水盛放装置的运输笼。</w:t>
      </w:r>
      <w:r>
        <w:rPr>
          <w:rFonts w:ascii="Arial" w:hAnsi="Arial" w:eastAsia="宋体" w:cs="Arial"/>
          <w:sz w:val="24"/>
          <w:szCs w:val="24"/>
          <w:vertAlign w:val="superscript"/>
        </w:rPr>
        <w:t>26,27</w:t>
      </w:r>
      <w:r>
        <w:rPr>
          <w:rFonts w:ascii="Arial" w:hAnsi="Arial" w:eastAsia="宋体" w:cs="Arial"/>
          <w:sz w:val="24"/>
          <w:szCs w:val="24"/>
        </w:rPr>
        <w:t xml:space="preserve"> 运输车辆应为动物提供环境受控的加热和空气调节装置以进一步减轻运输应激。</w:t>
      </w:r>
      <w:r>
        <w:rPr>
          <w:rFonts w:ascii="Arial" w:hAnsi="Arial" w:eastAsia="宋体" w:cs="Arial"/>
          <w:sz w:val="24"/>
          <w:szCs w:val="24"/>
          <w:vertAlign w:val="superscript"/>
        </w:rPr>
        <w:t>1,4</w:t>
      </w:r>
      <w:r>
        <w:rPr>
          <w:rFonts w:ascii="Arial" w:hAnsi="Arial" w:eastAsia="宋体" w:cs="Arial"/>
          <w:sz w:val="24"/>
          <w:szCs w:val="24"/>
        </w:rPr>
        <w:t xml:space="preserve"> FDA指出，其他</w:t>
      </w:r>
      <w:r>
        <w:rPr>
          <w:rFonts w:hint="eastAsia" w:ascii="Arial" w:hAnsi="Arial" w:eastAsia="宋体" w:cs="Arial"/>
          <w:sz w:val="24"/>
          <w:szCs w:val="24"/>
        </w:rPr>
        <w:t>机构</w:t>
      </w:r>
      <w:r>
        <w:rPr>
          <w:rFonts w:ascii="Arial" w:hAnsi="Arial" w:eastAsia="宋体" w:cs="Arial"/>
          <w:sz w:val="24"/>
          <w:szCs w:val="24"/>
        </w:rPr>
        <w:t>的规定中也提到要在动物运输过程中进行适当护理。</w:t>
      </w:r>
      <w:r>
        <w:rPr>
          <w:rFonts w:ascii="Arial" w:hAnsi="Arial" w:eastAsia="宋体" w:cs="Arial"/>
          <w:sz w:val="24"/>
          <w:szCs w:val="24"/>
          <w:vertAlign w:val="superscript"/>
        </w:rPr>
        <w:t>1</w:t>
      </w:r>
    </w:p>
    <w:p w14:paraId="6E3B8513">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78" w:name="_Toc495870768"/>
      <w:bookmarkStart w:id="79" w:name="_Toc496541647"/>
      <w:bookmarkStart w:id="80" w:name="bookmark44"/>
      <w:bookmarkStart w:id="81" w:name="bookmark45"/>
      <w:r>
        <w:rPr>
          <w:rFonts w:ascii="Arial" w:hAnsi="Arial" w:eastAsia="宋体" w:cs="Arial"/>
          <w:sz w:val="30"/>
          <w:szCs w:val="30"/>
        </w:rPr>
        <w:t>研究方法和实施</w:t>
      </w:r>
      <w:bookmarkEnd w:id="78"/>
      <w:bookmarkEnd w:id="79"/>
      <w:bookmarkEnd w:id="80"/>
      <w:bookmarkEnd w:id="81"/>
    </w:p>
    <w:p w14:paraId="37A35A9F">
      <w:pPr>
        <w:pStyle w:val="20"/>
        <w:shd w:val="clear" w:color="auto" w:fill="auto"/>
        <w:snapToGrid w:val="0"/>
        <w:spacing w:before="163" w:beforeLines="50" w:after="0" w:line="300" w:lineRule="auto"/>
        <w:ind w:firstLine="0"/>
        <w:jc w:val="both"/>
        <w:rPr>
          <w:rFonts w:ascii="Arial" w:hAnsi="Arial" w:eastAsia="宋体" w:cs="Arial"/>
          <w:sz w:val="24"/>
          <w:szCs w:val="24"/>
        </w:rPr>
      </w:pPr>
      <w:bookmarkStart w:id="82" w:name="bookmark46"/>
      <w:r>
        <w:rPr>
          <w:rFonts w:ascii="Arial" w:hAnsi="Arial" w:eastAsia="宋体" w:cs="Arial"/>
          <w:sz w:val="24"/>
          <w:szCs w:val="24"/>
        </w:rPr>
        <w:t>FDA建议，医疗器械动物研究评价所用的方法和材料应与现代人兽医院所用的方法和材料相似。应当根据关键兽医和科学人员的既往经验制定监测和干预方案。一旦发现动物研究中可能出现的失效模式和影响，您应当制定一份动物研究方案，</w:t>
      </w:r>
      <w:r>
        <w:rPr>
          <w:rFonts w:hint="eastAsia" w:ascii="Arial" w:hAnsi="Arial" w:eastAsia="宋体" w:cs="Arial"/>
          <w:sz w:val="24"/>
          <w:szCs w:val="24"/>
        </w:rPr>
        <w:t>解决</w:t>
      </w:r>
      <w:r>
        <w:rPr>
          <w:rFonts w:ascii="Arial" w:hAnsi="Arial" w:eastAsia="宋体" w:cs="Arial"/>
          <w:sz w:val="24"/>
          <w:szCs w:val="24"/>
        </w:rPr>
        <w:t>已识别的所有风险，确定监测、干预和结果评价频率和类型。</w:t>
      </w:r>
      <w:bookmarkEnd w:id="82"/>
    </w:p>
    <w:p w14:paraId="3F065327">
      <w:pPr>
        <w:pStyle w:val="34"/>
        <w:numPr>
          <w:ilvl w:val="0"/>
          <w:numId w:val="8"/>
        </w:numPr>
        <w:snapToGrid w:val="0"/>
        <w:spacing w:before="163" w:beforeLines="50" w:after="0" w:line="300" w:lineRule="auto"/>
        <w:ind w:left="1368" w:leftChars="314" w:hanging="614" w:hangingChars="255"/>
        <w:rPr>
          <w:rFonts w:ascii="Arial" w:hAnsi="Arial" w:eastAsia="宋体" w:cs="Arial"/>
          <w:sz w:val="24"/>
          <w:szCs w:val="24"/>
          <w:lang w:eastAsia="en-US"/>
        </w:rPr>
      </w:pPr>
      <w:bookmarkStart w:id="83" w:name="_Toc495870769"/>
      <w:bookmarkStart w:id="84" w:name="_Toc496541648"/>
      <w:bookmarkStart w:id="85" w:name="bookmark47"/>
      <w:r>
        <w:rPr>
          <w:rFonts w:ascii="Arial" w:hAnsi="Arial" w:eastAsia="宋体" w:cs="Arial"/>
          <w:sz w:val="24"/>
          <w:szCs w:val="24"/>
        </w:rPr>
        <w:t>研究对照</w:t>
      </w:r>
      <w:bookmarkEnd w:id="83"/>
      <w:bookmarkEnd w:id="84"/>
      <w:bookmarkEnd w:id="85"/>
    </w:p>
    <w:p w14:paraId="12856EDF">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器械安全性评价通常基于</w:t>
      </w:r>
      <w:r>
        <w:rPr>
          <w:rFonts w:hint="eastAsia" w:ascii="Arial" w:hAnsi="Arial" w:eastAsia="宋体" w:cs="Arial"/>
          <w:sz w:val="24"/>
          <w:szCs w:val="24"/>
        </w:rPr>
        <w:t>提供</w:t>
      </w:r>
      <w:r>
        <w:rPr>
          <w:rFonts w:ascii="Arial" w:hAnsi="Arial" w:eastAsia="宋体" w:cs="Arial"/>
          <w:sz w:val="24"/>
          <w:szCs w:val="24"/>
        </w:rPr>
        <w:t>有效的科学证据（21 CFR 860.7（d））</w:t>
      </w:r>
      <w:r>
        <w:rPr>
          <w:rFonts w:hint="eastAsia" w:ascii="Arial" w:hAnsi="Arial" w:eastAsia="宋体" w:cs="Arial"/>
          <w:sz w:val="24"/>
          <w:szCs w:val="24"/>
        </w:rPr>
        <w:t>的动物研究</w:t>
      </w:r>
      <w:r>
        <w:rPr>
          <w:rFonts w:ascii="Arial" w:hAnsi="Arial" w:eastAsia="宋体" w:cs="Arial"/>
          <w:sz w:val="24"/>
          <w:szCs w:val="24"/>
        </w:rPr>
        <w:t>，以及该机构是否制定了足够的标准操作规程来确保数据的质量和完整性（21 CFR 58.81）。FDA建议，动物研究应包括足够的对照以减小实验变异性和误差。此类研究对照包括但不限于在可能影响试验动物（即给与供试品的动物）和对照动物（即给予对照品的动物）比较的实验过程中，将给予或影响试验动物的所有因素最小化。造成试验动物变化的变量可能是器械，而不是供试品，或者可能是环境因素、伴随给药或共患病等背景因素。因为这些混杂因素会妨碍研究者和FDA</w:t>
      </w:r>
      <w:r>
        <w:rPr>
          <w:rFonts w:hint="eastAsia" w:ascii="Arial" w:hAnsi="Arial" w:eastAsia="宋体" w:cs="Arial"/>
          <w:sz w:val="24"/>
          <w:szCs w:val="24"/>
        </w:rPr>
        <w:t>明确</w:t>
      </w:r>
      <w:r>
        <w:rPr>
          <w:rFonts w:ascii="Arial" w:hAnsi="Arial" w:eastAsia="宋体" w:cs="Arial"/>
          <w:sz w:val="24"/>
          <w:szCs w:val="24"/>
        </w:rPr>
        <w:t>有害或阳性结果与器械和/或其效应的关系，因此您应当减少这些因素。</w:t>
      </w:r>
    </w:p>
    <w:p w14:paraId="33E8ED19">
      <w:pPr>
        <w:pStyle w:val="20"/>
        <w:shd w:val="clear" w:color="auto" w:fill="auto"/>
        <w:snapToGrid w:val="0"/>
        <w:spacing w:before="163" w:beforeLines="50" w:after="0" w:line="300" w:lineRule="auto"/>
        <w:ind w:left="708" w:leftChars="295" w:firstLine="0"/>
        <w:jc w:val="both"/>
        <w:rPr>
          <w:rFonts w:ascii="Arial" w:hAnsi="Arial" w:eastAsia="宋体" w:cs="Arial"/>
          <w:sz w:val="24"/>
          <w:szCs w:val="24"/>
        </w:rPr>
      </w:pPr>
      <w:r>
        <w:rPr>
          <w:rFonts w:ascii="Arial" w:hAnsi="Arial" w:eastAsia="宋体" w:cs="Arial"/>
          <w:sz w:val="24"/>
          <w:szCs w:val="24"/>
        </w:rPr>
        <w:t>有鉴于此，我们建议使用能够充分了解的人员、耗材设备和方法。推荐用于动物研究的重要对照品见附录C。</w:t>
      </w:r>
    </w:p>
    <w:p w14:paraId="6626FFA4">
      <w:pPr>
        <w:pStyle w:val="34"/>
        <w:numPr>
          <w:ilvl w:val="0"/>
          <w:numId w:val="8"/>
        </w:numPr>
        <w:snapToGrid w:val="0"/>
        <w:spacing w:before="163" w:beforeLines="50" w:after="0" w:line="300" w:lineRule="auto"/>
        <w:ind w:left="1368" w:leftChars="314" w:hanging="614" w:hangingChars="255"/>
        <w:rPr>
          <w:rFonts w:ascii="Arial" w:hAnsi="Arial" w:eastAsia="宋体" w:cs="Arial"/>
          <w:sz w:val="24"/>
          <w:szCs w:val="24"/>
        </w:rPr>
      </w:pPr>
      <w:bookmarkStart w:id="86" w:name="_Toc495870770"/>
      <w:bookmarkStart w:id="87" w:name="bookmark48"/>
      <w:bookmarkStart w:id="88" w:name="_Toc496541649"/>
      <w:r>
        <w:rPr>
          <w:rFonts w:ascii="Arial" w:hAnsi="Arial" w:eastAsia="宋体" w:cs="Arial"/>
          <w:sz w:val="24"/>
          <w:szCs w:val="24"/>
        </w:rPr>
        <w:t>研究设备</w:t>
      </w:r>
      <w:bookmarkEnd w:id="86"/>
      <w:bookmarkEnd w:id="87"/>
      <w:bookmarkEnd w:id="88"/>
    </w:p>
    <w:p w14:paraId="53CBF8F2">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鉴于医疗器械动物研究所涉及的</w:t>
      </w:r>
      <w:r>
        <w:rPr>
          <w:rFonts w:hint="eastAsia" w:ascii="Arial" w:hAnsi="Arial" w:eastAsia="宋体" w:cs="Arial"/>
          <w:sz w:val="24"/>
          <w:szCs w:val="24"/>
        </w:rPr>
        <w:t>部件</w:t>
      </w:r>
      <w:r>
        <w:rPr>
          <w:rFonts w:ascii="Arial" w:hAnsi="Arial" w:eastAsia="宋体" w:cs="Arial"/>
          <w:sz w:val="24"/>
          <w:szCs w:val="24"/>
        </w:rPr>
        <w:t>，以及认可从使用申办方的器械到与研究机构签订合同这一转变过程的复杂性，FDA建议，研究的申办方及其顾问和研究负责人要对研究所用合同设备的护理、保养以及知识进行详细评估。我们鼓励参与制定动物研究计划的人员与实际执行该研究的人员及早、经常沟通。我们认为，对话对于确保研究机构拥有正确的研究用辅助设备、用品和资源尤其重要。比如，影像设备和人员可能需要尽早进入人体介入房间或操作间内以适当模拟临床环境。</w:t>
      </w:r>
    </w:p>
    <w:p w14:paraId="100D943F">
      <w:pPr>
        <w:pStyle w:val="34"/>
        <w:numPr>
          <w:ilvl w:val="0"/>
          <w:numId w:val="8"/>
        </w:numPr>
        <w:snapToGrid w:val="0"/>
        <w:spacing w:before="163" w:beforeLines="50" w:after="0" w:line="300" w:lineRule="auto"/>
        <w:ind w:left="1368" w:leftChars="314" w:hanging="614" w:hangingChars="255"/>
        <w:rPr>
          <w:rFonts w:ascii="Arial" w:hAnsi="Arial" w:eastAsia="宋体" w:cs="Arial"/>
          <w:sz w:val="24"/>
          <w:szCs w:val="24"/>
        </w:rPr>
      </w:pPr>
      <w:bookmarkStart w:id="89" w:name="_Toc496541650"/>
      <w:bookmarkStart w:id="90" w:name="_Toc495870771"/>
      <w:bookmarkStart w:id="91" w:name="bookmark49"/>
      <w:r>
        <w:rPr>
          <w:rFonts w:ascii="Arial" w:hAnsi="Arial" w:eastAsia="宋体" w:cs="Arial"/>
          <w:sz w:val="24"/>
          <w:szCs w:val="24"/>
        </w:rPr>
        <w:t>动物标识</w:t>
      </w:r>
      <w:bookmarkEnd w:id="89"/>
      <w:bookmarkEnd w:id="90"/>
      <w:bookmarkEnd w:id="91"/>
    </w:p>
    <w:p w14:paraId="38F14916">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您应当提供关于动物标识、研究分组、手术类型以及每只动物的</w:t>
      </w:r>
      <w:r>
        <w:rPr>
          <w:rFonts w:hint="eastAsia" w:ascii="Arial" w:hAnsi="Arial" w:eastAsia="宋体" w:cs="Arial"/>
          <w:sz w:val="24"/>
          <w:szCs w:val="24"/>
        </w:rPr>
        <w:t>结果</w:t>
      </w:r>
      <w:r>
        <w:rPr>
          <w:rFonts w:ascii="Arial" w:hAnsi="Arial" w:eastAsia="宋体" w:cs="Arial"/>
          <w:sz w:val="24"/>
          <w:szCs w:val="24"/>
        </w:rPr>
        <w:t>或处置方式的一张信息表。比如，如果动物在购入时带有1个DSDA标识号，但随后标记了1个机构标识号，然后又分配了1个组号，应充分了解这些信息，并尽量原样提交给FDA，形成每只试验动物或对照动物的监管链。</w:t>
      </w:r>
    </w:p>
    <w:p w14:paraId="03BF485E">
      <w:pPr>
        <w:pStyle w:val="34"/>
        <w:numPr>
          <w:ilvl w:val="0"/>
          <w:numId w:val="8"/>
        </w:numPr>
        <w:snapToGrid w:val="0"/>
        <w:spacing w:before="163" w:beforeLines="50" w:after="0" w:line="300" w:lineRule="auto"/>
        <w:ind w:left="1368" w:leftChars="314" w:hanging="614" w:hangingChars="255"/>
        <w:rPr>
          <w:rFonts w:ascii="Arial" w:hAnsi="Arial" w:eastAsia="宋体" w:cs="Arial"/>
          <w:sz w:val="24"/>
          <w:szCs w:val="24"/>
        </w:rPr>
      </w:pPr>
      <w:bookmarkStart w:id="92" w:name="bookmark50"/>
      <w:bookmarkStart w:id="93" w:name="_Toc495870772"/>
      <w:bookmarkStart w:id="94" w:name="_Toc496541651"/>
      <w:r>
        <w:rPr>
          <w:rFonts w:ascii="Arial" w:hAnsi="Arial" w:eastAsia="宋体" w:cs="Arial"/>
          <w:sz w:val="24"/>
          <w:szCs w:val="24"/>
        </w:rPr>
        <w:t>动物隔离和</w:t>
      </w:r>
      <w:bookmarkEnd w:id="92"/>
      <w:bookmarkEnd w:id="93"/>
      <w:r>
        <w:rPr>
          <w:rFonts w:hint="eastAsia" w:ascii="Arial" w:hAnsi="Arial" w:eastAsia="宋体" w:cs="Arial"/>
          <w:sz w:val="24"/>
          <w:szCs w:val="24"/>
        </w:rPr>
        <w:t>调节</w:t>
      </w:r>
      <w:bookmarkEnd w:id="94"/>
    </w:p>
    <w:p w14:paraId="5E929A61">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FDA建议您执行标准操作规程，留出足够的隔离和适应阶段，并实施社会化程序。</w:t>
      </w:r>
      <w:r>
        <w:rPr>
          <w:rFonts w:ascii="Arial" w:hAnsi="Arial" w:eastAsia="宋体" w:cs="Arial"/>
          <w:sz w:val="24"/>
          <w:szCs w:val="24"/>
          <w:vertAlign w:val="superscript"/>
        </w:rPr>
        <w:t>4</w:t>
      </w:r>
      <w:r>
        <w:rPr>
          <w:rFonts w:ascii="Arial" w:hAnsi="Arial" w:eastAsia="宋体" w:cs="Arial"/>
          <w:sz w:val="24"/>
          <w:szCs w:val="24"/>
        </w:rPr>
        <w:t xml:space="preserve"> 应尽可能控制疾病和心理应激的背景水平。农场动物易感染肠道寄生虫，一般表现为亚临床症状，但在手术应激条件下和恢复过程中可能会导致临床症状。为减少混杂因素，我们建议您及早、经常与主治兽医进行对话，探讨</w:t>
      </w:r>
      <w:r>
        <w:rPr>
          <w:rFonts w:hint="eastAsia" w:ascii="Arial" w:hAnsi="Arial" w:eastAsia="宋体" w:cs="Arial"/>
          <w:sz w:val="24"/>
          <w:szCs w:val="24"/>
        </w:rPr>
        <w:t>检测</w:t>
      </w:r>
      <w:r>
        <w:rPr>
          <w:rFonts w:ascii="Arial" w:hAnsi="Arial" w:eastAsia="宋体" w:cs="Arial"/>
          <w:sz w:val="24"/>
          <w:szCs w:val="24"/>
        </w:rPr>
        <w:t>和消除临床及亚临床疾病的方法，确保动物处于最佳健康状态。我们需要说明的是，其他</w:t>
      </w:r>
      <w:r>
        <w:rPr>
          <w:rFonts w:hint="eastAsia" w:ascii="Arial" w:hAnsi="Arial" w:eastAsia="宋体" w:cs="Arial"/>
          <w:sz w:val="24"/>
          <w:szCs w:val="24"/>
        </w:rPr>
        <w:t>机构</w:t>
      </w:r>
      <w:r>
        <w:rPr>
          <w:rFonts w:ascii="Arial" w:hAnsi="Arial" w:eastAsia="宋体" w:cs="Arial"/>
          <w:sz w:val="24"/>
          <w:szCs w:val="24"/>
        </w:rPr>
        <w:t>的法律法规，比如《动物福利法》</w:t>
      </w:r>
      <w:r>
        <w:rPr>
          <w:rFonts w:hint="eastAsia" w:ascii="Arial" w:hAnsi="Arial" w:eastAsia="宋体" w:cs="Arial"/>
          <w:sz w:val="24"/>
          <w:szCs w:val="24"/>
        </w:rPr>
        <w:t>（7 U.S.C. §§</w:t>
      </w:r>
      <w:r>
        <w:rPr>
          <w:rFonts w:ascii="Arial" w:hAnsi="Arial" w:eastAsia="宋体" w:cs="Arial"/>
          <w:sz w:val="24"/>
          <w:szCs w:val="24"/>
        </w:rPr>
        <w:t xml:space="preserve"> </w:t>
      </w:r>
      <w:r>
        <w:rPr>
          <w:rFonts w:hint="eastAsia" w:ascii="Arial" w:hAnsi="Arial" w:eastAsia="宋体" w:cs="Arial"/>
          <w:sz w:val="24"/>
          <w:szCs w:val="24"/>
        </w:rPr>
        <w:t xml:space="preserve"> </w:t>
      </w:r>
      <w:r>
        <w:rPr>
          <w:rFonts w:ascii="Arial" w:hAnsi="Arial" w:eastAsia="宋体" w:cs="Arial"/>
          <w:sz w:val="24"/>
          <w:szCs w:val="24"/>
        </w:rPr>
        <w:t>2131-2159页）和公共卫生署（PHS）的《实验动物的人道护理和使用政策》已经使控制背景应激的环境和社会化方案的使用发生了重大变化。</w:t>
      </w:r>
      <w:r>
        <w:rPr>
          <w:rFonts w:ascii="Arial" w:hAnsi="Arial" w:eastAsia="宋体" w:cs="Arial"/>
          <w:sz w:val="24"/>
          <w:szCs w:val="24"/>
          <w:vertAlign w:val="superscript"/>
        </w:rPr>
        <w:t>1-2</w:t>
      </w:r>
      <w:r>
        <w:rPr>
          <w:rFonts w:ascii="Arial" w:hAnsi="Arial" w:eastAsia="宋体" w:cs="Arial"/>
          <w:sz w:val="24"/>
          <w:szCs w:val="24"/>
        </w:rPr>
        <w:t>我们相信，遵循上述法律和政策能够改善观察时机，提高观察强度，研究者也可能会因此得出更多有用的结果。</w:t>
      </w:r>
    </w:p>
    <w:p w14:paraId="6321DCA9">
      <w:pPr>
        <w:pStyle w:val="34"/>
        <w:numPr>
          <w:ilvl w:val="0"/>
          <w:numId w:val="8"/>
        </w:numPr>
        <w:snapToGrid w:val="0"/>
        <w:spacing w:before="163" w:beforeLines="50" w:after="0" w:line="300" w:lineRule="auto"/>
        <w:ind w:left="1368" w:leftChars="314" w:hanging="614" w:hangingChars="255"/>
        <w:rPr>
          <w:rFonts w:ascii="Arial" w:hAnsi="Arial" w:eastAsia="宋体" w:cs="Arial"/>
          <w:sz w:val="24"/>
          <w:szCs w:val="24"/>
        </w:rPr>
      </w:pPr>
      <w:bookmarkStart w:id="95" w:name="_Toc495870773"/>
      <w:bookmarkStart w:id="96" w:name="bookmark51"/>
      <w:bookmarkStart w:id="97" w:name="_Toc496541652"/>
      <w:r>
        <w:rPr>
          <w:rFonts w:ascii="Arial" w:hAnsi="Arial" w:eastAsia="宋体" w:cs="Arial"/>
          <w:sz w:val="24"/>
          <w:szCs w:val="24"/>
        </w:rPr>
        <w:t>动物的实验分组</w:t>
      </w:r>
      <w:bookmarkEnd w:id="95"/>
      <w:bookmarkEnd w:id="96"/>
      <w:bookmarkEnd w:id="97"/>
    </w:p>
    <w:p w14:paraId="38EFDEA9">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FDA建议在动物研究设计中设置对照组，或者解释为什么不设置对照组。此外，计算生成能够保证医疗器械的安全性和性能的足量数据所需要的动物数量时，很重要的一点是使用足够的动物来得出预测结果。我们认为，该决定最好在完成台架试验和器械迭代后</w:t>
      </w:r>
      <w:r>
        <w:rPr>
          <w:rFonts w:hint="eastAsia" w:ascii="Arial" w:hAnsi="Arial" w:eastAsia="宋体" w:cs="Arial"/>
          <w:sz w:val="24"/>
          <w:szCs w:val="24"/>
        </w:rPr>
        <w:t>进行</w:t>
      </w:r>
      <w:r>
        <w:rPr>
          <w:rFonts w:ascii="Arial" w:hAnsi="Arial" w:eastAsia="宋体" w:cs="Arial"/>
          <w:sz w:val="24"/>
          <w:szCs w:val="24"/>
        </w:rPr>
        <w:t>。我们强烈建议您用市售器械开展确定性动物研究，除非需要扩大规模，如果需要，则将其植入动物模型体内。应当在可靠的科学依据基础上，结合考虑模型存在的困难以及能否用一种动物合理研究一种或多种供试品和/或对照品后确定研究所用的动物数量。</w:t>
      </w:r>
      <w:r>
        <w:rPr>
          <w:rFonts w:hint="eastAsia" w:ascii="Arial" w:hAnsi="Arial" w:eastAsia="宋体" w:cs="Arial"/>
          <w:sz w:val="24"/>
          <w:szCs w:val="24"/>
        </w:rPr>
        <w:t>例</w:t>
      </w:r>
      <w:r>
        <w:rPr>
          <w:rFonts w:ascii="Arial" w:hAnsi="Arial" w:eastAsia="宋体" w:cs="Arial"/>
          <w:sz w:val="24"/>
          <w:szCs w:val="24"/>
        </w:rPr>
        <w:t>如，FDA认为，运用和操作研究通常可以在同一试验对象身上多次进行，或者与长期安全性研究结合进行。与之相比，涉及高风险植入物（如人工关节）的研究可能需要高度专业化的知识，预计会导致某些疾病，因此</w:t>
      </w:r>
      <w:r>
        <w:rPr>
          <w:rFonts w:hint="eastAsia" w:ascii="Arial" w:hAnsi="Arial" w:eastAsia="宋体" w:cs="Arial"/>
          <w:sz w:val="24"/>
          <w:szCs w:val="24"/>
        </w:rPr>
        <w:t>需</w:t>
      </w:r>
      <w:r>
        <w:rPr>
          <w:rFonts w:ascii="Arial" w:hAnsi="Arial" w:eastAsia="宋体" w:cs="Arial"/>
          <w:sz w:val="24"/>
          <w:szCs w:val="24"/>
        </w:rPr>
        <w:t>要使用相对较多的动物来评价器械的安全性。根据我们的经验，典型的高级动物研究（如绵羊、山羊和非人灵长类）一般为每个时间点每组3-9只动物。</w:t>
      </w:r>
      <w:r>
        <w:rPr>
          <w:rFonts w:hint="eastAsia" w:ascii="Arial" w:hAnsi="Arial" w:eastAsia="宋体" w:cs="Arial"/>
          <w:sz w:val="24"/>
          <w:szCs w:val="24"/>
        </w:rPr>
        <w:t>然而</w:t>
      </w:r>
      <w:r>
        <w:rPr>
          <w:rFonts w:ascii="Arial" w:hAnsi="Arial" w:eastAsia="宋体" w:cs="Arial"/>
          <w:sz w:val="24"/>
          <w:szCs w:val="24"/>
        </w:rPr>
        <w:t>，在所有情况下均需在方案中</w:t>
      </w:r>
      <w:r>
        <w:rPr>
          <w:rFonts w:hint="eastAsia" w:ascii="Arial" w:hAnsi="Arial" w:eastAsia="宋体" w:cs="Arial"/>
          <w:sz w:val="24"/>
          <w:szCs w:val="24"/>
        </w:rPr>
        <w:t>提供</w:t>
      </w:r>
      <w:r>
        <w:rPr>
          <w:rFonts w:ascii="Arial" w:hAnsi="Arial" w:eastAsia="宋体" w:cs="Arial"/>
          <w:sz w:val="24"/>
          <w:szCs w:val="24"/>
        </w:rPr>
        <w:t>所用数量的科学依据。我们鼓励您在</w:t>
      </w:r>
      <w:r>
        <w:rPr>
          <w:rFonts w:hint="eastAsia" w:ascii="Arial" w:hAnsi="Arial" w:eastAsia="宋体" w:cs="Arial"/>
          <w:sz w:val="24"/>
          <w:szCs w:val="24"/>
        </w:rPr>
        <w:t>通过提交</w:t>
      </w:r>
      <w:r>
        <w:rPr>
          <w:rFonts w:ascii="Arial" w:hAnsi="Arial" w:eastAsia="宋体" w:cs="Arial"/>
          <w:sz w:val="24"/>
          <w:szCs w:val="24"/>
        </w:rPr>
        <w:t>前</w:t>
      </w:r>
      <w:r>
        <w:rPr>
          <w:rFonts w:hint="eastAsia" w:ascii="Arial" w:hAnsi="Arial" w:eastAsia="宋体" w:cs="Arial"/>
          <w:sz w:val="24"/>
          <w:szCs w:val="24"/>
        </w:rPr>
        <w:t>的程序实施前，</w:t>
      </w:r>
      <w:r>
        <w:rPr>
          <w:rFonts w:ascii="Arial" w:hAnsi="Arial" w:eastAsia="宋体" w:cs="Arial"/>
          <w:sz w:val="24"/>
          <w:szCs w:val="24"/>
        </w:rPr>
        <w:t>对拟定的动物研究，包括涉及的动物数量进行讨论。</w:t>
      </w:r>
      <w:r>
        <w:rPr>
          <w:rFonts w:ascii="Arial" w:hAnsi="Arial" w:eastAsia="宋体" w:cs="Arial"/>
          <w:sz w:val="24"/>
          <w:szCs w:val="24"/>
          <w:vertAlign w:val="superscript"/>
        </w:rPr>
        <w:t>13</w:t>
      </w:r>
    </w:p>
    <w:p w14:paraId="6B0CFDAE">
      <w:pPr>
        <w:pStyle w:val="34"/>
        <w:numPr>
          <w:ilvl w:val="0"/>
          <w:numId w:val="8"/>
        </w:numPr>
        <w:snapToGrid w:val="0"/>
        <w:spacing w:before="163" w:beforeLines="50" w:after="0" w:line="360" w:lineRule="auto"/>
        <w:ind w:left="1368" w:leftChars="314" w:hanging="614" w:hangingChars="255"/>
        <w:rPr>
          <w:rFonts w:ascii="Arial" w:hAnsi="Arial" w:eastAsia="宋体" w:cs="Arial"/>
          <w:sz w:val="24"/>
          <w:szCs w:val="24"/>
        </w:rPr>
      </w:pPr>
      <w:bookmarkStart w:id="98" w:name="_Toc495870774"/>
      <w:bookmarkStart w:id="99" w:name="_Toc496541653"/>
      <w:bookmarkStart w:id="100" w:name="bookmark52"/>
      <w:r>
        <w:rPr>
          <w:rFonts w:ascii="Arial" w:hAnsi="Arial" w:eastAsia="宋体" w:cs="Arial"/>
          <w:sz w:val="24"/>
          <w:szCs w:val="24"/>
        </w:rPr>
        <w:t>食物、饮水和基本饲养条件</w:t>
      </w:r>
      <w:bookmarkEnd w:id="98"/>
      <w:bookmarkEnd w:id="99"/>
      <w:bookmarkEnd w:id="100"/>
    </w:p>
    <w:p w14:paraId="4347C3E2">
      <w:pPr>
        <w:pStyle w:val="20"/>
        <w:shd w:val="clear" w:color="auto" w:fill="auto"/>
        <w:snapToGrid w:val="0"/>
        <w:spacing w:before="163" w:beforeLines="50" w:after="0" w:line="360" w:lineRule="auto"/>
        <w:ind w:left="720" w:firstLine="0"/>
        <w:jc w:val="both"/>
        <w:rPr>
          <w:rFonts w:ascii="Arial" w:hAnsi="Arial" w:eastAsia="宋体" w:cs="Arial"/>
          <w:sz w:val="24"/>
          <w:szCs w:val="24"/>
        </w:rPr>
      </w:pPr>
      <w:r>
        <w:rPr>
          <w:rFonts w:ascii="Arial" w:hAnsi="Arial" w:eastAsia="宋体" w:cs="Arial"/>
          <w:sz w:val="24"/>
          <w:szCs w:val="24"/>
        </w:rPr>
        <w:t>FDA建议申办方与下属及合同人员</w:t>
      </w:r>
      <w:r>
        <w:rPr>
          <w:rFonts w:hint="eastAsia" w:ascii="Arial" w:hAnsi="Arial" w:eastAsia="宋体" w:cs="Arial"/>
          <w:sz w:val="24"/>
          <w:szCs w:val="24"/>
        </w:rPr>
        <w:t>明确</w:t>
      </w:r>
      <w:r>
        <w:rPr>
          <w:rFonts w:ascii="Arial" w:hAnsi="Arial" w:eastAsia="宋体" w:cs="Arial"/>
          <w:sz w:val="24"/>
          <w:szCs w:val="24"/>
        </w:rPr>
        <w:t>沟通提供食品的类型和数量，同时预先确定</w:t>
      </w:r>
      <w:r>
        <w:rPr>
          <w:rFonts w:hint="eastAsia" w:ascii="Arial" w:hAnsi="Arial" w:eastAsia="宋体" w:cs="Arial"/>
          <w:sz w:val="24"/>
          <w:szCs w:val="24"/>
        </w:rPr>
        <w:t>笼舍</w:t>
      </w:r>
      <w:r>
        <w:rPr>
          <w:rFonts w:ascii="Arial" w:hAnsi="Arial" w:eastAsia="宋体" w:cs="Arial"/>
          <w:sz w:val="24"/>
          <w:szCs w:val="24"/>
        </w:rPr>
        <w:t>尺寸，在大栏饲养环境中要保证食物容器的位置和数量充足。您还应考虑遵循其他对笼舍提出更具体的限制的研究标准。</w:t>
      </w:r>
      <w:r>
        <w:rPr>
          <w:rFonts w:ascii="Arial" w:hAnsi="Arial" w:eastAsia="宋体" w:cs="Arial"/>
          <w:sz w:val="24"/>
          <w:szCs w:val="24"/>
          <w:vertAlign w:val="superscript"/>
        </w:rPr>
        <w:t>4</w:t>
      </w:r>
    </w:p>
    <w:p w14:paraId="51CA7562">
      <w:pPr>
        <w:pStyle w:val="20"/>
        <w:shd w:val="clear" w:color="auto" w:fill="auto"/>
        <w:snapToGrid w:val="0"/>
        <w:spacing w:before="163" w:beforeLines="50" w:after="0" w:line="360" w:lineRule="auto"/>
        <w:ind w:left="720" w:firstLine="0"/>
        <w:jc w:val="both"/>
        <w:rPr>
          <w:rFonts w:ascii="Arial" w:hAnsi="Arial" w:eastAsia="宋体" w:cs="Arial"/>
          <w:sz w:val="24"/>
          <w:szCs w:val="24"/>
        </w:rPr>
      </w:pPr>
      <w:r>
        <w:rPr>
          <w:rFonts w:ascii="Arial" w:hAnsi="Arial" w:eastAsia="宋体" w:cs="Arial"/>
          <w:sz w:val="24"/>
          <w:szCs w:val="24"/>
        </w:rPr>
        <w:t>我们发现体重减轻问题很难解释，无法确定体重减轻是否与器械有关。有鉴于此，您应当保证动物监测人员详细记录食欲、食物和饮水摄入、排尿和排便情况，尤其是动物为大栏饲养时。欺凌和资源觊觎一般与无意中减少热量和液体摄入造成的体重减轻有关。</w:t>
      </w:r>
    </w:p>
    <w:p w14:paraId="4931F4DE">
      <w:pPr>
        <w:pStyle w:val="20"/>
        <w:shd w:val="clear" w:color="auto" w:fill="auto"/>
        <w:snapToGrid w:val="0"/>
        <w:spacing w:before="163" w:beforeLines="50" w:after="0" w:line="360" w:lineRule="auto"/>
        <w:ind w:left="720" w:firstLine="0"/>
        <w:jc w:val="both"/>
        <w:rPr>
          <w:rFonts w:ascii="Arial" w:hAnsi="Arial" w:eastAsia="宋体" w:cs="Arial"/>
          <w:sz w:val="24"/>
          <w:szCs w:val="24"/>
        </w:rPr>
      </w:pPr>
      <w:r>
        <w:rPr>
          <w:rFonts w:ascii="Arial" w:hAnsi="Arial" w:eastAsia="宋体" w:cs="Arial"/>
          <w:sz w:val="24"/>
          <w:szCs w:val="24"/>
        </w:rPr>
        <w:t>纳入长期研究的动物（即小型反刍动物）一般会转移至更</w:t>
      </w:r>
      <w:r>
        <w:rPr>
          <w:rFonts w:hint="eastAsia" w:ascii="Arial" w:hAnsi="Arial" w:eastAsia="宋体" w:cs="Arial"/>
          <w:sz w:val="24"/>
          <w:szCs w:val="24"/>
        </w:rPr>
        <w:t>传统的</w:t>
      </w:r>
      <w:r>
        <w:rPr>
          <w:rFonts w:ascii="Arial" w:hAnsi="Arial" w:eastAsia="宋体" w:cs="Arial"/>
          <w:sz w:val="24"/>
          <w:szCs w:val="24"/>
        </w:rPr>
        <w:t>农业环境中，允许动物在开放牧场上放牧和/或喂食干草作为饲料的一部分。申办方/试验机构应当保证该牧场不存在可能有毒的植物、寄生虫和其他潜在污染物，且牧场的条件（土壤</w:t>
      </w:r>
      <w:r>
        <w:rPr>
          <w:rFonts w:hint="eastAsia" w:ascii="Arial" w:hAnsi="Arial" w:eastAsia="宋体" w:cs="Arial"/>
          <w:sz w:val="24"/>
          <w:szCs w:val="24"/>
        </w:rPr>
        <w:t>、</w:t>
      </w:r>
      <w:r>
        <w:rPr>
          <w:rFonts w:ascii="Arial" w:hAnsi="Arial" w:eastAsia="宋体" w:cs="Arial"/>
          <w:sz w:val="24"/>
          <w:szCs w:val="24"/>
        </w:rPr>
        <w:t>牧草）符合动物的营养（包括矿物质）需求。某些物种对土壤中有机金属的不平衡敏感（比如绵羊对铜和钼不平衡敏感），可能会导致毒性（绵羊的铜毒性）。促生长添加剂（比如莫能菌素）是另外一种常见的意外中毒的来源，中毒原因为饲料配给错误或者误将一种动物的饲料喂给另一种动物。必须对动物使用的食物和饮水进行定期分析，确保此类食物和饮水中预计会出现、可干扰研究的已知污染物水平不存在高于方案规定水平（21 CFR 58.90（g））。申办方/试验机构应当认识到这些潜在的问题，制定书面的标准操作规程，规定对饮水和饲料中的潜在污染物、牧场土壤和农作物的营养平衡、对员工进行培训让其认识到阅读饲料标签的重要性、喂食动物专用饲料等情况进行定期检查。本地农场</w:t>
      </w:r>
      <w:r>
        <w:rPr>
          <w:rFonts w:hint="eastAsia" w:ascii="Arial" w:hAnsi="Arial" w:eastAsia="宋体" w:cs="Arial"/>
          <w:sz w:val="24"/>
          <w:szCs w:val="24"/>
        </w:rPr>
        <w:t>扩展</w:t>
      </w:r>
      <w:r>
        <w:rPr>
          <w:rFonts w:ascii="Arial" w:hAnsi="Arial" w:eastAsia="宋体" w:cs="Arial"/>
          <w:sz w:val="24"/>
          <w:szCs w:val="24"/>
        </w:rPr>
        <w:t>服务可提供有价值的帮助。</w:t>
      </w:r>
    </w:p>
    <w:p w14:paraId="31A20AFD">
      <w:pPr>
        <w:widowControl/>
        <w:rPr>
          <w:rFonts w:ascii="Arial" w:hAnsi="Arial" w:eastAsia="宋体" w:cs="Arial"/>
          <w:b/>
          <w:bCs/>
          <w:kern w:val="2"/>
          <w:lang w:eastAsia="zh-CN" w:bidi="ar-SA"/>
        </w:rPr>
      </w:pPr>
      <w:bookmarkStart w:id="101" w:name="bookmark53"/>
      <w:bookmarkStart w:id="102" w:name="_Toc495870775"/>
      <w:r>
        <w:rPr>
          <w:rFonts w:ascii="Arial" w:hAnsi="Arial" w:eastAsia="宋体" w:cs="Arial"/>
        </w:rPr>
        <w:br w:type="page"/>
      </w:r>
    </w:p>
    <w:p w14:paraId="41911E8B">
      <w:pPr>
        <w:pStyle w:val="34"/>
        <w:numPr>
          <w:ilvl w:val="0"/>
          <w:numId w:val="8"/>
        </w:numPr>
        <w:snapToGrid w:val="0"/>
        <w:spacing w:before="163" w:beforeLines="50" w:after="0" w:line="300" w:lineRule="auto"/>
        <w:ind w:left="1368" w:leftChars="314" w:hanging="614" w:hangingChars="255"/>
        <w:rPr>
          <w:rFonts w:ascii="Arial" w:hAnsi="Arial" w:eastAsia="宋体" w:cs="Arial"/>
          <w:sz w:val="24"/>
          <w:szCs w:val="24"/>
        </w:rPr>
      </w:pPr>
      <w:bookmarkStart w:id="103" w:name="_Toc496541654"/>
      <w:r>
        <w:rPr>
          <w:rFonts w:ascii="Arial" w:hAnsi="Arial" w:eastAsia="宋体" w:cs="Arial"/>
          <w:sz w:val="24"/>
          <w:szCs w:val="24"/>
        </w:rPr>
        <w:t>观察期</w:t>
      </w:r>
      <w:bookmarkEnd w:id="101"/>
      <w:bookmarkEnd w:id="102"/>
      <w:bookmarkEnd w:id="103"/>
    </w:p>
    <w:p w14:paraId="25F83912">
      <w:pPr>
        <w:pStyle w:val="20"/>
        <w:shd w:val="clear" w:color="auto" w:fill="auto"/>
        <w:snapToGrid w:val="0"/>
        <w:spacing w:before="163" w:beforeLines="50" w:after="0" w:line="300" w:lineRule="auto"/>
        <w:ind w:left="720" w:firstLine="0"/>
        <w:jc w:val="both"/>
        <w:rPr>
          <w:rFonts w:ascii="Arial" w:hAnsi="Arial" w:eastAsia="宋体" w:cs="Arial"/>
          <w:sz w:val="24"/>
          <w:szCs w:val="24"/>
        </w:rPr>
      </w:pPr>
      <w:bookmarkStart w:id="104" w:name="bookmark54"/>
      <w:r>
        <w:rPr>
          <w:rFonts w:ascii="Arial" w:hAnsi="Arial" w:eastAsia="宋体" w:cs="Arial"/>
          <w:sz w:val="24"/>
          <w:szCs w:val="24"/>
        </w:rPr>
        <w:t>FDA建议遵循兽医护理标准。</w:t>
      </w:r>
      <w:r>
        <w:rPr>
          <w:rFonts w:ascii="Arial" w:hAnsi="Arial" w:eastAsia="宋体" w:cs="Arial"/>
          <w:sz w:val="24"/>
          <w:szCs w:val="24"/>
          <w:vertAlign w:val="superscript"/>
        </w:rPr>
        <w:t>1-3,7,28-31</w:t>
      </w:r>
      <w:r>
        <w:rPr>
          <w:rFonts w:ascii="Arial" w:hAnsi="Arial" w:eastAsia="宋体" w:cs="Arial"/>
          <w:sz w:val="24"/>
          <w:szCs w:val="24"/>
        </w:rPr>
        <w:t xml:space="preserve"> </w:t>
      </w:r>
      <w:r>
        <w:rPr>
          <w:rFonts w:hint="eastAsia" w:ascii="Arial" w:hAnsi="Arial" w:eastAsia="宋体" w:cs="Arial"/>
          <w:sz w:val="24"/>
          <w:szCs w:val="24"/>
        </w:rPr>
        <w:t>例</w:t>
      </w:r>
      <w:r>
        <w:rPr>
          <w:rFonts w:ascii="Arial" w:hAnsi="Arial" w:eastAsia="宋体" w:cs="Arial"/>
          <w:sz w:val="24"/>
          <w:szCs w:val="24"/>
        </w:rPr>
        <w:t>如，对试验动物的监测要达到一定频率和强度，要充分评估器械带来的已知风险，您应当与研究机构内的主治兽医一起开展工作，确定上述监测参数。我们认为，此类监测并非只出于人道原因，还因为受到充分监测的动物有助于我们对可能是器械引起的常见自发情况进行分类。为更好地表征器械对动物的影响，FDA建议上述过程应为主动的和具体的，而不是被动的和泛泛的。考虑进行评价的重要属性包括但不限于：</w:t>
      </w:r>
      <w:bookmarkEnd w:id="104"/>
    </w:p>
    <w:p w14:paraId="1BCC61A0">
      <w:pPr>
        <w:pStyle w:val="20"/>
        <w:numPr>
          <w:ilvl w:val="0"/>
          <w:numId w:val="3"/>
        </w:numPr>
        <w:shd w:val="clear" w:color="auto" w:fill="auto"/>
        <w:tabs>
          <w:tab w:val="left" w:pos="1373"/>
        </w:tabs>
        <w:snapToGrid w:val="0"/>
        <w:spacing w:before="163" w:beforeLines="50" w:after="0" w:line="300" w:lineRule="auto"/>
        <w:ind w:left="1020"/>
        <w:jc w:val="both"/>
        <w:rPr>
          <w:rFonts w:ascii="Arial" w:hAnsi="Arial" w:eastAsia="宋体" w:cs="Arial"/>
          <w:sz w:val="24"/>
          <w:szCs w:val="24"/>
          <w:lang w:bidi="en-US"/>
        </w:rPr>
      </w:pPr>
      <w:r>
        <w:rPr>
          <w:rFonts w:ascii="Arial" w:hAnsi="Arial" w:eastAsia="宋体" w:cs="Arial"/>
          <w:sz w:val="24"/>
          <w:szCs w:val="24"/>
        </w:rPr>
        <w:t>呼吸频率、模式和深度；</w:t>
      </w:r>
    </w:p>
    <w:p w14:paraId="1D156D4C">
      <w:pPr>
        <w:pStyle w:val="20"/>
        <w:numPr>
          <w:ilvl w:val="0"/>
          <w:numId w:val="3"/>
        </w:numPr>
        <w:shd w:val="clear" w:color="auto" w:fill="auto"/>
        <w:tabs>
          <w:tab w:val="left" w:pos="1373"/>
        </w:tabs>
        <w:snapToGrid w:val="0"/>
        <w:spacing w:before="163" w:beforeLines="50" w:after="0" w:line="300" w:lineRule="auto"/>
        <w:ind w:left="1020"/>
        <w:jc w:val="both"/>
        <w:rPr>
          <w:rFonts w:ascii="Arial" w:hAnsi="Arial" w:eastAsia="宋体" w:cs="Arial"/>
          <w:sz w:val="24"/>
          <w:szCs w:val="24"/>
          <w:lang w:eastAsia="en-US"/>
        </w:rPr>
      </w:pPr>
      <w:r>
        <w:rPr>
          <w:rFonts w:ascii="Arial" w:hAnsi="Arial" w:eastAsia="宋体" w:cs="Arial"/>
          <w:sz w:val="24"/>
          <w:szCs w:val="24"/>
        </w:rPr>
        <w:t>血压；</w:t>
      </w:r>
    </w:p>
    <w:p w14:paraId="23A5AAFC">
      <w:pPr>
        <w:pStyle w:val="20"/>
        <w:numPr>
          <w:ilvl w:val="0"/>
          <w:numId w:val="3"/>
        </w:numPr>
        <w:shd w:val="clear" w:color="auto" w:fill="auto"/>
        <w:tabs>
          <w:tab w:val="left" w:pos="1373"/>
        </w:tabs>
        <w:snapToGrid w:val="0"/>
        <w:spacing w:before="163" w:beforeLines="50" w:after="0" w:line="300" w:lineRule="auto"/>
        <w:jc w:val="both"/>
        <w:rPr>
          <w:rFonts w:ascii="Arial" w:hAnsi="Arial" w:eastAsia="宋体" w:cs="Arial"/>
          <w:sz w:val="24"/>
          <w:szCs w:val="24"/>
        </w:rPr>
      </w:pPr>
      <w:r>
        <w:rPr>
          <w:rFonts w:ascii="Arial" w:hAnsi="Arial" w:eastAsia="宋体" w:cs="Arial"/>
          <w:sz w:val="24"/>
          <w:szCs w:val="24"/>
        </w:rPr>
        <w:t>心音和</w:t>
      </w:r>
      <w:r>
        <w:rPr>
          <w:rFonts w:hint="eastAsia" w:ascii="Arial" w:hAnsi="Arial" w:eastAsia="宋体" w:cs="Arial"/>
          <w:sz w:val="24"/>
          <w:szCs w:val="24"/>
        </w:rPr>
        <w:t>脉搏</w:t>
      </w:r>
      <w:r>
        <w:rPr>
          <w:rFonts w:ascii="Arial" w:hAnsi="Arial" w:eastAsia="宋体" w:cs="Arial"/>
          <w:sz w:val="24"/>
          <w:szCs w:val="24"/>
        </w:rPr>
        <w:t>特点；</w:t>
      </w:r>
    </w:p>
    <w:p w14:paraId="182673F4">
      <w:pPr>
        <w:pStyle w:val="20"/>
        <w:numPr>
          <w:ilvl w:val="0"/>
          <w:numId w:val="3"/>
        </w:numPr>
        <w:shd w:val="clear" w:color="auto" w:fill="auto"/>
        <w:tabs>
          <w:tab w:val="left" w:pos="1373"/>
        </w:tabs>
        <w:snapToGrid w:val="0"/>
        <w:spacing w:before="163" w:beforeLines="50" w:after="0" w:line="300" w:lineRule="auto"/>
        <w:ind w:left="1020"/>
        <w:jc w:val="both"/>
        <w:rPr>
          <w:rFonts w:ascii="Arial" w:hAnsi="Arial" w:eastAsia="宋体" w:cs="Arial"/>
          <w:sz w:val="24"/>
          <w:szCs w:val="24"/>
        </w:rPr>
      </w:pPr>
      <w:r>
        <w:rPr>
          <w:rFonts w:ascii="Arial" w:hAnsi="Arial" w:eastAsia="宋体" w:cs="Arial"/>
          <w:sz w:val="24"/>
          <w:szCs w:val="24"/>
        </w:rPr>
        <w:t>静息和</w:t>
      </w:r>
      <w:r>
        <w:rPr>
          <w:rFonts w:hint="eastAsia" w:ascii="Arial" w:hAnsi="Arial" w:eastAsia="宋体" w:cs="Arial"/>
          <w:sz w:val="24"/>
          <w:szCs w:val="24"/>
        </w:rPr>
        <w:t>运动</w:t>
      </w:r>
      <w:r>
        <w:rPr>
          <w:rFonts w:ascii="Arial" w:hAnsi="Arial" w:eastAsia="宋体" w:cs="Arial"/>
          <w:sz w:val="24"/>
          <w:szCs w:val="24"/>
        </w:rPr>
        <w:t>时的粘膜颜色；</w:t>
      </w:r>
    </w:p>
    <w:p w14:paraId="7F5ED8E8">
      <w:pPr>
        <w:pStyle w:val="20"/>
        <w:numPr>
          <w:ilvl w:val="0"/>
          <w:numId w:val="3"/>
        </w:numPr>
        <w:shd w:val="clear" w:color="auto" w:fill="auto"/>
        <w:tabs>
          <w:tab w:val="left" w:pos="1373"/>
        </w:tabs>
        <w:snapToGrid w:val="0"/>
        <w:spacing w:before="163" w:beforeLines="50" w:after="0" w:line="300" w:lineRule="auto"/>
        <w:ind w:left="1020"/>
        <w:jc w:val="both"/>
        <w:rPr>
          <w:rFonts w:ascii="Arial" w:hAnsi="Arial" w:eastAsia="宋体" w:cs="Arial"/>
          <w:sz w:val="24"/>
          <w:szCs w:val="24"/>
          <w:lang w:eastAsia="en-US"/>
        </w:rPr>
      </w:pPr>
      <w:r>
        <w:rPr>
          <w:rFonts w:ascii="Arial" w:hAnsi="Arial" w:eastAsia="宋体" w:cs="Arial"/>
          <w:sz w:val="24"/>
          <w:szCs w:val="24"/>
        </w:rPr>
        <w:t>态度；</w:t>
      </w:r>
    </w:p>
    <w:p w14:paraId="1FDBDE9E">
      <w:pPr>
        <w:pStyle w:val="20"/>
        <w:numPr>
          <w:ilvl w:val="0"/>
          <w:numId w:val="3"/>
        </w:numPr>
        <w:shd w:val="clear" w:color="auto" w:fill="auto"/>
        <w:tabs>
          <w:tab w:val="left" w:pos="1373"/>
        </w:tabs>
        <w:snapToGrid w:val="0"/>
        <w:spacing w:before="163" w:beforeLines="50" w:after="0" w:line="300" w:lineRule="auto"/>
        <w:ind w:left="1020"/>
        <w:jc w:val="both"/>
        <w:rPr>
          <w:rFonts w:ascii="Arial" w:hAnsi="Arial" w:eastAsia="宋体" w:cs="Arial"/>
          <w:sz w:val="24"/>
          <w:szCs w:val="24"/>
        </w:rPr>
      </w:pPr>
      <w:r>
        <w:rPr>
          <w:rFonts w:ascii="Arial" w:hAnsi="Arial" w:eastAsia="宋体" w:cs="Arial"/>
          <w:sz w:val="24"/>
          <w:szCs w:val="24"/>
        </w:rPr>
        <w:t>心理状态；</w:t>
      </w:r>
    </w:p>
    <w:p w14:paraId="2F909FB0">
      <w:pPr>
        <w:pStyle w:val="20"/>
        <w:numPr>
          <w:ilvl w:val="0"/>
          <w:numId w:val="3"/>
        </w:numPr>
        <w:shd w:val="clear" w:color="auto" w:fill="auto"/>
        <w:tabs>
          <w:tab w:val="left" w:pos="1373"/>
        </w:tabs>
        <w:snapToGrid w:val="0"/>
        <w:spacing w:before="163" w:beforeLines="50" w:after="0" w:line="300" w:lineRule="auto"/>
        <w:ind w:left="1020"/>
        <w:jc w:val="both"/>
        <w:rPr>
          <w:rFonts w:ascii="Arial" w:hAnsi="Arial" w:eastAsia="宋体" w:cs="Arial"/>
          <w:sz w:val="24"/>
          <w:szCs w:val="24"/>
        </w:rPr>
      </w:pPr>
      <w:r>
        <w:rPr>
          <w:rFonts w:ascii="Arial" w:hAnsi="Arial" w:eastAsia="宋体" w:cs="Arial"/>
          <w:sz w:val="24"/>
          <w:szCs w:val="24"/>
        </w:rPr>
        <w:t>步态；以及</w:t>
      </w:r>
    </w:p>
    <w:p w14:paraId="64B9DBA4">
      <w:pPr>
        <w:pStyle w:val="20"/>
        <w:numPr>
          <w:ilvl w:val="0"/>
          <w:numId w:val="3"/>
        </w:numPr>
        <w:shd w:val="clear" w:color="auto" w:fill="auto"/>
        <w:tabs>
          <w:tab w:val="left" w:pos="1373"/>
        </w:tabs>
        <w:snapToGrid w:val="0"/>
        <w:spacing w:before="163" w:beforeLines="50" w:after="0" w:line="300" w:lineRule="auto"/>
        <w:ind w:left="1020"/>
        <w:jc w:val="both"/>
        <w:rPr>
          <w:rFonts w:ascii="Arial" w:hAnsi="Arial" w:eastAsia="宋体" w:cs="Arial"/>
          <w:sz w:val="24"/>
          <w:szCs w:val="24"/>
        </w:rPr>
      </w:pPr>
      <w:r>
        <w:rPr>
          <w:rFonts w:ascii="Arial" w:hAnsi="Arial" w:eastAsia="宋体" w:cs="Arial"/>
          <w:sz w:val="24"/>
          <w:szCs w:val="24"/>
        </w:rPr>
        <w:t>有无腹胀、膀胱胀痛或肠胀气。</w:t>
      </w:r>
    </w:p>
    <w:p w14:paraId="6B97305C">
      <w:pPr>
        <w:pStyle w:val="20"/>
        <w:shd w:val="clear" w:color="auto" w:fill="auto"/>
        <w:snapToGrid w:val="0"/>
        <w:spacing w:before="163" w:beforeLines="50" w:after="0" w:line="300" w:lineRule="auto"/>
        <w:ind w:left="660" w:firstLine="0"/>
        <w:jc w:val="both"/>
        <w:rPr>
          <w:rFonts w:ascii="Arial" w:hAnsi="Arial" w:eastAsia="宋体" w:cs="Arial"/>
          <w:sz w:val="24"/>
          <w:szCs w:val="24"/>
        </w:rPr>
      </w:pPr>
      <w:r>
        <w:rPr>
          <w:rFonts w:ascii="Arial" w:hAnsi="Arial" w:eastAsia="宋体" w:cs="Arial"/>
          <w:sz w:val="24"/>
          <w:szCs w:val="24"/>
        </w:rPr>
        <w:t>为更好地帮助FDA评估供试品的安全性，我们建议您遵循现行的兽医记录保存标准，</w:t>
      </w:r>
      <w:r>
        <w:rPr>
          <w:rFonts w:hint="eastAsia" w:ascii="Arial" w:hAnsi="Arial" w:eastAsia="宋体" w:cs="Arial"/>
          <w:sz w:val="24"/>
          <w:szCs w:val="24"/>
        </w:rPr>
        <w:t>例</w:t>
      </w:r>
      <w:r>
        <w:rPr>
          <w:rFonts w:ascii="Arial" w:hAnsi="Arial" w:eastAsia="宋体" w:cs="Arial"/>
          <w:sz w:val="24"/>
          <w:szCs w:val="24"/>
        </w:rPr>
        <w:t>如主/客观评价和计划（SOAP）格式。此外，所有关键的支持人员均应能够随时获取上述记录以优化数据录入。</w:t>
      </w:r>
    </w:p>
    <w:p w14:paraId="42E9C149">
      <w:pPr>
        <w:pStyle w:val="20"/>
        <w:shd w:val="clear" w:color="auto" w:fill="auto"/>
        <w:snapToGrid w:val="0"/>
        <w:spacing w:before="163" w:beforeLines="50" w:after="0" w:line="300" w:lineRule="auto"/>
        <w:ind w:left="720" w:firstLine="0"/>
        <w:jc w:val="both"/>
        <w:rPr>
          <w:rFonts w:ascii="Arial" w:hAnsi="Arial" w:eastAsia="宋体" w:cs="Arial"/>
          <w:sz w:val="24"/>
          <w:szCs w:val="24"/>
        </w:rPr>
      </w:pPr>
      <w:r>
        <w:rPr>
          <w:rFonts w:ascii="Arial" w:hAnsi="Arial" w:eastAsia="宋体" w:cs="Arial"/>
          <w:sz w:val="24"/>
          <w:szCs w:val="24"/>
        </w:rPr>
        <w:t>关于动物研究监测的具体建议见下文。</w:t>
      </w:r>
    </w:p>
    <w:p w14:paraId="2E68831E">
      <w:pPr>
        <w:pStyle w:val="38"/>
        <w:numPr>
          <w:ilvl w:val="0"/>
          <w:numId w:val="9"/>
        </w:numPr>
        <w:snapToGrid w:val="0"/>
        <w:spacing w:before="163" w:beforeLines="50" w:after="0" w:line="300" w:lineRule="auto"/>
        <w:ind w:left="1134" w:firstLine="0"/>
        <w:rPr>
          <w:rFonts w:ascii="Arial" w:hAnsi="Arial" w:eastAsia="宋体" w:cs="Arial"/>
          <w:sz w:val="24"/>
          <w:szCs w:val="24"/>
          <w:lang w:eastAsia="en-US" w:bidi="en-US"/>
        </w:rPr>
      </w:pPr>
      <w:bookmarkStart w:id="105" w:name="_Toc495870776"/>
      <w:bookmarkStart w:id="106" w:name="bookmark55"/>
      <w:bookmarkStart w:id="107" w:name="_Toc496541655"/>
      <w:r>
        <w:rPr>
          <w:rFonts w:ascii="Arial" w:hAnsi="Arial" w:eastAsia="宋体" w:cs="Arial"/>
          <w:sz w:val="24"/>
          <w:szCs w:val="24"/>
        </w:rPr>
        <w:t>术中监测</w:t>
      </w:r>
      <w:bookmarkEnd w:id="105"/>
      <w:bookmarkEnd w:id="106"/>
      <w:bookmarkEnd w:id="107"/>
    </w:p>
    <w:p w14:paraId="40168597">
      <w:pPr>
        <w:pStyle w:val="20"/>
        <w:shd w:val="clear" w:color="auto" w:fill="auto"/>
        <w:tabs>
          <w:tab w:val="left" w:pos="1190"/>
        </w:tabs>
        <w:snapToGrid w:val="0"/>
        <w:spacing w:before="163" w:beforeLines="50" w:after="0" w:line="300" w:lineRule="auto"/>
        <w:ind w:left="1147" w:leftChars="478" w:firstLine="0"/>
        <w:jc w:val="both"/>
        <w:rPr>
          <w:rFonts w:ascii="Arial" w:hAnsi="Arial" w:eastAsia="宋体" w:cs="Arial"/>
          <w:sz w:val="24"/>
          <w:szCs w:val="24"/>
        </w:rPr>
      </w:pPr>
      <w:r>
        <w:rPr>
          <w:rFonts w:ascii="Arial" w:hAnsi="Arial" w:eastAsia="宋体" w:cs="Arial"/>
          <w:sz w:val="24"/>
          <w:szCs w:val="24"/>
        </w:rPr>
        <w:t>只有良好的外科手术不足以保证医疗器械植入复杂手术的结果能够成功。对心率、心电图、血压和血气进行术中和术后监测是取得阳性结果不可或缺的因素。</w:t>
      </w:r>
    </w:p>
    <w:p w14:paraId="6A17C4E7">
      <w:pPr>
        <w:widowControl/>
        <w:rPr>
          <w:rFonts w:ascii="Arial" w:hAnsi="Arial" w:eastAsia="宋体" w:cs="Arial"/>
          <w:b/>
          <w:bCs/>
          <w:color w:val="auto"/>
          <w:kern w:val="2"/>
          <w:lang w:eastAsia="zh-CN" w:bidi="ar-SA"/>
        </w:rPr>
      </w:pPr>
      <w:bookmarkStart w:id="108" w:name="_Toc495870777"/>
      <w:bookmarkStart w:id="109" w:name="bookmark56"/>
      <w:r>
        <w:rPr>
          <w:rFonts w:ascii="Arial" w:hAnsi="Arial" w:eastAsia="宋体" w:cs="Arial"/>
          <w:lang w:eastAsia="zh-CN"/>
        </w:rPr>
        <w:br w:type="page"/>
      </w:r>
    </w:p>
    <w:p w14:paraId="5A675817">
      <w:pPr>
        <w:pStyle w:val="38"/>
        <w:numPr>
          <w:ilvl w:val="0"/>
          <w:numId w:val="9"/>
        </w:numPr>
        <w:snapToGrid w:val="0"/>
        <w:spacing w:before="163" w:beforeLines="50" w:after="0" w:line="360" w:lineRule="auto"/>
        <w:ind w:left="1134" w:firstLine="0"/>
        <w:rPr>
          <w:rFonts w:ascii="Arial" w:hAnsi="Arial" w:eastAsia="宋体" w:cs="Arial"/>
          <w:sz w:val="24"/>
          <w:szCs w:val="24"/>
        </w:rPr>
      </w:pPr>
      <w:bookmarkStart w:id="110" w:name="_Toc496541656"/>
      <w:r>
        <w:rPr>
          <w:rFonts w:ascii="Arial" w:hAnsi="Arial" w:eastAsia="宋体" w:cs="Arial"/>
          <w:sz w:val="24"/>
          <w:szCs w:val="24"/>
        </w:rPr>
        <w:t>急性研究</w:t>
      </w:r>
      <w:bookmarkEnd w:id="108"/>
      <w:bookmarkEnd w:id="109"/>
      <w:bookmarkEnd w:id="110"/>
    </w:p>
    <w:p w14:paraId="06AC7691">
      <w:pPr>
        <w:pStyle w:val="20"/>
        <w:shd w:val="clear" w:color="auto" w:fill="auto"/>
        <w:tabs>
          <w:tab w:val="left" w:pos="1190"/>
        </w:tabs>
        <w:snapToGrid w:val="0"/>
        <w:spacing w:before="163" w:beforeLines="50" w:after="0" w:line="360" w:lineRule="auto"/>
        <w:ind w:left="1147" w:leftChars="478" w:firstLine="0"/>
        <w:jc w:val="both"/>
        <w:rPr>
          <w:rFonts w:ascii="Arial" w:hAnsi="Arial" w:eastAsia="宋体" w:cs="Arial"/>
          <w:sz w:val="24"/>
          <w:szCs w:val="24"/>
        </w:rPr>
      </w:pPr>
      <w:r>
        <w:rPr>
          <w:rFonts w:ascii="Arial" w:hAnsi="Arial" w:eastAsia="宋体" w:cs="Arial"/>
          <w:sz w:val="24"/>
          <w:szCs w:val="24"/>
        </w:rPr>
        <w:t>如果是急性研究，且与器械有关的趋势在长期观察和采集期间是</w:t>
      </w:r>
      <w:r>
        <w:rPr>
          <w:rFonts w:hint="eastAsia" w:ascii="Arial" w:hAnsi="Arial" w:eastAsia="宋体" w:cs="Arial"/>
          <w:sz w:val="24"/>
          <w:szCs w:val="24"/>
        </w:rPr>
        <w:t>短暂性</w:t>
      </w:r>
      <w:r>
        <w:rPr>
          <w:rFonts w:ascii="Arial" w:hAnsi="Arial" w:eastAsia="宋体" w:cs="Arial"/>
          <w:sz w:val="24"/>
          <w:szCs w:val="24"/>
        </w:rPr>
        <w:t>的，我们建议您在手术记录中跟踪记录关键体征，比如心率、呼吸频率、血氧饱和度和血压。这些信息应当与插入、植入、安放或使用器械的时间选取，对照品或者其他器械相关材料有关，并在麻醉和/或手术记录中注明。</w:t>
      </w:r>
    </w:p>
    <w:p w14:paraId="06920042">
      <w:pPr>
        <w:pStyle w:val="38"/>
        <w:numPr>
          <w:ilvl w:val="0"/>
          <w:numId w:val="9"/>
        </w:numPr>
        <w:snapToGrid w:val="0"/>
        <w:spacing w:before="163" w:beforeLines="50" w:after="0" w:line="360" w:lineRule="auto"/>
        <w:ind w:left="1134" w:firstLine="0"/>
        <w:rPr>
          <w:rFonts w:ascii="Arial" w:hAnsi="Arial" w:eastAsia="宋体" w:cs="Arial"/>
          <w:sz w:val="24"/>
          <w:szCs w:val="24"/>
        </w:rPr>
      </w:pPr>
      <w:bookmarkStart w:id="111" w:name="_Toc495870778"/>
      <w:bookmarkStart w:id="112" w:name="bookmark57"/>
      <w:bookmarkStart w:id="113" w:name="_Toc496541657"/>
      <w:r>
        <w:rPr>
          <w:rFonts w:ascii="Arial" w:hAnsi="Arial" w:eastAsia="宋体" w:cs="Arial"/>
          <w:sz w:val="24"/>
          <w:szCs w:val="24"/>
        </w:rPr>
        <w:t>慢性研究</w:t>
      </w:r>
      <w:bookmarkEnd w:id="111"/>
      <w:bookmarkEnd w:id="112"/>
      <w:bookmarkEnd w:id="113"/>
    </w:p>
    <w:p w14:paraId="236D18D6">
      <w:pPr>
        <w:pStyle w:val="36"/>
        <w:numPr>
          <w:ilvl w:val="0"/>
          <w:numId w:val="10"/>
        </w:numPr>
        <w:snapToGrid w:val="0"/>
        <w:spacing w:before="163" w:beforeLines="50" w:line="360" w:lineRule="auto"/>
        <w:ind w:left="1979" w:leftChars="707" w:hanging="282" w:hangingChars="117"/>
        <w:jc w:val="both"/>
        <w:rPr>
          <w:rFonts w:ascii="Arial" w:hAnsi="Arial" w:eastAsia="宋体" w:cs="Arial"/>
          <w:sz w:val="24"/>
          <w:szCs w:val="24"/>
        </w:rPr>
      </w:pPr>
      <w:bookmarkStart w:id="114" w:name="_Toc495870779"/>
      <w:bookmarkStart w:id="115" w:name="_Toc496541658"/>
      <w:r>
        <w:rPr>
          <w:rFonts w:ascii="Arial" w:hAnsi="Arial" w:eastAsia="宋体" w:cs="Arial"/>
          <w:sz w:val="24"/>
          <w:szCs w:val="24"/>
        </w:rPr>
        <w:t>术后阶段</w:t>
      </w:r>
      <w:bookmarkEnd w:id="114"/>
      <w:bookmarkEnd w:id="115"/>
    </w:p>
    <w:p w14:paraId="50858039">
      <w:pPr>
        <w:pStyle w:val="20"/>
        <w:shd w:val="clear" w:color="auto" w:fill="auto"/>
        <w:snapToGrid w:val="0"/>
        <w:spacing w:before="163" w:beforeLines="50" w:after="0" w:line="360" w:lineRule="auto"/>
        <w:ind w:left="1701" w:firstLine="0"/>
        <w:jc w:val="both"/>
        <w:rPr>
          <w:rFonts w:ascii="Arial" w:hAnsi="Arial" w:eastAsia="宋体" w:cs="Arial"/>
          <w:sz w:val="24"/>
          <w:szCs w:val="24"/>
        </w:rPr>
      </w:pPr>
      <w:r>
        <w:rPr>
          <w:rFonts w:ascii="Arial" w:hAnsi="Arial" w:eastAsia="宋体" w:cs="Arial"/>
          <w:sz w:val="24"/>
          <w:szCs w:val="24"/>
        </w:rPr>
        <w:t>FDA建议您遵循现行实验动物护理标准，确保研究者管理正常体温，减轻疼痛和感染，提供足量的液体和电解质。</w:t>
      </w:r>
      <w:r>
        <w:rPr>
          <w:rFonts w:ascii="Arial" w:hAnsi="Arial" w:eastAsia="宋体" w:cs="Arial"/>
          <w:sz w:val="24"/>
          <w:szCs w:val="24"/>
          <w:vertAlign w:val="superscript"/>
        </w:rPr>
        <w:t>4, 30-34</w:t>
      </w:r>
      <w:r>
        <w:rPr>
          <w:rFonts w:ascii="Arial" w:hAnsi="Arial" w:eastAsia="宋体" w:cs="Arial"/>
          <w:sz w:val="24"/>
          <w:szCs w:val="24"/>
        </w:rPr>
        <w:t>您应当采集质量与人道护理和恢复领域相近的生理信息。此外，您应当制定监测疼痛和体温的标准评估模式来控制应激变量，并根据中期结果指导是否额外给予保暖和止痛药。</w:t>
      </w:r>
    </w:p>
    <w:p w14:paraId="31793692">
      <w:pPr>
        <w:pStyle w:val="36"/>
        <w:numPr>
          <w:ilvl w:val="0"/>
          <w:numId w:val="10"/>
        </w:numPr>
        <w:snapToGrid w:val="0"/>
        <w:spacing w:before="163" w:beforeLines="50" w:line="360" w:lineRule="auto"/>
        <w:ind w:left="1979" w:leftChars="707" w:hanging="282" w:hangingChars="117"/>
        <w:jc w:val="both"/>
        <w:rPr>
          <w:rFonts w:ascii="Arial" w:hAnsi="Arial" w:eastAsia="宋体" w:cs="Arial"/>
          <w:sz w:val="24"/>
          <w:szCs w:val="24"/>
        </w:rPr>
      </w:pPr>
      <w:bookmarkStart w:id="116" w:name="_Toc495870780"/>
      <w:bookmarkStart w:id="117" w:name="_Toc496541659"/>
      <w:r>
        <w:rPr>
          <w:rFonts w:ascii="Arial" w:hAnsi="Arial" w:eastAsia="宋体" w:cs="Arial"/>
          <w:sz w:val="24"/>
          <w:szCs w:val="24"/>
        </w:rPr>
        <w:t>中期观察</w:t>
      </w:r>
      <w:bookmarkEnd w:id="116"/>
      <w:bookmarkEnd w:id="117"/>
    </w:p>
    <w:p w14:paraId="26772CF6">
      <w:pPr>
        <w:pStyle w:val="20"/>
        <w:shd w:val="clear" w:color="auto" w:fill="auto"/>
        <w:snapToGrid w:val="0"/>
        <w:spacing w:before="163" w:beforeLines="50" w:after="0" w:line="360" w:lineRule="auto"/>
        <w:ind w:left="1701" w:firstLine="0"/>
        <w:jc w:val="both"/>
        <w:rPr>
          <w:rFonts w:ascii="Arial" w:hAnsi="Arial" w:eastAsia="宋体" w:cs="Arial"/>
          <w:sz w:val="24"/>
          <w:szCs w:val="24"/>
        </w:rPr>
      </w:pPr>
      <w:r>
        <w:rPr>
          <w:rFonts w:ascii="Arial" w:hAnsi="Arial" w:eastAsia="宋体" w:cs="Arial"/>
          <w:sz w:val="24"/>
          <w:szCs w:val="24"/>
        </w:rPr>
        <w:t>在动物已从初次手术中恢复，但仍需监测有无器械相关风险期间，FDA建议您在喂食期间至少每天监测2次，确保能在活跃时观察到。我们还建议您咨询兽医，制定体重监测计划。您应当考虑在动物定期观察中纳入体况评分作为辅助。</w:t>
      </w:r>
      <w:r>
        <w:rPr>
          <w:rFonts w:ascii="Arial" w:hAnsi="Arial" w:eastAsia="宋体" w:cs="Arial"/>
          <w:sz w:val="24"/>
          <w:szCs w:val="24"/>
          <w:vertAlign w:val="superscript"/>
        </w:rPr>
        <w:t>7,35-38</w:t>
      </w:r>
    </w:p>
    <w:p w14:paraId="087A83B3">
      <w:pPr>
        <w:pStyle w:val="20"/>
        <w:shd w:val="clear" w:color="auto" w:fill="auto"/>
        <w:snapToGrid w:val="0"/>
        <w:spacing w:before="163" w:beforeLines="50" w:after="0" w:line="360" w:lineRule="auto"/>
        <w:ind w:left="1701" w:firstLine="0"/>
        <w:jc w:val="both"/>
        <w:rPr>
          <w:rFonts w:ascii="Arial" w:hAnsi="Arial" w:eastAsia="宋体" w:cs="Arial"/>
          <w:sz w:val="24"/>
          <w:szCs w:val="24"/>
        </w:rPr>
      </w:pPr>
      <w:r>
        <w:rPr>
          <w:rFonts w:ascii="Arial" w:hAnsi="Arial" w:eastAsia="宋体" w:cs="Arial"/>
          <w:sz w:val="24"/>
          <w:szCs w:val="24"/>
        </w:rPr>
        <w:t>如果您的研究涉及采集临床化学数据或更高级的诊断学数据，我们建议您制定标准操作规程，允许在需要时使用对器械无干扰的化学</w:t>
      </w:r>
      <w:r>
        <w:rPr>
          <w:rFonts w:hint="eastAsia" w:ascii="Arial" w:hAnsi="Arial" w:eastAsia="宋体" w:cs="Arial"/>
          <w:sz w:val="24"/>
          <w:szCs w:val="24"/>
        </w:rPr>
        <w:t>抑制方法</w:t>
      </w:r>
      <w:r>
        <w:rPr>
          <w:rFonts w:ascii="Arial" w:hAnsi="Arial" w:eastAsia="宋体" w:cs="Arial"/>
          <w:sz w:val="24"/>
          <w:szCs w:val="24"/>
        </w:rPr>
        <w:t>。根据我们的经验，某些动物（</w:t>
      </w:r>
      <w:r>
        <w:rPr>
          <w:rFonts w:hint="eastAsia" w:ascii="Arial" w:hAnsi="Arial" w:eastAsia="宋体" w:cs="Arial"/>
          <w:sz w:val="24"/>
          <w:szCs w:val="24"/>
        </w:rPr>
        <w:t>例</w:t>
      </w:r>
      <w:r>
        <w:rPr>
          <w:rFonts w:ascii="Arial" w:hAnsi="Arial" w:eastAsia="宋体" w:cs="Arial"/>
          <w:sz w:val="24"/>
          <w:szCs w:val="24"/>
        </w:rPr>
        <w:t>如犬和绵羊）可能会通过自身调节来适应这些活动，但猪基本不会。</w:t>
      </w:r>
    </w:p>
    <w:p w14:paraId="4B6F7CD4">
      <w:pPr>
        <w:pStyle w:val="36"/>
        <w:numPr>
          <w:ilvl w:val="0"/>
          <w:numId w:val="10"/>
        </w:numPr>
        <w:snapToGrid w:val="0"/>
        <w:spacing w:before="163" w:beforeLines="50" w:line="360" w:lineRule="auto"/>
        <w:ind w:left="1979" w:leftChars="707" w:hanging="282" w:hangingChars="117"/>
        <w:jc w:val="both"/>
        <w:rPr>
          <w:rFonts w:ascii="Arial" w:hAnsi="Arial" w:eastAsia="宋体" w:cs="Arial"/>
          <w:sz w:val="24"/>
          <w:szCs w:val="24"/>
          <w:lang w:eastAsia="en-US"/>
        </w:rPr>
      </w:pPr>
      <w:bookmarkStart w:id="118" w:name="_Toc495870781"/>
      <w:bookmarkStart w:id="119" w:name="_Toc496541660"/>
      <w:r>
        <w:rPr>
          <w:rFonts w:ascii="Arial" w:hAnsi="Arial" w:eastAsia="宋体" w:cs="Arial"/>
          <w:sz w:val="24"/>
          <w:szCs w:val="24"/>
        </w:rPr>
        <w:t>终末研究阶段</w:t>
      </w:r>
      <w:bookmarkEnd w:id="118"/>
      <w:bookmarkEnd w:id="119"/>
    </w:p>
    <w:p w14:paraId="0785DD0C">
      <w:pPr>
        <w:pStyle w:val="20"/>
        <w:shd w:val="clear" w:color="auto" w:fill="auto"/>
        <w:snapToGrid w:val="0"/>
        <w:spacing w:before="163" w:beforeLines="50" w:after="0" w:line="360" w:lineRule="auto"/>
        <w:ind w:left="1741" w:firstLine="0"/>
        <w:jc w:val="both"/>
        <w:rPr>
          <w:rFonts w:ascii="Arial" w:hAnsi="Arial" w:eastAsia="宋体" w:cs="Arial"/>
          <w:sz w:val="24"/>
          <w:szCs w:val="24"/>
        </w:rPr>
      </w:pPr>
      <w:r>
        <w:rPr>
          <w:rFonts w:ascii="Arial" w:hAnsi="Arial" w:eastAsia="宋体" w:cs="Arial"/>
          <w:sz w:val="24"/>
          <w:szCs w:val="24"/>
        </w:rPr>
        <w:t>FDA建议研究方案要包括终末研究的详细信息以及组织检查、采集和处理的所有方法学。方案的该部分应包括下述信息：</w:t>
      </w:r>
    </w:p>
    <w:p w14:paraId="500F9BB0">
      <w:pPr>
        <w:widowControl/>
        <w:rPr>
          <w:rFonts w:ascii="Arial" w:hAnsi="Arial" w:eastAsia="宋体" w:cs="Arial"/>
          <w:color w:val="auto"/>
          <w:kern w:val="2"/>
          <w:lang w:eastAsia="zh-CN" w:bidi="ar-SA"/>
        </w:rPr>
      </w:pPr>
      <w:r>
        <w:rPr>
          <w:rFonts w:ascii="Arial" w:hAnsi="Arial" w:eastAsia="宋体" w:cs="Arial"/>
          <w:lang w:eastAsia="zh-CN"/>
        </w:rPr>
        <w:br w:type="page"/>
      </w:r>
    </w:p>
    <w:p w14:paraId="4F162602">
      <w:pPr>
        <w:pStyle w:val="20"/>
        <w:numPr>
          <w:ilvl w:val="0"/>
          <w:numId w:val="3"/>
        </w:numPr>
        <w:shd w:val="clear" w:color="auto" w:fill="auto"/>
        <w:tabs>
          <w:tab w:val="left" w:pos="2456"/>
        </w:tabs>
        <w:snapToGrid w:val="0"/>
        <w:spacing w:before="163" w:beforeLines="50" w:after="0" w:line="300" w:lineRule="auto"/>
        <w:ind w:left="2098"/>
        <w:jc w:val="both"/>
        <w:rPr>
          <w:rFonts w:ascii="Arial" w:hAnsi="Arial" w:eastAsia="宋体" w:cs="Arial"/>
          <w:sz w:val="24"/>
          <w:szCs w:val="24"/>
          <w:lang w:eastAsia="en-US"/>
        </w:rPr>
      </w:pPr>
      <w:r>
        <w:rPr>
          <w:rFonts w:ascii="Arial" w:hAnsi="Arial" w:eastAsia="宋体" w:cs="Arial"/>
          <w:sz w:val="24"/>
          <w:szCs w:val="24"/>
        </w:rPr>
        <w:t>终末检查的方法；</w:t>
      </w:r>
    </w:p>
    <w:p w14:paraId="00195074">
      <w:pPr>
        <w:pStyle w:val="20"/>
        <w:numPr>
          <w:ilvl w:val="0"/>
          <w:numId w:val="3"/>
        </w:numPr>
        <w:shd w:val="clear" w:color="auto" w:fill="auto"/>
        <w:tabs>
          <w:tab w:val="left" w:pos="2456"/>
        </w:tabs>
        <w:snapToGrid w:val="0"/>
        <w:spacing w:before="163" w:beforeLines="50" w:after="0" w:line="300" w:lineRule="auto"/>
        <w:ind w:left="2098"/>
        <w:jc w:val="both"/>
        <w:rPr>
          <w:rFonts w:ascii="Arial" w:hAnsi="Arial" w:eastAsia="宋体" w:cs="Arial"/>
          <w:sz w:val="24"/>
          <w:szCs w:val="24"/>
        </w:rPr>
      </w:pPr>
      <w:r>
        <w:rPr>
          <w:rFonts w:ascii="Arial" w:hAnsi="Arial" w:eastAsia="宋体" w:cs="Arial"/>
          <w:sz w:val="24"/>
          <w:szCs w:val="24"/>
        </w:rPr>
        <w:t>（如适用）完成活体射线分析和/或</w:t>
      </w:r>
      <w:r>
        <w:rPr>
          <w:rFonts w:hint="eastAsia" w:ascii="Arial" w:hAnsi="Arial" w:eastAsia="宋体" w:cs="Arial"/>
          <w:sz w:val="24"/>
          <w:szCs w:val="24"/>
        </w:rPr>
        <w:t>成像</w:t>
      </w:r>
      <w:r>
        <w:rPr>
          <w:rFonts w:ascii="Arial" w:hAnsi="Arial" w:eastAsia="宋体" w:cs="Arial"/>
          <w:sz w:val="24"/>
          <w:szCs w:val="24"/>
        </w:rPr>
        <w:t>的声明；以及</w:t>
      </w:r>
    </w:p>
    <w:p w14:paraId="28A10BAA">
      <w:pPr>
        <w:pStyle w:val="20"/>
        <w:numPr>
          <w:ilvl w:val="0"/>
          <w:numId w:val="3"/>
        </w:numPr>
        <w:shd w:val="clear" w:color="auto" w:fill="auto"/>
        <w:tabs>
          <w:tab w:val="left" w:pos="2456"/>
        </w:tabs>
        <w:snapToGrid w:val="0"/>
        <w:spacing w:before="163" w:beforeLines="50" w:after="0" w:line="300" w:lineRule="auto"/>
        <w:ind w:left="2100"/>
        <w:jc w:val="both"/>
        <w:rPr>
          <w:rFonts w:ascii="Arial" w:hAnsi="Arial" w:eastAsia="宋体" w:cs="Arial"/>
          <w:sz w:val="24"/>
          <w:szCs w:val="24"/>
        </w:rPr>
      </w:pPr>
      <w:r>
        <w:rPr>
          <w:rFonts w:ascii="Arial" w:hAnsi="Arial" w:eastAsia="宋体" w:cs="Arial"/>
          <w:sz w:val="24"/>
          <w:szCs w:val="24"/>
        </w:rPr>
        <w:t>制定的终末体重和/或体况评分方法。</w:t>
      </w:r>
    </w:p>
    <w:p w14:paraId="4B687272">
      <w:pPr>
        <w:pStyle w:val="36"/>
        <w:numPr>
          <w:ilvl w:val="0"/>
          <w:numId w:val="10"/>
        </w:numPr>
        <w:snapToGrid w:val="0"/>
        <w:spacing w:before="163" w:beforeLines="50" w:line="300" w:lineRule="auto"/>
        <w:ind w:left="1979" w:leftChars="707" w:hanging="282" w:hangingChars="117"/>
        <w:jc w:val="both"/>
        <w:rPr>
          <w:rFonts w:ascii="Arial" w:hAnsi="Arial" w:eastAsia="宋体" w:cs="Arial"/>
          <w:sz w:val="24"/>
          <w:szCs w:val="24"/>
        </w:rPr>
      </w:pPr>
      <w:bookmarkStart w:id="120" w:name="_Toc496541661"/>
      <w:bookmarkStart w:id="121" w:name="_Toc495870782"/>
      <w:r>
        <w:rPr>
          <w:rFonts w:ascii="Arial" w:hAnsi="Arial" w:eastAsia="宋体" w:cs="Arial"/>
          <w:sz w:val="24"/>
          <w:szCs w:val="24"/>
        </w:rPr>
        <w:t>尸检和死后评价</w:t>
      </w:r>
      <w:bookmarkEnd w:id="120"/>
      <w:bookmarkEnd w:id="121"/>
    </w:p>
    <w:p w14:paraId="21511166">
      <w:pPr>
        <w:pStyle w:val="20"/>
        <w:shd w:val="clear" w:color="auto" w:fill="auto"/>
        <w:snapToGrid w:val="0"/>
        <w:spacing w:before="163" w:beforeLines="50" w:after="0" w:line="300" w:lineRule="auto"/>
        <w:ind w:left="1701" w:firstLine="0"/>
        <w:jc w:val="both"/>
        <w:rPr>
          <w:rFonts w:ascii="Arial" w:hAnsi="Arial" w:eastAsia="宋体" w:cs="Arial"/>
          <w:sz w:val="24"/>
          <w:szCs w:val="24"/>
        </w:rPr>
      </w:pPr>
      <w:r>
        <w:rPr>
          <w:rFonts w:ascii="Arial" w:hAnsi="Arial" w:eastAsia="宋体" w:cs="Arial"/>
          <w:sz w:val="24"/>
          <w:szCs w:val="24"/>
        </w:rPr>
        <w:t>可能会出现临床或亚临床性不良事件；因此，我们建议您在研究中纳入综合性全身尸检，包括组织采集和保存以备处理后进行组织病理学检查，所得信息有助于FDA判定观察到的不良事件是否与器械有关。FDA通常会建议您描述器官切片的原理和过程，以及解剖者的培训情况和经历，以保证采集显微评价用体组织的过程的客观性。您应当声明不良结果是否与器械有关，并提供来自尸检或组织病理学报告以及活体观察的相应证据。如出现意外死亡，您应当提供支持您的死因声明的证据。</w:t>
      </w:r>
    </w:p>
    <w:p w14:paraId="18A9F394">
      <w:pPr>
        <w:pStyle w:val="34"/>
        <w:numPr>
          <w:ilvl w:val="0"/>
          <w:numId w:val="8"/>
        </w:numPr>
        <w:snapToGrid w:val="0"/>
        <w:spacing w:before="163" w:beforeLines="50" w:after="0" w:line="300" w:lineRule="auto"/>
        <w:ind w:left="480" w:firstLine="0"/>
        <w:rPr>
          <w:rFonts w:ascii="Arial" w:hAnsi="Arial" w:eastAsia="宋体" w:cs="Arial"/>
          <w:sz w:val="24"/>
          <w:szCs w:val="24"/>
          <w:lang w:eastAsia="en-US" w:bidi="en-US"/>
        </w:rPr>
      </w:pPr>
      <w:bookmarkStart w:id="122" w:name="_Toc495870783"/>
      <w:bookmarkStart w:id="123" w:name="bookmark58"/>
      <w:bookmarkStart w:id="124" w:name="_Toc496541662"/>
      <w:r>
        <w:rPr>
          <w:rFonts w:ascii="Arial" w:hAnsi="Arial" w:eastAsia="宋体" w:cs="Arial"/>
          <w:sz w:val="24"/>
          <w:szCs w:val="24"/>
        </w:rPr>
        <w:t>死后</w:t>
      </w:r>
      <w:r>
        <w:rPr>
          <w:rFonts w:hint="eastAsia" w:ascii="Arial" w:hAnsi="Arial" w:eastAsia="宋体" w:cs="Arial"/>
          <w:sz w:val="24"/>
          <w:szCs w:val="24"/>
        </w:rPr>
        <w:t>成像</w:t>
      </w:r>
      <w:r>
        <w:rPr>
          <w:rFonts w:ascii="Arial" w:hAnsi="Arial" w:eastAsia="宋体" w:cs="Arial"/>
          <w:sz w:val="24"/>
          <w:szCs w:val="24"/>
        </w:rPr>
        <w:t>和评估方法</w:t>
      </w:r>
      <w:bookmarkEnd w:id="122"/>
      <w:bookmarkEnd w:id="123"/>
      <w:bookmarkEnd w:id="124"/>
    </w:p>
    <w:p w14:paraId="1676EA91">
      <w:pPr>
        <w:pStyle w:val="38"/>
        <w:numPr>
          <w:ilvl w:val="0"/>
          <w:numId w:val="11"/>
        </w:numPr>
        <w:snapToGrid w:val="0"/>
        <w:spacing w:before="163" w:beforeLines="50" w:after="0" w:line="300" w:lineRule="auto"/>
        <w:ind w:left="1418" w:firstLine="0"/>
        <w:rPr>
          <w:rFonts w:ascii="Arial" w:hAnsi="Arial" w:eastAsia="宋体" w:cs="Arial"/>
          <w:sz w:val="24"/>
          <w:szCs w:val="24"/>
        </w:rPr>
      </w:pPr>
      <w:bookmarkStart w:id="125" w:name="_Toc495870784"/>
      <w:bookmarkStart w:id="126" w:name="bookmark59"/>
      <w:bookmarkStart w:id="127" w:name="_Toc496541663"/>
      <w:r>
        <w:rPr>
          <w:rFonts w:ascii="Arial" w:hAnsi="Arial" w:eastAsia="宋体" w:cs="Arial"/>
          <w:sz w:val="24"/>
          <w:szCs w:val="24"/>
        </w:rPr>
        <w:t>外植体成像（即放射</w:t>
      </w:r>
      <w:r>
        <w:rPr>
          <w:rFonts w:hint="eastAsia" w:ascii="Arial" w:hAnsi="Arial" w:eastAsia="宋体" w:cs="Arial"/>
          <w:sz w:val="24"/>
          <w:szCs w:val="24"/>
        </w:rPr>
        <w:t>线照相术、</w:t>
      </w:r>
      <w:r>
        <w:rPr>
          <w:rFonts w:ascii="Arial" w:hAnsi="Arial" w:eastAsia="宋体" w:cs="Arial"/>
          <w:sz w:val="24"/>
          <w:szCs w:val="24"/>
        </w:rPr>
        <w:t>显微CT）</w:t>
      </w:r>
      <w:bookmarkEnd w:id="125"/>
      <w:bookmarkEnd w:id="126"/>
      <w:bookmarkEnd w:id="127"/>
    </w:p>
    <w:p w14:paraId="72A8AA25">
      <w:pPr>
        <w:pStyle w:val="20"/>
        <w:shd w:val="clear" w:color="auto" w:fill="auto"/>
        <w:snapToGrid w:val="0"/>
        <w:spacing w:before="163" w:beforeLines="50" w:after="0" w:line="300" w:lineRule="auto"/>
        <w:ind w:left="1378" w:firstLine="0"/>
        <w:jc w:val="both"/>
        <w:rPr>
          <w:rFonts w:ascii="Arial" w:hAnsi="Arial" w:eastAsia="宋体" w:cs="Arial"/>
          <w:sz w:val="24"/>
          <w:szCs w:val="24"/>
        </w:rPr>
      </w:pPr>
      <w:r>
        <w:rPr>
          <w:rFonts w:ascii="Arial" w:hAnsi="Arial" w:eastAsia="宋体" w:cs="Arial"/>
          <w:sz w:val="24"/>
          <w:szCs w:val="24"/>
        </w:rPr>
        <w:t>在制备器械供组织形态分析之前，您应当考虑器械的结构完整性分析对器械安全性的判定是否有帮助。</w:t>
      </w:r>
    </w:p>
    <w:p w14:paraId="17E54430">
      <w:pPr>
        <w:pStyle w:val="38"/>
        <w:numPr>
          <w:ilvl w:val="0"/>
          <w:numId w:val="11"/>
        </w:numPr>
        <w:snapToGrid w:val="0"/>
        <w:spacing w:before="163" w:beforeLines="50" w:after="0" w:line="300" w:lineRule="auto"/>
        <w:ind w:left="1418" w:firstLine="0"/>
        <w:rPr>
          <w:rFonts w:ascii="Arial" w:hAnsi="Arial" w:eastAsia="宋体" w:cs="Arial"/>
          <w:sz w:val="24"/>
          <w:szCs w:val="24"/>
        </w:rPr>
      </w:pPr>
      <w:bookmarkStart w:id="128" w:name="_Toc495870785"/>
      <w:bookmarkStart w:id="129" w:name="bookmark60"/>
      <w:bookmarkStart w:id="130" w:name="_Toc496541664"/>
      <w:r>
        <w:rPr>
          <w:rFonts w:ascii="Arial" w:hAnsi="Arial" w:eastAsia="宋体" w:cs="Arial"/>
          <w:sz w:val="24"/>
          <w:szCs w:val="24"/>
        </w:rPr>
        <w:t>扫描电子显微镜（SEM）</w:t>
      </w:r>
      <w:bookmarkEnd w:id="128"/>
      <w:bookmarkEnd w:id="129"/>
      <w:bookmarkEnd w:id="130"/>
    </w:p>
    <w:p w14:paraId="7EF4EF5B">
      <w:pPr>
        <w:pStyle w:val="20"/>
        <w:shd w:val="clear" w:color="auto" w:fill="auto"/>
        <w:snapToGrid w:val="0"/>
        <w:spacing w:before="163" w:beforeLines="50" w:after="0" w:line="300" w:lineRule="auto"/>
        <w:ind w:left="1378" w:firstLine="0"/>
        <w:jc w:val="both"/>
        <w:rPr>
          <w:rFonts w:ascii="Arial" w:hAnsi="Arial" w:eastAsia="宋体" w:cs="Arial"/>
          <w:sz w:val="24"/>
          <w:szCs w:val="24"/>
        </w:rPr>
      </w:pPr>
      <w:r>
        <w:rPr>
          <w:rFonts w:ascii="Arial" w:hAnsi="Arial" w:eastAsia="宋体" w:cs="Arial"/>
          <w:sz w:val="24"/>
          <w:szCs w:val="24"/>
        </w:rPr>
        <w:t>FDA建议将器械从动物体内取出后，使用扫描电子显微镜对植入器械的表面进行全面表征。</w:t>
      </w:r>
    </w:p>
    <w:p w14:paraId="7A1E8C2D">
      <w:pPr>
        <w:pStyle w:val="38"/>
        <w:numPr>
          <w:ilvl w:val="0"/>
          <w:numId w:val="11"/>
        </w:numPr>
        <w:snapToGrid w:val="0"/>
        <w:spacing w:before="163" w:beforeLines="50" w:after="0" w:line="300" w:lineRule="auto"/>
        <w:ind w:left="1418" w:firstLine="0"/>
        <w:rPr>
          <w:rFonts w:ascii="Arial" w:hAnsi="Arial" w:eastAsia="宋体" w:cs="Arial"/>
          <w:sz w:val="24"/>
          <w:szCs w:val="24"/>
        </w:rPr>
      </w:pPr>
      <w:bookmarkStart w:id="131" w:name="_Toc495870786"/>
      <w:bookmarkStart w:id="132" w:name="bookmark61"/>
      <w:bookmarkStart w:id="133" w:name="_Toc496541665"/>
      <w:r>
        <w:rPr>
          <w:rFonts w:ascii="Arial" w:hAnsi="Arial" w:eastAsia="宋体" w:cs="Arial"/>
          <w:sz w:val="24"/>
          <w:szCs w:val="24"/>
        </w:rPr>
        <w:t>组织形态分析</w:t>
      </w:r>
      <w:bookmarkEnd w:id="131"/>
      <w:bookmarkEnd w:id="132"/>
      <w:bookmarkEnd w:id="133"/>
    </w:p>
    <w:p w14:paraId="2F87B50D">
      <w:pPr>
        <w:pStyle w:val="20"/>
        <w:shd w:val="clear" w:color="auto" w:fill="auto"/>
        <w:snapToGrid w:val="0"/>
        <w:spacing w:before="163" w:beforeLines="50" w:after="0" w:line="300" w:lineRule="auto"/>
        <w:ind w:left="1378" w:firstLine="0"/>
        <w:jc w:val="both"/>
        <w:rPr>
          <w:rFonts w:ascii="Arial" w:hAnsi="Arial" w:eastAsia="宋体" w:cs="Arial"/>
          <w:sz w:val="24"/>
          <w:szCs w:val="24"/>
        </w:rPr>
      </w:pPr>
      <w:r>
        <w:rPr>
          <w:rFonts w:ascii="Arial" w:hAnsi="Arial" w:eastAsia="宋体" w:cs="Arial"/>
          <w:sz w:val="24"/>
          <w:szCs w:val="24"/>
        </w:rPr>
        <w:t>因为恰当的解释急性和慢性生物反应对FDA的安全性评价至关重要，尤其是缺乏临床数据时，我们建议您在制定和执行组织形态学分析用组织的制备方法时，借助经过委员会认证的兽医或者临床病理学家的</w:t>
      </w:r>
      <w:r>
        <w:rPr>
          <w:rFonts w:hint="eastAsia" w:ascii="Arial" w:hAnsi="Arial" w:eastAsia="宋体" w:cs="Arial"/>
          <w:sz w:val="24"/>
          <w:szCs w:val="24"/>
        </w:rPr>
        <w:t>专业知识</w:t>
      </w:r>
      <w:r>
        <w:rPr>
          <w:rFonts w:ascii="Arial" w:hAnsi="Arial" w:eastAsia="宋体" w:cs="Arial"/>
          <w:sz w:val="24"/>
          <w:szCs w:val="24"/>
        </w:rPr>
        <w:t>。我们还建议您确认是否具备相应的专业知识，能否针对所有组织损伤和炎症预先制定客观的评分和分析观察方法。在评价时要考虑炎症、血管化、钙化、蛋白聚糖/胶原蛋白和纤维蛋白/血栓等具体评价指标。</w:t>
      </w:r>
    </w:p>
    <w:p w14:paraId="6E63E395">
      <w:pPr>
        <w:pStyle w:val="20"/>
        <w:shd w:val="clear" w:color="auto" w:fill="auto"/>
        <w:snapToGrid w:val="0"/>
        <w:spacing w:before="163" w:beforeLines="50" w:after="0" w:line="300" w:lineRule="auto"/>
        <w:ind w:left="1378" w:firstLine="0"/>
        <w:jc w:val="both"/>
        <w:rPr>
          <w:rFonts w:ascii="Arial" w:hAnsi="Arial" w:eastAsia="宋体" w:cs="Arial"/>
          <w:sz w:val="24"/>
          <w:szCs w:val="24"/>
        </w:rPr>
      </w:pPr>
      <w:r>
        <w:rPr>
          <w:rFonts w:ascii="Arial" w:hAnsi="Arial" w:eastAsia="宋体" w:cs="Arial"/>
          <w:sz w:val="24"/>
          <w:szCs w:val="24"/>
        </w:rPr>
        <w:t>FDA建议您报告采集组织时使用的所有非标准工具和方法，包括器械以及固定、切割和染色方法。该报告应当包括标注植入位置的图表。应当详细论述剖切方法，包括组织和器械定位方法。讨论研究结果时，您应当纳入清晰的高分辨彩色图像，分别标注动物编号、研究分组、组织切片、放大率、染色剂和其他重要标识符。有些申办方发现使用病理学手段进一步详述分析系统是有用的。其他重要的标识符为实验动物编号和队列以及显微照片的比例。</w:t>
      </w:r>
    </w:p>
    <w:p w14:paraId="0E7EB850">
      <w:pPr>
        <w:pStyle w:val="38"/>
        <w:numPr>
          <w:ilvl w:val="0"/>
          <w:numId w:val="11"/>
        </w:numPr>
        <w:snapToGrid w:val="0"/>
        <w:spacing w:before="163" w:beforeLines="50" w:after="0" w:line="300" w:lineRule="auto"/>
        <w:ind w:left="1418" w:firstLine="0"/>
        <w:rPr>
          <w:rFonts w:ascii="Arial" w:hAnsi="Arial" w:eastAsia="宋体" w:cs="Arial"/>
          <w:sz w:val="24"/>
          <w:szCs w:val="24"/>
        </w:rPr>
      </w:pPr>
      <w:bookmarkStart w:id="134" w:name="_Toc496541666"/>
      <w:bookmarkStart w:id="135" w:name="_Toc495870787"/>
      <w:bookmarkStart w:id="136" w:name="bookmark62"/>
      <w:r>
        <w:rPr>
          <w:rFonts w:ascii="Arial" w:hAnsi="Arial" w:eastAsia="宋体" w:cs="Arial"/>
          <w:sz w:val="24"/>
          <w:szCs w:val="24"/>
        </w:rPr>
        <w:t>局部和下游组织评估</w:t>
      </w:r>
      <w:bookmarkEnd w:id="134"/>
      <w:bookmarkEnd w:id="135"/>
      <w:bookmarkEnd w:id="136"/>
    </w:p>
    <w:p w14:paraId="4CEFA485">
      <w:pPr>
        <w:pStyle w:val="20"/>
        <w:shd w:val="clear" w:color="auto" w:fill="auto"/>
        <w:snapToGrid w:val="0"/>
        <w:spacing w:before="163" w:beforeLines="50" w:after="0" w:line="300" w:lineRule="auto"/>
        <w:ind w:left="1378" w:firstLine="0"/>
        <w:jc w:val="both"/>
        <w:rPr>
          <w:rFonts w:ascii="Arial" w:hAnsi="Arial" w:eastAsia="宋体" w:cs="Arial"/>
          <w:sz w:val="24"/>
          <w:szCs w:val="24"/>
        </w:rPr>
      </w:pPr>
      <w:r>
        <w:rPr>
          <w:rFonts w:ascii="Arial" w:hAnsi="Arial" w:eastAsia="宋体" w:cs="Arial"/>
          <w:sz w:val="24"/>
          <w:szCs w:val="24"/>
        </w:rPr>
        <w:t>FDA认为，多数器械（包括植入和传输系统部件）的结构性成分或涂层均有可能形成栓塞颗粒和微血栓，如果器械与血液接触，则可能导致周围组织或上游/下游组织受压坏死和炎症。如果存在上游栓塞风险，应当打开颅盖，并进行脑切片。如果风险分析确定您的器械存在该潜在风险，我们建议在您的病理学研究中纳入上游/下游和周围组织系统描述性评价。如果观察到异物，您应当对受影响表面积的大小以及计算受影响面积所用的方法进行讨论。</w:t>
      </w:r>
    </w:p>
    <w:p w14:paraId="49E7F1FF">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137" w:name="_Toc495870788"/>
      <w:bookmarkStart w:id="138" w:name="bookmark63"/>
      <w:bookmarkStart w:id="139" w:name="bookmark64"/>
      <w:bookmarkStart w:id="140" w:name="_Toc496541667"/>
      <w:r>
        <w:rPr>
          <w:rFonts w:ascii="Arial" w:hAnsi="Arial" w:eastAsia="宋体" w:cs="Arial"/>
          <w:sz w:val="30"/>
          <w:szCs w:val="30"/>
        </w:rPr>
        <w:t>记录和报告</w:t>
      </w:r>
      <w:bookmarkEnd w:id="137"/>
      <w:bookmarkEnd w:id="138"/>
      <w:bookmarkEnd w:id="139"/>
      <w:bookmarkEnd w:id="140"/>
    </w:p>
    <w:p w14:paraId="3FC15FD7">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按照21 CFR 58.185，必须撰写总结报告，研究总结报告的所有变化均须以报告修订的形式进行记录。必须留存动物研究产生的所有原始数据、记录、方案、总结报告和</w:t>
      </w:r>
      <w:r>
        <w:rPr>
          <w:rFonts w:hint="eastAsia" w:ascii="Arial" w:hAnsi="Arial" w:eastAsia="宋体" w:cs="Arial"/>
          <w:sz w:val="24"/>
          <w:szCs w:val="24"/>
        </w:rPr>
        <w:t>样本</w:t>
      </w:r>
      <w:r>
        <w:rPr>
          <w:rFonts w:ascii="Arial" w:hAnsi="Arial" w:eastAsia="宋体" w:cs="Arial"/>
          <w:sz w:val="24"/>
          <w:szCs w:val="24"/>
        </w:rPr>
        <w:t>（有时例外）（21 CFR 58.190）。FDA建议您为自己的动物研究填写记录，撰写报告，以便我们能够高效率地评价器械安全性和性能。您应当考虑数据是否适合统计分析，或者最好</w:t>
      </w:r>
      <w:r>
        <w:rPr>
          <w:rFonts w:hint="eastAsia" w:ascii="Arial" w:hAnsi="Arial" w:eastAsia="宋体" w:cs="Arial"/>
          <w:sz w:val="24"/>
          <w:szCs w:val="24"/>
        </w:rPr>
        <w:t>“</w:t>
      </w:r>
      <w:r>
        <w:rPr>
          <w:rFonts w:ascii="Arial" w:hAnsi="Arial" w:eastAsia="宋体" w:cs="Arial"/>
          <w:sz w:val="24"/>
          <w:szCs w:val="24"/>
        </w:rPr>
        <w:t>原样</w:t>
      </w:r>
      <w:r>
        <w:rPr>
          <w:rFonts w:hint="eastAsia" w:ascii="Arial" w:hAnsi="Arial" w:eastAsia="宋体" w:cs="Arial"/>
          <w:sz w:val="24"/>
          <w:szCs w:val="24"/>
        </w:rPr>
        <w:t>”</w:t>
      </w:r>
      <w:r>
        <w:rPr>
          <w:rFonts w:ascii="Arial" w:hAnsi="Arial" w:eastAsia="宋体" w:cs="Arial"/>
          <w:sz w:val="24"/>
          <w:szCs w:val="24"/>
        </w:rPr>
        <w:t>呈现。</w:t>
      </w:r>
      <w:r>
        <w:rPr>
          <w:rFonts w:hint="eastAsia" w:ascii="Arial" w:hAnsi="Arial" w:eastAsia="宋体" w:cs="Arial"/>
          <w:sz w:val="24"/>
          <w:szCs w:val="24"/>
        </w:rPr>
        <w:t>机构</w:t>
      </w:r>
      <w:r>
        <w:rPr>
          <w:rFonts w:ascii="Arial" w:hAnsi="Arial" w:eastAsia="宋体" w:cs="Arial"/>
          <w:sz w:val="24"/>
          <w:szCs w:val="24"/>
        </w:rPr>
        <w:t>要求有原始数据时，您应当将每只动物的记录和重要研究信息以附录的形式附在研究总结报告中，编辑格式和内容，解释所有研究结果，</w:t>
      </w:r>
      <w:r>
        <w:rPr>
          <w:rFonts w:hint="eastAsia" w:ascii="Arial" w:hAnsi="Arial" w:eastAsia="宋体" w:cs="Arial"/>
          <w:sz w:val="24"/>
          <w:szCs w:val="24"/>
        </w:rPr>
        <w:t>尽量</w:t>
      </w:r>
      <w:r>
        <w:rPr>
          <w:rFonts w:ascii="Arial" w:hAnsi="Arial" w:eastAsia="宋体" w:cs="Arial"/>
          <w:sz w:val="24"/>
          <w:szCs w:val="24"/>
        </w:rPr>
        <w:t>减少歧义。我们建议，方案中还要包括记录管理和保存、允许接触资料的人员、记录的中期检查时间等相关信息。我们还建议在进行研究观察时盖戳注明时间和日期，这样有助于准确查找事件，也能够辅助评估研究对象间的观测差异。研究总结报告内必须有21 CFR 58.185规定的信息，包括描述可能影响数据质量和完整性的所有情况。</w:t>
      </w:r>
    </w:p>
    <w:p w14:paraId="5FECDF74">
      <w:pPr>
        <w:pStyle w:val="20"/>
        <w:shd w:val="clear" w:color="auto" w:fill="auto"/>
        <w:snapToGrid w:val="0"/>
        <w:spacing w:before="163" w:beforeLines="50" w:after="0" w:line="300" w:lineRule="auto"/>
        <w:ind w:firstLine="0"/>
        <w:jc w:val="both"/>
        <w:rPr>
          <w:rFonts w:ascii="Arial" w:hAnsi="Arial" w:eastAsia="宋体" w:cs="Arial"/>
          <w:sz w:val="24"/>
          <w:szCs w:val="24"/>
        </w:rPr>
      </w:pPr>
      <w:bookmarkStart w:id="141" w:name="bookmark65"/>
      <w:r>
        <w:rPr>
          <w:rFonts w:ascii="Arial" w:hAnsi="Arial" w:eastAsia="宋体" w:cs="Arial"/>
          <w:sz w:val="24"/>
          <w:szCs w:val="24"/>
        </w:rPr>
        <w:t>21 CFR 58.190要求按照21 CFR 58.195规定的</w:t>
      </w:r>
      <w:r>
        <w:rPr>
          <w:rFonts w:hint="eastAsia" w:ascii="Arial" w:hAnsi="Arial" w:eastAsia="宋体" w:cs="Arial"/>
          <w:sz w:val="24"/>
          <w:szCs w:val="24"/>
        </w:rPr>
        <w:t>时长</w:t>
      </w:r>
      <w:r>
        <w:rPr>
          <w:rFonts w:ascii="Arial" w:hAnsi="Arial" w:eastAsia="宋体" w:cs="Arial"/>
          <w:sz w:val="24"/>
          <w:szCs w:val="24"/>
        </w:rPr>
        <w:t>留存非临床实验研究产生的所有原始数据、记录、方案、总结报告和</w:t>
      </w:r>
      <w:r>
        <w:rPr>
          <w:rFonts w:hint="eastAsia" w:ascii="Arial" w:hAnsi="Arial" w:eastAsia="宋体" w:cs="Arial"/>
          <w:sz w:val="24"/>
          <w:szCs w:val="24"/>
        </w:rPr>
        <w:t>样本</w:t>
      </w:r>
      <w:r>
        <w:rPr>
          <w:rFonts w:ascii="Arial" w:hAnsi="Arial" w:eastAsia="宋体" w:cs="Arial"/>
          <w:sz w:val="24"/>
          <w:szCs w:val="24"/>
        </w:rPr>
        <w:t>。</w:t>
      </w:r>
      <w:bookmarkEnd w:id="141"/>
    </w:p>
    <w:p w14:paraId="1AEC4DAC">
      <w:pPr>
        <w:widowControl/>
        <w:rPr>
          <w:rFonts w:ascii="Arial" w:hAnsi="Arial" w:eastAsia="宋体" w:cs="Arial"/>
          <w:b/>
          <w:bCs/>
          <w:color w:val="auto"/>
          <w:kern w:val="2"/>
          <w:sz w:val="30"/>
          <w:szCs w:val="30"/>
          <w:lang w:eastAsia="zh-CN" w:bidi="ar-SA"/>
        </w:rPr>
      </w:pPr>
      <w:bookmarkStart w:id="142" w:name="_Toc495870789"/>
      <w:bookmarkStart w:id="143" w:name="bookmark66"/>
      <w:r>
        <w:rPr>
          <w:rFonts w:ascii="Arial" w:hAnsi="Arial" w:eastAsia="宋体" w:cs="Arial"/>
          <w:sz w:val="30"/>
          <w:szCs w:val="30"/>
          <w:lang w:eastAsia="zh-CN"/>
        </w:rPr>
        <w:br w:type="page"/>
      </w:r>
    </w:p>
    <w:p w14:paraId="575828B1">
      <w:pPr>
        <w:pStyle w:val="28"/>
        <w:numPr>
          <w:ilvl w:val="0"/>
          <w:numId w:val="1"/>
        </w:numPr>
        <w:snapToGrid w:val="0"/>
        <w:spacing w:before="163" w:beforeLines="50" w:after="0" w:line="300" w:lineRule="auto"/>
        <w:ind w:left="0" w:firstLine="0"/>
        <w:rPr>
          <w:rFonts w:ascii="Arial" w:hAnsi="Arial" w:eastAsia="宋体" w:cs="Arial"/>
          <w:sz w:val="30"/>
          <w:szCs w:val="30"/>
        </w:rPr>
      </w:pPr>
      <w:bookmarkStart w:id="144" w:name="_Toc496541668"/>
      <w:r>
        <w:rPr>
          <w:rFonts w:ascii="Arial" w:hAnsi="Arial" w:eastAsia="宋体" w:cs="Arial"/>
          <w:sz w:val="30"/>
          <w:szCs w:val="30"/>
        </w:rPr>
        <w:t>注册</w:t>
      </w:r>
      <w:r>
        <w:rPr>
          <w:rFonts w:hint="eastAsia" w:ascii="Arial" w:hAnsi="Arial" w:eastAsia="宋体" w:cs="Arial"/>
          <w:sz w:val="30"/>
          <w:szCs w:val="30"/>
        </w:rPr>
        <w:t>提交</w:t>
      </w:r>
      <w:r>
        <w:rPr>
          <w:rFonts w:ascii="Arial" w:hAnsi="Arial" w:eastAsia="宋体" w:cs="Arial"/>
          <w:sz w:val="30"/>
          <w:szCs w:val="30"/>
        </w:rPr>
        <w:t>资料</w:t>
      </w:r>
      <w:r>
        <w:rPr>
          <w:rFonts w:hint="eastAsia" w:ascii="Arial" w:hAnsi="Arial" w:eastAsia="宋体" w:cs="Arial"/>
          <w:sz w:val="30"/>
          <w:szCs w:val="30"/>
        </w:rPr>
        <w:t>的准备</w:t>
      </w:r>
      <w:bookmarkEnd w:id="142"/>
      <w:bookmarkEnd w:id="143"/>
      <w:bookmarkEnd w:id="144"/>
    </w:p>
    <w:p w14:paraId="6DB7A541">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hint="eastAsia" w:ascii="Arial" w:hAnsi="Arial" w:eastAsia="宋体" w:cs="Arial"/>
          <w:sz w:val="24"/>
          <w:szCs w:val="24"/>
        </w:rPr>
        <w:t>准备提交</w:t>
      </w:r>
      <w:r>
        <w:rPr>
          <w:rFonts w:ascii="Arial" w:hAnsi="Arial" w:eastAsia="宋体" w:cs="Arial"/>
          <w:sz w:val="24"/>
          <w:szCs w:val="24"/>
        </w:rPr>
        <w:t>注册资料（包括IDE、510（k）、HDE、PMA</w:t>
      </w:r>
      <w:r>
        <w:rPr>
          <w:rFonts w:hint="eastAsia" w:ascii="Arial" w:hAnsi="Arial" w:eastAsia="宋体" w:cs="Arial"/>
          <w:sz w:val="24"/>
          <w:szCs w:val="24"/>
        </w:rPr>
        <w:t>提交</w:t>
      </w:r>
      <w:r>
        <w:rPr>
          <w:rFonts w:ascii="Arial" w:hAnsi="Arial" w:eastAsia="宋体" w:cs="Arial"/>
          <w:sz w:val="24"/>
          <w:szCs w:val="24"/>
        </w:rPr>
        <w:t>和</w:t>
      </w:r>
      <w:r>
        <w:rPr>
          <w:rFonts w:hint="eastAsia" w:ascii="Arial" w:hAnsi="Arial" w:eastAsia="宋体" w:cs="Arial"/>
          <w:sz w:val="24"/>
          <w:szCs w:val="24"/>
        </w:rPr>
        <w:t>重新</w:t>
      </w:r>
      <w:r>
        <w:rPr>
          <w:rFonts w:ascii="Arial" w:hAnsi="Arial" w:eastAsia="宋体" w:cs="Arial"/>
          <w:sz w:val="24"/>
          <w:szCs w:val="24"/>
        </w:rPr>
        <w:t>申请）时，我们建议您收录与您的动物研究有关的所有信息。您的</w:t>
      </w:r>
      <w:r>
        <w:rPr>
          <w:rFonts w:hint="eastAsia" w:ascii="Arial" w:hAnsi="Arial" w:eastAsia="宋体" w:cs="Arial"/>
          <w:sz w:val="24"/>
          <w:szCs w:val="24"/>
        </w:rPr>
        <w:t>提交</w:t>
      </w:r>
      <w:r>
        <w:rPr>
          <w:rFonts w:ascii="Arial" w:hAnsi="Arial" w:eastAsia="宋体" w:cs="Arial"/>
          <w:sz w:val="24"/>
          <w:szCs w:val="24"/>
        </w:rPr>
        <w:t>资料中的非临床研究概述应当提到动物研究的编号，所有研究均需收录下述信息：</w:t>
      </w:r>
    </w:p>
    <w:p w14:paraId="30792D83">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lang w:eastAsia="en-US"/>
        </w:rPr>
      </w:pPr>
      <w:r>
        <w:rPr>
          <w:rFonts w:ascii="Arial" w:hAnsi="Arial" w:eastAsia="宋体" w:cs="Arial"/>
          <w:sz w:val="24"/>
          <w:szCs w:val="24"/>
        </w:rPr>
        <w:t>选择模型的依据；</w:t>
      </w:r>
    </w:p>
    <w:p w14:paraId="303CD5D2">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rPr>
      </w:pPr>
      <w:r>
        <w:rPr>
          <w:rFonts w:ascii="Arial" w:hAnsi="Arial" w:eastAsia="宋体" w:cs="Arial"/>
          <w:sz w:val="24"/>
          <w:szCs w:val="24"/>
        </w:rPr>
        <w:t>选定模型与人的相似性；</w:t>
      </w:r>
    </w:p>
    <w:p w14:paraId="360DE1E0">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rPr>
      </w:pPr>
      <w:r>
        <w:rPr>
          <w:rFonts w:ascii="Arial" w:hAnsi="Arial" w:eastAsia="宋体" w:cs="Arial"/>
          <w:sz w:val="24"/>
          <w:szCs w:val="24"/>
        </w:rPr>
        <w:t>您所使用的动物研究基本方法；</w:t>
      </w:r>
    </w:p>
    <w:p w14:paraId="55072E65">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rPr>
      </w:pPr>
      <w:r>
        <w:rPr>
          <w:rFonts w:ascii="Arial" w:hAnsi="Arial" w:eastAsia="宋体" w:cs="Arial"/>
          <w:sz w:val="24"/>
          <w:szCs w:val="24"/>
        </w:rPr>
        <w:t>是否制定标准操作规程并在研究过程中遵守；以及</w:t>
      </w:r>
    </w:p>
    <w:p w14:paraId="7D5F4C72">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rPr>
      </w:pPr>
      <w:r>
        <w:rPr>
          <w:rFonts w:ascii="Arial" w:hAnsi="Arial" w:eastAsia="宋体" w:cs="Arial"/>
          <w:sz w:val="24"/>
          <w:szCs w:val="24"/>
        </w:rPr>
        <w:t>质量保证部门如何独立公正地检查数据和结果报告。</w:t>
      </w:r>
    </w:p>
    <w:p w14:paraId="2BEBAB62">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此外，您应当收录从动物研究的预试验、验证或概念验证转向关键动物研究，或者从一项关键研究转向另一项研究的依据，因为该信息可以帮助我们理解您是如何综合评价器械在多项研究中的安全性、性能以及操作。您还应当描述完成所有动物研究后对器械设计进行的所有改动。</w:t>
      </w:r>
    </w:p>
    <w:p w14:paraId="7610A6FE">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此外，我们建议您用表格形式提供各项研究的关键参数，包括下述信息：</w:t>
      </w:r>
    </w:p>
    <w:p w14:paraId="54EBDBA5">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lang w:eastAsia="en-US"/>
        </w:rPr>
      </w:pPr>
      <w:r>
        <w:rPr>
          <w:rFonts w:ascii="Arial" w:hAnsi="Arial" w:eastAsia="宋体" w:cs="Arial"/>
          <w:sz w:val="24"/>
          <w:szCs w:val="24"/>
        </w:rPr>
        <w:t>研究分组；</w:t>
      </w:r>
    </w:p>
    <w:p w14:paraId="79396E84">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rPr>
      </w:pPr>
      <w:r>
        <w:rPr>
          <w:rFonts w:ascii="Arial" w:hAnsi="Arial" w:eastAsia="宋体" w:cs="Arial"/>
          <w:sz w:val="24"/>
          <w:szCs w:val="24"/>
        </w:rPr>
        <w:t>各组动物的数量；</w:t>
      </w:r>
    </w:p>
    <w:p w14:paraId="45B2F191">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rPr>
      </w:pPr>
      <w:r>
        <w:rPr>
          <w:rFonts w:ascii="Arial" w:hAnsi="Arial" w:eastAsia="宋体" w:cs="Arial"/>
          <w:sz w:val="24"/>
          <w:szCs w:val="24"/>
        </w:rPr>
        <w:t>对应研究分组的动物标识；</w:t>
      </w:r>
    </w:p>
    <w:p w14:paraId="02CD19EA">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lang w:eastAsia="en-US"/>
        </w:rPr>
      </w:pPr>
      <w:r>
        <w:rPr>
          <w:rFonts w:ascii="Arial" w:hAnsi="Arial" w:eastAsia="宋体" w:cs="Arial"/>
          <w:sz w:val="24"/>
          <w:szCs w:val="24"/>
        </w:rPr>
        <w:t>研究持续时间；</w:t>
      </w:r>
    </w:p>
    <w:p w14:paraId="2301FBD8">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rPr>
      </w:pPr>
      <w:r>
        <w:rPr>
          <w:rFonts w:ascii="Arial" w:hAnsi="Arial" w:eastAsia="宋体" w:cs="Arial"/>
          <w:sz w:val="24"/>
          <w:szCs w:val="24"/>
        </w:rPr>
        <w:t>所用的器械设计迭代；以及</w:t>
      </w:r>
    </w:p>
    <w:p w14:paraId="6212D3D2">
      <w:pPr>
        <w:pStyle w:val="20"/>
        <w:numPr>
          <w:ilvl w:val="0"/>
          <w:numId w:val="3"/>
        </w:numPr>
        <w:shd w:val="clear" w:color="auto" w:fill="auto"/>
        <w:tabs>
          <w:tab w:val="left" w:pos="719"/>
        </w:tabs>
        <w:snapToGrid w:val="0"/>
        <w:spacing w:before="163" w:beforeLines="50" w:after="0" w:line="300" w:lineRule="auto"/>
        <w:ind w:left="360"/>
        <w:jc w:val="both"/>
        <w:rPr>
          <w:rFonts w:ascii="Arial" w:hAnsi="Arial" w:eastAsia="宋体" w:cs="Arial"/>
          <w:sz w:val="24"/>
          <w:szCs w:val="24"/>
        </w:rPr>
      </w:pPr>
      <w:r>
        <w:rPr>
          <w:rFonts w:ascii="Arial" w:hAnsi="Arial" w:eastAsia="宋体" w:cs="Arial"/>
          <w:sz w:val="24"/>
          <w:szCs w:val="24"/>
        </w:rPr>
        <w:t>研究结果概述。</w:t>
      </w:r>
    </w:p>
    <w:p w14:paraId="3570EAB5">
      <w:pPr>
        <w:widowControl/>
        <w:rPr>
          <w:rFonts w:ascii="Arial" w:hAnsi="Arial" w:eastAsia="宋体" w:cs="Arial"/>
          <w:color w:val="auto"/>
          <w:kern w:val="2"/>
          <w:lang w:eastAsia="zh-CN" w:bidi="ar-SA"/>
        </w:rPr>
      </w:pPr>
      <w:r>
        <w:rPr>
          <w:rFonts w:ascii="Arial" w:hAnsi="Arial" w:eastAsia="宋体" w:cs="Arial"/>
        </w:rPr>
        <w:br w:type="page"/>
      </w:r>
    </w:p>
    <w:p w14:paraId="43565064">
      <w:pPr>
        <w:pStyle w:val="20"/>
        <w:shd w:val="clear" w:color="auto" w:fill="auto"/>
        <w:snapToGrid w:val="0"/>
        <w:spacing w:before="163" w:beforeLines="50" w:after="0" w:line="300" w:lineRule="auto"/>
        <w:ind w:firstLine="0"/>
        <w:jc w:val="both"/>
        <w:rPr>
          <w:rFonts w:ascii="Arial" w:hAnsi="Arial" w:eastAsia="宋体" w:cs="Arial"/>
          <w:sz w:val="24"/>
          <w:szCs w:val="24"/>
          <w:lang w:bidi="en-US"/>
        </w:rPr>
      </w:pPr>
      <w:r>
        <w:rPr>
          <w:rFonts w:ascii="Arial" w:hAnsi="Arial" w:eastAsia="宋体" w:cs="Arial"/>
          <w:sz w:val="24"/>
          <w:szCs w:val="24"/>
        </w:rPr>
        <w:t>您的</w:t>
      </w:r>
      <w:r>
        <w:rPr>
          <w:rFonts w:hint="eastAsia" w:ascii="Arial" w:hAnsi="Arial" w:eastAsia="宋体" w:cs="Arial"/>
          <w:sz w:val="24"/>
          <w:szCs w:val="24"/>
        </w:rPr>
        <w:t>提交</w:t>
      </w:r>
      <w:r>
        <w:rPr>
          <w:rFonts w:ascii="Arial" w:hAnsi="Arial" w:eastAsia="宋体" w:cs="Arial"/>
          <w:sz w:val="24"/>
          <w:szCs w:val="24"/>
        </w:rPr>
        <w:t>资料中应包括一份签名并注日期的研究总结报告复印件，并用报告修订的形式记录研究总结报告的变更。您还可以提交研究的总体报告。此外，您应当提供各动物研究每份研究总结报告（内含研究详情）的附件，包括签名并注日期的单个科学报告（比如研究负责人、临床兽医、病理学家和放射科医生），随附试验方案和原始数据。这些附件还应当明确关键研究人员和设施，描述研究的总体结果，讨论结果是否符合研究目的，证明人使用该器械是安全的。</w:t>
      </w:r>
    </w:p>
    <w:p w14:paraId="1B7EAE86">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为了辅助表述这些信息，FDA建议您的动物研究概述和单个试验报告以表格形式</w:t>
      </w:r>
      <w:r>
        <w:rPr>
          <w:rFonts w:hint="eastAsia" w:ascii="Arial" w:hAnsi="Arial" w:eastAsia="宋体" w:cs="Arial"/>
          <w:sz w:val="24"/>
          <w:szCs w:val="24"/>
        </w:rPr>
        <w:t>提供</w:t>
      </w:r>
      <w:r>
        <w:rPr>
          <w:rFonts w:ascii="Arial" w:hAnsi="Arial" w:eastAsia="宋体" w:cs="Arial"/>
          <w:sz w:val="24"/>
          <w:szCs w:val="24"/>
        </w:rPr>
        <w:t>，并在提交的研究总结报告中提供相关附录和附件的位置。</w:t>
      </w:r>
    </w:p>
    <w:p w14:paraId="79E94507">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将一项以上的研究编入研究总结报告的一组附件内时，FDA建议您按照研究开展的顺序进行，以便于我们理解器械使用历史，</w:t>
      </w:r>
      <w:r>
        <w:rPr>
          <w:rStyle w:val="31"/>
          <w:rFonts w:ascii="Arial" w:hAnsi="Arial" w:eastAsia="宋体" w:cs="Arial"/>
          <w:lang w:eastAsia="zh-CN"/>
        </w:rPr>
        <w:t>体内</w:t>
      </w:r>
      <w:r>
        <w:rPr>
          <w:rFonts w:ascii="Arial" w:hAnsi="Arial" w:eastAsia="宋体" w:cs="Arial"/>
          <w:sz w:val="24"/>
          <w:szCs w:val="24"/>
        </w:rPr>
        <w:t>性能则从第一项研究到最后一项，采用评价器械安全性和性能的方式进行评价，得出您的最终结论。</w:t>
      </w:r>
      <w:r>
        <w:rPr>
          <w:rFonts w:hint="eastAsia" w:ascii="Arial" w:hAnsi="Arial" w:eastAsia="宋体" w:cs="Arial"/>
          <w:sz w:val="24"/>
          <w:szCs w:val="24"/>
        </w:rPr>
        <w:t>关于</w:t>
      </w:r>
      <w:r>
        <w:rPr>
          <w:rFonts w:ascii="Arial" w:hAnsi="Arial" w:eastAsia="宋体" w:cs="Arial"/>
          <w:sz w:val="24"/>
          <w:szCs w:val="24"/>
        </w:rPr>
        <w:t>注册</w:t>
      </w:r>
      <w:r>
        <w:rPr>
          <w:rFonts w:hint="eastAsia" w:ascii="Arial" w:hAnsi="Arial" w:eastAsia="宋体" w:cs="Arial"/>
          <w:sz w:val="24"/>
          <w:szCs w:val="24"/>
        </w:rPr>
        <w:t>提交的</w:t>
      </w:r>
      <w:r>
        <w:rPr>
          <w:rFonts w:ascii="Arial" w:hAnsi="Arial" w:eastAsia="宋体" w:cs="Arial"/>
          <w:sz w:val="24"/>
          <w:szCs w:val="24"/>
        </w:rPr>
        <w:t>动物研究报告相关内容的模板示例见附录D。</w:t>
      </w:r>
    </w:p>
    <w:p w14:paraId="561FFA97">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除上述考虑外，我们建议您</w:t>
      </w:r>
      <w:r>
        <w:rPr>
          <w:rFonts w:hint="eastAsia" w:ascii="Arial" w:hAnsi="Arial" w:eastAsia="宋体" w:cs="Arial"/>
          <w:sz w:val="24"/>
          <w:szCs w:val="24"/>
        </w:rPr>
        <w:t>审查</w:t>
      </w:r>
      <w:r>
        <w:rPr>
          <w:rFonts w:ascii="Arial" w:hAnsi="Arial" w:eastAsia="宋体" w:cs="Arial"/>
          <w:sz w:val="24"/>
          <w:szCs w:val="24"/>
        </w:rPr>
        <w:t>现有、针对您的器械类型的所有FDA指南文件，查找更为详细的动物研究建议。</w:t>
      </w:r>
    </w:p>
    <w:p w14:paraId="5A5AAB32">
      <w:pPr>
        <w:pStyle w:val="38"/>
        <w:snapToGrid w:val="0"/>
        <w:spacing w:line="300" w:lineRule="auto"/>
        <w:jc w:val="center"/>
        <w:outlineLvl w:val="0"/>
        <w:rPr>
          <w:rFonts w:ascii="Arial" w:hAnsi="Arial" w:eastAsia="宋体" w:cs="Arial"/>
          <w:sz w:val="24"/>
          <w:szCs w:val="24"/>
          <w:lang w:bidi="en-US"/>
        </w:rPr>
      </w:pPr>
      <w:r>
        <w:rPr>
          <w:rFonts w:ascii="Arial" w:hAnsi="Arial" w:eastAsia="宋体" w:cs="Arial"/>
          <w:sz w:val="24"/>
          <w:szCs w:val="24"/>
        </w:rPr>
        <w:br w:type="page"/>
      </w:r>
      <w:bookmarkStart w:id="145" w:name="_Toc496541669"/>
      <w:r>
        <w:rPr>
          <w:rFonts w:ascii="Arial" w:hAnsi="Arial" w:eastAsia="宋体" w:cs="Arial"/>
          <w:sz w:val="24"/>
          <w:szCs w:val="24"/>
        </w:rPr>
        <w:t>附录A：与动物研究有关的常见缩写</w:t>
      </w:r>
      <w:bookmarkEnd w:id="145"/>
    </w:p>
    <w:p w14:paraId="62939F74">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AAALACi：</w:t>
      </w:r>
      <w:bookmarkStart w:id="146" w:name="OLE_LINK36"/>
      <w:bookmarkStart w:id="147" w:name="OLE_LINK37"/>
      <w:r>
        <w:rPr>
          <w:rFonts w:ascii="Arial" w:hAnsi="Arial" w:eastAsia="宋体" w:cs="Arial"/>
          <w:sz w:val="24"/>
          <w:szCs w:val="24"/>
        </w:rPr>
        <w:t>国际实验动物护理评估和认可管理委员会</w:t>
      </w:r>
      <w:bookmarkEnd w:id="146"/>
      <w:bookmarkEnd w:id="147"/>
    </w:p>
    <w:p w14:paraId="652050D1">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ACVIM：美国兽医内科学学会</w:t>
      </w:r>
    </w:p>
    <w:p w14:paraId="5FB5557E">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ACVECC：美国兽医急诊和重症护理学会</w:t>
      </w:r>
    </w:p>
    <w:p w14:paraId="26ED81C2">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ACLAM：美国实验动物医学会</w:t>
      </w:r>
    </w:p>
    <w:p w14:paraId="557C5A55">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APHIS：USDA动植物卫生检验署</w:t>
      </w:r>
    </w:p>
    <w:p w14:paraId="797D4751">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CDRH：医疗器械和</w:t>
      </w:r>
      <w:r>
        <w:rPr>
          <w:rFonts w:hint="eastAsia" w:ascii="Arial" w:hAnsi="Arial" w:eastAsia="宋体" w:cs="Arial"/>
          <w:sz w:val="24"/>
          <w:szCs w:val="24"/>
        </w:rPr>
        <w:t>放射卫生</w:t>
      </w:r>
      <w:r>
        <w:rPr>
          <w:rFonts w:ascii="Arial" w:hAnsi="Arial" w:eastAsia="宋体" w:cs="Arial"/>
          <w:sz w:val="24"/>
          <w:szCs w:val="24"/>
        </w:rPr>
        <w:t>中心</w:t>
      </w:r>
    </w:p>
    <w:p w14:paraId="39DBFB89">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CFR：美国联邦法规</w:t>
      </w:r>
    </w:p>
    <w:p w14:paraId="646CE2D4">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FDA：美国食品药品监督管理局</w:t>
      </w:r>
    </w:p>
    <w:p w14:paraId="3E94FDB7">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GLP：</w:t>
      </w:r>
      <w:r>
        <w:rPr>
          <w:rFonts w:hint="eastAsia" w:ascii="Arial" w:hAnsi="Arial" w:eastAsia="宋体" w:cs="Arial"/>
          <w:sz w:val="24"/>
          <w:szCs w:val="24"/>
        </w:rPr>
        <w:t>良好试验室规范</w:t>
      </w:r>
      <w:r>
        <w:rPr>
          <w:rFonts w:ascii="Arial" w:hAnsi="Arial" w:eastAsia="宋体" w:cs="Arial"/>
          <w:sz w:val="24"/>
          <w:szCs w:val="24"/>
        </w:rPr>
        <w:t>（21 CFR第58部分）</w:t>
      </w:r>
    </w:p>
    <w:p w14:paraId="5FD741C3">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IACUC：实验动物护理和使用委员会</w:t>
      </w:r>
    </w:p>
    <w:p w14:paraId="28872FF6">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NHP：非人灵长类</w:t>
      </w:r>
    </w:p>
    <w:p w14:paraId="2C355145">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 xml:space="preserve">PHS：公共卫生署 </w:t>
      </w:r>
    </w:p>
    <w:p w14:paraId="61A0D40D">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QAS：质量保证声明</w:t>
      </w:r>
    </w:p>
    <w:p w14:paraId="7D4F8064">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QAU：质量保证部门</w:t>
      </w:r>
    </w:p>
    <w:p w14:paraId="6FFBE69F">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SOAP：主/客观评价和计划</w:t>
      </w:r>
    </w:p>
    <w:p w14:paraId="5DAC1018">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USDA：美国农业部</w:t>
      </w:r>
    </w:p>
    <w:p w14:paraId="31B568CC">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US：美国</w:t>
      </w:r>
    </w:p>
    <w:p w14:paraId="4DC59C11">
      <w:pPr>
        <w:pStyle w:val="38"/>
        <w:snapToGrid w:val="0"/>
        <w:spacing w:line="300" w:lineRule="auto"/>
        <w:jc w:val="center"/>
        <w:outlineLvl w:val="0"/>
        <w:rPr>
          <w:rFonts w:ascii="Arial" w:hAnsi="Arial" w:eastAsia="宋体" w:cs="Arial"/>
          <w:sz w:val="24"/>
          <w:szCs w:val="24"/>
          <w:lang w:bidi="en-US"/>
        </w:rPr>
      </w:pPr>
      <w:r>
        <w:rPr>
          <w:rFonts w:ascii="Arial" w:hAnsi="Arial" w:eastAsia="宋体" w:cs="Arial"/>
          <w:sz w:val="24"/>
          <w:szCs w:val="24"/>
        </w:rPr>
        <w:br w:type="page"/>
      </w:r>
      <w:bookmarkStart w:id="148" w:name="_Toc495870791"/>
      <w:bookmarkStart w:id="149" w:name="bookmark68"/>
      <w:bookmarkStart w:id="150" w:name="_Toc496541670"/>
      <w:r>
        <w:rPr>
          <w:rFonts w:ascii="Arial" w:hAnsi="Arial" w:eastAsia="宋体" w:cs="Arial"/>
          <w:sz w:val="24"/>
          <w:szCs w:val="24"/>
        </w:rPr>
        <w:t>附录B：医疗器械动物研究的</w:t>
      </w:r>
      <w:r>
        <w:rPr>
          <w:rFonts w:hint="eastAsia" w:ascii="Arial" w:hAnsi="Arial" w:eastAsia="宋体" w:cs="Arial"/>
          <w:sz w:val="24"/>
          <w:szCs w:val="24"/>
        </w:rPr>
        <w:t>样本</w:t>
      </w:r>
      <w:r>
        <w:rPr>
          <w:rFonts w:ascii="Arial" w:hAnsi="Arial" w:eastAsia="宋体" w:cs="Arial"/>
          <w:sz w:val="24"/>
          <w:szCs w:val="24"/>
        </w:rPr>
        <w:t>决策树</w:t>
      </w:r>
      <w:bookmarkEnd w:id="148"/>
      <w:bookmarkEnd w:id="149"/>
      <w:bookmarkEnd w:id="150"/>
    </w:p>
    <w:p w14:paraId="2CA19B9E">
      <w:pPr>
        <w:pStyle w:val="20"/>
        <w:numPr>
          <w:ilvl w:val="0"/>
          <w:numId w:val="12"/>
        </w:numPr>
        <w:shd w:val="clear" w:color="auto" w:fill="auto"/>
        <w:tabs>
          <w:tab w:val="left" w:pos="1302"/>
        </w:tabs>
        <w:snapToGrid w:val="0"/>
        <w:spacing w:before="163" w:beforeLines="50" w:after="0" w:line="300" w:lineRule="auto"/>
        <w:ind w:left="1298" w:leftChars="308" w:hanging="559" w:hangingChars="233"/>
        <w:jc w:val="both"/>
        <w:rPr>
          <w:rFonts w:ascii="Arial" w:hAnsi="Arial" w:eastAsia="宋体" w:cs="Arial"/>
          <w:sz w:val="24"/>
          <w:szCs w:val="24"/>
        </w:rPr>
      </w:pPr>
      <w:r>
        <w:rPr>
          <w:rFonts w:ascii="Arial" w:hAnsi="Arial" w:eastAsia="宋体" w:cs="Arial"/>
          <w:sz w:val="24"/>
          <w:szCs w:val="24"/>
        </w:rPr>
        <w:t>您是否完成了风险分析，考虑了所有相关信息来源，包括您本人具备的风险和（您认为您的器械存在的）失效模式知识，通常归因于该基本器械类型的风险，以及类似上市器械的上市后信息？上市后信息可以通过已发表的文献以及CDRH生产商和使用机构器械使用经历（MAUDE）数据库查询。</w:t>
      </w:r>
    </w:p>
    <w:p w14:paraId="562949CF">
      <w:pPr>
        <w:pStyle w:val="20"/>
        <w:shd w:val="clear" w:color="auto" w:fill="auto"/>
        <w:snapToGrid w:val="0"/>
        <w:spacing w:before="163" w:beforeLines="50" w:after="0" w:line="300" w:lineRule="auto"/>
        <w:ind w:left="1330" w:leftChars="554" w:firstLine="0"/>
        <w:jc w:val="both"/>
        <w:rPr>
          <w:rFonts w:ascii="Arial" w:hAnsi="Arial" w:eastAsia="宋体" w:cs="Arial"/>
          <w:sz w:val="24"/>
          <w:szCs w:val="24"/>
          <w:lang w:eastAsia="en-US"/>
        </w:rPr>
      </w:pPr>
      <w:r>
        <w:rPr>
          <w:rFonts w:ascii="Arial" w:hAnsi="Arial" w:eastAsia="宋体" w:cs="Arial"/>
          <w:sz w:val="24"/>
          <w:szCs w:val="24"/>
          <w:u w:val="single"/>
        </w:rPr>
        <w:t>（</w:t>
      </w:r>
      <w:r>
        <w:rPr>
          <w:rFonts w:ascii="Arial" w:hAnsi="Arial" w:eastAsia="宋体" w:cs="Arial"/>
          <w:color w:val="0000FF"/>
          <w:sz w:val="24"/>
          <w:szCs w:val="24"/>
          <w:u w:val="single"/>
        </w:rPr>
        <w:t>http://www.accessdata.fda.gov/scripts/cdrh/cfdocs/cfMAUDE/search.CFM</w:t>
      </w:r>
      <w:r>
        <w:rPr>
          <w:rFonts w:ascii="Arial" w:hAnsi="Arial" w:eastAsia="宋体" w:cs="Arial"/>
          <w:sz w:val="24"/>
          <w:szCs w:val="24"/>
          <w:u w:val="single"/>
        </w:rPr>
        <w:t>）。</w:t>
      </w:r>
    </w:p>
    <w:p w14:paraId="7BBD72CA">
      <w:pPr>
        <w:pStyle w:val="20"/>
        <w:numPr>
          <w:ilvl w:val="0"/>
          <w:numId w:val="13"/>
        </w:numPr>
        <w:shd w:val="clear" w:color="auto" w:fill="auto"/>
        <w:tabs>
          <w:tab w:val="left" w:pos="1440"/>
        </w:tabs>
        <w:snapToGrid w:val="0"/>
        <w:spacing w:before="163" w:beforeLines="50" w:after="0" w:line="300" w:lineRule="auto"/>
        <w:ind w:left="1080"/>
        <w:jc w:val="both"/>
        <w:rPr>
          <w:rFonts w:ascii="Arial" w:hAnsi="Arial" w:eastAsia="宋体" w:cs="Arial"/>
          <w:sz w:val="24"/>
          <w:szCs w:val="24"/>
        </w:rPr>
      </w:pPr>
      <w:r>
        <w:rPr>
          <w:rFonts w:ascii="Arial" w:hAnsi="Arial" w:eastAsia="宋体" w:cs="Arial"/>
          <w:sz w:val="24"/>
          <w:szCs w:val="24"/>
        </w:rPr>
        <w:t>如果是，进入第2步。</w:t>
      </w:r>
    </w:p>
    <w:p w14:paraId="37843D3A">
      <w:pPr>
        <w:pStyle w:val="20"/>
        <w:numPr>
          <w:ilvl w:val="0"/>
          <w:numId w:val="13"/>
        </w:numPr>
        <w:shd w:val="clear" w:color="auto" w:fill="auto"/>
        <w:tabs>
          <w:tab w:val="left" w:pos="1440"/>
        </w:tabs>
        <w:snapToGrid w:val="0"/>
        <w:spacing w:before="163" w:beforeLines="50" w:after="0" w:line="300" w:lineRule="auto"/>
        <w:ind w:left="1080"/>
        <w:jc w:val="both"/>
        <w:rPr>
          <w:rFonts w:ascii="Arial" w:hAnsi="Arial" w:eastAsia="宋体" w:cs="Arial"/>
          <w:sz w:val="24"/>
          <w:szCs w:val="24"/>
        </w:rPr>
      </w:pPr>
      <w:r>
        <w:rPr>
          <w:rFonts w:ascii="Arial" w:hAnsi="Arial" w:eastAsia="宋体" w:cs="Arial"/>
          <w:sz w:val="24"/>
          <w:szCs w:val="24"/>
        </w:rPr>
        <w:t>如果不是，我们建议您完成风险分析后再进入第2步。</w:t>
      </w:r>
    </w:p>
    <w:p w14:paraId="376CA4FE">
      <w:pPr>
        <w:pStyle w:val="20"/>
        <w:numPr>
          <w:ilvl w:val="0"/>
          <w:numId w:val="12"/>
        </w:numPr>
        <w:shd w:val="clear" w:color="auto" w:fill="auto"/>
        <w:tabs>
          <w:tab w:val="left" w:pos="1302"/>
        </w:tabs>
        <w:snapToGrid w:val="0"/>
        <w:spacing w:before="163" w:beforeLines="50" w:after="0" w:line="300" w:lineRule="auto"/>
        <w:ind w:left="1298" w:leftChars="308" w:hanging="559" w:hangingChars="233"/>
        <w:jc w:val="both"/>
        <w:rPr>
          <w:rFonts w:ascii="Arial" w:hAnsi="Arial" w:eastAsia="宋体" w:cs="Arial"/>
          <w:sz w:val="24"/>
          <w:szCs w:val="24"/>
        </w:rPr>
      </w:pPr>
      <w:r>
        <w:rPr>
          <w:rFonts w:ascii="Arial" w:hAnsi="Arial" w:eastAsia="宋体" w:cs="Arial"/>
          <w:sz w:val="24"/>
          <w:szCs w:val="24"/>
        </w:rPr>
        <w:t>是否在可行的范围内用</w:t>
      </w:r>
      <w:r>
        <w:rPr>
          <w:rFonts w:ascii="Arial" w:hAnsi="Arial" w:eastAsia="宋体" w:cs="Arial"/>
          <w:b/>
          <w:bCs/>
          <w:sz w:val="24"/>
          <w:szCs w:val="24"/>
        </w:rPr>
        <w:t>最终设计</w:t>
      </w:r>
      <w:r>
        <w:rPr>
          <w:rFonts w:ascii="Arial" w:hAnsi="Arial" w:eastAsia="宋体" w:cs="Arial"/>
          <w:sz w:val="24"/>
          <w:szCs w:val="24"/>
        </w:rPr>
        <w:t>迭代法（即推荐的已上市器械）对所有有价值的风险进行了分析？</w:t>
      </w:r>
    </w:p>
    <w:p w14:paraId="5D167513">
      <w:pPr>
        <w:pStyle w:val="20"/>
        <w:numPr>
          <w:ilvl w:val="0"/>
          <w:numId w:val="14"/>
        </w:numPr>
        <w:shd w:val="clear" w:color="auto" w:fill="auto"/>
        <w:tabs>
          <w:tab w:val="left" w:pos="1440"/>
        </w:tabs>
        <w:snapToGrid w:val="0"/>
        <w:spacing w:before="163" w:beforeLines="50" w:after="0" w:line="300" w:lineRule="auto"/>
        <w:ind w:left="1080"/>
        <w:jc w:val="both"/>
        <w:rPr>
          <w:rFonts w:ascii="Arial" w:hAnsi="Arial" w:eastAsia="宋体" w:cs="Arial"/>
          <w:sz w:val="24"/>
          <w:szCs w:val="24"/>
          <w:lang w:eastAsia="en-US"/>
        </w:rPr>
      </w:pPr>
      <w:r>
        <w:rPr>
          <w:rFonts w:ascii="Arial" w:hAnsi="Arial" w:eastAsia="宋体" w:cs="Arial"/>
          <w:sz w:val="24"/>
          <w:szCs w:val="24"/>
        </w:rPr>
        <w:t>如果是，进入第3步。</w:t>
      </w:r>
    </w:p>
    <w:p w14:paraId="2E1ED8E6">
      <w:pPr>
        <w:pStyle w:val="20"/>
        <w:numPr>
          <w:ilvl w:val="0"/>
          <w:numId w:val="14"/>
        </w:numPr>
        <w:shd w:val="clear" w:color="auto" w:fill="auto"/>
        <w:tabs>
          <w:tab w:val="left" w:pos="1470"/>
        </w:tabs>
        <w:snapToGrid w:val="0"/>
        <w:spacing w:before="163" w:beforeLines="50" w:after="0" w:line="300" w:lineRule="auto"/>
        <w:ind w:left="1466" w:leftChars="466" w:hanging="348" w:hangingChars="145"/>
        <w:jc w:val="both"/>
        <w:rPr>
          <w:rFonts w:ascii="Arial" w:hAnsi="Arial" w:eastAsia="宋体" w:cs="Arial"/>
          <w:sz w:val="24"/>
          <w:szCs w:val="24"/>
        </w:rPr>
      </w:pPr>
      <w:r>
        <w:rPr>
          <w:rFonts w:ascii="Arial" w:hAnsi="Arial" w:eastAsia="宋体" w:cs="Arial"/>
          <w:sz w:val="24"/>
          <w:szCs w:val="24"/>
        </w:rPr>
        <w:t>如果不是且可行，我们建议在进入步骤3之前，用最终器械设计完成台架试验。</w:t>
      </w:r>
    </w:p>
    <w:p w14:paraId="77FEEFAE">
      <w:pPr>
        <w:pStyle w:val="20"/>
        <w:numPr>
          <w:ilvl w:val="0"/>
          <w:numId w:val="12"/>
        </w:numPr>
        <w:shd w:val="clear" w:color="auto" w:fill="auto"/>
        <w:tabs>
          <w:tab w:val="left" w:pos="1302"/>
        </w:tabs>
        <w:snapToGrid w:val="0"/>
        <w:spacing w:before="163" w:beforeLines="50" w:after="0" w:line="300" w:lineRule="auto"/>
        <w:ind w:left="1298" w:leftChars="308" w:hanging="559" w:hangingChars="233"/>
        <w:jc w:val="both"/>
        <w:rPr>
          <w:rFonts w:ascii="Arial" w:hAnsi="Arial" w:eastAsia="宋体" w:cs="Arial"/>
          <w:sz w:val="24"/>
          <w:szCs w:val="24"/>
        </w:rPr>
      </w:pPr>
      <w:r>
        <w:rPr>
          <w:rFonts w:ascii="Arial" w:hAnsi="Arial" w:eastAsia="宋体" w:cs="Arial"/>
          <w:sz w:val="24"/>
          <w:szCs w:val="24"/>
        </w:rPr>
        <w:t>风险分析结果显示有无必要用动物研究评估潜在的安全性问题？</w:t>
      </w:r>
    </w:p>
    <w:p w14:paraId="1CA61269">
      <w:pPr>
        <w:pStyle w:val="40"/>
        <w:numPr>
          <w:ilvl w:val="0"/>
          <w:numId w:val="15"/>
        </w:numPr>
        <w:shd w:val="clear" w:color="auto" w:fill="auto"/>
        <w:tabs>
          <w:tab w:val="left" w:pos="1435"/>
        </w:tabs>
        <w:snapToGrid w:val="0"/>
        <w:spacing w:before="50" w:after="0" w:line="300" w:lineRule="auto"/>
        <w:ind w:left="1080"/>
        <w:jc w:val="both"/>
        <w:rPr>
          <w:rFonts w:ascii="Arial" w:hAnsi="Arial" w:eastAsia="宋体" w:cs="Arial"/>
          <w:sz w:val="24"/>
          <w:szCs w:val="24"/>
          <w:lang w:eastAsia="en-US"/>
        </w:rPr>
      </w:pPr>
      <w:r>
        <w:rPr>
          <w:rFonts w:ascii="Arial" w:hAnsi="Arial" w:eastAsia="宋体" w:cs="Arial"/>
          <w:sz w:val="24"/>
          <w:szCs w:val="24"/>
        </w:rPr>
        <w:t>如果是，进入第4步。</w:t>
      </w:r>
    </w:p>
    <w:p w14:paraId="7226716F">
      <w:pPr>
        <w:pStyle w:val="40"/>
        <w:numPr>
          <w:ilvl w:val="0"/>
          <w:numId w:val="15"/>
        </w:numPr>
        <w:shd w:val="clear" w:color="auto" w:fill="auto"/>
        <w:tabs>
          <w:tab w:val="left" w:pos="1445"/>
        </w:tabs>
        <w:snapToGrid w:val="0"/>
        <w:spacing w:before="50" w:after="0" w:line="300" w:lineRule="auto"/>
        <w:ind w:left="1080"/>
        <w:jc w:val="both"/>
        <w:rPr>
          <w:rFonts w:ascii="Arial" w:hAnsi="Arial" w:eastAsia="宋体" w:cs="Arial"/>
          <w:sz w:val="24"/>
          <w:szCs w:val="24"/>
        </w:rPr>
      </w:pPr>
      <w:r>
        <w:rPr>
          <w:rFonts w:ascii="Arial" w:hAnsi="Arial" w:eastAsia="宋体" w:cs="Arial"/>
          <w:sz w:val="24"/>
          <w:szCs w:val="24"/>
        </w:rPr>
        <w:t>如果不是，考虑提交预</w:t>
      </w:r>
      <w:r>
        <w:rPr>
          <w:rFonts w:hint="eastAsia" w:ascii="Arial" w:hAnsi="Arial" w:eastAsia="宋体" w:cs="Arial"/>
          <w:sz w:val="24"/>
          <w:szCs w:val="24"/>
        </w:rPr>
        <w:t>提交</w:t>
      </w:r>
      <w:r>
        <w:rPr>
          <w:rFonts w:ascii="Arial" w:hAnsi="Arial" w:eastAsia="宋体" w:cs="Arial"/>
          <w:sz w:val="24"/>
          <w:szCs w:val="24"/>
        </w:rPr>
        <w:t>资料</w:t>
      </w:r>
      <w:r>
        <w:rPr>
          <w:rFonts w:ascii="Arial" w:hAnsi="Arial" w:eastAsia="宋体" w:cs="Arial"/>
          <w:sz w:val="24"/>
          <w:szCs w:val="24"/>
          <w:vertAlign w:val="superscript"/>
        </w:rPr>
        <w:t>13</w:t>
      </w:r>
      <w:r>
        <w:rPr>
          <w:rFonts w:ascii="Arial" w:hAnsi="Arial" w:eastAsia="宋体" w:cs="Arial"/>
          <w:sz w:val="24"/>
          <w:szCs w:val="24"/>
        </w:rPr>
        <w:t>并要求FDA进行反馈。</w:t>
      </w:r>
    </w:p>
    <w:p w14:paraId="2FF8C6E6">
      <w:pPr>
        <w:pStyle w:val="20"/>
        <w:numPr>
          <w:ilvl w:val="0"/>
          <w:numId w:val="12"/>
        </w:numPr>
        <w:shd w:val="clear" w:color="auto" w:fill="auto"/>
        <w:tabs>
          <w:tab w:val="left" w:pos="1302"/>
        </w:tabs>
        <w:snapToGrid w:val="0"/>
        <w:spacing w:before="163" w:beforeLines="50" w:after="0" w:line="300" w:lineRule="auto"/>
        <w:ind w:left="1298" w:leftChars="308" w:hanging="559" w:hangingChars="233"/>
        <w:jc w:val="both"/>
        <w:rPr>
          <w:rFonts w:ascii="Arial" w:hAnsi="Arial" w:eastAsia="宋体" w:cs="Arial"/>
          <w:sz w:val="24"/>
          <w:szCs w:val="24"/>
        </w:rPr>
      </w:pPr>
      <w:r>
        <w:rPr>
          <w:rFonts w:ascii="Arial" w:hAnsi="Arial" w:eastAsia="宋体" w:cs="Arial"/>
          <w:sz w:val="24"/>
          <w:szCs w:val="24"/>
        </w:rPr>
        <w:t>是否已有针对您正在测试的该类器械的成熟的动物模型（比如文献中提到或者支持放行或批准某种类似器械用于同一适应症）？</w:t>
      </w:r>
    </w:p>
    <w:p w14:paraId="7466BC28">
      <w:pPr>
        <w:pStyle w:val="40"/>
        <w:numPr>
          <w:ilvl w:val="0"/>
          <w:numId w:val="16"/>
        </w:numPr>
        <w:shd w:val="clear" w:color="auto" w:fill="auto"/>
        <w:tabs>
          <w:tab w:val="left" w:pos="1435"/>
        </w:tabs>
        <w:snapToGrid w:val="0"/>
        <w:spacing w:before="50" w:after="0" w:line="300" w:lineRule="auto"/>
        <w:ind w:left="1080"/>
        <w:jc w:val="both"/>
        <w:rPr>
          <w:rFonts w:ascii="Arial" w:hAnsi="Arial" w:eastAsia="宋体" w:cs="Arial"/>
          <w:sz w:val="24"/>
          <w:szCs w:val="24"/>
          <w:lang w:eastAsia="en-US"/>
        </w:rPr>
      </w:pPr>
      <w:r>
        <w:rPr>
          <w:rFonts w:ascii="Arial" w:hAnsi="Arial" w:eastAsia="宋体" w:cs="Arial"/>
          <w:sz w:val="24"/>
          <w:szCs w:val="24"/>
        </w:rPr>
        <w:t>如果是，进入第5步。</w:t>
      </w:r>
    </w:p>
    <w:p w14:paraId="36D821FA">
      <w:pPr>
        <w:pStyle w:val="40"/>
        <w:numPr>
          <w:ilvl w:val="0"/>
          <w:numId w:val="16"/>
        </w:numPr>
        <w:shd w:val="clear" w:color="auto" w:fill="auto"/>
        <w:tabs>
          <w:tab w:val="left" w:pos="1435"/>
        </w:tabs>
        <w:snapToGrid w:val="0"/>
        <w:spacing w:before="50" w:after="0" w:line="300" w:lineRule="auto"/>
        <w:ind w:left="1466" w:leftChars="466" w:hanging="348" w:hangingChars="145"/>
        <w:jc w:val="both"/>
        <w:rPr>
          <w:rFonts w:ascii="Arial" w:hAnsi="Arial" w:eastAsia="宋体" w:cs="Arial"/>
          <w:sz w:val="24"/>
          <w:szCs w:val="24"/>
        </w:rPr>
      </w:pPr>
      <w:r>
        <w:rPr>
          <w:rFonts w:ascii="Arial" w:hAnsi="Arial" w:eastAsia="宋体" w:cs="Arial"/>
          <w:sz w:val="24"/>
          <w:szCs w:val="24"/>
        </w:rPr>
        <w:t>如果不是，您是否针对常用实验动物物种（比如小型有蹄家畜、犬和非人灵长类）的体型和手术方法特点进行过解剖学和生理学评估（比如血管造影、</w:t>
      </w:r>
      <w:r>
        <w:rPr>
          <w:rFonts w:hint="eastAsia" w:ascii="Arial" w:hAnsi="Arial" w:eastAsia="宋体" w:cs="Arial"/>
          <w:sz w:val="24"/>
          <w:szCs w:val="24"/>
        </w:rPr>
        <w:t>发射学照相术</w:t>
      </w:r>
      <w:r>
        <w:rPr>
          <w:rFonts w:ascii="Arial" w:hAnsi="Arial" w:eastAsia="宋体" w:cs="Arial"/>
          <w:sz w:val="24"/>
          <w:szCs w:val="24"/>
        </w:rPr>
        <w:t>和CT扫描）？</w:t>
      </w:r>
    </w:p>
    <w:p w14:paraId="096CB0E6">
      <w:pPr>
        <w:pStyle w:val="40"/>
        <w:numPr>
          <w:ilvl w:val="0"/>
          <w:numId w:val="17"/>
        </w:numPr>
        <w:shd w:val="clear" w:color="auto" w:fill="auto"/>
        <w:tabs>
          <w:tab w:val="left" w:pos="1800"/>
        </w:tabs>
        <w:snapToGrid w:val="0"/>
        <w:spacing w:before="163" w:beforeLines="50" w:after="0" w:line="300" w:lineRule="auto"/>
        <w:ind w:left="1440"/>
        <w:jc w:val="both"/>
        <w:rPr>
          <w:rFonts w:ascii="Arial" w:hAnsi="Arial" w:eastAsia="宋体" w:cs="Arial"/>
          <w:sz w:val="24"/>
          <w:szCs w:val="24"/>
        </w:rPr>
      </w:pPr>
      <w:r>
        <w:rPr>
          <w:rFonts w:ascii="Arial" w:hAnsi="Arial" w:eastAsia="宋体" w:cs="Arial"/>
          <w:sz w:val="24"/>
          <w:szCs w:val="24"/>
        </w:rPr>
        <w:t>如果是，而且您确定适用某种动物模型，进入第5步。</w:t>
      </w:r>
    </w:p>
    <w:p w14:paraId="11018F07">
      <w:pPr>
        <w:pStyle w:val="20"/>
        <w:numPr>
          <w:ilvl w:val="0"/>
          <w:numId w:val="17"/>
        </w:numPr>
        <w:shd w:val="clear" w:color="auto" w:fill="auto"/>
        <w:snapToGrid w:val="0"/>
        <w:spacing w:before="163" w:beforeLines="50" w:after="0" w:line="300" w:lineRule="auto"/>
        <w:ind w:left="1706" w:leftChars="591" w:hanging="288" w:hangingChars="120"/>
        <w:jc w:val="both"/>
        <w:rPr>
          <w:rFonts w:ascii="Arial" w:hAnsi="Arial" w:eastAsia="宋体" w:cs="Arial"/>
          <w:sz w:val="24"/>
          <w:szCs w:val="24"/>
        </w:rPr>
      </w:pPr>
      <w:r>
        <w:rPr>
          <w:rFonts w:ascii="Arial" w:hAnsi="Arial" w:eastAsia="宋体" w:cs="Arial"/>
          <w:sz w:val="24"/>
          <w:szCs w:val="24"/>
        </w:rPr>
        <w:t>如果是，且您通过风险分析确定存在重大问题，无法为建议进行的全部或部分动物研究找到一种合理的动物模型，FDA建议您联系</w:t>
      </w:r>
      <w:r>
        <w:rPr>
          <w:rFonts w:hint="eastAsia" w:ascii="Arial" w:hAnsi="Arial" w:eastAsia="宋体" w:cs="Arial"/>
          <w:sz w:val="24"/>
          <w:szCs w:val="24"/>
        </w:rPr>
        <w:t>机构</w:t>
      </w:r>
      <w:r>
        <w:rPr>
          <w:rFonts w:ascii="Arial" w:hAnsi="Arial" w:eastAsia="宋体" w:cs="Arial"/>
          <w:sz w:val="24"/>
          <w:szCs w:val="24"/>
        </w:rPr>
        <w:t>，在临床应用之前，经预</w:t>
      </w:r>
      <w:r>
        <w:rPr>
          <w:rFonts w:hint="eastAsia" w:ascii="Arial" w:hAnsi="Arial" w:eastAsia="宋体" w:cs="Arial"/>
          <w:sz w:val="24"/>
          <w:szCs w:val="24"/>
        </w:rPr>
        <w:t>提交</w:t>
      </w:r>
      <w:r>
        <w:rPr>
          <w:rFonts w:ascii="Arial" w:hAnsi="Arial" w:eastAsia="宋体" w:cs="Arial"/>
          <w:sz w:val="24"/>
          <w:szCs w:val="24"/>
        </w:rPr>
        <w:t>程序对这些问题以及收集证实器械的安全性和性能令人满意的证据的其他方法进行讨论。请注意，FDA相信此类情况不常见。作为该讨论的一部分，您应当提出动物研究不可行的所有可用证据，提出其他解决方案，包括所有可用的模拟、尸体研究和从美国以外采集的临床信息。还要注意的是，FDA一般不认为费用高是不进行动物研究的充分理由。</w:t>
      </w:r>
    </w:p>
    <w:p w14:paraId="370B19D2">
      <w:pPr>
        <w:pStyle w:val="20"/>
        <w:numPr>
          <w:ilvl w:val="0"/>
          <w:numId w:val="17"/>
        </w:numPr>
        <w:shd w:val="clear" w:color="auto" w:fill="auto"/>
        <w:snapToGrid w:val="0"/>
        <w:spacing w:before="163" w:beforeLines="50" w:after="0" w:line="300" w:lineRule="auto"/>
        <w:ind w:left="1706" w:leftChars="591" w:hanging="288" w:hangingChars="120"/>
        <w:jc w:val="both"/>
        <w:rPr>
          <w:rFonts w:ascii="Arial" w:hAnsi="Arial" w:eastAsia="宋体" w:cs="Arial"/>
          <w:sz w:val="24"/>
          <w:szCs w:val="24"/>
        </w:rPr>
      </w:pPr>
      <w:r>
        <w:rPr>
          <w:rFonts w:ascii="Arial" w:hAnsi="Arial" w:eastAsia="宋体" w:cs="Arial"/>
          <w:sz w:val="24"/>
          <w:szCs w:val="24"/>
        </w:rPr>
        <w:t>如果不是，FDA建议您在进入第5步或第4.b.ii步之前，咨询有经验的实验动物兽医，确定常见实验物种的可用性和效用。</w:t>
      </w:r>
    </w:p>
    <w:p w14:paraId="6B7D312F">
      <w:pPr>
        <w:pStyle w:val="20"/>
        <w:numPr>
          <w:ilvl w:val="0"/>
          <w:numId w:val="12"/>
        </w:numPr>
        <w:shd w:val="clear" w:color="auto" w:fill="auto"/>
        <w:tabs>
          <w:tab w:val="left" w:pos="1302"/>
        </w:tabs>
        <w:snapToGrid w:val="0"/>
        <w:spacing w:before="163" w:beforeLines="50" w:after="0" w:line="300" w:lineRule="auto"/>
        <w:ind w:left="1298" w:leftChars="308" w:hanging="559" w:hangingChars="233"/>
        <w:jc w:val="both"/>
        <w:rPr>
          <w:rFonts w:ascii="Arial" w:hAnsi="Arial" w:eastAsia="宋体" w:cs="Arial"/>
          <w:sz w:val="24"/>
          <w:szCs w:val="24"/>
        </w:rPr>
      </w:pPr>
      <w:r>
        <w:rPr>
          <w:rFonts w:ascii="Arial" w:hAnsi="Arial" w:eastAsia="宋体" w:cs="Arial"/>
          <w:sz w:val="24"/>
          <w:szCs w:val="24"/>
        </w:rPr>
        <w:t>器械的某些特性能否导致研究终点异于之前用于同一拟定适应症的其他同类器械研究，或者是否有需要使用不同的或者其他的评价时间点或方法的新适应症？</w:t>
      </w:r>
    </w:p>
    <w:p w14:paraId="32B40904">
      <w:pPr>
        <w:pStyle w:val="20"/>
        <w:numPr>
          <w:ilvl w:val="0"/>
          <w:numId w:val="18"/>
        </w:numPr>
        <w:shd w:val="clear" w:color="auto" w:fill="auto"/>
        <w:tabs>
          <w:tab w:val="left" w:pos="1438"/>
        </w:tabs>
        <w:snapToGrid w:val="0"/>
        <w:spacing w:before="163" w:beforeLines="50" w:after="0" w:line="300" w:lineRule="auto"/>
        <w:ind w:left="1440"/>
        <w:jc w:val="both"/>
        <w:rPr>
          <w:rFonts w:ascii="Arial" w:hAnsi="Arial" w:eastAsia="宋体" w:cs="Arial"/>
          <w:sz w:val="24"/>
          <w:szCs w:val="24"/>
        </w:rPr>
      </w:pPr>
      <w:r>
        <w:rPr>
          <w:rFonts w:ascii="Arial" w:hAnsi="Arial" w:eastAsia="宋体" w:cs="Arial"/>
          <w:sz w:val="24"/>
          <w:szCs w:val="24"/>
        </w:rPr>
        <w:t>如果是，您应当明确新节点、时间点和方法，随后进入第6步。</w:t>
      </w:r>
    </w:p>
    <w:p w14:paraId="13236D9C">
      <w:pPr>
        <w:pStyle w:val="20"/>
        <w:numPr>
          <w:ilvl w:val="0"/>
          <w:numId w:val="18"/>
        </w:numPr>
        <w:shd w:val="clear" w:color="auto" w:fill="auto"/>
        <w:tabs>
          <w:tab w:val="left" w:pos="1438"/>
        </w:tabs>
        <w:snapToGrid w:val="0"/>
        <w:spacing w:before="163" w:beforeLines="50" w:after="0" w:line="300" w:lineRule="auto"/>
        <w:ind w:left="1440"/>
        <w:jc w:val="both"/>
        <w:rPr>
          <w:rFonts w:ascii="Arial" w:hAnsi="Arial" w:eastAsia="宋体" w:cs="Arial"/>
          <w:sz w:val="24"/>
          <w:szCs w:val="24"/>
        </w:rPr>
      </w:pPr>
      <w:r>
        <w:rPr>
          <w:rFonts w:ascii="Arial" w:hAnsi="Arial" w:eastAsia="宋体" w:cs="Arial"/>
          <w:sz w:val="24"/>
          <w:szCs w:val="24"/>
        </w:rPr>
        <w:t>如果不是，FDA建议您使用已报告的类似器械的节点、时间点和方法，随后进入步骤6。</w:t>
      </w:r>
    </w:p>
    <w:p w14:paraId="37BE4E3A">
      <w:pPr>
        <w:pStyle w:val="20"/>
        <w:numPr>
          <w:ilvl w:val="0"/>
          <w:numId w:val="12"/>
        </w:numPr>
        <w:shd w:val="clear" w:color="auto" w:fill="auto"/>
        <w:tabs>
          <w:tab w:val="left" w:pos="1302"/>
        </w:tabs>
        <w:snapToGrid w:val="0"/>
        <w:spacing w:before="163" w:beforeLines="50" w:after="0" w:line="300" w:lineRule="auto"/>
        <w:ind w:left="1298" w:leftChars="308" w:hanging="559" w:hangingChars="233"/>
        <w:jc w:val="both"/>
        <w:rPr>
          <w:rFonts w:ascii="Arial" w:hAnsi="Arial" w:eastAsia="宋体" w:cs="Arial"/>
          <w:sz w:val="24"/>
          <w:szCs w:val="24"/>
        </w:rPr>
      </w:pPr>
      <w:r>
        <w:rPr>
          <w:rFonts w:ascii="Arial" w:hAnsi="Arial" w:eastAsia="宋体" w:cs="Arial"/>
          <w:sz w:val="24"/>
          <w:szCs w:val="24"/>
        </w:rPr>
        <w:t>是否知道由于研究者所接受的培训以及对该器械的熟悉程度，或者器械的放置或耐受性方面的固有问题等因素，该器械的动物反应存在高变异性？</w:t>
      </w:r>
    </w:p>
    <w:p w14:paraId="7FC5C11E">
      <w:pPr>
        <w:pStyle w:val="20"/>
        <w:numPr>
          <w:ilvl w:val="0"/>
          <w:numId w:val="19"/>
        </w:numPr>
        <w:shd w:val="clear" w:color="auto" w:fill="auto"/>
        <w:tabs>
          <w:tab w:val="left" w:pos="1438"/>
        </w:tabs>
        <w:snapToGrid w:val="0"/>
        <w:spacing w:before="163" w:beforeLines="50" w:after="0" w:line="300" w:lineRule="auto"/>
        <w:ind w:left="1440"/>
        <w:jc w:val="both"/>
        <w:rPr>
          <w:rFonts w:ascii="Arial" w:hAnsi="Arial" w:eastAsia="宋体" w:cs="Arial"/>
          <w:sz w:val="24"/>
          <w:szCs w:val="24"/>
        </w:rPr>
      </w:pPr>
      <w:r>
        <w:rPr>
          <w:rFonts w:ascii="Arial" w:hAnsi="Arial" w:eastAsia="宋体" w:cs="Arial"/>
          <w:sz w:val="24"/>
          <w:szCs w:val="24"/>
        </w:rPr>
        <w:t>如果您已经进行了组织研究，确定不存在明显的学习曲线或者预测无动物反应变异性，则进入第7步。</w:t>
      </w:r>
    </w:p>
    <w:p w14:paraId="602544E8">
      <w:pPr>
        <w:pStyle w:val="20"/>
        <w:numPr>
          <w:ilvl w:val="0"/>
          <w:numId w:val="19"/>
        </w:numPr>
        <w:shd w:val="clear" w:color="auto" w:fill="auto"/>
        <w:snapToGrid w:val="0"/>
        <w:spacing w:before="163" w:beforeLines="50" w:after="0" w:line="300" w:lineRule="auto"/>
        <w:ind w:left="1440"/>
        <w:jc w:val="both"/>
        <w:rPr>
          <w:rFonts w:ascii="Arial" w:hAnsi="Arial" w:eastAsia="宋体" w:cs="Arial"/>
          <w:sz w:val="24"/>
          <w:szCs w:val="24"/>
        </w:rPr>
      </w:pPr>
      <w:r>
        <w:rPr>
          <w:rFonts w:ascii="Arial" w:hAnsi="Arial" w:eastAsia="宋体" w:cs="Arial"/>
          <w:sz w:val="24"/>
          <w:szCs w:val="24"/>
        </w:rPr>
        <w:t xml:space="preserve"> 如果有来自</w:t>
      </w:r>
      <w:r>
        <w:rPr>
          <w:rStyle w:val="31"/>
          <w:rFonts w:ascii="Arial" w:hAnsi="Arial" w:eastAsia="宋体" w:cs="Arial"/>
          <w:lang w:eastAsia="zh-CN"/>
        </w:rPr>
        <w:t>体内</w:t>
      </w:r>
      <w:r>
        <w:rPr>
          <w:rFonts w:ascii="Arial" w:hAnsi="Arial" w:eastAsia="宋体" w:cs="Arial"/>
          <w:sz w:val="24"/>
          <w:szCs w:val="24"/>
        </w:rPr>
        <w:t>或</w:t>
      </w:r>
      <w:r>
        <w:rPr>
          <w:rStyle w:val="31"/>
          <w:rFonts w:ascii="Arial" w:hAnsi="Arial" w:eastAsia="宋体" w:cs="Arial"/>
          <w:lang w:eastAsia="zh-CN"/>
        </w:rPr>
        <w:t>体外</w:t>
      </w:r>
      <w:r>
        <w:rPr>
          <w:rFonts w:ascii="Arial" w:hAnsi="Arial" w:eastAsia="宋体" w:cs="Arial"/>
          <w:sz w:val="24"/>
          <w:szCs w:val="24"/>
        </w:rPr>
        <w:t>研究的证据表明，存在明显、可显著增大动物反应变异性的学习曲线效应，FDA建议在进行关键动物研究和进入第7步之前，进行动物研究预试验或概念验证以评价该问题。</w:t>
      </w:r>
    </w:p>
    <w:p w14:paraId="63E3CF80">
      <w:pPr>
        <w:pStyle w:val="20"/>
        <w:numPr>
          <w:ilvl w:val="0"/>
          <w:numId w:val="12"/>
        </w:numPr>
        <w:shd w:val="clear" w:color="auto" w:fill="auto"/>
        <w:tabs>
          <w:tab w:val="left" w:pos="1302"/>
        </w:tabs>
        <w:snapToGrid w:val="0"/>
        <w:spacing w:before="163" w:beforeLines="50" w:after="0" w:line="300" w:lineRule="auto"/>
        <w:ind w:left="1298" w:leftChars="308" w:hanging="559" w:hangingChars="233"/>
        <w:jc w:val="both"/>
        <w:rPr>
          <w:rFonts w:ascii="Arial" w:hAnsi="Arial" w:eastAsia="宋体" w:cs="Arial"/>
          <w:sz w:val="24"/>
          <w:szCs w:val="24"/>
        </w:rPr>
      </w:pPr>
      <w:r>
        <w:rPr>
          <w:rFonts w:ascii="Arial" w:hAnsi="Arial" w:eastAsia="宋体" w:cs="Arial"/>
          <w:sz w:val="24"/>
          <w:szCs w:val="24"/>
        </w:rPr>
        <w:t>在考虑所有上述问题之后，如果您期望FDA对您拟定的动物研究策略进行反馈，FDA建议您提交一份预</w:t>
      </w:r>
      <w:r>
        <w:rPr>
          <w:rFonts w:hint="eastAsia" w:ascii="Arial" w:hAnsi="Arial" w:eastAsia="宋体" w:cs="Arial"/>
          <w:sz w:val="24"/>
          <w:szCs w:val="24"/>
        </w:rPr>
        <w:t>提交</w:t>
      </w:r>
      <w:r>
        <w:rPr>
          <w:rFonts w:ascii="Arial" w:hAnsi="Arial" w:eastAsia="宋体" w:cs="Arial"/>
          <w:sz w:val="24"/>
          <w:szCs w:val="24"/>
        </w:rPr>
        <w:t>资料</w:t>
      </w:r>
      <w:r>
        <w:rPr>
          <w:rFonts w:ascii="Arial" w:hAnsi="Arial" w:eastAsia="宋体" w:cs="Arial"/>
          <w:sz w:val="24"/>
          <w:szCs w:val="24"/>
          <w:vertAlign w:val="superscript"/>
        </w:rPr>
        <w:t>13</w:t>
      </w:r>
      <w:r>
        <w:rPr>
          <w:rFonts w:ascii="Arial" w:hAnsi="Arial" w:eastAsia="宋体" w:cs="Arial"/>
          <w:sz w:val="24"/>
          <w:szCs w:val="24"/>
        </w:rPr>
        <w:t>，内含您关于关键动物研究的提案。该提案应当详细论述经活体动态观察以及针对大体病理学和组织病理学识别的风险的所有评估方法，包括您期望FDA输入的所有具体问题。</w:t>
      </w:r>
    </w:p>
    <w:p w14:paraId="5D532795">
      <w:pPr>
        <w:pStyle w:val="20"/>
        <w:shd w:val="clear" w:color="auto" w:fill="auto"/>
        <w:tabs>
          <w:tab w:val="left" w:pos="743"/>
        </w:tabs>
        <w:snapToGrid w:val="0"/>
        <w:spacing w:before="163" w:beforeLines="50" w:after="0" w:line="300" w:lineRule="auto"/>
        <w:ind w:left="720" w:firstLine="0"/>
        <w:jc w:val="both"/>
        <w:rPr>
          <w:rFonts w:ascii="Arial" w:hAnsi="Arial" w:eastAsia="宋体" w:cs="Arial"/>
          <w:sz w:val="24"/>
          <w:szCs w:val="24"/>
        </w:rPr>
      </w:pPr>
    </w:p>
    <w:p w14:paraId="02730EA2">
      <w:pPr>
        <w:pStyle w:val="38"/>
        <w:snapToGrid w:val="0"/>
        <w:spacing w:line="300" w:lineRule="auto"/>
        <w:jc w:val="center"/>
        <w:outlineLvl w:val="0"/>
        <w:rPr>
          <w:rFonts w:ascii="Arial" w:hAnsi="Arial" w:eastAsia="宋体" w:cs="Arial"/>
          <w:sz w:val="24"/>
          <w:szCs w:val="24"/>
          <w:lang w:bidi="en-US"/>
        </w:rPr>
      </w:pPr>
      <w:r>
        <w:rPr>
          <w:rFonts w:ascii="Arial" w:hAnsi="Arial" w:eastAsia="宋体" w:cs="Arial"/>
          <w:sz w:val="24"/>
          <w:szCs w:val="24"/>
        </w:rPr>
        <w:br w:type="page"/>
      </w:r>
      <w:bookmarkStart w:id="151" w:name="_Toc495870792"/>
      <w:bookmarkStart w:id="152" w:name="bookmark69"/>
      <w:bookmarkStart w:id="153" w:name="_Toc496541671"/>
      <w:r>
        <w:rPr>
          <w:rFonts w:ascii="Arial" w:hAnsi="Arial" w:eastAsia="宋体" w:cs="Arial"/>
          <w:sz w:val="24"/>
          <w:szCs w:val="24"/>
        </w:rPr>
        <w:t>附录C：考虑推荐的动物研究对照</w:t>
      </w:r>
      <w:bookmarkEnd w:id="151"/>
      <w:bookmarkEnd w:id="152"/>
      <w:bookmarkEnd w:id="153"/>
    </w:p>
    <w:p w14:paraId="3AE05346">
      <w:pPr>
        <w:pStyle w:val="20"/>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21 CFR第58部分的要求（</w:t>
      </w:r>
      <w:r>
        <w:rPr>
          <w:rFonts w:hint="eastAsia" w:ascii="Arial" w:hAnsi="Arial" w:eastAsia="宋体" w:cs="Arial"/>
          <w:sz w:val="24"/>
          <w:szCs w:val="24"/>
        </w:rPr>
        <w:t>例</w:t>
      </w:r>
      <w:r>
        <w:rPr>
          <w:rFonts w:ascii="Arial" w:hAnsi="Arial" w:eastAsia="宋体" w:cs="Arial"/>
          <w:sz w:val="24"/>
          <w:szCs w:val="24"/>
        </w:rPr>
        <w:t>如按照标准操作规程、21 CFR 58.63和58.81（b）（11）对实验设备进行充分校准和维护，按照21 CFR 58.105、58.107（c）、58.120（a）（5）和58.130（c）对试验系统、供试品、对照品和从试验系统采集的所有</w:t>
      </w:r>
      <w:r>
        <w:rPr>
          <w:rFonts w:hint="eastAsia" w:ascii="Arial" w:hAnsi="Arial" w:eastAsia="宋体" w:cs="Arial"/>
          <w:sz w:val="24"/>
          <w:szCs w:val="24"/>
        </w:rPr>
        <w:t>样本</w:t>
      </w:r>
      <w:r>
        <w:rPr>
          <w:rFonts w:ascii="Arial" w:hAnsi="Arial" w:eastAsia="宋体" w:cs="Arial"/>
          <w:sz w:val="24"/>
          <w:szCs w:val="24"/>
        </w:rPr>
        <w:t>进行适当标识，以避免数据纪录和保存错误）旨在确保研究生成数据的质量和完整性。除上述要求外，我们建议您考虑实施下述对照，以帮助紧跟研究重点，明确目标，尽量减少可能影响研究成功的问题。</w:t>
      </w:r>
    </w:p>
    <w:p w14:paraId="7B718C6F">
      <w:pPr>
        <w:pStyle w:val="20"/>
        <w:numPr>
          <w:ilvl w:val="0"/>
          <w:numId w:val="3"/>
        </w:numPr>
        <w:shd w:val="clear" w:color="auto" w:fill="auto"/>
        <w:tabs>
          <w:tab w:val="left" w:pos="378"/>
        </w:tabs>
        <w:snapToGrid w:val="0"/>
        <w:spacing w:before="163" w:beforeLines="50" w:after="0" w:line="300" w:lineRule="auto"/>
        <w:ind w:left="362" w:hanging="362" w:hangingChars="151"/>
        <w:jc w:val="both"/>
        <w:rPr>
          <w:rFonts w:ascii="Arial" w:hAnsi="Arial" w:eastAsia="宋体" w:cs="Arial"/>
          <w:sz w:val="24"/>
          <w:szCs w:val="24"/>
        </w:rPr>
      </w:pPr>
      <w:r>
        <w:rPr>
          <w:rFonts w:ascii="Arial" w:hAnsi="Arial" w:eastAsia="宋体" w:cs="Arial"/>
          <w:sz w:val="24"/>
          <w:szCs w:val="24"/>
        </w:rPr>
        <w:t>可能时，使用预试验辅助选取最佳的时间点、动物数量和干预措施，减少混杂因素，优化动物应用。应当明确给出研究所用动物数量的理由。</w:t>
      </w:r>
    </w:p>
    <w:p w14:paraId="092DBE0C">
      <w:pPr>
        <w:pStyle w:val="20"/>
        <w:numPr>
          <w:ilvl w:val="0"/>
          <w:numId w:val="3"/>
        </w:numPr>
        <w:shd w:val="clear" w:color="auto" w:fill="auto"/>
        <w:tabs>
          <w:tab w:val="left" w:pos="354"/>
        </w:tabs>
        <w:snapToGrid w:val="0"/>
        <w:spacing w:before="163" w:beforeLines="50" w:after="0" w:line="300" w:lineRule="auto"/>
        <w:ind w:left="362" w:hanging="362" w:hangingChars="151"/>
        <w:jc w:val="both"/>
        <w:rPr>
          <w:rFonts w:ascii="Arial" w:hAnsi="Arial" w:eastAsia="宋体" w:cs="Arial"/>
          <w:sz w:val="24"/>
          <w:szCs w:val="24"/>
        </w:rPr>
      </w:pPr>
      <w:r>
        <w:rPr>
          <w:rFonts w:ascii="Arial" w:hAnsi="Arial" w:eastAsia="宋体" w:cs="Arial"/>
          <w:sz w:val="24"/>
          <w:szCs w:val="24"/>
        </w:rPr>
        <w:t>除按照21 CFR 58.120（a）的规定明确研究目的外，我们建议您根据临床相关风险（一般出现在您的风险评估计划中）制定成功的先验性</w:t>
      </w:r>
      <w:r>
        <w:rPr>
          <w:rFonts w:hint="eastAsia" w:ascii="Arial" w:hAnsi="Arial" w:eastAsia="宋体" w:cs="Arial"/>
          <w:sz w:val="24"/>
          <w:szCs w:val="24"/>
        </w:rPr>
        <w:t>验收</w:t>
      </w:r>
      <w:r>
        <w:rPr>
          <w:rFonts w:ascii="Arial" w:hAnsi="Arial" w:eastAsia="宋体" w:cs="Arial"/>
          <w:sz w:val="24"/>
          <w:szCs w:val="24"/>
        </w:rPr>
        <w:t>标准。应当明确这些标准的分析计划，还应当视情况</w:t>
      </w:r>
      <w:r>
        <w:rPr>
          <w:rFonts w:hint="eastAsia" w:ascii="Arial" w:hAnsi="Arial" w:eastAsia="宋体" w:cs="Arial"/>
          <w:sz w:val="24"/>
          <w:szCs w:val="24"/>
        </w:rPr>
        <w:t>提供将</w:t>
      </w:r>
      <w:r>
        <w:rPr>
          <w:rFonts w:ascii="Arial" w:hAnsi="Arial" w:eastAsia="宋体" w:cs="Arial"/>
          <w:sz w:val="24"/>
          <w:szCs w:val="24"/>
        </w:rPr>
        <w:t>使用的统计方法以及成功和失败的定义。如果使用半定量评分表，则明确</w:t>
      </w:r>
      <w:r>
        <w:rPr>
          <w:rFonts w:hint="eastAsia" w:ascii="Arial" w:hAnsi="Arial" w:eastAsia="宋体" w:cs="Arial"/>
          <w:sz w:val="24"/>
          <w:szCs w:val="24"/>
        </w:rPr>
        <w:t>“</w:t>
      </w:r>
      <w:r>
        <w:rPr>
          <w:rFonts w:ascii="Arial" w:hAnsi="Arial" w:eastAsia="宋体" w:cs="Arial"/>
          <w:sz w:val="24"/>
          <w:szCs w:val="24"/>
        </w:rPr>
        <w:t>成功/合格</w:t>
      </w:r>
      <w:r>
        <w:rPr>
          <w:rFonts w:hint="eastAsia" w:ascii="Arial" w:hAnsi="Arial" w:eastAsia="宋体" w:cs="Arial"/>
          <w:sz w:val="24"/>
          <w:szCs w:val="24"/>
        </w:rPr>
        <w:t>”</w:t>
      </w:r>
      <w:r>
        <w:rPr>
          <w:rFonts w:ascii="Arial" w:hAnsi="Arial" w:eastAsia="宋体" w:cs="Arial"/>
          <w:sz w:val="24"/>
          <w:szCs w:val="24"/>
        </w:rPr>
        <w:t>所需要的</w:t>
      </w:r>
      <w:r>
        <w:rPr>
          <w:rFonts w:hint="eastAsia" w:ascii="Arial" w:hAnsi="Arial" w:eastAsia="宋体" w:cs="Arial"/>
          <w:sz w:val="24"/>
          <w:szCs w:val="24"/>
        </w:rPr>
        <w:t>评分</w:t>
      </w:r>
      <w:r>
        <w:rPr>
          <w:rFonts w:ascii="Arial" w:hAnsi="Arial" w:eastAsia="宋体" w:cs="Arial"/>
          <w:sz w:val="24"/>
          <w:szCs w:val="24"/>
        </w:rPr>
        <w:t>，并给出您的科学依据。</w:t>
      </w:r>
    </w:p>
    <w:p w14:paraId="3C446627">
      <w:pPr>
        <w:pStyle w:val="20"/>
        <w:numPr>
          <w:ilvl w:val="0"/>
          <w:numId w:val="3"/>
        </w:numPr>
        <w:shd w:val="clear" w:color="auto" w:fill="auto"/>
        <w:tabs>
          <w:tab w:val="left" w:pos="354"/>
        </w:tabs>
        <w:snapToGrid w:val="0"/>
        <w:spacing w:before="163" w:beforeLines="50" w:after="0" w:line="300" w:lineRule="auto"/>
        <w:ind w:left="362" w:hanging="362" w:hangingChars="151"/>
        <w:jc w:val="both"/>
        <w:rPr>
          <w:rFonts w:ascii="Arial" w:hAnsi="Arial" w:eastAsia="宋体" w:cs="Arial"/>
          <w:sz w:val="24"/>
          <w:szCs w:val="24"/>
        </w:rPr>
      </w:pPr>
      <w:r>
        <w:rPr>
          <w:rFonts w:ascii="Arial" w:hAnsi="Arial" w:eastAsia="宋体" w:cs="Arial"/>
          <w:sz w:val="24"/>
          <w:szCs w:val="24"/>
        </w:rPr>
        <w:t>确保在纳入研究之前，在及时解释实验工作，进行兽医体检的基础上选择正常健康动物。</w:t>
      </w:r>
    </w:p>
    <w:p w14:paraId="17287794">
      <w:pPr>
        <w:pStyle w:val="20"/>
        <w:numPr>
          <w:ilvl w:val="0"/>
          <w:numId w:val="3"/>
        </w:numPr>
        <w:shd w:val="clear" w:color="auto" w:fill="auto"/>
        <w:tabs>
          <w:tab w:val="left" w:pos="354"/>
        </w:tabs>
        <w:snapToGrid w:val="0"/>
        <w:spacing w:before="163" w:beforeLines="50" w:after="0" w:line="300" w:lineRule="auto"/>
        <w:ind w:left="362" w:hanging="362" w:hangingChars="151"/>
        <w:jc w:val="both"/>
        <w:rPr>
          <w:rFonts w:ascii="Arial" w:hAnsi="Arial" w:eastAsia="宋体" w:cs="Arial"/>
          <w:sz w:val="24"/>
          <w:szCs w:val="24"/>
        </w:rPr>
      </w:pPr>
      <w:r>
        <w:rPr>
          <w:rFonts w:ascii="Arial" w:hAnsi="Arial" w:eastAsia="宋体" w:cs="Arial"/>
          <w:sz w:val="24"/>
          <w:szCs w:val="24"/>
        </w:rPr>
        <w:t>除21 CFR 58.90（g）要求定期分析饲料和饮水中有无已知污染物外，收录的保证试验物种营养充足的方法还有：</w:t>
      </w:r>
    </w:p>
    <w:p w14:paraId="0BBE1AA0">
      <w:pPr>
        <w:pStyle w:val="20"/>
        <w:numPr>
          <w:ilvl w:val="1"/>
          <w:numId w:val="20"/>
        </w:numPr>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 xml:space="preserve">按计划定期进行中期称重 </w:t>
      </w:r>
    </w:p>
    <w:p w14:paraId="00B7E6D7">
      <w:pPr>
        <w:pStyle w:val="20"/>
        <w:numPr>
          <w:ilvl w:val="1"/>
          <w:numId w:val="21"/>
        </w:numPr>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为大栏饲养动物提供足够的喂食装置</w:t>
      </w:r>
    </w:p>
    <w:p w14:paraId="5076465D">
      <w:pPr>
        <w:pStyle w:val="20"/>
        <w:numPr>
          <w:ilvl w:val="1"/>
          <w:numId w:val="22"/>
        </w:numPr>
        <w:shd w:val="clear" w:color="auto" w:fill="auto"/>
        <w:snapToGrid w:val="0"/>
        <w:spacing w:before="163" w:beforeLines="50" w:after="0" w:line="300" w:lineRule="auto"/>
        <w:ind w:firstLine="0"/>
        <w:jc w:val="both"/>
        <w:rPr>
          <w:rFonts w:ascii="Arial" w:hAnsi="Arial" w:eastAsia="宋体" w:cs="Arial"/>
          <w:sz w:val="24"/>
          <w:szCs w:val="24"/>
        </w:rPr>
      </w:pPr>
      <w:r>
        <w:rPr>
          <w:rFonts w:ascii="Arial" w:hAnsi="Arial" w:eastAsia="宋体" w:cs="Arial"/>
          <w:sz w:val="24"/>
          <w:szCs w:val="24"/>
        </w:rPr>
        <w:t>当您预计可能出现挑食行为时，比如围手术期内，应咨询主治兽医，考虑提供特殊饲料或者特殊营养补充剂。</w:t>
      </w:r>
    </w:p>
    <w:p w14:paraId="5B081557">
      <w:pPr>
        <w:pStyle w:val="20"/>
        <w:numPr>
          <w:ilvl w:val="0"/>
          <w:numId w:val="3"/>
        </w:numPr>
        <w:shd w:val="clear" w:color="auto" w:fill="auto"/>
        <w:tabs>
          <w:tab w:val="left" w:pos="354"/>
        </w:tabs>
        <w:snapToGrid w:val="0"/>
        <w:spacing w:before="163" w:beforeLines="50" w:after="0" w:line="300" w:lineRule="auto"/>
        <w:ind w:left="362" w:hanging="362" w:hangingChars="151"/>
        <w:jc w:val="both"/>
        <w:rPr>
          <w:rFonts w:ascii="Arial" w:hAnsi="Arial" w:eastAsia="宋体" w:cs="Arial"/>
          <w:sz w:val="24"/>
          <w:szCs w:val="24"/>
        </w:rPr>
      </w:pPr>
      <w:r>
        <w:rPr>
          <w:rFonts w:ascii="Arial" w:hAnsi="Arial" w:eastAsia="宋体" w:cs="Arial"/>
          <w:sz w:val="24"/>
          <w:szCs w:val="24"/>
        </w:rPr>
        <w:t>动物运抵试验机构后，纳入研究之前，考虑使用适应期，比如7-10天。</w:t>
      </w:r>
    </w:p>
    <w:p w14:paraId="197A3B8F">
      <w:pPr>
        <w:pStyle w:val="20"/>
        <w:numPr>
          <w:ilvl w:val="0"/>
          <w:numId w:val="3"/>
        </w:numPr>
        <w:shd w:val="clear" w:color="auto" w:fill="auto"/>
        <w:tabs>
          <w:tab w:val="left" w:pos="354"/>
        </w:tabs>
        <w:snapToGrid w:val="0"/>
        <w:spacing w:before="163" w:beforeLines="50" w:after="0" w:line="300" w:lineRule="auto"/>
        <w:ind w:left="362" w:hanging="362" w:hangingChars="151"/>
        <w:jc w:val="both"/>
        <w:rPr>
          <w:rFonts w:ascii="Arial" w:hAnsi="Arial" w:eastAsia="宋体" w:cs="Arial"/>
          <w:sz w:val="24"/>
          <w:szCs w:val="24"/>
        </w:rPr>
      </w:pPr>
      <w:r>
        <w:rPr>
          <w:rFonts w:ascii="Arial" w:hAnsi="Arial" w:eastAsia="宋体" w:cs="Arial"/>
          <w:sz w:val="24"/>
          <w:szCs w:val="24"/>
        </w:rPr>
        <w:t>在纳入研究之前，对动物健康和行为进行适当的基线评估，包括兽医及时解释（</w:t>
      </w:r>
      <w:r>
        <w:rPr>
          <w:rFonts w:hint="eastAsia" w:ascii="Arial" w:hAnsi="Arial" w:eastAsia="宋体" w:cs="Arial"/>
          <w:sz w:val="24"/>
          <w:szCs w:val="24"/>
        </w:rPr>
        <w:t>例</w:t>
      </w:r>
      <w:r>
        <w:rPr>
          <w:rFonts w:ascii="Arial" w:hAnsi="Arial" w:eastAsia="宋体" w:cs="Arial"/>
          <w:sz w:val="24"/>
          <w:szCs w:val="24"/>
        </w:rPr>
        <w:t>如粪便寄生虫检查、血象和血液化学并附实验室参考值）。</w:t>
      </w:r>
    </w:p>
    <w:p w14:paraId="6BC78908">
      <w:pPr>
        <w:widowControl/>
        <w:rPr>
          <w:rFonts w:ascii="Arial" w:hAnsi="Arial" w:eastAsia="宋体" w:cs="Arial"/>
          <w:color w:val="auto"/>
          <w:kern w:val="2"/>
          <w:lang w:eastAsia="zh-CN" w:bidi="ar-SA"/>
        </w:rPr>
      </w:pPr>
      <w:r>
        <w:rPr>
          <w:rFonts w:ascii="Arial" w:hAnsi="Arial" w:eastAsia="宋体" w:cs="Arial"/>
          <w:lang w:eastAsia="zh-CN"/>
        </w:rPr>
        <w:br w:type="page"/>
      </w:r>
    </w:p>
    <w:p w14:paraId="5BDF28CE">
      <w:pPr>
        <w:pStyle w:val="20"/>
        <w:numPr>
          <w:ilvl w:val="0"/>
          <w:numId w:val="3"/>
        </w:numPr>
        <w:shd w:val="clear" w:color="auto" w:fill="auto"/>
        <w:tabs>
          <w:tab w:val="left" w:pos="378"/>
        </w:tabs>
        <w:snapToGrid w:val="0"/>
        <w:spacing w:before="163" w:beforeLines="50" w:after="0" w:line="360" w:lineRule="auto"/>
        <w:ind w:left="362" w:hanging="362" w:hangingChars="151"/>
        <w:jc w:val="both"/>
        <w:rPr>
          <w:rFonts w:ascii="Arial" w:hAnsi="Arial" w:eastAsia="宋体" w:cs="Arial"/>
          <w:sz w:val="24"/>
          <w:szCs w:val="24"/>
          <w:lang w:bidi="en-US"/>
        </w:rPr>
      </w:pPr>
      <w:r>
        <w:rPr>
          <w:rFonts w:ascii="Arial" w:hAnsi="Arial" w:eastAsia="宋体" w:cs="Arial"/>
          <w:sz w:val="24"/>
          <w:szCs w:val="24"/>
        </w:rPr>
        <w:t>按照21 CFR 58.90（c），在启动研究时，动物必须无任何疾病或者可能干扰研究目的或者研究操作的情况。因此，对动物进行筛选或治疗，并验证是否已做好进行研究的医学准备，减少不能将临床病理学与器械和既往疾病关联起来的情况。</w:t>
      </w:r>
    </w:p>
    <w:p w14:paraId="41DD7E98">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确保正确实施无菌外科手术、监测和干预措施以控制意外感染。</w:t>
      </w:r>
    </w:p>
    <w:p w14:paraId="02DEA588">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除21 CFR第58部分的要求外，视情况纳入确保动物机构人员充分进行卫生和环境控制，避免意外损伤和感染的做法和程序。</w:t>
      </w:r>
    </w:p>
    <w:p w14:paraId="72E59279">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纳入可确保拟定实验方法内的培训超过器械学习曲线的做法，减少或消除手术间差异。</w:t>
      </w:r>
    </w:p>
    <w:p w14:paraId="324FE34D">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按照21 CFR 58.29（c），必须有足够的人员及时正确地按照方案进行研究。因此，您应当纳入可确保有足够的人员和人员配备，能在整个研究过程中对动物进行适当、强度和持续时间合适的监测，能够合理检测预期失效模式以及常见实验结果的做法。</w:t>
      </w:r>
    </w:p>
    <w:p w14:paraId="295C2BDD">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确保方案中提到进行相应监测和及时前瞻性监测与干预，以检</w:t>
      </w:r>
      <w:r>
        <w:rPr>
          <w:rFonts w:hint="eastAsia" w:ascii="Arial" w:hAnsi="Arial" w:eastAsia="宋体" w:cs="Arial"/>
          <w:sz w:val="24"/>
          <w:szCs w:val="24"/>
        </w:rPr>
        <w:t>测</w:t>
      </w:r>
      <w:r>
        <w:rPr>
          <w:rFonts w:ascii="Arial" w:hAnsi="Arial" w:eastAsia="宋体" w:cs="Arial"/>
          <w:sz w:val="24"/>
          <w:szCs w:val="24"/>
        </w:rPr>
        <w:t>、控制和报告常见的物理和生理结果，比如血管痉挛、心律失常、呼吸困难、惊厥、步态紊乱、认知功能障碍、疼痛和不适等。</w:t>
      </w:r>
    </w:p>
    <w:p w14:paraId="5CBBADD2">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纳入可确保将围手术期动物转运至偏远安置点时，能够减轻陆运和航运应激的做法。</w:t>
      </w:r>
    </w:p>
    <w:p w14:paraId="2CB73924">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纳入可确保集体环境中的动物能够摄入足量饮水和食物，还可减轻种间损伤的做法。</w:t>
      </w:r>
    </w:p>
    <w:p w14:paraId="6C541290">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纳入动物意外死亡时，</w:t>
      </w:r>
      <w:r>
        <w:rPr>
          <w:rFonts w:hint="eastAsia" w:ascii="Arial" w:hAnsi="Arial" w:eastAsia="宋体" w:cs="Arial"/>
          <w:sz w:val="24"/>
          <w:szCs w:val="24"/>
        </w:rPr>
        <w:t>鼓励</w:t>
      </w:r>
      <w:r>
        <w:rPr>
          <w:rFonts w:ascii="Arial" w:hAnsi="Arial" w:eastAsia="宋体" w:cs="Arial"/>
          <w:sz w:val="24"/>
          <w:szCs w:val="24"/>
        </w:rPr>
        <w:t>充分、及时干预，进行全面尸检（大体和组织病理学），</w:t>
      </w:r>
      <w:r>
        <w:rPr>
          <w:rFonts w:hint="eastAsia" w:ascii="Arial" w:hAnsi="Arial" w:eastAsia="宋体" w:cs="Arial"/>
          <w:sz w:val="24"/>
          <w:szCs w:val="24"/>
        </w:rPr>
        <w:t>以便</w:t>
      </w:r>
      <w:r>
        <w:rPr>
          <w:rFonts w:ascii="Arial" w:hAnsi="Arial" w:eastAsia="宋体" w:cs="Arial"/>
          <w:sz w:val="24"/>
          <w:szCs w:val="24"/>
        </w:rPr>
        <w:t>确定死因是否与器械有关的做法。</w:t>
      </w:r>
    </w:p>
    <w:p w14:paraId="62D96806">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纳入鼓励正确处理、保存和制备化学分析和组织处理用组织的做法。</w:t>
      </w:r>
    </w:p>
    <w:p w14:paraId="1B6C0B80">
      <w:pPr>
        <w:pStyle w:val="20"/>
        <w:numPr>
          <w:ilvl w:val="0"/>
          <w:numId w:val="3"/>
        </w:numPr>
        <w:shd w:val="clear" w:color="auto" w:fill="auto"/>
        <w:tabs>
          <w:tab w:val="left" w:pos="354"/>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 xml:space="preserve">考虑减小偏差或感觉偏差的步骤包括但不限于： </w:t>
      </w:r>
    </w:p>
    <w:p w14:paraId="7EA9CAC6">
      <w:pPr>
        <w:pStyle w:val="20"/>
        <w:numPr>
          <w:ilvl w:val="0"/>
          <w:numId w:val="23"/>
        </w:numPr>
        <w:shd w:val="clear" w:color="auto" w:fill="auto"/>
        <w:tabs>
          <w:tab w:val="left" w:pos="354"/>
        </w:tabs>
        <w:snapToGrid w:val="0"/>
        <w:spacing w:before="163" w:beforeLines="50" w:after="0" w:line="360" w:lineRule="auto"/>
        <w:ind w:firstLine="0"/>
        <w:jc w:val="both"/>
        <w:rPr>
          <w:rFonts w:ascii="Arial" w:hAnsi="Arial" w:eastAsia="宋体" w:cs="Arial"/>
          <w:sz w:val="24"/>
          <w:szCs w:val="24"/>
        </w:rPr>
      </w:pPr>
      <w:r>
        <w:rPr>
          <w:rFonts w:ascii="Arial" w:hAnsi="Arial" w:eastAsia="宋体" w:cs="Arial"/>
          <w:sz w:val="24"/>
          <w:szCs w:val="24"/>
        </w:rPr>
        <w:t>与参与科学家之间没有经济利益冲突，</w:t>
      </w:r>
    </w:p>
    <w:p w14:paraId="6077E366">
      <w:pPr>
        <w:pStyle w:val="20"/>
        <w:numPr>
          <w:ilvl w:val="0"/>
          <w:numId w:val="23"/>
        </w:numPr>
        <w:shd w:val="clear" w:color="auto" w:fill="auto"/>
        <w:tabs>
          <w:tab w:val="left" w:pos="354"/>
        </w:tabs>
        <w:snapToGrid w:val="0"/>
        <w:spacing w:before="163" w:beforeLines="50" w:after="0" w:line="360" w:lineRule="auto"/>
        <w:ind w:firstLine="0"/>
        <w:jc w:val="both"/>
        <w:rPr>
          <w:rFonts w:ascii="Arial" w:hAnsi="Arial" w:eastAsia="宋体" w:cs="Arial"/>
          <w:sz w:val="24"/>
          <w:szCs w:val="24"/>
          <w:lang w:eastAsia="en-US"/>
        </w:rPr>
      </w:pPr>
      <w:r>
        <w:rPr>
          <w:rFonts w:ascii="Arial" w:hAnsi="Arial" w:eastAsia="宋体" w:cs="Arial"/>
          <w:sz w:val="24"/>
          <w:szCs w:val="24"/>
        </w:rPr>
        <w:t>设盲，以及</w:t>
      </w:r>
    </w:p>
    <w:p w14:paraId="07DDF1A2">
      <w:pPr>
        <w:pStyle w:val="20"/>
        <w:numPr>
          <w:ilvl w:val="0"/>
          <w:numId w:val="23"/>
        </w:numPr>
        <w:shd w:val="clear" w:color="auto" w:fill="auto"/>
        <w:tabs>
          <w:tab w:val="left" w:pos="354"/>
        </w:tabs>
        <w:snapToGrid w:val="0"/>
        <w:spacing w:before="163" w:beforeLines="50" w:after="0" w:line="360" w:lineRule="auto"/>
        <w:ind w:firstLine="0"/>
        <w:jc w:val="both"/>
        <w:rPr>
          <w:rFonts w:ascii="Arial" w:hAnsi="Arial" w:eastAsia="宋体" w:cs="Arial"/>
          <w:sz w:val="24"/>
          <w:szCs w:val="24"/>
        </w:rPr>
      </w:pPr>
      <w:r>
        <w:rPr>
          <w:rFonts w:ascii="Arial" w:hAnsi="Arial" w:eastAsia="宋体" w:cs="Arial"/>
          <w:sz w:val="24"/>
          <w:szCs w:val="24"/>
        </w:rPr>
        <w:t>使用多名观察者。</w:t>
      </w:r>
    </w:p>
    <w:p w14:paraId="342758D6">
      <w:pPr>
        <w:pStyle w:val="20"/>
        <w:numPr>
          <w:ilvl w:val="0"/>
          <w:numId w:val="3"/>
        </w:numPr>
        <w:shd w:val="clear" w:color="auto" w:fill="auto"/>
        <w:tabs>
          <w:tab w:val="left" w:pos="355"/>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纳入可提供生理平衡的方案，比如足够的体温调节、电解质、血糖和热平衡。</w:t>
      </w:r>
    </w:p>
    <w:p w14:paraId="371D7BB5">
      <w:pPr>
        <w:pStyle w:val="20"/>
        <w:numPr>
          <w:ilvl w:val="0"/>
          <w:numId w:val="3"/>
        </w:numPr>
        <w:shd w:val="clear" w:color="auto" w:fill="auto"/>
        <w:tabs>
          <w:tab w:val="left" w:pos="355"/>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纳入通过提供物种特异性社会适足和环境丰容，改善动物福利的方案。</w:t>
      </w:r>
    </w:p>
    <w:p w14:paraId="683AE45F">
      <w:pPr>
        <w:pStyle w:val="20"/>
        <w:numPr>
          <w:ilvl w:val="0"/>
          <w:numId w:val="3"/>
        </w:numPr>
        <w:shd w:val="clear" w:color="auto" w:fill="auto"/>
        <w:tabs>
          <w:tab w:val="left" w:pos="355"/>
        </w:tabs>
        <w:snapToGrid w:val="0"/>
        <w:spacing w:before="163" w:beforeLines="50" w:after="0" w:line="360" w:lineRule="auto"/>
        <w:ind w:left="362" w:hanging="362" w:hangingChars="151"/>
        <w:jc w:val="both"/>
        <w:rPr>
          <w:rFonts w:ascii="Arial" w:hAnsi="Arial" w:eastAsia="宋体" w:cs="Arial"/>
          <w:sz w:val="24"/>
          <w:szCs w:val="24"/>
        </w:rPr>
      </w:pPr>
      <w:r>
        <w:rPr>
          <w:rFonts w:ascii="Arial" w:hAnsi="Arial" w:eastAsia="宋体" w:cs="Arial"/>
          <w:sz w:val="24"/>
          <w:szCs w:val="24"/>
        </w:rPr>
        <w:t>纳入组织</w:t>
      </w:r>
      <w:r>
        <w:rPr>
          <w:rFonts w:hint="eastAsia" w:ascii="Arial" w:hAnsi="Arial" w:eastAsia="宋体" w:cs="Arial"/>
          <w:sz w:val="24"/>
          <w:szCs w:val="24"/>
        </w:rPr>
        <w:t>样本</w:t>
      </w:r>
      <w:r>
        <w:rPr>
          <w:rFonts w:ascii="Arial" w:hAnsi="Arial" w:eastAsia="宋体" w:cs="Arial"/>
          <w:sz w:val="24"/>
          <w:szCs w:val="24"/>
        </w:rPr>
        <w:t>采集、处理和运输及时方法的标准化程序。</w:t>
      </w:r>
    </w:p>
    <w:p w14:paraId="75323BEE">
      <w:pPr>
        <w:pStyle w:val="38"/>
        <w:snapToGrid w:val="0"/>
        <w:spacing w:line="300" w:lineRule="auto"/>
        <w:jc w:val="center"/>
        <w:outlineLvl w:val="0"/>
        <w:rPr>
          <w:rFonts w:ascii="Arial" w:hAnsi="Arial" w:eastAsia="宋体" w:cs="Arial"/>
          <w:sz w:val="24"/>
          <w:szCs w:val="24"/>
          <w:lang w:bidi="en-US"/>
        </w:rPr>
      </w:pPr>
      <w:r>
        <w:rPr>
          <w:rFonts w:ascii="Arial" w:hAnsi="Arial" w:eastAsia="宋体" w:cs="Arial"/>
          <w:sz w:val="24"/>
          <w:szCs w:val="24"/>
        </w:rPr>
        <w:br w:type="page"/>
      </w:r>
      <w:bookmarkStart w:id="154" w:name="_Toc495870793"/>
      <w:bookmarkStart w:id="155" w:name="bookmark70"/>
      <w:bookmarkStart w:id="156" w:name="bookmark71"/>
      <w:bookmarkStart w:id="157" w:name="_Toc496541672"/>
      <w:r>
        <w:rPr>
          <w:rFonts w:ascii="Arial" w:hAnsi="Arial" w:eastAsia="宋体" w:cs="Arial"/>
          <w:sz w:val="24"/>
          <w:szCs w:val="24"/>
        </w:rPr>
        <w:t>附录D：</w:t>
      </w:r>
      <w:r>
        <w:rPr>
          <w:rFonts w:hint="eastAsia" w:ascii="Arial" w:hAnsi="Arial" w:eastAsia="宋体" w:cs="Arial"/>
          <w:sz w:val="24"/>
          <w:szCs w:val="24"/>
        </w:rPr>
        <w:t>提供</w:t>
      </w:r>
      <w:r>
        <w:rPr>
          <w:rFonts w:ascii="Arial" w:hAnsi="Arial" w:eastAsia="宋体" w:cs="Arial"/>
          <w:sz w:val="24"/>
          <w:szCs w:val="24"/>
        </w:rPr>
        <w:t>动物研究试验报告各部分</w:t>
      </w:r>
      <w:r>
        <w:rPr>
          <w:rFonts w:hint="eastAsia" w:ascii="Arial" w:hAnsi="Arial" w:eastAsia="宋体" w:cs="Arial"/>
          <w:sz w:val="24"/>
          <w:szCs w:val="24"/>
        </w:rPr>
        <w:t>【</w:t>
      </w:r>
      <w:r>
        <w:rPr>
          <w:rFonts w:ascii="Arial" w:hAnsi="Arial" w:eastAsia="宋体" w:cs="Arial"/>
          <w:sz w:val="24"/>
          <w:szCs w:val="24"/>
        </w:rPr>
        <w:t>包括原始数据（定义见21 CFR 58.3（k）</w:t>
      </w:r>
      <w:r>
        <w:rPr>
          <w:rFonts w:hint="eastAsia" w:ascii="Arial" w:hAnsi="Arial" w:eastAsia="宋体" w:cs="Arial"/>
          <w:sz w:val="24"/>
          <w:szCs w:val="24"/>
        </w:rPr>
        <w:t>）】</w:t>
      </w:r>
      <w:r>
        <w:rPr>
          <w:rFonts w:ascii="Arial" w:hAnsi="Arial" w:eastAsia="宋体" w:cs="Arial"/>
          <w:sz w:val="24"/>
          <w:szCs w:val="24"/>
        </w:rPr>
        <w:t>的组织结构样图以方便审核</w:t>
      </w:r>
      <w:bookmarkEnd w:id="154"/>
      <w:bookmarkEnd w:id="155"/>
      <w:bookmarkEnd w:id="156"/>
      <w:bookmarkEnd w:id="157"/>
    </w:p>
    <w:p w14:paraId="1E25DCE9">
      <w:pPr>
        <w:snapToGrid w:val="0"/>
        <w:spacing w:before="163" w:beforeLines="50" w:line="300" w:lineRule="auto"/>
        <w:jc w:val="both"/>
        <w:rPr>
          <w:rFonts w:ascii="Arial" w:hAnsi="Arial" w:eastAsia="宋体" w:cs="Arial"/>
          <w:lang w:eastAsia="zh-CN"/>
        </w:rPr>
      </w:pPr>
      <w:r>
        <w:rPr>
          <w:rFonts w:ascii="Arial" w:hAnsi="Arial" w:eastAsia="宋体" w:cs="Arial"/>
          <w:lang w:eastAsia="zh-CN"/>
        </w:rPr>
        <w:t>下述内容为试验报告建议和要求内容的组织结构示例。该示例不包括21 CFR 58.185要求的所有内容。关于第58部分报告要求规定的必需内容，详见21 CFR 58.120和58.185。</w:t>
      </w:r>
    </w:p>
    <w:p w14:paraId="3B439AB0">
      <w:pPr>
        <w:numPr>
          <w:ilvl w:val="0"/>
          <w:numId w:val="24"/>
        </w:numPr>
        <w:tabs>
          <w:tab w:val="left" w:pos="731"/>
        </w:tabs>
        <w:snapToGrid w:val="0"/>
        <w:spacing w:before="163" w:beforeLines="50" w:line="300" w:lineRule="auto"/>
        <w:ind w:left="380"/>
        <w:jc w:val="both"/>
        <w:rPr>
          <w:rFonts w:ascii="Arial" w:hAnsi="Arial" w:eastAsia="宋体" w:cs="Arial"/>
        </w:rPr>
      </w:pPr>
      <w:r>
        <w:rPr>
          <w:rFonts w:ascii="Arial" w:hAnsi="Arial" w:eastAsia="宋体" w:cs="Arial"/>
          <w:lang w:eastAsia="zh-CN"/>
        </w:rPr>
        <w:t>报告编号（适用时）</w:t>
      </w:r>
    </w:p>
    <w:p w14:paraId="39650D57">
      <w:pPr>
        <w:numPr>
          <w:ilvl w:val="0"/>
          <w:numId w:val="25"/>
        </w:numPr>
        <w:tabs>
          <w:tab w:val="left" w:pos="1257"/>
        </w:tabs>
        <w:snapToGrid w:val="0"/>
        <w:spacing w:before="163" w:beforeLines="50" w:line="300" w:lineRule="auto"/>
        <w:ind w:left="900"/>
        <w:jc w:val="both"/>
        <w:rPr>
          <w:rFonts w:ascii="Arial" w:hAnsi="Arial" w:eastAsia="宋体" w:cs="Arial"/>
          <w:lang w:eastAsia="zh-CN"/>
        </w:rPr>
      </w:pPr>
      <w:r>
        <w:rPr>
          <w:rFonts w:ascii="Arial" w:hAnsi="Arial" w:eastAsia="宋体" w:cs="Arial"/>
          <w:lang w:eastAsia="zh-CN"/>
        </w:rPr>
        <w:t>机构动物护理和使用委员会/伦理委员会方案编号</w:t>
      </w:r>
    </w:p>
    <w:p w14:paraId="78D44544">
      <w:pPr>
        <w:numPr>
          <w:ilvl w:val="0"/>
          <w:numId w:val="25"/>
        </w:numPr>
        <w:tabs>
          <w:tab w:val="left" w:pos="1257"/>
        </w:tabs>
        <w:snapToGrid w:val="0"/>
        <w:spacing w:before="163" w:beforeLines="50" w:line="300" w:lineRule="auto"/>
        <w:ind w:left="900"/>
        <w:jc w:val="both"/>
        <w:rPr>
          <w:rFonts w:ascii="Arial" w:hAnsi="Arial" w:eastAsia="宋体" w:cs="Arial"/>
        </w:rPr>
      </w:pPr>
      <w:r>
        <w:rPr>
          <w:rFonts w:ascii="Arial" w:hAnsi="Arial" w:eastAsia="宋体" w:cs="Arial"/>
          <w:lang w:eastAsia="zh-CN"/>
        </w:rPr>
        <w:t>研究负责人方案编号</w:t>
      </w:r>
    </w:p>
    <w:p w14:paraId="1A9B6BA7">
      <w:pPr>
        <w:numPr>
          <w:ilvl w:val="0"/>
          <w:numId w:val="25"/>
        </w:numPr>
        <w:tabs>
          <w:tab w:val="left" w:pos="1257"/>
        </w:tabs>
        <w:snapToGrid w:val="0"/>
        <w:spacing w:before="163" w:beforeLines="50" w:line="300" w:lineRule="auto"/>
        <w:ind w:left="900"/>
        <w:jc w:val="both"/>
        <w:rPr>
          <w:rFonts w:ascii="Arial" w:hAnsi="Arial" w:eastAsia="宋体" w:cs="Arial"/>
          <w:lang w:eastAsia="zh-CN"/>
        </w:rPr>
      </w:pPr>
      <w:r>
        <w:rPr>
          <w:rFonts w:ascii="Arial" w:hAnsi="Arial" w:eastAsia="宋体" w:cs="Arial"/>
          <w:lang w:eastAsia="zh-CN"/>
        </w:rPr>
        <w:t>试验机构方案编号，如适用</w:t>
      </w:r>
    </w:p>
    <w:p w14:paraId="65869843">
      <w:pPr>
        <w:numPr>
          <w:ilvl w:val="0"/>
          <w:numId w:val="24"/>
        </w:numPr>
        <w:tabs>
          <w:tab w:val="left" w:pos="731"/>
        </w:tabs>
        <w:snapToGrid w:val="0"/>
        <w:spacing w:before="163" w:beforeLines="50" w:line="300" w:lineRule="auto"/>
        <w:ind w:left="380"/>
        <w:jc w:val="both"/>
        <w:rPr>
          <w:rFonts w:ascii="Arial" w:hAnsi="Arial" w:eastAsia="宋体" w:cs="Arial"/>
        </w:rPr>
      </w:pPr>
      <w:r>
        <w:rPr>
          <w:rFonts w:ascii="Arial" w:hAnsi="Arial" w:eastAsia="宋体" w:cs="Arial"/>
          <w:lang w:eastAsia="zh-CN"/>
        </w:rPr>
        <w:t>报告标题</w:t>
      </w:r>
    </w:p>
    <w:p w14:paraId="05CD7C2F">
      <w:pPr>
        <w:numPr>
          <w:ilvl w:val="0"/>
          <w:numId w:val="24"/>
        </w:numPr>
        <w:tabs>
          <w:tab w:val="left" w:pos="770"/>
        </w:tabs>
        <w:snapToGrid w:val="0"/>
        <w:spacing w:before="163" w:beforeLines="50" w:line="300" w:lineRule="auto"/>
        <w:ind w:left="768" w:leftChars="157" w:hanging="391" w:hangingChars="163"/>
        <w:jc w:val="both"/>
        <w:rPr>
          <w:rFonts w:ascii="Arial" w:hAnsi="Arial" w:eastAsia="宋体" w:cs="Arial"/>
          <w:lang w:eastAsia="zh-CN"/>
        </w:rPr>
      </w:pPr>
      <w:r>
        <w:rPr>
          <w:rFonts w:ascii="Arial" w:hAnsi="Arial" w:eastAsia="宋体" w:cs="Arial"/>
          <w:lang w:eastAsia="zh-CN"/>
        </w:rPr>
        <w:t>关于符合GLP规定的</w:t>
      </w:r>
      <w:r>
        <w:rPr>
          <w:rFonts w:hint="eastAsia" w:ascii="Arial" w:hAnsi="Arial" w:eastAsia="宋体" w:cs="Arial"/>
          <w:lang w:eastAsia="zh-CN"/>
        </w:rPr>
        <w:t>描述</w:t>
      </w:r>
      <w:r>
        <w:rPr>
          <w:rFonts w:ascii="Arial" w:hAnsi="Arial" w:eastAsia="宋体" w:cs="Arial"/>
          <w:lang w:eastAsia="zh-CN"/>
        </w:rPr>
        <w:t>。如果不符合，在提交声明解释该研究未按GLP规定实施的原因时，应该详细</w:t>
      </w:r>
      <w:r>
        <w:rPr>
          <w:rFonts w:hint="eastAsia" w:ascii="Arial" w:hAnsi="Arial" w:eastAsia="宋体" w:cs="Arial"/>
          <w:lang w:eastAsia="zh-CN"/>
        </w:rPr>
        <w:t>描述</w:t>
      </w:r>
      <w:r>
        <w:rPr>
          <w:rFonts w:ascii="Arial" w:hAnsi="Arial" w:eastAsia="宋体" w:cs="Arial"/>
          <w:lang w:eastAsia="zh-CN"/>
        </w:rPr>
        <w:t>相对于法规的所有偏离。该声明应包括有助于FDA重现该研究、解释所有混淆变量以及证明所采集和报告的试验数据可靠完整的相关信息。</w:t>
      </w:r>
    </w:p>
    <w:p w14:paraId="0FDA3172">
      <w:pPr>
        <w:numPr>
          <w:ilvl w:val="0"/>
          <w:numId w:val="24"/>
        </w:numPr>
        <w:tabs>
          <w:tab w:val="left" w:pos="770"/>
        </w:tabs>
        <w:snapToGrid w:val="0"/>
        <w:spacing w:before="163" w:beforeLines="50" w:line="300" w:lineRule="auto"/>
        <w:ind w:left="768" w:leftChars="157" w:hanging="391" w:hangingChars="163"/>
        <w:jc w:val="both"/>
        <w:rPr>
          <w:rFonts w:ascii="Arial" w:hAnsi="Arial" w:eastAsia="宋体" w:cs="Arial"/>
          <w:lang w:eastAsia="zh-CN"/>
        </w:rPr>
      </w:pPr>
      <w:r>
        <w:rPr>
          <w:rFonts w:ascii="Arial" w:hAnsi="Arial" w:eastAsia="宋体" w:cs="Arial"/>
          <w:lang w:eastAsia="zh-CN"/>
        </w:rPr>
        <w:t>联系方式（比如通讯地址、街道、城市、州郡、国家和每个联系地址的邮编）</w:t>
      </w:r>
    </w:p>
    <w:p w14:paraId="78545823">
      <w:pPr>
        <w:numPr>
          <w:ilvl w:val="0"/>
          <w:numId w:val="26"/>
        </w:numPr>
        <w:tabs>
          <w:tab w:val="left" w:pos="1257"/>
        </w:tabs>
        <w:snapToGrid w:val="0"/>
        <w:spacing w:before="163" w:beforeLines="50" w:line="300" w:lineRule="auto"/>
        <w:ind w:left="900"/>
        <w:jc w:val="both"/>
        <w:rPr>
          <w:rFonts w:ascii="Arial" w:hAnsi="Arial" w:eastAsia="宋体" w:cs="Arial"/>
        </w:rPr>
      </w:pPr>
      <w:r>
        <w:rPr>
          <w:rFonts w:ascii="Arial" w:hAnsi="Arial" w:eastAsia="宋体" w:cs="Arial"/>
          <w:lang w:eastAsia="zh-CN"/>
        </w:rPr>
        <w:t>申办方</w:t>
      </w:r>
    </w:p>
    <w:p w14:paraId="2AB97205">
      <w:pPr>
        <w:numPr>
          <w:ilvl w:val="0"/>
          <w:numId w:val="26"/>
        </w:numPr>
        <w:tabs>
          <w:tab w:val="left" w:pos="1257"/>
        </w:tabs>
        <w:snapToGrid w:val="0"/>
        <w:spacing w:before="163" w:beforeLines="50" w:line="300" w:lineRule="auto"/>
        <w:ind w:left="900"/>
        <w:jc w:val="both"/>
        <w:rPr>
          <w:rFonts w:ascii="Arial" w:hAnsi="Arial" w:eastAsia="宋体" w:cs="Arial"/>
        </w:rPr>
      </w:pPr>
      <w:r>
        <w:rPr>
          <w:rFonts w:ascii="Arial" w:hAnsi="Arial" w:eastAsia="宋体" w:cs="Arial"/>
          <w:lang w:eastAsia="zh-CN"/>
        </w:rPr>
        <w:t>申办方代表</w:t>
      </w:r>
    </w:p>
    <w:p w14:paraId="2D865342">
      <w:pPr>
        <w:numPr>
          <w:ilvl w:val="0"/>
          <w:numId w:val="26"/>
        </w:numPr>
        <w:tabs>
          <w:tab w:val="left" w:pos="1257"/>
        </w:tabs>
        <w:snapToGrid w:val="0"/>
        <w:spacing w:before="163" w:beforeLines="50" w:line="300" w:lineRule="auto"/>
        <w:ind w:left="900"/>
        <w:jc w:val="both"/>
        <w:rPr>
          <w:rFonts w:ascii="Arial" w:hAnsi="Arial" w:eastAsia="宋体" w:cs="Arial"/>
          <w:lang w:eastAsia="zh-CN"/>
        </w:rPr>
      </w:pPr>
      <w:r>
        <w:rPr>
          <w:rFonts w:ascii="Arial" w:hAnsi="Arial" w:eastAsia="宋体" w:cs="Arial"/>
          <w:lang w:eastAsia="zh-CN"/>
        </w:rPr>
        <w:t>试验机构名称；可能时提供其他信息：</w:t>
      </w:r>
    </w:p>
    <w:p w14:paraId="35CB17B3">
      <w:pPr>
        <w:numPr>
          <w:ilvl w:val="0"/>
          <w:numId w:val="27"/>
        </w:numPr>
        <w:tabs>
          <w:tab w:val="left" w:pos="1970"/>
        </w:tabs>
        <w:snapToGrid w:val="0"/>
        <w:spacing w:before="163" w:beforeLines="50" w:line="300" w:lineRule="auto"/>
        <w:ind w:left="1600"/>
        <w:jc w:val="both"/>
        <w:rPr>
          <w:rFonts w:ascii="Arial" w:hAnsi="Arial" w:eastAsia="宋体" w:cs="Arial"/>
        </w:rPr>
      </w:pPr>
      <w:r>
        <w:rPr>
          <w:rFonts w:ascii="Arial" w:hAnsi="Arial" w:eastAsia="宋体" w:cs="Arial"/>
          <w:lang w:eastAsia="zh-CN"/>
        </w:rPr>
        <w:t>USDA注册（是/否）</w:t>
      </w:r>
    </w:p>
    <w:p w14:paraId="6F043093">
      <w:pPr>
        <w:numPr>
          <w:ilvl w:val="0"/>
          <w:numId w:val="27"/>
        </w:numPr>
        <w:tabs>
          <w:tab w:val="left" w:pos="1970"/>
        </w:tabs>
        <w:snapToGrid w:val="0"/>
        <w:spacing w:before="163" w:beforeLines="50" w:line="300" w:lineRule="auto"/>
        <w:ind w:left="1600"/>
        <w:jc w:val="both"/>
        <w:rPr>
          <w:rFonts w:ascii="Arial" w:hAnsi="Arial" w:eastAsia="宋体" w:cs="Arial"/>
        </w:rPr>
      </w:pPr>
      <w:r>
        <w:rPr>
          <w:rFonts w:ascii="Arial" w:hAnsi="Arial" w:eastAsia="宋体" w:cs="Arial"/>
          <w:lang w:eastAsia="zh-CN"/>
        </w:rPr>
        <w:t>AALACi认可（是/否）</w:t>
      </w:r>
    </w:p>
    <w:p w14:paraId="181BA90F">
      <w:pPr>
        <w:numPr>
          <w:ilvl w:val="0"/>
          <w:numId w:val="27"/>
        </w:numPr>
        <w:tabs>
          <w:tab w:val="left" w:pos="2035"/>
        </w:tabs>
        <w:snapToGrid w:val="0"/>
        <w:spacing w:before="163" w:beforeLines="50" w:line="300" w:lineRule="auto"/>
        <w:ind w:left="1600"/>
        <w:jc w:val="both"/>
        <w:rPr>
          <w:rFonts w:ascii="Arial" w:hAnsi="Arial" w:eastAsia="宋体" w:cs="Arial"/>
        </w:rPr>
      </w:pPr>
      <w:r>
        <w:rPr>
          <w:rFonts w:ascii="Arial" w:hAnsi="Arial" w:eastAsia="宋体" w:cs="Arial"/>
          <w:lang w:eastAsia="zh-CN"/>
        </w:rPr>
        <w:t>PHS保证（是/否）</w:t>
      </w:r>
    </w:p>
    <w:p w14:paraId="52FF5EC5">
      <w:pPr>
        <w:numPr>
          <w:ilvl w:val="0"/>
          <w:numId w:val="26"/>
        </w:numPr>
        <w:tabs>
          <w:tab w:val="left" w:pos="1257"/>
        </w:tabs>
        <w:snapToGrid w:val="0"/>
        <w:spacing w:before="163" w:beforeLines="50" w:line="300" w:lineRule="auto"/>
        <w:ind w:left="900"/>
        <w:jc w:val="both"/>
        <w:rPr>
          <w:rFonts w:ascii="Arial" w:hAnsi="Arial" w:eastAsia="宋体" w:cs="Arial"/>
        </w:rPr>
      </w:pPr>
      <w:r>
        <w:rPr>
          <w:rFonts w:ascii="Arial" w:hAnsi="Arial" w:eastAsia="宋体" w:cs="Arial"/>
          <w:lang w:eastAsia="zh-CN"/>
        </w:rPr>
        <w:t>研究负责人</w:t>
      </w:r>
    </w:p>
    <w:p w14:paraId="227D6B75">
      <w:pPr>
        <w:numPr>
          <w:ilvl w:val="0"/>
          <w:numId w:val="26"/>
        </w:numPr>
        <w:tabs>
          <w:tab w:val="left" w:pos="1257"/>
        </w:tabs>
        <w:snapToGrid w:val="0"/>
        <w:spacing w:before="163" w:beforeLines="50" w:line="300" w:lineRule="auto"/>
        <w:ind w:left="900"/>
        <w:jc w:val="both"/>
        <w:rPr>
          <w:rFonts w:ascii="Arial" w:hAnsi="Arial" w:eastAsia="宋体" w:cs="Arial"/>
        </w:rPr>
      </w:pPr>
      <w:r>
        <w:rPr>
          <w:rFonts w:ascii="Arial" w:hAnsi="Arial" w:eastAsia="宋体" w:cs="Arial"/>
          <w:lang w:eastAsia="zh-CN"/>
        </w:rPr>
        <w:t>质量保证负责人</w:t>
      </w:r>
    </w:p>
    <w:p w14:paraId="0976F213">
      <w:pPr>
        <w:numPr>
          <w:ilvl w:val="0"/>
          <w:numId w:val="24"/>
        </w:numPr>
        <w:tabs>
          <w:tab w:val="left" w:pos="770"/>
        </w:tabs>
        <w:snapToGrid w:val="0"/>
        <w:spacing w:before="163" w:beforeLines="50" w:line="300" w:lineRule="auto"/>
        <w:ind w:left="768" w:leftChars="157" w:hanging="391" w:hangingChars="163"/>
        <w:jc w:val="both"/>
        <w:rPr>
          <w:rFonts w:ascii="Arial" w:hAnsi="Arial" w:eastAsia="宋体" w:cs="Arial"/>
          <w:lang w:eastAsia="zh-CN"/>
        </w:rPr>
      </w:pPr>
      <w:r>
        <w:rPr>
          <w:rFonts w:ascii="Arial" w:hAnsi="Arial" w:eastAsia="宋体" w:cs="Arial"/>
          <w:lang w:eastAsia="zh-CN"/>
        </w:rPr>
        <w:t>总结报告签名</w:t>
      </w:r>
    </w:p>
    <w:p w14:paraId="427C89A4">
      <w:pPr>
        <w:widowControl/>
        <w:rPr>
          <w:rFonts w:ascii="Arial" w:hAnsi="Arial" w:eastAsia="宋体" w:cs="Arial"/>
          <w:lang w:eastAsia="zh-CN"/>
        </w:rPr>
      </w:pPr>
      <w:r>
        <w:rPr>
          <w:rFonts w:ascii="Arial" w:hAnsi="Arial" w:eastAsia="宋体" w:cs="Arial"/>
          <w:lang w:eastAsia="zh-CN"/>
        </w:rPr>
        <w:br w:type="page"/>
      </w:r>
    </w:p>
    <w:p w14:paraId="04F1E8AD">
      <w:pPr>
        <w:numPr>
          <w:ilvl w:val="0"/>
          <w:numId w:val="28"/>
        </w:numPr>
        <w:tabs>
          <w:tab w:val="left" w:pos="1270"/>
        </w:tabs>
        <w:snapToGrid w:val="0"/>
        <w:spacing w:before="163" w:beforeLines="50" w:line="300" w:lineRule="auto"/>
        <w:ind w:left="900"/>
        <w:jc w:val="both"/>
        <w:rPr>
          <w:rFonts w:ascii="Arial" w:hAnsi="Arial" w:eastAsia="宋体" w:cs="Arial"/>
        </w:rPr>
      </w:pPr>
      <w:r>
        <w:rPr>
          <w:rFonts w:ascii="Arial" w:hAnsi="Arial" w:eastAsia="宋体" w:cs="Arial"/>
          <w:lang w:eastAsia="zh-CN"/>
        </w:rPr>
        <w:t>研究负责人签名</w:t>
      </w:r>
    </w:p>
    <w:p w14:paraId="1F3E34A4">
      <w:pPr>
        <w:numPr>
          <w:ilvl w:val="0"/>
          <w:numId w:val="28"/>
        </w:numPr>
        <w:tabs>
          <w:tab w:val="left" w:pos="1270"/>
        </w:tabs>
        <w:snapToGrid w:val="0"/>
        <w:spacing w:before="163" w:beforeLines="50" w:line="300" w:lineRule="auto"/>
        <w:ind w:left="900"/>
        <w:jc w:val="both"/>
        <w:rPr>
          <w:rFonts w:ascii="Arial" w:hAnsi="Arial" w:eastAsia="宋体" w:cs="Arial"/>
        </w:rPr>
      </w:pPr>
      <w:r>
        <w:rPr>
          <w:rFonts w:ascii="Arial" w:hAnsi="Arial" w:eastAsia="宋体" w:cs="Arial"/>
          <w:lang w:eastAsia="zh-CN"/>
        </w:rPr>
        <w:t>质量保证声明和签名</w:t>
      </w:r>
    </w:p>
    <w:p w14:paraId="364290EA">
      <w:pPr>
        <w:numPr>
          <w:ilvl w:val="0"/>
          <w:numId w:val="24"/>
        </w:numPr>
        <w:tabs>
          <w:tab w:val="left" w:pos="770"/>
        </w:tabs>
        <w:snapToGrid w:val="0"/>
        <w:spacing w:before="163" w:beforeLines="50" w:line="300" w:lineRule="auto"/>
        <w:ind w:left="768" w:leftChars="157" w:hanging="391" w:hangingChars="163"/>
        <w:jc w:val="both"/>
        <w:rPr>
          <w:rFonts w:ascii="Arial" w:hAnsi="Arial" w:eastAsia="宋体" w:cs="Arial"/>
          <w:lang w:eastAsia="zh-CN"/>
        </w:rPr>
      </w:pPr>
      <w:r>
        <w:rPr>
          <w:rFonts w:ascii="Arial" w:hAnsi="Arial" w:eastAsia="宋体" w:cs="Arial"/>
          <w:lang w:eastAsia="zh-CN"/>
        </w:rPr>
        <w:t>经实验动物护理和使用委员会（IACUC）审核、IACUC主席和主治兽医签名的方案复印件</w:t>
      </w:r>
    </w:p>
    <w:p w14:paraId="5DDB7705">
      <w:pPr>
        <w:numPr>
          <w:ilvl w:val="0"/>
          <w:numId w:val="24"/>
        </w:numPr>
        <w:tabs>
          <w:tab w:val="left" w:pos="770"/>
        </w:tabs>
        <w:snapToGrid w:val="0"/>
        <w:spacing w:before="163" w:beforeLines="50" w:line="300" w:lineRule="auto"/>
        <w:ind w:left="768" w:leftChars="157" w:hanging="391" w:hangingChars="163"/>
        <w:jc w:val="both"/>
        <w:rPr>
          <w:rFonts w:ascii="Arial" w:hAnsi="Arial" w:eastAsia="宋体" w:cs="Arial"/>
        </w:rPr>
      </w:pPr>
      <w:r>
        <w:rPr>
          <w:rFonts w:ascii="Arial" w:hAnsi="Arial" w:eastAsia="宋体" w:cs="Arial"/>
          <w:lang w:eastAsia="zh-CN"/>
        </w:rPr>
        <w:t>执行总结</w:t>
      </w:r>
    </w:p>
    <w:p w14:paraId="6251EE16">
      <w:pPr>
        <w:pStyle w:val="32"/>
        <w:numPr>
          <w:ilvl w:val="0"/>
          <w:numId w:val="29"/>
        </w:numPr>
        <w:snapToGrid w:val="0"/>
        <w:spacing w:before="163" w:beforeLines="50" w:line="300" w:lineRule="auto"/>
        <w:ind w:firstLine="0" w:firstLineChars="0"/>
        <w:jc w:val="both"/>
        <w:rPr>
          <w:rFonts w:ascii="Arial" w:hAnsi="Arial" w:eastAsia="宋体" w:cs="Arial"/>
        </w:rPr>
      </w:pPr>
      <w:r>
        <w:rPr>
          <w:rFonts w:ascii="Arial" w:hAnsi="Arial" w:eastAsia="宋体" w:cs="Arial"/>
          <w:lang w:eastAsia="zh-CN"/>
        </w:rPr>
        <w:t>动物研究概述</w:t>
      </w:r>
    </w:p>
    <w:p w14:paraId="3A0F455A">
      <w:pPr>
        <w:numPr>
          <w:ilvl w:val="0"/>
          <w:numId w:val="30"/>
        </w:numPr>
        <w:tabs>
          <w:tab w:val="left" w:pos="1996"/>
        </w:tabs>
        <w:snapToGrid w:val="0"/>
        <w:spacing w:before="163" w:beforeLines="50" w:line="300" w:lineRule="auto"/>
        <w:ind w:left="1600"/>
        <w:jc w:val="both"/>
        <w:rPr>
          <w:rFonts w:ascii="Arial" w:hAnsi="Arial" w:eastAsia="宋体" w:cs="Arial"/>
        </w:rPr>
      </w:pPr>
      <w:r>
        <w:rPr>
          <w:rFonts w:ascii="Arial" w:hAnsi="Arial" w:eastAsia="宋体" w:cs="Arial"/>
          <w:lang w:eastAsia="zh-CN"/>
        </w:rPr>
        <w:t>研究时间表</w:t>
      </w:r>
    </w:p>
    <w:p w14:paraId="616A997E">
      <w:pPr>
        <w:numPr>
          <w:ilvl w:val="0"/>
          <w:numId w:val="30"/>
        </w:numPr>
        <w:tabs>
          <w:tab w:val="left" w:pos="1996"/>
        </w:tabs>
        <w:snapToGrid w:val="0"/>
        <w:spacing w:before="163" w:beforeLines="50" w:line="300" w:lineRule="auto"/>
        <w:ind w:left="1600"/>
        <w:jc w:val="both"/>
        <w:rPr>
          <w:rFonts w:ascii="Arial" w:hAnsi="Arial" w:eastAsia="宋体" w:cs="Arial"/>
        </w:rPr>
      </w:pPr>
      <w:r>
        <w:rPr>
          <w:rFonts w:ascii="Arial" w:hAnsi="Arial" w:eastAsia="宋体" w:cs="Arial"/>
          <w:lang w:eastAsia="zh-CN"/>
        </w:rPr>
        <w:t>研究目的</w:t>
      </w:r>
    </w:p>
    <w:p w14:paraId="38CD40F7">
      <w:pPr>
        <w:numPr>
          <w:ilvl w:val="0"/>
          <w:numId w:val="30"/>
        </w:numPr>
        <w:tabs>
          <w:tab w:val="left" w:pos="2030"/>
        </w:tabs>
        <w:snapToGrid w:val="0"/>
        <w:spacing w:before="163" w:beforeLines="50" w:line="300" w:lineRule="auto"/>
        <w:ind w:left="1600"/>
        <w:jc w:val="both"/>
        <w:rPr>
          <w:rFonts w:ascii="Arial" w:hAnsi="Arial" w:eastAsia="宋体" w:cs="Arial"/>
        </w:rPr>
      </w:pPr>
      <w:r>
        <w:rPr>
          <w:rFonts w:hint="eastAsia" w:ascii="Arial" w:hAnsi="Arial" w:eastAsia="宋体" w:cs="Arial"/>
          <w:lang w:eastAsia="zh-CN"/>
        </w:rPr>
        <w:t>验收</w:t>
      </w:r>
      <w:r>
        <w:rPr>
          <w:rFonts w:ascii="Arial" w:hAnsi="Arial" w:eastAsia="宋体" w:cs="Arial"/>
          <w:lang w:eastAsia="zh-CN"/>
        </w:rPr>
        <w:t>标准</w:t>
      </w:r>
    </w:p>
    <w:p w14:paraId="0E40AEBD">
      <w:pPr>
        <w:numPr>
          <w:ilvl w:val="0"/>
          <w:numId w:val="30"/>
        </w:numPr>
        <w:tabs>
          <w:tab w:val="left" w:pos="2030"/>
        </w:tabs>
        <w:snapToGrid w:val="0"/>
        <w:spacing w:before="163" w:beforeLines="50" w:line="300" w:lineRule="auto"/>
        <w:ind w:left="1600"/>
        <w:jc w:val="both"/>
        <w:rPr>
          <w:rFonts w:ascii="Arial" w:hAnsi="Arial" w:eastAsia="宋体" w:cs="Arial"/>
          <w:lang w:eastAsia="zh-CN"/>
        </w:rPr>
      </w:pPr>
      <w:r>
        <w:rPr>
          <w:rFonts w:ascii="Arial" w:hAnsi="Arial" w:eastAsia="宋体" w:cs="Arial"/>
          <w:lang w:eastAsia="zh-CN"/>
        </w:rPr>
        <w:t>选择或排除动物的依据，包括支持性讨论，以及不能使用推荐动物模型的理由</w:t>
      </w:r>
    </w:p>
    <w:p w14:paraId="4746BC0E">
      <w:pPr>
        <w:numPr>
          <w:ilvl w:val="0"/>
          <w:numId w:val="30"/>
        </w:numPr>
        <w:tabs>
          <w:tab w:val="left" w:pos="2030"/>
        </w:tabs>
        <w:snapToGrid w:val="0"/>
        <w:spacing w:before="163" w:beforeLines="50" w:line="300" w:lineRule="auto"/>
        <w:ind w:left="1600"/>
        <w:jc w:val="both"/>
        <w:rPr>
          <w:rFonts w:ascii="Arial" w:hAnsi="Arial" w:eastAsia="宋体" w:cs="Arial"/>
        </w:rPr>
      </w:pPr>
      <w:r>
        <w:rPr>
          <w:rFonts w:ascii="Arial" w:hAnsi="Arial" w:eastAsia="宋体" w:cs="Arial"/>
          <w:lang w:eastAsia="zh-CN"/>
        </w:rPr>
        <w:t>供试品和对照品的鉴别</w:t>
      </w:r>
    </w:p>
    <w:p w14:paraId="334716A3">
      <w:pPr>
        <w:numPr>
          <w:ilvl w:val="0"/>
          <w:numId w:val="31"/>
        </w:numPr>
        <w:tabs>
          <w:tab w:val="left" w:pos="2708"/>
        </w:tabs>
        <w:snapToGrid w:val="0"/>
        <w:spacing w:before="163" w:beforeLines="50" w:line="300" w:lineRule="auto"/>
        <w:ind w:left="2340"/>
        <w:jc w:val="both"/>
        <w:rPr>
          <w:rFonts w:ascii="Arial" w:hAnsi="Arial" w:eastAsia="宋体" w:cs="Arial"/>
        </w:rPr>
      </w:pPr>
      <w:r>
        <w:rPr>
          <w:rFonts w:ascii="Arial" w:hAnsi="Arial" w:eastAsia="宋体" w:cs="Arial"/>
          <w:lang w:eastAsia="zh-CN"/>
        </w:rPr>
        <w:t>所用器械的设计迭代</w:t>
      </w:r>
    </w:p>
    <w:p w14:paraId="0E56B9AB">
      <w:pPr>
        <w:numPr>
          <w:ilvl w:val="0"/>
          <w:numId w:val="31"/>
        </w:numPr>
        <w:tabs>
          <w:tab w:val="left" w:pos="2737"/>
        </w:tabs>
        <w:snapToGrid w:val="0"/>
        <w:spacing w:before="163" w:beforeLines="50" w:line="300" w:lineRule="auto"/>
        <w:ind w:left="2340"/>
        <w:jc w:val="both"/>
        <w:rPr>
          <w:rFonts w:ascii="Arial" w:hAnsi="Arial" w:eastAsia="宋体" w:cs="Arial"/>
        </w:rPr>
      </w:pPr>
      <w:r>
        <w:rPr>
          <w:rFonts w:ascii="Arial" w:hAnsi="Arial" w:eastAsia="宋体" w:cs="Arial"/>
          <w:lang w:eastAsia="zh-CN"/>
        </w:rPr>
        <w:t>参考序列号或型号</w:t>
      </w:r>
    </w:p>
    <w:p w14:paraId="754924B2">
      <w:pPr>
        <w:numPr>
          <w:ilvl w:val="0"/>
          <w:numId w:val="30"/>
        </w:numPr>
        <w:tabs>
          <w:tab w:val="left" w:pos="2030"/>
        </w:tabs>
        <w:snapToGrid w:val="0"/>
        <w:spacing w:before="163" w:beforeLines="50" w:line="300" w:lineRule="auto"/>
        <w:ind w:left="1600"/>
        <w:jc w:val="both"/>
        <w:rPr>
          <w:rFonts w:ascii="Arial" w:hAnsi="Arial" w:eastAsia="宋体" w:cs="Arial"/>
          <w:lang w:eastAsia="zh-CN"/>
        </w:rPr>
      </w:pPr>
      <w:r>
        <w:rPr>
          <w:rFonts w:ascii="Arial" w:hAnsi="Arial" w:eastAsia="宋体" w:cs="Arial"/>
          <w:lang w:eastAsia="zh-CN"/>
        </w:rPr>
        <w:t>所用方法的简要讨论，包括插入、</w:t>
      </w:r>
      <w:r>
        <w:rPr>
          <w:rFonts w:hint="eastAsia" w:ascii="Arial" w:hAnsi="Arial" w:eastAsia="宋体" w:cs="Arial"/>
          <w:lang w:eastAsia="zh-CN"/>
        </w:rPr>
        <w:t>途径</w:t>
      </w:r>
      <w:r>
        <w:rPr>
          <w:rFonts w:ascii="Arial" w:hAnsi="Arial" w:eastAsia="宋体" w:cs="Arial"/>
          <w:lang w:eastAsia="zh-CN"/>
        </w:rPr>
        <w:t>、切开、监测、介入、</w:t>
      </w:r>
      <w:r>
        <w:rPr>
          <w:rFonts w:hint="eastAsia" w:ascii="Arial" w:hAnsi="Arial" w:eastAsia="宋体" w:cs="Arial"/>
          <w:lang w:eastAsia="zh-CN"/>
        </w:rPr>
        <w:t>成像</w:t>
      </w:r>
      <w:r>
        <w:rPr>
          <w:rFonts w:ascii="Arial" w:hAnsi="Arial" w:eastAsia="宋体" w:cs="Arial"/>
          <w:lang w:eastAsia="zh-CN"/>
        </w:rPr>
        <w:t>、尸检和组织学等，视情况而定。</w:t>
      </w:r>
    </w:p>
    <w:p w14:paraId="2B669ACE">
      <w:pPr>
        <w:numPr>
          <w:ilvl w:val="0"/>
          <w:numId w:val="30"/>
        </w:numPr>
        <w:tabs>
          <w:tab w:val="left" w:pos="2013"/>
        </w:tabs>
        <w:snapToGrid w:val="0"/>
        <w:spacing w:before="163" w:beforeLines="50" w:line="300" w:lineRule="auto"/>
        <w:ind w:left="1520"/>
        <w:jc w:val="both"/>
        <w:rPr>
          <w:rFonts w:ascii="Arial" w:hAnsi="Arial" w:eastAsia="宋体" w:cs="Arial"/>
        </w:rPr>
      </w:pPr>
      <w:r>
        <w:rPr>
          <w:rFonts w:ascii="Arial" w:hAnsi="Arial" w:eastAsia="宋体" w:cs="Arial"/>
          <w:lang w:eastAsia="zh-CN"/>
        </w:rPr>
        <w:t>结果概述</w:t>
      </w:r>
    </w:p>
    <w:p w14:paraId="042EC342">
      <w:pPr>
        <w:numPr>
          <w:ilvl w:val="0"/>
          <w:numId w:val="32"/>
        </w:numPr>
        <w:tabs>
          <w:tab w:val="left" w:pos="2708"/>
        </w:tabs>
        <w:snapToGrid w:val="0"/>
        <w:spacing w:before="163" w:beforeLines="50" w:line="300" w:lineRule="auto"/>
        <w:ind w:left="2340"/>
        <w:jc w:val="both"/>
        <w:rPr>
          <w:rFonts w:ascii="Arial" w:hAnsi="Arial" w:eastAsia="宋体" w:cs="Arial"/>
        </w:rPr>
      </w:pPr>
      <w:r>
        <w:rPr>
          <w:rFonts w:ascii="Arial" w:hAnsi="Arial" w:eastAsia="宋体" w:cs="Arial"/>
          <w:lang w:eastAsia="zh-CN"/>
        </w:rPr>
        <w:t>发病率/死亡率</w:t>
      </w:r>
    </w:p>
    <w:p w14:paraId="255E3B9D">
      <w:pPr>
        <w:numPr>
          <w:ilvl w:val="0"/>
          <w:numId w:val="33"/>
        </w:numPr>
        <w:tabs>
          <w:tab w:val="left" w:pos="3243"/>
        </w:tabs>
        <w:snapToGrid w:val="0"/>
        <w:spacing w:before="163" w:beforeLines="50" w:line="300" w:lineRule="auto"/>
        <w:ind w:left="2640"/>
        <w:jc w:val="both"/>
        <w:rPr>
          <w:rFonts w:ascii="Arial" w:hAnsi="Arial" w:eastAsia="宋体" w:cs="Arial"/>
        </w:rPr>
      </w:pPr>
      <w:r>
        <w:rPr>
          <w:rFonts w:ascii="Arial" w:hAnsi="Arial" w:eastAsia="宋体" w:cs="Arial"/>
          <w:lang w:eastAsia="zh-CN"/>
        </w:rPr>
        <w:t>大体尸检信息</w:t>
      </w:r>
    </w:p>
    <w:p w14:paraId="6D525A76">
      <w:pPr>
        <w:numPr>
          <w:ilvl w:val="0"/>
          <w:numId w:val="33"/>
        </w:numPr>
        <w:tabs>
          <w:tab w:val="left" w:pos="3243"/>
        </w:tabs>
        <w:snapToGrid w:val="0"/>
        <w:spacing w:before="163" w:beforeLines="50" w:line="300" w:lineRule="auto"/>
        <w:ind w:left="2640"/>
        <w:jc w:val="both"/>
        <w:rPr>
          <w:rFonts w:ascii="Arial" w:hAnsi="Arial" w:eastAsia="宋体" w:cs="Arial"/>
        </w:rPr>
      </w:pPr>
      <w:r>
        <w:rPr>
          <w:rFonts w:ascii="Arial" w:hAnsi="Arial" w:eastAsia="宋体" w:cs="Arial"/>
          <w:lang w:eastAsia="zh-CN"/>
        </w:rPr>
        <w:t>原位影像</w:t>
      </w:r>
    </w:p>
    <w:p w14:paraId="4A9DF82B">
      <w:pPr>
        <w:numPr>
          <w:ilvl w:val="0"/>
          <w:numId w:val="33"/>
        </w:numPr>
        <w:tabs>
          <w:tab w:val="left" w:pos="3243"/>
        </w:tabs>
        <w:snapToGrid w:val="0"/>
        <w:spacing w:before="163" w:beforeLines="50" w:line="300" w:lineRule="auto"/>
        <w:ind w:left="2520"/>
        <w:jc w:val="both"/>
        <w:rPr>
          <w:rFonts w:ascii="Arial" w:hAnsi="Arial" w:eastAsia="宋体" w:cs="Arial"/>
        </w:rPr>
      </w:pPr>
      <w:r>
        <w:rPr>
          <w:rFonts w:ascii="Arial" w:hAnsi="Arial" w:eastAsia="宋体" w:cs="Arial"/>
          <w:lang w:eastAsia="zh-CN"/>
        </w:rPr>
        <w:t>描述性结果</w:t>
      </w:r>
    </w:p>
    <w:p w14:paraId="7503403C">
      <w:pPr>
        <w:numPr>
          <w:ilvl w:val="0"/>
          <w:numId w:val="32"/>
        </w:numPr>
        <w:tabs>
          <w:tab w:val="left" w:pos="2737"/>
        </w:tabs>
        <w:snapToGrid w:val="0"/>
        <w:spacing w:before="163" w:beforeLines="50" w:line="300" w:lineRule="auto"/>
        <w:ind w:left="2340"/>
        <w:jc w:val="both"/>
        <w:rPr>
          <w:rFonts w:ascii="Arial" w:hAnsi="Arial" w:eastAsia="宋体" w:cs="Arial"/>
          <w:lang w:eastAsia="zh-CN"/>
        </w:rPr>
      </w:pPr>
      <w:r>
        <w:rPr>
          <w:rFonts w:ascii="Arial" w:hAnsi="Arial" w:eastAsia="宋体" w:cs="Arial"/>
          <w:lang w:eastAsia="zh-CN"/>
        </w:rPr>
        <w:t>对器械的生物反应，包括</w:t>
      </w:r>
    </w:p>
    <w:p w14:paraId="0CFD1D45">
      <w:pPr>
        <w:numPr>
          <w:ilvl w:val="0"/>
          <w:numId w:val="34"/>
        </w:numPr>
        <w:tabs>
          <w:tab w:val="left" w:pos="3243"/>
        </w:tabs>
        <w:snapToGrid w:val="0"/>
        <w:spacing w:before="163" w:beforeLines="50" w:line="300" w:lineRule="auto"/>
        <w:ind w:left="2640"/>
        <w:jc w:val="both"/>
        <w:rPr>
          <w:rFonts w:ascii="Arial" w:hAnsi="Arial" w:eastAsia="宋体" w:cs="Arial"/>
        </w:rPr>
      </w:pPr>
      <w:r>
        <w:rPr>
          <w:rFonts w:ascii="Arial" w:hAnsi="Arial" w:eastAsia="宋体" w:cs="Arial"/>
          <w:lang w:eastAsia="zh-CN"/>
        </w:rPr>
        <w:t>炎症</w:t>
      </w:r>
    </w:p>
    <w:p w14:paraId="699E5907">
      <w:pPr>
        <w:numPr>
          <w:ilvl w:val="0"/>
          <w:numId w:val="34"/>
        </w:numPr>
        <w:tabs>
          <w:tab w:val="left" w:pos="3243"/>
        </w:tabs>
        <w:snapToGrid w:val="0"/>
        <w:spacing w:before="163" w:beforeLines="50" w:line="300" w:lineRule="auto"/>
        <w:ind w:left="2640"/>
        <w:jc w:val="both"/>
        <w:rPr>
          <w:rFonts w:ascii="Arial" w:hAnsi="Arial" w:eastAsia="宋体" w:cs="Arial"/>
        </w:rPr>
      </w:pPr>
      <w:r>
        <w:rPr>
          <w:rFonts w:hint="eastAsia" w:ascii="Arial" w:hAnsi="Arial" w:eastAsia="宋体" w:cs="Arial"/>
          <w:lang w:eastAsia="zh-CN"/>
        </w:rPr>
        <w:t>再</w:t>
      </w:r>
      <w:r>
        <w:rPr>
          <w:rFonts w:ascii="Arial" w:hAnsi="Arial" w:eastAsia="宋体" w:cs="Arial"/>
          <w:lang w:eastAsia="zh-CN"/>
        </w:rPr>
        <w:t>吸收（如适用）</w:t>
      </w:r>
    </w:p>
    <w:p w14:paraId="2B6159AB">
      <w:pPr>
        <w:widowControl/>
        <w:rPr>
          <w:rFonts w:ascii="Arial" w:hAnsi="Arial" w:eastAsia="宋体" w:cs="Arial"/>
          <w:lang w:eastAsia="zh-CN"/>
        </w:rPr>
      </w:pPr>
      <w:r>
        <w:rPr>
          <w:rFonts w:ascii="Arial" w:hAnsi="Arial" w:eastAsia="宋体" w:cs="Arial"/>
          <w:lang w:eastAsia="zh-CN"/>
        </w:rPr>
        <w:br w:type="page"/>
      </w:r>
    </w:p>
    <w:p w14:paraId="729195BC">
      <w:pPr>
        <w:numPr>
          <w:ilvl w:val="0"/>
          <w:numId w:val="34"/>
        </w:numPr>
        <w:tabs>
          <w:tab w:val="left" w:pos="3243"/>
        </w:tabs>
        <w:snapToGrid w:val="0"/>
        <w:spacing w:before="163" w:beforeLines="50" w:line="300" w:lineRule="auto"/>
        <w:ind w:left="2640"/>
        <w:jc w:val="both"/>
        <w:rPr>
          <w:rFonts w:ascii="Arial" w:hAnsi="Arial" w:eastAsia="宋体" w:cs="Arial"/>
        </w:rPr>
      </w:pPr>
      <w:r>
        <w:rPr>
          <w:rFonts w:ascii="Arial" w:hAnsi="Arial" w:eastAsia="宋体" w:cs="Arial"/>
          <w:lang w:eastAsia="zh-CN"/>
        </w:rPr>
        <w:t>损伤</w:t>
      </w:r>
    </w:p>
    <w:p w14:paraId="5A3AD6AF">
      <w:pPr>
        <w:numPr>
          <w:ilvl w:val="0"/>
          <w:numId w:val="34"/>
        </w:numPr>
        <w:tabs>
          <w:tab w:val="left" w:pos="3243"/>
        </w:tabs>
        <w:snapToGrid w:val="0"/>
        <w:spacing w:before="163" w:beforeLines="50" w:line="300" w:lineRule="auto"/>
        <w:ind w:left="2640"/>
        <w:jc w:val="both"/>
        <w:rPr>
          <w:rFonts w:ascii="Arial" w:hAnsi="Arial" w:eastAsia="宋体" w:cs="Arial"/>
        </w:rPr>
      </w:pPr>
      <w:r>
        <w:rPr>
          <w:rFonts w:hint="eastAsia" w:ascii="Arial" w:hAnsi="Arial" w:eastAsia="宋体" w:cs="Arial"/>
          <w:lang w:eastAsia="zh-CN"/>
        </w:rPr>
        <w:t>康复</w:t>
      </w:r>
    </w:p>
    <w:p w14:paraId="0048DCFE">
      <w:pPr>
        <w:numPr>
          <w:ilvl w:val="0"/>
          <w:numId w:val="34"/>
        </w:numPr>
        <w:tabs>
          <w:tab w:val="left" w:pos="3243"/>
        </w:tabs>
        <w:snapToGrid w:val="0"/>
        <w:spacing w:before="163" w:beforeLines="50" w:line="300" w:lineRule="auto"/>
        <w:ind w:left="2640"/>
        <w:jc w:val="both"/>
        <w:rPr>
          <w:rFonts w:ascii="Arial" w:hAnsi="Arial" w:eastAsia="宋体" w:cs="Arial"/>
        </w:rPr>
      </w:pPr>
      <w:r>
        <w:rPr>
          <w:rFonts w:ascii="Arial" w:hAnsi="Arial" w:eastAsia="宋体" w:cs="Arial"/>
          <w:lang w:eastAsia="zh-CN"/>
        </w:rPr>
        <w:t>融合</w:t>
      </w:r>
    </w:p>
    <w:p w14:paraId="13118703">
      <w:pPr>
        <w:numPr>
          <w:ilvl w:val="0"/>
          <w:numId w:val="32"/>
        </w:numPr>
        <w:tabs>
          <w:tab w:val="left" w:pos="2737"/>
        </w:tabs>
        <w:snapToGrid w:val="0"/>
        <w:spacing w:before="163" w:beforeLines="50" w:line="300" w:lineRule="auto"/>
        <w:ind w:left="2340"/>
        <w:jc w:val="both"/>
        <w:rPr>
          <w:rFonts w:ascii="Arial" w:hAnsi="Arial" w:eastAsia="宋体" w:cs="Arial"/>
          <w:lang w:eastAsia="zh-CN"/>
        </w:rPr>
      </w:pPr>
      <w:r>
        <w:rPr>
          <w:rFonts w:ascii="Arial" w:hAnsi="Arial" w:eastAsia="宋体" w:cs="Arial"/>
          <w:lang w:eastAsia="zh-CN"/>
        </w:rPr>
        <w:t>动物对器械的影响</w:t>
      </w:r>
    </w:p>
    <w:p w14:paraId="3B89230F">
      <w:pPr>
        <w:numPr>
          <w:ilvl w:val="0"/>
          <w:numId w:val="35"/>
        </w:numPr>
        <w:tabs>
          <w:tab w:val="left" w:pos="3243"/>
        </w:tabs>
        <w:snapToGrid w:val="0"/>
        <w:spacing w:before="163" w:beforeLines="50" w:line="300" w:lineRule="auto"/>
        <w:ind w:left="2693" w:leftChars="1122"/>
        <w:jc w:val="both"/>
        <w:rPr>
          <w:rFonts w:ascii="Arial" w:hAnsi="Arial" w:eastAsia="宋体" w:cs="Arial"/>
          <w:lang w:eastAsia="zh-CN"/>
        </w:rPr>
      </w:pPr>
      <w:r>
        <w:rPr>
          <w:rFonts w:ascii="Arial" w:hAnsi="Arial" w:eastAsia="宋体" w:cs="Arial"/>
          <w:lang w:eastAsia="zh-CN"/>
        </w:rPr>
        <w:t>器械的结构完整性</w:t>
      </w:r>
    </w:p>
    <w:p w14:paraId="711C47F3">
      <w:pPr>
        <w:numPr>
          <w:ilvl w:val="0"/>
          <w:numId w:val="35"/>
        </w:numPr>
        <w:tabs>
          <w:tab w:val="left" w:pos="3243"/>
        </w:tabs>
        <w:snapToGrid w:val="0"/>
        <w:spacing w:before="163" w:beforeLines="50" w:line="300" w:lineRule="auto"/>
        <w:ind w:left="2693" w:leftChars="1122"/>
        <w:jc w:val="both"/>
        <w:rPr>
          <w:rFonts w:ascii="Arial" w:hAnsi="Arial" w:eastAsia="宋体" w:cs="Arial"/>
          <w:lang w:eastAsia="zh-CN"/>
        </w:rPr>
      </w:pPr>
      <w:r>
        <w:rPr>
          <w:rFonts w:ascii="Arial" w:hAnsi="Arial" w:eastAsia="宋体" w:cs="Arial"/>
          <w:lang w:eastAsia="zh-CN"/>
        </w:rPr>
        <w:t>器械的功能完整性</w:t>
      </w:r>
    </w:p>
    <w:p w14:paraId="1AFB8AD1">
      <w:pPr>
        <w:numPr>
          <w:ilvl w:val="0"/>
          <w:numId w:val="36"/>
        </w:numPr>
        <w:tabs>
          <w:tab w:val="left" w:pos="2702"/>
        </w:tabs>
        <w:snapToGrid w:val="0"/>
        <w:spacing w:before="163" w:beforeLines="50" w:line="300" w:lineRule="auto"/>
        <w:ind w:left="2320"/>
        <w:jc w:val="both"/>
        <w:rPr>
          <w:rFonts w:ascii="Arial" w:hAnsi="Arial" w:eastAsia="宋体" w:cs="Arial"/>
          <w:lang w:eastAsia="zh-CN"/>
        </w:rPr>
      </w:pPr>
      <w:r>
        <w:rPr>
          <w:rFonts w:ascii="Arial" w:hAnsi="Arial" w:eastAsia="宋体" w:cs="Arial"/>
          <w:lang w:eastAsia="zh-CN"/>
        </w:rPr>
        <w:t>植入/手术成功，定位和整体处理</w:t>
      </w:r>
    </w:p>
    <w:p w14:paraId="1F43D52B">
      <w:pPr>
        <w:numPr>
          <w:ilvl w:val="0"/>
          <w:numId w:val="36"/>
        </w:numPr>
        <w:tabs>
          <w:tab w:val="left" w:pos="2702"/>
        </w:tabs>
        <w:snapToGrid w:val="0"/>
        <w:spacing w:before="163" w:beforeLines="50" w:line="300" w:lineRule="auto"/>
        <w:ind w:left="2320"/>
        <w:jc w:val="both"/>
        <w:rPr>
          <w:rFonts w:ascii="Arial" w:hAnsi="Arial" w:eastAsia="宋体" w:cs="Arial"/>
          <w:lang w:eastAsia="zh-CN"/>
        </w:rPr>
      </w:pPr>
      <w:r>
        <w:rPr>
          <w:rFonts w:ascii="Arial" w:hAnsi="Arial" w:eastAsia="宋体" w:cs="Arial"/>
          <w:lang w:eastAsia="zh-CN"/>
        </w:rPr>
        <w:t>系统相容性，如果通常与其他辅助器械同时使用</w:t>
      </w:r>
    </w:p>
    <w:p w14:paraId="7FD4BE0D">
      <w:pPr>
        <w:numPr>
          <w:ilvl w:val="0"/>
          <w:numId w:val="36"/>
        </w:numPr>
        <w:tabs>
          <w:tab w:val="left" w:pos="2694"/>
        </w:tabs>
        <w:snapToGrid w:val="0"/>
        <w:spacing w:before="163" w:beforeLines="50" w:line="300" w:lineRule="auto"/>
        <w:ind w:left="2320"/>
        <w:jc w:val="both"/>
        <w:rPr>
          <w:rFonts w:ascii="Arial" w:hAnsi="Arial" w:eastAsia="宋体" w:cs="Arial"/>
        </w:rPr>
      </w:pPr>
      <w:r>
        <w:rPr>
          <w:rFonts w:hint="eastAsia" w:ascii="Arial" w:hAnsi="Arial" w:eastAsia="宋体" w:cs="Arial"/>
          <w:lang w:eastAsia="zh-CN"/>
        </w:rPr>
        <w:t>成像</w:t>
      </w:r>
      <w:r>
        <w:rPr>
          <w:rFonts w:ascii="Arial" w:hAnsi="Arial" w:eastAsia="宋体" w:cs="Arial"/>
          <w:lang w:eastAsia="zh-CN"/>
        </w:rPr>
        <w:t>特征</w:t>
      </w:r>
    </w:p>
    <w:p w14:paraId="571474BB">
      <w:pPr>
        <w:numPr>
          <w:ilvl w:val="0"/>
          <w:numId w:val="30"/>
        </w:numPr>
        <w:tabs>
          <w:tab w:val="left" w:pos="1966"/>
          <w:tab w:val="left" w:pos="2682"/>
        </w:tabs>
        <w:snapToGrid w:val="0"/>
        <w:spacing w:before="163" w:beforeLines="50" w:line="300" w:lineRule="auto"/>
        <w:ind w:left="1400"/>
        <w:jc w:val="both"/>
        <w:rPr>
          <w:rFonts w:ascii="Arial" w:hAnsi="Arial" w:eastAsia="宋体" w:cs="Arial"/>
        </w:rPr>
      </w:pPr>
      <w:r>
        <w:rPr>
          <w:rFonts w:ascii="Arial" w:hAnsi="Arial" w:eastAsia="宋体" w:cs="Arial"/>
          <w:lang w:eastAsia="zh-CN"/>
        </w:rPr>
        <w:t>结论</w:t>
      </w:r>
    </w:p>
    <w:p w14:paraId="66C68277">
      <w:pPr>
        <w:numPr>
          <w:ilvl w:val="0"/>
          <w:numId w:val="37"/>
        </w:numPr>
        <w:tabs>
          <w:tab w:val="left" w:pos="2688"/>
        </w:tabs>
        <w:snapToGrid w:val="0"/>
        <w:spacing w:before="163" w:beforeLines="50" w:line="300" w:lineRule="auto"/>
        <w:ind w:left="2320"/>
        <w:jc w:val="both"/>
        <w:rPr>
          <w:rFonts w:ascii="Arial" w:hAnsi="Arial" w:eastAsia="宋体" w:cs="Arial"/>
        </w:rPr>
      </w:pPr>
      <w:r>
        <w:rPr>
          <w:rFonts w:ascii="Arial" w:hAnsi="Arial" w:eastAsia="宋体" w:cs="Arial"/>
          <w:lang w:eastAsia="zh-CN"/>
        </w:rPr>
        <w:t>与对照品的一致性</w:t>
      </w:r>
    </w:p>
    <w:p w14:paraId="41D6D08D">
      <w:pPr>
        <w:numPr>
          <w:ilvl w:val="0"/>
          <w:numId w:val="37"/>
        </w:numPr>
        <w:tabs>
          <w:tab w:val="left" w:pos="2707"/>
        </w:tabs>
        <w:snapToGrid w:val="0"/>
        <w:spacing w:before="163" w:beforeLines="50" w:line="300" w:lineRule="auto"/>
        <w:ind w:left="2320"/>
        <w:jc w:val="both"/>
        <w:rPr>
          <w:rFonts w:ascii="Arial" w:hAnsi="Arial" w:eastAsia="宋体" w:cs="Arial"/>
        </w:rPr>
      </w:pPr>
      <w:r>
        <w:rPr>
          <w:rFonts w:ascii="Arial" w:hAnsi="Arial" w:eastAsia="宋体" w:cs="Arial"/>
          <w:lang w:eastAsia="zh-CN"/>
        </w:rPr>
        <w:t>是否满足</w:t>
      </w:r>
      <w:r>
        <w:rPr>
          <w:rFonts w:hint="eastAsia" w:ascii="Arial" w:hAnsi="Arial" w:eastAsia="宋体" w:cs="Arial"/>
          <w:lang w:eastAsia="zh-CN"/>
        </w:rPr>
        <w:t>验收</w:t>
      </w:r>
      <w:r>
        <w:rPr>
          <w:rFonts w:ascii="Arial" w:hAnsi="Arial" w:eastAsia="宋体" w:cs="Arial"/>
          <w:lang w:eastAsia="zh-CN"/>
        </w:rPr>
        <w:t>标准</w:t>
      </w:r>
    </w:p>
    <w:p w14:paraId="642BA709">
      <w:pPr>
        <w:numPr>
          <w:ilvl w:val="0"/>
          <w:numId w:val="37"/>
        </w:numPr>
        <w:tabs>
          <w:tab w:val="left" w:pos="2707"/>
        </w:tabs>
        <w:snapToGrid w:val="0"/>
        <w:spacing w:before="163" w:beforeLines="50" w:line="300" w:lineRule="auto"/>
        <w:ind w:left="2320"/>
        <w:jc w:val="both"/>
        <w:rPr>
          <w:rFonts w:ascii="Arial" w:hAnsi="Arial" w:eastAsia="宋体" w:cs="Arial"/>
          <w:lang w:eastAsia="zh-CN"/>
        </w:rPr>
      </w:pPr>
      <w:r>
        <w:rPr>
          <w:rFonts w:ascii="Arial" w:hAnsi="Arial" w:eastAsia="宋体" w:cs="Arial"/>
          <w:lang w:eastAsia="zh-CN"/>
        </w:rPr>
        <w:t>已经实施或者计划完成、用于解释突出问题的相关研究的鉴定</w:t>
      </w:r>
    </w:p>
    <w:p w14:paraId="3306E320">
      <w:pPr>
        <w:numPr>
          <w:ilvl w:val="0"/>
          <w:numId w:val="24"/>
        </w:numPr>
        <w:tabs>
          <w:tab w:val="left" w:pos="770"/>
        </w:tabs>
        <w:snapToGrid w:val="0"/>
        <w:spacing w:before="163" w:beforeLines="50" w:line="300" w:lineRule="auto"/>
        <w:ind w:left="768" w:leftChars="157" w:hanging="391" w:hangingChars="163"/>
        <w:jc w:val="both"/>
        <w:rPr>
          <w:rFonts w:ascii="Arial" w:hAnsi="Arial" w:eastAsia="宋体" w:cs="Arial"/>
          <w:lang w:eastAsia="zh-CN"/>
        </w:rPr>
      </w:pPr>
      <w:r>
        <w:rPr>
          <w:rFonts w:ascii="Arial" w:hAnsi="Arial" w:eastAsia="宋体" w:cs="Arial"/>
          <w:lang w:eastAsia="zh-CN"/>
        </w:rPr>
        <w:t>有索引的次要附件（原始数据和单个试验报告）</w:t>
      </w:r>
    </w:p>
    <w:p w14:paraId="5A7251A3">
      <w:pPr>
        <w:numPr>
          <w:ilvl w:val="0"/>
          <w:numId w:val="38"/>
        </w:numPr>
        <w:tabs>
          <w:tab w:val="left" w:pos="1242"/>
        </w:tabs>
        <w:snapToGrid w:val="0"/>
        <w:spacing w:before="163" w:beforeLines="50" w:line="300" w:lineRule="auto"/>
        <w:ind w:left="880"/>
        <w:jc w:val="both"/>
        <w:rPr>
          <w:rFonts w:ascii="Arial" w:hAnsi="Arial" w:eastAsia="宋体" w:cs="Arial"/>
        </w:rPr>
      </w:pPr>
      <w:r>
        <w:rPr>
          <w:rFonts w:ascii="Arial" w:hAnsi="Arial" w:eastAsia="宋体" w:cs="Arial"/>
          <w:lang w:eastAsia="zh-CN"/>
        </w:rPr>
        <w:t>供应商报告</w:t>
      </w:r>
    </w:p>
    <w:p w14:paraId="3E664EE9">
      <w:pPr>
        <w:numPr>
          <w:ilvl w:val="0"/>
          <w:numId w:val="38"/>
        </w:numPr>
        <w:tabs>
          <w:tab w:val="left" w:pos="1242"/>
        </w:tabs>
        <w:snapToGrid w:val="0"/>
        <w:spacing w:before="163" w:beforeLines="50" w:line="300" w:lineRule="auto"/>
        <w:ind w:left="880"/>
        <w:jc w:val="both"/>
        <w:rPr>
          <w:rFonts w:ascii="Arial" w:hAnsi="Arial" w:eastAsia="宋体" w:cs="Arial"/>
        </w:rPr>
      </w:pPr>
      <w:r>
        <w:rPr>
          <w:rFonts w:ascii="Arial" w:hAnsi="Arial" w:eastAsia="宋体" w:cs="Arial"/>
          <w:lang w:eastAsia="zh-CN"/>
        </w:rPr>
        <w:t>基线和中期体检</w:t>
      </w:r>
    </w:p>
    <w:p w14:paraId="64AF74A1">
      <w:pPr>
        <w:numPr>
          <w:ilvl w:val="0"/>
          <w:numId w:val="38"/>
        </w:numPr>
        <w:tabs>
          <w:tab w:val="left" w:pos="1242"/>
        </w:tabs>
        <w:snapToGrid w:val="0"/>
        <w:spacing w:before="163" w:beforeLines="50" w:line="300" w:lineRule="auto"/>
        <w:ind w:left="880"/>
        <w:jc w:val="both"/>
        <w:rPr>
          <w:rFonts w:ascii="Arial" w:hAnsi="Arial" w:eastAsia="宋体" w:cs="Arial"/>
        </w:rPr>
      </w:pPr>
      <w:r>
        <w:rPr>
          <w:rFonts w:ascii="Arial" w:hAnsi="Arial" w:eastAsia="宋体" w:cs="Arial"/>
          <w:lang w:eastAsia="zh-CN"/>
        </w:rPr>
        <w:t>手术和麻醉报告</w:t>
      </w:r>
    </w:p>
    <w:p w14:paraId="71A751EA">
      <w:pPr>
        <w:numPr>
          <w:ilvl w:val="0"/>
          <w:numId w:val="38"/>
        </w:numPr>
        <w:tabs>
          <w:tab w:val="left" w:pos="1242"/>
        </w:tabs>
        <w:snapToGrid w:val="0"/>
        <w:spacing w:before="163" w:beforeLines="50" w:line="300" w:lineRule="auto"/>
        <w:ind w:left="880"/>
        <w:jc w:val="both"/>
        <w:rPr>
          <w:rFonts w:ascii="Arial" w:hAnsi="Arial" w:eastAsia="宋体" w:cs="Arial"/>
        </w:rPr>
      </w:pPr>
      <w:r>
        <w:rPr>
          <w:rFonts w:hint="eastAsia" w:ascii="Arial" w:hAnsi="Arial" w:eastAsia="宋体" w:cs="Arial"/>
          <w:lang w:eastAsia="zh-CN"/>
        </w:rPr>
        <w:t>成像</w:t>
      </w:r>
      <w:r>
        <w:rPr>
          <w:rFonts w:ascii="Arial" w:hAnsi="Arial" w:eastAsia="宋体" w:cs="Arial"/>
          <w:lang w:eastAsia="zh-CN"/>
        </w:rPr>
        <w:t>报告</w:t>
      </w:r>
    </w:p>
    <w:p w14:paraId="7A40CBEB">
      <w:pPr>
        <w:numPr>
          <w:ilvl w:val="0"/>
          <w:numId w:val="38"/>
        </w:numPr>
        <w:tabs>
          <w:tab w:val="left" w:pos="1242"/>
        </w:tabs>
        <w:snapToGrid w:val="0"/>
        <w:spacing w:before="163" w:beforeLines="50" w:line="300" w:lineRule="auto"/>
        <w:ind w:left="880"/>
        <w:jc w:val="both"/>
        <w:rPr>
          <w:rFonts w:ascii="Arial" w:hAnsi="Arial" w:eastAsia="宋体" w:cs="Arial"/>
        </w:rPr>
      </w:pPr>
      <w:r>
        <w:rPr>
          <w:rFonts w:ascii="Arial" w:hAnsi="Arial" w:eastAsia="宋体" w:cs="Arial"/>
          <w:lang w:eastAsia="zh-CN"/>
        </w:rPr>
        <w:t>临床病理学结果</w:t>
      </w:r>
    </w:p>
    <w:p w14:paraId="67258D67">
      <w:pPr>
        <w:numPr>
          <w:ilvl w:val="0"/>
          <w:numId w:val="38"/>
        </w:numPr>
        <w:tabs>
          <w:tab w:val="left" w:pos="1242"/>
        </w:tabs>
        <w:snapToGrid w:val="0"/>
        <w:spacing w:before="163" w:beforeLines="50" w:line="300" w:lineRule="auto"/>
        <w:ind w:left="880"/>
        <w:jc w:val="both"/>
        <w:rPr>
          <w:rFonts w:ascii="Arial" w:hAnsi="Arial" w:eastAsia="宋体" w:cs="Arial"/>
        </w:rPr>
      </w:pPr>
      <w:r>
        <w:rPr>
          <w:rFonts w:ascii="Arial" w:hAnsi="Arial" w:eastAsia="宋体" w:cs="Arial"/>
          <w:lang w:eastAsia="zh-CN"/>
        </w:rPr>
        <w:t>机电装置结果</w:t>
      </w:r>
    </w:p>
    <w:p w14:paraId="66ED6F07">
      <w:pPr>
        <w:numPr>
          <w:ilvl w:val="0"/>
          <w:numId w:val="38"/>
        </w:numPr>
        <w:tabs>
          <w:tab w:val="left" w:pos="1242"/>
        </w:tabs>
        <w:snapToGrid w:val="0"/>
        <w:spacing w:before="163" w:beforeLines="50" w:line="300" w:lineRule="auto"/>
        <w:ind w:left="880"/>
        <w:jc w:val="both"/>
        <w:rPr>
          <w:rFonts w:ascii="Arial" w:hAnsi="Arial" w:eastAsia="宋体" w:cs="Arial"/>
        </w:rPr>
      </w:pPr>
      <w:r>
        <w:rPr>
          <w:rFonts w:ascii="Arial" w:hAnsi="Arial" w:eastAsia="宋体" w:cs="Arial"/>
          <w:lang w:eastAsia="zh-CN"/>
        </w:rPr>
        <w:t>动物医疗记录复印件</w:t>
      </w:r>
    </w:p>
    <w:p w14:paraId="13B77CF1">
      <w:pPr>
        <w:numPr>
          <w:ilvl w:val="0"/>
          <w:numId w:val="38"/>
        </w:numPr>
        <w:tabs>
          <w:tab w:val="left" w:pos="1276"/>
        </w:tabs>
        <w:snapToGrid w:val="0"/>
        <w:spacing w:before="163" w:beforeLines="50" w:line="300" w:lineRule="auto"/>
        <w:ind w:left="1269" w:leftChars="373" w:hanging="374" w:hangingChars="156"/>
        <w:jc w:val="both"/>
        <w:rPr>
          <w:rFonts w:ascii="Arial" w:hAnsi="Arial" w:eastAsia="宋体" w:cs="Arial"/>
          <w:lang w:eastAsia="zh-CN"/>
        </w:rPr>
      </w:pPr>
      <w:r>
        <w:rPr>
          <w:rFonts w:ascii="Arial" w:hAnsi="Arial" w:eastAsia="宋体" w:cs="Arial"/>
          <w:lang w:eastAsia="zh-CN"/>
        </w:rPr>
        <w:t>签名并注日期的参与科学家（</w:t>
      </w:r>
      <w:r>
        <w:rPr>
          <w:rFonts w:hint="eastAsia" w:ascii="Arial" w:hAnsi="Arial" w:eastAsia="宋体" w:cs="Arial"/>
          <w:lang w:eastAsia="zh-CN"/>
        </w:rPr>
        <w:t>例</w:t>
      </w:r>
      <w:r>
        <w:rPr>
          <w:rFonts w:ascii="Arial" w:hAnsi="Arial" w:eastAsia="宋体" w:cs="Arial"/>
          <w:lang w:eastAsia="zh-CN"/>
        </w:rPr>
        <w:t>如介入手术医生、外科医生、放射科医生、临床兽医、临床病理学家、病理学家等）报告。这些报告可能需要：</w:t>
      </w:r>
    </w:p>
    <w:p w14:paraId="7BE6A455">
      <w:pPr>
        <w:numPr>
          <w:ilvl w:val="0"/>
          <w:numId w:val="38"/>
        </w:numPr>
        <w:tabs>
          <w:tab w:val="left" w:pos="1276"/>
        </w:tabs>
        <w:snapToGrid w:val="0"/>
        <w:spacing w:before="163" w:beforeLines="50" w:line="300" w:lineRule="auto"/>
        <w:ind w:left="1269" w:leftChars="373" w:hanging="374" w:hangingChars="156"/>
        <w:jc w:val="both"/>
        <w:rPr>
          <w:rFonts w:ascii="Arial" w:hAnsi="Arial" w:eastAsia="宋体" w:cs="Arial"/>
          <w:lang w:eastAsia="zh-CN"/>
        </w:rPr>
      </w:pPr>
      <w:r>
        <w:rPr>
          <w:rFonts w:ascii="Arial" w:hAnsi="Arial" w:eastAsia="宋体" w:cs="Arial"/>
          <w:lang w:eastAsia="zh-CN"/>
        </w:rPr>
        <w:t>图片（比如外植体放射显影照片、原位影像、大体和组织病理学、血管造影）</w:t>
      </w:r>
    </w:p>
    <w:p w14:paraId="7979C728">
      <w:pPr>
        <w:numPr>
          <w:ilvl w:val="0"/>
          <w:numId w:val="39"/>
        </w:numPr>
        <w:tabs>
          <w:tab w:val="left" w:pos="1288"/>
        </w:tabs>
        <w:snapToGrid w:val="0"/>
        <w:spacing w:before="163" w:beforeLines="50" w:line="300" w:lineRule="auto"/>
        <w:ind w:left="1298" w:leftChars="373" w:hanging="403" w:hangingChars="168"/>
        <w:jc w:val="both"/>
        <w:rPr>
          <w:rFonts w:ascii="Arial" w:hAnsi="Arial" w:eastAsia="宋体" w:cs="Arial"/>
          <w:lang w:eastAsia="zh-CN"/>
        </w:rPr>
      </w:pPr>
      <w:r>
        <w:rPr>
          <w:rFonts w:ascii="Arial" w:hAnsi="Arial" w:eastAsia="宋体" w:cs="Arial"/>
          <w:lang w:eastAsia="zh-CN"/>
        </w:rPr>
        <w:t>摄影</w:t>
      </w:r>
    </w:p>
    <w:p w14:paraId="1982AEF2">
      <w:pPr>
        <w:numPr>
          <w:ilvl w:val="0"/>
          <w:numId w:val="39"/>
        </w:numPr>
        <w:tabs>
          <w:tab w:val="left" w:pos="1288"/>
        </w:tabs>
        <w:snapToGrid w:val="0"/>
        <w:spacing w:before="163" w:beforeLines="50" w:line="300" w:lineRule="auto"/>
        <w:ind w:left="1298" w:leftChars="373" w:hanging="403" w:hangingChars="168"/>
        <w:jc w:val="both"/>
        <w:rPr>
          <w:rFonts w:ascii="Arial" w:hAnsi="Arial" w:eastAsia="宋体" w:cs="Arial"/>
          <w:lang w:eastAsia="zh-CN"/>
        </w:rPr>
      </w:pPr>
      <w:r>
        <w:rPr>
          <w:rFonts w:ascii="Arial" w:hAnsi="Arial" w:eastAsia="宋体" w:cs="Arial"/>
          <w:lang w:eastAsia="zh-CN"/>
        </w:rPr>
        <w:t>电生理条带</w:t>
      </w:r>
    </w:p>
    <w:p w14:paraId="46B7874F">
      <w:pPr>
        <w:numPr>
          <w:ilvl w:val="0"/>
          <w:numId w:val="39"/>
        </w:numPr>
        <w:tabs>
          <w:tab w:val="left" w:pos="1288"/>
        </w:tabs>
        <w:snapToGrid w:val="0"/>
        <w:spacing w:before="163" w:beforeLines="50" w:line="300" w:lineRule="auto"/>
        <w:ind w:left="1298" w:leftChars="373" w:hanging="403" w:hangingChars="168"/>
        <w:jc w:val="both"/>
        <w:rPr>
          <w:rFonts w:ascii="Arial" w:hAnsi="Arial" w:eastAsia="宋体" w:cs="Arial"/>
          <w:lang w:eastAsia="zh-CN"/>
        </w:rPr>
      </w:pPr>
      <w:r>
        <w:rPr>
          <w:rFonts w:ascii="Arial" w:hAnsi="Arial" w:eastAsia="宋体" w:cs="Arial"/>
          <w:lang w:eastAsia="zh-CN"/>
        </w:rPr>
        <w:t>如适用，且有部分原始数据，则考虑提供病例报告表。</w:t>
      </w:r>
    </w:p>
    <w:p w14:paraId="38493C1B">
      <w:pPr>
        <w:pStyle w:val="38"/>
        <w:snapToGrid w:val="0"/>
        <w:spacing w:line="300" w:lineRule="auto"/>
        <w:jc w:val="center"/>
        <w:outlineLvl w:val="0"/>
        <w:rPr>
          <w:rFonts w:ascii="Arial" w:hAnsi="Arial" w:eastAsia="宋体" w:cs="Arial"/>
          <w:sz w:val="24"/>
          <w:szCs w:val="24"/>
        </w:rPr>
      </w:pPr>
      <w:r>
        <w:rPr>
          <w:rFonts w:ascii="Arial" w:hAnsi="Arial" w:eastAsia="宋体" w:cs="Arial"/>
          <w:sz w:val="24"/>
          <w:szCs w:val="24"/>
        </w:rPr>
        <w:br w:type="page"/>
      </w:r>
      <w:bookmarkStart w:id="158" w:name="_Toc496541673"/>
      <w:bookmarkStart w:id="159" w:name="_Toc495870794"/>
      <w:r>
        <w:rPr>
          <w:rFonts w:ascii="Arial" w:hAnsi="Arial" w:eastAsia="宋体" w:cs="Arial"/>
          <w:sz w:val="24"/>
          <w:szCs w:val="24"/>
        </w:rPr>
        <w:t>附录E：相关联邦法规和指南的表格摘要</w:t>
      </w:r>
      <w:bookmarkEnd w:id="158"/>
    </w:p>
    <w:p w14:paraId="2BA13472">
      <w:pPr>
        <w:pStyle w:val="38"/>
        <w:snapToGrid w:val="0"/>
        <w:spacing w:line="300" w:lineRule="auto"/>
        <w:jc w:val="center"/>
        <w:outlineLvl w:val="9"/>
        <w:rPr>
          <w:rFonts w:ascii="Arial" w:hAnsi="Arial" w:eastAsia="宋体" w:cs="Arial"/>
          <w:b w:val="0"/>
          <w:sz w:val="24"/>
          <w:szCs w:val="24"/>
        </w:rPr>
      </w:pPr>
      <w:bookmarkStart w:id="160" w:name="_Toc496541674"/>
      <w:r>
        <w:rPr>
          <w:rFonts w:ascii="Arial" w:hAnsi="Arial" w:eastAsia="宋体" w:cs="Arial"/>
          <w:sz w:val="24"/>
          <w:szCs w:val="24"/>
        </w:rPr>
        <w:t>（下表无意面面俱到）</w:t>
      </w:r>
      <w:bookmarkEnd w:id="159"/>
      <w:bookmarkEnd w:id="160"/>
    </w:p>
    <w:tbl>
      <w:tblPr>
        <w:tblStyle w:val="11"/>
        <w:tblW w:w="0" w:type="auto"/>
        <w:tblInd w:w="0" w:type="dxa"/>
        <w:tblLayout w:type="fixed"/>
        <w:tblCellMar>
          <w:top w:w="0" w:type="dxa"/>
          <w:left w:w="10" w:type="dxa"/>
          <w:bottom w:w="0" w:type="dxa"/>
          <w:right w:w="10" w:type="dxa"/>
        </w:tblCellMar>
      </w:tblPr>
      <w:tblGrid>
        <w:gridCol w:w="2635"/>
        <w:gridCol w:w="5947"/>
      </w:tblGrid>
      <w:tr w14:paraId="41FAD09D">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6B310B89">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lang w:eastAsia="en-US"/>
              </w:rPr>
            </w:pPr>
            <w:r>
              <w:rPr>
                <w:rStyle w:val="41"/>
                <w:rFonts w:ascii="Arial" w:hAnsi="Arial" w:eastAsia="宋体" w:cs="Arial"/>
                <w:sz w:val="21"/>
                <w:szCs w:val="21"/>
              </w:rPr>
              <w:t>主题</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7357D7B8">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Style w:val="41"/>
                <w:rFonts w:ascii="Arial" w:hAnsi="Arial" w:eastAsia="宋体" w:cs="Arial"/>
                <w:sz w:val="21"/>
                <w:szCs w:val="21"/>
              </w:rPr>
              <w:t>执行标准</w:t>
            </w:r>
          </w:p>
        </w:tc>
      </w:tr>
      <w:tr w14:paraId="5F94CBD7">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51527BEB">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GLP动物护理</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65262961">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21 CFR 58.90</w:t>
            </w:r>
          </w:p>
        </w:tc>
      </w:tr>
      <w:tr w14:paraId="33B36954">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76DB4E7A">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方案</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41131737">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21 CFR 58.120和58.130</w:t>
            </w:r>
          </w:p>
        </w:tc>
      </w:tr>
      <w:tr w14:paraId="24942277">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5D9074E3">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质量保证部门</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6B6FC6B0">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21 CFR 58.35</w:t>
            </w:r>
          </w:p>
        </w:tc>
      </w:tr>
      <w:tr w14:paraId="3166CB27">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15B2CB50">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供试品和对照品</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45C49943">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21 CFR 58.105和58.107</w:t>
            </w:r>
          </w:p>
        </w:tc>
      </w:tr>
      <w:tr w14:paraId="3BCC9003">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5AA6BA3A">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记录和报告</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4ED0AE85">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21 CFR 58.185、58.190和58.195</w:t>
            </w:r>
          </w:p>
        </w:tc>
      </w:tr>
      <w:tr w14:paraId="2E6FAFBD">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69B6D41D">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试验系统</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5C08CB87">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21 CFR 58.3（i）</w:t>
            </w:r>
          </w:p>
        </w:tc>
      </w:tr>
      <w:tr w14:paraId="0C069667">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5272155A">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联邦动物</w:t>
            </w:r>
            <w:r>
              <w:rPr>
                <w:rFonts w:hint="eastAsia" w:ascii="Arial" w:hAnsi="Arial" w:eastAsia="宋体" w:cs="Arial"/>
                <w:szCs w:val="21"/>
              </w:rPr>
              <w:t>生物医学</w:t>
            </w:r>
            <w:r>
              <w:rPr>
                <w:rFonts w:ascii="Arial" w:hAnsi="Arial" w:eastAsia="宋体" w:cs="Arial"/>
                <w:szCs w:val="21"/>
              </w:rPr>
              <w:t>研究标准</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01B18A4B">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lang w:eastAsia="en-US"/>
              </w:rPr>
            </w:pPr>
            <w:r>
              <w:rPr>
                <w:rFonts w:ascii="Arial" w:hAnsi="Arial" w:eastAsia="宋体" w:cs="Arial"/>
                <w:szCs w:val="21"/>
              </w:rPr>
              <w:t>9 CFR第I章第3部分</w:t>
            </w:r>
          </w:p>
        </w:tc>
      </w:tr>
      <w:tr w14:paraId="290FF633">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38469D0E">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犬的饲养条件和福利</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00EE5978">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犬的护理、运动和</w:t>
            </w:r>
            <w:r>
              <w:rPr>
                <w:rFonts w:hint="eastAsia" w:ascii="Arial" w:hAnsi="Arial" w:eastAsia="宋体" w:cs="Arial"/>
                <w:szCs w:val="21"/>
              </w:rPr>
              <w:t>笼舍</w:t>
            </w:r>
            <w:r>
              <w:rPr>
                <w:rFonts w:ascii="Arial" w:hAnsi="Arial" w:eastAsia="宋体" w:cs="Arial"/>
                <w:szCs w:val="21"/>
              </w:rPr>
              <w:t>见9 CFR第I章第3部分标准的A子部分。</w:t>
            </w:r>
          </w:p>
          <w:p w14:paraId="772349C7">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hint="eastAsia" w:ascii="Arial" w:hAnsi="Arial" w:eastAsia="宋体" w:cs="Arial"/>
                <w:szCs w:val="21"/>
              </w:rPr>
              <w:t>笼舍</w:t>
            </w:r>
            <w:r>
              <w:rPr>
                <w:rFonts w:ascii="Arial" w:hAnsi="Arial" w:eastAsia="宋体" w:cs="Arial"/>
                <w:szCs w:val="21"/>
              </w:rPr>
              <w:t>、动物管理和各物种具体空间的建议见美国国家科学研究委员会（NRC）的出版物《实验动物护理和使用指南》</w:t>
            </w:r>
            <w:r>
              <w:rPr>
                <w:rFonts w:ascii="Arial" w:hAnsi="Arial" w:eastAsia="宋体" w:cs="Arial"/>
                <w:szCs w:val="21"/>
                <w:vertAlign w:val="superscript"/>
              </w:rPr>
              <w:t>4</w:t>
            </w:r>
            <w:r>
              <w:rPr>
                <w:rFonts w:ascii="Arial" w:hAnsi="Arial" w:eastAsia="宋体" w:cs="Arial"/>
                <w:szCs w:val="21"/>
              </w:rPr>
              <w:t xml:space="preserve"> ，这也是AAALAC和PHS推荐的参考资料。</w:t>
            </w:r>
          </w:p>
        </w:tc>
      </w:tr>
      <w:tr w14:paraId="03F75BF1">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42E64B03">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lang w:eastAsia="en-US"/>
              </w:rPr>
            </w:pPr>
            <w:r>
              <w:rPr>
                <w:rFonts w:ascii="Arial" w:hAnsi="Arial" w:eastAsia="宋体" w:cs="Arial"/>
                <w:szCs w:val="21"/>
              </w:rPr>
              <w:t>卫生和饲养管理</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012469B2">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 xml:space="preserve">9 CFR第I章第3部分标准以及《实验动物护理和使用指南》 </w:t>
            </w:r>
            <w:r>
              <w:rPr>
                <w:rFonts w:ascii="Arial" w:hAnsi="Arial" w:eastAsia="宋体" w:cs="Arial"/>
                <w:szCs w:val="21"/>
                <w:vertAlign w:val="superscript"/>
              </w:rPr>
              <w:t>4</w:t>
            </w:r>
          </w:p>
        </w:tc>
      </w:tr>
      <w:tr w14:paraId="0AAE1C3A">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07721C3F">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lang w:eastAsia="en-US"/>
              </w:rPr>
            </w:pPr>
            <w:r>
              <w:rPr>
                <w:rFonts w:ascii="Arial" w:hAnsi="Arial" w:eastAsia="宋体" w:cs="Arial"/>
                <w:szCs w:val="21"/>
              </w:rPr>
              <w:t>运输环境控制</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32802C4E">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 xml:space="preserve">9 CFR第I章第3部分标准以及《实验动物护理和使用指南》 </w:t>
            </w:r>
            <w:r>
              <w:rPr>
                <w:rFonts w:ascii="Arial" w:hAnsi="Arial" w:eastAsia="宋体" w:cs="Arial"/>
                <w:szCs w:val="21"/>
                <w:vertAlign w:val="superscript"/>
              </w:rPr>
              <w:t>4</w:t>
            </w:r>
          </w:p>
        </w:tc>
      </w:tr>
      <w:tr w14:paraId="4A853546">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2FBEDD19">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lang w:eastAsia="en-US"/>
              </w:rPr>
            </w:pPr>
            <w:r>
              <w:rPr>
                <w:rFonts w:ascii="Arial" w:hAnsi="Arial" w:eastAsia="宋体" w:cs="Arial"/>
                <w:szCs w:val="21"/>
              </w:rPr>
              <w:t>动物标识系统</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222C1B12">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温血动物（</w:t>
            </w:r>
            <w:r>
              <w:rPr>
                <w:rFonts w:hint="eastAsia" w:ascii="Arial" w:hAnsi="Arial" w:eastAsia="宋体" w:cs="Arial"/>
                <w:szCs w:val="21"/>
              </w:rPr>
              <w:t>哺乳</w:t>
            </w:r>
            <w:r>
              <w:rPr>
                <w:rFonts w:ascii="Arial" w:hAnsi="Arial" w:eastAsia="宋体" w:cs="Arial"/>
                <w:szCs w:val="21"/>
              </w:rPr>
              <w:t>啮齿类动物除外）的标识见21 CFR 58.90，用于研究的犬、猫以及所有其他动物的标识见9 CFR第I章第2部分的E子部分。</w:t>
            </w:r>
          </w:p>
        </w:tc>
      </w:tr>
      <w:tr w14:paraId="70EF09B1">
        <w:tblPrEx>
          <w:tblCellMar>
            <w:top w:w="0" w:type="dxa"/>
            <w:left w:w="10" w:type="dxa"/>
            <w:bottom w:w="0" w:type="dxa"/>
            <w:right w:w="10" w:type="dxa"/>
          </w:tblCellMar>
        </w:tblPrEx>
        <w:tc>
          <w:tcPr>
            <w:tcW w:w="2635" w:type="dxa"/>
            <w:tcBorders>
              <w:top w:val="single" w:color="auto" w:sz="4" w:space="0"/>
              <w:left w:val="single" w:color="auto" w:sz="4" w:space="0"/>
              <w:bottom w:val="nil"/>
              <w:right w:val="nil"/>
            </w:tcBorders>
            <w:shd w:val="clear" w:color="auto" w:fill="FFFFFF"/>
            <w:vAlign w:val="center"/>
          </w:tcPr>
          <w:p w14:paraId="2E65205C">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lang w:eastAsia="en-US"/>
              </w:rPr>
            </w:pPr>
            <w:r>
              <w:rPr>
                <w:rFonts w:ascii="Arial" w:hAnsi="Arial" w:eastAsia="宋体" w:cs="Arial"/>
                <w:szCs w:val="21"/>
              </w:rPr>
              <w:t>动物隔离和</w:t>
            </w:r>
            <w:r>
              <w:rPr>
                <w:rFonts w:hint="eastAsia" w:ascii="Arial" w:hAnsi="Arial" w:eastAsia="宋体" w:cs="Arial"/>
                <w:szCs w:val="21"/>
              </w:rPr>
              <w:t>调节</w:t>
            </w:r>
          </w:p>
        </w:tc>
        <w:tc>
          <w:tcPr>
            <w:tcW w:w="5947" w:type="dxa"/>
            <w:tcBorders>
              <w:top w:val="single" w:color="auto" w:sz="4" w:space="0"/>
              <w:left w:val="single" w:color="auto" w:sz="4" w:space="0"/>
              <w:bottom w:val="nil"/>
              <w:right w:val="single" w:color="auto" w:sz="4" w:space="0"/>
            </w:tcBorders>
            <w:shd w:val="clear" w:color="auto" w:fill="FFFFFF"/>
            <w:vAlign w:val="center"/>
          </w:tcPr>
          <w:p w14:paraId="3D9FC1CC">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21 CFR 58.90和NRC《实验动物护理和使用指南》</w:t>
            </w:r>
            <w:r>
              <w:rPr>
                <w:rFonts w:ascii="Arial" w:hAnsi="Arial" w:eastAsia="宋体" w:cs="Arial"/>
                <w:szCs w:val="21"/>
                <w:vertAlign w:val="superscript"/>
              </w:rPr>
              <w:t>4</w:t>
            </w:r>
            <w:r>
              <w:rPr>
                <w:rFonts w:ascii="Arial" w:hAnsi="Arial" w:eastAsia="宋体" w:cs="Arial"/>
                <w:szCs w:val="21"/>
              </w:rPr>
              <w:t>第110页。用于实验和其他科学用途的脊椎动物保护欧洲公约为欧洲成员国试验机构提供了类似指南。</w:t>
            </w:r>
          </w:p>
        </w:tc>
      </w:tr>
      <w:tr w14:paraId="0CAE8F5B">
        <w:tblPrEx>
          <w:tblCellMar>
            <w:top w:w="0" w:type="dxa"/>
            <w:left w:w="10" w:type="dxa"/>
            <w:bottom w:w="0" w:type="dxa"/>
            <w:right w:w="10" w:type="dxa"/>
          </w:tblCellMar>
        </w:tblPrEx>
        <w:tc>
          <w:tcPr>
            <w:tcW w:w="2635" w:type="dxa"/>
            <w:tcBorders>
              <w:top w:val="single" w:color="auto" w:sz="4" w:space="0"/>
              <w:left w:val="single" w:color="auto" w:sz="4" w:space="0"/>
              <w:bottom w:val="single" w:color="auto" w:sz="4" w:space="0"/>
              <w:right w:val="nil"/>
            </w:tcBorders>
            <w:shd w:val="clear" w:color="auto" w:fill="FFFFFF"/>
            <w:vAlign w:val="center"/>
          </w:tcPr>
          <w:p w14:paraId="6E593BEB">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lang w:eastAsia="en-US"/>
              </w:rPr>
            </w:pPr>
            <w:r>
              <w:rPr>
                <w:rFonts w:ascii="Arial" w:hAnsi="Arial" w:eastAsia="宋体" w:cs="Arial"/>
                <w:szCs w:val="21"/>
              </w:rPr>
              <w:t>社会和环境研究标准</w:t>
            </w:r>
          </w:p>
        </w:tc>
        <w:tc>
          <w:tcPr>
            <w:tcW w:w="5947" w:type="dxa"/>
            <w:tcBorders>
              <w:top w:val="single" w:color="auto" w:sz="4" w:space="0"/>
              <w:left w:val="single" w:color="auto" w:sz="4" w:space="0"/>
              <w:bottom w:val="single" w:color="auto" w:sz="4" w:space="0"/>
              <w:right w:val="single" w:color="auto" w:sz="4" w:space="0"/>
            </w:tcBorders>
            <w:shd w:val="clear" w:color="auto" w:fill="FFFFFF"/>
            <w:vAlign w:val="center"/>
          </w:tcPr>
          <w:p w14:paraId="25DF9B25">
            <w:pPr>
              <w:pStyle w:val="20"/>
              <w:shd w:val="clear" w:color="auto" w:fill="auto"/>
              <w:snapToGrid w:val="0"/>
              <w:spacing w:before="97" w:beforeLines="30" w:after="97" w:afterLines="30" w:line="288" w:lineRule="auto"/>
              <w:ind w:left="48" w:leftChars="20" w:right="48" w:rightChars="20" w:firstLine="0"/>
              <w:jc w:val="both"/>
              <w:rPr>
                <w:rFonts w:ascii="Arial" w:hAnsi="Arial" w:eastAsia="宋体" w:cs="Arial"/>
                <w:szCs w:val="21"/>
              </w:rPr>
            </w:pPr>
            <w:r>
              <w:rPr>
                <w:rFonts w:ascii="Arial" w:hAnsi="Arial" w:eastAsia="宋体" w:cs="Arial"/>
                <w:szCs w:val="21"/>
              </w:rPr>
              <w:t>9 CFR 3.7和3.8以及NRC《实验动物护理和使用指南》</w:t>
            </w:r>
            <w:r>
              <w:rPr>
                <w:rFonts w:ascii="Arial" w:hAnsi="Arial" w:eastAsia="宋体" w:cs="Arial"/>
                <w:szCs w:val="21"/>
                <w:vertAlign w:val="superscript"/>
              </w:rPr>
              <w:t>4</w:t>
            </w:r>
            <w:r>
              <w:rPr>
                <w:rFonts w:ascii="Arial" w:hAnsi="Arial" w:eastAsia="宋体" w:cs="Arial"/>
                <w:szCs w:val="21"/>
              </w:rPr>
              <w:t xml:space="preserve"> 52-56页、63-65页以及8284页。</w:t>
            </w:r>
          </w:p>
        </w:tc>
      </w:tr>
    </w:tbl>
    <w:p w14:paraId="1BDA5EC3">
      <w:pPr>
        <w:pStyle w:val="38"/>
        <w:snapToGrid w:val="0"/>
        <w:spacing w:line="300" w:lineRule="auto"/>
        <w:jc w:val="center"/>
        <w:outlineLvl w:val="0"/>
        <w:rPr>
          <w:rFonts w:ascii="Arial" w:hAnsi="Arial" w:eastAsia="宋体" w:cs="Arial"/>
          <w:sz w:val="24"/>
          <w:szCs w:val="24"/>
          <w:lang w:bidi="en-US"/>
        </w:rPr>
      </w:pPr>
      <w:r>
        <w:rPr>
          <w:rFonts w:ascii="Arial" w:hAnsi="Arial" w:eastAsia="宋体" w:cs="Arial"/>
          <w:sz w:val="24"/>
          <w:szCs w:val="24"/>
        </w:rPr>
        <w:br w:type="page"/>
      </w:r>
      <w:bookmarkStart w:id="161" w:name="_Toc496541675"/>
      <w:bookmarkStart w:id="162" w:name="_Toc495870795"/>
      <w:r>
        <w:rPr>
          <w:rFonts w:ascii="Arial" w:hAnsi="Arial" w:eastAsia="宋体" w:cs="Arial"/>
          <w:sz w:val="24"/>
          <w:szCs w:val="24"/>
        </w:rPr>
        <w:t>附录F：动物护理和研究方面的其他资源</w:t>
      </w:r>
      <w:bookmarkEnd w:id="161"/>
      <w:bookmarkEnd w:id="162"/>
    </w:p>
    <w:p w14:paraId="2887A192">
      <w:pPr>
        <w:pStyle w:val="32"/>
        <w:numPr>
          <w:ilvl w:val="1"/>
          <w:numId w:val="40"/>
        </w:numPr>
        <w:tabs>
          <w:tab w:val="left" w:pos="469"/>
        </w:tabs>
        <w:autoSpaceDE w:val="0"/>
        <w:autoSpaceDN w:val="0"/>
        <w:snapToGrid w:val="0"/>
        <w:spacing w:line="300" w:lineRule="auto"/>
        <w:ind w:left="475" w:hanging="475" w:hangingChars="198"/>
        <w:jc w:val="both"/>
        <w:rPr>
          <w:rFonts w:ascii="Arial" w:hAnsi="Arial" w:eastAsia="宋体" w:cs="Arial"/>
          <w:lang w:val="de-DE"/>
        </w:rPr>
      </w:pPr>
      <w:r>
        <w:rPr>
          <w:rFonts w:ascii="Arial" w:hAnsi="Arial" w:eastAsia="宋体" w:cs="Arial"/>
          <w:lang w:eastAsia="zh-CN"/>
        </w:rPr>
        <w:t>FDA</w:t>
      </w:r>
      <w:r>
        <w:rPr>
          <w:rFonts w:hint="eastAsia" w:ascii="Arial" w:hAnsi="Arial" w:eastAsia="宋体" w:cs="Arial"/>
          <w:lang w:eastAsia="zh-CN"/>
        </w:rPr>
        <w:t>行业</w:t>
      </w:r>
      <w:r>
        <w:rPr>
          <w:rFonts w:ascii="Arial" w:hAnsi="Arial" w:eastAsia="宋体" w:cs="Arial"/>
          <w:lang w:eastAsia="zh-CN"/>
        </w:rPr>
        <w:t>指南（2007）</w:t>
      </w:r>
      <w:r>
        <w:rPr>
          <w:rFonts w:ascii="Arial" w:hAnsi="Arial" w:eastAsia="宋体" w:cs="Arial"/>
          <w:color w:val="0000FF"/>
          <w:u w:val="single"/>
          <w:lang w:eastAsia="zh-CN"/>
        </w:rPr>
        <w:t>《</w:t>
      </w:r>
      <w:r>
        <w:rPr>
          <w:rFonts w:hint="eastAsia" w:ascii="Arial" w:hAnsi="Arial" w:eastAsia="宋体" w:cs="Arial"/>
          <w:color w:val="0000FF"/>
          <w:u w:val="single"/>
          <w:lang w:eastAsia="zh-CN"/>
        </w:rPr>
        <w:t>良好实验室</w:t>
      </w:r>
      <w:r>
        <w:rPr>
          <w:rFonts w:ascii="Arial" w:hAnsi="Arial" w:eastAsia="宋体" w:cs="Arial"/>
          <w:color w:val="0000FF"/>
          <w:u w:val="single"/>
          <w:lang w:eastAsia="zh-CN"/>
        </w:rPr>
        <w:t>规范——问答篇》</w:t>
      </w:r>
      <w:r>
        <w:rPr>
          <w:rFonts w:ascii="Arial" w:hAnsi="Arial" w:eastAsia="宋体" w:cs="Arial"/>
          <w:color w:val="0000FF"/>
          <w:lang w:eastAsia="zh-CN"/>
        </w:rPr>
        <w:t>。</w:t>
      </w:r>
      <w:r>
        <w:rPr>
          <w:rFonts w:ascii="Arial" w:hAnsi="Arial" w:eastAsia="宋体" w:cs="Arial"/>
          <w:lang w:val="de-DE" w:eastAsia="zh-CN"/>
        </w:rPr>
        <w:t>（</w:t>
      </w:r>
      <w:r>
        <w:rPr>
          <w:rFonts w:ascii="Arial" w:hAnsi="Arial" w:eastAsia="宋体" w:cs="Arial"/>
          <w:color w:val="0000FF"/>
          <w:u w:val="single"/>
          <w:lang w:val="de-DE" w:eastAsia="zh-CN"/>
        </w:rPr>
        <w:t>http://www.fda.gov/downloads/ICECI/EnforcementActions/BioresearchMonitoring/ucm 133748.pdf</w:t>
      </w:r>
      <w:r>
        <w:rPr>
          <w:rFonts w:ascii="Arial" w:hAnsi="Arial" w:eastAsia="宋体" w:cs="Arial"/>
          <w:lang w:val="de-DE" w:eastAsia="zh-CN"/>
        </w:rPr>
        <w:t>）</w:t>
      </w:r>
    </w:p>
    <w:p w14:paraId="4EBC1DE6">
      <w:pPr>
        <w:pStyle w:val="32"/>
        <w:numPr>
          <w:ilvl w:val="1"/>
          <w:numId w:val="40"/>
        </w:numPr>
        <w:tabs>
          <w:tab w:val="left" w:pos="469"/>
        </w:tabs>
        <w:autoSpaceDE w:val="0"/>
        <w:autoSpaceDN w:val="0"/>
        <w:snapToGrid w:val="0"/>
        <w:spacing w:line="300" w:lineRule="auto"/>
        <w:ind w:left="475" w:hanging="475" w:hangingChars="198"/>
        <w:jc w:val="both"/>
        <w:rPr>
          <w:rFonts w:ascii="Arial" w:hAnsi="Arial" w:eastAsia="宋体" w:cs="Arial"/>
          <w:lang w:val="de-DE"/>
        </w:rPr>
      </w:pPr>
      <w:r>
        <w:rPr>
          <w:rFonts w:ascii="Arial" w:hAnsi="Arial" w:eastAsia="宋体" w:cs="Arial"/>
          <w:lang w:val="de-DE" w:eastAsia="zh-CN"/>
        </w:rPr>
        <w:t xml:space="preserve">Hasenfuss G </w:t>
      </w:r>
      <w:r>
        <w:rPr>
          <w:rFonts w:hint="eastAsia" w:ascii="Arial" w:hAnsi="Arial" w:eastAsia="宋体" w:cs="Arial"/>
          <w:lang w:val="de-DE" w:eastAsia="zh-CN"/>
        </w:rPr>
        <w:t>（</w:t>
      </w:r>
      <w:r>
        <w:rPr>
          <w:rFonts w:ascii="Arial" w:hAnsi="Arial" w:eastAsia="宋体" w:cs="Arial"/>
          <w:lang w:val="de-DE" w:eastAsia="zh-CN"/>
        </w:rPr>
        <w:t>1998</w:t>
      </w:r>
      <w:r>
        <w:rPr>
          <w:rFonts w:hint="eastAsia" w:ascii="Arial" w:hAnsi="Arial" w:eastAsia="宋体" w:cs="Arial"/>
          <w:lang w:val="de-DE" w:eastAsia="zh-CN"/>
        </w:rPr>
        <w:t>）</w:t>
      </w:r>
      <w:r>
        <w:rPr>
          <w:rFonts w:ascii="Arial" w:hAnsi="Arial" w:eastAsia="宋体" w:cs="Arial"/>
          <w:lang w:eastAsia="zh-CN"/>
        </w:rPr>
        <w:t>。人</w:t>
      </w:r>
      <w:r>
        <w:rPr>
          <w:rFonts w:hint="eastAsia" w:ascii="Arial" w:hAnsi="Arial" w:eastAsia="宋体" w:cs="Arial"/>
          <w:lang w:eastAsia="zh-CN"/>
        </w:rPr>
        <w:t>类</w:t>
      </w:r>
      <w:r>
        <w:rPr>
          <w:rFonts w:ascii="Arial" w:hAnsi="Arial" w:eastAsia="宋体" w:cs="Arial"/>
          <w:lang w:eastAsia="zh-CN"/>
        </w:rPr>
        <w:t>心血管疾病、心衰和肥大动物模型。</w:t>
      </w:r>
      <w:r>
        <w:rPr>
          <w:rFonts w:ascii="Arial" w:hAnsi="Arial" w:eastAsia="宋体" w:cs="Arial"/>
          <w:i/>
          <w:iCs/>
          <w:lang w:eastAsia="zh-CN"/>
        </w:rPr>
        <w:t>心血管研究</w:t>
      </w:r>
      <w:r>
        <w:rPr>
          <w:rFonts w:hint="eastAsia" w:ascii="Arial" w:hAnsi="Arial" w:eastAsia="宋体" w:cs="Arial"/>
          <w:lang w:val="de-DE" w:eastAsia="zh-CN"/>
        </w:rPr>
        <w:t>，</w:t>
      </w:r>
      <w:r>
        <w:rPr>
          <w:rFonts w:ascii="Arial" w:hAnsi="Arial" w:eastAsia="宋体" w:cs="Arial"/>
          <w:lang w:val="de-DE" w:eastAsia="zh-CN"/>
        </w:rPr>
        <w:t>39</w:t>
      </w:r>
      <w:r>
        <w:rPr>
          <w:rFonts w:hint="eastAsia" w:ascii="Arial" w:hAnsi="Arial" w:eastAsia="宋体" w:cs="Arial"/>
          <w:lang w:val="de-DE" w:eastAsia="zh-CN"/>
        </w:rPr>
        <w:t>（</w:t>
      </w:r>
      <w:r>
        <w:rPr>
          <w:rFonts w:ascii="Arial" w:hAnsi="Arial" w:eastAsia="宋体" w:cs="Arial"/>
          <w:lang w:val="de-DE" w:eastAsia="zh-CN"/>
        </w:rPr>
        <w:t>1</w:t>
      </w:r>
      <w:r>
        <w:rPr>
          <w:rFonts w:hint="eastAsia" w:ascii="Arial" w:hAnsi="Arial" w:eastAsia="宋体" w:cs="Arial"/>
          <w:lang w:val="de-DE" w:eastAsia="zh-CN"/>
        </w:rPr>
        <w:t>）</w:t>
      </w:r>
      <w:r>
        <w:rPr>
          <w:rFonts w:ascii="Arial" w:hAnsi="Arial" w:eastAsia="宋体" w:cs="Arial"/>
          <w:lang w:val="de-DE" w:eastAsia="zh-CN"/>
        </w:rPr>
        <w:t xml:space="preserve"> 60-76</w:t>
      </w:r>
      <w:r>
        <w:rPr>
          <w:rFonts w:ascii="Arial" w:hAnsi="Arial" w:eastAsia="宋体" w:cs="Arial"/>
          <w:lang w:eastAsia="zh-CN"/>
        </w:rPr>
        <w:t>。</w:t>
      </w:r>
    </w:p>
    <w:p w14:paraId="52D15A7F">
      <w:pPr>
        <w:pStyle w:val="32"/>
        <w:numPr>
          <w:ilvl w:val="1"/>
          <w:numId w:val="40"/>
        </w:numPr>
        <w:tabs>
          <w:tab w:val="left" w:pos="469"/>
        </w:tabs>
        <w:autoSpaceDE w:val="0"/>
        <w:autoSpaceDN w:val="0"/>
        <w:snapToGrid w:val="0"/>
        <w:spacing w:line="300" w:lineRule="auto"/>
        <w:ind w:left="475" w:hanging="475" w:hangingChars="198"/>
        <w:jc w:val="both"/>
        <w:rPr>
          <w:rFonts w:ascii="Arial" w:hAnsi="Arial" w:eastAsia="宋体" w:cs="Arial"/>
          <w:lang w:eastAsia="zh-CN"/>
        </w:rPr>
      </w:pPr>
      <w:r>
        <w:rPr>
          <w:rFonts w:ascii="Arial" w:hAnsi="Arial" w:eastAsia="宋体" w:cs="Arial"/>
          <w:lang w:eastAsia="zh-CN"/>
        </w:rPr>
        <w:t>美国国家研究委员会犬营养农业小组委员会。</w:t>
      </w:r>
      <w:r>
        <w:rPr>
          <w:rFonts w:ascii="Arial" w:hAnsi="Arial" w:eastAsia="宋体" w:cs="Arial"/>
          <w:u w:val="single"/>
          <w:lang w:eastAsia="zh-CN"/>
        </w:rPr>
        <w:t>《</w:t>
      </w:r>
      <w:r>
        <w:rPr>
          <w:rFonts w:ascii="Arial" w:hAnsi="Arial" w:eastAsia="宋体" w:cs="Arial"/>
          <w:color w:val="0000FF"/>
          <w:u w:val="single"/>
          <w:lang w:eastAsia="zh-CN"/>
        </w:rPr>
        <w:t>犬的营养需要</w:t>
      </w:r>
      <w:r>
        <w:rPr>
          <w:rFonts w:ascii="Arial" w:hAnsi="Arial" w:eastAsia="宋体" w:cs="Arial"/>
          <w:u w:val="single"/>
          <w:lang w:eastAsia="zh-CN"/>
        </w:rPr>
        <w:t>》</w:t>
      </w:r>
      <w:r>
        <w:rPr>
          <w:rFonts w:ascii="Arial" w:hAnsi="Arial" w:eastAsia="宋体" w:cs="Arial"/>
          <w:lang w:eastAsia="zh-CN"/>
        </w:rPr>
        <w:t>修订版 （1985）。华盛顿哥伦比亚特区：美国国家学术出版社。（</w:t>
      </w:r>
      <w:r>
        <w:rPr>
          <w:rFonts w:ascii="Arial" w:hAnsi="Arial" w:eastAsia="宋体" w:cs="Arial"/>
          <w:color w:val="0000FF"/>
          <w:u w:val="single"/>
          <w:lang w:eastAsia="zh-CN"/>
        </w:rPr>
        <w:t>http://www.nap.edu/openbook.php?record_id=15&amp;page=R1</w:t>
      </w:r>
      <w:r>
        <w:rPr>
          <w:rFonts w:ascii="Arial" w:hAnsi="Arial" w:eastAsia="宋体" w:cs="Arial"/>
          <w:lang w:eastAsia="zh-CN"/>
        </w:rPr>
        <w:t>）</w:t>
      </w:r>
    </w:p>
    <w:p w14:paraId="21C789CB">
      <w:pPr>
        <w:pStyle w:val="32"/>
        <w:numPr>
          <w:ilvl w:val="1"/>
          <w:numId w:val="40"/>
        </w:numPr>
        <w:tabs>
          <w:tab w:val="left" w:pos="469"/>
        </w:tabs>
        <w:autoSpaceDE w:val="0"/>
        <w:autoSpaceDN w:val="0"/>
        <w:snapToGrid w:val="0"/>
        <w:spacing w:line="300" w:lineRule="auto"/>
        <w:ind w:left="475" w:hanging="475" w:hangingChars="198"/>
        <w:jc w:val="both"/>
        <w:rPr>
          <w:rFonts w:ascii="Arial" w:hAnsi="Arial" w:eastAsia="宋体" w:cs="Arial"/>
          <w:lang w:eastAsia="zh-CN"/>
        </w:rPr>
      </w:pPr>
      <w:r>
        <w:rPr>
          <w:rFonts w:ascii="Arial" w:hAnsi="Arial" w:eastAsia="宋体" w:cs="Arial"/>
          <w:lang w:eastAsia="zh-CN"/>
        </w:rPr>
        <w:t>美国国家研究委员会山羊营养农业和可再生资源小组委员会。《山羊的营养需要：温热带国家的安哥拉山羊、奶山羊和肉山羊》（1981）。华盛顿哥伦比亚特区：美国国家学术出版社。</w:t>
      </w:r>
    </w:p>
    <w:p w14:paraId="3B1A0286">
      <w:pPr>
        <w:pStyle w:val="32"/>
        <w:numPr>
          <w:ilvl w:val="1"/>
          <w:numId w:val="40"/>
        </w:numPr>
        <w:tabs>
          <w:tab w:val="left" w:pos="469"/>
        </w:tabs>
        <w:autoSpaceDE w:val="0"/>
        <w:autoSpaceDN w:val="0"/>
        <w:snapToGrid w:val="0"/>
        <w:spacing w:line="300" w:lineRule="auto"/>
        <w:ind w:left="475" w:hanging="475" w:hangingChars="198"/>
        <w:jc w:val="both"/>
        <w:rPr>
          <w:rFonts w:ascii="Arial" w:hAnsi="Arial" w:eastAsia="宋体" w:cs="Arial"/>
          <w:lang w:eastAsia="zh-CN"/>
        </w:rPr>
      </w:pPr>
      <w:r>
        <w:rPr>
          <w:rFonts w:ascii="Arial" w:hAnsi="Arial" w:eastAsia="宋体" w:cs="Arial"/>
          <w:lang w:eastAsia="zh-CN"/>
        </w:rPr>
        <w:t>美国国家研究委员会农业小组委员会。</w:t>
      </w:r>
      <w:r>
        <w:rPr>
          <w:rFonts w:ascii="Arial" w:hAnsi="Arial" w:eastAsia="宋体" w:cs="Arial"/>
          <w:u w:val="single"/>
          <w:lang w:eastAsia="zh-CN"/>
        </w:rPr>
        <w:t>《</w:t>
      </w:r>
      <w:r>
        <w:rPr>
          <w:rFonts w:ascii="Arial" w:hAnsi="Arial" w:eastAsia="宋体" w:cs="Arial"/>
          <w:color w:val="0000FF"/>
          <w:u w:val="single"/>
          <w:lang w:eastAsia="zh-CN"/>
        </w:rPr>
        <w:t>绵羊的营养需要</w:t>
      </w:r>
      <w:r>
        <w:rPr>
          <w:rFonts w:ascii="Arial" w:hAnsi="Arial" w:eastAsia="宋体" w:cs="Arial"/>
          <w:u w:val="single"/>
          <w:lang w:eastAsia="zh-CN"/>
        </w:rPr>
        <w:t>》</w:t>
      </w:r>
      <w:r>
        <w:rPr>
          <w:rFonts w:ascii="Arial" w:hAnsi="Arial" w:eastAsia="宋体" w:cs="Arial"/>
          <w:lang w:eastAsia="zh-CN"/>
        </w:rPr>
        <w:t>第6次修订版（1985）。华盛顿哥伦比亚特区，美国国家学术出版社。（</w:t>
      </w:r>
      <w:r>
        <w:rPr>
          <w:rFonts w:ascii="Arial" w:hAnsi="Arial" w:eastAsia="宋体" w:cs="Arial"/>
          <w:color w:val="0000FF"/>
          <w:u w:val="single"/>
          <w:lang w:eastAsia="zh-CN"/>
        </w:rPr>
        <w:t>http://www.nap.edu/openbook.php?record_id=614&amp;page=R1</w:t>
      </w:r>
      <w:r>
        <w:rPr>
          <w:rFonts w:ascii="Arial" w:hAnsi="Arial" w:eastAsia="宋体" w:cs="Arial"/>
          <w:lang w:eastAsia="zh-CN"/>
        </w:rPr>
        <w:t>）</w:t>
      </w:r>
    </w:p>
    <w:p w14:paraId="392F932F">
      <w:pPr>
        <w:pStyle w:val="32"/>
        <w:numPr>
          <w:ilvl w:val="1"/>
          <w:numId w:val="40"/>
        </w:numPr>
        <w:tabs>
          <w:tab w:val="left" w:pos="469"/>
        </w:tabs>
        <w:autoSpaceDE w:val="0"/>
        <w:autoSpaceDN w:val="0"/>
        <w:snapToGrid w:val="0"/>
        <w:spacing w:line="300" w:lineRule="auto"/>
        <w:ind w:left="475" w:hanging="475" w:hangingChars="198"/>
        <w:jc w:val="both"/>
        <w:rPr>
          <w:rFonts w:ascii="Arial" w:hAnsi="Arial" w:eastAsia="宋体" w:cs="Arial"/>
          <w:lang w:eastAsia="zh-CN"/>
        </w:rPr>
      </w:pPr>
      <w:r>
        <w:rPr>
          <w:rFonts w:ascii="Arial" w:hAnsi="Arial" w:eastAsia="宋体" w:cs="Arial"/>
          <w:lang w:eastAsia="zh-CN"/>
        </w:rPr>
        <w:t>美国国家研究委员会农业小组委员会。《</w:t>
      </w:r>
      <w:r>
        <w:rPr>
          <w:rFonts w:ascii="Arial" w:hAnsi="Arial" w:eastAsia="宋体" w:cs="Arial"/>
          <w:color w:val="0000FF"/>
          <w:u w:val="single"/>
          <w:lang w:eastAsia="zh-CN"/>
        </w:rPr>
        <w:t>马的营养需要</w:t>
      </w:r>
      <w:r>
        <w:rPr>
          <w:rFonts w:ascii="Arial" w:hAnsi="Arial" w:eastAsia="宋体" w:cs="Arial"/>
          <w:lang w:eastAsia="zh-CN"/>
        </w:rPr>
        <w:t>》第6次修订版。（2007）。华盛顿哥伦比亚特区，美国国家学术出版社。（</w:t>
      </w:r>
      <w:r>
        <w:rPr>
          <w:rFonts w:ascii="Arial" w:hAnsi="Arial" w:eastAsia="宋体" w:cs="Arial"/>
          <w:color w:val="0000FF"/>
          <w:u w:val="single"/>
          <w:lang w:eastAsia="zh-CN"/>
        </w:rPr>
        <w:t>http://www.nap.edu/openbook.php?record_id=11653&amp;page=R1</w:t>
      </w:r>
      <w:r>
        <w:rPr>
          <w:rFonts w:ascii="Arial" w:hAnsi="Arial" w:eastAsia="宋体" w:cs="Arial"/>
          <w:lang w:eastAsia="zh-CN"/>
        </w:rPr>
        <w:t>）</w:t>
      </w:r>
    </w:p>
    <w:p w14:paraId="46C9C49F">
      <w:pPr>
        <w:pStyle w:val="32"/>
        <w:numPr>
          <w:ilvl w:val="1"/>
          <w:numId w:val="40"/>
        </w:numPr>
        <w:tabs>
          <w:tab w:val="left" w:pos="469"/>
        </w:tabs>
        <w:autoSpaceDE w:val="0"/>
        <w:autoSpaceDN w:val="0"/>
        <w:snapToGrid w:val="0"/>
        <w:spacing w:line="300" w:lineRule="auto"/>
        <w:ind w:left="475" w:hanging="475" w:hangingChars="198"/>
        <w:jc w:val="both"/>
        <w:rPr>
          <w:rFonts w:ascii="Arial" w:hAnsi="Arial" w:eastAsia="宋体" w:cs="Arial"/>
          <w:lang w:eastAsia="zh-CN"/>
        </w:rPr>
      </w:pPr>
      <w:r>
        <w:rPr>
          <w:rFonts w:ascii="Arial" w:hAnsi="Arial" w:eastAsia="宋体" w:cs="Arial"/>
          <w:lang w:eastAsia="zh-CN"/>
        </w:rPr>
        <w:t>Flecknell P.A</w:t>
      </w:r>
      <w:r>
        <w:rPr>
          <w:rFonts w:hint="eastAsia" w:ascii="Arial" w:hAnsi="Arial" w:eastAsia="宋体" w:cs="Arial"/>
          <w:lang w:eastAsia="zh-CN"/>
        </w:rPr>
        <w:t>.</w:t>
      </w:r>
      <w:r>
        <w:rPr>
          <w:rFonts w:ascii="Arial" w:hAnsi="Arial" w:eastAsia="宋体" w:cs="Arial"/>
          <w:lang w:eastAsia="zh-CN"/>
        </w:rPr>
        <w:t>（1996）《</w:t>
      </w:r>
      <w:r>
        <w:rPr>
          <w:rFonts w:ascii="Arial" w:hAnsi="Arial" w:eastAsia="宋体" w:cs="Arial"/>
          <w:i/>
          <w:iCs/>
          <w:lang w:eastAsia="zh-CN"/>
        </w:rPr>
        <w:t>实验动物麻醉</w:t>
      </w:r>
      <w:r>
        <w:rPr>
          <w:rFonts w:ascii="Arial" w:hAnsi="Arial" w:eastAsia="宋体" w:cs="Arial"/>
          <w:lang w:eastAsia="zh-CN"/>
        </w:rPr>
        <w:t>》</w:t>
      </w:r>
      <w:r>
        <w:rPr>
          <w:rFonts w:ascii="Arial" w:hAnsi="Arial" w:eastAsia="宋体" w:cs="Arial"/>
          <w:i/>
          <w:iCs/>
          <w:lang w:eastAsia="zh-CN"/>
        </w:rPr>
        <w:t>，</w:t>
      </w:r>
      <w:r>
        <w:rPr>
          <w:rFonts w:ascii="Arial" w:hAnsi="Arial" w:eastAsia="宋体" w:cs="Arial"/>
          <w:lang w:eastAsia="zh-CN"/>
        </w:rPr>
        <w:t>加利福尼亚州圣地亚哥：美国学术出版社。</w:t>
      </w:r>
    </w:p>
    <w:p w14:paraId="171803BE">
      <w:pPr>
        <w:pStyle w:val="32"/>
        <w:numPr>
          <w:ilvl w:val="1"/>
          <w:numId w:val="40"/>
        </w:numPr>
        <w:tabs>
          <w:tab w:val="left" w:pos="469"/>
        </w:tabs>
        <w:autoSpaceDE w:val="0"/>
        <w:autoSpaceDN w:val="0"/>
        <w:snapToGrid w:val="0"/>
        <w:spacing w:line="300" w:lineRule="auto"/>
        <w:ind w:left="475" w:hanging="475" w:hangingChars="198"/>
        <w:rPr>
          <w:rFonts w:ascii="Arial" w:hAnsi="Arial" w:eastAsia="宋体" w:cs="Arial"/>
        </w:rPr>
      </w:pPr>
      <w:r>
        <w:rPr>
          <w:rFonts w:ascii="Arial" w:hAnsi="Arial" w:eastAsia="宋体" w:cs="Arial"/>
          <w:lang w:eastAsia="zh-CN"/>
        </w:rPr>
        <w:t>Carr, John</w:t>
      </w:r>
      <w:r>
        <w:rPr>
          <w:rFonts w:hint="eastAsia" w:ascii="Arial" w:hAnsi="Arial" w:eastAsia="宋体" w:cs="Arial"/>
          <w:lang w:eastAsia="zh-CN"/>
        </w:rPr>
        <w:t>.</w:t>
      </w:r>
      <w:r>
        <w:rPr>
          <w:rFonts w:ascii="Arial" w:hAnsi="Arial" w:eastAsia="宋体" w:cs="Arial"/>
          <w:lang w:eastAsia="zh-CN"/>
        </w:rPr>
        <w:t>1998。</w:t>
      </w:r>
      <w:r>
        <w:rPr>
          <w:rFonts w:ascii="Arial" w:hAnsi="Arial" w:eastAsia="宋体" w:cs="Arial"/>
          <w:u w:val="single"/>
          <w:lang w:eastAsia="zh-CN"/>
        </w:rPr>
        <w:t>《</w:t>
      </w:r>
      <w:r>
        <w:rPr>
          <w:rFonts w:ascii="Arial" w:hAnsi="Arial" w:eastAsia="宋体" w:cs="Arial"/>
          <w:color w:val="0000FF"/>
          <w:u w:val="single"/>
          <w:lang w:eastAsia="zh-CN"/>
        </w:rPr>
        <w:t>Garth猪场饲养规范</w:t>
      </w:r>
      <w:r>
        <w:rPr>
          <w:rFonts w:ascii="Arial" w:hAnsi="Arial" w:eastAsia="宋体" w:cs="Arial"/>
          <w:u w:val="single"/>
          <w:lang w:eastAsia="zh-CN"/>
        </w:rPr>
        <w:t>》。</w:t>
      </w:r>
      <w:r>
        <w:rPr>
          <w:rFonts w:ascii="Arial" w:hAnsi="Arial" w:eastAsia="宋体" w:cs="Arial"/>
          <w:lang w:eastAsia="zh-CN"/>
        </w:rPr>
        <w:t>Iowa, 5M Enterprises, LTD Sheffield, UK。网站及饲养条件图片。（</w:t>
      </w:r>
      <w:r>
        <w:rPr>
          <w:rFonts w:ascii="Arial" w:hAnsi="Arial" w:eastAsia="宋体" w:cs="Arial"/>
          <w:color w:val="0000FF"/>
          <w:u w:val="single"/>
          <w:lang w:eastAsia="zh-CN"/>
        </w:rPr>
        <w:t>http://www.thepigsite.com/stockstds/23/body-condition-scoring/。访问日期：2008年11月14日</w:t>
      </w:r>
      <w:r>
        <w:rPr>
          <w:rFonts w:ascii="Arial" w:hAnsi="Arial" w:eastAsia="宋体" w:cs="Arial"/>
          <w:lang w:eastAsia="zh-CN"/>
        </w:rPr>
        <w:t>）</w:t>
      </w:r>
    </w:p>
    <w:p w14:paraId="561FD852">
      <w:pPr>
        <w:pStyle w:val="2"/>
        <w:snapToGrid w:val="0"/>
        <w:spacing w:line="300" w:lineRule="auto"/>
        <w:jc w:val="both"/>
        <w:rPr>
          <w:rFonts w:ascii="Arial" w:hAnsi="Arial" w:eastAsia="宋体" w:cs="Arial"/>
        </w:rPr>
      </w:pPr>
      <w:r>
        <w:rPr>
          <w:rFonts w:ascii="Arial" w:hAnsi="Arial" w:eastAsia="宋体" w:cs="Arial"/>
          <w:lang w:eastAsia="zh-CN"/>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183515</wp:posOffset>
                </wp:positionV>
                <wp:extent cx="1699260" cy="0"/>
                <wp:effectExtent l="0" t="0" r="15240" b="19050"/>
                <wp:wrapNone/>
                <wp:docPr id="3" name="直接连接符 3"/>
                <wp:cNvGraphicFramePr/>
                <a:graphic xmlns:a="http://schemas.openxmlformats.org/drawingml/2006/main">
                  <a:graphicData uri="http://schemas.microsoft.com/office/word/2010/wordprocessingShape">
                    <wps:wsp>
                      <wps:cNvCnPr/>
                      <wps:spPr>
                        <a:xfrm>
                          <a:off x="0" y="0"/>
                          <a:ext cx="16994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4.45pt;height:0pt;width:133.8pt;z-index:251660288;mso-width-relative:page;mso-height-relative:page;" filled="f" stroked="t" coordsize="21600,21600" o:gfxdata="UEsDBAoAAAAAAIdO4kAAAAAAAAAAAAAAAAAEAAAAZHJzL1BLAwQUAAAACACHTuJAvmtcw9QAAAAH&#10;AQAADwAAAGRycy9kb3ducmV2LnhtbE2PwU6EMBCG7ya+QzMm3nbLcgBEyh5MPJiYqLgHj12YpWg7&#10;RdoFfHvHeNDjzP/nm2+q/eqsmHEKgycFu20CAqn13UC9gsPr/aYAEaKmTltPqOALA+zry4tKl51f&#10;6AXnJvaCIRRKrcDEOJZShtag02HrRyTOTn5yOvI49bKb9MJwZ2WaJJl0eiC+YPSIdwbbj+bsmEL5&#10;52m109vz06MpmuUdH+Yclbq+2iW3ICKu8a8MP/qsDjU7Hf2ZuiCsgk3GRQVpcQOC4zTL+bXj70LW&#10;lfzvX38DUEsDBBQAAAAIAIdO4kCR9HTw5AEAALEDAAAOAAAAZHJzL2Uyb0RvYy54bWytU0tu2zAQ&#10;3RfoHQjua8lxaiSC5SxipJuiNdD2AGOKkgjwBw5j2ZfoBQp016667L63aXKMDinH+W2yqBbUcDjz&#10;hu/NcHGxM5ptZUDlbM2nk5IzaYVrlO1q/uXz1ZszzjCCbUA7K2u+l8gvlq9fLQZfyRPXO93IwAjE&#10;YjX4mvcx+qooUPTSAE6cl5YOWxcMRNqGrmgCDIRudHFSlvNicKHxwQmJSN7VeMgPiOElgK5tlZAr&#10;J66NtHFEDVJDJErYK498mW/btlLEj22LMjJdc2Ia80pFyN6ktVguoOoC+F6JwxXgJVd4wsmAslT0&#10;CLWCCOw6qGdQRong0LVxIpwpRiJZEWIxLZ9o86kHLzMXkhr9UXT8f7Diw3YdmGpqPuPMgqGG33z7&#10;/ffrj9s/32m9+fWTzZJIg8eKYi/tOhx26NchMd61waQ/cWG7LOz+KKzcRSbIOZ2fn5+Wp5yJu7Pi&#10;PtEHjO+kMywZNdfKJs5QwfY9RipGoXchyW3dldI6901bNtR8PntL3RRAs9jSDJBpPPFB23EGuqMh&#10;FzFkRHRaNSk74WDoNpc6sC2k0chfIkrVHoWl0ivAfozLR+PQGBXpHWhlan72MFtbAklyjQIla+Oa&#10;fdYt+6mTucxh6tKoPNzn7PuXtv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mtcw9QAAAAHAQAA&#10;DwAAAAAAAAABACAAAAAiAAAAZHJzL2Rvd25yZXYueG1sUEsBAhQAFAAAAAgAh07iQJH0dPDkAQAA&#10;sQMAAA4AAAAAAAAAAQAgAAAAIwEAAGRycy9lMm9Eb2MueG1sUEsFBgAAAAAGAAYAWQEAAHkFAAAA&#10;AA==&#10;">
                <v:fill on="f" focussize="0,0"/>
                <v:stroke weight="0.5pt" color="#000000 [3213]" miterlimit="8" joinstyle="miter"/>
                <v:imagedata o:title=""/>
                <o:lock v:ext="edit" aspectratio="f"/>
              </v:line>
            </w:pict>
          </mc:Fallback>
        </mc:AlternateContent>
      </w:r>
    </w:p>
    <w:p w14:paraId="02F884C0">
      <w:pPr>
        <w:pStyle w:val="2"/>
        <w:numPr>
          <w:ilvl w:val="0"/>
          <w:numId w:val="41"/>
        </w:num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美国农业部，9 CFR第1、2和3部分（动物福利）。</w:t>
      </w:r>
    </w:p>
    <w:p w14:paraId="3DDF5683">
      <w:pPr>
        <w:pStyle w:val="2"/>
        <w:numPr>
          <w:ilvl w:val="0"/>
          <w:numId w:val="41"/>
        </w:numPr>
        <w:snapToGrid w:val="0"/>
        <w:spacing w:line="300" w:lineRule="auto"/>
        <w:rPr>
          <w:rFonts w:ascii="Arial" w:hAnsi="Arial" w:eastAsia="宋体" w:cs="Arial"/>
          <w:sz w:val="21"/>
          <w:szCs w:val="21"/>
        </w:rPr>
      </w:pPr>
      <w:r>
        <w:rPr>
          <w:rFonts w:ascii="Arial" w:hAnsi="Arial" w:eastAsia="宋体" w:cs="Arial"/>
          <w:sz w:val="21"/>
          <w:szCs w:val="21"/>
          <w:lang w:eastAsia="zh-CN"/>
        </w:rPr>
        <w:t>美国公共卫生署（2002）。</w:t>
      </w:r>
      <w:r>
        <w:rPr>
          <w:rFonts w:ascii="Arial" w:hAnsi="Arial" w:eastAsia="宋体" w:cs="Arial"/>
          <w:sz w:val="21"/>
          <w:szCs w:val="21"/>
          <w:u w:val="single"/>
          <w:lang w:eastAsia="zh-CN"/>
        </w:rPr>
        <w:t>《实验动物人道护理和使用政策》</w:t>
      </w:r>
      <w:r>
        <w:rPr>
          <w:rFonts w:ascii="Arial" w:hAnsi="Arial" w:eastAsia="宋体" w:cs="Arial"/>
          <w:sz w:val="21"/>
          <w:szCs w:val="21"/>
          <w:lang w:eastAsia="zh-CN"/>
        </w:rPr>
        <w:t>。美国国立卫生研究院实验动物福利办公室。Bethesda, MD。（</w:t>
      </w:r>
      <w:r>
        <w:rPr>
          <w:rFonts w:ascii="Arial" w:hAnsi="Arial" w:eastAsia="宋体" w:cs="Arial"/>
          <w:sz w:val="21"/>
          <w:szCs w:val="21"/>
          <w:u w:val="single"/>
          <w:lang w:eastAsia="zh-CN"/>
        </w:rPr>
        <w:t>http://grants.nih.gov/grants/olaw/references/PHSPolicyLabAnimals.pdf</w:t>
      </w:r>
      <w:r>
        <w:rPr>
          <w:rFonts w:ascii="Arial" w:hAnsi="Arial" w:eastAsia="宋体" w:cs="Arial"/>
          <w:sz w:val="21"/>
          <w:szCs w:val="21"/>
          <w:lang w:eastAsia="zh-CN"/>
        </w:rPr>
        <w:t>）</w:t>
      </w:r>
    </w:p>
    <w:p w14:paraId="4D35B36B">
      <w:pPr>
        <w:pStyle w:val="2"/>
        <w:numPr>
          <w:ilvl w:val="0"/>
          <w:numId w:val="41"/>
        </w:num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美国政府健康研究</w:t>
      </w:r>
      <w:r>
        <w:rPr>
          <w:rFonts w:hint="eastAsia" w:ascii="Arial" w:hAnsi="Arial" w:eastAsia="宋体" w:cs="Arial"/>
          <w:sz w:val="21"/>
          <w:szCs w:val="21"/>
          <w:lang w:eastAsia="zh-CN"/>
        </w:rPr>
        <w:t>扩展</w:t>
      </w:r>
      <w:r>
        <w:rPr>
          <w:rFonts w:ascii="Arial" w:hAnsi="Arial" w:eastAsia="宋体" w:cs="Arial"/>
          <w:sz w:val="21"/>
          <w:szCs w:val="21"/>
          <w:lang w:eastAsia="zh-CN"/>
        </w:rPr>
        <w:t>法案，1985年发布，第99-158页；以及美国政府关于试验、研究和培训用脊椎动物的使用和护理指导原则。（</w:t>
      </w:r>
      <w:r>
        <w:rPr>
          <w:rFonts w:ascii="Arial" w:hAnsi="Arial" w:eastAsia="宋体" w:cs="Arial"/>
          <w:sz w:val="21"/>
          <w:szCs w:val="21"/>
          <w:u w:val="single"/>
          <w:lang w:eastAsia="zh-CN"/>
        </w:rPr>
        <w:t>http://grants.nih.gov/grants/olaw/references/phspol.htm#USGovPrinciples</w:t>
      </w:r>
      <w:r>
        <w:rPr>
          <w:rFonts w:ascii="Arial" w:hAnsi="Arial" w:eastAsia="宋体" w:cs="Arial"/>
          <w:sz w:val="21"/>
          <w:szCs w:val="21"/>
          <w:lang w:eastAsia="zh-CN"/>
        </w:rPr>
        <w:t>）</w:t>
      </w:r>
    </w:p>
    <w:p w14:paraId="4FEAB1DA">
      <w:pPr>
        <w:pStyle w:val="2"/>
        <w:numPr>
          <w:ilvl w:val="0"/>
          <w:numId w:val="41"/>
        </w:numPr>
        <w:snapToGrid w:val="0"/>
        <w:spacing w:line="300" w:lineRule="auto"/>
        <w:rPr>
          <w:rFonts w:ascii="Arial" w:hAnsi="Arial" w:eastAsia="宋体" w:cs="Arial"/>
          <w:sz w:val="21"/>
          <w:szCs w:val="21"/>
          <w:lang w:eastAsia="zh-CN"/>
        </w:rPr>
      </w:pPr>
      <w:r>
        <w:rPr>
          <w:rFonts w:ascii="Arial" w:hAnsi="Arial" w:eastAsia="宋体" w:cs="Arial"/>
          <w:sz w:val="21"/>
          <w:szCs w:val="21"/>
          <w:u w:val="single"/>
          <w:lang w:eastAsia="zh-CN"/>
        </w:rPr>
        <w:t>美国国家研究委员会实验动物护理和使用指南，</w:t>
      </w:r>
      <w:r>
        <w:rPr>
          <w:rFonts w:ascii="Arial" w:hAnsi="Arial" w:eastAsia="宋体" w:cs="Arial"/>
          <w:sz w:val="21"/>
          <w:szCs w:val="21"/>
          <w:lang w:eastAsia="zh-CN"/>
        </w:rPr>
        <w:t>第8版。（2011）。生命科学委员会实验动物资源研究所，华盛顿哥伦比亚特区。美国国家科学院出版社。（</w:t>
      </w:r>
      <w:r>
        <w:rPr>
          <w:rFonts w:ascii="Arial" w:hAnsi="Arial" w:eastAsia="宋体" w:cs="Arial"/>
          <w:sz w:val="21"/>
          <w:szCs w:val="21"/>
          <w:u w:val="single"/>
          <w:lang w:eastAsia="zh-CN"/>
        </w:rPr>
        <w:t>http://www.nap.edu/catalog.php?record_id=12910</w:t>
      </w:r>
      <w:r>
        <w:rPr>
          <w:rFonts w:ascii="Arial" w:hAnsi="Arial" w:eastAsia="宋体" w:cs="Arial"/>
          <w:sz w:val="21"/>
          <w:szCs w:val="21"/>
          <w:lang w:eastAsia="zh-CN"/>
        </w:rPr>
        <w:t>）</w:t>
      </w:r>
    </w:p>
    <w:p w14:paraId="055AAABC">
      <w:pPr>
        <w:pStyle w:val="2"/>
        <w:numPr>
          <w:ilvl w:val="0"/>
          <w:numId w:val="41"/>
        </w:num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FDA保留一份NIH、FDA和USDA达成的关于动物护理和使用方面共同监管领域的谅解备忘录（MOU）。（</w:t>
      </w:r>
      <w:r>
        <w:rPr>
          <w:rFonts w:ascii="Arial" w:hAnsi="Arial" w:eastAsia="宋体" w:cs="Arial"/>
          <w:sz w:val="21"/>
          <w:szCs w:val="21"/>
          <w:u w:val="single"/>
          <w:lang w:eastAsia="zh-CN"/>
        </w:rPr>
        <w:t>http://grants.nih.gov/grants/olaw/references/finalmou.htm</w:t>
      </w:r>
      <w:r>
        <w:rPr>
          <w:rFonts w:ascii="Arial" w:hAnsi="Arial" w:eastAsia="宋体" w:cs="Arial"/>
          <w:sz w:val="21"/>
          <w:szCs w:val="21"/>
          <w:lang w:eastAsia="zh-CN"/>
        </w:rPr>
        <w:t>）</w:t>
      </w:r>
    </w:p>
    <w:p w14:paraId="721AC88A">
      <w:pPr>
        <w:pStyle w:val="2"/>
        <w:numPr>
          <w:ilvl w:val="0"/>
          <w:numId w:val="41"/>
        </w:num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Tsonis, P.A（编著）。（2008）《眼部研究动物模型》第1版。学术出版社：伯灵顿市。</w:t>
      </w:r>
    </w:p>
    <w:p w14:paraId="22A090ED">
      <w:pPr>
        <w:pStyle w:val="2"/>
        <w:numPr>
          <w:ilvl w:val="0"/>
          <w:numId w:val="41"/>
        </w:num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Ma, C和J-M Zhang（编著）（2011）。《实验动物疼痛模型：采样方案》。第1版。人文出版社：纽约。</w:t>
      </w:r>
    </w:p>
    <w:p w14:paraId="03E75950">
      <w:pPr>
        <w:pStyle w:val="2"/>
        <w:numPr>
          <w:ilvl w:val="0"/>
          <w:numId w:val="41"/>
        </w:num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Howells DW，MJ Porritt，SSJ Rewell，V O’Collins等。</w:t>
      </w:r>
      <w:r>
        <w:rPr>
          <w:rFonts w:hint="eastAsia" w:ascii="Arial" w:hAnsi="Arial" w:eastAsia="宋体" w:cs="Arial"/>
          <w:sz w:val="21"/>
          <w:szCs w:val="21"/>
          <w:lang w:eastAsia="zh-CN"/>
        </w:rPr>
        <w:t>不同情况不同对待</w:t>
      </w:r>
      <w:r>
        <w:rPr>
          <w:rFonts w:ascii="Arial" w:hAnsi="Arial" w:eastAsia="宋体" w:cs="Arial"/>
          <w:sz w:val="21"/>
          <w:szCs w:val="21"/>
          <w:lang w:eastAsia="zh-CN"/>
        </w:rPr>
        <w:t>：局灶性脑缺血动物模型的多样性。</w:t>
      </w:r>
      <w:r>
        <w:rPr>
          <w:rFonts w:ascii="Arial" w:hAnsi="Arial" w:eastAsia="宋体" w:cs="Arial"/>
          <w:color w:val="000000"/>
          <w:sz w:val="21"/>
          <w:szCs w:val="21"/>
          <w:lang w:eastAsia="zh-CN"/>
        </w:rPr>
        <w:t>J Cerebral Blood Flow Metab，2010；30（5月19日）：</w:t>
      </w:r>
      <w:r>
        <w:rPr>
          <w:rFonts w:ascii="Arial" w:hAnsi="Arial" w:eastAsia="宋体" w:cs="Arial"/>
          <w:sz w:val="21"/>
          <w:szCs w:val="21"/>
          <w:lang w:eastAsia="zh-CN"/>
        </w:rPr>
        <w:t>第1413-1431页。</w:t>
      </w:r>
    </w:p>
    <w:p w14:paraId="064F4BF8">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Rink C，G Christoforidis，A Abduljalil，M Kontzialis等。临床前犬大脑中动脉短暂堵塞微创神经放射模型。PNAS，2008年9月16日；105（37）</w:t>
      </w:r>
      <w:r>
        <w:rPr>
          <w:rFonts w:hint="eastAsia" w:ascii="Arial" w:hAnsi="Arial" w:eastAsia="宋体" w:cs="Arial"/>
          <w:sz w:val="21"/>
          <w:szCs w:val="21"/>
          <w:lang w:eastAsia="zh-CN"/>
        </w:rPr>
        <w:t>:</w:t>
      </w:r>
      <w:r>
        <w:rPr>
          <w:rFonts w:ascii="Arial" w:hAnsi="Arial" w:eastAsia="宋体" w:cs="Arial"/>
          <w:sz w:val="21"/>
          <w:szCs w:val="21"/>
          <w:lang w:eastAsia="zh-CN"/>
        </w:rPr>
        <w:t>14100-14105。</w:t>
      </w:r>
    </w:p>
    <w:p w14:paraId="49E9B743">
      <w:pPr>
        <w:pStyle w:val="2"/>
        <w:numPr>
          <w:ilvl w:val="0"/>
          <w:numId w:val="41"/>
        </w:numPr>
        <w:snapToGrid w:val="0"/>
        <w:spacing w:line="300" w:lineRule="auto"/>
        <w:jc w:val="both"/>
        <w:rPr>
          <w:rFonts w:ascii="Arial" w:hAnsi="Arial" w:eastAsia="宋体" w:cs="Arial"/>
          <w:sz w:val="21"/>
          <w:szCs w:val="21"/>
          <w:vertAlign w:val="superscript"/>
          <w:lang w:eastAsia="zh-CN"/>
        </w:rPr>
      </w:pPr>
      <w:r>
        <w:rPr>
          <w:rFonts w:ascii="Arial" w:hAnsi="Arial" w:eastAsia="宋体" w:cs="Arial"/>
          <w:sz w:val="21"/>
          <w:szCs w:val="21"/>
          <w:lang w:eastAsia="zh-CN"/>
        </w:rPr>
        <w:t>Potes JC，J ca Costa Reis，F Capela e Silva，C Relvas等。羊作为骨科动物模型的研究。</w:t>
      </w:r>
      <w:r>
        <w:rPr>
          <w:rFonts w:ascii="Arial" w:hAnsi="Arial" w:eastAsia="宋体" w:cs="Arial"/>
          <w:color w:val="000000"/>
          <w:sz w:val="21"/>
          <w:szCs w:val="21"/>
        </w:rPr>
        <w:t>Exper Pathol Health Sciences</w:t>
      </w:r>
      <w:r>
        <w:rPr>
          <w:rFonts w:ascii="Arial" w:hAnsi="Arial" w:eastAsia="宋体" w:cs="Arial"/>
          <w:color w:val="000000"/>
          <w:sz w:val="21"/>
          <w:szCs w:val="21"/>
          <w:lang w:eastAsia="zh-CN"/>
        </w:rPr>
        <w:t>，</w:t>
      </w:r>
      <w:r>
        <w:rPr>
          <w:rFonts w:ascii="Arial" w:hAnsi="Arial" w:eastAsia="宋体" w:cs="Arial"/>
          <w:color w:val="000000"/>
          <w:sz w:val="21"/>
          <w:szCs w:val="21"/>
        </w:rPr>
        <w:t>2008</w:t>
      </w:r>
      <w:r>
        <w:rPr>
          <w:rFonts w:hint="eastAsia" w:ascii="Arial" w:hAnsi="Arial" w:eastAsia="宋体" w:cs="Arial"/>
          <w:color w:val="000000"/>
          <w:sz w:val="21"/>
          <w:szCs w:val="21"/>
          <w:lang w:eastAsia="zh-CN"/>
        </w:rPr>
        <w:t>；</w:t>
      </w:r>
      <w:r>
        <w:rPr>
          <w:rFonts w:ascii="Arial" w:hAnsi="Arial" w:eastAsia="宋体" w:cs="Arial"/>
          <w:color w:val="000000"/>
          <w:sz w:val="21"/>
          <w:szCs w:val="21"/>
        </w:rPr>
        <w:t>2（1）: 29-32</w:t>
      </w:r>
      <w:r>
        <w:rPr>
          <w:rFonts w:ascii="Arial" w:hAnsi="Arial" w:eastAsia="宋体" w:cs="Arial"/>
          <w:color w:val="000000"/>
          <w:sz w:val="21"/>
          <w:szCs w:val="21"/>
          <w:lang w:eastAsia="zh-CN"/>
        </w:rPr>
        <w:t>。</w:t>
      </w:r>
    </w:p>
    <w:p w14:paraId="515156AD">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Pearce AI，RG Richards，S Milz，E Schneider和SG Pearce。在骨骼内植入生物材料的动物模型研究：综述。欧洲细胞材料，2007; 13: 1-10。</w:t>
      </w:r>
    </w:p>
    <w:p w14:paraId="35017564">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An YH和RJ Friedman（编著）（1999）。《骨科动物模型研究》。CRC出版有限公司，Boca Raton，Fl。</w:t>
      </w:r>
    </w:p>
    <w:p w14:paraId="38DA618C">
      <w:pPr>
        <w:pStyle w:val="2"/>
        <w:numPr>
          <w:ilvl w:val="0"/>
          <w:numId w:val="41"/>
        </w:numPr>
        <w:snapToGrid w:val="0"/>
        <w:spacing w:line="300" w:lineRule="auto"/>
        <w:rPr>
          <w:rFonts w:ascii="Arial" w:hAnsi="Arial" w:eastAsia="宋体" w:cs="Arial"/>
          <w:sz w:val="21"/>
          <w:szCs w:val="21"/>
        </w:rPr>
      </w:pPr>
      <w:r>
        <w:rPr>
          <w:rFonts w:ascii="Arial" w:hAnsi="Arial" w:eastAsia="宋体" w:cs="Arial"/>
          <w:sz w:val="21"/>
          <w:szCs w:val="21"/>
          <w:lang w:eastAsia="zh-CN"/>
        </w:rPr>
        <w:t>预申报信息详见FDA指南，</w:t>
      </w:r>
      <w:r>
        <w:rPr>
          <w:rFonts w:ascii="Arial" w:hAnsi="Arial" w:eastAsia="宋体" w:cs="Arial"/>
          <w:color w:val="0000FF"/>
          <w:sz w:val="21"/>
          <w:szCs w:val="21"/>
          <w:u w:val="single"/>
          <w:lang w:eastAsia="zh-CN"/>
        </w:rPr>
        <w:t>医疗器械预</w:t>
      </w:r>
      <w:r>
        <w:rPr>
          <w:rFonts w:hint="eastAsia" w:ascii="Arial" w:hAnsi="Arial" w:eastAsia="宋体" w:cs="Arial"/>
          <w:color w:val="0000FF"/>
          <w:sz w:val="21"/>
          <w:szCs w:val="21"/>
          <w:u w:val="single"/>
          <w:lang w:eastAsia="zh-CN"/>
        </w:rPr>
        <w:t>提交</w:t>
      </w:r>
      <w:r>
        <w:rPr>
          <w:rFonts w:ascii="Arial" w:hAnsi="Arial" w:eastAsia="宋体" w:cs="Arial"/>
          <w:color w:val="0000FF"/>
          <w:sz w:val="21"/>
          <w:szCs w:val="21"/>
          <w:u w:val="single"/>
          <w:lang w:eastAsia="zh-CN"/>
        </w:rPr>
        <w:t>反馈申请：预申报项目及食品药品监督管理局工作人员会议</w:t>
      </w:r>
      <w:r>
        <w:rPr>
          <w:rFonts w:ascii="Arial" w:hAnsi="Arial" w:eastAsia="宋体" w:cs="Arial"/>
          <w:sz w:val="21"/>
          <w:szCs w:val="21"/>
          <w:lang w:eastAsia="zh-CN"/>
        </w:rPr>
        <w:t>（http://www.fda.gov/downloads/MedicalDevices/DeviceRegulationandGuidance/GuidanceDocu ments/UCM311176.pdf）。</w:t>
      </w:r>
    </w:p>
    <w:p w14:paraId="17AFC707">
      <w:pPr>
        <w:pStyle w:val="2"/>
        <w:numPr>
          <w:ilvl w:val="0"/>
          <w:numId w:val="41"/>
        </w:numPr>
        <w:snapToGrid w:val="0"/>
        <w:spacing w:line="300" w:lineRule="auto"/>
        <w:rPr>
          <w:rFonts w:ascii="Arial" w:hAnsi="Arial" w:eastAsia="宋体" w:cs="Arial"/>
          <w:sz w:val="21"/>
          <w:szCs w:val="21"/>
        </w:rPr>
      </w:pPr>
      <w:r>
        <w:rPr>
          <w:rFonts w:ascii="Arial" w:hAnsi="Arial" w:eastAsia="宋体" w:cs="Arial"/>
          <w:sz w:val="21"/>
          <w:szCs w:val="21"/>
          <w:u w:val="single"/>
          <w:lang w:eastAsia="zh-CN"/>
        </w:rPr>
        <w:t>替代方法验证跨部门协调委员会（ICCVAM）提供了多个关于动物护理和使用，动物模型和验证模型的优化、减少和替代决策的网站</w:t>
      </w:r>
      <w:r>
        <w:rPr>
          <w:rFonts w:ascii="Arial" w:hAnsi="Arial" w:eastAsia="宋体" w:cs="Arial"/>
          <w:sz w:val="21"/>
          <w:szCs w:val="21"/>
          <w:lang w:eastAsia="zh-CN"/>
        </w:rPr>
        <w:t>（</w:t>
      </w:r>
      <w:r>
        <w:rPr>
          <w:rFonts w:ascii="Arial" w:hAnsi="Arial" w:eastAsia="宋体" w:cs="Arial"/>
          <w:sz w:val="21"/>
          <w:szCs w:val="21"/>
          <w:u w:val="single"/>
          <w:lang w:eastAsia="zh-CN"/>
        </w:rPr>
        <w:t>http://iccvam.niehs.nih.gov/about/accept.htm</w:t>
      </w:r>
      <w:r>
        <w:rPr>
          <w:rFonts w:ascii="Arial" w:hAnsi="Arial" w:eastAsia="宋体" w:cs="Arial"/>
          <w:sz w:val="21"/>
          <w:szCs w:val="21"/>
          <w:lang w:eastAsia="zh-CN"/>
        </w:rPr>
        <w:t>）。</w:t>
      </w:r>
    </w:p>
    <w:p w14:paraId="616620F3">
      <w:pPr>
        <w:pStyle w:val="2"/>
        <w:numPr>
          <w:ilvl w:val="0"/>
          <w:numId w:val="41"/>
        </w:numPr>
        <w:tabs>
          <w:tab w:val="left" w:pos="8925"/>
        </w:tabs>
        <w:snapToGrid w:val="0"/>
        <w:spacing w:line="300" w:lineRule="auto"/>
        <w:rPr>
          <w:rFonts w:ascii="Arial" w:hAnsi="Arial" w:eastAsia="宋体" w:cs="Arial"/>
          <w:sz w:val="21"/>
          <w:szCs w:val="21"/>
        </w:rPr>
      </w:pPr>
      <w:r>
        <w:rPr>
          <w:rFonts w:ascii="Arial" w:hAnsi="Arial" w:eastAsia="宋体" w:cs="Arial"/>
          <w:sz w:val="21"/>
          <w:szCs w:val="21"/>
          <w:u w:val="single"/>
          <w:lang w:eastAsia="zh-CN"/>
        </w:rPr>
        <w:t>欧洲替代方法研究中心（ECVAM</w:t>
      </w:r>
      <w:r>
        <w:rPr>
          <w:rFonts w:ascii="Arial" w:hAnsi="Arial" w:eastAsia="宋体" w:cs="Arial"/>
          <w:sz w:val="21"/>
          <w:szCs w:val="21"/>
          <w:lang w:eastAsia="zh-CN"/>
        </w:rPr>
        <w:t>）是一个关于经过验证的欧洲替代动物模型</w:t>
      </w:r>
      <w:r>
        <w:rPr>
          <w:rFonts w:hint="eastAsia" w:ascii="Arial" w:hAnsi="Arial" w:eastAsia="宋体" w:cs="Arial"/>
          <w:sz w:val="21"/>
          <w:szCs w:val="21"/>
          <w:lang w:eastAsia="zh-CN"/>
        </w:rPr>
        <w:t>有用</w:t>
      </w:r>
      <w:r>
        <w:rPr>
          <w:rFonts w:ascii="Arial" w:hAnsi="Arial" w:eastAsia="宋体" w:cs="Arial"/>
          <w:sz w:val="21"/>
          <w:szCs w:val="21"/>
          <w:lang w:eastAsia="zh-CN"/>
        </w:rPr>
        <w:t>的网络连接。（</w:t>
      </w:r>
      <w:r>
        <w:fldChar w:fldCharType="begin"/>
      </w:r>
      <w:r>
        <w:instrText xml:space="preserve"> HYPERLINK "http://www.bfr.bund.de/en/european_centre_for_the_validation_of_alternative_methods" </w:instrText>
      </w:r>
      <w:r>
        <w:fldChar w:fldCharType="separate"/>
      </w:r>
      <w:r>
        <w:rPr>
          <w:rStyle w:val="13"/>
          <w:rFonts w:ascii="Arial" w:hAnsi="Arial" w:eastAsia="宋体" w:cs="Arial"/>
          <w:color w:val="auto"/>
          <w:sz w:val="21"/>
          <w:szCs w:val="21"/>
          <w:lang w:eastAsia="zh-CN"/>
        </w:rPr>
        <w:t>http://www.bfr.bund.de/en/european_centre_for_the_validation_of_alternative_methods</w:t>
      </w:r>
      <w:r>
        <w:rPr>
          <w:rStyle w:val="13"/>
          <w:rFonts w:ascii="Arial" w:hAnsi="Arial" w:eastAsia="宋体" w:cs="Arial"/>
          <w:color w:val="auto"/>
          <w:sz w:val="21"/>
          <w:szCs w:val="21"/>
          <w:lang w:eastAsia="zh-CN"/>
        </w:rPr>
        <w:fldChar w:fldCharType="end"/>
      </w:r>
      <w:r>
        <w:rPr>
          <w:rFonts w:ascii="Arial" w:hAnsi="Arial" w:eastAsia="宋体" w:cs="Arial"/>
          <w:sz w:val="21"/>
          <w:szCs w:val="21"/>
          <w:u w:val="single"/>
          <w:lang w:eastAsia="zh-CN"/>
        </w:rPr>
        <w:t xml:space="preserve"> ecva m_-4411.html）</w:t>
      </w:r>
    </w:p>
    <w:p w14:paraId="3FDD9926">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u w:val="single"/>
          <w:lang w:eastAsia="zh-CN"/>
        </w:rPr>
        <w:t>日本替代方法验证公约</w:t>
      </w:r>
      <w:r>
        <w:rPr>
          <w:rFonts w:ascii="Arial" w:hAnsi="Arial" w:eastAsia="宋体" w:cs="Arial"/>
          <w:sz w:val="21"/>
          <w:szCs w:val="21"/>
          <w:lang w:eastAsia="zh-CN"/>
        </w:rPr>
        <w:t>是日本的一个动物模型和动物福利项目资源库。（http://jacvam.jp/en/）</w:t>
      </w:r>
    </w:p>
    <w:p w14:paraId="3E0480F4">
      <w:pPr>
        <w:pStyle w:val="2"/>
        <w:numPr>
          <w:ilvl w:val="0"/>
          <w:numId w:val="41"/>
        </w:numPr>
        <w:snapToGrid w:val="0"/>
        <w:spacing w:line="300" w:lineRule="auto"/>
        <w:jc w:val="both"/>
        <w:rPr>
          <w:rFonts w:ascii="Arial" w:hAnsi="Arial" w:eastAsia="宋体" w:cs="Arial"/>
          <w:sz w:val="21"/>
          <w:szCs w:val="21"/>
        </w:rPr>
      </w:pPr>
      <w:r>
        <w:rPr>
          <w:rFonts w:ascii="Arial" w:hAnsi="Arial" w:eastAsia="宋体" w:cs="Arial"/>
          <w:sz w:val="21"/>
          <w:szCs w:val="21"/>
          <w:u w:val="single"/>
          <w:lang w:eastAsia="zh-CN"/>
        </w:rPr>
        <w:t>约翰霍普金斯大学动物实验替代研究中心（CAAT）</w:t>
      </w:r>
      <w:r>
        <w:rPr>
          <w:rFonts w:ascii="Arial" w:hAnsi="Arial" w:eastAsia="宋体" w:cs="Arial"/>
          <w:sz w:val="21"/>
          <w:szCs w:val="21"/>
          <w:lang w:eastAsia="zh-CN"/>
        </w:rPr>
        <w:t>是一个关于全球动物护理和使用、动物福利以及动物替代品的综合性网站（http://caat.jhsph.edu/）</w:t>
      </w:r>
    </w:p>
    <w:p w14:paraId="162B5EE0">
      <w:pPr>
        <w:pStyle w:val="2"/>
        <w:numPr>
          <w:ilvl w:val="0"/>
          <w:numId w:val="41"/>
        </w:numPr>
        <w:snapToGrid w:val="0"/>
        <w:spacing w:line="300" w:lineRule="auto"/>
        <w:jc w:val="both"/>
        <w:rPr>
          <w:rFonts w:ascii="Arial" w:hAnsi="Arial" w:eastAsia="宋体" w:cs="Arial"/>
          <w:sz w:val="21"/>
          <w:szCs w:val="21"/>
        </w:rPr>
      </w:pPr>
      <w:r>
        <w:rPr>
          <w:rFonts w:ascii="Arial" w:hAnsi="Arial" w:eastAsia="宋体" w:cs="Arial"/>
          <w:sz w:val="21"/>
          <w:szCs w:val="21"/>
          <w:u w:val="single"/>
          <w:lang w:eastAsia="zh-CN"/>
        </w:rPr>
        <w:t>国家3R中心</w:t>
      </w:r>
      <w:r>
        <w:rPr>
          <w:rFonts w:ascii="Arial" w:hAnsi="Arial" w:eastAsia="宋体" w:cs="Arial"/>
          <w:sz w:val="21"/>
          <w:szCs w:val="21"/>
          <w:lang w:eastAsia="zh-CN"/>
        </w:rPr>
        <w:t>是一个关于动物护理和使用、动物优化和替代问题的综合性网络链接（</w:t>
      </w:r>
      <w:r>
        <w:rPr>
          <w:rFonts w:ascii="Arial" w:hAnsi="Arial" w:eastAsia="宋体" w:cs="Arial"/>
          <w:sz w:val="21"/>
          <w:szCs w:val="21"/>
          <w:u w:val="single"/>
          <w:lang w:eastAsia="zh-CN"/>
        </w:rPr>
        <w:t>http://www.nc3rs.org.uk/</w:t>
      </w:r>
      <w:r>
        <w:rPr>
          <w:rFonts w:ascii="Arial" w:hAnsi="Arial" w:eastAsia="宋体" w:cs="Arial"/>
          <w:sz w:val="21"/>
          <w:szCs w:val="21"/>
          <w:lang w:eastAsia="zh-CN"/>
        </w:rPr>
        <w:t>）</w:t>
      </w:r>
    </w:p>
    <w:p w14:paraId="4EC967ED">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u w:val="single"/>
          <w:lang w:eastAsia="zh-CN"/>
        </w:rPr>
        <w:t>AltTox论坛</w:t>
      </w:r>
      <w:r>
        <w:rPr>
          <w:rFonts w:ascii="Arial" w:hAnsi="Arial" w:eastAsia="宋体" w:cs="Arial"/>
          <w:sz w:val="21"/>
          <w:szCs w:val="21"/>
          <w:lang w:eastAsia="zh-CN"/>
        </w:rPr>
        <w:t>（由保洁公司和美国人道协会主办）提供经过验证的动物替代品方面的信息。（http:// alttox.org/）</w:t>
      </w:r>
    </w:p>
    <w:p w14:paraId="5C833DA5">
      <w:pPr>
        <w:pStyle w:val="2"/>
        <w:numPr>
          <w:ilvl w:val="0"/>
          <w:numId w:val="41"/>
        </w:numPr>
        <w:snapToGrid w:val="0"/>
        <w:spacing w:line="300" w:lineRule="auto"/>
        <w:rPr>
          <w:rFonts w:ascii="Arial" w:hAnsi="Arial" w:eastAsia="宋体" w:cs="Arial"/>
          <w:sz w:val="21"/>
          <w:szCs w:val="21"/>
          <w:lang w:eastAsia="zh-CN"/>
        </w:rPr>
      </w:pPr>
      <w:r>
        <w:rPr>
          <w:rFonts w:ascii="Arial" w:hAnsi="Arial" w:eastAsia="宋体" w:cs="Arial"/>
          <w:sz w:val="21"/>
          <w:szCs w:val="21"/>
          <w:u w:val="single"/>
          <w:lang w:eastAsia="zh-CN"/>
        </w:rPr>
        <w:t>Tox Net</w:t>
      </w:r>
      <w:r>
        <w:rPr>
          <w:rFonts w:ascii="Arial" w:hAnsi="Arial" w:eastAsia="宋体" w:cs="Arial"/>
          <w:sz w:val="21"/>
          <w:szCs w:val="21"/>
          <w:lang w:eastAsia="zh-CN"/>
        </w:rPr>
        <w:t>是NIH主办的一个替代品文献网站。</w:t>
      </w:r>
      <w:bookmarkStart w:id="163" w:name="_bookmark60"/>
      <w:bookmarkEnd w:id="163"/>
      <w:r>
        <w:rPr>
          <w:rFonts w:ascii="Arial" w:hAnsi="Arial" w:eastAsia="宋体" w:cs="Arial"/>
          <w:sz w:val="21"/>
          <w:szCs w:val="21"/>
          <w:lang w:eastAsia="zh-CN"/>
        </w:rPr>
        <w:t>（</w:t>
      </w:r>
      <w:r>
        <w:rPr>
          <w:rFonts w:ascii="Arial" w:hAnsi="Arial" w:eastAsia="宋体" w:cs="Arial"/>
          <w:sz w:val="21"/>
          <w:szCs w:val="21"/>
          <w:u w:val="single"/>
          <w:lang w:eastAsia="zh-CN"/>
        </w:rPr>
        <w:t>http://toxnet.nlm.nih.gov/altbib.html</w:t>
      </w:r>
      <w:r>
        <w:rPr>
          <w:rFonts w:ascii="Arial" w:hAnsi="Arial" w:eastAsia="宋体" w:cs="Arial"/>
          <w:sz w:val="21"/>
          <w:szCs w:val="21"/>
          <w:lang w:eastAsia="zh-CN"/>
        </w:rPr>
        <w:t>）</w:t>
      </w:r>
    </w:p>
    <w:p w14:paraId="427737D2">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Bassert，Joanna M。医学记录第5章。McCurnin</w:t>
      </w:r>
      <w:r>
        <w:rPr>
          <w:rFonts w:hint="eastAsia" w:ascii="Arial" w:hAnsi="Arial" w:eastAsia="宋体" w:cs="Arial"/>
          <w:sz w:val="21"/>
          <w:szCs w:val="21"/>
          <w:lang w:eastAsia="zh-CN"/>
        </w:rPr>
        <w:t>、</w:t>
      </w:r>
      <w:r>
        <w:rPr>
          <w:rFonts w:ascii="Arial" w:hAnsi="Arial" w:eastAsia="宋体" w:cs="Arial"/>
          <w:sz w:val="21"/>
          <w:szCs w:val="21"/>
          <w:lang w:eastAsia="zh-CN"/>
        </w:rPr>
        <w:t>Dennis M和Joanna M Bassert</w:t>
      </w:r>
      <w:r>
        <w:rPr>
          <w:rFonts w:hint="eastAsia" w:ascii="Arial" w:hAnsi="Arial" w:eastAsia="宋体" w:cs="Arial"/>
          <w:sz w:val="21"/>
          <w:szCs w:val="21"/>
          <w:lang w:eastAsia="zh-CN"/>
        </w:rPr>
        <w:t>（</w:t>
      </w:r>
      <w:r>
        <w:rPr>
          <w:rFonts w:ascii="Arial" w:hAnsi="Arial" w:eastAsia="宋体" w:cs="Arial"/>
          <w:sz w:val="21"/>
          <w:szCs w:val="21"/>
          <w:lang w:eastAsia="zh-CN"/>
        </w:rPr>
        <w:t>编著</w:t>
      </w:r>
      <w:r>
        <w:rPr>
          <w:rFonts w:hint="eastAsia" w:ascii="Arial" w:hAnsi="Arial" w:eastAsia="宋体" w:cs="Arial"/>
          <w:sz w:val="21"/>
          <w:szCs w:val="21"/>
          <w:lang w:eastAsia="zh-CN"/>
        </w:rPr>
        <w:t>）</w:t>
      </w:r>
      <w:r>
        <w:rPr>
          <w:rFonts w:ascii="Arial" w:hAnsi="Arial" w:eastAsia="宋体" w:cs="Arial"/>
          <w:sz w:val="21"/>
          <w:szCs w:val="21"/>
          <w:lang w:eastAsia="zh-CN"/>
        </w:rPr>
        <w:t>2010。《兽医技师临床教材》，第7版。密苏里州圣路易斯市Saunders。</w:t>
      </w:r>
    </w:p>
    <w:p w14:paraId="317482E9">
      <w:pPr>
        <w:pStyle w:val="32"/>
        <w:numPr>
          <w:ilvl w:val="0"/>
          <w:numId w:val="41"/>
        </w:numPr>
        <w:snapToGrid w:val="0"/>
        <w:spacing w:line="300" w:lineRule="auto"/>
        <w:ind w:firstLineChars="0"/>
        <w:jc w:val="both"/>
        <w:rPr>
          <w:rFonts w:ascii="Arial" w:hAnsi="Arial" w:eastAsia="宋体" w:cs="Arial"/>
          <w:sz w:val="21"/>
          <w:szCs w:val="21"/>
          <w:lang w:eastAsia="zh-CN"/>
        </w:rPr>
      </w:pPr>
      <w:r>
        <w:rPr>
          <w:rFonts w:ascii="Arial" w:hAnsi="Arial" w:eastAsia="宋体" w:cs="Arial"/>
          <w:sz w:val="21"/>
          <w:szCs w:val="21"/>
          <w:lang w:eastAsia="zh-CN"/>
        </w:rPr>
        <w:t>Reinhart, V. （2002）。《</w:t>
      </w:r>
      <w:r>
        <w:rPr>
          <w:rFonts w:ascii="Arial" w:hAnsi="Arial" w:eastAsia="宋体" w:cs="Arial"/>
          <w:i/>
          <w:iCs/>
          <w:sz w:val="21"/>
          <w:szCs w:val="21"/>
          <w:lang w:eastAsia="zh-CN"/>
        </w:rPr>
        <w:t>实验动物的舒适笼舍</w:t>
      </w:r>
      <w:r>
        <w:rPr>
          <w:rFonts w:ascii="Arial" w:hAnsi="Arial" w:eastAsia="宋体" w:cs="Arial"/>
          <w:sz w:val="21"/>
          <w:szCs w:val="21"/>
          <w:lang w:eastAsia="zh-CN"/>
        </w:rPr>
        <w:t>》第9版。华盛顿哥伦比亚特区。美国农业部动物福利信息中心</w:t>
      </w:r>
    </w:p>
    <w:p w14:paraId="0C520007">
      <w:pPr>
        <w:pStyle w:val="32"/>
        <w:numPr>
          <w:ilvl w:val="0"/>
          <w:numId w:val="41"/>
        </w:numPr>
        <w:snapToGrid w:val="0"/>
        <w:spacing w:line="300" w:lineRule="auto"/>
        <w:ind w:firstLineChars="0"/>
        <w:jc w:val="both"/>
        <w:rPr>
          <w:rFonts w:ascii="Arial" w:hAnsi="Arial" w:eastAsia="宋体" w:cs="Arial"/>
          <w:sz w:val="21"/>
          <w:szCs w:val="21"/>
          <w:lang w:eastAsia="zh-CN"/>
        </w:rPr>
      </w:pPr>
      <w:r>
        <w:rPr>
          <w:rFonts w:ascii="Arial" w:hAnsi="Arial" w:eastAsia="宋体" w:cs="Arial"/>
          <w:sz w:val="21"/>
          <w:szCs w:val="21"/>
          <w:lang w:eastAsia="zh-CN"/>
        </w:rPr>
        <w:t>Fisher, T. F. （1993）。生物医学研究中的小型猪：应用与饲养条件考虑。实验动物，22（5）</w:t>
      </w:r>
      <w:r>
        <w:rPr>
          <w:rFonts w:hint="eastAsia" w:ascii="Arial" w:hAnsi="Arial" w:eastAsia="宋体" w:cs="Arial"/>
          <w:sz w:val="21"/>
          <w:szCs w:val="21"/>
          <w:lang w:eastAsia="zh-CN"/>
        </w:rPr>
        <w:t>，</w:t>
      </w:r>
      <w:r>
        <w:rPr>
          <w:rFonts w:ascii="Arial" w:hAnsi="Arial" w:eastAsia="宋体" w:cs="Arial"/>
          <w:sz w:val="21"/>
          <w:szCs w:val="21"/>
          <w:lang w:eastAsia="zh-CN"/>
        </w:rPr>
        <w:t>47-50</w:t>
      </w:r>
    </w:p>
    <w:p w14:paraId="6DC80D4B">
      <w:pPr>
        <w:pStyle w:val="32"/>
        <w:numPr>
          <w:ilvl w:val="0"/>
          <w:numId w:val="41"/>
        </w:numPr>
        <w:snapToGrid w:val="0"/>
        <w:spacing w:line="300" w:lineRule="auto"/>
        <w:ind w:firstLineChars="0"/>
        <w:rPr>
          <w:rFonts w:ascii="Arial" w:hAnsi="Arial" w:eastAsia="宋体" w:cs="Arial"/>
          <w:color w:val="000000" w:themeColor="text1"/>
          <w:sz w:val="21"/>
          <w:szCs w:val="21"/>
          <w:lang w:eastAsia="zh-CN"/>
          <w14:textFill>
            <w14:solidFill>
              <w14:schemeClr w14:val="tx1"/>
            </w14:solidFill>
          </w14:textFill>
        </w:rPr>
      </w:pPr>
      <w:r>
        <w:rPr>
          <w:rFonts w:ascii="Arial" w:hAnsi="Arial" w:eastAsia="宋体" w:cs="Arial"/>
          <w:color w:val="000000" w:themeColor="text1"/>
          <w:sz w:val="21"/>
          <w:szCs w:val="21"/>
          <w:u w:val="single"/>
          <w:lang w:eastAsia="zh-CN"/>
          <w14:textFill>
            <w14:solidFill>
              <w14:schemeClr w14:val="tx1"/>
            </w14:solidFill>
          </w14:textFill>
        </w:rPr>
        <w:t>《研究和教学过程中农业动物的护理和使用指南</w:t>
      </w:r>
      <w:r>
        <w:rPr>
          <w:rFonts w:ascii="Arial" w:hAnsi="Arial" w:eastAsia="宋体" w:cs="Arial"/>
          <w:color w:val="000000" w:themeColor="text1"/>
          <w:sz w:val="21"/>
          <w:szCs w:val="21"/>
          <w:lang w:eastAsia="zh-CN"/>
          <w14:textFill>
            <w14:solidFill>
              <w14:schemeClr w14:val="tx1"/>
            </w14:solidFill>
          </w14:textFill>
        </w:rPr>
        <w:t>》，2010年第3版，美国动物科学协会联合会（FASS）。（</w:t>
      </w:r>
      <w:r>
        <w:rPr>
          <w:rFonts w:ascii="Arial" w:hAnsi="Arial" w:eastAsia="宋体" w:cs="Arial"/>
          <w:color w:val="000000" w:themeColor="text1"/>
          <w:sz w:val="21"/>
          <w:szCs w:val="21"/>
          <w:u w:val="single"/>
          <w:lang w:eastAsia="zh-CN"/>
          <w14:textFill>
            <w14:solidFill>
              <w14:schemeClr w14:val="tx1"/>
            </w14:solidFill>
          </w14:textFill>
        </w:rPr>
        <w:fldChar w:fldCharType="begin"/>
      </w:r>
      <w:r>
        <w:rPr>
          <w:rFonts w:ascii="Arial" w:hAnsi="Arial" w:eastAsia="宋体" w:cs="Arial"/>
          <w:color w:val="000000" w:themeColor="text1"/>
          <w:sz w:val="21"/>
          <w:szCs w:val="21"/>
          <w:u w:val="single"/>
          <w:lang w:eastAsia="zh-CN"/>
          <w14:textFill>
            <w14:solidFill>
              <w14:schemeClr w14:val="tx1"/>
            </w14:solidFill>
          </w14:textFill>
        </w:rPr>
        <w:instrText xml:space="preserve"> HYPERLINK "http://www.fass.org/page.asp?pageID=216&amp;autotry=true&amp;ULnotkn=true" </w:instrText>
      </w:r>
      <w:r>
        <w:rPr>
          <w:rFonts w:ascii="Arial" w:hAnsi="Arial" w:eastAsia="宋体" w:cs="Arial"/>
          <w:color w:val="000000" w:themeColor="text1"/>
          <w:sz w:val="21"/>
          <w:szCs w:val="21"/>
          <w:u w:val="single"/>
          <w:lang w:eastAsia="zh-CN"/>
          <w14:textFill>
            <w14:solidFill>
              <w14:schemeClr w14:val="tx1"/>
            </w14:solidFill>
          </w14:textFill>
        </w:rPr>
        <w:fldChar w:fldCharType="separate"/>
      </w:r>
      <w:r>
        <w:rPr>
          <w:rStyle w:val="13"/>
          <w:rFonts w:ascii="Arial" w:hAnsi="Arial" w:eastAsia="宋体" w:cs="Arial"/>
          <w:color w:val="000000" w:themeColor="text1"/>
          <w:sz w:val="21"/>
          <w:szCs w:val="21"/>
          <w:lang w:eastAsia="zh-CN"/>
          <w14:textFill>
            <w14:solidFill>
              <w14:schemeClr w14:val="tx1"/>
            </w14:solidFill>
          </w14:textFill>
        </w:rPr>
        <w:t>http://www.fass.org/page.asp?pageID=216&amp;autotry=true&amp;ULnotkn=true</w:t>
      </w:r>
      <w:r>
        <w:rPr>
          <w:rFonts w:ascii="Arial" w:hAnsi="Arial" w:eastAsia="宋体" w:cs="Arial"/>
          <w:color w:val="000000" w:themeColor="text1"/>
          <w:sz w:val="21"/>
          <w:szCs w:val="21"/>
          <w:u w:val="single"/>
          <w:lang w:eastAsia="zh-CN"/>
          <w14:textFill>
            <w14:solidFill>
              <w14:schemeClr w14:val="tx1"/>
            </w14:solidFill>
          </w14:textFill>
        </w:rPr>
        <w:fldChar w:fldCharType="end"/>
      </w:r>
      <w:r>
        <w:rPr>
          <w:rFonts w:ascii="Arial" w:hAnsi="Arial" w:eastAsia="宋体" w:cs="Arial"/>
          <w:color w:val="000000" w:themeColor="text1"/>
          <w:sz w:val="21"/>
          <w:szCs w:val="21"/>
          <w:lang w:eastAsia="zh-CN"/>
          <w14:textFill>
            <w14:solidFill>
              <w14:schemeClr w14:val="tx1"/>
            </w14:solidFill>
          </w14:textFill>
        </w:rPr>
        <w:t>）</w:t>
      </w:r>
    </w:p>
    <w:p w14:paraId="32D69CE5">
      <w:pPr>
        <w:pStyle w:val="2"/>
        <w:numPr>
          <w:ilvl w:val="0"/>
          <w:numId w:val="41"/>
        </w:numPr>
        <w:snapToGrid w:val="0"/>
        <w:spacing w:line="300" w:lineRule="auto"/>
        <w:jc w:val="both"/>
        <w:rPr>
          <w:rFonts w:ascii="Arial" w:hAnsi="Arial" w:eastAsia="宋体" w:cs="Arial"/>
          <w:sz w:val="21"/>
          <w:szCs w:val="21"/>
          <w:lang w:eastAsia="zh-CN"/>
        </w:rPr>
      </w:pPr>
      <w:bookmarkStart w:id="164" w:name="_bookmark62"/>
      <w:bookmarkEnd w:id="164"/>
      <w:r>
        <w:rPr>
          <w:rFonts w:ascii="Arial" w:hAnsi="Arial" w:eastAsia="宋体" w:cs="Arial"/>
          <w:sz w:val="21"/>
          <w:szCs w:val="21"/>
          <w:lang w:eastAsia="zh-CN"/>
        </w:rPr>
        <w:t>Panepinto, L.M.（1986）。《小型猪的特点和管理》。In H. C. Stanton和J. H. Mersmann编著。</w:t>
      </w:r>
      <w:r>
        <w:rPr>
          <w:rFonts w:ascii="Arial" w:hAnsi="Arial" w:eastAsia="宋体" w:cs="Arial"/>
          <w:i/>
          <w:iCs/>
          <w:sz w:val="21"/>
          <w:szCs w:val="21"/>
          <w:lang w:eastAsia="zh-CN"/>
        </w:rPr>
        <w:t>猪在心血管研究中的应用，（1）（11-24页）。</w:t>
      </w:r>
      <w:r>
        <w:rPr>
          <w:rFonts w:ascii="Arial" w:hAnsi="Arial" w:eastAsia="宋体" w:cs="Arial"/>
          <w:sz w:val="21"/>
          <w:szCs w:val="21"/>
          <w:lang w:eastAsia="zh-CN"/>
        </w:rPr>
        <w:t>Ames, IA：爱荷华州立大学出版社。</w:t>
      </w:r>
    </w:p>
    <w:p w14:paraId="6C801458">
      <w:pPr>
        <w:pStyle w:val="2"/>
        <w:numPr>
          <w:ilvl w:val="0"/>
          <w:numId w:val="41"/>
        </w:numPr>
        <w:snapToGrid w:val="0"/>
        <w:spacing w:line="300" w:lineRule="auto"/>
        <w:rPr>
          <w:rFonts w:ascii="Arial" w:hAnsi="Arial" w:eastAsia="宋体" w:cs="Arial"/>
          <w:sz w:val="21"/>
          <w:szCs w:val="21"/>
          <w:lang w:eastAsia="zh-CN"/>
        </w:rPr>
      </w:pPr>
      <w:bookmarkStart w:id="165" w:name="_bookmark64"/>
      <w:bookmarkEnd w:id="165"/>
      <w:r>
        <w:rPr>
          <w:rFonts w:ascii="Arial" w:hAnsi="Arial" w:eastAsia="宋体" w:cs="Arial"/>
          <w:sz w:val="21"/>
          <w:szCs w:val="21"/>
          <w:lang w:eastAsia="zh-CN"/>
        </w:rPr>
        <w:t>美国国家研究委员会实验动物研究所</w:t>
      </w:r>
      <w:r>
        <w:rPr>
          <w:rFonts w:ascii="Arial" w:hAnsi="Arial" w:eastAsia="宋体" w:cs="Arial"/>
          <w:sz w:val="21"/>
          <w:szCs w:val="21"/>
          <w:u w:val="single"/>
          <w:lang w:eastAsia="zh-CN"/>
        </w:rPr>
        <w:t>《实验动物人道运输</w:t>
      </w:r>
      <w:r>
        <w:rPr>
          <w:rFonts w:hint="eastAsia" w:ascii="Arial" w:hAnsi="Arial" w:eastAsia="宋体" w:cs="Arial"/>
          <w:sz w:val="21"/>
          <w:szCs w:val="21"/>
          <w:u w:val="single"/>
          <w:lang w:eastAsia="zh-CN"/>
        </w:rPr>
        <w:t>指南</w:t>
      </w:r>
      <w:r>
        <w:rPr>
          <w:rFonts w:ascii="Arial" w:hAnsi="Arial" w:eastAsia="宋体" w:cs="Arial"/>
          <w:sz w:val="21"/>
          <w:szCs w:val="21"/>
          <w:u w:val="single"/>
          <w:lang w:eastAsia="zh-CN"/>
        </w:rPr>
        <w:t xml:space="preserve">》 </w:t>
      </w:r>
      <w:r>
        <w:rPr>
          <w:rFonts w:ascii="Arial" w:hAnsi="Arial" w:eastAsia="宋体" w:cs="Arial"/>
          <w:sz w:val="21"/>
          <w:szCs w:val="21"/>
          <w:lang w:eastAsia="zh-CN"/>
        </w:rPr>
        <w:t>（2006）。实验动物资源研究所地球和生命研究分所，华盛顿哥伦比亚特区。美国国家科学院出版社。（</w:t>
      </w:r>
      <w:r>
        <w:rPr>
          <w:rFonts w:ascii="Arial" w:hAnsi="Arial" w:eastAsia="宋体" w:cs="Arial"/>
          <w:sz w:val="21"/>
          <w:szCs w:val="21"/>
          <w:u w:val="single"/>
          <w:lang w:eastAsia="zh-CN"/>
        </w:rPr>
        <w:t>http://www.nap.edu/openbook.php?record_id=11557&amp;page=R1</w:t>
      </w:r>
      <w:r>
        <w:rPr>
          <w:rFonts w:ascii="Arial" w:hAnsi="Arial" w:eastAsia="宋体" w:cs="Arial"/>
          <w:sz w:val="21"/>
          <w:szCs w:val="21"/>
          <w:lang w:eastAsia="zh-CN"/>
        </w:rPr>
        <w:t>）</w:t>
      </w:r>
    </w:p>
    <w:p w14:paraId="3CB71589">
      <w:pPr>
        <w:pStyle w:val="20"/>
        <w:numPr>
          <w:ilvl w:val="0"/>
          <w:numId w:val="41"/>
        </w:numPr>
        <w:shd w:val="clear" w:color="auto" w:fill="auto"/>
        <w:tabs>
          <w:tab w:val="left" w:pos="355"/>
        </w:tabs>
        <w:snapToGrid w:val="0"/>
        <w:spacing w:after="0" w:line="300" w:lineRule="auto"/>
        <w:jc w:val="both"/>
        <w:rPr>
          <w:rFonts w:ascii="Arial" w:hAnsi="Arial" w:eastAsia="宋体" w:cs="Arial"/>
          <w:szCs w:val="21"/>
        </w:rPr>
      </w:pPr>
      <w:bookmarkStart w:id="166" w:name="_bookmark67"/>
      <w:bookmarkEnd w:id="166"/>
      <w:r>
        <w:rPr>
          <w:rFonts w:ascii="Arial" w:hAnsi="Arial" w:eastAsia="宋体" w:cs="Arial"/>
          <w:szCs w:val="21"/>
        </w:rPr>
        <w:t>美国国家研究委员会实验动物研究所《实验动物人道运输</w:t>
      </w:r>
      <w:r>
        <w:rPr>
          <w:rFonts w:hint="eastAsia" w:ascii="Arial" w:hAnsi="Arial" w:eastAsia="宋体" w:cs="Arial"/>
          <w:szCs w:val="21"/>
        </w:rPr>
        <w:t>指南</w:t>
      </w:r>
      <w:r>
        <w:rPr>
          <w:rFonts w:ascii="Arial" w:hAnsi="Arial" w:eastAsia="宋体" w:cs="Arial"/>
          <w:szCs w:val="21"/>
        </w:rPr>
        <w:t>》 （2006）。</w:t>
      </w:r>
      <w:r>
        <w:rPr>
          <w:rFonts w:ascii="Arial" w:hAnsi="Arial" w:eastAsia="宋体" w:cs="Arial"/>
          <w:szCs w:val="21"/>
          <w:u w:val="single"/>
        </w:rPr>
        <w:t>《肉牛的营养需要》</w:t>
      </w:r>
      <w:r>
        <w:rPr>
          <w:rFonts w:ascii="Arial" w:hAnsi="Arial" w:eastAsia="宋体" w:cs="Arial"/>
          <w:szCs w:val="21"/>
        </w:rPr>
        <w:t>。第7次修订版。华盛顿哥伦比亚特区：美国国家学术出版社。（</w:t>
      </w:r>
      <w:r>
        <w:rPr>
          <w:rFonts w:ascii="Arial" w:hAnsi="Arial" w:eastAsia="宋体" w:cs="Arial"/>
          <w:szCs w:val="21"/>
          <w:u w:val="single"/>
        </w:rPr>
        <w:fldChar w:fldCharType="begin"/>
      </w:r>
      <w:r>
        <w:rPr>
          <w:rFonts w:ascii="Arial" w:hAnsi="Arial" w:eastAsia="宋体" w:cs="Arial"/>
          <w:szCs w:val="21"/>
          <w:u w:val="single"/>
        </w:rPr>
        <w:instrText xml:space="preserve"> HYPERLINK "http://www.nap.edu/openbook.php?isbn=0309069343" </w:instrText>
      </w:r>
      <w:r>
        <w:rPr>
          <w:rFonts w:ascii="Arial" w:hAnsi="Arial" w:eastAsia="宋体" w:cs="Arial"/>
          <w:szCs w:val="21"/>
          <w:u w:val="single"/>
        </w:rPr>
        <w:fldChar w:fldCharType="separate"/>
      </w:r>
      <w:r>
        <w:rPr>
          <w:rStyle w:val="13"/>
          <w:rFonts w:ascii="Arial" w:hAnsi="Arial" w:eastAsia="宋体" w:cs="Arial"/>
          <w:color w:val="auto"/>
          <w:szCs w:val="21"/>
        </w:rPr>
        <w:t>http://www.nap.edu/openbook.php?isbn=0309069343</w:t>
      </w:r>
      <w:r>
        <w:rPr>
          <w:rFonts w:ascii="Arial" w:hAnsi="Arial" w:eastAsia="宋体" w:cs="Arial"/>
          <w:szCs w:val="21"/>
          <w:u w:val="single"/>
        </w:rPr>
        <w:fldChar w:fldCharType="end"/>
      </w:r>
      <w:r>
        <w:rPr>
          <w:rFonts w:ascii="Arial" w:hAnsi="Arial" w:eastAsia="宋体" w:cs="Arial"/>
          <w:szCs w:val="21"/>
        </w:rPr>
        <w:t>）</w:t>
      </w:r>
    </w:p>
    <w:p w14:paraId="587FD6CC">
      <w:pPr>
        <w:pStyle w:val="32"/>
        <w:numPr>
          <w:ilvl w:val="0"/>
          <w:numId w:val="41"/>
        </w:numPr>
        <w:snapToGrid w:val="0"/>
        <w:spacing w:line="300" w:lineRule="auto"/>
        <w:ind w:firstLineChars="0"/>
        <w:jc w:val="both"/>
        <w:rPr>
          <w:rFonts w:ascii="Arial" w:hAnsi="Arial" w:eastAsia="宋体" w:cs="Arial"/>
          <w:sz w:val="21"/>
          <w:szCs w:val="21"/>
          <w:lang w:eastAsia="zh-CN"/>
        </w:rPr>
      </w:pPr>
      <w:r>
        <w:rPr>
          <w:rFonts w:ascii="Arial" w:hAnsi="Arial" w:eastAsia="宋体" w:cs="Arial"/>
          <w:sz w:val="21"/>
          <w:szCs w:val="21"/>
          <w:lang w:eastAsia="zh-CN"/>
        </w:rPr>
        <w:t>ampshire, V.A., Davis, J.A. （2008）。《常用实验动物对象的术后护理》。In R.E. Fish, M.B, Brown, P.J. Danneman &amp; A.Z. Karas（编著）。《实验动物的麻醉和镇痛》第2版（219-237页），伦敦：Elsevier</w:t>
      </w:r>
    </w:p>
    <w:p w14:paraId="30BA7878">
      <w:pPr>
        <w:pStyle w:val="32"/>
        <w:numPr>
          <w:ilvl w:val="0"/>
          <w:numId w:val="41"/>
        </w:numPr>
        <w:snapToGrid w:val="0"/>
        <w:spacing w:line="300" w:lineRule="auto"/>
        <w:ind w:firstLineChars="0"/>
        <w:jc w:val="both"/>
        <w:rPr>
          <w:rFonts w:ascii="Arial" w:hAnsi="Arial" w:eastAsia="宋体" w:cs="Arial"/>
          <w:sz w:val="21"/>
          <w:szCs w:val="21"/>
          <w:lang w:eastAsia="zh-CN"/>
        </w:rPr>
      </w:pPr>
      <w:r>
        <w:rPr>
          <w:rFonts w:ascii="Arial" w:hAnsi="Arial" w:eastAsia="宋体" w:cs="Arial"/>
          <w:sz w:val="21"/>
          <w:szCs w:val="21"/>
          <w:lang w:eastAsia="zh-CN"/>
        </w:rPr>
        <w:t>Flecknell P.A, Waterman-Pearson A. （2000）。《动物疼痛的管理》。伦敦：Harcourt Publishers Ltd.出版社</w:t>
      </w:r>
    </w:p>
    <w:p w14:paraId="2E21535E">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Peterson N.C。（2004）。疼痛</w:t>
      </w:r>
      <w:r>
        <w:rPr>
          <w:rFonts w:hint="eastAsia" w:ascii="Arial" w:hAnsi="Arial" w:eastAsia="宋体" w:cs="Arial"/>
          <w:sz w:val="21"/>
          <w:szCs w:val="21"/>
          <w:lang w:eastAsia="zh-CN"/>
        </w:rPr>
        <w:t>评分的</w:t>
      </w:r>
      <w:r>
        <w:rPr>
          <w:rFonts w:ascii="Arial" w:hAnsi="Arial" w:eastAsia="宋体" w:cs="Arial"/>
          <w:sz w:val="21"/>
          <w:szCs w:val="21"/>
          <w:lang w:eastAsia="zh-CN"/>
        </w:rPr>
        <w:t>评价。</w:t>
      </w:r>
      <w:r>
        <w:rPr>
          <w:rFonts w:ascii="Arial" w:hAnsi="Arial" w:eastAsia="宋体" w:cs="Arial"/>
          <w:i/>
          <w:iCs/>
          <w:sz w:val="21"/>
          <w:szCs w:val="21"/>
          <w:lang w:eastAsia="zh-CN"/>
        </w:rPr>
        <w:t>Contemp Top Lab Anim Sci</w:t>
      </w:r>
      <w:r>
        <w:rPr>
          <w:rFonts w:ascii="Arial" w:hAnsi="Arial" w:eastAsia="宋体" w:cs="Arial"/>
          <w:sz w:val="21"/>
          <w:szCs w:val="21"/>
          <w:lang w:eastAsia="zh-CN"/>
        </w:rPr>
        <w:t xml:space="preserve">,43（1）:74-76 </w:t>
      </w:r>
      <w:bookmarkStart w:id="167" w:name="_bookmark70"/>
      <w:bookmarkEnd w:id="167"/>
    </w:p>
    <w:p w14:paraId="36E076D5">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Stasiak K.L，Maul D，French E，Hellyer P.W，VandeWoude S. （2003）。实验动物疼痛的物种特异性评价。</w:t>
      </w:r>
      <w:r>
        <w:rPr>
          <w:rFonts w:ascii="Arial" w:hAnsi="Arial" w:eastAsia="宋体" w:cs="Arial"/>
          <w:i/>
          <w:iCs/>
          <w:sz w:val="21"/>
          <w:szCs w:val="21"/>
          <w:lang w:eastAsia="zh-CN"/>
        </w:rPr>
        <w:t xml:space="preserve">Contemp Top Lab Anim </w:t>
      </w:r>
      <w:r>
        <w:rPr>
          <w:rFonts w:ascii="Arial" w:hAnsi="Arial" w:eastAsia="宋体" w:cs="Arial"/>
          <w:sz w:val="21"/>
          <w:szCs w:val="21"/>
          <w:lang w:eastAsia="zh-CN"/>
        </w:rPr>
        <w:t>Sci. 42（4）:13-20。</w:t>
      </w:r>
    </w:p>
    <w:p w14:paraId="11C38017">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Hellyer P.W。（2002）。疼痛管理。In Wingfield W.E和 Raffe,MR（编著）。</w:t>
      </w:r>
      <w:r>
        <w:rPr>
          <w:rFonts w:ascii="Arial" w:hAnsi="Arial" w:eastAsia="宋体" w:cs="Arial"/>
          <w:i/>
          <w:iCs/>
          <w:sz w:val="21"/>
          <w:szCs w:val="21"/>
          <w:lang w:eastAsia="zh-CN"/>
        </w:rPr>
        <w:t>兽医重症监护手册。</w:t>
      </w:r>
      <w:r>
        <w:rPr>
          <w:rFonts w:ascii="Arial" w:hAnsi="Arial" w:eastAsia="宋体" w:cs="Arial"/>
          <w:sz w:val="21"/>
          <w:szCs w:val="21"/>
          <w:lang w:eastAsia="zh-CN"/>
        </w:rPr>
        <w:t>Jackson Hole, WY: Teton NewMedia.</w:t>
      </w:r>
    </w:p>
    <w:p w14:paraId="38FC58F3">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val="de-DE" w:eastAsia="zh-CN"/>
        </w:rPr>
        <w:t>Lee L, Leslie K, Kayak E, Myles PS</w:t>
      </w:r>
      <w:r>
        <w:rPr>
          <w:rFonts w:ascii="Arial" w:hAnsi="Arial" w:eastAsia="宋体" w:cs="Arial"/>
          <w:sz w:val="21"/>
          <w:szCs w:val="21"/>
          <w:lang w:eastAsia="zh-CN"/>
        </w:rPr>
        <w:t>。（2004）。长时间手术过程中用辐射升温或者充气式升温法进行术中患者升温。</w:t>
      </w:r>
      <w:r>
        <w:rPr>
          <w:rFonts w:ascii="Arial" w:hAnsi="Arial" w:eastAsia="宋体" w:cs="Arial"/>
          <w:i/>
          <w:iCs/>
          <w:sz w:val="21"/>
          <w:szCs w:val="21"/>
          <w:lang w:eastAsia="zh-CN"/>
        </w:rPr>
        <w:t xml:space="preserve">Anaesth Intensive Care, </w:t>
      </w:r>
      <w:r>
        <w:rPr>
          <w:rFonts w:ascii="Arial" w:hAnsi="Arial" w:eastAsia="宋体" w:cs="Arial"/>
          <w:sz w:val="21"/>
          <w:szCs w:val="21"/>
          <w:lang w:eastAsia="zh-CN"/>
        </w:rPr>
        <w:t>32（3）,358- 61</w:t>
      </w:r>
    </w:p>
    <w:p w14:paraId="295D0B96">
      <w:pPr>
        <w:pStyle w:val="2"/>
        <w:numPr>
          <w:ilvl w:val="0"/>
          <w:numId w:val="41"/>
        </w:numPr>
        <w:snapToGrid w:val="0"/>
        <w:spacing w:line="300" w:lineRule="auto"/>
        <w:jc w:val="both"/>
        <w:rPr>
          <w:rFonts w:ascii="Arial" w:hAnsi="Arial" w:eastAsia="宋体" w:cs="Arial"/>
          <w:sz w:val="21"/>
          <w:szCs w:val="21"/>
          <w:lang w:eastAsia="zh-CN"/>
        </w:rPr>
      </w:pPr>
      <w:bookmarkStart w:id="168" w:name="_bookmark71"/>
      <w:bookmarkEnd w:id="168"/>
      <w:r>
        <w:rPr>
          <w:rFonts w:ascii="Arial" w:hAnsi="Arial" w:eastAsia="宋体" w:cs="Arial"/>
          <w:sz w:val="21"/>
          <w:szCs w:val="21"/>
          <w:lang w:val="de-DE" w:eastAsia="zh-CN"/>
        </w:rPr>
        <w:t>Rudloff E, Kirby R</w:t>
      </w:r>
      <w:r>
        <w:rPr>
          <w:rFonts w:ascii="Arial" w:hAnsi="Arial" w:eastAsia="宋体" w:cs="Arial"/>
          <w:sz w:val="21"/>
          <w:szCs w:val="21"/>
          <w:lang w:eastAsia="zh-CN"/>
        </w:rPr>
        <w:t>。</w:t>
      </w:r>
      <w:r>
        <w:rPr>
          <w:rFonts w:ascii="Arial" w:hAnsi="Arial" w:eastAsia="宋体" w:cs="Arial"/>
          <w:sz w:val="21"/>
          <w:szCs w:val="21"/>
          <w:lang w:val="de-DE" w:eastAsia="zh-CN"/>
        </w:rPr>
        <w:t>（1998）</w:t>
      </w:r>
      <w:r>
        <w:rPr>
          <w:rFonts w:ascii="Arial" w:hAnsi="Arial" w:eastAsia="宋体" w:cs="Arial"/>
          <w:sz w:val="21"/>
          <w:szCs w:val="21"/>
          <w:lang w:eastAsia="zh-CN"/>
        </w:rPr>
        <w:t>。输液疗法：晶体与胶体。In Dibaratola, S.P.（编著）。</w:t>
      </w:r>
      <w:r>
        <w:rPr>
          <w:rFonts w:ascii="Arial" w:hAnsi="Arial" w:eastAsia="宋体" w:cs="Arial"/>
          <w:i/>
          <w:iCs/>
          <w:sz w:val="21"/>
          <w:szCs w:val="21"/>
          <w:lang w:eastAsia="zh-CN"/>
        </w:rPr>
        <w:t>Vet Clin North Am Small Anim Pract</w:t>
      </w:r>
      <w:r>
        <w:rPr>
          <w:rFonts w:ascii="Arial" w:hAnsi="Arial" w:eastAsia="宋体" w:cs="Arial"/>
          <w:sz w:val="21"/>
          <w:szCs w:val="21"/>
          <w:lang w:eastAsia="zh-CN"/>
        </w:rPr>
        <w:t>. 28（2）,297-328.</w:t>
      </w:r>
    </w:p>
    <w:p w14:paraId="1BE74DB4">
      <w:pPr>
        <w:pStyle w:val="2"/>
        <w:numPr>
          <w:ilvl w:val="0"/>
          <w:numId w:val="41"/>
        </w:numPr>
        <w:snapToGrid w:val="0"/>
        <w:spacing w:line="300" w:lineRule="auto"/>
        <w:rPr>
          <w:rFonts w:ascii="Arial" w:hAnsi="Arial" w:eastAsia="宋体" w:cs="Arial"/>
          <w:sz w:val="21"/>
          <w:szCs w:val="21"/>
          <w:lang w:eastAsia="zh-CN"/>
        </w:rPr>
      </w:pPr>
      <w:bookmarkStart w:id="169" w:name="_bookmark72"/>
      <w:bookmarkEnd w:id="169"/>
      <w:r>
        <w:rPr>
          <w:rFonts w:ascii="Arial" w:hAnsi="Arial" w:eastAsia="宋体" w:cs="Arial"/>
          <w:sz w:val="21"/>
          <w:szCs w:val="21"/>
          <w:lang w:eastAsia="zh-CN"/>
        </w:rPr>
        <w:t>Keown, J. F。（2005）。如何对产奶动物进行身体状况评分。内布拉斯加大学和林肯农业和自然资源研究所</w:t>
      </w:r>
      <w:r>
        <w:rPr>
          <w:rFonts w:hint="eastAsia" w:ascii="Arial" w:hAnsi="Arial" w:eastAsia="宋体" w:cs="Arial"/>
          <w:sz w:val="21"/>
          <w:szCs w:val="21"/>
          <w:lang w:eastAsia="zh-CN"/>
        </w:rPr>
        <w:t>扩展</w:t>
      </w:r>
      <w:r>
        <w:rPr>
          <w:rFonts w:ascii="Arial" w:hAnsi="Arial" w:eastAsia="宋体" w:cs="Arial"/>
          <w:sz w:val="21"/>
          <w:szCs w:val="21"/>
          <w:lang w:eastAsia="zh-CN"/>
        </w:rPr>
        <w:t>项目。（</w:t>
      </w:r>
      <w:r>
        <w:rPr>
          <w:rFonts w:ascii="Arial" w:hAnsi="Arial" w:eastAsia="宋体" w:cs="Arial"/>
          <w:sz w:val="21"/>
          <w:szCs w:val="21"/>
          <w:u w:val="single"/>
          <w:lang w:eastAsia="zh-CN"/>
        </w:rPr>
        <w:t>http://www.ianrpubs.unl.edu/epublic/live/g1583/build/g1583.pdf</w:t>
      </w:r>
      <w:r>
        <w:rPr>
          <w:rFonts w:ascii="Arial" w:hAnsi="Arial" w:eastAsia="宋体" w:cs="Arial"/>
          <w:sz w:val="21"/>
          <w:szCs w:val="21"/>
          <w:lang w:eastAsia="zh-CN"/>
        </w:rPr>
        <w:t>）</w:t>
      </w:r>
    </w:p>
    <w:p w14:paraId="0BE736E3">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缅因州。</w:t>
      </w:r>
      <w:r>
        <w:rPr>
          <w:rFonts w:hint="eastAsia" w:ascii="Arial" w:hAnsi="Arial" w:eastAsia="宋体" w:cs="Arial"/>
          <w:sz w:val="21"/>
          <w:szCs w:val="21"/>
          <w:lang w:eastAsia="zh-CN"/>
        </w:rPr>
        <w:t>扩展</w:t>
      </w:r>
      <w:r>
        <w:rPr>
          <w:rFonts w:ascii="Arial" w:hAnsi="Arial" w:eastAsia="宋体" w:cs="Arial"/>
          <w:sz w:val="21"/>
          <w:szCs w:val="21"/>
          <w:lang w:eastAsia="zh-CN"/>
        </w:rPr>
        <w:t>项目和资源。</w:t>
      </w:r>
      <w:r>
        <w:rPr>
          <w:rFonts w:ascii="Arial" w:hAnsi="Arial" w:eastAsia="宋体" w:cs="Arial"/>
          <w:sz w:val="21"/>
          <w:szCs w:val="21"/>
          <w:u w:val="single"/>
          <w:lang w:eastAsia="zh-CN"/>
        </w:rPr>
        <w:t>1010号公告《马的身体状况评分》</w:t>
      </w:r>
      <w:r>
        <w:rPr>
          <w:rFonts w:ascii="Arial" w:hAnsi="Arial" w:eastAsia="宋体" w:cs="Arial"/>
          <w:sz w:val="21"/>
          <w:szCs w:val="21"/>
          <w:lang w:eastAsia="zh-CN"/>
        </w:rPr>
        <w:t xml:space="preserve"> 。来自：http://umaine.edu/publications/1010e/</w:t>
      </w:r>
    </w:p>
    <w:p w14:paraId="3AD1A713">
      <w:pPr>
        <w:pStyle w:val="2"/>
        <w:numPr>
          <w:ilvl w:val="0"/>
          <w:numId w:val="41"/>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俄亥俄州立大学兽医学院在线学习系统：如何评估犬和猫的身体状况</w:t>
      </w:r>
      <w:r>
        <w:rPr>
          <w:rFonts w:hint="eastAsia" w:ascii="Arial" w:hAnsi="Arial" w:eastAsia="宋体" w:cs="Arial"/>
          <w:sz w:val="21"/>
          <w:szCs w:val="21"/>
          <w:lang w:eastAsia="zh-CN"/>
        </w:rPr>
        <w:t>评分</w:t>
      </w:r>
      <w:r>
        <w:rPr>
          <w:rFonts w:ascii="Arial" w:hAnsi="Arial" w:eastAsia="宋体" w:cs="Arial"/>
          <w:sz w:val="21"/>
          <w:szCs w:val="21"/>
          <w:lang w:eastAsia="zh-CN"/>
        </w:rPr>
        <w:t>。（</w:t>
      </w:r>
      <w:r>
        <w:rPr>
          <w:rFonts w:ascii="Arial" w:hAnsi="Arial" w:eastAsia="宋体" w:cs="Arial"/>
          <w:sz w:val="21"/>
          <w:szCs w:val="21"/>
          <w:u w:val="single"/>
          <w:lang w:eastAsia="zh-CN"/>
        </w:rPr>
        <w:t>http://vet.osu.edu/1851.htm）</w:t>
      </w:r>
    </w:p>
    <w:p w14:paraId="25E43B66">
      <w:pPr>
        <w:pStyle w:val="2"/>
        <w:numPr>
          <w:ilvl w:val="0"/>
          <w:numId w:val="41"/>
        </w:numPr>
        <w:snapToGrid w:val="0"/>
        <w:spacing w:line="300" w:lineRule="auto"/>
        <w:jc w:val="both"/>
        <w:rPr>
          <w:rFonts w:ascii="Arial" w:hAnsi="Arial" w:eastAsia="宋体" w:cs="Arial"/>
          <w:sz w:val="21"/>
          <w:szCs w:val="21"/>
          <w:lang w:eastAsia="zh-CN"/>
        </w:rPr>
      </w:pPr>
      <w:bookmarkStart w:id="170" w:name="_bookmark75"/>
      <w:bookmarkEnd w:id="170"/>
      <w:r>
        <w:rPr>
          <w:rFonts w:ascii="Arial" w:hAnsi="Arial" w:eastAsia="宋体" w:cs="Arial"/>
          <w:sz w:val="21"/>
          <w:szCs w:val="21"/>
          <w:lang w:val="de-DE" w:eastAsia="zh-CN"/>
        </w:rPr>
        <w:t>Michel, K.D., Sorenmo, K., Shofer, F.S. （2004）</w:t>
      </w:r>
      <w:r>
        <w:rPr>
          <w:rFonts w:ascii="Arial" w:hAnsi="Arial" w:eastAsia="宋体" w:cs="Arial"/>
          <w:sz w:val="21"/>
          <w:szCs w:val="21"/>
          <w:lang w:eastAsia="zh-CN"/>
        </w:rPr>
        <w:t>。兽医肿瘤服务部对犬身体状况和体重减轻的评价。</w:t>
      </w:r>
      <w:r>
        <w:rPr>
          <w:rFonts w:ascii="Arial" w:hAnsi="Arial" w:eastAsia="宋体" w:cs="Arial"/>
          <w:i/>
          <w:iCs/>
          <w:sz w:val="21"/>
          <w:szCs w:val="21"/>
          <w:lang w:eastAsia="zh-CN"/>
        </w:rPr>
        <w:t xml:space="preserve">J Vet Intern Med, </w:t>
      </w:r>
      <w:r>
        <w:rPr>
          <w:rFonts w:ascii="Arial" w:hAnsi="Arial" w:eastAsia="宋体" w:cs="Arial"/>
          <w:sz w:val="21"/>
          <w:szCs w:val="21"/>
          <w:lang w:eastAsia="zh-CN"/>
        </w:rPr>
        <w:t>13（5）,692-5.</w:t>
      </w:r>
    </w:p>
    <w:p w14:paraId="551E49D4">
      <w:pPr>
        <w:pStyle w:val="20"/>
        <w:numPr>
          <w:ilvl w:val="0"/>
          <w:numId w:val="41"/>
        </w:numPr>
        <w:shd w:val="clear" w:color="auto" w:fill="auto"/>
        <w:tabs>
          <w:tab w:val="left" w:pos="354"/>
        </w:tabs>
        <w:snapToGrid w:val="0"/>
        <w:spacing w:after="0" w:line="300" w:lineRule="auto"/>
        <w:rPr>
          <w:rFonts w:ascii="Arial" w:hAnsi="Arial" w:eastAsia="宋体" w:cs="Arial"/>
          <w:szCs w:val="21"/>
        </w:rPr>
      </w:pPr>
      <w:bookmarkStart w:id="171" w:name="_bookmark77"/>
      <w:bookmarkEnd w:id="171"/>
      <w:r>
        <w:rPr>
          <w:rFonts w:ascii="Arial" w:hAnsi="Arial" w:eastAsia="宋体" w:cs="Arial"/>
          <w:szCs w:val="21"/>
          <w:u w:val="single"/>
        </w:rPr>
        <w:t>用于实验和其他科学用途的脊椎动物保护欧洲公约</w:t>
      </w:r>
      <w:r>
        <w:rPr>
          <w:rFonts w:ascii="Arial" w:hAnsi="Arial" w:eastAsia="宋体" w:cs="Arial"/>
          <w:szCs w:val="21"/>
        </w:rPr>
        <w:t>是一个关于几个成员国动物护理和使用欧洲指导原则资源的</w:t>
      </w:r>
      <w:r>
        <w:rPr>
          <w:rFonts w:hint="eastAsia" w:ascii="Arial" w:hAnsi="Arial" w:eastAsia="宋体" w:cs="Arial"/>
          <w:szCs w:val="21"/>
        </w:rPr>
        <w:t>有用</w:t>
      </w:r>
      <w:r>
        <w:rPr>
          <w:rFonts w:ascii="Arial" w:hAnsi="Arial" w:eastAsia="宋体" w:cs="Arial"/>
          <w:szCs w:val="21"/>
        </w:rPr>
        <w:t>网站。（</w:t>
      </w:r>
      <w:r>
        <w:rPr>
          <w:rFonts w:ascii="Arial" w:hAnsi="Arial" w:eastAsia="宋体" w:cs="Arial"/>
          <w:szCs w:val="21"/>
          <w:u w:val="single"/>
        </w:rPr>
        <w:t>http://conventions.coe.int/treaty/Commun/QueVoulezVous.asp?NT=123&amp;CM=0&amp;CL=ENG.</w:t>
      </w:r>
      <w:r>
        <w:rPr>
          <w:rFonts w:ascii="Arial" w:hAnsi="Arial" w:eastAsia="宋体" w:cs="Arial"/>
          <w:szCs w:val="21"/>
        </w:rPr>
        <w:t>）</w:t>
      </w:r>
    </w:p>
    <w:p w14:paraId="26E80CB6">
      <w:pPr>
        <w:pStyle w:val="16"/>
        <w:pBdr>
          <w:bottom w:val="single" w:color="auto" w:sz="4" w:space="1"/>
        </w:pBdr>
        <w:shd w:val="clear" w:color="auto" w:fill="auto"/>
        <w:snapToGrid w:val="0"/>
        <w:spacing w:after="64" w:line="300" w:lineRule="auto"/>
        <w:jc w:val="center"/>
        <w:rPr>
          <w:rFonts w:hint="eastAsia" w:eastAsia="宋体"/>
          <w:lang w:eastAsia="zh-CN"/>
        </w:rPr>
      </w:pPr>
    </w:p>
    <w:p w14:paraId="70C448F8">
      <w:pPr>
        <w:pStyle w:val="16"/>
        <w:pBdr>
          <w:bottom w:val="single" w:color="auto" w:sz="4" w:space="1"/>
        </w:pBdr>
        <w:shd w:val="clear" w:color="auto" w:fill="auto"/>
        <w:snapToGrid w:val="0"/>
        <w:spacing w:after="64" w:line="300" w:lineRule="auto"/>
        <w:jc w:val="center"/>
        <w:rPr>
          <w:rFonts w:hint="eastAsia" w:eastAsia="宋体"/>
          <w:lang w:eastAsia="zh-CN"/>
        </w:rPr>
      </w:pPr>
    </w:p>
    <w:p w14:paraId="4D280017">
      <w:pPr>
        <w:pStyle w:val="16"/>
        <w:pBdr>
          <w:bottom w:val="single" w:color="auto" w:sz="4" w:space="1"/>
        </w:pBdr>
        <w:shd w:val="clear" w:color="auto" w:fill="auto"/>
        <w:snapToGrid w:val="0"/>
        <w:spacing w:after="6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283"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akuyoxingshu7000">
    <w:altName w:val="宋体"/>
    <w:panose1 w:val="00000000000000000000"/>
    <w:charset w:val="86"/>
    <w:family w:val="auto"/>
    <w:pitch w:val="default"/>
    <w:sig w:usb0="00000000" w:usb1="00000000" w:usb2="0000003F" w:usb3="00000000" w:csb0="003F00FF"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74750704"/>
      <w:docPartObj>
        <w:docPartGallery w:val="AutoText"/>
      </w:docPartObj>
    </w:sdtPr>
    <w:sdtEndPr>
      <w:rPr>
        <w:rFonts w:ascii="Arial" w:hAnsi="Arial" w:cs="Arial"/>
        <w:sz w:val="21"/>
        <w:szCs w:val="21"/>
      </w:rPr>
    </w:sdtEndPr>
    <w:sdtContent>
      <w:p w14:paraId="341DECC8">
        <w:pPr>
          <w:pStyle w:val="5"/>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31</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2894114">
      <w:pPr>
        <w:pStyle w:val="9"/>
        <w:rPr>
          <w:rFonts w:ascii="Arial" w:hAnsi="Arial" w:cs="Arial"/>
          <w:lang w:eastAsia="zh-CN"/>
        </w:rPr>
      </w:pPr>
      <w:r>
        <w:rPr>
          <w:rStyle w:val="14"/>
          <w:rFonts w:ascii="Arial" w:hAnsi="Arial" w:cs="Arial"/>
        </w:rPr>
        <w:footnoteRef/>
      </w:r>
      <w:r>
        <w:rPr>
          <w:rFonts w:ascii="Arial" w:hAnsi="Arial" w:cs="Arial"/>
          <w:lang w:eastAsia="zh-CN"/>
        </w:rPr>
        <w:t xml:space="preserve"> </w:t>
      </w:r>
      <w:r>
        <w:rPr>
          <w:rFonts w:ascii="Arial" w:hAnsi="Arial" w:cs="Arial" w:eastAsiaTheme="minorEastAsia"/>
          <w:lang w:eastAsia="zh-CN"/>
        </w:rPr>
        <w:t>尽管医疗器械的操作/性能可以通过某种动物模型进行演示，但为了证实器械的有效性，仍需要人体模型的</w:t>
      </w:r>
      <w:r>
        <w:rPr>
          <w:rFonts w:hint="eastAsia" w:ascii="Arial" w:hAnsi="Arial" w:cs="Arial" w:eastAsiaTheme="minorEastAsia"/>
          <w:lang w:eastAsia="zh-CN"/>
        </w:rPr>
        <w:t>其他</w:t>
      </w:r>
      <w:r>
        <w:rPr>
          <w:rFonts w:ascii="Arial" w:hAnsi="Arial" w:cs="Arial" w:eastAsiaTheme="minorEastAsia"/>
          <w:lang w:eastAsia="zh-CN"/>
        </w:rPr>
        <w:t>数据进行结果评估。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4A7B">
    <w:pPr>
      <w:jc w:val="center"/>
      <w:rPr>
        <w:rStyle w:val="24"/>
        <w:rFonts w:ascii="Arial" w:hAnsi="Arial" w:eastAsia="宋体" w:cs="Arial"/>
        <w:sz w:val="21"/>
        <w:szCs w:val="21"/>
        <w:lang w:eastAsia="zh-CN"/>
      </w:rPr>
    </w:pPr>
    <w:r>
      <w:rPr>
        <w:rStyle w:val="24"/>
        <w:rFonts w:hint="eastAsia" w:ascii="Arial" w:hAnsi="Arial" w:eastAsia="宋体" w:cs="Arial"/>
        <w:bCs w:val="0"/>
        <w:iCs w:val="0"/>
        <w:sz w:val="21"/>
        <w:szCs w:val="21"/>
        <w:lang w:eastAsia="zh-CN"/>
      </w:rPr>
      <w:t>所含建议不具约束力</w:t>
    </w:r>
  </w:p>
  <w:p w14:paraId="15DB8327">
    <w:pPr>
      <w:jc w:val="center"/>
      <w:rPr>
        <w:rFonts w:ascii="Arial" w:hAnsi="Arial" w:eastAsia="宋体" w:cs="Arial"/>
        <w:sz w:val="21"/>
        <w:szCs w:val="21"/>
        <w:lang w:eastAsia="zh-CN"/>
      </w:rPr>
    </w:pPr>
    <w:r>
      <w:rPr>
        <w:rStyle w:val="24"/>
        <w:rFonts w:ascii="Arial" w:hAnsi="Arial" w:eastAsia="宋体" w:cs="Arial"/>
        <w:sz w:val="21"/>
        <w:szCs w:val="21"/>
        <w:lang w:eastAsia="zh-CN"/>
      </w:rPr>
      <w:t>草案——不</w:t>
    </w:r>
    <w:r>
      <w:rPr>
        <w:rStyle w:val="24"/>
        <w:rFonts w:hint="eastAsia" w:ascii="Arial" w:hAnsi="Arial" w:eastAsia="宋体" w:cs="Arial"/>
        <w:sz w:val="21"/>
        <w:szCs w:val="21"/>
        <w:lang w:eastAsia="zh-CN"/>
      </w:rPr>
      <w:t>用于</w:t>
    </w:r>
    <w:r>
      <w:rPr>
        <w:rStyle w:val="24"/>
        <w:rFonts w:ascii="Arial" w:hAnsi="Arial" w:eastAsia="宋体" w:cs="Arial"/>
        <w:sz w:val="21"/>
        <w:szCs w:val="21"/>
        <w:lang w:eastAsia="zh-CN"/>
      </w:rPr>
      <w:t>实施</w:t>
    </w:r>
  </w:p>
  <w:p w14:paraId="02AF3822">
    <w:pPr>
      <w:pStyle w:val="6"/>
      <w:pBdr>
        <w:bottom w:val="none" w:color="auto" w:sz="0" w:space="0"/>
      </w:pBdr>
      <w:rPr>
        <w:rFonts w:ascii="Arial" w:hAnsi="Arial" w:eastAsia="宋体" w:cs="Arial"/>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C0ADA"/>
    <w:multiLevelType w:val="multilevel"/>
    <w:tmpl w:val="005C0ADA"/>
    <w:lvl w:ilvl="0" w:tentative="0">
      <w:start w:val="1"/>
      <w:numFmt w:val="lowerRoman"/>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00D634E1"/>
    <w:multiLevelType w:val="multilevel"/>
    <w:tmpl w:val="00D634E1"/>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052F0152"/>
    <w:multiLevelType w:val="multilevel"/>
    <w:tmpl w:val="052F0152"/>
    <w:lvl w:ilvl="0" w:tentative="0">
      <w:start w:val="1"/>
      <w:numFmt w:val="lowerRoman"/>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
    <w:nsid w:val="0D843117"/>
    <w:multiLevelType w:val="multilevel"/>
    <w:tmpl w:val="0D843117"/>
    <w:lvl w:ilvl="0" w:tentative="0">
      <w:start w:val="1"/>
      <w:numFmt w:val="lowerRoman"/>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4">
    <w:nsid w:val="0E2960AB"/>
    <w:multiLevelType w:val="multilevel"/>
    <w:tmpl w:val="0E2960AB"/>
    <w:lvl w:ilvl="0" w:tentative="0">
      <w:start w:val="1"/>
      <w:numFmt w:val="lowerRoman"/>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
    <w:nsid w:val="0F847574"/>
    <w:multiLevelType w:val="multilevel"/>
    <w:tmpl w:val="0F847574"/>
    <w:lvl w:ilvl="0" w:tentative="0">
      <w:start w:val="2"/>
      <w:numFmt w:val="lowerRoman"/>
      <w:lvlText w:val="%1."/>
      <w:lvlJc w:val="left"/>
      <w:pPr>
        <w:ind w:left="0" w:firstLine="0"/>
      </w:pPr>
      <w:rPr>
        <w:rFonts w:hint="default" w:ascii="Arial" w:hAnsi="Arial" w:eastAsia="宋体"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rPr>
        <w:rFonts w:hint="eastAsia"/>
      </w:rPr>
    </w:lvl>
    <w:lvl w:ilvl="2" w:tentative="0">
      <w:start w:val="0"/>
      <w:numFmt w:val="decimal"/>
      <w:lvlText w:val=""/>
      <w:lvlJc w:val="left"/>
      <w:pPr>
        <w:ind w:left="0" w:firstLine="0"/>
      </w:pPr>
      <w:rPr>
        <w:rFonts w:hint="eastAsia"/>
      </w:rPr>
    </w:lvl>
    <w:lvl w:ilvl="3" w:tentative="0">
      <w:start w:val="0"/>
      <w:numFmt w:val="decimal"/>
      <w:lvlText w:val=""/>
      <w:lvlJc w:val="left"/>
      <w:pPr>
        <w:ind w:left="0" w:firstLine="0"/>
      </w:pPr>
      <w:rPr>
        <w:rFonts w:hint="eastAsia"/>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6">
    <w:nsid w:val="1789250F"/>
    <w:multiLevelType w:val="multilevel"/>
    <w:tmpl w:val="1789250F"/>
    <w:lvl w:ilvl="0" w:tentative="0">
      <w:start w:val="0"/>
      <w:numFmt w:val="bullet"/>
      <w:lvlText w:val="°"/>
      <w:lvlJc w:val="left"/>
      <w:pPr>
        <w:ind w:left="420" w:hanging="420"/>
      </w:pPr>
      <w:rPr>
        <w:rFonts w:hint="default" w:ascii="Times New Roman" w:hAnsi="Times New Roman" w:eastAsia="宋体" w:cs="Times New Roman"/>
        <w:w w:val="99"/>
        <w:sz w:val="24"/>
        <w:szCs w:val="24"/>
      </w:rPr>
    </w:lvl>
    <w:lvl w:ilvl="1" w:tentative="0">
      <w:start w:val="0"/>
      <w:numFmt w:val="bullet"/>
      <w:lvlText w:val="○"/>
      <w:lvlJc w:val="left"/>
      <w:pPr>
        <w:ind w:left="840" w:hanging="420"/>
      </w:pPr>
      <w:rPr>
        <w:rFonts w:hint="default" w:ascii="Times New Roman" w:hAnsi="Times New Roman" w:eastAsia="宋体" w:cs="Times New Roman"/>
        <w:w w:val="99"/>
        <w:sz w:val="24"/>
        <w:szCs w:val="24"/>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80942CA"/>
    <w:multiLevelType w:val="multilevel"/>
    <w:tmpl w:val="180942CA"/>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8">
    <w:nsid w:val="18A35BC0"/>
    <w:multiLevelType w:val="multilevel"/>
    <w:tmpl w:val="18A35BC0"/>
    <w:lvl w:ilvl="0" w:tentative="0">
      <w:start w:val="1"/>
      <w:numFmt w:val="bullet"/>
      <w:lvlText w:val="●"/>
      <w:lvlJc w:val="left"/>
      <w:pPr>
        <w:ind w:left="845" w:hanging="420"/>
      </w:pPr>
      <w:rPr>
        <w:rFonts w:hint="default" w:ascii="Arial" w:hAnsi="Arial"/>
        <w:w w:val="100"/>
        <w:sz w:val="24"/>
        <w:szCs w:val="24"/>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9">
    <w:nsid w:val="1A99157D"/>
    <w:multiLevelType w:val="multilevel"/>
    <w:tmpl w:val="1A99157D"/>
    <w:lvl w:ilvl="0" w:tentative="0">
      <w:start w:val="1"/>
      <w:numFmt w:val="lowerRoman"/>
      <w:lvlText w:val="%1."/>
      <w:lvlJc w:val="left"/>
      <w:pPr>
        <w:ind w:left="548" w:hanging="308"/>
      </w:pPr>
      <w:rPr>
        <w:rFonts w:hint="default" w:ascii="Times New Roman" w:hAnsi="Times New Roman" w:eastAsia="Times New Roman" w:cs="Times New Roman"/>
        <w:spacing w:val="-5"/>
        <w:w w:val="99"/>
        <w:sz w:val="24"/>
        <w:szCs w:val="24"/>
      </w:rPr>
    </w:lvl>
    <w:lvl w:ilvl="1" w:tentative="0">
      <w:start w:val="1"/>
      <w:numFmt w:val="decimal"/>
      <w:lvlText w:val="%2."/>
      <w:lvlJc w:val="left"/>
      <w:pPr>
        <w:ind w:left="468" w:hanging="360"/>
      </w:pPr>
      <w:rPr>
        <w:rFonts w:hint="default" w:ascii="Arial" w:hAnsi="Arial" w:eastAsia="Times New Roman" w:cs="Arial"/>
        <w:spacing w:val="-6"/>
        <w:w w:val="99"/>
        <w:sz w:val="24"/>
        <w:szCs w:val="24"/>
      </w:rPr>
    </w:lvl>
    <w:lvl w:ilvl="2" w:tentative="0">
      <w:start w:val="0"/>
      <w:numFmt w:val="bullet"/>
      <w:lvlText w:val="•"/>
      <w:lvlJc w:val="left"/>
      <w:pPr>
        <w:ind w:left="1374" w:hanging="360"/>
      </w:pPr>
    </w:lvl>
    <w:lvl w:ilvl="3" w:tentative="0">
      <w:start w:val="0"/>
      <w:numFmt w:val="bullet"/>
      <w:lvlText w:val="•"/>
      <w:lvlJc w:val="left"/>
      <w:pPr>
        <w:ind w:left="2208" w:hanging="360"/>
      </w:pPr>
    </w:lvl>
    <w:lvl w:ilvl="4" w:tentative="0">
      <w:start w:val="0"/>
      <w:numFmt w:val="bullet"/>
      <w:lvlText w:val="•"/>
      <w:lvlJc w:val="left"/>
      <w:pPr>
        <w:ind w:left="3042" w:hanging="360"/>
      </w:pPr>
    </w:lvl>
    <w:lvl w:ilvl="5" w:tentative="0">
      <w:start w:val="0"/>
      <w:numFmt w:val="bullet"/>
      <w:lvlText w:val="•"/>
      <w:lvlJc w:val="left"/>
      <w:pPr>
        <w:ind w:left="3876" w:hanging="360"/>
      </w:pPr>
    </w:lvl>
    <w:lvl w:ilvl="6" w:tentative="0">
      <w:start w:val="0"/>
      <w:numFmt w:val="bullet"/>
      <w:lvlText w:val="•"/>
      <w:lvlJc w:val="left"/>
      <w:pPr>
        <w:ind w:left="4711" w:hanging="360"/>
      </w:pPr>
    </w:lvl>
    <w:lvl w:ilvl="7" w:tentative="0">
      <w:start w:val="0"/>
      <w:numFmt w:val="bullet"/>
      <w:lvlText w:val="•"/>
      <w:lvlJc w:val="left"/>
      <w:pPr>
        <w:ind w:left="5545" w:hanging="360"/>
      </w:pPr>
    </w:lvl>
    <w:lvl w:ilvl="8" w:tentative="0">
      <w:start w:val="0"/>
      <w:numFmt w:val="bullet"/>
      <w:lvlText w:val="•"/>
      <w:lvlJc w:val="left"/>
      <w:pPr>
        <w:ind w:left="6379" w:hanging="360"/>
      </w:pPr>
    </w:lvl>
  </w:abstractNum>
  <w:abstractNum w:abstractNumId="10">
    <w:nsid w:val="1E554C53"/>
    <w:multiLevelType w:val="multilevel"/>
    <w:tmpl w:val="1E554C53"/>
    <w:lvl w:ilvl="0" w:tentative="0">
      <w:start w:val="0"/>
      <w:numFmt w:val="bullet"/>
      <w:lvlText w:val="°"/>
      <w:lvlJc w:val="left"/>
      <w:pPr>
        <w:ind w:left="420" w:hanging="420"/>
      </w:pPr>
      <w:rPr>
        <w:rFonts w:hint="default" w:ascii="Times New Roman" w:hAnsi="Times New Roman" w:eastAsia="宋体" w:cs="Times New Roman"/>
        <w:w w:val="99"/>
        <w:sz w:val="24"/>
        <w:szCs w:val="24"/>
      </w:rPr>
    </w:lvl>
    <w:lvl w:ilvl="1" w:tentative="0">
      <w:start w:val="0"/>
      <w:numFmt w:val="bullet"/>
      <w:lvlText w:val="○"/>
      <w:lvlJc w:val="left"/>
      <w:pPr>
        <w:ind w:left="840" w:hanging="420"/>
      </w:pPr>
      <w:rPr>
        <w:rFonts w:hint="default" w:ascii="Times New Roman" w:hAnsi="Times New Roman" w:eastAsia="宋体" w:cs="Times New Roman"/>
        <w:w w:val="99"/>
        <w:sz w:val="24"/>
        <w:szCs w:val="24"/>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F302A66"/>
    <w:multiLevelType w:val="multilevel"/>
    <w:tmpl w:val="1F302A66"/>
    <w:lvl w:ilvl="0" w:tentative="0">
      <w:start w:val="1"/>
      <w:numFmt w:val="decimal"/>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2">
    <w:nsid w:val="271A454A"/>
    <w:multiLevelType w:val="multilevel"/>
    <w:tmpl w:val="271A454A"/>
    <w:lvl w:ilvl="0" w:tentative="0">
      <w:start w:val="1"/>
      <w:numFmt w:val="upperRoman"/>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494C59"/>
    <w:multiLevelType w:val="multilevel"/>
    <w:tmpl w:val="2B494C59"/>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4">
    <w:nsid w:val="2E5B2694"/>
    <w:multiLevelType w:val="multilevel"/>
    <w:tmpl w:val="2E5B2694"/>
    <w:lvl w:ilvl="0" w:tentative="0">
      <w:start w:val="1"/>
      <w:numFmt w:val="lowerLetter"/>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5">
    <w:nsid w:val="33BF663B"/>
    <w:multiLevelType w:val="multilevel"/>
    <w:tmpl w:val="33BF663B"/>
    <w:lvl w:ilvl="0" w:tentative="0">
      <w:start w:val="0"/>
      <w:numFmt w:val="bullet"/>
      <w:lvlText w:val="°"/>
      <w:lvlJc w:val="left"/>
      <w:pPr>
        <w:ind w:left="420" w:hanging="420"/>
      </w:pPr>
      <w:rPr>
        <w:rFonts w:hint="default" w:ascii="Times New Roman" w:hAnsi="Times New Roman" w:eastAsia="宋体" w:cs="Times New Roman"/>
        <w:w w:val="99"/>
        <w:sz w:val="24"/>
        <w:szCs w:val="24"/>
      </w:rPr>
    </w:lvl>
    <w:lvl w:ilvl="1" w:tentative="0">
      <w:start w:val="0"/>
      <w:numFmt w:val="bullet"/>
      <w:lvlText w:val="○"/>
      <w:lvlJc w:val="left"/>
      <w:pPr>
        <w:ind w:left="840" w:hanging="420"/>
      </w:pPr>
      <w:rPr>
        <w:rFonts w:hint="default" w:ascii="Times New Roman" w:hAnsi="Times New Roman" w:eastAsia="宋体" w:cs="Times New Roman"/>
        <w:w w:val="99"/>
        <w:sz w:val="24"/>
        <w:szCs w:val="24"/>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7BD1D5C"/>
    <w:multiLevelType w:val="multilevel"/>
    <w:tmpl w:val="37BD1D5C"/>
    <w:lvl w:ilvl="0" w:tentative="0">
      <w:start w:val="0"/>
      <w:numFmt w:val="bullet"/>
      <w:lvlText w:val="○"/>
      <w:lvlJc w:val="left"/>
      <w:pPr>
        <w:ind w:left="420" w:hanging="420"/>
      </w:pPr>
      <w:rPr>
        <w:rFonts w:hint="default" w:ascii="Times New Roman" w:hAnsi="Times New Roman" w:eastAsia="宋体" w:cs="Times New Roman"/>
        <w:w w:val="99"/>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0CA3945"/>
    <w:multiLevelType w:val="multilevel"/>
    <w:tmpl w:val="40CA3945"/>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7A07E1F"/>
    <w:multiLevelType w:val="multilevel"/>
    <w:tmpl w:val="47A07E1F"/>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9">
    <w:nsid w:val="48AA75AC"/>
    <w:multiLevelType w:val="multilevel"/>
    <w:tmpl w:val="48AA75AC"/>
    <w:lvl w:ilvl="0" w:tentative="0">
      <w:start w:val="1"/>
      <w:numFmt w:val="lowerRoman"/>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0">
    <w:nsid w:val="48E532FC"/>
    <w:multiLevelType w:val="multilevel"/>
    <w:tmpl w:val="48E532FC"/>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1">
    <w:nsid w:val="4C7560C4"/>
    <w:multiLevelType w:val="multilevel"/>
    <w:tmpl w:val="4C7560C4"/>
    <w:lvl w:ilvl="0" w:tentative="0">
      <w:start w:val="1"/>
      <w:numFmt w:val="lowerRoman"/>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2">
    <w:nsid w:val="50E22A68"/>
    <w:multiLevelType w:val="multilevel"/>
    <w:tmpl w:val="50E22A68"/>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3">
    <w:nsid w:val="55BE34EF"/>
    <w:multiLevelType w:val="multilevel"/>
    <w:tmpl w:val="55BE34EF"/>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4">
    <w:nsid w:val="581575B1"/>
    <w:multiLevelType w:val="multilevel"/>
    <w:tmpl w:val="581575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95B3B73"/>
    <w:multiLevelType w:val="multilevel"/>
    <w:tmpl w:val="595B3B73"/>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6">
    <w:nsid w:val="5A082F65"/>
    <w:multiLevelType w:val="multilevel"/>
    <w:tmpl w:val="5A082F65"/>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7">
    <w:nsid w:val="5D4563F7"/>
    <w:multiLevelType w:val="multilevel"/>
    <w:tmpl w:val="5D4563F7"/>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8">
    <w:nsid w:val="5E1C1265"/>
    <w:multiLevelType w:val="multilevel"/>
    <w:tmpl w:val="5E1C1265"/>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9">
    <w:nsid w:val="5EE65CC7"/>
    <w:multiLevelType w:val="multilevel"/>
    <w:tmpl w:val="5EE65CC7"/>
    <w:lvl w:ilvl="0" w:tentative="0">
      <w:start w:val="1"/>
      <w:numFmt w:val="decimal"/>
      <w:lvlText w:val="%1."/>
      <w:lvlJc w:val="left"/>
      <w:pPr>
        <w:ind w:left="420" w:hanging="420"/>
      </w:pPr>
      <w:rPr>
        <w:rFonts w:hint="eastAsia"/>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0090342"/>
    <w:multiLevelType w:val="multilevel"/>
    <w:tmpl w:val="6009034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4F44050"/>
    <w:multiLevelType w:val="multilevel"/>
    <w:tmpl w:val="64F44050"/>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2">
    <w:nsid w:val="6BC70703"/>
    <w:multiLevelType w:val="multilevel"/>
    <w:tmpl w:val="6BC707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F98737A"/>
    <w:multiLevelType w:val="multilevel"/>
    <w:tmpl w:val="6F98737A"/>
    <w:lvl w:ilvl="0" w:tentative="0">
      <w:start w:val="1"/>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4">
    <w:nsid w:val="71866BBD"/>
    <w:multiLevelType w:val="multilevel"/>
    <w:tmpl w:val="71866BBD"/>
    <w:lvl w:ilvl="0" w:tentative="0">
      <w:start w:val="1"/>
      <w:numFmt w:val="decimal"/>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5">
    <w:nsid w:val="72865712"/>
    <w:multiLevelType w:val="multilevel"/>
    <w:tmpl w:val="72865712"/>
    <w:lvl w:ilvl="0" w:tentative="0">
      <w:start w:val="1"/>
      <w:numFmt w:val="lowerLetter"/>
      <w:lvlText w:val="%1."/>
      <w:lvlJc w:val="left"/>
      <w:pPr>
        <w:ind w:left="1838" w:hanging="420"/>
      </w:p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6">
    <w:nsid w:val="74F3612D"/>
    <w:multiLevelType w:val="multilevel"/>
    <w:tmpl w:val="74F3612D"/>
    <w:lvl w:ilvl="0" w:tentative="0">
      <w:start w:val="4"/>
      <w:numFmt w:val="lowerLetter"/>
      <w:lvlText w:val="%1)"/>
      <w:lvlJc w:val="left"/>
      <w:pPr>
        <w:ind w:left="0" w:firstLine="0"/>
      </w:pPr>
      <w:rPr>
        <w:rFonts w:hint="default" w:ascii="Arial" w:hAnsi="Arial" w:eastAsia="Times New Roman" w:cs="Arial"/>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7">
    <w:nsid w:val="756336DB"/>
    <w:multiLevelType w:val="multilevel"/>
    <w:tmpl w:val="756336DB"/>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lang w:val="en-US" w:eastAsia="en-US" w:bidi="en-U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8">
    <w:nsid w:val="7A4E42C8"/>
    <w:multiLevelType w:val="multilevel"/>
    <w:tmpl w:val="7A4E42C8"/>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C8B41EF"/>
    <w:multiLevelType w:val="multilevel"/>
    <w:tmpl w:val="7C8B41EF"/>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DA332EB"/>
    <w:multiLevelType w:val="multilevel"/>
    <w:tmpl w:val="7DA332EB"/>
    <w:lvl w:ilvl="0" w:tentative="0">
      <w:start w:val="1"/>
      <w:numFmt w:val="lowerLetter"/>
      <w:lvlText w:val="%1."/>
      <w:lvlJc w:val="left"/>
      <w:pPr>
        <w:ind w:left="2121" w:hanging="420"/>
      </w:pPr>
    </w:lvl>
    <w:lvl w:ilvl="1" w:tentative="0">
      <w:start w:val="1"/>
      <w:numFmt w:val="lowerLetter"/>
      <w:lvlText w:val="%2)"/>
      <w:lvlJc w:val="left"/>
      <w:pPr>
        <w:ind w:left="2541" w:hanging="420"/>
      </w:pPr>
    </w:lvl>
    <w:lvl w:ilvl="2" w:tentative="0">
      <w:start w:val="1"/>
      <w:numFmt w:val="lowerRoman"/>
      <w:lvlText w:val="%3."/>
      <w:lvlJc w:val="right"/>
      <w:pPr>
        <w:ind w:left="2961" w:hanging="420"/>
      </w:pPr>
    </w:lvl>
    <w:lvl w:ilvl="3" w:tentative="0">
      <w:start w:val="1"/>
      <w:numFmt w:val="decimal"/>
      <w:lvlText w:val="%4."/>
      <w:lvlJc w:val="left"/>
      <w:pPr>
        <w:ind w:left="3381" w:hanging="420"/>
      </w:pPr>
    </w:lvl>
    <w:lvl w:ilvl="4" w:tentative="0">
      <w:start w:val="1"/>
      <w:numFmt w:val="lowerLetter"/>
      <w:lvlText w:val="%5)"/>
      <w:lvlJc w:val="left"/>
      <w:pPr>
        <w:ind w:left="3801" w:hanging="420"/>
      </w:pPr>
    </w:lvl>
    <w:lvl w:ilvl="5" w:tentative="0">
      <w:start w:val="1"/>
      <w:numFmt w:val="lowerRoman"/>
      <w:lvlText w:val="%6."/>
      <w:lvlJc w:val="right"/>
      <w:pPr>
        <w:ind w:left="4221" w:hanging="420"/>
      </w:pPr>
    </w:lvl>
    <w:lvl w:ilvl="6" w:tentative="0">
      <w:start w:val="1"/>
      <w:numFmt w:val="decimal"/>
      <w:lvlText w:val="%7."/>
      <w:lvlJc w:val="left"/>
      <w:pPr>
        <w:ind w:left="4641" w:hanging="420"/>
      </w:pPr>
    </w:lvl>
    <w:lvl w:ilvl="7" w:tentative="0">
      <w:start w:val="1"/>
      <w:numFmt w:val="lowerLetter"/>
      <w:lvlText w:val="%8)"/>
      <w:lvlJc w:val="left"/>
      <w:pPr>
        <w:ind w:left="5061" w:hanging="420"/>
      </w:pPr>
    </w:lvl>
    <w:lvl w:ilvl="8" w:tentative="0">
      <w:start w:val="1"/>
      <w:numFmt w:val="lowerRoman"/>
      <w:lvlText w:val="%9."/>
      <w:lvlJc w:val="right"/>
      <w:pPr>
        <w:ind w:left="5481" w:hanging="42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7"/>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num>
  <w:num w:numId="13">
    <w:abstractNumId w:val="25"/>
    <w:lvlOverride w:ilvl="0">
      <w:startOverride w:val="1"/>
    </w:lvlOverride>
  </w:num>
  <w:num w:numId="14">
    <w:abstractNumId w:val="28"/>
    <w:lvlOverride w:ilvl="0">
      <w:startOverride w:val="1"/>
    </w:lvlOverride>
  </w:num>
  <w:num w:numId="15">
    <w:abstractNumId w:val="7"/>
    <w:lvlOverride w:ilvl="0">
      <w:startOverride w:val="1"/>
    </w:lvlOverride>
  </w:num>
  <w:num w:numId="16">
    <w:abstractNumId w:val="18"/>
    <w:lvlOverride w:ilvl="0">
      <w:startOverride w:val="1"/>
    </w:lvlOverride>
  </w:num>
  <w:num w:numId="17">
    <w:abstractNumId w:val="2"/>
    <w:lvlOverride w:ilvl="0">
      <w:startOverride w:val="1"/>
    </w:lvlOverride>
  </w:num>
  <w:num w:numId="18">
    <w:abstractNumId w:val="1"/>
    <w:lvlOverride w:ilvl="0">
      <w:startOverride w:val="1"/>
    </w:lvlOverride>
  </w:num>
  <w:num w:numId="19">
    <w:abstractNumId w:val="20"/>
    <w:lvlOverride w:ilvl="0">
      <w:startOverride w:val="1"/>
    </w:lvlOverride>
  </w:num>
  <w:num w:numId="20">
    <w:abstractNumId w:val="6"/>
  </w:num>
  <w:num w:numId="21">
    <w:abstractNumId w:val="10"/>
  </w:num>
  <w:num w:numId="22">
    <w:abstractNumId w:val="15"/>
  </w:num>
  <w:num w:numId="23">
    <w:abstractNumId w:val="16"/>
  </w:num>
  <w:num w:numId="24">
    <w:abstractNumId w:val="11"/>
    <w:lvlOverride w:ilvl="0">
      <w:startOverride w:val="1"/>
    </w:lvlOverride>
  </w:num>
  <w:num w:numId="25">
    <w:abstractNumId w:val="13"/>
    <w:lvlOverride w:ilvl="0">
      <w:startOverride w:val="1"/>
    </w:lvlOverride>
  </w:num>
  <w:num w:numId="26">
    <w:abstractNumId w:val="26"/>
    <w:lvlOverride w:ilvl="0">
      <w:startOverride w:val="1"/>
    </w:lvlOverride>
  </w:num>
  <w:num w:numId="27">
    <w:abstractNumId w:val="21"/>
    <w:lvlOverride w:ilvl="0">
      <w:startOverride w:val="1"/>
    </w:lvlOverride>
  </w:num>
  <w:num w:numId="28">
    <w:abstractNumId w:val="22"/>
    <w:lvlOverride w:ilvl="0">
      <w:startOverride w:val="1"/>
    </w:lvlOverride>
  </w:num>
  <w:num w:numId="29">
    <w:abstractNumId w:val="14"/>
  </w:num>
  <w:num w:numId="30">
    <w:abstractNumId w:val="3"/>
    <w:lvlOverride w:ilvl="0">
      <w:startOverride w:val="1"/>
    </w:lvlOverride>
  </w:num>
  <w:num w:numId="31">
    <w:abstractNumId w:val="23"/>
    <w:lvlOverride w:ilvl="0">
      <w:startOverride w:val="1"/>
    </w:lvlOverride>
  </w:num>
  <w:num w:numId="32">
    <w:abstractNumId w:val="27"/>
    <w:lvlOverride w:ilvl="0">
      <w:startOverride w:val="1"/>
    </w:lvlOverride>
  </w:num>
  <w:num w:numId="33">
    <w:abstractNumId w:val="4"/>
    <w:lvlOverride w:ilvl="0">
      <w:startOverride w:val="1"/>
    </w:lvlOverride>
  </w:num>
  <w:num w:numId="34">
    <w:abstractNumId w:val="19"/>
    <w:lvlOverride w:ilvl="0">
      <w:startOverride w:val="1"/>
    </w:lvlOverride>
  </w:num>
  <w:num w:numId="35">
    <w:abstractNumId w:val="0"/>
  </w:num>
  <w:num w:numId="36">
    <w:abstractNumId w:val="36"/>
    <w:lvlOverride w:ilvl="0">
      <w:startOverride w:val="4"/>
    </w:lvlOverride>
  </w:num>
  <w:num w:numId="37">
    <w:abstractNumId w:val="33"/>
    <w:lvlOverride w:ilvl="0">
      <w:startOverride w:val="1"/>
    </w:lvlOverride>
  </w:num>
  <w:num w:numId="38">
    <w:abstractNumId w:val="31"/>
    <w:lvlOverride w:ilvl="0">
      <w:startOverride w:val="1"/>
    </w:lvlOverride>
  </w:num>
  <w:num w:numId="39">
    <w:abstractNumId w:val="5"/>
  </w:num>
  <w:num w:numId="40">
    <w:abstractNumId w:val="9"/>
    <w:lvlOverride w:ilvl="0">
      <w:startOverride w:val="1"/>
    </w:lvlOverride>
    <w:lvlOverride w:ilvl="1">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BC"/>
    <w:rsid w:val="00006E40"/>
    <w:rsid w:val="000229AB"/>
    <w:rsid w:val="00072FA9"/>
    <w:rsid w:val="00074E77"/>
    <w:rsid w:val="00094B87"/>
    <w:rsid w:val="0009675B"/>
    <w:rsid w:val="000975C6"/>
    <w:rsid w:val="000A4D3C"/>
    <w:rsid w:val="000E1944"/>
    <w:rsid w:val="000E71A2"/>
    <w:rsid w:val="001120E2"/>
    <w:rsid w:val="0011343C"/>
    <w:rsid w:val="00124BD7"/>
    <w:rsid w:val="001346CF"/>
    <w:rsid w:val="001369A3"/>
    <w:rsid w:val="00141AC3"/>
    <w:rsid w:val="0016285E"/>
    <w:rsid w:val="00197334"/>
    <w:rsid w:val="001B595F"/>
    <w:rsid w:val="001E4C03"/>
    <w:rsid w:val="001F0A59"/>
    <w:rsid w:val="00214B09"/>
    <w:rsid w:val="00217BFD"/>
    <w:rsid w:val="0022195A"/>
    <w:rsid w:val="00233CF3"/>
    <w:rsid w:val="002366BE"/>
    <w:rsid w:val="00243836"/>
    <w:rsid w:val="00243B21"/>
    <w:rsid w:val="002500B9"/>
    <w:rsid w:val="002947E2"/>
    <w:rsid w:val="002D08CA"/>
    <w:rsid w:val="002D4952"/>
    <w:rsid w:val="002E2288"/>
    <w:rsid w:val="002E36AE"/>
    <w:rsid w:val="002F1FDA"/>
    <w:rsid w:val="002F5967"/>
    <w:rsid w:val="00317910"/>
    <w:rsid w:val="0032094E"/>
    <w:rsid w:val="00325384"/>
    <w:rsid w:val="003317D7"/>
    <w:rsid w:val="00335AA7"/>
    <w:rsid w:val="00353E40"/>
    <w:rsid w:val="00367CB6"/>
    <w:rsid w:val="00374CB7"/>
    <w:rsid w:val="00382B3A"/>
    <w:rsid w:val="003A35AB"/>
    <w:rsid w:val="003C61A0"/>
    <w:rsid w:val="003D6695"/>
    <w:rsid w:val="003D75E1"/>
    <w:rsid w:val="00407CF5"/>
    <w:rsid w:val="00407ECB"/>
    <w:rsid w:val="00415F36"/>
    <w:rsid w:val="00425568"/>
    <w:rsid w:val="00436A31"/>
    <w:rsid w:val="00476E07"/>
    <w:rsid w:val="00484DB0"/>
    <w:rsid w:val="00493F4E"/>
    <w:rsid w:val="004A3634"/>
    <w:rsid w:val="004C2ED1"/>
    <w:rsid w:val="004D58D3"/>
    <w:rsid w:val="004D640D"/>
    <w:rsid w:val="004E1D76"/>
    <w:rsid w:val="0051042D"/>
    <w:rsid w:val="0051058A"/>
    <w:rsid w:val="00511EAD"/>
    <w:rsid w:val="0051458B"/>
    <w:rsid w:val="005153B7"/>
    <w:rsid w:val="00545671"/>
    <w:rsid w:val="005618B3"/>
    <w:rsid w:val="005745B1"/>
    <w:rsid w:val="00582320"/>
    <w:rsid w:val="00582BC3"/>
    <w:rsid w:val="005A1AA7"/>
    <w:rsid w:val="005B600F"/>
    <w:rsid w:val="005D27D4"/>
    <w:rsid w:val="005D650B"/>
    <w:rsid w:val="005D7771"/>
    <w:rsid w:val="00685720"/>
    <w:rsid w:val="00685FC6"/>
    <w:rsid w:val="006A2084"/>
    <w:rsid w:val="006B780D"/>
    <w:rsid w:val="006C1040"/>
    <w:rsid w:val="006D00AD"/>
    <w:rsid w:val="00711BEB"/>
    <w:rsid w:val="0072035B"/>
    <w:rsid w:val="007331ED"/>
    <w:rsid w:val="00733F99"/>
    <w:rsid w:val="00743E12"/>
    <w:rsid w:val="00747E67"/>
    <w:rsid w:val="00751C0A"/>
    <w:rsid w:val="00765421"/>
    <w:rsid w:val="00767ED0"/>
    <w:rsid w:val="0077762C"/>
    <w:rsid w:val="00786B52"/>
    <w:rsid w:val="00791DAF"/>
    <w:rsid w:val="007B523B"/>
    <w:rsid w:val="007B6C3C"/>
    <w:rsid w:val="007C3981"/>
    <w:rsid w:val="007D4F8D"/>
    <w:rsid w:val="007F2CE2"/>
    <w:rsid w:val="00803223"/>
    <w:rsid w:val="00821E14"/>
    <w:rsid w:val="00827C63"/>
    <w:rsid w:val="00841A81"/>
    <w:rsid w:val="00842004"/>
    <w:rsid w:val="008502C4"/>
    <w:rsid w:val="00852454"/>
    <w:rsid w:val="00856764"/>
    <w:rsid w:val="00873659"/>
    <w:rsid w:val="008E3651"/>
    <w:rsid w:val="008F4D8D"/>
    <w:rsid w:val="008F6952"/>
    <w:rsid w:val="00902AEC"/>
    <w:rsid w:val="00912C48"/>
    <w:rsid w:val="00933621"/>
    <w:rsid w:val="009434DF"/>
    <w:rsid w:val="009524EC"/>
    <w:rsid w:val="009C0708"/>
    <w:rsid w:val="009D4B57"/>
    <w:rsid w:val="009E299A"/>
    <w:rsid w:val="009F453B"/>
    <w:rsid w:val="00A007D7"/>
    <w:rsid w:val="00A22F66"/>
    <w:rsid w:val="00A40647"/>
    <w:rsid w:val="00A436BC"/>
    <w:rsid w:val="00A70390"/>
    <w:rsid w:val="00A859C6"/>
    <w:rsid w:val="00A93763"/>
    <w:rsid w:val="00AA7DDA"/>
    <w:rsid w:val="00AC086F"/>
    <w:rsid w:val="00AD4F9C"/>
    <w:rsid w:val="00AE141F"/>
    <w:rsid w:val="00AF705A"/>
    <w:rsid w:val="00B0161D"/>
    <w:rsid w:val="00B11897"/>
    <w:rsid w:val="00B14C80"/>
    <w:rsid w:val="00B21BA7"/>
    <w:rsid w:val="00B2200D"/>
    <w:rsid w:val="00B51B10"/>
    <w:rsid w:val="00BA637D"/>
    <w:rsid w:val="00BB2B90"/>
    <w:rsid w:val="00BC51C6"/>
    <w:rsid w:val="00BD3BF6"/>
    <w:rsid w:val="00BD7FC7"/>
    <w:rsid w:val="00C24605"/>
    <w:rsid w:val="00C2599A"/>
    <w:rsid w:val="00C26DDB"/>
    <w:rsid w:val="00C324D6"/>
    <w:rsid w:val="00C378B7"/>
    <w:rsid w:val="00C47E9D"/>
    <w:rsid w:val="00C57481"/>
    <w:rsid w:val="00C81EF4"/>
    <w:rsid w:val="00C92FE1"/>
    <w:rsid w:val="00CA06B3"/>
    <w:rsid w:val="00CB56AD"/>
    <w:rsid w:val="00CB6D9E"/>
    <w:rsid w:val="00CC4E9E"/>
    <w:rsid w:val="00CC67A7"/>
    <w:rsid w:val="00CD1D87"/>
    <w:rsid w:val="00CE12AB"/>
    <w:rsid w:val="00CE1566"/>
    <w:rsid w:val="00D02164"/>
    <w:rsid w:val="00D24C4E"/>
    <w:rsid w:val="00D45E8B"/>
    <w:rsid w:val="00D53890"/>
    <w:rsid w:val="00DB42FD"/>
    <w:rsid w:val="00DC1B33"/>
    <w:rsid w:val="00DD1962"/>
    <w:rsid w:val="00DF174D"/>
    <w:rsid w:val="00DF3125"/>
    <w:rsid w:val="00DF434A"/>
    <w:rsid w:val="00DF5BF5"/>
    <w:rsid w:val="00DF7D6E"/>
    <w:rsid w:val="00E05ED4"/>
    <w:rsid w:val="00E1103B"/>
    <w:rsid w:val="00E214F4"/>
    <w:rsid w:val="00E307CD"/>
    <w:rsid w:val="00E36066"/>
    <w:rsid w:val="00E419E0"/>
    <w:rsid w:val="00E63B50"/>
    <w:rsid w:val="00E667A3"/>
    <w:rsid w:val="00E73DB2"/>
    <w:rsid w:val="00E86420"/>
    <w:rsid w:val="00E94753"/>
    <w:rsid w:val="00EA2055"/>
    <w:rsid w:val="00EA22A6"/>
    <w:rsid w:val="00EC77C4"/>
    <w:rsid w:val="00ED0DF4"/>
    <w:rsid w:val="00F16195"/>
    <w:rsid w:val="00F31781"/>
    <w:rsid w:val="00F32633"/>
    <w:rsid w:val="00F32FA5"/>
    <w:rsid w:val="00F661C5"/>
    <w:rsid w:val="00F76C28"/>
    <w:rsid w:val="00F84767"/>
    <w:rsid w:val="00F87C96"/>
    <w:rsid w:val="00F9266C"/>
    <w:rsid w:val="00FE5328"/>
    <w:rsid w:val="624F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hakuyoxingshu7000" w:hAnsi="hakuyoxingshu7000" w:eastAsia="hakuyoxingshu7000" w:cs="hakuyoxingshu7000"/>
      <w:color w:val="000000"/>
      <w:kern w:val="0"/>
      <w:sz w:val="24"/>
      <w:szCs w:val="24"/>
      <w:lang w:val="en-US" w:eastAsia="en-US" w:bidi="en-US"/>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link w:val="42"/>
    <w:semiHidden/>
    <w:unhideWhenUsed/>
    <w:qFormat/>
    <w:uiPriority w:val="1"/>
    <w:pPr>
      <w:autoSpaceDE w:val="0"/>
      <w:autoSpaceDN w:val="0"/>
      <w:spacing w:line="276" w:lineRule="exact"/>
    </w:pPr>
    <w:rPr>
      <w:rFonts w:ascii="Times New Roman" w:hAnsi="Times New Roman" w:eastAsia="Times New Roman" w:cs="Times New Roman"/>
      <w:color w:val="auto"/>
      <w:lang w:bidi="ar-SA"/>
    </w:rPr>
  </w:style>
  <w:style w:type="paragraph" w:styleId="3">
    <w:name w:val="toc 3"/>
    <w:basedOn w:val="1"/>
    <w:next w:val="1"/>
    <w:autoRedefine/>
    <w:unhideWhenUsed/>
    <w:uiPriority w:val="39"/>
    <w:pPr>
      <w:snapToGrid w:val="0"/>
      <w:spacing w:line="300" w:lineRule="auto"/>
      <w:ind w:left="200" w:leftChars="200"/>
    </w:pPr>
    <w:rPr>
      <w:rFonts w:eastAsia="Arial"/>
      <w:sz w:val="21"/>
    </w:rPr>
  </w:style>
  <w:style w:type="paragraph" w:styleId="4">
    <w:name w:val="Balloon Text"/>
    <w:basedOn w:val="1"/>
    <w:link w:val="44"/>
    <w:semiHidden/>
    <w:unhideWhenUsed/>
    <w:uiPriority w:val="99"/>
    <w:rPr>
      <w:sz w:val="18"/>
      <w:szCs w:val="18"/>
    </w:rPr>
  </w:style>
  <w:style w:type="paragraph" w:styleId="5">
    <w:name w:val="footer"/>
    <w:basedOn w:val="1"/>
    <w:link w:val="26"/>
    <w:unhideWhenUsed/>
    <w:uiPriority w:val="99"/>
    <w:pPr>
      <w:tabs>
        <w:tab w:val="center" w:pos="4153"/>
        <w:tab w:val="right" w:pos="8306"/>
      </w:tabs>
      <w:snapToGrid w:val="0"/>
    </w:pPr>
    <w:rPr>
      <w:sz w:val="18"/>
      <w:szCs w:val="18"/>
    </w:rPr>
  </w:style>
  <w:style w:type="paragraph" w:styleId="6">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tabs>
        <w:tab w:val="left" w:pos="420"/>
        <w:tab w:val="right" w:leader="dot" w:pos="8296"/>
      </w:tabs>
      <w:snapToGrid w:val="0"/>
      <w:spacing w:line="300" w:lineRule="auto"/>
    </w:pPr>
    <w:rPr>
      <w:rFonts w:eastAsiaTheme="minorEastAsia"/>
      <w:sz w:val="21"/>
    </w:rPr>
  </w:style>
  <w:style w:type="paragraph" w:styleId="8">
    <w:name w:val="toc 4"/>
    <w:basedOn w:val="1"/>
    <w:next w:val="1"/>
    <w:autoRedefine/>
    <w:unhideWhenUsed/>
    <w:uiPriority w:val="39"/>
    <w:pPr>
      <w:snapToGrid w:val="0"/>
      <w:spacing w:line="300" w:lineRule="auto"/>
      <w:ind w:left="300" w:leftChars="300"/>
    </w:pPr>
    <w:rPr>
      <w:rFonts w:eastAsia="Arial"/>
      <w:sz w:val="21"/>
    </w:rPr>
  </w:style>
  <w:style w:type="paragraph" w:styleId="9">
    <w:name w:val="footnote text"/>
    <w:basedOn w:val="1"/>
    <w:link w:val="43"/>
    <w:semiHidden/>
    <w:unhideWhenUsed/>
    <w:uiPriority w:val="99"/>
    <w:pPr>
      <w:snapToGrid w:val="0"/>
    </w:pPr>
    <w:rPr>
      <w:sz w:val="18"/>
      <w:szCs w:val="18"/>
    </w:rPr>
  </w:style>
  <w:style w:type="paragraph" w:styleId="10">
    <w:name w:val="toc 2"/>
    <w:basedOn w:val="1"/>
    <w:next w:val="1"/>
    <w:autoRedefine/>
    <w:unhideWhenUsed/>
    <w:uiPriority w:val="39"/>
    <w:pPr>
      <w:tabs>
        <w:tab w:val="left" w:pos="571"/>
        <w:tab w:val="left" w:pos="1050"/>
        <w:tab w:val="right" w:leader="dot" w:pos="8296"/>
      </w:tabs>
      <w:snapToGrid w:val="0"/>
      <w:spacing w:line="300" w:lineRule="auto"/>
      <w:ind w:left="240" w:leftChars="100"/>
    </w:pPr>
    <w:rPr>
      <w:rFonts w:eastAsia="Arial"/>
      <w:sz w:val="21"/>
    </w:rPr>
  </w:style>
  <w:style w:type="character" w:styleId="13">
    <w:name w:val="Hyperlink"/>
    <w:basedOn w:val="12"/>
    <w:uiPriority w:val="99"/>
    <w:rPr>
      <w:color w:val="000080"/>
      <w:u w:val="single"/>
    </w:rPr>
  </w:style>
  <w:style w:type="character" w:styleId="14">
    <w:name w:val="footnote reference"/>
    <w:basedOn w:val="12"/>
    <w:semiHidden/>
    <w:unhideWhenUsed/>
    <w:qFormat/>
    <w:uiPriority w:val="99"/>
    <w:rPr>
      <w:vertAlign w:val="superscript"/>
    </w:rPr>
  </w:style>
  <w:style w:type="character" w:customStyle="1" w:styleId="15">
    <w:name w:val="正文文本 (3)_"/>
    <w:basedOn w:val="12"/>
    <w:link w:val="16"/>
    <w:uiPriority w:val="0"/>
    <w:rPr>
      <w:rFonts w:ascii="Times New Roman" w:hAnsi="Times New Roman" w:eastAsia="Times New Roman" w:cs="Times New Roman"/>
      <w:b/>
      <w:bCs/>
      <w:sz w:val="56"/>
      <w:szCs w:val="56"/>
      <w:shd w:val="clear" w:color="auto" w:fill="FFFFFF"/>
    </w:rPr>
  </w:style>
  <w:style w:type="paragraph" w:customStyle="1" w:styleId="16">
    <w:name w:val="正文文本 (3)"/>
    <w:basedOn w:val="1"/>
    <w:link w:val="15"/>
    <w:uiPriority w:val="0"/>
    <w:pPr>
      <w:shd w:val="clear" w:color="auto" w:fill="FFFFFF"/>
      <w:spacing w:after="240" w:line="0" w:lineRule="atLeast"/>
    </w:pPr>
    <w:rPr>
      <w:rFonts w:ascii="Times New Roman" w:hAnsi="Times New Roman" w:eastAsia="Times New Roman" w:cs="Times New Roman"/>
      <w:b/>
      <w:bCs/>
      <w:color w:val="auto"/>
      <w:kern w:val="2"/>
      <w:sz w:val="56"/>
      <w:szCs w:val="56"/>
      <w:lang w:eastAsia="zh-CN" w:bidi="ar-SA"/>
    </w:rPr>
  </w:style>
  <w:style w:type="character" w:customStyle="1" w:styleId="17">
    <w:name w:val="正文文本 (4)_"/>
    <w:basedOn w:val="12"/>
    <w:link w:val="18"/>
    <w:uiPriority w:val="0"/>
    <w:rPr>
      <w:rFonts w:ascii="Times New Roman" w:hAnsi="Times New Roman" w:eastAsia="Times New Roman" w:cs="Times New Roman"/>
      <w:b/>
      <w:bCs/>
      <w:i/>
      <w:iCs/>
      <w:sz w:val="32"/>
      <w:szCs w:val="32"/>
      <w:shd w:val="clear" w:color="auto" w:fill="FFFFFF"/>
    </w:rPr>
  </w:style>
  <w:style w:type="paragraph" w:customStyle="1" w:styleId="18">
    <w:name w:val="正文文本 (4)"/>
    <w:basedOn w:val="1"/>
    <w:link w:val="17"/>
    <w:uiPriority w:val="0"/>
    <w:pPr>
      <w:shd w:val="clear" w:color="auto" w:fill="FFFFFF"/>
      <w:spacing w:before="120" w:line="590" w:lineRule="exact"/>
      <w:jc w:val="center"/>
    </w:pPr>
    <w:rPr>
      <w:rFonts w:ascii="Times New Roman" w:hAnsi="Times New Roman" w:eastAsia="Times New Roman" w:cs="Times New Roman"/>
      <w:b/>
      <w:bCs/>
      <w:i/>
      <w:iCs/>
      <w:color w:val="auto"/>
      <w:kern w:val="2"/>
      <w:sz w:val="32"/>
      <w:szCs w:val="32"/>
      <w:lang w:eastAsia="zh-CN" w:bidi="ar-SA"/>
    </w:rPr>
  </w:style>
  <w:style w:type="character" w:customStyle="1" w:styleId="19">
    <w:name w:val="正文文本 (2)_"/>
    <w:basedOn w:val="12"/>
    <w:link w:val="20"/>
    <w:uiPriority w:val="0"/>
    <w:rPr>
      <w:rFonts w:ascii="Times New Roman" w:hAnsi="Times New Roman" w:eastAsia="Times New Roman" w:cs="Times New Roman"/>
      <w:shd w:val="clear" w:color="auto" w:fill="FFFFFF"/>
    </w:rPr>
  </w:style>
  <w:style w:type="paragraph" w:customStyle="1" w:styleId="20">
    <w:name w:val="正文文本 (2)"/>
    <w:basedOn w:val="1"/>
    <w:link w:val="19"/>
    <w:uiPriority w:val="0"/>
    <w:pPr>
      <w:shd w:val="clear" w:color="auto" w:fill="FFFFFF"/>
      <w:spacing w:after="240" w:line="274" w:lineRule="exact"/>
      <w:ind w:hanging="380"/>
    </w:pPr>
    <w:rPr>
      <w:rFonts w:ascii="Times New Roman" w:hAnsi="Times New Roman" w:eastAsia="Times New Roman" w:cs="Times New Roman"/>
      <w:color w:val="auto"/>
      <w:kern w:val="2"/>
      <w:sz w:val="21"/>
      <w:szCs w:val="22"/>
      <w:lang w:eastAsia="zh-CN" w:bidi="ar-SA"/>
    </w:rPr>
  </w:style>
  <w:style w:type="character" w:customStyle="1" w:styleId="21">
    <w:name w:val="正文文本 (5)_"/>
    <w:basedOn w:val="12"/>
    <w:link w:val="22"/>
    <w:uiPriority w:val="0"/>
    <w:rPr>
      <w:rFonts w:ascii="Times New Roman" w:hAnsi="Times New Roman" w:eastAsia="Times New Roman" w:cs="Times New Roman"/>
      <w:b/>
      <w:bCs/>
      <w:shd w:val="clear" w:color="auto" w:fill="FFFFFF"/>
    </w:rPr>
  </w:style>
  <w:style w:type="paragraph" w:customStyle="1" w:styleId="22">
    <w:name w:val="正文文本 (5)"/>
    <w:basedOn w:val="1"/>
    <w:link w:val="21"/>
    <w:uiPriority w:val="0"/>
    <w:pPr>
      <w:shd w:val="clear" w:color="auto" w:fill="FFFFFF"/>
      <w:spacing w:before="1440" w:line="274" w:lineRule="exact"/>
      <w:jc w:val="right"/>
    </w:pPr>
    <w:rPr>
      <w:rFonts w:ascii="Times New Roman" w:hAnsi="Times New Roman" w:eastAsia="Times New Roman" w:cs="Times New Roman"/>
      <w:b/>
      <w:bCs/>
      <w:color w:val="auto"/>
      <w:kern w:val="2"/>
      <w:sz w:val="21"/>
      <w:szCs w:val="22"/>
      <w:lang w:eastAsia="zh-CN" w:bidi="ar-SA"/>
    </w:rPr>
  </w:style>
  <w:style w:type="character" w:customStyle="1" w:styleId="23">
    <w:name w:val="页眉或页脚_"/>
    <w:basedOn w:val="12"/>
    <w:uiPriority w:val="0"/>
    <w:rPr>
      <w:rFonts w:ascii="Times New Roman" w:hAnsi="Times New Roman" w:eastAsia="Times New Roman" w:cs="Times New Roman"/>
      <w:b/>
      <w:bCs/>
      <w:i/>
      <w:iCs/>
      <w:u w:val="none"/>
    </w:rPr>
  </w:style>
  <w:style w:type="character" w:customStyle="1" w:styleId="24">
    <w:name w:val="页眉或页脚"/>
    <w:basedOn w:val="23"/>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25">
    <w:name w:val="页眉 Char"/>
    <w:basedOn w:val="12"/>
    <w:link w:val="6"/>
    <w:uiPriority w:val="99"/>
    <w:rPr>
      <w:rFonts w:ascii="hakuyoxingshu7000" w:hAnsi="hakuyoxingshu7000" w:eastAsia="hakuyoxingshu7000" w:cs="hakuyoxingshu7000"/>
      <w:color w:val="000000"/>
      <w:kern w:val="0"/>
      <w:sz w:val="18"/>
      <w:szCs w:val="18"/>
      <w:lang w:eastAsia="en-US" w:bidi="en-US"/>
    </w:rPr>
  </w:style>
  <w:style w:type="character" w:customStyle="1" w:styleId="26">
    <w:name w:val="页脚 Char"/>
    <w:basedOn w:val="12"/>
    <w:link w:val="5"/>
    <w:uiPriority w:val="99"/>
    <w:rPr>
      <w:rFonts w:ascii="hakuyoxingshu7000" w:hAnsi="hakuyoxingshu7000" w:eastAsia="hakuyoxingshu7000" w:cs="hakuyoxingshu7000"/>
      <w:color w:val="000000"/>
      <w:kern w:val="0"/>
      <w:sz w:val="18"/>
      <w:szCs w:val="18"/>
      <w:lang w:eastAsia="en-US" w:bidi="en-US"/>
    </w:rPr>
  </w:style>
  <w:style w:type="character" w:customStyle="1" w:styleId="27">
    <w:name w:val="标题 #1_"/>
    <w:basedOn w:val="12"/>
    <w:link w:val="28"/>
    <w:qFormat/>
    <w:locked/>
    <w:uiPriority w:val="0"/>
    <w:rPr>
      <w:rFonts w:ascii="Times New Roman" w:hAnsi="Times New Roman" w:eastAsia="Times New Roman" w:cs="Times New Roman"/>
      <w:b/>
      <w:bCs/>
      <w:sz w:val="48"/>
      <w:szCs w:val="48"/>
      <w:shd w:val="clear" w:color="auto" w:fill="FFFFFF"/>
    </w:rPr>
  </w:style>
  <w:style w:type="paragraph" w:customStyle="1" w:styleId="28">
    <w:name w:val="标题 #1"/>
    <w:basedOn w:val="1"/>
    <w:link w:val="27"/>
    <w:uiPriority w:val="0"/>
    <w:pPr>
      <w:shd w:val="clear" w:color="auto" w:fill="FFFFFF"/>
      <w:spacing w:after="120" w:line="0" w:lineRule="atLeast"/>
      <w:jc w:val="both"/>
      <w:outlineLvl w:val="0"/>
    </w:pPr>
    <w:rPr>
      <w:rFonts w:ascii="Times New Roman" w:hAnsi="Times New Roman" w:eastAsia="Times New Roman" w:cs="Times New Roman"/>
      <w:b/>
      <w:bCs/>
      <w:color w:val="auto"/>
      <w:kern w:val="2"/>
      <w:sz w:val="48"/>
      <w:szCs w:val="48"/>
      <w:lang w:eastAsia="zh-CN" w:bidi="ar-SA"/>
    </w:rPr>
  </w:style>
  <w:style w:type="character" w:customStyle="1" w:styleId="29">
    <w:name w:val="正文文本 (9)_"/>
    <w:basedOn w:val="12"/>
    <w:link w:val="30"/>
    <w:locked/>
    <w:uiPriority w:val="0"/>
    <w:rPr>
      <w:rFonts w:ascii="Times New Roman" w:hAnsi="Times New Roman" w:eastAsia="Times New Roman" w:cs="Times New Roman"/>
      <w:b/>
      <w:bCs/>
      <w:i/>
      <w:iCs/>
      <w:shd w:val="clear" w:color="auto" w:fill="FFFFFF"/>
    </w:rPr>
  </w:style>
  <w:style w:type="paragraph" w:customStyle="1" w:styleId="30">
    <w:name w:val="正文文本 (9)"/>
    <w:basedOn w:val="1"/>
    <w:link w:val="29"/>
    <w:uiPriority w:val="0"/>
    <w:pPr>
      <w:shd w:val="clear" w:color="auto" w:fill="FFFFFF"/>
      <w:spacing w:before="300" w:after="420" w:line="274" w:lineRule="exact"/>
    </w:pPr>
    <w:rPr>
      <w:rFonts w:ascii="Times New Roman" w:hAnsi="Times New Roman" w:eastAsia="Times New Roman" w:cs="Times New Roman"/>
      <w:b/>
      <w:bCs/>
      <w:i/>
      <w:iCs/>
      <w:color w:val="auto"/>
      <w:kern w:val="2"/>
      <w:sz w:val="21"/>
      <w:szCs w:val="22"/>
      <w:lang w:eastAsia="zh-CN" w:bidi="ar-SA"/>
    </w:rPr>
  </w:style>
  <w:style w:type="character" w:customStyle="1" w:styleId="31">
    <w:name w:val="正文文本 (2) + 斜体"/>
    <w:basedOn w:val="19"/>
    <w:uiPriority w:val="0"/>
    <w:rPr>
      <w:rFonts w:ascii="Times New Roman" w:hAnsi="Times New Roman" w:eastAsia="Times New Roman" w:cs="Times New Roman"/>
      <w:i/>
      <w:iCs/>
      <w:color w:val="000000"/>
      <w:spacing w:val="0"/>
      <w:w w:val="100"/>
      <w:position w:val="0"/>
      <w:sz w:val="24"/>
      <w:szCs w:val="24"/>
      <w:shd w:val="clear" w:color="auto" w:fill="FFFFFF"/>
      <w:lang w:val="en-US" w:eastAsia="en-US" w:bidi="en-US"/>
    </w:rPr>
  </w:style>
  <w:style w:type="paragraph" w:styleId="32">
    <w:name w:val="List Paragraph"/>
    <w:basedOn w:val="1"/>
    <w:qFormat/>
    <w:uiPriority w:val="1"/>
    <w:pPr>
      <w:ind w:firstLine="420" w:firstLineChars="200"/>
    </w:pPr>
  </w:style>
  <w:style w:type="character" w:customStyle="1" w:styleId="33">
    <w:name w:val="标题 #2_"/>
    <w:basedOn w:val="12"/>
    <w:link w:val="34"/>
    <w:locked/>
    <w:uiPriority w:val="0"/>
    <w:rPr>
      <w:rFonts w:ascii="Times New Roman" w:hAnsi="Times New Roman" w:eastAsia="Times New Roman" w:cs="Times New Roman"/>
      <w:b/>
      <w:bCs/>
      <w:color w:val="000000"/>
      <w:sz w:val="36"/>
      <w:szCs w:val="36"/>
      <w:shd w:val="clear" w:color="auto" w:fill="FFFFFF"/>
    </w:rPr>
  </w:style>
  <w:style w:type="paragraph" w:customStyle="1" w:styleId="34">
    <w:name w:val="标题 #2"/>
    <w:basedOn w:val="1"/>
    <w:next w:val="1"/>
    <w:link w:val="33"/>
    <w:uiPriority w:val="0"/>
    <w:pPr>
      <w:shd w:val="clear" w:color="auto" w:fill="FFFFFF"/>
      <w:spacing w:before="120" w:after="180" w:line="0" w:lineRule="atLeast"/>
      <w:ind w:left="200" w:leftChars="200"/>
      <w:jc w:val="both"/>
      <w:outlineLvl w:val="1"/>
    </w:pPr>
    <w:rPr>
      <w:rFonts w:ascii="Times New Roman" w:hAnsi="Times New Roman" w:eastAsia="Times New Roman" w:cs="Times New Roman"/>
      <w:b/>
      <w:bCs/>
      <w:kern w:val="2"/>
      <w:sz w:val="36"/>
      <w:szCs w:val="36"/>
      <w:lang w:eastAsia="zh-CN" w:bidi="ar-SA"/>
    </w:rPr>
  </w:style>
  <w:style w:type="character" w:customStyle="1" w:styleId="35">
    <w:name w:val="标题 #4_"/>
    <w:basedOn w:val="12"/>
    <w:link w:val="36"/>
    <w:locked/>
    <w:uiPriority w:val="0"/>
    <w:rPr>
      <w:rFonts w:ascii="Times New Roman" w:hAnsi="Times New Roman" w:eastAsia="Times New Roman" w:cs="Times New Roman"/>
      <w:b/>
      <w:bCs/>
      <w:sz w:val="28"/>
      <w:szCs w:val="28"/>
      <w:shd w:val="clear" w:color="auto" w:fill="FFFFFF"/>
    </w:rPr>
  </w:style>
  <w:style w:type="paragraph" w:customStyle="1" w:styleId="36">
    <w:name w:val="标题 #4"/>
    <w:basedOn w:val="1"/>
    <w:link w:val="35"/>
    <w:qFormat/>
    <w:uiPriority w:val="0"/>
    <w:pPr>
      <w:shd w:val="clear" w:color="auto" w:fill="FFFFFF"/>
      <w:spacing w:line="590" w:lineRule="exact"/>
      <w:ind w:hanging="320"/>
      <w:jc w:val="center"/>
      <w:outlineLvl w:val="3"/>
    </w:pPr>
    <w:rPr>
      <w:rFonts w:ascii="Times New Roman" w:hAnsi="Times New Roman" w:eastAsia="Times New Roman" w:cs="Times New Roman"/>
      <w:b/>
      <w:bCs/>
      <w:color w:val="auto"/>
      <w:kern w:val="2"/>
      <w:sz w:val="28"/>
      <w:szCs w:val="28"/>
      <w:lang w:eastAsia="zh-CN" w:bidi="ar-SA"/>
    </w:rPr>
  </w:style>
  <w:style w:type="character" w:customStyle="1" w:styleId="37">
    <w:name w:val="标题 #3_"/>
    <w:basedOn w:val="12"/>
    <w:link w:val="38"/>
    <w:locked/>
    <w:uiPriority w:val="0"/>
    <w:rPr>
      <w:rFonts w:ascii="Times New Roman" w:hAnsi="Times New Roman" w:eastAsia="Times New Roman" w:cs="Times New Roman"/>
      <w:b/>
      <w:bCs/>
      <w:sz w:val="32"/>
      <w:szCs w:val="32"/>
      <w:shd w:val="clear" w:color="auto" w:fill="FFFFFF"/>
    </w:rPr>
  </w:style>
  <w:style w:type="paragraph" w:customStyle="1" w:styleId="38">
    <w:name w:val="标题 #3"/>
    <w:basedOn w:val="1"/>
    <w:link w:val="37"/>
    <w:qFormat/>
    <w:uiPriority w:val="0"/>
    <w:pPr>
      <w:shd w:val="clear" w:color="auto" w:fill="FFFFFF"/>
      <w:spacing w:before="240" w:after="240" w:line="0" w:lineRule="atLeast"/>
      <w:jc w:val="both"/>
      <w:outlineLvl w:val="2"/>
    </w:pPr>
    <w:rPr>
      <w:rFonts w:ascii="Times New Roman" w:hAnsi="Times New Roman" w:eastAsia="Times New Roman" w:cs="Times New Roman"/>
      <w:b/>
      <w:bCs/>
      <w:color w:val="auto"/>
      <w:kern w:val="2"/>
      <w:sz w:val="32"/>
      <w:szCs w:val="32"/>
      <w:lang w:eastAsia="zh-CN" w:bidi="ar-SA"/>
    </w:rPr>
  </w:style>
  <w:style w:type="character" w:customStyle="1" w:styleId="39">
    <w:name w:val="脚注_"/>
    <w:basedOn w:val="12"/>
    <w:link w:val="40"/>
    <w:locked/>
    <w:uiPriority w:val="0"/>
    <w:rPr>
      <w:rFonts w:ascii="Times New Roman" w:hAnsi="Times New Roman" w:eastAsia="Times New Roman" w:cs="Times New Roman"/>
      <w:shd w:val="clear" w:color="auto" w:fill="FFFFFF"/>
    </w:rPr>
  </w:style>
  <w:style w:type="paragraph" w:customStyle="1" w:styleId="40">
    <w:name w:val="脚注"/>
    <w:basedOn w:val="1"/>
    <w:link w:val="39"/>
    <w:uiPriority w:val="0"/>
    <w:pPr>
      <w:shd w:val="clear" w:color="auto" w:fill="FFFFFF"/>
      <w:spacing w:after="240" w:line="278" w:lineRule="exact"/>
      <w:ind w:hanging="360"/>
    </w:pPr>
    <w:rPr>
      <w:rFonts w:ascii="Times New Roman" w:hAnsi="Times New Roman" w:eastAsia="Times New Roman" w:cs="Times New Roman"/>
      <w:color w:val="auto"/>
      <w:kern w:val="2"/>
      <w:sz w:val="21"/>
      <w:szCs w:val="22"/>
      <w:lang w:eastAsia="zh-CN" w:bidi="ar-SA"/>
    </w:rPr>
  </w:style>
  <w:style w:type="character" w:customStyle="1" w:styleId="41">
    <w:name w:val="正文文本 (2) + 粗体"/>
    <w:basedOn w:val="19"/>
    <w:uiPriority w:val="0"/>
    <w:rPr>
      <w:rFonts w:ascii="Times New Roman" w:hAnsi="Times New Roman" w:eastAsia="Times New Roman" w:cs="Times New Roman"/>
      <w:b/>
      <w:bCs/>
      <w:color w:val="000000"/>
      <w:spacing w:val="0"/>
      <w:w w:val="100"/>
      <w:position w:val="0"/>
      <w:sz w:val="24"/>
      <w:szCs w:val="24"/>
      <w:shd w:val="clear" w:color="auto" w:fill="FFFFFF"/>
      <w:lang w:val="en-US" w:eastAsia="en-US" w:bidi="en-US"/>
    </w:rPr>
  </w:style>
  <w:style w:type="character" w:customStyle="1" w:styleId="42">
    <w:name w:val="正文文本 Char"/>
    <w:basedOn w:val="12"/>
    <w:link w:val="2"/>
    <w:semiHidden/>
    <w:uiPriority w:val="1"/>
    <w:rPr>
      <w:rFonts w:ascii="Times New Roman" w:hAnsi="Times New Roman" w:eastAsia="Times New Roman" w:cs="Times New Roman"/>
      <w:kern w:val="0"/>
      <w:sz w:val="24"/>
      <w:szCs w:val="24"/>
      <w:lang w:eastAsia="en-US"/>
    </w:rPr>
  </w:style>
  <w:style w:type="character" w:customStyle="1" w:styleId="43">
    <w:name w:val="脚注文本 Char"/>
    <w:basedOn w:val="12"/>
    <w:link w:val="9"/>
    <w:semiHidden/>
    <w:uiPriority w:val="99"/>
    <w:rPr>
      <w:rFonts w:ascii="hakuyoxingshu7000" w:hAnsi="hakuyoxingshu7000" w:eastAsia="hakuyoxingshu7000" w:cs="hakuyoxingshu7000"/>
      <w:color w:val="000000"/>
      <w:kern w:val="0"/>
      <w:sz w:val="18"/>
      <w:szCs w:val="18"/>
      <w:lang w:eastAsia="en-US" w:bidi="en-US"/>
    </w:rPr>
  </w:style>
  <w:style w:type="character" w:customStyle="1" w:styleId="44">
    <w:name w:val="批注框文本 Char"/>
    <w:basedOn w:val="12"/>
    <w:link w:val="4"/>
    <w:semiHidden/>
    <w:uiPriority w:val="99"/>
    <w:rPr>
      <w:rFonts w:ascii="hakuyoxingshu7000" w:hAnsi="hakuyoxingshu7000" w:eastAsia="hakuyoxingshu7000" w:cs="hakuyoxingshu7000"/>
      <w:color w:val="000000"/>
      <w:kern w:val="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FB7E6-FC3B-4664-A2AF-A660EDC53AC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19893</Words>
  <Characters>23815</Characters>
  <Lines>197</Lines>
  <Paragraphs>55</Paragraphs>
  <TotalTime>2</TotalTime>
  <ScaleCrop>false</ScaleCrop>
  <LinksUpToDate>false</LinksUpToDate>
  <CharactersWithSpaces>24200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2017-10-27T09:12:00Z</dcterms:created>
  <dc:creator>Administrator</dc:creator>
  <cp:lastModifiedBy>太极箫客</cp:lastModifiedBy>
  <dcterms:modified xsi:type="dcterms:W3CDTF">2025-08-14T06:39:52Z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103528939AD04739B904E9CE10B0B306_12</vt:lpwstr>
  </property>
</Properties>
</file>