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77891">
      <w:pPr>
        <w:jc w:val="center"/>
        <w:rPr>
          <w:sz w:val="24"/>
          <w:szCs w:val="28"/>
        </w:rPr>
      </w:pPr>
      <w:bookmarkStart w:id="0" w:name="_GoBack"/>
      <w:bookmarkEnd w:id="0"/>
      <w:r>
        <w:rPr>
          <w:rFonts w:hint="eastAsia"/>
          <w:sz w:val="24"/>
          <w:szCs w:val="28"/>
        </w:rPr>
        <w:t>国家药品监督管理局医疗器械标准管理中心</w:t>
      </w:r>
    </w:p>
    <w:p w14:paraId="1564EAE6">
      <w:pPr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>医疗器械分类界定申请资料填报指南（试行）</w:t>
      </w:r>
    </w:p>
    <w:p w14:paraId="48B9711B">
      <w:pPr>
        <w:jc w:val="center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发布时间：</w:t>
      </w:r>
      <w:r>
        <w:rPr>
          <w:sz w:val="24"/>
          <w:szCs w:val="28"/>
        </w:rPr>
        <w:t>2023-06-14</w:t>
      </w:r>
    </w:p>
    <w:p w14:paraId="41901006">
      <w:pPr>
        <w:rPr>
          <w:rFonts w:hint="eastAsia"/>
          <w:sz w:val="24"/>
          <w:szCs w:val="28"/>
        </w:rPr>
      </w:pPr>
    </w:p>
    <w:p w14:paraId="3D65196A">
      <w:pPr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一、目的</w:t>
      </w:r>
    </w:p>
    <w:p w14:paraId="367BFE30">
      <w:pPr>
        <w:rPr>
          <w:rFonts w:hint="eastAsia"/>
          <w:sz w:val="24"/>
          <w:szCs w:val="28"/>
        </w:rPr>
      </w:pPr>
      <w:r>
        <w:rPr>
          <w:sz w:val="24"/>
          <w:szCs w:val="28"/>
        </w:rPr>
        <w:t xml:space="preserve">  为贯彻落实国家药监局医疗器械分类管理工作的有关要求，指导医疗器械分类界定申请人做好申请资料和补充资料的填报（以下简称申请资料），依据《总局办公厅关于规范医疗器械产品分类有关工作的通知》（食药监办械管〔2017〕127号）等相关规定，编制本填报指南。</w:t>
      </w:r>
    </w:p>
    <w:p w14:paraId="3CAB9BF1">
      <w:pPr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二、适用范围</w:t>
      </w:r>
      <w:r>
        <w:rPr>
          <w:sz w:val="24"/>
          <w:szCs w:val="28"/>
        </w:rPr>
        <w:t xml:space="preserve"> </w:t>
      </w:r>
    </w:p>
    <w:p w14:paraId="3A98920B">
      <w:pPr>
        <w:rPr>
          <w:rFonts w:hint="eastAsia"/>
          <w:sz w:val="24"/>
          <w:szCs w:val="28"/>
        </w:rPr>
      </w:pPr>
      <w:r>
        <w:rPr>
          <w:sz w:val="24"/>
          <w:szCs w:val="28"/>
        </w:rPr>
        <w:t xml:space="preserve">  适用于境内外医疗器械产品的分类界定申请人在线填写申请资料。</w:t>
      </w:r>
    </w:p>
    <w:p w14:paraId="283EDB2B">
      <w:pPr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三、填报路径</w:t>
      </w:r>
    </w:p>
    <w:p w14:paraId="31CAAF61">
      <w:pPr>
        <w:rPr>
          <w:rFonts w:hint="eastAsia"/>
          <w:sz w:val="24"/>
          <w:szCs w:val="28"/>
        </w:rPr>
      </w:pPr>
      <w:r>
        <w:rPr>
          <w:sz w:val="24"/>
          <w:szCs w:val="28"/>
        </w:rPr>
        <w:t xml:space="preserve">  申请人登陆“中国食品药品检定研究院（国家药监局医疗器械标准管理中心）”网站（https://www.nifdc.org.cn），依次进入“办事大厅”--“医疗器械标准与分类管理”--“医疗器械分类界定信息系统”页面，在线提交申请资料。</w:t>
      </w:r>
    </w:p>
    <w:p w14:paraId="50B7D2B0">
      <w:pPr>
        <w:rPr>
          <w:rFonts w:hint="eastAsia"/>
          <w:sz w:val="24"/>
          <w:szCs w:val="28"/>
        </w:rPr>
      </w:pPr>
      <w:r>
        <w:rPr>
          <w:sz w:val="24"/>
          <w:szCs w:val="28"/>
        </w:rPr>
        <w:t xml:space="preserve">  首次登陆系统申请分类界定时，须先按照系统提示注册，按照提示和要求在线填写相关资料、上传文件。</w:t>
      </w:r>
    </w:p>
    <w:p w14:paraId="0FD6941D">
      <w:pPr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四、资料要求</w:t>
      </w:r>
    </w:p>
    <w:p w14:paraId="4076E13C">
      <w:pPr>
        <w:rPr>
          <w:rFonts w:hint="eastAsia"/>
          <w:sz w:val="24"/>
          <w:szCs w:val="28"/>
        </w:rPr>
      </w:pPr>
      <w:r>
        <w:rPr>
          <w:sz w:val="24"/>
          <w:szCs w:val="28"/>
        </w:rPr>
        <w:t xml:space="preserve">  分类界定申请资料应根据产品实际填写，确保申请资料的合法、真实、准确、完整和可追溯。填报资料时，关注以下几个方面的内容：</w:t>
      </w:r>
    </w:p>
    <w:p w14:paraId="6F1BF246">
      <w:pPr>
        <w:rPr>
          <w:rFonts w:hint="eastAsia"/>
          <w:sz w:val="24"/>
          <w:szCs w:val="28"/>
        </w:rPr>
      </w:pPr>
      <w:r>
        <w:rPr>
          <w:sz w:val="24"/>
          <w:szCs w:val="28"/>
        </w:rPr>
        <w:t xml:space="preserve"> （一）资料齐全性</w:t>
      </w:r>
    </w:p>
    <w:p w14:paraId="1E2A5EDE">
      <w:pPr>
        <w:rPr>
          <w:sz w:val="24"/>
          <w:szCs w:val="28"/>
        </w:rPr>
      </w:pPr>
      <w:r>
        <w:rPr>
          <w:sz w:val="24"/>
          <w:szCs w:val="28"/>
        </w:rPr>
        <w:t xml:space="preserve">  1.按照《总局办公厅关于规范医疗器械产品分类有关工作的通知》（食药监办械管〔2017〕127号）提交资料，若有必要可增加内容。提交资料的列表见附件1。</w:t>
      </w:r>
    </w:p>
    <w:p w14:paraId="5A8632CE">
      <w:pPr>
        <w:rPr>
          <w:sz w:val="24"/>
          <w:szCs w:val="28"/>
        </w:rPr>
      </w:pPr>
    </w:p>
    <w:p w14:paraId="6B29FDD2">
      <w:pPr>
        <w:rPr>
          <w:rFonts w:hint="eastAsia"/>
          <w:sz w:val="24"/>
          <w:szCs w:val="28"/>
        </w:rPr>
      </w:pPr>
      <w:r>
        <w:rPr>
          <w:sz w:val="24"/>
          <w:szCs w:val="28"/>
        </w:rPr>
        <w:t xml:space="preserve">  2.按照资料列表顺序填写文件资料清单，可参照附件2。</w:t>
      </w:r>
    </w:p>
    <w:p w14:paraId="7759F8AA">
      <w:pPr>
        <w:rPr>
          <w:rFonts w:hint="eastAsia"/>
          <w:sz w:val="24"/>
          <w:szCs w:val="28"/>
        </w:rPr>
      </w:pPr>
      <w:r>
        <w:rPr>
          <w:sz w:val="24"/>
          <w:szCs w:val="28"/>
        </w:rPr>
        <w:t xml:space="preserve">  3.在信息系统上传首次申请资料和补正资料时，同时上传签章文件的扫描件和对应的Word版文件。</w:t>
      </w:r>
    </w:p>
    <w:p w14:paraId="54652426">
      <w:pPr>
        <w:rPr>
          <w:rFonts w:hint="eastAsia"/>
          <w:sz w:val="24"/>
          <w:szCs w:val="28"/>
        </w:rPr>
      </w:pPr>
      <w:r>
        <w:rPr>
          <w:sz w:val="24"/>
          <w:szCs w:val="28"/>
        </w:rPr>
        <w:t xml:space="preserve">  4.境外产品的上市证明、说明书等相关材料有原文和中文翻译件。</w:t>
      </w:r>
    </w:p>
    <w:p w14:paraId="7FA34A87">
      <w:pPr>
        <w:rPr>
          <w:rFonts w:hint="eastAsia"/>
          <w:sz w:val="24"/>
          <w:szCs w:val="28"/>
        </w:rPr>
      </w:pPr>
      <w:r>
        <w:rPr>
          <w:sz w:val="24"/>
          <w:szCs w:val="28"/>
        </w:rPr>
        <w:t xml:space="preserve"> （二）资料规范性</w:t>
      </w:r>
    </w:p>
    <w:p w14:paraId="5FDBAA65">
      <w:pPr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申请登记表中内容能体现产品的完整情况，其他资料是申请登记表的细化和补充。</w:t>
      </w:r>
    </w:p>
    <w:p w14:paraId="61CDD7A7">
      <w:pPr>
        <w:rPr>
          <w:rFonts w:hint="eastAsia"/>
          <w:sz w:val="24"/>
          <w:szCs w:val="28"/>
        </w:rPr>
      </w:pPr>
      <w:r>
        <w:rPr>
          <w:sz w:val="24"/>
          <w:szCs w:val="28"/>
        </w:rPr>
        <w:t>1.分类界定申请登记表。填表内容应清晰完整，详细说明见附件3。</w:t>
      </w:r>
    </w:p>
    <w:p w14:paraId="471EA67D">
      <w:pPr>
        <w:rPr>
          <w:rFonts w:hint="eastAsia"/>
          <w:sz w:val="24"/>
          <w:szCs w:val="28"/>
        </w:rPr>
      </w:pPr>
      <w:r>
        <w:rPr>
          <w:sz w:val="24"/>
          <w:szCs w:val="28"/>
        </w:rPr>
        <w:t>2.产品说明书。应为拟上市的产品说明书，主要内容原则上符合《医疗器械说明书和标签管理规定》（国家食品药品监督管理总局令第6号）要求。</w:t>
      </w:r>
    </w:p>
    <w:p w14:paraId="752118E1">
      <w:pPr>
        <w:rPr>
          <w:rFonts w:hint="eastAsia"/>
          <w:sz w:val="24"/>
          <w:szCs w:val="28"/>
        </w:rPr>
      </w:pPr>
      <w:r>
        <w:rPr>
          <w:sz w:val="24"/>
          <w:szCs w:val="28"/>
        </w:rPr>
        <w:t>3.产品照片（可含视频）。产品照片（可含视频）清晰完整，能完整表达申请产品中包含的内外部各组成部分，且可以体现产品使用的全过程。</w:t>
      </w:r>
    </w:p>
    <w:p w14:paraId="366F14AA">
      <w:pPr>
        <w:rPr>
          <w:rFonts w:hint="eastAsia"/>
          <w:sz w:val="24"/>
          <w:szCs w:val="28"/>
        </w:rPr>
      </w:pPr>
      <w:r>
        <w:rPr>
          <w:sz w:val="24"/>
          <w:szCs w:val="28"/>
        </w:rPr>
        <w:t>4.产品技术要求。应是拟上市产品的产品技术要求，原则上，申请资料中的技术指标与后期上市产品指标相同。凡采用国标或行标的技术条款，注明标准的实施日期和标准编号。</w:t>
      </w:r>
    </w:p>
    <w:p w14:paraId="500CA068">
      <w:pPr>
        <w:rPr>
          <w:rFonts w:hint="eastAsia"/>
          <w:sz w:val="24"/>
          <w:szCs w:val="28"/>
        </w:rPr>
      </w:pPr>
      <w:r>
        <w:rPr>
          <w:sz w:val="24"/>
          <w:szCs w:val="28"/>
        </w:rPr>
        <w:t>5.境外上市证明。申请来源为“境外”的产品，其产品境外上市证明应包括原产国的管理类别、文件有效期等关键信息。</w:t>
      </w:r>
    </w:p>
    <w:p w14:paraId="37224DC6">
      <w:pPr>
        <w:rPr>
          <w:rFonts w:hint="eastAsia"/>
          <w:sz w:val="24"/>
          <w:szCs w:val="28"/>
        </w:rPr>
      </w:pPr>
      <w:r>
        <w:rPr>
          <w:sz w:val="24"/>
          <w:szCs w:val="28"/>
        </w:rPr>
        <w:t>6.证据性材料。工作原理、作用机理和主要风险点等关键内容有明确的证据性材料。</w:t>
      </w:r>
    </w:p>
    <w:p w14:paraId="577B903F">
      <w:pPr>
        <w:rPr>
          <w:rFonts w:hint="eastAsia"/>
          <w:sz w:val="24"/>
          <w:szCs w:val="28"/>
        </w:rPr>
      </w:pPr>
      <w:r>
        <w:rPr>
          <w:sz w:val="24"/>
          <w:szCs w:val="28"/>
        </w:rPr>
        <w:t>7.所有资料有签章，纸版文件加盖骑缝章。</w:t>
      </w:r>
    </w:p>
    <w:p w14:paraId="1F0C8FA5">
      <w:pPr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（三）资料一致性</w:t>
      </w:r>
    </w:p>
    <w:p w14:paraId="5E0D9223">
      <w:pPr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所有资料的内容保持协调一致，若有内容冲突，则填报资料无效。</w:t>
      </w:r>
    </w:p>
    <w:p w14:paraId="6BBF12DE">
      <w:pPr>
        <w:rPr>
          <w:rFonts w:hint="eastAsia"/>
          <w:sz w:val="24"/>
          <w:szCs w:val="28"/>
        </w:rPr>
      </w:pPr>
      <w:r>
        <w:rPr>
          <w:sz w:val="24"/>
          <w:szCs w:val="28"/>
        </w:rPr>
        <w:t>1.各项资料中的产品名称、结构组成、功能和用途等关键信息应保持一致。</w:t>
      </w:r>
    </w:p>
    <w:p w14:paraId="6E77C8FB">
      <w:pPr>
        <w:rPr>
          <w:rFonts w:hint="eastAsia"/>
          <w:sz w:val="24"/>
          <w:szCs w:val="28"/>
        </w:rPr>
      </w:pPr>
      <w:r>
        <w:rPr>
          <w:sz w:val="24"/>
          <w:szCs w:val="28"/>
        </w:rPr>
        <w:t>2.对于境外产品，其上市证明、说明书、技术要求等文件，中文翻译件和原文内容保持一致。</w:t>
      </w:r>
    </w:p>
    <w:p w14:paraId="5ECF0355">
      <w:pPr>
        <w:rPr>
          <w:rFonts w:hint="eastAsia"/>
          <w:sz w:val="24"/>
          <w:szCs w:val="28"/>
        </w:rPr>
      </w:pPr>
      <w:r>
        <w:rPr>
          <w:sz w:val="24"/>
          <w:szCs w:val="28"/>
        </w:rPr>
        <w:t>3.附件类产品的功能、用途等信息与其配套使用主机的对应内容应保持协调一致。</w:t>
      </w:r>
    </w:p>
    <w:p w14:paraId="4674AF9B">
      <w:pPr>
        <w:rPr>
          <w:rFonts w:hint="eastAsia"/>
          <w:sz w:val="24"/>
          <w:szCs w:val="28"/>
        </w:rPr>
      </w:pPr>
      <w:r>
        <w:rPr>
          <w:sz w:val="24"/>
          <w:szCs w:val="28"/>
        </w:rPr>
        <w:t>4.申请资料纸版文件和电子系统中的信息应保持一致。</w:t>
      </w:r>
    </w:p>
    <w:p w14:paraId="55F84627">
      <w:pPr>
        <w:rPr>
          <w:sz w:val="24"/>
          <w:szCs w:val="28"/>
        </w:rPr>
      </w:pPr>
      <w:r>
        <w:rPr>
          <w:sz w:val="24"/>
          <w:szCs w:val="28"/>
        </w:rPr>
        <w:t>5.所有资料的签章应与申请人名称保持一致。</w:t>
      </w:r>
    </w:p>
    <w:p w14:paraId="4A6DA5D5">
      <w:pPr>
        <w:jc w:val="center"/>
        <w:rPr>
          <w:rFonts w:hint="eastAsia" w:eastAsia="等线"/>
          <w:lang w:eastAsia="zh-CN"/>
        </w:rPr>
      </w:pPr>
    </w:p>
    <w:p w14:paraId="60474E1D">
      <w:pPr>
        <w:jc w:val="center"/>
        <w:rPr>
          <w:rFonts w:hint="eastAsia" w:eastAsia="等线"/>
          <w:lang w:eastAsia="zh-CN"/>
        </w:rPr>
      </w:pPr>
    </w:p>
    <w:p w14:paraId="6E034E66">
      <w:pPr>
        <w:jc w:val="center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FF"/>
    <w:rsid w:val="00A73EFF"/>
    <w:rsid w:val="00E268B7"/>
    <w:rsid w:val="00F00B74"/>
    <w:rsid w:val="016D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1165</Words>
  <Characters>1228</Characters>
  <Lines>9</Lines>
  <Paragraphs>2</Paragraphs>
  <TotalTime>2</TotalTime>
  <ScaleCrop>false</ScaleCrop>
  <LinksUpToDate>false</LinksUpToDate>
  <CharactersWithSpaces>1249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2023-06-15T07:24:00Z</dcterms:created>
  <dc:creator>刘萍</dc:creator>
  <cp:lastModifiedBy>太极箫客</cp:lastModifiedBy>
  <dcterms:modified xsi:type="dcterms:W3CDTF">2025-08-14T06:39:49Z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1213ADA1319A48908186919D4574604A_12</vt:lpwstr>
  </property>
</Properties>
</file>