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5854A">
      <w:pPr>
        <w:rPr>
          <w:rFonts w:eastAsia="黑体"/>
          <w:sz w:val="32"/>
          <w:szCs w:val="32"/>
        </w:rPr>
      </w:pPr>
      <w:bookmarkStart w:id="1" w:name="_GoBack"/>
      <w:bookmarkEnd w:id="1"/>
      <w:bookmarkStart w:id="0" w:name="zhengwen"/>
      <w:r>
        <w:rPr>
          <w:rFonts w:eastAsia="黑体"/>
          <w:sz w:val="32"/>
          <w:szCs w:val="32"/>
        </w:rPr>
        <w:t>附件</w:t>
      </w:r>
    </w:p>
    <w:p w14:paraId="246A2587">
      <w:pPr>
        <w:spacing w:line="640" w:lineRule="exact"/>
        <w:jc w:val="center"/>
        <w:rPr>
          <w:rFonts w:eastAsia="黑体"/>
          <w:sz w:val="32"/>
          <w:szCs w:val="32"/>
        </w:rPr>
      </w:pPr>
    </w:p>
    <w:p w14:paraId="4A15E982">
      <w:pPr>
        <w:spacing w:line="640" w:lineRule="exact"/>
        <w:jc w:val="center"/>
        <w:rPr>
          <w:rFonts w:eastAsia="方正小标宋简体"/>
          <w:sz w:val="44"/>
          <w:szCs w:val="44"/>
        </w:rPr>
      </w:pPr>
      <w:r>
        <w:rPr>
          <w:rFonts w:eastAsia="方正小标宋简体"/>
          <w:sz w:val="44"/>
          <w:szCs w:val="44"/>
        </w:rPr>
        <w:t>医疗器械分类界定工作流程</w:t>
      </w:r>
    </w:p>
    <w:p w14:paraId="59E3F097">
      <w:pPr>
        <w:spacing w:line="640" w:lineRule="exact"/>
        <w:jc w:val="center"/>
        <w:rPr>
          <w:rFonts w:eastAsia="仿宋_GB2312"/>
          <w:sz w:val="32"/>
          <w:szCs w:val="32"/>
        </w:rPr>
      </w:pPr>
    </w:p>
    <w:p w14:paraId="310E3B1E">
      <w:pPr>
        <w:spacing w:line="600" w:lineRule="exact"/>
        <w:ind w:firstLine="640" w:firstLineChars="200"/>
        <w:rPr>
          <w:rFonts w:ascii="黑体" w:hAnsi="黑体" w:eastAsia="黑体"/>
          <w:sz w:val="32"/>
          <w:szCs w:val="32"/>
        </w:rPr>
      </w:pPr>
      <w:r>
        <w:rPr>
          <w:rFonts w:ascii="黑体" w:hAnsi="黑体" w:eastAsia="黑体"/>
          <w:sz w:val="32"/>
          <w:szCs w:val="32"/>
        </w:rPr>
        <w:t>一、申请方式</w:t>
      </w:r>
    </w:p>
    <w:p w14:paraId="1D23AFEF">
      <w:pPr>
        <w:spacing w:line="600" w:lineRule="exact"/>
        <w:ind w:firstLine="640" w:firstLineChars="200"/>
        <w:rPr>
          <w:rFonts w:eastAsia="仿宋_GB2312"/>
          <w:sz w:val="32"/>
          <w:szCs w:val="32"/>
        </w:rPr>
      </w:pPr>
      <w:r>
        <w:rPr>
          <w:rFonts w:eastAsia="仿宋_GB2312"/>
          <w:sz w:val="32"/>
          <w:szCs w:val="32"/>
        </w:rPr>
        <w:t>申请人通过中国食品药品检定研究院（国家食品药品监督管理总局医疗器械标准管理中心）网站进入“医疗器械标准管理研究所”二级网站的“医疗器械分类界定信息系统”页面（网址：http://www.nifdc.org.cn/qxbgzx/CL0482/），点击进入“医疗器械分类界定信息系统”，注册后填写《分类界定申请表》，并上传其他申请材料。</w:t>
      </w:r>
    </w:p>
    <w:p w14:paraId="3495DF9E">
      <w:pPr>
        <w:spacing w:line="600" w:lineRule="exact"/>
        <w:ind w:firstLine="640" w:firstLineChars="200"/>
        <w:rPr>
          <w:rFonts w:eastAsia="仿宋_GB2312"/>
          <w:sz w:val="32"/>
          <w:szCs w:val="32"/>
        </w:rPr>
      </w:pPr>
      <w:r>
        <w:rPr>
          <w:rFonts w:eastAsia="仿宋_GB2312"/>
          <w:sz w:val="32"/>
          <w:szCs w:val="32"/>
        </w:rPr>
        <w:t>在线打印《分类界定申请表》，连同其他申请材料（应与上传的申请材料完全相同）加盖申请企业骑缝章，寄送至相关单位。境内产品的相关材料寄至申请企业所在地的省级食品药品监督管理部门，进口及港、澳、台产品的相关材料寄送至国家食品药品监督管理总局医疗器械标准管理中心（地址：北京市大兴区生物医药产业基地华佗路31号院4号楼B404房间，邮编：102629）。</w:t>
      </w:r>
    </w:p>
    <w:p w14:paraId="67651714">
      <w:pPr>
        <w:spacing w:line="600" w:lineRule="exact"/>
        <w:ind w:firstLine="640" w:firstLineChars="200"/>
        <w:rPr>
          <w:rFonts w:ascii="黑体" w:hAnsi="黑体" w:eastAsia="黑体"/>
          <w:sz w:val="32"/>
          <w:szCs w:val="32"/>
        </w:rPr>
      </w:pPr>
      <w:r>
        <w:rPr>
          <w:rFonts w:ascii="黑体" w:hAnsi="黑体" w:eastAsia="黑体"/>
          <w:sz w:val="32"/>
          <w:szCs w:val="32"/>
        </w:rPr>
        <w:t>二、申请材料要求</w:t>
      </w:r>
    </w:p>
    <w:p w14:paraId="6949B946">
      <w:pPr>
        <w:spacing w:line="600" w:lineRule="exact"/>
        <w:ind w:firstLine="640" w:firstLineChars="200"/>
        <w:rPr>
          <w:rFonts w:eastAsia="仿宋_GB2312"/>
          <w:sz w:val="32"/>
          <w:szCs w:val="32"/>
        </w:rPr>
      </w:pPr>
      <w:r>
        <w:rPr>
          <w:rFonts w:eastAsia="仿宋_GB2312"/>
          <w:sz w:val="32"/>
          <w:szCs w:val="32"/>
        </w:rPr>
        <w:t>（一）分类界定申请表；</w:t>
      </w:r>
    </w:p>
    <w:p w14:paraId="39BE9E5B">
      <w:pPr>
        <w:spacing w:line="600" w:lineRule="exact"/>
        <w:ind w:firstLine="640" w:firstLineChars="200"/>
        <w:rPr>
          <w:rFonts w:eastAsia="仿宋_GB2312"/>
          <w:sz w:val="32"/>
          <w:szCs w:val="32"/>
        </w:rPr>
      </w:pPr>
      <w:r>
        <w:rPr>
          <w:rFonts w:eastAsia="仿宋_GB2312"/>
          <w:sz w:val="32"/>
          <w:szCs w:val="32"/>
        </w:rPr>
        <w:t>（二）产品照片和/或产品结构图；</w:t>
      </w:r>
    </w:p>
    <w:p w14:paraId="14EA2565">
      <w:pPr>
        <w:spacing w:line="600" w:lineRule="exact"/>
        <w:ind w:firstLine="640" w:firstLineChars="200"/>
        <w:rPr>
          <w:rFonts w:eastAsia="仿宋_GB2312"/>
          <w:sz w:val="32"/>
          <w:szCs w:val="32"/>
        </w:rPr>
      </w:pPr>
      <w:r>
        <w:rPr>
          <w:rFonts w:eastAsia="仿宋_GB2312"/>
          <w:sz w:val="32"/>
          <w:szCs w:val="32"/>
        </w:rPr>
        <w:t>（三）产品技术要求及产品说明书（样稿）；</w:t>
      </w:r>
    </w:p>
    <w:p w14:paraId="133E9F98">
      <w:pPr>
        <w:spacing w:line="600" w:lineRule="exact"/>
        <w:ind w:firstLine="640" w:firstLineChars="200"/>
        <w:rPr>
          <w:rFonts w:eastAsia="仿宋_GB2312"/>
          <w:sz w:val="32"/>
          <w:szCs w:val="32"/>
        </w:rPr>
      </w:pPr>
      <w:r>
        <w:rPr>
          <w:rFonts w:eastAsia="仿宋_GB2312"/>
          <w:sz w:val="32"/>
          <w:szCs w:val="32"/>
        </w:rPr>
        <w:t>（四）进口上市证明材料（如有）；</w:t>
      </w:r>
    </w:p>
    <w:p w14:paraId="66283EEC">
      <w:pPr>
        <w:spacing w:line="600" w:lineRule="exact"/>
        <w:ind w:firstLine="640" w:firstLineChars="200"/>
        <w:rPr>
          <w:rFonts w:eastAsia="仿宋_GB2312"/>
          <w:sz w:val="32"/>
          <w:szCs w:val="32"/>
        </w:rPr>
      </w:pPr>
      <w:r>
        <w:rPr>
          <w:rFonts w:eastAsia="仿宋_GB2312"/>
          <w:sz w:val="32"/>
          <w:szCs w:val="32"/>
        </w:rPr>
        <w:t>（五）资料真实性自我保证声明；</w:t>
      </w:r>
    </w:p>
    <w:p w14:paraId="1159B4D4">
      <w:pPr>
        <w:spacing w:line="600" w:lineRule="exact"/>
        <w:ind w:firstLine="640" w:firstLineChars="200"/>
        <w:rPr>
          <w:rFonts w:eastAsia="仿宋_GB2312"/>
          <w:sz w:val="32"/>
          <w:szCs w:val="32"/>
        </w:rPr>
      </w:pPr>
      <w:r>
        <w:rPr>
          <w:rFonts w:eastAsia="仿宋_GB2312"/>
          <w:sz w:val="32"/>
          <w:szCs w:val="32"/>
        </w:rPr>
        <w:t>（六）其他与产品分类界定有关的材料。其中对于尚未列入《分类目录》等文件的新研制产品，至少还应当提交：</w:t>
      </w:r>
    </w:p>
    <w:p w14:paraId="4F90E3D6">
      <w:pPr>
        <w:spacing w:line="600" w:lineRule="exact"/>
        <w:ind w:firstLine="640" w:firstLineChars="200"/>
        <w:rPr>
          <w:rFonts w:eastAsia="仿宋_GB2312"/>
          <w:sz w:val="32"/>
          <w:szCs w:val="32"/>
        </w:rPr>
      </w:pPr>
      <w:r>
        <w:rPr>
          <w:rFonts w:eastAsia="仿宋_GB2312"/>
          <w:sz w:val="32"/>
          <w:szCs w:val="32"/>
        </w:rPr>
        <w:t>1.与国内外已上市相关产品、《分类目录》或分类界定通知文件中相关产品的分析及对比，并说明符合新研制尚未列入分类目录产品的判定依据；</w:t>
      </w:r>
    </w:p>
    <w:p w14:paraId="0D9FDA6D">
      <w:pPr>
        <w:spacing w:line="600" w:lineRule="exact"/>
        <w:ind w:firstLine="640" w:firstLineChars="200"/>
        <w:rPr>
          <w:rFonts w:eastAsia="仿宋_GB2312"/>
          <w:sz w:val="32"/>
          <w:szCs w:val="32"/>
        </w:rPr>
      </w:pPr>
      <w:r>
        <w:rPr>
          <w:rFonts w:eastAsia="仿宋_GB2312"/>
          <w:sz w:val="32"/>
          <w:szCs w:val="32"/>
        </w:rPr>
        <w:t>2.核心刊物公开发表的能够充分说明产品临床应用价值的学术论文、专著及文件综述（如有）；</w:t>
      </w:r>
    </w:p>
    <w:p w14:paraId="096251C6">
      <w:pPr>
        <w:spacing w:line="600" w:lineRule="exact"/>
        <w:ind w:firstLine="640" w:firstLineChars="200"/>
        <w:rPr>
          <w:rFonts w:eastAsia="仿宋_GB2312"/>
          <w:sz w:val="32"/>
          <w:szCs w:val="32"/>
        </w:rPr>
      </w:pPr>
      <w:r>
        <w:rPr>
          <w:rFonts w:eastAsia="仿宋_GB2312"/>
          <w:sz w:val="32"/>
          <w:szCs w:val="32"/>
        </w:rPr>
        <w:t>3.产品的创新内容；</w:t>
      </w:r>
    </w:p>
    <w:p w14:paraId="1AFA3284">
      <w:pPr>
        <w:spacing w:line="600" w:lineRule="exact"/>
        <w:ind w:firstLine="640" w:firstLineChars="200"/>
        <w:rPr>
          <w:rFonts w:eastAsia="仿宋_GB2312"/>
          <w:sz w:val="32"/>
          <w:szCs w:val="32"/>
        </w:rPr>
      </w:pPr>
      <w:r>
        <w:rPr>
          <w:rFonts w:eastAsia="仿宋_GB2312"/>
          <w:sz w:val="32"/>
          <w:szCs w:val="32"/>
        </w:rPr>
        <w:t>4.信息或者专利检索机构出具的查新报告。</w:t>
      </w:r>
    </w:p>
    <w:p w14:paraId="38047502">
      <w:pPr>
        <w:spacing w:line="600" w:lineRule="exact"/>
        <w:ind w:firstLine="640" w:firstLineChars="200"/>
        <w:rPr>
          <w:rFonts w:eastAsia="仿宋_GB2312"/>
          <w:sz w:val="32"/>
          <w:szCs w:val="32"/>
        </w:rPr>
      </w:pPr>
      <w:r>
        <w:rPr>
          <w:rFonts w:eastAsia="仿宋_GB2312"/>
          <w:sz w:val="32"/>
          <w:szCs w:val="32"/>
        </w:rPr>
        <w:t>所有申请材料应当使用中文。根据外文资料翻译的，应当同时提供原文。</w:t>
      </w:r>
    </w:p>
    <w:p w14:paraId="1AB8FD12">
      <w:pPr>
        <w:spacing w:line="600" w:lineRule="exact"/>
        <w:ind w:firstLine="640" w:firstLineChars="200"/>
        <w:rPr>
          <w:rFonts w:ascii="黑体" w:hAnsi="黑体" w:eastAsia="黑体"/>
          <w:sz w:val="32"/>
          <w:szCs w:val="32"/>
        </w:rPr>
      </w:pPr>
      <w:r>
        <w:rPr>
          <w:rFonts w:ascii="黑体" w:hAnsi="黑体" w:eastAsia="黑体"/>
          <w:sz w:val="32"/>
          <w:szCs w:val="32"/>
        </w:rPr>
        <w:t>三、申请状态和结果查询</w:t>
      </w:r>
    </w:p>
    <w:p w14:paraId="1E735C23">
      <w:pPr>
        <w:spacing w:line="600" w:lineRule="exact"/>
        <w:ind w:firstLine="640" w:firstLineChars="200"/>
      </w:pPr>
      <w:r>
        <w:rPr>
          <w:rFonts w:eastAsia="仿宋_GB2312"/>
          <w:sz w:val="32"/>
          <w:szCs w:val="32"/>
        </w:rPr>
        <w:t>各省级食品药品监督管理部门、各级医疗器械技术审评部门和申请人登陆“医疗器械分类界定信息系统”，在“操作栏”中点击“查看流程图”，即可查询申请状态和结果。</w:t>
      </w:r>
      <w:bookmarkEnd w:id="0"/>
    </w:p>
    <w:p w14:paraId="689B8630"/>
    <w:p w14:paraId="5E49AB30">
      <w:pPr>
        <w:rPr>
          <w:rFonts w:hint="eastAsia" w:eastAsia="宋体"/>
          <w:lang w:eastAsia="zh-CN"/>
        </w:rPr>
      </w:pPr>
    </w:p>
    <w:p w14:paraId="0803B71D">
      <w:pPr>
        <w:jc w:val="center"/>
        <w:rPr>
          <w:rFonts w:hint="eastAsia" w:eastAsia="宋体"/>
          <w:lang w:eastAsia="zh-CN"/>
        </w:rPr>
      </w:pPr>
    </w:p>
    <w:p w14:paraId="3E4768BC">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6BC3">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06A0F25F">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282E">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17BF3747">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6E52"/>
    <w:rsid w:val="00116E52"/>
    <w:rsid w:val="00205FE6"/>
    <w:rsid w:val="002279C8"/>
    <w:rsid w:val="00271B33"/>
    <w:rsid w:val="004970B3"/>
    <w:rsid w:val="004E2EF4"/>
    <w:rsid w:val="00A016FA"/>
    <w:rsid w:val="00C24C60"/>
    <w:rsid w:val="00F84B81"/>
    <w:rsid w:val="56897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Pages>
  <Words>702</Words>
  <Characters>752</Characters>
  <Lines>5</Lines>
  <Paragraphs>1</Paragraphs>
  <TotalTime>1</TotalTime>
  <ScaleCrop>false</ScaleCrop>
  <LinksUpToDate>false</LinksUpToDate>
  <CharactersWithSpaces>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2017-09-26T09:27:00Z</dcterms:created>
  <dc:creator>时娟</dc:creator>
  <cp:lastModifiedBy>太极箫客</cp:lastModifiedBy>
  <dcterms:modified xsi:type="dcterms:W3CDTF">2025-08-14T06:39:48Z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06D902860D894D54A231B51F30EBA611_12</vt:lpwstr>
  </property>
</Properties>
</file>