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2C864">
      <w:pPr>
        <w:tabs>
          <w:tab w:val="left" w:pos="6480"/>
          <w:tab w:val="left" w:pos="7920"/>
        </w:tabs>
        <w:spacing w:line="240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 xml:space="preserve"> </w:t>
      </w:r>
    </w:p>
    <w:p w14:paraId="30CB93A0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50F0D3D5">
      <w:pPr>
        <w:rPr>
          <w:rFonts w:ascii="黑体" w:hAnsi="黑体" w:eastAsia="黑体"/>
          <w:sz w:val="32"/>
          <w:szCs w:val="32"/>
        </w:rPr>
      </w:pPr>
    </w:p>
    <w:p w14:paraId="03A27CB1">
      <w:pPr>
        <w:pStyle w:val="5"/>
        <w:tabs>
          <w:tab w:val="left" w:pos="45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医疗器械临床试验方案范本</w:t>
      </w:r>
    </w:p>
    <w:p w14:paraId="21AB3BA9">
      <w:pPr>
        <w:pStyle w:val="7"/>
        <w:ind w:left="1020" w:hanging="600"/>
        <w:rPr>
          <w:rFonts w:ascii="宋体" w:eastAsia="宋体"/>
        </w:rPr>
      </w:pPr>
    </w:p>
    <w:p w14:paraId="5CA58C13">
      <w:pPr>
        <w:pStyle w:val="7"/>
        <w:ind w:left="1020" w:hanging="60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</w:rPr>
        <w:t>方案编号：</w:t>
      </w:r>
    </w:p>
    <w:p w14:paraId="2577A29C">
      <w:pPr>
        <w:pStyle w:val="6"/>
        <w:spacing w:before="156" w:after="156"/>
        <w:ind w:firstLine="2949" w:firstLineChars="700"/>
        <w:rPr>
          <w:b/>
          <w:sz w:val="32"/>
          <w:szCs w:val="32"/>
        </w:rPr>
      </w:pPr>
      <w:r>
        <w:rPr>
          <w:rFonts w:hint="eastAsia"/>
          <w:b/>
          <w:spacing w:val="50"/>
          <w:sz w:val="32"/>
          <w:szCs w:val="32"/>
        </w:rPr>
        <w:t>×××</w:t>
      </w:r>
      <w:r>
        <w:rPr>
          <w:rFonts w:hint="eastAsia"/>
          <w:b/>
          <w:sz w:val="32"/>
          <w:szCs w:val="32"/>
        </w:rPr>
        <w:t>临床试验方案</w:t>
      </w:r>
    </w:p>
    <w:p w14:paraId="509258F1">
      <w:pPr>
        <w:spacing w:before="50" w:after="50"/>
        <w:rPr>
          <w:rFonts w:ascii="宋体"/>
          <w:sz w:val="24"/>
        </w:rPr>
      </w:pPr>
    </w:p>
    <w:p w14:paraId="3D3B2686">
      <w:pPr>
        <w:pStyle w:val="6"/>
        <w:spacing w:before="156" w:after="156"/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试验医疗器械名称：</w:t>
      </w:r>
    </w:p>
    <w:p w14:paraId="69A0F39B">
      <w:pPr>
        <w:pStyle w:val="7"/>
        <w:ind w:left="980" w:hanging="56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型号规格：</w:t>
      </w:r>
    </w:p>
    <w:p w14:paraId="3909C495">
      <w:pPr>
        <w:pStyle w:val="7"/>
        <w:ind w:left="980" w:hanging="56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需进行临床试验审批的第三类医疗器械  是□  否□</w:t>
      </w:r>
    </w:p>
    <w:p w14:paraId="31AF03B7">
      <w:pPr>
        <w:pStyle w:val="7"/>
        <w:ind w:left="980" w:hanging="56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方案版本号和日期：</w:t>
      </w:r>
    </w:p>
    <w:p w14:paraId="0B22E977">
      <w:pPr>
        <w:pStyle w:val="7"/>
        <w:ind w:left="980" w:hanging="56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临床试验机构：</w:t>
      </w:r>
    </w:p>
    <w:p w14:paraId="65786A36">
      <w:pPr>
        <w:pStyle w:val="7"/>
        <w:ind w:left="980" w:hanging="56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主要研究者：</w:t>
      </w:r>
    </w:p>
    <w:p w14:paraId="09D7BED2">
      <w:pPr>
        <w:pStyle w:val="7"/>
        <w:ind w:left="980" w:hanging="56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临床试验组长单位/协调研究者（</w:t>
      </w:r>
      <w:r>
        <w:rPr>
          <w:rFonts w:ascii="宋体" w:eastAsia="宋体" w:cs="Times New Roman"/>
          <w:sz w:val="28"/>
          <w:szCs w:val="28"/>
        </w:rPr>
        <w:t>多中心临床试验</w:t>
      </w:r>
      <w:r>
        <w:rPr>
          <w:rFonts w:hint="eastAsia" w:ascii="宋体" w:eastAsia="宋体" w:cs="Times New Roman"/>
          <w:sz w:val="28"/>
          <w:szCs w:val="28"/>
        </w:rPr>
        <w:t>适用</w:t>
      </w:r>
      <w:r>
        <w:rPr>
          <w:rFonts w:hint="eastAsia" w:ascii="宋体" w:eastAsia="宋体"/>
          <w:sz w:val="28"/>
          <w:szCs w:val="28"/>
        </w:rPr>
        <w:t>）：</w:t>
      </w:r>
    </w:p>
    <w:p w14:paraId="679127E4">
      <w:pPr>
        <w:pStyle w:val="7"/>
        <w:ind w:left="980" w:hanging="56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申办者：</w:t>
      </w:r>
    </w:p>
    <w:p w14:paraId="28C6D20A">
      <w:pPr>
        <w:spacing w:before="50" w:after="50"/>
        <w:rPr>
          <w:rFonts w:ascii="宋体"/>
          <w:sz w:val="28"/>
          <w:szCs w:val="28"/>
        </w:rPr>
      </w:pPr>
    </w:p>
    <w:p w14:paraId="5EBB3216">
      <w:pPr>
        <w:spacing w:before="50" w:after="50"/>
        <w:rPr>
          <w:rFonts w:ascii="宋体"/>
          <w:sz w:val="28"/>
          <w:szCs w:val="28"/>
        </w:rPr>
      </w:pPr>
    </w:p>
    <w:p w14:paraId="0CFAE60C">
      <w:pPr>
        <w:spacing w:before="50" w:after="50"/>
        <w:rPr>
          <w:rFonts w:ascii="宋体"/>
          <w:sz w:val="28"/>
          <w:szCs w:val="28"/>
        </w:rPr>
      </w:pPr>
    </w:p>
    <w:p w14:paraId="3DEDDA0D">
      <w:pPr>
        <w:spacing w:before="50" w:after="50"/>
        <w:jc w:val="center"/>
        <w:rPr>
          <w:rFonts w:ascii="黑体" w:hAnsi="黑体" w:eastAsia="黑体"/>
        </w:rPr>
      </w:pPr>
      <w:r>
        <w:rPr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</w:rPr>
        <w:t>填写说明</w:t>
      </w:r>
    </w:p>
    <w:p w14:paraId="0D2E18F9">
      <w:pPr>
        <w:pStyle w:val="5"/>
        <w:jc w:val="center"/>
        <w:rPr>
          <w:rFonts w:ascii="宋体" w:eastAsia="宋体"/>
          <w:sz w:val="28"/>
          <w:szCs w:val="28"/>
        </w:rPr>
      </w:pPr>
    </w:p>
    <w:p w14:paraId="60290B40">
      <w:pPr>
        <w:pStyle w:val="15"/>
        <w:spacing w:after="0" w:line="560" w:lineRule="exact"/>
        <w:ind w:firstLine="0" w:firstLineChars="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1.申办者应当根据试验目的，综合考虑试验医疗器械的风险、技术特征、适用范围等，组织制定科学、合理的临床试验方案。</w:t>
      </w:r>
    </w:p>
    <w:p w14:paraId="63C32D99">
      <w:pPr>
        <w:pStyle w:val="15"/>
        <w:spacing w:after="0" w:line="560" w:lineRule="exact"/>
        <w:ind w:firstLine="0" w:firstLineChars="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2.本方案应当由主要研究者签名和注明日期，经医疗器械临床试验机构审核签章后交申办者。</w:t>
      </w:r>
    </w:p>
    <w:p w14:paraId="0D4739B2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3.可附方案历次修订情况以及理由。</w:t>
      </w:r>
    </w:p>
    <w:p w14:paraId="1DD7208F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4.方案应当有目录。</w:t>
      </w:r>
    </w:p>
    <w:p w14:paraId="40692634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5.可根据需要增加缩略语表、参考文献等内容。</w:t>
      </w:r>
    </w:p>
    <w:p w14:paraId="30D551B9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5DCCF30A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6BBE1F0D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4C081C4A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4D3DEC13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526A8CF4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7BB7C58B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4866D1D5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01180AD4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0585F942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77B1DFD8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0A66D470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649DE272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0C218BC3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一、申办者信息</w:t>
      </w:r>
    </w:p>
    <w:p w14:paraId="405635C8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（一）申办者名称</w:t>
      </w:r>
    </w:p>
    <w:p w14:paraId="6928DDF8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（二）申办者地址</w:t>
      </w:r>
    </w:p>
    <w:p w14:paraId="6F3D4C2A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（三）申办者联系方式</w:t>
      </w:r>
    </w:p>
    <w:p w14:paraId="6B1C261F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二、临床试验机构和主要研究者信息</w:t>
      </w:r>
    </w:p>
    <w:p w14:paraId="2339350F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三、临床试验的背景资料</w:t>
      </w:r>
    </w:p>
    <w:p w14:paraId="57AA08E1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（一）研发背景</w:t>
      </w:r>
    </w:p>
    <w:p w14:paraId="62D93C94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（二）产品基本信息（包括结构组成、工作原理、作用机理、产品特点等）</w:t>
      </w:r>
    </w:p>
    <w:p w14:paraId="50919938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（三）适用范围</w:t>
      </w:r>
      <w:r>
        <w:rPr>
          <w:rFonts w:hint="eastAsia" w:ascii="Times New Roman" w:hAnsi="Times New Roman" w:eastAsia="宋体" w:cs="Times New Roman"/>
          <w:sz w:val="28"/>
          <w:szCs w:val="28"/>
        </w:rPr>
        <w:t>以</w:t>
      </w:r>
      <w:r>
        <w:rPr>
          <w:rFonts w:ascii="Times New Roman" w:hAnsi="Times New Roman" w:eastAsia="宋体" w:cs="Times New Roman"/>
          <w:sz w:val="28"/>
          <w:szCs w:val="28"/>
        </w:rPr>
        <w:t>及相关信息（包括适应症、适用人群、使用部位、与人体接触的方式和时间、疾病的严重程度和阶段、使用条件、重复使用、使用方法、禁忌症、警告</w:t>
      </w:r>
      <w:r>
        <w:rPr>
          <w:rFonts w:hint="eastAsia" w:ascii="Times New Roman" w:hAnsi="Times New Roman" w:eastAsia="宋体" w:cs="Times New Roman"/>
          <w:sz w:val="28"/>
          <w:szCs w:val="28"/>
        </w:rPr>
        <w:t>以</w:t>
      </w:r>
      <w:r>
        <w:rPr>
          <w:rFonts w:ascii="Times New Roman" w:hAnsi="Times New Roman" w:eastAsia="宋体" w:cs="Times New Roman"/>
          <w:sz w:val="28"/>
          <w:szCs w:val="28"/>
        </w:rPr>
        <w:t>及预防措施等）</w:t>
      </w:r>
    </w:p>
    <w:p w14:paraId="286D9A1C">
      <w:pPr>
        <w:pStyle w:val="12"/>
        <w:spacing w:line="560" w:lineRule="exact"/>
        <w:ind w:left="0"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四、试验目的</w:t>
      </w:r>
    </w:p>
    <w:p w14:paraId="32A7292A">
      <w:pPr>
        <w:pStyle w:val="12"/>
        <w:spacing w:line="560" w:lineRule="exact"/>
        <w:ind w:left="0"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五、试验设计</w:t>
      </w:r>
    </w:p>
    <w:p w14:paraId="1D5B9632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（一）总体设计</w:t>
      </w:r>
      <w:r>
        <w:rPr>
          <w:rFonts w:hint="eastAsia" w:ascii="Times New Roman" w:hAnsi="Times New Roman" w:eastAsia="宋体" w:cs="Times New Roman"/>
          <w:sz w:val="28"/>
          <w:szCs w:val="28"/>
        </w:rPr>
        <w:t>以</w:t>
      </w:r>
      <w:r>
        <w:rPr>
          <w:rFonts w:ascii="Times New Roman" w:hAnsi="Times New Roman" w:eastAsia="宋体" w:cs="Times New Roman"/>
          <w:sz w:val="28"/>
          <w:szCs w:val="28"/>
        </w:rPr>
        <w:t>及确定依据</w:t>
      </w:r>
    </w:p>
    <w:p w14:paraId="7B049CF9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（二）受试者选择</w:t>
      </w:r>
    </w:p>
    <w:p w14:paraId="24B86D0A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1.入选标准</w:t>
      </w:r>
    </w:p>
    <w:p w14:paraId="31E8B3E2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2.排除标准</w:t>
      </w:r>
    </w:p>
    <w:p w14:paraId="7AF0E812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3.受试者退出标准和程序</w:t>
      </w:r>
    </w:p>
    <w:p w14:paraId="38C720D1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（三）评价方法</w:t>
      </w:r>
    </w:p>
    <w:p w14:paraId="79587303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1.有效性评价</w:t>
      </w:r>
    </w:p>
    <w:p w14:paraId="5B343A64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（1）评价指标以及其观察目的、定义、观察时间点、测定方法、计算公式（如适用）、判定标准（适用于定性指标和等级指标）等。如适用，明确规定主要评价指标和次要评价指标。</w:t>
      </w:r>
    </w:p>
    <w:p w14:paraId="1684E899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（2）确定依据</w:t>
      </w:r>
    </w:p>
    <w:p w14:paraId="317F8C48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2.安全性评价</w:t>
      </w:r>
    </w:p>
    <w:p w14:paraId="6EAA82EC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（1）评价指标以及其观察目的、定义、观察时间点、测定方法、计算公式（如适用）、判定标准（适用于定性指标和等级指标）等。如适用，明确规定主要评价指标和次要评价指标。</w:t>
      </w:r>
    </w:p>
    <w:p w14:paraId="43E599B4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（2）确定依据</w:t>
      </w:r>
    </w:p>
    <w:p w14:paraId="4AA63287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（四）试验医疗器械和对照医疗器械/对照诊疗方法（如适用）</w:t>
      </w:r>
    </w:p>
    <w:p w14:paraId="4A19A36E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（五）试验流程</w:t>
      </w:r>
    </w:p>
    <w:p w14:paraId="579EF48A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1.试验流程图</w:t>
      </w:r>
    </w:p>
    <w:p w14:paraId="32026EA7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2.试验实施（方法、内容、步骤等）</w:t>
      </w:r>
    </w:p>
    <w:p w14:paraId="4D8E8563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3.用械规范</w:t>
      </w:r>
    </w:p>
    <w:p w14:paraId="4541CF67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4.合并治疗（如用药）规范</w:t>
      </w:r>
    </w:p>
    <w:p w14:paraId="11035CEA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（六）偏倚控制措施</w:t>
      </w:r>
    </w:p>
    <w:p w14:paraId="119161F9">
      <w:pPr>
        <w:pStyle w:val="12"/>
        <w:spacing w:line="560" w:lineRule="exact"/>
        <w:ind w:left="0"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六、统计学考虑</w:t>
      </w:r>
    </w:p>
    <w:p w14:paraId="3884B7D2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（一）样本量估算</w:t>
      </w:r>
    </w:p>
    <w:p w14:paraId="2963E74D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1.计算公式、各参数取值（如显著性水平、把握度、预期脱落率、界值等）以及其确定依据，计算结果</w:t>
      </w:r>
    </w:p>
    <w:p w14:paraId="3397EB98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2.样本量分配以及其确定依据（如适用）</w:t>
      </w:r>
    </w:p>
    <w:p w14:paraId="3B42BFAD">
      <w:pPr>
        <w:pStyle w:val="13"/>
        <w:spacing w:after="0" w:line="560" w:lineRule="exact"/>
        <w:ind w:left="0" w:leftChars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（二）分析数据集</w:t>
      </w:r>
    </w:p>
    <w:p w14:paraId="5A995CD1">
      <w:pPr>
        <w:pStyle w:val="13"/>
        <w:spacing w:after="0" w:line="560" w:lineRule="exact"/>
        <w:ind w:left="0" w:leftChars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（三）受试者剔除标准</w:t>
      </w:r>
    </w:p>
    <w:p w14:paraId="0BC82608">
      <w:pPr>
        <w:pStyle w:val="13"/>
        <w:spacing w:after="0" w:line="560" w:lineRule="exact"/>
        <w:ind w:left="0" w:leftChars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（四）统计方法</w:t>
      </w:r>
    </w:p>
    <w:p w14:paraId="756C5C92">
      <w:pPr>
        <w:pStyle w:val="13"/>
        <w:spacing w:after="0" w:line="560" w:lineRule="exact"/>
        <w:ind w:left="0" w:leftChars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（五）缺失值和异常值的处理</w:t>
      </w:r>
    </w:p>
    <w:p w14:paraId="25319E30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七、监查计划</w:t>
      </w:r>
    </w:p>
    <w:p w14:paraId="7150B0EA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八、数据管理</w:t>
      </w:r>
    </w:p>
    <w:p w14:paraId="5F7DEE2E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九、风险受益分析</w:t>
      </w:r>
    </w:p>
    <w:p w14:paraId="0B3BC12E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十、临床试验的质量控制</w:t>
      </w:r>
    </w:p>
    <w:p w14:paraId="487BC3BF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十一、临床试验的伦理问题</w:t>
      </w:r>
      <w:r>
        <w:rPr>
          <w:rFonts w:hint="eastAsia" w:ascii="黑体" w:hAnsi="黑体" w:eastAsia="黑体" w:cs="Times New Roman"/>
          <w:sz w:val="28"/>
          <w:szCs w:val="28"/>
        </w:rPr>
        <w:t>以</w:t>
      </w:r>
      <w:r>
        <w:rPr>
          <w:rFonts w:ascii="黑体" w:hAnsi="黑体" w:eastAsia="黑体" w:cs="Times New Roman"/>
          <w:sz w:val="28"/>
          <w:szCs w:val="28"/>
        </w:rPr>
        <w:t>及知情同意</w:t>
      </w:r>
    </w:p>
    <w:p w14:paraId="12B97ED2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（一）伦理方面的考虑</w:t>
      </w:r>
    </w:p>
    <w:p w14:paraId="31522746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（二）知情同意过程</w:t>
      </w:r>
    </w:p>
    <w:p w14:paraId="4943C444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十二、对不良事件和器械缺陷报告的规定</w:t>
      </w:r>
    </w:p>
    <w:p w14:paraId="4303AD21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（一）不良事件的定义和报告规定</w:t>
      </w:r>
    </w:p>
    <w:p w14:paraId="3D0EB298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（二）器械缺陷</w:t>
      </w:r>
    </w:p>
    <w:p w14:paraId="2441D479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（三）严重不良事件的定义</w:t>
      </w:r>
    </w:p>
    <w:p w14:paraId="19D2D0DB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（四）报告程序、联络人信息</w:t>
      </w:r>
    </w:p>
    <w:p w14:paraId="4C8A1524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十三、临床试验方案的偏离与临床试验方案修正的规定</w:t>
      </w:r>
    </w:p>
    <w:p w14:paraId="067F3B7F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十四、直接访问源数据、文件</w:t>
      </w:r>
    </w:p>
    <w:p w14:paraId="6A35C9CC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十五、临床试验报告</w:t>
      </w:r>
      <w:r>
        <w:rPr>
          <w:rFonts w:hint="eastAsia" w:ascii="黑体" w:hAnsi="黑体" w:eastAsia="黑体" w:cs="Times New Roman"/>
          <w:sz w:val="28"/>
          <w:szCs w:val="28"/>
        </w:rPr>
        <w:t>应当</w:t>
      </w:r>
      <w:r>
        <w:rPr>
          <w:rFonts w:ascii="黑体" w:hAnsi="黑体" w:eastAsia="黑体" w:cs="Times New Roman"/>
          <w:sz w:val="28"/>
          <w:szCs w:val="28"/>
        </w:rPr>
        <w:t>涵盖的内容</w:t>
      </w:r>
    </w:p>
    <w:p w14:paraId="173A7EEE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十六、保密原则</w:t>
      </w:r>
    </w:p>
    <w:p w14:paraId="3705BE1E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十七、各方承担的职责</w:t>
      </w:r>
    </w:p>
    <w:p w14:paraId="7C6D8679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十八、其他需要说明的内容</w:t>
      </w:r>
    </w:p>
    <w:p w14:paraId="1007BFB3">
      <w:pPr>
        <w:pStyle w:val="8"/>
        <w:spacing w:after="0"/>
        <w:ind w:left="0" w:leftChars="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</w:rPr>
        <w:t>研究者声明</w:t>
      </w:r>
    </w:p>
    <w:p w14:paraId="24A41EC4">
      <w:pPr>
        <w:pStyle w:val="8"/>
        <w:spacing w:after="0"/>
        <w:ind w:left="0" w:leftChars="0" w:firstLine="560" w:firstLineChars="200"/>
        <w:rPr>
          <w:rFonts w:ascii="宋体" w:eastAsia="宋体" w:cs="Times New Roman"/>
          <w:sz w:val="28"/>
          <w:szCs w:val="28"/>
        </w:rPr>
      </w:pPr>
      <w:r>
        <w:rPr>
          <w:rFonts w:ascii="宋体" w:eastAsia="宋体" w:cs="Times New Roman"/>
          <w:sz w:val="28"/>
          <w:szCs w:val="28"/>
        </w:rPr>
        <w:t>我同意：</w:t>
      </w:r>
    </w:p>
    <w:p w14:paraId="740DDF9F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1.严格按照赫尔辛基宣言、中国现行法规、以及试验方案的要求进行本次临床试验。</w:t>
      </w:r>
    </w:p>
    <w:p w14:paraId="255BF9A7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2.将所要求的全部数据准确记录于病例报告表（CRF）中，配合完成临床试验报告。</w:t>
      </w:r>
    </w:p>
    <w:p w14:paraId="48FCCB97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3.试验医疗器械仅用于本次临床试验，在临床试验过程中完整准确地记录试验医疗器械的接收和使用情况，并保存记录。</w:t>
      </w:r>
    </w:p>
    <w:p w14:paraId="1934489A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4.允许申办者授权或派遣的监查员、稽查员和监管部门对该项临床试验进行监查、稽查和检查。</w:t>
      </w:r>
    </w:p>
    <w:p w14:paraId="3E3FADAA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5.严格履行各方签署的临床试验合同/协议条款。</w:t>
      </w:r>
    </w:p>
    <w:p w14:paraId="4D8234E9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我已全部阅读了临床试验方案，包括以上的声明，我同意以上全部内容。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 w14:paraId="4775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5EB6A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主要研究者</w:t>
            </w:r>
          </w:p>
          <w:p w14:paraId="41AEF1D8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                      签名</w:t>
            </w:r>
          </w:p>
          <w:p w14:paraId="6F4A6952">
            <w:pPr>
              <w:spacing w:before="50" w:after="50"/>
              <w:ind w:left="5600" w:hanging="5600" w:hangingChars="20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年　　月　　日</w:t>
            </w:r>
          </w:p>
        </w:tc>
      </w:tr>
    </w:tbl>
    <w:p w14:paraId="43AD94A6">
      <w:pPr>
        <w:spacing w:line="240" w:lineRule="exact"/>
        <w:rPr>
          <w:rFonts w:ascii="宋体"/>
          <w:sz w:val="28"/>
          <w:szCs w:val="28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 w14:paraId="33B0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7920" w:type="dxa"/>
          </w:tcPr>
          <w:p w14:paraId="63191CF8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医疗器械临床试验机构</w:t>
            </w:r>
          </w:p>
          <w:p w14:paraId="0AB6503B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　　　　　　　　　　　　　　　　　　　　　　　</w:t>
            </w:r>
          </w:p>
          <w:p w14:paraId="01D32AF0">
            <w:pPr>
              <w:spacing w:before="50" w:after="50"/>
              <w:ind w:left="5880" w:hanging="5880" w:hangingChars="21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 　签章</w:t>
            </w:r>
          </w:p>
          <w:p w14:paraId="43D81E8A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　年　　月　　日　　</w:t>
            </w:r>
          </w:p>
        </w:tc>
      </w:tr>
    </w:tbl>
    <w:p w14:paraId="0540C96B">
      <w:pPr>
        <w:spacing w:line="240" w:lineRule="exact"/>
        <w:rPr>
          <w:rFonts w:ascii="宋体"/>
          <w:sz w:val="28"/>
          <w:szCs w:val="28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2"/>
      </w:tblGrid>
      <w:tr w14:paraId="30B4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7932" w:type="dxa"/>
          </w:tcPr>
          <w:p w14:paraId="1D3FAD36">
            <w:pPr>
              <w:spacing w:before="50" w:after="50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申办者　　　　　　　　　</w:t>
            </w:r>
          </w:p>
          <w:p w14:paraId="298785CB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　　　　</w:t>
            </w:r>
          </w:p>
          <w:p w14:paraId="682E42FC">
            <w:pPr>
              <w:spacing w:before="50" w:after="50"/>
              <w:ind w:left="5880" w:hanging="5880" w:hangingChars="21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 　签章</w:t>
            </w:r>
          </w:p>
          <w:p w14:paraId="59B81F34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　年　　月　　日　　</w:t>
            </w:r>
          </w:p>
        </w:tc>
      </w:tr>
    </w:tbl>
    <w:p w14:paraId="29C85062">
      <w:pPr>
        <w:rPr>
          <w:rFonts w:hint="eastAsia" w:eastAsia="方正仿宋简体"/>
          <w:sz w:val="28"/>
          <w:szCs w:val="28"/>
        </w:rPr>
      </w:pPr>
    </w:p>
    <w:p w14:paraId="071DB057">
      <w:pPr>
        <w:tabs>
          <w:tab w:val="left" w:pos="6480"/>
          <w:tab w:val="left" w:pos="7920"/>
        </w:tabs>
        <w:spacing w:line="240" w:lineRule="exact"/>
        <w:rPr>
          <w:rFonts w:hint="eastAsia" w:eastAsia="宋体"/>
          <w:lang w:eastAsia="zh-CN"/>
        </w:rPr>
      </w:pPr>
    </w:p>
    <w:p w14:paraId="1E6DFA0A">
      <w:pPr>
        <w:tabs>
          <w:tab w:val="left" w:pos="6480"/>
          <w:tab w:val="left" w:pos="7920"/>
        </w:tabs>
        <w:spacing w:line="240" w:lineRule="exact"/>
        <w:jc w:val="center"/>
        <w:rPr>
          <w:rFonts w:hint="eastAsia" w:eastAsia="宋体"/>
          <w:lang w:eastAsia="zh-CN"/>
        </w:rPr>
      </w:pPr>
    </w:p>
    <w:p w14:paraId="3B628CFE">
      <w:pPr>
        <w:tabs>
          <w:tab w:val="left" w:pos="6480"/>
          <w:tab w:val="left" w:pos="7920"/>
        </w:tabs>
        <w:spacing w:line="240" w:lineRule="exac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2" name="图片 2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..ì.">
    <w:altName w:val="Adobe 仿宋 Std R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A5F36">
    <w:pPr>
      <w:pStyle w:val="10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905" t="0" r="63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3AEB6">
                          <w:pPr>
                            <w:pStyle w:val="10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Y9/WDSAAAABAEAAA8AAAAAAAAAAQAgAAAAIgAAAGRycy9k&#10;b3ducmV2LnhtbFBLAQIUABQAAAAIAIdO4kBHEjolCAIAAAIEAAAOAAAAAAAAAAEAIAAAACE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43AEB6">
                    <w:pPr>
                      <w:pStyle w:val="10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0197D">
    <w:pPr>
      <w:pStyle w:val="10"/>
      <w:framePr w:wrap="around" w:vAnchor="text" w:hAnchor="margin" w:xAlign="outside" w:y="1"/>
      <w:rPr>
        <w:rStyle w:val="19"/>
        <w:sz w:val="28"/>
        <w:szCs w:val="28"/>
      </w:rPr>
    </w:pPr>
    <w:r>
      <w:rPr>
        <w:rStyle w:val="19"/>
        <w:rFonts w:hint="eastAsia"/>
        <w:color w:val="FFFFFF"/>
        <w:sz w:val="28"/>
        <w:szCs w:val="28"/>
      </w:rPr>
      <w:t>—</w:t>
    </w:r>
    <w:r>
      <w:rPr>
        <w:rStyle w:val="1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9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19"/>
        <w:rFonts w:hint="eastAsia"/>
        <w:sz w:val="28"/>
        <w:szCs w:val="28"/>
      </w:rPr>
      <w:t xml:space="preserve"> — </w:t>
    </w:r>
  </w:p>
  <w:p w14:paraId="529BA76D">
    <w:pPr>
      <w:pStyle w:val="1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7A0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05099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A652B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20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1BF7D3D6"/>
    <w:rsid w:val="1DE7393D"/>
    <w:rsid w:val="27F41AFC"/>
    <w:rsid w:val="2BD7325D"/>
    <w:rsid w:val="2BEFAEE5"/>
    <w:rsid w:val="2DBEA235"/>
    <w:rsid w:val="33F5D4D3"/>
    <w:rsid w:val="3EDD547D"/>
    <w:rsid w:val="3EFE6701"/>
    <w:rsid w:val="3FD14A26"/>
    <w:rsid w:val="3FE32350"/>
    <w:rsid w:val="45386969"/>
    <w:rsid w:val="45492E01"/>
    <w:rsid w:val="45E79B50"/>
    <w:rsid w:val="466F7F34"/>
    <w:rsid w:val="4FDDB3FD"/>
    <w:rsid w:val="525725EC"/>
    <w:rsid w:val="53EB1CFE"/>
    <w:rsid w:val="5CFD1998"/>
    <w:rsid w:val="5DBD2B85"/>
    <w:rsid w:val="5DDF058A"/>
    <w:rsid w:val="5EF17F99"/>
    <w:rsid w:val="5F8C32F3"/>
    <w:rsid w:val="6EF7404B"/>
    <w:rsid w:val="6F7B6BCB"/>
    <w:rsid w:val="71BB448E"/>
    <w:rsid w:val="737FCC71"/>
    <w:rsid w:val="738F858F"/>
    <w:rsid w:val="73CC2AC7"/>
    <w:rsid w:val="758F27DE"/>
    <w:rsid w:val="767FC11C"/>
    <w:rsid w:val="77E3854C"/>
    <w:rsid w:val="7B353E95"/>
    <w:rsid w:val="7BDEBD2E"/>
    <w:rsid w:val="7BED1CE6"/>
    <w:rsid w:val="7BF38D75"/>
    <w:rsid w:val="7DCFDC20"/>
    <w:rsid w:val="7E3F5584"/>
    <w:rsid w:val="7EBEFE31"/>
    <w:rsid w:val="7F9936EE"/>
    <w:rsid w:val="7FBFBB83"/>
    <w:rsid w:val="7FD7F33C"/>
    <w:rsid w:val="7FDA4245"/>
    <w:rsid w:val="7FE7BA17"/>
    <w:rsid w:val="7FED0E12"/>
    <w:rsid w:val="7FF60759"/>
    <w:rsid w:val="7FFE36C4"/>
    <w:rsid w:val="7FFFFE85"/>
    <w:rsid w:val="8ACF6BCB"/>
    <w:rsid w:val="9CF779D3"/>
    <w:rsid w:val="9DF74A28"/>
    <w:rsid w:val="9FFF1748"/>
    <w:rsid w:val="ABEE9937"/>
    <w:rsid w:val="AE6DF97C"/>
    <w:rsid w:val="AE9FA30E"/>
    <w:rsid w:val="AF7E3731"/>
    <w:rsid w:val="AFB767AB"/>
    <w:rsid w:val="B59C95A6"/>
    <w:rsid w:val="B956938E"/>
    <w:rsid w:val="BA7C527C"/>
    <w:rsid w:val="BF9F9802"/>
    <w:rsid w:val="BFDEE498"/>
    <w:rsid w:val="BFFFA68C"/>
    <w:rsid w:val="C75BAD50"/>
    <w:rsid w:val="CECEAED5"/>
    <w:rsid w:val="D3FF86D6"/>
    <w:rsid w:val="D7EF4F30"/>
    <w:rsid w:val="DAEFBAC0"/>
    <w:rsid w:val="DBFF303B"/>
    <w:rsid w:val="DFF7A5E7"/>
    <w:rsid w:val="E3D76B8E"/>
    <w:rsid w:val="E597D058"/>
    <w:rsid w:val="E77F02FF"/>
    <w:rsid w:val="E9FC1661"/>
    <w:rsid w:val="EBBCC4B7"/>
    <w:rsid w:val="EBCED0E1"/>
    <w:rsid w:val="EBFA34C8"/>
    <w:rsid w:val="EEEF7F2E"/>
    <w:rsid w:val="EEFFEB2E"/>
    <w:rsid w:val="EF60E42C"/>
    <w:rsid w:val="EFEF64EF"/>
    <w:rsid w:val="F1FECC9D"/>
    <w:rsid w:val="F29F7530"/>
    <w:rsid w:val="F79E546D"/>
    <w:rsid w:val="F7AFF3D0"/>
    <w:rsid w:val="FAB2CB42"/>
    <w:rsid w:val="FB5F26CF"/>
    <w:rsid w:val="FD9F851C"/>
    <w:rsid w:val="FDBD781B"/>
    <w:rsid w:val="FDFFB9D3"/>
    <w:rsid w:val="FE7CEC22"/>
    <w:rsid w:val="FEBF8D61"/>
    <w:rsid w:val="FF6BAC68"/>
    <w:rsid w:val="FF72B169"/>
    <w:rsid w:val="FFAFC933"/>
    <w:rsid w:val="FFBB3DAB"/>
    <w:rsid w:val="FFBFB131"/>
    <w:rsid w:val="FFEB7F66"/>
    <w:rsid w:val="FFFCE808"/>
    <w:rsid w:val="FFFF8F58"/>
    <w:rsid w:val="FFFFA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8">
    <w:name w:val="Default Paragraph Font"/>
    <w:semiHidden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qFormat/>
    <w:uiPriority w:val="0"/>
    <w:pPr>
      <w:ind w:left="100" w:leftChars="4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annotation text"/>
    <w:basedOn w:val="1"/>
    <w:qFormat/>
    <w:uiPriority w:val="0"/>
    <w:pPr>
      <w:jc w:val="left"/>
    </w:pPr>
    <w:rPr>
      <w:rFonts w:ascii="仿宋_GB2312" w:hAnsi="宋体" w:eastAsia="仿宋_GB2312"/>
      <w:color w:val="000000"/>
      <w:kern w:val="0"/>
      <w:sz w:val="30"/>
      <w:szCs w:val="30"/>
    </w:rPr>
  </w:style>
  <w:style w:type="paragraph" w:styleId="5">
    <w:name w:val="Body Text"/>
    <w:basedOn w:val="1"/>
    <w:qFormat/>
    <w:uiPriority w:val="0"/>
    <w:pPr>
      <w:spacing w:after="12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6">
    <w:name w:val="Body Text Indent"/>
    <w:basedOn w:val="1"/>
    <w:qFormat/>
    <w:uiPriority w:val="0"/>
    <w:pPr>
      <w:widowControl/>
      <w:spacing w:before="120" w:beforeLines="50" w:after="120" w:afterLines="50" w:line="560" w:lineRule="exact"/>
      <w:ind w:firstLine="480" w:firstLineChars="200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List 2"/>
    <w:basedOn w:val="1"/>
    <w:qFormat/>
    <w:uiPriority w:val="0"/>
    <w:pPr>
      <w:ind w:left="100" w:leftChars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8">
    <w:name w:val="List Continue"/>
    <w:basedOn w:val="1"/>
    <w:qFormat/>
    <w:uiPriority w:val="0"/>
    <w:pPr>
      <w:spacing w:after="120"/>
      <w:ind w:left="420" w:left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List"/>
    <w:basedOn w:val="1"/>
    <w:qFormat/>
    <w:uiPriority w:val="0"/>
    <w:pPr>
      <w:ind w:left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3">
    <w:name w:val="List Continue 2"/>
    <w:basedOn w:val="1"/>
    <w:qFormat/>
    <w:uiPriority w:val="0"/>
    <w:pPr>
      <w:spacing w:after="120"/>
      <w:ind w:left="840" w:leftChars="4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color w:val="000000"/>
      <w:kern w:val="0"/>
      <w:sz w:val="24"/>
      <w:szCs w:val="30"/>
    </w:rPr>
  </w:style>
  <w:style w:type="paragraph" w:styleId="15">
    <w:name w:val="Body Text First Indent"/>
    <w:basedOn w:val="5"/>
    <w:qFormat/>
    <w:uiPriority w:val="0"/>
    <w:pPr>
      <w:ind w:firstLine="420" w:firstLineChars="100"/>
    </w:pPr>
    <w:rPr>
      <w:rFonts w:cs="Times New Roman"/>
    </w:rPr>
  </w:style>
  <w:style w:type="paragraph" w:styleId="16">
    <w:name w:val="Body Text First Indent 2"/>
    <w:basedOn w:val="6"/>
    <w:qFormat/>
    <w:uiPriority w:val="0"/>
    <w:pPr>
      <w:widowControl w:val="0"/>
      <w:spacing w:before="0" w:beforeLines="0" w:afterLines="0" w:line="240" w:lineRule="auto"/>
      <w:ind w:left="420" w:leftChars="200" w:firstLine="420"/>
      <w:jc w:val="both"/>
    </w:pPr>
    <w:rPr>
      <w:rFonts w:ascii="仿宋_GB2312" w:eastAsia="仿宋_GB2312"/>
      <w:sz w:val="30"/>
      <w:szCs w:val="30"/>
    </w:rPr>
  </w:style>
  <w:style w:type="character" w:styleId="19">
    <w:name w:val="page number"/>
    <w:basedOn w:val="18"/>
    <w:uiPriority w:val="0"/>
  </w:style>
  <w:style w:type="character" w:customStyle="1" w:styleId="20">
    <w:name w:val="页脚 Char"/>
    <w:link w:val="10"/>
    <w:uiPriority w:val="99"/>
    <w:rPr>
      <w:kern w:val="2"/>
      <w:sz w:val="18"/>
      <w:szCs w:val="18"/>
    </w:rPr>
  </w:style>
  <w:style w:type="character" w:customStyle="1" w:styleId="21">
    <w:name w:val="页眉 Char"/>
    <w:link w:val="11"/>
    <w:uiPriority w:val="99"/>
    <w:rPr>
      <w:kern w:val="2"/>
      <w:sz w:val="18"/>
      <w:szCs w:val="18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7</Pages>
  <Words>1371</Words>
  <Characters>1394</Characters>
  <Lines>12</Lines>
  <Paragraphs>3</Paragraphs>
  <TotalTime>0</TotalTime>
  <ScaleCrop>false</ScaleCrop>
  <LinksUpToDate>false</LinksUpToDate>
  <CharactersWithSpaces>1592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2022-03-31T08:13:00Z</dcterms:created>
  <dc:creator>Xtzj.User</dc:creator>
  <cp:lastModifiedBy>太极箫客</cp:lastModifiedBy>
  <cp:lastPrinted>2022-04-02T01:19:00Z</cp:lastPrinted>
  <dcterms:modified xsi:type="dcterms:W3CDTF">2025-08-14T06:38:59Z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370B4C465AD446899C5B7083686CCEBA_12</vt:lpwstr>
  </property>
</Properties>
</file>