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5EB52">
      <w:pPr>
        <w:widowControl w:val="0"/>
        <w:spacing w:after="0" w:line="560" w:lineRule="exact"/>
        <w:rPr>
          <w:rFonts w:ascii="黑体" w:hAnsi="黑体" w:eastAsia="黑体" w:cs="黑体"/>
          <w:sz w:val="32"/>
          <w:szCs w:val="32"/>
        </w:rPr>
      </w:pPr>
      <w:bookmarkStart w:id="11" w:name="_GoBack"/>
      <w:bookmarkEnd w:id="11"/>
      <w:r>
        <w:rPr>
          <w:rFonts w:hint="eastAsia" w:ascii="黑体" w:hAnsi="黑体" w:eastAsia="黑体" w:cs="黑体"/>
          <w:sz w:val="32"/>
          <w:szCs w:val="32"/>
        </w:rPr>
        <w:t>附件3</w:t>
      </w:r>
    </w:p>
    <w:p w14:paraId="3C5B95D9">
      <w:pPr>
        <w:widowControl w:val="0"/>
        <w:spacing w:after="0" w:line="560" w:lineRule="exact"/>
        <w:jc w:val="center"/>
        <w:rPr>
          <w:rFonts w:ascii="Times New Roman" w:hAnsi="Times New Roman" w:eastAsia="黑体" w:cs="Times New Roman"/>
          <w:sz w:val="44"/>
          <w:szCs w:val="44"/>
        </w:rPr>
      </w:pPr>
    </w:p>
    <w:p w14:paraId="1805C394">
      <w:pPr>
        <w:widowControl w:val="0"/>
        <w:spacing w:after="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医疗器械临床评价等同性论证技术指导原则</w:t>
      </w:r>
    </w:p>
    <w:p w14:paraId="4B7D34B2">
      <w:pPr>
        <w:widowControl w:val="0"/>
        <w:tabs>
          <w:tab w:val="left" w:pos="5994"/>
        </w:tabs>
        <w:spacing w:after="0" w:line="560" w:lineRule="exact"/>
        <w:ind w:firstLine="880" w:firstLineChars="200"/>
        <w:jc w:val="both"/>
        <w:rPr>
          <w:rFonts w:ascii="Times New Roman" w:hAnsi="Times New Roman" w:eastAsia="黑体" w:cs="Times New Roman"/>
          <w:sz w:val="44"/>
          <w:szCs w:val="44"/>
        </w:rPr>
      </w:pPr>
    </w:p>
    <w:p w14:paraId="605359FC">
      <w:pPr>
        <w:widowControl w:val="0"/>
        <w:tabs>
          <w:tab w:val="left" w:pos="5994"/>
        </w:tabs>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一、前言</w:t>
      </w:r>
    </w:p>
    <w:p w14:paraId="46F18F09">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于需要进行临床评价的第二类、第三类医疗器械，若通过等同器械的临床数据进行临床评价，需要进行等同性论证。等同性论证是指将适用范围相同的申报产品与对比器械在技术特征和生物学特性方面进行比对，证明二者基本等同的过程。基本等同包括两种情形：</w:t>
      </w:r>
    </w:p>
    <w:p w14:paraId="109587E7">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（一）申报产品与对比器械具有相同的适用范围、技术特征和生物学特性；</w:t>
      </w:r>
    </w:p>
    <w:p w14:paraId="10360A14">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（二）申报产品与对比器械具有相同的适用范围，相似的技术特征和生物学特性；有充分的科学证据证明申报产品与对比器械具有相同的安全有效性。</w:t>
      </w:r>
    </w:p>
    <w:p w14:paraId="7539788B">
      <w:pPr>
        <w:widowControl w:val="0"/>
        <w:spacing w:after="0" w:line="560" w:lineRule="exact"/>
        <w:ind w:firstLine="640" w:firstLineChars="200"/>
        <w:jc w:val="both"/>
        <w:rPr>
          <w:rFonts w:ascii="Times New Roman" w:hAnsi="Times New Roman" w:eastAsia="仿宋_GB2312" w:cs="Times New Roman"/>
          <w:sz w:val="32"/>
          <w:szCs w:val="32"/>
        </w:rPr>
      </w:pPr>
      <w:bookmarkStart w:id="0" w:name="_Hlk75691009"/>
      <w:r>
        <w:rPr>
          <w:rFonts w:ascii="Times New Roman" w:hAnsi="Times New Roman" w:eastAsia="仿宋_GB2312" w:cs="Times New Roman"/>
          <w:sz w:val="32"/>
          <w:szCs w:val="32"/>
        </w:rPr>
        <w:t>本指导原则中提及的对比器械，指的是注册申请人选择的，用于等同性论证的医疗器械，若对比器械与申报产品通过等同性论证，证明二者基本等同，则对比器械被认为是等同器械。</w:t>
      </w:r>
      <w:bookmarkEnd w:id="0"/>
    </w:p>
    <w:p w14:paraId="2E3AEBBC">
      <w:pPr>
        <w:widowControl w:val="0"/>
        <w:spacing w:after="0" w:line="560" w:lineRule="exact"/>
        <w:ind w:firstLine="640" w:firstLineChars="200"/>
        <w:jc w:val="both"/>
        <w:rPr>
          <w:rFonts w:ascii="Times New Roman" w:hAnsi="Times New Roman" w:eastAsia="仿宋_GB2312" w:cs="Times New Roman"/>
          <w:sz w:val="32"/>
          <w:szCs w:val="32"/>
        </w:rPr>
      </w:pPr>
      <w:bookmarkStart w:id="1" w:name="_Hlk75692927"/>
      <w:r>
        <w:rPr>
          <w:rFonts w:ascii="Times New Roman" w:hAnsi="Times New Roman" w:eastAsia="仿宋_GB2312" w:cs="Times New Roman"/>
          <w:sz w:val="32"/>
          <w:szCs w:val="32"/>
        </w:rPr>
        <w:t>本指导原则旨在为注册申请人进行等同性论证及药品监督管理部门对等同性论证资料进行技术审评时提供技术指导。</w:t>
      </w:r>
    </w:p>
    <w:bookmarkEnd w:id="1"/>
    <w:p w14:paraId="2F682C35">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本指导原则是医疗器械临床评价通用指导原则体系的一部分，与《医疗器械临床评价技术指导原则》《医疗器械注册申报临床评价报告技术指导原则》等文件相互引用。</w:t>
      </w:r>
    </w:p>
    <w:p w14:paraId="07819101">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二、适用范围</w:t>
      </w:r>
    </w:p>
    <w:p w14:paraId="2B12A411">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本指导原则适用于第二类、第三类医疗器械通过等同器械的临床数据进行临床评价时的等同性论证，不适用于按医疗器械管理的体外诊断试剂。</w:t>
      </w:r>
    </w:p>
    <w:p w14:paraId="577EBBA0">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三、产品描述和研发背景</w:t>
      </w:r>
    </w:p>
    <w:p w14:paraId="2FC50EC9">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注册申请人需阐明申报产品的基本信息、研发背景、适用范围、已有的诊断或治疗方法及临床应用情况等，建议涵盖以下方面的适用部分，如不适用，需说明不适用的理由：</w:t>
      </w:r>
    </w:p>
    <w:p w14:paraId="12E548A3">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产品基本信息，如结构组成、材料、软件等；</w:t>
      </w:r>
    </w:p>
    <w:p w14:paraId="4E401B85">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适用范围；</w:t>
      </w:r>
    </w:p>
    <w:p w14:paraId="222222CD">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研发背景与目的；</w:t>
      </w:r>
    </w:p>
    <w:p w14:paraId="36FCA4E5">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工作原理和/或作用机理及涉及的科学概念，尤其是器械关键设计特征旨在达到的临床目的以及如何实现其临床目的；</w:t>
      </w:r>
    </w:p>
    <w:p w14:paraId="03E3A2F5">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现有的诊断或治疗方法、涉及的产品（如有）及临床应用情况</w:t>
      </w:r>
      <w:r>
        <w:rPr>
          <w:rFonts w:hint="eastAsia" w:ascii="Times New Roman" w:hAnsi="Times New Roman" w:eastAsia="仿宋_GB2312" w:cs="Times New Roman"/>
          <w:sz w:val="32"/>
          <w:szCs w:val="32"/>
        </w:rPr>
        <w:t>；</w:t>
      </w:r>
    </w:p>
    <w:p w14:paraId="02F6EAED">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申报产品与现有诊断或治疗方法的关系，包括申报产品所支持的诊断或治疗方法，相较于现有方法的创新性；申报产品相对于现有产品的改进点或对其进行仿制；预期是否联合或辅助现有治疗或诊断方法使用等。</w:t>
      </w:r>
    </w:p>
    <w:p w14:paraId="000E9FAF">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申报产品预期达到的临床疗效，如治疗类产品是否可以降低死亡率、改善功能、缓解症状、提高生活质量、降低功能丧失的可能性；明确对症治疗或根治性治疗等；诊断类产品是否用于疾病的预测、检查、诊断或识别对特定治疗有效性较高的患者。</w:t>
      </w:r>
    </w:p>
    <w:p w14:paraId="099C7582">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申报产品预期的临床优势，如提高临床安全性和/或有效性，提高使用的便利性等。</w:t>
      </w:r>
    </w:p>
    <w:p w14:paraId="4CC402BA">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四、对比器械的选择</w:t>
      </w:r>
    </w:p>
    <w:p w14:paraId="78DC81ED">
      <w:pPr>
        <w:widowControl w:val="0"/>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（一）对比器械的要求</w:t>
      </w:r>
    </w:p>
    <w:p w14:paraId="431A2CC5">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对比器械应与申报产品需具有相同的适用范围，相同或相似的技术特征和生物学特性。对比器械应已在境内获准注册。</w:t>
      </w:r>
    </w:p>
    <w:p w14:paraId="0BD166BC">
      <w:pPr>
        <w:widowControl w:val="0"/>
        <w:spacing w:after="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（二）多个对比器械的使用</w:t>
      </w:r>
    </w:p>
    <w:p w14:paraId="0BD41BAC">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建议注册申请人在适宜的情形下，尽量选择一个对比器械，以简化和促进等同性论证过程。当选择一个以上的对比器械时，注册申请人应说明理由，并将多个对比器械分别与申报产品进行充分对比，以论证多个对比器械的数据可用于支持申报产品的安全有效性。此种情况下，建议注册申请人选择与申报产品最相似的产品作为主要对比器械，并尽量减少对比器械的数量。将可能采用多个对比器械的情形举例如下：</w:t>
      </w:r>
    </w:p>
    <w:p w14:paraId="51E5C70C">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若申报产品结合了来自多个对比器械的设计特征，在申报产品与多个对比器械具有相同适用范围的前提下，若不同的设计特征在申报产品中组合时不会相互影响，或不同设计特征的组合分别与多个对比医疗器械相比，没有引起不同的安全性有效性问题；</w:t>
      </w:r>
    </w:p>
    <w:p w14:paraId="0533606C">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若申报产品结合了多个对比医疗器械的适用范围，在申报产品与多个对比器械具有相同适用范围的前提下，若不同的适用范围在申报产品中组合时不会相互影响，或不同适用范围的组合分别与多个对比医疗器械相比，没有引起不同的安全性有效性问题。</w:t>
      </w:r>
    </w:p>
    <w:p w14:paraId="246B72BA">
      <w:pPr>
        <w:widowControl w:val="0"/>
        <w:spacing w:after="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（三）对比器械的选择与等同性论证</w:t>
      </w:r>
    </w:p>
    <w:p w14:paraId="060024D5">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等同性论证既是判断申报产品与选择的对比医疗器械是否等同的过程，也是判断所选产品是否适宜作为对比医疗器械的过程。若所选产品不适宜作为对比医疗器械，注册申请人可更换或增加其他产品再次进行等同性论证，也可选择其他评价方法。</w:t>
      </w:r>
    </w:p>
    <w:p w14:paraId="1E00022A">
      <w:pPr>
        <w:widowControl w:val="0"/>
        <w:spacing w:after="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（四）其他</w:t>
      </w:r>
    </w:p>
    <w:p w14:paraId="4690E573">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医疗器械全生命周期管理的角度，产品获得上市批准后积累临床经验数据非常重要，通过积累临床使用经验进一步确认产品的有效性，充分识别产品的风险，分析产品需要改进的重点，可更为安全有效地对产品进行改进，从而研发出下一代医疗器械。鼓励注册申请人在可行的前提下，选用本企业改进前的产品即前代产品或同系列产品，作为对比医疗器械。</w:t>
      </w:r>
    </w:p>
    <w:p w14:paraId="180378CE">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五、等同性论证的基本要求</w:t>
      </w:r>
    </w:p>
    <w:p w14:paraId="639DF782">
      <w:pPr>
        <w:widowControl w:val="0"/>
        <w:spacing w:after="0" w:line="560" w:lineRule="exact"/>
        <w:ind w:firstLine="640" w:firstLineChars="200"/>
        <w:jc w:val="both"/>
        <w:rPr>
          <w:rFonts w:ascii="楷体_GB2312" w:hAnsi="楷体_GB2312" w:eastAsia="楷体_GB2312" w:cs="楷体_GB2312"/>
          <w:color w:val="FF0000"/>
          <w:sz w:val="32"/>
          <w:szCs w:val="32"/>
        </w:rPr>
      </w:pPr>
      <w:r>
        <w:rPr>
          <w:rFonts w:ascii="楷体_GB2312" w:hAnsi="楷体_GB2312" w:eastAsia="楷体_GB2312" w:cs="楷体_GB2312"/>
          <w:color w:val="000000"/>
          <w:sz w:val="32"/>
          <w:szCs w:val="32"/>
          <w:lang w:val="en"/>
        </w:rPr>
        <w:t>（</w:t>
      </w:r>
      <w:r>
        <w:rPr>
          <w:rFonts w:hint="eastAsia" w:ascii="楷体_GB2312" w:hAnsi="楷体_GB2312" w:eastAsia="楷体_GB2312" w:cs="楷体_GB2312"/>
          <w:color w:val="000000"/>
          <w:sz w:val="32"/>
          <w:szCs w:val="32"/>
        </w:rPr>
        <w:t>一</w:t>
      </w:r>
      <w:r>
        <w:rPr>
          <w:rFonts w:ascii="楷体_GB2312" w:hAnsi="楷体_GB2312" w:eastAsia="楷体_GB2312" w:cs="楷体_GB2312"/>
          <w:color w:val="000000"/>
          <w:sz w:val="32"/>
          <w:szCs w:val="32"/>
          <w:lang w:val="en"/>
        </w:rPr>
        <w:t>）</w:t>
      </w:r>
      <w:r>
        <w:rPr>
          <w:rFonts w:hint="eastAsia" w:ascii="楷体_GB2312" w:hAnsi="楷体_GB2312" w:eastAsia="楷体_GB2312" w:cs="楷体_GB2312"/>
          <w:color w:val="000000"/>
          <w:sz w:val="32"/>
          <w:szCs w:val="32"/>
        </w:rPr>
        <w:t>申报产品与对比器械是否具有相同的适用范围</w:t>
      </w:r>
    </w:p>
    <w:p w14:paraId="11276F23">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1.适用范围及临床使用相关信息</w:t>
      </w:r>
    </w:p>
    <w:p w14:paraId="58DBD63E">
      <w:pPr>
        <w:widowControl w:val="0"/>
        <w:spacing w:after="0" w:line="560" w:lineRule="exact"/>
        <w:ind w:firstLine="640" w:firstLineChars="200"/>
        <w:jc w:val="both"/>
        <w:rPr>
          <w:rFonts w:ascii="Times New Roman" w:hAnsi="Times New Roman" w:eastAsia="仿宋_GB2312" w:cs="Times New Roman"/>
          <w:sz w:val="32"/>
          <w:szCs w:val="32"/>
        </w:rPr>
      </w:pPr>
      <w:bookmarkStart w:id="2" w:name="_Hlk75692736"/>
      <w:r>
        <w:rPr>
          <w:rFonts w:ascii="Times New Roman" w:hAnsi="Times New Roman" w:eastAsia="仿宋_GB2312" w:cs="Times New Roman"/>
          <w:sz w:val="32"/>
          <w:szCs w:val="32"/>
        </w:rPr>
        <w:t>适用范围由注册申请人提出，反映在其提供的说明书、产品技术文件和其他信息文件中，包括申报产品在何种临床使用条件下实现哪些具体医疗目的。</w:t>
      </w:r>
      <w:bookmarkEnd w:id="2"/>
      <w:r>
        <w:rPr>
          <w:rFonts w:ascii="Times New Roman" w:hAnsi="Times New Roman" w:eastAsia="仿宋_GB2312" w:cs="Times New Roman"/>
          <w:sz w:val="32"/>
          <w:szCs w:val="32"/>
        </w:rPr>
        <w:t>适用范围相关信息一般包括适应证、适用人群、适用部位、与人体接触方式和时间、适用的疾病的阶段和程度、使用条件、重复使用等。对于具体的医疗器械，由于其设计特征、临床目的、使用经验的不同，以上信息可能是适用范围的组成部分，也可能是适用范围的影响因素。临床使用相关信息一般包括使用方法、</w:t>
      </w:r>
      <w:r>
        <w:rPr>
          <w:rFonts w:hint="eastAsia" w:ascii="Times New Roman" w:hAnsi="Times New Roman" w:eastAsia="仿宋_GB2312" w:cs="Times New Roman"/>
          <w:sz w:val="32"/>
          <w:szCs w:val="32"/>
        </w:rPr>
        <w:t>禁忌证</w:t>
      </w:r>
      <w:r>
        <w:rPr>
          <w:rFonts w:ascii="Times New Roman" w:hAnsi="Times New Roman" w:eastAsia="仿宋_GB2312" w:cs="Times New Roman"/>
          <w:sz w:val="32"/>
          <w:szCs w:val="32"/>
        </w:rPr>
        <w:t>、警告及预防措施等。</w:t>
      </w:r>
    </w:p>
    <w:p w14:paraId="538A77D6">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2.适用范围及临床使用相关信息的比较</w:t>
      </w:r>
    </w:p>
    <w:p w14:paraId="0D537D41">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建议注册申请人在适用的前提下，从如下方面收集申报产品与对比器械的相关信息并进行比较：</w:t>
      </w:r>
    </w:p>
    <w:p w14:paraId="431E7FA8">
      <w:pPr>
        <w:widowControl w:val="0"/>
        <w:spacing w:after="0" w:line="560" w:lineRule="exact"/>
        <w:ind w:firstLine="640" w:firstLineChars="200"/>
        <w:jc w:val="both"/>
        <w:rPr>
          <w:rFonts w:ascii="Times New Roman" w:hAnsi="Times New Roman" w:eastAsia="仿宋_GB2312" w:cs="Times New Roman"/>
          <w:sz w:val="32"/>
          <w:szCs w:val="32"/>
        </w:rPr>
      </w:pPr>
      <w:bookmarkStart w:id="3" w:name="_Toc499537136"/>
      <w:r>
        <w:rPr>
          <w:rFonts w:ascii="Times New Roman" w:hAnsi="Times New Roman" w:eastAsia="仿宋_GB2312" w:cs="Times New Roman"/>
          <w:sz w:val="32"/>
          <w:szCs w:val="32"/>
        </w:rPr>
        <w:t>（1）</w:t>
      </w:r>
      <w:bookmarkEnd w:id="3"/>
      <w:r>
        <w:rPr>
          <w:rFonts w:ascii="Times New Roman" w:hAnsi="Times New Roman" w:eastAsia="仿宋_GB2312" w:cs="Times New Roman"/>
          <w:sz w:val="32"/>
          <w:szCs w:val="32"/>
        </w:rPr>
        <w:t>适应证：包括器械预防、诊断、缓解、治疗或者监护的疾病或症状；</w:t>
      </w:r>
    </w:p>
    <w:p w14:paraId="195B2B6E">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（2）适用人群：如年龄、性别、体重等对适用人群的限定；</w:t>
      </w:r>
    </w:p>
    <w:p w14:paraId="13862D04">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（3）适用部位：如临床应用的具体人体部位、器官、组织、体液等；</w:t>
      </w:r>
    </w:p>
    <w:p w14:paraId="1AD084BC">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（4）与人体接触方式和时间：如植入或体表接触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接触时间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接触次数等；</w:t>
      </w:r>
    </w:p>
    <w:p w14:paraId="1A11A71F">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（5）疾病的严重程度和阶段：如疾病的名称、分型、分期、严重程度等；</w:t>
      </w:r>
    </w:p>
    <w:p w14:paraId="2595301E">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（6）使用条件：如使用环境（家用、医院、具体科室、手术室、救护车等）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配合使用的器械或药品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使用者要求等；</w:t>
      </w:r>
    </w:p>
    <w:p w14:paraId="33D77B72">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（7）重复使用：如可否重复使用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可重复使用的次数和时间等；</w:t>
      </w:r>
    </w:p>
    <w:p w14:paraId="108F7F63">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（8）使用方法；</w:t>
      </w:r>
    </w:p>
    <w:p w14:paraId="4E838236">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禁忌证</w:t>
      </w:r>
      <w:r>
        <w:rPr>
          <w:rFonts w:ascii="Times New Roman" w:hAnsi="Times New Roman" w:eastAsia="仿宋_GB2312" w:cs="Times New Roman"/>
          <w:sz w:val="32"/>
          <w:szCs w:val="32"/>
        </w:rPr>
        <w:t>；</w:t>
      </w:r>
    </w:p>
    <w:p w14:paraId="121A7475">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（10）警告及预防措施；</w:t>
      </w:r>
    </w:p>
    <w:p w14:paraId="3FAA419D">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（11）其他。</w:t>
      </w:r>
    </w:p>
    <w:p w14:paraId="14E5E6F8">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以上方面的信息，若对于申报产品不适用，可说明不适用的理由。例如，对于预期用于健康人群的器械，适应证可不适用；对于不需要明确具体疾病或症状的器械，如常规使用的无源手术刀，适应证亦可不适用。</w:t>
      </w:r>
    </w:p>
    <w:p w14:paraId="414E5E45">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3.适用范围是否相同的判定</w:t>
      </w:r>
    </w:p>
    <w:p w14:paraId="4B0826DF">
      <w:pPr>
        <w:widowControl w:val="0"/>
        <w:spacing w:after="0" w:line="560" w:lineRule="exact"/>
        <w:ind w:firstLine="640" w:firstLineChars="200"/>
        <w:jc w:val="both"/>
        <w:rPr>
          <w:rFonts w:ascii="Times New Roman" w:hAnsi="Times New Roman" w:eastAsia="仿宋_GB2312" w:cs="Times New Roman"/>
          <w:sz w:val="32"/>
          <w:szCs w:val="32"/>
        </w:rPr>
      </w:pPr>
      <w:bookmarkStart w:id="4" w:name="_Hlk75692790"/>
      <w:r>
        <w:rPr>
          <w:rFonts w:ascii="Times New Roman" w:hAnsi="Times New Roman" w:eastAsia="仿宋_GB2312" w:cs="Times New Roman"/>
          <w:sz w:val="32"/>
          <w:szCs w:val="32"/>
        </w:rPr>
        <w:t>通过对申报产品与对比器械的适用范围及临床使用相关信息的比较，对二者差异进行充分识别、详细阐述及科学评价，以做出适用范围是否相同的判定。当适用范围的不同引起申报产品与对比器械临床安全有效性的显著差异时，可认为对比器械与申报产品的适用范围不同。</w:t>
      </w:r>
    </w:p>
    <w:bookmarkEnd w:id="4"/>
    <w:p w14:paraId="6AFD9592">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例如，申报产品为α-氰基丙烯酸酯类医用粘合剂，其适用范围为“在其他方法无效的情况下体内组织创面的辅助粘合封闭”，所选对比器械的适用范围为“用于体表切口的局部封闭”。与对比器械相比，申报产品增加了体内使用的相关风险，临床安全有效性具有显著差异，因此，认为对比器械与申报产品的适用范围不同。</w:t>
      </w:r>
    </w:p>
    <w:p w14:paraId="69CC6965">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又如，申报产品为高压氧舱，其适用范围为“用于婴幼儿缺血、缺氧性疾病的治疗”，所选对比器械“用于成人缺血、缺氧性疾病的治疗”，考虑到婴幼儿和成人在耐受性等方面需要考虑的安全性问题虽有类似，但程度明显不同，婴幼儿人群使用所面临的风险较高，二者间临床安全有效性具有显著差异。因此认为对比医疗器械与申报产品的适用范围不同。</w:t>
      </w:r>
    </w:p>
    <w:p w14:paraId="61F1FC7F">
      <w:pPr>
        <w:widowControl w:val="0"/>
        <w:spacing w:after="0" w:line="560" w:lineRule="exact"/>
        <w:ind w:firstLine="640" w:firstLineChars="200"/>
        <w:jc w:val="both"/>
        <w:rPr>
          <w:rFonts w:ascii="Times New Roman" w:hAnsi="Times New Roman" w:eastAsia="仿宋_GB2312" w:cs="Times New Roman"/>
          <w:sz w:val="32"/>
          <w:szCs w:val="32"/>
        </w:rPr>
      </w:pPr>
      <w:bookmarkStart w:id="5" w:name="_Hlk75692823"/>
      <w:r>
        <w:rPr>
          <w:rFonts w:ascii="Times New Roman" w:hAnsi="Times New Roman" w:eastAsia="仿宋_GB2312" w:cs="Times New Roman"/>
          <w:sz w:val="32"/>
          <w:szCs w:val="32"/>
        </w:rPr>
        <w:t>值得注意的是，申报产品与对比器械在适用范围的差异可能引起但并非均会导致适用范围的不同。如申报产品与对比医疗器械虽具有不同的适应证，但对于产品的使用，不同的适应证之间具有同质性，则可认为二者具有相同的适用范围。</w:t>
      </w:r>
      <w:bookmarkEnd w:id="5"/>
    </w:p>
    <w:p w14:paraId="2B964C33">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例如，常规设计的非骨水泥固定髋关节假体，适用范围可描述为“作为非骨水泥型髋关节假体，适用于具有髋关节置换术适应证的骨骼成熟患者的髋关节置换，以恢复关节功能，缓解疼痛”。该类产品的适应证可包括原发性退变性髋关节骨关节炎、股骨头缺血性坏死进入第IV期、类风湿性关节炎或强直性脊柱炎等全身疾病累及髋关节、髋部创伤后骨关节炎，均为髋关节置换术的适应证，从髋关节置换适用性的角度，具有同质性。当申报产品与对比器械均在上述适应证的范围内，但二者存在差异时，注册申请人可经充分论证，证明申报产品与对比器械在适应证存在差异的情形下，具有相同的适用范围。”</w:t>
      </w:r>
    </w:p>
    <w:p w14:paraId="5F1A75F9">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又如，常规设计的强脉冲光治疗仪，适用范围可描述为“用于良性色素性表皮和皮肤病变、良性皮肤血管性病变及脱毛的治疗”。该类产品的适应证可包括雀斑、老年斑、黄褐斑、毛细血管扩张症、红斑性痤疮。当申报产品与对比器械均在上述适应证的范围内，但二者存在差异时，注册申请人可经充分论证，证明适应证的差异将不引起适用范围的不同。</w:t>
      </w:r>
    </w:p>
    <w:p w14:paraId="6A7A7971">
      <w:pPr>
        <w:widowControl w:val="0"/>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（二）申报产品与对比器械是否具有相同/相似的技术特征、生物学特性</w:t>
      </w:r>
    </w:p>
    <w:p w14:paraId="3924CDCF">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技术特征、生物学特性的对比</w:t>
      </w:r>
    </w:p>
    <w:p w14:paraId="7D9B57AD">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在确定申报产品与对比医疗器械具有相同的适用范围后，</w:t>
      </w:r>
      <w:bookmarkStart w:id="6" w:name="_Hlk75693008"/>
      <w:r>
        <w:rPr>
          <w:rFonts w:ascii="Times New Roman" w:hAnsi="Times New Roman" w:eastAsia="仿宋_GB2312" w:cs="Times New Roman"/>
          <w:sz w:val="32"/>
          <w:szCs w:val="32"/>
        </w:rPr>
        <w:t>注册申请人需提供技术特征和生物学特性的充分信息并对其进行对比。为便于理解，将技术特征和生物学特性举例并说明如下：</w:t>
      </w:r>
      <w:bookmarkEnd w:id="6"/>
    </w:p>
    <w:p w14:paraId="0E0947DF">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（1）技术特征：</w:t>
      </w:r>
    </w:p>
    <w:p w14:paraId="60A97627">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①设计信息：</w:t>
      </w:r>
    </w:p>
    <w:p w14:paraId="5F65921C">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—工作原理、作用机理；</w:t>
      </w:r>
    </w:p>
    <w:p w14:paraId="73240020">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—器械设计特征及依据：如组成、材料、产品结构的表征（可根据产品特征，选择适用的方式，包括结构图、三视图、爆炸图、局部细节放大图、工程图等）、尺寸和公差、软件等；</w:t>
      </w:r>
    </w:p>
    <w:p w14:paraId="1C4FCE66">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—申报器械的重大特性，明确其在整体设计和适用范围下的用途；如果没有明确的用途，应重点详述特定的设计或组件如何促进申报器械的整体使用和功能。</w:t>
      </w:r>
    </w:p>
    <w:p w14:paraId="546A7DC9">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②材料：</w:t>
      </w:r>
    </w:p>
    <w:p w14:paraId="44FFB24E">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—部分产品尤其是植入性医疗器械由于与人体组织直接接触，需明示组成材料详细、完整的化学组成，识别添加剂，如着色剂、涂层或其它表面改性剂等；</w:t>
      </w:r>
    </w:p>
    <w:p w14:paraId="20AF2C55">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—部分产品的材料加工方式（如锻造或铸造）及其状态（如无定形或结晶）可能影响产品的安全有效性，适用时需考虑列出；</w:t>
      </w:r>
    </w:p>
    <w:p w14:paraId="60B849FB">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—除医疗器械常见组成材料外，部分产品可能涉及生物制剂、药物、涂层、添加剂等。</w:t>
      </w:r>
    </w:p>
    <w:p w14:paraId="2B575C84">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③能源:如对器械的能源传递（如电池的使用），作为器械功能方面的一部分且对使用产品的患者和/或医务人员有影响的能源传递（如X射线、激光、射频、超声）等。</w:t>
      </w:r>
    </w:p>
    <w:p w14:paraId="06A946F6">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④产品性能、功能及其他关键技术特征：</w:t>
      </w:r>
    </w:p>
    <w:p w14:paraId="6ED9E1C0">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—从测试方式角度，如实验室测试、计算机模拟、动物试验、其他模拟临床使用的非临床研究等。</w:t>
      </w:r>
    </w:p>
    <w:p w14:paraId="100318AA">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—从技术特征角度，如疲劳、磨损、抗拉强度、压迫、流量、爆裂压力、软件/硬件特性、软件核心算法、密度、孔隙度、体外降解特性、试验方法的原理等。</w:t>
      </w:r>
    </w:p>
    <w:p w14:paraId="37EC569C">
      <w:pPr>
        <w:widowControl w:val="0"/>
        <w:spacing w:after="0" w:line="560" w:lineRule="exact"/>
        <w:ind w:firstLine="640" w:firstLineChars="200"/>
        <w:jc w:val="both"/>
        <w:rPr>
          <w:rFonts w:ascii="Times New Roman" w:hAnsi="Times New Roman" w:eastAsia="仿宋_GB2312" w:cs="Times New Roman"/>
          <w:sz w:val="32"/>
          <w:szCs w:val="32"/>
        </w:rPr>
      </w:pPr>
      <w:bookmarkStart w:id="7" w:name="_Hlk75096308"/>
      <w:r>
        <w:rPr>
          <w:rFonts w:ascii="Times New Roman" w:hAnsi="Times New Roman" w:eastAsia="仿宋_GB2312" w:cs="Times New Roman"/>
          <w:sz w:val="32"/>
          <w:szCs w:val="32"/>
        </w:rPr>
        <w:t>（2）生物学特性：如降解性能、生物学反应（如免疫反应、组织整合等）等。</w:t>
      </w:r>
    </w:p>
    <w:bookmarkEnd w:id="7"/>
    <w:p w14:paraId="0E3CFBD6">
      <w:pPr>
        <w:widowControl w:val="0"/>
        <w:spacing w:after="0" w:line="560" w:lineRule="exact"/>
        <w:ind w:firstLine="640" w:firstLineChars="200"/>
        <w:jc w:val="both"/>
        <w:rPr>
          <w:rFonts w:ascii="Times New Roman" w:hAnsi="Times New Roman" w:eastAsia="仿宋_GB2312" w:cs="Times New Roman"/>
          <w:sz w:val="32"/>
          <w:szCs w:val="32"/>
        </w:rPr>
      </w:pPr>
      <w:bookmarkStart w:id="8" w:name="_Hlk75100023"/>
      <w:r>
        <w:rPr>
          <w:rFonts w:ascii="Times New Roman" w:hAnsi="Times New Roman" w:eastAsia="仿宋_GB2312" w:cs="Times New Roman"/>
          <w:sz w:val="32"/>
          <w:szCs w:val="32"/>
        </w:rPr>
        <w:t>值得注意的是，上述各对比项目举例仅为便于理解而提出的一般性举例。对比项目、数据类型和数据量需与产品的研发背景、设计特征、关键技术、适用范围和风险程度等相适应，注册申请人应基于申报产品的具体情况，选择适宜的对比项目，并充分识别、详细阐述申报产品与对比器械间的差异。</w:t>
      </w:r>
      <w:bookmarkEnd w:id="8"/>
    </w:p>
    <w:p w14:paraId="3EF86DA7">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如何评价技术特征、生物学特性的差异</w:t>
      </w:r>
    </w:p>
    <w:p w14:paraId="497FCF88">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（1）提供充分的科学证据证明二者具有相同的安全有效性</w:t>
      </w:r>
    </w:p>
    <w:p w14:paraId="0B76C25E">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当申报产品的技术特征和/或生物特性与对比器械存在差异时，需提交充分的科学证据证明二者具有相同的安全有效性，从而论证其等同性。</w:t>
      </w:r>
    </w:p>
    <w:p w14:paraId="7BBC6155">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（2）选择适宜的对比医疗器械，尽可能缩小二者差异</w:t>
      </w:r>
    </w:p>
    <w:p w14:paraId="6EDD0857">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随着差异程度的增大，特别是显著影响或可能显著影响产品安全有效性的差异，进行等同性论证时所需的科学证据将增加。基于上述考虑，建议在适宜的前提下，选择与申报产品尽可能相似的产品作为对比器械，二者的差异不引起不同的安全有效性问题，即申报产品未出现对比器械不存在的且可能引发重大风险和/或引起显著影响有效性的问题。</w:t>
      </w:r>
    </w:p>
    <w:p w14:paraId="4C016188">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申报产品与对比器械在技术特征和/或生物学特性的各方面都可能存在差异，某一方面的差异是否引发不同的安全有效性问题，因具体产品和不同情形而异。以无源医疗器械的主要组成材料为例，当申报产品的主要组成材料与选择的对比器械不同时，若该材料已用于具有相同适用范围且已在境内获准上市的同类产品，注册申请人可从材料变化对该产品临床安全有效性的影响、材料性能差异、材料与结构的相互作用、使用该材料的具有相同适用范围的已在境内上市的同类产品的数据等方面进行充分分析，有可能得出“申报产品与对比器械相比，未出现可能引发重大风险或显著影响有效性问题”的结论。此种情形下，选择的对比器械多为申报产品的前代产品，或者其设计特征（如结构）与申报产品最为相似，因此注册申请人未优先选择制造材料最为相似的已上市产品作为对比器械。例如：常规设计的髋关节假体组件-股骨柄，其主要制造材料由前代产品的不锈钢更换为钛合金，结构不变或仅进行微小改进，由于钛合金已广泛应用于其他已获准上市的股骨柄并已有充分的相关数据，注册申请人可考虑使用不锈钢材料制造的前代产品作为对比器械进行等同性论证。又如，申报产品为泌尿导管，在前代产品的基础上增加亲水涂层，该涂层已用于其他已获准上市的泌尿导管并已有充分的相关数据，注册申请人可考虑使用无涂层的前代产品作为对比器械进行等同性论证。</w:t>
      </w:r>
    </w:p>
    <w:p w14:paraId="2AC7B32C">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于无源医疗器械，主要组成材料的不同可能引起产品技术特征、生物学特性的不同，特别是申报产品所用材料尚未用于已上市同类产品的情形，申报产品可能出现选择的对比器械不存在的、可能引发重大风险和/或引起显著影响有效性的问题。例如，隐形眼镜多功能护理液使用的消毒剂尚未用于具有相同适用范围的已上市产品。</w:t>
      </w:r>
    </w:p>
    <w:p w14:paraId="699D8542">
      <w:pPr>
        <w:widowControl w:val="0"/>
        <w:spacing w:after="0" w:line="560" w:lineRule="exact"/>
        <w:ind w:firstLine="640" w:firstLineChars="200"/>
        <w:jc w:val="both"/>
        <w:rPr>
          <w:rFonts w:ascii="楷体_GB2312" w:hAnsi="楷体_GB2312" w:eastAsia="楷体_GB2312" w:cs="楷体_GB2312"/>
          <w:sz w:val="32"/>
          <w:szCs w:val="32"/>
        </w:rPr>
      </w:pPr>
      <w:bookmarkStart w:id="9" w:name="bookmark12"/>
      <w:bookmarkStart w:id="10" w:name="_Toc496993197"/>
      <w:r>
        <w:rPr>
          <w:rFonts w:hint="eastAsia" w:ascii="楷体_GB2312" w:hAnsi="楷体_GB2312" w:eastAsia="楷体_GB2312" w:cs="楷体_GB2312"/>
          <w:sz w:val="32"/>
          <w:szCs w:val="32"/>
        </w:rPr>
        <w:t>（三）相关支持性资料的准备</w:t>
      </w:r>
    </w:p>
    <w:p w14:paraId="71194E31">
      <w:pPr>
        <w:widowControl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等同性论证时，申报产品与对比器械进行比对时所用的数据和信息，二者存在差异时证明其具有相同的安全有效性所用的有效科学证据，均为等同性论证的支持性资料。支持性资料通常需包括准确、可靠、完整、可追溯的数据，必要时包括数据的产生过程，试验/实验数据建议来自有良好质量控制的实验室；仅在极少数情形下，可使用一般性描述（如行业的普遍性共识）。未经证实的观点，以及未基于详细数据的科学评价报告不能作为支持性资料。本指导原则只要求做出等同性判定所必需的支持性资料，注册申请人对资料的真实性负责。</w:t>
      </w:r>
    </w:p>
    <w:p w14:paraId="5B4FE67B">
      <w:pPr>
        <w:widowControl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医疗器械的研发和改进多为渐进式发展，应基于申报医疗器械的研发历史和设计理念，从产品研发初期开始全面、客观、有序地收集对比器械相关信息和数据，其可为公开发表的文献、数据、信息等，也可来自注册申请人进行的实验室测试、计算机模拟研究、动物试验等；可为注册申请人前代产品或同系列产品的数据和信息，也可为其他注册申请人授权使用的同品种产品非公开数据和信息，后者需提供数据使用授权书，以保证数据来源的合法性。</w:t>
      </w:r>
      <w:bookmarkEnd w:id="9"/>
      <w:bookmarkEnd w:id="10"/>
    </w:p>
    <w:p w14:paraId="5209D5A5">
      <w:pPr>
        <w:widowControl w:val="0"/>
        <w:spacing w:after="0"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六、临床评价报告中等同性论证相关内容的编写</w:t>
      </w:r>
    </w:p>
    <w:p w14:paraId="3077B9BC">
      <w:pPr>
        <w:widowControl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议注册申请人按照附件1所述的步骤并结合正文相应内容进行等同性论证，若已建立申报产品和对比产品的等同性，可使用等同器械的临床数据进行临床评价，并按照《医疗器械注册申报临床评价报告技术指导原则》要求完成临床评价报告中等同性论证相关内容的编写。</w:t>
      </w:r>
    </w:p>
    <w:p w14:paraId="4A1442FF">
      <w:pPr>
        <w:widowControl w:val="0"/>
        <w:spacing w:after="0" w:line="560" w:lineRule="exact"/>
        <w:ind w:firstLine="640" w:firstLineChars="200"/>
        <w:jc w:val="both"/>
        <w:rPr>
          <w:rFonts w:ascii="Times New Roman" w:hAnsi="Times New Roman" w:eastAsia="仿宋_GB2312" w:cs="Times New Roman"/>
          <w:color w:val="000000"/>
          <w:sz w:val="32"/>
          <w:szCs w:val="32"/>
        </w:rPr>
      </w:pPr>
    </w:p>
    <w:p w14:paraId="6872841A">
      <w:pPr>
        <w:widowControl w:val="0"/>
        <w:spacing w:after="0" w:line="52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附件：等同性论证流程图</w:t>
      </w:r>
    </w:p>
    <w:p w14:paraId="39498BDB">
      <w:pPr>
        <w:widowControl w:val="0"/>
        <w:topLinePunct/>
        <w:spacing w:after="0" w:line="580" w:lineRule="exact"/>
        <w:rPr>
          <w:rFonts w:ascii="Times New Roman" w:hAnsi="Times New Roman" w:eastAsia="黑体" w:cs="Times New Roman"/>
          <w:sz w:val="32"/>
          <w:szCs w:val="32"/>
          <w:lang w:val="zh-CN"/>
        </w:rPr>
      </w:pPr>
      <w:r>
        <w:rPr>
          <w:rFonts w:ascii="Times New Roman" w:hAnsi="Times New Roman" w:cs="Times New Roman"/>
        </w:rPr>
        <w:br w:type="page"/>
      </w:r>
      <w:r>
        <w:rPr>
          <w:rFonts w:ascii="Times New Roman" w:hAnsi="Times New Roman" w:eastAsia="黑体" w:cs="Times New Roman"/>
          <w:sz w:val="32"/>
          <w:szCs w:val="32"/>
          <w:lang w:val="zh-CN"/>
        </w:rPr>
        <w:t>附件</w:t>
      </w:r>
    </w:p>
    <w:p w14:paraId="3C2BA12E">
      <w:pPr>
        <w:widowControl w:val="0"/>
        <w:topLinePunct/>
        <w:spacing w:after="0" w:line="580" w:lineRule="exact"/>
        <w:jc w:val="center"/>
        <w:rPr>
          <w:rFonts w:ascii="Times New Roman" w:hAnsi="Times New Roman" w:eastAsia="方正小标宋简体" w:cs="Times New Roman"/>
          <w:sz w:val="44"/>
          <w:szCs w:val="44"/>
          <w:lang w:val="zh-CN"/>
        </w:rPr>
      </w:pPr>
      <w:r>
        <w:rPr>
          <w:rFonts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693420</wp:posOffset>
                </wp:positionH>
                <wp:positionV relativeFrom="paragraph">
                  <wp:posOffset>532130</wp:posOffset>
                </wp:positionV>
                <wp:extent cx="4754880" cy="7653020"/>
                <wp:effectExtent l="50165" t="4445" r="14605" b="19685"/>
                <wp:wrapNone/>
                <wp:docPr id="20" name="组合 20"/>
                <wp:cNvGraphicFramePr/>
                <a:graphic xmlns:a="http://schemas.openxmlformats.org/drawingml/2006/main">
                  <a:graphicData uri="http://schemas.microsoft.com/office/word/2010/wordprocessingGroup">
                    <wpg:wgp>
                      <wpg:cNvGrpSpPr/>
                      <wpg:grpSpPr>
                        <a:xfrm>
                          <a:off x="0" y="0"/>
                          <a:ext cx="4754880" cy="7653020"/>
                          <a:chOff x="0" y="0"/>
                          <a:chExt cx="4959350" cy="7800340"/>
                        </a:xfrm>
                      </wpg:grpSpPr>
                      <wps:wsp>
                        <wps:cNvPr id="29" name="流程图: 过程 6"/>
                        <wps:cNvSpPr/>
                        <wps:spPr>
                          <a:xfrm>
                            <a:off x="716280" y="3718560"/>
                            <a:ext cx="2553970" cy="456565"/>
                          </a:xfrm>
                          <a:prstGeom prst="flowChartProcess">
                            <a:avLst/>
                          </a:prstGeom>
                          <a:noFill/>
                          <a:ln w="3175" cap="flat" cmpd="sng">
                            <a:solidFill>
                              <a:srgbClr val="000000"/>
                            </a:solidFill>
                            <a:prstDash val="solid"/>
                            <a:miter/>
                            <a:headEnd type="none" w="med" len="med"/>
                            <a:tailEnd type="none" w="med" len="med"/>
                          </a:ln>
                        </wps:spPr>
                        <wps:txbx>
                          <w:txbxContent>
                            <w:p w14:paraId="7D2D719D">
                              <w:pPr>
                                <w:kinsoku w:val="0"/>
                                <w:overflowPunct w:val="0"/>
                                <w:spacing w:after="0" w:line="200" w:lineRule="exact"/>
                                <w:textAlignment w:val="baseline"/>
                              </w:pPr>
                              <w:r>
                                <w:rPr>
                                  <w:rFonts w:hint="eastAsia" w:ascii="Calibri" w:cs="Times New Roman"/>
                                  <w:color w:val="000000" w:themeColor="text1"/>
                                  <w:kern w:val="24"/>
                                  <w:sz w:val="16"/>
                                  <w:szCs w:val="16"/>
                                  <w14:textFill>
                                    <w14:solidFill>
                                      <w14:schemeClr w14:val="tx1"/>
                                    </w14:solidFill>
                                  </w14:textFill>
                                </w:rPr>
                                <w:t>对申报产品与对比器械技术特征和生物学特性的差异进行评价</w:t>
                              </w:r>
                            </w:p>
                          </w:txbxContent>
                        </wps:txbx>
                        <wps:bodyPr vert="horz" anchor="ctr" upright="1"/>
                      </wps:wsp>
                      <wps:wsp>
                        <wps:cNvPr id="1" name="流程图: 决策 7"/>
                        <wps:cNvSpPr/>
                        <wps:spPr>
                          <a:xfrm>
                            <a:off x="464820" y="4442460"/>
                            <a:ext cx="2698750" cy="893445"/>
                          </a:xfrm>
                          <a:prstGeom prst="flowChartDecision">
                            <a:avLst/>
                          </a:prstGeom>
                          <a:noFill/>
                          <a:ln w="3175" cap="flat" cmpd="sng">
                            <a:solidFill>
                              <a:srgbClr val="000000"/>
                            </a:solidFill>
                            <a:prstDash val="solid"/>
                            <a:miter/>
                            <a:headEnd type="none" w="med" len="med"/>
                            <a:tailEnd type="none" w="med" len="med"/>
                          </a:ln>
                        </wps:spPr>
                        <wps:txbx>
                          <w:txbxContent>
                            <w:p w14:paraId="5FD0674D">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技术特征和生物学特性的差异是否引起不同的安全有效性问题</w:t>
                              </w:r>
                            </w:p>
                          </w:txbxContent>
                        </wps:txbx>
                        <wps:bodyPr vert="horz" lIns="91440" tIns="0" rIns="91440" bIns="0" anchor="ctr" upright="1"/>
                      </wps:wsp>
                      <wps:wsp>
                        <wps:cNvPr id="2" name="流程图: 可选过程 17"/>
                        <wps:cNvSpPr/>
                        <wps:spPr>
                          <a:xfrm>
                            <a:off x="3695669" y="967599"/>
                            <a:ext cx="1170295" cy="645929"/>
                          </a:xfrm>
                          <a:prstGeom prst="flowChartAlternateProcess">
                            <a:avLst/>
                          </a:prstGeom>
                          <a:noFill/>
                          <a:ln w="3175" cap="flat" cmpd="sng">
                            <a:solidFill>
                              <a:srgbClr val="000000"/>
                            </a:solidFill>
                            <a:prstDash val="solid"/>
                            <a:miter/>
                            <a:headEnd type="none" w="med" len="med"/>
                            <a:tailEnd type="none" w="med" len="med"/>
                          </a:ln>
                        </wps:spPr>
                        <wps:txbx>
                          <w:txbxContent>
                            <w:p w14:paraId="17BF9859">
                              <w:pPr>
                                <w:kinsoku w:val="0"/>
                                <w:overflowPunct w:val="0"/>
                                <w:spacing w:after="0" w:line="200" w:lineRule="exact"/>
                                <w:textAlignment w:val="baseline"/>
                              </w:pPr>
                              <w:r>
                                <w:rPr>
                                  <w:rFonts w:hint="eastAsia" w:ascii="Calibri" w:cs="Times New Roman"/>
                                  <w:color w:val="000000" w:themeColor="text1"/>
                                  <w:kern w:val="24"/>
                                  <w:sz w:val="16"/>
                                  <w:szCs w:val="16"/>
                                  <w14:textFill>
                                    <w14:solidFill>
                                      <w14:schemeClr w14:val="tx1"/>
                                    </w14:solidFill>
                                  </w14:textFill>
                                </w:rPr>
                                <w:t>不能证明申报产品与所选对比器械的等同性，不能视为等同器械</w:t>
                              </w:r>
                            </w:p>
                          </w:txbxContent>
                        </wps:txbx>
                        <wps:bodyPr vert="horz" lIns="91440" tIns="0" rIns="91440" bIns="0" anchor="ctr" upright="1"/>
                      </wps:wsp>
                      <wps:wsp>
                        <wps:cNvPr id="3" name="流程图: 过程 6"/>
                        <wps:cNvSpPr/>
                        <wps:spPr>
                          <a:xfrm>
                            <a:off x="624840" y="5562600"/>
                            <a:ext cx="2517775" cy="443230"/>
                          </a:xfrm>
                          <a:prstGeom prst="flowChartProcess">
                            <a:avLst/>
                          </a:prstGeom>
                          <a:noFill/>
                          <a:ln w="3175" cap="flat" cmpd="sng">
                            <a:solidFill>
                              <a:srgbClr val="000000"/>
                            </a:solidFill>
                            <a:prstDash val="solid"/>
                            <a:miter/>
                            <a:headEnd type="none" w="med" len="med"/>
                            <a:tailEnd type="none" w="med" len="med"/>
                          </a:ln>
                        </wps:spPr>
                        <wps:txbx>
                          <w:txbxContent>
                            <w:p w14:paraId="77AC21C8">
                              <w:pPr>
                                <w:spacing w:line="200" w:lineRule="exact"/>
                                <w:jc w:val="center"/>
                              </w:pPr>
                              <w:r>
                                <w:rPr>
                                  <w:rFonts w:hint="eastAsia" w:ascii="Calibri" w:cs="Times New Roman"/>
                                  <w:color w:val="000000" w:themeColor="text1"/>
                                  <w:kern w:val="24"/>
                                  <w:sz w:val="16"/>
                                  <w:szCs w:val="16"/>
                                  <w14:textFill>
                                    <w14:solidFill>
                                      <w14:schemeClr w14:val="tx1"/>
                                    </w14:solidFill>
                                  </w14:textFill>
                                </w:rPr>
                                <w:t>申报产品与对比器械具有相似的技术特征和生物学特性</w:t>
                              </w:r>
                            </w:p>
                          </w:txbxContent>
                        </wps:txbx>
                        <wps:bodyPr vert="horz" lIns="91440" tIns="90001" rIns="91440" bIns="72001" anchor="ctr" upright="1"/>
                      </wps:wsp>
                      <wps:wsp>
                        <wps:cNvPr id="4" name="文本框 175"/>
                        <wps:cNvSpPr txBox="1"/>
                        <wps:spPr>
                          <a:xfrm>
                            <a:off x="1836420" y="1554480"/>
                            <a:ext cx="311785" cy="271145"/>
                          </a:xfrm>
                          <a:prstGeom prst="rect">
                            <a:avLst/>
                          </a:prstGeom>
                          <a:noFill/>
                          <a:ln w="9525">
                            <a:noFill/>
                          </a:ln>
                        </wps:spPr>
                        <wps:txbx>
                          <w:txbxContent>
                            <w:p w14:paraId="0B07E229">
                              <w:pPr>
                                <w:spacing w:after="0"/>
                                <w:rPr>
                                  <w:sz w:val="16"/>
                                  <w:szCs w:val="16"/>
                                </w:rPr>
                              </w:pPr>
                              <w:r>
                                <w:rPr>
                                  <w:rFonts w:hint="eastAsia"/>
                                  <w:color w:val="000000" w:themeColor="text1"/>
                                  <w:kern w:val="24"/>
                                  <w:sz w:val="16"/>
                                  <w:szCs w:val="16"/>
                                  <w14:textFill>
                                    <w14:solidFill>
                                      <w14:schemeClr w14:val="tx1"/>
                                    </w14:solidFill>
                                  </w14:textFill>
                                </w:rPr>
                                <w:t>是</w:t>
                              </w:r>
                            </w:p>
                          </w:txbxContent>
                        </wps:txbx>
                        <wps:bodyPr vert="horz" anchor="t" upright="1"/>
                      </wps:wsp>
                      <wps:wsp>
                        <wps:cNvPr id="5" name="文本框 177"/>
                        <wps:cNvSpPr txBox="1"/>
                        <wps:spPr>
                          <a:xfrm>
                            <a:off x="0" y="2695719"/>
                            <a:ext cx="467360" cy="421005"/>
                          </a:xfrm>
                          <a:prstGeom prst="rect">
                            <a:avLst/>
                          </a:prstGeom>
                          <a:noFill/>
                          <a:ln w="9525">
                            <a:noFill/>
                          </a:ln>
                        </wps:spPr>
                        <wps:txbx>
                          <w:txbxContent>
                            <w:p w14:paraId="070B7E08">
                              <w:pPr>
                                <w:spacing w:after="0"/>
                                <w:rPr>
                                  <w:sz w:val="16"/>
                                  <w:szCs w:val="16"/>
                                </w:rPr>
                              </w:pPr>
                              <w:r>
                                <w:rPr>
                                  <w:rFonts w:hint="eastAsia"/>
                                  <w:color w:val="000000" w:themeColor="text1"/>
                                  <w:kern w:val="24"/>
                                  <w:sz w:val="16"/>
                                  <w:szCs w:val="16"/>
                                  <w14:textFill>
                                    <w14:solidFill>
                                      <w14:schemeClr w14:val="tx1"/>
                                    </w14:solidFill>
                                  </w14:textFill>
                                </w:rPr>
                                <w:t>是</w:t>
                              </w:r>
                            </w:p>
                          </w:txbxContent>
                        </wps:txbx>
                        <wps:bodyPr vert="horz" anchor="t" upright="1"/>
                      </wps:wsp>
                      <wps:wsp>
                        <wps:cNvPr id="6" name="文本框 179"/>
                        <wps:cNvSpPr txBox="1"/>
                        <wps:spPr>
                          <a:xfrm>
                            <a:off x="1851660" y="7002780"/>
                            <a:ext cx="487045" cy="421005"/>
                          </a:xfrm>
                          <a:prstGeom prst="rect">
                            <a:avLst/>
                          </a:prstGeom>
                          <a:noFill/>
                          <a:ln w="9525">
                            <a:noFill/>
                          </a:ln>
                        </wps:spPr>
                        <wps:txbx>
                          <w:txbxContent>
                            <w:p w14:paraId="7E8A2E87">
                              <w:pPr>
                                <w:spacing w:after="0"/>
                                <w:rPr>
                                  <w:sz w:val="16"/>
                                  <w:szCs w:val="16"/>
                                </w:rPr>
                              </w:pPr>
                              <w:r>
                                <w:rPr>
                                  <w:rFonts w:hint="eastAsia"/>
                                  <w:color w:val="000000" w:themeColor="text1"/>
                                  <w:kern w:val="24"/>
                                  <w:sz w:val="16"/>
                                  <w:szCs w:val="16"/>
                                  <w14:textFill>
                                    <w14:solidFill>
                                      <w14:schemeClr w14:val="tx1"/>
                                    </w14:solidFill>
                                  </w14:textFill>
                                </w:rPr>
                                <w:t>是</w:t>
                              </w:r>
                            </w:p>
                          </w:txbxContent>
                        </wps:txbx>
                        <wps:bodyPr vert="horz" anchor="t" upright="1"/>
                      </wps:wsp>
                      <wps:wsp>
                        <wps:cNvPr id="7" name="文本框 180"/>
                        <wps:cNvSpPr txBox="1"/>
                        <wps:spPr>
                          <a:xfrm>
                            <a:off x="3160553" y="924251"/>
                            <a:ext cx="487045" cy="421005"/>
                          </a:xfrm>
                          <a:prstGeom prst="rect">
                            <a:avLst/>
                          </a:prstGeom>
                          <a:noFill/>
                          <a:ln w="9525">
                            <a:noFill/>
                          </a:ln>
                        </wps:spPr>
                        <wps:txbx>
                          <w:txbxContent>
                            <w:p w14:paraId="4066F5C2">
                              <w:pPr>
                                <w:spacing w:after="0"/>
                                <w:rPr>
                                  <w:sz w:val="16"/>
                                  <w:szCs w:val="16"/>
                                </w:rPr>
                              </w:pPr>
                              <w:r>
                                <w:rPr>
                                  <w:rFonts w:hint="eastAsia"/>
                                  <w:color w:val="000000" w:themeColor="text1"/>
                                  <w:kern w:val="24"/>
                                  <w:sz w:val="16"/>
                                  <w:szCs w:val="16"/>
                                  <w14:textFill>
                                    <w14:solidFill>
                                      <w14:schemeClr w14:val="tx1"/>
                                    </w14:solidFill>
                                  </w14:textFill>
                                </w:rPr>
                                <w:t>否</w:t>
                              </w:r>
                            </w:p>
                          </w:txbxContent>
                        </wps:txbx>
                        <wps:bodyPr vert="horz" anchor="t" upright="1"/>
                      </wps:wsp>
                      <wps:wsp>
                        <wps:cNvPr id="8" name="文本框 182"/>
                        <wps:cNvSpPr txBox="1"/>
                        <wps:spPr>
                          <a:xfrm>
                            <a:off x="3241039" y="6417321"/>
                            <a:ext cx="487045" cy="421005"/>
                          </a:xfrm>
                          <a:prstGeom prst="rect">
                            <a:avLst/>
                          </a:prstGeom>
                          <a:noFill/>
                          <a:ln w="9525">
                            <a:noFill/>
                          </a:ln>
                        </wps:spPr>
                        <wps:txbx>
                          <w:txbxContent>
                            <w:p w14:paraId="5AB8CC90">
                              <w:pPr>
                                <w:spacing w:after="0"/>
                                <w:rPr>
                                  <w:sz w:val="16"/>
                                  <w:szCs w:val="16"/>
                                </w:rPr>
                              </w:pPr>
                              <w:r>
                                <w:rPr>
                                  <w:rFonts w:hint="eastAsia"/>
                                  <w:color w:val="000000" w:themeColor="text1"/>
                                  <w:kern w:val="24"/>
                                  <w:sz w:val="16"/>
                                  <w:szCs w:val="16"/>
                                  <w14:textFill>
                                    <w14:solidFill>
                                      <w14:schemeClr w14:val="tx1"/>
                                    </w14:solidFill>
                                  </w14:textFill>
                                </w:rPr>
                                <w:t>否</w:t>
                              </w:r>
                            </w:p>
                          </w:txbxContent>
                        </wps:txbx>
                        <wps:bodyPr vert="horz" anchor="t" upright="1"/>
                      </wps:wsp>
                      <wps:wsp>
                        <wps:cNvPr id="9" name="文本框 183"/>
                        <wps:cNvSpPr txBox="1"/>
                        <wps:spPr>
                          <a:xfrm>
                            <a:off x="1813560" y="3421380"/>
                            <a:ext cx="462915" cy="285750"/>
                          </a:xfrm>
                          <a:prstGeom prst="rect">
                            <a:avLst/>
                          </a:prstGeom>
                          <a:noFill/>
                          <a:ln w="9525">
                            <a:noFill/>
                          </a:ln>
                        </wps:spPr>
                        <wps:txbx>
                          <w:txbxContent>
                            <w:p w14:paraId="508CCEAE">
                              <w:pPr>
                                <w:spacing w:after="0"/>
                                <w:rPr>
                                  <w:sz w:val="16"/>
                                  <w:szCs w:val="16"/>
                                </w:rPr>
                              </w:pPr>
                              <w:r>
                                <w:rPr>
                                  <w:rFonts w:hint="eastAsia"/>
                                  <w:color w:val="000000" w:themeColor="text1"/>
                                  <w:kern w:val="24"/>
                                  <w:sz w:val="16"/>
                                  <w:szCs w:val="16"/>
                                  <w14:textFill>
                                    <w14:solidFill>
                                      <w14:schemeClr w14:val="tx1"/>
                                    </w14:solidFill>
                                  </w14:textFill>
                                </w:rPr>
                                <w:t>否</w:t>
                              </w:r>
                            </w:p>
                          </w:txbxContent>
                        </wps:txbx>
                        <wps:bodyPr vert="horz" anchor="t" upright="1"/>
                      </wps:wsp>
                      <wps:wsp>
                        <wps:cNvPr id="10" name="文本框 184"/>
                        <wps:cNvSpPr txBox="1"/>
                        <wps:spPr>
                          <a:xfrm>
                            <a:off x="3208654" y="4652983"/>
                            <a:ext cx="487045" cy="421005"/>
                          </a:xfrm>
                          <a:prstGeom prst="rect">
                            <a:avLst/>
                          </a:prstGeom>
                          <a:noFill/>
                          <a:ln w="9525">
                            <a:noFill/>
                          </a:ln>
                        </wps:spPr>
                        <wps:txbx>
                          <w:txbxContent>
                            <w:p w14:paraId="48722C83">
                              <w:pPr>
                                <w:spacing w:after="0"/>
                                <w:rPr>
                                  <w:sz w:val="16"/>
                                  <w:szCs w:val="16"/>
                                </w:rPr>
                              </w:pPr>
                              <w:r>
                                <w:rPr>
                                  <w:rFonts w:hint="eastAsia"/>
                                  <w:color w:val="000000" w:themeColor="text1"/>
                                  <w:kern w:val="24"/>
                                  <w:sz w:val="16"/>
                                  <w:szCs w:val="16"/>
                                  <w14:textFill>
                                    <w14:solidFill>
                                      <w14:schemeClr w14:val="tx1"/>
                                    </w14:solidFill>
                                  </w14:textFill>
                                </w:rPr>
                                <w:t>是</w:t>
                              </w:r>
                            </w:p>
                          </w:txbxContent>
                        </wps:txbx>
                        <wps:bodyPr vert="horz" anchor="t" upright="1"/>
                      </wps:wsp>
                      <wps:wsp>
                        <wps:cNvPr id="11" name="流程图: 决策 9"/>
                        <wps:cNvSpPr/>
                        <wps:spPr>
                          <a:xfrm>
                            <a:off x="419100" y="6233160"/>
                            <a:ext cx="2814320" cy="836930"/>
                          </a:xfrm>
                          <a:prstGeom prst="flowChartDecision">
                            <a:avLst/>
                          </a:prstGeom>
                          <a:noFill/>
                          <a:ln w="3175" cap="flat" cmpd="sng">
                            <a:solidFill>
                              <a:srgbClr val="000000"/>
                            </a:solidFill>
                            <a:prstDash val="solid"/>
                            <a:miter/>
                            <a:headEnd type="none" w="med" len="med"/>
                            <a:tailEnd type="none" w="med" len="med"/>
                          </a:ln>
                        </wps:spPr>
                        <wps:txbx>
                          <w:txbxContent>
                            <w:p w14:paraId="178EBB13">
                              <w:pPr>
                                <w:kinsoku w:val="0"/>
                                <w:overflowPunct w:val="0"/>
                                <w:spacing w:after="0" w:line="180" w:lineRule="exact"/>
                                <w:jc w:val="center"/>
                                <w:textAlignment w:val="baseline"/>
                                <w:rPr>
                                  <w:rFonts w:ascii="Calibri" w:cs="Times New Roman"/>
                                  <w:color w:val="000000" w:themeColor="text1"/>
                                  <w:kern w:val="24"/>
                                  <w:sz w:val="16"/>
                                  <w:szCs w:val="16"/>
                                  <w14:textFill>
                                    <w14:solidFill>
                                      <w14:schemeClr w14:val="tx1"/>
                                    </w14:solidFill>
                                  </w14:textFill>
                                </w:rPr>
                              </w:pPr>
                              <w:r>
                                <w:rPr>
                                  <w:rFonts w:hint="eastAsia" w:ascii="Calibri" w:cs="Times New Roman"/>
                                  <w:color w:val="000000" w:themeColor="text1"/>
                                  <w:kern w:val="24"/>
                                  <w:sz w:val="16"/>
                                  <w:szCs w:val="16"/>
                                  <w14:textFill>
                                    <w14:solidFill>
                                      <w14:schemeClr w14:val="tx1"/>
                                    </w14:solidFill>
                                  </w14:textFill>
                                </w:rPr>
                                <w:t>是否有充分的科学证据证明申报产品与对比器械具有相同的安全有效性</w:t>
                              </w:r>
                            </w:p>
                          </w:txbxContent>
                        </wps:txbx>
                        <wps:bodyPr vert="horz" anchor="ctr" upright="1"/>
                      </wps:wsp>
                      <wps:wsp>
                        <wps:cNvPr id="12" name="流程图: 可选过程 25"/>
                        <wps:cNvSpPr/>
                        <wps:spPr>
                          <a:xfrm>
                            <a:off x="3718560" y="4640580"/>
                            <a:ext cx="1198245" cy="490220"/>
                          </a:xfrm>
                          <a:prstGeom prst="flowChartAlternateProcess">
                            <a:avLst/>
                          </a:prstGeom>
                          <a:noFill/>
                          <a:ln w="3175" cap="flat" cmpd="sng">
                            <a:solidFill>
                              <a:srgbClr val="000000"/>
                            </a:solidFill>
                            <a:prstDash val="solid"/>
                            <a:miter/>
                            <a:headEnd type="none" w="med" len="med"/>
                            <a:tailEnd type="none" w="med" len="med"/>
                          </a:ln>
                        </wps:spPr>
                        <wps:txbx>
                          <w:txbxContent>
                            <w:p w14:paraId="467F06E2">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建议更换对比器械</w:t>
                              </w:r>
                            </w:p>
                          </w:txbxContent>
                        </wps:txbx>
                        <wps:bodyPr vert="horz" anchor="ctr" upright="1"/>
                      </wps:wsp>
                      <wps:wsp>
                        <wps:cNvPr id="14" name="流程图: 可选过程 27"/>
                        <wps:cNvSpPr/>
                        <wps:spPr>
                          <a:xfrm>
                            <a:off x="3726180" y="6416040"/>
                            <a:ext cx="1233170" cy="476250"/>
                          </a:xfrm>
                          <a:prstGeom prst="flowChartAlternateProcess">
                            <a:avLst/>
                          </a:prstGeom>
                          <a:noFill/>
                          <a:ln w="3175" cap="flat" cmpd="sng">
                            <a:solidFill>
                              <a:srgbClr val="000000"/>
                            </a:solidFill>
                            <a:prstDash val="solid"/>
                            <a:miter/>
                            <a:headEnd type="none" w="med" len="med"/>
                            <a:tailEnd type="none" w="med" len="med"/>
                          </a:ln>
                        </wps:spPr>
                        <wps:txbx>
                          <w:txbxContent>
                            <w:p w14:paraId="41D85BC8">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不能证明申报产品与所选对比器械的等同性</w:t>
                              </w:r>
                            </w:p>
                          </w:txbxContent>
                        </wps:txbx>
                        <wps:bodyPr vert="horz" lIns="90001" tIns="0" rIns="91440" bIns="0" anchor="ctr" upright="1"/>
                      </wps:wsp>
                      <wps:wsp>
                        <wps:cNvPr id="15" name="流程图: 过程 19"/>
                        <wps:cNvSpPr/>
                        <wps:spPr>
                          <a:xfrm>
                            <a:off x="586740" y="7231380"/>
                            <a:ext cx="2525395" cy="568960"/>
                          </a:xfrm>
                          <a:prstGeom prst="roundRect">
                            <a:avLst/>
                          </a:prstGeom>
                          <a:noFill/>
                          <a:ln w="3175" cap="flat" cmpd="sng">
                            <a:solidFill>
                              <a:srgbClr val="000000"/>
                            </a:solidFill>
                            <a:prstDash val="solid"/>
                            <a:miter/>
                            <a:headEnd type="none" w="med" len="med"/>
                            <a:tailEnd type="none" w="med" len="med"/>
                          </a:ln>
                        </wps:spPr>
                        <wps:txbx>
                          <w:txbxContent>
                            <w:p w14:paraId="7A8A00CC">
                              <w:pPr>
                                <w:kinsoku w:val="0"/>
                                <w:overflowPunct w:val="0"/>
                                <w:spacing w:after="0"/>
                                <w:jc w:val="center"/>
                                <w:textAlignment w:val="baseline"/>
                              </w:pPr>
                              <w:r>
                                <w:rPr>
                                  <w:rFonts w:hint="eastAsia" w:ascii="Calibri" w:cs="Times New Roman"/>
                                  <w:color w:val="000000" w:themeColor="text1"/>
                                  <w:kern w:val="24"/>
                                  <w:sz w:val="16"/>
                                  <w:szCs w:val="16"/>
                                  <w14:textFill>
                                    <w14:solidFill>
                                      <w14:schemeClr w14:val="tx1"/>
                                    </w14:solidFill>
                                  </w14:textFill>
                                </w:rPr>
                                <w:t>对比器械通过论证可视为等同器械，可使用等同器械的临床</w:t>
                              </w:r>
                              <w:r>
                                <w:rPr>
                                  <w:rFonts w:ascii="Calibri" w:cs="Times New Roman"/>
                                  <w:color w:val="000000" w:themeColor="text1"/>
                                  <w:kern w:val="24"/>
                                  <w:sz w:val="16"/>
                                  <w:szCs w:val="16"/>
                                  <w14:textFill>
                                    <w14:solidFill>
                                      <w14:schemeClr w14:val="tx1"/>
                                    </w14:solidFill>
                                  </w14:textFill>
                                </w:rPr>
                                <w:t>数据进行</w:t>
                              </w:r>
                              <w:r>
                                <w:rPr>
                                  <w:rFonts w:hint="eastAsia" w:ascii="Calibri" w:cs="Times New Roman"/>
                                  <w:color w:val="000000" w:themeColor="text1"/>
                                  <w:kern w:val="24"/>
                                  <w:sz w:val="16"/>
                                  <w:szCs w:val="16"/>
                                  <w14:textFill>
                                    <w14:solidFill>
                                      <w14:schemeClr w14:val="tx1"/>
                                    </w14:solidFill>
                                  </w14:textFill>
                                </w:rPr>
                                <w:t>临床</w:t>
                              </w:r>
                              <w:r>
                                <w:rPr>
                                  <w:rFonts w:ascii="Calibri" w:cs="Times New Roman"/>
                                  <w:color w:val="000000" w:themeColor="text1"/>
                                  <w:kern w:val="24"/>
                                  <w:sz w:val="16"/>
                                  <w:szCs w:val="16"/>
                                  <w14:textFill>
                                    <w14:solidFill>
                                      <w14:schemeClr w14:val="tx1"/>
                                    </w14:solidFill>
                                  </w14:textFill>
                                </w:rPr>
                                <w:t>评价。</w:t>
                              </w:r>
                            </w:p>
                          </w:txbxContent>
                        </wps:txbx>
                        <wps:bodyPr vert="horz" anchor="ctr" upright="1"/>
                      </wps:wsp>
                      <wps:wsp>
                        <wps:cNvPr id="18" name="AutoShape 168"/>
                        <wps:cNvCnPr>
                          <a:cxnSpLocks noChangeShapeType="1"/>
                        </wps:cNvCnPr>
                        <wps:spPr bwMode="auto">
                          <a:xfrm rot="5400000">
                            <a:off x="1676400" y="594360"/>
                            <a:ext cx="274955" cy="0"/>
                          </a:xfrm>
                          <a:prstGeom prst="straightConnector1">
                            <a:avLst/>
                          </a:prstGeom>
                          <a:noFill/>
                          <a:ln w="9525">
                            <a:solidFill>
                              <a:srgbClr val="000000"/>
                            </a:solidFill>
                            <a:round/>
                            <a:tailEnd type="arrow" w="med" len="med"/>
                          </a:ln>
                        </wps:spPr>
                        <wps:bodyPr/>
                      </wps:wsp>
                      <wps:wsp>
                        <wps:cNvPr id="22" name="AutoShape 169"/>
                        <wps:cNvCnPr>
                          <a:cxnSpLocks noChangeShapeType="1"/>
                        </wps:cNvCnPr>
                        <wps:spPr bwMode="auto">
                          <a:xfrm flipH="1">
                            <a:off x="1813560" y="1623060"/>
                            <a:ext cx="3175" cy="208915"/>
                          </a:xfrm>
                          <a:prstGeom prst="straightConnector1">
                            <a:avLst/>
                          </a:prstGeom>
                          <a:noFill/>
                          <a:ln w="9525">
                            <a:solidFill>
                              <a:srgbClr val="000000"/>
                            </a:solidFill>
                            <a:round/>
                            <a:tailEnd type="arrow" w="med" len="med"/>
                          </a:ln>
                        </wps:spPr>
                        <wps:bodyPr/>
                      </wps:wsp>
                      <wps:wsp>
                        <wps:cNvPr id="23" name="AutoShape 174"/>
                        <wps:cNvCnPr>
                          <a:cxnSpLocks noChangeShapeType="1"/>
                        </wps:cNvCnPr>
                        <wps:spPr bwMode="auto">
                          <a:xfrm>
                            <a:off x="3162300" y="1181100"/>
                            <a:ext cx="533400" cy="0"/>
                          </a:xfrm>
                          <a:prstGeom prst="straightConnector1">
                            <a:avLst/>
                          </a:prstGeom>
                          <a:noFill/>
                          <a:ln w="9525">
                            <a:solidFill>
                              <a:srgbClr val="000000"/>
                            </a:solidFill>
                            <a:round/>
                            <a:tailEnd type="arrow" w="med" len="med"/>
                          </a:ln>
                        </wps:spPr>
                        <wps:bodyPr/>
                      </wps:wsp>
                      <wps:wsp>
                        <wps:cNvPr id="24" name="直接箭头连接符 54"/>
                        <wps:cNvCnPr/>
                        <wps:spPr>
                          <a:xfrm>
                            <a:off x="3878580" y="6568440"/>
                            <a:ext cx="0" cy="0"/>
                          </a:xfrm>
                          <a:prstGeom prst="straightConnector1">
                            <a:avLst/>
                          </a:prstGeom>
                          <a:noFill/>
                          <a:ln w="9525" cap="flat" cmpd="sng" algn="ctr">
                            <a:solidFill>
                              <a:srgbClr val="4A7EBB">
                                <a:shade val="95000"/>
                                <a:satMod val="105000"/>
                              </a:srgbClr>
                            </a:solidFill>
                            <a:prstDash val="solid"/>
                            <a:tailEnd type="arrow"/>
                          </a:ln>
                        </wps:spPr>
                        <wps:bodyPr/>
                      </wps:wsp>
                      <wps:wsp>
                        <wps:cNvPr id="25" name="AutoShape 176"/>
                        <wps:cNvCnPr>
                          <a:cxnSpLocks noChangeShapeType="1"/>
                        </wps:cNvCnPr>
                        <wps:spPr bwMode="auto">
                          <a:xfrm flipH="1">
                            <a:off x="1836420" y="7071360"/>
                            <a:ext cx="635" cy="163830"/>
                          </a:xfrm>
                          <a:prstGeom prst="straightConnector1">
                            <a:avLst/>
                          </a:prstGeom>
                          <a:noFill/>
                          <a:ln w="9525">
                            <a:solidFill>
                              <a:srgbClr val="000000"/>
                            </a:solidFill>
                            <a:round/>
                            <a:tailEnd type="arrow" w="med" len="med"/>
                          </a:ln>
                        </wps:spPr>
                        <wps:bodyPr/>
                      </wps:wsp>
                      <wps:wsp>
                        <wps:cNvPr id="26" name="AutoShape 177"/>
                        <wps:cNvCnPr>
                          <a:cxnSpLocks noChangeShapeType="1"/>
                        </wps:cNvCnPr>
                        <wps:spPr bwMode="auto">
                          <a:xfrm rot="10800000" flipH="1" flipV="1">
                            <a:off x="457200" y="2979420"/>
                            <a:ext cx="128270" cy="4491990"/>
                          </a:xfrm>
                          <a:prstGeom prst="bentConnector3">
                            <a:avLst>
                              <a:gd name="adj1" fmla="val -393565"/>
                            </a:avLst>
                          </a:prstGeom>
                          <a:noFill/>
                          <a:ln w="9525">
                            <a:solidFill>
                              <a:srgbClr val="000000"/>
                            </a:solidFill>
                            <a:round/>
                            <a:tailEnd type="arrow" w="med" len="med"/>
                          </a:ln>
                        </wps:spPr>
                        <wps:bodyPr/>
                      </wps:wsp>
                      <wps:wsp>
                        <wps:cNvPr id="27" name="AutoShape 178"/>
                        <wps:cNvCnPr>
                          <a:cxnSpLocks noChangeShapeType="1"/>
                        </wps:cNvCnPr>
                        <wps:spPr bwMode="auto">
                          <a:xfrm>
                            <a:off x="3169920" y="4884420"/>
                            <a:ext cx="548640" cy="0"/>
                          </a:xfrm>
                          <a:prstGeom prst="straightConnector1">
                            <a:avLst/>
                          </a:prstGeom>
                          <a:noFill/>
                          <a:ln w="9525">
                            <a:solidFill>
                              <a:srgbClr val="000000"/>
                            </a:solidFill>
                            <a:round/>
                            <a:tailEnd type="arrow" w="med" len="med"/>
                          </a:ln>
                        </wps:spPr>
                        <wps:bodyPr/>
                      </wps:wsp>
                      <wps:wsp>
                        <wps:cNvPr id="28" name="AutoShape 179"/>
                        <wps:cNvCnPr>
                          <a:cxnSpLocks noChangeShapeType="1"/>
                        </wps:cNvCnPr>
                        <wps:spPr bwMode="auto">
                          <a:xfrm>
                            <a:off x="3223260" y="6652260"/>
                            <a:ext cx="504825" cy="0"/>
                          </a:xfrm>
                          <a:prstGeom prst="straightConnector1">
                            <a:avLst/>
                          </a:prstGeom>
                          <a:noFill/>
                          <a:ln w="9525">
                            <a:solidFill>
                              <a:srgbClr val="000000"/>
                            </a:solidFill>
                            <a:round/>
                            <a:tailEnd type="arrow" w="med" len="med"/>
                          </a:ln>
                        </wps:spPr>
                        <wps:bodyPr/>
                      </wps:wsp>
                      <wps:wsp>
                        <wps:cNvPr id="30" name="文本框 179"/>
                        <wps:cNvSpPr txBox="1"/>
                        <wps:spPr>
                          <a:xfrm>
                            <a:off x="1851660" y="5334000"/>
                            <a:ext cx="487045" cy="421005"/>
                          </a:xfrm>
                          <a:prstGeom prst="rect">
                            <a:avLst/>
                          </a:prstGeom>
                          <a:noFill/>
                          <a:ln w="9525">
                            <a:noFill/>
                          </a:ln>
                        </wps:spPr>
                        <wps:txbx>
                          <w:txbxContent>
                            <w:p w14:paraId="07836506">
                              <w:pPr>
                                <w:spacing w:after="0"/>
                                <w:rPr>
                                  <w:sz w:val="16"/>
                                  <w:szCs w:val="16"/>
                                </w:rPr>
                              </w:pPr>
                              <w:r>
                                <w:rPr>
                                  <w:rFonts w:hint="eastAsia"/>
                                  <w:color w:val="000000" w:themeColor="text1"/>
                                  <w:kern w:val="24"/>
                                  <w:sz w:val="16"/>
                                  <w:szCs w:val="16"/>
                                  <w14:textFill>
                                    <w14:solidFill>
                                      <w14:schemeClr w14:val="tx1"/>
                                    </w14:solidFill>
                                  </w14:textFill>
                                </w:rPr>
                                <w:t>否</w:t>
                              </w:r>
                            </w:p>
                          </w:txbxContent>
                        </wps:txbx>
                        <wps:bodyPr vert="horz" anchor="t" upright="1"/>
                      </wps:wsp>
                      <wps:wsp>
                        <wps:cNvPr id="31" name="AutoShape 181"/>
                        <wps:cNvCnPr>
                          <a:cxnSpLocks noChangeShapeType="1"/>
                        </wps:cNvCnPr>
                        <wps:spPr bwMode="auto">
                          <a:xfrm>
                            <a:off x="1821180" y="6004560"/>
                            <a:ext cx="1270" cy="231140"/>
                          </a:xfrm>
                          <a:prstGeom prst="straightConnector1">
                            <a:avLst/>
                          </a:prstGeom>
                          <a:noFill/>
                          <a:ln w="9525">
                            <a:solidFill>
                              <a:srgbClr val="000000"/>
                            </a:solidFill>
                            <a:round/>
                            <a:tailEnd type="arrow" w="med" len="med"/>
                          </a:ln>
                        </wps:spPr>
                        <wps:bodyPr/>
                      </wps:wsp>
                      <wps:wsp>
                        <wps:cNvPr id="64" name="流程图: 可选过程 17"/>
                        <wps:cNvSpPr/>
                        <wps:spPr>
                          <a:xfrm>
                            <a:off x="670560" y="0"/>
                            <a:ext cx="2444115" cy="451485"/>
                          </a:xfrm>
                          <a:prstGeom prst="flowChartAlternateProcess">
                            <a:avLst/>
                          </a:prstGeom>
                          <a:noFill/>
                          <a:ln w="3175" cap="flat" cmpd="sng">
                            <a:solidFill>
                              <a:srgbClr val="000000"/>
                            </a:solidFill>
                            <a:prstDash val="solid"/>
                            <a:miter/>
                            <a:headEnd type="none" w="med" len="med"/>
                            <a:tailEnd type="none" w="med" len="med"/>
                          </a:ln>
                        </wps:spPr>
                        <wps:txbx>
                          <w:txbxContent>
                            <w:p w14:paraId="1F71D40B">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结合产品研发背景，初步选择对比器械</w:t>
                              </w:r>
                            </w:p>
                          </w:txbxContent>
                        </wps:txbx>
                        <wps:bodyPr vert="horz" lIns="91440" tIns="0" rIns="91440" bIns="0" anchor="ctr" upright="1"/>
                      </wps:wsp>
                      <wps:wsp>
                        <wps:cNvPr id="65" name="流程图: 决策 7"/>
                        <wps:cNvSpPr/>
                        <wps:spPr>
                          <a:xfrm>
                            <a:off x="464820" y="731520"/>
                            <a:ext cx="2698750" cy="893445"/>
                          </a:xfrm>
                          <a:prstGeom prst="flowChartDecision">
                            <a:avLst/>
                          </a:prstGeom>
                          <a:noFill/>
                          <a:ln w="3175" cap="flat" cmpd="sng">
                            <a:solidFill>
                              <a:srgbClr val="000000"/>
                            </a:solidFill>
                            <a:prstDash val="solid"/>
                            <a:miter/>
                            <a:headEnd type="none" w="med" len="med"/>
                            <a:tailEnd type="none" w="med" len="med"/>
                          </a:ln>
                        </wps:spPr>
                        <wps:txbx>
                          <w:txbxContent>
                            <w:p w14:paraId="057EE53C">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选择的对比器械与申报产品是否具有相同的适用范围</w:t>
                              </w:r>
                            </w:p>
                          </w:txbxContent>
                        </wps:txbx>
                        <wps:bodyPr vert="horz" lIns="91440" tIns="0" rIns="91440" bIns="0" anchor="ctr" upright="1"/>
                      </wps:wsp>
                      <wps:wsp>
                        <wps:cNvPr id="66" name="流程图: 过程 6"/>
                        <wps:cNvSpPr/>
                        <wps:spPr>
                          <a:xfrm>
                            <a:off x="563880" y="1821180"/>
                            <a:ext cx="2517775" cy="483235"/>
                          </a:xfrm>
                          <a:prstGeom prst="flowChartProcess">
                            <a:avLst/>
                          </a:prstGeom>
                          <a:noFill/>
                          <a:ln w="3175" cap="flat" cmpd="sng">
                            <a:solidFill>
                              <a:srgbClr val="000000"/>
                            </a:solidFill>
                            <a:prstDash val="solid"/>
                            <a:miter/>
                            <a:headEnd type="none" w="med" len="med"/>
                            <a:tailEnd type="none" w="med" len="med"/>
                          </a:ln>
                        </wps:spPr>
                        <wps:txbx>
                          <w:txbxContent>
                            <w:p w14:paraId="4285BD7A">
                              <w:pPr>
                                <w:spacing w:line="200" w:lineRule="exact"/>
                                <w:jc w:val="center"/>
                              </w:pPr>
                              <w:r>
                                <w:rPr>
                                  <w:rFonts w:hint="eastAsia" w:ascii="Calibri" w:cs="Times New Roman"/>
                                  <w:color w:val="000000" w:themeColor="text1"/>
                                  <w:kern w:val="24"/>
                                  <w:sz w:val="16"/>
                                  <w:szCs w:val="16"/>
                                  <w14:textFill>
                                    <w14:solidFill>
                                      <w14:schemeClr w14:val="tx1"/>
                                    </w14:solidFill>
                                  </w14:textFill>
                                </w:rPr>
                                <w:t>将申报产品的技术特征和生物学特性与对比器械进行比对</w:t>
                              </w:r>
                            </w:p>
                          </w:txbxContent>
                        </wps:txbx>
                        <wps:bodyPr vert="horz" lIns="91440" tIns="90001" rIns="91440" bIns="72001" anchor="ctr" upright="1"/>
                      </wps:wsp>
                      <wps:wsp>
                        <wps:cNvPr id="67" name="流程图: 决策 7"/>
                        <wps:cNvSpPr/>
                        <wps:spPr>
                          <a:xfrm>
                            <a:off x="464820" y="2537460"/>
                            <a:ext cx="2698750" cy="893445"/>
                          </a:xfrm>
                          <a:prstGeom prst="flowChartDecision">
                            <a:avLst/>
                          </a:prstGeom>
                          <a:noFill/>
                          <a:ln w="3175" cap="flat" cmpd="sng">
                            <a:solidFill>
                              <a:srgbClr val="000000"/>
                            </a:solidFill>
                            <a:prstDash val="solid"/>
                            <a:miter/>
                            <a:headEnd type="none" w="med" len="med"/>
                            <a:tailEnd type="none" w="med" len="med"/>
                          </a:ln>
                        </wps:spPr>
                        <wps:txbx>
                          <w:txbxContent>
                            <w:p w14:paraId="0E089C1A">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申报产品与对比器械是否具有相同的技术特征和生物学特性</w:t>
                              </w:r>
                            </w:p>
                          </w:txbxContent>
                        </wps:txbx>
                        <wps:bodyPr vert="horz" lIns="91440" tIns="0" rIns="91440" bIns="0" anchor="ctr" upright="1"/>
                      </wps:wsp>
                      <wps:wsp>
                        <wps:cNvPr id="68" name="AutoShape 24"/>
                        <wps:cNvCnPr>
                          <a:cxnSpLocks noChangeShapeType="1"/>
                        </wps:cNvCnPr>
                        <wps:spPr bwMode="auto">
                          <a:xfrm>
                            <a:off x="1805940" y="5334000"/>
                            <a:ext cx="1270" cy="231140"/>
                          </a:xfrm>
                          <a:prstGeom prst="straightConnector1">
                            <a:avLst/>
                          </a:prstGeom>
                          <a:noFill/>
                          <a:ln w="9525">
                            <a:solidFill>
                              <a:srgbClr val="000000"/>
                            </a:solidFill>
                            <a:round/>
                            <a:tailEnd type="arrow" w="med" len="med"/>
                          </a:ln>
                        </wps:spPr>
                        <wps:bodyPr/>
                      </wps:wsp>
                      <wps:wsp>
                        <wps:cNvPr id="69" name="AutoShape 169"/>
                        <wps:cNvCnPr>
                          <a:cxnSpLocks noChangeShapeType="1"/>
                        </wps:cNvCnPr>
                        <wps:spPr bwMode="auto">
                          <a:xfrm flipH="1">
                            <a:off x="1805940" y="2301240"/>
                            <a:ext cx="3176" cy="236220"/>
                          </a:xfrm>
                          <a:prstGeom prst="straightConnector1">
                            <a:avLst/>
                          </a:prstGeom>
                          <a:noFill/>
                          <a:ln w="9525">
                            <a:solidFill>
                              <a:srgbClr val="000000"/>
                            </a:solidFill>
                            <a:round/>
                            <a:tailEnd type="arrow" w="med" len="med"/>
                          </a:ln>
                        </wps:spPr>
                        <wps:bodyPr/>
                      </wps:wsp>
                      <wps:wsp>
                        <wps:cNvPr id="70" name="AutoShape 169"/>
                        <wps:cNvCnPr>
                          <a:cxnSpLocks noChangeShapeType="1"/>
                        </wps:cNvCnPr>
                        <wps:spPr bwMode="auto">
                          <a:xfrm>
                            <a:off x="1805940" y="3421380"/>
                            <a:ext cx="4444" cy="297180"/>
                          </a:xfrm>
                          <a:prstGeom prst="straightConnector1">
                            <a:avLst/>
                          </a:prstGeom>
                          <a:noFill/>
                          <a:ln w="9525">
                            <a:solidFill>
                              <a:srgbClr val="000000"/>
                            </a:solidFill>
                            <a:round/>
                            <a:tailEnd type="arrow" w="med" len="med"/>
                          </a:ln>
                        </wps:spPr>
                        <wps:bodyPr/>
                      </wps:wsp>
                      <wps:wsp>
                        <wps:cNvPr id="71" name="AutoShape 169"/>
                        <wps:cNvCnPr>
                          <a:cxnSpLocks noChangeShapeType="1"/>
                        </wps:cNvCnPr>
                        <wps:spPr bwMode="auto">
                          <a:xfrm flipH="1">
                            <a:off x="1805940" y="4175760"/>
                            <a:ext cx="3176" cy="266700"/>
                          </a:xfrm>
                          <a:prstGeom prst="straightConnector1">
                            <a:avLst/>
                          </a:prstGeom>
                          <a:noFill/>
                          <a:ln w="9525">
                            <a:solidFill>
                              <a:srgbClr val="000000"/>
                            </a:solidFill>
                            <a:round/>
                            <a:tailEnd type="arrow" w="med" len="med"/>
                          </a:ln>
                        </wps:spPr>
                        <wps:bodyPr/>
                      </wps:wsp>
                    </wpg:wgp>
                  </a:graphicData>
                </a:graphic>
              </wp:anchor>
            </w:drawing>
          </mc:Choice>
          <mc:Fallback>
            <w:pict>
              <v:group id="_x0000_s1026" o:spid="_x0000_s1026" o:spt="203" style="position:absolute;left:0pt;margin-left:54.6pt;margin-top:41.9pt;height:602.6pt;width:374.4pt;z-index:251659264;mso-width-relative:page;mso-height-relative:page;" coordsize="4959350,7800340" o:gfxdata="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">
                <o:lock v:ext="edit" aspectratio="f"/>
                <v:shape id="流程图: 过程 6" o:spid="_x0000_s1026" o:spt="109" type="#_x0000_t109" style="position:absolute;left:716280;top:3718560;height:456565;width:2553970;v-text-anchor:middle;" filled="f" stroked="t" coordsize="21600,21600" o:gfxdata="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syg2/&#10;AAAA2wAAAA8AAAAAAAAAAQAgAAAAIgAAAGRycy9kb3ducmV2LnhtbFBLAQIUABQAAAAIAIdO4kAz&#10;LwWeOwAAADkAAAAQAAAAAAAAAAEAIAAAAA4BAABkcnMvc2hhcGV4bWwueG1sUEsFBgAAAAAGAAYA&#10;WwEAALgDAAAAAA==&#10;">
                  <v:fill on="f" focussize="0,0"/>
                  <v:stroke weight="0.25pt" color="#000000" joinstyle="miter"/>
                  <v:imagedata o:title=""/>
                  <o:lock v:ext="edit" aspectratio="f"/>
                  <v:textbox>
                    <w:txbxContent>
                      <w:p w14:paraId="7D2D719D">
                        <w:pPr>
                          <w:kinsoku w:val="0"/>
                          <w:overflowPunct w:val="0"/>
                          <w:spacing w:after="0" w:line="200" w:lineRule="exact"/>
                          <w:textAlignment w:val="baseline"/>
                        </w:pPr>
                        <w:r>
                          <w:rPr>
                            <w:rFonts w:hint="eastAsia" w:ascii="Calibri" w:cs="Times New Roman"/>
                            <w:color w:val="000000" w:themeColor="text1"/>
                            <w:kern w:val="24"/>
                            <w:sz w:val="16"/>
                            <w:szCs w:val="16"/>
                            <w14:textFill>
                              <w14:solidFill>
                                <w14:schemeClr w14:val="tx1"/>
                              </w14:solidFill>
                            </w14:textFill>
                          </w:rPr>
                          <w:t>对申报产品与对比器械技术特征和生物学特性的差异进行评价</w:t>
                        </w:r>
                      </w:p>
                    </w:txbxContent>
                  </v:textbox>
                </v:shape>
                <v:shape id="流程图: 决策 7" o:spid="_x0000_s1026" o:spt="110" type="#_x0000_t110" style="position:absolute;left:464820;top:4442460;height:893445;width:2698750;v-text-anchor:middle;" filled="f" stroked="t" coordsize="21600,21600" o:gfxdata="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1StwAAANoAAAAP&#10;AAAAAAAAAAEAIAAAACIAAABkcnMvZG93bnJldi54bWxQSwECFAAUAAAACACHTuJAMy8FnjsAAAA5&#10;AAAAEAAAAAAAAAABACAAAAAGAQAAZHJzL3NoYXBleG1sLnhtbFBLBQYAAAAABgAGAFsBAACwAwAA&#10;AAA=&#10;">
                  <v:fill on="f" focussize="0,0"/>
                  <v:stroke weight="0.25pt" color="#000000" joinstyle="miter"/>
                  <v:imagedata o:title=""/>
                  <o:lock v:ext="edit" aspectratio="f"/>
                  <v:textbox inset="2.54mm,0mm,2.54mm,0mm">
                    <w:txbxContent>
                      <w:p w14:paraId="5FD0674D">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技术特征和生物学特性的差异是否引起不同的安全有效性问题</w:t>
                        </w:r>
                      </w:p>
                    </w:txbxContent>
                  </v:textbox>
                </v:shape>
                <v:shape id="流程图: 可选过程 17" o:spid="_x0000_s1026" o:spt="176" type="#_x0000_t176" style="position:absolute;left:3695669;top:967599;height:645929;width:1170295;v-text-anchor:middle;" filled="f" stroked="t" coordsize="21600,21600" o:gfxdata="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1ZfcugAAANoA&#10;AAAPAAAAAAAAAAEAIAAAACIAAABkcnMvZG93bnJldi54bWxQSwECFAAUAAAACACHTuJAMy8FnjsA&#10;AAA5AAAAEAAAAAAAAAABACAAAAAJAQAAZHJzL3NoYXBleG1sLnhtbFBLBQYAAAAABgAGAFsBAACz&#10;AwAAAAA=&#10;">
                  <v:fill on="f" focussize="0,0"/>
                  <v:stroke weight="0.25pt" color="#000000" joinstyle="miter"/>
                  <v:imagedata o:title=""/>
                  <o:lock v:ext="edit" aspectratio="f"/>
                  <v:textbox inset="2.54mm,0mm,2.54mm,0mm">
                    <w:txbxContent>
                      <w:p w14:paraId="17BF9859">
                        <w:pPr>
                          <w:kinsoku w:val="0"/>
                          <w:overflowPunct w:val="0"/>
                          <w:spacing w:after="0" w:line="200" w:lineRule="exact"/>
                          <w:textAlignment w:val="baseline"/>
                        </w:pPr>
                        <w:r>
                          <w:rPr>
                            <w:rFonts w:hint="eastAsia" w:ascii="Calibri" w:cs="Times New Roman"/>
                            <w:color w:val="000000" w:themeColor="text1"/>
                            <w:kern w:val="24"/>
                            <w:sz w:val="16"/>
                            <w:szCs w:val="16"/>
                            <w14:textFill>
                              <w14:solidFill>
                                <w14:schemeClr w14:val="tx1"/>
                              </w14:solidFill>
                            </w14:textFill>
                          </w:rPr>
                          <w:t>不能证明申报产品与所选对比器械的等同性，不能视为等同器械</w:t>
                        </w:r>
                      </w:p>
                    </w:txbxContent>
                  </v:textbox>
                </v:shape>
                <v:shape id="流程图: 过程 6" o:spid="_x0000_s1026" o:spt="109" type="#_x0000_t109" style="position:absolute;left:624840;top:5562600;height:443230;width:2517775;v-text-anchor:middle;" filled="f" stroked="t" coordsize="21600,21600" o:gfxdata="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FaL7sAAADa&#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inset="2.54mm,7.08669291338583pt,2.54mm,0.0787412510936133in">
                    <w:txbxContent>
                      <w:p w14:paraId="77AC21C8">
                        <w:pPr>
                          <w:spacing w:line="200" w:lineRule="exact"/>
                          <w:jc w:val="center"/>
                        </w:pPr>
                        <w:r>
                          <w:rPr>
                            <w:rFonts w:hint="eastAsia" w:ascii="Calibri" w:cs="Times New Roman"/>
                            <w:color w:val="000000" w:themeColor="text1"/>
                            <w:kern w:val="24"/>
                            <w:sz w:val="16"/>
                            <w:szCs w:val="16"/>
                            <w14:textFill>
                              <w14:solidFill>
                                <w14:schemeClr w14:val="tx1"/>
                              </w14:solidFill>
                            </w14:textFill>
                          </w:rPr>
                          <w:t>申报产品与对比器械具有相似的技术特征和生物学特性</w:t>
                        </w:r>
                      </w:p>
                    </w:txbxContent>
                  </v:textbox>
                </v:shape>
                <v:shape id="文本框 175" o:spid="_x0000_s1026" o:spt="202" type="#_x0000_t202" style="position:absolute;left:1836420;top:1554480;height:271145;width:311785;"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0B07E229">
                        <w:pPr>
                          <w:spacing w:after="0"/>
                          <w:rPr>
                            <w:sz w:val="16"/>
                            <w:szCs w:val="16"/>
                          </w:rPr>
                        </w:pPr>
                        <w:r>
                          <w:rPr>
                            <w:rFonts w:hint="eastAsia"/>
                            <w:color w:val="000000" w:themeColor="text1"/>
                            <w:kern w:val="24"/>
                            <w:sz w:val="16"/>
                            <w:szCs w:val="16"/>
                            <w14:textFill>
                              <w14:solidFill>
                                <w14:schemeClr w14:val="tx1"/>
                              </w14:solidFill>
                            </w14:textFill>
                          </w:rPr>
                          <w:t>是</w:t>
                        </w:r>
                      </w:p>
                    </w:txbxContent>
                  </v:textbox>
                </v:shape>
                <v:shape id="文本框 177" o:spid="_x0000_s1026" o:spt="202" type="#_x0000_t202" style="position:absolute;left:0;top:2695719;height:421005;width:46736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070B7E08">
                        <w:pPr>
                          <w:spacing w:after="0"/>
                          <w:rPr>
                            <w:sz w:val="16"/>
                            <w:szCs w:val="16"/>
                          </w:rPr>
                        </w:pPr>
                        <w:r>
                          <w:rPr>
                            <w:rFonts w:hint="eastAsia"/>
                            <w:color w:val="000000" w:themeColor="text1"/>
                            <w:kern w:val="24"/>
                            <w:sz w:val="16"/>
                            <w:szCs w:val="16"/>
                            <w14:textFill>
                              <w14:solidFill>
                                <w14:schemeClr w14:val="tx1"/>
                              </w14:solidFill>
                            </w14:textFill>
                          </w:rPr>
                          <w:t>是</w:t>
                        </w:r>
                      </w:p>
                    </w:txbxContent>
                  </v:textbox>
                </v:shape>
                <v:shape id="文本框 179" o:spid="_x0000_s1026" o:spt="202" type="#_x0000_t202" style="position:absolute;left:1851660;top:7002780;height:421005;width:487045;"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7E8A2E87">
                        <w:pPr>
                          <w:spacing w:after="0"/>
                          <w:rPr>
                            <w:sz w:val="16"/>
                            <w:szCs w:val="16"/>
                          </w:rPr>
                        </w:pPr>
                        <w:r>
                          <w:rPr>
                            <w:rFonts w:hint="eastAsia"/>
                            <w:color w:val="000000" w:themeColor="text1"/>
                            <w:kern w:val="24"/>
                            <w:sz w:val="16"/>
                            <w:szCs w:val="16"/>
                            <w14:textFill>
                              <w14:solidFill>
                                <w14:schemeClr w14:val="tx1"/>
                              </w14:solidFill>
                            </w14:textFill>
                          </w:rPr>
                          <w:t>是</w:t>
                        </w:r>
                      </w:p>
                    </w:txbxContent>
                  </v:textbox>
                </v:shape>
                <v:shape id="文本框 180" o:spid="_x0000_s1026" o:spt="202" type="#_x0000_t202" style="position:absolute;left:3160553;top:924251;height:421005;width:487045;"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4066F5C2">
                        <w:pPr>
                          <w:spacing w:after="0"/>
                          <w:rPr>
                            <w:sz w:val="16"/>
                            <w:szCs w:val="16"/>
                          </w:rPr>
                        </w:pPr>
                        <w:r>
                          <w:rPr>
                            <w:rFonts w:hint="eastAsia"/>
                            <w:color w:val="000000" w:themeColor="text1"/>
                            <w:kern w:val="24"/>
                            <w:sz w:val="16"/>
                            <w:szCs w:val="16"/>
                            <w14:textFill>
                              <w14:solidFill>
                                <w14:schemeClr w14:val="tx1"/>
                              </w14:solidFill>
                            </w14:textFill>
                          </w:rPr>
                          <w:t>否</w:t>
                        </w:r>
                      </w:p>
                    </w:txbxContent>
                  </v:textbox>
                </v:shape>
                <v:shape id="文本框 182" o:spid="_x0000_s1026" o:spt="202" type="#_x0000_t202" style="position:absolute;left:3241039;top:6417321;height:421005;width:487045;"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5AB8CC90">
                        <w:pPr>
                          <w:spacing w:after="0"/>
                          <w:rPr>
                            <w:sz w:val="16"/>
                            <w:szCs w:val="16"/>
                          </w:rPr>
                        </w:pPr>
                        <w:r>
                          <w:rPr>
                            <w:rFonts w:hint="eastAsia"/>
                            <w:color w:val="000000" w:themeColor="text1"/>
                            <w:kern w:val="24"/>
                            <w:sz w:val="16"/>
                            <w:szCs w:val="16"/>
                            <w14:textFill>
                              <w14:solidFill>
                                <w14:schemeClr w14:val="tx1"/>
                              </w14:solidFill>
                            </w14:textFill>
                          </w:rPr>
                          <w:t>否</w:t>
                        </w:r>
                      </w:p>
                    </w:txbxContent>
                  </v:textbox>
                </v:shape>
                <v:shape id="文本框 183" o:spid="_x0000_s1026" o:spt="202" type="#_x0000_t202" style="position:absolute;left:1813560;top:3421380;height:285750;width:462915;"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508CCEAE">
                        <w:pPr>
                          <w:spacing w:after="0"/>
                          <w:rPr>
                            <w:sz w:val="16"/>
                            <w:szCs w:val="16"/>
                          </w:rPr>
                        </w:pPr>
                        <w:r>
                          <w:rPr>
                            <w:rFonts w:hint="eastAsia"/>
                            <w:color w:val="000000" w:themeColor="text1"/>
                            <w:kern w:val="24"/>
                            <w:sz w:val="16"/>
                            <w:szCs w:val="16"/>
                            <w14:textFill>
                              <w14:solidFill>
                                <w14:schemeClr w14:val="tx1"/>
                              </w14:solidFill>
                            </w14:textFill>
                          </w:rPr>
                          <w:t>否</w:t>
                        </w:r>
                      </w:p>
                    </w:txbxContent>
                  </v:textbox>
                </v:shape>
                <v:shape id="文本框 184" o:spid="_x0000_s1026" o:spt="202" type="#_x0000_t202" style="position:absolute;left:3208654;top:4652983;height:421005;width:487045;"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8722C83">
                        <w:pPr>
                          <w:spacing w:after="0"/>
                          <w:rPr>
                            <w:sz w:val="16"/>
                            <w:szCs w:val="16"/>
                          </w:rPr>
                        </w:pPr>
                        <w:r>
                          <w:rPr>
                            <w:rFonts w:hint="eastAsia"/>
                            <w:color w:val="000000" w:themeColor="text1"/>
                            <w:kern w:val="24"/>
                            <w:sz w:val="16"/>
                            <w:szCs w:val="16"/>
                            <w14:textFill>
                              <w14:solidFill>
                                <w14:schemeClr w14:val="tx1"/>
                              </w14:solidFill>
                            </w14:textFill>
                          </w:rPr>
                          <w:t>是</w:t>
                        </w:r>
                      </w:p>
                    </w:txbxContent>
                  </v:textbox>
                </v:shape>
                <v:shape id="流程图: 决策 9" o:spid="_x0000_s1026" o:spt="110" type="#_x0000_t110" style="position:absolute;left:419100;top:6233160;height:836930;width:2814320;v-text-anchor:middle;" filled="f" stroked="t" coordsize="21600,21600" o:gfxdata="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nPVW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w:txbxContent>
                      <w:p w14:paraId="178EBB13">
                        <w:pPr>
                          <w:kinsoku w:val="0"/>
                          <w:overflowPunct w:val="0"/>
                          <w:spacing w:after="0" w:line="180" w:lineRule="exact"/>
                          <w:jc w:val="center"/>
                          <w:textAlignment w:val="baseline"/>
                          <w:rPr>
                            <w:rFonts w:ascii="Calibri" w:cs="Times New Roman"/>
                            <w:color w:val="000000" w:themeColor="text1"/>
                            <w:kern w:val="24"/>
                            <w:sz w:val="16"/>
                            <w:szCs w:val="16"/>
                            <w14:textFill>
                              <w14:solidFill>
                                <w14:schemeClr w14:val="tx1"/>
                              </w14:solidFill>
                            </w14:textFill>
                          </w:rPr>
                        </w:pPr>
                        <w:r>
                          <w:rPr>
                            <w:rFonts w:hint="eastAsia" w:ascii="Calibri" w:cs="Times New Roman"/>
                            <w:color w:val="000000" w:themeColor="text1"/>
                            <w:kern w:val="24"/>
                            <w:sz w:val="16"/>
                            <w:szCs w:val="16"/>
                            <w14:textFill>
                              <w14:solidFill>
                                <w14:schemeClr w14:val="tx1"/>
                              </w14:solidFill>
                            </w14:textFill>
                          </w:rPr>
                          <w:t>是否有充分的科学证据证明申报产品与对比器械具有相同的安全有效性</w:t>
                        </w:r>
                      </w:p>
                    </w:txbxContent>
                  </v:textbox>
                </v:shape>
                <v:shape id="流程图: 可选过程 25" o:spid="_x0000_s1026" o:spt="176" type="#_x0000_t176" style="position:absolute;left:3718560;top:4640580;height:490220;width:1198245;v-text-anchor:middle;" filled="f" stroked="t" coordsize="21600,21600" o:gfxdata="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Gi5IugAAANsA&#10;AAAPAAAAAAAAAAEAIAAAACIAAABkcnMvZG93bnJldi54bWxQSwECFAAUAAAACACHTuJAMy8FnjsA&#10;AAA5AAAAEAAAAAAAAAABACAAAAAJAQAAZHJzL3NoYXBleG1sLnhtbFBLBQYAAAAABgAGAFsBAACz&#10;AwAAAAA=&#10;">
                  <v:fill on="f" focussize="0,0"/>
                  <v:stroke weight="0.25pt" color="#000000" joinstyle="miter"/>
                  <v:imagedata o:title=""/>
                  <o:lock v:ext="edit" aspectratio="f"/>
                  <v:textbox>
                    <w:txbxContent>
                      <w:p w14:paraId="467F06E2">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建议更换对比器械</w:t>
                        </w:r>
                      </w:p>
                    </w:txbxContent>
                  </v:textbox>
                </v:shape>
                <v:shape id="流程图: 可选过程 27" o:spid="_x0000_s1026" o:spt="176" type="#_x0000_t176" style="position:absolute;left:3726180;top:6416040;height:476250;width:1233170;v-text-anchor:middle;" filled="f" stroked="t" coordsize="21600,21600" o:gfxdata="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BzG0ugAAANsA&#10;AAAPAAAAAAAAAAEAIAAAACIAAABkcnMvZG93bnJldi54bWxQSwECFAAUAAAACACHTuJAMy8FnjsA&#10;AAA5AAAAEAAAAAAAAAABACAAAAAJAQAAZHJzL3NoYXBleG1sLnhtbFBLBQYAAAAABgAGAFsBAACz&#10;AwAAAAA=&#10;">
                  <v:fill on="f" focussize="0,0"/>
                  <v:stroke weight="0.25pt" color="#000000" joinstyle="miter"/>
                  <v:imagedata o:title=""/>
                  <o:lock v:ext="edit" aspectratio="f"/>
                  <v:textbox inset="7.08669291338583pt,0mm,2.54mm,0mm">
                    <w:txbxContent>
                      <w:p w14:paraId="41D85BC8">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不能证明申报产品与所选对比器械的等同性</w:t>
                        </w:r>
                      </w:p>
                    </w:txbxContent>
                  </v:textbox>
                </v:shape>
                <v:roundrect id="流程图: 过程 19" o:spid="_x0000_s1026" o:spt="2" style="position:absolute;left:586740;top:7231380;height:568960;width:2525395;v-text-anchor:middle;" filled="f" stroked="t" coordsize="21600,21600" arcsize="0.166666666666667" o:gfxdata="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Qcg7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14:paraId="7A8A00CC">
                        <w:pPr>
                          <w:kinsoku w:val="0"/>
                          <w:overflowPunct w:val="0"/>
                          <w:spacing w:after="0"/>
                          <w:jc w:val="center"/>
                          <w:textAlignment w:val="baseline"/>
                        </w:pPr>
                        <w:r>
                          <w:rPr>
                            <w:rFonts w:hint="eastAsia" w:ascii="Calibri" w:cs="Times New Roman"/>
                            <w:color w:val="000000" w:themeColor="text1"/>
                            <w:kern w:val="24"/>
                            <w:sz w:val="16"/>
                            <w:szCs w:val="16"/>
                            <w14:textFill>
                              <w14:solidFill>
                                <w14:schemeClr w14:val="tx1"/>
                              </w14:solidFill>
                            </w14:textFill>
                          </w:rPr>
                          <w:t>对比器械通过论证可视为等同器械，可使用等同器械的临床</w:t>
                        </w:r>
                        <w:r>
                          <w:rPr>
                            <w:rFonts w:ascii="Calibri" w:cs="Times New Roman"/>
                            <w:color w:val="000000" w:themeColor="text1"/>
                            <w:kern w:val="24"/>
                            <w:sz w:val="16"/>
                            <w:szCs w:val="16"/>
                            <w14:textFill>
                              <w14:solidFill>
                                <w14:schemeClr w14:val="tx1"/>
                              </w14:solidFill>
                            </w14:textFill>
                          </w:rPr>
                          <w:t>数据进行</w:t>
                        </w:r>
                        <w:r>
                          <w:rPr>
                            <w:rFonts w:hint="eastAsia" w:ascii="Calibri" w:cs="Times New Roman"/>
                            <w:color w:val="000000" w:themeColor="text1"/>
                            <w:kern w:val="24"/>
                            <w:sz w:val="16"/>
                            <w:szCs w:val="16"/>
                            <w14:textFill>
                              <w14:solidFill>
                                <w14:schemeClr w14:val="tx1"/>
                              </w14:solidFill>
                            </w14:textFill>
                          </w:rPr>
                          <w:t>临床</w:t>
                        </w:r>
                        <w:r>
                          <w:rPr>
                            <w:rFonts w:ascii="Calibri" w:cs="Times New Roman"/>
                            <w:color w:val="000000" w:themeColor="text1"/>
                            <w:kern w:val="24"/>
                            <w:sz w:val="16"/>
                            <w:szCs w:val="16"/>
                            <w14:textFill>
                              <w14:solidFill>
                                <w14:schemeClr w14:val="tx1"/>
                              </w14:solidFill>
                            </w14:textFill>
                          </w:rPr>
                          <w:t>评价。</w:t>
                        </w:r>
                      </w:p>
                    </w:txbxContent>
                  </v:textbox>
                </v:roundrect>
                <v:shape id="AutoShape 168" o:spid="_x0000_s1026" o:spt="32" type="#_x0000_t32" style="position:absolute;left:1676400;top:594360;height:0;width:274955;rotation:5898240f;" filled="f" stroked="t" coordsize="21600,21600" o:gfxdata="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e0D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AutoShape 169" o:spid="_x0000_s1026" o:spt="32" type="#_x0000_t32" style="position:absolute;left:1813560;top:1623060;flip:x;height:208915;width:3175;" filled="f" stroked="t" coordsize="21600,21600" o:gfxdata="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lgv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AutoShape 174" o:spid="_x0000_s1026" o:spt="32" type="#_x0000_t32" style="position:absolute;left:3162300;top:1181100;height:0;width:533400;" filled="f" stroked="t" coordsize="21600,21600" o:gfxdata="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X8q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直接箭头连接符 54" o:spid="_x0000_s1026" o:spt="32" type="#_x0000_t32" style="position:absolute;left:3878580;top:6568440;height:0;width:0;" filled="f" stroked="t" coordsize="21600,21600" o:gfxdata="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OCH&#10;wAAAANsAAAAPAAAAAAAAAAEAIAAAACIAAABkcnMvZG93bnJldi54bWxQSwECFAAUAAAACACHTuJA&#10;My8FnjsAAAA5AAAAEAAAAAAAAAABACAAAAAPAQAAZHJzL3NoYXBleG1sLnhtbFBLBQYAAAAABgAG&#10;AFsBAAC5AwAAAAA=&#10;">
                  <v:fill on="f" focussize="0,0"/>
                  <v:stroke color="#457BBA" joinstyle="round" endarrow="open"/>
                  <v:imagedata o:title=""/>
                  <o:lock v:ext="edit" aspectratio="f"/>
                </v:shape>
                <v:shape id="AutoShape 176" o:spid="_x0000_s1026" o:spt="32" type="#_x0000_t32" style="position:absolute;left:1836420;top:7071360;flip:x;height:163830;width:635;" filled="f" stroked="t" coordsize="21600,21600" o:gfxdata="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8Bb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AutoShape 177" o:spid="_x0000_s1026" o:spt="34" type="#_x0000_t34" style="position:absolute;left:457200;top:2979420;flip:x y;height:4491990;width:128270;rotation:11796480f;" filled="f" stroked="t" coordsize="21600,21600" o:gfxdata="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V02K8AAAA&#10;2wAAAA8AAAAAAAAAAQAgAAAAIgAAAGRycy9kb3ducmV2LnhtbFBLAQIUABQAAAAIAIdO4kAzLwWe&#10;OwAAADkAAAAQAAAAAAAAAAEAIAAAAAsBAABkcnMvc2hhcGV4bWwueG1sUEsFBgAAAAAGAAYAWwEA&#10;ALUDAAAAAA==&#10;" adj="-85010">
                  <v:fill on="f" focussize="0,0"/>
                  <v:stroke color="#000000" joinstyle="round" endarrow="open"/>
                  <v:imagedata o:title=""/>
                  <o:lock v:ext="edit" aspectratio="f"/>
                </v:shape>
                <v:shape id="AutoShape 178" o:spid="_x0000_s1026" o:spt="32" type="#_x0000_t32" style="position:absolute;left:3169920;top:4884420;height:0;width:548640;" filled="f" stroked="t" coordsize="21600,21600" o:gfxdata="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76q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AutoShape 179" o:spid="_x0000_s1026" o:spt="32" type="#_x0000_t32" style="position:absolute;left:3223260;top:6652260;height:0;width:504825;" filled="f" stroked="t" coordsize="21600,21600" o:gfxdata="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xBbtq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文本框 179" o:spid="_x0000_s1026" o:spt="202" type="#_x0000_t202" style="position:absolute;left:1851660;top:5334000;height:421005;width:487045;"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07836506">
                        <w:pPr>
                          <w:spacing w:after="0"/>
                          <w:rPr>
                            <w:sz w:val="16"/>
                            <w:szCs w:val="16"/>
                          </w:rPr>
                        </w:pPr>
                        <w:r>
                          <w:rPr>
                            <w:rFonts w:hint="eastAsia"/>
                            <w:color w:val="000000" w:themeColor="text1"/>
                            <w:kern w:val="24"/>
                            <w:sz w:val="16"/>
                            <w:szCs w:val="16"/>
                            <w14:textFill>
                              <w14:solidFill>
                                <w14:schemeClr w14:val="tx1"/>
                              </w14:solidFill>
                            </w14:textFill>
                          </w:rPr>
                          <w:t>否</w:t>
                        </w:r>
                      </w:p>
                    </w:txbxContent>
                  </v:textbox>
                </v:shape>
                <v:shape id="AutoShape 181" o:spid="_x0000_s1026" o:spt="32" type="#_x0000_t32" style="position:absolute;left:1821180;top:6004560;height:231140;width:1270;" filled="f" stroked="t" coordsize="21600,21600" o:gfxdata="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olGa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流程图: 可选过程 17" o:spid="_x0000_s1026" o:spt="176" type="#_x0000_t176" style="position:absolute;left:670560;top:0;height:451485;width:2444115;v-text-anchor:middle;" filled="f" stroked="t" coordsize="21600,21600" o:gfxdata="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pXtL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inset="2.54mm,0mm,2.54mm,0mm">
                    <w:txbxContent>
                      <w:p w14:paraId="1F71D40B">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结合产品研发背景，初步选择对比器械</w:t>
                        </w:r>
                      </w:p>
                    </w:txbxContent>
                  </v:textbox>
                </v:shape>
                <v:shape id="流程图: 决策 7" o:spid="_x0000_s1026" o:spt="110" type="#_x0000_t110" style="position:absolute;left:464820;top:731520;height:893445;width:2698750;v-text-anchor:middle;" filled="f" stroked="t" coordsize="21600,21600" o:gfxdata="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q25+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inset="2.54mm,0mm,2.54mm,0mm">
                    <w:txbxContent>
                      <w:p w14:paraId="057EE53C">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选择的对比器械与申报产品是否具有相同的适用范围</w:t>
                        </w:r>
                      </w:p>
                    </w:txbxContent>
                  </v:textbox>
                </v:shape>
                <v:shape id="流程图: 过程 6" o:spid="_x0000_s1026" o:spt="109" type="#_x0000_t109" style="position:absolute;left:563880;top:1821180;height:483235;width:2517775;v-text-anchor:middle;" filled="f" stroked="t" coordsize="21600,21600" o:gfxdata="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rD+O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inset="2.54mm,7.08669291338583pt,2.54mm,0.0787412510936133in">
                    <w:txbxContent>
                      <w:p w14:paraId="4285BD7A">
                        <w:pPr>
                          <w:spacing w:line="200" w:lineRule="exact"/>
                          <w:jc w:val="center"/>
                        </w:pPr>
                        <w:r>
                          <w:rPr>
                            <w:rFonts w:hint="eastAsia" w:ascii="Calibri" w:cs="Times New Roman"/>
                            <w:color w:val="000000" w:themeColor="text1"/>
                            <w:kern w:val="24"/>
                            <w:sz w:val="16"/>
                            <w:szCs w:val="16"/>
                            <w14:textFill>
                              <w14:solidFill>
                                <w14:schemeClr w14:val="tx1"/>
                              </w14:solidFill>
                            </w14:textFill>
                          </w:rPr>
                          <w:t>将申报产品的技术特征和生物学特性与对比器械进行比对</w:t>
                        </w:r>
                      </w:p>
                    </w:txbxContent>
                  </v:textbox>
                </v:shape>
                <v:shape id="流程图: 决策 7" o:spid="_x0000_s1026" o:spt="110" type="#_x0000_t110" style="position:absolute;left:464820;top:2537460;height:893445;width:2698750;v-text-anchor:middle;" filled="f" stroked="t" coordsize="21600,21600" o:gfxdata="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04HO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inset="2.54mm,0mm,2.54mm,0mm">
                    <w:txbxContent>
                      <w:p w14:paraId="0E089C1A">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申报产品与对比器械是否具有相同的技术特征和生物学特性</w:t>
                        </w:r>
                      </w:p>
                    </w:txbxContent>
                  </v:textbox>
                </v:shape>
                <v:shape id="AutoShape 24" o:spid="_x0000_s1026" o:spt="32" type="#_x0000_t32" style="position:absolute;left:1805940;top:5334000;height:231140;width:1270;" filled="f" stroked="t" coordsize="21600,21600" o:gfxdata="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r1xq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AutoShape 169" o:spid="_x0000_s1026" o:spt="32" type="#_x0000_t32" style="position:absolute;left:1805940;top:2301240;flip:x;height:236220;width:3176;" filled="f" stroked="t" coordsize="21600,21600" o:gfxdata="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xzn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AutoShape 169" o:spid="_x0000_s1026" o:spt="32" type="#_x0000_t32" style="position:absolute;left:1805940;top:3421380;height:297180;width:4444;" filled="f" stroked="t" coordsize="21600,21600" o:gfxdata="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ETc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AutoShape 169" o:spid="_x0000_s1026" o:spt="32" type="#_x0000_t32" style="position:absolute;left:1805940;top:4175760;flip:x;height:266700;width:3176;" filled="f" stroked="t" coordsize="21600,21600" o:gfxdata="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PpR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w:pict>
          </mc:Fallback>
        </mc:AlternateContent>
      </w:r>
      <w:r>
        <w:rPr>
          <w:rFonts w:ascii="Times New Roman" w:hAnsi="Times New Roman" w:eastAsia="方正小标宋简体" w:cs="Times New Roman"/>
          <w:sz w:val="44"/>
          <w:szCs w:val="44"/>
          <w:lang w:val="zh-CN"/>
        </w:rPr>
        <w:t>等同性论证流程图</w:t>
      </w:r>
    </w:p>
    <w:p w14:paraId="5492FCBD">
      <w:pPr>
        <w:widowControl w:val="0"/>
        <w:spacing w:after="0" w:line="580" w:lineRule="exact"/>
        <w:rPr>
          <w:rFonts w:ascii="Times New Roman" w:hAnsi="Times New Roman" w:eastAsia="方正小标宋简体" w:cs="Times New Roman"/>
          <w:sz w:val="24"/>
          <w:szCs w:val="24"/>
        </w:rPr>
      </w:pPr>
    </w:p>
    <w:p w14:paraId="5892EE7D">
      <w:pPr>
        <w:widowControl w:val="0"/>
        <w:spacing w:after="0" w:line="580" w:lineRule="exact"/>
        <w:rPr>
          <w:rFonts w:ascii="Times New Roman" w:hAnsi="Times New Roman" w:eastAsia="方正小标宋简体" w:cs="Times New Roman"/>
          <w:sz w:val="24"/>
          <w:szCs w:val="24"/>
        </w:rPr>
      </w:pPr>
    </w:p>
    <w:p w14:paraId="0DC33AB9">
      <w:pPr>
        <w:widowControl w:val="0"/>
        <w:spacing w:after="0" w:line="580" w:lineRule="exact"/>
        <w:rPr>
          <w:rFonts w:ascii="Times New Roman" w:hAnsi="Times New Roman" w:eastAsia="方正小标宋简体" w:cs="Times New Roman"/>
          <w:sz w:val="24"/>
          <w:szCs w:val="24"/>
        </w:rPr>
      </w:pPr>
    </w:p>
    <w:p w14:paraId="5196DBB0">
      <w:pPr>
        <w:widowControl w:val="0"/>
        <w:spacing w:after="0" w:line="580" w:lineRule="exact"/>
        <w:rPr>
          <w:rFonts w:ascii="Times New Roman" w:hAnsi="Times New Roman" w:eastAsia="方正小标宋简体" w:cs="Times New Roman"/>
          <w:sz w:val="24"/>
          <w:szCs w:val="24"/>
        </w:rPr>
      </w:pPr>
    </w:p>
    <w:p w14:paraId="77DAC183">
      <w:pPr>
        <w:widowControl w:val="0"/>
        <w:spacing w:after="0" w:line="580" w:lineRule="exact"/>
        <w:rPr>
          <w:rFonts w:ascii="Times New Roman" w:hAnsi="Times New Roman" w:eastAsia="方正小标宋简体" w:cs="Times New Roman"/>
          <w:sz w:val="24"/>
          <w:szCs w:val="24"/>
        </w:rPr>
      </w:pPr>
    </w:p>
    <w:p w14:paraId="26142C8A">
      <w:pPr>
        <w:widowControl w:val="0"/>
        <w:spacing w:after="0" w:line="580" w:lineRule="exact"/>
        <w:rPr>
          <w:rFonts w:ascii="Times New Roman" w:hAnsi="Times New Roman" w:eastAsia="方正小标宋简体" w:cs="Times New Roman"/>
          <w:sz w:val="24"/>
          <w:szCs w:val="24"/>
        </w:rPr>
      </w:pPr>
    </w:p>
    <w:p w14:paraId="6124FE56">
      <w:pPr>
        <w:widowControl w:val="0"/>
        <w:spacing w:after="0" w:line="580" w:lineRule="exact"/>
        <w:rPr>
          <w:rFonts w:ascii="Times New Roman" w:hAnsi="Times New Roman" w:eastAsia="方正小标宋简体" w:cs="Times New Roman"/>
          <w:sz w:val="24"/>
          <w:szCs w:val="24"/>
        </w:rPr>
      </w:pPr>
    </w:p>
    <w:p w14:paraId="17D6B6DD">
      <w:pPr>
        <w:widowControl w:val="0"/>
        <w:spacing w:after="0" w:line="580" w:lineRule="exact"/>
        <w:rPr>
          <w:rFonts w:ascii="Times New Roman" w:hAnsi="Times New Roman" w:eastAsia="方正小标宋简体" w:cs="Times New Roman"/>
          <w:sz w:val="24"/>
          <w:szCs w:val="24"/>
        </w:rPr>
      </w:pPr>
    </w:p>
    <w:p w14:paraId="3BACC0F1">
      <w:pPr>
        <w:widowControl w:val="0"/>
        <w:spacing w:after="0" w:line="580" w:lineRule="exact"/>
        <w:rPr>
          <w:rFonts w:ascii="Times New Roman" w:hAnsi="Times New Roman" w:eastAsia="方正小标宋简体" w:cs="Times New Roman"/>
          <w:sz w:val="24"/>
          <w:szCs w:val="24"/>
        </w:rPr>
      </w:pPr>
    </w:p>
    <w:p w14:paraId="24E35369">
      <w:pPr>
        <w:widowControl w:val="0"/>
        <w:spacing w:after="0" w:line="580" w:lineRule="exact"/>
        <w:rPr>
          <w:rFonts w:ascii="Times New Roman" w:hAnsi="Times New Roman" w:eastAsia="方正小标宋简体" w:cs="Times New Roman"/>
          <w:sz w:val="24"/>
          <w:szCs w:val="24"/>
        </w:rPr>
      </w:pPr>
    </w:p>
    <w:p w14:paraId="6670F672">
      <w:pPr>
        <w:widowControl w:val="0"/>
        <w:spacing w:after="0" w:line="580" w:lineRule="exact"/>
        <w:rPr>
          <w:rFonts w:ascii="Times New Roman" w:hAnsi="Times New Roman" w:eastAsia="方正小标宋简体" w:cs="Times New Roman"/>
          <w:sz w:val="24"/>
          <w:szCs w:val="24"/>
        </w:rPr>
      </w:pPr>
    </w:p>
    <w:p w14:paraId="3218EAEF">
      <w:pPr>
        <w:widowControl w:val="0"/>
        <w:spacing w:after="0" w:line="580" w:lineRule="exact"/>
        <w:rPr>
          <w:rFonts w:ascii="Times New Roman" w:hAnsi="Times New Roman" w:eastAsia="方正小标宋简体" w:cs="Times New Roman"/>
          <w:sz w:val="24"/>
          <w:szCs w:val="24"/>
        </w:rPr>
      </w:pPr>
    </w:p>
    <w:p w14:paraId="18DC947D">
      <w:pPr>
        <w:widowControl w:val="0"/>
        <w:spacing w:after="0" w:line="580" w:lineRule="exact"/>
        <w:rPr>
          <w:rFonts w:ascii="Times New Roman" w:hAnsi="Times New Roman" w:eastAsia="方正小标宋简体" w:cs="Times New Roman"/>
          <w:sz w:val="24"/>
          <w:szCs w:val="24"/>
        </w:rPr>
      </w:pPr>
    </w:p>
    <w:p w14:paraId="72392681">
      <w:pPr>
        <w:widowControl w:val="0"/>
        <w:spacing w:after="0" w:line="580" w:lineRule="exact"/>
        <w:rPr>
          <w:rFonts w:ascii="Times New Roman" w:hAnsi="Times New Roman" w:eastAsia="方正小标宋简体" w:cs="Times New Roman"/>
          <w:sz w:val="24"/>
          <w:szCs w:val="24"/>
        </w:rPr>
      </w:pPr>
    </w:p>
    <w:p w14:paraId="0F6593CD">
      <w:pPr>
        <w:widowControl w:val="0"/>
        <w:spacing w:after="0" w:line="580" w:lineRule="exact"/>
        <w:rPr>
          <w:rFonts w:ascii="Times New Roman" w:hAnsi="Times New Roman" w:eastAsia="方正小标宋简体" w:cs="Times New Roman"/>
          <w:sz w:val="24"/>
          <w:szCs w:val="24"/>
        </w:rPr>
      </w:pPr>
    </w:p>
    <w:p w14:paraId="6E3108BF">
      <w:pPr>
        <w:widowControl w:val="0"/>
        <w:spacing w:after="0" w:line="580" w:lineRule="exact"/>
        <w:rPr>
          <w:rFonts w:ascii="Times New Roman" w:hAnsi="Times New Roman" w:eastAsia="方正小标宋简体" w:cs="Times New Roman"/>
          <w:sz w:val="24"/>
          <w:szCs w:val="24"/>
        </w:rPr>
      </w:pPr>
    </w:p>
    <w:p w14:paraId="11536B70">
      <w:pPr>
        <w:widowControl w:val="0"/>
        <w:spacing w:after="0" w:line="580" w:lineRule="exact"/>
        <w:rPr>
          <w:rFonts w:ascii="Times New Roman" w:hAnsi="Times New Roman" w:eastAsia="方正小标宋简体" w:cs="Times New Roman"/>
          <w:sz w:val="24"/>
          <w:szCs w:val="24"/>
        </w:rPr>
      </w:pPr>
    </w:p>
    <w:p w14:paraId="24A0B201">
      <w:pPr>
        <w:widowControl w:val="0"/>
        <w:spacing w:after="0" w:line="580" w:lineRule="exact"/>
        <w:rPr>
          <w:rFonts w:ascii="Times New Roman" w:hAnsi="Times New Roman" w:eastAsia="方正小标宋简体" w:cs="Times New Roman"/>
          <w:sz w:val="24"/>
          <w:szCs w:val="24"/>
        </w:rPr>
      </w:pPr>
    </w:p>
    <w:p w14:paraId="452BCBC7">
      <w:pPr>
        <w:widowControl w:val="0"/>
        <w:spacing w:after="0" w:line="580" w:lineRule="exact"/>
        <w:rPr>
          <w:rFonts w:ascii="Times New Roman" w:hAnsi="Times New Roman" w:eastAsia="方正小标宋简体" w:cs="Times New Roman"/>
          <w:sz w:val="24"/>
          <w:szCs w:val="24"/>
        </w:rPr>
      </w:pPr>
    </w:p>
    <w:p w14:paraId="76A7FE91">
      <w:pPr>
        <w:rPr>
          <w:rFonts w:ascii="Times New Roman" w:hAnsi="Times New Roman" w:cs="Times New Roman"/>
        </w:rPr>
      </w:pPr>
    </w:p>
    <w:p w14:paraId="3B825EEB">
      <w:pPr>
        <w:widowControl w:val="0"/>
        <w:spacing w:after="0" w:line="560" w:lineRule="exact"/>
        <w:rPr>
          <w:rFonts w:hint="eastAsia" w:eastAsia="宋体"/>
          <w:lang w:eastAsia="zh-CN"/>
        </w:rPr>
      </w:pPr>
    </w:p>
    <w:p w14:paraId="19D16102">
      <w:pPr>
        <w:widowControl w:val="0"/>
        <w:spacing w:after="0" w:line="560" w:lineRule="exact"/>
        <w:jc w:val="center"/>
        <w:rPr>
          <w:rFonts w:hint="eastAsia" w:eastAsia="宋体"/>
          <w:lang w:eastAsia="zh-CN"/>
        </w:rPr>
      </w:pPr>
    </w:p>
    <w:p w14:paraId="19AA1B84">
      <w:pPr>
        <w:widowControl w:val="0"/>
        <w:spacing w:after="0"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3" name="图片 13" descr="2"/>
            <wp:cNvGraphicFramePr/>
            <a:graphic xmlns:a="http://schemas.openxmlformats.org/drawingml/2006/main">
              <a:graphicData uri="http://schemas.openxmlformats.org/drawingml/2006/picture">
                <pic:pic xmlns:pic="http://schemas.openxmlformats.org/drawingml/2006/picture">
                  <pic:nvPicPr>
                    <pic:cNvPr id="13" name="图片 13"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default"/>
      <w:footerReference r:id="rId7" w:type="default"/>
      <w:headerReference r:id="rId6" w:type="even"/>
      <w:footerReference r:id="rId8" w:type="even"/>
      <w:pgSz w:w="11900" w:h="16838"/>
      <w:pgMar w:top="1928" w:right="1531" w:bottom="1814" w:left="1531" w:header="743"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058876"/>
    </w:sdtPr>
    <w:sdtContent>
      <w:p w14:paraId="366A3AE8">
        <w:pPr>
          <w:pStyle w:val="8"/>
          <w:tabs>
            <w:tab w:val="center" w:pos="4320"/>
            <w:tab w:val="right" w:pos="8640"/>
            <w:tab w:val="clear" w:pos="4153"/>
            <w:tab w:val="clear" w:pos="8306"/>
          </w:tabs>
          <w:jc w:val="center"/>
        </w:pPr>
      </w:p>
    </w:sdtContent>
  </w:sdt>
  <w:p w14:paraId="41460CE5">
    <w:pPr>
      <w:pStyle w:val="8"/>
      <w:tabs>
        <w:tab w:val="center" w:pos="4320"/>
        <w:tab w:val="right" w:pos="8640"/>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C308">
    <w:pPr>
      <w:pStyle w:val="8"/>
      <w:framePr w:wrap="around" w:vAnchor="text" w:hAnchor="margin" w:xAlign="outside" w:y="-248"/>
      <w:tabs>
        <w:tab w:val="center" w:pos="4320"/>
        <w:tab w:val="right" w:pos="8640"/>
        <w:tab w:val="clear" w:pos="4153"/>
        <w:tab w:val="clear" w:pos="8306"/>
      </w:tabs>
      <w:rPr>
        <w:rStyle w:val="18"/>
        <w:sz w:val="28"/>
        <w:szCs w:val="28"/>
      </w:rPr>
    </w:pPr>
    <w:r>
      <w:rPr>
        <w:rStyle w:val="18"/>
        <w:rFonts w:hint="eastAsia"/>
        <w:color w:val="FFFFFF"/>
        <w:sz w:val="28"/>
        <w:szCs w:val="28"/>
      </w:rPr>
      <w:t>啊</w:t>
    </w: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32</w:t>
    </w:r>
    <w:r>
      <w:rPr>
        <w:rStyle w:val="18"/>
        <w:sz w:val="28"/>
        <w:szCs w:val="28"/>
      </w:rPr>
      <w:fldChar w:fldCharType="end"/>
    </w:r>
    <w:r>
      <w:rPr>
        <w:rStyle w:val="18"/>
        <w:rFonts w:hint="eastAsia"/>
        <w:sz w:val="28"/>
        <w:szCs w:val="28"/>
      </w:rPr>
      <w:t>—</w:t>
    </w:r>
  </w:p>
  <w:p w14:paraId="4138728D">
    <w:pPr>
      <w:pStyle w:val="8"/>
      <w:tabs>
        <w:tab w:val="center" w:pos="4320"/>
        <w:tab w:val="right" w:pos="8640"/>
        <w:tab w:val="clear" w:pos="4153"/>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CA8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5E8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220"/>
  <w:drawingGridVerticalSpacing w:val="-794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D"/>
    <w:rsid w:val="00021232"/>
    <w:rsid w:val="0002423E"/>
    <w:rsid w:val="000326B1"/>
    <w:rsid w:val="000D593E"/>
    <w:rsid w:val="00166595"/>
    <w:rsid w:val="001745D7"/>
    <w:rsid w:val="001A1BAB"/>
    <w:rsid w:val="00252DB0"/>
    <w:rsid w:val="00253185"/>
    <w:rsid w:val="002A02B6"/>
    <w:rsid w:val="002E003E"/>
    <w:rsid w:val="002F25AB"/>
    <w:rsid w:val="003165E4"/>
    <w:rsid w:val="00316ED1"/>
    <w:rsid w:val="00331865"/>
    <w:rsid w:val="003B5C4F"/>
    <w:rsid w:val="004756C2"/>
    <w:rsid w:val="004A7C75"/>
    <w:rsid w:val="004C55ED"/>
    <w:rsid w:val="00503CB2"/>
    <w:rsid w:val="0052700A"/>
    <w:rsid w:val="0056408D"/>
    <w:rsid w:val="005757C7"/>
    <w:rsid w:val="006729C0"/>
    <w:rsid w:val="006D0A03"/>
    <w:rsid w:val="006D3B27"/>
    <w:rsid w:val="006E6D13"/>
    <w:rsid w:val="00740E6A"/>
    <w:rsid w:val="007640E4"/>
    <w:rsid w:val="00791397"/>
    <w:rsid w:val="007C3EEA"/>
    <w:rsid w:val="00825505"/>
    <w:rsid w:val="00890225"/>
    <w:rsid w:val="008E3966"/>
    <w:rsid w:val="00936BC0"/>
    <w:rsid w:val="009542EC"/>
    <w:rsid w:val="00955893"/>
    <w:rsid w:val="00977204"/>
    <w:rsid w:val="00981B9C"/>
    <w:rsid w:val="00983B15"/>
    <w:rsid w:val="00A44411"/>
    <w:rsid w:val="00A76A9E"/>
    <w:rsid w:val="00A77B58"/>
    <w:rsid w:val="00A923F3"/>
    <w:rsid w:val="00B005F1"/>
    <w:rsid w:val="00B06182"/>
    <w:rsid w:val="00B10573"/>
    <w:rsid w:val="00C14C5E"/>
    <w:rsid w:val="00C24171"/>
    <w:rsid w:val="00C5572A"/>
    <w:rsid w:val="00C56008"/>
    <w:rsid w:val="00C82292"/>
    <w:rsid w:val="00CA2D79"/>
    <w:rsid w:val="00CC2DCA"/>
    <w:rsid w:val="00CE7082"/>
    <w:rsid w:val="00D55387"/>
    <w:rsid w:val="00E023B5"/>
    <w:rsid w:val="00E1541F"/>
    <w:rsid w:val="00EA05AC"/>
    <w:rsid w:val="00EF01A5"/>
    <w:rsid w:val="00F14B69"/>
    <w:rsid w:val="00F241A3"/>
    <w:rsid w:val="00F37080"/>
    <w:rsid w:val="00F54497"/>
    <w:rsid w:val="00FE588F"/>
    <w:rsid w:val="32F9299E"/>
    <w:rsid w:val="36D7F3A0"/>
    <w:rsid w:val="3DC990A3"/>
    <w:rsid w:val="3FB9911B"/>
    <w:rsid w:val="3FEE900B"/>
    <w:rsid w:val="485F16BA"/>
    <w:rsid w:val="4F0D9336"/>
    <w:rsid w:val="574FF29E"/>
    <w:rsid w:val="5B5F3330"/>
    <w:rsid w:val="5BFF8FB5"/>
    <w:rsid w:val="5BFFE8D0"/>
    <w:rsid w:val="5DEFCB20"/>
    <w:rsid w:val="5EDB1B42"/>
    <w:rsid w:val="60455C90"/>
    <w:rsid w:val="60BDEFB3"/>
    <w:rsid w:val="68EE1B8B"/>
    <w:rsid w:val="6B79144E"/>
    <w:rsid w:val="6E792BD9"/>
    <w:rsid w:val="75DF28F0"/>
    <w:rsid w:val="77AFDFA1"/>
    <w:rsid w:val="78FC5995"/>
    <w:rsid w:val="797F9E56"/>
    <w:rsid w:val="79ADB731"/>
    <w:rsid w:val="79BC7F83"/>
    <w:rsid w:val="7AFEFF07"/>
    <w:rsid w:val="7BFF41D0"/>
    <w:rsid w:val="7D673BA1"/>
    <w:rsid w:val="7DFCA0F0"/>
    <w:rsid w:val="7F3326C1"/>
    <w:rsid w:val="8BECB4D4"/>
    <w:rsid w:val="9DFF796E"/>
    <w:rsid w:val="A2FF4BA8"/>
    <w:rsid w:val="AF3A0F99"/>
    <w:rsid w:val="B7FF6B9F"/>
    <w:rsid w:val="B97B4692"/>
    <w:rsid w:val="BFDE216F"/>
    <w:rsid w:val="BFFB0A3B"/>
    <w:rsid w:val="C3FD1B94"/>
    <w:rsid w:val="C6FEE877"/>
    <w:rsid w:val="CB7BECC1"/>
    <w:rsid w:val="CFFFC943"/>
    <w:rsid w:val="D5F9E587"/>
    <w:rsid w:val="D7B9A28B"/>
    <w:rsid w:val="DC797266"/>
    <w:rsid w:val="DE2FC3F4"/>
    <w:rsid w:val="DFBF0586"/>
    <w:rsid w:val="E2F79A2C"/>
    <w:rsid w:val="E7FF2850"/>
    <w:rsid w:val="EEBF9AB3"/>
    <w:rsid w:val="EED60FA0"/>
    <w:rsid w:val="EF1F94E9"/>
    <w:rsid w:val="F532D093"/>
    <w:rsid w:val="FBB4F98E"/>
    <w:rsid w:val="FD678FEE"/>
    <w:rsid w:val="FDB13C67"/>
    <w:rsid w:val="FFBB7E17"/>
    <w:rsid w:val="FFC5007C"/>
    <w:rsid w:val="FFF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1"/>
    <w:pPr>
      <w:widowControl w:val="0"/>
      <w:spacing w:after="0" w:line="240" w:lineRule="auto"/>
      <w:ind w:left="652" w:hanging="432"/>
      <w:outlineLvl w:val="0"/>
    </w:pPr>
    <w:rPr>
      <w:rFonts w:ascii="Times New Roman" w:hAnsi="Times New Roman" w:eastAsia="Times New Roman"/>
      <w:b/>
      <w:bCs/>
      <w:sz w:val="28"/>
      <w:szCs w:val="28"/>
      <w:lang w:eastAsia="en-US"/>
    </w:rPr>
  </w:style>
  <w:style w:type="paragraph" w:styleId="3">
    <w:name w:val="heading 2"/>
    <w:basedOn w:val="1"/>
    <w:next w:val="1"/>
    <w:link w:val="23"/>
    <w:qFormat/>
    <w:uiPriority w:val="1"/>
    <w:pPr>
      <w:widowControl w:val="0"/>
      <w:spacing w:after="0" w:line="240" w:lineRule="auto"/>
      <w:ind w:left="220"/>
      <w:outlineLvl w:val="1"/>
    </w:pPr>
    <w:rPr>
      <w:rFonts w:ascii="Times New Roman" w:hAnsi="Times New Roman" w:eastAsia="Times New Roman"/>
      <w:b/>
      <w:bCs/>
      <w:sz w:val="24"/>
      <w:szCs w:val="24"/>
      <w:lang w:eastAsia="en-US"/>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widowControl w:val="0"/>
      <w:spacing w:after="0" w:line="240" w:lineRule="auto"/>
    </w:pPr>
    <w:rPr>
      <w:lang w:eastAsia="en-US"/>
    </w:rPr>
  </w:style>
  <w:style w:type="paragraph" w:styleId="5">
    <w:name w:val="Body Text"/>
    <w:basedOn w:val="1"/>
    <w:link w:val="26"/>
    <w:qFormat/>
    <w:uiPriority w:val="1"/>
    <w:pPr>
      <w:widowControl w:val="0"/>
      <w:spacing w:after="0" w:line="240" w:lineRule="auto"/>
      <w:ind w:left="1638"/>
    </w:pPr>
    <w:rPr>
      <w:rFonts w:ascii="Times New Roman" w:hAnsi="Times New Roman" w:eastAsia="Times New Roman"/>
      <w:sz w:val="24"/>
      <w:szCs w:val="24"/>
      <w:lang w:eastAsia="en-US"/>
    </w:rPr>
  </w:style>
  <w:style w:type="paragraph" w:styleId="6">
    <w:name w:val="toc 3"/>
    <w:basedOn w:val="1"/>
    <w:next w:val="1"/>
    <w:qFormat/>
    <w:uiPriority w:val="39"/>
    <w:pPr>
      <w:widowControl w:val="0"/>
      <w:spacing w:after="0" w:line="240" w:lineRule="auto"/>
      <w:ind w:left="1660" w:hanging="731"/>
    </w:pPr>
    <w:rPr>
      <w:rFonts w:ascii="Times New Roman" w:hAnsi="Times New Roman" w:eastAsia="Times New Roman"/>
      <w:sz w:val="24"/>
      <w:szCs w:val="24"/>
      <w:lang w:eastAsia="en-US"/>
    </w:rPr>
  </w:style>
  <w:style w:type="paragraph" w:styleId="7">
    <w:name w:val="Balloon Text"/>
    <w:basedOn w:val="1"/>
    <w:link w:val="29"/>
    <w:semiHidden/>
    <w:unhideWhenUsed/>
    <w:qFormat/>
    <w:uiPriority w:val="99"/>
    <w:pPr>
      <w:widowControl w:val="0"/>
      <w:spacing w:after="0" w:line="240" w:lineRule="auto"/>
    </w:pPr>
    <w:rPr>
      <w:sz w:val="18"/>
      <w:szCs w:val="18"/>
      <w:lang w:eastAsia="en-US"/>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after="0" w:line="240" w:lineRule="auto"/>
      <w:ind w:left="219"/>
    </w:pPr>
    <w:rPr>
      <w:rFonts w:ascii="Times New Roman" w:hAnsi="Times New Roman" w:eastAsia="Times New Roman"/>
      <w:sz w:val="24"/>
      <w:szCs w:val="24"/>
      <w:lang w:eastAsia="en-US"/>
    </w:rPr>
  </w:style>
  <w:style w:type="paragraph" w:styleId="11">
    <w:name w:val="footnote text"/>
    <w:basedOn w:val="1"/>
    <w:link w:val="30"/>
    <w:semiHidden/>
    <w:unhideWhenUsed/>
    <w:qFormat/>
    <w:uiPriority w:val="99"/>
    <w:pPr>
      <w:widowControl w:val="0"/>
      <w:snapToGrid w:val="0"/>
      <w:spacing w:after="0" w:line="240" w:lineRule="auto"/>
    </w:pPr>
    <w:rPr>
      <w:sz w:val="18"/>
      <w:szCs w:val="18"/>
      <w:lang w:eastAsia="en-US"/>
    </w:rPr>
  </w:style>
  <w:style w:type="paragraph" w:styleId="12">
    <w:name w:val="toc 2"/>
    <w:basedOn w:val="1"/>
    <w:next w:val="1"/>
    <w:qFormat/>
    <w:uiPriority w:val="39"/>
    <w:pPr>
      <w:widowControl w:val="0"/>
      <w:spacing w:after="0" w:line="240" w:lineRule="auto"/>
      <w:ind w:left="220"/>
    </w:pPr>
    <w:rPr>
      <w:rFonts w:ascii="Times New Roman" w:hAnsi="Times New Roman" w:eastAsia="Times New Roman"/>
      <w:sz w:val="24"/>
      <w:szCs w:val="24"/>
      <w:lang w:eastAsia="en-US"/>
    </w:rPr>
  </w:style>
  <w:style w:type="paragraph" w:styleId="13">
    <w:name w:val="HTML Preformatted"/>
    <w:basedOn w:val="1"/>
    <w:link w:val="3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qFormat/>
    <w:uiPriority w:val="0"/>
  </w:style>
  <w:style w:type="character" w:styleId="19">
    <w:name w:val="Hyperlink"/>
    <w:qFormat/>
    <w:uiPriority w:val="99"/>
    <w:rPr>
      <w:color w:val="000000"/>
      <w:sz w:val="21"/>
      <w:szCs w:val="21"/>
      <w:u w:val="singl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标题 1 Char"/>
    <w:basedOn w:val="17"/>
    <w:link w:val="2"/>
    <w:qFormat/>
    <w:uiPriority w:val="1"/>
    <w:rPr>
      <w:rFonts w:ascii="Times New Roman" w:hAnsi="Times New Roman" w:eastAsia="Times New Roman"/>
      <w:b/>
      <w:bCs/>
      <w:kern w:val="0"/>
      <w:sz w:val="28"/>
      <w:szCs w:val="28"/>
      <w:lang w:eastAsia="en-US"/>
    </w:rPr>
  </w:style>
  <w:style w:type="character" w:customStyle="1" w:styleId="23">
    <w:name w:val="标题 2 Char"/>
    <w:basedOn w:val="17"/>
    <w:link w:val="3"/>
    <w:qFormat/>
    <w:uiPriority w:val="1"/>
    <w:rPr>
      <w:rFonts w:ascii="Times New Roman" w:hAnsi="Times New Roman" w:eastAsia="Times New Roman"/>
      <w:b/>
      <w:bCs/>
      <w:kern w:val="0"/>
      <w:sz w:val="24"/>
      <w:szCs w:val="24"/>
      <w:lang w:eastAsia="en-US"/>
    </w:rPr>
  </w:style>
  <w:style w:type="character" w:customStyle="1" w:styleId="24">
    <w:name w:val="页眉 Char"/>
    <w:basedOn w:val="17"/>
    <w:link w:val="9"/>
    <w:qFormat/>
    <w:uiPriority w:val="99"/>
    <w:rPr>
      <w:sz w:val="18"/>
      <w:szCs w:val="18"/>
    </w:rPr>
  </w:style>
  <w:style w:type="character" w:customStyle="1" w:styleId="25">
    <w:name w:val="页脚 Char"/>
    <w:basedOn w:val="17"/>
    <w:link w:val="8"/>
    <w:qFormat/>
    <w:uiPriority w:val="99"/>
    <w:rPr>
      <w:sz w:val="18"/>
      <w:szCs w:val="18"/>
    </w:rPr>
  </w:style>
  <w:style w:type="character" w:customStyle="1" w:styleId="26">
    <w:name w:val="正文文本 Char"/>
    <w:basedOn w:val="17"/>
    <w:link w:val="5"/>
    <w:qFormat/>
    <w:uiPriority w:val="1"/>
    <w:rPr>
      <w:rFonts w:ascii="Times New Roman" w:hAnsi="Times New Roman" w:eastAsia="Times New Roman"/>
      <w:kern w:val="0"/>
      <w:sz w:val="24"/>
      <w:szCs w:val="24"/>
      <w:lang w:eastAsia="en-US"/>
    </w:rPr>
  </w:style>
  <w:style w:type="paragraph" w:customStyle="1" w:styleId="27">
    <w:name w:val="列出段落1"/>
    <w:basedOn w:val="1"/>
    <w:qFormat/>
    <w:uiPriority w:val="34"/>
    <w:pPr>
      <w:widowControl w:val="0"/>
      <w:spacing w:after="15" w:line="600" w:lineRule="exact"/>
      <w:ind w:firstLine="420" w:firstLineChars="200"/>
      <w:jc w:val="both"/>
    </w:pPr>
    <w:rPr>
      <w:rFonts w:ascii="Calibri" w:hAnsi="Calibri" w:eastAsia="宋体" w:cs="Times New Roman"/>
      <w:kern w:val="2"/>
      <w:sz w:val="21"/>
    </w:rPr>
  </w:style>
  <w:style w:type="character" w:customStyle="1" w:styleId="28">
    <w:name w:val="批注文字 Char"/>
    <w:basedOn w:val="17"/>
    <w:link w:val="4"/>
    <w:qFormat/>
    <w:uiPriority w:val="99"/>
    <w:rPr>
      <w:kern w:val="0"/>
      <w:sz w:val="22"/>
      <w:lang w:eastAsia="en-US"/>
    </w:rPr>
  </w:style>
  <w:style w:type="character" w:customStyle="1" w:styleId="29">
    <w:name w:val="批注框文本 Char"/>
    <w:basedOn w:val="17"/>
    <w:link w:val="7"/>
    <w:semiHidden/>
    <w:qFormat/>
    <w:uiPriority w:val="99"/>
    <w:rPr>
      <w:kern w:val="0"/>
      <w:sz w:val="18"/>
      <w:szCs w:val="18"/>
      <w:lang w:eastAsia="en-US"/>
    </w:rPr>
  </w:style>
  <w:style w:type="character" w:customStyle="1" w:styleId="30">
    <w:name w:val="脚注文本 Char"/>
    <w:basedOn w:val="17"/>
    <w:link w:val="11"/>
    <w:semiHidden/>
    <w:qFormat/>
    <w:uiPriority w:val="99"/>
    <w:rPr>
      <w:kern w:val="0"/>
      <w:sz w:val="18"/>
      <w:szCs w:val="18"/>
      <w:lang w:eastAsia="en-US"/>
    </w:rPr>
  </w:style>
  <w:style w:type="character" w:customStyle="1" w:styleId="31">
    <w:name w:val="HTML 预设格式 Char"/>
    <w:basedOn w:val="17"/>
    <w:link w:val="13"/>
    <w:semiHidden/>
    <w:qFormat/>
    <w:uiPriority w:val="99"/>
    <w:rPr>
      <w:rFonts w:ascii="宋体" w:hAnsi="宋体" w:eastAsia="宋体" w:cs="宋体"/>
      <w:kern w:val="0"/>
      <w:sz w:val="24"/>
      <w:szCs w:val="24"/>
    </w:rPr>
  </w:style>
  <w:style w:type="character" w:customStyle="1" w:styleId="32">
    <w:name w:val="批注主题 Char"/>
    <w:basedOn w:val="28"/>
    <w:link w:val="14"/>
    <w:semiHidden/>
    <w:qFormat/>
    <w:uiPriority w:val="99"/>
    <w:rPr>
      <w:b/>
      <w:bCs/>
      <w:kern w:val="0"/>
      <w:sz w:val="22"/>
      <w:lang w:eastAsia="en-US"/>
    </w:rPr>
  </w:style>
  <w:style w:type="paragraph" w:styleId="33">
    <w:name w:val="List Paragraph"/>
    <w:basedOn w:val="1"/>
    <w:qFormat/>
    <w:uiPriority w:val="34"/>
    <w:pPr>
      <w:widowControl w:val="0"/>
      <w:spacing w:after="0" w:line="240" w:lineRule="auto"/>
    </w:pPr>
    <w:rPr>
      <w:lang w:eastAsia="en-US"/>
    </w:rPr>
  </w:style>
  <w:style w:type="paragraph" w:customStyle="1" w:styleId="34">
    <w:name w:val="Table Paragraph"/>
    <w:basedOn w:val="1"/>
    <w:qFormat/>
    <w:uiPriority w:val="1"/>
    <w:pPr>
      <w:widowControl w:val="0"/>
      <w:spacing w:after="0" w:line="240" w:lineRule="auto"/>
    </w:pPr>
    <w:rPr>
      <w:lang w:eastAsia="en-US"/>
    </w:rPr>
  </w:style>
  <w:style w:type="paragraph" w:customStyle="1" w:styleId="3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36">
    <w:name w:val="fontstyle01"/>
    <w:basedOn w:val="17"/>
    <w:qFormat/>
    <w:uiPriority w:val="0"/>
    <w:rPr>
      <w:rFonts w:hint="default" w:ascii="TimesNewRomanPSMT" w:hAnsi="TimesNewRomanPSMT"/>
      <w:color w:val="000000"/>
      <w:sz w:val="24"/>
      <w:szCs w:val="24"/>
    </w:rPr>
  </w:style>
  <w:style w:type="character" w:customStyle="1" w:styleId="37">
    <w:name w:val="fontstyle21"/>
    <w:basedOn w:val="17"/>
    <w:qFormat/>
    <w:uiPriority w:val="0"/>
    <w:rPr>
      <w:rFonts w:hint="default" w:ascii="TimesNewRomanPS-ItalicMT" w:hAnsi="TimesNewRomanPS-ItalicMT"/>
      <w:i/>
      <w:iCs/>
      <w:color w:val="000000"/>
      <w:sz w:val="24"/>
      <w:szCs w:val="24"/>
    </w:rPr>
  </w:style>
  <w:style w:type="paragraph" w:customStyle="1" w:styleId="38">
    <w:name w:val="TOC 标题1"/>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paragraph" w:customStyle="1" w:styleId="39">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5846</Words>
  <Characters>5857</Characters>
  <Lines>42</Lines>
  <Paragraphs>11</Paragraphs>
  <TotalTime>0</TotalTime>
  <ScaleCrop>false</ScaleCrop>
  <LinksUpToDate>false</LinksUpToDate>
  <CharactersWithSpaces>5857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2021-09-28T09:03:00Z</dcterms:created>
  <dc:creator>view01</dc:creator>
  <cp:lastModifiedBy>太极箫客</cp:lastModifiedBy>
  <cp:lastPrinted>2021-09-29T07:15:00Z</cp:lastPrinted>
  <dcterms:modified xsi:type="dcterms:W3CDTF">2025-08-14T06:38:39Z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93F0D8A5BC934056906C9607D0DD6AD1_12</vt:lpwstr>
  </property>
</Properties>
</file>