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5987A">
      <w:pPr>
        <w:pBdr>
          <w:bottom w:val="single" w:color="auto" w:sz="4" w:space="1"/>
        </w:pBdr>
        <w:shd w:val="clear" w:color="auto" w:fill="FFFFFF"/>
        <w:topLinePunct/>
        <w:autoSpaceDE/>
        <w:autoSpaceDN/>
        <w:adjustRightInd/>
        <w:jc w:val="center"/>
        <w:rPr>
          <w:rFonts w:eastAsia="宋体"/>
          <w:b/>
          <w:bCs/>
          <w:color w:val="000000"/>
          <w:sz w:val="44"/>
          <w:szCs w:val="44"/>
        </w:rPr>
      </w:pPr>
      <w:bookmarkStart w:id="32" w:name="_GoBack"/>
      <w:bookmarkEnd w:id="32"/>
      <w:r>
        <w:rPr>
          <w:rFonts w:eastAsia="宋体"/>
          <w:b/>
          <w:sz w:val="44"/>
          <w:szCs w:val="44"/>
        </w:rPr>
        <w:t>医用X射线成像器械：与IEC标准的符合性</w:t>
      </w:r>
    </w:p>
    <w:p w14:paraId="01376B19">
      <w:pPr>
        <w:shd w:val="clear" w:color="auto" w:fill="FFFFFF"/>
        <w:topLinePunct/>
        <w:autoSpaceDE/>
        <w:autoSpaceDN/>
        <w:adjustRightInd/>
        <w:jc w:val="center"/>
        <w:rPr>
          <w:rFonts w:eastAsia="宋体"/>
          <w:sz w:val="44"/>
          <w:szCs w:val="44"/>
        </w:rPr>
      </w:pPr>
      <w:r>
        <w:rPr>
          <w:rFonts w:eastAsia="宋体"/>
          <w:b/>
          <w:color w:val="000000"/>
          <w:sz w:val="44"/>
          <w:szCs w:val="44"/>
        </w:rPr>
        <w:t>行业和美国食品药品监督管理局工作人员指南</w:t>
      </w:r>
    </w:p>
    <w:p w14:paraId="46144B57">
      <w:pPr>
        <w:shd w:val="clear" w:color="auto" w:fill="FFFFFF"/>
        <w:topLinePunct/>
        <w:autoSpaceDE/>
        <w:autoSpaceDN/>
        <w:adjustRightInd/>
        <w:jc w:val="both"/>
        <w:rPr>
          <w:rFonts w:eastAsia="宋体"/>
          <w:b/>
          <w:bCs/>
          <w:color w:val="000000"/>
          <w:sz w:val="24"/>
          <w:szCs w:val="24"/>
        </w:rPr>
      </w:pPr>
    </w:p>
    <w:p w14:paraId="50FDAC84">
      <w:pPr>
        <w:shd w:val="clear" w:color="auto" w:fill="FFFFFF"/>
        <w:topLinePunct/>
        <w:autoSpaceDE/>
        <w:autoSpaceDN/>
        <w:adjustRightInd/>
        <w:jc w:val="both"/>
        <w:rPr>
          <w:rFonts w:eastAsia="宋体"/>
          <w:b/>
          <w:bCs/>
          <w:color w:val="000000"/>
          <w:sz w:val="24"/>
          <w:szCs w:val="24"/>
        </w:rPr>
      </w:pPr>
    </w:p>
    <w:p w14:paraId="057D5017">
      <w:pPr>
        <w:shd w:val="clear" w:color="auto" w:fill="FFFFFF"/>
        <w:topLinePunct/>
        <w:autoSpaceDE/>
        <w:autoSpaceDN/>
        <w:adjustRightInd/>
        <w:jc w:val="both"/>
        <w:rPr>
          <w:rFonts w:eastAsia="宋体"/>
          <w:b/>
          <w:bCs/>
          <w:color w:val="000000"/>
          <w:sz w:val="24"/>
          <w:szCs w:val="24"/>
        </w:rPr>
      </w:pPr>
    </w:p>
    <w:p w14:paraId="139B175C">
      <w:pPr>
        <w:shd w:val="clear" w:color="auto" w:fill="FFFFFF"/>
        <w:topLinePunct/>
        <w:autoSpaceDE/>
        <w:autoSpaceDN/>
        <w:adjustRightInd/>
        <w:jc w:val="center"/>
        <w:rPr>
          <w:rFonts w:eastAsia="宋体"/>
          <w:b/>
          <w:bCs/>
          <w:color w:val="000000"/>
          <w:sz w:val="24"/>
          <w:szCs w:val="24"/>
        </w:rPr>
      </w:pPr>
      <w:r>
        <w:rPr>
          <w:rFonts w:eastAsia="宋体"/>
          <w:b/>
          <w:color w:val="000000"/>
          <w:sz w:val="24"/>
          <w:szCs w:val="24"/>
        </w:rPr>
        <w:t>文件发布日期：2019年5月8日</w:t>
      </w:r>
    </w:p>
    <w:p w14:paraId="2ED02A88">
      <w:pPr>
        <w:shd w:val="clear" w:color="auto" w:fill="FFFFFF"/>
        <w:topLinePunct/>
        <w:autoSpaceDE/>
        <w:autoSpaceDN/>
        <w:adjustRightInd/>
        <w:jc w:val="center"/>
        <w:rPr>
          <w:rFonts w:eastAsia="宋体"/>
          <w:b/>
          <w:color w:val="000000"/>
          <w:sz w:val="24"/>
          <w:szCs w:val="24"/>
        </w:rPr>
      </w:pPr>
    </w:p>
    <w:p w14:paraId="3FDBDFB1">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文件草案发布日期：2016年8月3日</w:t>
      </w:r>
    </w:p>
    <w:p w14:paraId="02FC7070">
      <w:pPr>
        <w:shd w:val="clear" w:color="auto" w:fill="FFFFFF"/>
        <w:topLinePunct/>
        <w:autoSpaceDE/>
        <w:autoSpaceDN/>
        <w:adjustRightInd/>
        <w:jc w:val="center"/>
        <w:rPr>
          <w:rFonts w:eastAsia="宋体"/>
          <w:sz w:val="24"/>
          <w:szCs w:val="24"/>
        </w:rPr>
      </w:pPr>
    </w:p>
    <w:p w14:paraId="712156C6">
      <w:pPr>
        <w:shd w:val="clear" w:color="auto" w:fill="FFFFFF"/>
        <w:topLinePunct/>
        <w:autoSpaceDE/>
        <w:autoSpaceDN/>
        <w:adjustRightInd/>
        <w:ind w:firstLine="480" w:firstLineChars="200"/>
        <w:jc w:val="both"/>
        <w:rPr>
          <w:rFonts w:eastAsia="宋体"/>
          <w:color w:val="000000" w:themeColor="text1"/>
          <w:sz w:val="24"/>
          <w:szCs w:val="24"/>
          <w14:textFill>
            <w14:solidFill>
              <w14:schemeClr w14:val="tx1"/>
            </w14:solidFill>
          </w14:textFill>
        </w:rPr>
      </w:pPr>
      <w:r>
        <w:rPr>
          <w:rFonts w:eastAsia="宋体"/>
          <w:sz w:val="24"/>
          <w:szCs w:val="24"/>
        </w:rPr>
        <w:t>如对本文件有任何疑问，请与辐射健康部联系，电话：301-796-2121，电子邮箱：RadHealth@fda.hhs.gov。</w:t>
      </w:r>
    </w:p>
    <w:p w14:paraId="270AE317">
      <w:pPr>
        <w:shd w:val="clear" w:color="auto" w:fill="FFFFFF"/>
        <w:topLinePunct/>
        <w:autoSpaceDE/>
        <w:autoSpaceDN/>
        <w:adjustRightInd/>
        <w:jc w:val="both"/>
        <w:rPr>
          <w:rFonts w:eastAsia="宋体"/>
          <w:color w:val="000000" w:themeColor="text1"/>
          <w:sz w:val="24"/>
          <w:szCs w:val="24"/>
          <w14:textFill>
            <w14:solidFill>
              <w14:schemeClr w14:val="tx1"/>
            </w14:solidFill>
          </w14:textFill>
        </w:rPr>
      </w:pPr>
    </w:p>
    <w:p w14:paraId="67B6B841">
      <w:pPr>
        <w:shd w:val="clear" w:color="auto" w:fill="FFFFFF"/>
        <w:topLinePunct/>
        <w:autoSpaceDE/>
        <w:autoSpaceDN/>
        <w:adjustRightInd/>
        <w:jc w:val="both"/>
        <w:rPr>
          <w:rFonts w:eastAsia="宋体"/>
          <w:color w:val="000000" w:themeColor="text1"/>
          <w:sz w:val="24"/>
          <w:szCs w:val="24"/>
          <w14:textFill>
            <w14:solidFill>
              <w14:schemeClr w14:val="tx1"/>
            </w14:solidFill>
          </w14:textFill>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3936"/>
        <w:gridCol w:w="5353"/>
      </w:tblGrid>
      <w:tr w14:paraId="2C91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c>
          <w:tcPr>
            <w:tcW w:w="3936" w:type="dxa"/>
          </w:tcPr>
          <w:p w14:paraId="67C779B7">
            <w:pPr>
              <w:topLinePunct/>
              <w:autoSpaceDE/>
              <w:autoSpaceDN/>
              <w:adjustRightInd/>
              <w:jc w:val="both"/>
              <w:rPr>
                <w:rFonts w:eastAsia="宋体"/>
                <w:sz w:val="21"/>
                <w:szCs w:val="21"/>
              </w:rPr>
            </w:pPr>
            <w:r>
              <w:rPr>
                <w:rFonts w:eastAsia="宋体"/>
                <w:sz w:val="21"/>
                <w:szCs w:val="21"/>
              </w:rPr>
              <w:drawing>
                <wp:inline distT="0" distB="0" distL="0" distR="0">
                  <wp:extent cx="2409825" cy="7467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9"/>
                          <a:stretch>
                            <a:fillRect/>
                          </a:stretch>
                        </pic:blipFill>
                        <pic:spPr>
                          <a:xfrm>
                            <a:off x="0" y="0"/>
                            <a:ext cx="2426063" cy="752387"/>
                          </a:xfrm>
                          <a:prstGeom prst="rect">
                            <a:avLst/>
                          </a:prstGeom>
                        </pic:spPr>
                      </pic:pic>
                    </a:graphicData>
                  </a:graphic>
                </wp:inline>
              </w:drawing>
            </w:r>
          </w:p>
        </w:tc>
        <w:tc>
          <w:tcPr>
            <w:tcW w:w="5353" w:type="dxa"/>
          </w:tcPr>
          <w:p w14:paraId="6A955518">
            <w:pPr>
              <w:shd w:val="clear" w:color="auto" w:fill="FFFFFF"/>
              <w:topLinePunct/>
              <w:autoSpaceDE/>
              <w:autoSpaceDN/>
              <w:adjustRightInd/>
              <w:jc w:val="right"/>
              <w:rPr>
                <w:rFonts w:eastAsia="宋体"/>
                <w:sz w:val="21"/>
                <w:szCs w:val="21"/>
              </w:rPr>
            </w:pPr>
            <w:r>
              <w:rPr>
                <w:rFonts w:eastAsia="宋体"/>
                <w:b/>
                <w:color w:val="000000"/>
                <w:sz w:val="21"/>
                <w:szCs w:val="21"/>
              </w:rPr>
              <w:t>美国卫生与公共服务部</w:t>
            </w:r>
          </w:p>
          <w:p w14:paraId="7DEE5DF8">
            <w:pPr>
              <w:shd w:val="clear" w:color="auto" w:fill="FFFFFF"/>
              <w:topLinePunct/>
              <w:autoSpaceDE/>
              <w:autoSpaceDN/>
              <w:adjustRightInd/>
              <w:jc w:val="right"/>
              <w:rPr>
                <w:rFonts w:eastAsia="宋体"/>
                <w:sz w:val="21"/>
                <w:szCs w:val="21"/>
              </w:rPr>
            </w:pPr>
            <w:r>
              <w:rPr>
                <w:rFonts w:eastAsia="宋体"/>
                <w:b/>
                <w:color w:val="000000"/>
                <w:sz w:val="21"/>
                <w:szCs w:val="21"/>
              </w:rPr>
              <w:t>美国食品药品监督管理局</w:t>
            </w:r>
          </w:p>
          <w:p w14:paraId="3C97F4A5">
            <w:pPr>
              <w:shd w:val="clear" w:color="auto" w:fill="FFFFFF"/>
              <w:topLinePunct/>
              <w:autoSpaceDE/>
              <w:autoSpaceDN/>
              <w:adjustRightInd/>
              <w:jc w:val="right"/>
              <w:rPr>
                <w:rFonts w:eastAsia="宋体"/>
                <w:sz w:val="21"/>
                <w:szCs w:val="21"/>
              </w:rPr>
            </w:pPr>
            <w:r>
              <w:rPr>
                <w:rFonts w:eastAsia="宋体"/>
                <w:b/>
                <w:color w:val="000000"/>
                <w:sz w:val="21"/>
                <w:szCs w:val="21"/>
              </w:rPr>
              <w:t>医疗器械和辐射健康中心</w:t>
            </w:r>
          </w:p>
        </w:tc>
      </w:tr>
    </w:tbl>
    <w:p w14:paraId="5A6C0172">
      <w:pPr>
        <w:shd w:val="clear" w:color="auto" w:fill="FFFFFF"/>
        <w:topLinePunct/>
        <w:autoSpaceDE/>
        <w:autoSpaceDN/>
        <w:adjustRightInd/>
        <w:jc w:val="both"/>
        <w:rPr>
          <w:rFonts w:eastAsia="宋体"/>
          <w:sz w:val="24"/>
          <w:szCs w:val="24"/>
        </w:rPr>
      </w:pPr>
    </w:p>
    <w:p w14:paraId="7C80699F">
      <w:pPr>
        <w:shd w:val="clear" w:color="auto" w:fill="FFFFFF"/>
        <w:topLinePunct/>
        <w:autoSpaceDE/>
        <w:autoSpaceDN/>
        <w:adjustRightInd/>
        <w:jc w:val="both"/>
        <w:rPr>
          <w:rFonts w:eastAsia="宋体"/>
          <w:sz w:val="24"/>
          <w:szCs w:val="24"/>
        </w:rPr>
      </w:pPr>
    </w:p>
    <w:p w14:paraId="6560F896">
      <w:pPr>
        <w:widowControl/>
        <w:autoSpaceDE/>
        <w:autoSpaceDN/>
        <w:adjustRightInd/>
        <w:rPr>
          <w:rFonts w:eastAsia="宋体"/>
          <w:sz w:val="24"/>
          <w:szCs w:val="24"/>
        </w:rPr>
      </w:pPr>
      <w:r>
        <w:rPr>
          <w:rFonts w:eastAsia="宋体"/>
          <w:sz w:val="24"/>
          <w:szCs w:val="24"/>
        </w:rPr>
        <w:br w:type="page"/>
      </w:r>
    </w:p>
    <w:p w14:paraId="542D8E33">
      <w:pPr>
        <w:shd w:val="clear" w:color="auto" w:fill="FFFFFF"/>
        <w:topLinePunct/>
        <w:autoSpaceDE/>
        <w:autoSpaceDN/>
        <w:adjustRightInd/>
        <w:jc w:val="center"/>
        <w:rPr>
          <w:rFonts w:eastAsia="宋体"/>
          <w:sz w:val="36"/>
          <w:szCs w:val="36"/>
        </w:rPr>
      </w:pPr>
      <w:r>
        <w:rPr>
          <w:rFonts w:eastAsia="宋体"/>
          <w:b/>
          <w:color w:val="000000"/>
          <w:sz w:val="36"/>
          <w:szCs w:val="36"/>
        </w:rPr>
        <w:t>前言</w:t>
      </w:r>
    </w:p>
    <w:p w14:paraId="72B51018">
      <w:pPr>
        <w:shd w:val="clear" w:color="auto" w:fill="FFFFFF"/>
        <w:topLinePunct/>
        <w:autoSpaceDE/>
        <w:autoSpaceDN/>
        <w:adjustRightInd/>
        <w:jc w:val="both"/>
        <w:rPr>
          <w:rFonts w:eastAsia="宋体"/>
          <w:sz w:val="32"/>
          <w:szCs w:val="32"/>
        </w:rPr>
      </w:pPr>
      <w:r>
        <w:rPr>
          <w:rFonts w:eastAsia="宋体"/>
          <w:b/>
          <w:color w:val="000000"/>
          <w:sz w:val="32"/>
          <w:szCs w:val="32"/>
        </w:rPr>
        <w:t>公众意见</w:t>
      </w:r>
    </w:p>
    <w:p w14:paraId="4CB3066B">
      <w:pPr>
        <w:autoSpaceDE/>
        <w:autoSpaceDN/>
        <w:adjustRightInd/>
        <w:ind w:firstLine="480" w:firstLineChars="200"/>
        <w:jc w:val="both"/>
        <w:rPr>
          <w:rFonts w:eastAsia="宋体"/>
          <w:color w:val="000000"/>
          <w:sz w:val="24"/>
          <w:szCs w:val="24"/>
        </w:rPr>
      </w:pPr>
      <w:r>
        <w:rPr>
          <w:rFonts w:eastAsia="宋体"/>
          <w:sz w:val="24"/>
          <w:szCs w:val="24"/>
          <w:lang w:eastAsia="en-US"/>
        </w:rPr>
        <w:t>电子版意见和建议可随时提交至http://www.regulations.gov，供FDA审议。</w:t>
      </w:r>
      <w:r>
        <w:rPr>
          <w:rFonts w:eastAsia="宋体"/>
          <w:color w:val="000000"/>
          <w:sz w:val="24"/>
          <w:szCs w:val="24"/>
        </w:rPr>
        <w:t>可将书面意见提交至：美国食品药品监督管理局备案文件管理部</w:t>
      </w:r>
      <w:r>
        <w:rPr>
          <w:rFonts w:hint="eastAsia" w:eastAsia="宋体"/>
          <w:color w:val="000000"/>
          <w:sz w:val="24"/>
          <w:szCs w:val="24"/>
        </w:rPr>
        <w:t>，</w:t>
      </w:r>
      <w:r>
        <w:rPr>
          <w:rFonts w:eastAsia="宋体"/>
          <w:color w:val="000000"/>
          <w:sz w:val="24"/>
          <w:szCs w:val="24"/>
        </w:rPr>
        <w:t xml:space="preserve">5630 Fishers Lane, Room 1061, </w:t>
      </w:r>
      <w:r>
        <w:rPr>
          <w:rFonts w:hint="eastAsia" w:eastAsia="宋体"/>
          <w:color w:val="000000"/>
          <w:sz w:val="24"/>
          <w:szCs w:val="24"/>
        </w:rPr>
        <w:t>(</w:t>
      </w:r>
      <w:r>
        <w:rPr>
          <w:rFonts w:eastAsia="宋体"/>
          <w:color w:val="000000"/>
          <w:sz w:val="24"/>
          <w:szCs w:val="24"/>
        </w:rPr>
        <w:t>HFA-305</w:t>
      </w:r>
      <w:r>
        <w:rPr>
          <w:rFonts w:hint="eastAsia" w:eastAsia="宋体"/>
          <w:color w:val="000000"/>
          <w:sz w:val="24"/>
          <w:szCs w:val="24"/>
        </w:rPr>
        <w:t>)</w:t>
      </w:r>
      <w:r>
        <w:rPr>
          <w:rFonts w:eastAsia="宋体"/>
          <w:color w:val="000000"/>
          <w:sz w:val="24"/>
          <w:szCs w:val="24"/>
        </w:rPr>
        <w:t>, Rockville, MD 20852。所有意见或建议均应注明备案文件编号FDA-201</w:t>
      </w:r>
      <w:r>
        <w:rPr>
          <w:rFonts w:hint="eastAsia" w:eastAsia="宋体"/>
          <w:color w:val="000000"/>
          <w:sz w:val="24"/>
          <w:szCs w:val="24"/>
        </w:rPr>
        <w:t>6</w:t>
      </w:r>
      <w:r>
        <w:rPr>
          <w:rFonts w:eastAsia="宋体"/>
          <w:color w:val="000000"/>
          <w:sz w:val="24"/>
          <w:szCs w:val="24"/>
        </w:rPr>
        <w:t>-D-2</w:t>
      </w:r>
      <w:r>
        <w:rPr>
          <w:rFonts w:hint="eastAsia" w:eastAsia="宋体"/>
          <w:color w:val="000000"/>
          <w:sz w:val="24"/>
          <w:szCs w:val="24"/>
        </w:rPr>
        <w:t>049</w:t>
      </w:r>
      <w:r>
        <w:rPr>
          <w:rFonts w:eastAsia="宋体"/>
          <w:color w:val="000000"/>
          <w:sz w:val="24"/>
          <w:szCs w:val="24"/>
        </w:rPr>
        <w:t>。下次修订或更新本文件时，FDA将考虑实施该意见。</w:t>
      </w:r>
    </w:p>
    <w:p w14:paraId="5372B2F3">
      <w:pPr>
        <w:autoSpaceDE/>
        <w:autoSpaceDN/>
        <w:adjustRightInd/>
        <w:jc w:val="both"/>
        <w:rPr>
          <w:rFonts w:eastAsia="宋体"/>
          <w:sz w:val="24"/>
          <w:szCs w:val="24"/>
        </w:rPr>
      </w:pPr>
    </w:p>
    <w:p w14:paraId="107F5CFD">
      <w:pPr>
        <w:shd w:val="clear" w:color="auto" w:fill="FFFFFF"/>
        <w:topLinePunct/>
        <w:autoSpaceDE/>
        <w:autoSpaceDN/>
        <w:adjustRightInd/>
        <w:jc w:val="both"/>
        <w:rPr>
          <w:rFonts w:eastAsia="宋体"/>
          <w:b/>
          <w:bCs/>
          <w:color w:val="000000"/>
          <w:sz w:val="32"/>
          <w:szCs w:val="32"/>
        </w:rPr>
      </w:pPr>
      <w:r>
        <w:rPr>
          <w:rFonts w:eastAsia="宋体"/>
          <w:b/>
          <w:color w:val="000000"/>
          <w:sz w:val="32"/>
          <w:szCs w:val="32"/>
        </w:rPr>
        <w:t>更多副本</w:t>
      </w:r>
    </w:p>
    <w:p w14:paraId="011F15C1">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更多副本可通过互联网获取。</w:t>
      </w:r>
      <w:r>
        <w:rPr>
          <w:rFonts w:eastAsia="宋体"/>
          <w:sz w:val="24"/>
          <w:szCs w:val="24"/>
        </w:rPr>
        <w:t>也可以通过电子邮件发送请求至</w:t>
      </w:r>
      <w:r>
        <w:rPr>
          <w:rFonts w:eastAsia="宋体"/>
          <w:color w:val="3333FF"/>
          <w:sz w:val="24"/>
          <w:szCs w:val="24"/>
          <w:u w:val="single"/>
        </w:rPr>
        <w:t>CDRH-Guidance@fda.hhs.gov</w:t>
      </w:r>
      <w:r>
        <w:rPr>
          <w:rFonts w:eastAsia="宋体"/>
          <w:sz w:val="24"/>
          <w:szCs w:val="24"/>
        </w:rPr>
        <w:t>获取本指南的副本。</w:t>
      </w:r>
      <w:r>
        <w:rPr>
          <w:rFonts w:eastAsia="宋体"/>
          <w:color w:val="000000"/>
          <w:sz w:val="24"/>
          <w:szCs w:val="24"/>
        </w:rPr>
        <w:t>请使用文件编号1400014，注明所要求获取的指南。</w:t>
      </w:r>
    </w:p>
    <w:p w14:paraId="2092374D">
      <w:pPr>
        <w:shd w:val="clear" w:color="auto" w:fill="FFFFFF"/>
        <w:topLinePunct/>
        <w:autoSpaceDE/>
        <w:autoSpaceDN/>
        <w:adjustRightInd/>
        <w:jc w:val="both"/>
        <w:rPr>
          <w:rFonts w:eastAsia="宋体"/>
          <w:sz w:val="24"/>
          <w:szCs w:val="24"/>
        </w:rPr>
      </w:pPr>
    </w:p>
    <w:p w14:paraId="24604291">
      <w:pPr>
        <w:widowControl/>
        <w:autoSpaceDE/>
        <w:autoSpaceDN/>
        <w:adjustRightInd/>
        <w:rPr>
          <w:rFonts w:eastAsia="宋体"/>
          <w:sz w:val="24"/>
          <w:szCs w:val="24"/>
        </w:rPr>
      </w:pPr>
      <w:r>
        <w:rPr>
          <w:rFonts w:eastAsia="宋体"/>
          <w:sz w:val="24"/>
          <w:szCs w:val="24"/>
        </w:rPr>
        <w:br w:type="page"/>
      </w:r>
    </w:p>
    <w:p w14:paraId="1BE67F7F">
      <w:pPr>
        <w:shd w:val="clear" w:color="auto" w:fill="FFFFFF"/>
        <w:topLinePunct/>
        <w:autoSpaceDE/>
        <w:autoSpaceDN/>
        <w:adjustRightInd/>
        <w:jc w:val="center"/>
        <w:rPr>
          <w:rFonts w:eastAsia="宋体"/>
          <w:b/>
          <w:bCs/>
          <w:color w:val="000000"/>
          <w:sz w:val="36"/>
          <w:szCs w:val="36"/>
        </w:rPr>
      </w:pPr>
      <w:r>
        <w:rPr>
          <w:rFonts w:eastAsia="宋体"/>
          <w:b/>
          <w:color w:val="000000"/>
          <w:sz w:val="36"/>
          <w:szCs w:val="36"/>
        </w:rPr>
        <w:t>目录</w:t>
      </w:r>
    </w:p>
    <w:p w14:paraId="38D031C6">
      <w:pPr>
        <w:pStyle w:val="8"/>
        <w:rPr>
          <w:rFonts w:asciiTheme="minorHAnsi" w:hAnsiTheme="minorHAnsi" w:eastAsiaTheme="minorEastAsia" w:cstheme="minorBidi"/>
          <w:kern w:val="2"/>
          <w:sz w:val="21"/>
          <w:szCs w:val="22"/>
          <w:lang w:bidi="he-I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"_Toc97383220" </w:instrText>
      </w:r>
      <w:r>
        <w:fldChar w:fldCharType="separate"/>
      </w:r>
      <w:r>
        <w:rPr>
          <w:rStyle w:val="15"/>
        </w:rPr>
        <w:t>I.</w:t>
      </w:r>
      <w:r>
        <w:rPr>
          <w:rFonts w:asciiTheme="minorHAnsi" w:hAnsiTheme="minorHAnsi" w:eastAsiaTheme="minorEastAsia" w:cstheme="minorBidi"/>
          <w:kern w:val="2"/>
          <w:sz w:val="21"/>
          <w:szCs w:val="22"/>
          <w:lang w:bidi="he-IL"/>
        </w:rPr>
        <w:tab/>
      </w:r>
      <w:r>
        <w:rPr>
          <w:rStyle w:val="15"/>
          <w:rFonts w:hint="eastAsia"/>
        </w:rPr>
        <w:t>引言</w:t>
      </w:r>
      <w:r>
        <w:tab/>
      </w:r>
      <w:r>
        <w:fldChar w:fldCharType="begin"/>
      </w:r>
      <w:r>
        <w:instrText xml:space="preserve"> PAGEREF _Toc97383220 \h </w:instrText>
      </w:r>
      <w:r>
        <w:fldChar w:fldCharType="separate"/>
      </w:r>
      <w:r>
        <w:t>1</w:t>
      </w:r>
      <w:r>
        <w:fldChar w:fldCharType="end"/>
      </w:r>
      <w:r>
        <w:fldChar w:fldCharType="end"/>
      </w:r>
    </w:p>
    <w:p w14:paraId="26123FE4">
      <w:pPr>
        <w:pStyle w:val="8"/>
        <w:rPr>
          <w:rFonts w:asciiTheme="minorHAnsi" w:hAnsiTheme="minorHAnsi" w:eastAsiaTheme="minorEastAsia" w:cstheme="minorBidi"/>
          <w:kern w:val="2"/>
          <w:sz w:val="21"/>
          <w:szCs w:val="22"/>
          <w:lang w:bidi="he-IL"/>
        </w:rPr>
      </w:pPr>
      <w:r>
        <w:fldChar w:fldCharType="begin"/>
      </w:r>
      <w:r>
        <w:instrText xml:space="preserve"> HYPERLINK \l "_Toc97383221" </w:instrText>
      </w:r>
      <w:r>
        <w:fldChar w:fldCharType="separate"/>
      </w:r>
      <w:r>
        <w:rPr>
          <w:rStyle w:val="15"/>
        </w:rPr>
        <w:t>II.</w:t>
      </w:r>
      <w:r>
        <w:rPr>
          <w:rFonts w:asciiTheme="minorHAnsi" w:hAnsiTheme="minorHAnsi" w:eastAsiaTheme="minorEastAsia" w:cstheme="minorBidi"/>
          <w:kern w:val="2"/>
          <w:sz w:val="21"/>
          <w:szCs w:val="22"/>
          <w:lang w:bidi="he-IL"/>
        </w:rPr>
        <w:tab/>
      </w:r>
      <w:r>
        <w:rPr>
          <w:rStyle w:val="15"/>
          <w:rFonts w:hint="eastAsia"/>
        </w:rPr>
        <w:t>背景</w:t>
      </w:r>
      <w:r>
        <w:tab/>
      </w:r>
      <w:r>
        <w:fldChar w:fldCharType="begin"/>
      </w:r>
      <w:r>
        <w:instrText xml:space="preserve"> PAGEREF _Toc97383221 \h </w:instrText>
      </w:r>
      <w:r>
        <w:fldChar w:fldCharType="separate"/>
      </w:r>
      <w:r>
        <w:t>2</w:t>
      </w:r>
      <w:r>
        <w:fldChar w:fldCharType="end"/>
      </w:r>
      <w:r>
        <w:fldChar w:fldCharType="end"/>
      </w:r>
    </w:p>
    <w:p w14:paraId="2529C1D5">
      <w:pPr>
        <w:pStyle w:val="10"/>
        <w:rPr>
          <w:rFonts w:asciiTheme="minorHAnsi" w:hAnsiTheme="minorHAnsi" w:eastAsiaTheme="minorEastAsia" w:cstheme="minorBidi"/>
          <w:kern w:val="2"/>
          <w:sz w:val="21"/>
          <w:szCs w:val="22"/>
          <w:lang w:bidi="he-IL"/>
        </w:rPr>
      </w:pPr>
      <w:r>
        <w:fldChar w:fldCharType="begin"/>
      </w:r>
      <w:r>
        <w:instrText xml:space="preserve"> HYPERLINK \l "_Toc97383222" </w:instrText>
      </w:r>
      <w:r>
        <w:fldChar w:fldCharType="separate"/>
      </w:r>
      <w:r>
        <w:rPr>
          <w:rStyle w:val="15"/>
        </w:rPr>
        <w:t>A.</w:t>
      </w:r>
      <w:r>
        <w:rPr>
          <w:rFonts w:asciiTheme="minorHAnsi" w:hAnsiTheme="minorHAnsi" w:eastAsiaTheme="minorEastAsia" w:cstheme="minorBidi"/>
          <w:kern w:val="2"/>
          <w:sz w:val="21"/>
          <w:szCs w:val="22"/>
          <w:lang w:bidi="he-IL"/>
        </w:rPr>
        <w:tab/>
      </w:r>
      <w:r>
        <w:rPr>
          <w:rStyle w:val="15"/>
          <w:rFonts w:hint="eastAsia"/>
        </w:rPr>
        <w:t>器械法规</w:t>
      </w:r>
      <w:r>
        <w:tab/>
      </w:r>
      <w:r>
        <w:fldChar w:fldCharType="begin"/>
      </w:r>
      <w:r>
        <w:instrText xml:space="preserve"> PAGEREF _Toc97383222 \h </w:instrText>
      </w:r>
      <w:r>
        <w:fldChar w:fldCharType="separate"/>
      </w:r>
      <w:r>
        <w:t>2</w:t>
      </w:r>
      <w:r>
        <w:fldChar w:fldCharType="end"/>
      </w:r>
      <w:r>
        <w:fldChar w:fldCharType="end"/>
      </w:r>
    </w:p>
    <w:p w14:paraId="4DFDBE1A">
      <w:pPr>
        <w:pStyle w:val="10"/>
        <w:rPr>
          <w:rFonts w:asciiTheme="minorHAnsi" w:hAnsiTheme="minorHAnsi" w:eastAsiaTheme="minorEastAsia" w:cstheme="minorBidi"/>
          <w:kern w:val="2"/>
          <w:sz w:val="21"/>
          <w:szCs w:val="22"/>
          <w:lang w:bidi="he-IL"/>
        </w:rPr>
      </w:pPr>
      <w:r>
        <w:fldChar w:fldCharType="begin"/>
      </w:r>
      <w:r>
        <w:instrText xml:space="preserve"> HYPERLINK \l "_Toc97383223" </w:instrText>
      </w:r>
      <w:r>
        <w:fldChar w:fldCharType="separate"/>
      </w:r>
      <w:r>
        <w:rPr>
          <w:rStyle w:val="15"/>
        </w:rPr>
        <w:t>B.</w:t>
      </w:r>
      <w:r>
        <w:rPr>
          <w:rFonts w:asciiTheme="minorHAnsi" w:hAnsiTheme="minorHAnsi" w:eastAsiaTheme="minorEastAsia" w:cstheme="minorBidi"/>
          <w:kern w:val="2"/>
          <w:sz w:val="21"/>
          <w:szCs w:val="22"/>
          <w:lang w:bidi="he-IL"/>
        </w:rPr>
        <w:tab/>
      </w:r>
      <w:r>
        <w:rPr>
          <w:rStyle w:val="15"/>
        </w:rPr>
        <w:t>EPRC</w:t>
      </w:r>
      <w:r>
        <w:rPr>
          <w:rStyle w:val="15"/>
          <w:rFonts w:hint="eastAsia"/>
        </w:rPr>
        <w:t>法规</w:t>
      </w:r>
      <w:r>
        <w:tab/>
      </w:r>
      <w:r>
        <w:fldChar w:fldCharType="begin"/>
      </w:r>
      <w:r>
        <w:instrText xml:space="preserve"> PAGEREF _Toc97383223 \h </w:instrText>
      </w:r>
      <w:r>
        <w:fldChar w:fldCharType="separate"/>
      </w:r>
      <w:r>
        <w:t>3</w:t>
      </w:r>
      <w:r>
        <w:fldChar w:fldCharType="end"/>
      </w:r>
      <w:r>
        <w:fldChar w:fldCharType="end"/>
      </w:r>
    </w:p>
    <w:p w14:paraId="1A72CE5A">
      <w:pPr>
        <w:pStyle w:val="10"/>
        <w:rPr>
          <w:rFonts w:asciiTheme="minorHAnsi" w:hAnsiTheme="minorHAnsi" w:eastAsiaTheme="minorEastAsia" w:cstheme="minorBidi"/>
          <w:kern w:val="2"/>
          <w:sz w:val="21"/>
          <w:szCs w:val="22"/>
          <w:lang w:bidi="he-IL"/>
        </w:rPr>
      </w:pPr>
      <w:r>
        <w:fldChar w:fldCharType="begin"/>
      </w:r>
      <w:r>
        <w:instrText xml:space="preserve"> HYPERLINK \l "_Toc97383224" </w:instrText>
      </w:r>
      <w:r>
        <w:fldChar w:fldCharType="separate"/>
      </w:r>
      <w:r>
        <w:rPr>
          <w:rStyle w:val="15"/>
        </w:rPr>
        <w:t>C.</w:t>
      </w:r>
      <w:r>
        <w:rPr>
          <w:rFonts w:asciiTheme="minorHAnsi" w:hAnsiTheme="minorHAnsi" w:eastAsiaTheme="minorEastAsia" w:cstheme="minorBidi"/>
          <w:kern w:val="2"/>
          <w:sz w:val="21"/>
          <w:szCs w:val="22"/>
          <w:lang w:bidi="he-IL"/>
        </w:rPr>
        <w:tab/>
      </w:r>
      <w:r>
        <w:rPr>
          <w:rStyle w:val="15"/>
          <w:rFonts w:hint="eastAsia"/>
        </w:rPr>
        <w:t>避免重复</w:t>
      </w:r>
      <w:r>
        <w:tab/>
      </w:r>
      <w:r>
        <w:fldChar w:fldCharType="begin"/>
      </w:r>
      <w:r>
        <w:instrText xml:space="preserve"> PAGEREF _Toc97383224 \h </w:instrText>
      </w:r>
      <w:r>
        <w:fldChar w:fldCharType="separate"/>
      </w:r>
      <w:r>
        <w:t>4</w:t>
      </w:r>
      <w:r>
        <w:fldChar w:fldCharType="end"/>
      </w:r>
      <w:r>
        <w:fldChar w:fldCharType="end"/>
      </w:r>
    </w:p>
    <w:p w14:paraId="4163238B">
      <w:pPr>
        <w:pStyle w:val="8"/>
        <w:rPr>
          <w:rFonts w:asciiTheme="minorHAnsi" w:hAnsiTheme="minorHAnsi" w:eastAsiaTheme="minorEastAsia" w:cstheme="minorBidi"/>
          <w:kern w:val="2"/>
          <w:sz w:val="21"/>
          <w:szCs w:val="22"/>
          <w:lang w:bidi="he-IL"/>
        </w:rPr>
      </w:pPr>
      <w:r>
        <w:fldChar w:fldCharType="begin"/>
      </w:r>
      <w:r>
        <w:instrText xml:space="preserve"> HYPERLINK \l "_Toc97383225" </w:instrText>
      </w:r>
      <w:r>
        <w:fldChar w:fldCharType="separate"/>
      </w:r>
      <w:r>
        <w:rPr>
          <w:rStyle w:val="15"/>
        </w:rPr>
        <w:t>III.</w:t>
      </w:r>
      <w:r>
        <w:rPr>
          <w:rFonts w:asciiTheme="minorHAnsi" w:hAnsiTheme="minorHAnsi" w:eastAsiaTheme="minorEastAsia" w:cstheme="minorBidi"/>
          <w:kern w:val="2"/>
          <w:sz w:val="21"/>
          <w:szCs w:val="22"/>
          <w:lang w:bidi="he-IL"/>
        </w:rPr>
        <w:tab/>
      </w:r>
      <w:r>
        <w:rPr>
          <w:rStyle w:val="15"/>
          <w:rFonts w:hint="eastAsia"/>
        </w:rPr>
        <w:t>范围</w:t>
      </w:r>
      <w:r>
        <w:tab/>
      </w:r>
      <w:r>
        <w:fldChar w:fldCharType="begin"/>
      </w:r>
      <w:r>
        <w:instrText xml:space="preserve"> PAGEREF _Toc97383225 \h </w:instrText>
      </w:r>
      <w:r>
        <w:fldChar w:fldCharType="separate"/>
      </w:r>
      <w:r>
        <w:t>4</w:t>
      </w:r>
      <w:r>
        <w:fldChar w:fldCharType="end"/>
      </w:r>
      <w:r>
        <w:fldChar w:fldCharType="end"/>
      </w:r>
    </w:p>
    <w:p w14:paraId="135764F7">
      <w:pPr>
        <w:pStyle w:val="10"/>
        <w:rPr>
          <w:rFonts w:asciiTheme="minorHAnsi" w:hAnsiTheme="minorHAnsi" w:eastAsiaTheme="minorEastAsia" w:cstheme="minorBidi"/>
          <w:kern w:val="2"/>
          <w:sz w:val="21"/>
          <w:szCs w:val="22"/>
          <w:lang w:bidi="he-IL"/>
        </w:rPr>
      </w:pPr>
      <w:r>
        <w:fldChar w:fldCharType="begin"/>
      </w:r>
      <w:r>
        <w:instrText xml:space="preserve"> HYPERLINK \l "_Toc97383226" </w:instrText>
      </w:r>
      <w:r>
        <w:fldChar w:fldCharType="separate"/>
      </w:r>
      <w:r>
        <w:rPr>
          <w:rStyle w:val="15"/>
        </w:rPr>
        <w:t>A.</w:t>
      </w:r>
      <w:r>
        <w:rPr>
          <w:rFonts w:asciiTheme="minorHAnsi" w:hAnsiTheme="minorHAnsi" w:eastAsiaTheme="minorEastAsia" w:cstheme="minorBidi"/>
          <w:kern w:val="2"/>
          <w:sz w:val="21"/>
          <w:szCs w:val="22"/>
          <w:lang w:bidi="he-IL"/>
        </w:rPr>
        <w:tab/>
      </w:r>
      <w:r>
        <w:rPr>
          <w:rStyle w:val="15"/>
          <w:rFonts w:hint="eastAsia"/>
        </w:rPr>
        <w:t>本指南中涉及的器械</w:t>
      </w:r>
      <w:r>
        <w:tab/>
      </w:r>
      <w:r>
        <w:fldChar w:fldCharType="begin"/>
      </w:r>
      <w:r>
        <w:instrText xml:space="preserve"> PAGEREF _Toc97383226 \h </w:instrText>
      </w:r>
      <w:r>
        <w:fldChar w:fldCharType="separate"/>
      </w:r>
      <w:r>
        <w:t>4</w:t>
      </w:r>
      <w:r>
        <w:fldChar w:fldCharType="end"/>
      </w:r>
      <w:r>
        <w:fldChar w:fldCharType="end"/>
      </w:r>
    </w:p>
    <w:p w14:paraId="1AC90690">
      <w:pPr>
        <w:pStyle w:val="10"/>
        <w:rPr>
          <w:rFonts w:asciiTheme="minorHAnsi" w:hAnsiTheme="minorHAnsi" w:eastAsiaTheme="minorEastAsia" w:cstheme="minorBidi"/>
          <w:kern w:val="2"/>
          <w:sz w:val="21"/>
          <w:szCs w:val="22"/>
          <w:lang w:bidi="he-IL"/>
        </w:rPr>
      </w:pPr>
      <w:r>
        <w:fldChar w:fldCharType="begin"/>
      </w:r>
      <w:r>
        <w:instrText xml:space="preserve"> HYPERLINK \l "_Toc97383227" </w:instrText>
      </w:r>
      <w:r>
        <w:fldChar w:fldCharType="separate"/>
      </w:r>
      <w:r>
        <w:rPr>
          <w:rStyle w:val="15"/>
        </w:rPr>
        <w:t>B.</w:t>
      </w:r>
      <w:r>
        <w:rPr>
          <w:rFonts w:asciiTheme="minorHAnsi" w:hAnsiTheme="minorHAnsi" w:eastAsiaTheme="minorEastAsia" w:cstheme="minorBidi"/>
          <w:kern w:val="2"/>
          <w:sz w:val="21"/>
          <w:szCs w:val="22"/>
          <w:lang w:bidi="he-IL"/>
        </w:rPr>
        <w:tab/>
      </w:r>
      <w:r>
        <w:rPr>
          <w:rStyle w:val="15"/>
          <w:rFonts w:hint="eastAsia"/>
        </w:rPr>
        <w:t>本指南中涉及的标准</w:t>
      </w:r>
      <w:r>
        <w:tab/>
      </w:r>
      <w:r>
        <w:fldChar w:fldCharType="begin"/>
      </w:r>
      <w:r>
        <w:instrText xml:space="preserve"> PAGEREF _Toc97383227 \h </w:instrText>
      </w:r>
      <w:r>
        <w:fldChar w:fldCharType="separate"/>
      </w:r>
      <w:r>
        <w:t>6</w:t>
      </w:r>
      <w:r>
        <w:fldChar w:fldCharType="end"/>
      </w:r>
      <w:r>
        <w:fldChar w:fldCharType="end"/>
      </w:r>
    </w:p>
    <w:p w14:paraId="2D0D89F2">
      <w:pPr>
        <w:pStyle w:val="8"/>
        <w:rPr>
          <w:rFonts w:asciiTheme="minorHAnsi" w:hAnsiTheme="minorHAnsi" w:eastAsiaTheme="minorEastAsia" w:cstheme="minorBidi"/>
          <w:kern w:val="2"/>
          <w:sz w:val="21"/>
          <w:szCs w:val="22"/>
          <w:lang w:bidi="he-IL"/>
        </w:rPr>
      </w:pPr>
      <w:r>
        <w:fldChar w:fldCharType="begin"/>
      </w:r>
      <w:r>
        <w:instrText xml:space="preserve"> HYPERLINK \l "_Toc97383228" </w:instrText>
      </w:r>
      <w:r>
        <w:fldChar w:fldCharType="separate"/>
      </w:r>
      <w:r>
        <w:rPr>
          <w:rStyle w:val="15"/>
        </w:rPr>
        <w:t>IV.</w:t>
      </w:r>
      <w:r>
        <w:rPr>
          <w:rFonts w:asciiTheme="minorHAnsi" w:hAnsiTheme="minorHAnsi" w:eastAsiaTheme="minorEastAsia" w:cstheme="minorBidi"/>
          <w:kern w:val="2"/>
          <w:sz w:val="21"/>
          <w:szCs w:val="22"/>
          <w:lang w:bidi="he-IL"/>
        </w:rPr>
        <w:tab/>
      </w:r>
      <w:r>
        <w:rPr>
          <w:rStyle w:val="15"/>
          <w:rFonts w:hint="eastAsia"/>
        </w:rPr>
        <w:t>政策</w:t>
      </w:r>
      <w:r>
        <w:tab/>
      </w:r>
      <w:r>
        <w:fldChar w:fldCharType="begin"/>
      </w:r>
      <w:r>
        <w:instrText xml:space="preserve"> PAGEREF _Toc97383228 \h </w:instrText>
      </w:r>
      <w:r>
        <w:fldChar w:fldCharType="separate"/>
      </w:r>
      <w:r>
        <w:t>6</w:t>
      </w:r>
      <w:r>
        <w:fldChar w:fldCharType="end"/>
      </w:r>
      <w:r>
        <w:fldChar w:fldCharType="end"/>
      </w:r>
    </w:p>
    <w:p w14:paraId="7B71D543">
      <w:pPr>
        <w:pStyle w:val="10"/>
        <w:rPr>
          <w:rFonts w:asciiTheme="minorHAnsi" w:hAnsiTheme="minorHAnsi" w:eastAsiaTheme="minorEastAsia" w:cstheme="minorBidi"/>
          <w:kern w:val="2"/>
          <w:sz w:val="21"/>
          <w:szCs w:val="22"/>
          <w:lang w:bidi="he-IL"/>
        </w:rPr>
      </w:pPr>
      <w:r>
        <w:fldChar w:fldCharType="begin"/>
      </w:r>
      <w:r>
        <w:instrText xml:space="preserve"> HYPERLINK \l "_Toc97383229" </w:instrText>
      </w:r>
      <w:r>
        <w:fldChar w:fldCharType="separate"/>
      </w:r>
      <w:r>
        <w:rPr>
          <w:rStyle w:val="15"/>
        </w:rPr>
        <w:t>A.</w:t>
      </w:r>
      <w:r>
        <w:rPr>
          <w:rFonts w:asciiTheme="minorHAnsi" w:hAnsiTheme="minorHAnsi" w:eastAsiaTheme="minorEastAsia" w:cstheme="minorBidi"/>
          <w:kern w:val="2"/>
          <w:sz w:val="21"/>
          <w:szCs w:val="22"/>
          <w:lang w:bidi="he-IL"/>
        </w:rPr>
        <w:tab/>
      </w:r>
      <w:r>
        <w:rPr>
          <w:rStyle w:val="15"/>
          <w:rFonts w:hint="eastAsia"/>
        </w:rPr>
        <w:t>电子产品</w:t>
      </w:r>
      <w:r>
        <w:rPr>
          <w:rStyle w:val="15"/>
        </w:rPr>
        <w:t>-</w:t>
      </w:r>
      <w:r>
        <w:rPr>
          <w:rStyle w:val="15"/>
          <w:rFonts w:hint="eastAsia"/>
        </w:rPr>
        <w:t>性能标准</w:t>
      </w:r>
      <w:r>
        <w:tab/>
      </w:r>
      <w:r>
        <w:fldChar w:fldCharType="begin"/>
      </w:r>
      <w:r>
        <w:instrText xml:space="preserve"> PAGEREF _Toc97383229 \h </w:instrText>
      </w:r>
      <w:r>
        <w:fldChar w:fldCharType="separate"/>
      </w:r>
      <w:r>
        <w:t>7</w:t>
      </w:r>
      <w:r>
        <w:fldChar w:fldCharType="end"/>
      </w:r>
      <w:r>
        <w:fldChar w:fldCharType="end"/>
      </w:r>
    </w:p>
    <w:p w14:paraId="590F6F10">
      <w:pPr>
        <w:pStyle w:val="10"/>
        <w:rPr>
          <w:rFonts w:asciiTheme="minorHAnsi" w:hAnsiTheme="minorHAnsi" w:eastAsiaTheme="minorEastAsia" w:cstheme="minorBidi"/>
          <w:kern w:val="2"/>
          <w:sz w:val="21"/>
          <w:szCs w:val="22"/>
          <w:lang w:bidi="he-IL"/>
        </w:rPr>
      </w:pPr>
      <w:r>
        <w:fldChar w:fldCharType="begin"/>
      </w:r>
      <w:r>
        <w:instrText xml:space="preserve"> HYPERLINK \l "_Toc97383230" </w:instrText>
      </w:r>
      <w:r>
        <w:fldChar w:fldCharType="separate"/>
      </w:r>
      <w:r>
        <w:rPr>
          <w:rStyle w:val="15"/>
        </w:rPr>
        <w:t>B.</w:t>
      </w:r>
      <w:r>
        <w:rPr>
          <w:rFonts w:asciiTheme="minorHAnsi" w:hAnsiTheme="minorHAnsi" w:eastAsiaTheme="minorEastAsia" w:cstheme="minorBidi"/>
          <w:kern w:val="2"/>
          <w:sz w:val="21"/>
          <w:szCs w:val="22"/>
          <w:lang w:bidi="he-IL"/>
        </w:rPr>
        <w:tab/>
      </w:r>
      <w:r>
        <w:rPr>
          <w:rStyle w:val="15"/>
          <w:rFonts w:hint="eastAsia"/>
        </w:rPr>
        <w:t>医疗器械</w:t>
      </w:r>
      <w:r>
        <w:rPr>
          <w:rStyle w:val="15"/>
        </w:rPr>
        <w:t>-510(k)</w:t>
      </w:r>
      <w:r>
        <w:rPr>
          <w:rStyle w:val="15"/>
          <w:rFonts w:hint="eastAsia"/>
        </w:rPr>
        <w:t>许可</w:t>
      </w:r>
      <w:r>
        <w:tab/>
      </w:r>
      <w:r>
        <w:fldChar w:fldCharType="begin"/>
      </w:r>
      <w:r>
        <w:instrText xml:space="preserve"> PAGEREF _Toc97383230 \h </w:instrText>
      </w:r>
      <w:r>
        <w:fldChar w:fldCharType="separate"/>
      </w:r>
      <w:r>
        <w:t>9</w:t>
      </w:r>
      <w:r>
        <w:fldChar w:fldCharType="end"/>
      </w:r>
      <w:r>
        <w:fldChar w:fldCharType="end"/>
      </w:r>
    </w:p>
    <w:p w14:paraId="40249F3D">
      <w:pPr>
        <w:pStyle w:val="8"/>
        <w:rPr>
          <w:rFonts w:asciiTheme="minorHAnsi" w:hAnsiTheme="minorHAnsi" w:eastAsiaTheme="minorEastAsia" w:cstheme="minorBidi"/>
          <w:kern w:val="2"/>
          <w:sz w:val="21"/>
          <w:szCs w:val="22"/>
          <w:lang w:bidi="he-IL"/>
        </w:rPr>
      </w:pPr>
      <w:r>
        <w:fldChar w:fldCharType="begin"/>
      </w:r>
      <w:r>
        <w:instrText xml:space="preserve"> HYPERLINK \l "_Toc97383231" </w:instrText>
      </w:r>
      <w:r>
        <w:fldChar w:fldCharType="separate"/>
      </w:r>
      <w:r>
        <w:rPr>
          <w:rStyle w:val="15"/>
        </w:rPr>
        <w:t>V.</w:t>
      </w:r>
      <w:r>
        <w:rPr>
          <w:rFonts w:asciiTheme="minorHAnsi" w:hAnsiTheme="minorHAnsi" w:eastAsiaTheme="minorEastAsia" w:cstheme="minorBidi"/>
          <w:kern w:val="2"/>
          <w:sz w:val="21"/>
          <w:szCs w:val="22"/>
          <w:lang w:bidi="he-IL"/>
        </w:rPr>
        <w:tab/>
      </w:r>
      <w:r>
        <w:rPr>
          <w:rStyle w:val="15"/>
          <w:rFonts w:hint="eastAsia"/>
        </w:rPr>
        <w:t>符合性声明的提交</w:t>
      </w:r>
      <w:r>
        <w:tab/>
      </w:r>
      <w:r>
        <w:fldChar w:fldCharType="begin"/>
      </w:r>
      <w:r>
        <w:instrText xml:space="preserve"> PAGEREF _Toc97383231 \h </w:instrText>
      </w:r>
      <w:r>
        <w:fldChar w:fldCharType="separate"/>
      </w:r>
      <w:r>
        <w:t>9</w:t>
      </w:r>
      <w:r>
        <w:fldChar w:fldCharType="end"/>
      </w:r>
      <w:r>
        <w:fldChar w:fldCharType="end"/>
      </w:r>
    </w:p>
    <w:p w14:paraId="57FDCC9D">
      <w:pPr>
        <w:pStyle w:val="8"/>
        <w:rPr>
          <w:rFonts w:asciiTheme="minorHAnsi" w:hAnsiTheme="minorHAnsi" w:eastAsiaTheme="minorEastAsia" w:cstheme="minorBidi"/>
          <w:kern w:val="2"/>
          <w:sz w:val="21"/>
          <w:szCs w:val="22"/>
          <w:lang w:bidi="he-IL"/>
        </w:rPr>
      </w:pPr>
      <w:r>
        <w:fldChar w:fldCharType="begin"/>
      </w:r>
      <w:r>
        <w:instrText xml:space="preserve"> HYPERLINK \l "_Toc97383232" </w:instrText>
      </w:r>
      <w:r>
        <w:fldChar w:fldCharType="separate"/>
      </w:r>
      <w:r>
        <w:rPr>
          <w:rStyle w:val="15"/>
        </w:rPr>
        <w:t>VI.</w:t>
      </w:r>
      <w:r>
        <w:rPr>
          <w:rFonts w:asciiTheme="minorHAnsi" w:hAnsiTheme="minorHAnsi" w:eastAsiaTheme="minorEastAsia" w:cstheme="minorBidi"/>
          <w:kern w:val="2"/>
          <w:sz w:val="21"/>
          <w:szCs w:val="22"/>
          <w:lang w:bidi="he-IL"/>
        </w:rPr>
        <w:tab/>
      </w:r>
      <w:r>
        <w:rPr>
          <w:rStyle w:val="15"/>
          <w:rFonts w:hint="eastAsia"/>
        </w:rPr>
        <w:t>认证</w:t>
      </w:r>
      <w:r>
        <w:tab/>
      </w:r>
      <w:r>
        <w:fldChar w:fldCharType="begin"/>
      </w:r>
      <w:r>
        <w:instrText xml:space="preserve"> PAGEREF _Toc97383232 \h </w:instrText>
      </w:r>
      <w:r>
        <w:fldChar w:fldCharType="separate"/>
      </w:r>
      <w:r>
        <w:t>10</w:t>
      </w:r>
      <w:r>
        <w:fldChar w:fldCharType="end"/>
      </w:r>
      <w:r>
        <w:fldChar w:fldCharType="end"/>
      </w:r>
    </w:p>
    <w:p w14:paraId="3E9F7AA0">
      <w:pPr>
        <w:pStyle w:val="8"/>
        <w:rPr>
          <w:rFonts w:asciiTheme="minorHAnsi" w:hAnsiTheme="minorHAnsi" w:eastAsiaTheme="minorEastAsia" w:cstheme="minorBidi"/>
          <w:kern w:val="2"/>
          <w:sz w:val="21"/>
          <w:szCs w:val="22"/>
          <w:lang w:bidi="he-IL"/>
        </w:rPr>
      </w:pPr>
      <w:r>
        <w:fldChar w:fldCharType="begin"/>
      </w:r>
      <w:r>
        <w:instrText xml:space="preserve"> HYPERLINK \l "_Toc97383233" </w:instrText>
      </w:r>
      <w:r>
        <w:fldChar w:fldCharType="separate"/>
      </w:r>
      <w:r>
        <w:rPr>
          <w:rStyle w:val="15"/>
        </w:rPr>
        <w:t>VII.</w:t>
      </w:r>
      <w:r>
        <w:rPr>
          <w:rFonts w:asciiTheme="minorHAnsi" w:hAnsiTheme="minorHAnsi" w:eastAsiaTheme="minorEastAsia" w:cstheme="minorBidi"/>
          <w:kern w:val="2"/>
          <w:sz w:val="21"/>
          <w:szCs w:val="22"/>
          <w:lang w:bidi="he-IL"/>
        </w:rPr>
        <w:tab/>
      </w:r>
      <w:r>
        <w:rPr>
          <w:rStyle w:val="15"/>
          <w:rFonts w:hint="eastAsia"/>
        </w:rPr>
        <w:t>提供给组装商和其他人员的信息</w:t>
      </w:r>
      <w:r>
        <w:tab/>
      </w:r>
      <w:r>
        <w:fldChar w:fldCharType="begin"/>
      </w:r>
      <w:r>
        <w:instrText xml:space="preserve"> PAGEREF _Toc97383233 \h </w:instrText>
      </w:r>
      <w:r>
        <w:fldChar w:fldCharType="separate"/>
      </w:r>
      <w:r>
        <w:t>11</w:t>
      </w:r>
      <w:r>
        <w:fldChar w:fldCharType="end"/>
      </w:r>
      <w:r>
        <w:fldChar w:fldCharType="end"/>
      </w:r>
    </w:p>
    <w:p w14:paraId="073032EE">
      <w:pPr>
        <w:pStyle w:val="8"/>
        <w:rPr>
          <w:rFonts w:asciiTheme="minorHAnsi" w:hAnsiTheme="minorHAnsi" w:eastAsiaTheme="minorEastAsia" w:cstheme="minorBidi"/>
          <w:kern w:val="2"/>
          <w:sz w:val="21"/>
          <w:szCs w:val="22"/>
          <w:lang w:bidi="he-IL"/>
        </w:rPr>
      </w:pPr>
      <w:r>
        <w:fldChar w:fldCharType="begin"/>
      </w:r>
      <w:r>
        <w:instrText xml:space="preserve"> HYPERLINK \l "_Toc97383234" </w:instrText>
      </w:r>
      <w:r>
        <w:fldChar w:fldCharType="separate"/>
      </w:r>
      <w:r>
        <w:rPr>
          <w:rStyle w:val="15"/>
        </w:rPr>
        <w:t>VIII.</w:t>
      </w:r>
      <w:r>
        <w:rPr>
          <w:rFonts w:asciiTheme="minorHAnsi" w:hAnsiTheme="minorHAnsi" w:eastAsiaTheme="minorEastAsia" w:cstheme="minorBidi"/>
          <w:kern w:val="2"/>
          <w:sz w:val="21"/>
          <w:szCs w:val="22"/>
          <w:lang w:bidi="he-IL"/>
        </w:rPr>
        <w:tab/>
      </w:r>
      <w:r>
        <w:rPr>
          <w:rStyle w:val="15"/>
          <w:rFonts w:hint="eastAsia"/>
        </w:rPr>
        <w:t>符合性和执行</w:t>
      </w:r>
      <w:r>
        <w:tab/>
      </w:r>
      <w:r>
        <w:fldChar w:fldCharType="begin"/>
      </w:r>
      <w:r>
        <w:instrText xml:space="preserve"> PAGEREF _Toc97383234 \h </w:instrText>
      </w:r>
      <w:r>
        <w:fldChar w:fldCharType="separate"/>
      </w:r>
      <w:r>
        <w:t>12</w:t>
      </w:r>
      <w:r>
        <w:fldChar w:fldCharType="end"/>
      </w:r>
      <w:r>
        <w:fldChar w:fldCharType="end"/>
      </w:r>
    </w:p>
    <w:p w14:paraId="5F1E9007">
      <w:pPr>
        <w:pStyle w:val="8"/>
        <w:rPr>
          <w:rFonts w:asciiTheme="minorHAnsi" w:hAnsiTheme="minorHAnsi" w:eastAsiaTheme="minorEastAsia" w:cstheme="minorBidi"/>
          <w:kern w:val="2"/>
          <w:sz w:val="21"/>
          <w:szCs w:val="22"/>
          <w:lang w:bidi="he-IL"/>
        </w:rPr>
      </w:pPr>
      <w:r>
        <w:fldChar w:fldCharType="begin"/>
      </w:r>
      <w:r>
        <w:instrText xml:space="preserve"> HYPERLINK \l "_Toc97383235" </w:instrText>
      </w:r>
      <w:r>
        <w:fldChar w:fldCharType="separate"/>
      </w:r>
      <w:r>
        <w:rPr>
          <w:rStyle w:val="15"/>
          <w:rFonts w:hint="eastAsia"/>
        </w:rPr>
        <w:t>附录</w:t>
      </w:r>
      <w:r>
        <w:rPr>
          <w:rStyle w:val="15"/>
        </w:rPr>
        <w:t>A</w:t>
      </w:r>
      <w:r>
        <w:rPr>
          <w:rStyle w:val="15"/>
          <w:rFonts w:hint="eastAsia"/>
        </w:rPr>
        <w:t>：</w:t>
      </w:r>
      <w:r>
        <w:rPr>
          <w:rFonts w:asciiTheme="minorHAnsi" w:hAnsiTheme="minorHAnsi" w:eastAsiaTheme="minorEastAsia" w:cstheme="minorBidi"/>
          <w:kern w:val="2"/>
          <w:sz w:val="21"/>
          <w:szCs w:val="22"/>
          <w:lang w:bidi="he-IL"/>
        </w:rPr>
        <w:tab/>
      </w:r>
      <w:r>
        <w:rPr>
          <w:rStyle w:val="15"/>
        </w:rPr>
        <w:t>IEC</w:t>
      </w:r>
      <w:r>
        <w:rPr>
          <w:rStyle w:val="15"/>
          <w:rFonts w:hint="eastAsia"/>
        </w:rPr>
        <w:t>标准对特定设备类型的适用性</w:t>
      </w:r>
      <w:r>
        <w:tab/>
      </w:r>
      <w:r>
        <w:fldChar w:fldCharType="begin"/>
      </w:r>
      <w:r>
        <w:instrText xml:space="preserve"> PAGEREF _Toc97383235 \h </w:instrText>
      </w:r>
      <w:r>
        <w:fldChar w:fldCharType="separate"/>
      </w:r>
      <w:r>
        <w:t>13</w:t>
      </w:r>
      <w:r>
        <w:fldChar w:fldCharType="end"/>
      </w:r>
      <w:r>
        <w:fldChar w:fldCharType="end"/>
      </w:r>
    </w:p>
    <w:p w14:paraId="2EE88E00">
      <w:pPr>
        <w:pStyle w:val="8"/>
        <w:rPr>
          <w:szCs w:val="24"/>
        </w:rPr>
      </w:pPr>
      <w:r>
        <w:rPr>
          <w:szCs w:val="24"/>
        </w:rPr>
        <w:fldChar w:fldCharType="end"/>
      </w:r>
    </w:p>
    <w:p w14:paraId="2A9C595D">
      <w:pPr>
        <w:shd w:val="clear" w:color="auto" w:fill="FFFFFF"/>
        <w:topLinePunct/>
        <w:autoSpaceDE/>
        <w:autoSpaceDN/>
        <w:adjustRightInd/>
        <w:jc w:val="both"/>
        <w:rPr>
          <w:rFonts w:eastAsia="宋体"/>
          <w:sz w:val="24"/>
          <w:szCs w:val="24"/>
        </w:rPr>
      </w:pPr>
    </w:p>
    <w:p w14:paraId="4B1D0393">
      <w:pPr>
        <w:shd w:val="clear" w:color="auto" w:fill="FFFFFF"/>
        <w:topLinePunct/>
        <w:autoSpaceDE/>
        <w:autoSpaceDN/>
        <w:adjustRightInd/>
        <w:jc w:val="both"/>
        <w:rPr>
          <w:rFonts w:eastAsia="宋体"/>
          <w:sz w:val="24"/>
          <w:szCs w:val="24"/>
        </w:rPr>
      </w:pPr>
    </w:p>
    <w:p w14:paraId="331F007C">
      <w:pPr>
        <w:shd w:val="clear" w:color="auto" w:fill="FFFFFF"/>
        <w:topLinePunct/>
        <w:autoSpaceDE/>
        <w:autoSpaceDN/>
        <w:adjustRightInd/>
        <w:jc w:val="both"/>
        <w:rPr>
          <w:rFonts w:eastAsia="宋体"/>
          <w:sz w:val="24"/>
          <w:szCs w:val="24"/>
        </w:rPr>
        <w:sectPr>
          <w:headerReference r:id="rId4" w:type="default"/>
          <w:type w:val="nextColumn"/>
          <w:pgSz w:w="11909" w:h="16834"/>
          <w:pgMar w:top="1134" w:right="1134" w:bottom="1134" w:left="1418" w:header="567" w:footer="567" w:gutter="0"/>
          <w:cols w:space="60" w:num="1"/>
          <w:docGrid w:type="lines" w:linePitch="364" w:charSpace="0"/>
        </w:sectPr>
      </w:pPr>
    </w:p>
    <w:p w14:paraId="476265F8">
      <w:pPr>
        <w:pBdr>
          <w:bottom w:val="single" w:color="auto" w:sz="4" w:space="1"/>
        </w:pBdr>
        <w:shd w:val="clear" w:color="auto" w:fill="FFFFFF"/>
        <w:topLinePunct/>
        <w:autoSpaceDE/>
        <w:autoSpaceDN/>
        <w:adjustRightInd/>
        <w:jc w:val="center"/>
        <w:rPr>
          <w:rFonts w:eastAsia="宋体"/>
          <w:sz w:val="44"/>
          <w:szCs w:val="44"/>
        </w:rPr>
      </w:pPr>
      <w:r>
        <w:rPr>
          <w:rFonts w:eastAsia="宋体"/>
          <w:b/>
          <w:color w:val="000000"/>
          <w:sz w:val="44"/>
          <w:szCs w:val="44"/>
        </w:rPr>
        <w:t>医用X射线成像器械：与IEC标准的符合性</w:t>
      </w:r>
    </w:p>
    <w:p w14:paraId="24EEBB87">
      <w:pPr>
        <w:shd w:val="clear" w:color="auto" w:fill="FFFFFF"/>
        <w:topLinePunct/>
        <w:autoSpaceDE/>
        <w:autoSpaceDN/>
        <w:adjustRightInd/>
        <w:jc w:val="center"/>
        <w:rPr>
          <w:rFonts w:eastAsia="宋体"/>
          <w:sz w:val="44"/>
          <w:szCs w:val="44"/>
        </w:rPr>
      </w:pPr>
      <w:r>
        <w:rPr>
          <w:rFonts w:eastAsia="宋体"/>
          <w:b/>
          <w:color w:val="000000"/>
          <w:sz w:val="44"/>
          <w:szCs w:val="44"/>
        </w:rPr>
        <w:t>行业和美国食品药品监督管理局工作人员指南</w:t>
      </w:r>
    </w:p>
    <w:p w14:paraId="0F621ABA"/>
    <w:tbl>
      <w:tblPr>
        <w:tblStyle w:val="13"/>
        <w:tblW w:w="0" w:type="auto"/>
        <w:tblInd w:w="0" w:type="dxa"/>
        <w:tblBorders>
          <w:top w:val="thinThickThinSmallGap" w:color="auto" w:sz="18" w:space="0"/>
          <w:left w:val="thinThickThinSmallGap" w:color="auto" w:sz="18" w:space="0"/>
          <w:bottom w:val="thinThickThinSmallGap" w:color="auto" w:sz="18" w:space="0"/>
          <w:right w:val="thinThickThinSmallGap" w:color="auto" w:sz="18" w:space="0"/>
          <w:insideH w:val="none" w:color="auto" w:sz="0" w:space="0"/>
          <w:insideV w:val="none" w:color="auto" w:sz="0" w:space="0"/>
        </w:tblBorders>
        <w:tblLayout w:type="autofit"/>
        <w:tblCellMar>
          <w:top w:w="0" w:type="dxa"/>
          <w:left w:w="57" w:type="dxa"/>
          <w:bottom w:w="0" w:type="dxa"/>
          <w:right w:w="57" w:type="dxa"/>
        </w:tblCellMar>
      </w:tblPr>
      <w:tblGrid>
        <w:gridCol w:w="9289"/>
      </w:tblGrid>
      <w:tr w14:paraId="225A75E8">
        <w:tblPrEx>
          <w:tblBorders>
            <w:top w:val="thinThickThinSmallGap" w:color="auto" w:sz="18" w:space="0"/>
            <w:left w:val="thinThickThinSmallGap" w:color="auto" w:sz="18" w:space="0"/>
            <w:bottom w:val="thinThickThinSmallGap" w:color="auto" w:sz="18" w:space="0"/>
            <w:right w:val="thinThickThinSmallGap" w:color="auto" w:sz="18" w:space="0"/>
            <w:insideH w:val="none" w:color="auto" w:sz="0" w:space="0"/>
            <w:insideV w:val="none" w:color="auto" w:sz="0" w:space="0"/>
          </w:tblBorders>
          <w:tblCellMar>
            <w:top w:w="0" w:type="dxa"/>
            <w:left w:w="57" w:type="dxa"/>
            <w:bottom w:w="0" w:type="dxa"/>
            <w:right w:w="57" w:type="dxa"/>
          </w:tblCellMar>
        </w:tblPrEx>
        <w:tc>
          <w:tcPr>
            <w:tcW w:w="9289" w:type="dxa"/>
          </w:tcPr>
          <w:p w14:paraId="759CFB1D">
            <w:pPr>
              <w:shd w:val="clear" w:color="auto" w:fill="FFFFFF"/>
              <w:topLinePunct/>
              <w:autoSpaceDE/>
              <w:autoSpaceDN/>
              <w:adjustRightInd/>
              <w:ind w:right="118" w:rightChars="59" w:firstLine="482" w:firstLineChars="200"/>
              <w:jc w:val="both"/>
              <w:rPr>
                <w:rFonts w:eastAsia="宋体"/>
                <w:sz w:val="24"/>
                <w:szCs w:val="24"/>
              </w:rPr>
            </w:pPr>
            <w:r>
              <w:rPr>
                <w:rFonts w:eastAsia="宋体"/>
                <w:b/>
                <w:i/>
                <w:color w:val="000000"/>
                <w:sz w:val="24"/>
                <w:szCs w:val="24"/>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036A0E31">
      <w:pPr>
        <w:pStyle w:val="2"/>
      </w:pPr>
      <w:bookmarkStart w:id="0" w:name="_Toc97381044"/>
      <w:bookmarkStart w:id="1" w:name="_Toc97383220"/>
      <w:r>
        <w:t>引言</w:t>
      </w:r>
      <w:bookmarkEnd w:id="0"/>
      <w:bookmarkEnd w:id="1"/>
    </w:p>
    <w:p w14:paraId="16AF172A">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本指南描述了FDA关于医用X射线成像设备监管的政策，这些设备受《联邦食品、药品和化妆品法案》（《FD&amp;C法案》）和适用于医疗器械和电子产品的FDA规定的约束。</w:t>
      </w:r>
      <w:r>
        <w:rPr>
          <w:rFonts w:eastAsia="宋体"/>
          <w:sz w:val="24"/>
          <w:szCs w:val="24"/>
        </w:rPr>
        <w:t>在本指南中，FDA寻求将《FD&amp;C法案》</w:t>
      </w:r>
      <w:r>
        <w:rPr>
          <w:rStyle w:val="17"/>
          <w:rFonts w:eastAsia="宋体"/>
          <w:sz w:val="24"/>
          <w:szCs w:val="24"/>
        </w:rPr>
        <w:footnoteReference w:id="0"/>
      </w:r>
      <w:r>
        <w:rPr>
          <w:rFonts w:hint="eastAsia" w:eastAsia="宋体"/>
          <w:sz w:val="24"/>
          <w:szCs w:val="24"/>
        </w:rPr>
        <w:t>第</w:t>
      </w:r>
      <w:r>
        <w:rPr>
          <w:rFonts w:eastAsia="宋体"/>
          <w:sz w:val="24"/>
          <w:szCs w:val="24"/>
        </w:rPr>
        <w:t>C分章（电子产品辐射控制（EPRC））第534节规定的性能标准与国际电工委员会（IEC）标准（如适用）相统一，旨在帮助确保对这些产品的提交材料进行更有效和一致的监管审查。</w:t>
      </w:r>
      <w:r>
        <w:rPr>
          <w:rFonts w:eastAsia="宋体"/>
          <w:color w:val="000000"/>
          <w:sz w:val="24"/>
          <w:szCs w:val="24"/>
        </w:rPr>
        <w:t>该指南还向该行业提供了如何符合适用要求的建议。</w:t>
      </w:r>
      <w:r>
        <w:rPr>
          <w:rFonts w:eastAsia="宋体"/>
          <w:sz w:val="24"/>
          <w:szCs w:val="24"/>
        </w:rPr>
        <w:t>FDA已确定，符合某些IEC标准的行业将至少提供与某些EPRC监管标准相同的电子辐射公共健康和安全防护水平。</w:t>
      </w:r>
    </w:p>
    <w:p w14:paraId="493DD0E1">
      <w:pPr>
        <w:shd w:val="clear" w:color="auto" w:fill="FFFFFF"/>
        <w:topLinePunct/>
        <w:autoSpaceDE/>
        <w:autoSpaceDN/>
        <w:adjustRightInd/>
        <w:ind w:firstLine="480" w:firstLineChars="200"/>
        <w:jc w:val="both"/>
        <w:rPr>
          <w:rFonts w:eastAsia="宋体"/>
          <w:sz w:val="24"/>
          <w:szCs w:val="24"/>
        </w:rPr>
      </w:pPr>
    </w:p>
    <w:p w14:paraId="561863EC">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 xml:space="preserve">医用X射线成像设备的制造商和进口商必须遵守现行EPRC法规和程序，或提供符合本指南中规定的等效于IEC标准的符合性声明，以满足EPRC法规的要求。使用等效于IEC标准的符合性声明可以减少制造商的重复工作，并使FDA对有关医用X射线成像设备的提交材料进行更有效和一致的监管审查。 </w:t>
      </w:r>
    </w:p>
    <w:p w14:paraId="25A1DF7A">
      <w:pPr>
        <w:shd w:val="clear" w:color="auto" w:fill="FFFFFF"/>
        <w:topLinePunct/>
        <w:autoSpaceDE/>
        <w:autoSpaceDN/>
        <w:adjustRightInd/>
        <w:ind w:left="480" w:hanging="480" w:hangingChars="200"/>
        <w:jc w:val="both"/>
        <w:rPr>
          <w:rFonts w:eastAsia="宋体"/>
          <w:sz w:val="24"/>
          <w:szCs w:val="24"/>
          <w:lang w:val="de-DE"/>
        </w:rPr>
      </w:pPr>
    </w:p>
    <w:p w14:paraId="65725A5B">
      <w:pPr>
        <w:shd w:val="clear" w:color="auto" w:fill="FFFFFF"/>
        <w:topLinePunct/>
        <w:autoSpaceDE/>
        <w:autoSpaceDN/>
        <w:adjustRightInd/>
        <w:ind w:firstLine="480" w:firstLineChars="200"/>
        <w:jc w:val="both"/>
        <w:rPr>
          <w:rFonts w:eastAsia="宋体"/>
          <w:sz w:val="24"/>
          <w:szCs w:val="24"/>
        </w:rPr>
      </w:pPr>
      <w:r>
        <w:rPr>
          <w:rFonts w:eastAsia="宋体"/>
          <w:sz w:val="24"/>
          <w:szCs w:val="24"/>
        </w:rPr>
        <w:br w:type="page"/>
      </w:r>
    </w:p>
    <w:p w14:paraId="4E071EDD">
      <w:pPr>
        <w:shd w:val="clear" w:color="auto" w:fill="FFFFFF"/>
        <w:topLinePunct/>
        <w:autoSpaceDE/>
        <w:autoSpaceDN/>
        <w:adjustRightInd/>
        <w:ind w:firstLine="480" w:firstLineChars="200"/>
        <w:jc w:val="both"/>
        <w:rPr>
          <w:rFonts w:eastAsia="宋体"/>
          <w:sz w:val="24"/>
          <w:szCs w:val="24"/>
        </w:rPr>
      </w:pPr>
      <w:r>
        <w:rPr>
          <w:rFonts w:eastAsia="宋体"/>
          <w:sz w:val="24"/>
          <w:szCs w:val="24"/>
        </w:rPr>
        <w:t>关于本文件内引用FDA认可标准的当前版本，请参见</w:t>
      </w:r>
      <w:r>
        <w:rPr>
          <w:rFonts w:eastAsia="宋体"/>
          <w:color w:val="3333FF"/>
          <w:sz w:val="24"/>
          <w:szCs w:val="24"/>
          <w:u w:val="single"/>
        </w:rPr>
        <w:t>FDA认可共识标准数据库</w:t>
      </w:r>
      <w:r>
        <w:rPr>
          <w:rFonts w:eastAsia="宋体"/>
          <w:sz w:val="24"/>
          <w:szCs w:val="24"/>
        </w:rPr>
        <w:t>。</w:t>
      </w:r>
      <w:r>
        <w:rPr>
          <w:rStyle w:val="17"/>
          <w:rFonts w:eastAsia="宋体"/>
          <w:sz w:val="24"/>
          <w:szCs w:val="24"/>
        </w:rPr>
        <w:footnoteReference w:id="1"/>
      </w:r>
      <w:r>
        <w:rPr>
          <w:rFonts w:eastAsia="宋体"/>
          <w:sz w:val="24"/>
          <w:szCs w:val="24"/>
        </w:rPr>
        <w:t>关于在监管申请中使用共识标准的更多信息，请参见标题为</w:t>
      </w:r>
      <w:r>
        <w:rPr>
          <w:rFonts w:eastAsia="宋体"/>
          <w:color w:val="3333FF"/>
          <w:sz w:val="24"/>
          <w:szCs w:val="24"/>
          <w:u w:val="single"/>
        </w:rPr>
        <w:t>《医疗器械上市前申请中适当使用自愿共识标准》</w:t>
      </w:r>
      <w:r>
        <w:rPr>
          <w:rFonts w:eastAsia="宋体"/>
          <w:sz w:val="24"/>
          <w:szCs w:val="24"/>
        </w:rPr>
        <w:t>的FDA指南。</w:t>
      </w:r>
      <w:r>
        <w:rPr>
          <w:rStyle w:val="17"/>
          <w:rFonts w:eastAsia="宋体"/>
          <w:sz w:val="24"/>
          <w:szCs w:val="24"/>
        </w:rPr>
        <w:footnoteReference w:id="2"/>
      </w:r>
      <w:r>
        <w:rPr>
          <w:rFonts w:eastAsia="宋体"/>
          <w:sz w:val="24"/>
          <w:szCs w:val="24"/>
          <w:vertAlign w:val="superscript"/>
        </w:rPr>
        <w:t xml:space="preserve"> </w:t>
      </w:r>
      <w:r>
        <w:rPr>
          <w:rFonts w:eastAsia="宋体"/>
          <w:sz w:val="24"/>
          <w:szCs w:val="24"/>
        </w:rPr>
        <w:t>FDA指导性文件，包括本指南在内，不具有法律强制责任。相反，指南表明了FDA目前关于该主题的思考，除非引用具体的法规或法律要求，否则只应视为建议。在</w:t>
      </w:r>
      <w:r>
        <w:rPr>
          <w:rFonts w:hint="eastAsia" w:eastAsia="宋体"/>
          <w:sz w:val="24"/>
          <w:szCs w:val="24"/>
        </w:rPr>
        <w:t>F</w:t>
      </w:r>
      <w:r>
        <w:rPr>
          <w:rFonts w:eastAsia="宋体"/>
          <w:sz w:val="24"/>
          <w:szCs w:val="24"/>
        </w:rPr>
        <w:t>DA指南中使用词语</w:t>
      </w:r>
      <w:r>
        <w:rPr>
          <w:rFonts w:ascii="宋体" w:hAnsi="宋体" w:eastAsia="宋体"/>
          <w:sz w:val="24"/>
          <w:szCs w:val="24"/>
        </w:rPr>
        <w:t>“</w:t>
      </w:r>
      <w:r>
        <w:rPr>
          <w:rFonts w:eastAsia="宋体"/>
          <w:i/>
          <w:iCs/>
          <w:sz w:val="24"/>
          <w:szCs w:val="24"/>
        </w:rPr>
        <w:t>应</w:t>
      </w:r>
      <w:r>
        <w:rPr>
          <w:rFonts w:ascii="宋体" w:hAnsi="宋体" w:eastAsia="宋体"/>
          <w:sz w:val="24"/>
          <w:szCs w:val="24"/>
        </w:rPr>
        <w:t>”</w:t>
      </w:r>
      <w:r>
        <w:rPr>
          <w:rFonts w:eastAsia="宋体"/>
          <w:sz w:val="24"/>
          <w:szCs w:val="24"/>
        </w:rPr>
        <w:t>是指建议或推荐进行某一事项，并非强制要求。</w:t>
      </w:r>
    </w:p>
    <w:p w14:paraId="0B970283">
      <w:pPr>
        <w:shd w:val="clear" w:color="auto" w:fill="FFFFFF"/>
        <w:topLinePunct/>
        <w:autoSpaceDE/>
        <w:autoSpaceDN/>
        <w:adjustRightInd/>
        <w:ind w:firstLine="480" w:firstLineChars="200"/>
        <w:jc w:val="both"/>
        <w:rPr>
          <w:rFonts w:eastAsia="宋体"/>
          <w:sz w:val="24"/>
          <w:szCs w:val="24"/>
          <w:vertAlign w:val="superscript"/>
        </w:rPr>
      </w:pPr>
    </w:p>
    <w:p w14:paraId="0237F26F">
      <w:pPr>
        <w:pStyle w:val="2"/>
      </w:pPr>
      <w:bookmarkStart w:id="2" w:name="_Toc97383221"/>
      <w:bookmarkStart w:id="3" w:name="_Toc97381045"/>
      <w:r>
        <w:t>背景</w:t>
      </w:r>
      <w:bookmarkEnd w:id="2"/>
      <w:bookmarkEnd w:id="3"/>
    </w:p>
    <w:p w14:paraId="375C4040">
      <w:pPr>
        <w:shd w:val="clear" w:color="auto" w:fill="FFFFFF"/>
        <w:topLinePunct/>
        <w:autoSpaceDE/>
        <w:autoSpaceDN/>
        <w:adjustRightInd/>
        <w:ind w:firstLine="480" w:firstLineChars="200"/>
        <w:jc w:val="both"/>
        <w:rPr>
          <w:rFonts w:eastAsia="宋体"/>
          <w:sz w:val="24"/>
          <w:szCs w:val="24"/>
        </w:rPr>
      </w:pPr>
      <w:r>
        <w:rPr>
          <w:rFonts w:eastAsia="宋体"/>
          <w:sz w:val="24"/>
          <w:szCs w:val="24"/>
        </w:rPr>
        <w:t>医用X射线成像设备可能既属于《FD&amp;C法案》第201(h)</w:t>
      </w:r>
      <w:r>
        <w:rPr>
          <w:rStyle w:val="17"/>
          <w:rFonts w:eastAsia="宋体"/>
          <w:sz w:val="24"/>
          <w:szCs w:val="24"/>
        </w:rPr>
        <w:footnoteReference w:id="3"/>
      </w:r>
      <w:r>
        <w:rPr>
          <w:rFonts w:eastAsia="宋体"/>
          <w:sz w:val="24"/>
          <w:szCs w:val="24"/>
        </w:rPr>
        <w:t>节规定的医疗器械，也属于《FD&amp;C法案》第531</w:t>
      </w:r>
      <w:r>
        <w:rPr>
          <w:rFonts w:hint="eastAsia" w:eastAsia="宋体"/>
          <w:sz w:val="24"/>
          <w:szCs w:val="24"/>
        </w:rPr>
        <w:t>(</w:t>
      </w:r>
      <w:r>
        <w:rPr>
          <w:rFonts w:eastAsia="宋体"/>
          <w:sz w:val="24"/>
          <w:szCs w:val="24"/>
        </w:rPr>
        <w:t>2)</w:t>
      </w:r>
      <w:r>
        <w:rPr>
          <w:rStyle w:val="17"/>
          <w:rFonts w:eastAsia="宋体"/>
          <w:sz w:val="24"/>
          <w:szCs w:val="24"/>
        </w:rPr>
        <w:footnoteReference w:id="4"/>
      </w:r>
      <w:r>
        <w:rPr>
          <w:rFonts w:eastAsia="宋体"/>
          <w:sz w:val="24"/>
          <w:szCs w:val="24"/>
        </w:rPr>
        <w:t>节规定的电子产品。因此，这些器械可能需要遵守《FD&amp;C法案》的条款以及适用于医疗器械</w:t>
      </w:r>
      <w:r>
        <w:rPr>
          <w:rStyle w:val="17"/>
          <w:rFonts w:eastAsia="宋体"/>
          <w:sz w:val="24"/>
          <w:szCs w:val="24"/>
        </w:rPr>
        <w:footnoteReference w:id="5"/>
      </w:r>
      <w:r>
        <w:rPr>
          <w:rFonts w:eastAsia="宋体"/>
          <w:sz w:val="24"/>
          <w:szCs w:val="24"/>
        </w:rPr>
        <w:t>和电子产品</w:t>
      </w:r>
      <w:r>
        <w:rPr>
          <w:rStyle w:val="17"/>
          <w:rFonts w:eastAsia="宋体"/>
          <w:sz w:val="24"/>
          <w:szCs w:val="24"/>
        </w:rPr>
        <w:footnoteReference w:id="6"/>
      </w:r>
      <w:r>
        <w:rPr>
          <w:rFonts w:eastAsia="宋体"/>
          <w:sz w:val="24"/>
          <w:szCs w:val="24"/>
        </w:rPr>
        <w:t>的FDA法规</w:t>
      </w:r>
      <w:r>
        <w:rPr>
          <w:rStyle w:val="17"/>
          <w:rFonts w:eastAsia="宋体"/>
          <w:sz w:val="24"/>
          <w:szCs w:val="24"/>
        </w:rPr>
        <w:footnoteReference w:id="7"/>
      </w:r>
      <w:r>
        <w:rPr>
          <w:rFonts w:eastAsia="宋体"/>
          <w:sz w:val="24"/>
          <w:szCs w:val="24"/>
        </w:rPr>
        <w:t>。</w:t>
      </w:r>
    </w:p>
    <w:p w14:paraId="2D4C63AB">
      <w:pPr>
        <w:shd w:val="clear" w:color="auto" w:fill="FFFFFF"/>
        <w:topLinePunct/>
        <w:autoSpaceDE/>
        <w:autoSpaceDN/>
        <w:adjustRightInd/>
        <w:ind w:firstLine="480" w:firstLineChars="200"/>
        <w:jc w:val="both"/>
        <w:rPr>
          <w:rFonts w:eastAsia="宋体"/>
          <w:sz w:val="24"/>
          <w:szCs w:val="24"/>
        </w:rPr>
      </w:pPr>
    </w:p>
    <w:p w14:paraId="6919AC5E">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虽然关于医疗器械和电子产品的权威法律分别主要侧重于安全性/有效性和辐射安全性，但这些权威法律中存在重叠的要求。FDA发布本指南是为了阐明相关的适用标准，并帮助确保对这些器械的提交材料进行有效和一致的监管审查。本指南说明了FDA关于下列领域的当前观点：</w:t>
      </w:r>
    </w:p>
    <w:p w14:paraId="7CB01EB5">
      <w:pPr>
        <w:shd w:val="clear" w:color="auto" w:fill="FFFFFF"/>
        <w:topLinePunct/>
        <w:autoSpaceDE/>
        <w:autoSpaceDN/>
        <w:adjustRightInd/>
        <w:jc w:val="both"/>
        <w:rPr>
          <w:rFonts w:eastAsia="宋体"/>
          <w:sz w:val="24"/>
          <w:szCs w:val="24"/>
        </w:rPr>
      </w:pPr>
    </w:p>
    <w:p w14:paraId="18F6902E">
      <w:pPr>
        <w:numPr>
          <w:ilvl w:val="0"/>
          <w:numId w:val="2"/>
        </w:numPr>
        <w:shd w:val="clear" w:color="auto" w:fill="FFFFFF"/>
        <w:tabs>
          <w:tab w:val="left" w:pos="720"/>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产品与IEC标准的符合性；和</w:t>
      </w:r>
    </w:p>
    <w:p w14:paraId="3AA25E78">
      <w:pPr>
        <w:shd w:val="clear" w:color="auto" w:fill="FFFFFF"/>
        <w:tabs>
          <w:tab w:val="left" w:pos="720"/>
        </w:tabs>
        <w:topLinePunct/>
        <w:autoSpaceDE/>
        <w:autoSpaceDN/>
        <w:adjustRightInd/>
        <w:ind w:left="880"/>
        <w:jc w:val="both"/>
        <w:rPr>
          <w:rFonts w:eastAsia="宋体"/>
          <w:color w:val="000000"/>
          <w:sz w:val="24"/>
          <w:szCs w:val="24"/>
        </w:rPr>
      </w:pPr>
    </w:p>
    <w:p w14:paraId="4605FC1E">
      <w:pPr>
        <w:numPr>
          <w:ilvl w:val="0"/>
          <w:numId w:val="2"/>
        </w:numPr>
        <w:shd w:val="clear" w:color="auto" w:fill="FFFFFF"/>
        <w:tabs>
          <w:tab w:val="left" w:pos="720"/>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与EPRC性能标准的符合性。</w:t>
      </w:r>
    </w:p>
    <w:p w14:paraId="5E79BEC3">
      <w:pPr>
        <w:shd w:val="clear" w:color="auto" w:fill="FFFFFF"/>
        <w:tabs>
          <w:tab w:val="left" w:pos="720"/>
        </w:tabs>
        <w:topLinePunct/>
        <w:autoSpaceDE/>
        <w:autoSpaceDN/>
        <w:adjustRightInd/>
        <w:ind w:left="880"/>
        <w:jc w:val="both"/>
        <w:rPr>
          <w:rFonts w:eastAsia="宋体"/>
          <w:color w:val="000000"/>
          <w:sz w:val="24"/>
          <w:szCs w:val="24"/>
        </w:rPr>
      </w:pPr>
    </w:p>
    <w:p w14:paraId="6EA5E8B5">
      <w:pPr>
        <w:pStyle w:val="3"/>
        <w:tabs>
          <w:tab w:val="left" w:pos="993"/>
        </w:tabs>
        <w:spacing w:before="0" w:beforeLines="0" w:line="240" w:lineRule="auto"/>
        <w:ind w:left="991" w:leftChars="213" w:hanging="565" w:hangingChars="201"/>
        <w:rPr>
          <w:rFonts w:cs="Times New Roman"/>
          <w:szCs w:val="28"/>
        </w:rPr>
      </w:pPr>
      <w:bookmarkStart w:id="4" w:name="_Toc97383222"/>
      <w:bookmarkStart w:id="5" w:name="_Toc97381046"/>
      <w:r>
        <w:rPr>
          <w:rFonts w:cs="Times New Roman"/>
          <w:szCs w:val="28"/>
        </w:rPr>
        <w:t>A.</w:t>
      </w:r>
      <w:r>
        <w:rPr>
          <w:rFonts w:cs="Times New Roman"/>
          <w:szCs w:val="28"/>
        </w:rPr>
        <w:tab/>
      </w:r>
      <w:r>
        <w:rPr>
          <w:rFonts w:cs="Times New Roman"/>
          <w:szCs w:val="28"/>
        </w:rPr>
        <w:t>器械法规</w:t>
      </w:r>
      <w:bookmarkEnd w:id="4"/>
      <w:bookmarkEnd w:id="5"/>
    </w:p>
    <w:p w14:paraId="7F982689">
      <w:pPr>
        <w:shd w:val="clear" w:color="auto" w:fill="FFFFFF"/>
        <w:topLinePunct/>
        <w:autoSpaceDE/>
        <w:autoSpaceDN/>
        <w:adjustRightInd/>
        <w:jc w:val="both"/>
        <w:rPr>
          <w:rFonts w:eastAsia="宋体"/>
          <w:color w:val="000000"/>
          <w:sz w:val="24"/>
          <w:szCs w:val="24"/>
        </w:rPr>
      </w:pPr>
    </w:p>
    <w:p w14:paraId="6DDD517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FDA根据医疗器械的风险和提供安全性和有效性的合理保证所需的监管措施，将其分为三类-I类、II类或III类。I类器械通常对患者和/或用户造成的风险最低，III类器械造成的风险最高。</w:t>
      </w:r>
    </w:p>
    <w:p w14:paraId="0B0B64F6">
      <w:pPr>
        <w:shd w:val="clear" w:color="auto" w:fill="FFFFFF"/>
        <w:topLinePunct/>
        <w:autoSpaceDE/>
        <w:autoSpaceDN/>
        <w:adjustRightInd/>
        <w:jc w:val="both"/>
        <w:rPr>
          <w:rFonts w:eastAsia="宋体"/>
          <w:sz w:val="24"/>
          <w:szCs w:val="24"/>
        </w:rPr>
      </w:pPr>
    </w:p>
    <w:p w14:paraId="03383368">
      <w:pPr>
        <w:pStyle w:val="23"/>
        <w:numPr>
          <w:ilvl w:val="0"/>
          <w:numId w:val="3"/>
        </w:numPr>
        <w:shd w:val="clear" w:color="auto" w:fill="FFFFFF"/>
        <w:topLinePunct/>
        <w:autoSpaceDE/>
        <w:autoSpaceDN/>
        <w:adjustRightInd/>
        <w:ind w:left="990" w:leftChars="212" w:hanging="566" w:hangingChars="236"/>
        <w:jc w:val="both"/>
        <w:rPr>
          <w:rFonts w:eastAsia="宋体"/>
          <w:sz w:val="24"/>
          <w:szCs w:val="24"/>
        </w:rPr>
      </w:pPr>
      <w:r>
        <w:rPr>
          <w:rFonts w:eastAsia="宋体"/>
          <w:color w:val="000000"/>
          <w:sz w:val="24"/>
          <w:szCs w:val="24"/>
        </w:rPr>
        <w:t>对于I类器械，制造商通常必须遵守《FD&amp;C法案》第501节（掺假）、502节（错误标签）、510节（注册）、516节（禁用器械）、518节（通知和其他补救措施）、519节（记录和报告）和520节（一般规定）所认可或规定的一般控制措施（参见21 CFR 860.3(c)(1)）。以下法规规定了与这些一般控制措施相关的要求：</w:t>
      </w:r>
    </w:p>
    <w:p w14:paraId="5E73FF3C">
      <w:pPr>
        <w:shd w:val="clear" w:color="auto" w:fill="FFFFFF"/>
        <w:topLinePunct/>
        <w:autoSpaceDE/>
        <w:autoSpaceDN/>
        <w:adjustRightInd/>
        <w:ind w:left="480" w:hanging="480" w:hangingChars="200"/>
        <w:rPr>
          <w:rFonts w:eastAsia="宋体"/>
          <w:sz w:val="24"/>
          <w:szCs w:val="24"/>
        </w:rPr>
      </w:pPr>
    </w:p>
    <w:p w14:paraId="23138368">
      <w:pPr>
        <w:pStyle w:val="23"/>
        <w:numPr>
          <w:ilvl w:val="0"/>
          <w:numId w:val="4"/>
        </w:numPr>
        <w:shd w:val="clear" w:color="auto" w:fill="FFFFFF"/>
        <w:topLinePunct/>
        <w:autoSpaceDE/>
        <w:autoSpaceDN/>
        <w:adjustRightInd/>
        <w:ind w:left="1416" w:leftChars="496" w:hanging="424" w:hangingChars="177"/>
        <w:jc w:val="both"/>
        <w:rPr>
          <w:rFonts w:eastAsia="宋体"/>
          <w:sz w:val="24"/>
          <w:szCs w:val="24"/>
        </w:rPr>
      </w:pPr>
      <w:r>
        <w:rPr>
          <w:rFonts w:eastAsia="宋体"/>
          <w:color w:val="000000"/>
          <w:sz w:val="24"/>
          <w:szCs w:val="24"/>
        </w:rPr>
        <w:t>21 CFR 801：标签；</w:t>
      </w:r>
    </w:p>
    <w:p w14:paraId="3EA4E1C2">
      <w:pPr>
        <w:pStyle w:val="23"/>
        <w:numPr>
          <w:ilvl w:val="0"/>
          <w:numId w:val="4"/>
        </w:numPr>
        <w:shd w:val="clear" w:color="auto" w:fill="FFFFFF"/>
        <w:topLinePunct/>
        <w:autoSpaceDE/>
        <w:autoSpaceDN/>
        <w:adjustRightInd/>
        <w:ind w:left="1416" w:leftChars="496" w:hanging="424" w:hangingChars="177"/>
        <w:jc w:val="both"/>
        <w:rPr>
          <w:rFonts w:eastAsia="宋体"/>
          <w:sz w:val="24"/>
          <w:szCs w:val="24"/>
        </w:rPr>
      </w:pPr>
      <w:r>
        <w:rPr>
          <w:rFonts w:eastAsia="宋体"/>
          <w:color w:val="000000"/>
          <w:sz w:val="24"/>
          <w:szCs w:val="24"/>
        </w:rPr>
        <w:t>21 CFR 803：医疗器械报告；</w:t>
      </w:r>
    </w:p>
    <w:p w14:paraId="56759310">
      <w:pPr>
        <w:pStyle w:val="23"/>
        <w:numPr>
          <w:ilvl w:val="0"/>
          <w:numId w:val="4"/>
        </w:numPr>
        <w:shd w:val="clear" w:color="auto" w:fill="FFFFFF"/>
        <w:topLinePunct/>
        <w:autoSpaceDE/>
        <w:autoSpaceDN/>
        <w:adjustRightInd/>
        <w:ind w:left="1416" w:leftChars="496" w:hanging="424" w:hangingChars="177"/>
        <w:jc w:val="both"/>
        <w:rPr>
          <w:rFonts w:eastAsia="宋体"/>
          <w:color w:val="000000"/>
          <w:sz w:val="24"/>
          <w:szCs w:val="24"/>
        </w:rPr>
      </w:pPr>
      <w:r>
        <w:rPr>
          <w:rFonts w:eastAsia="宋体"/>
          <w:color w:val="000000"/>
          <w:sz w:val="24"/>
          <w:szCs w:val="24"/>
        </w:rPr>
        <w:t>21 CFR 807：器械制造商和初始进口商的机构注册和器械清单；和</w:t>
      </w:r>
    </w:p>
    <w:p w14:paraId="7797A081">
      <w:pPr>
        <w:pStyle w:val="23"/>
        <w:numPr>
          <w:ilvl w:val="0"/>
          <w:numId w:val="4"/>
        </w:numPr>
        <w:shd w:val="clear" w:color="auto" w:fill="FFFFFF"/>
        <w:topLinePunct/>
        <w:autoSpaceDE/>
        <w:autoSpaceDN/>
        <w:adjustRightInd/>
        <w:ind w:left="1416" w:leftChars="496" w:hanging="424" w:hangingChars="177"/>
        <w:jc w:val="both"/>
        <w:rPr>
          <w:rFonts w:eastAsia="宋体"/>
          <w:sz w:val="24"/>
          <w:szCs w:val="24"/>
        </w:rPr>
      </w:pPr>
      <w:r>
        <w:rPr>
          <w:rFonts w:eastAsia="宋体"/>
          <w:color w:val="000000"/>
          <w:sz w:val="24"/>
          <w:szCs w:val="24"/>
        </w:rPr>
        <w:t>21 CFR 820：质量体系法规。</w:t>
      </w:r>
    </w:p>
    <w:p w14:paraId="0E352BE3">
      <w:pPr>
        <w:pStyle w:val="23"/>
        <w:shd w:val="clear" w:color="auto" w:fill="FFFFFF"/>
        <w:topLinePunct/>
        <w:autoSpaceDE/>
        <w:autoSpaceDN/>
        <w:adjustRightInd/>
        <w:ind w:left="1304" w:firstLine="0" w:firstLineChars="0"/>
        <w:jc w:val="both"/>
        <w:rPr>
          <w:rFonts w:eastAsia="宋体"/>
          <w:sz w:val="24"/>
          <w:szCs w:val="24"/>
        </w:rPr>
      </w:pPr>
    </w:p>
    <w:p w14:paraId="0EF570F3">
      <w:pPr>
        <w:shd w:val="clear" w:color="auto" w:fill="FFFFFF"/>
        <w:topLinePunct/>
        <w:autoSpaceDE/>
        <w:autoSpaceDN/>
        <w:adjustRightInd/>
        <w:ind w:left="992" w:leftChars="496" w:firstLine="480" w:firstLineChars="200"/>
        <w:jc w:val="both"/>
        <w:rPr>
          <w:rFonts w:eastAsia="宋体"/>
          <w:color w:val="000000"/>
          <w:sz w:val="24"/>
          <w:szCs w:val="24"/>
        </w:rPr>
      </w:pPr>
      <w:r>
        <w:rPr>
          <w:rFonts w:eastAsia="宋体"/>
          <w:color w:val="000000"/>
          <w:sz w:val="24"/>
          <w:szCs w:val="24"/>
        </w:rPr>
        <w:t>大多数I类器械可在未获得FDA关于510(k)申请许可的情况下合法上市。</w:t>
      </w:r>
    </w:p>
    <w:p w14:paraId="28E16195">
      <w:pPr>
        <w:shd w:val="clear" w:color="auto" w:fill="FFFFFF"/>
        <w:topLinePunct/>
        <w:autoSpaceDE/>
        <w:autoSpaceDN/>
        <w:adjustRightInd/>
        <w:ind w:left="800" w:leftChars="400"/>
        <w:jc w:val="both"/>
        <w:rPr>
          <w:rFonts w:eastAsia="宋体"/>
          <w:sz w:val="24"/>
          <w:szCs w:val="24"/>
        </w:rPr>
      </w:pPr>
    </w:p>
    <w:p w14:paraId="46A28107">
      <w:pPr>
        <w:pStyle w:val="23"/>
        <w:numPr>
          <w:ilvl w:val="0"/>
          <w:numId w:val="3"/>
        </w:numPr>
        <w:shd w:val="clear" w:color="auto" w:fill="FFFFFF"/>
        <w:topLinePunct/>
        <w:autoSpaceDE/>
        <w:autoSpaceDN/>
        <w:adjustRightInd/>
        <w:ind w:left="990" w:leftChars="212" w:hanging="566" w:hangingChars="236"/>
        <w:jc w:val="both"/>
        <w:rPr>
          <w:rFonts w:eastAsia="宋体"/>
          <w:sz w:val="24"/>
          <w:szCs w:val="24"/>
        </w:rPr>
      </w:pPr>
      <w:r>
        <w:rPr>
          <w:rFonts w:eastAsia="宋体"/>
          <w:sz w:val="24"/>
          <w:szCs w:val="24"/>
        </w:rPr>
        <w:t>对于II类器械，制造商必须遵守一般控制措施和适用的特殊控制措施，并在上市前符合上市前通知（510(k)）要求，除非另有豁免（21 CFR 860.3(c)(2)）。</w:t>
      </w:r>
      <w:r>
        <w:rPr>
          <w:rStyle w:val="17"/>
          <w:rFonts w:eastAsia="宋体"/>
          <w:sz w:val="24"/>
          <w:szCs w:val="24"/>
        </w:rPr>
        <w:footnoteReference w:id="8"/>
      </w:r>
    </w:p>
    <w:p w14:paraId="2F1A4183">
      <w:pPr>
        <w:pStyle w:val="23"/>
        <w:shd w:val="clear" w:color="auto" w:fill="FFFFFF"/>
        <w:topLinePunct/>
        <w:autoSpaceDE/>
        <w:autoSpaceDN/>
        <w:adjustRightInd/>
        <w:ind w:left="1134" w:firstLine="0" w:firstLineChars="0"/>
        <w:jc w:val="both"/>
        <w:rPr>
          <w:rFonts w:eastAsia="宋体"/>
          <w:sz w:val="24"/>
          <w:szCs w:val="24"/>
        </w:rPr>
      </w:pPr>
    </w:p>
    <w:p w14:paraId="4789443C">
      <w:pPr>
        <w:pStyle w:val="23"/>
        <w:numPr>
          <w:ilvl w:val="0"/>
          <w:numId w:val="3"/>
        </w:numPr>
        <w:shd w:val="clear" w:color="auto" w:fill="FFFFFF"/>
        <w:topLinePunct/>
        <w:autoSpaceDE/>
        <w:autoSpaceDN/>
        <w:adjustRightInd/>
        <w:ind w:left="990" w:leftChars="212" w:hanging="566" w:hangingChars="236"/>
        <w:jc w:val="both"/>
        <w:rPr>
          <w:rFonts w:eastAsia="宋体"/>
          <w:sz w:val="24"/>
          <w:szCs w:val="24"/>
        </w:rPr>
      </w:pPr>
      <w:r>
        <w:rPr>
          <w:rFonts w:eastAsia="宋体"/>
          <w:color w:val="000000"/>
          <w:sz w:val="24"/>
          <w:szCs w:val="24"/>
        </w:rPr>
        <w:t>对于III类器械，制造商必须遵守一般控制措施，通常必须在上市前获得FDA对证明该器械安全性和有效性的上市前批准申请（PMA）的批准（21 CFR 860.3</w:t>
      </w:r>
      <w:r>
        <w:rPr>
          <w:rFonts w:eastAsia="宋体"/>
          <w:sz w:val="24"/>
          <w:szCs w:val="24"/>
        </w:rPr>
        <w:t>(c)(3)</w:t>
      </w:r>
      <w:r>
        <w:rPr>
          <w:rFonts w:eastAsia="宋体"/>
          <w:color w:val="000000"/>
          <w:sz w:val="24"/>
          <w:szCs w:val="24"/>
        </w:rPr>
        <w:t>）。</w:t>
      </w:r>
    </w:p>
    <w:p w14:paraId="1D501B94">
      <w:pPr>
        <w:pStyle w:val="23"/>
        <w:shd w:val="clear" w:color="auto" w:fill="FFFFFF"/>
        <w:topLinePunct/>
        <w:autoSpaceDE/>
        <w:autoSpaceDN/>
        <w:adjustRightInd/>
        <w:ind w:left="1134" w:firstLine="0" w:firstLineChars="0"/>
        <w:jc w:val="both"/>
        <w:rPr>
          <w:rFonts w:eastAsia="宋体"/>
          <w:sz w:val="24"/>
          <w:szCs w:val="24"/>
        </w:rPr>
      </w:pPr>
    </w:p>
    <w:p w14:paraId="780B91ED">
      <w:pPr>
        <w:pStyle w:val="3"/>
        <w:spacing w:before="0" w:beforeLines="0" w:line="240" w:lineRule="auto"/>
        <w:ind w:left="1243" w:leftChars="200" w:hanging="843"/>
        <w:rPr>
          <w:rFonts w:cs="Times New Roman"/>
          <w:szCs w:val="28"/>
        </w:rPr>
      </w:pPr>
      <w:bookmarkStart w:id="6" w:name="_Toc97383223"/>
      <w:bookmarkStart w:id="7" w:name="_Toc97381047"/>
      <w:r>
        <w:rPr>
          <w:rFonts w:cs="Times New Roman"/>
          <w:szCs w:val="28"/>
        </w:rPr>
        <w:t>B.</w:t>
      </w:r>
      <w:r>
        <w:rPr>
          <w:rFonts w:cs="Times New Roman"/>
          <w:szCs w:val="28"/>
        </w:rPr>
        <w:tab/>
      </w:r>
      <w:r>
        <w:rPr>
          <w:rFonts w:cs="Times New Roman"/>
          <w:szCs w:val="28"/>
        </w:rPr>
        <w:t>EPRC法规</w:t>
      </w:r>
      <w:bookmarkEnd w:id="6"/>
      <w:bookmarkEnd w:id="7"/>
    </w:p>
    <w:p w14:paraId="253CDF59">
      <w:pPr>
        <w:shd w:val="clear" w:color="auto" w:fill="FFFFFF"/>
        <w:topLinePunct/>
        <w:autoSpaceDE/>
        <w:autoSpaceDN/>
        <w:adjustRightInd/>
        <w:jc w:val="both"/>
        <w:rPr>
          <w:rFonts w:eastAsia="宋体"/>
          <w:color w:val="000000"/>
          <w:sz w:val="24"/>
          <w:szCs w:val="24"/>
        </w:rPr>
      </w:pPr>
    </w:p>
    <w:p w14:paraId="6EEA330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EPRC法规旨在保护公众免受电子产品的有害和不必要的辐射。</w:t>
      </w:r>
      <w:r>
        <w:rPr>
          <w:rFonts w:eastAsia="宋体"/>
          <w:sz w:val="24"/>
          <w:szCs w:val="24"/>
        </w:rPr>
        <w:t>根据法规，FDA确定了电子产品的类型，</w:t>
      </w:r>
      <w:r>
        <w:rPr>
          <w:rStyle w:val="17"/>
          <w:rFonts w:eastAsia="宋体"/>
          <w:sz w:val="24"/>
          <w:szCs w:val="24"/>
        </w:rPr>
        <w:footnoteReference w:id="9"/>
      </w:r>
      <w:r>
        <w:rPr>
          <w:rFonts w:eastAsia="宋体"/>
          <w:sz w:val="24"/>
          <w:szCs w:val="24"/>
        </w:rPr>
        <w:t>包括X射线诊断系统及其主要组件，并为这些产品建立了控制辐射的产品性能标准。</w:t>
      </w:r>
    </w:p>
    <w:p w14:paraId="2B5127A2">
      <w:pPr>
        <w:shd w:val="clear" w:color="auto" w:fill="FFFFFF"/>
        <w:topLinePunct/>
        <w:autoSpaceDE/>
        <w:autoSpaceDN/>
        <w:adjustRightInd/>
        <w:ind w:firstLine="480" w:firstLineChars="200"/>
        <w:jc w:val="both"/>
        <w:rPr>
          <w:rFonts w:eastAsia="宋体"/>
          <w:sz w:val="24"/>
          <w:szCs w:val="24"/>
        </w:rPr>
      </w:pPr>
    </w:p>
    <w:p w14:paraId="29B445D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X射线成像器械的制造商和进口商必须遵守适用要求，包括但不限于：</w:t>
      </w:r>
    </w:p>
    <w:p w14:paraId="636A4492">
      <w:pPr>
        <w:shd w:val="clear" w:color="auto" w:fill="FFFFFF"/>
        <w:topLinePunct/>
        <w:autoSpaceDE/>
        <w:autoSpaceDN/>
        <w:adjustRightInd/>
        <w:jc w:val="both"/>
        <w:rPr>
          <w:rFonts w:eastAsia="宋体"/>
          <w:sz w:val="24"/>
          <w:szCs w:val="24"/>
        </w:rPr>
      </w:pPr>
    </w:p>
    <w:p w14:paraId="03E75EA3">
      <w:pPr>
        <w:pStyle w:val="23"/>
        <w:numPr>
          <w:ilvl w:val="0"/>
          <w:numId w:val="3"/>
        </w:numPr>
        <w:shd w:val="clear" w:color="auto" w:fill="FFFFFF"/>
        <w:tabs>
          <w:tab w:val="left" w:pos="993"/>
        </w:tabs>
        <w:topLinePunct/>
        <w:autoSpaceDE/>
        <w:autoSpaceDN/>
        <w:adjustRightInd/>
        <w:ind w:left="990" w:leftChars="212" w:hanging="566" w:hangingChars="236"/>
        <w:jc w:val="both"/>
        <w:rPr>
          <w:rFonts w:eastAsia="宋体"/>
          <w:sz w:val="24"/>
          <w:szCs w:val="24"/>
        </w:rPr>
      </w:pPr>
      <w:r>
        <w:rPr>
          <w:rFonts w:eastAsia="宋体"/>
          <w:color w:val="000000"/>
          <w:sz w:val="24"/>
          <w:szCs w:val="24"/>
        </w:rPr>
        <w:t>21 CFR 1002.10：产品报告</w:t>
      </w:r>
    </w:p>
    <w:p w14:paraId="5E26426B">
      <w:pPr>
        <w:pStyle w:val="23"/>
        <w:numPr>
          <w:ilvl w:val="0"/>
          <w:numId w:val="3"/>
        </w:numPr>
        <w:shd w:val="clear" w:color="auto" w:fill="FFFFFF"/>
        <w:tabs>
          <w:tab w:val="left" w:pos="993"/>
        </w:tabs>
        <w:topLinePunct/>
        <w:autoSpaceDE/>
        <w:autoSpaceDN/>
        <w:adjustRightInd/>
        <w:ind w:left="990" w:leftChars="212" w:hanging="566" w:hangingChars="236"/>
        <w:jc w:val="both"/>
        <w:rPr>
          <w:rFonts w:eastAsia="宋体"/>
          <w:sz w:val="24"/>
          <w:szCs w:val="24"/>
        </w:rPr>
      </w:pPr>
      <w:r>
        <w:rPr>
          <w:rFonts w:eastAsia="宋体"/>
          <w:color w:val="000000"/>
          <w:sz w:val="24"/>
          <w:szCs w:val="24"/>
        </w:rPr>
        <w:t>21 CFR 1002.11：补充报告</w:t>
      </w:r>
    </w:p>
    <w:p w14:paraId="7CCEED57">
      <w:pPr>
        <w:pStyle w:val="23"/>
        <w:numPr>
          <w:ilvl w:val="0"/>
          <w:numId w:val="3"/>
        </w:numPr>
        <w:shd w:val="clear" w:color="auto" w:fill="FFFFFF"/>
        <w:tabs>
          <w:tab w:val="left" w:pos="993"/>
        </w:tabs>
        <w:topLinePunct/>
        <w:autoSpaceDE/>
        <w:autoSpaceDN/>
        <w:adjustRightInd/>
        <w:ind w:left="990" w:leftChars="212" w:hanging="566" w:hangingChars="236"/>
        <w:jc w:val="both"/>
        <w:rPr>
          <w:rFonts w:eastAsia="宋体"/>
          <w:sz w:val="24"/>
          <w:szCs w:val="24"/>
        </w:rPr>
      </w:pPr>
      <w:r>
        <w:rPr>
          <w:rFonts w:eastAsia="宋体"/>
          <w:color w:val="000000"/>
          <w:sz w:val="24"/>
          <w:szCs w:val="24"/>
        </w:rPr>
        <w:t>21 CFR 1002.12：简要报告</w:t>
      </w:r>
    </w:p>
    <w:p w14:paraId="29742715">
      <w:pPr>
        <w:pStyle w:val="23"/>
        <w:numPr>
          <w:ilvl w:val="0"/>
          <w:numId w:val="3"/>
        </w:numPr>
        <w:shd w:val="clear" w:color="auto" w:fill="FFFFFF"/>
        <w:tabs>
          <w:tab w:val="left" w:pos="993"/>
        </w:tabs>
        <w:topLinePunct/>
        <w:autoSpaceDE/>
        <w:autoSpaceDN/>
        <w:adjustRightInd/>
        <w:ind w:left="990" w:leftChars="212" w:hanging="566" w:hangingChars="236"/>
        <w:jc w:val="both"/>
        <w:rPr>
          <w:rFonts w:eastAsia="宋体"/>
          <w:sz w:val="24"/>
          <w:szCs w:val="24"/>
        </w:rPr>
      </w:pPr>
      <w:r>
        <w:rPr>
          <w:rFonts w:eastAsia="宋体"/>
          <w:color w:val="000000"/>
          <w:sz w:val="24"/>
          <w:szCs w:val="24"/>
        </w:rPr>
        <w:t>21 CFR 1002.13：年度报告</w:t>
      </w:r>
    </w:p>
    <w:p w14:paraId="680C097F">
      <w:pPr>
        <w:pStyle w:val="23"/>
        <w:numPr>
          <w:ilvl w:val="0"/>
          <w:numId w:val="3"/>
        </w:numPr>
        <w:shd w:val="clear" w:color="auto" w:fill="FFFFFF"/>
        <w:tabs>
          <w:tab w:val="left" w:pos="993"/>
        </w:tabs>
        <w:topLinePunct/>
        <w:autoSpaceDE/>
        <w:autoSpaceDN/>
        <w:adjustRightInd/>
        <w:ind w:left="990" w:leftChars="212" w:hanging="566" w:hangingChars="236"/>
        <w:jc w:val="both"/>
        <w:rPr>
          <w:rFonts w:eastAsia="宋体"/>
          <w:sz w:val="24"/>
          <w:szCs w:val="24"/>
        </w:rPr>
      </w:pPr>
      <w:r>
        <w:rPr>
          <w:rFonts w:eastAsia="宋体"/>
          <w:color w:val="000000"/>
          <w:sz w:val="24"/>
          <w:szCs w:val="24"/>
        </w:rPr>
        <w:t>21 CFR 1002.20：意外辐射事件的报告</w:t>
      </w:r>
    </w:p>
    <w:p w14:paraId="30D5482C">
      <w:pPr>
        <w:pStyle w:val="23"/>
        <w:numPr>
          <w:ilvl w:val="0"/>
          <w:numId w:val="3"/>
        </w:numPr>
        <w:shd w:val="clear" w:color="auto" w:fill="FFFFFF"/>
        <w:tabs>
          <w:tab w:val="left" w:pos="993"/>
        </w:tabs>
        <w:topLinePunct/>
        <w:autoSpaceDE/>
        <w:autoSpaceDN/>
        <w:adjustRightInd/>
        <w:ind w:left="990" w:leftChars="212" w:hanging="566" w:hangingChars="236"/>
        <w:jc w:val="both"/>
        <w:rPr>
          <w:rFonts w:eastAsia="宋体"/>
          <w:sz w:val="24"/>
          <w:szCs w:val="24"/>
        </w:rPr>
      </w:pPr>
      <w:r>
        <w:rPr>
          <w:rFonts w:eastAsia="宋体"/>
          <w:color w:val="000000"/>
          <w:sz w:val="24"/>
          <w:szCs w:val="24"/>
        </w:rPr>
        <w:t>21 CFR 1002.30：由制造商保存的记录</w:t>
      </w:r>
    </w:p>
    <w:p w14:paraId="013E7D34">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color w:val="000000"/>
          <w:sz w:val="24"/>
          <w:szCs w:val="24"/>
        </w:rPr>
        <w:t>21 CFR 1002.40：经销商和分销商应获得的记录</w:t>
      </w:r>
    </w:p>
    <w:p w14:paraId="5DEA3637">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sz w:val="24"/>
          <w:szCs w:val="24"/>
        </w:rPr>
        <w:t>21 CFR</w:t>
      </w:r>
      <w:r>
        <w:rPr>
          <w:rFonts w:hint="eastAsia" w:eastAsia="宋体"/>
          <w:sz w:val="24"/>
          <w:szCs w:val="24"/>
        </w:rPr>
        <w:t xml:space="preserve"> </w:t>
      </w:r>
      <w:r>
        <w:rPr>
          <w:rFonts w:eastAsia="宋体"/>
          <w:sz w:val="24"/>
          <w:szCs w:val="24"/>
        </w:rPr>
        <w:t>1003：缺陷或不合规通知</w:t>
      </w:r>
    </w:p>
    <w:p w14:paraId="7D2EC45A">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color w:val="000000"/>
          <w:sz w:val="24"/>
          <w:szCs w:val="24"/>
        </w:rPr>
        <w:t>21 CFR</w:t>
      </w:r>
      <w:r>
        <w:rPr>
          <w:rFonts w:hint="eastAsia" w:eastAsia="宋体"/>
          <w:color w:val="000000"/>
          <w:sz w:val="24"/>
          <w:szCs w:val="24"/>
        </w:rPr>
        <w:t xml:space="preserve"> </w:t>
      </w:r>
      <w:r>
        <w:rPr>
          <w:rFonts w:eastAsia="宋体"/>
          <w:color w:val="000000"/>
          <w:sz w:val="24"/>
          <w:szCs w:val="24"/>
        </w:rPr>
        <w:t>1004：电子产品的重新购买、维修或更换</w:t>
      </w:r>
    </w:p>
    <w:p w14:paraId="062FB1E0">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color w:val="000000"/>
          <w:sz w:val="24"/>
          <w:szCs w:val="24"/>
        </w:rPr>
        <w:t>21 CFR 1010.2：认证</w:t>
      </w:r>
    </w:p>
    <w:p w14:paraId="6EC7978B">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color w:val="000000"/>
          <w:sz w:val="24"/>
          <w:szCs w:val="24"/>
        </w:rPr>
        <w:t>21 CFR 1020.30：X射线诊断系统及其主要组件</w:t>
      </w:r>
    </w:p>
    <w:p w14:paraId="7A0DA009">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color w:val="000000"/>
          <w:sz w:val="24"/>
          <w:szCs w:val="24"/>
        </w:rPr>
        <w:t>21 CFR 1020.31：射线照相设备</w:t>
      </w:r>
    </w:p>
    <w:p w14:paraId="77C172E0">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sz w:val="24"/>
          <w:szCs w:val="24"/>
        </w:rPr>
        <w:t>21 CFR 1020.32：荧光透视设备</w:t>
      </w:r>
      <w:r>
        <w:rPr>
          <w:rStyle w:val="17"/>
          <w:rFonts w:eastAsia="宋体"/>
          <w:sz w:val="24"/>
          <w:szCs w:val="24"/>
        </w:rPr>
        <w:footnoteReference w:id="10"/>
      </w:r>
    </w:p>
    <w:p w14:paraId="5360F415">
      <w:pPr>
        <w:pStyle w:val="23"/>
        <w:numPr>
          <w:ilvl w:val="0"/>
          <w:numId w:val="3"/>
        </w:numPr>
        <w:shd w:val="clear" w:color="auto" w:fill="FFFFFF"/>
        <w:tabs>
          <w:tab w:val="left" w:pos="993"/>
        </w:tabs>
        <w:topLinePunct/>
        <w:autoSpaceDE/>
        <w:autoSpaceDN/>
        <w:adjustRightInd/>
        <w:ind w:left="992" w:leftChars="213" w:hanging="566" w:hangingChars="236"/>
        <w:jc w:val="both"/>
        <w:rPr>
          <w:rFonts w:eastAsia="宋体"/>
          <w:sz w:val="24"/>
          <w:szCs w:val="24"/>
        </w:rPr>
      </w:pPr>
      <w:r>
        <w:rPr>
          <w:rFonts w:eastAsia="宋体"/>
          <w:color w:val="000000"/>
          <w:sz w:val="24"/>
          <w:szCs w:val="24"/>
        </w:rPr>
        <w:t>21</w:t>
      </w:r>
      <w:r>
        <w:rPr>
          <w:rFonts w:hint="eastAsia" w:eastAsia="宋体"/>
          <w:color w:val="000000"/>
          <w:sz w:val="24"/>
          <w:szCs w:val="24"/>
        </w:rPr>
        <w:t xml:space="preserve"> </w:t>
      </w:r>
      <w:r>
        <w:rPr>
          <w:rFonts w:eastAsia="宋体"/>
          <w:color w:val="000000"/>
          <w:sz w:val="24"/>
          <w:szCs w:val="24"/>
        </w:rPr>
        <w:t>CFR 1020.33：计算机断层扫描（CT）设备</w:t>
      </w:r>
    </w:p>
    <w:p w14:paraId="62F0F891">
      <w:pPr>
        <w:pStyle w:val="23"/>
        <w:shd w:val="clear" w:color="auto" w:fill="FFFFFF"/>
        <w:topLinePunct/>
        <w:autoSpaceDE/>
        <w:autoSpaceDN/>
        <w:adjustRightInd/>
        <w:ind w:left="904" w:firstLine="0" w:firstLineChars="0"/>
        <w:jc w:val="both"/>
        <w:rPr>
          <w:rFonts w:eastAsia="宋体"/>
          <w:sz w:val="24"/>
          <w:szCs w:val="24"/>
        </w:rPr>
      </w:pPr>
    </w:p>
    <w:p w14:paraId="4980BB72">
      <w:pPr>
        <w:pStyle w:val="3"/>
        <w:spacing w:before="0" w:beforeLines="0" w:line="240" w:lineRule="auto"/>
        <w:ind w:left="1243" w:leftChars="200" w:hanging="843"/>
        <w:rPr>
          <w:rFonts w:cs="Times New Roman"/>
          <w:szCs w:val="28"/>
        </w:rPr>
      </w:pPr>
      <w:bookmarkStart w:id="8" w:name="_Toc97381048"/>
      <w:bookmarkStart w:id="9" w:name="_Toc97383224"/>
      <w:r>
        <w:rPr>
          <w:rFonts w:cs="Times New Roman"/>
          <w:szCs w:val="28"/>
        </w:rPr>
        <w:t>C.</w:t>
      </w:r>
      <w:r>
        <w:rPr>
          <w:rFonts w:cs="Times New Roman"/>
          <w:szCs w:val="28"/>
        </w:rPr>
        <w:tab/>
      </w:r>
      <w:r>
        <w:rPr>
          <w:rFonts w:cs="Times New Roman"/>
          <w:szCs w:val="28"/>
        </w:rPr>
        <w:t>避免重复</w:t>
      </w:r>
      <w:bookmarkEnd w:id="8"/>
      <w:bookmarkEnd w:id="9"/>
    </w:p>
    <w:p w14:paraId="517CCE62">
      <w:pPr>
        <w:shd w:val="clear" w:color="auto" w:fill="FFFFFF"/>
        <w:topLinePunct/>
        <w:autoSpaceDE/>
        <w:autoSpaceDN/>
        <w:adjustRightInd/>
        <w:jc w:val="both"/>
        <w:rPr>
          <w:rFonts w:eastAsia="宋体"/>
          <w:color w:val="000000"/>
          <w:sz w:val="24"/>
          <w:szCs w:val="24"/>
        </w:rPr>
      </w:pPr>
    </w:p>
    <w:p w14:paraId="6AA3DAE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行业此前曾担心，医疗器械和EPRC法规中针对符合医疗器械和电子产品定义的产品的要求存在重叠情况。FDA已经解决了以下方面的有关重叠的问题：</w:t>
      </w:r>
    </w:p>
    <w:p w14:paraId="3C065B2C">
      <w:pPr>
        <w:shd w:val="clear" w:color="auto" w:fill="FFFFFF"/>
        <w:topLinePunct/>
        <w:autoSpaceDE/>
        <w:autoSpaceDN/>
        <w:adjustRightInd/>
        <w:jc w:val="both"/>
        <w:rPr>
          <w:rFonts w:eastAsia="宋体"/>
          <w:sz w:val="24"/>
          <w:szCs w:val="24"/>
        </w:rPr>
      </w:pPr>
    </w:p>
    <w:p w14:paraId="2B10DB1B">
      <w:pPr>
        <w:shd w:val="clear" w:color="auto" w:fill="FFFFFF"/>
        <w:topLinePunct/>
        <w:autoSpaceDE/>
        <w:autoSpaceDN/>
        <w:adjustRightInd/>
        <w:ind w:left="880" w:leftChars="200" w:hanging="480" w:hangingChars="200"/>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sz w:val="24"/>
          <w:szCs w:val="24"/>
        </w:rPr>
        <w:t>超声波器械（1986年2月24日，CDRH主任</w:t>
      </w:r>
      <w:r>
        <w:rPr>
          <w:rFonts w:eastAsia="宋体"/>
          <w:color w:val="3333FF"/>
          <w:sz w:val="24"/>
          <w:szCs w:val="24"/>
          <w:u w:val="single"/>
        </w:rPr>
        <w:t>致函</w:t>
      </w:r>
      <w:r>
        <w:rPr>
          <w:rFonts w:eastAsia="宋体"/>
          <w:sz w:val="24"/>
          <w:szCs w:val="24"/>
        </w:rPr>
        <w:t>超声波设备行业，豁免制造商和进口商提交EPRC法规项下的初始和年度产品报告）；</w:t>
      </w:r>
      <w:r>
        <w:rPr>
          <w:rStyle w:val="17"/>
          <w:rFonts w:eastAsia="宋体"/>
          <w:sz w:val="24"/>
          <w:szCs w:val="24"/>
        </w:rPr>
        <w:footnoteReference w:id="11"/>
      </w:r>
    </w:p>
    <w:p w14:paraId="0E6266F4">
      <w:pPr>
        <w:shd w:val="clear" w:color="auto" w:fill="FFFFFF"/>
        <w:tabs>
          <w:tab w:val="left" w:pos="720"/>
        </w:tabs>
        <w:topLinePunct/>
        <w:autoSpaceDE/>
        <w:autoSpaceDN/>
        <w:adjustRightInd/>
        <w:ind w:left="880"/>
        <w:jc w:val="both"/>
        <w:rPr>
          <w:rFonts w:eastAsia="宋体"/>
          <w:color w:val="000000"/>
          <w:sz w:val="24"/>
          <w:szCs w:val="24"/>
        </w:rPr>
      </w:pPr>
    </w:p>
    <w:p w14:paraId="40B26DD4">
      <w:pPr>
        <w:numPr>
          <w:ilvl w:val="0"/>
          <w:numId w:val="5"/>
        </w:numPr>
        <w:shd w:val="clear" w:color="auto" w:fill="FFFFFF"/>
        <w:tabs>
          <w:tab w:val="left" w:pos="720"/>
        </w:tabs>
        <w:topLinePunct/>
        <w:autoSpaceDE/>
        <w:autoSpaceDN/>
        <w:adjustRightInd/>
        <w:ind w:left="880" w:leftChars="200" w:hanging="480" w:hangingChars="200"/>
        <w:jc w:val="both"/>
        <w:rPr>
          <w:rFonts w:eastAsia="宋体"/>
          <w:color w:val="000000"/>
          <w:sz w:val="24"/>
          <w:szCs w:val="24"/>
        </w:rPr>
      </w:pPr>
      <w:r>
        <w:rPr>
          <w:rFonts w:eastAsia="宋体"/>
          <w:sz w:val="24"/>
          <w:szCs w:val="24"/>
        </w:rPr>
        <w:t>激光产品（参见</w:t>
      </w:r>
      <w:r>
        <w:rPr>
          <w:rFonts w:ascii="宋体" w:hAnsi="宋体" w:eastAsia="宋体"/>
          <w:sz w:val="24"/>
          <w:szCs w:val="24"/>
        </w:rPr>
        <w:t>“</w:t>
      </w:r>
      <w:r>
        <w:rPr>
          <w:rFonts w:eastAsia="宋体"/>
          <w:color w:val="3333FF"/>
          <w:sz w:val="24"/>
          <w:szCs w:val="24"/>
          <w:u w:val="single"/>
        </w:rPr>
        <w:t>激光产品-符合IEC 60825-1和IEC 60601-2-22；激光公告第50号文件</w:t>
      </w:r>
      <w:r>
        <w:rPr>
          <w:rFonts w:eastAsia="宋体"/>
          <w:sz w:val="24"/>
          <w:szCs w:val="24"/>
        </w:rPr>
        <w:t>，</w:t>
      </w:r>
      <w:r>
        <w:rPr>
          <w:rFonts w:ascii="宋体" w:hAnsi="宋体" w:eastAsia="宋体"/>
          <w:sz w:val="24"/>
          <w:szCs w:val="24"/>
        </w:rPr>
        <w:t>”</w:t>
      </w:r>
      <w:r>
        <w:rPr>
          <w:rStyle w:val="17"/>
          <w:rFonts w:eastAsia="宋体"/>
          <w:sz w:val="24"/>
          <w:szCs w:val="24"/>
        </w:rPr>
        <w:footnoteReference w:id="12"/>
      </w:r>
      <w:r>
        <w:rPr>
          <w:rFonts w:eastAsia="宋体"/>
          <w:sz w:val="24"/>
          <w:szCs w:val="24"/>
        </w:rPr>
        <w:t>和</w:t>
      </w:r>
      <w:r>
        <w:rPr>
          <w:rFonts w:ascii="宋体" w:hAnsi="宋体" w:eastAsia="宋体"/>
          <w:sz w:val="24"/>
          <w:szCs w:val="24"/>
        </w:rPr>
        <w:t>“</w:t>
      </w:r>
      <w:r>
        <w:rPr>
          <w:rFonts w:eastAsia="宋体"/>
          <w:color w:val="3333FF"/>
          <w:sz w:val="24"/>
          <w:szCs w:val="24"/>
          <w:u w:val="single"/>
        </w:rPr>
        <w:t>激光产品-符合IEC 60825-1版本3和IEC 60601-2-22版本3.1；激光公告第56号文件</w:t>
      </w:r>
      <w:r>
        <w:rPr>
          <w:rFonts w:ascii="宋体" w:hAnsi="宋体" w:eastAsia="宋体"/>
          <w:sz w:val="24"/>
          <w:szCs w:val="24"/>
        </w:rPr>
        <w:t>”</w:t>
      </w:r>
      <w:r>
        <w:rPr>
          <w:rStyle w:val="17"/>
          <w:rFonts w:eastAsia="宋体"/>
          <w:sz w:val="24"/>
          <w:szCs w:val="24"/>
        </w:rPr>
        <w:footnoteReference w:id="13"/>
      </w:r>
      <w:r>
        <w:rPr>
          <w:rFonts w:eastAsia="宋体"/>
          <w:sz w:val="24"/>
          <w:szCs w:val="24"/>
        </w:rPr>
        <w:t>），以及</w:t>
      </w:r>
    </w:p>
    <w:p w14:paraId="7014618D">
      <w:pPr>
        <w:shd w:val="clear" w:color="auto" w:fill="FFFFFF"/>
        <w:tabs>
          <w:tab w:val="left" w:pos="720"/>
        </w:tabs>
        <w:topLinePunct/>
        <w:autoSpaceDE/>
        <w:autoSpaceDN/>
        <w:adjustRightInd/>
        <w:ind w:left="880"/>
        <w:jc w:val="both"/>
        <w:rPr>
          <w:rFonts w:eastAsia="宋体"/>
          <w:color w:val="000000"/>
          <w:sz w:val="24"/>
          <w:szCs w:val="24"/>
        </w:rPr>
      </w:pPr>
    </w:p>
    <w:p w14:paraId="182C41BF">
      <w:pPr>
        <w:numPr>
          <w:ilvl w:val="0"/>
          <w:numId w:val="5"/>
        </w:numPr>
        <w:shd w:val="clear" w:color="auto" w:fill="FFFFFF"/>
        <w:tabs>
          <w:tab w:val="left" w:pos="720"/>
        </w:tabs>
        <w:topLinePunct/>
        <w:autoSpaceDE/>
        <w:autoSpaceDN/>
        <w:adjustRightInd/>
        <w:ind w:left="880" w:leftChars="200" w:hanging="480" w:hangingChars="200"/>
        <w:jc w:val="both"/>
        <w:rPr>
          <w:rFonts w:eastAsia="宋体"/>
          <w:color w:val="000000"/>
          <w:sz w:val="24"/>
          <w:szCs w:val="24"/>
        </w:rPr>
      </w:pPr>
      <w:r>
        <w:rPr>
          <w:rFonts w:eastAsia="宋体"/>
          <w:sz w:val="24"/>
          <w:szCs w:val="24"/>
        </w:rPr>
        <w:t>CT设备的计算机断层扫描剂量指数（CTDI）（参见</w:t>
      </w:r>
      <w:r>
        <w:rPr>
          <w:rFonts w:ascii="宋体" w:hAnsi="宋体" w:eastAsia="宋体"/>
          <w:sz w:val="24"/>
          <w:szCs w:val="24"/>
        </w:rPr>
        <w:t>“</w:t>
      </w:r>
      <w:r>
        <w:rPr>
          <w:rFonts w:eastAsia="宋体"/>
          <w:color w:val="3333FF"/>
          <w:sz w:val="24"/>
          <w:szCs w:val="24"/>
          <w:u w:val="single"/>
        </w:rPr>
        <w:t>确保符合联邦性能标准中计算机断层扫描剂量信息要求的计算机断层扫描剂量指数（CTDI）替代测量规定</w:t>
      </w:r>
      <w:r>
        <w:rPr>
          <w:rFonts w:ascii="宋体" w:hAnsi="宋体" w:eastAsia="宋体"/>
          <w:sz w:val="24"/>
          <w:szCs w:val="24"/>
        </w:rPr>
        <w:t>”</w:t>
      </w:r>
      <w:r>
        <w:rPr>
          <w:rFonts w:eastAsia="宋体"/>
          <w:sz w:val="24"/>
          <w:szCs w:val="24"/>
        </w:rPr>
        <w:t>）。</w:t>
      </w:r>
      <w:r>
        <w:rPr>
          <w:rStyle w:val="17"/>
          <w:rFonts w:eastAsia="宋体"/>
          <w:sz w:val="24"/>
          <w:szCs w:val="24"/>
        </w:rPr>
        <w:footnoteReference w:id="14"/>
      </w:r>
    </w:p>
    <w:p w14:paraId="00D6A98E">
      <w:pPr>
        <w:shd w:val="clear" w:color="auto" w:fill="FFFFFF"/>
        <w:tabs>
          <w:tab w:val="left" w:pos="720"/>
        </w:tabs>
        <w:topLinePunct/>
        <w:autoSpaceDE/>
        <w:autoSpaceDN/>
        <w:adjustRightInd/>
        <w:ind w:left="880"/>
        <w:jc w:val="both"/>
        <w:rPr>
          <w:rFonts w:eastAsia="宋体"/>
          <w:color w:val="000000"/>
          <w:sz w:val="24"/>
          <w:szCs w:val="24"/>
        </w:rPr>
      </w:pPr>
    </w:p>
    <w:p w14:paraId="74E30D28">
      <w:pPr>
        <w:pStyle w:val="2"/>
      </w:pPr>
      <w:bookmarkStart w:id="10" w:name="_Toc97381049"/>
      <w:bookmarkStart w:id="11" w:name="_Toc97383225"/>
      <w:r>
        <w:t>范围</w:t>
      </w:r>
      <w:bookmarkEnd w:id="10"/>
      <w:bookmarkEnd w:id="11"/>
    </w:p>
    <w:p w14:paraId="5C6C267B">
      <w:pPr>
        <w:shd w:val="clear" w:color="auto" w:fill="FFFFFF"/>
        <w:tabs>
          <w:tab w:val="left" w:pos="720"/>
        </w:tabs>
        <w:topLinePunct/>
        <w:autoSpaceDE/>
        <w:autoSpaceDN/>
        <w:adjustRightInd/>
        <w:ind w:left="880"/>
        <w:jc w:val="both"/>
        <w:rPr>
          <w:szCs w:val="28"/>
        </w:rPr>
      </w:pPr>
      <w:bookmarkStart w:id="12" w:name="_Toc97381050"/>
    </w:p>
    <w:p w14:paraId="457CB064">
      <w:pPr>
        <w:pStyle w:val="3"/>
        <w:tabs>
          <w:tab w:val="left" w:pos="993"/>
        </w:tabs>
        <w:spacing w:before="0" w:beforeLines="0" w:line="240" w:lineRule="auto"/>
        <w:ind w:left="991" w:leftChars="213" w:hanging="565" w:hangingChars="201"/>
        <w:rPr>
          <w:rFonts w:cs="Times New Roman"/>
          <w:szCs w:val="28"/>
        </w:rPr>
      </w:pPr>
      <w:bookmarkStart w:id="13" w:name="_Toc97383226"/>
      <w:r>
        <w:rPr>
          <w:rFonts w:cs="Times New Roman"/>
          <w:szCs w:val="28"/>
        </w:rPr>
        <w:t>A.</w:t>
      </w:r>
      <w:r>
        <w:rPr>
          <w:rFonts w:cs="Times New Roman"/>
          <w:szCs w:val="28"/>
        </w:rPr>
        <w:tab/>
      </w:r>
      <w:r>
        <w:rPr>
          <w:rFonts w:cs="Times New Roman"/>
          <w:szCs w:val="28"/>
        </w:rPr>
        <w:t>本指南中涉及的器械</w:t>
      </w:r>
      <w:bookmarkEnd w:id="12"/>
      <w:bookmarkEnd w:id="13"/>
    </w:p>
    <w:p w14:paraId="73200F92">
      <w:pPr>
        <w:shd w:val="clear" w:color="auto" w:fill="FFFFFF"/>
        <w:topLinePunct/>
        <w:autoSpaceDE/>
        <w:autoSpaceDN/>
        <w:adjustRightInd/>
        <w:jc w:val="both"/>
        <w:rPr>
          <w:rFonts w:eastAsia="宋体"/>
          <w:color w:val="000000"/>
          <w:sz w:val="24"/>
          <w:szCs w:val="24"/>
        </w:rPr>
      </w:pPr>
    </w:p>
    <w:p w14:paraId="5B87C5B7">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本指南涉及X射线诊断成像系统及其主要组件（参见21 CFR 1002.1和21 CFR 1020.30(A)(1)）。大多数X射线诊断成像系统及其主要组件被归类为I类或II类器械。表1和表2包括这些器械的法规和产品代码。</w:t>
      </w:r>
    </w:p>
    <w:p w14:paraId="739FAC81">
      <w:pPr>
        <w:shd w:val="clear" w:color="auto" w:fill="FFFFFF"/>
        <w:topLinePunct/>
        <w:autoSpaceDE/>
        <w:autoSpaceDN/>
        <w:adjustRightInd/>
        <w:ind w:left="480" w:hanging="480" w:hangingChars="200"/>
        <w:rPr>
          <w:rFonts w:eastAsia="宋体"/>
          <w:sz w:val="24"/>
          <w:szCs w:val="24"/>
        </w:rPr>
      </w:pPr>
    </w:p>
    <w:p w14:paraId="4FA9B6B1">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表1–本指南涵盖的II类器械</w:t>
      </w:r>
    </w:p>
    <w:p w14:paraId="383E2ECE">
      <w:pPr>
        <w:shd w:val="clear" w:color="auto" w:fill="FFFFFF"/>
        <w:topLinePunct/>
        <w:autoSpaceDE/>
        <w:autoSpaceDN/>
        <w:adjustRightInd/>
        <w:jc w:val="center"/>
        <w:rPr>
          <w:rFonts w:eastAsia="宋体"/>
          <w:sz w:val="24"/>
          <w:szCs w:val="24"/>
        </w:rPr>
      </w:pPr>
    </w:p>
    <w:tbl>
      <w:tblPr>
        <w:tblStyle w:val="12"/>
        <w:tblW w:w="5000" w:type="pct"/>
        <w:tblInd w:w="0" w:type="dxa"/>
        <w:tblLayout w:type="autofit"/>
        <w:tblCellMar>
          <w:top w:w="0" w:type="dxa"/>
          <w:left w:w="57" w:type="dxa"/>
          <w:bottom w:w="0" w:type="dxa"/>
          <w:right w:w="57" w:type="dxa"/>
        </w:tblCellMar>
      </w:tblPr>
      <w:tblGrid>
        <w:gridCol w:w="1900"/>
        <w:gridCol w:w="4866"/>
        <w:gridCol w:w="2705"/>
      </w:tblGrid>
      <w:tr w14:paraId="25DA02F8">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3CD27872">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法规编号</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71638693">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监管描述</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122EBB74">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相关适用产品代码</w:t>
            </w:r>
          </w:p>
        </w:tc>
      </w:tr>
      <w:tr w14:paraId="601B2392">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37B0B5EB">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872.1800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113FB956">
            <w:pPr>
              <w:shd w:val="clear" w:color="auto" w:fill="FFFFFF"/>
              <w:topLinePunct/>
              <w:autoSpaceDE/>
              <w:autoSpaceDN/>
              <w:adjustRightInd/>
              <w:snapToGrid w:val="0"/>
              <w:jc w:val="center"/>
              <w:rPr>
                <w:rFonts w:eastAsia="宋体"/>
                <w:sz w:val="21"/>
                <w:szCs w:val="21"/>
              </w:rPr>
            </w:pPr>
            <w:r>
              <w:rPr>
                <w:rFonts w:eastAsia="宋体"/>
                <w:color w:val="000000"/>
                <w:sz w:val="21"/>
                <w:szCs w:val="21"/>
              </w:rPr>
              <w:t>口腔外源X射线系统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54B5DE39">
            <w:pPr>
              <w:shd w:val="clear" w:color="auto" w:fill="FFFFFF"/>
              <w:topLinePunct/>
              <w:autoSpaceDE/>
              <w:autoSpaceDN/>
              <w:adjustRightInd/>
              <w:snapToGrid w:val="0"/>
              <w:jc w:val="center"/>
              <w:rPr>
                <w:rFonts w:eastAsia="宋体"/>
                <w:sz w:val="21"/>
                <w:szCs w:val="21"/>
              </w:rPr>
            </w:pPr>
            <w:r>
              <w:rPr>
                <w:rFonts w:eastAsia="宋体"/>
                <w:color w:val="000000"/>
                <w:sz w:val="21"/>
                <w:szCs w:val="21"/>
              </w:rPr>
              <w:t>EHD, MUH</w:t>
            </w:r>
          </w:p>
        </w:tc>
      </w:tr>
      <w:tr w14:paraId="54FF3C3D">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0C308357">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872.1810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3C2B5847">
            <w:pPr>
              <w:shd w:val="clear" w:color="auto" w:fill="FFFFFF"/>
              <w:topLinePunct/>
              <w:autoSpaceDE/>
              <w:autoSpaceDN/>
              <w:adjustRightInd/>
              <w:snapToGrid w:val="0"/>
              <w:jc w:val="center"/>
              <w:rPr>
                <w:rFonts w:eastAsia="宋体"/>
                <w:sz w:val="21"/>
                <w:szCs w:val="21"/>
              </w:rPr>
            </w:pPr>
            <w:r>
              <w:rPr>
                <w:rFonts w:eastAsia="宋体"/>
                <w:color w:val="000000"/>
                <w:sz w:val="21"/>
                <w:szCs w:val="21"/>
              </w:rPr>
              <w:t>口腔内源X射线系统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65E6740E">
            <w:pPr>
              <w:shd w:val="clear" w:color="auto" w:fill="FFFFFF"/>
              <w:topLinePunct/>
              <w:autoSpaceDE/>
              <w:autoSpaceDN/>
              <w:adjustRightInd/>
              <w:snapToGrid w:val="0"/>
              <w:jc w:val="center"/>
              <w:rPr>
                <w:rFonts w:eastAsia="宋体"/>
                <w:sz w:val="21"/>
                <w:szCs w:val="21"/>
              </w:rPr>
            </w:pPr>
            <w:r>
              <w:rPr>
                <w:rFonts w:eastAsia="宋体"/>
                <w:color w:val="000000"/>
                <w:sz w:val="21"/>
                <w:szCs w:val="21"/>
              </w:rPr>
              <w:t>EAP</w:t>
            </w:r>
          </w:p>
        </w:tc>
      </w:tr>
      <w:tr w14:paraId="17D256F3">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5EB6D35D">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892.1170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26D78382">
            <w:pPr>
              <w:shd w:val="clear" w:color="auto" w:fill="FFFFFF"/>
              <w:topLinePunct/>
              <w:autoSpaceDE/>
              <w:autoSpaceDN/>
              <w:adjustRightInd/>
              <w:snapToGrid w:val="0"/>
              <w:jc w:val="center"/>
              <w:rPr>
                <w:rFonts w:eastAsia="宋体"/>
                <w:sz w:val="21"/>
                <w:szCs w:val="21"/>
              </w:rPr>
            </w:pPr>
            <w:r>
              <w:rPr>
                <w:rFonts w:eastAsia="宋体"/>
                <w:color w:val="000000"/>
                <w:sz w:val="21"/>
                <w:szCs w:val="21"/>
              </w:rPr>
              <w:t>骨密度仪</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34DCDB35">
            <w:pPr>
              <w:shd w:val="clear" w:color="auto" w:fill="FFFFFF"/>
              <w:topLinePunct/>
              <w:autoSpaceDE/>
              <w:autoSpaceDN/>
              <w:adjustRightInd/>
              <w:snapToGrid w:val="0"/>
              <w:jc w:val="center"/>
              <w:rPr>
                <w:rFonts w:eastAsia="宋体"/>
                <w:sz w:val="21"/>
                <w:szCs w:val="21"/>
              </w:rPr>
            </w:pPr>
            <w:r>
              <w:rPr>
                <w:rFonts w:eastAsia="宋体"/>
                <w:color w:val="000000"/>
                <w:sz w:val="21"/>
                <w:szCs w:val="21"/>
              </w:rPr>
              <w:t>KGI</w:t>
            </w:r>
          </w:p>
        </w:tc>
      </w:tr>
      <w:tr w14:paraId="2DEF0EBE">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7B5E61D2">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892.1600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6EDBA24F">
            <w:pPr>
              <w:shd w:val="clear" w:color="auto" w:fill="FFFFFF"/>
              <w:topLinePunct/>
              <w:autoSpaceDE/>
              <w:autoSpaceDN/>
              <w:adjustRightInd/>
              <w:snapToGrid w:val="0"/>
              <w:jc w:val="center"/>
              <w:rPr>
                <w:rFonts w:eastAsia="宋体"/>
                <w:sz w:val="21"/>
                <w:szCs w:val="21"/>
              </w:rPr>
            </w:pPr>
            <w:r>
              <w:rPr>
                <w:rFonts w:eastAsia="宋体"/>
                <w:color w:val="000000"/>
                <w:sz w:val="21"/>
                <w:szCs w:val="21"/>
              </w:rPr>
              <w:t>血管造影X射线系统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7AEE95A0">
            <w:pPr>
              <w:shd w:val="clear" w:color="auto" w:fill="FFFFFF"/>
              <w:topLinePunct/>
              <w:autoSpaceDE/>
              <w:autoSpaceDN/>
              <w:adjustRightInd/>
              <w:snapToGrid w:val="0"/>
              <w:jc w:val="center"/>
              <w:rPr>
                <w:rFonts w:eastAsia="宋体"/>
                <w:sz w:val="21"/>
                <w:szCs w:val="21"/>
              </w:rPr>
            </w:pPr>
            <w:r>
              <w:rPr>
                <w:rFonts w:eastAsia="宋体"/>
                <w:color w:val="000000"/>
                <w:sz w:val="21"/>
                <w:szCs w:val="21"/>
              </w:rPr>
              <w:t>IZI</w:t>
            </w:r>
          </w:p>
        </w:tc>
      </w:tr>
      <w:tr w14:paraId="72C7647C">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47154CFD">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892.1610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17376812">
            <w:pPr>
              <w:shd w:val="clear" w:color="auto" w:fill="FFFFFF"/>
              <w:topLinePunct/>
              <w:autoSpaceDE/>
              <w:autoSpaceDN/>
              <w:adjustRightInd/>
              <w:snapToGrid w:val="0"/>
              <w:jc w:val="center"/>
              <w:rPr>
                <w:rFonts w:eastAsia="宋体"/>
                <w:sz w:val="21"/>
                <w:szCs w:val="21"/>
              </w:rPr>
            </w:pPr>
            <w:r>
              <w:rPr>
                <w:rFonts w:eastAsia="宋体"/>
                <w:color w:val="000000"/>
                <w:sz w:val="21"/>
                <w:szCs w:val="21"/>
              </w:rPr>
              <w:t>诊断用X射线限束装置</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43A02C11">
            <w:pPr>
              <w:shd w:val="clear" w:color="auto" w:fill="FFFFFF"/>
              <w:topLinePunct/>
              <w:autoSpaceDE/>
              <w:autoSpaceDN/>
              <w:adjustRightInd/>
              <w:snapToGrid w:val="0"/>
              <w:jc w:val="center"/>
              <w:rPr>
                <w:rFonts w:eastAsia="宋体"/>
                <w:sz w:val="21"/>
                <w:szCs w:val="21"/>
              </w:rPr>
            </w:pPr>
            <w:r>
              <w:rPr>
                <w:rFonts w:eastAsia="宋体"/>
                <w:color w:val="000000"/>
                <w:sz w:val="21"/>
                <w:szCs w:val="21"/>
              </w:rPr>
              <w:t>KPW, IZW, IZX</w:t>
            </w:r>
          </w:p>
        </w:tc>
      </w:tr>
      <w:tr w14:paraId="790D1D07">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6666E0DB">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892.1630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13CD1C7C">
            <w:pPr>
              <w:shd w:val="clear" w:color="auto" w:fill="FFFFFF"/>
              <w:topLinePunct/>
              <w:autoSpaceDE/>
              <w:autoSpaceDN/>
              <w:adjustRightInd/>
              <w:snapToGrid w:val="0"/>
              <w:jc w:val="center"/>
              <w:rPr>
                <w:rFonts w:eastAsia="宋体"/>
                <w:sz w:val="21"/>
                <w:szCs w:val="21"/>
              </w:rPr>
            </w:pPr>
            <w:r>
              <w:rPr>
                <w:rFonts w:eastAsia="宋体"/>
                <w:color w:val="000000"/>
                <w:sz w:val="21"/>
                <w:szCs w:val="21"/>
              </w:rPr>
              <w:t>静电X射线成像系统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3ECA7C3E">
            <w:pPr>
              <w:shd w:val="clear" w:color="auto" w:fill="FFFFFF"/>
              <w:topLinePunct/>
              <w:autoSpaceDE/>
              <w:autoSpaceDN/>
              <w:adjustRightInd/>
              <w:snapToGrid w:val="0"/>
              <w:jc w:val="center"/>
              <w:rPr>
                <w:rFonts w:eastAsia="宋体"/>
                <w:sz w:val="21"/>
                <w:szCs w:val="21"/>
              </w:rPr>
            </w:pPr>
            <w:r>
              <w:rPr>
                <w:rFonts w:eastAsia="宋体"/>
                <w:color w:val="000000"/>
                <w:sz w:val="21"/>
                <w:szCs w:val="21"/>
              </w:rPr>
              <w:t>IXK</w:t>
            </w:r>
          </w:p>
        </w:tc>
      </w:tr>
      <w:tr w14:paraId="0695286D">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071F92D4">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892.1650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6150771A">
            <w:pPr>
              <w:shd w:val="clear" w:color="auto" w:fill="FFFFFF"/>
              <w:topLinePunct/>
              <w:autoSpaceDE/>
              <w:autoSpaceDN/>
              <w:adjustRightInd/>
              <w:snapToGrid w:val="0"/>
              <w:jc w:val="center"/>
              <w:rPr>
                <w:rFonts w:eastAsia="宋体"/>
                <w:sz w:val="21"/>
                <w:szCs w:val="21"/>
              </w:rPr>
            </w:pPr>
            <w:r>
              <w:rPr>
                <w:rFonts w:eastAsia="宋体"/>
                <w:color w:val="000000"/>
                <w:sz w:val="21"/>
                <w:szCs w:val="21"/>
              </w:rPr>
              <w:t>影像增强X射线透视系统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66F6011A">
            <w:pPr>
              <w:shd w:val="clear" w:color="auto" w:fill="FFFFFF"/>
              <w:topLinePunct/>
              <w:autoSpaceDE/>
              <w:autoSpaceDN/>
              <w:adjustRightInd/>
              <w:snapToGrid w:val="0"/>
              <w:jc w:val="center"/>
              <w:rPr>
                <w:rFonts w:eastAsia="宋体"/>
                <w:sz w:val="21"/>
                <w:szCs w:val="21"/>
              </w:rPr>
            </w:pPr>
            <w:r>
              <w:rPr>
                <w:rFonts w:eastAsia="宋体"/>
                <w:color w:val="000000"/>
                <w:sz w:val="21"/>
                <w:szCs w:val="21"/>
              </w:rPr>
              <w:t>JAA, OWB, OXO</w:t>
            </w:r>
          </w:p>
        </w:tc>
      </w:tr>
      <w:tr w14:paraId="35DA0F13">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233C993E">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892.1660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66CFA97A">
            <w:pPr>
              <w:shd w:val="clear" w:color="auto" w:fill="FFFFFF"/>
              <w:topLinePunct/>
              <w:autoSpaceDE/>
              <w:autoSpaceDN/>
              <w:adjustRightInd/>
              <w:snapToGrid w:val="0"/>
              <w:jc w:val="center"/>
              <w:rPr>
                <w:rFonts w:eastAsia="宋体"/>
                <w:sz w:val="21"/>
                <w:szCs w:val="21"/>
              </w:rPr>
            </w:pPr>
            <w:r>
              <w:rPr>
                <w:rFonts w:eastAsia="宋体"/>
                <w:color w:val="000000"/>
                <w:sz w:val="21"/>
                <w:szCs w:val="21"/>
              </w:rPr>
              <w:t>非影像增强X射线透视系统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47A591E0">
            <w:pPr>
              <w:shd w:val="clear" w:color="auto" w:fill="FFFFFF"/>
              <w:topLinePunct/>
              <w:autoSpaceDE/>
              <w:autoSpaceDN/>
              <w:adjustRightInd/>
              <w:snapToGrid w:val="0"/>
              <w:jc w:val="center"/>
              <w:rPr>
                <w:rFonts w:eastAsia="宋体"/>
                <w:sz w:val="21"/>
                <w:szCs w:val="21"/>
              </w:rPr>
            </w:pPr>
            <w:r>
              <w:rPr>
                <w:rFonts w:eastAsia="宋体"/>
                <w:color w:val="000000"/>
                <w:sz w:val="21"/>
                <w:szCs w:val="21"/>
              </w:rPr>
              <w:t>JAB</w:t>
            </w:r>
          </w:p>
        </w:tc>
      </w:tr>
      <w:tr w14:paraId="78D99194">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0981176F">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892.1670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386CB466">
            <w:pPr>
              <w:shd w:val="clear" w:color="auto" w:fill="FFFFFF"/>
              <w:topLinePunct/>
              <w:autoSpaceDE/>
              <w:autoSpaceDN/>
              <w:adjustRightInd/>
              <w:snapToGrid w:val="0"/>
              <w:jc w:val="center"/>
              <w:rPr>
                <w:rFonts w:eastAsia="宋体"/>
                <w:sz w:val="21"/>
                <w:szCs w:val="21"/>
              </w:rPr>
            </w:pPr>
            <w:r>
              <w:rPr>
                <w:rFonts w:eastAsia="宋体"/>
                <w:color w:val="000000"/>
                <w:sz w:val="21"/>
                <w:szCs w:val="21"/>
              </w:rPr>
              <w:t>点片装置</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3D5173F0">
            <w:pPr>
              <w:shd w:val="clear" w:color="auto" w:fill="FFFFFF"/>
              <w:topLinePunct/>
              <w:autoSpaceDE/>
              <w:autoSpaceDN/>
              <w:adjustRightInd/>
              <w:snapToGrid w:val="0"/>
              <w:jc w:val="center"/>
              <w:rPr>
                <w:rFonts w:eastAsia="宋体"/>
                <w:sz w:val="21"/>
                <w:szCs w:val="21"/>
              </w:rPr>
            </w:pPr>
            <w:r>
              <w:rPr>
                <w:rFonts w:eastAsia="宋体"/>
                <w:color w:val="000000"/>
                <w:sz w:val="21"/>
                <w:szCs w:val="21"/>
              </w:rPr>
              <w:t>IXL</w:t>
            </w:r>
          </w:p>
        </w:tc>
      </w:tr>
      <w:tr w14:paraId="487BE3AE">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4DB2E156">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892.1680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627B82C5">
            <w:pPr>
              <w:shd w:val="clear" w:color="auto" w:fill="FFFFFF"/>
              <w:topLinePunct/>
              <w:autoSpaceDE/>
              <w:autoSpaceDN/>
              <w:adjustRightInd/>
              <w:snapToGrid w:val="0"/>
              <w:jc w:val="center"/>
              <w:rPr>
                <w:rFonts w:eastAsia="宋体"/>
                <w:sz w:val="21"/>
                <w:szCs w:val="21"/>
              </w:rPr>
            </w:pPr>
            <w:r>
              <w:rPr>
                <w:rFonts w:eastAsia="宋体"/>
                <w:color w:val="000000"/>
                <w:sz w:val="21"/>
                <w:szCs w:val="21"/>
              </w:rPr>
              <w:t>静止式X射线系统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3754BA4D">
            <w:pPr>
              <w:shd w:val="clear" w:color="auto" w:fill="FFFFFF"/>
              <w:topLinePunct/>
              <w:autoSpaceDE/>
              <w:autoSpaceDN/>
              <w:adjustRightInd/>
              <w:snapToGrid w:val="0"/>
              <w:jc w:val="center"/>
              <w:rPr>
                <w:rFonts w:eastAsia="宋体"/>
                <w:sz w:val="21"/>
                <w:szCs w:val="21"/>
              </w:rPr>
            </w:pPr>
            <w:r>
              <w:rPr>
                <w:rFonts w:eastAsia="宋体"/>
                <w:color w:val="000000"/>
                <w:sz w:val="21"/>
                <w:szCs w:val="21"/>
              </w:rPr>
              <w:t>KPR, MQB, MWP</w:t>
            </w:r>
          </w:p>
        </w:tc>
      </w:tr>
      <w:tr w14:paraId="0B63165E">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53DA5D88">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892.1710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7B4303A4">
            <w:pPr>
              <w:shd w:val="clear" w:color="auto" w:fill="FFFFFF"/>
              <w:topLinePunct/>
              <w:autoSpaceDE/>
              <w:autoSpaceDN/>
              <w:adjustRightInd/>
              <w:snapToGrid w:val="0"/>
              <w:jc w:val="center"/>
              <w:rPr>
                <w:rFonts w:eastAsia="宋体"/>
                <w:sz w:val="21"/>
                <w:szCs w:val="21"/>
              </w:rPr>
            </w:pPr>
            <w:r>
              <w:rPr>
                <w:rFonts w:eastAsia="宋体"/>
                <w:color w:val="000000"/>
                <w:sz w:val="21"/>
                <w:szCs w:val="21"/>
              </w:rPr>
              <w:t>乳腺X射线系统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54EFB798">
            <w:pPr>
              <w:shd w:val="clear" w:color="auto" w:fill="FFFFFF"/>
              <w:topLinePunct/>
              <w:autoSpaceDE/>
              <w:autoSpaceDN/>
              <w:adjustRightInd/>
              <w:snapToGrid w:val="0"/>
              <w:jc w:val="center"/>
              <w:rPr>
                <w:rFonts w:eastAsia="宋体"/>
                <w:sz w:val="21"/>
                <w:szCs w:val="21"/>
              </w:rPr>
            </w:pPr>
            <w:r>
              <w:rPr>
                <w:rFonts w:eastAsia="宋体"/>
                <w:color w:val="000000"/>
                <w:sz w:val="21"/>
                <w:szCs w:val="21"/>
              </w:rPr>
              <w:t>IZH</w:t>
            </w:r>
          </w:p>
        </w:tc>
      </w:tr>
      <w:tr w14:paraId="462B2FD9">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735DC6F2">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892.1715</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6FA637F5">
            <w:pPr>
              <w:shd w:val="clear" w:color="auto" w:fill="FFFFFF"/>
              <w:topLinePunct/>
              <w:autoSpaceDE/>
              <w:autoSpaceDN/>
              <w:adjustRightInd/>
              <w:snapToGrid w:val="0"/>
              <w:jc w:val="center"/>
              <w:rPr>
                <w:rFonts w:eastAsia="宋体"/>
                <w:sz w:val="21"/>
                <w:szCs w:val="21"/>
              </w:rPr>
            </w:pPr>
            <w:r>
              <w:rPr>
                <w:rFonts w:eastAsia="宋体"/>
                <w:color w:val="000000"/>
                <w:sz w:val="21"/>
                <w:szCs w:val="21"/>
              </w:rPr>
              <w:t>全视野数字乳腺X射线摄影系统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56BDB08F">
            <w:pPr>
              <w:shd w:val="clear" w:color="auto" w:fill="FFFFFF"/>
              <w:topLinePunct/>
              <w:autoSpaceDE/>
              <w:autoSpaceDN/>
              <w:adjustRightInd/>
              <w:snapToGrid w:val="0"/>
              <w:jc w:val="center"/>
              <w:rPr>
                <w:rFonts w:eastAsia="宋体"/>
                <w:sz w:val="21"/>
                <w:szCs w:val="21"/>
              </w:rPr>
            </w:pPr>
            <w:r>
              <w:rPr>
                <w:rFonts w:eastAsia="宋体"/>
                <w:color w:val="000000"/>
                <w:sz w:val="21"/>
                <w:szCs w:val="21"/>
              </w:rPr>
              <w:t>MUE</w:t>
            </w:r>
          </w:p>
        </w:tc>
      </w:tr>
      <w:tr w14:paraId="5CB60A80">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01D75FC4">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892.1720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3E81A411">
            <w:pPr>
              <w:shd w:val="clear" w:color="auto" w:fill="FFFFFF"/>
              <w:topLinePunct/>
              <w:autoSpaceDE/>
              <w:autoSpaceDN/>
              <w:adjustRightInd/>
              <w:snapToGrid w:val="0"/>
              <w:jc w:val="center"/>
              <w:rPr>
                <w:rFonts w:eastAsia="宋体"/>
                <w:sz w:val="21"/>
                <w:szCs w:val="21"/>
              </w:rPr>
            </w:pPr>
            <w:r>
              <w:rPr>
                <w:rFonts w:eastAsia="宋体"/>
                <w:color w:val="000000"/>
                <w:sz w:val="21"/>
                <w:szCs w:val="21"/>
              </w:rPr>
              <w:t>移动式X射线系统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0E7FED0F">
            <w:pPr>
              <w:shd w:val="clear" w:color="auto" w:fill="FFFFFF"/>
              <w:topLinePunct/>
              <w:autoSpaceDE/>
              <w:autoSpaceDN/>
              <w:adjustRightInd/>
              <w:snapToGrid w:val="0"/>
              <w:jc w:val="center"/>
              <w:rPr>
                <w:rFonts w:eastAsia="宋体"/>
                <w:sz w:val="21"/>
                <w:szCs w:val="21"/>
              </w:rPr>
            </w:pPr>
            <w:r>
              <w:rPr>
                <w:rFonts w:eastAsia="宋体"/>
                <w:color w:val="000000"/>
                <w:sz w:val="21"/>
                <w:szCs w:val="21"/>
              </w:rPr>
              <w:t>IZL</w:t>
            </w:r>
          </w:p>
        </w:tc>
      </w:tr>
      <w:tr w14:paraId="3DF06A2D">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4EBDB73A">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892.1730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5F2B0708">
            <w:pPr>
              <w:shd w:val="clear" w:color="auto" w:fill="FFFFFF"/>
              <w:topLinePunct/>
              <w:autoSpaceDE/>
              <w:autoSpaceDN/>
              <w:adjustRightInd/>
              <w:snapToGrid w:val="0"/>
              <w:jc w:val="center"/>
              <w:rPr>
                <w:rFonts w:eastAsia="宋体"/>
                <w:sz w:val="21"/>
                <w:szCs w:val="21"/>
              </w:rPr>
            </w:pPr>
            <w:r>
              <w:rPr>
                <w:rFonts w:eastAsia="宋体"/>
                <w:color w:val="000000"/>
                <w:sz w:val="21"/>
                <w:szCs w:val="21"/>
              </w:rPr>
              <w:t>X射线荧光摄影系统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10B9AB61">
            <w:pPr>
              <w:shd w:val="clear" w:color="auto" w:fill="FFFFFF"/>
              <w:topLinePunct/>
              <w:autoSpaceDE/>
              <w:autoSpaceDN/>
              <w:adjustRightInd/>
              <w:snapToGrid w:val="0"/>
              <w:jc w:val="center"/>
              <w:rPr>
                <w:rFonts w:eastAsia="宋体"/>
                <w:sz w:val="21"/>
                <w:szCs w:val="21"/>
              </w:rPr>
            </w:pPr>
            <w:r>
              <w:rPr>
                <w:rFonts w:eastAsia="宋体"/>
                <w:color w:val="000000"/>
                <w:sz w:val="21"/>
                <w:szCs w:val="21"/>
              </w:rPr>
              <w:t>IZG</w:t>
            </w:r>
          </w:p>
        </w:tc>
      </w:tr>
      <w:tr w14:paraId="60182E51">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4B261431">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892.1740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0EE17F75">
            <w:pPr>
              <w:shd w:val="clear" w:color="auto" w:fill="FFFFFF"/>
              <w:topLinePunct/>
              <w:autoSpaceDE/>
              <w:autoSpaceDN/>
              <w:adjustRightInd/>
              <w:snapToGrid w:val="0"/>
              <w:jc w:val="center"/>
              <w:rPr>
                <w:rFonts w:eastAsia="宋体"/>
                <w:sz w:val="21"/>
                <w:szCs w:val="21"/>
              </w:rPr>
            </w:pPr>
            <w:r>
              <w:rPr>
                <w:rFonts w:eastAsia="宋体"/>
                <w:color w:val="000000"/>
                <w:sz w:val="21"/>
                <w:szCs w:val="21"/>
              </w:rPr>
              <w:t>X射线层析影像系统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7BE3754E">
            <w:pPr>
              <w:shd w:val="clear" w:color="auto" w:fill="FFFFFF"/>
              <w:topLinePunct/>
              <w:autoSpaceDE/>
              <w:autoSpaceDN/>
              <w:adjustRightInd/>
              <w:snapToGrid w:val="0"/>
              <w:jc w:val="center"/>
              <w:rPr>
                <w:rFonts w:eastAsia="宋体"/>
                <w:sz w:val="21"/>
                <w:szCs w:val="21"/>
              </w:rPr>
            </w:pPr>
            <w:r>
              <w:rPr>
                <w:rFonts w:eastAsia="宋体"/>
                <w:color w:val="000000"/>
                <w:sz w:val="21"/>
                <w:szCs w:val="21"/>
              </w:rPr>
              <w:t>IZF</w:t>
            </w:r>
          </w:p>
        </w:tc>
      </w:tr>
      <w:tr w14:paraId="193F197F">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1AB5B25E">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892.1750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47888AED">
            <w:pPr>
              <w:shd w:val="clear" w:color="auto" w:fill="FFFFFF"/>
              <w:topLinePunct/>
              <w:autoSpaceDE/>
              <w:autoSpaceDN/>
              <w:adjustRightInd/>
              <w:snapToGrid w:val="0"/>
              <w:jc w:val="center"/>
              <w:rPr>
                <w:rFonts w:eastAsia="宋体"/>
                <w:sz w:val="21"/>
                <w:szCs w:val="21"/>
              </w:rPr>
            </w:pPr>
            <w:r>
              <w:rPr>
                <w:rFonts w:eastAsia="宋体"/>
                <w:color w:val="000000"/>
                <w:sz w:val="21"/>
                <w:szCs w:val="21"/>
              </w:rPr>
              <w:t>X射线计算机断层扫描系统</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5C468A93">
            <w:pPr>
              <w:shd w:val="clear" w:color="auto" w:fill="FFFFFF"/>
              <w:topLinePunct/>
              <w:autoSpaceDE/>
              <w:autoSpaceDN/>
              <w:adjustRightInd/>
              <w:snapToGrid w:val="0"/>
              <w:jc w:val="center"/>
              <w:rPr>
                <w:rFonts w:eastAsia="宋体"/>
                <w:sz w:val="21"/>
                <w:szCs w:val="21"/>
              </w:rPr>
            </w:pPr>
            <w:r>
              <w:rPr>
                <w:rFonts w:eastAsia="宋体"/>
                <w:color w:val="000000"/>
                <w:sz w:val="21"/>
                <w:szCs w:val="21"/>
                <w:lang w:val="hu-HU"/>
              </w:rPr>
              <w:t xml:space="preserve">JAK, </w:t>
            </w:r>
            <w:r>
              <w:rPr>
                <w:rFonts w:eastAsia="宋体"/>
                <w:color w:val="000000"/>
                <w:sz w:val="21"/>
                <w:szCs w:val="21"/>
              </w:rPr>
              <w:t>OAS</w:t>
            </w:r>
          </w:p>
        </w:tc>
      </w:tr>
      <w:tr w14:paraId="1E6DC2E9">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24C1ECCA">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892.1860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3EA5B815">
            <w:pPr>
              <w:shd w:val="clear" w:color="auto" w:fill="FFFFFF"/>
              <w:topLinePunct/>
              <w:autoSpaceDE/>
              <w:autoSpaceDN/>
              <w:adjustRightInd/>
              <w:snapToGrid w:val="0"/>
              <w:jc w:val="center"/>
              <w:rPr>
                <w:rFonts w:eastAsia="宋体"/>
                <w:sz w:val="21"/>
                <w:szCs w:val="21"/>
              </w:rPr>
            </w:pPr>
            <w:r>
              <w:rPr>
                <w:rFonts w:eastAsia="宋体"/>
                <w:color w:val="000000"/>
                <w:sz w:val="21"/>
                <w:szCs w:val="21"/>
              </w:rPr>
              <w:t>射线摄影胶片/换片器</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7693C808">
            <w:pPr>
              <w:shd w:val="clear" w:color="auto" w:fill="FFFFFF"/>
              <w:topLinePunct/>
              <w:autoSpaceDE/>
              <w:autoSpaceDN/>
              <w:adjustRightInd/>
              <w:snapToGrid w:val="0"/>
              <w:jc w:val="center"/>
              <w:rPr>
                <w:rFonts w:eastAsia="宋体"/>
                <w:sz w:val="21"/>
                <w:szCs w:val="21"/>
              </w:rPr>
            </w:pPr>
            <w:r>
              <w:rPr>
                <w:rFonts w:eastAsia="宋体"/>
                <w:color w:val="000000"/>
                <w:sz w:val="21"/>
                <w:szCs w:val="21"/>
              </w:rPr>
              <w:t>KPX</w:t>
            </w:r>
          </w:p>
        </w:tc>
      </w:tr>
      <w:tr w14:paraId="5FC2781C">
        <w:tblPrEx>
          <w:tblCellMar>
            <w:top w:w="0" w:type="dxa"/>
            <w:left w:w="57" w:type="dxa"/>
            <w:bottom w:w="0" w:type="dxa"/>
            <w:right w:w="57" w:type="dxa"/>
          </w:tblCellMar>
        </w:tblPrEx>
        <w:trPr>
          <w:trHeight w:val="284" w:hRule="atLeast"/>
        </w:trPr>
        <w:tc>
          <w:tcPr>
            <w:tcW w:w="1003" w:type="pct"/>
            <w:tcBorders>
              <w:top w:val="single" w:color="auto" w:sz="6" w:space="0"/>
              <w:left w:val="single" w:color="auto" w:sz="6" w:space="0"/>
              <w:bottom w:val="single" w:color="auto" w:sz="6" w:space="0"/>
              <w:right w:val="single" w:color="auto" w:sz="6" w:space="0"/>
            </w:tcBorders>
            <w:shd w:val="clear" w:color="auto" w:fill="auto"/>
            <w:vAlign w:val="center"/>
          </w:tcPr>
          <w:p w14:paraId="73DB1C9D">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892.1980</w:t>
            </w:r>
          </w:p>
        </w:tc>
        <w:tc>
          <w:tcPr>
            <w:tcW w:w="2569" w:type="pct"/>
            <w:tcBorders>
              <w:top w:val="single" w:color="auto" w:sz="6" w:space="0"/>
              <w:left w:val="single" w:color="auto" w:sz="6" w:space="0"/>
              <w:bottom w:val="single" w:color="auto" w:sz="6" w:space="0"/>
              <w:right w:val="single" w:color="auto" w:sz="6" w:space="0"/>
            </w:tcBorders>
            <w:shd w:val="clear" w:color="auto" w:fill="auto"/>
            <w:vAlign w:val="center"/>
          </w:tcPr>
          <w:p w14:paraId="37E5A72D">
            <w:pPr>
              <w:shd w:val="clear" w:color="auto" w:fill="FFFFFF"/>
              <w:topLinePunct/>
              <w:autoSpaceDE/>
              <w:autoSpaceDN/>
              <w:adjustRightInd/>
              <w:snapToGrid w:val="0"/>
              <w:jc w:val="center"/>
              <w:rPr>
                <w:rFonts w:eastAsia="宋体"/>
                <w:sz w:val="21"/>
                <w:szCs w:val="21"/>
              </w:rPr>
            </w:pPr>
            <w:r>
              <w:rPr>
                <w:rFonts w:eastAsia="宋体"/>
                <w:color w:val="000000"/>
                <w:sz w:val="21"/>
                <w:szCs w:val="21"/>
              </w:rPr>
              <w:t>放射台</w:t>
            </w:r>
          </w:p>
        </w:tc>
        <w:tc>
          <w:tcPr>
            <w:tcW w:w="1428" w:type="pct"/>
            <w:tcBorders>
              <w:top w:val="single" w:color="auto" w:sz="6" w:space="0"/>
              <w:left w:val="single" w:color="auto" w:sz="6" w:space="0"/>
              <w:bottom w:val="single" w:color="auto" w:sz="6" w:space="0"/>
              <w:right w:val="single" w:color="auto" w:sz="6" w:space="0"/>
            </w:tcBorders>
            <w:shd w:val="clear" w:color="auto" w:fill="auto"/>
            <w:vAlign w:val="center"/>
          </w:tcPr>
          <w:p w14:paraId="004B31CF">
            <w:pPr>
              <w:shd w:val="clear" w:color="auto" w:fill="FFFFFF"/>
              <w:topLinePunct/>
              <w:autoSpaceDE/>
              <w:autoSpaceDN/>
              <w:adjustRightInd/>
              <w:snapToGrid w:val="0"/>
              <w:jc w:val="center"/>
              <w:rPr>
                <w:rFonts w:eastAsia="宋体"/>
                <w:sz w:val="21"/>
                <w:szCs w:val="21"/>
              </w:rPr>
            </w:pPr>
            <w:r>
              <w:rPr>
                <w:rFonts w:eastAsia="宋体"/>
                <w:color w:val="000000"/>
                <w:sz w:val="21"/>
                <w:szCs w:val="21"/>
              </w:rPr>
              <w:t>KXJ, IXQ, IXR, IZZ</w:t>
            </w:r>
          </w:p>
        </w:tc>
      </w:tr>
    </w:tbl>
    <w:p w14:paraId="4286C6EE">
      <w:pPr>
        <w:shd w:val="clear" w:color="auto" w:fill="FFFFFF"/>
        <w:topLinePunct/>
        <w:autoSpaceDE/>
        <w:autoSpaceDN/>
        <w:adjustRightInd/>
        <w:jc w:val="both"/>
        <w:rPr>
          <w:rFonts w:eastAsia="宋体"/>
          <w:b/>
          <w:bCs/>
          <w:color w:val="000000"/>
          <w:sz w:val="24"/>
          <w:szCs w:val="24"/>
        </w:rPr>
      </w:pPr>
    </w:p>
    <w:p w14:paraId="478A6AE2">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表2–本指南涵盖的I类器械</w:t>
      </w:r>
    </w:p>
    <w:p w14:paraId="5215543D">
      <w:pPr>
        <w:shd w:val="clear" w:color="auto" w:fill="FFFFFF"/>
        <w:topLinePunct/>
        <w:autoSpaceDE/>
        <w:autoSpaceDN/>
        <w:adjustRightInd/>
        <w:jc w:val="center"/>
        <w:rPr>
          <w:rFonts w:eastAsia="宋体"/>
          <w:sz w:val="24"/>
          <w:szCs w:val="24"/>
        </w:rPr>
      </w:pPr>
    </w:p>
    <w:tbl>
      <w:tblPr>
        <w:tblStyle w:val="12"/>
        <w:tblW w:w="5000" w:type="pct"/>
        <w:tblInd w:w="0" w:type="dxa"/>
        <w:tblLayout w:type="autofit"/>
        <w:tblCellMar>
          <w:top w:w="0" w:type="dxa"/>
          <w:left w:w="57" w:type="dxa"/>
          <w:bottom w:w="0" w:type="dxa"/>
          <w:right w:w="57" w:type="dxa"/>
        </w:tblCellMar>
      </w:tblPr>
      <w:tblGrid>
        <w:gridCol w:w="2421"/>
        <w:gridCol w:w="4292"/>
        <w:gridCol w:w="2758"/>
      </w:tblGrid>
      <w:tr w14:paraId="54455108">
        <w:tblPrEx>
          <w:tblCellMar>
            <w:top w:w="0" w:type="dxa"/>
            <w:left w:w="57" w:type="dxa"/>
            <w:bottom w:w="0" w:type="dxa"/>
            <w:right w:w="57" w:type="dxa"/>
          </w:tblCellMar>
        </w:tblPrEx>
        <w:trPr>
          <w:trHeight w:val="284" w:hRule="atLeast"/>
        </w:trPr>
        <w:tc>
          <w:tcPr>
            <w:tcW w:w="1278" w:type="pct"/>
            <w:tcBorders>
              <w:top w:val="single" w:color="auto" w:sz="6" w:space="0"/>
              <w:left w:val="single" w:color="auto" w:sz="6" w:space="0"/>
              <w:bottom w:val="single" w:color="auto" w:sz="6" w:space="0"/>
              <w:right w:val="single" w:color="auto" w:sz="6" w:space="0"/>
            </w:tcBorders>
            <w:shd w:val="clear" w:color="auto" w:fill="FFFFFF"/>
            <w:vAlign w:val="center"/>
          </w:tcPr>
          <w:p w14:paraId="24333273">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法规编号</w:t>
            </w:r>
          </w:p>
        </w:tc>
        <w:tc>
          <w:tcPr>
            <w:tcW w:w="2266" w:type="pct"/>
            <w:tcBorders>
              <w:top w:val="single" w:color="auto" w:sz="6" w:space="0"/>
              <w:left w:val="single" w:color="auto" w:sz="6" w:space="0"/>
              <w:bottom w:val="single" w:color="auto" w:sz="6" w:space="0"/>
              <w:right w:val="single" w:color="auto" w:sz="6" w:space="0"/>
            </w:tcBorders>
            <w:shd w:val="clear" w:color="auto" w:fill="FFFFFF"/>
            <w:vAlign w:val="center"/>
          </w:tcPr>
          <w:p w14:paraId="5B233127">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监管描述</w:t>
            </w:r>
          </w:p>
        </w:tc>
        <w:tc>
          <w:tcPr>
            <w:tcW w:w="1457" w:type="pct"/>
            <w:tcBorders>
              <w:top w:val="single" w:color="auto" w:sz="6" w:space="0"/>
              <w:left w:val="single" w:color="auto" w:sz="6" w:space="0"/>
              <w:bottom w:val="single" w:color="auto" w:sz="6" w:space="0"/>
              <w:right w:val="single" w:color="auto" w:sz="6" w:space="0"/>
            </w:tcBorders>
            <w:shd w:val="clear" w:color="auto" w:fill="FFFFFF"/>
            <w:vAlign w:val="center"/>
          </w:tcPr>
          <w:p w14:paraId="70219B07">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相关产品代码</w:t>
            </w:r>
          </w:p>
        </w:tc>
      </w:tr>
      <w:tr w14:paraId="6065D7DE">
        <w:tblPrEx>
          <w:tblCellMar>
            <w:top w:w="0" w:type="dxa"/>
            <w:left w:w="57" w:type="dxa"/>
            <w:bottom w:w="0" w:type="dxa"/>
            <w:right w:w="57" w:type="dxa"/>
          </w:tblCellMar>
        </w:tblPrEx>
        <w:trPr>
          <w:trHeight w:val="284" w:hRule="atLeast"/>
        </w:trPr>
        <w:tc>
          <w:tcPr>
            <w:tcW w:w="1278" w:type="pct"/>
            <w:tcBorders>
              <w:top w:val="single" w:color="auto" w:sz="6" w:space="0"/>
              <w:left w:val="single" w:color="auto" w:sz="6" w:space="0"/>
              <w:bottom w:val="single" w:color="auto" w:sz="6" w:space="0"/>
              <w:right w:val="single" w:color="auto" w:sz="6" w:space="0"/>
            </w:tcBorders>
            <w:shd w:val="clear" w:color="auto" w:fill="FFFFFF"/>
            <w:vAlign w:val="center"/>
          </w:tcPr>
          <w:p w14:paraId="0242728E">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892.1700</w:t>
            </w:r>
          </w:p>
        </w:tc>
        <w:tc>
          <w:tcPr>
            <w:tcW w:w="2266" w:type="pct"/>
            <w:tcBorders>
              <w:top w:val="single" w:color="auto" w:sz="6" w:space="0"/>
              <w:left w:val="single" w:color="auto" w:sz="6" w:space="0"/>
              <w:bottom w:val="single" w:color="auto" w:sz="6" w:space="0"/>
              <w:right w:val="single" w:color="auto" w:sz="6" w:space="0"/>
            </w:tcBorders>
            <w:shd w:val="clear" w:color="auto" w:fill="FFFFFF"/>
            <w:vAlign w:val="center"/>
          </w:tcPr>
          <w:p w14:paraId="4A317279">
            <w:pPr>
              <w:shd w:val="clear" w:color="auto" w:fill="FFFFFF"/>
              <w:topLinePunct/>
              <w:autoSpaceDE/>
              <w:autoSpaceDN/>
              <w:adjustRightInd/>
              <w:snapToGrid w:val="0"/>
              <w:jc w:val="center"/>
              <w:rPr>
                <w:rFonts w:eastAsia="宋体"/>
                <w:sz w:val="21"/>
                <w:szCs w:val="21"/>
              </w:rPr>
            </w:pPr>
            <w:r>
              <w:rPr>
                <w:rFonts w:eastAsia="宋体"/>
                <w:color w:val="000000"/>
                <w:sz w:val="21"/>
                <w:szCs w:val="21"/>
              </w:rPr>
              <w:t>诊断用X射线高压发生器</w:t>
            </w:r>
          </w:p>
        </w:tc>
        <w:tc>
          <w:tcPr>
            <w:tcW w:w="1457" w:type="pct"/>
            <w:tcBorders>
              <w:top w:val="single" w:color="auto" w:sz="6" w:space="0"/>
              <w:left w:val="single" w:color="auto" w:sz="6" w:space="0"/>
              <w:bottom w:val="single" w:color="auto" w:sz="6" w:space="0"/>
              <w:right w:val="single" w:color="auto" w:sz="6" w:space="0"/>
            </w:tcBorders>
            <w:shd w:val="clear" w:color="auto" w:fill="FFFFFF"/>
            <w:vAlign w:val="center"/>
          </w:tcPr>
          <w:p w14:paraId="66017156">
            <w:pPr>
              <w:shd w:val="clear" w:color="auto" w:fill="FFFFFF"/>
              <w:topLinePunct/>
              <w:autoSpaceDE/>
              <w:autoSpaceDN/>
              <w:adjustRightInd/>
              <w:snapToGrid w:val="0"/>
              <w:jc w:val="center"/>
              <w:rPr>
                <w:rFonts w:eastAsia="宋体"/>
                <w:sz w:val="21"/>
                <w:szCs w:val="21"/>
              </w:rPr>
            </w:pPr>
            <w:r>
              <w:rPr>
                <w:rFonts w:eastAsia="宋体"/>
                <w:color w:val="000000"/>
                <w:sz w:val="21"/>
                <w:szCs w:val="21"/>
              </w:rPr>
              <w:t>IZO</w:t>
            </w:r>
          </w:p>
        </w:tc>
      </w:tr>
      <w:tr w14:paraId="507788BD">
        <w:tblPrEx>
          <w:tblCellMar>
            <w:top w:w="0" w:type="dxa"/>
            <w:left w:w="57" w:type="dxa"/>
            <w:bottom w:w="0" w:type="dxa"/>
            <w:right w:w="57" w:type="dxa"/>
          </w:tblCellMar>
        </w:tblPrEx>
        <w:trPr>
          <w:trHeight w:val="284" w:hRule="atLeast"/>
        </w:trPr>
        <w:tc>
          <w:tcPr>
            <w:tcW w:w="1278" w:type="pct"/>
            <w:tcBorders>
              <w:top w:val="single" w:color="auto" w:sz="6" w:space="0"/>
              <w:left w:val="single" w:color="auto" w:sz="6" w:space="0"/>
              <w:bottom w:val="single" w:color="auto" w:sz="6" w:space="0"/>
              <w:right w:val="single" w:color="auto" w:sz="6" w:space="0"/>
            </w:tcBorders>
            <w:shd w:val="clear" w:color="auto" w:fill="FFFFFF"/>
            <w:vAlign w:val="center"/>
          </w:tcPr>
          <w:p w14:paraId="3E174181">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892.1760</w:t>
            </w:r>
          </w:p>
        </w:tc>
        <w:tc>
          <w:tcPr>
            <w:tcW w:w="2266" w:type="pct"/>
            <w:tcBorders>
              <w:top w:val="single" w:color="auto" w:sz="6" w:space="0"/>
              <w:left w:val="single" w:color="auto" w:sz="6" w:space="0"/>
              <w:bottom w:val="single" w:color="auto" w:sz="6" w:space="0"/>
              <w:right w:val="single" w:color="auto" w:sz="6" w:space="0"/>
            </w:tcBorders>
            <w:shd w:val="clear" w:color="auto" w:fill="FFFFFF"/>
            <w:vAlign w:val="center"/>
          </w:tcPr>
          <w:p w14:paraId="1D38D43F">
            <w:pPr>
              <w:shd w:val="clear" w:color="auto" w:fill="FFFFFF"/>
              <w:topLinePunct/>
              <w:autoSpaceDE/>
              <w:autoSpaceDN/>
              <w:adjustRightInd/>
              <w:snapToGrid w:val="0"/>
              <w:jc w:val="center"/>
              <w:rPr>
                <w:rFonts w:eastAsia="宋体"/>
                <w:sz w:val="21"/>
                <w:szCs w:val="21"/>
              </w:rPr>
            </w:pPr>
            <w:r>
              <w:rPr>
                <w:rFonts w:eastAsia="宋体"/>
                <w:color w:val="000000"/>
                <w:sz w:val="21"/>
                <w:szCs w:val="21"/>
              </w:rPr>
              <w:t>诊断用X射线管套总成</w:t>
            </w:r>
          </w:p>
        </w:tc>
        <w:tc>
          <w:tcPr>
            <w:tcW w:w="1457" w:type="pct"/>
            <w:tcBorders>
              <w:top w:val="single" w:color="auto" w:sz="6" w:space="0"/>
              <w:left w:val="single" w:color="auto" w:sz="6" w:space="0"/>
              <w:bottom w:val="single" w:color="auto" w:sz="6" w:space="0"/>
              <w:right w:val="single" w:color="auto" w:sz="6" w:space="0"/>
            </w:tcBorders>
            <w:shd w:val="clear" w:color="auto" w:fill="FFFFFF"/>
            <w:vAlign w:val="center"/>
          </w:tcPr>
          <w:p w14:paraId="28333B52">
            <w:pPr>
              <w:shd w:val="clear" w:color="auto" w:fill="FFFFFF"/>
              <w:topLinePunct/>
              <w:autoSpaceDE/>
              <w:autoSpaceDN/>
              <w:adjustRightInd/>
              <w:snapToGrid w:val="0"/>
              <w:jc w:val="center"/>
              <w:rPr>
                <w:rFonts w:eastAsia="宋体"/>
                <w:sz w:val="21"/>
                <w:szCs w:val="21"/>
              </w:rPr>
            </w:pPr>
            <w:r>
              <w:rPr>
                <w:rFonts w:eastAsia="宋体"/>
                <w:color w:val="000000"/>
                <w:sz w:val="21"/>
                <w:szCs w:val="21"/>
              </w:rPr>
              <w:t>ITY</w:t>
            </w:r>
          </w:p>
        </w:tc>
      </w:tr>
      <w:tr w14:paraId="3FA2BE6F">
        <w:tblPrEx>
          <w:tblCellMar>
            <w:top w:w="0" w:type="dxa"/>
            <w:left w:w="57" w:type="dxa"/>
            <w:bottom w:w="0" w:type="dxa"/>
            <w:right w:w="57" w:type="dxa"/>
          </w:tblCellMar>
        </w:tblPrEx>
        <w:trPr>
          <w:trHeight w:val="284" w:hRule="atLeast"/>
        </w:trPr>
        <w:tc>
          <w:tcPr>
            <w:tcW w:w="1278" w:type="pct"/>
            <w:tcBorders>
              <w:top w:val="single" w:color="auto" w:sz="6" w:space="0"/>
              <w:left w:val="single" w:color="auto" w:sz="6" w:space="0"/>
              <w:bottom w:val="single" w:color="auto" w:sz="6" w:space="0"/>
              <w:right w:val="single" w:color="auto" w:sz="6" w:space="0"/>
            </w:tcBorders>
            <w:shd w:val="clear" w:color="auto" w:fill="FFFFFF"/>
            <w:vAlign w:val="center"/>
          </w:tcPr>
          <w:p w14:paraId="14C58D3C">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892.1830</w:t>
            </w:r>
          </w:p>
        </w:tc>
        <w:tc>
          <w:tcPr>
            <w:tcW w:w="2266" w:type="pct"/>
            <w:tcBorders>
              <w:top w:val="single" w:color="auto" w:sz="6" w:space="0"/>
              <w:left w:val="single" w:color="auto" w:sz="6" w:space="0"/>
              <w:bottom w:val="single" w:color="auto" w:sz="6" w:space="0"/>
              <w:right w:val="single" w:color="auto" w:sz="6" w:space="0"/>
            </w:tcBorders>
            <w:shd w:val="clear" w:color="auto" w:fill="FFFFFF"/>
            <w:vAlign w:val="center"/>
          </w:tcPr>
          <w:p w14:paraId="79C7F0B7">
            <w:pPr>
              <w:shd w:val="clear" w:color="auto" w:fill="FFFFFF"/>
              <w:topLinePunct/>
              <w:autoSpaceDE/>
              <w:autoSpaceDN/>
              <w:adjustRightInd/>
              <w:snapToGrid w:val="0"/>
              <w:jc w:val="center"/>
              <w:rPr>
                <w:rFonts w:eastAsia="宋体"/>
                <w:sz w:val="21"/>
                <w:szCs w:val="21"/>
              </w:rPr>
            </w:pPr>
            <w:r>
              <w:rPr>
                <w:rFonts w:eastAsia="宋体"/>
                <w:color w:val="000000"/>
                <w:sz w:val="21"/>
                <w:szCs w:val="21"/>
              </w:rPr>
              <w:t>放射科患者用支架</w:t>
            </w:r>
          </w:p>
        </w:tc>
        <w:tc>
          <w:tcPr>
            <w:tcW w:w="1457" w:type="pct"/>
            <w:tcBorders>
              <w:top w:val="single" w:color="auto" w:sz="6" w:space="0"/>
              <w:left w:val="single" w:color="auto" w:sz="6" w:space="0"/>
              <w:bottom w:val="single" w:color="auto" w:sz="6" w:space="0"/>
              <w:right w:val="single" w:color="auto" w:sz="6" w:space="0"/>
            </w:tcBorders>
            <w:shd w:val="clear" w:color="auto" w:fill="FFFFFF"/>
            <w:vAlign w:val="center"/>
          </w:tcPr>
          <w:p w14:paraId="066A85FC">
            <w:pPr>
              <w:shd w:val="clear" w:color="auto" w:fill="FFFFFF"/>
              <w:topLinePunct/>
              <w:autoSpaceDE/>
              <w:autoSpaceDN/>
              <w:adjustRightInd/>
              <w:snapToGrid w:val="0"/>
              <w:jc w:val="center"/>
              <w:rPr>
                <w:rFonts w:eastAsia="宋体"/>
                <w:sz w:val="21"/>
                <w:szCs w:val="21"/>
              </w:rPr>
            </w:pPr>
            <w:r>
              <w:rPr>
                <w:rFonts w:eastAsia="宋体"/>
                <w:color w:val="000000"/>
                <w:sz w:val="21"/>
                <w:szCs w:val="21"/>
              </w:rPr>
              <w:t>KXH</w:t>
            </w:r>
          </w:p>
        </w:tc>
      </w:tr>
      <w:tr w14:paraId="5608565D">
        <w:tblPrEx>
          <w:tblCellMar>
            <w:top w:w="0" w:type="dxa"/>
            <w:left w:w="57" w:type="dxa"/>
            <w:bottom w:w="0" w:type="dxa"/>
            <w:right w:w="57" w:type="dxa"/>
          </w:tblCellMar>
        </w:tblPrEx>
        <w:trPr>
          <w:trHeight w:val="284" w:hRule="atLeast"/>
        </w:trPr>
        <w:tc>
          <w:tcPr>
            <w:tcW w:w="1278" w:type="pct"/>
            <w:tcBorders>
              <w:top w:val="single" w:color="auto" w:sz="6" w:space="0"/>
              <w:left w:val="single" w:color="auto" w:sz="6" w:space="0"/>
              <w:bottom w:val="single" w:color="auto" w:sz="6" w:space="0"/>
              <w:right w:val="single" w:color="auto" w:sz="6" w:space="0"/>
            </w:tcBorders>
            <w:shd w:val="clear" w:color="auto" w:fill="FFFFFF"/>
            <w:vAlign w:val="center"/>
          </w:tcPr>
          <w:p w14:paraId="61707067">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 892.1880</w:t>
            </w:r>
          </w:p>
        </w:tc>
        <w:tc>
          <w:tcPr>
            <w:tcW w:w="2266" w:type="pct"/>
            <w:tcBorders>
              <w:top w:val="single" w:color="auto" w:sz="6" w:space="0"/>
              <w:left w:val="single" w:color="auto" w:sz="6" w:space="0"/>
              <w:bottom w:val="single" w:color="auto" w:sz="6" w:space="0"/>
              <w:right w:val="single" w:color="auto" w:sz="6" w:space="0"/>
            </w:tcBorders>
            <w:shd w:val="clear" w:color="auto" w:fill="FFFFFF"/>
            <w:vAlign w:val="center"/>
          </w:tcPr>
          <w:p w14:paraId="31951595">
            <w:pPr>
              <w:shd w:val="clear" w:color="auto" w:fill="FFFFFF"/>
              <w:topLinePunct/>
              <w:autoSpaceDE/>
              <w:autoSpaceDN/>
              <w:adjustRightInd/>
              <w:snapToGrid w:val="0"/>
              <w:jc w:val="center"/>
              <w:rPr>
                <w:rFonts w:eastAsia="宋体"/>
                <w:sz w:val="21"/>
                <w:szCs w:val="21"/>
              </w:rPr>
            </w:pPr>
            <w:r>
              <w:rPr>
                <w:rFonts w:eastAsia="宋体"/>
                <w:color w:val="000000"/>
                <w:sz w:val="21"/>
                <w:szCs w:val="21"/>
              </w:rPr>
              <w:t>壁装式放射摄影胶片盒托座</w:t>
            </w:r>
          </w:p>
        </w:tc>
        <w:tc>
          <w:tcPr>
            <w:tcW w:w="1457" w:type="pct"/>
            <w:tcBorders>
              <w:top w:val="single" w:color="auto" w:sz="6" w:space="0"/>
              <w:left w:val="single" w:color="auto" w:sz="6" w:space="0"/>
              <w:bottom w:val="single" w:color="auto" w:sz="6" w:space="0"/>
              <w:right w:val="single" w:color="auto" w:sz="6" w:space="0"/>
            </w:tcBorders>
            <w:shd w:val="clear" w:color="auto" w:fill="FFFFFF"/>
            <w:vAlign w:val="center"/>
          </w:tcPr>
          <w:p w14:paraId="3F69B9C3">
            <w:pPr>
              <w:shd w:val="clear" w:color="auto" w:fill="FFFFFF"/>
              <w:topLinePunct/>
              <w:autoSpaceDE/>
              <w:autoSpaceDN/>
              <w:adjustRightInd/>
              <w:snapToGrid w:val="0"/>
              <w:jc w:val="center"/>
              <w:rPr>
                <w:rFonts w:eastAsia="宋体"/>
                <w:sz w:val="21"/>
                <w:szCs w:val="21"/>
              </w:rPr>
            </w:pPr>
            <w:r>
              <w:rPr>
                <w:rFonts w:eastAsia="宋体"/>
                <w:color w:val="000000"/>
                <w:sz w:val="21"/>
                <w:szCs w:val="21"/>
              </w:rPr>
              <w:t>IXY</w:t>
            </w:r>
          </w:p>
        </w:tc>
      </w:tr>
    </w:tbl>
    <w:p w14:paraId="18E6168A">
      <w:pPr>
        <w:shd w:val="clear" w:color="auto" w:fill="FFFFFF"/>
        <w:topLinePunct/>
        <w:autoSpaceDE/>
        <w:autoSpaceDN/>
        <w:adjustRightInd/>
        <w:jc w:val="both"/>
        <w:rPr>
          <w:rFonts w:eastAsia="宋体"/>
          <w:color w:val="000000"/>
          <w:sz w:val="24"/>
          <w:szCs w:val="24"/>
        </w:rPr>
      </w:pPr>
    </w:p>
    <w:p w14:paraId="4DFB5D0F">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部分成像器械是混合型器械；即这些器械均由一种以上成像组件组成（例如：正电子发射断层扫描（PET）和CT）。</w:t>
      </w:r>
      <w:r>
        <w:rPr>
          <w:rFonts w:eastAsia="宋体"/>
          <w:color w:val="000000"/>
          <w:sz w:val="24"/>
          <w:szCs w:val="24"/>
        </w:rPr>
        <w:t>如果其中一个组件具有适用的EPRC标准，则本指南所述政策适用于该组件。</w:t>
      </w:r>
    </w:p>
    <w:p w14:paraId="037FD833">
      <w:pPr>
        <w:shd w:val="clear" w:color="auto" w:fill="FFFFFF"/>
        <w:topLinePunct/>
        <w:autoSpaceDE/>
        <w:autoSpaceDN/>
        <w:adjustRightInd/>
        <w:ind w:firstLine="480" w:firstLineChars="200"/>
        <w:jc w:val="both"/>
        <w:rPr>
          <w:rFonts w:eastAsia="宋体"/>
          <w:sz w:val="24"/>
          <w:szCs w:val="24"/>
        </w:rPr>
      </w:pPr>
    </w:p>
    <w:p w14:paraId="3F2DF9BE">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本指南不涉及放射治疗产品，因为没有针对这些产品颁布EPRC性能标准。</w:t>
      </w:r>
      <w:r>
        <w:rPr>
          <w:rFonts w:eastAsia="宋体"/>
          <w:sz w:val="24"/>
          <w:szCs w:val="24"/>
        </w:rPr>
        <w:t>这些器械均通过510(k)程序获得上市许可。</w:t>
      </w:r>
      <w:r>
        <w:rPr>
          <w:rStyle w:val="17"/>
          <w:rFonts w:eastAsia="宋体"/>
          <w:sz w:val="24"/>
          <w:szCs w:val="24"/>
        </w:rPr>
        <w:footnoteReference w:id="15"/>
      </w:r>
    </w:p>
    <w:p w14:paraId="032B7D50">
      <w:pPr>
        <w:shd w:val="clear" w:color="auto" w:fill="FFFFFF"/>
        <w:topLinePunct/>
        <w:autoSpaceDE/>
        <w:autoSpaceDN/>
        <w:adjustRightInd/>
        <w:ind w:left="480" w:hanging="480" w:hangingChars="200"/>
        <w:jc w:val="both"/>
        <w:rPr>
          <w:rFonts w:eastAsia="宋体"/>
          <w:sz w:val="24"/>
          <w:szCs w:val="24"/>
        </w:rPr>
      </w:pPr>
    </w:p>
    <w:p w14:paraId="6E288682">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23BD25AF">
      <w:pPr>
        <w:pStyle w:val="3"/>
        <w:tabs>
          <w:tab w:val="left" w:pos="993"/>
        </w:tabs>
        <w:spacing w:before="0" w:beforeLines="0" w:line="240" w:lineRule="auto"/>
        <w:ind w:left="991" w:leftChars="213" w:hanging="565" w:hangingChars="201"/>
        <w:rPr>
          <w:rFonts w:cs="Times New Roman"/>
          <w:szCs w:val="28"/>
        </w:rPr>
      </w:pPr>
      <w:bookmarkStart w:id="14" w:name="_Toc97381051"/>
      <w:bookmarkStart w:id="15" w:name="_Toc97383227"/>
      <w:r>
        <w:rPr>
          <w:rFonts w:cs="Times New Roman"/>
          <w:szCs w:val="28"/>
        </w:rPr>
        <w:t>B.</w:t>
      </w:r>
      <w:r>
        <w:rPr>
          <w:rFonts w:cs="Times New Roman"/>
          <w:szCs w:val="28"/>
        </w:rPr>
        <w:tab/>
      </w:r>
      <w:r>
        <w:rPr>
          <w:rFonts w:cs="Times New Roman"/>
          <w:szCs w:val="28"/>
        </w:rPr>
        <w:t>本指南中涉及的标准</w:t>
      </w:r>
      <w:bookmarkEnd w:id="14"/>
      <w:bookmarkEnd w:id="15"/>
    </w:p>
    <w:p w14:paraId="08BD6696">
      <w:pPr>
        <w:shd w:val="clear" w:color="auto" w:fill="FFFFFF"/>
        <w:topLinePunct/>
        <w:autoSpaceDE/>
        <w:autoSpaceDN/>
        <w:adjustRightInd/>
        <w:jc w:val="both"/>
        <w:rPr>
          <w:rFonts w:eastAsia="宋体"/>
          <w:color w:val="000000"/>
          <w:sz w:val="24"/>
          <w:szCs w:val="24"/>
        </w:rPr>
      </w:pPr>
    </w:p>
    <w:p w14:paraId="2A5B792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为避免重复，并对与医用X射线成像器械相关的提交资料进行有效和一致的监管审查，本指南阐明了医用X射线系统和组件的相关适用标准。</w:t>
      </w:r>
      <w:r>
        <w:rPr>
          <w:rFonts w:eastAsia="宋体"/>
          <w:sz w:val="24"/>
          <w:szCs w:val="24"/>
        </w:rPr>
        <w:t>根据《FD&amp;C法案》第514(c)(1)(A)</w:t>
      </w:r>
      <w:r>
        <w:rPr>
          <w:rStyle w:val="17"/>
          <w:rFonts w:eastAsia="宋体"/>
          <w:sz w:val="24"/>
          <w:szCs w:val="24"/>
        </w:rPr>
        <w:footnoteReference w:id="16"/>
      </w:r>
      <w:r>
        <w:rPr>
          <w:rFonts w:eastAsia="宋体"/>
          <w:sz w:val="24"/>
          <w:szCs w:val="24"/>
        </w:rPr>
        <w:t>节，FDA必须</w:t>
      </w:r>
      <w:r>
        <w:rPr>
          <w:rFonts w:ascii="宋体" w:hAnsi="宋体" w:eastAsia="宋体"/>
          <w:sz w:val="24"/>
          <w:szCs w:val="24"/>
        </w:rPr>
        <w:t>“</w:t>
      </w:r>
      <w:r>
        <w:rPr>
          <w:rFonts w:eastAsia="宋体"/>
          <w:sz w:val="24"/>
          <w:szCs w:val="24"/>
        </w:rPr>
        <w:t>通过在《联邦公报》上发表通知的方式，任何国家或国际公认标准开发组织制定的所有或部分适用标准，对此，个人可提交符合性声明，以满足《FD&amp;C法案》中适用此类标准的上市前申请要求或其他要求。</w:t>
      </w:r>
      <w:r>
        <w:rPr>
          <w:rFonts w:ascii="宋体" w:hAnsi="宋体" w:eastAsia="宋体"/>
          <w:sz w:val="24"/>
          <w:szCs w:val="24"/>
        </w:rPr>
        <w:t>”</w:t>
      </w:r>
      <w:r>
        <w:rPr>
          <w:rFonts w:eastAsia="宋体"/>
          <w:color w:val="000000"/>
          <w:sz w:val="24"/>
          <w:szCs w:val="24"/>
        </w:rPr>
        <w:t>FDA已认可下列IEC标准适用于本指南涵盖的一个或多个器械（参见附录A）：</w:t>
      </w:r>
    </w:p>
    <w:p w14:paraId="643E0EC2">
      <w:pPr>
        <w:shd w:val="clear" w:color="auto" w:fill="FFFFFF"/>
        <w:topLinePunct/>
        <w:autoSpaceDE/>
        <w:autoSpaceDN/>
        <w:adjustRightInd/>
        <w:jc w:val="both"/>
        <w:rPr>
          <w:rFonts w:eastAsia="宋体"/>
          <w:sz w:val="24"/>
          <w:szCs w:val="24"/>
        </w:rPr>
      </w:pPr>
    </w:p>
    <w:p w14:paraId="12447B95">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60601-1-3：</w:t>
      </w:r>
      <w:r>
        <w:rPr>
          <w:rFonts w:eastAsia="宋体"/>
          <w:color w:val="000000"/>
          <w:sz w:val="24"/>
          <w:szCs w:val="24"/>
        </w:rPr>
        <w:t>医用电气设备 - 第1-3部分：基本安全和基本性能通用要求-并列标准：诊断用X射线设备辐射防护</w:t>
      </w:r>
      <w:r>
        <w:rPr>
          <w:rFonts w:eastAsia="宋体"/>
          <w:sz w:val="24"/>
          <w:szCs w:val="24"/>
        </w:rPr>
        <w:t>；</w:t>
      </w:r>
    </w:p>
    <w:p w14:paraId="47DE7154">
      <w:pPr>
        <w:pStyle w:val="23"/>
        <w:shd w:val="clear" w:color="auto" w:fill="FFFFFF"/>
        <w:topLinePunct/>
        <w:autoSpaceDE/>
        <w:autoSpaceDN/>
        <w:adjustRightInd/>
        <w:ind w:left="987" w:firstLine="0" w:firstLineChars="0"/>
        <w:jc w:val="both"/>
        <w:rPr>
          <w:rFonts w:eastAsia="宋体"/>
          <w:sz w:val="24"/>
          <w:szCs w:val="24"/>
        </w:rPr>
      </w:pPr>
    </w:p>
    <w:p w14:paraId="6845BA80">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60601-2-28：</w:t>
      </w:r>
      <w:r>
        <w:rPr>
          <w:rFonts w:eastAsia="宋体"/>
          <w:color w:val="000000"/>
          <w:sz w:val="24"/>
          <w:szCs w:val="24"/>
        </w:rPr>
        <w:t>医用电气设备 - 第2-28部分：医用诊断X射线管组件的基本安全和基本性能特殊要求</w:t>
      </w:r>
      <w:r>
        <w:rPr>
          <w:rFonts w:eastAsia="宋体"/>
          <w:sz w:val="24"/>
          <w:szCs w:val="24"/>
        </w:rPr>
        <w:t>；</w:t>
      </w:r>
    </w:p>
    <w:p w14:paraId="3BAE6F92">
      <w:pPr>
        <w:pStyle w:val="23"/>
        <w:shd w:val="clear" w:color="auto" w:fill="FFFFFF"/>
        <w:topLinePunct/>
        <w:autoSpaceDE/>
        <w:autoSpaceDN/>
        <w:adjustRightInd/>
        <w:ind w:left="987" w:firstLine="0" w:firstLineChars="0"/>
        <w:jc w:val="both"/>
        <w:rPr>
          <w:rFonts w:eastAsia="宋体"/>
          <w:sz w:val="24"/>
          <w:szCs w:val="24"/>
        </w:rPr>
      </w:pPr>
    </w:p>
    <w:p w14:paraId="5610A341">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60601-2-43：</w:t>
      </w:r>
      <w:r>
        <w:rPr>
          <w:rFonts w:eastAsia="宋体"/>
          <w:color w:val="000000"/>
          <w:sz w:val="24"/>
          <w:szCs w:val="24"/>
        </w:rPr>
        <w:t>医用电气设备 - 第2-43部分：介入手术用X射线设备的安全性和基本性能特殊要求</w:t>
      </w:r>
      <w:r>
        <w:rPr>
          <w:rFonts w:eastAsia="宋体"/>
          <w:sz w:val="24"/>
          <w:szCs w:val="24"/>
        </w:rPr>
        <w:t>；</w:t>
      </w:r>
    </w:p>
    <w:p w14:paraId="2DFAF587">
      <w:pPr>
        <w:pStyle w:val="23"/>
        <w:shd w:val="clear" w:color="auto" w:fill="FFFFFF"/>
        <w:topLinePunct/>
        <w:autoSpaceDE/>
        <w:autoSpaceDN/>
        <w:adjustRightInd/>
        <w:ind w:left="987" w:firstLine="0" w:firstLineChars="0"/>
        <w:jc w:val="both"/>
        <w:rPr>
          <w:rFonts w:eastAsia="宋体"/>
          <w:sz w:val="24"/>
          <w:szCs w:val="24"/>
        </w:rPr>
      </w:pPr>
    </w:p>
    <w:p w14:paraId="5753DDE3">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60601-2-44：</w:t>
      </w:r>
      <w:r>
        <w:rPr>
          <w:rFonts w:eastAsia="宋体"/>
          <w:color w:val="000000"/>
          <w:sz w:val="24"/>
          <w:szCs w:val="24"/>
        </w:rPr>
        <w:t>医用电气设备 - 第2-44部分：计算机断层扫描用X射线设备的基本安全性和基本性能安全特殊要求</w:t>
      </w:r>
      <w:r>
        <w:rPr>
          <w:rFonts w:eastAsia="宋体"/>
          <w:sz w:val="24"/>
          <w:szCs w:val="24"/>
        </w:rPr>
        <w:t>；</w:t>
      </w:r>
    </w:p>
    <w:p w14:paraId="0FAA0C72">
      <w:pPr>
        <w:pStyle w:val="23"/>
        <w:shd w:val="clear" w:color="auto" w:fill="FFFFFF"/>
        <w:topLinePunct/>
        <w:autoSpaceDE/>
        <w:autoSpaceDN/>
        <w:adjustRightInd/>
        <w:ind w:left="987" w:firstLine="0" w:firstLineChars="0"/>
        <w:jc w:val="both"/>
        <w:rPr>
          <w:rFonts w:eastAsia="宋体"/>
          <w:sz w:val="24"/>
          <w:szCs w:val="24"/>
        </w:rPr>
      </w:pPr>
    </w:p>
    <w:p w14:paraId="47742F2C">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60601-2-45：</w:t>
      </w:r>
      <w:r>
        <w:rPr>
          <w:rFonts w:eastAsia="宋体"/>
          <w:color w:val="000000"/>
          <w:sz w:val="24"/>
          <w:szCs w:val="24"/>
        </w:rPr>
        <w:t>医用电气设备 - 第2-45部分：乳腺X射线摄影设备和乳腺摄影立体定位装置的基本安全和基本性能特殊要求</w:t>
      </w:r>
      <w:r>
        <w:rPr>
          <w:rFonts w:eastAsia="宋体"/>
          <w:sz w:val="24"/>
          <w:szCs w:val="24"/>
        </w:rPr>
        <w:t>；</w:t>
      </w:r>
    </w:p>
    <w:p w14:paraId="09AC2112">
      <w:pPr>
        <w:pStyle w:val="23"/>
        <w:shd w:val="clear" w:color="auto" w:fill="FFFFFF"/>
        <w:topLinePunct/>
        <w:autoSpaceDE/>
        <w:autoSpaceDN/>
        <w:adjustRightInd/>
        <w:ind w:left="987" w:firstLine="0" w:firstLineChars="0"/>
        <w:jc w:val="both"/>
        <w:rPr>
          <w:rFonts w:eastAsia="宋体"/>
          <w:sz w:val="24"/>
          <w:szCs w:val="24"/>
        </w:rPr>
      </w:pPr>
    </w:p>
    <w:p w14:paraId="4F427F6E">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60601-2-54：</w:t>
      </w:r>
      <w:r>
        <w:rPr>
          <w:rFonts w:eastAsia="宋体"/>
          <w:color w:val="000000"/>
          <w:sz w:val="24"/>
          <w:szCs w:val="24"/>
        </w:rPr>
        <w:t>医用电气设备 - 第2-54部分：X射线摄影和透视设备的基本安全性和基本性能特殊要求</w:t>
      </w:r>
      <w:r>
        <w:rPr>
          <w:rFonts w:eastAsia="宋体"/>
          <w:sz w:val="24"/>
          <w:szCs w:val="24"/>
        </w:rPr>
        <w:t>；</w:t>
      </w:r>
    </w:p>
    <w:p w14:paraId="2B7D7719">
      <w:pPr>
        <w:pStyle w:val="23"/>
        <w:shd w:val="clear" w:color="auto" w:fill="FFFFFF"/>
        <w:topLinePunct/>
        <w:autoSpaceDE/>
        <w:autoSpaceDN/>
        <w:adjustRightInd/>
        <w:ind w:left="987" w:firstLine="0" w:firstLineChars="0"/>
        <w:jc w:val="both"/>
        <w:rPr>
          <w:rFonts w:eastAsia="宋体"/>
          <w:sz w:val="24"/>
          <w:szCs w:val="24"/>
        </w:rPr>
      </w:pPr>
    </w:p>
    <w:p w14:paraId="451F6DA3">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60601-2-63：医用电气设备 - 第2-63部分：牙科口腔外X射线设备的基本安全性和基本性能</w:t>
      </w:r>
      <w:r>
        <w:rPr>
          <w:rFonts w:eastAsia="宋体"/>
          <w:color w:val="000000"/>
          <w:sz w:val="24"/>
          <w:szCs w:val="24"/>
        </w:rPr>
        <w:t>特殊</w:t>
      </w:r>
      <w:r>
        <w:rPr>
          <w:rFonts w:eastAsia="宋体"/>
          <w:sz w:val="24"/>
          <w:szCs w:val="24"/>
        </w:rPr>
        <w:t>要求；和</w:t>
      </w:r>
    </w:p>
    <w:p w14:paraId="074EBF78">
      <w:pPr>
        <w:pStyle w:val="23"/>
        <w:shd w:val="clear" w:color="auto" w:fill="FFFFFF"/>
        <w:topLinePunct/>
        <w:autoSpaceDE/>
        <w:autoSpaceDN/>
        <w:adjustRightInd/>
        <w:ind w:left="987" w:firstLine="0" w:firstLineChars="0"/>
        <w:jc w:val="both"/>
        <w:rPr>
          <w:rFonts w:eastAsia="宋体"/>
          <w:sz w:val="24"/>
          <w:szCs w:val="24"/>
        </w:rPr>
      </w:pPr>
    </w:p>
    <w:p w14:paraId="61BDD56A">
      <w:pPr>
        <w:pStyle w:val="23"/>
        <w:numPr>
          <w:ilvl w:val="1"/>
          <w:numId w:val="6"/>
        </w:numPr>
        <w:shd w:val="clear" w:color="auto" w:fill="FFFFFF"/>
        <w:topLinePunct/>
        <w:autoSpaceDE/>
        <w:autoSpaceDN/>
        <w:adjustRightInd/>
        <w:ind w:left="987" w:hanging="567" w:firstLineChars="0"/>
        <w:jc w:val="both"/>
        <w:rPr>
          <w:rFonts w:eastAsia="宋体"/>
          <w:sz w:val="24"/>
          <w:szCs w:val="24"/>
        </w:rPr>
      </w:pPr>
      <w:r>
        <w:rPr>
          <w:rFonts w:eastAsia="宋体"/>
          <w:sz w:val="24"/>
          <w:szCs w:val="24"/>
        </w:rPr>
        <w:t>IEC 60601-2-65：</w:t>
      </w:r>
      <w:r>
        <w:rPr>
          <w:rFonts w:eastAsia="宋体"/>
          <w:color w:val="000000"/>
          <w:sz w:val="24"/>
          <w:szCs w:val="24"/>
        </w:rPr>
        <w:t>医用电气设备 - 第2-65部分：牙科口腔内X射线设备的基本安全性和基本性能特殊要求</w:t>
      </w:r>
      <w:r>
        <w:rPr>
          <w:rFonts w:eastAsia="宋体"/>
          <w:sz w:val="24"/>
          <w:szCs w:val="24"/>
        </w:rPr>
        <w:t>。</w:t>
      </w:r>
    </w:p>
    <w:p w14:paraId="702F50B9">
      <w:pPr>
        <w:pStyle w:val="23"/>
        <w:shd w:val="clear" w:color="auto" w:fill="FFFFFF"/>
        <w:topLinePunct/>
        <w:autoSpaceDE/>
        <w:autoSpaceDN/>
        <w:adjustRightInd/>
        <w:ind w:left="987" w:firstLine="0" w:firstLineChars="0"/>
        <w:jc w:val="both"/>
        <w:rPr>
          <w:rFonts w:eastAsia="宋体"/>
          <w:sz w:val="24"/>
          <w:szCs w:val="24"/>
        </w:rPr>
      </w:pPr>
    </w:p>
    <w:p w14:paraId="4AB11D1F">
      <w:pPr>
        <w:pStyle w:val="2"/>
      </w:pPr>
      <w:bookmarkStart w:id="16" w:name="_Toc97381052"/>
      <w:bookmarkStart w:id="17" w:name="_Toc97383228"/>
      <w:r>
        <w:t>政策</w:t>
      </w:r>
      <w:bookmarkEnd w:id="16"/>
      <w:bookmarkEnd w:id="17"/>
    </w:p>
    <w:p w14:paraId="15230F15">
      <w:pPr>
        <w:shd w:val="clear" w:color="auto" w:fill="FFFFFF"/>
        <w:topLinePunct/>
        <w:autoSpaceDE/>
        <w:autoSpaceDN/>
        <w:adjustRightInd/>
        <w:jc w:val="both"/>
        <w:rPr>
          <w:rFonts w:eastAsia="宋体"/>
          <w:sz w:val="24"/>
          <w:szCs w:val="24"/>
        </w:rPr>
      </w:pPr>
      <w:r>
        <w:rPr>
          <w:rFonts w:eastAsia="宋体"/>
          <w:sz w:val="24"/>
          <w:szCs w:val="24"/>
        </w:rPr>
        <w:br w:type="page"/>
      </w:r>
    </w:p>
    <w:p w14:paraId="7D0665BA">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sz w:val="24"/>
          <w:szCs w:val="24"/>
        </w:rPr>
        <w:t>FDA已确定，符合某些IEC标准将至少为公众健康和安全提供与某些EPRC性能标准和某些产品报告要求相同的电子辐射防护水平，并且完成适用IEC标准的符合性声明将满足下表3中列出的性能标准章节的要求。符合性必须是声明符合性时FDA认可的适用IEC标准的版本，包括勘误本和修正案。</w:t>
      </w:r>
      <w:r>
        <w:rPr>
          <w:rStyle w:val="17"/>
          <w:rFonts w:eastAsia="宋体"/>
          <w:sz w:val="24"/>
          <w:szCs w:val="24"/>
        </w:rPr>
        <w:footnoteReference w:id="17"/>
      </w:r>
      <w:r>
        <w:rPr>
          <w:rFonts w:eastAsia="宋体"/>
          <w:sz w:val="24"/>
          <w:szCs w:val="24"/>
        </w:rPr>
        <w:t>关于认可新版共识标准相关过渡期的更多信息，请参见</w:t>
      </w:r>
      <w:r>
        <w:rPr>
          <w:rFonts w:eastAsia="宋体"/>
          <w:color w:val="3333FF"/>
          <w:sz w:val="24"/>
          <w:szCs w:val="24"/>
          <w:u w:val="single"/>
        </w:rPr>
        <w:t>《医疗器械上市前申请中适当使用自愿共识标准》</w:t>
      </w:r>
      <w:r>
        <w:rPr>
          <w:rFonts w:eastAsia="宋体"/>
          <w:sz w:val="24"/>
          <w:szCs w:val="24"/>
        </w:rPr>
        <w:t>。</w:t>
      </w:r>
      <w:r>
        <w:rPr>
          <w:rStyle w:val="17"/>
          <w:rFonts w:eastAsia="宋体"/>
          <w:color w:val="000000"/>
          <w:sz w:val="24"/>
          <w:szCs w:val="24"/>
        </w:rPr>
        <w:footnoteReference w:id="18"/>
      </w:r>
    </w:p>
    <w:p w14:paraId="20FC2CB9">
      <w:pPr>
        <w:shd w:val="clear" w:color="auto" w:fill="FFFFFF"/>
        <w:topLinePunct/>
        <w:autoSpaceDE/>
        <w:autoSpaceDN/>
        <w:adjustRightInd/>
        <w:jc w:val="both"/>
        <w:rPr>
          <w:rFonts w:eastAsia="宋体"/>
          <w:sz w:val="24"/>
          <w:szCs w:val="24"/>
        </w:rPr>
      </w:pPr>
    </w:p>
    <w:p w14:paraId="79798D3F">
      <w:pPr>
        <w:pStyle w:val="3"/>
        <w:numPr>
          <w:ilvl w:val="0"/>
          <w:numId w:val="7"/>
        </w:numPr>
        <w:tabs>
          <w:tab w:val="left" w:pos="993"/>
        </w:tabs>
        <w:spacing w:before="0" w:beforeLines="0" w:line="240" w:lineRule="auto"/>
        <w:ind w:left="993" w:hanging="567" w:firstLineChars="0"/>
        <w:rPr>
          <w:rFonts w:cs="Times New Roman"/>
          <w:szCs w:val="28"/>
        </w:rPr>
      </w:pPr>
      <w:bookmarkStart w:id="18" w:name="_Toc97381053"/>
      <w:bookmarkStart w:id="19" w:name="_Toc97383229"/>
      <w:r>
        <w:rPr>
          <w:rFonts w:cs="Times New Roman"/>
          <w:szCs w:val="28"/>
        </w:rPr>
        <w:t>电子产品-性能标准</w:t>
      </w:r>
      <w:bookmarkEnd w:id="18"/>
      <w:bookmarkEnd w:id="19"/>
    </w:p>
    <w:p w14:paraId="054C6C95">
      <w:pPr>
        <w:shd w:val="clear" w:color="auto" w:fill="FFFFFF"/>
        <w:topLinePunct/>
        <w:autoSpaceDE/>
        <w:autoSpaceDN/>
        <w:adjustRightInd/>
        <w:jc w:val="both"/>
        <w:rPr>
          <w:rFonts w:eastAsia="宋体"/>
          <w:sz w:val="24"/>
          <w:szCs w:val="24"/>
        </w:rPr>
      </w:pPr>
    </w:p>
    <w:p w14:paraId="472CB3AE">
      <w:pPr>
        <w:shd w:val="clear" w:color="auto" w:fill="FFFFFF"/>
        <w:topLinePunct/>
        <w:autoSpaceDE/>
        <w:autoSpaceDN/>
        <w:adjustRightInd/>
        <w:ind w:firstLine="480" w:firstLineChars="200"/>
        <w:jc w:val="both"/>
        <w:rPr>
          <w:rFonts w:eastAsia="宋体"/>
          <w:sz w:val="24"/>
          <w:szCs w:val="24"/>
          <w:vertAlign w:val="superscript"/>
        </w:rPr>
      </w:pPr>
      <w:r>
        <w:rPr>
          <w:rFonts w:eastAsia="宋体"/>
          <w:sz w:val="24"/>
          <w:szCs w:val="24"/>
        </w:rPr>
        <w:t>本指南第3b节所述的IEC标准（有关其他详细信息，参见附录A）适用于《FD&amp;C法案》第534节中确立的大部分X射线诊断系统性能标准（参见表3）。</w:t>
      </w:r>
      <w:r>
        <w:rPr>
          <w:rStyle w:val="17"/>
          <w:rFonts w:eastAsia="宋体"/>
          <w:sz w:val="24"/>
          <w:szCs w:val="24"/>
        </w:rPr>
        <w:footnoteReference w:id="19"/>
      </w:r>
    </w:p>
    <w:p w14:paraId="2CB0FA27">
      <w:pPr>
        <w:shd w:val="clear" w:color="auto" w:fill="FFFFFF"/>
        <w:topLinePunct/>
        <w:autoSpaceDE/>
        <w:autoSpaceDN/>
        <w:adjustRightInd/>
        <w:ind w:firstLine="480" w:firstLineChars="200"/>
        <w:jc w:val="both"/>
        <w:rPr>
          <w:rFonts w:eastAsia="宋体"/>
          <w:sz w:val="24"/>
          <w:szCs w:val="24"/>
        </w:rPr>
      </w:pPr>
    </w:p>
    <w:p w14:paraId="2ED9E5CF">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FDA已确定，符合已确定的IEC标准将至少提供与21 CFR 1020.30（部分）、1020.31、1020.32（部分）和1020.33（部分）要求中相同水平的电子产品辐射公共健康和安全防护（参见表3）。</w:t>
      </w:r>
      <w:r>
        <w:rPr>
          <w:rFonts w:eastAsia="宋体"/>
          <w:sz w:val="24"/>
          <w:szCs w:val="24"/>
        </w:rPr>
        <w:t>因此，如果制造商或进口商通过本指南第5节和第6节所述程序提交了适用IEC标准的符合性声明，将被视为符合21 CFR 1020.30、1020.31、1020.32和1020.33的某些性能标准要求，前提是符合《FD&amp;C法案》第514(c)节的标准。</w:t>
      </w:r>
      <w:r>
        <w:rPr>
          <w:rStyle w:val="17"/>
          <w:rFonts w:eastAsia="宋体"/>
          <w:sz w:val="24"/>
          <w:szCs w:val="24"/>
        </w:rPr>
        <w:footnoteReference w:id="20"/>
      </w:r>
    </w:p>
    <w:p w14:paraId="7CBD3C7F">
      <w:pPr>
        <w:shd w:val="clear" w:color="auto" w:fill="FFFFFF"/>
        <w:topLinePunct/>
        <w:autoSpaceDE/>
        <w:autoSpaceDN/>
        <w:adjustRightInd/>
        <w:jc w:val="both"/>
        <w:rPr>
          <w:rFonts w:eastAsia="宋体"/>
          <w:sz w:val="24"/>
          <w:szCs w:val="24"/>
        </w:rPr>
      </w:pPr>
    </w:p>
    <w:p w14:paraId="52C7E563">
      <w:pPr>
        <w:shd w:val="clear" w:color="auto" w:fill="FFFFFF"/>
        <w:topLinePunct/>
        <w:autoSpaceDE/>
        <w:autoSpaceDN/>
        <w:adjustRightInd/>
        <w:ind w:left="482" w:hanging="482" w:hangingChars="200"/>
        <w:jc w:val="both"/>
        <w:rPr>
          <w:rFonts w:eastAsia="宋体"/>
          <w:b/>
          <w:bCs/>
          <w:color w:val="000000"/>
          <w:sz w:val="24"/>
          <w:szCs w:val="24"/>
          <w:lang w:val="de-DE"/>
        </w:rPr>
      </w:pPr>
      <w:r>
        <w:rPr>
          <w:rFonts w:eastAsia="宋体"/>
          <w:b/>
          <w:color w:val="000000"/>
          <w:sz w:val="24"/>
          <w:szCs w:val="24"/>
          <w:lang w:val="de-DE"/>
        </w:rPr>
        <w:br w:type="page"/>
      </w:r>
    </w:p>
    <w:p w14:paraId="59B7DE2F">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表3--基于适用IEC标准的符合性被视为符合EPRC要求</w:t>
      </w:r>
    </w:p>
    <w:p w14:paraId="4ED3B5B4">
      <w:pPr>
        <w:shd w:val="clear" w:color="auto" w:fill="FFFFFF"/>
        <w:topLinePunct/>
        <w:autoSpaceDE/>
        <w:autoSpaceDN/>
        <w:adjustRightInd/>
        <w:jc w:val="center"/>
        <w:rPr>
          <w:rFonts w:eastAsia="宋体"/>
          <w:sz w:val="24"/>
          <w:szCs w:val="24"/>
        </w:rPr>
      </w:pPr>
    </w:p>
    <w:tbl>
      <w:tblPr>
        <w:tblStyle w:val="12"/>
        <w:tblW w:w="0" w:type="auto"/>
        <w:tblInd w:w="40" w:type="dxa"/>
        <w:tblLayout w:type="autofit"/>
        <w:tblCellMar>
          <w:top w:w="0" w:type="dxa"/>
          <w:left w:w="57" w:type="dxa"/>
          <w:bottom w:w="0" w:type="dxa"/>
          <w:right w:w="57" w:type="dxa"/>
        </w:tblCellMar>
      </w:tblPr>
      <w:tblGrid>
        <w:gridCol w:w="2711"/>
        <w:gridCol w:w="6402"/>
      </w:tblGrid>
      <w:tr w14:paraId="7B319508">
        <w:tblPrEx>
          <w:tblCellMar>
            <w:top w:w="0" w:type="dxa"/>
            <w:left w:w="57" w:type="dxa"/>
            <w:bottom w:w="0" w:type="dxa"/>
            <w:right w:w="57" w:type="dxa"/>
          </w:tblCellMar>
        </w:tblPrEx>
        <w:trPr>
          <w:trHeight w:val="284" w:hRule="atLeast"/>
        </w:trPr>
        <w:tc>
          <w:tcPr>
            <w:tcW w:w="2711" w:type="dxa"/>
            <w:tcBorders>
              <w:top w:val="single" w:color="auto" w:sz="6" w:space="0"/>
              <w:left w:val="single" w:color="auto" w:sz="6" w:space="0"/>
              <w:bottom w:val="single" w:color="auto" w:sz="6" w:space="0"/>
              <w:right w:val="single" w:color="auto" w:sz="6" w:space="0"/>
            </w:tcBorders>
            <w:shd w:val="clear" w:color="auto" w:fill="FFFFFF"/>
          </w:tcPr>
          <w:p w14:paraId="7DD38C09">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1002 第B子部分</w:t>
            </w:r>
          </w:p>
        </w:tc>
        <w:tc>
          <w:tcPr>
            <w:tcW w:w="6402" w:type="dxa"/>
            <w:tcBorders>
              <w:top w:val="single" w:color="auto" w:sz="6" w:space="0"/>
              <w:left w:val="single" w:color="auto" w:sz="6" w:space="0"/>
              <w:bottom w:val="single" w:color="auto" w:sz="6" w:space="0"/>
              <w:right w:val="single" w:color="auto" w:sz="6" w:space="0"/>
            </w:tcBorders>
            <w:shd w:val="clear" w:color="auto" w:fill="FFFFFF"/>
          </w:tcPr>
          <w:p w14:paraId="37B022BE">
            <w:pPr>
              <w:shd w:val="clear" w:color="auto" w:fill="FFFFFF"/>
              <w:topLinePunct/>
              <w:autoSpaceDE/>
              <w:autoSpaceDN/>
              <w:adjustRightInd/>
              <w:snapToGrid w:val="0"/>
              <w:jc w:val="both"/>
              <w:rPr>
                <w:rFonts w:eastAsia="宋体"/>
                <w:sz w:val="21"/>
                <w:szCs w:val="21"/>
              </w:rPr>
            </w:pPr>
            <w:r>
              <w:rPr>
                <w:rFonts w:eastAsia="宋体"/>
                <w:color w:val="000000"/>
                <w:sz w:val="21"/>
                <w:szCs w:val="21"/>
              </w:rPr>
              <w:t>上市电子产品所需的制造商报告</w:t>
            </w:r>
          </w:p>
        </w:tc>
      </w:tr>
      <w:tr w14:paraId="4A8DA370">
        <w:tblPrEx>
          <w:tblCellMar>
            <w:top w:w="0" w:type="dxa"/>
            <w:left w:w="57" w:type="dxa"/>
            <w:bottom w:w="0" w:type="dxa"/>
            <w:right w:w="57" w:type="dxa"/>
          </w:tblCellMar>
        </w:tblPrEx>
        <w:trPr>
          <w:trHeight w:val="284" w:hRule="atLeast"/>
        </w:trPr>
        <w:tc>
          <w:tcPr>
            <w:tcW w:w="2711" w:type="dxa"/>
            <w:tcBorders>
              <w:top w:val="single" w:color="auto" w:sz="6" w:space="0"/>
              <w:left w:val="single" w:color="auto" w:sz="6" w:space="0"/>
              <w:bottom w:val="single" w:color="auto" w:sz="6" w:space="0"/>
              <w:right w:val="single" w:color="auto" w:sz="6" w:space="0"/>
            </w:tcBorders>
            <w:shd w:val="clear" w:color="auto" w:fill="FFFFFF"/>
          </w:tcPr>
          <w:p w14:paraId="382F5515">
            <w:pPr>
              <w:shd w:val="clear" w:color="auto" w:fill="FFFFFF"/>
              <w:topLinePunct/>
              <w:autoSpaceDE/>
              <w:autoSpaceDN/>
              <w:adjustRightInd/>
              <w:snapToGrid w:val="0"/>
              <w:jc w:val="both"/>
              <w:rPr>
                <w:rFonts w:eastAsia="宋体"/>
                <w:sz w:val="21"/>
                <w:szCs w:val="21"/>
              </w:rPr>
            </w:pPr>
            <w:r>
              <w:rPr>
                <w:rFonts w:eastAsia="宋体"/>
                <w:color w:val="000000"/>
                <w:sz w:val="21"/>
                <w:szCs w:val="21"/>
              </w:rPr>
              <w:t xml:space="preserve">21 CFR 1020.30(c), </w:t>
            </w:r>
            <w:r>
              <w:rPr>
                <w:rFonts w:eastAsia="宋体"/>
                <w:color w:val="000000"/>
                <w:sz w:val="21"/>
                <w:szCs w:val="21"/>
                <w:lang w:val="hu-HU"/>
              </w:rPr>
              <w:t xml:space="preserve">(h), (k), (l), (m), (n), </w:t>
            </w:r>
            <w:r>
              <w:rPr>
                <w:rFonts w:eastAsia="宋体"/>
                <w:color w:val="000000"/>
                <w:sz w:val="21"/>
                <w:szCs w:val="21"/>
              </w:rPr>
              <w:t>(o)</w:t>
            </w:r>
          </w:p>
        </w:tc>
        <w:tc>
          <w:tcPr>
            <w:tcW w:w="6402" w:type="dxa"/>
            <w:tcBorders>
              <w:top w:val="single" w:color="auto" w:sz="6" w:space="0"/>
              <w:left w:val="single" w:color="auto" w:sz="6" w:space="0"/>
              <w:bottom w:val="single" w:color="auto" w:sz="6" w:space="0"/>
              <w:right w:val="single" w:color="auto" w:sz="6" w:space="0"/>
            </w:tcBorders>
            <w:shd w:val="clear" w:color="auto" w:fill="FFFFFF"/>
          </w:tcPr>
          <w:p w14:paraId="0ADFE62B">
            <w:pPr>
              <w:shd w:val="clear" w:color="auto" w:fill="FFFFFF"/>
              <w:topLinePunct/>
              <w:autoSpaceDE/>
              <w:autoSpaceDN/>
              <w:adjustRightInd/>
              <w:snapToGrid w:val="0"/>
              <w:jc w:val="both"/>
              <w:rPr>
                <w:rFonts w:eastAsia="宋体"/>
                <w:sz w:val="21"/>
                <w:szCs w:val="21"/>
              </w:rPr>
            </w:pPr>
            <w:r>
              <w:rPr>
                <w:rFonts w:eastAsia="宋体"/>
                <w:color w:val="000000"/>
                <w:sz w:val="21"/>
                <w:szCs w:val="21"/>
              </w:rPr>
              <w:t>X射线诊断系统及其主要组件</w:t>
            </w:r>
          </w:p>
        </w:tc>
      </w:tr>
      <w:tr w14:paraId="172AC8B7">
        <w:tblPrEx>
          <w:tblCellMar>
            <w:top w:w="0" w:type="dxa"/>
            <w:left w:w="57" w:type="dxa"/>
            <w:bottom w:w="0" w:type="dxa"/>
            <w:right w:w="57" w:type="dxa"/>
          </w:tblCellMar>
        </w:tblPrEx>
        <w:trPr>
          <w:trHeight w:val="284" w:hRule="atLeast"/>
        </w:trPr>
        <w:tc>
          <w:tcPr>
            <w:tcW w:w="2711" w:type="dxa"/>
            <w:tcBorders>
              <w:top w:val="single" w:color="auto" w:sz="6" w:space="0"/>
              <w:left w:val="single" w:color="auto" w:sz="6" w:space="0"/>
              <w:bottom w:val="single" w:color="auto" w:sz="6" w:space="0"/>
              <w:right w:val="single" w:color="auto" w:sz="6" w:space="0"/>
            </w:tcBorders>
            <w:shd w:val="clear" w:color="auto" w:fill="FFFFFF"/>
          </w:tcPr>
          <w:p w14:paraId="36C3D2C9">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1020.31</w:t>
            </w:r>
          </w:p>
        </w:tc>
        <w:tc>
          <w:tcPr>
            <w:tcW w:w="6402" w:type="dxa"/>
            <w:tcBorders>
              <w:top w:val="single" w:color="auto" w:sz="6" w:space="0"/>
              <w:left w:val="single" w:color="auto" w:sz="6" w:space="0"/>
              <w:bottom w:val="single" w:color="auto" w:sz="6" w:space="0"/>
              <w:right w:val="single" w:color="auto" w:sz="6" w:space="0"/>
            </w:tcBorders>
            <w:shd w:val="clear" w:color="auto" w:fill="FFFFFF"/>
          </w:tcPr>
          <w:p w14:paraId="117A2D5B">
            <w:pPr>
              <w:shd w:val="clear" w:color="auto" w:fill="FFFFFF"/>
              <w:topLinePunct/>
              <w:autoSpaceDE/>
              <w:autoSpaceDN/>
              <w:adjustRightInd/>
              <w:snapToGrid w:val="0"/>
              <w:jc w:val="both"/>
              <w:rPr>
                <w:rFonts w:eastAsia="宋体"/>
                <w:sz w:val="21"/>
                <w:szCs w:val="21"/>
              </w:rPr>
            </w:pPr>
            <w:r>
              <w:rPr>
                <w:rFonts w:eastAsia="宋体"/>
                <w:color w:val="000000"/>
                <w:sz w:val="21"/>
                <w:szCs w:val="21"/>
              </w:rPr>
              <w:t>射线照相设备</w:t>
            </w:r>
          </w:p>
        </w:tc>
      </w:tr>
      <w:tr w14:paraId="1139F569">
        <w:tblPrEx>
          <w:tblCellMar>
            <w:top w:w="0" w:type="dxa"/>
            <w:left w:w="57" w:type="dxa"/>
            <w:bottom w:w="0" w:type="dxa"/>
            <w:right w:w="57" w:type="dxa"/>
          </w:tblCellMar>
        </w:tblPrEx>
        <w:trPr>
          <w:trHeight w:val="284" w:hRule="atLeast"/>
        </w:trPr>
        <w:tc>
          <w:tcPr>
            <w:tcW w:w="2711" w:type="dxa"/>
            <w:tcBorders>
              <w:top w:val="single" w:color="auto" w:sz="6" w:space="0"/>
              <w:left w:val="single" w:color="auto" w:sz="6" w:space="0"/>
              <w:bottom w:val="single" w:color="auto" w:sz="6" w:space="0"/>
              <w:right w:val="single" w:color="auto" w:sz="6" w:space="0"/>
            </w:tcBorders>
            <w:shd w:val="clear" w:color="auto" w:fill="FFFFFF"/>
          </w:tcPr>
          <w:p w14:paraId="5F62C0FC">
            <w:pPr>
              <w:shd w:val="clear" w:color="auto" w:fill="FFFFFF"/>
              <w:topLinePunct/>
              <w:autoSpaceDE/>
              <w:autoSpaceDN/>
              <w:adjustRightInd/>
              <w:snapToGrid w:val="0"/>
              <w:jc w:val="both"/>
              <w:rPr>
                <w:rFonts w:eastAsia="宋体"/>
                <w:sz w:val="21"/>
                <w:szCs w:val="21"/>
              </w:rPr>
            </w:pPr>
            <w:r>
              <w:rPr>
                <w:rFonts w:eastAsia="宋体"/>
                <w:color w:val="000000"/>
                <w:sz w:val="21"/>
                <w:szCs w:val="21"/>
              </w:rPr>
              <w:t xml:space="preserve">21 CFR 1020.32(A), (B), (c), (d)(1), (d)(2), (d)(3)(i) – （iv）, (d)(4), </w:t>
            </w:r>
            <w:r>
              <w:rPr>
                <w:rFonts w:eastAsia="宋体"/>
                <w:color w:val="000000"/>
                <w:sz w:val="21"/>
                <w:szCs w:val="21"/>
                <w:lang w:val="hu-HU"/>
              </w:rPr>
              <w:t>(f), (h), (i), (j), (k)</w:t>
            </w:r>
          </w:p>
        </w:tc>
        <w:tc>
          <w:tcPr>
            <w:tcW w:w="6402" w:type="dxa"/>
            <w:tcBorders>
              <w:top w:val="single" w:color="auto" w:sz="6" w:space="0"/>
              <w:left w:val="single" w:color="auto" w:sz="6" w:space="0"/>
              <w:bottom w:val="single" w:color="auto" w:sz="6" w:space="0"/>
              <w:right w:val="single" w:color="auto" w:sz="6" w:space="0"/>
            </w:tcBorders>
            <w:shd w:val="clear" w:color="auto" w:fill="FFFFFF"/>
          </w:tcPr>
          <w:p w14:paraId="6A927FB3">
            <w:pPr>
              <w:shd w:val="clear" w:color="auto" w:fill="FFFFFF"/>
              <w:topLinePunct/>
              <w:autoSpaceDE/>
              <w:autoSpaceDN/>
              <w:adjustRightInd/>
              <w:snapToGrid w:val="0"/>
              <w:jc w:val="both"/>
              <w:rPr>
                <w:rFonts w:eastAsia="宋体"/>
                <w:sz w:val="21"/>
                <w:szCs w:val="21"/>
              </w:rPr>
            </w:pPr>
            <w:r>
              <w:rPr>
                <w:rFonts w:eastAsia="宋体"/>
                <w:color w:val="000000"/>
                <w:sz w:val="21"/>
                <w:szCs w:val="21"/>
              </w:rPr>
              <w:t>荧光透视设备</w:t>
            </w:r>
          </w:p>
        </w:tc>
      </w:tr>
      <w:tr w14:paraId="0706B0AD">
        <w:tblPrEx>
          <w:tblCellMar>
            <w:top w:w="0" w:type="dxa"/>
            <w:left w:w="57" w:type="dxa"/>
            <w:bottom w:w="0" w:type="dxa"/>
            <w:right w:w="57" w:type="dxa"/>
          </w:tblCellMar>
        </w:tblPrEx>
        <w:trPr>
          <w:trHeight w:val="284" w:hRule="atLeast"/>
        </w:trPr>
        <w:tc>
          <w:tcPr>
            <w:tcW w:w="2711" w:type="dxa"/>
            <w:tcBorders>
              <w:top w:val="single" w:color="auto" w:sz="6" w:space="0"/>
              <w:left w:val="single" w:color="auto" w:sz="6" w:space="0"/>
              <w:bottom w:val="single" w:color="auto" w:sz="6" w:space="0"/>
              <w:right w:val="single" w:color="auto" w:sz="6" w:space="0"/>
            </w:tcBorders>
            <w:shd w:val="clear" w:color="auto" w:fill="FFFFFF"/>
          </w:tcPr>
          <w:p w14:paraId="77886886">
            <w:pPr>
              <w:shd w:val="clear" w:color="auto" w:fill="FFFFFF"/>
              <w:topLinePunct/>
              <w:autoSpaceDE/>
              <w:autoSpaceDN/>
              <w:adjustRightInd/>
              <w:snapToGrid w:val="0"/>
              <w:jc w:val="both"/>
              <w:rPr>
                <w:rFonts w:eastAsia="宋体"/>
                <w:sz w:val="21"/>
                <w:szCs w:val="21"/>
              </w:rPr>
            </w:pPr>
            <w:r>
              <w:rPr>
                <w:rFonts w:eastAsia="宋体"/>
                <w:color w:val="000000"/>
                <w:sz w:val="21"/>
                <w:szCs w:val="21"/>
              </w:rPr>
              <w:t xml:space="preserve">21 CFR 1020.33(A), (B). (c), </w:t>
            </w:r>
            <w:r>
              <w:rPr>
                <w:rFonts w:eastAsia="宋体"/>
                <w:color w:val="000000"/>
                <w:sz w:val="21"/>
                <w:szCs w:val="21"/>
                <w:lang w:val="hu-HU"/>
              </w:rPr>
              <w:t>(f), (g), (h), (i), (j)</w:t>
            </w:r>
          </w:p>
        </w:tc>
        <w:tc>
          <w:tcPr>
            <w:tcW w:w="6402" w:type="dxa"/>
            <w:tcBorders>
              <w:top w:val="single" w:color="auto" w:sz="6" w:space="0"/>
              <w:left w:val="single" w:color="auto" w:sz="6" w:space="0"/>
              <w:bottom w:val="single" w:color="auto" w:sz="6" w:space="0"/>
              <w:right w:val="single" w:color="auto" w:sz="6" w:space="0"/>
            </w:tcBorders>
            <w:shd w:val="clear" w:color="auto" w:fill="FFFFFF"/>
          </w:tcPr>
          <w:p w14:paraId="471EE367">
            <w:pPr>
              <w:shd w:val="clear" w:color="auto" w:fill="FFFFFF"/>
              <w:topLinePunct/>
              <w:autoSpaceDE/>
              <w:autoSpaceDN/>
              <w:adjustRightInd/>
              <w:snapToGrid w:val="0"/>
              <w:jc w:val="both"/>
              <w:rPr>
                <w:rFonts w:eastAsia="宋体"/>
                <w:sz w:val="21"/>
                <w:szCs w:val="21"/>
              </w:rPr>
            </w:pPr>
            <w:r>
              <w:rPr>
                <w:rFonts w:eastAsia="宋体"/>
                <w:color w:val="000000"/>
                <w:sz w:val="21"/>
                <w:szCs w:val="21"/>
              </w:rPr>
              <w:t>计算机断层扫描（CT）设备</w:t>
            </w:r>
          </w:p>
        </w:tc>
      </w:tr>
    </w:tbl>
    <w:p w14:paraId="26B4908D">
      <w:pPr>
        <w:shd w:val="clear" w:color="auto" w:fill="FFFFFF"/>
        <w:topLinePunct/>
        <w:autoSpaceDE/>
        <w:autoSpaceDN/>
        <w:adjustRightInd/>
        <w:jc w:val="both"/>
        <w:rPr>
          <w:rFonts w:eastAsia="宋体"/>
          <w:color w:val="000000"/>
          <w:sz w:val="24"/>
          <w:szCs w:val="24"/>
        </w:rPr>
      </w:pPr>
    </w:p>
    <w:p w14:paraId="781A316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电子产品法规的某些章节未得到充分论述或在本指南第3b节所述IEC标准范围内（参见附录A）的范围之外。对于电子产品法规中这些部分的内容，FDA已确定IEC标准中没有适用部分可用于满足这些要求。因此，仅根据对已确定IEC标准的符合性，不能视制造商、进口商及其器械符合下表4中规定的各项要求。</w:t>
      </w:r>
    </w:p>
    <w:p w14:paraId="22AF0CF5">
      <w:pPr>
        <w:shd w:val="clear" w:color="auto" w:fill="FFFFFF"/>
        <w:topLinePunct/>
        <w:autoSpaceDE/>
        <w:autoSpaceDN/>
        <w:adjustRightInd/>
        <w:jc w:val="both"/>
        <w:rPr>
          <w:rFonts w:eastAsia="宋体"/>
          <w:sz w:val="24"/>
          <w:szCs w:val="24"/>
        </w:rPr>
      </w:pPr>
    </w:p>
    <w:p w14:paraId="1FE762B7">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表4–仅基于IEC标准的符合性不能视为符合EPRC要求</w:t>
      </w:r>
    </w:p>
    <w:p w14:paraId="59123456">
      <w:pPr>
        <w:shd w:val="clear" w:color="auto" w:fill="FFFFFF"/>
        <w:topLinePunct/>
        <w:autoSpaceDE/>
        <w:autoSpaceDN/>
        <w:adjustRightInd/>
        <w:jc w:val="center"/>
        <w:rPr>
          <w:rFonts w:eastAsia="宋体"/>
          <w:sz w:val="24"/>
          <w:szCs w:val="24"/>
        </w:rPr>
      </w:pPr>
    </w:p>
    <w:tbl>
      <w:tblPr>
        <w:tblStyle w:val="12"/>
        <w:tblW w:w="5000" w:type="pct"/>
        <w:tblInd w:w="0" w:type="dxa"/>
        <w:tblLayout w:type="autofit"/>
        <w:tblCellMar>
          <w:top w:w="0" w:type="dxa"/>
          <w:left w:w="57" w:type="dxa"/>
          <w:bottom w:w="0" w:type="dxa"/>
          <w:right w:w="57" w:type="dxa"/>
        </w:tblCellMar>
      </w:tblPr>
      <w:tblGrid>
        <w:gridCol w:w="2697"/>
        <w:gridCol w:w="6774"/>
      </w:tblGrid>
      <w:tr w14:paraId="511F4E90">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0AC2D5D5">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1002子部分A、C、D、E和F</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6F920D90">
            <w:pPr>
              <w:shd w:val="clear" w:color="auto" w:fill="FFFFFF"/>
              <w:topLinePunct/>
              <w:autoSpaceDE/>
              <w:autoSpaceDN/>
              <w:adjustRightInd/>
              <w:snapToGrid w:val="0"/>
              <w:jc w:val="both"/>
              <w:rPr>
                <w:rFonts w:eastAsia="宋体"/>
                <w:sz w:val="21"/>
                <w:szCs w:val="21"/>
              </w:rPr>
            </w:pPr>
            <w:r>
              <w:rPr>
                <w:rFonts w:eastAsia="宋体"/>
                <w:color w:val="000000"/>
                <w:sz w:val="21"/>
                <w:szCs w:val="21"/>
              </w:rPr>
              <w:t>记录和报告</w:t>
            </w:r>
          </w:p>
        </w:tc>
      </w:tr>
      <w:tr w14:paraId="1097ABE9">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3915D0E4">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1010.3</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14FB87DB">
            <w:pPr>
              <w:shd w:val="clear" w:color="auto" w:fill="FFFFFF"/>
              <w:topLinePunct/>
              <w:autoSpaceDE/>
              <w:autoSpaceDN/>
              <w:adjustRightInd/>
              <w:snapToGrid w:val="0"/>
              <w:jc w:val="both"/>
              <w:rPr>
                <w:rFonts w:eastAsia="宋体"/>
                <w:sz w:val="21"/>
                <w:szCs w:val="21"/>
              </w:rPr>
            </w:pPr>
            <w:r>
              <w:rPr>
                <w:rFonts w:eastAsia="宋体"/>
                <w:color w:val="000000"/>
                <w:sz w:val="21"/>
                <w:szCs w:val="21"/>
              </w:rPr>
              <w:t>标识</w:t>
            </w:r>
          </w:p>
        </w:tc>
      </w:tr>
      <w:tr w14:paraId="7FF99F34">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25AACAD6">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1010.4</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24342845">
            <w:pPr>
              <w:shd w:val="clear" w:color="auto" w:fill="FFFFFF"/>
              <w:topLinePunct/>
              <w:autoSpaceDE/>
              <w:autoSpaceDN/>
              <w:adjustRightInd/>
              <w:snapToGrid w:val="0"/>
              <w:jc w:val="both"/>
              <w:rPr>
                <w:rFonts w:eastAsia="宋体"/>
                <w:sz w:val="21"/>
                <w:szCs w:val="21"/>
              </w:rPr>
            </w:pPr>
            <w:r>
              <w:rPr>
                <w:rFonts w:eastAsia="宋体"/>
                <w:color w:val="000000"/>
                <w:sz w:val="21"/>
                <w:szCs w:val="21"/>
              </w:rPr>
              <w:t>差异（仅针对EPRC要求）</w:t>
            </w:r>
          </w:p>
        </w:tc>
      </w:tr>
      <w:tr w14:paraId="4A7E8274">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265D7A50">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w:t>
            </w:r>
            <w:r>
              <w:rPr>
                <w:rFonts w:hint="eastAsia" w:eastAsia="宋体"/>
                <w:color w:val="000000"/>
                <w:sz w:val="21"/>
                <w:szCs w:val="21"/>
              </w:rPr>
              <w:t>a</w:t>
            </w:r>
            <w:r>
              <w:rPr>
                <w:rFonts w:eastAsia="宋体"/>
                <w:color w:val="000000"/>
                <w:sz w:val="21"/>
                <w:szCs w:val="21"/>
              </w:rPr>
              <w:t>)</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6B2A229B">
            <w:pPr>
              <w:shd w:val="clear" w:color="auto" w:fill="FFFFFF"/>
              <w:topLinePunct/>
              <w:autoSpaceDE/>
              <w:autoSpaceDN/>
              <w:adjustRightInd/>
              <w:snapToGrid w:val="0"/>
              <w:jc w:val="both"/>
              <w:rPr>
                <w:rFonts w:eastAsia="宋体"/>
                <w:sz w:val="21"/>
                <w:szCs w:val="21"/>
              </w:rPr>
            </w:pPr>
            <w:r>
              <w:rPr>
                <w:rFonts w:eastAsia="宋体"/>
                <w:color w:val="000000"/>
                <w:sz w:val="21"/>
                <w:szCs w:val="21"/>
              </w:rPr>
              <w:t>适用性</w:t>
            </w:r>
          </w:p>
        </w:tc>
      </w:tr>
      <w:tr w14:paraId="7C5ACD38">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725F7694">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w:t>
            </w:r>
            <w:r>
              <w:rPr>
                <w:rFonts w:hint="eastAsia" w:eastAsia="宋体"/>
                <w:color w:val="000000"/>
                <w:sz w:val="21"/>
                <w:szCs w:val="21"/>
              </w:rPr>
              <w:t>b</w:t>
            </w:r>
            <w:r>
              <w:rPr>
                <w:rFonts w:eastAsia="宋体"/>
                <w:color w:val="000000"/>
                <w:sz w:val="21"/>
                <w:szCs w:val="21"/>
              </w:rPr>
              <w:t>)</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5354EED2">
            <w:pPr>
              <w:shd w:val="clear" w:color="auto" w:fill="FFFFFF"/>
              <w:topLinePunct/>
              <w:autoSpaceDE/>
              <w:autoSpaceDN/>
              <w:adjustRightInd/>
              <w:snapToGrid w:val="0"/>
              <w:jc w:val="both"/>
              <w:rPr>
                <w:rFonts w:eastAsia="宋体"/>
                <w:sz w:val="21"/>
                <w:szCs w:val="21"/>
              </w:rPr>
            </w:pPr>
            <w:r>
              <w:rPr>
                <w:rFonts w:eastAsia="宋体"/>
                <w:color w:val="000000"/>
                <w:sz w:val="21"/>
                <w:szCs w:val="21"/>
              </w:rPr>
              <w:t>定义（见本表下方注释）</w:t>
            </w:r>
          </w:p>
        </w:tc>
      </w:tr>
      <w:tr w14:paraId="0FCAF9C7">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427FE2DE">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1020.30(d)</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3F2F2C80">
            <w:pPr>
              <w:shd w:val="clear" w:color="auto" w:fill="FFFFFF"/>
              <w:topLinePunct/>
              <w:autoSpaceDE/>
              <w:autoSpaceDN/>
              <w:adjustRightInd/>
              <w:snapToGrid w:val="0"/>
              <w:jc w:val="both"/>
              <w:rPr>
                <w:rFonts w:eastAsia="宋体"/>
                <w:sz w:val="21"/>
                <w:szCs w:val="21"/>
              </w:rPr>
            </w:pPr>
            <w:r>
              <w:rPr>
                <w:rFonts w:eastAsia="宋体"/>
                <w:color w:val="000000"/>
                <w:sz w:val="21"/>
                <w:szCs w:val="21"/>
              </w:rPr>
              <w:t>组装商的职责</w:t>
            </w:r>
          </w:p>
        </w:tc>
      </w:tr>
      <w:tr w14:paraId="17351CB6">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78DD0182">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w:t>
            </w:r>
            <w:r>
              <w:rPr>
                <w:rFonts w:hint="eastAsia" w:eastAsia="宋体"/>
                <w:color w:val="000000"/>
                <w:sz w:val="21"/>
                <w:szCs w:val="21"/>
              </w:rPr>
              <w:t>(</w:t>
            </w:r>
            <w:r>
              <w:rPr>
                <w:rFonts w:eastAsia="宋体"/>
                <w:color w:val="000000"/>
                <w:sz w:val="21"/>
                <w:szCs w:val="21"/>
              </w:rPr>
              <w:t>e</w:t>
            </w:r>
            <w:r>
              <w:rPr>
                <w:rFonts w:hint="eastAsia" w:eastAsia="宋体"/>
                <w:color w:val="000000"/>
                <w:sz w:val="21"/>
                <w:szCs w:val="21"/>
              </w:rPr>
              <w:t>)</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518FDD99">
            <w:pPr>
              <w:shd w:val="clear" w:color="auto" w:fill="FFFFFF"/>
              <w:topLinePunct/>
              <w:autoSpaceDE/>
              <w:autoSpaceDN/>
              <w:adjustRightInd/>
              <w:snapToGrid w:val="0"/>
              <w:jc w:val="both"/>
              <w:rPr>
                <w:rFonts w:eastAsia="宋体"/>
                <w:sz w:val="21"/>
                <w:szCs w:val="21"/>
              </w:rPr>
            </w:pPr>
            <w:r>
              <w:rPr>
                <w:rFonts w:eastAsia="宋体"/>
                <w:color w:val="000000"/>
                <w:sz w:val="21"/>
                <w:szCs w:val="21"/>
              </w:rPr>
              <w:t>X射线组件的标识</w:t>
            </w:r>
          </w:p>
        </w:tc>
      </w:tr>
      <w:tr w14:paraId="74F24F09">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6B9B3BB2">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1020.30(g)</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3D4E03BD">
            <w:pPr>
              <w:shd w:val="clear" w:color="auto" w:fill="FFFFFF"/>
              <w:topLinePunct/>
              <w:autoSpaceDE/>
              <w:autoSpaceDN/>
              <w:adjustRightInd/>
              <w:snapToGrid w:val="0"/>
              <w:jc w:val="both"/>
              <w:rPr>
                <w:rFonts w:eastAsia="宋体"/>
                <w:sz w:val="21"/>
                <w:szCs w:val="21"/>
              </w:rPr>
            </w:pPr>
            <w:r>
              <w:rPr>
                <w:rFonts w:eastAsia="宋体"/>
                <w:color w:val="000000"/>
                <w:sz w:val="21"/>
                <w:szCs w:val="21"/>
              </w:rPr>
              <w:t>提供给组装商的信息</w:t>
            </w:r>
          </w:p>
        </w:tc>
      </w:tr>
      <w:tr w14:paraId="020CCC55">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0ECF0342">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1020.30(j)</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36BCBF89">
            <w:pPr>
              <w:shd w:val="clear" w:color="auto" w:fill="FFFFFF"/>
              <w:topLinePunct/>
              <w:autoSpaceDE/>
              <w:autoSpaceDN/>
              <w:adjustRightInd/>
              <w:snapToGrid w:val="0"/>
              <w:jc w:val="both"/>
              <w:rPr>
                <w:rFonts w:eastAsia="宋体"/>
                <w:sz w:val="21"/>
                <w:szCs w:val="21"/>
              </w:rPr>
            </w:pPr>
            <w:r>
              <w:rPr>
                <w:rFonts w:eastAsia="宋体"/>
                <w:color w:val="000000"/>
                <w:sz w:val="21"/>
                <w:szCs w:val="21"/>
              </w:rPr>
              <w:t>警告标签</w:t>
            </w:r>
          </w:p>
        </w:tc>
      </w:tr>
      <w:tr w14:paraId="0A4F4E8A">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40077906">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1020.30(q)</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79BAB218">
            <w:pPr>
              <w:shd w:val="clear" w:color="auto" w:fill="FFFFFF"/>
              <w:topLinePunct/>
              <w:autoSpaceDE/>
              <w:autoSpaceDN/>
              <w:adjustRightInd/>
              <w:snapToGrid w:val="0"/>
              <w:jc w:val="both"/>
              <w:rPr>
                <w:rFonts w:eastAsia="宋体"/>
                <w:sz w:val="21"/>
                <w:szCs w:val="21"/>
              </w:rPr>
            </w:pPr>
            <w:r>
              <w:rPr>
                <w:rFonts w:eastAsia="宋体"/>
                <w:color w:val="000000"/>
                <w:sz w:val="21"/>
                <w:szCs w:val="21"/>
              </w:rPr>
              <w:t>认证组件的修正</w:t>
            </w:r>
          </w:p>
        </w:tc>
      </w:tr>
      <w:tr w14:paraId="0A474D6C">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1F84B583">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1020.32(d)(3)</w:t>
            </w:r>
            <w:r>
              <w:rPr>
                <w:rFonts w:hint="eastAsia" w:eastAsia="宋体"/>
                <w:color w:val="000000"/>
                <w:sz w:val="21"/>
                <w:szCs w:val="21"/>
              </w:rPr>
              <w:t>(</w:t>
            </w:r>
            <w:r>
              <w:rPr>
                <w:rFonts w:eastAsia="宋体"/>
                <w:color w:val="000000"/>
                <w:sz w:val="21"/>
                <w:szCs w:val="21"/>
              </w:rPr>
              <w:t>v</w:t>
            </w:r>
            <w:r>
              <w:rPr>
                <w:rFonts w:hint="eastAsia" w:eastAsia="宋体"/>
                <w:color w:val="000000"/>
                <w:sz w:val="21"/>
                <w:szCs w:val="21"/>
              </w:rPr>
              <w:t>)</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413430F7">
            <w:pPr>
              <w:shd w:val="clear" w:color="auto" w:fill="FFFFFF"/>
              <w:topLinePunct/>
              <w:autoSpaceDE/>
              <w:autoSpaceDN/>
              <w:adjustRightInd/>
              <w:snapToGrid w:val="0"/>
              <w:jc w:val="both"/>
              <w:rPr>
                <w:rFonts w:eastAsia="宋体"/>
                <w:sz w:val="21"/>
                <w:szCs w:val="21"/>
              </w:rPr>
            </w:pPr>
            <w:r>
              <w:rPr>
                <w:rFonts w:eastAsia="宋体"/>
                <w:color w:val="000000"/>
                <w:sz w:val="21"/>
                <w:szCs w:val="21"/>
              </w:rPr>
              <w:t>侧面患者入口点</w:t>
            </w:r>
          </w:p>
        </w:tc>
      </w:tr>
      <w:tr w14:paraId="7EE92F1E">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6C71EBF8">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1020.32(g)</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69766AB9">
            <w:pPr>
              <w:shd w:val="clear" w:color="auto" w:fill="FFFFFF"/>
              <w:topLinePunct/>
              <w:autoSpaceDE/>
              <w:autoSpaceDN/>
              <w:adjustRightInd/>
              <w:snapToGrid w:val="0"/>
              <w:jc w:val="both"/>
              <w:rPr>
                <w:rFonts w:eastAsia="宋体"/>
                <w:sz w:val="21"/>
                <w:szCs w:val="21"/>
              </w:rPr>
            </w:pPr>
            <w:r>
              <w:rPr>
                <w:rFonts w:eastAsia="宋体"/>
                <w:color w:val="000000"/>
                <w:sz w:val="21"/>
                <w:szCs w:val="21"/>
              </w:rPr>
              <w:t>源皮距</w:t>
            </w:r>
          </w:p>
        </w:tc>
      </w:tr>
      <w:tr w14:paraId="4DD2CB23">
        <w:tblPrEx>
          <w:tblCellMar>
            <w:top w:w="0" w:type="dxa"/>
            <w:left w:w="57" w:type="dxa"/>
            <w:bottom w:w="0" w:type="dxa"/>
            <w:right w:w="57" w:type="dxa"/>
          </w:tblCellMar>
        </w:tblPrEx>
        <w:trPr>
          <w:trHeight w:val="284" w:hRule="atLeast"/>
        </w:trPr>
        <w:tc>
          <w:tcPr>
            <w:tcW w:w="1424" w:type="pct"/>
            <w:tcBorders>
              <w:top w:val="single" w:color="auto" w:sz="6" w:space="0"/>
              <w:left w:val="single" w:color="auto" w:sz="6" w:space="0"/>
              <w:bottom w:val="single" w:color="auto" w:sz="6" w:space="0"/>
              <w:right w:val="single" w:color="auto" w:sz="6" w:space="0"/>
            </w:tcBorders>
            <w:shd w:val="clear" w:color="auto" w:fill="FFFFFF"/>
            <w:vAlign w:val="center"/>
          </w:tcPr>
          <w:p w14:paraId="52C19206">
            <w:pPr>
              <w:shd w:val="clear" w:color="auto" w:fill="FFFFFF"/>
              <w:topLinePunct/>
              <w:autoSpaceDE/>
              <w:autoSpaceDN/>
              <w:adjustRightInd/>
              <w:snapToGrid w:val="0"/>
              <w:jc w:val="both"/>
              <w:rPr>
                <w:rFonts w:eastAsia="宋体"/>
                <w:sz w:val="21"/>
                <w:szCs w:val="21"/>
              </w:rPr>
            </w:pPr>
            <w:r>
              <w:rPr>
                <w:rFonts w:eastAsia="宋体"/>
                <w:color w:val="000000"/>
                <w:sz w:val="21"/>
                <w:szCs w:val="21"/>
              </w:rPr>
              <w:t>21 CFR 1020.33(d)</w:t>
            </w:r>
          </w:p>
        </w:tc>
        <w:tc>
          <w:tcPr>
            <w:tcW w:w="3576" w:type="pct"/>
            <w:tcBorders>
              <w:top w:val="single" w:color="auto" w:sz="6" w:space="0"/>
              <w:left w:val="single" w:color="auto" w:sz="6" w:space="0"/>
              <w:bottom w:val="single" w:color="auto" w:sz="6" w:space="0"/>
              <w:right w:val="single" w:color="auto" w:sz="6" w:space="0"/>
            </w:tcBorders>
            <w:shd w:val="clear" w:color="auto" w:fill="FFFFFF"/>
            <w:vAlign w:val="center"/>
          </w:tcPr>
          <w:p w14:paraId="670BE165">
            <w:pPr>
              <w:shd w:val="clear" w:color="auto" w:fill="FFFFFF"/>
              <w:topLinePunct/>
              <w:autoSpaceDE/>
              <w:autoSpaceDN/>
              <w:adjustRightInd/>
              <w:snapToGrid w:val="0"/>
              <w:jc w:val="both"/>
              <w:rPr>
                <w:rFonts w:eastAsia="宋体"/>
                <w:sz w:val="21"/>
                <w:szCs w:val="21"/>
              </w:rPr>
            </w:pPr>
            <w:r>
              <w:rPr>
                <w:rFonts w:eastAsia="宋体"/>
                <w:color w:val="000000"/>
                <w:sz w:val="21"/>
                <w:szCs w:val="21"/>
              </w:rPr>
              <w:t>质量保证</w:t>
            </w:r>
          </w:p>
        </w:tc>
      </w:tr>
    </w:tbl>
    <w:p w14:paraId="2AC7E9B0">
      <w:pPr>
        <w:shd w:val="clear" w:color="auto" w:fill="FFFFFF"/>
        <w:topLinePunct/>
        <w:autoSpaceDE/>
        <w:autoSpaceDN/>
        <w:adjustRightInd/>
        <w:jc w:val="both"/>
        <w:rPr>
          <w:rFonts w:eastAsia="宋体"/>
          <w:color w:val="000000"/>
          <w:sz w:val="24"/>
          <w:szCs w:val="24"/>
        </w:rPr>
      </w:pPr>
    </w:p>
    <w:p w14:paraId="525CD4F6">
      <w:pPr>
        <w:shd w:val="clear" w:color="auto" w:fill="FFFFFF"/>
        <w:topLinePunct/>
        <w:autoSpaceDE/>
        <w:autoSpaceDN/>
        <w:adjustRightInd/>
        <w:jc w:val="both"/>
        <w:rPr>
          <w:rFonts w:eastAsia="宋体"/>
          <w:sz w:val="24"/>
          <w:szCs w:val="24"/>
        </w:rPr>
      </w:pPr>
      <w:r>
        <w:rPr>
          <w:rFonts w:eastAsia="宋体"/>
          <w:color w:val="000000"/>
          <w:sz w:val="24"/>
          <w:szCs w:val="24"/>
        </w:rPr>
        <w:t>注：FDA医疗器械法规和IEC对口腔外和口腔内X射线系统采用不同的定义。</w:t>
      </w:r>
      <w:r>
        <w:rPr>
          <w:rFonts w:eastAsia="宋体"/>
          <w:sz w:val="24"/>
          <w:szCs w:val="24"/>
        </w:rPr>
        <w:t>IEC标准60601-2-63和60601-2-65利用图像接收器的位置确定器械是口腔外器械还是口腔内器械。</w:t>
      </w:r>
    </w:p>
    <w:p w14:paraId="4E62BAE8">
      <w:pPr>
        <w:shd w:val="clear" w:color="auto" w:fill="FFFFFF"/>
        <w:topLinePunct/>
        <w:autoSpaceDE/>
        <w:autoSpaceDN/>
        <w:adjustRightInd/>
        <w:jc w:val="both"/>
        <w:rPr>
          <w:rFonts w:eastAsia="宋体"/>
          <w:sz w:val="24"/>
          <w:szCs w:val="24"/>
        </w:rPr>
      </w:pPr>
    </w:p>
    <w:p w14:paraId="3CA93272">
      <w:pPr>
        <w:widowControl/>
        <w:autoSpaceDE/>
        <w:autoSpaceDN/>
        <w:adjustRightInd/>
        <w:rPr>
          <w:rFonts w:eastAsia="宋体"/>
          <w:sz w:val="24"/>
          <w:szCs w:val="24"/>
        </w:rPr>
      </w:pPr>
      <w:r>
        <w:rPr>
          <w:rFonts w:eastAsia="宋体"/>
          <w:sz w:val="24"/>
          <w:szCs w:val="24"/>
        </w:rPr>
        <w:br w:type="page"/>
      </w:r>
    </w:p>
    <w:p w14:paraId="420102ED">
      <w:pPr>
        <w:shd w:val="clear" w:color="auto" w:fill="FFFFFF"/>
        <w:topLinePunct/>
        <w:autoSpaceDE/>
        <w:autoSpaceDN/>
        <w:adjustRightInd/>
        <w:ind w:firstLine="480" w:firstLineChars="200"/>
        <w:jc w:val="both"/>
        <w:rPr>
          <w:rFonts w:eastAsia="宋体"/>
          <w:sz w:val="24"/>
          <w:szCs w:val="24"/>
        </w:rPr>
      </w:pPr>
      <w:r>
        <w:rPr>
          <w:rFonts w:eastAsia="宋体"/>
          <w:sz w:val="24"/>
          <w:szCs w:val="24"/>
        </w:rPr>
        <w:t>FDA使用X射线源的位置进行区分（21 CFR 872.1800和21 CFR 872.1810）。</w:t>
      </w:r>
      <w:r>
        <w:rPr>
          <w:rFonts w:eastAsia="宋体"/>
          <w:color w:val="000000"/>
          <w:sz w:val="24"/>
          <w:szCs w:val="24"/>
        </w:rPr>
        <w:t>定义上的这种差异意味着，根据21 CFR 872.1800部分归为</w:t>
      </w:r>
      <w:r>
        <w:rPr>
          <w:rFonts w:ascii="宋体" w:hAnsi="宋体" w:eastAsia="宋体"/>
          <w:color w:val="000000"/>
          <w:sz w:val="24"/>
          <w:szCs w:val="24"/>
        </w:rPr>
        <w:t>“</w:t>
      </w:r>
      <w:r>
        <w:rPr>
          <w:rFonts w:eastAsia="宋体"/>
          <w:color w:val="000000"/>
          <w:sz w:val="24"/>
          <w:szCs w:val="24"/>
        </w:rPr>
        <w:t>口腔外源X射线系统</w:t>
      </w:r>
      <w:r>
        <w:rPr>
          <w:rFonts w:ascii="宋体" w:hAnsi="宋体" w:eastAsia="宋体"/>
          <w:color w:val="000000"/>
          <w:sz w:val="24"/>
          <w:szCs w:val="24"/>
        </w:rPr>
        <w:t>”</w:t>
      </w:r>
      <w:r>
        <w:rPr>
          <w:rFonts w:eastAsia="宋体"/>
          <w:color w:val="000000"/>
          <w:sz w:val="24"/>
          <w:szCs w:val="24"/>
        </w:rPr>
        <w:t>的器械将被IEC定义为口腔内源X射线系统。</w:t>
      </w:r>
      <w:r>
        <w:rPr>
          <w:rFonts w:eastAsia="宋体"/>
          <w:sz w:val="24"/>
          <w:szCs w:val="24"/>
        </w:rPr>
        <w:t>在这些情况下，适用IEC标准为60601-2-65（针对口腔内X射线系统），且选择遵守IEC标准的制造商应提交IEC60601-2-65的符合性声明。</w:t>
      </w:r>
    </w:p>
    <w:p w14:paraId="45ABA6BD">
      <w:pPr>
        <w:shd w:val="clear" w:color="auto" w:fill="FFFFFF"/>
        <w:topLinePunct/>
        <w:autoSpaceDE/>
        <w:autoSpaceDN/>
        <w:adjustRightInd/>
        <w:jc w:val="both"/>
        <w:rPr>
          <w:rFonts w:eastAsia="宋体"/>
          <w:sz w:val="24"/>
          <w:szCs w:val="24"/>
        </w:rPr>
      </w:pPr>
    </w:p>
    <w:p w14:paraId="3BDA0AD3">
      <w:pPr>
        <w:pStyle w:val="3"/>
        <w:numPr>
          <w:ilvl w:val="0"/>
          <w:numId w:val="7"/>
        </w:numPr>
        <w:tabs>
          <w:tab w:val="left" w:pos="993"/>
        </w:tabs>
        <w:spacing w:before="0" w:beforeLines="0" w:line="240" w:lineRule="auto"/>
        <w:ind w:left="993" w:hanging="567" w:firstLineChars="0"/>
        <w:rPr>
          <w:rFonts w:cs="Times New Roman"/>
          <w:szCs w:val="28"/>
        </w:rPr>
      </w:pPr>
      <w:bookmarkStart w:id="20" w:name="_Toc97381054"/>
      <w:bookmarkStart w:id="21" w:name="_Toc97383230"/>
      <w:r>
        <w:rPr>
          <w:rFonts w:cs="Times New Roman"/>
          <w:szCs w:val="28"/>
        </w:rPr>
        <w:t>医疗器械-510(k)许可</w:t>
      </w:r>
      <w:bookmarkEnd w:id="20"/>
      <w:bookmarkEnd w:id="21"/>
    </w:p>
    <w:p w14:paraId="65288DC1">
      <w:pPr>
        <w:shd w:val="clear" w:color="auto" w:fill="FFFFFF"/>
        <w:topLinePunct/>
        <w:autoSpaceDE/>
        <w:autoSpaceDN/>
        <w:adjustRightInd/>
        <w:jc w:val="both"/>
        <w:rPr>
          <w:rFonts w:eastAsia="宋体"/>
          <w:color w:val="000000"/>
          <w:sz w:val="24"/>
          <w:szCs w:val="24"/>
        </w:rPr>
      </w:pPr>
    </w:p>
    <w:p w14:paraId="36DE1A7E">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为获得510(k)许可，制造商必须确定其新器械与无需上市前批准申请的（PMA）合法上市同品种器械的实质等同性。</w:t>
      </w:r>
      <w:r>
        <w:rPr>
          <w:rFonts w:eastAsia="宋体"/>
          <w:sz w:val="24"/>
          <w:szCs w:val="24"/>
        </w:rPr>
        <w:t>可通过其新器械具有相同的预期用途、相同的技术特性或不同的技术特性，但这些不同不会引发与同品种器械不同的安全性和有效性问题（参见《FD&amp;C法案》第513(i)节）来确定实质等同性。</w:t>
      </w:r>
      <w:r>
        <w:rPr>
          <w:rStyle w:val="17"/>
          <w:rFonts w:eastAsia="宋体"/>
          <w:sz w:val="24"/>
          <w:szCs w:val="24"/>
        </w:rPr>
        <w:footnoteReference w:id="21"/>
      </w:r>
      <w:r>
        <w:rPr>
          <w:rFonts w:eastAsia="宋体"/>
          <w:sz w:val="24"/>
          <w:szCs w:val="24"/>
        </w:rPr>
        <w:t>在一些情况下，符合公认共识标准可支持实质等同性判定（参见标题为</w:t>
      </w:r>
      <w:r>
        <w:rPr>
          <w:rFonts w:eastAsia="宋体"/>
          <w:color w:val="3333FF"/>
          <w:sz w:val="24"/>
          <w:szCs w:val="24"/>
          <w:u w:val="single"/>
        </w:rPr>
        <w:t>《医疗器械上市前申请中适当使用自愿共识标准》</w:t>
      </w:r>
      <w:r>
        <w:rPr>
          <w:rFonts w:eastAsia="宋体"/>
          <w:sz w:val="24"/>
          <w:szCs w:val="24"/>
        </w:rPr>
        <w:t>的指南）。</w:t>
      </w:r>
      <w:r>
        <w:rPr>
          <w:rStyle w:val="17"/>
          <w:rFonts w:eastAsia="宋体"/>
          <w:sz w:val="24"/>
          <w:szCs w:val="24"/>
        </w:rPr>
        <w:footnoteReference w:id="22"/>
      </w:r>
      <w:r>
        <w:rPr>
          <w:rFonts w:eastAsia="宋体"/>
          <w:sz w:val="24"/>
          <w:szCs w:val="24"/>
        </w:rPr>
        <w:t>此外，公认共识标准的符合性声明可足以免除制造商在其510(k)中提交（和供FDA审查）关于该标准所述器械方面的实际试验数据的要求。虽然适用于医疗器械的FDA强制性标准较少，但FDA已审查并认可的国家和国际自愿共识标准很多。</w:t>
      </w:r>
      <w:r>
        <w:rPr>
          <w:rStyle w:val="17"/>
          <w:rFonts w:eastAsia="宋体"/>
          <w:sz w:val="24"/>
          <w:szCs w:val="24"/>
        </w:rPr>
        <w:footnoteReference w:id="23"/>
      </w:r>
      <w:r>
        <w:rPr>
          <w:rFonts w:eastAsia="宋体"/>
          <w:sz w:val="24"/>
          <w:szCs w:val="24"/>
        </w:rPr>
        <w:t>关于实质等同性审查流程的讨论，请参见标题为</w:t>
      </w:r>
      <w:r>
        <w:rPr>
          <w:rFonts w:eastAsia="宋体"/>
          <w:color w:val="3333FF"/>
          <w:sz w:val="24"/>
          <w:szCs w:val="24"/>
          <w:u w:val="single"/>
        </w:rPr>
        <w:t>《510(k)计划：在上市前通知[510(k)]中评价实质等同性》</w:t>
      </w:r>
      <w:r>
        <w:rPr>
          <w:rFonts w:eastAsia="宋体"/>
          <w:sz w:val="24"/>
          <w:szCs w:val="24"/>
        </w:rPr>
        <w:t>的指南。</w:t>
      </w:r>
      <w:r>
        <w:rPr>
          <w:rStyle w:val="17"/>
          <w:rFonts w:eastAsia="宋体"/>
          <w:color w:val="000000"/>
          <w:sz w:val="24"/>
          <w:szCs w:val="24"/>
        </w:rPr>
        <w:footnoteReference w:id="24"/>
      </w:r>
    </w:p>
    <w:p w14:paraId="3ECC5325">
      <w:pPr>
        <w:shd w:val="clear" w:color="auto" w:fill="FFFFFF"/>
        <w:topLinePunct/>
        <w:autoSpaceDE/>
        <w:autoSpaceDN/>
        <w:adjustRightInd/>
        <w:jc w:val="both"/>
        <w:rPr>
          <w:rFonts w:eastAsia="宋体"/>
          <w:color w:val="000000"/>
          <w:sz w:val="24"/>
          <w:szCs w:val="24"/>
          <w:vertAlign w:val="superscript"/>
        </w:rPr>
      </w:pPr>
    </w:p>
    <w:p w14:paraId="01AB2573">
      <w:pPr>
        <w:pStyle w:val="2"/>
      </w:pPr>
      <w:bookmarkStart w:id="22" w:name="_Toc97381055"/>
      <w:bookmarkStart w:id="23" w:name="_Toc97383231"/>
      <w:r>
        <w:t>符合性声明的提交</w:t>
      </w:r>
      <w:bookmarkEnd w:id="22"/>
      <w:bookmarkEnd w:id="23"/>
    </w:p>
    <w:p w14:paraId="1DC85FCE">
      <w:pPr>
        <w:shd w:val="clear" w:color="auto" w:fill="FFFFFF"/>
        <w:topLinePunct/>
        <w:autoSpaceDE/>
        <w:autoSpaceDN/>
        <w:adjustRightInd/>
        <w:ind w:firstLine="480" w:firstLineChars="200"/>
        <w:jc w:val="both"/>
        <w:rPr>
          <w:rFonts w:eastAsia="宋体"/>
          <w:color w:val="000000"/>
          <w:sz w:val="24"/>
          <w:szCs w:val="24"/>
          <w:vertAlign w:val="superscript"/>
          <w:lang w:val="de-DE"/>
        </w:rPr>
      </w:pPr>
      <w:r>
        <w:rPr>
          <w:rFonts w:eastAsia="宋体"/>
          <w:sz w:val="24"/>
          <w:szCs w:val="24"/>
        </w:rPr>
        <w:t>如果制造商和进口商选择符合公认和适用的IEC标准，以满足EPRC性能标准的适用要求和特定产品报告要求，则他们必须提交一份符合性声明，以证明器械符合该标准（参见《FD&amp;C法案》第514(c)(1)(B)节）。</w:t>
      </w:r>
      <w:r>
        <w:rPr>
          <w:rStyle w:val="17"/>
          <w:rFonts w:eastAsia="宋体"/>
          <w:sz w:val="24"/>
          <w:szCs w:val="24"/>
        </w:rPr>
        <w:footnoteReference w:id="25"/>
      </w:r>
      <w:r>
        <w:rPr>
          <w:rFonts w:eastAsia="宋体"/>
          <w:sz w:val="24"/>
          <w:szCs w:val="24"/>
        </w:rPr>
        <w:t>有关此类声明的信息可参见以下指南，题为</w:t>
      </w:r>
      <w:r>
        <w:rPr>
          <w:rFonts w:eastAsia="宋体"/>
          <w:color w:val="3333FF"/>
          <w:sz w:val="24"/>
          <w:szCs w:val="24"/>
          <w:u w:val="single"/>
        </w:rPr>
        <w:t>《医疗器械上市前申请中适当使用自愿共识标准》</w:t>
      </w:r>
      <w:r>
        <w:rPr>
          <w:rFonts w:eastAsia="宋体"/>
          <w:sz w:val="24"/>
          <w:szCs w:val="24"/>
        </w:rPr>
        <w:t>。</w:t>
      </w:r>
      <w:r>
        <w:rPr>
          <w:rStyle w:val="17"/>
          <w:rFonts w:eastAsia="宋体"/>
          <w:sz w:val="24"/>
          <w:szCs w:val="24"/>
        </w:rPr>
        <w:footnoteReference w:id="26"/>
      </w:r>
    </w:p>
    <w:p w14:paraId="77988FED">
      <w:pPr>
        <w:shd w:val="clear" w:color="auto" w:fill="FFFFFF"/>
        <w:topLinePunct/>
        <w:autoSpaceDE/>
        <w:autoSpaceDN/>
        <w:adjustRightInd/>
        <w:ind w:left="480" w:hanging="480" w:hangingChars="200"/>
        <w:rPr>
          <w:rFonts w:eastAsia="宋体"/>
          <w:sz w:val="24"/>
          <w:szCs w:val="24"/>
          <w:lang w:val="de-DE"/>
        </w:rPr>
      </w:pPr>
    </w:p>
    <w:p w14:paraId="3AD8507A">
      <w:pPr>
        <w:shd w:val="clear" w:color="auto" w:fill="FFFFFF"/>
        <w:topLinePunct/>
        <w:autoSpaceDE/>
        <w:autoSpaceDN/>
        <w:adjustRightInd/>
        <w:ind w:firstLine="480" w:firstLineChars="200"/>
        <w:rPr>
          <w:rFonts w:eastAsia="宋体"/>
          <w:color w:val="000000"/>
          <w:sz w:val="24"/>
          <w:szCs w:val="24"/>
        </w:rPr>
      </w:pPr>
      <w:r>
        <w:rPr>
          <w:rFonts w:eastAsia="宋体"/>
          <w:sz w:val="24"/>
          <w:szCs w:val="24"/>
          <w:lang w:val="de-DE"/>
        </w:rPr>
        <w:br w:type="page"/>
      </w:r>
      <w:r>
        <w:rPr>
          <w:rFonts w:eastAsia="宋体"/>
          <w:sz w:val="24"/>
          <w:szCs w:val="24"/>
        </w:rPr>
        <w:t>本指南范围内的产品制造商应在产品报告</w:t>
      </w:r>
      <w:r>
        <w:rPr>
          <w:rStyle w:val="17"/>
          <w:rFonts w:eastAsia="宋体"/>
          <w:sz w:val="24"/>
          <w:szCs w:val="24"/>
        </w:rPr>
        <w:footnoteReference w:id="27"/>
      </w:r>
      <w:r>
        <w:rPr>
          <w:rFonts w:eastAsia="宋体"/>
          <w:sz w:val="24"/>
          <w:szCs w:val="24"/>
        </w:rPr>
        <w:t>中向FDA提交符合性声明。</w:t>
      </w:r>
      <w:r>
        <w:rPr>
          <w:rFonts w:eastAsia="宋体"/>
          <w:color w:val="000000"/>
          <w:sz w:val="24"/>
          <w:szCs w:val="24"/>
        </w:rPr>
        <w:t>FDA认为，提交附录A中概述的相应IEC标准的符合性声明，并在产品报告中提交21 CFR 1002.10(</w:t>
      </w:r>
      <w:r>
        <w:rPr>
          <w:rFonts w:hint="eastAsia" w:eastAsia="宋体"/>
          <w:color w:val="000000"/>
          <w:sz w:val="24"/>
          <w:szCs w:val="24"/>
        </w:rPr>
        <w:t>a</w:t>
      </w:r>
      <w:r>
        <w:rPr>
          <w:rFonts w:eastAsia="宋体"/>
          <w:color w:val="000000"/>
          <w:sz w:val="24"/>
          <w:szCs w:val="24"/>
        </w:rPr>
        <w:t>)和(</w:t>
      </w:r>
      <w:r>
        <w:rPr>
          <w:rFonts w:hint="eastAsia" w:eastAsia="宋体"/>
          <w:color w:val="000000"/>
          <w:sz w:val="24"/>
          <w:szCs w:val="24"/>
        </w:rPr>
        <w:t>b</w:t>
      </w:r>
      <w:r>
        <w:rPr>
          <w:rFonts w:eastAsia="宋体"/>
          <w:color w:val="000000"/>
          <w:sz w:val="24"/>
          <w:szCs w:val="24"/>
        </w:rPr>
        <w:t>)所要求的型号识别信息，将足以满足21 CFR 1002.10的产品报告要求，前提是符合《FD&amp;C法案》第514(c)节的标准。</w:t>
      </w:r>
    </w:p>
    <w:p w14:paraId="60B8F62E">
      <w:pPr>
        <w:shd w:val="clear" w:color="auto" w:fill="FFFFFF"/>
        <w:topLinePunct/>
        <w:autoSpaceDE/>
        <w:autoSpaceDN/>
        <w:adjustRightInd/>
        <w:rPr>
          <w:rFonts w:eastAsia="宋体"/>
          <w:sz w:val="24"/>
          <w:szCs w:val="24"/>
        </w:rPr>
      </w:pPr>
    </w:p>
    <w:p w14:paraId="179431F0">
      <w:pPr>
        <w:pStyle w:val="2"/>
      </w:pPr>
      <w:bookmarkStart w:id="24" w:name="_Toc97381056"/>
      <w:bookmarkStart w:id="25" w:name="_Toc97383232"/>
      <w:r>
        <w:t>认证</w:t>
      </w:r>
      <w:bookmarkEnd w:id="24"/>
      <w:bookmarkEnd w:id="25"/>
    </w:p>
    <w:p w14:paraId="2B4C80F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对于适用EPRC性能标准已生效的X射线诊断系统及其主要组件，包括符合适用IEC标准的组件，为满足EPRC性能标准，制造商必须为其产品提供认证（参见21 CFR 1010.2(</w:t>
      </w:r>
      <w:r>
        <w:rPr>
          <w:rFonts w:hint="eastAsia" w:eastAsia="宋体"/>
          <w:color w:val="000000"/>
          <w:sz w:val="24"/>
          <w:szCs w:val="24"/>
        </w:rPr>
        <w:t>a</w:t>
      </w:r>
      <w:r>
        <w:rPr>
          <w:rFonts w:eastAsia="宋体"/>
          <w:color w:val="000000"/>
          <w:sz w:val="24"/>
          <w:szCs w:val="24"/>
        </w:rPr>
        <w:t>)）。为对其产品进行适当的认证，制造商必须在交付时向经销商或分销商提供产品认证，证明产品符合相关符合性声明中的IEC标准和</w:t>
      </w:r>
      <w:r>
        <w:rPr>
          <w:rFonts w:hint="eastAsia" w:eastAsia="宋体"/>
          <w:color w:val="000000"/>
          <w:sz w:val="24"/>
          <w:szCs w:val="24"/>
        </w:rPr>
        <w:t>2</w:t>
      </w:r>
      <w:r>
        <w:rPr>
          <w:rFonts w:eastAsia="宋体"/>
          <w:color w:val="000000"/>
          <w:sz w:val="24"/>
          <w:szCs w:val="24"/>
        </w:rPr>
        <w:t>1 CFR第J章（辐射健康）中的任何其他标准（例如：21 CFR 1020.30中的部分标准）（参见21 CFR 1010.2(</w:t>
      </w:r>
      <w:r>
        <w:rPr>
          <w:rFonts w:hint="eastAsia" w:eastAsia="宋体"/>
          <w:color w:val="000000"/>
          <w:sz w:val="24"/>
          <w:szCs w:val="24"/>
        </w:rPr>
        <w:t>a</w:t>
      </w:r>
      <w:r>
        <w:rPr>
          <w:rFonts w:eastAsia="宋体"/>
          <w:color w:val="000000"/>
          <w:sz w:val="24"/>
          <w:szCs w:val="24"/>
        </w:rPr>
        <w:t>)）。</w:t>
      </w:r>
    </w:p>
    <w:p w14:paraId="7A006187">
      <w:pPr>
        <w:shd w:val="clear" w:color="auto" w:fill="FFFFFF"/>
        <w:topLinePunct/>
        <w:autoSpaceDE/>
        <w:autoSpaceDN/>
        <w:adjustRightInd/>
        <w:ind w:firstLine="480" w:firstLineChars="200"/>
        <w:jc w:val="both"/>
        <w:rPr>
          <w:rFonts w:eastAsia="宋体"/>
          <w:color w:val="000000"/>
          <w:sz w:val="24"/>
          <w:szCs w:val="24"/>
        </w:rPr>
      </w:pPr>
    </w:p>
    <w:p w14:paraId="5327B96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产品标签或标牌上必须贴上该认证，且该标签或标牌将永久贴在或刻在产品上，包括适用EPRC性能的主要部件，以确保在产品已全部组装好后，可供使用时该证书清晰可见、易于阅读，并且应该使用英语编写此类标签或标牌内容（参见21 CFR 1010.2(</w:t>
      </w:r>
      <w:r>
        <w:rPr>
          <w:rFonts w:hint="eastAsia" w:eastAsia="宋体"/>
          <w:color w:val="000000"/>
          <w:sz w:val="24"/>
          <w:szCs w:val="24"/>
        </w:rPr>
        <w:t>b</w:t>
      </w:r>
      <w:r>
        <w:rPr>
          <w:rFonts w:eastAsia="宋体"/>
          <w:color w:val="000000"/>
          <w:sz w:val="24"/>
          <w:szCs w:val="24"/>
        </w:rPr>
        <w:t>)）。</w:t>
      </w:r>
    </w:p>
    <w:p w14:paraId="5BB68655">
      <w:pPr>
        <w:shd w:val="clear" w:color="auto" w:fill="FFFFFF"/>
        <w:topLinePunct/>
        <w:autoSpaceDE/>
        <w:autoSpaceDN/>
        <w:adjustRightInd/>
        <w:ind w:firstLine="480" w:firstLineChars="200"/>
        <w:jc w:val="both"/>
        <w:rPr>
          <w:rFonts w:eastAsia="宋体"/>
          <w:color w:val="000000"/>
          <w:sz w:val="24"/>
          <w:szCs w:val="24"/>
        </w:rPr>
      </w:pPr>
    </w:p>
    <w:p w14:paraId="4D284DCB">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该认证标签或标牌中应使用以下经修订的符合性声明：</w:t>
      </w:r>
    </w:p>
    <w:p w14:paraId="044C5368">
      <w:pPr>
        <w:shd w:val="clear" w:color="auto" w:fill="FFFFFF"/>
        <w:topLinePunct/>
        <w:autoSpaceDE/>
        <w:autoSpaceDN/>
        <w:adjustRightInd/>
        <w:ind w:firstLine="480" w:firstLineChars="200"/>
        <w:jc w:val="both"/>
        <w:rPr>
          <w:rFonts w:eastAsia="宋体"/>
          <w:sz w:val="24"/>
          <w:szCs w:val="24"/>
        </w:rPr>
      </w:pPr>
    </w:p>
    <w:p w14:paraId="1E3D3B11">
      <w:pPr>
        <w:shd w:val="clear" w:color="auto" w:fill="FFFFFF"/>
        <w:topLinePunct/>
        <w:autoSpaceDE/>
        <w:autoSpaceDN/>
        <w:adjustRightInd/>
        <w:ind w:left="992" w:leftChars="496" w:firstLine="480" w:firstLineChars="200"/>
        <w:jc w:val="both"/>
        <w:rPr>
          <w:rFonts w:eastAsia="宋体"/>
          <w:sz w:val="24"/>
          <w:szCs w:val="24"/>
        </w:rPr>
      </w:pPr>
      <w:r>
        <w:rPr>
          <w:rFonts w:ascii="宋体" w:hAnsi="宋体" w:eastAsia="宋体"/>
          <w:sz w:val="24"/>
          <w:szCs w:val="24"/>
        </w:rPr>
        <w:t>“</w:t>
      </w:r>
      <w:r>
        <w:rPr>
          <w:rFonts w:eastAsia="宋体"/>
          <w:sz w:val="24"/>
          <w:szCs w:val="24"/>
        </w:rPr>
        <w:t>如[插入最终指南发布日期]发布的《医用X射线成像器械：与IEC标准的符合性》所述，根据《FD&amp;C法案》第514(c)(1)(A)节，符合21 CFR第J分章，包括[插入FDA性能标准CFR编号]节，部分符合发表日期为[插入FDA认可IEC标准的发表日期]的IEC标准[插入IEC标准编号和版本编号]，[如适用，添加]包括勘误本，发表日期为[插入FDA认可勘误本的发表日期]的和修正案，发表日期为[插入FDA认可修正案的发表日期]。</w:t>
      </w:r>
      <w:r>
        <w:rPr>
          <w:rFonts w:ascii="宋体" w:hAnsi="宋体" w:eastAsia="宋体"/>
          <w:sz w:val="24"/>
          <w:szCs w:val="24"/>
        </w:rPr>
        <w:t>”</w:t>
      </w:r>
    </w:p>
    <w:p w14:paraId="7F287F2A">
      <w:pPr>
        <w:shd w:val="clear" w:color="auto" w:fill="FFFFFF"/>
        <w:topLinePunct/>
        <w:autoSpaceDE/>
        <w:autoSpaceDN/>
        <w:adjustRightInd/>
        <w:jc w:val="both"/>
        <w:rPr>
          <w:rFonts w:eastAsia="宋体"/>
          <w:color w:val="000000"/>
          <w:sz w:val="24"/>
          <w:szCs w:val="24"/>
        </w:rPr>
      </w:pPr>
    </w:p>
    <w:p w14:paraId="2E0FB83E">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例如，针对CT器械：</w:t>
      </w:r>
    </w:p>
    <w:p w14:paraId="756E6FDA">
      <w:pPr>
        <w:shd w:val="clear" w:color="auto" w:fill="FFFFFF"/>
        <w:topLinePunct/>
        <w:autoSpaceDE/>
        <w:autoSpaceDN/>
        <w:adjustRightInd/>
        <w:ind w:left="992" w:leftChars="496" w:firstLine="480" w:firstLineChars="200"/>
        <w:jc w:val="both"/>
        <w:rPr>
          <w:rFonts w:eastAsia="宋体"/>
          <w:color w:val="000000"/>
          <w:sz w:val="24"/>
          <w:szCs w:val="24"/>
        </w:rPr>
      </w:pPr>
    </w:p>
    <w:p w14:paraId="2C1BFDCA">
      <w:pPr>
        <w:shd w:val="clear" w:color="auto" w:fill="FFFFFF"/>
        <w:topLinePunct/>
        <w:autoSpaceDE/>
        <w:autoSpaceDN/>
        <w:adjustRightInd/>
        <w:ind w:left="992" w:leftChars="496" w:firstLine="480" w:firstLineChars="200"/>
        <w:jc w:val="both"/>
        <w:rPr>
          <w:rFonts w:eastAsia="宋体"/>
          <w:sz w:val="24"/>
          <w:szCs w:val="24"/>
        </w:rPr>
      </w:pPr>
      <w:r>
        <w:rPr>
          <w:rFonts w:eastAsia="宋体"/>
          <w:color w:val="000000"/>
          <w:sz w:val="24"/>
          <w:szCs w:val="24"/>
        </w:rPr>
        <w:t>如[插入最终指南发布</w:t>
      </w:r>
      <w:r>
        <w:rPr>
          <w:rFonts w:eastAsia="宋体"/>
          <w:sz w:val="24"/>
          <w:szCs w:val="24"/>
        </w:rPr>
        <w:t>日期</w:t>
      </w:r>
      <w:r>
        <w:rPr>
          <w:rFonts w:eastAsia="宋体"/>
          <w:color w:val="000000"/>
          <w:sz w:val="24"/>
          <w:szCs w:val="24"/>
        </w:rPr>
        <w:t>]发布的《医用X射线成像器械：与IEC标准的符合性》所述，根据《FD&amp;C法案》第514(c)(1)(A)节，符合21 CFR第J分章（包括21 CFR 1020.30和1020.33），部分符合IEC 60601-2-44第1.0版（2009），包括修正案1（2012）。</w:t>
      </w:r>
    </w:p>
    <w:p w14:paraId="4FA36BE9">
      <w:pPr>
        <w:shd w:val="clear" w:color="auto" w:fill="FFFFFF"/>
        <w:topLinePunct/>
        <w:autoSpaceDE/>
        <w:autoSpaceDN/>
        <w:adjustRightInd/>
        <w:jc w:val="both"/>
        <w:rPr>
          <w:rFonts w:eastAsia="宋体"/>
          <w:sz w:val="24"/>
          <w:szCs w:val="24"/>
        </w:rPr>
      </w:pPr>
    </w:p>
    <w:p w14:paraId="48E3EB00">
      <w:pPr>
        <w:shd w:val="clear" w:color="auto" w:fill="FFFFFF"/>
        <w:topLinePunct/>
        <w:autoSpaceDE/>
        <w:autoSpaceDN/>
        <w:adjustRightInd/>
        <w:ind w:firstLine="480" w:firstLineChars="200"/>
        <w:jc w:val="both"/>
        <w:rPr>
          <w:rFonts w:eastAsia="宋体"/>
          <w:sz w:val="24"/>
          <w:szCs w:val="24"/>
        </w:rPr>
      </w:pPr>
      <w:r>
        <w:rPr>
          <w:rFonts w:eastAsia="宋体"/>
          <w:sz w:val="24"/>
          <w:szCs w:val="24"/>
        </w:rPr>
        <w:t>根据21 CFR 1010.2(c)，该认证必须</w:t>
      </w:r>
      <w:r>
        <w:rPr>
          <w:rFonts w:ascii="宋体" w:hAnsi="宋体" w:eastAsia="宋体"/>
          <w:sz w:val="24"/>
          <w:szCs w:val="24"/>
        </w:rPr>
        <w:t>“</w:t>
      </w:r>
      <w:r>
        <w:rPr>
          <w:rFonts w:eastAsia="宋体"/>
          <w:sz w:val="24"/>
          <w:szCs w:val="24"/>
        </w:rPr>
        <w:t>基于对所附单个物品进行符合标准的检测，或者基于符合良好生产规范的检测方案。</w:t>
      </w:r>
      <w:r>
        <w:rPr>
          <w:rFonts w:ascii="宋体" w:hAnsi="宋体" w:eastAsia="宋体"/>
          <w:sz w:val="24"/>
          <w:szCs w:val="24"/>
        </w:rPr>
        <w:t>”</w:t>
      </w:r>
      <w:r>
        <w:rPr>
          <w:rFonts w:eastAsia="宋体"/>
          <w:color w:val="000000"/>
          <w:sz w:val="24"/>
          <w:szCs w:val="24"/>
        </w:rPr>
        <w:t>制造商的质量体系应通过设计控制处理各方面的辐射安全和标准符合性的问题。</w:t>
      </w:r>
      <w:r>
        <w:rPr>
          <w:rFonts w:eastAsia="宋体"/>
          <w:sz w:val="24"/>
          <w:szCs w:val="24"/>
        </w:rPr>
        <w:t>检测结果应记录在案，并保存在公司记录中。</w:t>
      </w:r>
    </w:p>
    <w:p w14:paraId="2B32C545">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55C6BDA2">
      <w:pPr>
        <w:pStyle w:val="2"/>
      </w:pPr>
      <w:bookmarkStart w:id="26" w:name="_Toc97381057"/>
      <w:bookmarkStart w:id="27" w:name="_Toc97383233"/>
      <w:r>
        <w:t>提供给组装商和其他人员的信息</w:t>
      </w:r>
      <w:bookmarkEnd w:id="26"/>
      <w:bookmarkEnd w:id="27"/>
    </w:p>
    <w:p w14:paraId="4465DA53">
      <w:pPr>
        <w:shd w:val="clear" w:color="auto" w:fill="FFFFFF"/>
        <w:topLinePunct/>
        <w:autoSpaceDE/>
        <w:autoSpaceDN/>
        <w:adjustRightInd/>
        <w:ind w:firstLine="480" w:firstLineChars="200"/>
        <w:jc w:val="both"/>
        <w:rPr>
          <w:rFonts w:eastAsia="宋体"/>
          <w:sz w:val="24"/>
          <w:szCs w:val="24"/>
        </w:rPr>
      </w:pPr>
      <w:r>
        <w:rPr>
          <w:rFonts w:eastAsia="宋体"/>
          <w:sz w:val="24"/>
          <w:szCs w:val="24"/>
        </w:rPr>
        <w:t>21 CFR 1020.30(</w:t>
      </w:r>
      <w:r>
        <w:rPr>
          <w:rFonts w:hint="eastAsia" w:eastAsia="宋体"/>
          <w:sz w:val="24"/>
          <w:szCs w:val="24"/>
        </w:rPr>
        <w:t>a</w:t>
      </w:r>
      <w:r>
        <w:rPr>
          <w:rFonts w:eastAsia="宋体"/>
          <w:sz w:val="24"/>
          <w:szCs w:val="24"/>
        </w:rPr>
        <w:t>)(1)所列X射线诊断设备组件的制造商应按照21 CFR 1020.30(g)的要求提供用于组装、安装、调节和检测（AIAT）的说明，以确保产品符合适用的性能标准规定。</w:t>
      </w:r>
      <w:r>
        <w:rPr>
          <w:rFonts w:eastAsia="宋体"/>
          <w:color w:val="000000"/>
          <w:sz w:val="24"/>
          <w:szCs w:val="24"/>
        </w:rPr>
        <w:t>性能标准中的这一要求有助于确保组装、安装和检测之后特性需要调整的X射线诊断设备将继续符合辐射安全要求，从而保护公众免受不必要的辐射暴露。如表4所示，符合适用IEC标准并不视为符合第1020.30(g)节规定。</w:t>
      </w:r>
    </w:p>
    <w:p w14:paraId="5F143F62">
      <w:pPr>
        <w:shd w:val="clear" w:color="auto" w:fill="FFFFFF"/>
        <w:topLinePunct/>
        <w:autoSpaceDE/>
        <w:autoSpaceDN/>
        <w:adjustRightInd/>
        <w:ind w:firstLine="480" w:firstLineChars="200"/>
        <w:jc w:val="both"/>
        <w:rPr>
          <w:rFonts w:eastAsia="宋体"/>
          <w:sz w:val="24"/>
          <w:szCs w:val="24"/>
        </w:rPr>
      </w:pPr>
    </w:p>
    <w:p w14:paraId="25E850B2">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为符合21 CFR 1020.30(g)的AIAT要求说明，如果制造商选择声明符合IEC标准以满足表3所列EPRC性能标准的其他章节，则应在AIAT文件记录中纳入辐射安全规范和检测比较文件。</w:t>
      </w:r>
      <w:r>
        <w:rPr>
          <w:rStyle w:val="17"/>
          <w:rFonts w:eastAsia="宋体"/>
          <w:sz w:val="24"/>
          <w:szCs w:val="24"/>
        </w:rPr>
        <w:footnoteReference w:id="28"/>
      </w:r>
      <w:r>
        <w:rPr>
          <w:rFonts w:eastAsia="宋体"/>
          <w:sz w:val="24"/>
          <w:szCs w:val="24"/>
        </w:rPr>
        <w:t>辐射安全规范和检测比较文件（以下简称</w:t>
      </w:r>
      <w:r>
        <w:rPr>
          <w:rFonts w:ascii="宋体" w:hAnsi="宋体" w:eastAsia="宋体"/>
          <w:sz w:val="24"/>
          <w:szCs w:val="24"/>
        </w:rPr>
        <w:t>“</w:t>
      </w:r>
      <w:r>
        <w:rPr>
          <w:rFonts w:eastAsia="宋体"/>
          <w:sz w:val="24"/>
          <w:szCs w:val="24"/>
        </w:rPr>
        <w:t>文件</w:t>
      </w:r>
      <w:r>
        <w:rPr>
          <w:rFonts w:ascii="宋体" w:hAnsi="宋体" w:eastAsia="宋体"/>
          <w:sz w:val="24"/>
          <w:szCs w:val="24"/>
        </w:rPr>
        <w:t>”</w:t>
      </w:r>
      <w:r>
        <w:rPr>
          <w:rFonts w:eastAsia="宋体"/>
          <w:sz w:val="24"/>
          <w:szCs w:val="24"/>
        </w:rPr>
        <w:t>）应提供确保诸如组装商、合格医学物理学家或州辐射控制计划检查员等人对该器械进行检测并确定是否符合适用IEC辐射安全规范而非EPRC性能标准的信息。</w:t>
      </w:r>
      <w:r>
        <w:rPr>
          <w:rFonts w:eastAsia="宋体"/>
          <w:color w:val="000000"/>
          <w:sz w:val="24"/>
          <w:szCs w:val="24"/>
        </w:rPr>
        <w:t>尽管该文件可能仅限于这些规范，也不能表明其完全符合相关EPRC性能标准，但FDA建议制造商对其AIAT文件记录进行格式化，以便所有辐射安全规范和检测方法（包括验收和稳定性检测）均可以对用户检测设备实用的格式提供。</w:t>
      </w:r>
    </w:p>
    <w:p w14:paraId="4CD3C4AA">
      <w:pPr>
        <w:shd w:val="clear" w:color="auto" w:fill="FFFFFF"/>
        <w:topLinePunct/>
        <w:autoSpaceDE/>
        <w:autoSpaceDN/>
        <w:adjustRightInd/>
        <w:ind w:firstLine="480" w:firstLineChars="200"/>
        <w:jc w:val="both"/>
        <w:rPr>
          <w:rFonts w:eastAsia="宋体"/>
          <w:color w:val="000000"/>
          <w:sz w:val="24"/>
          <w:szCs w:val="24"/>
        </w:rPr>
      </w:pPr>
    </w:p>
    <w:p w14:paraId="40C6699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该文件至少应包括：</w:t>
      </w:r>
    </w:p>
    <w:p w14:paraId="732C8B44">
      <w:pPr>
        <w:shd w:val="clear" w:color="auto" w:fill="FFFFFF"/>
        <w:topLinePunct/>
        <w:autoSpaceDE/>
        <w:autoSpaceDN/>
        <w:adjustRightInd/>
        <w:ind w:firstLine="480" w:firstLineChars="200"/>
        <w:jc w:val="both"/>
        <w:rPr>
          <w:rFonts w:eastAsia="宋体"/>
          <w:sz w:val="24"/>
          <w:szCs w:val="24"/>
        </w:rPr>
      </w:pPr>
    </w:p>
    <w:p w14:paraId="16CD0113">
      <w:pPr>
        <w:shd w:val="clear" w:color="auto" w:fill="FFFFFF"/>
        <w:topLinePunct/>
        <w:autoSpaceDE/>
        <w:autoSpaceDN/>
        <w:adjustRightInd/>
        <w:ind w:left="880" w:leftChars="200" w:hanging="480" w:hangingChars="200"/>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适用于该器械的辐射安全规范，条件是这些规范不符合类似的EPRC性能标准；</w:t>
      </w:r>
    </w:p>
    <w:p w14:paraId="51AEF31E">
      <w:pPr>
        <w:shd w:val="clear" w:color="auto" w:fill="FFFFFF"/>
        <w:topLinePunct/>
        <w:autoSpaceDE/>
        <w:autoSpaceDN/>
        <w:adjustRightInd/>
        <w:ind w:left="880" w:leftChars="200" w:hanging="480" w:hangingChars="200"/>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sz w:val="24"/>
          <w:szCs w:val="24"/>
        </w:rPr>
        <w:t>IEC文件编号、版本以及各该等规范所依据的具体条款；</w:t>
      </w:r>
    </w:p>
    <w:p w14:paraId="3FB1AF19">
      <w:pPr>
        <w:shd w:val="clear" w:color="auto" w:fill="FFFFFF"/>
        <w:topLinePunct/>
        <w:autoSpaceDE/>
        <w:autoSpaceDN/>
        <w:adjustRightInd/>
        <w:ind w:left="880" w:leftChars="200" w:hanging="480" w:hangingChars="200"/>
        <w:jc w:val="both"/>
        <w:rPr>
          <w:rFonts w:eastAsia="宋体"/>
          <w:sz w:val="24"/>
          <w:szCs w:val="24"/>
        </w:rPr>
      </w:pPr>
      <w:r>
        <w:rPr>
          <w:rFonts w:eastAsia="宋体"/>
          <w:sz w:val="24"/>
          <w:szCs w:val="24"/>
        </w:rPr>
        <w:t>c.</w:t>
      </w:r>
      <w:r>
        <w:rPr>
          <w:rFonts w:eastAsia="宋体"/>
          <w:color w:val="000000"/>
          <w:sz w:val="24"/>
          <w:szCs w:val="24"/>
        </w:rPr>
        <w:tab/>
      </w:r>
      <w:r>
        <w:rPr>
          <w:rFonts w:eastAsia="宋体"/>
          <w:color w:val="000000"/>
          <w:sz w:val="24"/>
          <w:szCs w:val="24"/>
        </w:rPr>
        <w:t>经IEC标准替换的EPRC性能标准要求；和</w:t>
      </w:r>
    </w:p>
    <w:p w14:paraId="1E972CD3">
      <w:pPr>
        <w:shd w:val="clear" w:color="auto" w:fill="FFFFFF"/>
        <w:topLinePunct/>
        <w:autoSpaceDE/>
        <w:autoSpaceDN/>
        <w:adjustRightInd/>
        <w:ind w:left="880" w:leftChars="200" w:hanging="480" w:hangingChars="200"/>
        <w:jc w:val="both"/>
        <w:rPr>
          <w:rFonts w:eastAsia="宋体"/>
          <w:sz w:val="24"/>
          <w:szCs w:val="24"/>
        </w:rPr>
      </w:pPr>
      <w:r>
        <w:rPr>
          <w:rFonts w:eastAsia="宋体"/>
          <w:sz w:val="24"/>
          <w:szCs w:val="24"/>
        </w:rPr>
        <w:t>d.</w:t>
      </w:r>
      <w:r>
        <w:rPr>
          <w:rFonts w:eastAsia="宋体"/>
          <w:color w:val="000000"/>
          <w:sz w:val="24"/>
          <w:szCs w:val="24"/>
        </w:rPr>
        <w:tab/>
      </w:r>
      <w:r>
        <w:rPr>
          <w:rFonts w:eastAsia="宋体"/>
          <w:color w:val="000000"/>
          <w:sz w:val="24"/>
          <w:szCs w:val="24"/>
        </w:rPr>
        <w:t>检测方法和验收标准。</w:t>
      </w:r>
    </w:p>
    <w:p w14:paraId="0EE7A3EC">
      <w:pPr>
        <w:shd w:val="clear" w:color="auto" w:fill="FFFFFF"/>
        <w:topLinePunct/>
        <w:autoSpaceDE/>
        <w:autoSpaceDN/>
        <w:adjustRightInd/>
        <w:jc w:val="both"/>
        <w:rPr>
          <w:rFonts w:eastAsia="宋体"/>
          <w:color w:val="000000"/>
          <w:sz w:val="24"/>
          <w:szCs w:val="24"/>
        </w:rPr>
      </w:pPr>
    </w:p>
    <w:p w14:paraId="289F4CDB">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文件在线提供，便于组装商和其他人员访问，还可访问个别制造商的网站或集中式数据库。该器械的随附文件中应包含如何访问该文件的信息。</w:t>
      </w:r>
      <w:r>
        <w:rPr>
          <w:rFonts w:eastAsia="宋体"/>
          <w:sz w:val="24"/>
          <w:szCs w:val="24"/>
        </w:rPr>
        <w:t>此外，如果该器械包含以电子方式提供的用户文件记录</w:t>
      </w:r>
      <w:r>
        <w:rPr>
          <w:rStyle w:val="17"/>
          <w:rFonts w:eastAsia="宋体"/>
          <w:sz w:val="24"/>
          <w:szCs w:val="24"/>
        </w:rPr>
        <w:footnoteReference w:id="29"/>
      </w:r>
      <w:r>
        <w:rPr>
          <w:rFonts w:eastAsia="宋体"/>
          <w:sz w:val="24"/>
          <w:szCs w:val="24"/>
        </w:rPr>
        <w:t>，则将该文件纳入电子文件记录对组装商和其他人员很有帮助。</w:t>
      </w:r>
    </w:p>
    <w:p w14:paraId="4F7536CD">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5EC4285E">
      <w:pPr>
        <w:pStyle w:val="2"/>
      </w:pPr>
      <w:bookmarkStart w:id="28" w:name="_Toc97383234"/>
      <w:bookmarkStart w:id="29" w:name="_Toc97381058"/>
      <w:r>
        <w:t>符合性和执行</w:t>
      </w:r>
      <w:bookmarkEnd w:id="28"/>
      <w:bookmarkEnd w:id="29"/>
    </w:p>
    <w:p w14:paraId="264D8C72">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如果制造商不遵守适用的法律和法规，本指南并不限制FDA采取执法行动的能力。</w:t>
      </w:r>
    </w:p>
    <w:p w14:paraId="00CDD3F9">
      <w:pPr>
        <w:shd w:val="clear" w:color="auto" w:fill="FFFFFF"/>
        <w:topLinePunct/>
        <w:autoSpaceDE/>
        <w:autoSpaceDN/>
        <w:adjustRightInd/>
        <w:ind w:firstLine="480" w:firstLineChars="200"/>
        <w:jc w:val="both"/>
        <w:rPr>
          <w:rFonts w:eastAsia="宋体"/>
          <w:sz w:val="24"/>
          <w:szCs w:val="24"/>
        </w:rPr>
      </w:pPr>
    </w:p>
    <w:p w14:paraId="0811B348">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如本指南所述，如果制造商使用符合性声明表示符合某些要求，则制造商或进口商必须声明符合某些IEC标准，且该符合性是建立在检测计划基础之上。</w:t>
      </w:r>
      <w:r>
        <w:rPr>
          <w:rStyle w:val="17"/>
          <w:rFonts w:eastAsia="宋体"/>
          <w:sz w:val="24"/>
          <w:szCs w:val="24"/>
        </w:rPr>
        <w:footnoteReference w:id="30"/>
      </w:r>
      <w:r>
        <w:rPr>
          <w:rFonts w:eastAsia="宋体"/>
          <w:sz w:val="24"/>
          <w:szCs w:val="24"/>
        </w:rPr>
        <w:t>制造商的质量体系必须通过设计验证和确认来解决辐射安全和符合标准的各方面问题。</w:t>
      </w:r>
      <w:r>
        <w:rPr>
          <w:rStyle w:val="17"/>
          <w:rFonts w:eastAsia="宋体"/>
          <w:sz w:val="24"/>
          <w:szCs w:val="24"/>
        </w:rPr>
        <w:footnoteReference w:id="31"/>
      </w:r>
      <w:r>
        <w:rPr>
          <w:rFonts w:eastAsia="宋体"/>
          <w:sz w:val="24"/>
          <w:szCs w:val="24"/>
        </w:rPr>
        <w:t>应记录检测结果，保存在公司记录中作为器械设计历史文件</w:t>
      </w:r>
      <w:r>
        <w:rPr>
          <w:rStyle w:val="17"/>
          <w:rFonts w:eastAsia="宋体"/>
          <w:sz w:val="24"/>
          <w:szCs w:val="24"/>
        </w:rPr>
        <w:footnoteReference w:id="32"/>
      </w:r>
      <w:r>
        <w:rPr>
          <w:rFonts w:eastAsia="宋体"/>
          <w:sz w:val="24"/>
          <w:szCs w:val="24"/>
        </w:rPr>
        <w:t>的一部分，并按照21 CFR 820.180对其进行检查。</w:t>
      </w:r>
      <w:r>
        <w:rPr>
          <w:rFonts w:eastAsia="宋体"/>
          <w:color w:val="000000"/>
          <w:sz w:val="24"/>
          <w:szCs w:val="24"/>
        </w:rPr>
        <w:t>如果FDA发现制造商的检测计划不能保证危险电子产品辐射防护的充分性，或者不能保证电子产品符合相应标准（参见21 CFR 1010.2(c)），则FDA将视该产品违反电子产品性能标准。</w:t>
      </w:r>
    </w:p>
    <w:p w14:paraId="5ADA391C">
      <w:pPr>
        <w:shd w:val="clear" w:color="auto" w:fill="FFFFFF"/>
        <w:topLinePunct/>
        <w:autoSpaceDE/>
        <w:autoSpaceDN/>
        <w:adjustRightInd/>
        <w:ind w:firstLine="480" w:firstLineChars="200"/>
        <w:jc w:val="both"/>
        <w:rPr>
          <w:rFonts w:eastAsia="宋体"/>
          <w:color w:val="000000"/>
          <w:sz w:val="24"/>
          <w:szCs w:val="24"/>
        </w:rPr>
      </w:pPr>
    </w:p>
    <w:p w14:paraId="2A1777AC">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通过声明符合本指南中确定的IEC标准、勘误本和修正案，制造商声明已建立与辐射发射有关的设计规范。</w:t>
      </w:r>
      <w:r>
        <w:rPr>
          <w:rFonts w:eastAsia="宋体"/>
          <w:sz w:val="24"/>
          <w:szCs w:val="24"/>
        </w:rPr>
        <w:t>当X射线诊断系统不符合电子产品辐射发射相关的设计规范时，则该系统存在电子产品缺陷。</w:t>
      </w:r>
      <w:r>
        <w:rPr>
          <w:rStyle w:val="17"/>
          <w:rFonts w:eastAsia="宋体"/>
          <w:sz w:val="24"/>
          <w:szCs w:val="24"/>
        </w:rPr>
        <w:footnoteReference w:id="33"/>
      </w:r>
      <w:r>
        <w:rPr>
          <w:rFonts w:eastAsia="宋体"/>
          <w:color w:val="000000"/>
          <w:sz w:val="24"/>
          <w:szCs w:val="24"/>
        </w:rPr>
        <w:t>因此，未能满足制造商声明符合的IEC标准、勘误本或修正案中与电子产品辐射发射相关的任何要求，均表明电子产品存在缺陷，还是通知和回购、维修或更换的原因，如21 CFR第1003部分和第1004部分所述。</w:t>
      </w:r>
    </w:p>
    <w:p w14:paraId="7349A10A">
      <w:pPr>
        <w:shd w:val="clear" w:color="auto" w:fill="FFFFFF"/>
        <w:topLinePunct/>
        <w:autoSpaceDE/>
        <w:autoSpaceDN/>
        <w:adjustRightInd/>
        <w:ind w:firstLine="480" w:firstLineChars="200"/>
        <w:jc w:val="both"/>
        <w:rPr>
          <w:rFonts w:eastAsia="宋体"/>
          <w:color w:val="000000"/>
          <w:sz w:val="24"/>
          <w:szCs w:val="24"/>
        </w:rPr>
      </w:pPr>
    </w:p>
    <w:p w14:paraId="6156C2E5">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本指南不改变FDA执行该等缺陷纠正的政策。根据21 CFR 1003.10的要求，制造商和进口商必须在发现辐射安全缺陷时告知FDA。同时，根据21 CFR 1003.11的要求，FDA将在其发现该等问题时通知行业。根据21 CFR第1004部分的要求，制造商必须根据FDA批准的计划回购、维修或免费更换缺陷产品。根据21 CFR 1004.6的要求，FDA将审查并批准或拒绝所有纠正措施计划。</w:t>
      </w:r>
    </w:p>
    <w:p w14:paraId="3706C158">
      <w:pPr>
        <w:shd w:val="clear" w:color="auto" w:fill="FFFFFF"/>
        <w:topLinePunct/>
        <w:autoSpaceDE/>
        <w:autoSpaceDN/>
        <w:adjustRightInd/>
        <w:jc w:val="both"/>
        <w:rPr>
          <w:rFonts w:eastAsia="宋体"/>
          <w:b/>
          <w:bCs/>
          <w:kern w:val="44"/>
          <w:sz w:val="24"/>
          <w:szCs w:val="24"/>
        </w:rPr>
      </w:pPr>
      <w:r>
        <w:rPr>
          <w:rFonts w:eastAsia="宋体"/>
          <w:sz w:val="24"/>
          <w:szCs w:val="24"/>
        </w:rPr>
        <w:br w:type="page"/>
      </w:r>
    </w:p>
    <w:p w14:paraId="19343100">
      <w:pPr>
        <w:pStyle w:val="2"/>
        <w:numPr>
          <w:ilvl w:val="0"/>
          <w:numId w:val="0"/>
        </w:numPr>
        <w:ind w:left="720" w:hanging="720"/>
      </w:pPr>
      <w:bookmarkStart w:id="30" w:name="_Toc97383235"/>
      <w:bookmarkStart w:id="31" w:name="_Toc97381059"/>
      <w:r>
        <w:t>附录A：</w:t>
      </w:r>
      <w:r>
        <w:tab/>
      </w:r>
      <w:r>
        <w:t>IEC标准对特定设备类型的适用性</w:t>
      </w:r>
      <w:bookmarkEnd w:id="30"/>
      <w:bookmarkEnd w:id="31"/>
    </w:p>
    <w:p w14:paraId="02489349">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IEC对其标准采用分层结构：通用标准、并列标准和特殊标准。基本标准（例如：关于医用电气设备的IEC 60601-1）被称为通用标准。</w:t>
      </w:r>
      <w:r>
        <w:rPr>
          <w:rFonts w:eastAsia="宋体"/>
          <w:sz w:val="24"/>
          <w:szCs w:val="24"/>
        </w:rPr>
        <w:t>并列标准（例如：关于诊断X射线设备的辐射防护的IEC 60601-1-3）提供了适用于通用标准所涵盖亚组器械的通用安全规范，或通用标准涵盖的所有设备的特定特性，这些特性在通用标准中未进行全面说明（例如：警报系统）。</w:t>
      </w:r>
      <w:r>
        <w:rPr>
          <w:rFonts w:eastAsia="宋体"/>
          <w:color w:val="000000"/>
          <w:sz w:val="24"/>
          <w:szCs w:val="24"/>
        </w:rPr>
        <w:t>特殊标准适用于特定类型的设备（例如：关于介入透视系统的IEC 60601-2-43），可在考虑后针对特定类型的设备，适当替换、添加、修改或删除通用或并列标准中包含的条件。特殊标准还可增加其他基本安全与基本性能条件。</w:t>
      </w:r>
    </w:p>
    <w:p w14:paraId="4DC28E44">
      <w:pPr>
        <w:shd w:val="clear" w:color="auto" w:fill="FFFFFF"/>
        <w:topLinePunct/>
        <w:autoSpaceDE/>
        <w:autoSpaceDN/>
        <w:adjustRightInd/>
        <w:ind w:firstLine="480" w:firstLineChars="200"/>
        <w:jc w:val="both"/>
        <w:rPr>
          <w:rFonts w:eastAsia="宋体"/>
          <w:color w:val="000000"/>
          <w:sz w:val="24"/>
          <w:szCs w:val="24"/>
        </w:rPr>
      </w:pPr>
    </w:p>
    <w:p w14:paraId="35471988">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特殊标准中，</w:t>
      </w:r>
      <w:r>
        <w:rPr>
          <w:rFonts w:ascii="宋体" w:hAnsi="宋体" w:eastAsia="宋体"/>
          <w:color w:val="000000"/>
          <w:sz w:val="24"/>
          <w:szCs w:val="24"/>
        </w:rPr>
        <w:t>“</w:t>
      </w:r>
      <w:r>
        <w:rPr>
          <w:rFonts w:eastAsia="宋体"/>
          <w:color w:val="000000"/>
          <w:sz w:val="24"/>
          <w:szCs w:val="24"/>
        </w:rPr>
        <w:t>本标准</w:t>
      </w:r>
      <w:r>
        <w:rPr>
          <w:rFonts w:ascii="宋体" w:hAnsi="宋体" w:eastAsia="宋体"/>
          <w:color w:val="000000"/>
          <w:sz w:val="24"/>
          <w:szCs w:val="24"/>
        </w:rPr>
        <w:t>”</w:t>
      </w:r>
      <w:r>
        <w:rPr>
          <w:rFonts w:eastAsia="宋体"/>
          <w:color w:val="000000"/>
          <w:sz w:val="24"/>
          <w:szCs w:val="24"/>
        </w:rPr>
        <w:t>一词用于指代参考的通用标准、任何适用的并列标准和特殊标准。因此，符合特殊标准包括符合相同系列的并列标准和通用标准（例如：IEC 60601）以及作为规范性标准所包含的任何其他特殊标准。然而，特殊标准中的条件优先于同一系列的并列标准和通用标准以及规范性特殊标准中的冲突条件（例如：IEC 60601-2-43中的条件优先于IEC 60601-2-54、IEC 60601-1-3和IEC 60601-1中的任何冲突条件）。</w:t>
      </w:r>
    </w:p>
    <w:p w14:paraId="3BD8A005">
      <w:pPr>
        <w:shd w:val="clear" w:color="auto" w:fill="FFFFFF"/>
        <w:topLinePunct/>
        <w:autoSpaceDE/>
        <w:autoSpaceDN/>
        <w:adjustRightInd/>
        <w:ind w:firstLine="480" w:firstLineChars="200"/>
        <w:jc w:val="both"/>
        <w:rPr>
          <w:rFonts w:eastAsia="宋体"/>
          <w:color w:val="000000"/>
          <w:sz w:val="24"/>
          <w:szCs w:val="24"/>
        </w:rPr>
      </w:pPr>
    </w:p>
    <w:p w14:paraId="03AB513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下表显示了在考虑了IEC的分层结构体系后，适用于CFR中分类的不同器械的IEC标准。最左边一列列出了本指南范围内器械的分类法规编号。如需确定哪些IEC标准适用于某个器械：</w:t>
      </w:r>
    </w:p>
    <w:p w14:paraId="007FA714">
      <w:pPr>
        <w:shd w:val="clear" w:color="auto" w:fill="FFFFFF"/>
        <w:topLinePunct/>
        <w:autoSpaceDE/>
        <w:autoSpaceDN/>
        <w:adjustRightInd/>
        <w:ind w:firstLine="480" w:firstLineChars="200"/>
        <w:jc w:val="both"/>
        <w:rPr>
          <w:rFonts w:eastAsia="宋体"/>
          <w:sz w:val="24"/>
          <w:szCs w:val="24"/>
        </w:rPr>
      </w:pPr>
    </w:p>
    <w:p w14:paraId="5E57C7E1">
      <w:pPr>
        <w:numPr>
          <w:ilvl w:val="0"/>
          <w:numId w:val="8"/>
        </w:numPr>
        <w:shd w:val="clear" w:color="auto" w:fill="FFFFFF"/>
        <w:tabs>
          <w:tab w:val="left" w:pos="778"/>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请找到左列中包含分类法规的那一行。</w:t>
      </w:r>
    </w:p>
    <w:p w14:paraId="689BEA36">
      <w:pPr>
        <w:numPr>
          <w:ilvl w:val="0"/>
          <w:numId w:val="8"/>
        </w:numPr>
        <w:shd w:val="clear" w:color="auto" w:fill="FFFFFF"/>
        <w:tabs>
          <w:tab w:val="left" w:pos="778"/>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查找该表中的其他行，并注意哪些列标记有</w:t>
      </w:r>
      <w:r>
        <w:rPr>
          <w:rFonts w:ascii="宋体" w:hAnsi="宋体" w:eastAsia="宋体"/>
          <w:color w:val="000000"/>
          <w:sz w:val="24"/>
          <w:szCs w:val="24"/>
        </w:rPr>
        <w:t>“</w:t>
      </w:r>
      <w:r>
        <w:rPr>
          <w:rFonts w:eastAsia="宋体"/>
          <w:color w:val="000000"/>
          <w:sz w:val="24"/>
          <w:szCs w:val="24"/>
        </w:rPr>
        <w:t>X</w:t>
      </w:r>
      <w:r>
        <w:rPr>
          <w:rFonts w:ascii="宋体" w:hAnsi="宋体" w:eastAsia="宋体"/>
          <w:color w:val="000000"/>
          <w:sz w:val="24"/>
          <w:szCs w:val="24"/>
        </w:rPr>
        <w:t>”</w:t>
      </w:r>
      <w:r>
        <w:rPr>
          <w:rFonts w:eastAsia="宋体"/>
          <w:color w:val="000000"/>
          <w:sz w:val="24"/>
          <w:szCs w:val="24"/>
        </w:rPr>
        <w:t>。</w:t>
      </w:r>
    </w:p>
    <w:p w14:paraId="407513E7">
      <w:pPr>
        <w:numPr>
          <w:ilvl w:val="0"/>
          <w:numId w:val="8"/>
        </w:numPr>
        <w:shd w:val="clear" w:color="auto" w:fill="FFFFFF"/>
        <w:tabs>
          <w:tab w:val="left" w:pos="778"/>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标有</w:t>
      </w:r>
      <w:r>
        <w:rPr>
          <w:rFonts w:ascii="宋体" w:hAnsi="宋体" w:eastAsia="宋体"/>
          <w:color w:val="000000"/>
          <w:sz w:val="24"/>
          <w:szCs w:val="24"/>
        </w:rPr>
        <w:t>“</w:t>
      </w:r>
      <w:r>
        <w:rPr>
          <w:rFonts w:eastAsia="宋体"/>
          <w:color w:val="000000"/>
          <w:sz w:val="24"/>
          <w:szCs w:val="24"/>
        </w:rPr>
        <w:t>X</w:t>
      </w:r>
      <w:r>
        <w:rPr>
          <w:rFonts w:ascii="宋体" w:hAnsi="宋体" w:eastAsia="宋体"/>
          <w:color w:val="000000"/>
          <w:sz w:val="24"/>
          <w:szCs w:val="24"/>
        </w:rPr>
        <w:t>”</w:t>
      </w:r>
      <w:r>
        <w:rPr>
          <w:rFonts w:eastAsia="宋体"/>
          <w:color w:val="000000"/>
          <w:sz w:val="24"/>
          <w:szCs w:val="24"/>
        </w:rPr>
        <w:t>列的列标题提供了适用于该器械的IEC标准的名称。</w:t>
      </w:r>
    </w:p>
    <w:p w14:paraId="6689492D">
      <w:pPr>
        <w:shd w:val="clear" w:color="auto" w:fill="FFFFFF"/>
        <w:topLinePunct/>
        <w:autoSpaceDE/>
        <w:autoSpaceDN/>
        <w:adjustRightInd/>
        <w:jc w:val="both"/>
        <w:rPr>
          <w:rFonts w:eastAsia="宋体"/>
          <w:color w:val="000000"/>
          <w:sz w:val="24"/>
          <w:szCs w:val="24"/>
        </w:rPr>
      </w:pPr>
    </w:p>
    <w:p w14:paraId="3BC92F65">
      <w:pPr>
        <w:shd w:val="clear" w:color="auto" w:fill="FFFFFF"/>
        <w:topLinePunct/>
        <w:autoSpaceDE/>
        <w:autoSpaceDN/>
        <w:adjustRightInd/>
        <w:jc w:val="both"/>
        <w:rPr>
          <w:rFonts w:eastAsia="宋体"/>
          <w:color w:val="000000"/>
          <w:sz w:val="24"/>
          <w:szCs w:val="24"/>
        </w:rPr>
        <w:sectPr>
          <w:headerReference r:id="rId5" w:type="default"/>
          <w:footerReference r:id="rId6" w:type="default"/>
          <w:type w:val="nextColumn"/>
          <w:pgSz w:w="11909" w:h="16834"/>
          <w:pgMar w:top="1134" w:right="1134" w:bottom="1134" w:left="1418" w:header="567" w:footer="567" w:gutter="0"/>
          <w:pgNumType w:start="1"/>
          <w:cols w:space="60" w:num="1"/>
          <w:docGrid w:type="lines" w:linePitch="364" w:charSpace="0"/>
        </w:sectPr>
      </w:pPr>
    </w:p>
    <w:p w14:paraId="302C0CAF">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表6-IEC标准对特定医疗器械分类的适用性</w:t>
      </w:r>
    </w:p>
    <w:p w14:paraId="66627BC7">
      <w:pPr>
        <w:shd w:val="clear" w:color="auto" w:fill="FFFFFF"/>
        <w:topLinePunct/>
        <w:autoSpaceDE/>
        <w:autoSpaceDN/>
        <w:adjustRightInd/>
        <w:snapToGrid w:val="0"/>
        <w:jc w:val="center"/>
        <w:rPr>
          <w:rFonts w:eastAsia="宋体"/>
          <w:sz w:val="24"/>
          <w:szCs w:val="24"/>
        </w:rPr>
      </w:pPr>
    </w:p>
    <w:tbl>
      <w:tblPr>
        <w:tblStyle w:val="12"/>
        <w:tblW w:w="5000" w:type="pct"/>
        <w:tblInd w:w="0" w:type="dxa"/>
        <w:tblLayout w:type="autofit"/>
        <w:tblCellMar>
          <w:top w:w="0" w:type="dxa"/>
          <w:left w:w="57" w:type="dxa"/>
          <w:bottom w:w="0" w:type="dxa"/>
          <w:right w:w="57" w:type="dxa"/>
        </w:tblCellMar>
      </w:tblPr>
      <w:tblGrid>
        <w:gridCol w:w="1539"/>
        <w:gridCol w:w="1415"/>
        <w:gridCol w:w="1568"/>
        <w:gridCol w:w="1824"/>
        <w:gridCol w:w="1668"/>
        <w:gridCol w:w="18"/>
        <w:gridCol w:w="1644"/>
        <w:gridCol w:w="1665"/>
        <w:gridCol w:w="18"/>
        <w:gridCol w:w="1665"/>
        <w:gridCol w:w="1656"/>
      </w:tblGrid>
      <w:tr w14:paraId="4EA939F7">
        <w:tblPrEx>
          <w:tblCellMar>
            <w:top w:w="0" w:type="dxa"/>
            <w:left w:w="57" w:type="dxa"/>
            <w:bottom w:w="0" w:type="dxa"/>
            <w:right w:w="57" w:type="dxa"/>
          </w:tblCellMar>
        </w:tblPrEx>
        <w:trPr>
          <w:tblHeader/>
        </w:trPr>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24EF6AFF">
            <w:pPr>
              <w:shd w:val="clear" w:color="auto" w:fill="FFFFFF"/>
              <w:topLinePunct/>
              <w:autoSpaceDE/>
              <w:autoSpaceDN/>
              <w:adjustRightInd/>
              <w:snapToGrid w:val="0"/>
              <w:jc w:val="center"/>
              <w:rPr>
                <w:rFonts w:eastAsia="宋体"/>
                <w:sz w:val="21"/>
                <w:szCs w:val="21"/>
              </w:rPr>
            </w:pPr>
            <w:r>
              <w:rPr>
                <w:rFonts w:eastAsia="宋体"/>
                <w:sz w:val="21"/>
                <w:szCs w:val="21"/>
              </w:rPr>
              <w:t>分类法规</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0FE86ED0">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60601-1-3</w:t>
            </w:r>
          </w:p>
          <w:p w14:paraId="62EFE18D">
            <w:pPr>
              <w:shd w:val="clear" w:color="auto" w:fill="FFFFFF"/>
              <w:topLinePunct/>
              <w:autoSpaceDE/>
              <w:autoSpaceDN/>
              <w:adjustRightInd/>
              <w:snapToGrid w:val="0"/>
              <w:jc w:val="center"/>
              <w:rPr>
                <w:rFonts w:eastAsia="宋体"/>
                <w:sz w:val="21"/>
                <w:szCs w:val="21"/>
              </w:rPr>
            </w:pPr>
            <w:r>
              <w:rPr>
                <w:rFonts w:eastAsia="宋体"/>
                <w:color w:val="000000"/>
                <w:sz w:val="21"/>
                <w:szCs w:val="21"/>
              </w:rPr>
              <w:t>总则</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7ACBCB6">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60601-2-28 X射线管</w:t>
            </w: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28D04778">
            <w:pPr>
              <w:shd w:val="clear" w:color="auto" w:fill="FFFFFF"/>
              <w:topLinePunct/>
              <w:autoSpaceDE/>
              <w:autoSpaceDN/>
              <w:adjustRightInd/>
              <w:snapToGrid w:val="0"/>
              <w:jc w:val="center"/>
              <w:rPr>
                <w:rFonts w:eastAsia="宋体"/>
                <w:sz w:val="21"/>
                <w:szCs w:val="21"/>
              </w:rPr>
            </w:pPr>
            <w:r>
              <w:rPr>
                <w:rFonts w:eastAsia="宋体"/>
                <w:color w:val="000000"/>
                <w:sz w:val="21"/>
                <w:szCs w:val="21"/>
              </w:rPr>
              <w:t xml:space="preserve">IEC 60601-2-43 </w:t>
            </w:r>
            <w:r>
              <w:rPr>
                <w:rFonts w:hint="eastAsia" w:eastAsia="宋体"/>
                <w:color w:val="000000"/>
                <w:sz w:val="21"/>
                <w:szCs w:val="21"/>
              </w:rPr>
              <w:br w:type="textWrapping"/>
            </w:r>
            <w:r>
              <w:rPr>
                <w:rFonts w:eastAsia="宋体"/>
                <w:color w:val="000000"/>
                <w:sz w:val="21"/>
                <w:szCs w:val="21"/>
              </w:rPr>
              <w:t>介入性X射线设备</w:t>
            </w: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595286A8">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60601-2-44 计算机断层扫描</w:t>
            </w: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E04C07C">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60601-2-45</w:t>
            </w:r>
          </w:p>
          <w:p w14:paraId="27592CA4">
            <w:pPr>
              <w:shd w:val="clear" w:color="auto" w:fill="FFFFFF"/>
              <w:topLinePunct/>
              <w:autoSpaceDE/>
              <w:autoSpaceDN/>
              <w:adjustRightInd/>
              <w:snapToGrid w:val="0"/>
              <w:jc w:val="center"/>
              <w:rPr>
                <w:rFonts w:eastAsia="宋体"/>
                <w:sz w:val="21"/>
                <w:szCs w:val="21"/>
              </w:rPr>
            </w:pPr>
            <w:r>
              <w:rPr>
                <w:rFonts w:eastAsia="宋体"/>
                <w:color w:val="000000"/>
                <w:sz w:val="21"/>
                <w:szCs w:val="21"/>
              </w:rPr>
              <w:t>乳腺X射线摄影</w:t>
            </w: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23125005">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60601-2-54 X射线摄影</w:t>
            </w:r>
          </w:p>
          <w:p w14:paraId="10948B63">
            <w:pPr>
              <w:shd w:val="clear" w:color="auto" w:fill="FFFFFF"/>
              <w:topLinePunct/>
              <w:autoSpaceDE/>
              <w:autoSpaceDN/>
              <w:adjustRightInd/>
              <w:snapToGrid w:val="0"/>
              <w:jc w:val="center"/>
              <w:rPr>
                <w:rFonts w:eastAsia="宋体"/>
                <w:sz w:val="21"/>
                <w:szCs w:val="21"/>
              </w:rPr>
            </w:pPr>
            <w:r>
              <w:rPr>
                <w:rFonts w:eastAsia="宋体"/>
                <w:color w:val="000000"/>
                <w:sz w:val="21"/>
                <w:szCs w:val="21"/>
              </w:rPr>
              <w:t>和透视</w:t>
            </w: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DB417F4">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60601-2-63 口腔内牙科设备</w:t>
            </w: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7107ADF3">
            <w:pPr>
              <w:shd w:val="clear" w:color="auto" w:fill="FFFFFF"/>
              <w:topLinePunct/>
              <w:autoSpaceDE/>
              <w:autoSpaceDN/>
              <w:adjustRightInd/>
              <w:snapToGrid w:val="0"/>
              <w:jc w:val="center"/>
              <w:rPr>
                <w:rFonts w:eastAsia="宋体"/>
                <w:sz w:val="21"/>
                <w:szCs w:val="21"/>
              </w:rPr>
            </w:pPr>
            <w:r>
              <w:rPr>
                <w:rFonts w:eastAsia="宋体"/>
                <w:color w:val="000000"/>
                <w:sz w:val="21"/>
                <w:szCs w:val="21"/>
              </w:rPr>
              <w:t>IEC 60601-2-65 口腔外牙科设备</w:t>
            </w:r>
          </w:p>
        </w:tc>
      </w:tr>
      <w:tr w14:paraId="513564A8">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4D2187C8">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1A62CF56">
            <w:pPr>
              <w:shd w:val="clear" w:color="auto" w:fill="FFFFFF"/>
              <w:topLinePunct/>
              <w:autoSpaceDE/>
              <w:autoSpaceDN/>
              <w:adjustRightInd/>
              <w:snapToGrid w:val="0"/>
              <w:jc w:val="center"/>
              <w:rPr>
                <w:rFonts w:eastAsia="宋体"/>
                <w:sz w:val="21"/>
                <w:szCs w:val="21"/>
              </w:rPr>
            </w:pPr>
            <w:r>
              <w:rPr>
                <w:rFonts w:eastAsia="宋体"/>
                <w:color w:val="000000"/>
                <w:sz w:val="21"/>
                <w:szCs w:val="21"/>
              </w:rPr>
              <w:t>872.1800</w:t>
            </w:r>
          </w:p>
          <w:p w14:paraId="5BB8DB40">
            <w:pPr>
              <w:shd w:val="clear" w:color="auto" w:fill="FFFFFF"/>
              <w:topLinePunct/>
              <w:autoSpaceDE/>
              <w:autoSpaceDN/>
              <w:adjustRightInd/>
              <w:snapToGrid w:val="0"/>
              <w:jc w:val="center"/>
              <w:rPr>
                <w:rFonts w:eastAsia="宋体"/>
                <w:sz w:val="21"/>
                <w:szCs w:val="21"/>
              </w:rPr>
            </w:pPr>
            <w:r>
              <w:rPr>
                <w:rFonts w:eastAsia="宋体"/>
                <w:color w:val="000000"/>
                <w:sz w:val="21"/>
                <w:szCs w:val="21"/>
              </w:rPr>
              <w:t>EHD, MUH</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5DC00B40">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B7C90C2">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64CA3BA4">
            <w:pPr>
              <w:shd w:val="clear" w:color="auto" w:fill="FFFFFF"/>
              <w:topLinePunct/>
              <w:autoSpaceDE/>
              <w:autoSpaceDN/>
              <w:adjustRightInd/>
              <w:snapToGrid w:val="0"/>
              <w:jc w:val="center"/>
              <w:rPr>
                <w:rFonts w:eastAsia="宋体"/>
                <w:sz w:val="21"/>
                <w:szCs w:val="21"/>
              </w:rPr>
            </w:pP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3D5EE243">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7C1AFC74">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3253DF5C">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6AC9194">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r>
              <w:rPr>
                <w:rFonts w:eastAsia="宋体"/>
                <w:color w:val="000000"/>
                <w:sz w:val="21"/>
                <w:szCs w:val="21"/>
                <w:vertAlign w:val="superscript"/>
              </w:rPr>
              <w:t>†</w:t>
            </w: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3559CDB5">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r>
              <w:rPr>
                <w:rFonts w:eastAsia="宋体"/>
                <w:color w:val="000000"/>
                <w:sz w:val="21"/>
                <w:szCs w:val="21"/>
                <w:vertAlign w:val="superscript"/>
              </w:rPr>
              <w:t>†</w:t>
            </w:r>
          </w:p>
        </w:tc>
      </w:tr>
      <w:tr w14:paraId="45D323E6">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08635AF3">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66A4CE8D">
            <w:pPr>
              <w:shd w:val="clear" w:color="auto" w:fill="FFFFFF"/>
              <w:topLinePunct/>
              <w:autoSpaceDE/>
              <w:autoSpaceDN/>
              <w:adjustRightInd/>
              <w:snapToGrid w:val="0"/>
              <w:jc w:val="center"/>
              <w:rPr>
                <w:rFonts w:eastAsia="宋体"/>
                <w:sz w:val="21"/>
                <w:szCs w:val="21"/>
              </w:rPr>
            </w:pPr>
            <w:r>
              <w:rPr>
                <w:rFonts w:eastAsia="宋体"/>
                <w:color w:val="000000"/>
                <w:sz w:val="21"/>
                <w:szCs w:val="21"/>
              </w:rPr>
              <w:t>872.1810</w:t>
            </w:r>
          </w:p>
          <w:p w14:paraId="5B94F2DA">
            <w:pPr>
              <w:shd w:val="clear" w:color="auto" w:fill="FFFFFF"/>
              <w:topLinePunct/>
              <w:autoSpaceDE/>
              <w:autoSpaceDN/>
              <w:adjustRightInd/>
              <w:snapToGrid w:val="0"/>
              <w:jc w:val="center"/>
              <w:rPr>
                <w:rFonts w:eastAsia="宋体"/>
                <w:sz w:val="21"/>
                <w:szCs w:val="21"/>
              </w:rPr>
            </w:pPr>
            <w:r>
              <w:rPr>
                <w:rFonts w:eastAsia="宋体"/>
                <w:color w:val="000000"/>
                <w:sz w:val="21"/>
                <w:szCs w:val="21"/>
              </w:rPr>
              <w:t>EAP</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7C358A28">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D020F20">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430B1C5C">
            <w:pPr>
              <w:shd w:val="clear" w:color="auto" w:fill="FFFFFF"/>
              <w:topLinePunct/>
              <w:autoSpaceDE/>
              <w:autoSpaceDN/>
              <w:adjustRightInd/>
              <w:snapToGrid w:val="0"/>
              <w:jc w:val="center"/>
              <w:rPr>
                <w:rFonts w:eastAsia="宋体"/>
                <w:sz w:val="21"/>
                <w:szCs w:val="21"/>
              </w:rPr>
            </w:pP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1C4BD82E">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4B11FA0">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3A16F878">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E46E80A">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2140964F">
            <w:pPr>
              <w:shd w:val="clear" w:color="auto" w:fill="FFFFFF"/>
              <w:topLinePunct/>
              <w:autoSpaceDE/>
              <w:autoSpaceDN/>
              <w:adjustRightInd/>
              <w:snapToGrid w:val="0"/>
              <w:jc w:val="center"/>
              <w:rPr>
                <w:rFonts w:eastAsia="宋体"/>
                <w:sz w:val="21"/>
                <w:szCs w:val="21"/>
              </w:rPr>
            </w:pPr>
          </w:p>
        </w:tc>
      </w:tr>
      <w:tr w14:paraId="5FCD83F0">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5015082B">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51E73CC0">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892.1170</w:t>
            </w:r>
          </w:p>
          <w:p w14:paraId="2F127781">
            <w:pPr>
              <w:shd w:val="clear" w:color="auto" w:fill="FFFFFF"/>
              <w:topLinePunct/>
              <w:autoSpaceDE/>
              <w:autoSpaceDN/>
              <w:adjustRightInd/>
              <w:snapToGrid w:val="0"/>
              <w:jc w:val="center"/>
              <w:rPr>
                <w:rFonts w:eastAsia="宋体"/>
                <w:sz w:val="21"/>
                <w:szCs w:val="21"/>
              </w:rPr>
            </w:pPr>
            <w:r>
              <w:rPr>
                <w:rFonts w:eastAsia="宋体"/>
                <w:color w:val="000000"/>
                <w:sz w:val="21"/>
                <w:szCs w:val="21"/>
              </w:rPr>
              <w:t>KGI</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727F5CF6">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1B1E460D">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73721DC9">
            <w:pPr>
              <w:shd w:val="clear" w:color="auto" w:fill="FFFFFF"/>
              <w:topLinePunct/>
              <w:autoSpaceDE/>
              <w:autoSpaceDN/>
              <w:adjustRightInd/>
              <w:snapToGrid w:val="0"/>
              <w:jc w:val="center"/>
              <w:rPr>
                <w:rFonts w:eastAsia="宋体"/>
                <w:sz w:val="21"/>
                <w:szCs w:val="21"/>
              </w:rPr>
            </w:pP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7BEDA9A4">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7920212">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6766525D">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B72B437">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5A789A8A">
            <w:pPr>
              <w:shd w:val="clear" w:color="auto" w:fill="FFFFFF"/>
              <w:topLinePunct/>
              <w:autoSpaceDE/>
              <w:autoSpaceDN/>
              <w:adjustRightInd/>
              <w:snapToGrid w:val="0"/>
              <w:jc w:val="center"/>
              <w:rPr>
                <w:rFonts w:eastAsia="宋体"/>
                <w:sz w:val="21"/>
                <w:szCs w:val="21"/>
              </w:rPr>
            </w:pPr>
          </w:p>
        </w:tc>
      </w:tr>
      <w:tr w14:paraId="353B0C8E">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6A4B65ED">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699229D5">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892.1600</w:t>
            </w:r>
          </w:p>
          <w:p w14:paraId="275BD06F">
            <w:pPr>
              <w:shd w:val="clear" w:color="auto" w:fill="FFFFFF"/>
              <w:topLinePunct/>
              <w:autoSpaceDE/>
              <w:autoSpaceDN/>
              <w:adjustRightInd/>
              <w:snapToGrid w:val="0"/>
              <w:jc w:val="center"/>
              <w:rPr>
                <w:rFonts w:eastAsia="宋体"/>
                <w:sz w:val="21"/>
                <w:szCs w:val="21"/>
              </w:rPr>
            </w:pPr>
            <w:r>
              <w:rPr>
                <w:rFonts w:eastAsia="宋体"/>
                <w:color w:val="000000"/>
                <w:sz w:val="21"/>
                <w:szCs w:val="21"/>
              </w:rPr>
              <w:t>IZI</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0857F610">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31877F15">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3623161B">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7B13DC9A">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402F522">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4082F67D">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7B36EAC7">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04D9DE8A">
            <w:pPr>
              <w:shd w:val="clear" w:color="auto" w:fill="FFFFFF"/>
              <w:topLinePunct/>
              <w:autoSpaceDE/>
              <w:autoSpaceDN/>
              <w:adjustRightInd/>
              <w:snapToGrid w:val="0"/>
              <w:jc w:val="center"/>
              <w:rPr>
                <w:rFonts w:eastAsia="宋体"/>
                <w:sz w:val="21"/>
                <w:szCs w:val="21"/>
              </w:rPr>
            </w:pPr>
          </w:p>
        </w:tc>
      </w:tr>
      <w:tr w14:paraId="1BBFBF9B">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355D74CF">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5D56FF24">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892.1610</w:t>
            </w:r>
          </w:p>
          <w:p w14:paraId="6D86EF07">
            <w:pPr>
              <w:shd w:val="clear" w:color="auto" w:fill="FFFFFF"/>
              <w:topLinePunct/>
              <w:autoSpaceDE/>
              <w:autoSpaceDN/>
              <w:adjustRightInd/>
              <w:snapToGrid w:val="0"/>
              <w:jc w:val="center"/>
              <w:rPr>
                <w:rFonts w:eastAsia="宋体"/>
                <w:sz w:val="21"/>
                <w:szCs w:val="21"/>
              </w:rPr>
            </w:pPr>
            <w:r>
              <w:rPr>
                <w:rFonts w:eastAsia="宋体"/>
                <w:color w:val="000000"/>
                <w:sz w:val="21"/>
                <w:szCs w:val="21"/>
              </w:rPr>
              <w:t>KPW, IZW,</w:t>
            </w:r>
          </w:p>
          <w:p w14:paraId="6C8CCF69">
            <w:pPr>
              <w:shd w:val="clear" w:color="auto" w:fill="FFFFFF"/>
              <w:topLinePunct/>
              <w:autoSpaceDE/>
              <w:autoSpaceDN/>
              <w:adjustRightInd/>
              <w:snapToGrid w:val="0"/>
              <w:jc w:val="center"/>
              <w:rPr>
                <w:rFonts w:eastAsia="宋体"/>
                <w:sz w:val="21"/>
                <w:szCs w:val="21"/>
              </w:rPr>
            </w:pPr>
            <w:r>
              <w:rPr>
                <w:rFonts w:eastAsia="宋体"/>
                <w:color w:val="000000"/>
                <w:sz w:val="21"/>
                <w:szCs w:val="21"/>
              </w:rPr>
              <w:t>IZX</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70FDD053">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542DF09E">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0174CFF8">
            <w:pPr>
              <w:shd w:val="clear" w:color="auto" w:fill="FFFFFF"/>
              <w:topLinePunct/>
              <w:autoSpaceDE/>
              <w:autoSpaceDN/>
              <w:adjustRightInd/>
              <w:snapToGrid w:val="0"/>
              <w:jc w:val="center"/>
              <w:rPr>
                <w:rFonts w:eastAsia="宋体"/>
                <w:sz w:val="21"/>
                <w:szCs w:val="21"/>
              </w:rPr>
            </w:pP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795B0627">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3407F4B0">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3042E652">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18A9E3A">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0DE4C0A9">
            <w:pPr>
              <w:shd w:val="clear" w:color="auto" w:fill="FFFFFF"/>
              <w:topLinePunct/>
              <w:autoSpaceDE/>
              <w:autoSpaceDN/>
              <w:adjustRightInd/>
              <w:snapToGrid w:val="0"/>
              <w:jc w:val="center"/>
              <w:rPr>
                <w:rFonts w:eastAsia="宋体"/>
                <w:sz w:val="21"/>
                <w:szCs w:val="21"/>
              </w:rPr>
            </w:pPr>
          </w:p>
        </w:tc>
      </w:tr>
      <w:tr w14:paraId="6A27ACC2">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2626573B">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27ED3592">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892.1630</w:t>
            </w:r>
          </w:p>
          <w:p w14:paraId="522CF249">
            <w:pPr>
              <w:shd w:val="clear" w:color="auto" w:fill="FFFFFF"/>
              <w:topLinePunct/>
              <w:autoSpaceDE/>
              <w:autoSpaceDN/>
              <w:adjustRightInd/>
              <w:snapToGrid w:val="0"/>
              <w:jc w:val="center"/>
              <w:rPr>
                <w:rFonts w:eastAsia="宋体"/>
                <w:sz w:val="21"/>
                <w:szCs w:val="21"/>
              </w:rPr>
            </w:pPr>
            <w:r>
              <w:rPr>
                <w:rFonts w:eastAsia="宋体"/>
                <w:color w:val="000000"/>
                <w:sz w:val="21"/>
                <w:szCs w:val="21"/>
              </w:rPr>
              <w:t>IXK</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2157C8F7">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3FC57B88">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1620D50B">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0499C929">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AC6EC49">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5C635D72">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B04CFB4">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32A11ECF">
            <w:pPr>
              <w:shd w:val="clear" w:color="auto" w:fill="FFFFFF"/>
              <w:topLinePunct/>
              <w:autoSpaceDE/>
              <w:autoSpaceDN/>
              <w:adjustRightInd/>
              <w:snapToGrid w:val="0"/>
              <w:jc w:val="center"/>
              <w:rPr>
                <w:rFonts w:eastAsia="宋体"/>
                <w:sz w:val="21"/>
                <w:szCs w:val="21"/>
              </w:rPr>
            </w:pPr>
          </w:p>
        </w:tc>
      </w:tr>
      <w:tr w14:paraId="4C9C979B">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0F1B8C36">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2EDE9F27">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892.1650</w:t>
            </w:r>
          </w:p>
          <w:p w14:paraId="2D8C631A">
            <w:pPr>
              <w:shd w:val="clear" w:color="auto" w:fill="FFFFFF"/>
              <w:topLinePunct/>
              <w:autoSpaceDE/>
              <w:autoSpaceDN/>
              <w:adjustRightInd/>
              <w:snapToGrid w:val="0"/>
              <w:jc w:val="center"/>
              <w:rPr>
                <w:rFonts w:eastAsia="宋体"/>
                <w:sz w:val="21"/>
                <w:szCs w:val="21"/>
              </w:rPr>
            </w:pPr>
            <w:r>
              <w:rPr>
                <w:rFonts w:eastAsia="宋体"/>
                <w:color w:val="000000"/>
                <w:sz w:val="21"/>
                <w:szCs w:val="21"/>
              </w:rPr>
              <w:t>JAA, OWB,</w:t>
            </w:r>
          </w:p>
          <w:p w14:paraId="7DC29E4E">
            <w:pPr>
              <w:shd w:val="clear" w:color="auto" w:fill="FFFFFF"/>
              <w:topLinePunct/>
              <w:autoSpaceDE/>
              <w:autoSpaceDN/>
              <w:adjustRightInd/>
              <w:snapToGrid w:val="0"/>
              <w:jc w:val="center"/>
              <w:rPr>
                <w:rFonts w:eastAsia="宋体"/>
                <w:sz w:val="21"/>
                <w:szCs w:val="21"/>
              </w:rPr>
            </w:pPr>
            <w:r>
              <w:rPr>
                <w:rFonts w:eastAsia="宋体"/>
                <w:color w:val="000000"/>
                <w:sz w:val="21"/>
                <w:szCs w:val="21"/>
              </w:rPr>
              <w:t>OXO</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2E400994">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69BC3453">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743051E1">
            <w:pPr>
              <w:shd w:val="clear" w:color="auto" w:fill="FFFFFF"/>
              <w:topLinePunct/>
              <w:autoSpaceDE/>
              <w:autoSpaceDN/>
              <w:adjustRightInd/>
              <w:snapToGrid w:val="0"/>
              <w:jc w:val="center"/>
              <w:rPr>
                <w:rFonts w:eastAsia="宋体"/>
                <w:sz w:val="21"/>
                <w:szCs w:val="21"/>
              </w:rPr>
            </w:pPr>
            <w:r>
              <w:rPr>
                <w:rFonts w:eastAsia="宋体"/>
                <w:color w:val="000000"/>
                <w:sz w:val="21"/>
                <w:szCs w:val="21"/>
                <w:lang w:val="hu-HU"/>
              </w:rPr>
              <w:t>X‡</w:t>
            </w: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7CC21CFF">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3DDF5102">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3B3382A2">
            <w:pPr>
              <w:shd w:val="clear" w:color="auto" w:fill="FFFFFF"/>
              <w:topLinePunct/>
              <w:autoSpaceDE/>
              <w:autoSpaceDN/>
              <w:adjustRightInd/>
              <w:snapToGrid w:val="0"/>
              <w:jc w:val="center"/>
              <w:rPr>
                <w:rFonts w:eastAsia="宋体"/>
                <w:sz w:val="21"/>
                <w:szCs w:val="21"/>
              </w:rPr>
            </w:pPr>
            <w:r>
              <w:rPr>
                <w:rFonts w:eastAsia="宋体"/>
                <w:color w:val="000000"/>
                <w:sz w:val="21"/>
                <w:szCs w:val="21"/>
                <w:lang w:val="hu-HU"/>
              </w:rPr>
              <w:t>X</w:t>
            </w:r>
            <w:r>
              <w:rPr>
                <w:rFonts w:eastAsia="宋体"/>
                <w:color w:val="000000"/>
                <w:sz w:val="21"/>
                <w:szCs w:val="21"/>
                <w:vertAlign w:val="superscript"/>
                <w:lang w:val="hu-HU"/>
              </w:rPr>
              <w:t>‡</w:t>
            </w: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2275093">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794AFB6E">
            <w:pPr>
              <w:shd w:val="clear" w:color="auto" w:fill="FFFFFF"/>
              <w:topLinePunct/>
              <w:autoSpaceDE/>
              <w:autoSpaceDN/>
              <w:adjustRightInd/>
              <w:snapToGrid w:val="0"/>
              <w:jc w:val="center"/>
              <w:rPr>
                <w:rFonts w:eastAsia="宋体"/>
                <w:sz w:val="21"/>
                <w:szCs w:val="21"/>
              </w:rPr>
            </w:pPr>
          </w:p>
        </w:tc>
      </w:tr>
      <w:tr w14:paraId="154AEF66">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2E70FDD6">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3FC6BD21">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892.1660</w:t>
            </w:r>
          </w:p>
          <w:p w14:paraId="46527248">
            <w:pPr>
              <w:shd w:val="clear" w:color="auto" w:fill="FFFFFF"/>
              <w:topLinePunct/>
              <w:autoSpaceDE/>
              <w:autoSpaceDN/>
              <w:adjustRightInd/>
              <w:snapToGrid w:val="0"/>
              <w:jc w:val="center"/>
              <w:rPr>
                <w:rFonts w:eastAsia="宋体"/>
                <w:sz w:val="21"/>
                <w:szCs w:val="21"/>
              </w:rPr>
            </w:pPr>
            <w:r>
              <w:rPr>
                <w:rFonts w:eastAsia="宋体"/>
                <w:color w:val="000000"/>
                <w:sz w:val="21"/>
                <w:szCs w:val="21"/>
              </w:rPr>
              <w:t>JAB</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63F6FF15">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15A4BB0C">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6BA87CD8">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39CA613B">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400EA87">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52320B91">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4F2A14D">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4B22E8D4">
            <w:pPr>
              <w:shd w:val="clear" w:color="auto" w:fill="FFFFFF"/>
              <w:topLinePunct/>
              <w:autoSpaceDE/>
              <w:autoSpaceDN/>
              <w:adjustRightInd/>
              <w:snapToGrid w:val="0"/>
              <w:jc w:val="center"/>
              <w:rPr>
                <w:rFonts w:eastAsia="宋体"/>
                <w:sz w:val="21"/>
                <w:szCs w:val="21"/>
              </w:rPr>
            </w:pPr>
          </w:p>
        </w:tc>
      </w:tr>
      <w:tr w14:paraId="741B8D54">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76CEE27C">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79D3A55B">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892.1670</w:t>
            </w:r>
          </w:p>
          <w:p w14:paraId="477B8D11">
            <w:pPr>
              <w:shd w:val="clear" w:color="auto" w:fill="FFFFFF"/>
              <w:topLinePunct/>
              <w:autoSpaceDE/>
              <w:autoSpaceDN/>
              <w:adjustRightInd/>
              <w:snapToGrid w:val="0"/>
              <w:jc w:val="center"/>
              <w:rPr>
                <w:rFonts w:eastAsia="宋体"/>
                <w:sz w:val="21"/>
                <w:szCs w:val="21"/>
              </w:rPr>
            </w:pPr>
            <w:r>
              <w:rPr>
                <w:rFonts w:eastAsia="宋体"/>
                <w:color w:val="000000"/>
                <w:sz w:val="21"/>
                <w:szCs w:val="21"/>
              </w:rPr>
              <w:t>IXL</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69DFAC80">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44E996D9">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504CCF55">
            <w:pPr>
              <w:shd w:val="clear" w:color="auto" w:fill="FFFFFF"/>
              <w:topLinePunct/>
              <w:autoSpaceDE/>
              <w:autoSpaceDN/>
              <w:adjustRightInd/>
              <w:snapToGrid w:val="0"/>
              <w:jc w:val="center"/>
              <w:rPr>
                <w:rFonts w:eastAsia="宋体"/>
                <w:sz w:val="21"/>
                <w:szCs w:val="21"/>
              </w:rPr>
            </w:pPr>
          </w:p>
        </w:tc>
        <w:tc>
          <w:tcPr>
            <w:tcW w:w="568" w:type="pct"/>
            <w:tcBorders>
              <w:top w:val="single" w:color="auto" w:sz="6" w:space="0"/>
              <w:left w:val="single" w:color="auto" w:sz="6" w:space="0"/>
              <w:bottom w:val="single" w:color="auto" w:sz="6" w:space="0"/>
              <w:right w:val="single" w:color="auto" w:sz="6" w:space="0"/>
            </w:tcBorders>
            <w:shd w:val="clear" w:color="auto" w:fill="FFFFFF"/>
            <w:vAlign w:val="center"/>
          </w:tcPr>
          <w:p w14:paraId="2DBADB2D">
            <w:pPr>
              <w:shd w:val="clear" w:color="auto" w:fill="FFFFFF"/>
              <w:topLinePunct/>
              <w:autoSpaceDE/>
              <w:autoSpaceDN/>
              <w:adjustRightInd/>
              <w:snapToGrid w:val="0"/>
              <w:jc w:val="center"/>
              <w:rPr>
                <w:rFonts w:eastAsia="宋体"/>
                <w:sz w:val="21"/>
                <w:szCs w:val="21"/>
              </w:rPr>
            </w:pPr>
          </w:p>
        </w:tc>
        <w:tc>
          <w:tcPr>
            <w:tcW w:w="566"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74772B61">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1AC826DF">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0B87EB98">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7865CAA1">
            <w:pPr>
              <w:shd w:val="clear" w:color="auto" w:fill="FFFFFF"/>
              <w:topLinePunct/>
              <w:autoSpaceDE/>
              <w:autoSpaceDN/>
              <w:adjustRightInd/>
              <w:snapToGrid w:val="0"/>
              <w:jc w:val="center"/>
              <w:rPr>
                <w:rFonts w:eastAsia="宋体"/>
                <w:sz w:val="21"/>
                <w:szCs w:val="21"/>
              </w:rPr>
            </w:pPr>
          </w:p>
        </w:tc>
      </w:tr>
      <w:tr w14:paraId="54812EB7">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6009BFAF">
            <w:pPr>
              <w:pageBreakBefore/>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710B7343">
            <w:pPr>
              <w:pageBreakBefore/>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892.1680</w:t>
            </w:r>
          </w:p>
          <w:p w14:paraId="5F51D79C">
            <w:pPr>
              <w:pageBreakBefore/>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KPR, MQB,</w:t>
            </w:r>
          </w:p>
          <w:p w14:paraId="61C968B1">
            <w:pPr>
              <w:pageBreakBefore/>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MWP</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06C23328">
            <w:pPr>
              <w:pageBreakBefore/>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63314BBD">
            <w:pPr>
              <w:pageBreakBefore/>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75337310">
            <w:pPr>
              <w:pageBreakBefore/>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1D2321C">
            <w:pPr>
              <w:pageBreakBefore/>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07D93B69">
            <w:pPr>
              <w:pageBreakBefore/>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33C8D974">
            <w:pPr>
              <w:pageBreakBefore/>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3B4AF45C">
            <w:pPr>
              <w:pageBreakBefore/>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458D3042">
            <w:pPr>
              <w:pageBreakBefore/>
              <w:shd w:val="clear" w:color="auto" w:fill="FFFFFF"/>
              <w:topLinePunct/>
              <w:autoSpaceDE/>
              <w:autoSpaceDN/>
              <w:adjustRightInd/>
              <w:snapToGrid w:val="0"/>
              <w:contextualSpacing/>
              <w:jc w:val="center"/>
              <w:rPr>
                <w:rFonts w:eastAsia="宋体"/>
                <w:sz w:val="21"/>
                <w:szCs w:val="21"/>
              </w:rPr>
            </w:pPr>
          </w:p>
        </w:tc>
      </w:tr>
      <w:tr w14:paraId="7ECE675B">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7AE9FB0B">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7D50C9A8">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892.1700</w:t>
            </w:r>
          </w:p>
          <w:p w14:paraId="1F552B31">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IZO</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2166C5B4">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7EBB4821">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71CB0D9A">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5D5B147">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41FEACA9">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232AE41">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4D53CBCE">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22BE6FA9">
            <w:pPr>
              <w:shd w:val="clear" w:color="auto" w:fill="FFFFFF"/>
              <w:topLinePunct/>
              <w:autoSpaceDE/>
              <w:autoSpaceDN/>
              <w:adjustRightInd/>
              <w:snapToGrid w:val="0"/>
              <w:contextualSpacing/>
              <w:jc w:val="center"/>
              <w:rPr>
                <w:rFonts w:eastAsia="宋体"/>
                <w:sz w:val="21"/>
                <w:szCs w:val="21"/>
              </w:rPr>
            </w:pPr>
          </w:p>
        </w:tc>
      </w:tr>
      <w:tr w14:paraId="3127D449">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4F5FFA68">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3016346F">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892.1710</w:t>
            </w:r>
          </w:p>
          <w:p w14:paraId="5EE65931">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IZH</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45F8A8F5">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6F769804">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33B2C990">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CEB79BE">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20AA6576">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4032806">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482344F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0C18DECB">
            <w:pPr>
              <w:shd w:val="clear" w:color="auto" w:fill="FFFFFF"/>
              <w:topLinePunct/>
              <w:autoSpaceDE/>
              <w:autoSpaceDN/>
              <w:adjustRightInd/>
              <w:snapToGrid w:val="0"/>
              <w:contextualSpacing/>
              <w:jc w:val="center"/>
              <w:rPr>
                <w:rFonts w:eastAsia="宋体"/>
                <w:sz w:val="21"/>
                <w:szCs w:val="21"/>
              </w:rPr>
            </w:pPr>
          </w:p>
        </w:tc>
      </w:tr>
      <w:tr w14:paraId="037D5023">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6007B362">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22799FA7">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892.1715</w:t>
            </w:r>
          </w:p>
          <w:p w14:paraId="2EEE9679">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MUE</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120F5A67">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720BEEF7">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4EDB79DB">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4DEB7C6">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7F3D1260">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4F6D8D8">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6CE9CCEE">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6067A6F8">
            <w:pPr>
              <w:shd w:val="clear" w:color="auto" w:fill="FFFFFF"/>
              <w:topLinePunct/>
              <w:autoSpaceDE/>
              <w:autoSpaceDN/>
              <w:adjustRightInd/>
              <w:snapToGrid w:val="0"/>
              <w:contextualSpacing/>
              <w:jc w:val="center"/>
              <w:rPr>
                <w:rFonts w:eastAsia="宋体"/>
                <w:sz w:val="21"/>
                <w:szCs w:val="21"/>
              </w:rPr>
            </w:pPr>
          </w:p>
        </w:tc>
      </w:tr>
      <w:tr w14:paraId="1752D465">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79781299">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0E6E6727">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892.1720</w:t>
            </w:r>
          </w:p>
          <w:p w14:paraId="3C78087A">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IZL</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63EA0AD5">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4AE7768">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54278515">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0B29483B">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49C4AB7E">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8F3D31F">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5CF717A3">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0E52BE15">
            <w:pPr>
              <w:shd w:val="clear" w:color="auto" w:fill="FFFFFF"/>
              <w:topLinePunct/>
              <w:autoSpaceDE/>
              <w:autoSpaceDN/>
              <w:adjustRightInd/>
              <w:snapToGrid w:val="0"/>
              <w:contextualSpacing/>
              <w:jc w:val="center"/>
              <w:rPr>
                <w:rFonts w:eastAsia="宋体"/>
                <w:sz w:val="21"/>
                <w:szCs w:val="21"/>
              </w:rPr>
            </w:pPr>
          </w:p>
        </w:tc>
      </w:tr>
      <w:tr w14:paraId="5B2B357A">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5FAAD2F9">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376C81B6">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892.1730</w:t>
            </w:r>
          </w:p>
          <w:p w14:paraId="58B8E221">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IZG</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47C802F9">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5F26F561">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74A06BCB">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954379E">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3EE67F64">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BB1F4BF">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65071FEC">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5D608716">
            <w:pPr>
              <w:shd w:val="clear" w:color="auto" w:fill="FFFFFF"/>
              <w:topLinePunct/>
              <w:autoSpaceDE/>
              <w:autoSpaceDN/>
              <w:adjustRightInd/>
              <w:snapToGrid w:val="0"/>
              <w:contextualSpacing/>
              <w:jc w:val="center"/>
              <w:rPr>
                <w:rFonts w:eastAsia="宋体"/>
                <w:sz w:val="21"/>
                <w:szCs w:val="21"/>
              </w:rPr>
            </w:pPr>
          </w:p>
        </w:tc>
      </w:tr>
      <w:tr w14:paraId="1022D436">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23AF6509">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1AC3CA56">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892.1740</w:t>
            </w:r>
          </w:p>
          <w:p w14:paraId="64360454">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IZF</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07510879">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4ABECA65">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146766A0">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DD8CB1C">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60F4D9D8">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C562A28">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009C0F96">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7E0E92CE">
            <w:pPr>
              <w:shd w:val="clear" w:color="auto" w:fill="FFFFFF"/>
              <w:topLinePunct/>
              <w:autoSpaceDE/>
              <w:autoSpaceDN/>
              <w:adjustRightInd/>
              <w:snapToGrid w:val="0"/>
              <w:contextualSpacing/>
              <w:jc w:val="center"/>
              <w:rPr>
                <w:rFonts w:eastAsia="宋体"/>
                <w:sz w:val="21"/>
                <w:szCs w:val="21"/>
              </w:rPr>
            </w:pPr>
          </w:p>
        </w:tc>
      </w:tr>
      <w:tr w14:paraId="466B83EB">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5EB557AE">
            <w:pPr>
              <w:shd w:val="clear" w:color="auto" w:fill="FFFFFF"/>
              <w:topLinePunct/>
              <w:autoSpaceDE/>
              <w:autoSpaceDN/>
              <w:adjustRightInd/>
              <w:snapToGrid w:val="0"/>
              <w:contextualSpacing/>
              <w:jc w:val="center"/>
              <w:rPr>
                <w:rFonts w:eastAsia="宋体"/>
                <w:color w:val="000000"/>
                <w:sz w:val="21"/>
                <w:szCs w:val="21"/>
              </w:rPr>
            </w:pPr>
            <w:r>
              <w:rPr>
                <w:rFonts w:eastAsia="宋体"/>
                <w:color w:val="000000"/>
                <w:sz w:val="21"/>
                <w:szCs w:val="21"/>
              </w:rPr>
              <w:t xml:space="preserve">21 CFR 892.1750 </w:t>
            </w:r>
          </w:p>
          <w:p w14:paraId="2333E5E0">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lang w:val="hu-HU"/>
              </w:rPr>
              <w:t xml:space="preserve">JAK, </w:t>
            </w:r>
            <w:r>
              <w:rPr>
                <w:rFonts w:eastAsia="宋体"/>
                <w:color w:val="000000"/>
                <w:sz w:val="21"/>
                <w:szCs w:val="21"/>
              </w:rPr>
              <w:t>OAS</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19067614">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7EC9D7B">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3B6244B6">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3F2C977">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5427C1C8">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441F08C">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40B5EB00">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1E05250F">
            <w:pPr>
              <w:shd w:val="clear" w:color="auto" w:fill="FFFFFF"/>
              <w:topLinePunct/>
              <w:autoSpaceDE/>
              <w:autoSpaceDN/>
              <w:adjustRightInd/>
              <w:snapToGrid w:val="0"/>
              <w:contextualSpacing/>
              <w:jc w:val="center"/>
              <w:rPr>
                <w:rFonts w:eastAsia="宋体"/>
                <w:sz w:val="21"/>
                <w:szCs w:val="21"/>
              </w:rPr>
            </w:pPr>
          </w:p>
        </w:tc>
      </w:tr>
      <w:tr w14:paraId="0F96CFA2">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25B0B58D">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07319A46">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892.1760</w:t>
            </w:r>
          </w:p>
          <w:p w14:paraId="14F81DD0">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ITY</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0D9C78C0">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46D11C77">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5F3DDC57">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33AF103">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673CE025">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56FE667">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50E6B3AA">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3D876E14">
            <w:pPr>
              <w:shd w:val="clear" w:color="auto" w:fill="FFFFFF"/>
              <w:topLinePunct/>
              <w:autoSpaceDE/>
              <w:autoSpaceDN/>
              <w:adjustRightInd/>
              <w:snapToGrid w:val="0"/>
              <w:contextualSpacing/>
              <w:jc w:val="center"/>
              <w:rPr>
                <w:rFonts w:eastAsia="宋体"/>
                <w:sz w:val="21"/>
                <w:szCs w:val="21"/>
              </w:rPr>
            </w:pPr>
          </w:p>
        </w:tc>
      </w:tr>
      <w:tr w14:paraId="069A1D98">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27A82F94">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w:t>
            </w:r>
          </w:p>
          <w:p w14:paraId="7A35FD4E">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892.1830</w:t>
            </w:r>
          </w:p>
          <w:p w14:paraId="0443908D">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KXH</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2F0D2466">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63A3938">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22B1DCDB">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C728A4A">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712FEC5B">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68B5718">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3A990D4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1C9E7924">
            <w:pPr>
              <w:shd w:val="clear" w:color="auto" w:fill="FFFFFF"/>
              <w:topLinePunct/>
              <w:autoSpaceDE/>
              <w:autoSpaceDN/>
              <w:adjustRightInd/>
              <w:snapToGrid w:val="0"/>
              <w:contextualSpacing/>
              <w:jc w:val="center"/>
              <w:rPr>
                <w:rFonts w:eastAsia="宋体"/>
                <w:sz w:val="21"/>
                <w:szCs w:val="21"/>
              </w:rPr>
            </w:pPr>
          </w:p>
        </w:tc>
      </w:tr>
      <w:tr w14:paraId="1FED0B65">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616DF695">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21 CFR 892.1860</w:t>
            </w:r>
            <w:r>
              <w:rPr>
                <w:rFonts w:hint="eastAsia" w:eastAsia="宋体"/>
                <w:color w:val="000000"/>
                <w:sz w:val="21"/>
                <w:szCs w:val="21"/>
              </w:rPr>
              <w:t xml:space="preserve"> </w:t>
            </w:r>
            <w:r>
              <w:rPr>
                <w:rFonts w:eastAsia="宋体"/>
                <w:color w:val="000000"/>
                <w:sz w:val="21"/>
                <w:szCs w:val="21"/>
              </w:rPr>
              <w:br w:type="textWrapping"/>
            </w:r>
            <w:r>
              <w:rPr>
                <w:rFonts w:eastAsia="宋体"/>
                <w:color w:val="000000"/>
                <w:sz w:val="21"/>
                <w:szCs w:val="21"/>
              </w:rPr>
              <w:t>KPX</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52998BF8">
            <w:pPr>
              <w:shd w:val="clear" w:color="auto" w:fill="FFFFFF"/>
              <w:topLinePunct/>
              <w:autoSpaceDE/>
              <w:autoSpaceDN/>
              <w:adjustRightInd/>
              <w:snapToGrid w:val="0"/>
              <w:contextualSpacing/>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679B7AC3">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52C18A97">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5EEB771">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12005C2B">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32DCA999">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56633377">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36BA30C0">
            <w:pPr>
              <w:shd w:val="clear" w:color="auto" w:fill="FFFFFF"/>
              <w:topLinePunct/>
              <w:autoSpaceDE/>
              <w:autoSpaceDN/>
              <w:adjustRightInd/>
              <w:snapToGrid w:val="0"/>
              <w:contextualSpacing/>
              <w:jc w:val="center"/>
              <w:rPr>
                <w:rFonts w:eastAsia="宋体"/>
                <w:sz w:val="21"/>
                <w:szCs w:val="21"/>
              </w:rPr>
            </w:pPr>
          </w:p>
        </w:tc>
      </w:tr>
      <w:tr w14:paraId="28416EF7">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14730F69">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1D22F282">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892.1880</w:t>
            </w:r>
          </w:p>
          <w:p w14:paraId="60BE2404">
            <w:pPr>
              <w:shd w:val="clear" w:color="auto" w:fill="FFFFFF"/>
              <w:topLinePunct/>
              <w:autoSpaceDE/>
              <w:autoSpaceDN/>
              <w:adjustRightInd/>
              <w:snapToGrid w:val="0"/>
              <w:jc w:val="center"/>
              <w:rPr>
                <w:rFonts w:eastAsia="宋体"/>
                <w:sz w:val="21"/>
                <w:szCs w:val="21"/>
              </w:rPr>
            </w:pPr>
            <w:r>
              <w:rPr>
                <w:rFonts w:eastAsia="宋体"/>
                <w:color w:val="000000"/>
                <w:sz w:val="21"/>
                <w:szCs w:val="21"/>
              </w:rPr>
              <w:t>IXY</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79788F88">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1274BB2">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7B8FA5BB">
            <w:pPr>
              <w:shd w:val="clear" w:color="auto" w:fill="FFFFFF"/>
              <w:topLinePunct/>
              <w:autoSpaceDE/>
              <w:autoSpaceDN/>
              <w:adjustRightInd/>
              <w:snapToGrid w:val="0"/>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0D5EE5E">
            <w:pPr>
              <w:shd w:val="clear" w:color="auto" w:fill="FFFFFF"/>
              <w:topLinePunct/>
              <w:autoSpaceDE/>
              <w:autoSpaceDN/>
              <w:adjustRightInd/>
              <w:snapToGrid w:val="0"/>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3A267AAB">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713CC8E3">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43F39357">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72685994">
            <w:pPr>
              <w:shd w:val="clear" w:color="auto" w:fill="FFFFFF"/>
              <w:topLinePunct/>
              <w:autoSpaceDE/>
              <w:autoSpaceDN/>
              <w:adjustRightInd/>
              <w:snapToGrid w:val="0"/>
              <w:jc w:val="center"/>
              <w:rPr>
                <w:rFonts w:eastAsia="宋体"/>
                <w:sz w:val="21"/>
                <w:szCs w:val="21"/>
              </w:rPr>
            </w:pPr>
          </w:p>
        </w:tc>
      </w:tr>
      <w:tr w14:paraId="067DA8BF">
        <w:tblPrEx>
          <w:tblCellMar>
            <w:top w:w="0" w:type="dxa"/>
            <w:left w:w="57" w:type="dxa"/>
            <w:bottom w:w="0" w:type="dxa"/>
            <w:right w:w="57" w:type="dxa"/>
          </w:tblCellMar>
        </w:tblPrEx>
        <w:tc>
          <w:tcPr>
            <w:tcW w:w="524" w:type="pct"/>
            <w:tcBorders>
              <w:top w:val="single" w:color="auto" w:sz="6" w:space="0"/>
              <w:left w:val="single" w:color="auto" w:sz="6" w:space="0"/>
              <w:bottom w:val="single" w:color="auto" w:sz="6" w:space="0"/>
              <w:right w:val="single" w:color="auto" w:sz="6" w:space="0"/>
            </w:tcBorders>
            <w:shd w:val="clear" w:color="auto" w:fill="FFFFFF"/>
            <w:vAlign w:val="center"/>
          </w:tcPr>
          <w:p w14:paraId="714AB84B">
            <w:pPr>
              <w:shd w:val="clear" w:color="auto" w:fill="FFFFFF"/>
              <w:topLinePunct/>
              <w:autoSpaceDE/>
              <w:autoSpaceDN/>
              <w:adjustRightInd/>
              <w:snapToGrid w:val="0"/>
              <w:jc w:val="center"/>
              <w:rPr>
                <w:rFonts w:eastAsia="宋体"/>
                <w:sz w:val="21"/>
                <w:szCs w:val="21"/>
              </w:rPr>
            </w:pPr>
            <w:r>
              <w:rPr>
                <w:rFonts w:eastAsia="宋体"/>
                <w:color w:val="000000"/>
                <w:sz w:val="21"/>
                <w:szCs w:val="21"/>
              </w:rPr>
              <w:t>21 CFR</w:t>
            </w:r>
          </w:p>
          <w:p w14:paraId="5A8D08C9">
            <w:pPr>
              <w:shd w:val="clear" w:color="auto" w:fill="FFFFFF"/>
              <w:topLinePunct/>
              <w:autoSpaceDE/>
              <w:autoSpaceDN/>
              <w:adjustRightInd/>
              <w:snapToGrid w:val="0"/>
              <w:jc w:val="center"/>
              <w:rPr>
                <w:rFonts w:eastAsia="宋体"/>
                <w:sz w:val="21"/>
                <w:szCs w:val="21"/>
              </w:rPr>
            </w:pPr>
            <w:r>
              <w:rPr>
                <w:rFonts w:eastAsia="宋体"/>
                <w:color w:val="000000"/>
                <w:sz w:val="21"/>
                <w:szCs w:val="21"/>
              </w:rPr>
              <w:t>892.1980</w:t>
            </w:r>
          </w:p>
          <w:p w14:paraId="6F96E474">
            <w:pPr>
              <w:shd w:val="clear" w:color="auto" w:fill="FFFFFF"/>
              <w:topLinePunct/>
              <w:autoSpaceDE/>
              <w:autoSpaceDN/>
              <w:adjustRightInd/>
              <w:snapToGrid w:val="0"/>
              <w:jc w:val="center"/>
              <w:rPr>
                <w:rFonts w:eastAsia="宋体"/>
                <w:sz w:val="21"/>
                <w:szCs w:val="21"/>
              </w:rPr>
            </w:pPr>
            <w:r>
              <w:rPr>
                <w:rFonts w:eastAsia="宋体"/>
                <w:color w:val="000000"/>
                <w:sz w:val="21"/>
                <w:szCs w:val="21"/>
              </w:rPr>
              <w:t>KXJ, IXQ,</w:t>
            </w:r>
          </w:p>
          <w:p w14:paraId="0AC72364">
            <w:pPr>
              <w:shd w:val="clear" w:color="auto" w:fill="FFFFFF"/>
              <w:topLinePunct/>
              <w:autoSpaceDE/>
              <w:autoSpaceDN/>
              <w:adjustRightInd/>
              <w:snapToGrid w:val="0"/>
              <w:jc w:val="center"/>
              <w:rPr>
                <w:rFonts w:eastAsia="宋体"/>
                <w:sz w:val="21"/>
                <w:szCs w:val="21"/>
              </w:rPr>
            </w:pPr>
            <w:r>
              <w:rPr>
                <w:rFonts w:eastAsia="宋体"/>
                <w:color w:val="000000"/>
                <w:sz w:val="21"/>
                <w:szCs w:val="21"/>
              </w:rPr>
              <w:t>IXR, IZZ</w:t>
            </w:r>
          </w:p>
        </w:tc>
        <w:tc>
          <w:tcPr>
            <w:tcW w:w="482" w:type="pct"/>
            <w:tcBorders>
              <w:top w:val="single" w:color="auto" w:sz="6" w:space="0"/>
              <w:left w:val="single" w:color="auto" w:sz="6" w:space="0"/>
              <w:bottom w:val="single" w:color="auto" w:sz="6" w:space="0"/>
              <w:right w:val="single" w:color="auto" w:sz="6" w:space="0"/>
            </w:tcBorders>
            <w:shd w:val="clear" w:color="auto" w:fill="FFFFFF"/>
            <w:vAlign w:val="center"/>
          </w:tcPr>
          <w:p w14:paraId="14A56083">
            <w:pPr>
              <w:shd w:val="clear" w:color="auto" w:fill="FFFFFF"/>
              <w:topLinePunct/>
              <w:autoSpaceDE/>
              <w:autoSpaceDN/>
              <w:adjustRightInd/>
              <w:snapToGrid w:val="0"/>
              <w:jc w:val="center"/>
              <w:rPr>
                <w:rFonts w:eastAsia="宋体"/>
                <w:sz w:val="21"/>
                <w:szCs w:val="21"/>
              </w:rPr>
            </w:pPr>
            <w:r>
              <w:rPr>
                <w:rFonts w:eastAsia="宋体"/>
                <w:color w:val="000000"/>
                <w:sz w:val="21"/>
                <w:szCs w:val="21"/>
              </w:rPr>
              <w:t>X</w:t>
            </w:r>
          </w:p>
        </w:tc>
        <w:tc>
          <w:tcPr>
            <w:tcW w:w="534" w:type="pct"/>
            <w:tcBorders>
              <w:top w:val="single" w:color="auto" w:sz="6" w:space="0"/>
              <w:left w:val="single" w:color="auto" w:sz="6" w:space="0"/>
              <w:bottom w:val="single" w:color="auto" w:sz="6" w:space="0"/>
              <w:right w:val="single" w:color="auto" w:sz="6" w:space="0"/>
            </w:tcBorders>
            <w:shd w:val="clear" w:color="auto" w:fill="FFFFFF"/>
            <w:vAlign w:val="center"/>
          </w:tcPr>
          <w:p w14:paraId="2774495F">
            <w:pPr>
              <w:shd w:val="clear" w:color="auto" w:fill="FFFFFF"/>
              <w:topLinePunct/>
              <w:autoSpaceDE/>
              <w:autoSpaceDN/>
              <w:adjustRightInd/>
              <w:snapToGrid w:val="0"/>
              <w:jc w:val="center"/>
              <w:rPr>
                <w:rFonts w:eastAsia="宋体"/>
                <w:sz w:val="21"/>
                <w:szCs w:val="21"/>
              </w:rPr>
            </w:pPr>
          </w:p>
        </w:tc>
        <w:tc>
          <w:tcPr>
            <w:tcW w:w="621" w:type="pct"/>
            <w:tcBorders>
              <w:top w:val="single" w:color="auto" w:sz="6" w:space="0"/>
              <w:left w:val="single" w:color="auto" w:sz="6" w:space="0"/>
              <w:bottom w:val="single" w:color="auto" w:sz="6" w:space="0"/>
              <w:right w:val="single" w:color="auto" w:sz="6" w:space="0"/>
            </w:tcBorders>
            <w:shd w:val="clear" w:color="auto" w:fill="FFFFFF"/>
            <w:vAlign w:val="center"/>
          </w:tcPr>
          <w:p w14:paraId="332F9BCD">
            <w:pPr>
              <w:shd w:val="clear" w:color="auto" w:fill="FFFFFF"/>
              <w:topLinePunct/>
              <w:autoSpaceDE/>
              <w:autoSpaceDN/>
              <w:adjustRightInd/>
              <w:snapToGrid w:val="0"/>
              <w:jc w:val="center"/>
              <w:rPr>
                <w:rFonts w:eastAsia="宋体"/>
                <w:sz w:val="21"/>
                <w:szCs w:val="21"/>
              </w:rPr>
            </w:pPr>
          </w:p>
        </w:tc>
        <w:tc>
          <w:tcPr>
            <w:tcW w:w="574"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4478DC97">
            <w:pPr>
              <w:shd w:val="clear" w:color="auto" w:fill="FFFFFF"/>
              <w:topLinePunct/>
              <w:autoSpaceDE/>
              <w:autoSpaceDN/>
              <w:adjustRightInd/>
              <w:snapToGrid w:val="0"/>
              <w:jc w:val="center"/>
              <w:rPr>
                <w:rFonts w:eastAsia="宋体"/>
                <w:sz w:val="21"/>
                <w:szCs w:val="21"/>
              </w:rPr>
            </w:pPr>
          </w:p>
        </w:tc>
        <w:tc>
          <w:tcPr>
            <w:tcW w:w="560" w:type="pct"/>
            <w:tcBorders>
              <w:top w:val="single" w:color="auto" w:sz="6" w:space="0"/>
              <w:left w:val="single" w:color="auto" w:sz="6" w:space="0"/>
              <w:bottom w:val="single" w:color="auto" w:sz="6" w:space="0"/>
              <w:right w:val="single" w:color="auto" w:sz="6" w:space="0"/>
            </w:tcBorders>
            <w:shd w:val="clear" w:color="auto" w:fill="FFFFFF"/>
            <w:vAlign w:val="center"/>
          </w:tcPr>
          <w:p w14:paraId="6BB373E1">
            <w:pPr>
              <w:shd w:val="clear" w:color="auto" w:fill="FFFFFF"/>
              <w:topLinePunct/>
              <w:autoSpaceDE/>
              <w:autoSpaceDN/>
              <w:adjustRightInd/>
              <w:snapToGrid w:val="0"/>
              <w:jc w:val="center"/>
              <w:rPr>
                <w:rFonts w:eastAsia="宋体"/>
                <w:sz w:val="21"/>
                <w:szCs w:val="21"/>
              </w:rPr>
            </w:pPr>
          </w:p>
        </w:tc>
        <w:tc>
          <w:tcPr>
            <w:tcW w:w="573" w:type="pct"/>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5E717593">
            <w:pPr>
              <w:shd w:val="clear" w:color="auto" w:fill="FFFFFF"/>
              <w:topLinePunct/>
              <w:autoSpaceDE/>
              <w:autoSpaceDN/>
              <w:adjustRightInd/>
              <w:snapToGrid w:val="0"/>
              <w:jc w:val="center"/>
              <w:rPr>
                <w:rFonts w:eastAsia="宋体"/>
                <w:sz w:val="21"/>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FFFFFF"/>
            <w:vAlign w:val="center"/>
          </w:tcPr>
          <w:p w14:paraId="41B8658A">
            <w:pPr>
              <w:shd w:val="clear" w:color="auto" w:fill="FFFFFF"/>
              <w:topLinePunct/>
              <w:autoSpaceDE/>
              <w:autoSpaceDN/>
              <w:adjustRightInd/>
              <w:snapToGrid w:val="0"/>
              <w:jc w:val="center"/>
              <w:rPr>
                <w:rFonts w:eastAsia="宋体"/>
                <w:sz w:val="21"/>
                <w:szCs w:val="21"/>
              </w:rPr>
            </w:pPr>
          </w:p>
        </w:tc>
        <w:tc>
          <w:tcPr>
            <w:tcW w:w="564" w:type="pct"/>
            <w:tcBorders>
              <w:top w:val="single" w:color="auto" w:sz="6" w:space="0"/>
              <w:left w:val="single" w:color="auto" w:sz="6" w:space="0"/>
              <w:bottom w:val="single" w:color="auto" w:sz="6" w:space="0"/>
              <w:right w:val="single" w:color="auto" w:sz="6" w:space="0"/>
            </w:tcBorders>
            <w:shd w:val="clear" w:color="auto" w:fill="FFFFFF"/>
            <w:vAlign w:val="center"/>
          </w:tcPr>
          <w:p w14:paraId="5A1C3081">
            <w:pPr>
              <w:shd w:val="clear" w:color="auto" w:fill="FFFFFF"/>
              <w:topLinePunct/>
              <w:autoSpaceDE/>
              <w:autoSpaceDN/>
              <w:adjustRightInd/>
              <w:snapToGrid w:val="0"/>
              <w:jc w:val="center"/>
              <w:rPr>
                <w:rFonts w:eastAsia="宋体"/>
                <w:sz w:val="21"/>
                <w:szCs w:val="21"/>
              </w:rPr>
            </w:pPr>
          </w:p>
        </w:tc>
      </w:tr>
    </w:tbl>
    <w:p w14:paraId="62297FEE">
      <w:pPr>
        <w:shd w:val="clear" w:color="auto" w:fill="FFFFFF"/>
        <w:topLinePunct/>
        <w:autoSpaceDE/>
        <w:autoSpaceDN/>
        <w:adjustRightInd/>
        <w:snapToGrid w:val="0"/>
        <w:ind w:left="480" w:hanging="480" w:hangingChars="200"/>
        <w:jc w:val="both"/>
        <w:rPr>
          <w:rFonts w:eastAsia="宋体"/>
          <w:color w:val="000000"/>
          <w:sz w:val="24"/>
          <w:szCs w:val="24"/>
          <w:vertAlign w:val="superscript"/>
        </w:rPr>
      </w:pPr>
    </w:p>
    <w:p w14:paraId="1DBF5FBC">
      <w:pPr>
        <w:shd w:val="clear" w:color="auto" w:fill="FFFFFF"/>
        <w:topLinePunct/>
        <w:autoSpaceDE/>
        <w:autoSpaceDN/>
        <w:adjustRightInd/>
        <w:snapToGrid w:val="0"/>
        <w:ind w:left="420" w:hanging="420" w:hangingChars="200"/>
        <w:jc w:val="both"/>
        <w:rPr>
          <w:rFonts w:eastAsia="宋体"/>
          <w:sz w:val="21"/>
          <w:szCs w:val="21"/>
        </w:rPr>
      </w:pPr>
      <w:r>
        <w:rPr>
          <w:rFonts w:eastAsia="宋体"/>
          <w:color w:val="000000"/>
          <w:sz w:val="21"/>
          <w:szCs w:val="21"/>
          <w:vertAlign w:val="superscript"/>
        </w:rPr>
        <w:t>†</w:t>
      </w:r>
      <w:r>
        <w:rPr>
          <w:rFonts w:eastAsia="宋体"/>
          <w:sz w:val="21"/>
          <w:szCs w:val="21"/>
        </w:rPr>
        <w:tab/>
      </w:r>
      <w:r>
        <w:rPr>
          <w:rFonts w:eastAsia="宋体"/>
          <w:color w:val="000000"/>
          <w:sz w:val="21"/>
          <w:szCs w:val="21"/>
        </w:rPr>
        <w:t>FDA医疗器械法规和IEC使用了不同的口腔外和口腔内X射线系统定义。IEC标准60601-2-63和60601-2-65利用图像接收器的位置确定器械是口腔外器械还是口腔内器械，FDA使用X射线源的位置进行区分（21 CFR 872.1800和21 CFR 872.1810）。定义上的差异意味着，根据21 CFR 872.1800部分归类为</w:t>
      </w:r>
      <w:r>
        <w:rPr>
          <w:rFonts w:ascii="宋体" w:hAnsi="宋体" w:eastAsia="宋体"/>
          <w:color w:val="000000"/>
          <w:sz w:val="21"/>
          <w:szCs w:val="21"/>
        </w:rPr>
        <w:t>“</w:t>
      </w:r>
      <w:r>
        <w:rPr>
          <w:rFonts w:eastAsia="宋体"/>
          <w:color w:val="000000"/>
          <w:sz w:val="21"/>
          <w:szCs w:val="21"/>
        </w:rPr>
        <w:t>口腔外源X射线系统</w:t>
      </w:r>
      <w:r>
        <w:rPr>
          <w:rFonts w:ascii="宋体" w:hAnsi="宋体" w:eastAsia="宋体"/>
          <w:color w:val="000000"/>
          <w:sz w:val="21"/>
          <w:szCs w:val="21"/>
        </w:rPr>
        <w:t>”</w:t>
      </w:r>
      <w:r>
        <w:rPr>
          <w:rFonts w:eastAsia="宋体"/>
          <w:color w:val="000000"/>
          <w:sz w:val="21"/>
          <w:szCs w:val="21"/>
        </w:rPr>
        <w:t>的器械被IEC定义为口腔内源X射线系统。在这些情况下，适用的标准为IEC 60601-2-65（针对口腔内源X射线系统），且选择符合IEC标准的制造商应提交符合IEC60601-2-65的声明。</w:t>
      </w:r>
    </w:p>
    <w:p w14:paraId="6D1DADBE">
      <w:pPr>
        <w:shd w:val="clear" w:color="auto" w:fill="FFFFFF"/>
        <w:topLinePunct/>
        <w:autoSpaceDE/>
        <w:autoSpaceDN/>
        <w:adjustRightInd/>
        <w:snapToGrid w:val="0"/>
        <w:ind w:left="420" w:hanging="420" w:hangingChars="200"/>
        <w:jc w:val="both"/>
        <w:rPr>
          <w:rFonts w:eastAsia="宋体"/>
          <w:color w:val="000000"/>
          <w:sz w:val="21"/>
          <w:szCs w:val="21"/>
          <w:vertAlign w:val="superscript"/>
        </w:rPr>
      </w:pPr>
    </w:p>
    <w:p w14:paraId="51C8798D">
      <w:pPr>
        <w:shd w:val="clear" w:color="auto" w:fill="FFFFFF"/>
        <w:topLinePunct/>
        <w:autoSpaceDE/>
        <w:autoSpaceDN/>
        <w:adjustRightInd/>
        <w:snapToGrid w:val="0"/>
        <w:ind w:left="420" w:hanging="420" w:hangingChars="200"/>
        <w:jc w:val="both"/>
        <w:rPr>
          <w:rFonts w:eastAsia="宋体"/>
          <w:sz w:val="21"/>
          <w:szCs w:val="21"/>
        </w:rPr>
      </w:pPr>
      <w:r>
        <w:rPr>
          <w:rFonts w:eastAsia="宋体"/>
          <w:color w:val="000000"/>
          <w:sz w:val="21"/>
          <w:szCs w:val="21"/>
          <w:vertAlign w:val="superscript"/>
        </w:rPr>
        <w:t>‡</w:t>
      </w:r>
      <w:r>
        <w:rPr>
          <w:rFonts w:eastAsia="宋体"/>
          <w:sz w:val="21"/>
          <w:szCs w:val="21"/>
        </w:rPr>
        <w:tab/>
      </w:r>
      <w:r>
        <w:rPr>
          <w:rFonts w:eastAsia="宋体"/>
          <w:color w:val="000000"/>
          <w:sz w:val="21"/>
          <w:szCs w:val="21"/>
        </w:rPr>
        <w:t>IEC 60601-2-43适用于根据21 CFR 892.1650预期用于介入手术的器械。符合21 CFR 892.1650的所有其他器械的适用标准为IEC 60601-2-54。</w:t>
      </w:r>
    </w:p>
    <w:p w14:paraId="269F5287">
      <w:pPr>
        <w:shd w:val="clear" w:color="auto" w:fill="FFFFFF"/>
        <w:topLinePunct/>
        <w:autoSpaceDE/>
        <w:autoSpaceDN/>
        <w:adjustRightInd/>
        <w:snapToGrid w:val="0"/>
        <w:ind w:left="420" w:hanging="420" w:hangingChars="200"/>
        <w:jc w:val="both"/>
        <w:rPr>
          <w:rFonts w:eastAsia="宋体"/>
          <w:sz w:val="21"/>
          <w:szCs w:val="21"/>
        </w:rPr>
      </w:pPr>
    </w:p>
    <w:p w14:paraId="12EBF04A">
      <w:pPr>
        <w:shd w:val="clear" w:color="auto" w:fill="FFFFFF"/>
        <w:topLinePunct/>
        <w:autoSpaceDE/>
        <w:autoSpaceDN/>
        <w:adjustRightInd/>
        <w:snapToGrid w:val="0"/>
        <w:ind w:firstLine="480" w:firstLineChars="200"/>
        <w:jc w:val="both"/>
        <w:rPr>
          <w:rFonts w:eastAsia="宋体"/>
          <w:sz w:val="24"/>
          <w:szCs w:val="24"/>
        </w:rPr>
      </w:pPr>
      <w:r>
        <w:rPr>
          <w:rFonts w:eastAsia="宋体"/>
          <w:sz w:val="24"/>
          <w:szCs w:val="24"/>
        </w:rPr>
        <w:t>有关FDA认可共识标准的当前列表，请参见</w:t>
      </w:r>
      <w:r>
        <w:rPr>
          <w:rFonts w:eastAsia="宋体"/>
          <w:color w:val="3333FF"/>
          <w:sz w:val="24"/>
          <w:szCs w:val="24"/>
          <w:u w:val="single"/>
        </w:rPr>
        <w:t>FDA认可共识标准数据库</w:t>
      </w:r>
      <w:r>
        <w:rPr>
          <w:rFonts w:eastAsia="宋体"/>
          <w:sz w:val="24"/>
          <w:szCs w:val="24"/>
        </w:rPr>
        <w:t>。</w:t>
      </w:r>
      <w:r>
        <w:rPr>
          <w:rStyle w:val="17"/>
          <w:rFonts w:eastAsia="宋体"/>
          <w:sz w:val="24"/>
          <w:szCs w:val="24"/>
        </w:rPr>
        <w:footnoteReference w:id="34"/>
      </w:r>
    </w:p>
    <w:p w14:paraId="006E071A">
      <w:pPr>
        <w:shd w:val="clear" w:color="auto" w:fill="FFFFFF"/>
        <w:topLinePunct/>
        <w:autoSpaceDE/>
        <w:autoSpaceDN/>
        <w:adjustRightInd/>
        <w:snapToGrid w:val="0"/>
        <w:jc w:val="both"/>
        <w:rPr>
          <w:rFonts w:eastAsia="宋体"/>
          <w:color w:val="000000"/>
          <w:sz w:val="24"/>
          <w:szCs w:val="24"/>
          <w:vertAlign w:val="superscript"/>
        </w:rPr>
      </w:pPr>
    </w:p>
    <w:p w14:paraId="1FB32DA1">
      <w:pPr>
        <w:shd w:val="clear" w:color="auto" w:fill="FFFFFF"/>
        <w:topLinePunct/>
        <w:autoSpaceDE/>
        <w:autoSpaceDN/>
        <w:adjustRightInd/>
        <w:jc w:val="both"/>
        <w:rPr>
          <w:rFonts w:eastAsia="宋体"/>
          <w:sz w:val="24"/>
          <w:szCs w:val="24"/>
          <w:u w:val="single"/>
        </w:rPr>
      </w:pPr>
    </w:p>
    <w:p w14:paraId="37EA3F19">
      <w:pPr>
        <w:shd w:val="clear" w:color="auto" w:fill="FFFFFF"/>
        <w:topLinePunct/>
        <w:autoSpaceDE/>
        <w:autoSpaceDN/>
        <w:adjustRightInd/>
        <w:jc w:val="both"/>
        <w:rPr>
          <w:rFonts w:eastAsia="宋体"/>
          <w:sz w:val="24"/>
          <w:szCs w:val="24"/>
          <w:u w:val="single"/>
        </w:rPr>
      </w:pPr>
    </w:p>
    <w:p w14:paraId="3083721B">
      <w:pPr>
        <w:shd w:val="clear" w:color="auto" w:fill="FFFFFF"/>
        <w:topLinePunct/>
        <w:autoSpaceDE/>
        <w:autoSpaceDN/>
        <w:adjustRightInd/>
        <w:jc w:val="both"/>
        <w:rPr>
          <w:rFonts w:eastAsia="宋体"/>
          <w:sz w:val="24"/>
          <w:szCs w:val="24"/>
          <w:u w:val="single"/>
        </w:rPr>
      </w:pPr>
    </w:p>
    <w:p w14:paraId="7A2C1408">
      <w:pPr>
        <w:pBdr>
          <w:bottom w:val="single" w:color="auto" w:sz="4" w:space="1"/>
        </w:pBdr>
        <w:shd w:val="clear" w:color="auto" w:fill="FFFFFF"/>
        <w:topLinePunct/>
        <w:autoSpaceDE/>
        <w:autoSpaceDN/>
        <w:adjustRightInd/>
        <w:jc w:val="center"/>
        <w:rPr>
          <w:rFonts w:hint="eastAsia" w:eastAsia="宋体"/>
          <w:lang w:eastAsia="zh-CN"/>
        </w:rPr>
      </w:pPr>
    </w:p>
    <w:p w14:paraId="3D96478B">
      <w:pPr>
        <w:pBdr>
          <w:bottom w:val="single" w:color="auto" w:sz="4" w:space="1"/>
        </w:pBdr>
        <w:shd w:val="clear" w:color="auto" w:fill="FFFFFF"/>
        <w:topLinePunct/>
        <w:autoSpaceDE/>
        <w:autoSpaceDN/>
        <w:adjustRightInd/>
        <w:jc w:val="center"/>
        <w:rPr>
          <w:rFonts w:hint="eastAsia" w:eastAsia="宋体"/>
          <w:lang w:eastAsia="zh-CN"/>
        </w:rPr>
      </w:pPr>
    </w:p>
    <w:p w14:paraId="21DA7BA5">
      <w:pPr>
        <w:pBdr>
          <w:bottom w:val="single" w:color="auto" w:sz="4"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4215130" cy="5941060"/>
            <wp:effectExtent l="0" t="0" r="13970" b="2540"/>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4215130" cy="5941060"/>
                    </a:xfrm>
                    <a:prstGeom prst="rect">
                      <a:avLst/>
                    </a:prstGeom>
                  </pic:spPr>
                </pic:pic>
              </a:graphicData>
            </a:graphic>
          </wp:inline>
        </w:drawing>
      </w:r>
    </w:p>
    <w:sectPr>
      <w:headerReference r:id="rId7" w:type="default"/>
      <w:pgSz w:w="16834" w:h="11909" w:orient="landscape"/>
      <w:pgMar w:top="1418" w:right="1134" w:bottom="1134" w:left="1134" w:header="567" w:footer="567" w:gutter="0"/>
      <w:pgNumType w:start="1"/>
      <w:cols w:space="6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583229"/>
      <w:docPartObj>
        <w:docPartGallery w:val="AutoText"/>
      </w:docPartObj>
    </w:sdtPr>
    <w:sdtEndPr>
      <w:rPr>
        <w:sz w:val="21"/>
        <w:szCs w:val="21"/>
      </w:rPr>
    </w:sdtEndPr>
    <w:sdtContent>
      <w:p w14:paraId="2174C1C7">
        <w:pPr>
          <w:pStyle w:val="6"/>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0">
    <w:p>
      <w:r>
        <w:separator/>
      </w:r>
    </w:p>
  </w:footnote>
  <w:footnote w:type="continuationSeparator" w:id="71">
    <w:p>
      <w:r>
        <w:continuationSeparator/>
      </w:r>
    </w:p>
  </w:footnote>
  <w:footnote w:id="0">
    <w:p w14:paraId="72B083E8">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color w:val="000000"/>
          <w:sz w:val="21"/>
          <w:szCs w:val="21"/>
          <w:lang w:val="de-DE"/>
        </w:rPr>
        <w:t>21 USC §360(kk).</w:t>
      </w:r>
    </w:p>
  </w:footnote>
  <w:footnote w:id="1">
    <w:p w14:paraId="7E0D0A13">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sz w:val="21"/>
          <w:szCs w:val="21"/>
        </w:rPr>
        <w:t>可登录以下网址获取</w:t>
      </w:r>
      <w:r>
        <w:rPr>
          <w:rFonts w:eastAsia="宋体"/>
          <w:sz w:val="21"/>
          <w:szCs w:val="21"/>
          <w:lang w:val="de-DE"/>
        </w:rPr>
        <w:t>：</w:t>
      </w:r>
      <w:r>
        <w:fldChar w:fldCharType="begin"/>
      </w:r>
      <w:r>
        <w:instrText xml:space="preserve"> HYPERLINK "https://www.accessdata.fda.gov/scripts/cdrh/cfdocs/cfStandards/search.cfm" </w:instrText>
      </w:r>
      <w:r>
        <w:fldChar w:fldCharType="separate"/>
      </w:r>
      <w:r>
        <w:rPr>
          <w:rStyle w:val="15"/>
          <w:rFonts w:eastAsia="宋体"/>
          <w:sz w:val="21"/>
          <w:szCs w:val="21"/>
          <w:lang w:val="de-DE"/>
        </w:rPr>
        <w:t>https://www.accessdata.fda.gov/scripts/cdrh/cfdocs/cfStandards/search.cfm</w:t>
      </w:r>
      <w:r>
        <w:rPr>
          <w:rStyle w:val="15"/>
          <w:rFonts w:eastAsia="宋体"/>
          <w:sz w:val="21"/>
          <w:szCs w:val="21"/>
          <w:lang w:val="de-DE"/>
        </w:rPr>
        <w:fldChar w:fldCharType="end"/>
      </w:r>
      <w:r>
        <w:rPr>
          <w:rFonts w:eastAsia="宋体"/>
          <w:sz w:val="21"/>
          <w:szCs w:val="21"/>
        </w:rPr>
        <w:t>。</w:t>
      </w:r>
    </w:p>
  </w:footnote>
  <w:footnote w:id="2">
    <w:p w14:paraId="1F7A1D12">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sz w:val="21"/>
          <w:szCs w:val="21"/>
        </w:rPr>
        <w:t>可登录以下网址获取</w:t>
      </w:r>
      <w:r>
        <w:rPr>
          <w:rFonts w:eastAsia="宋体"/>
          <w:sz w:val="21"/>
          <w:szCs w:val="21"/>
          <w:lang w:val="de-DE"/>
        </w:rPr>
        <w:t>：</w:t>
      </w:r>
      <w:r>
        <w:rPr>
          <w:rFonts w:hint="eastAsia" w:eastAsia="宋体"/>
          <w:sz w:val="21"/>
          <w:szCs w:val="21"/>
          <w:lang w:val="de-DE"/>
        </w:rPr>
        <w:br w:type="textWrapping"/>
      </w:r>
      <w:r>
        <w:fldChar w:fldCharType="begin"/>
      </w:r>
      <w:r>
        <w:instrText xml:space="preserve"> HYPERLINK "https://www.fda.gov/regulatory-information/search-fda-guidance-documents/appropriate-use-" </w:instrText>
      </w:r>
      <w:r>
        <w:fldChar w:fldCharType="separate"/>
      </w:r>
      <w:r>
        <w:rPr>
          <w:rStyle w:val="15"/>
          <w:rFonts w:eastAsia="宋体"/>
          <w:sz w:val="21"/>
          <w:szCs w:val="21"/>
          <w:lang w:val="de-DE"/>
        </w:rPr>
        <w:t>https://www.fda.gov/regulatory-information/search-fda-guidance-documents/appropriate-use-</w:t>
      </w:r>
      <w:r>
        <w:rPr>
          <w:rStyle w:val="15"/>
          <w:rFonts w:eastAsia="宋体"/>
          <w:sz w:val="21"/>
          <w:szCs w:val="21"/>
          <w:lang w:val="de-DE"/>
        </w:rPr>
        <w:fldChar w:fldCharType="end"/>
      </w:r>
      <w:r>
        <w:rPr>
          <w:rFonts w:eastAsia="宋体"/>
          <w:color w:val="3333FF"/>
          <w:sz w:val="21"/>
          <w:szCs w:val="21"/>
          <w:u w:val="single"/>
          <w:lang w:val="de-DE"/>
        </w:rPr>
        <w:t>Voluntary-consensus-standards-premarket-submissions-medical-devices</w:t>
      </w:r>
      <w:r>
        <w:rPr>
          <w:rFonts w:eastAsia="宋体"/>
          <w:sz w:val="21"/>
          <w:szCs w:val="21"/>
        </w:rPr>
        <w:t>。</w:t>
      </w:r>
    </w:p>
  </w:footnote>
  <w:footnote w:id="3">
    <w:p w14:paraId="20E18508">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color w:val="000000"/>
          <w:sz w:val="21"/>
          <w:szCs w:val="21"/>
          <w:lang w:val="de-DE"/>
        </w:rPr>
        <w:t>21 USC §321(h).</w:t>
      </w:r>
    </w:p>
  </w:footnote>
  <w:footnote w:id="4">
    <w:p w14:paraId="5332BBDC">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color w:val="000000"/>
          <w:sz w:val="21"/>
          <w:szCs w:val="21"/>
          <w:lang w:val="de-DE"/>
        </w:rPr>
        <w:t>21 USC §360(hh)(2).</w:t>
      </w:r>
    </w:p>
  </w:footnote>
  <w:footnote w:id="5">
    <w:p w14:paraId="3043D981">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sz w:val="21"/>
          <w:szCs w:val="21"/>
        </w:rPr>
        <w:t>有关医疗器械法规的更多信息</w:t>
      </w:r>
      <w:r>
        <w:rPr>
          <w:rFonts w:eastAsia="宋体"/>
          <w:sz w:val="21"/>
          <w:szCs w:val="21"/>
          <w:lang w:val="de-DE"/>
        </w:rPr>
        <w:t>，</w:t>
      </w:r>
      <w:r>
        <w:rPr>
          <w:rFonts w:eastAsia="宋体"/>
          <w:sz w:val="21"/>
          <w:szCs w:val="21"/>
        </w:rPr>
        <w:t>可登录以下网址获取</w:t>
      </w:r>
      <w:r>
        <w:rPr>
          <w:rFonts w:eastAsia="宋体"/>
          <w:sz w:val="21"/>
          <w:szCs w:val="21"/>
          <w:lang w:val="de-DE"/>
        </w:rPr>
        <w:t>：</w:t>
      </w:r>
      <w:r>
        <w:rPr>
          <w:rFonts w:hint="eastAsia" w:eastAsia="宋体"/>
          <w:sz w:val="21"/>
          <w:szCs w:val="21"/>
          <w:lang w:val="de-DE"/>
        </w:rPr>
        <w:br w:type="textWrapping"/>
      </w:r>
      <w:r>
        <w:fldChar w:fldCharType="begin"/>
      </w:r>
      <w:r>
        <w:instrText xml:space="preserve"> HYPERLINK "https://www.fda.gov/medical-devices/device-" </w:instrText>
      </w:r>
      <w:r>
        <w:fldChar w:fldCharType="separate"/>
      </w:r>
      <w:r>
        <w:rPr>
          <w:rStyle w:val="15"/>
          <w:rFonts w:eastAsia="宋体"/>
          <w:sz w:val="21"/>
          <w:szCs w:val="21"/>
          <w:lang w:val="de-DE"/>
        </w:rPr>
        <w:t>https://www.fda.gov/medical-devices/device-</w:t>
      </w:r>
      <w:r>
        <w:rPr>
          <w:rStyle w:val="15"/>
          <w:rFonts w:eastAsia="宋体"/>
          <w:sz w:val="21"/>
          <w:szCs w:val="21"/>
          <w:lang w:val="de-DE"/>
        </w:rPr>
        <w:fldChar w:fldCharType="end"/>
      </w:r>
      <w:r>
        <w:rPr>
          <w:rFonts w:eastAsia="宋体"/>
          <w:color w:val="3333FF"/>
          <w:sz w:val="21"/>
          <w:szCs w:val="21"/>
          <w:u w:val="single"/>
          <w:lang w:val="de-DE"/>
        </w:rPr>
        <w:t>advice-comprehensive-regulatory-assistance/overview-device-regulation</w:t>
      </w:r>
      <w:r>
        <w:rPr>
          <w:rFonts w:eastAsia="宋体"/>
          <w:sz w:val="21"/>
          <w:szCs w:val="21"/>
        </w:rPr>
        <w:t>。</w:t>
      </w:r>
    </w:p>
  </w:footnote>
  <w:footnote w:id="6">
    <w:p w14:paraId="5D2975B2">
      <w:pPr>
        <w:shd w:val="clear" w:color="auto" w:fill="FFFFFF"/>
        <w:topLinePunct/>
        <w:autoSpaceDE/>
        <w:autoSpaceDN/>
        <w:adjustRightInd/>
        <w:snapToGrid w:val="0"/>
        <w:jc w:val="both"/>
        <w:rPr>
          <w:sz w:val="21"/>
          <w:szCs w:val="21"/>
        </w:rPr>
      </w:pPr>
      <w:r>
        <w:rPr>
          <w:rStyle w:val="17"/>
          <w:sz w:val="21"/>
          <w:szCs w:val="21"/>
        </w:rPr>
        <w:footnoteRef/>
      </w:r>
      <w:r>
        <w:rPr>
          <w:rFonts w:eastAsia="宋体"/>
          <w:sz w:val="21"/>
          <w:szCs w:val="21"/>
        </w:rPr>
        <w:t>有关电子产品法规的更多信息，可登录以下网址获取：</w:t>
      </w:r>
      <w:r>
        <w:fldChar w:fldCharType="begin"/>
      </w:r>
      <w:r>
        <w:instrText xml:space="preserve"> HYPERLINK "https://www.fda.gov/radiation-emitting-" </w:instrText>
      </w:r>
      <w:r>
        <w:fldChar w:fldCharType="separate"/>
      </w:r>
      <w:r>
        <w:rPr>
          <w:rStyle w:val="15"/>
          <w:rFonts w:eastAsia="宋体"/>
          <w:sz w:val="21"/>
          <w:szCs w:val="21"/>
        </w:rPr>
        <w:t>https://www.fda.gov/radiation-emitting- products/electronic-</w:t>
      </w:r>
      <w:r>
        <w:rPr>
          <w:rStyle w:val="15"/>
          <w:rFonts w:eastAsia="宋体"/>
          <w:sz w:val="21"/>
          <w:szCs w:val="21"/>
        </w:rPr>
        <w:fldChar w:fldCharType="end"/>
      </w:r>
      <w:r>
        <w:rPr>
          <w:rFonts w:eastAsia="宋体"/>
          <w:color w:val="3333FF"/>
          <w:sz w:val="21"/>
          <w:szCs w:val="21"/>
          <w:u w:val="single"/>
        </w:rPr>
        <w:t>product-radiation-control-program/getting-radiation-emitting-product-market</w:t>
      </w:r>
      <w:r>
        <w:rPr>
          <w:rFonts w:eastAsia="宋体"/>
          <w:sz w:val="21"/>
          <w:szCs w:val="21"/>
        </w:rPr>
        <w:t>。</w:t>
      </w:r>
    </w:p>
  </w:footnote>
  <w:footnote w:id="7">
    <w:p w14:paraId="0CBE456A">
      <w:pPr>
        <w:shd w:val="clear" w:color="auto" w:fill="FFFFFF"/>
        <w:topLinePunct/>
        <w:autoSpaceDE/>
        <w:autoSpaceDN/>
        <w:adjustRightInd/>
        <w:snapToGrid w:val="0"/>
        <w:jc w:val="both"/>
        <w:rPr>
          <w:rFonts w:eastAsia="宋体"/>
          <w:sz w:val="21"/>
          <w:szCs w:val="21"/>
        </w:rPr>
      </w:pPr>
      <w:r>
        <w:rPr>
          <w:rStyle w:val="17"/>
          <w:sz w:val="21"/>
          <w:szCs w:val="21"/>
        </w:rPr>
        <w:footnoteRef/>
      </w:r>
      <w:r>
        <w:rPr>
          <w:rFonts w:eastAsia="宋体"/>
          <w:color w:val="000000"/>
          <w:sz w:val="21"/>
          <w:szCs w:val="21"/>
        </w:rPr>
        <w:t>医疗器械和电子产品的特定法规分别参见</w:t>
      </w:r>
      <w:r>
        <w:rPr>
          <w:rFonts w:hint="eastAsia" w:eastAsia="宋体"/>
          <w:color w:val="000000"/>
          <w:sz w:val="21"/>
          <w:szCs w:val="21"/>
        </w:rPr>
        <w:t>2</w:t>
      </w:r>
      <w:r>
        <w:rPr>
          <w:rFonts w:eastAsia="宋体"/>
          <w:color w:val="000000"/>
          <w:sz w:val="21"/>
          <w:szCs w:val="21"/>
        </w:rPr>
        <w:t>1 CFR第I章H分章和J分章。</w:t>
      </w:r>
    </w:p>
  </w:footnote>
  <w:footnote w:id="8">
    <w:p w14:paraId="22983887">
      <w:pPr>
        <w:shd w:val="clear" w:color="auto" w:fill="FFFFFF"/>
        <w:topLinePunct/>
        <w:autoSpaceDE/>
        <w:autoSpaceDN/>
        <w:adjustRightInd/>
        <w:snapToGrid w:val="0"/>
        <w:jc w:val="both"/>
        <w:rPr>
          <w:sz w:val="21"/>
          <w:szCs w:val="21"/>
        </w:rPr>
      </w:pPr>
      <w:r>
        <w:rPr>
          <w:rStyle w:val="17"/>
          <w:sz w:val="21"/>
          <w:szCs w:val="21"/>
        </w:rPr>
        <w:footnoteRef/>
      </w:r>
      <w:r>
        <w:rPr>
          <w:rFonts w:eastAsia="宋体"/>
          <w:color w:val="000000"/>
          <w:sz w:val="21"/>
          <w:szCs w:val="21"/>
        </w:rPr>
        <w:t>根据《FD&amp;C法案》第510(m)(1)(A)节的规定，某些放射器械在82 FR 31976中免于提交510(k)申请，但要符合21 CFR 892.9的限制。</w:t>
      </w:r>
    </w:p>
  </w:footnote>
  <w:footnote w:id="9">
    <w:p w14:paraId="131A723B">
      <w:pPr>
        <w:pStyle w:val="9"/>
        <w:jc w:val="both"/>
        <w:rPr>
          <w:sz w:val="21"/>
          <w:szCs w:val="21"/>
        </w:rPr>
      </w:pPr>
      <w:r>
        <w:rPr>
          <w:rStyle w:val="17"/>
          <w:sz w:val="21"/>
          <w:szCs w:val="21"/>
        </w:rPr>
        <w:footnoteRef/>
      </w:r>
      <w:r>
        <w:rPr>
          <w:rFonts w:eastAsia="宋体"/>
          <w:sz w:val="21"/>
          <w:szCs w:val="21"/>
        </w:rPr>
        <w:t>这些类型包括：电视接收器（21 CFR 1020.10）；冷阴极气体放电管（21 CFR 1020.20）；X射线诊断系统及其主要组件（21 CFR 1020.30）；柜式X射线系统（21 CFR 2010.40）；微波炉（21 CFR 1030）；激光产品（21 CFR 1040.10）；太阳灯产品和用于太阳灯产品的紫外线灯（21 CFR 1040.20）；高强度汞蒸汽放电灯（21 CFR 1040.30）；超声波治疗产品（21 CFR 1050.10）。</w:t>
      </w:r>
    </w:p>
  </w:footnote>
  <w:footnote w:id="10">
    <w:p w14:paraId="3D2D993F">
      <w:pPr>
        <w:shd w:val="clear" w:color="auto" w:fill="FFFFFF"/>
        <w:topLinePunct/>
        <w:autoSpaceDE/>
        <w:autoSpaceDN/>
        <w:adjustRightInd/>
        <w:snapToGrid w:val="0"/>
        <w:jc w:val="both"/>
        <w:rPr>
          <w:rFonts w:eastAsia="宋体"/>
          <w:sz w:val="21"/>
          <w:szCs w:val="21"/>
        </w:rPr>
      </w:pPr>
      <w:r>
        <w:rPr>
          <w:rStyle w:val="17"/>
          <w:sz w:val="21"/>
          <w:szCs w:val="21"/>
        </w:rPr>
        <w:footnoteRef/>
      </w:r>
      <w:r>
        <w:rPr>
          <w:rFonts w:eastAsia="宋体"/>
          <w:sz w:val="21"/>
          <w:szCs w:val="21"/>
        </w:rPr>
        <w:t>有关符合EPRC荧光透视设备性能标准的更多信息，请参见标题为</w:t>
      </w:r>
      <w:r>
        <w:rPr>
          <w:rFonts w:ascii="宋体" w:hAnsi="宋体" w:eastAsia="宋体"/>
          <w:sz w:val="21"/>
          <w:szCs w:val="21"/>
        </w:rPr>
        <w:t>“</w:t>
      </w:r>
      <w:r>
        <w:rPr>
          <w:rFonts w:eastAsia="宋体"/>
          <w:sz w:val="21"/>
          <w:szCs w:val="21"/>
        </w:rPr>
        <w:t>特定荧光透视设备要求的政策阐明</w:t>
      </w:r>
      <w:r>
        <w:rPr>
          <w:rFonts w:ascii="宋体" w:hAnsi="宋体" w:eastAsia="宋体"/>
          <w:sz w:val="21"/>
          <w:szCs w:val="21"/>
        </w:rPr>
        <w:t>”</w:t>
      </w:r>
      <w:r>
        <w:rPr>
          <w:rFonts w:eastAsia="宋体"/>
          <w:sz w:val="21"/>
          <w:szCs w:val="21"/>
        </w:rPr>
        <w:t>的指南，可登录以下网址获取：</w:t>
      </w:r>
      <w:r>
        <w:rPr>
          <w:rFonts w:hint="eastAsia" w:eastAsia="宋体"/>
          <w:sz w:val="21"/>
          <w:szCs w:val="21"/>
        </w:rPr>
        <w:br w:type="textWrapping"/>
      </w:r>
      <w:r>
        <w:fldChar w:fldCharType="begin"/>
      </w:r>
      <w:r>
        <w:instrText xml:space="preserve"> HYPERLINK "https://www.fda.gov/regulatory-information/search-fda-guidance-documents/policy-clarification-certain-" </w:instrText>
      </w:r>
      <w:r>
        <w:fldChar w:fldCharType="separate"/>
      </w:r>
      <w:r>
        <w:rPr>
          <w:rStyle w:val="15"/>
          <w:rFonts w:eastAsia="宋体"/>
          <w:color w:val="3333FF"/>
          <w:sz w:val="21"/>
          <w:szCs w:val="21"/>
        </w:rPr>
        <w:t>https://www.fda.gov/regulatory-information/search-fda-guidance-documents/policy-clarification-certain-</w:t>
      </w:r>
      <w:r>
        <w:rPr>
          <w:rStyle w:val="15"/>
          <w:rFonts w:eastAsia="宋体"/>
          <w:color w:val="3333FF"/>
          <w:sz w:val="21"/>
          <w:szCs w:val="21"/>
        </w:rPr>
        <w:fldChar w:fldCharType="end"/>
      </w:r>
      <w:r>
        <w:rPr>
          <w:rFonts w:eastAsia="宋体"/>
          <w:color w:val="3333FF"/>
          <w:sz w:val="21"/>
          <w:szCs w:val="21"/>
          <w:u w:val="single"/>
        </w:rPr>
        <w:t>fluoroscopic-equipment-requirements</w:t>
      </w:r>
    </w:p>
  </w:footnote>
  <w:footnote w:id="11">
    <w:p w14:paraId="4A708392">
      <w:pPr>
        <w:shd w:val="clear" w:color="auto" w:fill="FFFFFF"/>
        <w:topLinePunct/>
        <w:autoSpaceDE/>
        <w:autoSpaceDN/>
        <w:adjustRightInd/>
        <w:snapToGrid w:val="0"/>
        <w:jc w:val="both"/>
        <w:rPr>
          <w:rFonts w:eastAsia="宋体"/>
          <w:sz w:val="21"/>
          <w:szCs w:val="21"/>
        </w:rPr>
      </w:pPr>
      <w:r>
        <w:rPr>
          <w:rStyle w:val="17"/>
          <w:sz w:val="21"/>
          <w:szCs w:val="21"/>
        </w:rPr>
        <w:footnoteRef/>
      </w:r>
      <w:r>
        <w:rPr>
          <w:rFonts w:eastAsia="宋体"/>
          <w:sz w:val="21"/>
          <w:szCs w:val="21"/>
        </w:rPr>
        <w:t>可登录以下网址获取：</w:t>
      </w:r>
      <w:r>
        <w:rPr>
          <w:rFonts w:eastAsia="宋体"/>
          <w:color w:val="3333FF"/>
          <w:sz w:val="21"/>
          <w:szCs w:val="21"/>
          <w:u w:val="single"/>
        </w:rPr>
        <w:t>https://www.fda.gov/media/99256/download</w:t>
      </w:r>
      <w:r>
        <w:rPr>
          <w:rFonts w:eastAsia="宋体"/>
          <w:sz w:val="21"/>
          <w:szCs w:val="21"/>
        </w:rPr>
        <w:t>。</w:t>
      </w:r>
    </w:p>
  </w:footnote>
  <w:footnote w:id="12">
    <w:p w14:paraId="65F4A3B3">
      <w:pPr>
        <w:shd w:val="clear" w:color="auto" w:fill="FFFFFF"/>
        <w:topLinePunct/>
        <w:autoSpaceDE/>
        <w:autoSpaceDN/>
        <w:adjustRightInd/>
        <w:snapToGrid w:val="0"/>
        <w:jc w:val="both"/>
        <w:rPr>
          <w:rFonts w:eastAsia="宋体"/>
          <w:color w:val="3333FF"/>
          <w:sz w:val="21"/>
          <w:szCs w:val="21"/>
        </w:rPr>
      </w:pPr>
      <w:r>
        <w:rPr>
          <w:rStyle w:val="17"/>
          <w:sz w:val="21"/>
          <w:szCs w:val="21"/>
        </w:rPr>
        <w:footnoteRef/>
      </w:r>
      <w:r>
        <w:rPr>
          <w:rFonts w:eastAsia="宋体"/>
          <w:sz w:val="21"/>
          <w:szCs w:val="21"/>
        </w:rPr>
        <w:t>可登录以下网址获取：</w:t>
      </w:r>
      <w:r>
        <w:rPr>
          <w:rFonts w:hint="eastAsia" w:eastAsia="宋体"/>
          <w:sz w:val="21"/>
          <w:szCs w:val="21"/>
        </w:rPr>
        <w:br w:type="textWrapping"/>
      </w:r>
      <w:r>
        <w:fldChar w:fldCharType="begin"/>
      </w:r>
      <w:r>
        <w:instrText xml:space="preserve"> HYPERLINK "https://www.fda.gov/medical-devices/guidance-documents-medical-devices-and-radiation-emitting-" </w:instrText>
      </w:r>
      <w:r>
        <w:fldChar w:fldCharType="separate"/>
      </w:r>
      <w:r>
        <w:rPr>
          <w:rStyle w:val="15"/>
          <w:rFonts w:eastAsia="宋体"/>
          <w:color w:val="3333FF"/>
          <w:sz w:val="21"/>
          <w:szCs w:val="21"/>
        </w:rPr>
        <w:t>https://www.fda.gov/medical-devices/guidance-documents-medical-devices-and-radiation-emitting-</w:t>
      </w:r>
      <w:r>
        <w:rPr>
          <w:rStyle w:val="15"/>
          <w:rFonts w:eastAsia="宋体"/>
          <w:color w:val="3333FF"/>
          <w:sz w:val="21"/>
          <w:szCs w:val="21"/>
        </w:rPr>
        <w:fldChar w:fldCharType="end"/>
      </w:r>
      <w:r>
        <w:rPr>
          <w:rFonts w:eastAsia="宋体"/>
          <w:color w:val="3333FF"/>
          <w:sz w:val="21"/>
          <w:szCs w:val="21"/>
          <w:u w:val="single"/>
        </w:rPr>
        <w:t>products/laser-products-conformance-iec-60825-1-and-iec-60601-2-22-laser-notice-no-50</w:t>
      </w:r>
      <w:r>
        <w:rPr>
          <w:rFonts w:eastAsia="宋体"/>
          <w:sz w:val="21"/>
          <w:szCs w:val="21"/>
        </w:rPr>
        <w:t>。</w:t>
      </w:r>
    </w:p>
  </w:footnote>
  <w:footnote w:id="13">
    <w:p w14:paraId="5C4D7143">
      <w:pPr>
        <w:shd w:val="clear" w:color="auto" w:fill="FFFFFF"/>
        <w:topLinePunct/>
        <w:autoSpaceDE/>
        <w:autoSpaceDN/>
        <w:adjustRightInd/>
        <w:snapToGrid w:val="0"/>
        <w:jc w:val="both"/>
        <w:rPr>
          <w:rFonts w:eastAsia="宋体"/>
          <w:color w:val="3333FF"/>
          <w:sz w:val="21"/>
          <w:szCs w:val="21"/>
        </w:rPr>
      </w:pPr>
      <w:r>
        <w:rPr>
          <w:rStyle w:val="17"/>
          <w:sz w:val="21"/>
          <w:szCs w:val="21"/>
        </w:rPr>
        <w:footnoteRef/>
      </w:r>
      <w:r>
        <w:rPr>
          <w:rFonts w:eastAsia="宋体"/>
          <w:sz w:val="21"/>
          <w:szCs w:val="21"/>
        </w:rPr>
        <w:t>可登录以下网址获取：</w:t>
      </w:r>
      <w:r>
        <w:rPr>
          <w:rFonts w:hint="eastAsia" w:eastAsia="宋体"/>
          <w:sz w:val="21"/>
          <w:szCs w:val="21"/>
        </w:rPr>
        <w:br w:type="textWrapping"/>
      </w:r>
      <w:r>
        <w:fldChar w:fldCharType="begin"/>
      </w:r>
      <w:r>
        <w:instrText xml:space="preserve"> HYPERLINK "https://www.fda.gov/regulatory-information/search-fda-guidance-documents/laser-products-" </w:instrText>
      </w:r>
      <w:r>
        <w:fldChar w:fldCharType="separate"/>
      </w:r>
      <w:r>
        <w:rPr>
          <w:rStyle w:val="15"/>
          <w:rFonts w:eastAsia="宋体"/>
          <w:sz w:val="21"/>
          <w:szCs w:val="21"/>
        </w:rPr>
        <w:t>https://www.fda.gov/regulatory-information/search-fda-guidance-documents/laser-products-</w:t>
      </w:r>
      <w:r>
        <w:rPr>
          <w:rStyle w:val="15"/>
          <w:rFonts w:eastAsia="宋体"/>
          <w:sz w:val="21"/>
          <w:szCs w:val="21"/>
        </w:rPr>
        <w:fldChar w:fldCharType="end"/>
      </w:r>
      <w:r>
        <w:rPr>
          <w:rFonts w:eastAsia="宋体"/>
          <w:color w:val="3333FF"/>
          <w:sz w:val="21"/>
          <w:szCs w:val="21"/>
          <w:u w:val="single"/>
        </w:rPr>
        <w:t>conformance-iec-60825-1-ed-3-and-iec-60601-2-22-ed-31-laser-notice-no-56</w:t>
      </w:r>
    </w:p>
  </w:footnote>
  <w:footnote w:id="14">
    <w:p w14:paraId="204EF16A">
      <w:pPr>
        <w:shd w:val="clear" w:color="auto" w:fill="FFFFFF"/>
        <w:topLinePunct/>
        <w:autoSpaceDE/>
        <w:autoSpaceDN/>
        <w:adjustRightInd/>
        <w:snapToGrid w:val="0"/>
        <w:jc w:val="both"/>
        <w:rPr>
          <w:rFonts w:eastAsia="宋体"/>
          <w:sz w:val="21"/>
          <w:szCs w:val="21"/>
        </w:rPr>
      </w:pPr>
      <w:r>
        <w:rPr>
          <w:rStyle w:val="17"/>
          <w:sz w:val="21"/>
          <w:szCs w:val="21"/>
        </w:rPr>
        <w:footnoteRef/>
      </w:r>
      <w:r>
        <w:rPr>
          <w:rFonts w:eastAsia="宋体"/>
          <w:sz w:val="21"/>
          <w:szCs w:val="21"/>
        </w:rPr>
        <w:t>可登录以下网址获取：</w:t>
      </w:r>
      <w:r>
        <w:rPr>
          <w:rFonts w:hint="eastAsia" w:eastAsia="宋体"/>
          <w:sz w:val="21"/>
          <w:szCs w:val="21"/>
        </w:rPr>
        <w:br w:type="textWrapping"/>
      </w:r>
      <w:r>
        <w:fldChar w:fldCharType="begin"/>
      </w:r>
      <w:r>
        <w:instrText xml:space="preserve"> HYPERLINK "https://www.fda.gov/regulatory-information/search-fda-guidance-documents/provision-alternate-measure-computed-tomography-dose-index-ctdi-assure-compliance-dose-information" </w:instrText>
      </w:r>
      <w:r>
        <w:fldChar w:fldCharType="separate"/>
      </w:r>
      <w:r>
        <w:rPr>
          <w:rStyle w:val="15"/>
          <w:rFonts w:eastAsia="宋体"/>
          <w:sz w:val="21"/>
          <w:szCs w:val="21"/>
        </w:rPr>
        <w:t>https://www.fda.gov/regulatory-information/search-fda-guidance-documents/provision-alternate-measure-computed-tomography-dose-index-ctdi-assure-compliance-dose-information</w:t>
      </w:r>
      <w:r>
        <w:rPr>
          <w:rStyle w:val="15"/>
          <w:rFonts w:eastAsia="宋体"/>
          <w:sz w:val="21"/>
          <w:szCs w:val="21"/>
        </w:rPr>
        <w:fldChar w:fldCharType="end"/>
      </w:r>
      <w:r>
        <w:rPr>
          <w:rFonts w:eastAsia="宋体"/>
          <w:sz w:val="21"/>
          <w:szCs w:val="21"/>
        </w:rPr>
        <w:t>。</w:t>
      </w:r>
    </w:p>
  </w:footnote>
  <w:footnote w:id="15">
    <w:p w14:paraId="2581D3D3">
      <w:pPr>
        <w:shd w:val="clear" w:color="auto" w:fill="FFFFFF"/>
        <w:topLinePunct/>
        <w:autoSpaceDE/>
        <w:autoSpaceDN/>
        <w:adjustRightInd/>
        <w:snapToGrid w:val="0"/>
        <w:jc w:val="both"/>
        <w:rPr>
          <w:sz w:val="21"/>
          <w:szCs w:val="21"/>
        </w:rPr>
      </w:pPr>
      <w:r>
        <w:rPr>
          <w:rStyle w:val="17"/>
          <w:sz w:val="21"/>
          <w:szCs w:val="21"/>
        </w:rPr>
        <w:footnoteRef/>
      </w:r>
      <w:r>
        <w:rPr>
          <w:rFonts w:eastAsia="宋体"/>
          <w:sz w:val="21"/>
          <w:szCs w:val="21"/>
        </w:rPr>
        <w:t>有关适用于放射治疗产品的公认共识标准列表，请参见FDA的产品分类数据库，可登录以下网址获取：</w:t>
      </w:r>
      <w:r>
        <w:rPr>
          <w:rFonts w:eastAsia="宋体"/>
          <w:color w:val="3333FF"/>
          <w:sz w:val="21"/>
          <w:szCs w:val="21"/>
          <w:u w:val="single"/>
        </w:rPr>
        <w:t>https://www.accessdata.fda.gov/scripts/cdrh/cfdocs/cfPCD/classification.cfm</w:t>
      </w:r>
      <w:r>
        <w:rPr>
          <w:rFonts w:eastAsia="宋体"/>
          <w:sz w:val="21"/>
          <w:szCs w:val="21"/>
        </w:rPr>
        <w:t>。放射治疗器械的分类法规可参见21 CFR 892子部分F。</w:t>
      </w:r>
    </w:p>
  </w:footnote>
  <w:footnote w:id="16">
    <w:p w14:paraId="46521D08">
      <w:pPr>
        <w:shd w:val="clear" w:color="auto" w:fill="FFFFFF"/>
        <w:topLinePunct/>
        <w:autoSpaceDE/>
        <w:autoSpaceDN/>
        <w:adjustRightInd/>
        <w:snapToGrid w:val="0"/>
        <w:jc w:val="both"/>
        <w:rPr>
          <w:sz w:val="21"/>
          <w:szCs w:val="21"/>
        </w:rPr>
      </w:pPr>
      <w:r>
        <w:rPr>
          <w:rStyle w:val="17"/>
          <w:sz w:val="21"/>
          <w:szCs w:val="21"/>
        </w:rPr>
        <w:footnoteRef/>
      </w:r>
      <w:r>
        <w:rPr>
          <w:rFonts w:eastAsia="宋体"/>
          <w:color w:val="000000"/>
          <w:sz w:val="21"/>
          <w:szCs w:val="21"/>
        </w:rPr>
        <w:t>21 USC §360d(c)(1)(A).</w:t>
      </w:r>
    </w:p>
  </w:footnote>
  <w:footnote w:id="17">
    <w:p w14:paraId="3E37293F">
      <w:pPr>
        <w:shd w:val="clear" w:color="auto" w:fill="FFFFFF"/>
        <w:topLinePunct/>
        <w:autoSpaceDE/>
        <w:autoSpaceDN/>
        <w:adjustRightInd/>
        <w:snapToGrid w:val="0"/>
        <w:ind w:left="420" w:hanging="420"/>
        <w:jc w:val="both"/>
        <w:rPr>
          <w:rFonts w:eastAsia="宋体"/>
          <w:sz w:val="21"/>
          <w:szCs w:val="21"/>
        </w:rPr>
      </w:pPr>
      <w:r>
        <w:rPr>
          <w:rStyle w:val="17"/>
          <w:sz w:val="21"/>
          <w:szCs w:val="21"/>
        </w:rPr>
        <w:footnoteRef/>
      </w:r>
      <w:r>
        <w:rPr>
          <w:rFonts w:eastAsia="宋体"/>
          <w:sz w:val="21"/>
          <w:szCs w:val="21"/>
        </w:rPr>
        <w:t xml:space="preserve">21 USC §360d(c)(1)(B)/21 USC §514(c)(1)(B). </w:t>
      </w:r>
    </w:p>
  </w:footnote>
  <w:footnote w:id="18">
    <w:p w14:paraId="47B14BCE">
      <w:pPr>
        <w:shd w:val="clear" w:color="auto" w:fill="FFFFFF"/>
        <w:topLinePunct/>
        <w:autoSpaceDE/>
        <w:autoSpaceDN/>
        <w:adjustRightInd/>
        <w:snapToGrid w:val="0"/>
        <w:jc w:val="both"/>
        <w:rPr>
          <w:sz w:val="21"/>
          <w:szCs w:val="21"/>
        </w:rPr>
      </w:pPr>
      <w:r>
        <w:rPr>
          <w:rStyle w:val="17"/>
          <w:sz w:val="21"/>
          <w:szCs w:val="21"/>
        </w:rPr>
        <w:footnoteRef/>
      </w:r>
      <w:r>
        <w:rPr>
          <w:rFonts w:eastAsia="宋体"/>
          <w:sz w:val="21"/>
          <w:szCs w:val="21"/>
        </w:rPr>
        <w:t>可登录以下网址获取</w:t>
      </w:r>
      <w:r>
        <w:rPr>
          <w:rFonts w:hint="eastAsia" w:eastAsia="宋体"/>
          <w:sz w:val="21"/>
          <w:szCs w:val="21"/>
        </w:rPr>
        <w:t>：</w:t>
      </w:r>
      <w:r>
        <w:rPr>
          <w:rFonts w:hint="eastAsia" w:eastAsia="宋体"/>
          <w:sz w:val="21"/>
          <w:szCs w:val="21"/>
        </w:rPr>
        <w:br w:type="textWrapping"/>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5"/>
          <w:rFonts w:eastAsia="宋体"/>
          <w:sz w:val="21"/>
          <w:szCs w:val="21"/>
        </w:rPr>
        <w:t>https://www.fda.gov/regulatory-information/search-fda-guidance-documents/appropriate-use-voluntary-consensus-standards-premarket-submissions-medical-devices</w:t>
      </w:r>
      <w:r>
        <w:rPr>
          <w:rStyle w:val="15"/>
          <w:rFonts w:eastAsia="宋体"/>
          <w:sz w:val="21"/>
          <w:szCs w:val="21"/>
        </w:rPr>
        <w:fldChar w:fldCharType="end"/>
      </w:r>
      <w:r>
        <w:rPr>
          <w:rFonts w:eastAsia="宋体"/>
          <w:sz w:val="21"/>
          <w:szCs w:val="21"/>
        </w:rPr>
        <w:t>。</w:t>
      </w:r>
    </w:p>
  </w:footnote>
  <w:footnote w:id="19">
    <w:p w14:paraId="34713863">
      <w:pPr>
        <w:shd w:val="clear" w:color="auto" w:fill="FFFFFF"/>
        <w:topLinePunct/>
        <w:autoSpaceDE/>
        <w:autoSpaceDN/>
        <w:adjustRightInd/>
        <w:snapToGrid w:val="0"/>
        <w:ind w:left="420" w:hanging="420"/>
        <w:jc w:val="both"/>
        <w:rPr>
          <w:sz w:val="21"/>
          <w:szCs w:val="21"/>
          <w:lang w:val="de-DE"/>
        </w:rPr>
      </w:pPr>
      <w:r>
        <w:rPr>
          <w:rStyle w:val="17"/>
          <w:sz w:val="21"/>
          <w:szCs w:val="21"/>
        </w:rPr>
        <w:footnoteRef/>
      </w:r>
      <w:r>
        <w:rPr>
          <w:rFonts w:eastAsia="宋体"/>
          <w:sz w:val="21"/>
          <w:szCs w:val="21"/>
          <w:lang w:val="de-DE"/>
        </w:rPr>
        <w:t>21 USC §360(kk).</w:t>
      </w:r>
    </w:p>
  </w:footnote>
  <w:footnote w:id="20">
    <w:p w14:paraId="35EAFC59">
      <w:pPr>
        <w:shd w:val="clear" w:color="auto" w:fill="FFFFFF"/>
        <w:topLinePunct/>
        <w:autoSpaceDE/>
        <w:autoSpaceDN/>
        <w:adjustRightInd/>
        <w:snapToGrid w:val="0"/>
        <w:ind w:left="420" w:hanging="420"/>
        <w:jc w:val="both"/>
        <w:rPr>
          <w:sz w:val="21"/>
          <w:szCs w:val="21"/>
          <w:lang w:val="de-DE"/>
        </w:rPr>
      </w:pPr>
      <w:r>
        <w:rPr>
          <w:rStyle w:val="17"/>
          <w:sz w:val="21"/>
          <w:szCs w:val="21"/>
        </w:rPr>
        <w:footnoteRef/>
      </w:r>
      <w:r>
        <w:rPr>
          <w:rFonts w:eastAsia="宋体"/>
          <w:sz w:val="21"/>
          <w:szCs w:val="21"/>
          <w:lang w:val="de-DE"/>
        </w:rPr>
        <w:t>21 USC §360d(c).</w:t>
      </w:r>
    </w:p>
  </w:footnote>
  <w:footnote w:id="21">
    <w:p w14:paraId="5F56C4C2">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color w:val="000000"/>
          <w:sz w:val="21"/>
          <w:szCs w:val="21"/>
          <w:lang w:val="de-DE"/>
        </w:rPr>
        <w:t>21 USC §360c(i).</w:t>
      </w:r>
    </w:p>
  </w:footnote>
  <w:footnote w:id="22">
    <w:p w14:paraId="00693ADB">
      <w:pPr>
        <w:shd w:val="clear" w:color="auto" w:fill="FFFFFF"/>
        <w:topLinePunct/>
        <w:autoSpaceDE/>
        <w:autoSpaceDN/>
        <w:adjustRightInd/>
        <w:snapToGrid w:val="0"/>
        <w:jc w:val="both"/>
        <w:rPr>
          <w:rFonts w:eastAsia="宋体"/>
          <w:sz w:val="21"/>
          <w:szCs w:val="21"/>
          <w:lang w:val="de-DE"/>
        </w:rPr>
      </w:pPr>
      <w:r>
        <w:rPr>
          <w:rStyle w:val="17"/>
          <w:sz w:val="21"/>
          <w:szCs w:val="21"/>
        </w:rPr>
        <w:footnoteRef/>
      </w:r>
      <w:r>
        <w:rPr>
          <w:rFonts w:eastAsia="宋体"/>
          <w:sz w:val="21"/>
          <w:szCs w:val="21"/>
        </w:rPr>
        <w:t>可登录以下网址获取</w:t>
      </w:r>
      <w:r>
        <w:rPr>
          <w:rFonts w:eastAsia="宋体"/>
          <w:sz w:val="21"/>
          <w:szCs w:val="21"/>
          <w:lang w:val="de-DE"/>
        </w:rPr>
        <w:t>：</w:t>
      </w:r>
      <w:r>
        <w:rPr>
          <w:rFonts w:hint="eastAsia" w:eastAsia="宋体"/>
          <w:sz w:val="21"/>
          <w:szCs w:val="21"/>
          <w:lang w:val="de-DE"/>
        </w:rPr>
        <w:br w:type="textWrapping"/>
      </w:r>
      <w:r>
        <w:fldChar w:fldCharType="begin"/>
      </w:r>
      <w:r>
        <w:instrText xml:space="preserve"> HYPERLINK "https://www.fda.gov/regulatory-information/search-fda-guidance-documents/appropriate-use-" </w:instrText>
      </w:r>
      <w:r>
        <w:fldChar w:fldCharType="separate"/>
      </w:r>
      <w:r>
        <w:rPr>
          <w:rStyle w:val="15"/>
          <w:rFonts w:eastAsia="宋体"/>
          <w:sz w:val="21"/>
          <w:szCs w:val="21"/>
          <w:lang w:val="de-DE"/>
        </w:rPr>
        <w:t>https://www.fda.gov/regulatory-information/search-fda-guidance-documents/appropriate-use-</w:t>
      </w:r>
      <w:r>
        <w:rPr>
          <w:rStyle w:val="15"/>
          <w:rFonts w:eastAsia="宋体"/>
          <w:sz w:val="21"/>
          <w:szCs w:val="21"/>
          <w:lang w:val="de-DE"/>
        </w:rPr>
        <w:fldChar w:fldCharType="end"/>
      </w:r>
      <w:r>
        <w:rPr>
          <w:rFonts w:eastAsia="宋体"/>
          <w:color w:val="3333FF"/>
          <w:sz w:val="21"/>
          <w:szCs w:val="21"/>
          <w:u w:val="single"/>
          <w:lang w:val="de-DE"/>
        </w:rPr>
        <w:t>voluntary-consensus-standards-premarket-submissions-medical-devices</w:t>
      </w:r>
      <w:r>
        <w:rPr>
          <w:rFonts w:eastAsia="宋体"/>
          <w:sz w:val="21"/>
          <w:szCs w:val="21"/>
        </w:rPr>
        <w:t>。</w:t>
      </w:r>
    </w:p>
  </w:footnote>
  <w:footnote w:id="23">
    <w:p w14:paraId="63FBC09C">
      <w:pPr>
        <w:shd w:val="clear" w:color="auto" w:fill="FFFFFF"/>
        <w:topLinePunct/>
        <w:autoSpaceDE/>
        <w:autoSpaceDN/>
        <w:adjustRightInd/>
        <w:snapToGrid w:val="0"/>
        <w:jc w:val="both"/>
        <w:rPr>
          <w:rFonts w:eastAsia="宋体"/>
          <w:color w:val="3333FF"/>
          <w:sz w:val="21"/>
          <w:szCs w:val="21"/>
          <w:lang w:val="de-DE"/>
        </w:rPr>
      </w:pPr>
      <w:r>
        <w:rPr>
          <w:rStyle w:val="17"/>
          <w:sz w:val="21"/>
          <w:szCs w:val="21"/>
        </w:rPr>
        <w:footnoteRef/>
      </w:r>
      <w:r>
        <w:rPr>
          <w:rFonts w:eastAsia="宋体"/>
          <w:sz w:val="21"/>
          <w:szCs w:val="21"/>
        </w:rPr>
        <w:t>如需了解更多信息</w:t>
      </w:r>
      <w:r>
        <w:rPr>
          <w:rFonts w:eastAsia="宋体"/>
          <w:sz w:val="21"/>
          <w:szCs w:val="21"/>
          <w:lang w:val="de-DE"/>
        </w:rPr>
        <w:t>，</w:t>
      </w:r>
      <w:r>
        <w:rPr>
          <w:rFonts w:eastAsia="宋体"/>
          <w:sz w:val="21"/>
          <w:szCs w:val="21"/>
        </w:rPr>
        <w:t>参见</w:t>
      </w:r>
      <w:r>
        <w:rPr>
          <w:rFonts w:eastAsia="宋体"/>
          <w:sz w:val="21"/>
          <w:szCs w:val="21"/>
          <w:lang w:val="de-DE"/>
        </w:rPr>
        <w:t>FDA</w:t>
      </w:r>
      <w:r>
        <w:rPr>
          <w:rFonts w:eastAsia="宋体"/>
          <w:sz w:val="21"/>
          <w:szCs w:val="21"/>
        </w:rPr>
        <w:t>认可标准数据库</w:t>
      </w:r>
      <w:r>
        <w:rPr>
          <w:rFonts w:eastAsia="宋体"/>
          <w:sz w:val="21"/>
          <w:szCs w:val="21"/>
          <w:lang w:val="de-DE"/>
        </w:rPr>
        <w:t>，</w:t>
      </w:r>
      <w:r>
        <w:rPr>
          <w:rFonts w:eastAsia="宋体"/>
          <w:sz w:val="21"/>
          <w:szCs w:val="21"/>
        </w:rPr>
        <w:t>可登录以下网址获取</w:t>
      </w:r>
      <w:r>
        <w:rPr>
          <w:rFonts w:eastAsia="宋体"/>
          <w:sz w:val="21"/>
          <w:szCs w:val="21"/>
          <w:lang w:val="de-DE"/>
        </w:rPr>
        <w:t>：</w:t>
      </w:r>
      <w:r>
        <w:rPr>
          <w:rFonts w:hint="eastAsia" w:eastAsia="宋体"/>
          <w:sz w:val="21"/>
          <w:szCs w:val="21"/>
          <w:lang w:val="de-DE"/>
        </w:rPr>
        <w:br w:type="textWrapping"/>
      </w:r>
      <w:r>
        <w:rPr>
          <w:rFonts w:eastAsia="宋体"/>
          <w:color w:val="3333FF"/>
          <w:sz w:val="21"/>
          <w:szCs w:val="21"/>
          <w:u w:val="single"/>
          <w:lang w:val="de-DE"/>
        </w:rPr>
        <w:t>https://www.accessdata.fda.gov/scripts/cdrh/cfdocs/cfStandards/search.cfm</w:t>
      </w:r>
    </w:p>
  </w:footnote>
  <w:footnote w:id="24">
    <w:p w14:paraId="3DB44547">
      <w:pPr>
        <w:shd w:val="clear" w:color="auto" w:fill="FFFFFF"/>
        <w:topLinePunct/>
        <w:autoSpaceDE/>
        <w:autoSpaceDN/>
        <w:adjustRightInd/>
        <w:snapToGrid w:val="0"/>
        <w:jc w:val="both"/>
        <w:rPr>
          <w:rFonts w:eastAsia="宋体"/>
          <w:sz w:val="21"/>
          <w:szCs w:val="21"/>
          <w:lang w:val="de-DE"/>
        </w:rPr>
      </w:pPr>
      <w:r>
        <w:rPr>
          <w:rStyle w:val="17"/>
          <w:sz w:val="21"/>
          <w:szCs w:val="21"/>
        </w:rPr>
        <w:footnoteRef/>
      </w:r>
      <w:r>
        <w:rPr>
          <w:rFonts w:eastAsia="宋体"/>
          <w:sz w:val="21"/>
          <w:szCs w:val="21"/>
        </w:rPr>
        <w:t>可登录以下网址获取</w:t>
      </w:r>
      <w:r>
        <w:rPr>
          <w:rFonts w:eastAsia="宋体"/>
          <w:sz w:val="21"/>
          <w:szCs w:val="21"/>
          <w:lang w:val="de-DE"/>
        </w:rPr>
        <w:t>：</w:t>
      </w:r>
      <w:r>
        <w:rPr>
          <w:rFonts w:hint="eastAsia" w:eastAsia="宋体"/>
          <w:sz w:val="21"/>
          <w:szCs w:val="21"/>
          <w:lang w:val="de-DE"/>
        </w:rPr>
        <w:br w:type="textWrapping"/>
      </w:r>
      <w:r>
        <w:fldChar w:fldCharType="begin"/>
      </w:r>
      <w:r>
        <w:instrText xml:space="preserve"> HYPERLINK "https://www.fda.gov/regulatory-information/search-fda-guidance-documents/510k-program-" </w:instrText>
      </w:r>
      <w:r>
        <w:fldChar w:fldCharType="separate"/>
      </w:r>
      <w:r>
        <w:rPr>
          <w:rStyle w:val="15"/>
          <w:rFonts w:eastAsia="宋体"/>
          <w:sz w:val="21"/>
          <w:szCs w:val="21"/>
          <w:lang w:val="de-DE"/>
        </w:rPr>
        <w:t>https://www.fda.gov/regulatory-information/search-fda-guidance-documents/510k-program-</w:t>
      </w:r>
      <w:r>
        <w:rPr>
          <w:rStyle w:val="15"/>
          <w:rFonts w:eastAsia="宋体"/>
          <w:sz w:val="21"/>
          <w:szCs w:val="21"/>
          <w:lang w:val="de-DE"/>
        </w:rPr>
        <w:fldChar w:fldCharType="end"/>
      </w:r>
      <w:r>
        <w:rPr>
          <w:rFonts w:eastAsia="宋体"/>
          <w:color w:val="3333FF"/>
          <w:sz w:val="21"/>
          <w:szCs w:val="21"/>
          <w:u w:val="single"/>
          <w:lang w:val="de-DE"/>
        </w:rPr>
        <w:t>evaluating-substantial-equivalence-premarket-notifications-510k</w:t>
      </w:r>
      <w:r>
        <w:rPr>
          <w:rFonts w:eastAsia="宋体"/>
          <w:sz w:val="21"/>
          <w:szCs w:val="21"/>
        </w:rPr>
        <w:t>。</w:t>
      </w:r>
    </w:p>
  </w:footnote>
  <w:footnote w:id="25">
    <w:p w14:paraId="3F8BDFDF">
      <w:pPr>
        <w:shd w:val="clear" w:color="auto" w:fill="FFFFFF"/>
        <w:topLinePunct/>
        <w:autoSpaceDE/>
        <w:autoSpaceDN/>
        <w:adjustRightInd/>
        <w:snapToGrid w:val="0"/>
        <w:jc w:val="both"/>
        <w:rPr>
          <w:sz w:val="21"/>
          <w:szCs w:val="21"/>
          <w:lang w:val="de-DE"/>
        </w:rPr>
      </w:pPr>
      <w:r>
        <w:rPr>
          <w:rStyle w:val="17"/>
          <w:sz w:val="21"/>
          <w:szCs w:val="21"/>
        </w:rPr>
        <w:footnoteRef/>
      </w:r>
      <w:r>
        <w:rPr>
          <w:rFonts w:eastAsia="宋体"/>
          <w:color w:val="000000"/>
          <w:sz w:val="21"/>
          <w:szCs w:val="21"/>
          <w:lang w:val="de-DE"/>
        </w:rPr>
        <w:t>21 USC §360d(c)(1)(B)</w:t>
      </w:r>
      <w:r>
        <w:rPr>
          <w:rFonts w:eastAsia="宋体"/>
          <w:color w:val="000000"/>
          <w:sz w:val="21"/>
          <w:szCs w:val="21"/>
        </w:rPr>
        <w:t>。</w:t>
      </w:r>
    </w:p>
  </w:footnote>
  <w:footnote w:id="26">
    <w:p w14:paraId="0FBACDF2">
      <w:pPr>
        <w:pStyle w:val="9"/>
        <w:jc w:val="both"/>
        <w:rPr>
          <w:sz w:val="21"/>
          <w:szCs w:val="21"/>
          <w:lang w:val="de-DE"/>
        </w:rPr>
      </w:pPr>
      <w:r>
        <w:rPr>
          <w:rStyle w:val="17"/>
          <w:sz w:val="21"/>
          <w:szCs w:val="21"/>
        </w:rPr>
        <w:footnoteRef/>
      </w:r>
      <w:r>
        <w:rPr>
          <w:rFonts w:eastAsia="宋体"/>
          <w:sz w:val="21"/>
          <w:szCs w:val="21"/>
        </w:rPr>
        <w:t>可登录以下网址获取</w:t>
      </w:r>
      <w:r>
        <w:rPr>
          <w:rFonts w:eastAsia="宋体"/>
          <w:sz w:val="21"/>
          <w:szCs w:val="21"/>
          <w:lang w:val="de-DE"/>
        </w:rPr>
        <w:t>：</w:t>
      </w:r>
      <w:r>
        <w:rPr>
          <w:rFonts w:hint="eastAsia" w:eastAsia="宋体"/>
          <w:sz w:val="21"/>
          <w:szCs w:val="21"/>
          <w:lang w:val="de-DE"/>
        </w:rPr>
        <w:br w:type="textWrapping"/>
      </w:r>
      <w:r>
        <w:rPr>
          <w:rFonts w:eastAsia="宋体"/>
          <w:color w:val="3333FF"/>
          <w:sz w:val="21"/>
          <w:szCs w:val="21"/>
          <w:u w:val="single"/>
          <w:lang w:val="de-DE"/>
        </w:rPr>
        <w:t>https://www.fda.gov/regulatory-information/search-fda-guidance-documents/appropriate-use-voluntary-consensus-standards-premarket-submissions-medical-devices</w:t>
      </w:r>
      <w:r>
        <w:rPr>
          <w:rFonts w:eastAsia="宋体"/>
          <w:sz w:val="21"/>
          <w:szCs w:val="21"/>
        </w:rPr>
        <w:t>。</w:t>
      </w:r>
    </w:p>
  </w:footnote>
  <w:footnote w:id="27">
    <w:p w14:paraId="5A87C94E">
      <w:pPr>
        <w:pStyle w:val="9"/>
        <w:jc w:val="both"/>
        <w:rPr>
          <w:sz w:val="21"/>
          <w:szCs w:val="21"/>
        </w:rPr>
      </w:pPr>
      <w:r>
        <w:rPr>
          <w:rStyle w:val="17"/>
          <w:sz w:val="21"/>
          <w:szCs w:val="21"/>
        </w:rPr>
        <w:footnoteRef/>
      </w:r>
      <w:r>
        <w:rPr>
          <w:rFonts w:eastAsia="宋体"/>
          <w:color w:val="000000"/>
          <w:sz w:val="21"/>
          <w:szCs w:val="21"/>
        </w:rPr>
        <w:t>21 CFR 1002.10要求的产品报告。</w:t>
      </w:r>
    </w:p>
  </w:footnote>
  <w:footnote w:id="28">
    <w:p w14:paraId="6C9C49FC">
      <w:pPr>
        <w:shd w:val="clear" w:color="auto" w:fill="FFFFFF"/>
        <w:topLinePunct/>
        <w:autoSpaceDE/>
        <w:autoSpaceDN/>
        <w:adjustRightInd/>
        <w:snapToGrid w:val="0"/>
        <w:jc w:val="both"/>
        <w:rPr>
          <w:sz w:val="21"/>
          <w:szCs w:val="21"/>
        </w:rPr>
      </w:pPr>
      <w:r>
        <w:rPr>
          <w:rStyle w:val="17"/>
          <w:sz w:val="21"/>
          <w:szCs w:val="21"/>
        </w:rPr>
        <w:footnoteRef/>
      </w:r>
      <w:r>
        <w:rPr>
          <w:rFonts w:eastAsia="宋体"/>
          <w:sz w:val="21"/>
          <w:szCs w:val="21"/>
        </w:rPr>
        <w:t>有关辐射安全规范和检测比较文件实例，可登录以下网址获取：</w:t>
      </w:r>
      <w:r>
        <w:rPr>
          <w:rFonts w:hint="eastAsia" w:eastAsia="宋体"/>
          <w:sz w:val="21"/>
          <w:szCs w:val="21"/>
        </w:rPr>
        <w:br w:type="textWrapping"/>
      </w:r>
      <w:r>
        <w:rPr>
          <w:rFonts w:eastAsia="宋体"/>
          <w:color w:val="3333FF"/>
          <w:sz w:val="21"/>
          <w:szCs w:val="21"/>
          <w:u w:val="single"/>
        </w:rPr>
        <w:t>www.medicalimaging.org/cfr-iec-comparison/</w:t>
      </w:r>
      <w:r>
        <w:rPr>
          <w:rFonts w:eastAsia="宋体"/>
          <w:sz w:val="21"/>
          <w:szCs w:val="21"/>
        </w:rPr>
        <w:t>。</w:t>
      </w:r>
    </w:p>
  </w:footnote>
  <w:footnote w:id="29">
    <w:p w14:paraId="2AC9686C">
      <w:pPr>
        <w:shd w:val="clear" w:color="auto" w:fill="FFFFFF"/>
        <w:topLinePunct/>
        <w:autoSpaceDE/>
        <w:autoSpaceDN/>
        <w:adjustRightInd/>
        <w:snapToGrid w:val="0"/>
        <w:jc w:val="both"/>
        <w:rPr>
          <w:sz w:val="21"/>
          <w:szCs w:val="21"/>
        </w:rPr>
      </w:pPr>
      <w:r>
        <w:rPr>
          <w:rStyle w:val="17"/>
          <w:sz w:val="21"/>
          <w:szCs w:val="21"/>
        </w:rPr>
        <w:footnoteRef/>
      </w:r>
      <w:r>
        <w:rPr>
          <w:rFonts w:eastAsia="宋体"/>
          <w:color w:val="000000"/>
          <w:sz w:val="21"/>
          <w:szCs w:val="21"/>
        </w:rPr>
        <w:t>这与IEC术语</w:t>
      </w:r>
      <w:r>
        <w:rPr>
          <w:rFonts w:ascii="宋体" w:hAnsi="宋体" w:eastAsia="宋体"/>
          <w:color w:val="000000"/>
          <w:sz w:val="21"/>
          <w:szCs w:val="21"/>
        </w:rPr>
        <w:t>“</w:t>
      </w:r>
      <w:r>
        <w:rPr>
          <w:rFonts w:eastAsia="宋体"/>
          <w:color w:val="000000"/>
          <w:sz w:val="21"/>
          <w:szCs w:val="21"/>
        </w:rPr>
        <w:t>随附文件</w:t>
      </w:r>
      <w:r>
        <w:rPr>
          <w:rFonts w:ascii="宋体" w:hAnsi="宋体" w:eastAsia="宋体"/>
          <w:color w:val="000000"/>
          <w:sz w:val="21"/>
          <w:szCs w:val="21"/>
        </w:rPr>
        <w:t>”</w:t>
      </w:r>
      <w:r>
        <w:rPr>
          <w:rFonts w:eastAsia="宋体"/>
          <w:color w:val="000000"/>
          <w:sz w:val="21"/>
          <w:szCs w:val="21"/>
        </w:rPr>
        <w:t>相同。</w:t>
      </w:r>
    </w:p>
  </w:footnote>
  <w:footnote w:id="30">
    <w:p w14:paraId="36B677D8">
      <w:pPr>
        <w:shd w:val="clear" w:color="auto" w:fill="FFFFFF"/>
        <w:topLinePunct/>
        <w:autoSpaceDE/>
        <w:autoSpaceDN/>
        <w:adjustRightInd/>
        <w:snapToGrid w:val="0"/>
        <w:jc w:val="both"/>
        <w:rPr>
          <w:sz w:val="21"/>
          <w:szCs w:val="21"/>
        </w:rPr>
      </w:pPr>
      <w:r>
        <w:rPr>
          <w:rStyle w:val="17"/>
          <w:sz w:val="21"/>
          <w:szCs w:val="21"/>
        </w:rPr>
        <w:footnoteRef/>
      </w:r>
      <w:r>
        <w:rPr>
          <w:rFonts w:eastAsia="宋体"/>
          <w:sz w:val="21"/>
          <w:szCs w:val="21"/>
        </w:rPr>
        <w:t>有关更多支持符合性声明检测的信息，参见FDA指南《医疗器械上市前</w:t>
      </w:r>
      <w:r>
        <w:rPr>
          <w:rFonts w:hint="eastAsia" w:eastAsia="宋体"/>
          <w:sz w:val="21"/>
          <w:szCs w:val="21"/>
        </w:rPr>
        <w:t>申请</w:t>
      </w:r>
      <w:r>
        <w:rPr>
          <w:rFonts w:eastAsia="宋体"/>
          <w:sz w:val="21"/>
          <w:szCs w:val="21"/>
        </w:rPr>
        <w:t>中适当使用自愿共识标准》，可登录以下网址获取：</w:t>
      </w:r>
      <w:r>
        <w:rPr>
          <w:rFonts w:hint="eastAsia" w:eastAsia="宋体"/>
          <w:sz w:val="21"/>
          <w:szCs w:val="21"/>
        </w:rPr>
        <w:br w:type="textWrapping"/>
      </w:r>
      <w:r>
        <w:fldChar w:fldCharType="begin"/>
      </w:r>
      <w:r>
        <w:instrText xml:space="preserve"> HYPERLINK "https://www.fda.gov/regulatory-information/search-fda-guidance-documents/appropriate-use-" </w:instrText>
      </w:r>
      <w:r>
        <w:fldChar w:fldCharType="separate"/>
      </w:r>
      <w:r>
        <w:rPr>
          <w:rStyle w:val="15"/>
          <w:rFonts w:eastAsia="宋体"/>
          <w:sz w:val="21"/>
          <w:szCs w:val="21"/>
        </w:rPr>
        <w:t>https://www.fda.gov/regulatory-information/search-fda-guidance-documents/appropriate-use-</w:t>
      </w:r>
      <w:r>
        <w:rPr>
          <w:rStyle w:val="15"/>
          <w:rFonts w:eastAsia="宋体"/>
          <w:sz w:val="21"/>
          <w:szCs w:val="21"/>
        </w:rPr>
        <w:fldChar w:fldCharType="end"/>
      </w:r>
      <w:r>
        <w:rPr>
          <w:rFonts w:eastAsia="宋体"/>
          <w:color w:val="3333FF"/>
          <w:sz w:val="21"/>
          <w:szCs w:val="21"/>
          <w:u w:val="single"/>
        </w:rPr>
        <w:t>voluntary-consensus-standards-premarket-submissions-medical-devices</w:t>
      </w:r>
      <w:r>
        <w:rPr>
          <w:rFonts w:eastAsia="宋体"/>
          <w:sz w:val="21"/>
          <w:szCs w:val="21"/>
        </w:rPr>
        <w:t>。</w:t>
      </w:r>
    </w:p>
  </w:footnote>
  <w:footnote w:id="31">
    <w:p w14:paraId="23324AC8">
      <w:pPr>
        <w:shd w:val="clear" w:color="auto" w:fill="FFFFFF"/>
        <w:topLinePunct/>
        <w:autoSpaceDE/>
        <w:autoSpaceDN/>
        <w:adjustRightInd/>
        <w:snapToGrid w:val="0"/>
        <w:jc w:val="both"/>
        <w:rPr>
          <w:sz w:val="21"/>
          <w:szCs w:val="21"/>
        </w:rPr>
      </w:pPr>
      <w:r>
        <w:rPr>
          <w:rStyle w:val="17"/>
          <w:sz w:val="21"/>
          <w:szCs w:val="21"/>
        </w:rPr>
        <w:footnoteRef/>
      </w:r>
      <w:r>
        <w:rPr>
          <w:rFonts w:eastAsia="宋体"/>
          <w:color w:val="000000"/>
          <w:sz w:val="21"/>
          <w:szCs w:val="21"/>
        </w:rPr>
        <w:t>21 CFR 820.30.</w:t>
      </w:r>
    </w:p>
  </w:footnote>
  <w:footnote w:id="32">
    <w:p w14:paraId="194D02DC">
      <w:pPr>
        <w:shd w:val="clear" w:color="auto" w:fill="FFFFFF"/>
        <w:topLinePunct/>
        <w:autoSpaceDE/>
        <w:autoSpaceDN/>
        <w:adjustRightInd/>
        <w:snapToGrid w:val="0"/>
        <w:jc w:val="both"/>
        <w:rPr>
          <w:sz w:val="21"/>
          <w:szCs w:val="21"/>
        </w:rPr>
      </w:pPr>
      <w:r>
        <w:rPr>
          <w:rStyle w:val="17"/>
          <w:sz w:val="21"/>
          <w:szCs w:val="21"/>
        </w:rPr>
        <w:footnoteRef/>
      </w:r>
      <w:r>
        <w:rPr>
          <w:rFonts w:eastAsia="宋体"/>
          <w:color w:val="000000"/>
          <w:sz w:val="21"/>
          <w:szCs w:val="21"/>
        </w:rPr>
        <w:t>21 CFR 820.30(j).</w:t>
      </w:r>
    </w:p>
  </w:footnote>
  <w:footnote w:id="33">
    <w:p w14:paraId="7098D1CA">
      <w:pPr>
        <w:shd w:val="clear" w:color="auto" w:fill="FFFFFF"/>
        <w:topLinePunct/>
        <w:autoSpaceDE/>
        <w:autoSpaceDN/>
        <w:adjustRightInd/>
        <w:snapToGrid w:val="0"/>
        <w:jc w:val="both"/>
        <w:rPr>
          <w:sz w:val="21"/>
          <w:szCs w:val="21"/>
        </w:rPr>
      </w:pPr>
      <w:r>
        <w:rPr>
          <w:rStyle w:val="17"/>
          <w:sz w:val="21"/>
          <w:szCs w:val="21"/>
        </w:rPr>
        <w:footnoteRef/>
      </w:r>
      <w:r>
        <w:rPr>
          <w:rFonts w:eastAsia="宋体"/>
          <w:color w:val="000000"/>
          <w:sz w:val="21"/>
          <w:szCs w:val="21"/>
        </w:rPr>
        <w:t>21 CFR 1003.2(</w:t>
      </w:r>
      <w:r>
        <w:rPr>
          <w:rFonts w:hint="eastAsia" w:eastAsia="宋体"/>
          <w:color w:val="000000"/>
          <w:sz w:val="21"/>
          <w:szCs w:val="21"/>
        </w:rPr>
        <w:t>b</w:t>
      </w:r>
      <w:r>
        <w:rPr>
          <w:rFonts w:eastAsia="宋体"/>
          <w:color w:val="000000"/>
          <w:sz w:val="21"/>
          <w:szCs w:val="21"/>
        </w:rPr>
        <w:t>).</w:t>
      </w:r>
    </w:p>
  </w:footnote>
  <w:footnote w:id="34">
    <w:p w14:paraId="511C54D1">
      <w:pPr>
        <w:shd w:val="clear" w:color="auto" w:fill="FFFFFF"/>
        <w:topLinePunct/>
        <w:autoSpaceDE/>
        <w:autoSpaceDN/>
        <w:adjustRightInd/>
        <w:snapToGrid w:val="0"/>
        <w:jc w:val="both"/>
        <w:rPr>
          <w:sz w:val="21"/>
          <w:szCs w:val="21"/>
        </w:rPr>
      </w:pPr>
      <w:r>
        <w:rPr>
          <w:rStyle w:val="17"/>
          <w:sz w:val="21"/>
          <w:szCs w:val="21"/>
        </w:rPr>
        <w:footnoteRef/>
      </w:r>
      <w:r>
        <w:rPr>
          <w:rFonts w:eastAsia="宋体"/>
          <w:sz w:val="21"/>
          <w:szCs w:val="21"/>
        </w:rPr>
        <w:t>可登录以下网址获取：</w:t>
      </w:r>
      <w:r>
        <w:rPr>
          <w:rFonts w:eastAsia="宋体"/>
          <w:color w:val="3333FF"/>
          <w:sz w:val="21"/>
          <w:szCs w:val="21"/>
          <w:u w:val="single"/>
        </w:rPr>
        <w:t>https://www.accessdata.fda.gov/scripts/cdrh/cfdocs/cfStandards/search.cfm</w:t>
      </w:r>
      <w:r>
        <w:rPr>
          <w:rFonts w:eastAsia="宋体"/>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45DA">
    <w:pPr>
      <w:shd w:val="clear" w:color="auto" w:fill="FFFFFF"/>
      <w:topLinePunct/>
      <w:autoSpaceDE/>
      <w:autoSpaceDN/>
      <w:adjustRightInd/>
      <w:contextualSpacing/>
      <w:jc w:val="center"/>
      <w:rPr>
        <w:rFonts w:eastAsia="宋体"/>
        <w:sz w:val="21"/>
        <w:szCs w:val="21"/>
      </w:rPr>
    </w:pPr>
    <w:r>
      <w:rPr>
        <w:rFonts w:hint="eastAsia" w:eastAsia="宋体" w:cs="宋体"/>
        <w:b/>
        <w:i/>
        <w:color w:val="000000"/>
        <w:sz w:val="21"/>
      </w:rPr>
      <w:t>所含建议不具约束力</w:t>
    </w:r>
  </w:p>
  <w:p w14:paraId="159CB0C9">
    <w:pPr>
      <w:pStyle w:val="7"/>
      <w:pBdr>
        <w:bottom w:val="none" w:color="auto" w:sz="0" w:space="0"/>
      </w:pBdr>
      <w:contextualSpacing/>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A9E8">
    <w:pPr>
      <w:pStyle w:val="7"/>
      <w:pBdr>
        <w:bottom w:val="none" w:color="auto" w:sz="0" w:space="0"/>
      </w:pBdr>
      <w:contextualSpacing/>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F644">
    <w:pPr>
      <w:pStyle w:val="7"/>
      <w:pBdr>
        <w:bottom w:val="none" w:color="auto" w:sz="0" w:space="0"/>
      </w:pBdr>
      <w:contextualSpacing/>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B16C0"/>
    <w:multiLevelType w:val="multilevel"/>
    <w:tmpl w:val="0B8B16C0"/>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9D35C33"/>
    <w:multiLevelType w:val="multilevel"/>
    <w:tmpl w:val="19D35C3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727611"/>
    <w:multiLevelType w:val="multilevel"/>
    <w:tmpl w:val="23727611"/>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1140" w:hanging="720"/>
      </w:pPr>
      <w:rPr>
        <w:rFonts w:hint="default" w:ascii="Times New Roman" w:hAnsi="Times New Roman" w:eastAsia="宋体" w:cs="Times New Roman"/>
        <w:color w:val="000000"/>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6863D0A"/>
    <w:multiLevelType w:val="multilevel"/>
    <w:tmpl w:val="46863D0A"/>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Times New Roman" w:hAnsi="Times New Roman" w:cs="Times New Roman"/>
        <w: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D4465BE"/>
    <w:multiLevelType w:val="singleLevel"/>
    <w:tmpl w:val="4D4465BE"/>
    <w:lvl w:ilvl="0" w:tentative="0">
      <w:start w:val="2"/>
      <w:numFmt w:val="decimal"/>
      <w:lvlText w:val="%1."/>
      <w:legacy w:legacy="1" w:legacySpace="0" w:legacyIndent="298"/>
      <w:lvlJc w:val="left"/>
      <w:rPr>
        <w:rFonts w:hint="default" w:ascii="Times New Roman" w:hAnsi="Times New Roman" w:cs="Times New Roman"/>
      </w:rPr>
    </w:lvl>
  </w:abstractNum>
  <w:abstractNum w:abstractNumId="5">
    <w:nsid w:val="4F4E3C64"/>
    <w:multiLevelType w:val="multilevel"/>
    <w:tmpl w:val="4F4E3C64"/>
    <w:lvl w:ilvl="0" w:tentative="0">
      <w:start w:val="1"/>
      <w:numFmt w:val="upperRoman"/>
      <w:pStyle w:val="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4A722E"/>
    <w:multiLevelType w:val="singleLevel"/>
    <w:tmpl w:val="624A722E"/>
    <w:lvl w:ilvl="0" w:tentative="0">
      <w:start w:val="1"/>
      <w:numFmt w:val="decimal"/>
      <w:lvlText w:val="%1)"/>
      <w:lvlJc w:val="left"/>
      <w:pPr>
        <w:ind w:left="420" w:hanging="420"/>
      </w:pPr>
      <w:rPr>
        <w:rFonts w:hint="default" w:ascii="Times New Roman" w:hAnsi="Times New Roman" w:eastAsia="PMingLiU-ExtB" w:cs="Times New Roman"/>
        <w:w w:val="100"/>
        <w:sz w:val="24"/>
        <w:szCs w:val="24"/>
      </w:rPr>
    </w:lvl>
  </w:abstractNum>
  <w:abstractNum w:abstractNumId="7">
    <w:nsid w:val="6DA1073D"/>
    <w:multiLevelType w:val="singleLevel"/>
    <w:tmpl w:val="6DA1073D"/>
    <w:lvl w:ilvl="0" w:tentative="0">
      <w:start w:val="1"/>
      <w:numFmt w:val="decimal"/>
      <w:lvlText w:val="%1."/>
      <w:legacy w:legacy="1" w:legacySpace="0" w:legacyIndent="360"/>
      <w:lvlJc w:val="left"/>
      <w:rPr>
        <w:rFonts w:hint="default" w:ascii="Times New Roman" w:hAnsi="Times New Roman" w:cs="Times New Roman"/>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00"/>
  <w:drawingGridVerticalSpacing w:val="182"/>
  <w:displayHorizontalDrawingGridEvery w:val="0"/>
  <w:displayVerticalDrawingGridEvery w:val="2"/>
  <w:doNotShadeFormData w:val="1"/>
  <w:characterSpacingControl w:val="compressPunctuation"/>
  <w:doNotValidateAgainstSchema/>
  <w:doNotDemarcateInvalidXml/>
  <w:footnotePr>
    <w:footnote w:id="70"/>
    <w:footnote w:id="7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F8"/>
    <w:rsid w:val="000513B5"/>
    <w:rsid w:val="0006001B"/>
    <w:rsid w:val="00091FAC"/>
    <w:rsid w:val="000A7DB1"/>
    <w:rsid w:val="000D526B"/>
    <w:rsid w:val="000D52A2"/>
    <w:rsid w:val="000E4EE4"/>
    <w:rsid w:val="00104F75"/>
    <w:rsid w:val="00106CC8"/>
    <w:rsid w:val="001169BE"/>
    <w:rsid w:val="00120731"/>
    <w:rsid w:val="001214A2"/>
    <w:rsid w:val="00122982"/>
    <w:rsid w:val="00127E10"/>
    <w:rsid w:val="00131747"/>
    <w:rsid w:val="001322A3"/>
    <w:rsid w:val="00132F70"/>
    <w:rsid w:val="00143302"/>
    <w:rsid w:val="001444F3"/>
    <w:rsid w:val="00164AA8"/>
    <w:rsid w:val="00171FD0"/>
    <w:rsid w:val="001828DF"/>
    <w:rsid w:val="001B3D10"/>
    <w:rsid w:val="001D2038"/>
    <w:rsid w:val="001E1B2E"/>
    <w:rsid w:val="001E1C66"/>
    <w:rsid w:val="001F3D10"/>
    <w:rsid w:val="002111E3"/>
    <w:rsid w:val="00221EB9"/>
    <w:rsid w:val="00227DF0"/>
    <w:rsid w:val="002374C9"/>
    <w:rsid w:val="002529D7"/>
    <w:rsid w:val="0026091C"/>
    <w:rsid w:val="00273A3E"/>
    <w:rsid w:val="00284303"/>
    <w:rsid w:val="002A219E"/>
    <w:rsid w:val="002A53AE"/>
    <w:rsid w:val="002B3299"/>
    <w:rsid w:val="002C06C1"/>
    <w:rsid w:val="002D5E14"/>
    <w:rsid w:val="002F71FD"/>
    <w:rsid w:val="00306F0F"/>
    <w:rsid w:val="00310F27"/>
    <w:rsid w:val="00317FF9"/>
    <w:rsid w:val="00364C04"/>
    <w:rsid w:val="00366E49"/>
    <w:rsid w:val="00373CD1"/>
    <w:rsid w:val="00375942"/>
    <w:rsid w:val="003800C4"/>
    <w:rsid w:val="00382C76"/>
    <w:rsid w:val="00385CE8"/>
    <w:rsid w:val="003860B9"/>
    <w:rsid w:val="00395AB6"/>
    <w:rsid w:val="003A40EC"/>
    <w:rsid w:val="003B09EC"/>
    <w:rsid w:val="003B4A1E"/>
    <w:rsid w:val="003B712C"/>
    <w:rsid w:val="003C1AA3"/>
    <w:rsid w:val="003C215D"/>
    <w:rsid w:val="003C2412"/>
    <w:rsid w:val="003D20E4"/>
    <w:rsid w:val="003F1C3E"/>
    <w:rsid w:val="00404AF8"/>
    <w:rsid w:val="00416722"/>
    <w:rsid w:val="0041728F"/>
    <w:rsid w:val="00420002"/>
    <w:rsid w:val="004563A0"/>
    <w:rsid w:val="00462FB3"/>
    <w:rsid w:val="00473BE4"/>
    <w:rsid w:val="004901ED"/>
    <w:rsid w:val="00493F0C"/>
    <w:rsid w:val="00494A84"/>
    <w:rsid w:val="004B4DEB"/>
    <w:rsid w:val="004B65FA"/>
    <w:rsid w:val="004C1919"/>
    <w:rsid w:val="004D06EA"/>
    <w:rsid w:val="005025BE"/>
    <w:rsid w:val="00523AC9"/>
    <w:rsid w:val="005251E3"/>
    <w:rsid w:val="00537FA5"/>
    <w:rsid w:val="005403B0"/>
    <w:rsid w:val="00545A2C"/>
    <w:rsid w:val="00550613"/>
    <w:rsid w:val="0055152D"/>
    <w:rsid w:val="00554D55"/>
    <w:rsid w:val="00555284"/>
    <w:rsid w:val="005817FC"/>
    <w:rsid w:val="005A1918"/>
    <w:rsid w:val="005B02DA"/>
    <w:rsid w:val="005C64C5"/>
    <w:rsid w:val="005D1F68"/>
    <w:rsid w:val="005D626E"/>
    <w:rsid w:val="005D6617"/>
    <w:rsid w:val="005E033E"/>
    <w:rsid w:val="006033FE"/>
    <w:rsid w:val="00606A8F"/>
    <w:rsid w:val="006102CE"/>
    <w:rsid w:val="006103DE"/>
    <w:rsid w:val="00612CEE"/>
    <w:rsid w:val="00634DD1"/>
    <w:rsid w:val="00637424"/>
    <w:rsid w:val="00643BD6"/>
    <w:rsid w:val="00651533"/>
    <w:rsid w:val="006566F2"/>
    <w:rsid w:val="00664AF5"/>
    <w:rsid w:val="00684D85"/>
    <w:rsid w:val="006C4E06"/>
    <w:rsid w:val="006C6B4B"/>
    <w:rsid w:val="00701DAC"/>
    <w:rsid w:val="00703AA7"/>
    <w:rsid w:val="007137A8"/>
    <w:rsid w:val="00740DA3"/>
    <w:rsid w:val="00757A9E"/>
    <w:rsid w:val="00762AEF"/>
    <w:rsid w:val="00765EC8"/>
    <w:rsid w:val="007749CE"/>
    <w:rsid w:val="00796F6D"/>
    <w:rsid w:val="007A7354"/>
    <w:rsid w:val="007B63F0"/>
    <w:rsid w:val="007C0E19"/>
    <w:rsid w:val="007E3881"/>
    <w:rsid w:val="00810E10"/>
    <w:rsid w:val="00815ED9"/>
    <w:rsid w:val="00831BEC"/>
    <w:rsid w:val="0084378D"/>
    <w:rsid w:val="00874A3A"/>
    <w:rsid w:val="008949ED"/>
    <w:rsid w:val="008A3A88"/>
    <w:rsid w:val="008C564A"/>
    <w:rsid w:val="008F09AE"/>
    <w:rsid w:val="008F5D79"/>
    <w:rsid w:val="008F7F57"/>
    <w:rsid w:val="00917E61"/>
    <w:rsid w:val="00922FED"/>
    <w:rsid w:val="00933ABD"/>
    <w:rsid w:val="00937FAD"/>
    <w:rsid w:val="00941E86"/>
    <w:rsid w:val="00943886"/>
    <w:rsid w:val="00954DF9"/>
    <w:rsid w:val="0095549D"/>
    <w:rsid w:val="00961676"/>
    <w:rsid w:val="00970DF6"/>
    <w:rsid w:val="009811AC"/>
    <w:rsid w:val="009873CE"/>
    <w:rsid w:val="009A322B"/>
    <w:rsid w:val="009F45FA"/>
    <w:rsid w:val="00A13AF0"/>
    <w:rsid w:val="00A14AEF"/>
    <w:rsid w:val="00A27DBE"/>
    <w:rsid w:val="00A670F7"/>
    <w:rsid w:val="00A820D9"/>
    <w:rsid w:val="00AF1A8D"/>
    <w:rsid w:val="00B32B32"/>
    <w:rsid w:val="00B66844"/>
    <w:rsid w:val="00B73B2D"/>
    <w:rsid w:val="00B7628E"/>
    <w:rsid w:val="00B93120"/>
    <w:rsid w:val="00B97A18"/>
    <w:rsid w:val="00BA36F9"/>
    <w:rsid w:val="00BB51D4"/>
    <w:rsid w:val="00BD2317"/>
    <w:rsid w:val="00BD751F"/>
    <w:rsid w:val="00BE3238"/>
    <w:rsid w:val="00BE69D1"/>
    <w:rsid w:val="00C02B81"/>
    <w:rsid w:val="00C13B38"/>
    <w:rsid w:val="00C466A2"/>
    <w:rsid w:val="00C56FE5"/>
    <w:rsid w:val="00C65C23"/>
    <w:rsid w:val="00C74EEE"/>
    <w:rsid w:val="00C75A19"/>
    <w:rsid w:val="00C900A7"/>
    <w:rsid w:val="00D02A9C"/>
    <w:rsid w:val="00D2207F"/>
    <w:rsid w:val="00D62494"/>
    <w:rsid w:val="00D97230"/>
    <w:rsid w:val="00DA6005"/>
    <w:rsid w:val="00DB5E23"/>
    <w:rsid w:val="00DC002D"/>
    <w:rsid w:val="00DC621B"/>
    <w:rsid w:val="00DE1DCC"/>
    <w:rsid w:val="00DE31DC"/>
    <w:rsid w:val="00DE3ABB"/>
    <w:rsid w:val="00DE6FCA"/>
    <w:rsid w:val="00DF0288"/>
    <w:rsid w:val="00DF432C"/>
    <w:rsid w:val="00E06453"/>
    <w:rsid w:val="00E53FF3"/>
    <w:rsid w:val="00E63E7D"/>
    <w:rsid w:val="00E67EE9"/>
    <w:rsid w:val="00E708A1"/>
    <w:rsid w:val="00E956A3"/>
    <w:rsid w:val="00E97BC2"/>
    <w:rsid w:val="00EB6362"/>
    <w:rsid w:val="00EB79AD"/>
    <w:rsid w:val="00EC6B0A"/>
    <w:rsid w:val="00EE4655"/>
    <w:rsid w:val="00F05461"/>
    <w:rsid w:val="00F4143F"/>
    <w:rsid w:val="00F46A37"/>
    <w:rsid w:val="00F65AF6"/>
    <w:rsid w:val="00F72769"/>
    <w:rsid w:val="00F771C0"/>
    <w:rsid w:val="00F83C41"/>
    <w:rsid w:val="00F90EA9"/>
    <w:rsid w:val="00F91BA6"/>
    <w:rsid w:val="00F95EDD"/>
    <w:rsid w:val="00FA0542"/>
    <w:rsid w:val="00FA2D37"/>
    <w:rsid w:val="00FB21C5"/>
    <w:rsid w:val="00FC0BA7"/>
    <w:rsid w:val="00FD2F20"/>
    <w:rsid w:val="00FF0A37"/>
    <w:rsid w:val="497F60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1"/>
    <w:autoRedefine/>
    <w:qFormat/>
    <w:uiPriority w:val="9"/>
    <w:pPr>
      <w:keepNext/>
      <w:numPr>
        <w:ilvl w:val="0"/>
        <w:numId w:val="1"/>
      </w:numPr>
      <w:topLinePunct/>
      <w:autoSpaceDE/>
      <w:autoSpaceDN/>
      <w:jc w:val="both"/>
      <w:outlineLvl w:val="0"/>
    </w:pPr>
    <w:rPr>
      <w:rFonts w:eastAsia="宋体"/>
      <w:b/>
      <w:bCs/>
      <w:kern w:val="44"/>
      <w:sz w:val="32"/>
      <w:szCs w:val="32"/>
    </w:rPr>
  </w:style>
  <w:style w:type="paragraph" w:styleId="3">
    <w:name w:val="heading 2"/>
    <w:basedOn w:val="1"/>
    <w:next w:val="1"/>
    <w:link w:val="22"/>
    <w:unhideWhenUsed/>
    <w:qFormat/>
    <w:uiPriority w:val="9"/>
    <w:pPr>
      <w:topLinePunct/>
      <w:autoSpaceDE/>
      <w:autoSpaceDN/>
      <w:spacing w:before="10" w:beforeLines="10" w:line="300" w:lineRule="auto"/>
      <w:ind w:hanging="300" w:hangingChars="300"/>
      <w:jc w:val="both"/>
      <w:outlineLvl w:val="1"/>
    </w:pPr>
    <w:rPr>
      <w:rFonts w:eastAsia="宋体" w:cstheme="majorBidi"/>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left" w:pos="1134"/>
        <w:tab w:val="right" w:leader="dot" w:pos="9347"/>
      </w:tabs>
      <w:topLinePunct/>
      <w:autoSpaceDE/>
      <w:autoSpaceDN/>
      <w:ind w:left="720" w:hanging="720" w:hangingChars="300"/>
      <w:jc w:val="both"/>
    </w:pPr>
    <w:rPr>
      <w:rFonts w:eastAsia="宋体"/>
      <w:sz w:val="24"/>
    </w:rPr>
  </w:style>
  <w:style w:type="paragraph" w:styleId="9">
    <w:name w:val="footnote text"/>
    <w:basedOn w:val="1"/>
    <w:link w:val="26"/>
    <w:semiHidden/>
    <w:unhideWhenUsed/>
    <w:qFormat/>
    <w:uiPriority w:val="99"/>
    <w:pPr>
      <w:snapToGrid w:val="0"/>
    </w:pPr>
    <w:rPr>
      <w:sz w:val="18"/>
      <w:szCs w:val="18"/>
    </w:rPr>
  </w:style>
  <w:style w:type="paragraph" w:styleId="10">
    <w:name w:val="toc 2"/>
    <w:basedOn w:val="1"/>
    <w:next w:val="1"/>
    <w:autoRedefine/>
    <w:unhideWhenUsed/>
    <w:qFormat/>
    <w:uiPriority w:val="39"/>
    <w:pPr>
      <w:tabs>
        <w:tab w:val="left" w:pos="1276"/>
        <w:tab w:val="right" w:leader="dot" w:pos="9347"/>
      </w:tabs>
      <w:adjustRightInd/>
      <w:ind w:left="1276" w:leftChars="355" w:hanging="566" w:hangingChars="236"/>
      <w:jc w:val="distribute"/>
    </w:pPr>
    <w:rPr>
      <w:rFonts w:eastAsia="宋体"/>
      <w:sz w:val="24"/>
    </w:rPr>
  </w:style>
  <w:style w:type="paragraph" w:styleId="11">
    <w:name w:val="annotation subject"/>
    <w:basedOn w:val="4"/>
    <w:next w:val="4"/>
    <w:link w:val="25"/>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styleId="17">
    <w:name w:val="footnote reference"/>
    <w:basedOn w:val="14"/>
    <w:semiHidden/>
    <w:unhideWhenUsed/>
    <w:qFormat/>
    <w:uiPriority w:val="99"/>
    <w:rPr>
      <w:vertAlign w:val="superscript"/>
    </w:rPr>
  </w:style>
  <w:style w:type="character" w:customStyle="1" w:styleId="18">
    <w:name w:val="页眉 Char"/>
    <w:basedOn w:val="14"/>
    <w:link w:val="7"/>
    <w:qFormat/>
    <w:uiPriority w:val="99"/>
    <w:rPr>
      <w:rFonts w:ascii="Times New Roman" w:hAnsi="Times New Roman" w:cs="Times New Roman"/>
      <w:kern w:val="0"/>
      <w:sz w:val="18"/>
      <w:szCs w:val="18"/>
    </w:rPr>
  </w:style>
  <w:style w:type="character" w:customStyle="1" w:styleId="19">
    <w:name w:val="页脚 Char"/>
    <w:basedOn w:val="14"/>
    <w:link w:val="6"/>
    <w:qFormat/>
    <w:uiPriority w:val="99"/>
    <w:rPr>
      <w:rFonts w:ascii="Times New Roman" w:hAnsi="Times New Roman" w:cs="Times New Roman"/>
      <w:kern w:val="0"/>
      <w:sz w:val="18"/>
      <w:szCs w:val="18"/>
    </w:rPr>
  </w:style>
  <w:style w:type="character" w:customStyle="1" w:styleId="20">
    <w:name w:val="批注框文本 Char"/>
    <w:basedOn w:val="14"/>
    <w:link w:val="5"/>
    <w:semiHidden/>
    <w:qFormat/>
    <w:uiPriority w:val="99"/>
    <w:rPr>
      <w:rFonts w:ascii="Times New Roman" w:hAnsi="Times New Roman" w:cs="Times New Roman"/>
      <w:kern w:val="0"/>
      <w:sz w:val="18"/>
      <w:szCs w:val="18"/>
    </w:rPr>
  </w:style>
  <w:style w:type="character" w:customStyle="1" w:styleId="21">
    <w:name w:val="标题 1 Char"/>
    <w:basedOn w:val="14"/>
    <w:link w:val="2"/>
    <w:qFormat/>
    <w:uiPriority w:val="9"/>
    <w:rPr>
      <w:rFonts w:ascii="Times New Roman" w:hAnsi="Times New Roman" w:eastAsia="宋体" w:cs="Times New Roman"/>
      <w:b/>
      <w:bCs/>
      <w:kern w:val="44"/>
      <w:sz w:val="32"/>
      <w:szCs w:val="32"/>
    </w:rPr>
  </w:style>
  <w:style w:type="character" w:customStyle="1" w:styleId="22">
    <w:name w:val="标题 2 Char"/>
    <w:basedOn w:val="14"/>
    <w:link w:val="3"/>
    <w:qFormat/>
    <w:uiPriority w:val="9"/>
    <w:rPr>
      <w:rFonts w:ascii="Times New Roman" w:hAnsi="Times New Roman" w:eastAsia="宋体" w:cstheme="majorBidi"/>
      <w:b/>
      <w:bCs/>
      <w:kern w:val="0"/>
      <w:sz w:val="28"/>
      <w:szCs w:val="32"/>
    </w:rPr>
  </w:style>
  <w:style w:type="paragraph" w:styleId="23">
    <w:name w:val="List Paragraph"/>
    <w:basedOn w:val="1"/>
    <w:qFormat/>
    <w:uiPriority w:val="34"/>
    <w:pPr>
      <w:ind w:firstLine="420" w:firstLineChars="200"/>
    </w:pPr>
  </w:style>
  <w:style w:type="character" w:customStyle="1" w:styleId="24">
    <w:name w:val="批注文字 Char"/>
    <w:basedOn w:val="14"/>
    <w:link w:val="4"/>
    <w:semiHidden/>
    <w:qFormat/>
    <w:uiPriority w:val="99"/>
    <w:rPr>
      <w:rFonts w:ascii="Times New Roman" w:hAnsi="Times New Roman" w:cs="Times New Roman"/>
      <w:kern w:val="0"/>
      <w:sz w:val="20"/>
      <w:szCs w:val="20"/>
    </w:rPr>
  </w:style>
  <w:style w:type="character" w:customStyle="1" w:styleId="25">
    <w:name w:val="批注主题 Char"/>
    <w:basedOn w:val="24"/>
    <w:link w:val="11"/>
    <w:semiHidden/>
    <w:qFormat/>
    <w:uiPriority w:val="99"/>
    <w:rPr>
      <w:rFonts w:ascii="Times New Roman" w:hAnsi="Times New Roman" w:cs="Times New Roman"/>
      <w:b/>
      <w:bCs/>
      <w:kern w:val="0"/>
      <w:sz w:val="20"/>
      <w:szCs w:val="20"/>
    </w:rPr>
  </w:style>
  <w:style w:type="character" w:customStyle="1" w:styleId="26">
    <w:name w:val="脚注文本 Char"/>
    <w:basedOn w:val="14"/>
    <w:link w:val="9"/>
    <w:semiHidden/>
    <w:qFormat/>
    <w:uiPriority w:val="99"/>
    <w:rPr>
      <w:rFonts w:ascii="Times New Roman" w:hAnsi="Times New Roman" w:cs="Times New Roman"/>
      <w:kern w:val="0"/>
      <w:sz w:val="18"/>
      <w:szCs w:val="18"/>
    </w:rPr>
  </w:style>
  <w:style w:type="paragraph" w:customStyle="1" w:styleId="27">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4F79-C370-486E-A8BC-F0E6505EC8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4186</Words>
  <Characters>5556</Characters>
  <Lines>90</Lines>
  <Paragraphs>25</Paragraphs>
  <TotalTime>13</TotalTime>
  <ScaleCrop>false</ScaleCrop>
  <LinksUpToDate>false</LinksUpToDate>
  <CharactersWithSpaces>5778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2022-03-11T06:25:00Z</dcterms:created>
  <dc:creator>Administrator</dc:creator>
  <cp:lastModifiedBy>太极箫客</cp:lastModifiedBy>
  <dcterms:modified xsi:type="dcterms:W3CDTF">2025-08-14T06:37:01Z</dcterms:modified>
  <dc:title>Medical X-Ray Imaging Devices Conformance with IEC Standards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0ABD8D68933144CE8E777E3086FD8DE5_12</vt:lpwstr>
  </property>
</Properties>
</file>