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DC53">
      <w:pPr>
        <w:spacing w:line="600" w:lineRule="exact"/>
        <w:rPr>
          <w:rFonts w:eastAsia="黑体"/>
          <w:sz w:val="32"/>
          <w:szCs w:val="32"/>
        </w:rPr>
      </w:pPr>
      <w:bookmarkStart w:id="5" w:name="_GoBack"/>
      <w:bookmarkEnd w:id="5"/>
      <w:r>
        <w:rPr>
          <w:rFonts w:eastAsia="黑体"/>
          <w:sz w:val="32"/>
          <w:szCs w:val="32"/>
        </w:rPr>
        <w:t>附件12</w:t>
      </w:r>
    </w:p>
    <w:p w14:paraId="5C4F809B">
      <w:pPr>
        <w:spacing w:line="600" w:lineRule="exact"/>
        <w:rPr>
          <w:rFonts w:eastAsia="黑体"/>
          <w:sz w:val="32"/>
          <w:szCs w:val="32"/>
        </w:rPr>
      </w:pPr>
    </w:p>
    <w:p w14:paraId="7B0079A1">
      <w:pPr>
        <w:spacing w:line="600" w:lineRule="exact"/>
        <w:jc w:val="center"/>
        <w:rPr>
          <w:rFonts w:eastAsia="方正小标宋简体"/>
          <w:sz w:val="44"/>
          <w:szCs w:val="44"/>
        </w:rPr>
      </w:pPr>
      <w:r>
        <w:rPr>
          <w:rFonts w:eastAsia="方正小标宋简体"/>
          <w:sz w:val="44"/>
          <w:szCs w:val="44"/>
        </w:rPr>
        <w:t>医用空气压缩机组注册审查指导原则</w:t>
      </w:r>
    </w:p>
    <w:p w14:paraId="3624A076">
      <w:pPr>
        <w:spacing w:line="600" w:lineRule="exact"/>
        <w:jc w:val="center"/>
        <w:rPr>
          <w:rFonts w:eastAsia="方正小标宋简体"/>
          <w:sz w:val="28"/>
          <w:szCs w:val="28"/>
        </w:rPr>
      </w:pPr>
    </w:p>
    <w:p w14:paraId="79FFAA46">
      <w:pPr>
        <w:spacing w:line="560" w:lineRule="exact"/>
        <w:ind w:firstLine="640" w:firstLineChars="200"/>
        <w:rPr>
          <w:rFonts w:eastAsia="仿宋_GB2312"/>
          <w:sz w:val="32"/>
          <w:szCs w:val="32"/>
        </w:rPr>
      </w:pPr>
      <w:bookmarkStart w:id="0" w:name="_Toc306265284"/>
      <w:r>
        <w:rPr>
          <w:rFonts w:eastAsia="仿宋_GB2312"/>
          <w:sz w:val="32"/>
          <w:szCs w:val="32"/>
        </w:rPr>
        <w:t>本指导原则旨在指导注册申请人对医用空气压缩机组注册申报资料的准备及撰写，同时也为技术审评部门审评注册申报资料提供参考。</w:t>
      </w:r>
    </w:p>
    <w:p w14:paraId="758D60C7">
      <w:pPr>
        <w:spacing w:line="560" w:lineRule="exact"/>
        <w:ind w:firstLine="640" w:firstLineChars="200"/>
        <w:rPr>
          <w:rFonts w:eastAsia="仿宋_GB2312"/>
          <w:sz w:val="32"/>
          <w:szCs w:val="32"/>
        </w:rPr>
      </w:pPr>
      <w:r>
        <w:rPr>
          <w:rFonts w:eastAsia="仿宋_GB2312"/>
          <w:sz w:val="32"/>
          <w:szCs w:val="32"/>
        </w:rPr>
        <w:t>本指导原则是对医用空气压缩机组的一般要求，申请人应依据具体产品的特性确定其中内容是否适用。</w:t>
      </w:r>
      <w:r>
        <w:rPr>
          <w:rFonts w:eastAsia="仿宋_GB2312"/>
          <w:color w:val="000000"/>
          <w:sz w:val="32"/>
          <w:szCs w:val="32"/>
        </w:rPr>
        <w:t>若不适用，需具体阐述理由及相应的科学依据，并依据产品的具体特性对注册申报资料的内容进行充实和细化</w:t>
      </w:r>
      <w:r>
        <w:rPr>
          <w:rFonts w:eastAsia="仿宋_GB2312"/>
          <w:sz w:val="32"/>
          <w:szCs w:val="32"/>
        </w:rPr>
        <w:t>。</w:t>
      </w:r>
    </w:p>
    <w:p w14:paraId="0496B763">
      <w:pPr>
        <w:spacing w:line="56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21BF56BC">
      <w:pPr>
        <w:spacing w:line="560" w:lineRule="exact"/>
        <w:ind w:firstLine="640" w:firstLineChars="200"/>
        <w:rPr>
          <w:rFonts w:eastAsia="仿宋_GB2312"/>
          <w:sz w:val="32"/>
          <w:szCs w:val="32"/>
        </w:rPr>
      </w:pPr>
      <w:r>
        <w:rPr>
          <w:rFonts w:eastAsia="仿宋_GB2312"/>
          <w:color w:val="000000"/>
          <w:sz w:val="32"/>
          <w:szCs w:val="32"/>
        </w:rPr>
        <w:t>本指导原则是在现行法规和标准体系以及当前认知水平下制定，随着法规和标准的不断完善，以及科学技术的不断发展，相关内容也将适时进行调整</w:t>
      </w:r>
      <w:r>
        <w:rPr>
          <w:rFonts w:eastAsia="仿宋_GB2312"/>
          <w:sz w:val="32"/>
          <w:szCs w:val="32"/>
        </w:rPr>
        <w:t>。</w:t>
      </w:r>
    </w:p>
    <w:bookmarkEnd w:id="0"/>
    <w:p w14:paraId="4755E980">
      <w:pPr>
        <w:spacing w:line="520" w:lineRule="exact"/>
        <w:ind w:firstLine="640" w:firstLineChars="200"/>
        <w:outlineLvl w:val="0"/>
        <w:rPr>
          <w:rFonts w:eastAsia="黑体"/>
          <w:bCs/>
          <w:sz w:val="32"/>
          <w:szCs w:val="32"/>
        </w:rPr>
      </w:pPr>
      <w:r>
        <w:rPr>
          <w:rFonts w:eastAsia="黑体"/>
          <w:bCs/>
          <w:sz w:val="32"/>
          <w:szCs w:val="32"/>
        </w:rPr>
        <w:t>一、适用范围</w:t>
      </w:r>
    </w:p>
    <w:p w14:paraId="4CC894E7">
      <w:pPr>
        <w:spacing w:line="520" w:lineRule="exact"/>
        <w:ind w:firstLine="640" w:firstLineChars="200"/>
        <w:outlineLvl w:val="0"/>
        <w:rPr>
          <w:rFonts w:eastAsia="黑体"/>
          <w:bCs/>
          <w:sz w:val="32"/>
          <w:szCs w:val="32"/>
        </w:rPr>
      </w:pPr>
      <w:r>
        <w:rPr>
          <w:rFonts w:eastAsia="仿宋_GB2312"/>
          <w:sz w:val="32"/>
          <w:szCs w:val="32"/>
        </w:rPr>
        <w:t>本指导原则适用于制取医用压缩空气，为医疗机构的集中供气系</w:t>
      </w:r>
      <w:r>
        <w:rPr>
          <w:rFonts w:eastAsia="仿宋"/>
          <w:sz w:val="32"/>
          <w:szCs w:val="32"/>
        </w:rPr>
        <w:t>统提供压缩空气源的医用空气压缩机组。在《医疗器械</w:t>
      </w:r>
    </w:p>
    <w:p w14:paraId="50624001">
      <w:pPr>
        <w:spacing w:line="520" w:lineRule="exact"/>
        <w:outlineLvl w:val="0"/>
        <w:rPr>
          <w:rFonts w:eastAsia="黑体"/>
          <w:bCs/>
          <w:sz w:val="32"/>
          <w:szCs w:val="32"/>
        </w:rPr>
      </w:pPr>
      <w:r>
        <w:rPr>
          <w:rFonts w:eastAsia="仿宋"/>
          <w:sz w:val="32"/>
          <w:szCs w:val="32"/>
        </w:rPr>
        <w:t>分类目录》的分类编码为08-07-01。</w:t>
      </w:r>
    </w:p>
    <w:p w14:paraId="5A062FF7">
      <w:pPr>
        <w:spacing w:line="520" w:lineRule="exact"/>
        <w:ind w:firstLine="640" w:firstLineChars="200"/>
        <w:rPr>
          <w:rFonts w:eastAsia="仿宋_GB2312"/>
          <w:sz w:val="32"/>
          <w:szCs w:val="32"/>
        </w:rPr>
      </w:pPr>
      <w:r>
        <w:rPr>
          <w:rFonts w:eastAsia="仿宋_GB2312"/>
          <w:sz w:val="32"/>
          <w:szCs w:val="32"/>
        </w:rPr>
        <w:t>本指导原则不适用于预期用于驱动手术器械的空气压缩机，以及配套麻醉机/呼吸机使用的小型空气压缩机。</w:t>
      </w:r>
    </w:p>
    <w:p w14:paraId="30882A5C">
      <w:pPr>
        <w:spacing w:line="520" w:lineRule="exact"/>
        <w:ind w:firstLine="640" w:firstLineChars="200"/>
        <w:outlineLvl w:val="0"/>
        <w:rPr>
          <w:rFonts w:eastAsia="黑体"/>
          <w:bCs/>
          <w:sz w:val="32"/>
          <w:szCs w:val="32"/>
        </w:rPr>
      </w:pPr>
      <w:r>
        <w:rPr>
          <w:rFonts w:eastAsia="黑体"/>
          <w:bCs/>
          <w:sz w:val="32"/>
          <w:szCs w:val="32"/>
        </w:rPr>
        <w:t>二、注册审查要点</w:t>
      </w:r>
    </w:p>
    <w:p w14:paraId="5AFE2224">
      <w:pPr>
        <w:spacing w:line="520" w:lineRule="exact"/>
        <w:ind w:firstLine="640" w:firstLineChars="200"/>
        <w:outlineLvl w:val="1"/>
        <w:rPr>
          <w:rFonts w:eastAsia="楷体_GB2312"/>
          <w:bCs/>
          <w:iCs/>
          <w:kern w:val="2"/>
          <w:sz w:val="32"/>
          <w:szCs w:val="28"/>
        </w:rPr>
      </w:pPr>
      <w:r>
        <w:rPr>
          <w:rFonts w:eastAsia="楷体_GB2312"/>
          <w:bCs/>
          <w:iCs/>
          <w:kern w:val="2"/>
          <w:sz w:val="32"/>
          <w:szCs w:val="28"/>
        </w:rPr>
        <w:t>（一）监管信息</w:t>
      </w:r>
    </w:p>
    <w:p w14:paraId="25969705">
      <w:pPr>
        <w:spacing w:line="520" w:lineRule="exact"/>
        <w:ind w:firstLine="640" w:firstLineChars="200"/>
        <w:jc w:val="both"/>
        <w:outlineLvl w:val="1"/>
        <w:rPr>
          <w:rFonts w:eastAsia="仿宋"/>
          <w:kern w:val="2"/>
          <w:sz w:val="32"/>
          <w:szCs w:val="32"/>
        </w:rPr>
      </w:pPr>
      <w:r>
        <w:rPr>
          <w:rFonts w:eastAsia="仿宋"/>
          <w:kern w:val="2"/>
          <w:sz w:val="32"/>
          <w:szCs w:val="32"/>
        </w:rPr>
        <w:t>1.产品名称要求</w:t>
      </w:r>
    </w:p>
    <w:p w14:paraId="3A388800">
      <w:pPr>
        <w:spacing w:line="520" w:lineRule="exact"/>
        <w:ind w:firstLine="640" w:firstLineChars="200"/>
        <w:rPr>
          <w:rFonts w:eastAsia="楷体_GB2312"/>
          <w:bCs/>
          <w:iCs/>
          <w:kern w:val="2"/>
          <w:sz w:val="32"/>
          <w:szCs w:val="28"/>
        </w:rPr>
      </w:pPr>
      <w:r>
        <w:rPr>
          <w:rFonts w:eastAsia="仿宋"/>
          <w:sz w:val="32"/>
          <w:szCs w:val="32"/>
        </w:rPr>
        <w:t>产品的命名应符合《医疗器械通用名称命名规则》的要求，可根据《呼吸、麻醉和急救器械通用名称命名指导原则》，结合产品组成结构及要求，确定产品名称，如医用空气压缩机组。</w:t>
      </w:r>
    </w:p>
    <w:p w14:paraId="448B7453">
      <w:pPr>
        <w:spacing w:line="520" w:lineRule="exact"/>
        <w:ind w:firstLine="640" w:firstLineChars="200"/>
        <w:outlineLvl w:val="1"/>
        <w:rPr>
          <w:rFonts w:eastAsia="仿宋_GB2312"/>
          <w:sz w:val="32"/>
          <w:szCs w:val="32"/>
        </w:rPr>
      </w:pPr>
      <w:r>
        <w:rPr>
          <w:rFonts w:eastAsia="仿宋_GB2312"/>
          <w:sz w:val="32"/>
          <w:szCs w:val="32"/>
        </w:rPr>
        <w:t>2.注册单元划分的原则和实例</w:t>
      </w:r>
    </w:p>
    <w:p w14:paraId="5769D4CD">
      <w:pPr>
        <w:spacing w:line="520" w:lineRule="exact"/>
        <w:ind w:firstLine="640" w:firstLineChars="200"/>
        <w:rPr>
          <w:rFonts w:eastAsia="仿宋_GB2312"/>
          <w:sz w:val="32"/>
          <w:szCs w:val="32"/>
        </w:rPr>
      </w:pPr>
      <w:r>
        <w:rPr>
          <w:rFonts w:eastAsia="仿宋_GB2312"/>
          <w:sz w:val="32"/>
          <w:szCs w:val="32"/>
        </w:rPr>
        <w:t>医用空气压缩机组的注册单元原则上以技术原理、结构组成、性能指标、适用范围为划分注册单元的依据</w:t>
      </w:r>
      <w:r>
        <w:rPr>
          <w:rFonts w:eastAsia="仿宋_GB2312"/>
          <w:kern w:val="2"/>
          <w:sz w:val="32"/>
          <w:szCs w:val="32"/>
        </w:rPr>
        <w:t>，并建议结合以下方面进行考虑。</w:t>
      </w:r>
    </w:p>
    <w:p w14:paraId="10A7D345">
      <w:pPr>
        <w:widowControl w:val="0"/>
        <w:spacing w:line="520" w:lineRule="exact"/>
        <w:ind w:firstLine="640" w:firstLineChars="200"/>
        <w:jc w:val="both"/>
        <w:rPr>
          <w:rFonts w:eastAsia="仿宋_GB2312"/>
          <w:kern w:val="2"/>
          <w:sz w:val="32"/>
          <w:szCs w:val="32"/>
        </w:rPr>
      </w:pPr>
      <w:r>
        <w:rPr>
          <w:rFonts w:eastAsia="仿宋"/>
          <w:kern w:val="2"/>
          <w:sz w:val="32"/>
          <w:szCs w:val="32"/>
        </w:rPr>
        <w:t>（1）</w:t>
      </w:r>
      <w:r>
        <w:rPr>
          <w:rFonts w:eastAsia="仿宋_GB2312"/>
          <w:kern w:val="2"/>
          <w:sz w:val="32"/>
          <w:szCs w:val="32"/>
        </w:rPr>
        <w:t>压缩腔室有油润滑和压缩腔室无油润滑的压缩机应划分为不同注册单元。</w:t>
      </w:r>
    </w:p>
    <w:p w14:paraId="5BC97457">
      <w:pPr>
        <w:widowControl w:val="0"/>
        <w:spacing w:line="520" w:lineRule="exact"/>
        <w:ind w:firstLine="640" w:firstLineChars="200"/>
        <w:jc w:val="both"/>
        <w:rPr>
          <w:rFonts w:eastAsia="仿宋_GB2312"/>
          <w:kern w:val="2"/>
          <w:sz w:val="32"/>
          <w:szCs w:val="32"/>
        </w:rPr>
      </w:pPr>
      <w:r>
        <w:rPr>
          <w:rFonts w:eastAsia="仿宋"/>
          <w:kern w:val="2"/>
          <w:sz w:val="32"/>
          <w:szCs w:val="32"/>
        </w:rPr>
        <w:t>（2）</w:t>
      </w:r>
      <w:r>
        <w:rPr>
          <w:rFonts w:eastAsia="仿宋_GB2312"/>
          <w:kern w:val="2"/>
          <w:sz w:val="32"/>
          <w:szCs w:val="32"/>
        </w:rPr>
        <w:t>不同压缩工作结构的压缩机，应划分为不同注册单元，如螺杆式、涡旋式、活塞式。</w:t>
      </w:r>
    </w:p>
    <w:p w14:paraId="5EA6D861">
      <w:pPr>
        <w:spacing w:line="520" w:lineRule="exact"/>
        <w:ind w:firstLine="640" w:firstLineChars="200"/>
        <w:jc w:val="both"/>
        <w:outlineLvl w:val="1"/>
        <w:rPr>
          <w:rFonts w:eastAsia="楷体_GB2312"/>
          <w:bCs/>
          <w:iCs/>
          <w:kern w:val="2"/>
          <w:sz w:val="32"/>
          <w:szCs w:val="28"/>
        </w:rPr>
      </w:pPr>
      <w:r>
        <w:rPr>
          <w:rFonts w:eastAsia="楷体_GB2312"/>
          <w:bCs/>
          <w:iCs/>
          <w:kern w:val="2"/>
          <w:sz w:val="32"/>
          <w:szCs w:val="28"/>
        </w:rPr>
        <w:t>（二）综述资料</w:t>
      </w:r>
    </w:p>
    <w:p w14:paraId="1AA82DA1">
      <w:pPr>
        <w:spacing w:line="520" w:lineRule="exact"/>
        <w:ind w:firstLine="640" w:firstLineChars="200"/>
        <w:outlineLvl w:val="1"/>
        <w:rPr>
          <w:rFonts w:eastAsia="仿宋"/>
          <w:sz w:val="32"/>
          <w:szCs w:val="32"/>
        </w:rPr>
      </w:pPr>
      <w:r>
        <w:rPr>
          <w:rFonts w:eastAsia="仿宋"/>
          <w:sz w:val="32"/>
          <w:szCs w:val="32"/>
        </w:rPr>
        <w:t xml:space="preserve">1.产品的结构和组成 </w:t>
      </w:r>
    </w:p>
    <w:p w14:paraId="3050C10A">
      <w:pPr>
        <w:spacing w:line="520" w:lineRule="exact"/>
        <w:ind w:firstLine="640" w:firstLineChars="200"/>
        <w:jc w:val="both"/>
        <w:rPr>
          <w:rFonts w:eastAsia="仿宋"/>
          <w:sz w:val="32"/>
          <w:szCs w:val="32"/>
        </w:rPr>
      </w:pPr>
      <w:r>
        <w:rPr>
          <w:rFonts w:eastAsia="仿宋"/>
          <w:sz w:val="32"/>
          <w:szCs w:val="32"/>
        </w:rPr>
        <w:t>（1）产品组成</w:t>
      </w:r>
    </w:p>
    <w:p w14:paraId="0FF5AE43">
      <w:pPr>
        <w:spacing w:line="520" w:lineRule="exact"/>
        <w:ind w:firstLine="640" w:firstLineChars="200"/>
        <w:jc w:val="both"/>
        <w:rPr>
          <w:rStyle w:val="41"/>
          <w:rFonts w:eastAsia="仿宋_GB2312"/>
          <w:sz w:val="32"/>
          <w:szCs w:val="32"/>
        </w:rPr>
      </w:pPr>
      <w:r>
        <w:rPr>
          <w:rStyle w:val="41"/>
          <w:rFonts w:eastAsia="仿宋_GB2312"/>
          <w:sz w:val="32"/>
          <w:szCs w:val="32"/>
        </w:rPr>
        <w:t>医用空气压缩机组一般由空气压缩机、电控柜、后冷却器、储气罐、空气过滤器、空气干燥器、连接管道、阀门、减压装置、仪表、露点和一氧化碳检测装置组成。</w:t>
      </w:r>
    </w:p>
    <w:p w14:paraId="297BB71C">
      <w:pPr>
        <w:spacing w:line="520" w:lineRule="exact"/>
        <w:ind w:firstLine="640" w:firstLineChars="200"/>
        <w:rPr>
          <w:rStyle w:val="41"/>
          <w:rFonts w:eastAsia="仿宋_GB2312"/>
          <w:sz w:val="32"/>
          <w:szCs w:val="32"/>
        </w:rPr>
      </w:pPr>
      <w:r>
        <w:rPr>
          <w:rStyle w:val="41"/>
          <w:rFonts w:eastAsia="仿宋_GB2312"/>
          <w:sz w:val="32"/>
          <w:szCs w:val="32"/>
        </w:rPr>
        <w:t>空气压缩机是压缩空气的气压发生装置。</w:t>
      </w:r>
    </w:p>
    <w:p w14:paraId="3391E85E">
      <w:pPr>
        <w:spacing w:line="520" w:lineRule="exact"/>
        <w:ind w:firstLine="640" w:firstLineChars="200"/>
        <w:rPr>
          <w:rStyle w:val="41"/>
          <w:rFonts w:eastAsia="仿宋_GB2312"/>
          <w:sz w:val="32"/>
          <w:szCs w:val="32"/>
        </w:rPr>
      </w:pPr>
      <w:r>
        <w:rPr>
          <w:rStyle w:val="41"/>
          <w:rFonts w:eastAsia="仿宋_GB2312"/>
          <w:sz w:val="32"/>
          <w:szCs w:val="32"/>
        </w:rPr>
        <w:t>后冷却器一般装于压缩机与储气罐之间，用于冷却压缩机出来的高温空气，析出水分。</w:t>
      </w:r>
    </w:p>
    <w:p w14:paraId="59C93E69">
      <w:pPr>
        <w:spacing w:line="520" w:lineRule="exact"/>
        <w:ind w:firstLine="640" w:firstLineChars="200"/>
        <w:rPr>
          <w:rStyle w:val="41"/>
          <w:rFonts w:eastAsia="仿宋_GB2312"/>
          <w:sz w:val="32"/>
          <w:szCs w:val="32"/>
        </w:rPr>
      </w:pPr>
      <w:r>
        <w:rPr>
          <w:rStyle w:val="41"/>
          <w:rFonts w:eastAsia="仿宋_GB2312"/>
          <w:sz w:val="32"/>
          <w:szCs w:val="32"/>
        </w:rPr>
        <w:t>储气罐用于压缩空气的储存、缓冲、排污。</w:t>
      </w:r>
    </w:p>
    <w:p w14:paraId="7BA38BDC">
      <w:pPr>
        <w:spacing w:line="520" w:lineRule="exact"/>
        <w:ind w:firstLine="640" w:firstLineChars="200"/>
        <w:rPr>
          <w:rStyle w:val="41"/>
          <w:rFonts w:eastAsia="仿宋_GB2312"/>
          <w:sz w:val="32"/>
          <w:szCs w:val="32"/>
        </w:rPr>
      </w:pPr>
      <w:r>
        <w:rPr>
          <w:rStyle w:val="41"/>
          <w:rFonts w:eastAsia="仿宋_GB2312"/>
          <w:sz w:val="32"/>
          <w:szCs w:val="32"/>
        </w:rPr>
        <w:t>空气过滤器通常包含多级压缩空气过滤器，用于分离压缩空气中的固体颗粒物、水分、油分以及气态物质（如CO，CO</w:t>
      </w:r>
      <w:r>
        <w:rPr>
          <w:rStyle w:val="41"/>
          <w:rFonts w:eastAsia="仿宋_GB2312"/>
          <w:sz w:val="32"/>
          <w:szCs w:val="32"/>
          <w:vertAlign w:val="subscript"/>
        </w:rPr>
        <w:t>2</w:t>
      </w:r>
      <w:r>
        <w:rPr>
          <w:rStyle w:val="41"/>
          <w:rFonts w:eastAsia="仿宋_GB2312"/>
          <w:sz w:val="32"/>
          <w:szCs w:val="32"/>
        </w:rPr>
        <w:t>、SO</w:t>
      </w:r>
      <w:r>
        <w:rPr>
          <w:rStyle w:val="41"/>
          <w:rFonts w:eastAsia="仿宋_GB2312"/>
          <w:sz w:val="32"/>
          <w:szCs w:val="32"/>
          <w:vertAlign w:val="subscript"/>
        </w:rPr>
        <w:t>2</w:t>
      </w:r>
      <w:r>
        <w:rPr>
          <w:rStyle w:val="41"/>
          <w:rFonts w:eastAsia="仿宋_GB2312"/>
          <w:sz w:val="32"/>
          <w:szCs w:val="32"/>
        </w:rPr>
        <w:t>、NO、NO</w:t>
      </w:r>
      <w:r>
        <w:rPr>
          <w:rStyle w:val="41"/>
          <w:rFonts w:eastAsia="仿宋_GB2312"/>
          <w:sz w:val="32"/>
          <w:szCs w:val="32"/>
          <w:vertAlign w:val="subscript"/>
        </w:rPr>
        <w:t>2</w:t>
      </w:r>
      <w:r>
        <w:rPr>
          <w:rStyle w:val="41"/>
          <w:rFonts w:eastAsia="仿宋_GB2312"/>
          <w:sz w:val="32"/>
          <w:szCs w:val="32"/>
        </w:rPr>
        <w:t>等）和微生物。</w:t>
      </w:r>
    </w:p>
    <w:p w14:paraId="5F01EE6C">
      <w:pPr>
        <w:spacing w:line="520" w:lineRule="exact"/>
        <w:ind w:firstLine="640" w:firstLineChars="200"/>
        <w:rPr>
          <w:rStyle w:val="41"/>
          <w:rFonts w:eastAsia="仿宋_GB2312"/>
          <w:sz w:val="32"/>
          <w:szCs w:val="32"/>
        </w:rPr>
      </w:pPr>
      <w:r>
        <w:rPr>
          <w:rStyle w:val="41"/>
          <w:rFonts w:eastAsia="仿宋_GB2312"/>
          <w:sz w:val="32"/>
          <w:szCs w:val="32"/>
        </w:rPr>
        <w:t>空气干燥器用于减少压缩空气中的水分含量，通常采用吸附式干燥器。</w:t>
      </w:r>
    </w:p>
    <w:p w14:paraId="2F34808A">
      <w:pPr>
        <w:spacing w:line="520" w:lineRule="exact"/>
        <w:ind w:firstLine="640" w:firstLineChars="200"/>
        <w:rPr>
          <w:rFonts w:eastAsia="仿宋_GB2312"/>
          <w:sz w:val="32"/>
          <w:szCs w:val="32"/>
        </w:rPr>
      </w:pPr>
      <w:r>
        <w:rPr>
          <w:rFonts w:eastAsia="仿宋_GB2312"/>
          <w:sz w:val="32"/>
          <w:szCs w:val="32"/>
        </w:rPr>
        <w:t>减压装置一般装于末级压缩空气过滤器之后、集中供气系统管道的进气端前，用于调节输送到供气系统管道的压缩空气压力。</w:t>
      </w:r>
    </w:p>
    <w:p w14:paraId="3960102F">
      <w:pPr>
        <w:spacing w:line="520" w:lineRule="exact"/>
        <w:ind w:firstLine="640" w:firstLineChars="200"/>
        <w:rPr>
          <w:rFonts w:eastAsia="仿宋_GB2312"/>
          <w:sz w:val="32"/>
          <w:szCs w:val="32"/>
        </w:rPr>
      </w:pPr>
      <w:r>
        <w:rPr>
          <w:rFonts w:eastAsia="仿宋_GB2312"/>
          <w:sz w:val="32"/>
          <w:szCs w:val="32"/>
        </w:rPr>
        <w:t>露点检测装置和一氧化碳检测装置用于检测机组供气口的露点（含水量）和一氧化碳含量。</w:t>
      </w:r>
    </w:p>
    <w:p w14:paraId="7440D252">
      <w:pPr>
        <w:spacing w:line="520" w:lineRule="exact"/>
        <w:ind w:left="709"/>
        <w:rPr>
          <w:rFonts w:eastAsia="仿宋_GB2312"/>
          <w:sz w:val="32"/>
          <w:szCs w:val="32"/>
        </w:rPr>
      </w:pPr>
      <w:r>
        <w:drawing>
          <wp:anchor distT="0" distB="0" distL="114300" distR="114300" simplePos="0" relativeHeight="251659264" behindDoc="0" locked="0" layoutInCell="1" allowOverlap="1">
            <wp:simplePos x="0" y="0"/>
            <wp:positionH relativeFrom="column">
              <wp:posOffset>1029335</wp:posOffset>
            </wp:positionH>
            <wp:positionV relativeFrom="paragraph">
              <wp:posOffset>347345</wp:posOffset>
            </wp:positionV>
            <wp:extent cx="3609975" cy="2776855"/>
            <wp:effectExtent l="0" t="0" r="9525"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9975" cy="2776855"/>
                    </a:xfrm>
                    <a:prstGeom prst="rect">
                      <a:avLst/>
                    </a:prstGeom>
                    <a:noFill/>
                    <a:ln w="9525">
                      <a:noFill/>
                    </a:ln>
                  </pic:spPr>
                </pic:pic>
              </a:graphicData>
            </a:graphic>
          </wp:anchor>
        </w:drawing>
      </w:r>
      <w:r>
        <w:rPr>
          <w:rFonts w:eastAsia="仿宋_GB2312"/>
          <w:sz w:val="32"/>
          <w:szCs w:val="32"/>
        </w:rPr>
        <w:t>（2）压缩压缩空气制备流程图</w:t>
      </w:r>
    </w:p>
    <w:p w14:paraId="0B4422FF">
      <w:pPr>
        <w:spacing w:after="312" w:afterLines="100"/>
        <w:ind w:left="420"/>
        <w:jc w:val="center"/>
        <w:rPr>
          <w:rFonts w:eastAsia="黑体"/>
          <w:bCs/>
          <w:sz w:val="28"/>
          <w:szCs w:val="28"/>
        </w:rPr>
      </w:pPr>
      <w:r>
        <w:rPr>
          <w:rFonts w:eastAsia="黑体"/>
          <w:bCs/>
          <w:sz w:val="28"/>
          <w:szCs w:val="28"/>
        </w:rPr>
        <w:t>图1医用压缩空气制备流程图</w:t>
      </w:r>
    </w:p>
    <w:p w14:paraId="5156B3DE">
      <w:pPr>
        <w:spacing w:line="520" w:lineRule="exact"/>
        <w:ind w:firstLine="640" w:firstLineChars="200"/>
        <w:rPr>
          <w:rFonts w:eastAsia="仿宋_GB2312"/>
          <w:sz w:val="32"/>
          <w:szCs w:val="32"/>
        </w:rPr>
      </w:pPr>
      <w:r>
        <w:rPr>
          <w:rFonts w:eastAsia="仿宋_GB2312"/>
          <w:sz w:val="32"/>
          <w:szCs w:val="32"/>
        </w:rPr>
        <w:t>注：上述示意图仅供参考，具体产品结构组成和各组件配置情况应根据实际产品确定。</w:t>
      </w:r>
    </w:p>
    <w:p w14:paraId="4C8F2872">
      <w:pPr>
        <w:spacing w:line="520" w:lineRule="exact"/>
        <w:ind w:firstLine="640" w:firstLineChars="200"/>
        <w:outlineLvl w:val="1"/>
        <w:rPr>
          <w:rFonts w:eastAsia="仿宋_GB2312"/>
          <w:snapToGrid w:val="0"/>
          <w:sz w:val="32"/>
          <w:szCs w:val="32"/>
        </w:rPr>
      </w:pPr>
      <w:r>
        <w:rPr>
          <w:rFonts w:eastAsia="仿宋_GB2312"/>
          <w:snapToGrid w:val="0"/>
          <w:sz w:val="32"/>
          <w:szCs w:val="32"/>
        </w:rPr>
        <w:t>申请人应结合申报产品实际系统框图和部件图示，详述机组各组件之间的安装顺序、连接关系；同时，描述正常运行时各机组轮流切换运行的控制措施；单一故障下实现机组连续供气的控制方式；对于包含多套机组的产品，结合产品设计控制措施，描述机组在不同运行状态下需要同时运行的机组数量。</w:t>
      </w:r>
    </w:p>
    <w:p w14:paraId="3CEC67C3">
      <w:pPr>
        <w:spacing w:line="520" w:lineRule="exact"/>
        <w:ind w:firstLine="640" w:firstLineChars="200"/>
        <w:outlineLvl w:val="1"/>
        <w:rPr>
          <w:rFonts w:hint="eastAsia" w:eastAsia="仿宋_GB2312"/>
          <w:snapToGrid w:val="0"/>
          <w:sz w:val="32"/>
          <w:szCs w:val="32"/>
        </w:rPr>
      </w:pPr>
      <w:r>
        <w:rPr>
          <w:rFonts w:eastAsia="仿宋_GB2312"/>
          <w:snapToGrid w:val="0"/>
          <w:sz w:val="32"/>
          <w:szCs w:val="32"/>
        </w:rPr>
        <w:t>申请人参照下表，按照各型号产品实际组成情况填下。</w:t>
      </w:r>
    </w:p>
    <w:tbl>
      <w:tblPr>
        <w:tblStyle w:val="1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2370"/>
        <w:gridCol w:w="2174"/>
        <w:gridCol w:w="945"/>
      </w:tblGrid>
      <w:tr w14:paraId="0BF0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10E7EC09">
            <w:pPr>
              <w:jc w:val="center"/>
              <w:rPr>
                <w:rFonts w:eastAsia="仿宋_GB2312"/>
                <w:color w:val="000000"/>
                <w:spacing w:val="-1"/>
                <w:sz w:val="28"/>
                <w:szCs w:val="28"/>
              </w:rPr>
            </w:pPr>
            <w:r>
              <w:rPr>
                <w:rFonts w:eastAsia="仿宋_GB2312"/>
                <w:color w:val="000000"/>
                <w:spacing w:val="-1"/>
                <w:sz w:val="28"/>
                <w:szCs w:val="28"/>
              </w:rPr>
              <w:t>部件名称</w:t>
            </w:r>
          </w:p>
        </w:tc>
        <w:tc>
          <w:tcPr>
            <w:tcW w:w="1704" w:type="dxa"/>
            <w:vAlign w:val="center"/>
          </w:tcPr>
          <w:p w14:paraId="3D288732">
            <w:pPr>
              <w:jc w:val="center"/>
              <w:rPr>
                <w:rFonts w:eastAsia="仿宋_GB2312"/>
                <w:color w:val="000000"/>
                <w:spacing w:val="-1"/>
                <w:sz w:val="28"/>
                <w:szCs w:val="28"/>
              </w:rPr>
            </w:pPr>
            <w:r>
              <w:rPr>
                <w:rFonts w:eastAsia="仿宋_GB2312"/>
                <w:color w:val="000000"/>
                <w:spacing w:val="-1"/>
                <w:sz w:val="28"/>
                <w:szCs w:val="28"/>
              </w:rPr>
              <w:t>部件型号</w:t>
            </w:r>
          </w:p>
        </w:tc>
        <w:tc>
          <w:tcPr>
            <w:tcW w:w="2370" w:type="dxa"/>
            <w:vAlign w:val="center"/>
          </w:tcPr>
          <w:p w14:paraId="470C8971">
            <w:pPr>
              <w:jc w:val="center"/>
              <w:rPr>
                <w:rFonts w:eastAsia="仿宋_GB2312"/>
                <w:color w:val="000000"/>
                <w:spacing w:val="-1"/>
                <w:sz w:val="28"/>
                <w:szCs w:val="28"/>
              </w:rPr>
            </w:pPr>
            <w:r>
              <w:rPr>
                <w:rFonts w:eastAsia="仿宋_GB2312"/>
                <w:color w:val="000000"/>
                <w:spacing w:val="-1"/>
                <w:sz w:val="28"/>
                <w:szCs w:val="28"/>
              </w:rPr>
              <w:t>规格参数</w:t>
            </w:r>
          </w:p>
        </w:tc>
        <w:tc>
          <w:tcPr>
            <w:tcW w:w="2174" w:type="dxa"/>
            <w:vAlign w:val="center"/>
          </w:tcPr>
          <w:p w14:paraId="09BA87AC">
            <w:pPr>
              <w:jc w:val="center"/>
              <w:rPr>
                <w:rFonts w:eastAsia="仿宋_GB2312"/>
                <w:color w:val="000000"/>
                <w:spacing w:val="-1"/>
                <w:sz w:val="28"/>
                <w:szCs w:val="28"/>
              </w:rPr>
            </w:pPr>
            <w:r>
              <w:rPr>
                <w:rFonts w:eastAsia="仿宋_GB2312"/>
                <w:color w:val="000000"/>
                <w:spacing w:val="-1"/>
                <w:sz w:val="28"/>
                <w:szCs w:val="28"/>
              </w:rPr>
              <w:t>制造商</w:t>
            </w:r>
          </w:p>
        </w:tc>
        <w:tc>
          <w:tcPr>
            <w:tcW w:w="945" w:type="dxa"/>
            <w:vAlign w:val="center"/>
          </w:tcPr>
          <w:p w14:paraId="34D643C8">
            <w:pPr>
              <w:jc w:val="center"/>
              <w:rPr>
                <w:rFonts w:eastAsia="仿宋_GB2312"/>
                <w:color w:val="000000"/>
                <w:spacing w:val="-1"/>
                <w:sz w:val="28"/>
                <w:szCs w:val="28"/>
              </w:rPr>
            </w:pPr>
            <w:r>
              <w:rPr>
                <w:rFonts w:eastAsia="仿宋_GB2312"/>
                <w:color w:val="000000"/>
                <w:spacing w:val="-1"/>
                <w:sz w:val="28"/>
                <w:szCs w:val="28"/>
              </w:rPr>
              <w:t>备注</w:t>
            </w:r>
          </w:p>
        </w:tc>
      </w:tr>
      <w:tr w14:paraId="4F39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7D5EB5ED">
            <w:pPr>
              <w:spacing w:line="460" w:lineRule="exact"/>
              <w:jc w:val="center"/>
              <w:rPr>
                <w:rFonts w:eastAsia="仿宋_GB2312"/>
                <w:color w:val="000000"/>
                <w:spacing w:val="-1"/>
                <w:sz w:val="28"/>
                <w:szCs w:val="28"/>
              </w:rPr>
            </w:pPr>
            <w:r>
              <w:rPr>
                <w:rFonts w:eastAsia="仿宋_GB2312"/>
                <w:color w:val="000000"/>
                <w:spacing w:val="-1"/>
                <w:sz w:val="28"/>
                <w:szCs w:val="28"/>
              </w:rPr>
              <w:t>空气压缩机</w:t>
            </w:r>
          </w:p>
        </w:tc>
        <w:tc>
          <w:tcPr>
            <w:tcW w:w="1704" w:type="dxa"/>
            <w:vAlign w:val="center"/>
          </w:tcPr>
          <w:p w14:paraId="68D3CCDB">
            <w:pPr>
              <w:spacing w:line="460" w:lineRule="exact"/>
              <w:jc w:val="center"/>
              <w:rPr>
                <w:rFonts w:eastAsia="仿宋_GB2312"/>
                <w:color w:val="000000"/>
                <w:spacing w:val="-1"/>
                <w:sz w:val="28"/>
                <w:szCs w:val="28"/>
              </w:rPr>
            </w:pPr>
          </w:p>
        </w:tc>
        <w:tc>
          <w:tcPr>
            <w:tcW w:w="2370" w:type="dxa"/>
            <w:vAlign w:val="center"/>
          </w:tcPr>
          <w:p w14:paraId="22E1B670">
            <w:pPr>
              <w:spacing w:line="460" w:lineRule="exact"/>
              <w:jc w:val="center"/>
              <w:rPr>
                <w:rFonts w:eastAsia="仿宋_GB2312"/>
                <w:color w:val="000000"/>
                <w:spacing w:val="-1"/>
                <w:sz w:val="28"/>
                <w:szCs w:val="28"/>
              </w:rPr>
            </w:pPr>
            <w:r>
              <w:rPr>
                <w:rFonts w:eastAsia="仿宋_GB2312"/>
                <w:color w:val="000000"/>
                <w:spacing w:val="-1"/>
                <w:sz w:val="28"/>
                <w:szCs w:val="28"/>
              </w:rPr>
              <w:t>压缩机类型；</w:t>
            </w:r>
          </w:p>
          <w:p w14:paraId="0F14415B">
            <w:pPr>
              <w:spacing w:line="460" w:lineRule="exact"/>
              <w:jc w:val="center"/>
              <w:rPr>
                <w:rFonts w:eastAsia="仿宋_GB2312"/>
                <w:color w:val="000000"/>
                <w:spacing w:val="-1"/>
                <w:sz w:val="28"/>
                <w:szCs w:val="28"/>
              </w:rPr>
            </w:pPr>
            <w:r>
              <w:rPr>
                <w:rFonts w:eastAsia="仿宋_GB2312"/>
                <w:color w:val="000000"/>
                <w:spacing w:val="-1"/>
                <w:sz w:val="28"/>
                <w:szCs w:val="28"/>
              </w:rPr>
              <w:t>压缩腔有油或</w:t>
            </w:r>
          </w:p>
          <w:p w14:paraId="6642AEAF">
            <w:pPr>
              <w:spacing w:line="460" w:lineRule="exact"/>
              <w:jc w:val="center"/>
              <w:rPr>
                <w:rFonts w:eastAsia="仿宋_GB2312"/>
                <w:color w:val="000000"/>
                <w:spacing w:val="-1"/>
                <w:sz w:val="28"/>
                <w:szCs w:val="28"/>
              </w:rPr>
            </w:pPr>
            <w:r>
              <w:rPr>
                <w:rFonts w:eastAsia="仿宋_GB2312"/>
                <w:color w:val="000000"/>
                <w:spacing w:val="-1"/>
                <w:sz w:val="28"/>
                <w:szCs w:val="28"/>
              </w:rPr>
              <w:t>无油润滑；</w:t>
            </w:r>
          </w:p>
          <w:p w14:paraId="1D152C34">
            <w:pPr>
              <w:spacing w:line="460" w:lineRule="exact"/>
              <w:jc w:val="center"/>
              <w:rPr>
                <w:rFonts w:eastAsia="仿宋_GB2312"/>
                <w:color w:val="000000"/>
                <w:spacing w:val="-1"/>
                <w:sz w:val="28"/>
                <w:szCs w:val="28"/>
              </w:rPr>
            </w:pPr>
            <w:r>
              <w:rPr>
                <w:rFonts w:eastAsia="仿宋_GB2312"/>
                <w:color w:val="000000"/>
                <w:spacing w:val="-1"/>
                <w:sz w:val="28"/>
                <w:szCs w:val="28"/>
              </w:rPr>
              <w:t>功率；</w:t>
            </w:r>
          </w:p>
          <w:p w14:paraId="13626B78">
            <w:pPr>
              <w:spacing w:line="460" w:lineRule="exact"/>
              <w:jc w:val="center"/>
              <w:rPr>
                <w:rFonts w:eastAsia="仿宋_GB2312"/>
                <w:color w:val="000000"/>
                <w:spacing w:val="-1"/>
                <w:sz w:val="28"/>
                <w:szCs w:val="28"/>
              </w:rPr>
            </w:pPr>
            <w:r>
              <w:rPr>
                <w:rFonts w:eastAsia="仿宋_GB2312"/>
                <w:color w:val="000000"/>
                <w:spacing w:val="-1"/>
                <w:sz w:val="28"/>
                <w:szCs w:val="28"/>
              </w:rPr>
              <w:t>排气压力；</w:t>
            </w:r>
          </w:p>
          <w:p w14:paraId="25A6F267">
            <w:pPr>
              <w:spacing w:line="460" w:lineRule="exact"/>
              <w:jc w:val="center"/>
              <w:rPr>
                <w:rFonts w:eastAsia="仿宋_GB2312"/>
                <w:color w:val="000000"/>
                <w:spacing w:val="-1"/>
                <w:sz w:val="28"/>
                <w:szCs w:val="28"/>
              </w:rPr>
            </w:pPr>
            <w:r>
              <w:rPr>
                <w:rFonts w:eastAsia="仿宋_GB2312"/>
                <w:color w:val="000000"/>
                <w:spacing w:val="-1"/>
                <w:sz w:val="28"/>
                <w:szCs w:val="28"/>
              </w:rPr>
              <w:t>容积流量；</w:t>
            </w:r>
          </w:p>
        </w:tc>
        <w:tc>
          <w:tcPr>
            <w:tcW w:w="2174" w:type="dxa"/>
            <w:vAlign w:val="center"/>
          </w:tcPr>
          <w:p w14:paraId="64930DCF">
            <w:pPr>
              <w:jc w:val="center"/>
              <w:rPr>
                <w:rFonts w:eastAsia="仿宋_GB2312"/>
                <w:color w:val="000000"/>
                <w:spacing w:val="-1"/>
                <w:sz w:val="28"/>
                <w:szCs w:val="28"/>
              </w:rPr>
            </w:pPr>
            <w:r>
              <w:rPr>
                <w:rFonts w:eastAsia="仿宋_GB2312"/>
                <w:color w:val="000000"/>
                <w:spacing w:val="-1"/>
                <w:sz w:val="28"/>
                <w:szCs w:val="28"/>
              </w:rPr>
              <w:t>需说明包含的空气压缩机数量</w:t>
            </w:r>
          </w:p>
        </w:tc>
        <w:tc>
          <w:tcPr>
            <w:tcW w:w="945" w:type="dxa"/>
            <w:vAlign w:val="center"/>
          </w:tcPr>
          <w:p w14:paraId="0056ABE0">
            <w:pPr>
              <w:jc w:val="center"/>
              <w:rPr>
                <w:rFonts w:eastAsia="仿宋_GB2312"/>
                <w:color w:val="000000"/>
                <w:spacing w:val="-1"/>
                <w:sz w:val="28"/>
                <w:szCs w:val="28"/>
              </w:rPr>
            </w:pPr>
          </w:p>
        </w:tc>
      </w:tr>
      <w:tr w14:paraId="4143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7646DD71">
            <w:pPr>
              <w:spacing w:line="460" w:lineRule="exact"/>
              <w:jc w:val="center"/>
              <w:rPr>
                <w:rFonts w:eastAsia="仿宋_GB2312"/>
                <w:color w:val="000000"/>
                <w:spacing w:val="-1"/>
                <w:sz w:val="28"/>
                <w:szCs w:val="28"/>
              </w:rPr>
            </w:pPr>
            <w:r>
              <w:rPr>
                <w:rFonts w:eastAsia="仿宋_GB2312"/>
                <w:color w:val="000000"/>
                <w:spacing w:val="-1"/>
                <w:sz w:val="28"/>
                <w:szCs w:val="28"/>
              </w:rPr>
              <w:t>储气罐</w:t>
            </w:r>
          </w:p>
        </w:tc>
        <w:tc>
          <w:tcPr>
            <w:tcW w:w="1704" w:type="dxa"/>
            <w:vAlign w:val="center"/>
          </w:tcPr>
          <w:p w14:paraId="3A4641C7">
            <w:pPr>
              <w:spacing w:line="460" w:lineRule="exact"/>
              <w:jc w:val="center"/>
              <w:rPr>
                <w:rFonts w:eastAsia="仿宋_GB2312"/>
                <w:color w:val="000000"/>
                <w:spacing w:val="-1"/>
                <w:sz w:val="28"/>
                <w:szCs w:val="28"/>
              </w:rPr>
            </w:pPr>
          </w:p>
        </w:tc>
        <w:tc>
          <w:tcPr>
            <w:tcW w:w="2370" w:type="dxa"/>
            <w:vAlign w:val="center"/>
          </w:tcPr>
          <w:p w14:paraId="39F35E6A">
            <w:pPr>
              <w:spacing w:line="460" w:lineRule="exact"/>
              <w:jc w:val="center"/>
              <w:rPr>
                <w:rFonts w:eastAsia="仿宋_GB2312"/>
                <w:color w:val="000000"/>
                <w:spacing w:val="-1"/>
                <w:sz w:val="28"/>
                <w:szCs w:val="28"/>
              </w:rPr>
            </w:pPr>
            <w:r>
              <w:rPr>
                <w:rFonts w:eastAsia="仿宋_GB2312"/>
                <w:color w:val="000000"/>
                <w:spacing w:val="-1"/>
                <w:sz w:val="28"/>
                <w:szCs w:val="28"/>
              </w:rPr>
              <w:t>容积；</w:t>
            </w:r>
          </w:p>
          <w:p w14:paraId="23E94A15">
            <w:pPr>
              <w:spacing w:line="460" w:lineRule="exact"/>
              <w:jc w:val="center"/>
              <w:rPr>
                <w:rFonts w:eastAsia="仿宋_GB2312"/>
                <w:color w:val="000000"/>
                <w:spacing w:val="-1"/>
                <w:sz w:val="28"/>
                <w:szCs w:val="28"/>
              </w:rPr>
            </w:pPr>
            <w:r>
              <w:rPr>
                <w:rFonts w:eastAsia="仿宋_GB2312"/>
                <w:color w:val="000000"/>
                <w:spacing w:val="-1"/>
                <w:sz w:val="28"/>
                <w:szCs w:val="28"/>
              </w:rPr>
              <w:t>质量要求；</w:t>
            </w:r>
          </w:p>
        </w:tc>
        <w:tc>
          <w:tcPr>
            <w:tcW w:w="2174" w:type="dxa"/>
            <w:vAlign w:val="center"/>
          </w:tcPr>
          <w:p w14:paraId="0DE56EF2">
            <w:pPr>
              <w:jc w:val="center"/>
              <w:rPr>
                <w:rFonts w:eastAsia="仿宋_GB2312"/>
                <w:color w:val="000000"/>
                <w:spacing w:val="-1"/>
                <w:sz w:val="28"/>
                <w:szCs w:val="28"/>
              </w:rPr>
            </w:pPr>
          </w:p>
        </w:tc>
        <w:tc>
          <w:tcPr>
            <w:tcW w:w="945" w:type="dxa"/>
            <w:vAlign w:val="center"/>
          </w:tcPr>
          <w:p w14:paraId="28E217C2">
            <w:pPr>
              <w:jc w:val="center"/>
              <w:rPr>
                <w:rFonts w:eastAsia="仿宋_GB2312"/>
                <w:color w:val="000000"/>
                <w:spacing w:val="-1"/>
                <w:sz w:val="28"/>
                <w:szCs w:val="28"/>
              </w:rPr>
            </w:pPr>
          </w:p>
        </w:tc>
      </w:tr>
      <w:tr w14:paraId="575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4BD9C5FB">
            <w:pPr>
              <w:spacing w:line="460" w:lineRule="exact"/>
              <w:jc w:val="center"/>
              <w:rPr>
                <w:rFonts w:eastAsia="仿宋_GB2312"/>
                <w:color w:val="000000"/>
                <w:spacing w:val="-1"/>
                <w:sz w:val="28"/>
                <w:szCs w:val="28"/>
              </w:rPr>
            </w:pPr>
            <w:r>
              <w:rPr>
                <w:rFonts w:eastAsia="仿宋_GB2312"/>
                <w:color w:val="000000"/>
                <w:spacing w:val="-1"/>
                <w:sz w:val="28"/>
                <w:szCs w:val="28"/>
              </w:rPr>
              <w:t>过滤器</w:t>
            </w:r>
          </w:p>
        </w:tc>
        <w:tc>
          <w:tcPr>
            <w:tcW w:w="1704" w:type="dxa"/>
            <w:vAlign w:val="center"/>
          </w:tcPr>
          <w:p w14:paraId="4161AB87">
            <w:pPr>
              <w:spacing w:line="460" w:lineRule="exact"/>
              <w:jc w:val="center"/>
              <w:rPr>
                <w:rFonts w:eastAsia="仿宋_GB2312"/>
                <w:color w:val="000000"/>
                <w:spacing w:val="-1"/>
                <w:sz w:val="28"/>
                <w:szCs w:val="28"/>
              </w:rPr>
            </w:pPr>
          </w:p>
        </w:tc>
        <w:tc>
          <w:tcPr>
            <w:tcW w:w="2370" w:type="dxa"/>
            <w:vAlign w:val="center"/>
          </w:tcPr>
          <w:p w14:paraId="39369858">
            <w:pPr>
              <w:spacing w:line="460" w:lineRule="exact"/>
              <w:jc w:val="center"/>
              <w:rPr>
                <w:rFonts w:eastAsia="仿宋_GB2312"/>
                <w:color w:val="000000"/>
                <w:spacing w:val="-1"/>
                <w:sz w:val="28"/>
                <w:szCs w:val="28"/>
              </w:rPr>
            </w:pPr>
            <w:r>
              <w:rPr>
                <w:rFonts w:eastAsia="仿宋_GB2312"/>
                <w:color w:val="000000"/>
                <w:spacing w:val="-1"/>
                <w:sz w:val="28"/>
                <w:szCs w:val="28"/>
              </w:rPr>
              <w:t>类型；</w:t>
            </w:r>
          </w:p>
          <w:p w14:paraId="38F20DF9">
            <w:pPr>
              <w:spacing w:line="460" w:lineRule="exact"/>
              <w:jc w:val="center"/>
              <w:rPr>
                <w:rFonts w:eastAsia="仿宋_GB2312"/>
                <w:color w:val="000000"/>
                <w:spacing w:val="-1"/>
                <w:sz w:val="28"/>
                <w:szCs w:val="28"/>
              </w:rPr>
            </w:pPr>
            <w:r>
              <w:rPr>
                <w:rFonts w:eastAsia="仿宋_GB2312"/>
                <w:color w:val="000000"/>
                <w:spacing w:val="-1"/>
                <w:sz w:val="28"/>
                <w:szCs w:val="28"/>
              </w:rPr>
              <w:t>精度；</w:t>
            </w:r>
          </w:p>
          <w:p w14:paraId="388290CC">
            <w:pPr>
              <w:spacing w:line="460" w:lineRule="exact"/>
              <w:jc w:val="center"/>
              <w:rPr>
                <w:rFonts w:eastAsia="仿宋_GB2312"/>
                <w:color w:val="000000"/>
                <w:spacing w:val="-1"/>
                <w:sz w:val="28"/>
                <w:szCs w:val="28"/>
              </w:rPr>
            </w:pPr>
            <w:r>
              <w:rPr>
                <w:rFonts w:eastAsia="仿宋_GB2312"/>
                <w:color w:val="000000"/>
                <w:spacing w:val="-1"/>
                <w:sz w:val="28"/>
                <w:szCs w:val="28"/>
              </w:rPr>
              <w:t>过滤效率；</w:t>
            </w:r>
          </w:p>
          <w:p w14:paraId="20C514CD">
            <w:pPr>
              <w:spacing w:line="460" w:lineRule="exact"/>
              <w:jc w:val="center"/>
              <w:rPr>
                <w:rFonts w:eastAsia="仿宋_GB2312"/>
                <w:color w:val="000000"/>
                <w:spacing w:val="-1"/>
                <w:sz w:val="28"/>
                <w:szCs w:val="28"/>
              </w:rPr>
            </w:pPr>
            <w:r>
              <w:rPr>
                <w:rFonts w:eastAsia="仿宋_GB2312"/>
                <w:color w:val="000000"/>
                <w:spacing w:val="-1"/>
                <w:sz w:val="28"/>
                <w:szCs w:val="28"/>
              </w:rPr>
              <w:t>处理流量</w:t>
            </w:r>
          </w:p>
        </w:tc>
        <w:tc>
          <w:tcPr>
            <w:tcW w:w="2174" w:type="dxa"/>
            <w:vAlign w:val="center"/>
          </w:tcPr>
          <w:p w14:paraId="03E2765B">
            <w:pPr>
              <w:jc w:val="center"/>
              <w:rPr>
                <w:rFonts w:eastAsia="仿宋_GB2312"/>
                <w:color w:val="000000"/>
                <w:spacing w:val="-1"/>
                <w:sz w:val="28"/>
                <w:szCs w:val="28"/>
              </w:rPr>
            </w:pPr>
            <w:r>
              <w:rPr>
                <w:rFonts w:eastAsia="仿宋_GB2312"/>
                <w:color w:val="000000"/>
                <w:spacing w:val="-1"/>
                <w:sz w:val="28"/>
                <w:szCs w:val="28"/>
              </w:rPr>
              <w:t>需说明各级过滤器的信息</w:t>
            </w:r>
          </w:p>
        </w:tc>
        <w:tc>
          <w:tcPr>
            <w:tcW w:w="945" w:type="dxa"/>
            <w:vAlign w:val="center"/>
          </w:tcPr>
          <w:p w14:paraId="50D3B08E">
            <w:pPr>
              <w:jc w:val="center"/>
              <w:rPr>
                <w:rFonts w:eastAsia="仿宋_GB2312"/>
                <w:color w:val="000000"/>
                <w:spacing w:val="-1"/>
                <w:sz w:val="28"/>
                <w:szCs w:val="28"/>
              </w:rPr>
            </w:pPr>
          </w:p>
        </w:tc>
      </w:tr>
      <w:tr w14:paraId="4B1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5B048CE1">
            <w:pPr>
              <w:spacing w:line="460" w:lineRule="exact"/>
              <w:jc w:val="center"/>
              <w:rPr>
                <w:rFonts w:eastAsia="仿宋_GB2312"/>
                <w:color w:val="000000"/>
                <w:spacing w:val="-1"/>
                <w:sz w:val="28"/>
                <w:szCs w:val="28"/>
              </w:rPr>
            </w:pPr>
            <w:r>
              <w:rPr>
                <w:rFonts w:eastAsia="仿宋_GB2312"/>
                <w:color w:val="000000"/>
                <w:spacing w:val="-1"/>
                <w:sz w:val="28"/>
                <w:szCs w:val="28"/>
              </w:rPr>
              <w:t>干燥器</w:t>
            </w:r>
          </w:p>
        </w:tc>
        <w:tc>
          <w:tcPr>
            <w:tcW w:w="1704" w:type="dxa"/>
            <w:vAlign w:val="center"/>
          </w:tcPr>
          <w:p w14:paraId="16239EBD">
            <w:pPr>
              <w:spacing w:line="460" w:lineRule="exact"/>
              <w:jc w:val="center"/>
              <w:rPr>
                <w:rFonts w:eastAsia="仿宋_GB2312"/>
                <w:color w:val="000000"/>
                <w:spacing w:val="-1"/>
                <w:sz w:val="28"/>
                <w:szCs w:val="28"/>
              </w:rPr>
            </w:pPr>
          </w:p>
        </w:tc>
        <w:tc>
          <w:tcPr>
            <w:tcW w:w="2370" w:type="dxa"/>
            <w:vAlign w:val="center"/>
          </w:tcPr>
          <w:p w14:paraId="3CCE893F">
            <w:pPr>
              <w:spacing w:line="460" w:lineRule="exact"/>
              <w:jc w:val="center"/>
              <w:rPr>
                <w:rFonts w:eastAsia="仿宋_GB2312"/>
                <w:color w:val="000000"/>
                <w:spacing w:val="-1"/>
                <w:sz w:val="28"/>
                <w:szCs w:val="28"/>
              </w:rPr>
            </w:pPr>
            <w:r>
              <w:rPr>
                <w:rFonts w:eastAsia="仿宋_GB2312"/>
                <w:color w:val="000000"/>
                <w:spacing w:val="-1"/>
                <w:sz w:val="28"/>
                <w:szCs w:val="28"/>
              </w:rPr>
              <w:t>类型；</w:t>
            </w:r>
          </w:p>
          <w:p w14:paraId="49B712A9">
            <w:pPr>
              <w:spacing w:line="460" w:lineRule="exact"/>
              <w:jc w:val="center"/>
              <w:rPr>
                <w:rFonts w:eastAsia="仿宋_GB2312"/>
                <w:color w:val="000000"/>
                <w:spacing w:val="-1"/>
                <w:sz w:val="28"/>
                <w:szCs w:val="28"/>
              </w:rPr>
            </w:pPr>
            <w:r>
              <w:rPr>
                <w:rFonts w:eastAsia="仿宋_GB2312"/>
                <w:color w:val="000000"/>
                <w:spacing w:val="-1"/>
                <w:sz w:val="28"/>
                <w:szCs w:val="28"/>
              </w:rPr>
              <w:t>压力露点或</w:t>
            </w:r>
          </w:p>
          <w:p w14:paraId="74803CA1">
            <w:pPr>
              <w:spacing w:line="460" w:lineRule="exact"/>
              <w:jc w:val="center"/>
              <w:rPr>
                <w:rFonts w:eastAsia="仿宋_GB2312"/>
                <w:color w:val="000000"/>
                <w:spacing w:val="-1"/>
                <w:sz w:val="28"/>
                <w:szCs w:val="28"/>
              </w:rPr>
            </w:pPr>
            <w:r>
              <w:rPr>
                <w:rFonts w:eastAsia="仿宋_GB2312"/>
                <w:color w:val="000000"/>
                <w:spacing w:val="-1"/>
                <w:sz w:val="28"/>
                <w:szCs w:val="28"/>
              </w:rPr>
              <w:t>常压露点；</w:t>
            </w:r>
          </w:p>
          <w:p w14:paraId="13E257AF">
            <w:pPr>
              <w:spacing w:line="460" w:lineRule="exact"/>
              <w:jc w:val="center"/>
              <w:rPr>
                <w:rFonts w:eastAsia="仿宋_GB2312"/>
                <w:color w:val="000000"/>
                <w:spacing w:val="-1"/>
                <w:sz w:val="28"/>
                <w:szCs w:val="28"/>
              </w:rPr>
            </w:pPr>
            <w:r>
              <w:rPr>
                <w:rFonts w:eastAsia="仿宋_GB2312"/>
                <w:color w:val="000000"/>
                <w:spacing w:val="-1"/>
                <w:sz w:val="28"/>
                <w:szCs w:val="28"/>
              </w:rPr>
              <w:t>流量</w:t>
            </w:r>
          </w:p>
        </w:tc>
        <w:tc>
          <w:tcPr>
            <w:tcW w:w="2174" w:type="dxa"/>
            <w:vAlign w:val="center"/>
          </w:tcPr>
          <w:p w14:paraId="595B81EB">
            <w:pPr>
              <w:jc w:val="center"/>
              <w:rPr>
                <w:rFonts w:eastAsia="仿宋_GB2312"/>
                <w:color w:val="000000"/>
                <w:spacing w:val="-1"/>
                <w:sz w:val="28"/>
                <w:szCs w:val="28"/>
              </w:rPr>
            </w:pPr>
          </w:p>
        </w:tc>
        <w:tc>
          <w:tcPr>
            <w:tcW w:w="945" w:type="dxa"/>
            <w:vAlign w:val="center"/>
          </w:tcPr>
          <w:p w14:paraId="528445D8">
            <w:pPr>
              <w:jc w:val="center"/>
              <w:rPr>
                <w:rFonts w:eastAsia="仿宋_GB2312"/>
                <w:color w:val="000000"/>
                <w:spacing w:val="-1"/>
                <w:sz w:val="28"/>
                <w:szCs w:val="28"/>
              </w:rPr>
            </w:pPr>
          </w:p>
        </w:tc>
      </w:tr>
      <w:tr w14:paraId="1634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780FC20F">
            <w:pPr>
              <w:spacing w:line="460" w:lineRule="exact"/>
              <w:jc w:val="center"/>
              <w:rPr>
                <w:rFonts w:eastAsia="仿宋_GB2312"/>
                <w:color w:val="000000"/>
                <w:spacing w:val="-1"/>
                <w:sz w:val="28"/>
                <w:szCs w:val="28"/>
              </w:rPr>
            </w:pPr>
            <w:r>
              <w:rPr>
                <w:rFonts w:eastAsia="仿宋_GB2312"/>
                <w:color w:val="000000"/>
                <w:spacing w:val="-1"/>
                <w:sz w:val="28"/>
                <w:szCs w:val="28"/>
              </w:rPr>
              <w:t>露点和一氧化碳检测装置</w:t>
            </w:r>
          </w:p>
        </w:tc>
        <w:tc>
          <w:tcPr>
            <w:tcW w:w="1704" w:type="dxa"/>
            <w:vAlign w:val="center"/>
          </w:tcPr>
          <w:p w14:paraId="4475360B">
            <w:pPr>
              <w:spacing w:line="460" w:lineRule="exact"/>
              <w:jc w:val="center"/>
              <w:rPr>
                <w:rFonts w:eastAsia="仿宋_GB2312"/>
                <w:color w:val="000000"/>
                <w:spacing w:val="-1"/>
                <w:sz w:val="28"/>
                <w:szCs w:val="28"/>
              </w:rPr>
            </w:pPr>
          </w:p>
        </w:tc>
        <w:tc>
          <w:tcPr>
            <w:tcW w:w="2370" w:type="dxa"/>
            <w:vAlign w:val="center"/>
          </w:tcPr>
          <w:p w14:paraId="344996C1">
            <w:pPr>
              <w:spacing w:line="460" w:lineRule="exact"/>
              <w:jc w:val="center"/>
              <w:rPr>
                <w:rFonts w:eastAsia="仿宋_GB2312"/>
                <w:color w:val="000000"/>
                <w:spacing w:val="-1"/>
                <w:sz w:val="28"/>
                <w:szCs w:val="28"/>
              </w:rPr>
            </w:pPr>
            <w:r>
              <w:rPr>
                <w:rFonts w:eastAsia="仿宋_GB2312"/>
                <w:color w:val="000000"/>
                <w:spacing w:val="-1"/>
                <w:sz w:val="28"/>
                <w:szCs w:val="28"/>
              </w:rPr>
              <w:t>检测范围；</w:t>
            </w:r>
          </w:p>
          <w:p w14:paraId="12EAFBA3">
            <w:pPr>
              <w:spacing w:line="460" w:lineRule="exact"/>
              <w:jc w:val="center"/>
              <w:rPr>
                <w:rFonts w:eastAsia="仿宋_GB2312"/>
                <w:color w:val="000000"/>
                <w:spacing w:val="-1"/>
                <w:sz w:val="28"/>
                <w:szCs w:val="28"/>
              </w:rPr>
            </w:pPr>
            <w:r>
              <w:rPr>
                <w:rFonts w:eastAsia="仿宋_GB2312"/>
                <w:color w:val="000000"/>
                <w:spacing w:val="-1"/>
                <w:sz w:val="28"/>
                <w:szCs w:val="28"/>
              </w:rPr>
              <w:t>精度；</w:t>
            </w:r>
          </w:p>
        </w:tc>
        <w:tc>
          <w:tcPr>
            <w:tcW w:w="2174" w:type="dxa"/>
            <w:vAlign w:val="center"/>
          </w:tcPr>
          <w:p w14:paraId="3F792F00">
            <w:pPr>
              <w:jc w:val="center"/>
              <w:rPr>
                <w:rFonts w:eastAsia="仿宋_GB2312"/>
                <w:color w:val="000000"/>
                <w:spacing w:val="-1"/>
                <w:sz w:val="28"/>
                <w:szCs w:val="28"/>
              </w:rPr>
            </w:pPr>
          </w:p>
        </w:tc>
        <w:tc>
          <w:tcPr>
            <w:tcW w:w="945" w:type="dxa"/>
            <w:vAlign w:val="center"/>
          </w:tcPr>
          <w:p w14:paraId="4574A6B7">
            <w:pPr>
              <w:jc w:val="center"/>
              <w:rPr>
                <w:rFonts w:eastAsia="仿宋_GB2312"/>
                <w:color w:val="000000"/>
                <w:spacing w:val="-1"/>
                <w:sz w:val="28"/>
                <w:szCs w:val="28"/>
              </w:rPr>
            </w:pPr>
          </w:p>
        </w:tc>
      </w:tr>
      <w:tr w14:paraId="1904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65991960">
            <w:pPr>
              <w:spacing w:line="460" w:lineRule="exact"/>
              <w:jc w:val="center"/>
              <w:rPr>
                <w:rFonts w:eastAsia="仿宋_GB2312"/>
                <w:color w:val="000000"/>
                <w:spacing w:val="-1"/>
                <w:sz w:val="28"/>
                <w:szCs w:val="28"/>
              </w:rPr>
            </w:pPr>
            <w:r>
              <w:rPr>
                <w:rFonts w:eastAsia="仿宋_GB2312"/>
                <w:color w:val="000000"/>
                <w:spacing w:val="-1"/>
                <w:sz w:val="28"/>
                <w:szCs w:val="28"/>
              </w:rPr>
              <w:t>管道</w:t>
            </w:r>
          </w:p>
        </w:tc>
        <w:tc>
          <w:tcPr>
            <w:tcW w:w="1704" w:type="dxa"/>
            <w:vAlign w:val="center"/>
          </w:tcPr>
          <w:p w14:paraId="0A89B82C">
            <w:pPr>
              <w:spacing w:line="460" w:lineRule="exact"/>
              <w:jc w:val="center"/>
              <w:rPr>
                <w:rFonts w:eastAsia="仿宋_GB2312"/>
                <w:color w:val="000000"/>
                <w:spacing w:val="-1"/>
                <w:sz w:val="28"/>
                <w:szCs w:val="28"/>
              </w:rPr>
            </w:pPr>
            <w:r>
              <w:rPr>
                <w:rFonts w:eastAsia="仿宋_GB2312"/>
                <w:color w:val="000000"/>
                <w:spacing w:val="-1"/>
                <w:sz w:val="28"/>
                <w:szCs w:val="28"/>
              </w:rPr>
              <w:t>/</w:t>
            </w:r>
          </w:p>
        </w:tc>
        <w:tc>
          <w:tcPr>
            <w:tcW w:w="2370" w:type="dxa"/>
            <w:vAlign w:val="center"/>
          </w:tcPr>
          <w:p w14:paraId="0B3EB6A3">
            <w:pPr>
              <w:spacing w:line="460" w:lineRule="exact"/>
              <w:jc w:val="center"/>
              <w:rPr>
                <w:rFonts w:eastAsia="仿宋_GB2312"/>
                <w:color w:val="000000"/>
                <w:spacing w:val="-1"/>
                <w:sz w:val="28"/>
                <w:szCs w:val="28"/>
              </w:rPr>
            </w:pPr>
            <w:r>
              <w:rPr>
                <w:rFonts w:eastAsia="仿宋_GB2312"/>
                <w:color w:val="000000"/>
                <w:spacing w:val="-1"/>
                <w:sz w:val="28"/>
                <w:szCs w:val="28"/>
              </w:rPr>
              <w:t>材质</w:t>
            </w:r>
          </w:p>
          <w:p w14:paraId="7848C244">
            <w:pPr>
              <w:spacing w:line="460" w:lineRule="exact"/>
              <w:jc w:val="center"/>
              <w:rPr>
                <w:rFonts w:eastAsia="仿宋_GB2312"/>
                <w:color w:val="000000"/>
                <w:spacing w:val="-1"/>
                <w:sz w:val="28"/>
                <w:szCs w:val="28"/>
              </w:rPr>
            </w:pPr>
            <w:r>
              <w:rPr>
                <w:rFonts w:eastAsia="仿宋_GB2312"/>
                <w:color w:val="000000"/>
                <w:spacing w:val="-1"/>
                <w:sz w:val="28"/>
                <w:szCs w:val="28"/>
              </w:rPr>
              <w:t>质量要求</w:t>
            </w:r>
          </w:p>
        </w:tc>
        <w:tc>
          <w:tcPr>
            <w:tcW w:w="2174" w:type="dxa"/>
            <w:vAlign w:val="center"/>
          </w:tcPr>
          <w:p w14:paraId="7FA943DE">
            <w:pPr>
              <w:jc w:val="center"/>
              <w:rPr>
                <w:rFonts w:eastAsia="仿宋_GB2312"/>
                <w:color w:val="000000"/>
                <w:spacing w:val="-1"/>
                <w:sz w:val="28"/>
                <w:szCs w:val="28"/>
              </w:rPr>
            </w:pPr>
          </w:p>
        </w:tc>
        <w:tc>
          <w:tcPr>
            <w:tcW w:w="945" w:type="dxa"/>
            <w:vAlign w:val="center"/>
          </w:tcPr>
          <w:p w14:paraId="2ACD2AED">
            <w:pPr>
              <w:jc w:val="center"/>
              <w:rPr>
                <w:rFonts w:eastAsia="仿宋_GB2312"/>
                <w:color w:val="000000"/>
                <w:spacing w:val="-1"/>
                <w:sz w:val="28"/>
                <w:szCs w:val="28"/>
              </w:rPr>
            </w:pPr>
          </w:p>
        </w:tc>
      </w:tr>
      <w:tr w14:paraId="084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63411F1B">
            <w:pPr>
              <w:spacing w:line="460" w:lineRule="exact"/>
              <w:jc w:val="center"/>
              <w:rPr>
                <w:rFonts w:eastAsia="仿宋_GB2312"/>
                <w:color w:val="000000"/>
                <w:spacing w:val="-1"/>
                <w:sz w:val="28"/>
                <w:szCs w:val="28"/>
              </w:rPr>
            </w:pPr>
            <w:r>
              <w:rPr>
                <w:rFonts w:eastAsia="仿宋_GB2312"/>
                <w:color w:val="000000"/>
                <w:spacing w:val="-1"/>
                <w:sz w:val="28"/>
                <w:szCs w:val="28"/>
              </w:rPr>
              <w:t>阀门</w:t>
            </w:r>
          </w:p>
        </w:tc>
        <w:tc>
          <w:tcPr>
            <w:tcW w:w="1704" w:type="dxa"/>
            <w:vAlign w:val="center"/>
          </w:tcPr>
          <w:p w14:paraId="38D16270">
            <w:pPr>
              <w:spacing w:line="460" w:lineRule="exact"/>
              <w:jc w:val="center"/>
              <w:rPr>
                <w:rFonts w:eastAsia="仿宋_GB2312"/>
                <w:color w:val="000000"/>
                <w:spacing w:val="-1"/>
                <w:sz w:val="28"/>
                <w:szCs w:val="28"/>
              </w:rPr>
            </w:pPr>
            <w:r>
              <w:rPr>
                <w:rFonts w:eastAsia="仿宋_GB2312"/>
                <w:color w:val="000000"/>
                <w:spacing w:val="-1"/>
                <w:sz w:val="28"/>
                <w:szCs w:val="28"/>
              </w:rPr>
              <w:t>/</w:t>
            </w:r>
          </w:p>
        </w:tc>
        <w:tc>
          <w:tcPr>
            <w:tcW w:w="2370" w:type="dxa"/>
            <w:vAlign w:val="center"/>
          </w:tcPr>
          <w:p w14:paraId="3A9CA4CC">
            <w:pPr>
              <w:spacing w:line="460" w:lineRule="exact"/>
              <w:jc w:val="center"/>
              <w:rPr>
                <w:rFonts w:eastAsia="仿宋_GB2312"/>
                <w:color w:val="000000"/>
                <w:spacing w:val="-1"/>
                <w:sz w:val="28"/>
                <w:szCs w:val="28"/>
              </w:rPr>
            </w:pPr>
            <w:r>
              <w:rPr>
                <w:rFonts w:eastAsia="仿宋_GB2312"/>
                <w:color w:val="000000"/>
                <w:spacing w:val="-1"/>
                <w:sz w:val="28"/>
                <w:szCs w:val="28"/>
              </w:rPr>
              <w:t>材质</w:t>
            </w:r>
          </w:p>
        </w:tc>
        <w:tc>
          <w:tcPr>
            <w:tcW w:w="2174" w:type="dxa"/>
            <w:vAlign w:val="center"/>
          </w:tcPr>
          <w:p w14:paraId="5B6293F0">
            <w:pPr>
              <w:jc w:val="center"/>
              <w:rPr>
                <w:rFonts w:eastAsia="仿宋_GB2312"/>
                <w:color w:val="000000"/>
                <w:spacing w:val="-1"/>
                <w:sz w:val="28"/>
                <w:szCs w:val="28"/>
              </w:rPr>
            </w:pPr>
          </w:p>
        </w:tc>
        <w:tc>
          <w:tcPr>
            <w:tcW w:w="945" w:type="dxa"/>
            <w:vAlign w:val="center"/>
          </w:tcPr>
          <w:p w14:paraId="4B69B9C7">
            <w:pPr>
              <w:jc w:val="center"/>
              <w:rPr>
                <w:rFonts w:eastAsia="仿宋_GB2312"/>
                <w:color w:val="000000"/>
                <w:spacing w:val="-1"/>
                <w:sz w:val="28"/>
                <w:szCs w:val="28"/>
              </w:rPr>
            </w:pPr>
          </w:p>
        </w:tc>
      </w:tr>
    </w:tbl>
    <w:p w14:paraId="409E9661">
      <w:pPr>
        <w:spacing w:line="520" w:lineRule="exact"/>
        <w:ind w:firstLine="640" w:firstLineChars="200"/>
        <w:outlineLvl w:val="1"/>
        <w:rPr>
          <w:rFonts w:eastAsia="仿宋"/>
          <w:kern w:val="2"/>
          <w:sz w:val="32"/>
          <w:szCs w:val="32"/>
        </w:rPr>
      </w:pPr>
      <w:r>
        <w:rPr>
          <w:rFonts w:eastAsia="仿宋"/>
          <w:kern w:val="2"/>
          <w:sz w:val="32"/>
          <w:szCs w:val="32"/>
        </w:rPr>
        <w:t>2.型号规格</w:t>
      </w:r>
    </w:p>
    <w:p w14:paraId="193B0DFB">
      <w:pPr>
        <w:spacing w:line="520" w:lineRule="exact"/>
        <w:ind w:firstLine="640" w:firstLineChars="200"/>
        <w:outlineLvl w:val="1"/>
        <w:rPr>
          <w:rFonts w:eastAsia="仿宋"/>
          <w:kern w:val="2"/>
          <w:sz w:val="32"/>
          <w:szCs w:val="32"/>
        </w:rPr>
      </w:pPr>
      <w:r>
        <w:rPr>
          <w:rFonts w:eastAsia="仿宋_GB2312"/>
          <w:color w:val="000000"/>
          <w:sz w:val="32"/>
          <w:szCs w:val="32"/>
        </w:rPr>
        <w:t>对于存在多种型号规格的产品，建议以列表的形式明确各型号规格的区别，型号规格中应明确配置的机组数量。必要时</w:t>
      </w:r>
      <w:r>
        <w:rPr>
          <w:rFonts w:eastAsia="仿宋_GB2312"/>
          <w:snapToGrid w:val="0"/>
          <w:sz w:val="32"/>
          <w:szCs w:val="32"/>
        </w:rPr>
        <w:t>提供产品主要部件的实物照片、结构图。</w:t>
      </w:r>
    </w:p>
    <w:p w14:paraId="2F0B3E44">
      <w:pPr>
        <w:spacing w:line="520" w:lineRule="exact"/>
        <w:ind w:firstLine="640" w:firstLineChars="200"/>
        <w:outlineLvl w:val="1"/>
        <w:rPr>
          <w:rFonts w:eastAsia="仿宋_GB2312"/>
          <w:kern w:val="2"/>
          <w:sz w:val="32"/>
          <w:szCs w:val="32"/>
        </w:rPr>
      </w:pPr>
      <w:r>
        <w:rPr>
          <w:rFonts w:eastAsia="仿宋_GB2312"/>
          <w:kern w:val="2"/>
          <w:sz w:val="32"/>
          <w:szCs w:val="32"/>
        </w:rPr>
        <w:t>3.产品工作原理</w:t>
      </w:r>
    </w:p>
    <w:p w14:paraId="2B13C51E">
      <w:pPr>
        <w:spacing w:line="520" w:lineRule="exact"/>
        <w:ind w:firstLine="640" w:firstLineChars="200"/>
        <w:rPr>
          <w:rFonts w:eastAsia="仿宋_GB2312"/>
          <w:kern w:val="2"/>
          <w:sz w:val="32"/>
          <w:szCs w:val="32"/>
        </w:rPr>
      </w:pPr>
      <w:bookmarkStart w:id="1" w:name="_Toc306265289"/>
      <w:r>
        <w:rPr>
          <w:rFonts w:eastAsia="仿宋_GB2312"/>
          <w:kern w:val="2"/>
          <w:sz w:val="32"/>
          <w:szCs w:val="32"/>
        </w:rPr>
        <w:t>外界空气通过进气装置、进气过滤器后经压缩机压缩变成高温压缩空气，高温压缩空气经冷却后，再通过过滤装置、干燥装置等处理后，获得空气质量符合要求的压缩空气，压缩空气经减压装置调压到规定值后输送到</w:t>
      </w:r>
      <w:r>
        <w:rPr>
          <w:rFonts w:eastAsia="仿宋_GB2312"/>
          <w:sz w:val="32"/>
          <w:szCs w:val="32"/>
        </w:rPr>
        <w:t>集中供气系统管道中</w:t>
      </w:r>
      <w:r>
        <w:rPr>
          <w:rFonts w:eastAsia="仿宋_GB2312"/>
          <w:kern w:val="2"/>
          <w:sz w:val="32"/>
          <w:szCs w:val="32"/>
        </w:rPr>
        <w:t>。医用空气压缩机组内部包括控制系统在内的所有元件、部件均有冗余，按照单一故障连续供气的要求配置管道和阀门，每台压缩机采用独立控制电路，保证医用空气压缩机组在单一故障状态下满足连续供气要求。</w:t>
      </w:r>
    </w:p>
    <w:p w14:paraId="7922FBEC">
      <w:pPr>
        <w:spacing w:line="520" w:lineRule="exact"/>
        <w:ind w:firstLine="640" w:firstLineChars="200"/>
        <w:outlineLvl w:val="1"/>
        <w:rPr>
          <w:rFonts w:eastAsia="仿宋_GB2312"/>
          <w:color w:val="000000"/>
          <w:sz w:val="32"/>
          <w:szCs w:val="32"/>
        </w:rPr>
      </w:pPr>
      <w:r>
        <w:rPr>
          <w:rFonts w:eastAsia="仿宋_GB2312"/>
          <w:color w:val="000000"/>
          <w:sz w:val="32"/>
          <w:szCs w:val="32"/>
        </w:rPr>
        <w:t>4.包装说明</w:t>
      </w:r>
    </w:p>
    <w:p w14:paraId="38FFF41F">
      <w:pPr>
        <w:spacing w:line="520" w:lineRule="exact"/>
        <w:ind w:firstLine="640" w:firstLineChars="200"/>
        <w:outlineLvl w:val="1"/>
        <w:rPr>
          <w:rFonts w:eastAsia="仿宋_GB2312"/>
          <w:color w:val="000000"/>
          <w:sz w:val="32"/>
          <w:szCs w:val="32"/>
        </w:rPr>
      </w:pPr>
      <w:r>
        <w:rPr>
          <w:rFonts w:eastAsia="仿宋_GB2312"/>
          <w:color w:val="000000"/>
          <w:sz w:val="32"/>
          <w:szCs w:val="32"/>
        </w:rPr>
        <w:t>描述产品包装的组成部分，说明包装清单和包装方式，提供包装图示。</w:t>
      </w:r>
    </w:p>
    <w:p w14:paraId="08C5B6BB">
      <w:pPr>
        <w:spacing w:line="520" w:lineRule="exact"/>
        <w:ind w:firstLine="640" w:firstLineChars="200"/>
        <w:outlineLvl w:val="1"/>
        <w:rPr>
          <w:rFonts w:eastAsia="仿宋_GB2312"/>
          <w:color w:val="000000"/>
          <w:sz w:val="32"/>
          <w:szCs w:val="32"/>
        </w:rPr>
      </w:pPr>
      <w:r>
        <w:rPr>
          <w:rFonts w:eastAsia="仿宋_GB2312"/>
          <w:color w:val="000000"/>
          <w:sz w:val="32"/>
          <w:szCs w:val="32"/>
        </w:rPr>
        <w:t>5.适用范围和禁忌证</w:t>
      </w:r>
    </w:p>
    <w:p w14:paraId="21EAEE6C">
      <w:pPr>
        <w:spacing w:line="520" w:lineRule="exact"/>
        <w:ind w:firstLine="640" w:firstLineChars="200"/>
        <w:outlineLvl w:val="1"/>
        <w:rPr>
          <w:rFonts w:eastAsia="仿宋_GB2312"/>
          <w:color w:val="000000"/>
          <w:sz w:val="32"/>
          <w:szCs w:val="32"/>
        </w:rPr>
      </w:pPr>
      <w:r>
        <w:rPr>
          <w:rFonts w:eastAsia="仿宋_GB2312"/>
          <w:color w:val="000000"/>
          <w:sz w:val="32"/>
          <w:szCs w:val="32"/>
        </w:rPr>
        <w:t>（1）适用范围</w:t>
      </w:r>
    </w:p>
    <w:p w14:paraId="453A25B9">
      <w:pPr>
        <w:spacing w:line="520" w:lineRule="exact"/>
        <w:ind w:firstLine="640" w:firstLineChars="200"/>
        <w:outlineLvl w:val="1"/>
        <w:rPr>
          <w:rFonts w:eastAsia="仿宋_GB2312"/>
          <w:color w:val="000000"/>
          <w:sz w:val="32"/>
          <w:szCs w:val="32"/>
        </w:rPr>
      </w:pPr>
      <w:r>
        <w:rPr>
          <w:rFonts w:eastAsia="仿宋_GB2312"/>
          <w:color w:val="000000"/>
          <w:sz w:val="32"/>
          <w:szCs w:val="32"/>
        </w:rPr>
        <w:t>用于制取医用压缩空气，为医疗机构的集中供气系统提供压缩空气源。</w:t>
      </w:r>
    </w:p>
    <w:p w14:paraId="420E4DD8">
      <w:pPr>
        <w:spacing w:line="520" w:lineRule="exact"/>
        <w:ind w:firstLine="640" w:firstLineChars="200"/>
        <w:outlineLvl w:val="1"/>
        <w:rPr>
          <w:rFonts w:eastAsia="仿宋_GB2312"/>
          <w:color w:val="000000"/>
          <w:sz w:val="32"/>
          <w:szCs w:val="32"/>
        </w:rPr>
      </w:pPr>
      <w:r>
        <w:rPr>
          <w:rFonts w:eastAsia="仿宋_GB2312"/>
          <w:color w:val="000000"/>
          <w:sz w:val="32"/>
          <w:szCs w:val="32"/>
        </w:rPr>
        <w:t>（2）禁忌证</w:t>
      </w:r>
    </w:p>
    <w:p w14:paraId="78648120">
      <w:pPr>
        <w:spacing w:line="520" w:lineRule="exact"/>
        <w:ind w:firstLine="640" w:firstLineChars="200"/>
        <w:outlineLvl w:val="1"/>
        <w:rPr>
          <w:rFonts w:eastAsia="仿宋_GB2312"/>
          <w:color w:val="000000"/>
          <w:sz w:val="32"/>
          <w:szCs w:val="32"/>
        </w:rPr>
      </w:pPr>
      <w:r>
        <w:rPr>
          <w:rFonts w:eastAsia="仿宋_GB2312"/>
          <w:color w:val="000000"/>
          <w:sz w:val="32"/>
          <w:szCs w:val="32"/>
        </w:rPr>
        <w:t>无。</w:t>
      </w:r>
    </w:p>
    <w:p w14:paraId="7990BDB0">
      <w:pPr>
        <w:spacing w:line="520" w:lineRule="exact"/>
        <w:ind w:firstLine="640" w:firstLineChars="200"/>
        <w:outlineLvl w:val="1"/>
        <w:rPr>
          <w:rFonts w:eastAsia="仿宋_GB2312"/>
          <w:color w:val="000000"/>
          <w:sz w:val="32"/>
          <w:szCs w:val="32"/>
        </w:rPr>
      </w:pPr>
      <w:r>
        <w:rPr>
          <w:rFonts w:eastAsia="仿宋_GB2312"/>
          <w:color w:val="000000"/>
          <w:sz w:val="32"/>
          <w:szCs w:val="32"/>
        </w:rPr>
        <w:t>6.不良事件情况</w:t>
      </w:r>
    </w:p>
    <w:p w14:paraId="62C37599">
      <w:pPr>
        <w:spacing w:line="520" w:lineRule="exact"/>
        <w:ind w:firstLine="640" w:firstLineChars="200"/>
        <w:outlineLvl w:val="1"/>
        <w:rPr>
          <w:rFonts w:eastAsia="仿宋_GB2312"/>
          <w:color w:val="000000"/>
          <w:sz w:val="32"/>
          <w:szCs w:val="32"/>
        </w:rPr>
      </w:pPr>
      <w:bookmarkStart w:id="2" w:name="_Toc306265297"/>
      <w:r>
        <w:rPr>
          <w:rFonts w:eastAsia="仿宋_GB2312"/>
          <w:color w:val="000000"/>
          <w:sz w:val="32"/>
          <w:szCs w:val="32"/>
        </w:rPr>
        <w:t>通过查询国家医疗器械不良事件监测信息系统、</w:t>
      </w:r>
      <w:r>
        <w:rPr>
          <w:rFonts w:eastAsia="仿宋_GB2312"/>
          <w:color w:val="000000"/>
          <w:sz w:val="32"/>
          <w:szCs w:val="32"/>
          <w:lang w:val="zh-TW" w:eastAsia="zh-TW"/>
        </w:rPr>
        <w:t>检索国家药品评价中心网站的医疗器械不良事件信息通报和警戒快讯，未检索到该品种相关不良事件记录</w:t>
      </w:r>
      <w:r>
        <w:rPr>
          <w:rFonts w:eastAsia="仿宋_GB2312"/>
          <w:color w:val="000000"/>
          <w:sz w:val="32"/>
          <w:szCs w:val="32"/>
        </w:rPr>
        <w:t>。</w:t>
      </w:r>
    </w:p>
    <w:p w14:paraId="0CB1AB55">
      <w:pPr>
        <w:spacing w:line="520" w:lineRule="exact"/>
        <w:ind w:firstLine="640" w:firstLineChars="200"/>
        <w:outlineLvl w:val="1"/>
        <w:rPr>
          <w:rFonts w:eastAsia="仿宋_GB2312"/>
          <w:color w:val="000000"/>
          <w:sz w:val="32"/>
          <w:szCs w:val="32"/>
        </w:rPr>
      </w:pPr>
      <w:r>
        <w:rPr>
          <w:rFonts w:eastAsia="仿宋_GB2312"/>
          <w:color w:val="000000"/>
          <w:sz w:val="32"/>
          <w:szCs w:val="32"/>
        </w:rPr>
        <w:t>申请人应关注并收集同类产品以及申报产品注册周期内的不良事件历史记录，可通过各国监管机构发布的不良事件资料库中查询相应不良事件数据。</w:t>
      </w:r>
    </w:p>
    <w:bookmarkEnd w:id="1"/>
    <w:bookmarkEnd w:id="2"/>
    <w:p w14:paraId="778F2C36">
      <w:pPr>
        <w:spacing w:line="520" w:lineRule="exact"/>
        <w:ind w:firstLine="640" w:firstLineChars="200"/>
        <w:jc w:val="both"/>
        <w:outlineLvl w:val="1"/>
        <w:rPr>
          <w:rFonts w:eastAsia="楷体_GB2312"/>
          <w:bCs/>
          <w:iCs/>
          <w:kern w:val="2"/>
          <w:sz w:val="32"/>
          <w:szCs w:val="28"/>
        </w:rPr>
      </w:pPr>
      <w:bookmarkStart w:id="3" w:name="_Toc306265290"/>
      <w:r>
        <w:rPr>
          <w:rFonts w:eastAsia="楷体_GB2312"/>
          <w:bCs/>
          <w:iCs/>
          <w:kern w:val="2"/>
          <w:sz w:val="32"/>
          <w:szCs w:val="28"/>
        </w:rPr>
        <w:t>（三）非临床资料</w:t>
      </w:r>
    </w:p>
    <w:bookmarkEnd w:id="3"/>
    <w:p w14:paraId="5839FF97">
      <w:pPr>
        <w:spacing w:line="520" w:lineRule="exact"/>
        <w:ind w:firstLine="640" w:firstLineChars="200"/>
        <w:rPr>
          <w:rFonts w:eastAsia="仿宋_GB2312"/>
          <w:sz w:val="32"/>
          <w:szCs w:val="32"/>
        </w:rPr>
      </w:pPr>
      <w:r>
        <w:rPr>
          <w:rFonts w:eastAsia="仿宋"/>
          <w:bCs/>
          <w:iCs/>
          <w:kern w:val="2"/>
          <w:sz w:val="32"/>
          <w:szCs w:val="28"/>
        </w:rPr>
        <w:t>1.</w:t>
      </w:r>
      <w:r>
        <w:rPr>
          <w:rFonts w:eastAsia="仿宋_GB2312"/>
          <w:sz w:val="32"/>
          <w:szCs w:val="32"/>
        </w:rPr>
        <w:t>产品风险管理资料</w:t>
      </w:r>
    </w:p>
    <w:p w14:paraId="40D07C29">
      <w:pPr>
        <w:spacing w:line="520" w:lineRule="exact"/>
        <w:ind w:firstLine="640" w:firstLineChars="200"/>
        <w:rPr>
          <w:rFonts w:eastAsia="仿宋_GB2312"/>
          <w:sz w:val="32"/>
          <w:szCs w:val="32"/>
        </w:rPr>
      </w:pPr>
      <w:r>
        <w:rPr>
          <w:rFonts w:eastAsia="仿宋_GB2312"/>
          <w:sz w:val="32"/>
          <w:szCs w:val="32"/>
        </w:rPr>
        <w:t>医用空气压缩机组的风险管理报告应符合YY/T 0316《医疗器械 风险管理对医疗器械的应用》的有关要求，审查要点包括：</w:t>
      </w:r>
    </w:p>
    <w:p w14:paraId="72CF2AC0">
      <w:pPr>
        <w:spacing w:line="520" w:lineRule="exact"/>
        <w:ind w:firstLine="640" w:firstLineChars="200"/>
        <w:rPr>
          <w:rFonts w:eastAsia="仿宋_GB2312"/>
          <w:sz w:val="32"/>
          <w:szCs w:val="32"/>
        </w:rPr>
      </w:pPr>
      <w:r>
        <w:rPr>
          <w:rFonts w:eastAsia="仿宋_GB2312"/>
          <w:sz w:val="32"/>
          <w:szCs w:val="32"/>
        </w:rPr>
        <w:t>（1）与产品有关的安全性特征判定可参考YY/T 0316的附录C。</w:t>
      </w:r>
    </w:p>
    <w:p w14:paraId="7155485A">
      <w:pPr>
        <w:spacing w:line="520" w:lineRule="exact"/>
        <w:ind w:firstLine="640" w:firstLineChars="200"/>
        <w:rPr>
          <w:rFonts w:eastAsia="仿宋_GB2312"/>
          <w:sz w:val="32"/>
          <w:szCs w:val="32"/>
        </w:rPr>
      </w:pPr>
      <w:r>
        <w:rPr>
          <w:rFonts w:eastAsia="仿宋_GB2312"/>
          <w:sz w:val="32"/>
          <w:szCs w:val="32"/>
        </w:rPr>
        <w:t>（2）危害、可预见的事件序列和危害处境判断可参考YY/T 0316附录E、I。</w:t>
      </w:r>
    </w:p>
    <w:p w14:paraId="6BE52669">
      <w:pPr>
        <w:spacing w:line="520" w:lineRule="exact"/>
        <w:ind w:firstLine="640" w:firstLineChars="200"/>
        <w:rPr>
          <w:rFonts w:eastAsia="仿宋_GB2312"/>
          <w:sz w:val="32"/>
          <w:szCs w:val="32"/>
        </w:rPr>
      </w:pPr>
      <w:r>
        <w:rPr>
          <w:rFonts w:eastAsia="仿宋_GB2312"/>
          <w:sz w:val="32"/>
          <w:szCs w:val="32"/>
        </w:rPr>
        <w:t>（3）风险控制的方案与实施、综合剩余风险的可接受性评价及生产和生产后监视相关方法可参考YY/T 0316附录F、G、J。</w:t>
      </w:r>
    </w:p>
    <w:p w14:paraId="71743AC3">
      <w:pPr>
        <w:spacing w:line="520" w:lineRule="exact"/>
        <w:ind w:firstLine="640" w:firstLineChars="200"/>
        <w:rPr>
          <w:rFonts w:eastAsia="仿宋_GB2312"/>
          <w:sz w:val="32"/>
          <w:szCs w:val="32"/>
        </w:rPr>
      </w:pPr>
      <w:r>
        <w:rPr>
          <w:rFonts w:eastAsia="仿宋_GB2312"/>
          <w:sz w:val="32"/>
          <w:szCs w:val="32"/>
        </w:rPr>
        <w:t>以下依据YY/T 0316的附录E（表2）从各方面提示性列举了医用空气压缩机组的可能存在的初始危害因素，提示审评人员可从以下方面考虑。</w:t>
      </w:r>
    </w:p>
    <w:p w14:paraId="69950597">
      <w:pPr>
        <w:spacing w:line="520" w:lineRule="exact"/>
        <w:jc w:val="center"/>
        <w:rPr>
          <w:rFonts w:eastAsia="黑体"/>
          <w:sz w:val="28"/>
          <w:szCs w:val="28"/>
        </w:rPr>
      </w:pPr>
      <w:r>
        <w:rPr>
          <w:rFonts w:eastAsia="黑体"/>
          <w:sz w:val="28"/>
          <w:szCs w:val="28"/>
        </w:rPr>
        <w:t>表2 产品主要初始危害因素</w:t>
      </w:r>
    </w:p>
    <w:tbl>
      <w:tblPr>
        <w:tblStyle w:val="1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0"/>
        <w:gridCol w:w="2430"/>
        <w:gridCol w:w="2638"/>
        <w:gridCol w:w="2435"/>
      </w:tblGrid>
      <w:tr w14:paraId="4F5E7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7C217B0F">
            <w:pPr>
              <w:spacing w:line="400" w:lineRule="exact"/>
              <w:jc w:val="center"/>
              <w:rPr>
                <w:rFonts w:eastAsia="仿宋_GB2312"/>
                <w:color w:val="000000"/>
                <w:spacing w:val="-1"/>
                <w:sz w:val="28"/>
                <w:szCs w:val="28"/>
              </w:rPr>
            </w:pPr>
            <w:r>
              <w:rPr>
                <w:rFonts w:eastAsia="仿宋_GB2312"/>
                <w:color w:val="000000"/>
                <w:spacing w:val="-1"/>
                <w:sz w:val="28"/>
                <w:szCs w:val="28"/>
              </w:rPr>
              <w:t>危险（源）</w:t>
            </w:r>
          </w:p>
        </w:tc>
        <w:tc>
          <w:tcPr>
            <w:tcW w:w="2430" w:type="dxa"/>
            <w:tcBorders>
              <w:top w:val="single" w:color="auto" w:sz="4" w:space="0"/>
              <w:left w:val="single" w:color="auto" w:sz="4" w:space="0"/>
              <w:bottom w:val="single" w:color="auto" w:sz="4" w:space="0"/>
              <w:right w:val="single" w:color="auto" w:sz="4" w:space="0"/>
            </w:tcBorders>
            <w:vAlign w:val="center"/>
          </w:tcPr>
          <w:p w14:paraId="0E5A9639">
            <w:pPr>
              <w:spacing w:line="400" w:lineRule="exact"/>
              <w:jc w:val="center"/>
              <w:rPr>
                <w:rFonts w:eastAsia="仿宋_GB2312"/>
                <w:color w:val="000000"/>
                <w:spacing w:val="-1"/>
                <w:sz w:val="28"/>
                <w:szCs w:val="28"/>
              </w:rPr>
            </w:pPr>
            <w:r>
              <w:rPr>
                <w:rFonts w:eastAsia="仿宋_GB2312"/>
                <w:color w:val="000000"/>
                <w:spacing w:val="-1"/>
                <w:sz w:val="28"/>
                <w:szCs w:val="28"/>
              </w:rPr>
              <w:t>可预见的事件序列</w:t>
            </w:r>
          </w:p>
        </w:tc>
        <w:tc>
          <w:tcPr>
            <w:tcW w:w="2638" w:type="dxa"/>
            <w:tcBorders>
              <w:top w:val="single" w:color="auto" w:sz="4" w:space="0"/>
              <w:left w:val="single" w:color="auto" w:sz="4" w:space="0"/>
              <w:bottom w:val="single" w:color="auto" w:sz="4" w:space="0"/>
              <w:right w:val="single" w:color="auto" w:sz="4" w:space="0"/>
            </w:tcBorders>
            <w:vAlign w:val="center"/>
          </w:tcPr>
          <w:p w14:paraId="2DE3C9BA">
            <w:pPr>
              <w:spacing w:line="400" w:lineRule="exact"/>
              <w:jc w:val="center"/>
              <w:rPr>
                <w:rFonts w:eastAsia="仿宋_GB2312"/>
                <w:color w:val="000000"/>
                <w:spacing w:val="-1"/>
                <w:sz w:val="28"/>
                <w:szCs w:val="28"/>
              </w:rPr>
            </w:pPr>
            <w:r>
              <w:rPr>
                <w:rFonts w:eastAsia="仿宋_GB2312"/>
                <w:color w:val="000000"/>
                <w:spacing w:val="-1"/>
                <w:sz w:val="28"/>
                <w:szCs w:val="28"/>
              </w:rPr>
              <w:t>危险情况</w:t>
            </w:r>
          </w:p>
        </w:tc>
        <w:tc>
          <w:tcPr>
            <w:tcW w:w="2435" w:type="dxa"/>
            <w:tcBorders>
              <w:top w:val="single" w:color="auto" w:sz="4" w:space="0"/>
              <w:left w:val="single" w:color="auto" w:sz="4" w:space="0"/>
              <w:bottom w:val="single" w:color="auto" w:sz="4" w:space="0"/>
              <w:right w:val="single" w:color="auto" w:sz="4" w:space="0"/>
            </w:tcBorders>
            <w:vAlign w:val="center"/>
          </w:tcPr>
          <w:p w14:paraId="37FFC98D">
            <w:pPr>
              <w:spacing w:line="400" w:lineRule="exact"/>
              <w:jc w:val="center"/>
              <w:rPr>
                <w:rFonts w:eastAsia="仿宋_GB2312"/>
                <w:color w:val="000000"/>
                <w:spacing w:val="-1"/>
                <w:sz w:val="28"/>
                <w:szCs w:val="28"/>
              </w:rPr>
            </w:pPr>
            <w:r>
              <w:rPr>
                <w:rFonts w:eastAsia="仿宋_GB2312"/>
                <w:color w:val="000000"/>
                <w:spacing w:val="-1"/>
                <w:sz w:val="28"/>
                <w:szCs w:val="28"/>
              </w:rPr>
              <w:t>伤害</w:t>
            </w:r>
          </w:p>
        </w:tc>
      </w:tr>
      <w:tr w14:paraId="63AE0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45AFFC23">
            <w:pPr>
              <w:spacing w:line="400" w:lineRule="exact"/>
              <w:jc w:val="center"/>
              <w:rPr>
                <w:rFonts w:eastAsia="仿宋_GB2312"/>
                <w:color w:val="000000"/>
                <w:spacing w:val="-1"/>
                <w:sz w:val="28"/>
                <w:szCs w:val="28"/>
              </w:rPr>
            </w:pPr>
            <w:r>
              <w:rPr>
                <w:rFonts w:eastAsia="仿宋_GB2312"/>
                <w:color w:val="000000"/>
                <w:spacing w:val="-1"/>
                <w:sz w:val="28"/>
                <w:szCs w:val="28"/>
              </w:rPr>
              <w:t>电磁能</w:t>
            </w:r>
          </w:p>
        </w:tc>
        <w:tc>
          <w:tcPr>
            <w:tcW w:w="2430" w:type="dxa"/>
            <w:tcBorders>
              <w:top w:val="single" w:color="auto" w:sz="4" w:space="0"/>
              <w:left w:val="single" w:color="auto" w:sz="4" w:space="0"/>
              <w:bottom w:val="single" w:color="auto" w:sz="4" w:space="0"/>
              <w:right w:val="single" w:color="auto" w:sz="4" w:space="0"/>
            </w:tcBorders>
            <w:vAlign w:val="center"/>
          </w:tcPr>
          <w:p w14:paraId="7CD8A033">
            <w:pPr>
              <w:spacing w:line="400" w:lineRule="exact"/>
              <w:jc w:val="center"/>
              <w:rPr>
                <w:rFonts w:eastAsia="仿宋_GB2312"/>
                <w:color w:val="000000"/>
                <w:spacing w:val="-1"/>
                <w:sz w:val="28"/>
                <w:szCs w:val="28"/>
              </w:rPr>
            </w:pPr>
            <w:r>
              <w:rPr>
                <w:rFonts w:eastAsia="仿宋_GB2312"/>
                <w:color w:val="000000"/>
                <w:spacing w:val="-1"/>
                <w:sz w:val="28"/>
                <w:szCs w:val="28"/>
              </w:rPr>
              <w:t>保护接地阻抗超过允许限值</w:t>
            </w:r>
          </w:p>
        </w:tc>
        <w:tc>
          <w:tcPr>
            <w:tcW w:w="2638" w:type="dxa"/>
            <w:tcBorders>
              <w:top w:val="single" w:color="auto" w:sz="4" w:space="0"/>
              <w:left w:val="single" w:color="auto" w:sz="4" w:space="0"/>
              <w:bottom w:val="single" w:color="auto" w:sz="4" w:space="0"/>
              <w:right w:val="single" w:color="auto" w:sz="4" w:space="0"/>
            </w:tcBorders>
            <w:vAlign w:val="center"/>
          </w:tcPr>
          <w:p w14:paraId="25E35413">
            <w:pPr>
              <w:spacing w:line="400" w:lineRule="exact"/>
              <w:jc w:val="center"/>
              <w:rPr>
                <w:rFonts w:eastAsia="仿宋_GB2312"/>
                <w:color w:val="000000"/>
                <w:spacing w:val="-1"/>
                <w:sz w:val="28"/>
                <w:szCs w:val="28"/>
              </w:rPr>
            </w:pPr>
            <w:r>
              <w:rPr>
                <w:rFonts w:eastAsia="仿宋_GB2312"/>
                <w:color w:val="000000"/>
                <w:spacing w:val="-1"/>
                <w:sz w:val="28"/>
                <w:szCs w:val="28"/>
              </w:rPr>
              <w:t>电源故障时设备上会有电压差，人员接触会形成电流回路；机组可能带电，通过管道传导到气体终端</w:t>
            </w:r>
          </w:p>
        </w:tc>
        <w:tc>
          <w:tcPr>
            <w:tcW w:w="2435" w:type="dxa"/>
            <w:tcBorders>
              <w:top w:val="single" w:color="auto" w:sz="4" w:space="0"/>
              <w:left w:val="single" w:color="auto" w:sz="4" w:space="0"/>
              <w:bottom w:val="single" w:color="auto" w:sz="4" w:space="0"/>
              <w:right w:val="single" w:color="auto" w:sz="4" w:space="0"/>
            </w:tcBorders>
            <w:vAlign w:val="center"/>
          </w:tcPr>
          <w:p w14:paraId="70EBAEA1">
            <w:pPr>
              <w:spacing w:line="400" w:lineRule="exact"/>
              <w:jc w:val="center"/>
              <w:rPr>
                <w:rFonts w:eastAsia="仿宋_GB2312"/>
                <w:color w:val="000000"/>
                <w:spacing w:val="-1"/>
                <w:sz w:val="28"/>
                <w:szCs w:val="28"/>
              </w:rPr>
            </w:pPr>
            <w:r>
              <w:rPr>
                <w:rFonts w:eastAsia="仿宋_GB2312"/>
                <w:color w:val="000000"/>
                <w:spacing w:val="-1"/>
                <w:sz w:val="28"/>
                <w:szCs w:val="28"/>
              </w:rPr>
              <w:t>触电，严重时死亡</w:t>
            </w:r>
          </w:p>
          <w:p w14:paraId="0EE3E55E">
            <w:pPr>
              <w:spacing w:line="400" w:lineRule="exact"/>
              <w:jc w:val="center"/>
              <w:rPr>
                <w:rFonts w:eastAsia="仿宋_GB2312"/>
                <w:color w:val="000000"/>
                <w:spacing w:val="-1"/>
                <w:sz w:val="28"/>
                <w:szCs w:val="28"/>
              </w:rPr>
            </w:pPr>
          </w:p>
        </w:tc>
      </w:tr>
      <w:tr w14:paraId="43002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68C89BF1">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1849BBDD">
            <w:pPr>
              <w:spacing w:line="400" w:lineRule="exact"/>
              <w:jc w:val="center"/>
              <w:rPr>
                <w:rFonts w:eastAsia="仿宋_GB2312"/>
                <w:color w:val="000000"/>
                <w:spacing w:val="-1"/>
                <w:sz w:val="28"/>
                <w:szCs w:val="28"/>
              </w:rPr>
            </w:pPr>
            <w:r>
              <w:rPr>
                <w:rFonts w:eastAsia="仿宋_GB2312"/>
                <w:color w:val="000000"/>
                <w:spacing w:val="-1"/>
                <w:sz w:val="28"/>
                <w:szCs w:val="28"/>
              </w:rPr>
              <w:t>电磁辐射超过规定的要求，或抗电磁干扰不符合要求</w:t>
            </w:r>
          </w:p>
        </w:tc>
        <w:tc>
          <w:tcPr>
            <w:tcW w:w="2638" w:type="dxa"/>
            <w:tcBorders>
              <w:top w:val="single" w:color="auto" w:sz="4" w:space="0"/>
              <w:left w:val="single" w:color="auto" w:sz="4" w:space="0"/>
              <w:bottom w:val="single" w:color="auto" w:sz="4" w:space="0"/>
              <w:right w:val="single" w:color="auto" w:sz="4" w:space="0"/>
            </w:tcBorders>
            <w:vAlign w:val="center"/>
          </w:tcPr>
          <w:p w14:paraId="7F9CBCFC">
            <w:pPr>
              <w:spacing w:line="400" w:lineRule="exact"/>
              <w:jc w:val="center"/>
              <w:rPr>
                <w:rFonts w:eastAsia="仿宋_GB2312"/>
                <w:color w:val="000000"/>
                <w:spacing w:val="-1"/>
                <w:sz w:val="28"/>
                <w:szCs w:val="28"/>
              </w:rPr>
            </w:pPr>
            <w:r>
              <w:rPr>
                <w:rFonts w:eastAsia="仿宋_GB2312"/>
                <w:color w:val="000000"/>
                <w:spacing w:val="-1"/>
                <w:sz w:val="28"/>
                <w:szCs w:val="28"/>
              </w:rPr>
              <w:t>不能在电磁环境中正常工作或对环境产生超过规定的干扰</w:t>
            </w:r>
          </w:p>
        </w:tc>
        <w:tc>
          <w:tcPr>
            <w:tcW w:w="2435" w:type="dxa"/>
            <w:tcBorders>
              <w:top w:val="single" w:color="auto" w:sz="4" w:space="0"/>
              <w:left w:val="single" w:color="auto" w:sz="4" w:space="0"/>
              <w:bottom w:val="single" w:color="auto" w:sz="4" w:space="0"/>
              <w:right w:val="single" w:color="auto" w:sz="4" w:space="0"/>
            </w:tcBorders>
            <w:vAlign w:val="center"/>
          </w:tcPr>
          <w:p w14:paraId="778BAB0C">
            <w:pPr>
              <w:spacing w:line="400" w:lineRule="exact"/>
              <w:jc w:val="center"/>
              <w:rPr>
                <w:rFonts w:eastAsia="仿宋_GB2312"/>
                <w:color w:val="000000"/>
                <w:spacing w:val="-1"/>
                <w:sz w:val="28"/>
                <w:szCs w:val="28"/>
              </w:rPr>
            </w:pPr>
            <w:r>
              <w:rPr>
                <w:rFonts w:eastAsia="仿宋_GB2312"/>
                <w:color w:val="000000"/>
                <w:spacing w:val="-1"/>
                <w:sz w:val="28"/>
                <w:szCs w:val="28"/>
              </w:rPr>
              <w:t>自身受干扰或其它设备受干扰不能正常工作，控制程序紊乱</w:t>
            </w:r>
          </w:p>
        </w:tc>
      </w:tr>
      <w:tr w14:paraId="07547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4B07938C">
            <w:pPr>
              <w:spacing w:line="400" w:lineRule="exact"/>
              <w:jc w:val="center"/>
              <w:rPr>
                <w:rFonts w:eastAsia="仿宋_GB2312"/>
                <w:color w:val="000000"/>
                <w:spacing w:val="-1"/>
                <w:sz w:val="28"/>
                <w:szCs w:val="28"/>
              </w:rPr>
            </w:pPr>
            <w:r>
              <w:rPr>
                <w:rFonts w:eastAsia="仿宋_GB2312"/>
                <w:color w:val="000000"/>
                <w:spacing w:val="-1"/>
                <w:sz w:val="28"/>
                <w:szCs w:val="28"/>
              </w:rPr>
              <w:t>热能</w:t>
            </w:r>
          </w:p>
        </w:tc>
        <w:tc>
          <w:tcPr>
            <w:tcW w:w="2430" w:type="dxa"/>
            <w:tcBorders>
              <w:top w:val="single" w:color="auto" w:sz="4" w:space="0"/>
              <w:left w:val="single" w:color="auto" w:sz="4" w:space="0"/>
              <w:bottom w:val="single" w:color="auto" w:sz="4" w:space="0"/>
              <w:right w:val="single" w:color="auto" w:sz="4" w:space="0"/>
            </w:tcBorders>
            <w:vAlign w:val="center"/>
          </w:tcPr>
          <w:p w14:paraId="5BB7DFAF">
            <w:pPr>
              <w:spacing w:line="400" w:lineRule="exact"/>
              <w:jc w:val="center"/>
              <w:rPr>
                <w:rFonts w:eastAsia="仿宋_GB2312"/>
                <w:spacing w:val="-1"/>
                <w:sz w:val="28"/>
                <w:szCs w:val="28"/>
              </w:rPr>
            </w:pPr>
            <w:r>
              <w:rPr>
                <w:rFonts w:eastAsia="仿宋_GB2312"/>
                <w:spacing w:val="-1"/>
                <w:sz w:val="28"/>
                <w:szCs w:val="28"/>
              </w:rPr>
              <w:t>压缩机本体、排气管路及后冷却器表面高温</w:t>
            </w:r>
          </w:p>
        </w:tc>
        <w:tc>
          <w:tcPr>
            <w:tcW w:w="2638" w:type="dxa"/>
            <w:tcBorders>
              <w:top w:val="single" w:color="auto" w:sz="4" w:space="0"/>
              <w:left w:val="single" w:color="auto" w:sz="4" w:space="0"/>
              <w:bottom w:val="single" w:color="auto" w:sz="4" w:space="0"/>
              <w:right w:val="single" w:color="auto" w:sz="4" w:space="0"/>
            </w:tcBorders>
            <w:vAlign w:val="center"/>
          </w:tcPr>
          <w:p w14:paraId="7A90A35D">
            <w:pPr>
              <w:spacing w:line="400" w:lineRule="exact"/>
              <w:jc w:val="center"/>
              <w:rPr>
                <w:rFonts w:eastAsia="仿宋_GB2312"/>
                <w:spacing w:val="-1"/>
                <w:sz w:val="28"/>
                <w:szCs w:val="28"/>
              </w:rPr>
            </w:pPr>
            <w:r>
              <w:rPr>
                <w:rFonts w:eastAsia="仿宋_GB2312"/>
                <w:spacing w:val="-1"/>
                <w:sz w:val="28"/>
                <w:szCs w:val="28"/>
              </w:rPr>
              <w:t>人员接触高温表面</w:t>
            </w:r>
          </w:p>
        </w:tc>
        <w:tc>
          <w:tcPr>
            <w:tcW w:w="2435" w:type="dxa"/>
            <w:tcBorders>
              <w:top w:val="single" w:color="auto" w:sz="4" w:space="0"/>
              <w:left w:val="single" w:color="auto" w:sz="4" w:space="0"/>
              <w:bottom w:val="single" w:color="auto" w:sz="4" w:space="0"/>
              <w:right w:val="single" w:color="auto" w:sz="4" w:space="0"/>
            </w:tcBorders>
            <w:vAlign w:val="center"/>
          </w:tcPr>
          <w:p w14:paraId="31645933">
            <w:pPr>
              <w:spacing w:line="400" w:lineRule="exact"/>
              <w:jc w:val="center"/>
              <w:rPr>
                <w:rFonts w:eastAsia="仿宋_GB2312"/>
                <w:spacing w:val="-1"/>
                <w:sz w:val="28"/>
                <w:szCs w:val="28"/>
              </w:rPr>
            </w:pPr>
            <w:r>
              <w:rPr>
                <w:rFonts w:eastAsia="仿宋_GB2312"/>
                <w:spacing w:val="-1"/>
                <w:sz w:val="28"/>
                <w:szCs w:val="28"/>
              </w:rPr>
              <w:t>烫伤</w:t>
            </w:r>
          </w:p>
        </w:tc>
      </w:tr>
      <w:tr w14:paraId="5B264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2BD4EA13">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3E29D1BA">
            <w:pPr>
              <w:spacing w:line="400" w:lineRule="exact"/>
              <w:jc w:val="center"/>
              <w:rPr>
                <w:rFonts w:eastAsia="仿宋_GB2312"/>
                <w:spacing w:val="-1"/>
                <w:sz w:val="28"/>
                <w:szCs w:val="28"/>
              </w:rPr>
            </w:pPr>
            <w:r>
              <w:rPr>
                <w:rFonts w:eastAsia="仿宋_GB2312"/>
                <w:spacing w:val="-1"/>
                <w:sz w:val="28"/>
                <w:szCs w:val="28"/>
              </w:rPr>
              <w:t>无润滑压缩机严重过热</w:t>
            </w:r>
          </w:p>
        </w:tc>
        <w:tc>
          <w:tcPr>
            <w:tcW w:w="2638" w:type="dxa"/>
            <w:tcBorders>
              <w:top w:val="single" w:color="auto" w:sz="4" w:space="0"/>
              <w:left w:val="single" w:color="auto" w:sz="4" w:space="0"/>
              <w:bottom w:val="single" w:color="auto" w:sz="4" w:space="0"/>
              <w:right w:val="single" w:color="auto" w:sz="4" w:space="0"/>
            </w:tcBorders>
            <w:vAlign w:val="center"/>
          </w:tcPr>
          <w:p w14:paraId="36E0C434">
            <w:pPr>
              <w:spacing w:line="400" w:lineRule="exact"/>
              <w:jc w:val="center"/>
              <w:rPr>
                <w:rFonts w:eastAsia="仿宋_GB2312"/>
                <w:spacing w:val="-1"/>
                <w:sz w:val="28"/>
                <w:szCs w:val="28"/>
              </w:rPr>
            </w:pPr>
            <w:r>
              <w:rPr>
                <w:rFonts w:eastAsia="仿宋_GB2312"/>
                <w:spacing w:val="-1"/>
                <w:sz w:val="28"/>
                <w:szCs w:val="28"/>
              </w:rPr>
              <w:t>压缩机压缩腔内部涂层、填料、密封件由于严重过热释放出有毒气体。</w:t>
            </w:r>
          </w:p>
        </w:tc>
        <w:tc>
          <w:tcPr>
            <w:tcW w:w="2435" w:type="dxa"/>
            <w:tcBorders>
              <w:top w:val="single" w:color="auto" w:sz="4" w:space="0"/>
              <w:left w:val="single" w:color="auto" w:sz="4" w:space="0"/>
              <w:bottom w:val="single" w:color="auto" w:sz="4" w:space="0"/>
              <w:right w:val="single" w:color="auto" w:sz="4" w:space="0"/>
            </w:tcBorders>
            <w:vAlign w:val="center"/>
          </w:tcPr>
          <w:p w14:paraId="71332E3D">
            <w:pPr>
              <w:spacing w:line="400" w:lineRule="exact"/>
              <w:jc w:val="center"/>
              <w:rPr>
                <w:rFonts w:eastAsia="仿宋_GB2312"/>
                <w:spacing w:val="-1"/>
                <w:sz w:val="28"/>
                <w:szCs w:val="28"/>
              </w:rPr>
            </w:pPr>
            <w:r>
              <w:rPr>
                <w:rFonts w:eastAsia="仿宋_GB2312"/>
                <w:spacing w:val="-1"/>
                <w:sz w:val="28"/>
                <w:szCs w:val="28"/>
              </w:rPr>
              <w:t>危害患者</w:t>
            </w:r>
          </w:p>
        </w:tc>
      </w:tr>
      <w:tr w14:paraId="1339C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72C028BC">
            <w:pPr>
              <w:spacing w:line="400" w:lineRule="exact"/>
              <w:jc w:val="center"/>
              <w:rPr>
                <w:rFonts w:eastAsia="仿宋_GB2312"/>
                <w:color w:val="000000"/>
                <w:spacing w:val="-1"/>
                <w:sz w:val="28"/>
                <w:szCs w:val="28"/>
              </w:rPr>
            </w:pPr>
            <w:r>
              <w:rPr>
                <w:rFonts w:eastAsia="仿宋_GB2312"/>
                <w:color w:val="000000"/>
                <w:spacing w:val="-1"/>
                <w:sz w:val="28"/>
                <w:szCs w:val="28"/>
              </w:rPr>
              <w:t>机械能</w:t>
            </w:r>
          </w:p>
        </w:tc>
        <w:tc>
          <w:tcPr>
            <w:tcW w:w="2430" w:type="dxa"/>
            <w:tcBorders>
              <w:top w:val="single" w:color="auto" w:sz="4" w:space="0"/>
              <w:left w:val="single" w:color="auto" w:sz="4" w:space="0"/>
              <w:bottom w:val="single" w:color="auto" w:sz="4" w:space="0"/>
              <w:right w:val="single" w:color="auto" w:sz="4" w:space="0"/>
            </w:tcBorders>
            <w:vAlign w:val="center"/>
          </w:tcPr>
          <w:p w14:paraId="605677C8">
            <w:pPr>
              <w:spacing w:line="400" w:lineRule="exact"/>
              <w:jc w:val="center"/>
              <w:rPr>
                <w:rFonts w:eastAsia="仿宋_GB2312"/>
                <w:spacing w:val="-1"/>
                <w:sz w:val="28"/>
                <w:szCs w:val="28"/>
              </w:rPr>
            </w:pPr>
            <w:r>
              <w:rPr>
                <w:rFonts w:eastAsia="仿宋_GB2312"/>
                <w:spacing w:val="-1"/>
                <w:sz w:val="28"/>
                <w:szCs w:val="28"/>
              </w:rPr>
              <w:t>运动零部件裸露无防护</w:t>
            </w:r>
          </w:p>
        </w:tc>
        <w:tc>
          <w:tcPr>
            <w:tcW w:w="2638" w:type="dxa"/>
            <w:tcBorders>
              <w:top w:val="single" w:color="auto" w:sz="4" w:space="0"/>
              <w:left w:val="single" w:color="auto" w:sz="4" w:space="0"/>
              <w:bottom w:val="single" w:color="auto" w:sz="4" w:space="0"/>
              <w:right w:val="single" w:color="auto" w:sz="4" w:space="0"/>
            </w:tcBorders>
            <w:vAlign w:val="center"/>
          </w:tcPr>
          <w:p w14:paraId="61EFB1F0">
            <w:pPr>
              <w:spacing w:line="400" w:lineRule="exact"/>
              <w:jc w:val="center"/>
              <w:rPr>
                <w:rFonts w:eastAsia="仿宋_GB2312"/>
                <w:spacing w:val="-1"/>
                <w:sz w:val="28"/>
                <w:szCs w:val="28"/>
              </w:rPr>
            </w:pPr>
            <w:r>
              <w:rPr>
                <w:rFonts w:eastAsia="仿宋_GB2312"/>
                <w:spacing w:val="-1"/>
                <w:sz w:val="28"/>
                <w:szCs w:val="28"/>
              </w:rPr>
              <w:t>人员接触或靠近，肢体或衣物卷入</w:t>
            </w:r>
          </w:p>
        </w:tc>
        <w:tc>
          <w:tcPr>
            <w:tcW w:w="2435" w:type="dxa"/>
            <w:tcBorders>
              <w:top w:val="single" w:color="auto" w:sz="4" w:space="0"/>
              <w:left w:val="single" w:color="auto" w:sz="4" w:space="0"/>
              <w:bottom w:val="single" w:color="auto" w:sz="4" w:space="0"/>
              <w:right w:val="single" w:color="auto" w:sz="4" w:space="0"/>
            </w:tcBorders>
            <w:vAlign w:val="center"/>
          </w:tcPr>
          <w:p w14:paraId="2865D88D">
            <w:pPr>
              <w:spacing w:line="400" w:lineRule="exact"/>
              <w:jc w:val="center"/>
              <w:rPr>
                <w:rFonts w:eastAsia="仿宋_GB2312"/>
                <w:spacing w:val="-1"/>
                <w:sz w:val="28"/>
                <w:szCs w:val="28"/>
              </w:rPr>
            </w:pPr>
            <w:r>
              <w:rPr>
                <w:rFonts w:eastAsia="仿宋_GB2312"/>
                <w:spacing w:val="-1"/>
                <w:sz w:val="28"/>
                <w:szCs w:val="28"/>
              </w:rPr>
              <w:t>碰伤、肢体伤害</w:t>
            </w:r>
          </w:p>
        </w:tc>
      </w:tr>
      <w:tr w14:paraId="1E0A1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2FE1270C">
            <w:pPr>
              <w:spacing w:line="400" w:lineRule="exact"/>
              <w:jc w:val="center"/>
              <w:rPr>
                <w:rFonts w:eastAsia="仿宋_GB2312"/>
                <w:color w:val="000000"/>
                <w:spacing w:val="-1"/>
                <w:sz w:val="28"/>
                <w:szCs w:val="28"/>
              </w:rPr>
            </w:pPr>
            <w:r>
              <w:rPr>
                <w:rFonts w:eastAsia="仿宋_GB2312"/>
                <w:color w:val="000000"/>
                <w:spacing w:val="-1"/>
                <w:sz w:val="28"/>
                <w:szCs w:val="28"/>
              </w:rPr>
              <w:t>压力</w:t>
            </w:r>
          </w:p>
        </w:tc>
        <w:tc>
          <w:tcPr>
            <w:tcW w:w="2430" w:type="dxa"/>
            <w:tcBorders>
              <w:top w:val="single" w:color="auto" w:sz="4" w:space="0"/>
              <w:left w:val="single" w:color="auto" w:sz="4" w:space="0"/>
              <w:bottom w:val="single" w:color="auto" w:sz="4" w:space="0"/>
              <w:right w:val="single" w:color="auto" w:sz="4" w:space="0"/>
            </w:tcBorders>
            <w:vAlign w:val="center"/>
          </w:tcPr>
          <w:p w14:paraId="105B28EA">
            <w:pPr>
              <w:spacing w:line="400" w:lineRule="exact"/>
              <w:jc w:val="center"/>
              <w:rPr>
                <w:rFonts w:eastAsia="仿宋_GB2312"/>
                <w:spacing w:val="-1"/>
                <w:sz w:val="28"/>
                <w:szCs w:val="28"/>
              </w:rPr>
            </w:pPr>
            <w:r>
              <w:rPr>
                <w:rFonts w:eastAsia="仿宋_GB2312"/>
                <w:spacing w:val="-1"/>
                <w:sz w:val="28"/>
                <w:szCs w:val="28"/>
              </w:rPr>
              <w:t>空压机运行不正常（气量不足）、系统漏气、减压装置故障、管道系统堵塞，造成输出压力低于规定的值</w:t>
            </w:r>
          </w:p>
        </w:tc>
        <w:tc>
          <w:tcPr>
            <w:tcW w:w="2638" w:type="dxa"/>
            <w:tcBorders>
              <w:top w:val="single" w:color="auto" w:sz="4" w:space="0"/>
              <w:left w:val="single" w:color="auto" w:sz="4" w:space="0"/>
              <w:bottom w:val="single" w:color="auto" w:sz="4" w:space="0"/>
              <w:right w:val="single" w:color="auto" w:sz="4" w:space="0"/>
            </w:tcBorders>
            <w:vAlign w:val="center"/>
          </w:tcPr>
          <w:p w14:paraId="5DA164AF">
            <w:pPr>
              <w:spacing w:line="400" w:lineRule="exact"/>
              <w:jc w:val="center"/>
              <w:rPr>
                <w:rFonts w:eastAsia="仿宋_GB2312"/>
                <w:spacing w:val="-1"/>
                <w:sz w:val="28"/>
                <w:szCs w:val="28"/>
              </w:rPr>
            </w:pPr>
            <w:r>
              <w:rPr>
                <w:rFonts w:eastAsia="仿宋_GB2312"/>
                <w:spacing w:val="-1"/>
                <w:sz w:val="28"/>
                <w:szCs w:val="28"/>
              </w:rPr>
              <w:t>输出压力不足，终端流量和压力减小，可能造成空氧配比不符合要求</w:t>
            </w:r>
          </w:p>
        </w:tc>
        <w:tc>
          <w:tcPr>
            <w:tcW w:w="2435" w:type="dxa"/>
            <w:tcBorders>
              <w:top w:val="single" w:color="auto" w:sz="4" w:space="0"/>
              <w:left w:val="single" w:color="auto" w:sz="4" w:space="0"/>
              <w:bottom w:val="single" w:color="auto" w:sz="4" w:space="0"/>
              <w:right w:val="single" w:color="auto" w:sz="4" w:space="0"/>
            </w:tcBorders>
            <w:vAlign w:val="center"/>
          </w:tcPr>
          <w:p w14:paraId="26F4C155">
            <w:pPr>
              <w:spacing w:line="400" w:lineRule="exact"/>
              <w:jc w:val="center"/>
              <w:rPr>
                <w:rFonts w:eastAsia="仿宋_GB2312"/>
                <w:spacing w:val="-1"/>
                <w:sz w:val="28"/>
                <w:szCs w:val="28"/>
              </w:rPr>
            </w:pPr>
            <w:r>
              <w:rPr>
                <w:rFonts w:eastAsia="仿宋_GB2312"/>
                <w:spacing w:val="-1"/>
                <w:sz w:val="28"/>
                <w:szCs w:val="28"/>
              </w:rPr>
              <w:t>造成氧中毒或呼吸机工作不正常，危及患者的生命</w:t>
            </w:r>
          </w:p>
        </w:tc>
      </w:tr>
      <w:tr w14:paraId="40C80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79480959">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45722870">
            <w:pPr>
              <w:spacing w:line="400" w:lineRule="exact"/>
              <w:jc w:val="center"/>
              <w:rPr>
                <w:rFonts w:eastAsia="仿宋_GB2312"/>
                <w:spacing w:val="-1"/>
                <w:sz w:val="28"/>
                <w:szCs w:val="28"/>
              </w:rPr>
            </w:pPr>
            <w:r>
              <w:rPr>
                <w:rFonts w:eastAsia="仿宋_GB2312"/>
                <w:spacing w:val="-1"/>
                <w:sz w:val="28"/>
                <w:szCs w:val="28"/>
              </w:rPr>
              <w:t>减压装置故障、安全阀失效或堵塞，造成输出压力高于规定的值</w:t>
            </w:r>
          </w:p>
        </w:tc>
        <w:tc>
          <w:tcPr>
            <w:tcW w:w="2638" w:type="dxa"/>
            <w:tcBorders>
              <w:top w:val="single" w:color="auto" w:sz="4" w:space="0"/>
              <w:left w:val="single" w:color="auto" w:sz="4" w:space="0"/>
              <w:bottom w:val="single" w:color="auto" w:sz="4" w:space="0"/>
              <w:right w:val="single" w:color="auto" w:sz="4" w:space="0"/>
            </w:tcBorders>
            <w:vAlign w:val="center"/>
          </w:tcPr>
          <w:p w14:paraId="2B42018C">
            <w:pPr>
              <w:spacing w:line="400" w:lineRule="exact"/>
              <w:jc w:val="center"/>
              <w:rPr>
                <w:rFonts w:eastAsia="仿宋_GB2312"/>
                <w:spacing w:val="-1"/>
                <w:sz w:val="28"/>
                <w:szCs w:val="28"/>
              </w:rPr>
            </w:pPr>
            <w:r>
              <w:rPr>
                <w:rFonts w:eastAsia="仿宋_GB2312"/>
                <w:spacing w:val="-1"/>
                <w:sz w:val="28"/>
                <w:szCs w:val="28"/>
              </w:rPr>
              <w:t>超压，超过管道耐压范围，或造成终端压力过高</w:t>
            </w:r>
          </w:p>
        </w:tc>
        <w:tc>
          <w:tcPr>
            <w:tcW w:w="2435" w:type="dxa"/>
            <w:tcBorders>
              <w:top w:val="single" w:color="auto" w:sz="4" w:space="0"/>
              <w:left w:val="single" w:color="auto" w:sz="4" w:space="0"/>
              <w:bottom w:val="single" w:color="auto" w:sz="4" w:space="0"/>
              <w:right w:val="single" w:color="auto" w:sz="4" w:space="0"/>
            </w:tcBorders>
            <w:vAlign w:val="center"/>
          </w:tcPr>
          <w:p w14:paraId="211065C5">
            <w:pPr>
              <w:spacing w:line="400" w:lineRule="exact"/>
              <w:jc w:val="center"/>
              <w:rPr>
                <w:rFonts w:eastAsia="仿宋_GB2312"/>
                <w:spacing w:val="-1"/>
                <w:sz w:val="28"/>
                <w:szCs w:val="28"/>
              </w:rPr>
            </w:pPr>
            <w:r>
              <w:rPr>
                <w:rFonts w:eastAsia="仿宋_GB2312"/>
                <w:spacing w:val="-1"/>
                <w:sz w:val="28"/>
                <w:szCs w:val="28"/>
              </w:rPr>
              <w:t>气体压力过高，可能导致管道破裂，器械（包括呼吸机）超压保护停机，造成手术中断，危及患者的生命</w:t>
            </w:r>
          </w:p>
        </w:tc>
      </w:tr>
      <w:tr w14:paraId="5C7C8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1CA9E2C8">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2218E6BD">
            <w:pPr>
              <w:spacing w:line="400" w:lineRule="exact"/>
              <w:jc w:val="center"/>
              <w:rPr>
                <w:rFonts w:eastAsia="仿宋_GB2312"/>
                <w:spacing w:val="-1"/>
                <w:sz w:val="28"/>
                <w:szCs w:val="28"/>
              </w:rPr>
            </w:pPr>
            <w:r>
              <w:rPr>
                <w:rFonts w:eastAsia="仿宋_GB2312"/>
                <w:spacing w:val="-1"/>
                <w:sz w:val="28"/>
                <w:szCs w:val="28"/>
              </w:rPr>
              <w:t>监测压力的器具（压力表、压力报警器等）未按规定检定或校准</w:t>
            </w:r>
          </w:p>
        </w:tc>
        <w:tc>
          <w:tcPr>
            <w:tcW w:w="2638" w:type="dxa"/>
            <w:tcBorders>
              <w:top w:val="single" w:color="auto" w:sz="4" w:space="0"/>
              <w:left w:val="single" w:color="auto" w:sz="4" w:space="0"/>
              <w:bottom w:val="single" w:color="auto" w:sz="4" w:space="0"/>
              <w:right w:val="single" w:color="auto" w:sz="4" w:space="0"/>
            </w:tcBorders>
            <w:vAlign w:val="center"/>
          </w:tcPr>
          <w:p w14:paraId="6C3ED15E">
            <w:pPr>
              <w:spacing w:line="400" w:lineRule="exact"/>
              <w:jc w:val="center"/>
              <w:rPr>
                <w:rFonts w:eastAsia="仿宋_GB2312"/>
                <w:spacing w:val="-1"/>
                <w:sz w:val="28"/>
                <w:szCs w:val="28"/>
              </w:rPr>
            </w:pPr>
            <w:r>
              <w:rPr>
                <w:rFonts w:eastAsia="仿宋_GB2312"/>
                <w:spacing w:val="-1"/>
                <w:sz w:val="28"/>
                <w:szCs w:val="28"/>
              </w:rPr>
              <w:t>压力显示偏离，造成医用气体机组欠压或超压</w:t>
            </w:r>
          </w:p>
        </w:tc>
        <w:tc>
          <w:tcPr>
            <w:tcW w:w="2435" w:type="dxa"/>
            <w:tcBorders>
              <w:top w:val="single" w:color="auto" w:sz="4" w:space="0"/>
              <w:left w:val="single" w:color="auto" w:sz="4" w:space="0"/>
              <w:bottom w:val="single" w:color="auto" w:sz="4" w:space="0"/>
              <w:right w:val="single" w:color="auto" w:sz="4" w:space="0"/>
            </w:tcBorders>
            <w:vAlign w:val="center"/>
          </w:tcPr>
          <w:p w14:paraId="799D5194">
            <w:pPr>
              <w:spacing w:line="400" w:lineRule="exact"/>
              <w:jc w:val="center"/>
              <w:rPr>
                <w:rFonts w:eastAsia="仿宋_GB2312"/>
                <w:spacing w:val="-1"/>
                <w:sz w:val="28"/>
                <w:szCs w:val="28"/>
              </w:rPr>
            </w:pPr>
            <w:r>
              <w:rPr>
                <w:rFonts w:eastAsia="仿宋_GB2312"/>
                <w:spacing w:val="-1"/>
                <w:sz w:val="28"/>
                <w:szCs w:val="28"/>
              </w:rPr>
              <w:t>造成的危害如同上述的“气体压力低于规定值”或“气体压力高于规定值”</w:t>
            </w:r>
          </w:p>
        </w:tc>
      </w:tr>
      <w:tr w14:paraId="34484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56F54AB1">
            <w:pPr>
              <w:spacing w:line="400" w:lineRule="exact"/>
              <w:jc w:val="center"/>
              <w:rPr>
                <w:rFonts w:eastAsia="仿宋_GB2312"/>
                <w:color w:val="000000"/>
                <w:spacing w:val="-1"/>
                <w:sz w:val="28"/>
                <w:szCs w:val="28"/>
              </w:rPr>
            </w:pPr>
            <w:r>
              <w:rPr>
                <w:rFonts w:eastAsia="仿宋_GB2312"/>
                <w:color w:val="000000"/>
                <w:spacing w:val="-1"/>
                <w:sz w:val="28"/>
                <w:szCs w:val="28"/>
              </w:rPr>
              <w:t>生物学危害</w:t>
            </w:r>
          </w:p>
        </w:tc>
        <w:tc>
          <w:tcPr>
            <w:tcW w:w="2430" w:type="dxa"/>
            <w:tcBorders>
              <w:top w:val="single" w:color="auto" w:sz="4" w:space="0"/>
              <w:left w:val="single" w:color="auto" w:sz="4" w:space="0"/>
              <w:bottom w:val="single" w:color="auto" w:sz="4" w:space="0"/>
              <w:right w:val="single" w:color="auto" w:sz="4" w:space="0"/>
            </w:tcBorders>
            <w:vAlign w:val="center"/>
          </w:tcPr>
          <w:p w14:paraId="00AED29D">
            <w:pPr>
              <w:spacing w:line="400" w:lineRule="exact"/>
              <w:jc w:val="center"/>
              <w:rPr>
                <w:rFonts w:eastAsia="仿宋_GB2312"/>
                <w:spacing w:val="-1"/>
                <w:sz w:val="28"/>
                <w:szCs w:val="28"/>
              </w:rPr>
            </w:pPr>
            <w:r>
              <w:rPr>
                <w:rFonts w:eastAsia="仿宋_GB2312"/>
                <w:spacing w:val="-1"/>
                <w:sz w:val="28"/>
                <w:szCs w:val="28"/>
              </w:rPr>
              <w:t>管道脱脂清洗不完全</w:t>
            </w:r>
          </w:p>
        </w:tc>
        <w:tc>
          <w:tcPr>
            <w:tcW w:w="2638" w:type="dxa"/>
            <w:tcBorders>
              <w:top w:val="single" w:color="auto" w:sz="4" w:space="0"/>
              <w:left w:val="single" w:color="auto" w:sz="4" w:space="0"/>
              <w:bottom w:val="single" w:color="auto" w:sz="4" w:space="0"/>
              <w:right w:val="single" w:color="auto" w:sz="4" w:space="0"/>
            </w:tcBorders>
            <w:vAlign w:val="center"/>
          </w:tcPr>
          <w:p w14:paraId="23B2BDAD">
            <w:pPr>
              <w:spacing w:line="400" w:lineRule="exact"/>
              <w:jc w:val="center"/>
              <w:rPr>
                <w:rFonts w:eastAsia="仿宋_GB2312"/>
                <w:spacing w:val="-1"/>
                <w:sz w:val="28"/>
                <w:szCs w:val="28"/>
              </w:rPr>
            </w:pPr>
            <w:r>
              <w:rPr>
                <w:rFonts w:eastAsia="仿宋_GB2312"/>
                <w:spacing w:val="-1"/>
                <w:sz w:val="28"/>
                <w:szCs w:val="28"/>
              </w:rPr>
              <w:t>管道中的油脂混到压缩空气中，输送到患者端</w:t>
            </w:r>
          </w:p>
        </w:tc>
        <w:tc>
          <w:tcPr>
            <w:tcW w:w="2435" w:type="dxa"/>
            <w:tcBorders>
              <w:top w:val="single" w:color="auto" w:sz="4" w:space="0"/>
              <w:left w:val="single" w:color="auto" w:sz="4" w:space="0"/>
              <w:bottom w:val="single" w:color="auto" w:sz="4" w:space="0"/>
              <w:right w:val="single" w:color="auto" w:sz="4" w:space="0"/>
            </w:tcBorders>
            <w:vAlign w:val="center"/>
          </w:tcPr>
          <w:p w14:paraId="70167C75">
            <w:pPr>
              <w:spacing w:line="400" w:lineRule="exact"/>
              <w:jc w:val="center"/>
              <w:rPr>
                <w:rFonts w:eastAsia="仿宋_GB2312"/>
                <w:spacing w:val="-1"/>
                <w:sz w:val="28"/>
                <w:szCs w:val="28"/>
              </w:rPr>
            </w:pPr>
            <w:r>
              <w:rPr>
                <w:rFonts w:eastAsia="仿宋_GB2312"/>
                <w:spacing w:val="-1"/>
                <w:sz w:val="28"/>
                <w:szCs w:val="28"/>
              </w:rPr>
              <w:t>造成患者感染</w:t>
            </w:r>
          </w:p>
        </w:tc>
      </w:tr>
      <w:tr w14:paraId="33C46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22C1FDCA">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466596B6">
            <w:pPr>
              <w:spacing w:line="400" w:lineRule="exact"/>
              <w:jc w:val="center"/>
              <w:rPr>
                <w:rFonts w:eastAsia="仿宋_GB2312"/>
                <w:spacing w:val="-1"/>
                <w:sz w:val="28"/>
                <w:szCs w:val="28"/>
              </w:rPr>
            </w:pPr>
            <w:r>
              <w:rPr>
                <w:rFonts w:eastAsia="仿宋_GB2312"/>
                <w:spacing w:val="-1"/>
                <w:sz w:val="28"/>
                <w:szCs w:val="28"/>
              </w:rPr>
              <w:t>过滤器滤芯、干燥器干燥剂性能失效，未及时更换</w:t>
            </w:r>
          </w:p>
        </w:tc>
        <w:tc>
          <w:tcPr>
            <w:tcW w:w="2638" w:type="dxa"/>
            <w:tcBorders>
              <w:top w:val="single" w:color="auto" w:sz="4" w:space="0"/>
              <w:left w:val="single" w:color="auto" w:sz="4" w:space="0"/>
              <w:bottom w:val="single" w:color="auto" w:sz="4" w:space="0"/>
              <w:right w:val="single" w:color="auto" w:sz="4" w:space="0"/>
            </w:tcBorders>
            <w:vAlign w:val="center"/>
          </w:tcPr>
          <w:p w14:paraId="3BEBB202">
            <w:pPr>
              <w:spacing w:line="400" w:lineRule="exact"/>
              <w:jc w:val="center"/>
              <w:rPr>
                <w:rFonts w:eastAsia="仿宋_GB2312"/>
                <w:spacing w:val="-1"/>
                <w:sz w:val="28"/>
                <w:szCs w:val="28"/>
              </w:rPr>
            </w:pPr>
            <w:r>
              <w:rPr>
                <w:rFonts w:eastAsia="仿宋_GB2312"/>
                <w:spacing w:val="-1"/>
                <w:sz w:val="28"/>
                <w:szCs w:val="28"/>
              </w:rPr>
              <w:t>污染物超标</w:t>
            </w:r>
          </w:p>
        </w:tc>
        <w:tc>
          <w:tcPr>
            <w:tcW w:w="2435" w:type="dxa"/>
            <w:tcBorders>
              <w:top w:val="single" w:color="auto" w:sz="4" w:space="0"/>
              <w:left w:val="single" w:color="auto" w:sz="4" w:space="0"/>
              <w:bottom w:val="single" w:color="auto" w:sz="4" w:space="0"/>
              <w:right w:val="single" w:color="auto" w:sz="4" w:space="0"/>
            </w:tcBorders>
            <w:vAlign w:val="center"/>
          </w:tcPr>
          <w:p w14:paraId="3CF54719">
            <w:pPr>
              <w:spacing w:line="400" w:lineRule="exact"/>
              <w:jc w:val="center"/>
              <w:rPr>
                <w:rFonts w:eastAsia="仿宋_GB2312"/>
                <w:spacing w:val="-1"/>
                <w:sz w:val="28"/>
                <w:szCs w:val="28"/>
              </w:rPr>
            </w:pPr>
            <w:r>
              <w:rPr>
                <w:rFonts w:eastAsia="仿宋_GB2312"/>
                <w:spacing w:val="-1"/>
                <w:sz w:val="28"/>
                <w:szCs w:val="28"/>
              </w:rPr>
              <w:t>造成患者感染</w:t>
            </w:r>
          </w:p>
        </w:tc>
      </w:tr>
      <w:tr w14:paraId="2F15F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74FA8AC4">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56E67323">
            <w:pPr>
              <w:spacing w:line="400" w:lineRule="exact"/>
              <w:jc w:val="center"/>
              <w:rPr>
                <w:rFonts w:eastAsia="仿宋_GB2312"/>
                <w:spacing w:val="-1"/>
                <w:sz w:val="28"/>
                <w:szCs w:val="28"/>
              </w:rPr>
            </w:pPr>
            <w:r>
              <w:rPr>
                <w:rFonts w:eastAsia="仿宋_GB2312"/>
                <w:spacing w:val="-1"/>
                <w:sz w:val="28"/>
                <w:szCs w:val="28"/>
              </w:rPr>
              <w:t>压缩机进气口空气质量低于规定要求或者受到污染</w:t>
            </w:r>
          </w:p>
        </w:tc>
        <w:tc>
          <w:tcPr>
            <w:tcW w:w="2638" w:type="dxa"/>
            <w:tcBorders>
              <w:top w:val="single" w:color="auto" w:sz="4" w:space="0"/>
              <w:left w:val="single" w:color="auto" w:sz="4" w:space="0"/>
              <w:bottom w:val="single" w:color="auto" w:sz="4" w:space="0"/>
              <w:right w:val="single" w:color="auto" w:sz="4" w:space="0"/>
            </w:tcBorders>
            <w:vAlign w:val="center"/>
          </w:tcPr>
          <w:p w14:paraId="380FEA78">
            <w:pPr>
              <w:spacing w:line="400" w:lineRule="exact"/>
              <w:jc w:val="center"/>
              <w:rPr>
                <w:rFonts w:eastAsia="仿宋_GB2312"/>
                <w:spacing w:val="-1"/>
                <w:sz w:val="28"/>
                <w:szCs w:val="28"/>
              </w:rPr>
            </w:pPr>
            <w:r>
              <w:rPr>
                <w:rFonts w:eastAsia="仿宋_GB2312"/>
                <w:spacing w:val="-1"/>
                <w:sz w:val="28"/>
                <w:szCs w:val="28"/>
              </w:rPr>
              <w:t>有害物质超标</w:t>
            </w:r>
          </w:p>
        </w:tc>
        <w:tc>
          <w:tcPr>
            <w:tcW w:w="2435" w:type="dxa"/>
            <w:tcBorders>
              <w:top w:val="single" w:color="auto" w:sz="4" w:space="0"/>
              <w:left w:val="single" w:color="auto" w:sz="4" w:space="0"/>
              <w:bottom w:val="single" w:color="auto" w:sz="4" w:space="0"/>
              <w:right w:val="single" w:color="auto" w:sz="4" w:space="0"/>
            </w:tcBorders>
            <w:vAlign w:val="center"/>
          </w:tcPr>
          <w:p w14:paraId="73F343BD">
            <w:pPr>
              <w:spacing w:line="400" w:lineRule="exact"/>
              <w:jc w:val="center"/>
              <w:rPr>
                <w:rFonts w:eastAsia="仿宋_GB2312"/>
                <w:spacing w:val="-1"/>
                <w:sz w:val="28"/>
                <w:szCs w:val="28"/>
              </w:rPr>
            </w:pPr>
            <w:r>
              <w:rPr>
                <w:rFonts w:eastAsia="仿宋_GB2312"/>
                <w:spacing w:val="-1"/>
                <w:sz w:val="28"/>
                <w:szCs w:val="28"/>
              </w:rPr>
              <w:t>造成患者感染</w:t>
            </w:r>
          </w:p>
        </w:tc>
      </w:tr>
      <w:tr w14:paraId="5AE00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1920F8A5">
            <w:pPr>
              <w:spacing w:line="400" w:lineRule="exact"/>
              <w:jc w:val="center"/>
              <w:rPr>
                <w:rFonts w:eastAsia="仿宋_GB2312"/>
                <w:color w:val="000000"/>
                <w:spacing w:val="-1"/>
                <w:sz w:val="28"/>
                <w:szCs w:val="28"/>
              </w:rPr>
            </w:pPr>
            <w:r>
              <w:rPr>
                <w:rFonts w:eastAsia="仿宋_GB2312"/>
                <w:color w:val="000000"/>
                <w:spacing w:val="-1"/>
                <w:sz w:val="28"/>
                <w:szCs w:val="28"/>
              </w:rPr>
              <w:t>声能</w:t>
            </w:r>
          </w:p>
        </w:tc>
        <w:tc>
          <w:tcPr>
            <w:tcW w:w="2430" w:type="dxa"/>
            <w:tcBorders>
              <w:top w:val="single" w:color="auto" w:sz="4" w:space="0"/>
              <w:left w:val="single" w:color="auto" w:sz="4" w:space="0"/>
              <w:bottom w:val="single" w:color="auto" w:sz="4" w:space="0"/>
              <w:right w:val="single" w:color="auto" w:sz="4" w:space="0"/>
            </w:tcBorders>
            <w:vAlign w:val="center"/>
          </w:tcPr>
          <w:p w14:paraId="5BBD6EF4">
            <w:pPr>
              <w:spacing w:line="400" w:lineRule="exact"/>
              <w:jc w:val="center"/>
              <w:rPr>
                <w:rFonts w:eastAsia="仿宋_GB2312"/>
                <w:spacing w:val="-1"/>
                <w:sz w:val="28"/>
                <w:szCs w:val="28"/>
              </w:rPr>
            </w:pPr>
            <w:r>
              <w:rPr>
                <w:rFonts w:eastAsia="仿宋_GB2312"/>
                <w:spacing w:val="-1"/>
                <w:sz w:val="28"/>
                <w:szCs w:val="28"/>
              </w:rPr>
              <w:t>空气压缩机外壳固定件松动或防护罩破损，设备运行时振动</w:t>
            </w:r>
          </w:p>
        </w:tc>
        <w:tc>
          <w:tcPr>
            <w:tcW w:w="2638" w:type="dxa"/>
            <w:tcBorders>
              <w:top w:val="single" w:color="auto" w:sz="4" w:space="0"/>
              <w:left w:val="single" w:color="auto" w:sz="4" w:space="0"/>
              <w:bottom w:val="single" w:color="auto" w:sz="4" w:space="0"/>
              <w:right w:val="single" w:color="auto" w:sz="4" w:space="0"/>
            </w:tcBorders>
            <w:vAlign w:val="center"/>
          </w:tcPr>
          <w:p w14:paraId="7C09BA3D">
            <w:pPr>
              <w:spacing w:line="400" w:lineRule="exact"/>
              <w:rPr>
                <w:rFonts w:eastAsia="仿宋_GB2312"/>
                <w:spacing w:val="-1"/>
                <w:sz w:val="28"/>
                <w:szCs w:val="28"/>
              </w:rPr>
            </w:pPr>
            <w:r>
              <w:rPr>
                <w:rFonts w:eastAsia="仿宋_GB2312"/>
                <w:spacing w:val="-1"/>
                <w:sz w:val="28"/>
                <w:szCs w:val="28"/>
              </w:rPr>
              <w:t>环境噪音大，听觉报警错失</w:t>
            </w:r>
          </w:p>
        </w:tc>
        <w:tc>
          <w:tcPr>
            <w:tcW w:w="2435" w:type="dxa"/>
            <w:tcBorders>
              <w:top w:val="single" w:color="auto" w:sz="4" w:space="0"/>
              <w:left w:val="single" w:color="auto" w:sz="4" w:space="0"/>
              <w:bottom w:val="single" w:color="auto" w:sz="4" w:space="0"/>
              <w:right w:val="single" w:color="auto" w:sz="4" w:space="0"/>
            </w:tcBorders>
            <w:vAlign w:val="center"/>
          </w:tcPr>
          <w:p w14:paraId="19B4BDD2">
            <w:pPr>
              <w:spacing w:line="400" w:lineRule="exact"/>
              <w:jc w:val="center"/>
              <w:rPr>
                <w:rFonts w:eastAsia="仿宋_GB2312"/>
                <w:spacing w:val="-1"/>
                <w:sz w:val="28"/>
                <w:szCs w:val="28"/>
              </w:rPr>
            </w:pPr>
            <w:r>
              <w:rPr>
                <w:rFonts w:eastAsia="仿宋_GB2312"/>
                <w:spacing w:val="-1"/>
                <w:sz w:val="28"/>
                <w:szCs w:val="28"/>
              </w:rPr>
              <w:t>不能及时发现故障，影响听觉</w:t>
            </w:r>
          </w:p>
        </w:tc>
      </w:tr>
      <w:tr w14:paraId="21D48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3301E09F">
            <w:pPr>
              <w:spacing w:line="400" w:lineRule="exact"/>
              <w:jc w:val="center"/>
              <w:rPr>
                <w:rFonts w:eastAsia="仿宋_GB2312"/>
                <w:color w:val="000000"/>
                <w:spacing w:val="-1"/>
                <w:sz w:val="28"/>
                <w:szCs w:val="28"/>
              </w:rPr>
            </w:pPr>
            <w:r>
              <w:rPr>
                <w:rFonts w:eastAsia="仿宋_GB2312"/>
                <w:color w:val="000000"/>
                <w:spacing w:val="-1"/>
                <w:sz w:val="28"/>
                <w:szCs w:val="28"/>
              </w:rPr>
              <w:t>使用操作</w:t>
            </w:r>
          </w:p>
        </w:tc>
        <w:tc>
          <w:tcPr>
            <w:tcW w:w="2430" w:type="dxa"/>
            <w:tcBorders>
              <w:top w:val="single" w:color="auto" w:sz="4" w:space="0"/>
              <w:left w:val="single" w:color="auto" w:sz="4" w:space="0"/>
              <w:bottom w:val="single" w:color="auto" w:sz="4" w:space="0"/>
              <w:right w:val="single" w:color="auto" w:sz="4" w:space="0"/>
            </w:tcBorders>
            <w:vAlign w:val="center"/>
          </w:tcPr>
          <w:p w14:paraId="4917C5BA">
            <w:pPr>
              <w:spacing w:line="400" w:lineRule="exact"/>
              <w:jc w:val="center"/>
              <w:rPr>
                <w:rFonts w:eastAsia="仿宋_GB2312"/>
                <w:spacing w:val="-1"/>
                <w:sz w:val="28"/>
                <w:szCs w:val="28"/>
              </w:rPr>
            </w:pPr>
            <w:r>
              <w:rPr>
                <w:rFonts w:eastAsia="仿宋_GB2312"/>
                <w:spacing w:val="-1"/>
                <w:sz w:val="28"/>
                <w:szCs w:val="28"/>
              </w:rPr>
              <w:t>误将医疗空气用于驱动器械</w:t>
            </w:r>
          </w:p>
        </w:tc>
        <w:tc>
          <w:tcPr>
            <w:tcW w:w="2638" w:type="dxa"/>
            <w:tcBorders>
              <w:top w:val="single" w:color="auto" w:sz="4" w:space="0"/>
              <w:left w:val="single" w:color="auto" w:sz="4" w:space="0"/>
              <w:bottom w:val="single" w:color="auto" w:sz="4" w:space="0"/>
              <w:right w:val="single" w:color="auto" w:sz="4" w:space="0"/>
            </w:tcBorders>
            <w:vAlign w:val="center"/>
          </w:tcPr>
          <w:p w14:paraId="3B68A662">
            <w:pPr>
              <w:spacing w:line="400" w:lineRule="exact"/>
              <w:jc w:val="center"/>
              <w:rPr>
                <w:rFonts w:eastAsia="仿宋_GB2312"/>
                <w:spacing w:val="-1"/>
                <w:sz w:val="28"/>
                <w:szCs w:val="28"/>
              </w:rPr>
            </w:pPr>
            <w:r>
              <w:rPr>
                <w:rFonts w:eastAsia="仿宋_GB2312"/>
                <w:spacing w:val="-1"/>
                <w:sz w:val="28"/>
                <w:szCs w:val="28"/>
              </w:rPr>
              <w:t>气体压力太低，无法驱动器械正常工作</w:t>
            </w:r>
          </w:p>
        </w:tc>
        <w:tc>
          <w:tcPr>
            <w:tcW w:w="2435" w:type="dxa"/>
            <w:tcBorders>
              <w:top w:val="single" w:color="auto" w:sz="4" w:space="0"/>
              <w:left w:val="single" w:color="auto" w:sz="4" w:space="0"/>
              <w:bottom w:val="single" w:color="auto" w:sz="4" w:space="0"/>
              <w:right w:val="single" w:color="auto" w:sz="4" w:space="0"/>
            </w:tcBorders>
            <w:vAlign w:val="center"/>
          </w:tcPr>
          <w:p w14:paraId="2CA9FF4C">
            <w:pPr>
              <w:spacing w:line="400" w:lineRule="exact"/>
              <w:jc w:val="center"/>
              <w:rPr>
                <w:rFonts w:eastAsia="仿宋_GB2312"/>
                <w:spacing w:val="-1"/>
                <w:sz w:val="28"/>
                <w:szCs w:val="28"/>
              </w:rPr>
            </w:pPr>
            <w:r>
              <w:rPr>
                <w:rFonts w:eastAsia="仿宋_GB2312"/>
                <w:spacing w:val="-1"/>
                <w:sz w:val="28"/>
                <w:szCs w:val="28"/>
              </w:rPr>
              <w:t>器械无法使用；驱动力不足，造成患者伤害</w:t>
            </w:r>
          </w:p>
        </w:tc>
      </w:tr>
      <w:tr w14:paraId="2C4F0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5" w:hRule="atLeast"/>
          <w:tblHeader/>
          <w:jc w:val="center"/>
        </w:trPr>
        <w:tc>
          <w:tcPr>
            <w:tcW w:w="1520" w:type="dxa"/>
            <w:vMerge w:val="continue"/>
            <w:tcBorders>
              <w:left w:val="single" w:color="auto" w:sz="4" w:space="0"/>
              <w:right w:val="single" w:color="auto" w:sz="4" w:space="0"/>
            </w:tcBorders>
            <w:vAlign w:val="center"/>
          </w:tcPr>
          <w:p w14:paraId="394049C6">
            <w:pPr>
              <w:spacing w:line="400" w:lineRule="exact"/>
              <w:jc w:val="center"/>
              <w:rPr>
                <w:rFonts w:eastAsia="仿宋_GB2312"/>
                <w:color w:val="000000"/>
                <w:spacing w:val="-1"/>
                <w:sz w:val="28"/>
                <w:szCs w:val="28"/>
              </w:rPr>
            </w:pPr>
          </w:p>
        </w:tc>
        <w:tc>
          <w:tcPr>
            <w:tcW w:w="2430" w:type="dxa"/>
            <w:vMerge w:val="restart"/>
            <w:tcBorders>
              <w:top w:val="single" w:color="auto" w:sz="4" w:space="0"/>
              <w:left w:val="single" w:color="auto" w:sz="4" w:space="0"/>
              <w:right w:val="single" w:color="auto" w:sz="4" w:space="0"/>
            </w:tcBorders>
            <w:vAlign w:val="center"/>
          </w:tcPr>
          <w:p w14:paraId="2568D5FA">
            <w:pPr>
              <w:spacing w:line="400" w:lineRule="exact"/>
              <w:jc w:val="center"/>
              <w:rPr>
                <w:rFonts w:eastAsia="仿宋_GB2312"/>
                <w:spacing w:val="-1"/>
                <w:sz w:val="28"/>
                <w:szCs w:val="28"/>
              </w:rPr>
            </w:pPr>
            <w:r>
              <w:rPr>
                <w:rFonts w:eastAsia="仿宋_GB2312"/>
                <w:spacing w:val="-1"/>
                <w:sz w:val="28"/>
                <w:szCs w:val="28"/>
              </w:rPr>
              <w:t>操作不当或错误</w:t>
            </w:r>
          </w:p>
        </w:tc>
        <w:tc>
          <w:tcPr>
            <w:tcW w:w="2638" w:type="dxa"/>
            <w:tcBorders>
              <w:top w:val="single" w:color="auto" w:sz="4" w:space="0"/>
              <w:left w:val="single" w:color="auto" w:sz="4" w:space="0"/>
              <w:bottom w:val="single" w:color="auto" w:sz="4" w:space="0"/>
              <w:right w:val="single" w:color="auto" w:sz="4" w:space="0"/>
            </w:tcBorders>
            <w:vAlign w:val="center"/>
          </w:tcPr>
          <w:p w14:paraId="57884B27">
            <w:pPr>
              <w:spacing w:line="400" w:lineRule="exact"/>
              <w:jc w:val="center"/>
              <w:rPr>
                <w:rFonts w:eastAsia="仿宋_GB2312"/>
                <w:spacing w:val="-1"/>
                <w:sz w:val="28"/>
                <w:szCs w:val="28"/>
              </w:rPr>
            </w:pPr>
            <w:r>
              <w:rPr>
                <w:rFonts w:eastAsia="仿宋_GB2312"/>
                <w:spacing w:val="-1"/>
                <w:sz w:val="28"/>
                <w:szCs w:val="28"/>
              </w:rPr>
              <w:t>阀门操作错误、减压装置调整不当</w:t>
            </w:r>
          </w:p>
        </w:tc>
        <w:tc>
          <w:tcPr>
            <w:tcW w:w="2435" w:type="dxa"/>
            <w:tcBorders>
              <w:top w:val="single" w:color="auto" w:sz="4" w:space="0"/>
              <w:left w:val="single" w:color="auto" w:sz="4" w:space="0"/>
              <w:bottom w:val="single" w:color="auto" w:sz="4" w:space="0"/>
              <w:right w:val="single" w:color="auto" w:sz="4" w:space="0"/>
            </w:tcBorders>
            <w:vAlign w:val="center"/>
          </w:tcPr>
          <w:p w14:paraId="57BF80DE">
            <w:pPr>
              <w:spacing w:line="400" w:lineRule="exact"/>
              <w:jc w:val="center"/>
              <w:rPr>
                <w:rFonts w:eastAsia="仿宋_GB2312"/>
                <w:spacing w:val="-1"/>
                <w:sz w:val="28"/>
                <w:szCs w:val="28"/>
              </w:rPr>
            </w:pPr>
            <w:r>
              <w:rPr>
                <w:rFonts w:eastAsia="仿宋_GB2312"/>
                <w:spacing w:val="-1"/>
                <w:sz w:val="28"/>
                <w:szCs w:val="28"/>
              </w:rPr>
              <w:t>造成的危害如同上述的“气体压力低于规定值”或“气体压力高于规定值”</w:t>
            </w:r>
          </w:p>
        </w:tc>
      </w:tr>
      <w:tr w14:paraId="7661E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5" w:hRule="atLeast"/>
          <w:tblHeader/>
          <w:jc w:val="center"/>
        </w:trPr>
        <w:tc>
          <w:tcPr>
            <w:tcW w:w="1520" w:type="dxa"/>
            <w:vMerge w:val="continue"/>
            <w:tcBorders>
              <w:left w:val="single" w:color="auto" w:sz="4" w:space="0"/>
              <w:right w:val="single" w:color="auto" w:sz="4" w:space="0"/>
            </w:tcBorders>
            <w:vAlign w:val="center"/>
          </w:tcPr>
          <w:p w14:paraId="0DBAD848">
            <w:pPr>
              <w:spacing w:line="400" w:lineRule="exact"/>
              <w:jc w:val="center"/>
            </w:pPr>
          </w:p>
        </w:tc>
        <w:tc>
          <w:tcPr>
            <w:tcW w:w="2430" w:type="dxa"/>
            <w:vMerge w:val="continue"/>
            <w:tcBorders>
              <w:left w:val="single" w:color="auto" w:sz="4" w:space="0"/>
              <w:bottom w:val="single" w:color="auto" w:sz="4" w:space="0"/>
              <w:right w:val="single" w:color="auto" w:sz="4" w:space="0"/>
            </w:tcBorders>
            <w:vAlign w:val="center"/>
          </w:tcPr>
          <w:p w14:paraId="275032CD">
            <w:pPr>
              <w:spacing w:line="400" w:lineRule="exact"/>
              <w:jc w:val="center"/>
            </w:pPr>
          </w:p>
        </w:tc>
        <w:tc>
          <w:tcPr>
            <w:tcW w:w="2638" w:type="dxa"/>
            <w:tcBorders>
              <w:top w:val="single" w:color="auto" w:sz="4" w:space="0"/>
              <w:left w:val="single" w:color="auto" w:sz="4" w:space="0"/>
              <w:bottom w:val="single" w:color="auto" w:sz="4" w:space="0"/>
              <w:right w:val="single" w:color="auto" w:sz="4" w:space="0"/>
            </w:tcBorders>
            <w:vAlign w:val="center"/>
          </w:tcPr>
          <w:p w14:paraId="54328B95">
            <w:pPr>
              <w:spacing w:line="400" w:lineRule="exact"/>
              <w:jc w:val="center"/>
              <w:rPr>
                <w:rFonts w:eastAsia="仿宋_GB2312"/>
                <w:spacing w:val="-1"/>
                <w:sz w:val="28"/>
                <w:szCs w:val="28"/>
              </w:rPr>
            </w:pPr>
            <w:r>
              <w:rPr>
                <w:rFonts w:eastAsia="仿宋_GB2312"/>
                <w:spacing w:val="-1"/>
                <w:sz w:val="28"/>
                <w:szCs w:val="28"/>
              </w:rPr>
              <w:t>阀门操作错误造成供气中断</w:t>
            </w:r>
          </w:p>
        </w:tc>
        <w:tc>
          <w:tcPr>
            <w:tcW w:w="2435" w:type="dxa"/>
            <w:tcBorders>
              <w:top w:val="single" w:color="auto" w:sz="4" w:space="0"/>
              <w:left w:val="single" w:color="auto" w:sz="4" w:space="0"/>
              <w:bottom w:val="single" w:color="auto" w:sz="4" w:space="0"/>
              <w:right w:val="single" w:color="auto" w:sz="4" w:space="0"/>
            </w:tcBorders>
            <w:vAlign w:val="center"/>
          </w:tcPr>
          <w:p w14:paraId="41A39B1D">
            <w:pPr>
              <w:spacing w:line="400" w:lineRule="exact"/>
              <w:jc w:val="center"/>
              <w:rPr>
                <w:rFonts w:eastAsia="仿宋_GB2312"/>
                <w:spacing w:val="-1"/>
                <w:sz w:val="28"/>
                <w:szCs w:val="28"/>
              </w:rPr>
            </w:pPr>
            <w:r>
              <w:rPr>
                <w:rFonts w:eastAsia="仿宋_GB2312"/>
                <w:spacing w:val="-1"/>
                <w:sz w:val="28"/>
                <w:szCs w:val="28"/>
              </w:rPr>
              <w:t>危及患者的生命</w:t>
            </w:r>
          </w:p>
        </w:tc>
      </w:tr>
      <w:tr w14:paraId="35EE0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bottom w:val="single" w:color="auto" w:sz="4" w:space="0"/>
              <w:right w:val="single" w:color="auto" w:sz="4" w:space="0"/>
            </w:tcBorders>
            <w:vAlign w:val="center"/>
          </w:tcPr>
          <w:p w14:paraId="62E459BB">
            <w:pPr>
              <w:spacing w:line="400" w:lineRule="exact"/>
              <w:jc w:val="center"/>
              <w:rPr>
                <w:rFonts w:eastAsia="仿宋_GB2312"/>
                <w:color w:val="000000"/>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0E9ED79D">
            <w:pPr>
              <w:spacing w:line="400" w:lineRule="exact"/>
              <w:jc w:val="center"/>
              <w:rPr>
                <w:rFonts w:eastAsia="仿宋_GB2312"/>
                <w:spacing w:val="-1"/>
                <w:sz w:val="28"/>
                <w:szCs w:val="28"/>
              </w:rPr>
            </w:pPr>
            <w:r>
              <w:rPr>
                <w:rFonts w:eastAsia="仿宋_GB2312"/>
                <w:spacing w:val="-1"/>
                <w:sz w:val="28"/>
                <w:szCs w:val="28"/>
              </w:rPr>
              <w:t>未按期巡查、维护、检修</w:t>
            </w:r>
          </w:p>
        </w:tc>
        <w:tc>
          <w:tcPr>
            <w:tcW w:w="2638" w:type="dxa"/>
            <w:tcBorders>
              <w:top w:val="single" w:color="auto" w:sz="4" w:space="0"/>
              <w:left w:val="single" w:color="auto" w:sz="4" w:space="0"/>
              <w:bottom w:val="single" w:color="auto" w:sz="4" w:space="0"/>
              <w:right w:val="single" w:color="auto" w:sz="4" w:space="0"/>
            </w:tcBorders>
            <w:vAlign w:val="center"/>
          </w:tcPr>
          <w:p w14:paraId="6C2667F1">
            <w:pPr>
              <w:spacing w:line="400" w:lineRule="exact"/>
              <w:jc w:val="center"/>
              <w:rPr>
                <w:rFonts w:eastAsia="仿宋_GB2312"/>
                <w:spacing w:val="-1"/>
                <w:sz w:val="28"/>
                <w:szCs w:val="28"/>
              </w:rPr>
            </w:pPr>
            <w:r>
              <w:rPr>
                <w:rFonts w:eastAsia="仿宋_GB2312"/>
                <w:spacing w:val="-1"/>
                <w:sz w:val="28"/>
                <w:szCs w:val="28"/>
              </w:rPr>
              <w:t>不能及时发现设备故障，可能造成供气中断、输出压力偏离，品质不符合要求</w:t>
            </w:r>
          </w:p>
        </w:tc>
        <w:tc>
          <w:tcPr>
            <w:tcW w:w="2435" w:type="dxa"/>
            <w:tcBorders>
              <w:top w:val="single" w:color="auto" w:sz="4" w:space="0"/>
              <w:left w:val="single" w:color="auto" w:sz="4" w:space="0"/>
              <w:bottom w:val="single" w:color="auto" w:sz="4" w:space="0"/>
              <w:right w:val="single" w:color="auto" w:sz="4" w:space="0"/>
            </w:tcBorders>
            <w:vAlign w:val="center"/>
          </w:tcPr>
          <w:p w14:paraId="39449365">
            <w:pPr>
              <w:spacing w:line="400" w:lineRule="exact"/>
              <w:jc w:val="center"/>
              <w:rPr>
                <w:rFonts w:eastAsia="仿宋_GB2312"/>
                <w:spacing w:val="-1"/>
                <w:sz w:val="28"/>
                <w:szCs w:val="28"/>
              </w:rPr>
            </w:pPr>
            <w:r>
              <w:rPr>
                <w:rFonts w:eastAsia="仿宋_GB2312"/>
                <w:spacing w:val="-1"/>
                <w:sz w:val="28"/>
                <w:szCs w:val="28"/>
              </w:rPr>
              <w:t>危及患者的生命或对终端的呼吸机造成损坏</w:t>
            </w:r>
          </w:p>
        </w:tc>
      </w:tr>
      <w:tr w14:paraId="2E351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restart"/>
            <w:tcBorders>
              <w:top w:val="single" w:color="auto" w:sz="4" w:space="0"/>
              <w:left w:val="single" w:color="auto" w:sz="4" w:space="0"/>
              <w:right w:val="single" w:color="auto" w:sz="4" w:space="0"/>
            </w:tcBorders>
            <w:vAlign w:val="center"/>
          </w:tcPr>
          <w:p w14:paraId="207A677C">
            <w:pPr>
              <w:spacing w:line="400" w:lineRule="exact"/>
              <w:jc w:val="center"/>
              <w:rPr>
                <w:rFonts w:eastAsia="仿宋_GB2312"/>
                <w:color w:val="000000"/>
                <w:spacing w:val="-1"/>
                <w:sz w:val="28"/>
                <w:szCs w:val="28"/>
              </w:rPr>
            </w:pPr>
            <w:r>
              <w:rPr>
                <w:rFonts w:eastAsia="仿宋_GB2312"/>
                <w:color w:val="000000"/>
                <w:spacing w:val="-1"/>
                <w:sz w:val="28"/>
                <w:szCs w:val="28"/>
              </w:rPr>
              <w:t>压缩空气品质</w:t>
            </w:r>
          </w:p>
        </w:tc>
        <w:tc>
          <w:tcPr>
            <w:tcW w:w="2430" w:type="dxa"/>
            <w:tcBorders>
              <w:top w:val="single" w:color="auto" w:sz="4" w:space="0"/>
              <w:left w:val="single" w:color="auto" w:sz="4" w:space="0"/>
              <w:bottom w:val="single" w:color="auto" w:sz="4" w:space="0"/>
              <w:right w:val="single" w:color="auto" w:sz="4" w:space="0"/>
            </w:tcBorders>
            <w:vAlign w:val="center"/>
          </w:tcPr>
          <w:p w14:paraId="7C3B6DFB">
            <w:pPr>
              <w:spacing w:line="400" w:lineRule="exact"/>
              <w:jc w:val="center"/>
              <w:rPr>
                <w:rFonts w:eastAsia="仿宋_GB2312"/>
                <w:color w:val="000000"/>
                <w:spacing w:val="-1"/>
                <w:sz w:val="28"/>
                <w:szCs w:val="28"/>
              </w:rPr>
            </w:pPr>
            <w:r>
              <w:rPr>
                <w:rFonts w:eastAsia="仿宋_GB2312"/>
                <w:color w:val="000000"/>
                <w:spacing w:val="-1"/>
                <w:sz w:val="28"/>
                <w:szCs w:val="28"/>
              </w:rPr>
              <w:t>水分含量超标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5BF94D74">
            <w:pPr>
              <w:spacing w:line="400" w:lineRule="exact"/>
              <w:jc w:val="center"/>
              <w:rPr>
                <w:rFonts w:eastAsia="仿宋_GB2312"/>
                <w:color w:val="000000"/>
                <w:spacing w:val="-1"/>
                <w:sz w:val="28"/>
                <w:szCs w:val="28"/>
              </w:rPr>
            </w:pPr>
            <w:r>
              <w:rPr>
                <w:rFonts w:eastAsia="仿宋_GB2312"/>
                <w:color w:val="000000"/>
                <w:spacing w:val="-1"/>
                <w:sz w:val="28"/>
                <w:szCs w:val="28"/>
              </w:rPr>
              <w:t>可能在管道系统积液态水，滋生细菌</w:t>
            </w:r>
          </w:p>
        </w:tc>
        <w:tc>
          <w:tcPr>
            <w:tcW w:w="2435" w:type="dxa"/>
            <w:tcBorders>
              <w:top w:val="single" w:color="auto" w:sz="4" w:space="0"/>
              <w:left w:val="single" w:color="auto" w:sz="4" w:space="0"/>
              <w:bottom w:val="single" w:color="auto" w:sz="4" w:space="0"/>
              <w:right w:val="single" w:color="auto" w:sz="4" w:space="0"/>
            </w:tcBorders>
            <w:vAlign w:val="center"/>
          </w:tcPr>
          <w:p w14:paraId="4F9EEF81">
            <w:pPr>
              <w:spacing w:line="400" w:lineRule="exact"/>
              <w:jc w:val="center"/>
              <w:rPr>
                <w:rFonts w:eastAsia="仿宋_GB2312"/>
                <w:color w:val="000000"/>
                <w:spacing w:val="-1"/>
                <w:sz w:val="28"/>
                <w:szCs w:val="28"/>
              </w:rPr>
            </w:pPr>
            <w:r>
              <w:rPr>
                <w:rFonts w:eastAsia="仿宋_GB2312"/>
                <w:color w:val="000000"/>
                <w:spacing w:val="-1"/>
                <w:sz w:val="28"/>
                <w:szCs w:val="28"/>
              </w:rPr>
              <w:t>造成患者呼吸系统感染，液态水可能造成设备故障，危及患者生命</w:t>
            </w:r>
          </w:p>
        </w:tc>
      </w:tr>
      <w:tr w14:paraId="14533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2A007038">
            <w:pPr>
              <w:spacing w:line="400" w:lineRule="exact"/>
              <w:jc w:val="center"/>
              <w:rPr>
                <w:rFonts w:eastAsia="仿宋_GB2312"/>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252636F5">
            <w:pPr>
              <w:spacing w:line="400" w:lineRule="exact"/>
              <w:jc w:val="center"/>
              <w:rPr>
                <w:rFonts w:eastAsia="仿宋_GB2312"/>
                <w:spacing w:val="-1"/>
                <w:sz w:val="28"/>
                <w:szCs w:val="28"/>
              </w:rPr>
            </w:pPr>
            <w:r>
              <w:rPr>
                <w:rFonts w:eastAsia="仿宋_GB2312"/>
                <w:spacing w:val="-1"/>
                <w:sz w:val="28"/>
                <w:szCs w:val="28"/>
              </w:rPr>
              <w:t>油含量超标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4DE54725">
            <w:pPr>
              <w:spacing w:line="400" w:lineRule="exact"/>
              <w:jc w:val="center"/>
              <w:rPr>
                <w:rFonts w:eastAsia="仿宋_GB2312"/>
                <w:spacing w:val="-1"/>
                <w:sz w:val="28"/>
                <w:szCs w:val="28"/>
              </w:rPr>
            </w:pPr>
            <w:r>
              <w:rPr>
                <w:rFonts w:eastAsia="仿宋_GB2312"/>
                <w:spacing w:val="-1"/>
                <w:sz w:val="28"/>
                <w:szCs w:val="28"/>
              </w:rPr>
              <w:t>污染管道系统，可能造成末端装置损坏；油与氧气混合时，有毒，易燃</w:t>
            </w:r>
          </w:p>
        </w:tc>
        <w:tc>
          <w:tcPr>
            <w:tcW w:w="2435" w:type="dxa"/>
            <w:tcBorders>
              <w:top w:val="single" w:color="auto" w:sz="4" w:space="0"/>
              <w:left w:val="single" w:color="auto" w:sz="4" w:space="0"/>
              <w:bottom w:val="single" w:color="auto" w:sz="4" w:space="0"/>
              <w:right w:val="single" w:color="auto" w:sz="4" w:space="0"/>
            </w:tcBorders>
            <w:vAlign w:val="center"/>
          </w:tcPr>
          <w:p w14:paraId="671D0B61">
            <w:pPr>
              <w:spacing w:line="400" w:lineRule="exact"/>
              <w:jc w:val="center"/>
              <w:rPr>
                <w:rFonts w:eastAsia="仿宋_GB2312"/>
                <w:spacing w:val="-1"/>
                <w:sz w:val="28"/>
                <w:szCs w:val="28"/>
              </w:rPr>
            </w:pPr>
            <w:r>
              <w:rPr>
                <w:rFonts w:eastAsia="仿宋_GB2312"/>
                <w:spacing w:val="-1"/>
                <w:sz w:val="28"/>
                <w:szCs w:val="28"/>
              </w:rPr>
              <w:t>造成患者呼吸系统感染，可能造成设备故障，危及患者生命。</w:t>
            </w:r>
          </w:p>
        </w:tc>
      </w:tr>
      <w:tr w14:paraId="79E0B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186B4C28">
            <w:pPr>
              <w:spacing w:line="400" w:lineRule="exact"/>
              <w:jc w:val="center"/>
              <w:rPr>
                <w:rFonts w:eastAsia="仿宋_GB2312"/>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66610EF3">
            <w:pPr>
              <w:spacing w:line="400" w:lineRule="exact"/>
              <w:jc w:val="center"/>
              <w:rPr>
                <w:rFonts w:eastAsia="仿宋_GB2312"/>
                <w:spacing w:val="-1"/>
                <w:sz w:val="28"/>
                <w:szCs w:val="28"/>
              </w:rPr>
            </w:pPr>
            <w:r>
              <w:rPr>
                <w:rFonts w:eastAsia="仿宋_GB2312"/>
                <w:spacing w:val="-1"/>
                <w:sz w:val="28"/>
                <w:szCs w:val="28"/>
              </w:rPr>
              <w:t>杂质含量超标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69B751AA">
            <w:pPr>
              <w:spacing w:line="400" w:lineRule="exact"/>
              <w:jc w:val="center"/>
              <w:rPr>
                <w:rFonts w:eastAsia="仿宋_GB2312"/>
                <w:spacing w:val="-1"/>
                <w:sz w:val="28"/>
                <w:szCs w:val="28"/>
              </w:rPr>
            </w:pPr>
            <w:r>
              <w:rPr>
                <w:rFonts w:eastAsia="仿宋_GB2312"/>
                <w:spacing w:val="-1"/>
                <w:sz w:val="28"/>
                <w:szCs w:val="28"/>
              </w:rPr>
              <w:t>化学杂质超标</w:t>
            </w:r>
          </w:p>
        </w:tc>
        <w:tc>
          <w:tcPr>
            <w:tcW w:w="2435" w:type="dxa"/>
            <w:tcBorders>
              <w:top w:val="single" w:color="auto" w:sz="4" w:space="0"/>
              <w:left w:val="single" w:color="auto" w:sz="4" w:space="0"/>
              <w:bottom w:val="single" w:color="auto" w:sz="4" w:space="0"/>
              <w:right w:val="single" w:color="auto" w:sz="4" w:space="0"/>
            </w:tcBorders>
            <w:vAlign w:val="center"/>
          </w:tcPr>
          <w:p w14:paraId="06541C3D">
            <w:pPr>
              <w:spacing w:line="400" w:lineRule="exact"/>
              <w:jc w:val="center"/>
              <w:rPr>
                <w:rFonts w:eastAsia="仿宋_GB2312"/>
                <w:spacing w:val="-1"/>
                <w:sz w:val="28"/>
                <w:szCs w:val="28"/>
              </w:rPr>
            </w:pPr>
            <w:r>
              <w:rPr>
                <w:rFonts w:eastAsia="仿宋_GB2312"/>
                <w:spacing w:val="-1"/>
                <w:sz w:val="28"/>
                <w:szCs w:val="28"/>
              </w:rPr>
              <w:t>化学杂质超标可能造成患者咳嗽、不适等，严重的可能造成中毒</w:t>
            </w:r>
          </w:p>
        </w:tc>
      </w:tr>
      <w:tr w14:paraId="60474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vMerge w:val="continue"/>
            <w:tcBorders>
              <w:left w:val="single" w:color="auto" w:sz="4" w:space="0"/>
              <w:right w:val="single" w:color="auto" w:sz="4" w:space="0"/>
            </w:tcBorders>
            <w:vAlign w:val="center"/>
          </w:tcPr>
          <w:p w14:paraId="1BFCF899">
            <w:pPr>
              <w:spacing w:line="400" w:lineRule="exact"/>
              <w:jc w:val="center"/>
              <w:rPr>
                <w:rFonts w:eastAsia="仿宋_GB2312"/>
                <w:spacing w:val="-1"/>
                <w:sz w:val="28"/>
                <w:szCs w:val="28"/>
              </w:rPr>
            </w:pPr>
          </w:p>
        </w:tc>
        <w:tc>
          <w:tcPr>
            <w:tcW w:w="2430" w:type="dxa"/>
            <w:tcBorders>
              <w:top w:val="single" w:color="auto" w:sz="4" w:space="0"/>
              <w:left w:val="single" w:color="auto" w:sz="4" w:space="0"/>
              <w:bottom w:val="single" w:color="auto" w:sz="4" w:space="0"/>
              <w:right w:val="single" w:color="auto" w:sz="4" w:space="0"/>
            </w:tcBorders>
            <w:vAlign w:val="center"/>
          </w:tcPr>
          <w:p w14:paraId="263CA4CD">
            <w:pPr>
              <w:spacing w:line="400" w:lineRule="exact"/>
              <w:jc w:val="center"/>
              <w:rPr>
                <w:rFonts w:eastAsia="仿宋_GB2312"/>
                <w:spacing w:val="-1"/>
                <w:sz w:val="28"/>
                <w:szCs w:val="28"/>
              </w:rPr>
            </w:pPr>
            <w:r>
              <w:rPr>
                <w:rFonts w:eastAsia="仿宋_GB2312"/>
                <w:spacing w:val="-1"/>
                <w:sz w:val="28"/>
                <w:szCs w:val="28"/>
              </w:rPr>
              <w:t>颗粒物含量超标</w:t>
            </w:r>
          </w:p>
        </w:tc>
        <w:tc>
          <w:tcPr>
            <w:tcW w:w="2638" w:type="dxa"/>
            <w:tcBorders>
              <w:top w:val="single" w:color="auto" w:sz="4" w:space="0"/>
              <w:left w:val="single" w:color="auto" w:sz="4" w:space="0"/>
              <w:bottom w:val="single" w:color="auto" w:sz="4" w:space="0"/>
              <w:right w:val="single" w:color="auto" w:sz="4" w:space="0"/>
            </w:tcBorders>
            <w:vAlign w:val="center"/>
          </w:tcPr>
          <w:p w14:paraId="284D4335">
            <w:pPr>
              <w:spacing w:line="400" w:lineRule="exact"/>
              <w:jc w:val="center"/>
              <w:rPr>
                <w:rFonts w:eastAsia="仿宋_GB2312"/>
                <w:spacing w:val="-1"/>
                <w:sz w:val="28"/>
                <w:szCs w:val="28"/>
              </w:rPr>
            </w:pPr>
            <w:r>
              <w:rPr>
                <w:rFonts w:eastAsia="仿宋_GB2312"/>
                <w:spacing w:val="-1"/>
                <w:sz w:val="28"/>
                <w:szCs w:val="28"/>
              </w:rPr>
              <w:t>患者吸入颗粒物；</w:t>
            </w:r>
          </w:p>
          <w:p w14:paraId="0A11C96C">
            <w:pPr>
              <w:spacing w:line="400" w:lineRule="exact"/>
              <w:jc w:val="center"/>
              <w:rPr>
                <w:rFonts w:eastAsia="仿宋_GB2312"/>
                <w:spacing w:val="-1"/>
                <w:sz w:val="28"/>
                <w:szCs w:val="28"/>
              </w:rPr>
            </w:pPr>
            <w:r>
              <w:rPr>
                <w:rFonts w:eastAsia="仿宋_GB2312"/>
                <w:spacing w:val="-1"/>
                <w:sz w:val="28"/>
                <w:szCs w:val="28"/>
              </w:rPr>
              <w:t>颗粒物聚集在过滤器，或堵塞气道，气体压力下降</w:t>
            </w:r>
          </w:p>
        </w:tc>
        <w:tc>
          <w:tcPr>
            <w:tcW w:w="2435" w:type="dxa"/>
            <w:tcBorders>
              <w:top w:val="single" w:color="auto" w:sz="4" w:space="0"/>
              <w:left w:val="single" w:color="auto" w:sz="4" w:space="0"/>
              <w:bottom w:val="single" w:color="auto" w:sz="4" w:space="0"/>
              <w:right w:val="single" w:color="auto" w:sz="4" w:space="0"/>
            </w:tcBorders>
            <w:vAlign w:val="center"/>
          </w:tcPr>
          <w:p w14:paraId="7F9C6562">
            <w:pPr>
              <w:spacing w:line="400" w:lineRule="exact"/>
              <w:jc w:val="center"/>
              <w:rPr>
                <w:rFonts w:eastAsia="仿宋_GB2312"/>
                <w:spacing w:val="-1"/>
                <w:sz w:val="28"/>
                <w:szCs w:val="28"/>
              </w:rPr>
            </w:pPr>
            <w:r>
              <w:rPr>
                <w:rFonts w:eastAsia="仿宋_GB2312"/>
                <w:spacing w:val="-1"/>
                <w:sz w:val="28"/>
                <w:szCs w:val="28"/>
              </w:rPr>
              <w:t>可能造成患者咳嗽、不适等，可能影响设备的正常运行，危及患者生命</w:t>
            </w:r>
          </w:p>
        </w:tc>
      </w:tr>
      <w:tr w14:paraId="757C4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20" w:type="dxa"/>
            <w:tcBorders>
              <w:top w:val="single" w:color="auto" w:sz="4" w:space="0"/>
              <w:left w:val="single" w:color="auto" w:sz="4" w:space="0"/>
              <w:bottom w:val="single" w:color="auto" w:sz="4" w:space="0"/>
              <w:right w:val="single" w:color="auto" w:sz="4" w:space="0"/>
            </w:tcBorders>
            <w:vAlign w:val="center"/>
          </w:tcPr>
          <w:p w14:paraId="6DCA3632">
            <w:pPr>
              <w:spacing w:line="400" w:lineRule="exact"/>
              <w:jc w:val="center"/>
              <w:rPr>
                <w:rFonts w:eastAsia="仿宋_GB2312"/>
                <w:spacing w:val="-1"/>
                <w:sz w:val="28"/>
                <w:szCs w:val="28"/>
              </w:rPr>
            </w:pPr>
            <w:r>
              <w:rPr>
                <w:rFonts w:eastAsia="仿宋_GB2312"/>
                <w:spacing w:val="-1"/>
                <w:sz w:val="28"/>
                <w:szCs w:val="28"/>
              </w:rPr>
              <w:t>使用说明书</w:t>
            </w:r>
          </w:p>
        </w:tc>
        <w:tc>
          <w:tcPr>
            <w:tcW w:w="2430" w:type="dxa"/>
            <w:tcBorders>
              <w:top w:val="single" w:color="auto" w:sz="4" w:space="0"/>
              <w:left w:val="single" w:color="auto" w:sz="4" w:space="0"/>
              <w:bottom w:val="single" w:color="auto" w:sz="4" w:space="0"/>
              <w:right w:val="single" w:color="auto" w:sz="4" w:space="0"/>
            </w:tcBorders>
            <w:vAlign w:val="center"/>
          </w:tcPr>
          <w:p w14:paraId="267550EA">
            <w:pPr>
              <w:spacing w:line="400" w:lineRule="exact"/>
              <w:jc w:val="center"/>
              <w:rPr>
                <w:rFonts w:eastAsia="仿宋_GB2312"/>
                <w:spacing w:val="-1"/>
                <w:sz w:val="28"/>
                <w:szCs w:val="28"/>
              </w:rPr>
            </w:pPr>
            <w:r>
              <w:rPr>
                <w:rFonts w:eastAsia="仿宋_GB2312"/>
                <w:spacing w:val="-1"/>
                <w:sz w:val="28"/>
                <w:szCs w:val="28"/>
              </w:rPr>
              <w:t>使用说明操作、维保、注意事项不全或不明确</w:t>
            </w:r>
          </w:p>
        </w:tc>
        <w:tc>
          <w:tcPr>
            <w:tcW w:w="2638" w:type="dxa"/>
            <w:tcBorders>
              <w:top w:val="single" w:color="auto" w:sz="4" w:space="0"/>
              <w:left w:val="single" w:color="auto" w:sz="4" w:space="0"/>
              <w:bottom w:val="single" w:color="auto" w:sz="4" w:space="0"/>
              <w:right w:val="single" w:color="auto" w:sz="4" w:space="0"/>
            </w:tcBorders>
            <w:vAlign w:val="center"/>
          </w:tcPr>
          <w:p w14:paraId="19AFFD42">
            <w:pPr>
              <w:spacing w:line="400" w:lineRule="exact"/>
              <w:jc w:val="center"/>
              <w:rPr>
                <w:rFonts w:eastAsia="仿宋_GB2312"/>
                <w:spacing w:val="-1"/>
                <w:sz w:val="28"/>
                <w:szCs w:val="28"/>
              </w:rPr>
            </w:pPr>
            <w:r>
              <w:rPr>
                <w:rFonts w:eastAsia="仿宋_GB2312"/>
                <w:spacing w:val="-1"/>
                <w:sz w:val="28"/>
                <w:szCs w:val="28"/>
              </w:rPr>
              <w:t>错误的操作或维保及维保不及时</w:t>
            </w:r>
          </w:p>
        </w:tc>
        <w:tc>
          <w:tcPr>
            <w:tcW w:w="2435" w:type="dxa"/>
            <w:tcBorders>
              <w:top w:val="single" w:color="auto" w:sz="4" w:space="0"/>
              <w:left w:val="single" w:color="auto" w:sz="4" w:space="0"/>
              <w:bottom w:val="single" w:color="auto" w:sz="4" w:space="0"/>
              <w:right w:val="single" w:color="auto" w:sz="4" w:space="0"/>
            </w:tcBorders>
            <w:vAlign w:val="center"/>
          </w:tcPr>
          <w:p w14:paraId="632BC7E4">
            <w:pPr>
              <w:spacing w:line="400" w:lineRule="exact"/>
              <w:jc w:val="center"/>
              <w:rPr>
                <w:rFonts w:eastAsia="仿宋_GB2312"/>
                <w:spacing w:val="-1"/>
                <w:sz w:val="28"/>
                <w:szCs w:val="28"/>
              </w:rPr>
            </w:pPr>
            <w:r>
              <w:rPr>
                <w:rFonts w:eastAsia="仿宋_GB2312"/>
                <w:spacing w:val="-1"/>
                <w:sz w:val="28"/>
                <w:szCs w:val="28"/>
              </w:rPr>
              <w:t>人身伤害、设备损坏或供气中断</w:t>
            </w:r>
          </w:p>
        </w:tc>
      </w:tr>
    </w:tbl>
    <w:p w14:paraId="37BB9A43">
      <w:pPr>
        <w:spacing w:line="520" w:lineRule="exact"/>
        <w:jc w:val="center"/>
        <w:rPr>
          <w:rFonts w:eastAsia="仿宋_GB2312"/>
          <w:sz w:val="32"/>
          <w:szCs w:val="32"/>
        </w:rPr>
      </w:pPr>
    </w:p>
    <w:p w14:paraId="1161F59F">
      <w:pPr>
        <w:spacing w:line="520" w:lineRule="exact"/>
        <w:ind w:firstLine="640" w:firstLineChars="200"/>
        <w:rPr>
          <w:rFonts w:eastAsia="仿宋_GB2312"/>
          <w:bCs/>
          <w:iCs/>
          <w:kern w:val="2"/>
          <w:sz w:val="32"/>
          <w:szCs w:val="28"/>
        </w:rPr>
      </w:pPr>
      <w:r>
        <w:rPr>
          <w:rFonts w:eastAsia="仿宋_GB2312"/>
          <w:bCs/>
          <w:iCs/>
          <w:kern w:val="2"/>
          <w:sz w:val="32"/>
          <w:szCs w:val="28"/>
        </w:rPr>
        <w:t>2.产品技术要求</w:t>
      </w:r>
    </w:p>
    <w:p w14:paraId="17BDDC6D">
      <w:pPr>
        <w:spacing w:line="520" w:lineRule="exact"/>
        <w:ind w:firstLine="640" w:firstLineChars="200"/>
        <w:rPr>
          <w:rFonts w:eastAsia="楷体_GB2312"/>
          <w:bCs/>
          <w:iCs/>
          <w:kern w:val="2"/>
          <w:sz w:val="32"/>
          <w:szCs w:val="28"/>
        </w:rPr>
      </w:pPr>
      <w:r>
        <w:rPr>
          <w:rFonts w:eastAsia="仿宋_GB2312"/>
          <w:sz w:val="32"/>
          <w:szCs w:val="32"/>
        </w:rPr>
        <w:t>本指导原则给出需要考虑的产品主要性能参数，注册申请人可根据自身产品的技术特点制定性能指标的具体要求。</w:t>
      </w:r>
    </w:p>
    <w:p w14:paraId="504008B5">
      <w:pPr>
        <w:spacing w:line="520" w:lineRule="exact"/>
        <w:ind w:firstLine="640" w:firstLineChars="200"/>
        <w:rPr>
          <w:rFonts w:eastAsia="仿宋_GB2312"/>
          <w:sz w:val="32"/>
          <w:szCs w:val="32"/>
        </w:rPr>
      </w:pPr>
      <w:r>
        <w:rPr>
          <w:rFonts w:eastAsia="仿宋_GB2312"/>
          <w:sz w:val="32"/>
          <w:szCs w:val="32"/>
        </w:rPr>
        <w:t>2.1外观</w:t>
      </w:r>
    </w:p>
    <w:p w14:paraId="46CC13FB">
      <w:pPr>
        <w:spacing w:line="520" w:lineRule="exact"/>
        <w:ind w:firstLine="640" w:firstLineChars="200"/>
        <w:rPr>
          <w:rFonts w:eastAsia="仿宋_GB2312"/>
          <w:sz w:val="32"/>
          <w:szCs w:val="32"/>
        </w:rPr>
      </w:pPr>
      <w:r>
        <w:rPr>
          <w:rFonts w:eastAsia="仿宋_GB2312"/>
          <w:sz w:val="32"/>
          <w:szCs w:val="32"/>
        </w:rPr>
        <w:t>2.2机组容积流量</w:t>
      </w:r>
    </w:p>
    <w:p w14:paraId="1CAF4FE0">
      <w:pPr>
        <w:spacing w:line="520" w:lineRule="exact"/>
        <w:ind w:firstLine="640" w:firstLineChars="200"/>
        <w:rPr>
          <w:rFonts w:eastAsia="仿宋_GB2312"/>
          <w:sz w:val="32"/>
          <w:szCs w:val="32"/>
        </w:rPr>
      </w:pPr>
      <w:r>
        <w:rPr>
          <w:rFonts w:eastAsia="仿宋_GB2312"/>
          <w:sz w:val="32"/>
          <w:szCs w:val="32"/>
        </w:rPr>
        <w:t>2.3机组供气压力</w:t>
      </w:r>
    </w:p>
    <w:p w14:paraId="622B605C">
      <w:pPr>
        <w:spacing w:line="520" w:lineRule="exact"/>
        <w:ind w:firstLine="640" w:firstLineChars="200"/>
        <w:rPr>
          <w:rFonts w:eastAsia="仿宋_GB2312"/>
          <w:sz w:val="32"/>
          <w:szCs w:val="32"/>
        </w:rPr>
      </w:pPr>
      <w:r>
        <w:rPr>
          <w:rFonts w:eastAsia="仿宋_GB2312"/>
          <w:sz w:val="32"/>
          <w:szCs w:val="32"/>
        </w:rPr>
        <w:t>2.4机组压力试验</w:t>
      </w:r>
    </w:p>
    <w:p w14:paraId="274B1120">
      <w:pPr>
        <w:spacing w:line="520" w:lineRule="exact"/>
        <w:ind w:firstLine="640" w:firstLineChars="200"/>
        <w:rPr>
          <w:rFonts w:eastAsia="仿宋_GB2312"/>
          <w:sz w:val="32"/>
          <w:szCs w:val="32"/>
        </w:rPr>
      </w:pPr>
      <w:r>
        <w:rPr>
          <w:rFonts w:eastAsia="仿宋_GB2312"/>
          <w:sz w:val="32"/>
          <w:szCs w:val="32"/>
        </w:rPr>
        <w:t>2.5机组泄露性试验</w:t>
      </w:r>
    </w:p>
    <w:p w14:paraId="4DEADA4E">
      <w:pPr>
        <w:spacing w:line="520" w:lineRule="exact"/>
        <w:ind w:firstLine="640" w:firstLineChars="200"/>
        <w:rPr>
          <w:rFonts w:eastAsia="仿宋_GB2312"/>
          <w:sz w:val="32"/>
          <w:szCs w:val="32"/>
        </w:rPr>
      </w:pPr>
      <w:r>
        <w:rPr>
          <w:rFonts w:eastAsia="仿宋_GB2312"/>
          <w:sz w:val="32"/>
          <w:szCs w:val="32"/>
        </w:rPr>
        <w:t>2.6在单一故障状态时，应能连续供气。</w:t>
      </w:r>
    </w:p>
    <w:p w14:paraId="6877CCD1">
      <w:pPr>
        <w:spacing w:line="520" w:lineRule="exact"/>
        <w:ind w:firstLine="640" w:firstLineChars="200"/>
        <w:rPr>
          <w:rFonts w:eastAsia="仿宋_GB2312"/>
          <w:sz w:val="32"/>
          <w:szCs w:val="32"/>
        </w:rPr>
      </w:pPr>
      <w:r>
        <w:rPr>
          <w:rFonts w:eastAsia="仿宋_GB2312"/>
          <w:sz w:val="32"/>
          <w:szCs w:val="32"/>
        </w:rPr>
        <w:t>2.7机组控制功能</w:t>
      </w:r>
    </w:p>
    <w:p w14:paraId="300812F6">
      <w:pPr>
        <w:spacing w:line="520" w:lineRule="exact"/>
        <w:ind w:firstLine="640" w:firstLineChars="200"/>
        <w:rPr>
          <w:rFonts w:eastAsia="仿宋_GB2312"/>
          <w:sz w:val="32"/>
          <w:szCs w:val="32"/>
        </w:rPr>
      </w:pPr>
      <w:r>
        <w:rPr>
          <w:rFonts w:eastAsia="仿宋_GB2312"/>
          <w:sz w:val="32"/>
          <w:szCs w:val="32"/>
        </w:rPr>
        <w:t>如独立的电源开关及控制回路、断电恢复后自动启动、显示运行状态、压缩机和控制系统故障后的自动切换等。</w:t>
      </w:r>
    </w:p>
    <w:p w14:paraId="0FA467D2">
      <w:pPr>
        <w:spacing w:line="520" w:lineRule="exact"/>
        <w:ind w:firstLine="640" w:firstLineChars="200"/>
        <w:rPr>
          <w:rFonts w:eastAsia="仿宋_GB2312"/>
          <w:sz w:val="32"/>
          <w:szCs w:val="32"/>
        </w:rPr>
      </w:pPr>
      <w:r>
        <w:rPr>
          <w:rFonts w:eastAsia="仿宋_GB2312"/>
          <w:sz w:val="32"/>
          <w:szCs w:val="32"/>
        </w:rPr>
        <w:t>2.8 空气质量</w:t>
      </w:r>
    </w:p>
    <w:p w14:paraId="53F51BFA">
      <w:pPr>
        <w:spacing w:line="520" w:lineRule="exact"/>
        <w:ind w:firstLine="640" w:firstLineChars="200"/>
        <w:rPr>
          <w:rFonts w:eastAsia="仿宋_GB2312"/>
          <w:sz w:val="32"/>
          <w:szCs w:val="32"/>
        </w:rPr>
      </w:pPr>
      <w:r>
        <w:rPr>
          <w:rFonts w:eastAsia="仿宋_GB2312"/>
          <w:sz w:val="32"/>
          <w:szCs w:val="32"/>
        </w:rPr>
        <w:t>至少包括含油量、含水量（露点）、CO、CO</w:t>
      </w:r>
      <w:r>
        <w:rPr>
          <w:rFonts w:eastAsia="仿宋_GB2312"/>
          <w:sz w:val="32"/>
          <w:szCs w:val="32"/>
          <w:vertAlign w:val="subscript"/>
        </w:rPr>
        <w:t>2</w:t>
      </w:r>
      <w:r>
        <w:rPr>
          <w:rFonts w:eastAsia="仿宋_GB2312"/>
          <w:sz w:val="32"/>
          <w:szCs w:val="32"/>
        </w:rPr>
        <w:t>、NO和NO</w:t>
      </w:r>
      <w:r>
        <w:rPr>
          <w:rFonts w:eastAsia="仿宋_GB2312"/>
          <w:sz w:val="32"/>
          <w:szCs w:val="32"/>
          <w:vertAlign w:val="subscript"/>
        </w:rPr>
        <w:t>2</w:t>
      </w:r>
      <w:r>
        <w:rPr>
          <w:rFonts w:eastAsia="仿宋_GB2312"/>
          <w:sz w:val="32"/>
          <w:szCs w:val="32"/>
        </w:rPr>
        <w:t>、SO</w:t>
      </w:r>
      <w:r>
        <w:rPr>
          <w:rFonts w:eastAsia="仿宋_GB2312"/>
          <w:sz w:val="32"/>
          <w:szCs w:val="32"/>
          <w:vertAlign w:val="subscript"/>
        </w:rPr>
        <w:t>2</w:t>
      </w:r>
      <w:r>
        <w:rPr>
          <w:rFonts w:eastAsia="仿宋_GB2312"/>
          <w:sz w:val="32"/>
          <w:szCs w:val="32"/>
        </w:rPr>
        <w:t>含量、固体颗粒物等级、气味。</w:t>
      </w:r>
    </w:p>
    <w:p w14:paraId="7BC1D522">
      <w:pPr>
        <w:spacing w:line="520" w:lineRule="exact"/>
        <w:ind w:firstLine="640" w:firstLineChars="200"/>
        <w:rPr>
          <w:rFonts w:eastAsia="仿宋_GB2312"/>
          <w:sz w:val="32"/>
          <w:szCs w:val="32"/>
        </w:rPr>
      </w:pPr>
      <w:r>
        <w:rPr>
          <w:rFonts w:eastAsia="仿宋_GB2312"/>
          <w:sz w:val="32"/>
          <w:szCs w:val="32"/>
        </w:rPr>
        <w:t>2.9结构方面</w:t>
      </w:r>
    </w:p>
    <w:p w14:paraId="4D7C3A70">
      <w:pPr>
        <w:spacing w:line="520" w:lineRule="exact"/>
        <w:ind w:firstLine="640" w:firstLineChars="200"/>
        <w:rPr>
          <w:rFonts w:eastAsia="仿宋_GB2312"/>
          <w:sz w:val="32"/>
          <w:szCs w:val="32"/>
        </w:rPr>
      </w:pPr>
      <w:r>
        <w:rPr>
          <w:rFonts w:eastAsia="仿宋_GB2312"/>
          <w:sz w:val="32"/>
          <w:szCs w:val="32"/>
        </w:rPr>
        <w:t>进气管、排气管的连接；防倒流装置；过滤器的级数和滤芯性能监测措施；储气罐的自动和手动排水；露点和一氧化碳检测装置。</w:t>
      </w:r>
    </w:p>
    <w:p w14:paraId="71E72520">
      <w:pPr>
        <w:spacing w:line="520" w:lineRule="exact"/>
        <w:ind w:firstLine="640" w:firstLineChars="200"/>
        <w:rPr>
          <w:rFonts w:eastAsia="仿宋_GB2312"/>
          <w:sz w:val="32"/>
          <w:szCs w:val="32"/>
        </w:rPr>
      </w:pPr>
      <w:r>
        <w:rPr>
          <w:rFonts w:eastAsia="仿宋_GB2312"/>
          <w:sz w:val="32"/>
          <w:szCs w:val="32"/>
        </w:rPr>
        <w:t>2.10空气干燥器的控制功能</w:t>
      </w:r>
    </w:p>
    <w:p w14:paraId="2C7EB964">
      <w:pPr>
        <w:spacing w:line="520" w:lineRule="exact"/>
        <w:ind w:firstLine="640" w:firstLineChars="200"/>
        <w:rPr>
          <w:rFonts w:eastAsia="仿宋_GB2312"/>
          <w:sz w:val="32"/>
          <w:szCs w:val="32"/>
        </w:rPr>
      </w:pPr>
      <w:r>
        <w:rPr>
          <w:rFonts w:eastAsia="仿宋_GB2312"/>
          <w:sz w:val="32"/>
          <w:szCs w:val="32"/>
        </w:rPr>
        <w:t>2.11报警功能</w:t>
      </w:r>
    </w:p>
    <w:p w14:paraId="0D571B4D">
      <w:pPr>
        <w:spacing w:line="520" w:lineRule="exact"/>
        <w:ind w:firstLine="640" w:firstLineChars="200"/>
        <w:rPr>
          <w:rFonts w:eastAsia="仿宋_GB2312"/>
          <w:sz w:val="32"/>
          <w:szCs w:val="32"/>
        </w:rPr>
      </w:pPr>
      <w:r>
        <w:rPr>
          <w:rFonts w:eastAsia="仿宋_GB2312"/>
          <w:sz w:val="32"/>
          <w:szCs w:val="32"/>
        </w:rPr>
        <w:t>2.11.1描述发生报警的种类，包括备用压缩机启动、传感器回路断路、供气压力超标、机组故障、露点温度超标、一氧化碳浓度超标等。</w:t>
      </w:r>
    </w:p>
    <w:p w14:paraId="3DD0A48B">
      <w:pPr>
        <w:spacing w:line="520" w:lineRule="exact"/>
        <w:ind w:firstLine="640" w:firstLineChars="200"/>
        <w:rPr>
          <w:rFonts w:eastAsia="仿宋_GB2312"/>
          <w:sz w:val="32"/>
          <w:szCs w:val="32"/>
        </w:rPr>
      </w:pPr>
      <w:r>
        <w:rPr>
          <w:rFonts w:eastAsia="仿宋_GB2312"/>
          <w:sz w:val="32"/>
          <w:szCs w:val="32"/>
        </w:rPr>
        <w:t>2.11.2声响报警和视觉报警，声响报警有暂时静音功能。</w:t>
      </w:r>
    </w:p>
    <w:p w14:paraId="0A4EEB29">
      <w:pPr>
        <w:spacing w:line="520" w:lineRule="exact"/>
        <w:ind w:firstLine="640" w:firstLineChars="200"/>
        <w:rPr>
          <w:rFonts w:eastAsia="仿宋_GB2312"/>
          <w:sz w:val="32"/>
          <w:szCs w:val="32"/>
        </w:rPr>
      </w:pPr>
      <w:r>
        <w:rPr>
          <w:rFonts w:eastAsia="仿宋_GB2312"/>
          <w:sz w:val="32"/>
          <w:szCs w:val="32"/>
        </w:rPr>
        <w:t>2.12机组噪声</w:t>
      </w:r>
    </w:p>
    <w:p w14:paraId="7F215E42">
      <w:pPr>
        <w:spacing w:line="520" w:lineRule="exact"/>
        <w:ind w:firstLine="640" w:firstLineChars="200"/>
        <w:rPr>
          <w:rFonts w:eastAsia="仿宋_GB2312"/>
          <w:sz w:val="32"/>
          <w:szCs w:val="32"/>
        </w:rPr>
      </w:pPr>
      <w:r>
        <w:rPr>
          <w:rFonts w:eastAsia="仿宋_GB2312"/>
          <w:sz w:val="32"/>
          <w:szCs w:val="32"/>
        </w:rPr>
        <w:t>2.13电气安全要求</w:t>
      </w:r>
    </w:p>
    <w:p w14:paraId="453B88A6">
      <w:pPr>
        <w:spacing w:line="520" w:lineRule="exact"/>
        <w:ind w:firstLine="640" w:firstLineChars="200"/>
        <w:rPr>
          <w:rFonts w:eastAsia="仿宋_GB2312"/>
          <w:sz w:val="32"/>
          <w:szCs w:val="32"/>
        </w:rPr>
      </w:pPr>
      <w:r>
        <w:rPr>
          <w:rFonts w:eastAsia="仿宋_GB2312"/>
          <w:sz w:val="32"/>
          <w:szCs w:val="32"/>
        </w:rPr>
        <w:t>应符合GB 9706.1《医用电气设备第1部分：基本安全和基本性能的通用要求》的要求。</w:t>
      </w:r>
    </w:p>
    <w:p w14:paraId="74294702">
      <w:pPr>
        <w:spacing w:line="520" w:lineRule="exact"/>
        <w:ind w:firstLine="640" w:firstLineChars="200"/>
        <w:rPr>
          <w:rFonts w:eastAsia="仿宋_GB2312"/>
          <w:sz w:val="32"/>
          <w:szCs w:val="32"/>
        </w:rPr>
      </w:pPr>
      <w:r>
        <w:rPr>
          <w:rFonts w:eastAsia="仿宋_GB2312"/>
          <w:sz w:val="32"/>
          <w:szCs w:val="32"/>
        </w:rPr>
        <w:t>2.14电磁兼容性要求</w:t>
      </w:r>
    </w:p>
    <w:p w14:paraId="0DF79A5D">
      <w:pPr>
        <w:spacing w:line="520" w:lineRule="exact"/>
        <w:ind w:firstLine="640" w:firstLineChars="200"/>
        <w:rPr>
          <w:rFonts w:eastAsia="仿宋_GB2312"/>
          <w:sz w:val="32"/>
          <w:szCs w:val="32"/>
        </w:rPr>
      </w:pPr>
      <w:r>
        <w:rPr>
          <w:rFonts w:eastAsia="仿宋_GB2312"/>
          <w:sz w:val="32"/>
          <w:szCs w:val="32"/>
        </w:rPr>
        <w:t>应符合YY 0505《医用电气设备第1-2部分：基本安全和基本性能的通用要求并列标准：电磁兼容要求和试验》的要求。</w:t>
      </w:r>
    </w:p>
    <w:p w14:paraId="0EB2C2CC">
      <w:pPr>
        <w:spacing w:line="520" w:lineRule="exact"/>
        <w:ind w:firstLine="640" w:firstLineChars="200"/>
        <w:rPr>
          <w:rFonts w:eastAsia="仿宋_GB2312"/>
          <w:sz w:val="32"/>
          <w:szCs w:val="32"/>
        </w:rPr>
      </w:pPr>
      <w:r>
        <w:rPr>
          <w:rFonts w:eastAsia="仿宋_GB2312"/>
          <w:sz w:val="32"/>
          <w:szCs w:val="32"/>
        </w:rPr>
        <w:t>2.15产品技术要求附录</w:t>
      </w:r>
    </w:p>
    <w:p w14:paraId="3FB8A4D7">
      <w:pPr>
        <w:spacing w:line="520" w:lineRule="exact"/>
        <w:ind w:firstLine="640" w:firstLineChars="200"/>
        <w:rPr>
          <w:rFonts w:eastAsia="仿宋_GB2312"/>
          <w:snapToGrid w:val="0"/>
          <w:sz w:val="32"/>
          <w:szCs w:val="32"/>
        </w:rPr>
      </w:pPr>
      <w:r>
        <w:rPr>
          <w:rFonts w:eastAsia="仿宋_GB2312"/>
          <w:snapToGrid w:val="0"/>
          <w:sz w:val="32"/>
          <w:szCs w:val="32"/>
        </w:rPr>
        <w:t>申请人参照下表，按照各型号产品实际组成情况填下。</w:t>
      </w:r>
    </w:p>
    <w:p w14:paraId="2BDECF99">
      <w:pPr>
        <w:spacing w:line="520" w:lineRule="exact"/>
        <w:ind w:firstLine="640" w:firstLineChars="200"/>
        <w:rPr>
          <w:rFonts w:eastAsia="仿宋_GB2312"/>
          <w:snapToGrid w:val="0"/>
          <w:sz w:val="32"/>
          <w:szCs w:val="32"/>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686"/>
        <w:gridCol w:w="2427"/>
      </w:tblGrid>
      <w:tr w14:paraId="48C3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7597F9BD">
            <w:pPr>
              <w:jc w:val="center"/>
              <w:rPr>
                <w:rFonts w:eastAsia="仿宋_GB2312"/>
                <w:sz w:val="32"/>
                <w:szCs w:val="32"/>
              </w:rPr>
            </w:pPr>
            <w:r>
              <w:rPr>
                <w:rFonts w:eastAsia="仿宋_GB2312"/>
                <w:sz w:val="32"/>
                <w:szCs w:val="32"/>
              </w:rPr>
              <w:t>部件名称</w:t>
            </w:r>
          </w:p>
        </w:tc>
        <w:tc>
          <w:tcPr>
            <w:tcW w:w="3686" w:type="dxa"/>
            <w:vAlign w:val="center"/>
          </w:tcPr>
          <w:p w14:paraId="3FE4CB76">
            <w:pPr>
              <w:jc w:val="center"/>
              <w:rPr>
                <w:rFonts w:eastAsia="仿宋_GB2312"/>
                <w:sz w:val="32"/>
                <w:szCs w:val="32"/>
              </w:rPr>
            </w:pPr>
            <w:r>
              <w:rPr>
                <w:rFonts w:eastAsia="仿宋_GB2312"/>
                <w:sz w:val="32"/>
                <w:szCs w:val="32"/>
              </w:rPr>
              <w:t>规格参数</w:t>
            </w:r>
          </w:p>
        </w:tc>
        <w:tc>
          <w:tcPr>
            <w:tcW w:w="2427" w:type="dxa"/>
            <w:vAlign w:val="center"/>
          </w:tcPr>
          <w:p w14:paraId="38FA383E">
            <w:pPr>
              <w:jc w:val="center"/>
              <w:rPr>
                <w:rFonts w:eastAsia="仿宋_GB2312"/>
                <w:sz w:val="32"/>
                <w:szCs w:val="32"/>
              </w:rPr>
            </w:pPr>
            <w:r>
              <w:rPr>
                <w:rFonts w:eastAsia="仿宋_GB2312"/>
                <w:sz w:val="32"/>
                <w:szCs w:val="32"/>
              </w:rPr>
              <w:t>备注</w:t>
            </w:r>
          </w:p>
        </w:tc>
      </w:tr>
      <w:tr w14:paraId="4D9F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1D53ED05">
            <w:pPr>
              <w:jc w:val="center"/>
              <w:rPr>
                <w:rFonts w:eastAsia="仿宋_GB2312"/>
                <w:sz w:val="32"/>
                <w:szCs w:val="32"/>
              </w:rPr>
            </w:pPr>
            <w:r>
              <w:rPr>
                <w:rFonts w:eastAsia="仿宋_GB2312"/>
                <w:sz w:val="32"/>
                <w:szCs w:val="32"/>
              </w:rPr>
              <w:t>空气压缩机</w:t>
            </w:r>
          </w:p>
        </w:tc>
        <w:tc>
          <w:tcPr>
            <w:tcW w:w="3686" w:type="dxa"/>
            <w:vAlign w:val="center"/>
          </w:tcPr>
          <w:p w14:paraId="2F3BECF5">
            <w:pPr>
              <w:spacing w:line="440" w:lineRule="exact"/>
              <w:jc w:val="center"/>
              <w:rPr>
                <w:rFonts w:eastAsia="仿宋_GB2312"/>
                <w:sz w:val="32"/>
                <w:szCs w:val="32"/>
              </w:rPr>
            </w:pPr>
            <w:r>
              <w:rPr>
                <w:rFonts w:eastAsia="仿宋_GB2312"/>
                <w:sz w:val="32"/>
                <w:szCs w:val="32"/>
              </w:rPr>
              <w:t>压缩机类型；</w:t>
            </w:r>
          </w:p>
          <w:p w14:paraId="3F9FE492">
            <w:pPr>
              <w:spacing w:line="440" w:lineRule="exact"/>
              <w:jc w:val="center"/>
              <w:rPr>
                <w:rFonts w:eastAsia="仿宋_GB2312"/>
                <w:sz w:val="32"/>
                <w:szCs w:val="32"/>
              </w:rPr>
            </w:pPr>
            <w:r>
              <w:rPr>
                <w:rFonts w:eastAsia="仿宋_GB2312"/>
                <w:sz w:val="32"/>
                <w:szCs w:val="32"/>
              </w:rPr>
              <w:t>压缩腔有油或无油润滑；</w:t>
            </w:r>
          </w:p>
          <w:p w14:paraId="1CB21E36">
            <w:pPr>
              <w:spacing w:line="440" w:lineRule="exact"/>
              <w:jc w:val="center"/>
              <w:rPr>
                <w:rFonts w:eastAsia="仿宋_GB2312"/>
                <w:sz w:val="32"/>
                <w:szCs w:val="32"/>
              </w:rPr>
            </w:pPr>
            <w:r>
              <w:rPr>
                <w:rFonts w:eastAsia="仿宋_GB2312"/>
                <w:sz w:val="32"/>
                <w:szCs w:val="32"/>
              </w:rPr>
              <w:t>功率；</w:t>
            </w:r>
          </w:p>
          <w:p w14:paraId="2F4746EC">
            <w:pPr>
              <w:spacing w:line="440" w:lineRule="exact"/>
              <w:jc w:val="center"/>
              <w:rPr>
                <w:rFonts w:eastAsia="仿宋_GB2312"/>
                <w:sz w:val="32"/>
                <w:szCs w:val="32"/>
              </w:rPr>
            </w:pPr>
            <w:r>
              <w:rPr>
                <w:rFonts w:eastAsia="仿宋_GB2312"/>
                <w:sz w:val="32"/>
                <w:szCs w:val="32"/>
              </w:rPr>
              <w:t>排气压力；</w:t>
            </w:r>
          </w:p>
          <w:p w14:paraId="5725CDD0">
            <w:pPr>
              <w:spacing w:line="440" w:lineRule="exact"/>
              <w:jc w:val="center"/>
              <w:rPr>
                <w:rFonts w:eastAsia="仿宋_GB2312"/>
                <w:sz w:val="32"/>
                <w:szCs w:val="32"/>
              </w:rPr>
            </w:pPr>
            <w:r>
              <w:rPr>
                <w:rFonts w:eastAsia="仿宋_GB2312"/>
                <w:sz w:val="32"/>
                <w:szCs w:val="32"/>
              </w:rPr>
              <w:t>容积流量；</w:t>
            </w:r>
          </w:p>
        </w:tc>
        <w:tc>
          <w:tcPr>
            <w:tcW w:w="2427" w:type="dxa"/>
            <w:vAlign w:val="center"/>
          </w:tcPr>
          <w:p w14:paraId="0F8A324C">
            <w:pPr>
              <w:spacing w:line="440" w:lineRule="exact"/>
              <w:jc w:val="center"/>
              <w:rPr>
                <w:rFonts w:eastAsia="仿宋_GB2312"/>
                <w:sz w:val="32"/>
                <w:szCs w:val="32"/>
              </w:rPr>
            </w:pPr>
            <w:r>
              <w:rPr>
                <w:rFonts w:eastAsia="仿宋_GB2312"/>
                <w:sz w:val="32"/>
                <w:szCs w:val="32"/>
              </w:rPr>
              <w:t>需说明包含的空气压缩机数量</w:t>
            </w:r>
          </w:p>
        </w:tc>
      </w:tr>
      <w:tr w14:paraId="0F2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58EEA90D">
            <w:pPr>
              <w:jc w:val="center"/>
              <w:rPr>
                <w:rFonts w:eastAsia="仿宋_GB2312"/>
                <w:sz w:val="32"/>
                <w:szCs w:val="32"/>
              </w:rPr>
            </w:pPr>
            <w:r>
              <w:rPr>
                <w:rFonts w:eastAsia="仿宋_GB2312"/>
                <w:sz w:val="32"/>
                <w:szCs w:val="32"/>
              </w:rPr>
              <w:t>储气罐</w:t>
            </w:r>
          </w:p>
        </w:tc>
        <w:tc>
          <w:tcPr>
            <w:tcW w:w="3686" w:type="dxa"/>
            <w:vAlign w:val="center"/>
          </w:tcPr>
          <w:p w14:paraId="633D4635">
            <w:pPr>
              <w:spacing w:line="440" w:lineRule="exact"/>
              <w:jc w:val="center"/>
              <w:rPr>
                <w:rFonts w:eastAsia="仿宋_GB2312"/>
                <w:sz w:val="32"/>
                <w:szCs w:val="32"/>
              </w:rPr>
            </w:pPr>
            <w:r>
              <w:rPr>
                <w:rFonts w:eastAsia="仿宋_GB2312"/>
                <w:sz w:val="32"/>
                <w:szCs w:val="32"/>
              </w:rPr>
              <w:t>容积；</w:t>
            </w:r>
          </w:p>
          <w:p w14:paraId="320AA363">
            <w:pPr>
              <w:spacing w:line="440" w:lineRule="exact"/>
              <w:jc w:val="center"/>
              <w:rPr>
                <w:rFonts w:eastAsia="仿宋_GB2312"/>
                <w:sz w:val="32"/>
                <w:szCs w:val="32"/>
              </w:rPr>
            </w:pPr>
            <w:r>
              <w:rPr>
                <w:rFonts w:eastAsia="仿宋_GB2312"/>
                <w:sz w:val="32"/>
                <w:szCs w:val="32"/>
              </w:rPr>
              <w:t>质量要求；</w:t>
            </w:r>
          </w:p>
        </w:tc>
        <w:tc>
          <w:tcPr>
            <w:tcW w:w="2427" w:type="dxa"/>
            <w:vAlign w:val="center"/>
          </w:tcPr>
          <w:p w14:paraId="4EC3EA97">
            <w:pPr>
              <w:spacing w:line="440" w:lineRule="exact"/>
              <w:jc w:val="center"/>
              <w:rPr>
                <w:rFonts w:eastAsia="仿宋_GB2312"/>
                <w:sz w:val="32"/>
                <w:szCs w:val="32"/>
              </w:rPr>
            </w:pPr>
          </w:p>
        </w:tc>
      </w:tr>
      <w:tr w14:paraId="3F3D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414579C2">
            <w:pPr>
              <w:jc w:val="center"/>
              <w:rPr>
                <w:rFonts w:eastAsia="仿宋_GB2312"/>
                <w:sz w:val="32"/>
                <w:szCs w:val="32"/>
              </w:rPr>
            </w:pPr>
            <w:r>
              <w:rPr>
                <w:rFonts w:eastAsia="仿宋_GB2312"/>
                <w:sz w:val="32"/>
                <w:szCs w:val="32"/>
              </w:rPr>
              <w:t>过滤器</w:t>
            </w:r>
          </w:p>
        </w:tc>
        <w:tc>
          <w:tcPr>
            <w:tcW w:w="3686" w:type="dxa"/>
            <w:vAlign w:val="center"/>
          </w:tcPr>
          <w:p w14:paraId="0256A4D0">
            <w:pPr>
              <w:spacing w:line="440" w:lineRule="exact"/>
              <w:jc w:val="center"/>
              <w:rPr>
                <w:rFonts w:eastAsia="仿宋_GB2312"/>
                <w:sz w:val="32"/>
                <w:szCs w:val="32"/>
              </w:rPr>
            </w:pPr>
            <w:r>
              <w:rPr>
                <w:rFonts w:eastAsia="仿宋_GB2312"/>
                <w:sz w:val="32"/>
                <w:szCs w:val="32"/>
              </w:rPr>
              <w:t>类型；</w:t>
            </w:r>
          </w:p>
          <w:p w14:paraId="4ABB9210">
            <w:pPr>
              <w:spacing w:line="440" w:lineRule="exact"/>
              <w:jc w:val="center"/>
              <w:rPr>
                <w:rFonts w:eastAsia="仿宋_GB2312"/>
                <w:sz w:val="32"/>
                <w:szCs w:val="32"/>
              </w:rPr>
            </w:pPr>
            <w:r>
              <w:rPr>
                <w:rFonts w:eastAsia="仿宋_GB2312"/>
                <w:sz w:val="32"/>
                <w:szCs w:val="32"/>
              </w:rPr>
              <w:t>精度；</w:t>
            </w:r>
          </w:p>
          <w:p w14:paraId="797A55EE">
            <w:pPr>
              <w:spacing w:line="440" w:lineRule="exact"/>
              <w:jc w:val="center"/>
              <w:rPr>
                <w:rFonts w:eastAsia="仿宋_GB2312"/>
                <w:sz w:val="32"/>
                <w:szCs w:val="32"/>
              </w:rPr>
            </w:pPr>
            <w:r>
              <w:rPr>
                <w:rFonts w:eastAsia="仿宋_GB2312"/>
                <w:sz w:val="32"/>
                <w:szCs w:val="32"/>
              </w:rPr>
              <w:t>过滤效率；</w:t>
            </w:r>
          </w:p>
          <w:p w14:paraId="64056D93">
            <w:pPr>
              <w:spacing w:line="440" w:lineRule="exact"/>
              <w:jc w:val="center"/>
              <w:rPr>
                <w:rFonts w:eastAsia="仿宋_GB2312"/>
                <w:sz w:val="32"/>
                <w:szCs w:val="32"/>
              </w:rPr>
            </w:pPr>
            <w:r>
              <w:rPr>
                <w:rFonts w:eastAsia="仿宋_GB2312"/>
                <w:sz w:val="32"/>
                <w:szCs w:val="32"/>
              </w:rPr>
              <w:t>处理流量</w:t>
            </w:r>
          </w:p>
        </w:tc>
        <w:tc>
          <w:tcPr>
            <w:tcW w:w="2427" w:type="dxa"/>
            <w:vAlign w:val="center"/>
          </w:tcPr>
          <w:p w14:paraId="24AFA02B">
            <w:pPr>
              <w:spacing w:line="440" w:lineRule="exact"/>
              <w:jc w:val="center"/>
              <w:rPr>
                <w:rFonts w:eastAsia="仿宋_GB2312"/>
                <w:sz w:val="32"/>
                <w:szCs w:val="32"/>
              </w:rPr>
            </w:pPr>
            <w:r>
              <w:rPr>
                <w:rFonts w:eastAsia="仿宋_GB2312"/>
                <w:sz w:val="32"/>
                <w:szCs w:val="32"/>
              </w:rPr>
              <w:t>需说明各级过滤器的信息</w:t>
            </w:r>
          </w:p>
        </w:tc>
      </w:tr>
      <w:tr w14:paraId="6CE4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49C99F7E">
            <w:pPr>
              <w:jc w:val="center"/>
              <w:rPr>
                <w:rFonts w:eastAsia="仿宋_GB2312"/>
                <w:sz w:val="32"/>
                <w:szCs w:val="32"/>
              </w:rPr>
            </w:pPr>
            <w:r>
              <w:rPr>
                <w:rFonts w:eastAsia="仿宋_GB2312"/>
                <w:sz w:val="32"/>
                <w:szCs w:val="32"/>
              </w:rPr>
              <w:t>干燥器</w:t>
            </w:r>
          </w:p>
        </w:tc>
        <w:tc>
          <w:tcPr>
            <w:tcW w:w="3686" w:type="dxa"/>
            <w:vAlign w:val="center"/>
          </w:tcPr>
          <w:p w14:paraId="37BE829C">
            <w:pPr>
              <w:spacing w:line="440" w:lineRule="exact"/>
              <w:jc w:val="center"/>
              <w:rPr>
                <w:rFonts w:eastAsia="仿宋_GB2312"/>
                <w:sz w:val="32"/>
                <w:szCs w:val="32"/>
              </w:rPr>
            </w:pPr>
            <w:r>
              <w:rPr>
                <w:rFonts w:eastAsia="仿宋_GB2312"/>
                <w:sz w:val="32"/>
                <w:szCs w:val="32"/>
              </w:rPr>
              <w:t>类型；</w:t>
            </w:r>
          </w:p>
          <w:p w14:paraId="6979A31A">
            <w:pPr>
              <w:spacing w:line="440" w:lineRule="exact"/>
              <w:jc w:val="center"/>
              <w:rPr>
                <w:rFonts w:eastAsia="仿宋_GB2312"/>
                <w:sz w:val="32"/>
                <w:szCs w:val="32"/>
              </w:rPr>
            </w:pPr>
            <w:r>
              <w:rPr>
                <w:rFonts w:eastAsia="仿宋_GB2312"/>
                <w:sz w:val="32"/>
                <w:szCs w:val="32"/>
              </w:rPr>
              <w:t>压力露点或常压露点；</w:t>
            </w:r>
          </w:p>
          <w:p w14:paraId="5B150652">
            <w:pPr>
              <w:spacing w:line="440" w:lineRule="exact"/>
              <w:jc w:val="center"/>
              <w:rPr>
                <w:rFonts w:eastAsia="仿宋_GB2312"/>
                <w:sz w:val="32"/>
                <w:szCs w:val="32"/>
              </w:rPr>
            </w:pPr>
            <w:r>
              <w:rPr>
                <w:rFonts w:eastAsia="仿宋_GB2312"/>
                <w:sz w:val="32"/>
                <w:szCs w:val="32"/>
              </w:rPr>
              <w:t>流量</w:t>
            </w:r>
          </w:p>
        </w:tc>
        <w:tc>
          <w:tcPr>
            <w:tcW w:w="2427" w:type="dxa"/>
            <w:vAlign w:val="center"/>
          </w:tcPr>
          <w:p w14:paraId="4384CEEC">
            <w:pPr>
              <w:spacing w:line="440" w:lineRule="exact"/>
              <w:jc w:val="center"/>
              <w:rPr>
                <w:rFonts w:eastAsia="仿宋_GB2312"/>
                <w:sz w:val="32"/>
                <w:szCs w:val="32"/>
              </w:rPr>
            </w:pPr>
          </w:p>
        </w:tc>
      </w:tr>
      <w:tr w14:paraId="4B3A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7A78337A">
            <w:pPr>
              <w:jc w:val="center"/>
              <w:rPr>
                <w:rFonts w:eastAsia="仿宋_GB2312"/>
                <w:sz w:val="32"/>
                <w:szCs w:val="32"/>
              </w:rPr>
            </w:pPr>
            <w:r>
              <w:rPr>
                <w:rFonts w:eastAsia="仿宋_GB2312"/>
                <w:sz w:val="32"/>
                <w:szCs w:val="32"/>
              </w:rPr>
              <w:t>露点和一氧化碳检测装置</w:t>
            </w:r>
          </w:p>
        </w:tc>
        <w:tc>
          <w:tcPr>
            <w:tcW w:w="3686" w:type="dxa"/>
            <w:vAlign w:val="center"/>
          </w:tcPr>
          <w:p w14:paraId="23631A26">
            <w:pPr>
              <w:spacing w:line="440" w:lineRule="exact"/>
              <w:jc w:val="center"/>
              <w:rPr>
                <w:rFonts w:eastAsia="仿宋_GB2312"/>
                <w:sz w:val="32"/>
                <w:szCs w:val="32"/>
              </w:rPr>
            </w:pPr>
            <w:r>
              <w:rPr>
                <w:rFonts w:eastAsia="仿宋_GB2312"/>
                <w:sz w:val="32"/>
                <w:szCs w:val="32"/>
              </w:rPr>
              <w:t>检测范围；</w:t>
            </w:r>
          </w:p>
          <w:p w14:paraId="2FAF42FF">
            <w:pPr>
              <w:spacing w:line="440" w:lineRule="exact"/>
              <w:jc w:val="center"/>
              <w:rPr>
                <w:rFonts w:eastAsia="仿宋_GB2312"/>
                <w:sz w:val="32"/>
                <w:szCs w:val="32"/>
              </w:rPr>
            </w:pPr>
            <w:r>
              <w:rPr>
                <w:rFonts w:eastAsia="仿宋_GB2312"/>
                <w:sz w:val="32"/>
                <w:szCs w:val="32"/>
              </w:rPr>
              <w:t>精度；</w:t>
            </w:r>
          </w:p>
        </w:tc>
        <w:tc>
          <w:tcPr>
            <w:tcW w:w="2427" w:type="dxa"/>
            <w:vAlign w:val="center"/>
          </w:tcPr>
          <w:p w14:paraId="62D501FF">
            <w:pPr>
              <w:spacing w:line="440" w:lineRule="exact"/>
              <w:jc w:val="center"/>
              <w:rPr>
                <w:rFonts w:eastAsia="仿宋_GB2312"/>
                <w:sz w:val="32"/>
                <w:szCs w:val="32"/>
              </w:rPr>
            </w:pPr>
          </w:p>
        </w:tc>
      </w:tr>
      <w:tr w14:paraId="612A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6366A236">
            <w:pPr>
              <w:jc w:val="center"/>
              <w:rPr>
                <w:rFonts w:eastAsia="仿宋_GB2312"/>
                <w:sz w:val="32"/>
                <w:szCs w:val="32"/>
              </w:rPr>
            </w:pPr>
            <w:r>
              <w:rPr>
                <w:rFonts w:eastAsia="仿宋_GB2312"/>
                <w:sz w:val="32"/>
                <w:szCs w:val="32"/>
              </w:rPr>
              <w:t>管道</w:t>
            </w:r>
          </w:p>
        </w:tc>
        <w:tc>
          <w:tcPr>
            <w:tcW w:w="3686" w:type="dxa"/>
            <w:vAlign w:val="center"/>
          </w:tcPr>
          <w:p w14:paraId="4F572338">
            <w:pPr>
              <w:spacing w:line="440" w:lineRule="exact"/>
              <w:jc w:val="center"/>
              <w:rPr>
                <w:rFonts w:eastAsia="仿宋_GB2312"/>
                <w:sz w:val="32"/>
                <w:szCs w:val="32"/>
              </w:rPr>
            </w:pPr>
            <w:r>
              <w:rPr>
                <w:rFonts w:eastAsia="仿宋_GB2312"/>
                <w:sz w:val="32"/>
                <w:szCs w:val="32"/>
              </w:rPr>
              <w:t>材质质量要求</w:t>
            </w:r>
          </w:p>
        </w:tc>
        <w:tc>
          <w:tcPr>
            <w:tcW w:w="2427" w:type="dxa"/>
            <w:vAlign w:val="center"/>
          </w:tcPr>
          <w:p w14:paraId="2422C719">
            <w:pPr>
              <w:spacing w:line="440" w:lineRule="exact"/>
              <w:jc w:val="center"/>
              <w:rPr>
                <w:sz w:val="28"/>
                <w:szCs w:val="28"/>
              </w:rPr>
            </w:pPr>
          </w:p>
        </w:tc>
      </w:tr>
      <w:tr w14:paraId="032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0" w:type="dxa"/>
            <w:vAlign w:val="center"/>
          </w:tcPr>
          <w:p w14:paraId="7027EC90">
            <w:pPr>
              <w:jc w:val="center"/>
              <w:rPr>
                <w:rFonts w:eastAsia="仿宋_GB2312"/>
                <w:sz w:val="32"/>
                <w:szCs w:val="32"/>
              </w:rPr>
            </w:pPr>
            <w:r>
              <w:rPr>
                <w:rFonts w:eastAsia="仿宋_GB2312"/>
                <w:sz w:val="32"/>
                <w:szCs w:val="32"/>
              </w:rPr>
              <w:t>阀门</w:t>
            </w:r>
          </w:p>
        </w:tc>
        <w:tc>
          <w:tcPr>
            <w:tcW w:w="3686" w:type="dxa"/>
            <w:vAlign w:val="center"/>
          </w:tcPr>
          <w:p w14:paraId="10277826">
            <w:pPr>
              <w:jc w:val="center"/>
              <w:rPr>
                <w:rFonts w:eastAsia="仿宋_GB2312"/>
                <w:sz w:val="32"/>
                <w:szCs w:val="32"/>
              </w:rPr>
            </w:pPr>
            <w:r>
              <w:rPr>
                <w:rFonts w:eastAsia="仿宋_GB2312"/>
                <w:sz w:val="32"/>
                <w:szCs w:val="32"/>
              </w:rPr>
              <w:t>材质</w:t>
            </w:r>
          </w:p>
        </w:tc>
        <w:tc>
          <w:tcPr>
            <w:tcW w:w="2427" w:type="dxa"/>
            <w:vAlign w:val="center"/>
          </w:tcPr>
          <w:p w14:paraId="6C9058CA">
            <w:pPr>
              <w:jc w:val="center"/>
              <w:rPr>
                <w:sz w:val="28"/>
                <w:szCs w:val="28"/>
              </w:rPr>
            </w:pPr>
          </w:p>
        </w:tc>
      </w:tr>
    </w:tbl>
    <w:p w14:paraId="3CE4B240">
      <w:pPr>
        <w:spacing w:line="520" w:lineRule="exact"/>
        <w:ind w:firstLine="640" w:firstLineChars="200"/>
        <w:rPr>
          <w:rFonts w:eastAsia="仿宋"/>
          <w:sz w:val="32"/>
          <w:szCs w:val="32"/>
        </w:rPr>
      </w:pPr>
    </w:p>
    <w:p w14:paraId="09402407">
      <w:pPr>
        <w:spacing w:line="520" w:lineRule="exact"/>
        <w:ind w:firstLine="640" w:firstLineChars="200"/>
        <w:outlineLvl w:val="1"/>
        <w:rPr>
          <w:rFonts w:eastAsia="仿宋_GB2312"/>
          <w:color w:val="000000"/>
          <w:sz w:val="32"/>
          <w:szCs w:val="32"/>
          <w:lang w:val="zh-TW" w:eastAsia="zh-TW"/>
        </w:rPr>
      </w:pPr>
      <w:r>
        <w:rPr>
          <w:rFonts w:eastAsia="仿宋_GB2312"/>
          <w:color w:val="000000"/>
          <w:sz w:val="32"/>
          <w:szCs w:val="32"/>
        </w:rPr>
        <w:t>3</w:t>
      </w:r>
      <w:r>
        <w:rPr>
          <w:rFonts w:eastAsia="仿宋_GB2312"/>
          <w:color w:val="000000"/>
          <w:sz w:val="32"/>
          <w:szCs w:val="32"/>
          <w:lang w:val="zh-TW" w:eastAsia="zh-TW"/>
        </w:rPr>
        <w:t>.同一注册单元内注册检验代表产品确定原则和实例</w:t>
      </w:r>
    </w:p>
    <w:p w14:paraId="26E85DF3">
      <w:pPr>
        <w:pStyle w:val="67"/>
        <w:widowControl w:val="0"/>
        <w:adjustRightInd w:val="0"/>
        <w:snapToGrid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TW" w:eastAsia="zh-TW"/>
        </w:rPr>
        <w:t>.1典型产品应是同一注册单元内能够代表本单元内其他产品安全性和有效性的产品。</w:t>
      </w:r>
    </w:p>
    <w:p w14:paraId="55EBE1B7">
      <w:pPr>
        <w:pStyle w:val="67"/>
        <w:widowControl w:val="0"/>
        <w:adjustRightInd w:val="0"/>
        <w:snapToGrid w:val="0"/>
        <w:spacing w:after="0" w:line="520" w:lineRule="exact"/>
        <w:ind w:firstLine="640" w:firstLineChars="200"/>
        <w:jc w:val="both"/>
        <w:rPr>
          <w:rFonts w:ascii="Times New Roman" w:hAnsi="Times New Roman" w:eastAsia="仿宋_GB2312" w:cs="Times New Roman"/>
          <w:sz w:val="32"/>
          <w:szCs w:val="32"/>
          <w:lang w:val="zh-TW" w:eastAsia="zh-TW"/>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TW" w:eastAsia="zh-TW"/>
        </w:rPr>
        <w:t>.2应考虑功能最齐全、结构最复杂、风险最高的产品。</w:t>
      </w:r>
    </w:p>
    <w:p w14:paraId="020C9620">
      <w:pPr>
        <w:spacing w:line="520" w:lineRule="exact"/>
        <w:ind w:firstLine="640" w:firstLineChars="200"/>
        <w:rPr>
          <w:rFonts w:eastAsia="仿宋_GB2312"/>
          <w:sz w:val="32"/>
          <w:szCs w:val="32"/>
          <w:lang w:val="zh-TW" w:eastAsia="zh-TW"/>
        </w:rPr>
      </w:pPr>
      <w:r>
        <w:rPr>
          <w:rFonts w:eastAsia="仿宋_GB2312"/>
          <w:sz w:val="32"/>
          <w:szCs w:val="32"/>
          <w:lang w:val="zh-TW"/>
        </w:rPr>
        <w:t>3</w:t>
      </w:r>
      <w:r>
        <w:rPr>
          <w:rFonts w:eastAsia="仿宋_GB2312"/>
          <w:sz w:val="32"/>
          <w:szCs w:val="32"/>
          <w:lang w:val="zh-TW" w:eastAsia="zh-TW"/>
        </w:rPr>
        <w:t>.3注册单元内各种型号产品的主要安全指标、性能指标不能被某一型号产品全部涵盖时，则应选择涵盖安全指标、性能指标最多的型号作为典型产品，同时还应考虑其他产品中未被典型型号所涵盖的安全指标及性能指标。</w:t>
      </w:r>
    </w:p>
    <w:p w14:paraId="1C722610">
      <w:pPr>
        <w:spacing w:line="520" w:lineRule="exact"/>
        <w:ind w:firstLine="640" w:firstLineChars="200"/>
        <w:rPr>
          <w:rFonts w:eastAsia="仿宋_GB2312"/>
          <w:sz w:val="32"/>
          <w:szCs w:val="32"/>
        </w:rPr>
      </w:pPr>
      <w:r>
        <w:rPr>
          <w:rFonts w:eastAsia="仿宋_GB2312"/>
          <w:sz w:val="32"/>
          <w:szCs w:val="32"/>
        </w:rPr>
        <w:t>例如，不同型号机组过滤器的过滤原理有差异时，应分别进行检验；最大功率压缩机组合后的最大总功率空气压缩机组，压缩机数量最多组合后的最大总功率空气压缩机组，应分别进行检验。</w:t>
      </w:r>
    </w:p>
    <w:p w14:paraId="4B042CDF">
      <w:pPr>
        <w:spacing w:line="520" w:lineRule="exact"/>
        <w:ind w:firstLine="640" w:firstLineChars="200"/>
        <w:rPr>
          <w:rFonts w:eastAsia="仿宋_GB2312"/>
          <w:sz w:val="32"/>
          <w:szCs w:val="32"/>
        </w:rPr>
      </w:pPr>
      <w:r>
        <w:rPr>
          <w:rFonts w:eastAsia="仿宋_GB2312"/>
          <w:sz w:val="32"/>
          <w:szCs w:val="32"/>
        </w:rPr>
        <w:t>3.4电磁兼容方面。考虑到医用空气压缩机组的安装地点一般是在医院地下室或者专门的机房里面，若不同型号产品之间电气部件相同（包括压缩机型号），仅仅是空压机组配置数量的差异，可选择空压机组配置数量最多的机组作为典型型号。</w:t>
      </w:r>
    </w:p>
    <w:p w14:paraId="65210400">
      <w:pPr>
        <w:spacing w:line="520" w:lineRule="exact"/>
        <w:ind w:firstLine="636" w:firstLineChars="200"/>
        <w:outlineLvl w:val="1"/>
        <w:rPr>
          <w:rFonts w:eastAsia="仿宋_GB2312"/>
          <w:color w:val="000000"/>
          <w:spacing w:val="-1"/>
          <w:sz w:val="32"/>
          <w:szCs w:val="32"/>
        </w:rPr>
      </w:pPr>
      <w:r>
        <w:rPr>
          <w:rFonts w:eastAsia="仿宋_GB2312"/>
          <w:color w:val="000000"/>
          <w:spacing w:val="-1"/>
          <w:sz w:val="32"/>
          <w:szCs w:val="32"/>
        </w:rPr>
        <w:t>4.研究资料</w:t>
      </w:r>
    </w:p>
    <w:p w14:paraId="67E53320">
      <w:pPr>
        <w:widowControl w:val="0"/>
        <w:spacing w:line="520" w:lineRule="exact"/>
        <w:ind w:firstLine="636" w:firstLineChars="200"/>
        <w:jc w:val="both"/>
        <w:rPr>
          <w:rFonts w:eastAsia="仿宋_GB2312"/>
          <w:color w:val="000000"/>
          <w:spacing w:val="-1"/>
          <w:sz w:val="32"/>
          <w:szCs w:val="32"/>
        </w:rPr>
      </w:pPr>
      <w:r>
        <w:rPr>
          <w:rFonts w:eastAsia="仿宋_GB2312"/>
          <w:color w:val="000000"/>
          <w:spacing w:val="-1"/>
          <w:sz w:val="32"/>
          <w:szCs w:val="32"/>
        </w:rPr>
        <w:t>4.1产品性能研究</w:t>
      </w:r>
    </w:p>
    <w:p w14:paraId="0F1D1350">
      <w:pPr>
        <w:spacing w:line="520" w:lineRule="exact"/>
        <w:ind w:firstLine="640" w:firstLineChars="200"/>
        <w:rPr>
          <w:rFonts w:eastAsia="仿宋_GB2312"/>
          <w:color w:val="000000"/>
          <w:spacing w:val="-1"/>
          <w:sz w:val="32"/>
          <w:szCs w:val="32"/>
        </w:rPr>
      </w:pPr>
      <w:r>
        <w:rPr>
          <w:rFonts w:eastAsia="仿宋_GB2312"/>
          <w:sz w:val="32"/>
          <w:szCs w:val="32"/>
        </w:rPr>
        <w:t>4.1.1应提供产品性能指标及试验方法的制定依据</w:t>
      </w:r>
      <w:r>
        <w:rPr>
          <w:rFonts w:eastAsia="仿宋_GB2312"/>
          <w:color w:val="000000"/>
          <w:spacing w:val="-1"/>
          <w:sz w:val="32"/>
          <w:szCs w:val="32"/>
        </w:rPr>
        <w:t>，所采用的标准或方法、采用的原因及理论基础。</w:t>
      </w:r>
    </w:p>
    <w:p w14:paraId="6498B322">
      <w:pPr>
        <w:spacing w:line="520" w:lineRule="exact"/>
        <w:ind w:firstLine="636" w:firstLineChars="200"/>
        <w:rPr>
          <w:rFonts w:eastAsia="仿宋_GB2312"/>
          <w:spacing w:val="-1"/>
          <w:sz w:val="32"/>
          <w:szCs w:val="32"/>
        </w:rPr>
      </w:pPr>
      <w:r>
        <w:rPr>
          <w:rFonts w:eastAsia="仿宋_GB2312"/>
          <w:color w:val="000000"/>
          <w:spacing w:val="-1"/>
          <w:sz w:val="32"/>
          <w:szCs w:val="32"/>
        </w:rPr>
        <w:t>4.1.2</w:t>
      </w:r>
      <w:r>
        <w:rPr>
          <w:rFonts w:eastAsia="仿宋_GB2312"/>
          <w:sz w:val="32"/>
          <w:szCs w:val="32"/>
        </w:rPr>
        <w:t>注册申请人应结合产品工作原理及适用范围，确定申报产品结构组成或各主要元器件功能性指标并提供详细的研究资料，例如机组工作流程的研究资料；过滤器级数、类型、精度和处理流量、滤芯性能监测措施等的研究资料；干燥器控制功能的研究资料。</w:t>
      </w:r>
    </w:p>
    <w:p w14:paraId="1C3A1691">
      <w:pPr>
        <w:spacing w:line="520" w:lineRule="exact"/>
        <w:ind w:firstLine="636" w:firstLineChars="200"/>
        <w:rPr>
          <w:rFonts w:eastAsia="仿宋_GB2312"/>
          <w:color w:val="000000"/>
          <w:spacing w:val="-1"/>
          <w:sz w:val="32"/>
          <w:szCs w:val="32"/>
        </w:rPr>
      </w:pPr>
      <w:r>
        <w:rPr>
          <w:rFonts w:eastAsia="仿宋_GB2312"/>
          <w:spacing w:val="-1"/>
          <w:sz w:val="32"/>
          <w:szCs w:val="32"/>
        </w:rPr>
        <w:t>4.1.3结合产品包含的元件、部件</w:t>
      </w:r>
      <w:r>
        <w:rPr>
          <w:rFonts w:eastAsia="仿宋_GB2312"/>
          <w:color w:val="000000"/>
          <w:spacing w:val="-1"/>
          <w:sz w:val="32"/>
          <w:szCs w:val="32"/>
        </w:rPr>
        <w:t>，进行机组单一故障状态下可实现连续供气的研究。</w:t>
      </w:r>
    </w:p>
    <w:p w14:paraId="6E24E33F">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结合产品具备的控制和报警功能，提交机组的监控和报警功能验证资料。</w:t>
      </w:r>
    </w:p>
    <w:p w14:paraId="3F074014">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提交机组在高温高湿环境下，空气质量的性能研究；并结合验证资料在说明书中对工作环境予以说明。</w:t>
      </w:r>
    </w:p>
    <w:p w14:paraId="2E85C6BD">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提交机组在不同使用流量下(至少包括高使用流量和低使用流量情况)，空气质量、压力稳定性和泄漏量的性能研究。</w:t>
      </w:r>
    </w:p>
    <w:p w14:paraId="3FAE1DE6">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结合压缩机的排气压力范围和机组供气压力，提交在不同压力下空气质量、压力稳定性和泄漏量的性能研究。</w:t>
      </w:r>
    </w:p>
    <w:p w14:paraId="42D7C3F6">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结合正常运行时机组内各压缩机轮流切换运行的控制措施，提交相关研究资料。</w:t>
      </w:r>
    </w:p>
    <w:p w14:paraId="597F784E">
      <w:pPr>
        <w:spacing w:line="520" w:lineRule="exact"/>
        <w:ind w:firstLine="640" w:firstLineChars="200"/>
        <w:rPr>
          <w:rFonts w:eastAsia="仿宋_GB2312"/>
          <w:color w:val="000000"/>
          <w:spacing w:val="-1"/>
          <w:sz w:val="32"/>
          <w:szCs w:val="32"/>
        </w:rPr>
      </w:pPr>
      <w:r>
        <w:rPr>
          <w:rFonts w:eastAsia="仿宋_GB2312"/>
          <w:snapToGrid w:val="0"/>
          <w:sz w:val="32"/>
          <w:szCs w:val="32"/>
        </w:rPr>
        <w:t>结合产品设计控制措施，以及机组在不同运行状态下需要同时运行的机组数量，提交相关研究资料。</w:t>
      </w:r>
    </w:p>
    <w:p w14:paraId="2E001EAD">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4.1.4若产品采用冷冻式干燥机，需提供压缩空气质量满足GB 50751中表3.0.1要求的研究资料。</w:t>
      </w:r>
    </w:p>
    <w:p w14:paraId="23D96DE1">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4.1.5若生产企业自己开展管道脱脂，提交清洗脱脂方法的验证资料；若生产企业自己不脱脂，应提供建议的清洗脱脂方法，且该方法应经过验证。</w:t>
      </w:r>
    </w:p>
    <w:p w14:paraId="60B28440">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4.1.6本指导原则未包含用于手术器械驱动的空气压缩机组，若产品宣称可与器械驱动共用同一空气压缩机组，机组需同时满足GB50751对医用空气和器械驱动空气在空气质量、供气压力及偏差的要求。申请人应结合各部件参数、不同临床使用流量（重点关注满负荷、高使用流量）、机组供气压力等方面要求，提交空气质量、压力稳定性、机组供气压力等方面的研究资料。</w:t>
      </w:r>
    </w:p>
    <w:p w14:paraId="3261B114">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4.2灭菌/消毒工艺研究 (若适用)</w:t>
      </w:r>
    </w:p>
    <w:p w14:paraId="1598B3A6">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终端用户灭菌/消毒：应当明确推荐的消毒工艺（方法和参数）以及所推荐消毒方法确定的依据。</w:t>
      </w:r>
    </w:p>
    <w:p w14:paraId="7E608CF3">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4.3产品有效期和包装研究</w:t>
      </w:r>
    </w:p>
    <w:p w14:paraId="6A98E752">
      <w:pPr>
        <w:ind w:firstLine="636" w:firstLineChars="200"/>
        <w:rPr>
          <w:rFonts w:eastAsia="仿宋_GB2312"/>
          <w:color w:val="000000"/>
          <w:spacing w:val="-1"/>
          <w:sz w:val="32"/>
          <w:szCs w:val="32"/>
        </w:rPr>
      </w:pPr>
      <w:r>
        <w:rPr>
          <w:rFonts w:eastAsia="仿宋_GB2312"/>
          <w:color w:val="000000"/>
          <w:spacing w:val="-1"/>
          <w:sz w:val="32"/>
          <w:szCs w:val="32"/>
        </w:rPr>
        <w:t>4.3.1有效期的确定：应依据《有源医疗器械使用期限注册技术审查指导原则》要求，提供产品使用期限分析评价报告。</w:t>
      </w:r>
    </w:p>
    <w:p w14:paraId="5817036B">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应根据自身产品临床应用和产品设计情况，确定出产品的关键部件和可更换部件。应明确在预期使用条件下关键部件的使用期限，及可更换部件的定期保养维护时间和更换频次，且应提供确定使用寿命和更换频次的依据。</w:t>
      </w:r>
    </w:p>
    <w:p w14:paraId="1BB10247">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4.3.2包装及包装完整性：在宣称的有效期内以及运输储存条件下，保持包装完整性的依据。</w:t>
      </w:r>
    </w:p>
    <w:p w14:paraId="57A12BA2">
      <w:pPr>
        <w:spacing w:line="520" w:lineRule="exact"/>
        <w:ind w:firstLine="636" w:firstLineChars="200"/>
        <w:rPr>
          <w:rFonts w:eastAsia="仿宋_GB2312"/>
          <w:sz w:val="32"/>
          <w:szCs w:val="32"/>
        </w:rPr>
      </w:pPr>
      <w:r>
        <w:rPr>
          <w:rFonts w:eastAsia="仿宋_GB2312"/>
          <w:color w:val="000000"/>
          <w:spacing w:val="-1"/>
          <w:sz w:val="32"/>
          <w:szCs w:val="32"/>
        </w:rPr>
        <w:t>4.4</w:t>
      </w:r>
      <w:r>
        <w:rPr>
          <w:rFonts w:eastAsia="仿宋_GB2312"/>
          <w:sz w:val="32"/>
          <w:szCs w:val="32"/>
        </w:rPr>
        <w:t>环境试验</w:t>
      </w:r>
    </w:p>
    <w:p w14:paraId="4B579063">
      <w:pPr>
        <w:spacing w:line="520" w:lineRule="exact"/>
        <w:ind w:firstLine="640" w:firstLineChars="200"/>
        <w:rPr>
          <w:rFonts w:eastAsia="仿宋_GB2312"/>
          <w:sz w:val="32"/>
          <w:szCs w:val="32"/>
        </w:rPr>
      </w:pPr>
      <w:r>
        <w:rPr>
          <w:rFonts w:eastAsia="仿宋_GB2312"/>
          <w:sz w:val="32"/>
          <w:szCs w:val="32"/>
        </w:rPr>
        <w:t>申请人应按照GB/T 14710的要求提交</w:t>
      </w:r>
      <w:r>
        <w:rPr>
          <w:rFonts w:eastAsia="仿宋_GB2312"/>
          <w:sz w:val="32"/>
          <w:szCs w:val="32"/>
          <w:lang w:val="zh-TW"/>
        </w:rPr>
        <w:t>相关研究</w:t>
      </w:r>
      <w:r>
        <w:rPr>
          <w:rFonts w:eastAsia="仿宋_GB2312"/>
          <w:sz w:val="32"/>
          <w:szCs w:val="32"/>
          <w:lang w:val="zh-TW" w:eastAsia="zh-TW"/>
        </w:rPr>
        <w:t>资料</w:t>
      </w:r>
      <w:r>
        <w:rPr>
          <w:rFonts w:eastAsia="仿宋_GB2312"/>
          <w:sz w:val="32"/>
          <w:szCs w:val="32"/>
        </w:rPr>
        <w:t>。</w:t>
      </w:r>
    </w:p>
    <w:p w14:paraId="5D92B6A2">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4.5软件研究</w:t>
      </w:r>
    </w:p>
    <w:p w14:paraId="156C3942">
      <w:pPr>
        <w:spacing w:line="520" w:lineRule="exact"/>
        <w:ind w:firstLine="640" w:firstLineChars="200"/>
        <w:rPr>
          <w:rFonts w:eastAsia="仿宋_GB2312"/>
          <w:sz w:val="32"/>
          <w:szCs w:val="32"/>
        </w:rPr>
      </w:pPr>
      <w:r>
        <w:rPr>
          <w:rFonts w:eastAsia="仿宋_GB2312"/>
          <w:sz w:val="32"/>
          <w:szCs w:val="32"/>
        </w:rPr>
        <w:t>通常医用空气压缩机组的软件安全级别为B级</w:t>
      </w:r>
      <w:r>
        <w:rPr>
          <w:rFonts w:eastAsia="仿宋_GB2312"/>
          <w:color w:val="000000"/>
          <w:spacing w:val="-1"/>
          <w:sz w:val="32"/>
          <w:szCs w:val="32"/>
        </w:rPr>
        <w:t>，应按照《医疗器械软件注册技术审查指导原则》的要求提交软件描述文档。如产品具有网络连接功能或采用存储媒介的方式用以进行电子数据交换或远程控制的，需要按照《医疗器械网络安全注册技术审查指导原则》的要求提交网络安全描述文档。</w:t>
      </w:r>
    </w:p>
    <w:p w14:paraId="3BF68C4D">
      <w:pPr>
        <w:spacing w:line="520" w:lineRule="exact"/>
        <w:ind w:firstLine="640" w:firstLineChars="200"/>
        <w:outlineLvl w:val="1"/>
        <w:rPr>
          <w:rFonts w:eastAsia="楷体_GB2312"/>
          <w:bCs/>
          <w:iCs/>
          <w:kern w:val="2"/>
          <w:sz w:val="32"/>
          <w:szCs w:val="28"/>
        </w:rPr>
      </w:pPr>
      <w:r>
        <w:rPr>
          <w:rFonts w:eastAsia="楷体_GB2312"/>
          <w:bCs/>
          <w:iCs/>
          <w:kern w:val="2"/>
          <w:sz w:val="32"/>
          <w:szCs w:val="28"/>
        </w:rPr>
        <w:t>（四）临床评价资料</w:t>
      </w:r>
    </w:p>
    <w:p w14:paraId="04F05306">
      <w:pPr>
        <w:spacing w:line="520" w:lineRule="exact"/>
        <w:ind w:firstLine="567"/>
        <w:rPr>
          <w:rFonts w:eastAsia="仿宋_GB2312"/>
          <w:sz w:val="32"/>
          <w:szCs w:val="32"/>
        </w:rPr>
      </w:pPr>
      <w:r>
        <w:rPr>
          <w:rFonts w:eastAsia="仿宋_GB2312"/>
          <w:bCs/>
          <w:sz w:val="32"/>
          <w:szCs w:val="32"/>
        </w:rPr>
        <w:t>该产品列入《免于临床评价医疗器械目录》，申请人无需提交临床评价资料</w:t>
      </w:r>
      <w:r>
        <w:rPr>
          <w:rFonts w:eastAsia="仿宋_GB2312"/>
          <w:sz w:val="32"/>
          <w:szCs w:val="32"/>
        </w:rPr>
        <w:t>。</w:t>
      </w:r>
    </w:p>
    <w:p w14:paraId="12A4679C">
      <w:pPr>
        <w:spacing w:line="520" w:lineRule="exact"/>
        <w:ind w:firstLine="640" w:firstLineChars="200"/>
        <w:jc w:val="both"/>
        <w:outlineLvl w:val="1"/>
        <w:rPr>
          <w:rFonts w:eastAsia="楷体_GB2312"/>
          <w:bCs/>
          <w:iCs/>
          <w:kern w:val="2"/>
          <w:sz w:val="32"/>
          <w:szCs w:val="28"/>
        </w:rPr>
      </w:pPr>
      <w:r>
        <w:rPr>
          <w:rFonts w:eastAsia="楷体_GB2312"/>
          <w:bCs/>
          <w:iCs/>
          <w:kern w:val="2"/>
          <w:sz w:val="32"/>
          <w:szCs w:val="28"/>
        </w:rPr>
        <w:t>（五）其他资料</w:t>
      </w:r>
    </w:p>
    <w:p w14:paraId="07FAED89">
      <w:pPr>
        <w:spacing w:line="520" w:lineRule="exact"/>
        <w:ind w:firstLine="567"/>
        <w:rPr>
          <w:rFonts w:eastAsia="仿宋_GB2312"/>
          <w:sz w:val="32"/>
          <w:szCs w:val="32"/>
        </w:rPr>
      </w:pPr>
      <w:r>
        <w:rPr>
          <w:rFonts w:eastAsia="仿宋_GB2312"/>
          <w:sz w:val="32"/>
          <w:szCs w:val="32"/>
        </w:rPr>
        <w:t>医用空气压缩机组已列入《免于临床评价医疗器械目录》（以下简称《目录》）“医用空气压缩机”，可免于提交临床评价资料。申请人应当按照《列入免于进行临床评价医疗器械目录产品对比说明技术指导原则》，从基本原理、结构组成、性能、安全性、适用范围等方面，证明产品的安全有效性。</w:t>
      </w:r>
    </w:p>
    <w:p w14:paraId="1EC88233">
      <w:pPr>
        <w:spacing w:line="520" w:lineRule="exact"/>
        <w:ind w:firstLine="640" w:firstLineChars="200"/>
        <w:outlineLvl w:val="1"/>
        <w:rPr>
          <w:rFonts w:eastAsia="楷体_GB2312"/>
          <w:bCs/>
          <w:iCs/>
          <w:kern w:val="2"/>
          <w:sz w:val="32"/>
          <w:szCs w:val="28"/>
        </w:rPr>
      </w:pPr>
      <w:r>
        <w:rPr>
          <w:rFonts w:eastAsia="楷体_GB2312"/>
          <w:bCs/>
          <w:iCs/>
          <w:kern w:val="2"/>
          <w:sz w:val="32"/>
          <w:szCs w:val="28"/>
        </w:rPr>
        <w:t>（六）产品说明书和标签要求</w:t>
      </w:r>
    </w:p>
    <w:p w14:paraId="714658EB">
      <w:pPr>
        <w:spacing w:line="520" w:lineRule="exact"/>
        <w:ind w:firstLine="640" w:firstLineChars="200"/>
        <w:outlineLvl w:val="1"/>
        <w:rPr>
          <w:rFonts w:eastAsia="仿宋_GB2312"/>
          <w:sz w:val="32"/>
          <w:szCs w:val="32"/>
        </w:rPr>
      </w:pPr>
      <w:r>
        <w:rPr>
          <w:rFonts w:eastAsia="仿宋_GB2312"/>
          <w:sz w:val="32"/>
          <w:szCs w:val="32"/>
        </w:rPr>
        <w:t>1.产品说明书和标签应当符合《医疗器械说明书和标签管理规定》和GB 9706.1、YY0505中关于说明书和标签的相关要求。</w:t>
      </w:r>
    </w:p>
    <w:p w14:paraId="7060856B">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2.还应特别注意以下内容：</w:t>
      </w:r>
    </w:p>
    <w:p w14:paraId="6D88900C">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（1）建议以示意图加文字的形式对申报产品的整体结构进行描述，标明各主要模块的名称。</w:t>
      </w:r>
    </w:p>
    <w:p w14:paraId="2B090408">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（2）必须由经过培训合格的专业人员执行；</w:t>
      </w:r>
    </w:p>
    <w:p w14:paraId="63A0D3CA">
      <w:pPr>
        <w:widowControl w:val="0"/>
        <w:autoSpaceDE w:val="0"/>
        <w:autoSpaceDN w:val="0"/>
        <w:adjustRightInd w:val="0"/>
        <w:spacing w:line="520" w:lineRule="exact"/>
        <w:ind w:firstLine="640" w:firstLineChars="200"/>
        <w:rPr>
          <w:rFonts w:eastAsia="仿宋_GB2312"/>
          <w:sz w:val="32"/>
          <w:szCs w:val="32"/>
        </w:rPr>
      </w:pPr>
      <w:r>
        <w:rPr>
          <w:rFonts w:eastAsia="仿宋_GB2312"/>
          <w:sz w:val="32"/>
          <w:szCs w:val="32"/>
        </w:rPr>
        <w:t>（3）若产品设计不适用于器械驱动用，应予以说明。</w:t>
      </w:r>
    </w:p>
    <w:p w14:paraId="4EFD768D">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sz w:val="32"/>
          <w:szCs w:val="32"/>
        </w:rPr>
        <w:t>（3）使用前的检查，包括机组四周是否有足够的空间方便开机、检查和保养，检查管道系统（特别是柔性软管）是否有损坏，</w:t>
      </w:r>
      <w:r>
        <w:rPr>
          <w:rFonts w:eastAsia="仿宋_GB2312"/>
          <w:color w:val="000000"/>
          <w:kern w:val="2"/>
          <w:sz w:val="32"/>
          <w:szCs w:val="32"/>
        </w:rPr>
        <w:t>检查管道连接、电源连接、电气连接是否正确，检查机组所有零部件是否固定牢固、确保所有电源开关关闭等；注意压缩机转向，不能反转。</w:t>
      </w:r>
    </w:p>
    <w:p w14:paraId="0118B147">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（4）进气口的位置选择（室内、室外各自的要求）。</w:t>
      </w:r>
    </w:p>
    <w:p w14:paraId="2AA8658F">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（5）机组的安装要求，包括站房内空间，地面承载，接地条；工作环境条件要求，包括环境温度、相对湿度、电源条件。</w:t>
      </w:r>
    </w:p>
    <w:p w14:paraId="4639A081">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（6）压缩机、过滤器、干燥器、储气罐、减压装置、露点和一氧化碳检测装置的维护保养周期和保养内容；介绍过滤器滤芯性能的监视措施及更换说明。</w:t>
      </w:r>
    </w:p>
    <w:p w14:paraId="618FCD7F">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（7）储存条件（特别是无润滑压缩机的储存条件）。</w:t>
      </w:r>
    </w:p>
    <w:p w14:paraId="4803ABD1">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（8）</w:t>
      </w:r>
      <w:r>
        <w:rPr>
          <w:rFonts w:eastAsia="仿宋_GB2312"/>
          <w:color w:val="000000"/>
          <w:sz w:val="32"/>
        </w:rPr>
        <w:t>常见故障及排</w:t>
      </w:r>
      <w:r>
        <w:rPr>
          <w:rFonts w:eastAsia="仿宋_GB2312"/>
          <w:sz w:val="32"/>
        </w:rPr>
        <w:t>除方法，若有故障代码，应说明对应的故障类型。</w:t>
      </w:r>
    </w:p>
    <w:p w14:paraId="7E9E2504">
      <w:pPr>
        <w:spacing w:line="520" w:lineRule="exact"/>
        <w:ind w:firstLine="640" w:firstLineChars="200"/>
        <w:outlineLvl w:val="1"/>
        <w:rPr>
          <w:rFonts w:eastAsia="楷体_GB2312"/>
          <w:bCs/>
          <w:iCs/>
          <w:kern w:val="2"/>
          <w:sz w:val="32"/>
          <w:szCs w:val="28"/>
        </w:rPr>
      </w:pPr>
      <w:r>
        <w:rPr>
          <w:rFonts w:eastAsia="楷体_GB2312"/>
          <w:bCs/>
          <w:iCs/>
          <w:kern w:val="2"/>
          <w:sz w:val="32"/>
          <w:szCs w:val="28"/>
        </w:rPr>
        <w:t>（七）质量管理体系</w:t>
      </w:r>
    </w:p>
    <w:p w14:paraId="38A73D5A">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生产制造信息</w:t>
      </w:r>
    </w:p>
    <w:p w14:paraId="3A8B99EC">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1.应当明确产品生产工艺过程</w:t>
      </w:r>
    </w:p>
    <w:p w14:paraId="2B69E3C1">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工艺过程可采用流程图的形式，并说明其每道工序的操作说明及接收和放行标准，同时对过程控制要点进行详细说明。</w:t>
      </w:r>
    </w:p>
    <w:p w14:paraId="0EF1D555">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2.生产场地</w:t>
      </w:r>
    </w:p>
    <w:p w14:paraId="024DF850">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应详细说明产品生产场地地址、生产工艺布局、生产环境要求及周边情况。有多个研制、生产场地，应当概述每个研制、生产场地的实际情况。</w:t>
      </w:r>
    </w:p>
    <w:p w14:paraId="296DD78C">
      <w:pPr>
        <w:spacing w:line="520" w:lineRule="exact"/>
        <w:ind w:firstLine="640" w:firstLineChars="200"/>
        <w:rPr>
          <w:rFonts w:eastAsia="黑体"/>
          <w:sz w:val="32"/>
          <w:szCs w:val="32"/>
        </w:rPr>
      </w:pPr>
      <w:bookmarkStart w:id="4" w:name="_Toc306265300"/>
      <w:r>
        <w:rPr>
          <w:rFonts w:eastAsia="黑体"/>
          <w:sz w:val="32"/>
          <w:szCs w:val="32"/>
        </w:rPr>
        <w:t>三、参考文献</w:t>
      </w:r>
    </w:p>
    <w:p w14:paraId="019A7620">
      <w:pPr>
        <w:pStyle w:val="51"/>
        <w:overflowPunct w:val="0"/>
        <w:autoSpaceDE w:val="0"/>
        <w:autoSpaceDN w:val="0"/>
        <w:spacing w:line="560" w:lineRule="exact"/>
        <w:ind w:firstLine="640"/>
        <w:jc w:val="both"/>
        <w:outlineLvl w:val="2"/>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w:t>
      </w:r>
      <w:r>
        <w:rPr>
          <w:rFonts w:ascii="Times New Roman" w:hAnsi="Times New Roman" w:eastAsia="仿宋_GB2312"/>
          <w:color w:val="000000"/>
          <w:sz w:val="32"/>
          <w:szCs w:val="32"/>
        </w:rPr>
        <w:t>医疗器械注册和备案管理办法</w:t>
      </w:r>
      <w:r>
        <w:rPr>
          <w:rFonts w:ascii="Times New Roman" w:hAnsi="Times New Roman" w:eastAsia="仿宋_GB2312"/>
          <w:sz w:val="32"/>
          <w:szCs w:val="32"/>
        </w:rPr>
        <w:t>[Z].</w:t>
      </w:r>
    </w:p>
    <w:p w14:paraId="408A87E4">
      <w:pPr>
        <w:pStyle w:val="51"/>
        <w:overflowPunct w:val="0"/>
        <w:autoSpaceDE w:val="0"/>
        <w:autoSpaceDN w:val="0"/>
        <w:spacing w:line="560" w:lineRule="exact"/>
        <w:ind w:firstLine="640"/>
        <w:jc w:val="both"/>
        <w:outlineLvl w:val="2"/>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w:t>
      </w:r>
      <w:r>
        <w:rPr>
          <w:rFonts w:ascii="Times New Roman" w:hAnsi="Times New Roman" w:eastAsia="仿宋_GB2312"/>
          <w:color w:val="000000"/>
          <w:sz w:val="32"/>
          <w:szCs w:val="32"/>
        </w:rPr>
        <w:t>医疗器械说明书和标签管理规定</w:t>
      </w:r>
      <w:r>
        <w:rPr>
          <w:rFonts w:ascii="Times New Roman" w:hAnsi="Times New Roman" w:eastAsia="仿宋_GB2312"/>
          <w:sz w:val="32"/>
          <w:szCs w:val="32"/>
        </w:rPr>
        <w:t>[Z].</w:t>
      </w:r>
    </w:p>
    <w:p w14:paraId="71856774">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[3]关于公布医疗器械注册申报资料要求和批准证明文件格式的公告</w:t>
      </w:r>
      <w:r>
        <w:rPr>
          <w:rFonts w:ascii="Times New Roman" w:hAnsi="Times New Roman" w:eastAsia="仿宋_GB2312"/>
          <w:sz w:val="32"/>
          <w:szCs w:val="32"/>
        </w:rPr>
        <w:t>[Z].</w:t>
      </w:r>
    </w:p>
    <w:p w14:paraId="349BE518">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[4]关于发布医疗器械临床评价技术指导原则等5项技术指导原则的通告</w:t>
      </w:r>
      <w:r>
        <w:rPr>
          <w:rFonts w:ascii="Times New Roman" w:hAnsi="Times New Roman" w:eastAsia="仿宋_GB2312"/>
          <w:sz w:val="32"/>
          <w:szCs w:val="32"/>
        </w:rPr>
        <w:t>[Z].</w:t>
      </w:r>
    </w:p>
    <w:p w14:paraId="3A304605">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[5]关于发布医疗器械软件注册技术审查指导原则的通告</w:t>
      </w:r>
      <w:r>
        <w:rPr>
          <w:rFonts w:ascii="Times New Roman" w:hAnsi="Times New Roman" w:eastAsia="仿宋_GB2312"/>
          <w:sz w:val="32"/>
          <w:szCs w:val="32"/>
        </w:rPr>
        <w:t>[Z].</w:t>
      </w:r>
    </w:p>
    <w:p w14:paraId="0C1D4784">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[6]关于发布医疗器械网络安全注册技术审查指导原则的通告</w:t>
      </w:r>
      <w:r>
        <w:rPr>
          <w:rFonts w:ascii="Times New Roman" w:hAnsi="Times New Roman" w:eastAsia="仿宋_GB2312"/>
          <w:sz w:val="32"/>
          <w:szCs w:val="32"/>
        </w:rPr>
        <w:t>[Z].</w:t>
      </w:r>
    </w:p>
    <w:p w14:paraId="69E471FC">
      <w:pPr>
        <w:pStyle w:val="51"/>
        <w:overflowPunct w:val="0"/>
        <w:autoSpaceDE w:val="0"/>
        <w:autoSpaceDN w:val="0"/>
        <w:spacing w:line="560" w:lineRule="exact"/>
        <w:ind w:firstLine="640"/>
        <w:jc w:val="both"/>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[7]关于发布有源医疗器械使用期限注册技术审查指导原则的通告</w:t>
      </w:r>
      <w:r>
        <w:rPr>
          <w:rFonts w:ascii="Times New Roman" w:hAnsi="Times New Roman" w:eastAsia="仿宋_GB2312"/>
          <w:sz w:val="32"/>
          <w:szCs w:val="32"/>
        </w:rPr>
        <w:t>[Z].</w:t>
      </w:r>
    </w:p>
    <w:p w14:paraId="6800A637">
      <w:pPr>
        <w:spacing w:line="520" w:lineRule="exact"/>
        <w:ind w:firstLine="640" w:firstLineChars="200"/>
        <w:rPr>
          <w:rFonts w:eastAsia="仿宋_GB2312"/>
          <w:sz w:val="32"/>
          <w:szCs w:val="32"/>
        </w:rPr>
      </w:pPr>
      <w:r>
        <w:rPr>
          <w:rFonts w:eastAsia="仿宋_GB2312"/>
          <w:color w:val="000000"/>
          <w:sz w:val="32"/>
          <w:szCs w:val="32"/>
        </w:rPr>
        <w:t>[8]ISO 7396-1,</w:t>
      </w:r>
      <w:r>
        <w:t xml:space="preserve"> </w:t>
      </w:r>
      <w:r>
        <w:rPr>
          <w:rFonts w:eastAsia="仿宋_GB2312"/>
          <w:color w:val="000000"/>
          <w:sz w:val="32"/>
          <w:szCs w:val="32"/>
        </w:rPr>
        <w:t>Medical gas pipeline systems - Part 1: Pipeline systems for compressed medical gases and vacuum</w:t>
      </w:r>
      <w:r>
        <w:rPr>
          <w:rFonts w:eastAsia="仿宋_GB2312"/>
          <w:sz w:val="32"/>
          <w:szCs w:val="32"/>
        </w:rPr>
        <w:t>[S].</w:t>
      </w:r>
    </w:p>
    <w:p w14:paraId="58CE460A">
      <w:pPr>
        <w:spacing w:line="520" w:lineRule="exact"/>
        <w:ind w:firstLine="640" w:firstLineChars="200"/>
        <w:rPr>
          <w:rFonts w:eastAsia="仿宋_GB2312"/>
          <w:sz w:val="32"/>
          <w:szCs w:val="32"/>
        </w:rPr>
      </w:pPr>
      <w:r>
        <w:rPr>
          <w:rFonts w:eastAsia="仿宋_GB2312"/>
          <w:color w:val="000000"/>
          <w:sz w:val="32"/>
          <w:szCs w:val="32"/>
        </w:rPr>
        <w:t>[9]GB 50751,</w:t>
      </w:r>
      <w:r>
        <w:t xml:space="preserve"> </w:t>
      </w:r>
      <w:r>
        <w:rPr>
          <w:rFonts w:eastAsia="仿宋_GB2312"/>
          <w:color w:val="000000"/>
          <w:kern w:val="2"/>
          <w:sz w:val="32"/>
          <w:szCs w:val="32"/>
        </w:rPr>
        <w:t>医用气体工程技术规范</w:t>
      </w:r>
      <w:r>
        <w:rPr>
          <w:rFonts w:eastAsia="仿宋_GB2312"/>
          <w:sz w:val="32"/>
          <w:szCs w:val="32"/>
        </w:rPr>
        <w:t>[S].</w:t>
      </w:r>
    </w:p>
    <w:p w14:paraId="3F186F0D">
      <w:pPr>
        <w:spacing w:line="520" w:lineRule="exact"/>
        <w:ind w:firstLine="640" w:firstLineChars="200"/>
        <w:rPr>
          <w:rFonts w:eastAsia="仿宋_GB2312"/>
          <w:sz w:val="32"/>
          <w:szCs w:val="32"/>
        </w:rPr>
      </w:pPr>
      <w:r>
        <w:rPr>
          <w:rFonts w:eastAsia="仿宋_GB2312"/>
          <w:color w:val="000000"/>
          <w:sz w:val="32"/>
          <w:szCs w:val="32"/>
        </w:rPr>
        <w:t>[10]GB 4793.1,</w:t>
      </w:r>
      <w:r>
        <w:t xml:space="preserve"> </w:t>
      </w:r>
      <w:r>
        <w:rPr>
          <w:rFonts w:eastAsia="仿宋_GB2312"/>
          <w:color w:val="000000"/>
          <w:kern w:val="2"/>
          <w:sz w:val="32"/>
          <w:szCs w:val="32"/>
        </w:rPr>
        <w:t>测量、控制和实验室用电气设备的安全要求 第1部分：通用要求</w:t>
      </w:r>
      <w:r>
        <w:rPr>
          <w:rFonts w:eastAsia="仿宋_GB2312"/>
          <w:sz w:val="32"/>
          <w:szCs w:val="32"/>
        </w:rPr>
        <w:t>[S].</w:t>
      </w:r>
    </w:p>
    <w:p w14:paraId="5CA2EF5C">
      <w:pPr>
        <w:spacing w:line="520" w:lineRule="exact"/>
        <w:ind w:firstLine="640" w:firstLineChars="200"/>
        <w:rPr>
          <w:rFonts w:eastAsia="仿宋_GB2312"/>
          <w:color w:val="000000"/>
          <w:kern w:val="2"/>
          <w:sz w:val="32"/>
          <w:szCs w:val="32"/>
        </w:rPr>
      </w:pPr>
      <w:r>
        <w:rPr>
          <w:rFonts w:eastAsia="仿宋_GB2312"/>
          <w:color w:val="000000"/>
          <w:sz w:val="32"/>
          <w:szCs w:val="32"/>
        </w:rPr>
        <w:t>[11]GB 18268.1,</w:t>
      </w:r>
      <w:r>
        <w:t xml:space="preserve"> </w:t>
      </w:r>
      <w:r>
        <w:rPr>
          <w:rFonts w:eastAsia="仿宋_GB2312"/>
          <w:color w:val="000000"/>
          <w:kern w:val="2"/>
          <w:sz w:val="32"/>
          <w:szCs w:val="32"/>
        </w:rPr>
        <w:t>测量、控制和实验室用的电设备 电磁兼容性要求 第1部分：通用要求[S]</w:t>
      </w:r>
    </w:p>
    <w:p w14:paraId="3E6281DF">
      <w:pPr>
        <w:spacing w:line="520" w:lineRule="exact"/>
        <w:ind w:firstLine="640" w:firstLineChars="200"/>
        <w:rPr>
          <w:rFonts w:eastAsia="仿宋_GB2312"/>
          <w:sz w:val="32"/>
          <w:szCs w:val="32"/>
        </w:rPr>
      </w:pPr>
      <w:r>
        <w:rPr>
          <w:rFonts w:eastAsia="仿宋_GB2312"/>
          <w:color w:val="000000"/>
          <w:sz w:val="32"/>
          <w:szCs w:val="32"/>
        </w:rPr>
        <w:t>[12]GB 14710,</w:t>
      </w:r>
      <w:r>
        <w:t xml:space="preserve"> </w:t>
      </w:r>
      <w:r>
        <w:rPr>
          <w:rFonts w:eastAsia="仿宋_GB2312"/>
          <w:color w:val="000000"/>
          <w:kern w:val="2"/>
          <w:sz w:val="32"/>
          <w:szCs w:val="32"/>
        </w:rPr>
        <w:t>医用电器环境要求及试验方法</w:t>
      </w:r>
      <w:r>
        <w:rPr>
          <w:rFonts w:eastAsia="仿宋_GB2312"/>
          <w:sz w:val="32"/>
          <w:szCs w:val="32"/>
        </w:rPr>
        <w:t>[S].</w:t>
      </w:r>
    </w:p>
    <w:p w14:paraId="0292D015">
      <w:pPr>
        <w:spacing w:line="520" w:lineRule="exact"/>
        <w:ind w:firstLine="640" w:firstLineChars="200"/>
        <w:rPr>
          <w:rFonts w:eastAsia="仿宋_GB2312"/>
          <w:sz w:val="32"/>
          <w:szCs w:val="32"/>
        </w:rPr>
      </w:pPr>
      <w:r>
        <w:rPr>
          <w:rFonts w:eastAsia="仿宋_GB2312"/>
          <w:color w:val="000000"/>
          <w:sz w:val="32"/>
          <w:szCs w:val="32"/>
        </w:rPr>
        <w:t>[13]YY 0709,</w:t>
      </w:r>
      <w:r>
        <w:t xml:space="preserve"> </w:t>
      </w:r>
      <w:r>
        <w:rPr>
          <w:rFonts w:eastAsia="仿宋_GB2312"/>
          <w:color w:val="000000"/>
          <w:kern w:val="2"/>
          <w:sz w:val="32"/>
          <w:szCs w:val="32"/>
        </w:rPr>
        <w:t>医用电气设备 第1-8部分：安全通用要求 并列标准：通用要求，医用电气设备和医用电气系统中报警系统的测试和指南</w:t>
      </w:r>
      <w:r>
        <w:rPr>
          <w:rFonts w:eastAsia="仿宋_GB2312"/>
          <w:sz w:val="32"/>
          <w:szCs w:val="32"/>
        </w:rPr>
        <w:t>[S].</w:t>
      </w:r>
    </w:p>
    <w:p w14:paraId="37424035">
      <w:pPr>
        <w:spacing w:line="520" w:lineRule="exact"/>
        <w:ind w:firstLine="640" w:firstLineChars="200"/>
        <w:rPr>
          <w:rFonts w:eastAsia="仿宋_GB2312"/>
          <w:sz w:val="32"/>
          <w:szCs w:val="32"/>
        </w:rPr>
      </w:pPr>
      <w:r>
        <w:rPr>
          <w:rFonts w:eastAsia="仿宋_GB2312"/>
          <w:color w:val="000000"/>
          <w:sz w:val="32"/>
          <w:szCs w:val="32"/>
        </w:rPr>
        <w:t>[14]</w:t>
      </w:r>
      <w:r>
        <w:rPr>
          <w:rFonts w:eastAsia="仿宋_GB2312"/>
          <w:sz w:val="32"/>
          <w:szCs w:val="32"/>
        </w:rPr>
        <w:t>GB/T 4976, 压缩机 分类[S].</w:t>
      </w:r>
    </w:p>
    <w:bookmarkEnd w:id="4"/>
    <w:p w14:paraId="795D6147">
      <w:pPr>
        <w:spacing w:line="520" w:lineRule="exact"/>
        <w:jc w:val="both"/>
        <w:rPr>
          <w:rFonts w:eastAsia="仿宋_GB2312"/>
          <w:color w:val="000000"/>
          <w:kern w:val="2"/>
          <w:sz w:val="32"/>
          <w:szCs w:val="32"/>
        </w:rPr>
      </w:pPr>
    </w:p>
    <w:p w14:paraId="5DCAC137">
      <w:pPr>
        <w:spacing w:line="600" w:lineRule="exact"/>
        <w:rPr>
          <w:rFonts w:hint="eastAsia" w:eastAsia="宋体"/>
          <w:lang w:eastAsia="zh-CN"/>
        </w:rPr>
      </w:pPr>
    </w:p>
    <w:p w14:paraId="5F433F49">
      <w:pPr>
        <w:spacing w:line="600" w:lineRule="exact"/>
        <w:jc w:val="center"/>
        <w:rPr>
          <w:rFonts w:hint="eastAsia" w:eastAsia="宋体"/>
          <w:lang w:eastAsia="zh-CN"/>
        </w:rPr>
      </w:pPr>
    </w:p>
    <w:p w14:paraId="473FDC77">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Arial Normale">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4584">
    <w:pPr>
      <w:pStyle w:val="11"/>
      <w:jc w:val="right"/>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4BAE">
    <w:pPr>
      <w:pStyle w:val="11"/>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03D7C"/>
    <w:multiLevelType w:val="multilevel"/>
    <w:tmpl w:val="58503D7C"/>
    <w:lvl w:ilvl="0" w:tentative="0">
      <w:start w:val="1"/>
      <w:numFmt w:val="decimal"/>
      <w:pStyle w:val="55"/>
      <w:lvlText w:val="%1、"/>
      <w:lvlJc w:val="left"/>
      <w:pPr>
        <w:ind w:left="720" w:hanging="720"/>
      </w:pPr>
      <w:rPr>
        <w:rFonts w:ascii="宋体" w:hAnsi="宋体" w:eastAsia="宋体" w:cs="Times New Roman"/>
      </w:rPr>
    </w:lvl>
    <w:lvl w:ilvl="1" w:tentative="0">
      <w:start w:val="1"/>
      <w:numFmt w:val="lowerLetter"/>
      <w:pStyle w:val="49"/>
      <w:lvlText w:val="%2)"/>
      <w:lvlJc w:val="left"/>
      <w:pPr>
        <w:ind w:left="840" w:hanging="420"/>
      </w:pPr>
    </w:lvl>
    <w:lvl w:ilvl="2" w:tentative="0">
      <w:start w:val="1"/>
      <w:numFmt w:val="lowerRoman"/>
      <w:pStyle w:val="58"/>
      <w:lvlText w:val="%3."/>
      <w:lvlJc w:val="right"/>
      <w:pPr>
        <w:ind w:left="1260" w:hanging="420"/>
      </w:pPr>
    </w:lvl>
    <w:lvl w:ilvl="3" w:tentative="0">
      <w:start w:val="1"/>
      <w:numFmt w:val="decimal"/>
      <w:pStyle w:val="57"/>
      <w:lvlText w:val="%4."/>
      <w:lvlJc w:val="left"/>
      <w:pPr>
        <w:ind w:left="1680" w:hanging="420"/>
      </w:pPr>
    </w:lvl>
    <w:lvl w:ilvl="4" w:tentative="0">
      <w:start w:val="1"/>
      <w:numFmt w:val="lowerLetter"/>
      <w:pStyle w:val="62"/>
      <w:lvlText w:val="%5)"/>
      <w:lvlJc w:val="left"/>
      <w:pPr>
        <w:ind w:left="2100" w:hanging="420"/>
      </w:pPr>
    </w:lvl>
    <w:lvl w:ilvl="5" w:tentative="0">
      <w:start w:val="1"/>
      <w:numFmt w:val="lowerRoman"/>
      <w:pStyle w:val="60"/>
      <w:lvlText w:val="%6."/>
      <w:lvlJc w:val="right"/>
      <w:pPr>
        <w:ind w:left="2520" w:hanging="420"/>
      </w:pPr>
    </w:lvl>
    <w:lvl w:ilvl="6" w:tentative="0">
      <w:start w:val="1"/>
      <w:numFmt w:val="decimal"/>
      <w:pStyle w:val="63"/>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D93C9D"/>
    <w:rsid w:val="00000115"/>
    <w:rsid w:val="000027E3"/>
    <w:rsid w:val="00005B58"/>
    <w:rsid w:val="000068E9"/>
    <w:rsid w:val="00007F8B"/>
    <w:rsid w:val="00010E6B"/>
    <w:rsid w:val="00012208"/>
    <w:rsid w:val="00012A71"/>
    <w:rsid w:val="00016567"/>
    <w:rsid w:val="00027C89"/>
    <w:rsid w:val="00027C97"/>
    <w:rsid w:val="000340EC"/>
    <w:rsid w:val="00034DA6"/>
    <w:rsid w:val="00037E2C"/>
    <w:rsid w:val="00040CA6"/>
    <w:rsid w:val="00042F21"/>
    <w:rsid w:val="0005207E"/>
    <w:rsid w:val="000557C5"/>
    <w:rsid w:val="00065BB6"/>
    <w:rsid w:val="00066F85"/>
    <w:rsid w:val="00067E0F"/>
    <w:rsid w:val="0007082E"/>
    <w:rsid w:val="000755F6"/>
    <w:rsid w:val="00080457"/>
    <w:rsid w:val="0008115F"/>
    <w:rsid w:val="00085976"/>
    <w:rsid w:val="00095D69"/>
    <w:rsid w:val="000A000A"/>
    <w:rsid w:val="000A3299"/>
    <w:rsid w:val="000B04E1"/>
    <w:rsid w:val="000B0616"/>
    <w:rsid w:val="000B1450"/>
    <w:rsid w:val="000B2A28"/>
    <w:rsid w:val="000B7006"/>
    <w:rsid w:val="000B7169"/>
    <w:rsid w:val="000D0A8C"/>
    <w:rsid w:val="000D1314"/>
    <w:rsid w:val="000D665C"/>
    <w:rsid w:val="000D6680"/>
    <w:rsid w:val="000E16DA"/>
    <w:rsid w:val="000E6556"/>
    <w:rsid w:val="000F3AA4"/>
    <w:rsid w:val="000F5003"/>
    <w:rsid w:val="000F67E3"/>
    <w:rsid w:val="000F7641"/>
    <w:rsid w:val="00100E8E"/>
    <w:rsid w:val="00104D0B"/>
    <w:rsid w:val="00114641"/>
    <w:rsid w:val="001148C4"/>
    <w:rsid w:val="00124319"/>
    <w:rsid w:val="00127234"/>
    <w:rsid w:val="00130E4A"/>
    <w:rsid w:val="00134DF0"/>
    <w:rsid w:val="001362BD"/>
    <w:rsid w:val="00136673"/>
    <w:rsid w:val="0013733B"/>
    <w:rsid w:val="00137EEE"/>
    <w:rsid w:val="00140EAA"/>
    <w:rsid w:val="00150156"/>
    <w:rsid w:val="00150267"/>
    <w:rsid w:val="0015206E"/>
    <w:rsid w:val="00154336"/>
    <w:rsid w:val="001548C2"/>
    <w:rsid w:val="0015602D"/>
    <w:rsid w:val="001573F3"/>
    <w:rsid w:val="0016018D"/>
    <w:rsid w:val="00162AD8"/>
    <w:rsid w:val="00164477"/>
    <w:rsid w:val="00166079"/>
    <w:rsid w:val="0017462D"/>
    <w:rsid w:val="001760C8"/>
    <w:rsid w:val="00187425"/>
    <w:rsid w:val="00190CE8"/>
    <w:rsid w:val="00192C86"/>
    <w:rsid w:val="001940FC"/>
    <w:rsid w:val="00197CB0"/>
    <w:rsid w:val="001A2724"/>
    <w:rsid w:val="001A4B26"/>
    <w:rsid w:val="001A518C"/>
    <w:rsid w:val="001A6B07"/>
    <w:rsid w:val="001B3EC2"/>
    <w:rsid w:val="001B5FFA"/>
    <w:rsid w:val="001C084D"/>
    <w:rsid w:val="001C7585"/>
    <w:rsid w:val="001D4B70"/>
    <w:rsid w:val="001D6599"/>
    <w:rsid w:val="001D6B08"/>
    <w:rsid w:val="001F275D"/>
    <w:rsid w:val="001F5BD1"/>
    <w:rsid w:val="00203A01"/>
    <w:rsid w:val="00210E73"/>
    <w:rsid w:val="00212C24"/>
    <w:rsid w:val="00213121"/>
    <w:rsid w:val="00213E88"/>
    <w:rsid w:val="00214C9A"/>
    <w:rsid w:val="0022275B"/>
    <w:rsid w:val="00222CCC"/>
    <w:rsid w:val="00225E66"/>
    <w:rsid w:val="00226FBF"/>
    <w:rsid w:val="002304D2"/>
    <w:rsid w:val="002329A2"/>
    <w:rsid w:val="0023752C"/>
    <w:rsid w:val="00240002"/>
    <w:rsid w:val="00245325"/>
    <w:rsid w:val="002454CD"/>
    <w:rsid w:val="00250EE2"/>
    <w:rsid w:val="002518D5"/>
    <w:rsid w:val="00254193"/>
    <w:rsid w:val="00255BD2"/>
    <w:rsid w:val="0025695D"/>
    <w:rsid w:val="00257242"/>
    <w:rsid w:val="00257C0B"/>
    <w:rsid w:val="002705A7"/>
    <w:rsid w:val="002771DC"/>
    <w:rsid w:val="002826CA"/>
    <w:rsid w:val="00282B80"/>
    <w:rsid w:val="00285837"/>
    <w:rsid w:val="002874E7"/>
    <w:rsid w:val="00291715"/>
    <w:rsid w:val="00294DA6"/>
    <w:rsid w:val="00297435"/>
    <w:rsid w:val="002A098E"/>
    <w:rsid w:val="002A55CA"/>
    <w:rsid w:val="002A5D4F"/>
    <w:rsid w:val="002B3C68"/>
    <w:rsid w:val="002B5AA9"/>
    <w:rsid w:val="002C3B16"/>
    <w:rsid w:val="002C4263"/>
    <w:rsid w:val="002C698A"/>
    <w:rsid w:val="002D00D9"/>
    <w:rsid w:val="002D0B90"/>
    <w:rsid w:val="002D1786"/>
    <w:rsid w:val="002D4986"/>
    <w:rsid w:val="002E0E9D"/>
    <w:rsid w:val="002E1B39"/>
    <w:rsid w:val="002E4149"/>
    <w:rsid w:val="002E79A6"/>
    <w:rsid w:val="002E7EFE"/>
    <w:rsid w:val="002F34FA"/>
    <w:rsid w:val="0030137B"/>
    <w:rsid w:val="00303517"/>
    <w:rsid w:val="0030443E"/>
    <w:rsid w:val="0030618B"/>
    <w:rsid w:val="00306324"/>
    <w:rsid w:val="00306612"/>
    <w:rsid w:val="00311DE4"/>
    <w:rsid w:val="00314D4F"/>
    <w:rsid w:val="003372B0"/>
    <w:rsid w:val="00341E16"/>
    <w:rsid w:val="00342993"/>
    <w:rsid w:val="00342FCE"/>
    <w:rsid w:val="00346709"/>
    <w:rsid w:val="00346A3C"/>
    <w:rsid w:val="003505BE"/>
    <w:rsid w:val="00355533"/>
    <w:rsid w:val="00355646"/>
    <w:rsid w:val="00357002"/>
    <w:rsid w:val="00357E9B"/>
    <w:rsid w:val="00362583"/>
    <w:rsid w:val="00363153"/>
    <w:rsid w:val="00367422"/>
    <w:rsid w:val="00371E46"/>
    <w:rsid w:val="0037276F"/>
    <w:rsid w:val="00387FA1"/>
    <w:rsid w:val="00390258"/>
    <w:rsid w:val="003920DF"/>
    <w:rsid w:val="00393257"/>
    <w:rsid w:val="00395A6A"/>
    <w:rsid w:val="003A29CE"/>
    <w:rsid w:val="003A5B72"/>
    <w:rsid w:val="003A6E73"/>
    <w:rsid w:val="003B1E48"/>
    <w:rsid w:val="003B29F8"/>
    <w:rsid w:val="003B4560"/>
    <w:rsid w:val="003B60C6"/>
    <w:rsid w:val="003B7489"/>
    <w:rsid w:val="003C4D73"/>
    <w:rsid w:val="003D72B6"/>
    <w:rsid w:val="003E0D57"/>
    <w:rsid w:val="003E7651"/>
    <w:rsid w:val="003E7A9F"/>
    <w:rsid w:val="0040008E"/>
    <w:rsid w:val="0040379E"/>
    <w:rsid w:val="00403A1A"/>
    <w:rsid w:val="004043B0"/>
    <w:rsid w:val="00405892"/>
    <w:rsid w:val="00406A21"/>
    <w:rsid w:val="0041380C"/>
    <w:rsid w:val="004167CA"/>
    <w:rsid w:val="004232C4"/>
    <w:rsid w:val="00425A65"/>
    <w:rsid w:val="00426A94"/>
    <w:rsid w:val="004304F9"/>
    <w:rsid w:val="004310CF"/>
    <w:rsid w:val="00431992"/>
    <w:rsid w:val="00433DDC"/>
    <w:rsid w:val="0043410F"/>
    <w:rsid w:val="004459B7"/>
    <w:rsid w:val="00445DC4"/>
    <w:rsid w:val="0044797A"/>
    <w:rsid w:val="0045358F"/>
    <w:rsid w:val="00453752"/>
    <w:rsid w:val="00454FE7"/>
    <w:rsid w:val="0045716E"/>
    <w:rsid w:val="00457327"/>
    <w:rsid w:val="00466B3C"/>
    <w:rsid w:val="00467FF4"/>
    <w:rsid w:val="00471FE7"/>
    <w:rsid w:val="00473727"/>
    <w:rsid w:val="00480A4E"/>
    <w:rsid w:val="004814BB"/>
    <w:rsid w:val="004846ED"/>
    <w:rsid w:val="00485384"/>
    <w:rsid w:val="00485EC0"/>
    <w:rsid w:val="004874F0"/>
    <w:rsid w:val="00490857"/>
    <w:rsid w:val="00494E39"/>
    <w:rsid w:val="00496492"/>
    <w:rsid w:val="0049723E"/>
    <w:rsid w:val="004A778E"/>
    <w:rsid w:val="004B1A9A"/>
    <w:rsid w:val="004B27E7"/>
    <w:rsid w:val="004B344E"/>
    <w:rsid w:val="004B35A5"/>
    <w:rsid w:val="004B611D"/>
    <w:rsid w:val="004B6930"/>
    <w:rsid w:val="004C0ABC"/>
    <w:rsid w:val="004C111B"/>
    <w:rsid w:val="004C3740"/>
    <w:rsid w:val="004D0686"/>
    <w:rsid w:val="004D7DE9"/>
    <w:rsid w:val="004E7870"/>
    <w:rsid w:val="004F1C40"/>
    <w:rsid w:val="00503FDE"/>
    <w:rsid w:val="00504DAE"/>
    <w:rsid w:val="005053B7"/>
    <w:rsid w:val="005123F2"/>
    <w:rsid w:val="0051267F"/>
    <w:rsid w:val="00512F67"/>
    <w:rsid w:val="00517E9A"/>
    <w:rsid w:val="005217B0"/>
    <w:rsid w:val="0052522B"/>
    <w:rsid w:val="00532873"/>
    <w:rsid w:val="0053663D"/>
    <w:rsid w:val="00540FDB"/>
    <w:rsid w:val="00543124"/>
    <w:rsid w:val="0054745B"/>
    <w:rsid w:val="00557A4D"/>
    <w:rsid w:val="005617E8"/>
    <w:rsid w:val="005660F6"/>
    <w:rsid w:val="00566521"/>
    <w:rsid w:val="00566A67"/>
    <w:rsid w:val="00570665"/>
    <w:rsid w:val="00574039"/>
    <w:rsid w:val="00575F0B"/>
    <w:rsid w:val="00576643"/>
    <w:rsid w:val="005770BC"/>
    <w:rsid w:val="0058356F"/>
    <w:rsid w:val="00585FFD"/>
    <w:rsid w:val="005864B5"/>
    <w:rsid w:val="00592A70"/>
    <w:rsid w:val="00593ECC"/>
    <w:rsid w:val="005A0219"/>
    <w:rsid w:val="005A1F72"/>
    <w:rsid w:val="005A6E92"/>
    <w:rsid w:val="005B1EDB"/>
    <w:rsid w:val="005B55E5"/>
    <w:rsid w:val="005B6A23"/>
    <w:rsid w:val="005B6DF3"/>
    <w:rsid w:val="005B7D19"/>
    <w:rsid w:val="005D0226"/>
    <w:rsid w:val="005D4E66"/>
    <w:rsid w:val="005E26EA"/>
    <w:rsid w:val="005E436E"/>
    <w:rsid w:val="005E710A"/>
    <w:rsid w:val="005F2938"/>
    <w:rsid w:val="006045BA"/>
    <w:rsid w:val="00605879"/>
    <w:rsid w:val="0061073A"/>
    <w:rsid w:val="006159D4"/>
    <w:rsid w:val="00617F74"/>
    <w:rsid w:val="00620998"/>
    <w:rsid w:val="00622098"/>
    <w:rsid w:val="006230D1"/>
    <w:rsid w:val="00624AE9"/>
    <w:rsid w:val="00624FB4"/>
    <w:rsid w:val="00625CB1"/>
    <w:rsid w:val="00626110"/>
    <w:rsid w:val="0062615B"/>
    <w:rsid w:val="00630B57"/>
    <w:rsid w:val="00631CE7"/>
    <w:rsid w:val="006337C9"/>
    <w:rsid w:val="0063645D"/>
    <w:rsid w:val="0064028F"/>
    <w:rsid w:val="00640312"/>
    <w:rsid w:val="00643422"/>
    <w:rsid w:val="00645D03"/>
    <w:rsid w:val="006518FD"/>
    <w:rsid w:val="00651921"/>
    <w:rsid w:val="0065208F"/>
    <w:rsid w:val="00652DC1"/>
    <w:rsid w:val="006548A0"/>
    <w:rsid w:val="006557B9"/>
    <w:rsid w:val="00656DD4"/>
    <w:rsid w:val="00662024"/>
    <w:rsid w:val="00663295"/>
    <w:rsid w:val="0066526E"/>
    <w:rsid w:val="00665812"/>
    <w:rsid w:val="00672527"/>
    <w:rsid w:val="00672E9A"/>
    <w:rsid w:val="00674474"/>
    <w:rsid w:val="006846B9"/>
    <w:rsid w:val="006920B1"/>
    <w:rsid w:val="00692775"/>
    <w:rsid w:val="006934B7"/>
    <w:rsid w:val="006A3147"/>
    <w:rsid w:val="006A36B3"/>
    <w:rsid w:val="006A49AA"/>
    <w:rsid w:val="006A4F46"/>
    <w:rsid w:val="006A72EE"/>
    <w:rsid w:val="006B1588"/>
    <w:rsid w:val="006B17E8"/>
    <w:rsid w:val="006B3C9F"/>
    <w:rsid w:val="006B4A32"/>
    <w:rsid w:val="006B5188"/>
    <w:rsid w:val="006B78CF"/>
    <w:rsid w:val="006C2190"/>
    <w:rsid w:val="006C4BA1"/>
    <w:rsid w:val="006C6D21"/>
    <w:rsid w:val="006D1045"/>
    <w:rsid w:val="006D10A8"/>
    <w:rsid w:val="006D4005"/>
    <w:rsid w:val="006D63A6"/>
    <w:rsid w:val="006E4636"/>
    <w:rsid w:val="006E5C1B"/>
    <w:rsid w:val="006F025A"/>
    <w:rsid w:val="00703D62"/>
    <w:rsid w:val="00704F29"/>
    <w:rsid w:val="00705553"/>
    <w:rsid w:val="00712E8B"/>
    <w:rsid w:val="007140E3"/>
    <w:rsid w:val="007155E3"/>
    <w:rsid w:val="00716417"/>
    <w:rsid w:val="00717724"/>
    <w:rsid w:val="0072149F"/>
    <w:rsid w:val="00721A26"/>
    <w:rsid w:val="0072213C"/>
    <w:rsid w:val="0072787F"/>
    <w:rsid w:val="00727CD0"/>
    <w:rsid w:val="00730889"/>
    <w:rsid w:val="00731D37"/>
    <w:rsid w:val="0073695E"/>
    <w:rsid w:val="00736EA0"/>
    <w:rsid w:val="007379B2"/>
    <w:rsid w:val="00737CAF"/>
    <w:rsid w:val="00737E92"/>
    <w:rsid w:val="007461EB"/>
    <w:rsid w:val="00750BAF"/>
    <w:rsid w:val="0075523D"/>
    <w:rsid w:val="0075743A"/>
    <w:rsid w:val="00761DE7"/>
    <w:rsid w:val="00763006"/>
    <w:rsid w:val="00766391"/>
    <w:rsid w:val="007740E9"/>
    <w:rsid w:val="00774259"/>
    <w:rsid w:val="00775EDF"/>
    <w:rsid w:val="00777276"/>
    <w:rsid w:val="00780F3B"/>
    <w:rsid w:val="0078231C"/>
    <w:rsid w:val="00794705"/>
    <w:rsid w:val="007A159D"/>
    <w:rsid w:val="007A6EA3"/>
    <w:rsid w:val="007B0503"/>
    <w:rsid w:val="007B137A"/>
    <w:rsid w:val="007B5F2D"/>
    <w:rsid w:val="007B60DA"/>
    <w:rsid w:val="007B6EDF"/>
    <w:rsid w:val="007B78A4"/>
    <w:rsid w:val="007C2C2C"/>
    <w:rsid w:val="007C43B2"/>
    <w:rsid w:val="007C4EB9"/>
    <w:rsid w:val="007C57A1"/>
    <w:rsid w:val="007D11FA"/>
    <w:rsid w:val="007D1895"/>
    <w:rsid w:val="007D4FE7"/>
    <w:rsid w:val="007D5920"/>
    <w:rsid w:val="007D5FD7"/>
    <w:rsid w:val="007E1209"/>
    <w:rsid w:val="007E295B"/>
    <w:rsid w:val="007E3AFF"/>
    <w:rsid w:val="007E47F7"/>
    <w:rsid w:val="007E5275"/>
    <w:rsid w:val="007E72E8"/>
    <w:rsid w:val="007F0151"/>
    <w:rsid w:val="007F3657"/>
    <w:rsid w:val="007F5DC5"/>
    <w:rsid w:val="007F6EC2"/>
    <w:rsid w:val="00801D5F"/>
    <w:rsid w:val="00805B30"/>
    <w:rsid w:val="00810876"/>
    <w:rsid w:val="00814ECB"/>
    <w:rsid w:val="00815997"/>
    <w:rsid w:val="00820249"/>
    <w:rsid w:val="00820805"/>
    <w:rsid w:val="00821DB4"/>
    <w:rsid w:val="00821F06"/>
    <w:rsid w:val="008222D1"/>
    <w:rsid w:val="00822FCC"/>
    <w:rsid w:val="00823AC2"/>
    <w:rsid w:val="00824D13"/>
    <w:rsid w:val="008267F5"/>
    <w:rsid w:val="00827150"/>
    <w:rsid w:val="00827505"/>
    <w:rsid w:val="0082763C"/>
    <w:rsid w:val="008321DB"/>
    <w:rsid w:val="0083541C"/>
    <w:rsid w:val="00843F1A"/>
    <w:rsid w:val="00851B67"/>
    <w:rsid w:val="00851F88"/>
    <w:rsid w:val="00854E87"/>
    <w:rsid w:val="00861DE2"/>
    <w:rsid w:val="00862008"/>
    <w:rsid w:val="00863C13"/>
    <w:rsid w:val="008654F1"/>
    <w:rsid w:val="00865623"/>
    <w:rsid w:val="00865F0E"/>
    <w:rsid w:val="00871503"/>
    <w:rsid w:val="00872141"/>
    <w:rsid w:val="00876EAA"/>
    <w:rsid w:val="00881D9B"/>
    <w:rsid w:val="008829D2"/>
    <w:rsid w:val="0088455F"/>
    <w:rsid w:val="00890E43"/>
    <w:rsid w:val="0089198B"/>
    <w:rsid w:val="008930D4"/>
    <w:rsid w:val="00894249"/>
    <w:rsid w:val="00896290"/>
    <w:rsid w:val="008A61DC"/>
    <w:rsid w:val="008A7718"/>
    <w:rsid w:val="008B16C6"/>
    <w:rsid w:val="008B3C8D"/>
    <w:rsid w:val="008B499C"/>
    <w:rsid w:val="008C06B0"/>
    <w:rsid w:val="008C31B0"/>
    <w:rsid w:val="008C4256"/>
    <w:rsid w:val="008C447F"/>
    <w:rsid w:val="008C760C"/>
    <w:rsid w:val="008D5756"/>
    <w:rsid w:val="008D5C39"/>
    <w:rsid w:val="008E296D"/>
    <w:rsid w:val="008E471A"/>
    <w:rsid w:val="008E4D6B"/>
    <w:rsid w:val="008F3FE8"/>
    <w:rsid w:val="008F53CB"/>
    <w:rsid w:val="008F6A5F"/>
    <w:rsid w:val="008F7104"/>
    <w:rsid w:val="0090273F"/>
    <w:rsid w:val="00904C1D"/>
    <w:rsid w:val="00907FC8"/>
    <w:rsid w:val="009123DF"/>
    <w:rsid w:val="009145D3"/>
    <w:rsid w:val="009158EF"/>
    <w:rsid w:val="00916B32"/>
    <w:rsid w:val="00922D1D"/>
    <w:rsid w:val="009240D2"/>
    <w:rsid w:val="009263D7"/>
    <w:rsid w:val="00927FE2"/>
    <w:rsid w:val="00930190"/>
    <w:rsid w:val="00932A5F"/>
    <w:rsid w:val="00945A47"/>
    <w:rsid w:val="00946541"/>
    <w:rsid w:val="009474AE"/>
    <w:rsid w:val="009504ED"/>
    <w:rsid w:val="0095127F"/>
    <w:rsid w:val="009518D7"/>
    <w:rsid w:val="00951A31"/>
    <w:rsid w:val="009550BC"/>
    <w:rsid w:val="00960E5D"/>
    <w:rsid w:val="009610F2"/>
    <w:rsid w:val="009666B1"/>
    <w:rsid w:val="00976106"/>
    <w:rsid w:val="00976B2D"/>
    <w:rsid w:val="0097724F"/>
    <w:rsid w:val="00977D1D"/>
    <w:rsid w:val="0098032A"/>
    <w:rsid w:val="009807A0"/>
    <w:rsid w:val="00980C4D"/>
    <w:rsid w:val="00981C57"/>
    <w:rsid w:val="00982193"/>
    <w:rsid w:val="00984F44"/>
    <w:rsid w:val="009850B1"/>
    <w:rsid w:val="009A0C53"/>
    <w:rsid w:val="009A0D39"/>
    <w:rsid w:val="009A4986"/>
    <w:rsid w:val="009A5ECC"/>
    <w:rsid w:val="009A67CD"/>
    <w:rsid w:val="009B3F41"/>
    <w:rsid w:val="009B50AD"/>
    <w:rsid w:val="009B52BE"/>
    <w:rsid w:val="009B6639"/>
    <w:rsid w:val="009B7846"/>
    <w:rsid w:val="009C310F"/>
    <w:rsid w:val="009C4909"/>
    <w:rsid w:val="009C615D"/>
    <w:rsid w:val="009C6BE5"/>
    <w:rsid w:val="009C756C"/>
    <w:rsid w:val="009D5A84"/>
    <w:rsid w:val="009E2532"/>
    <w:rsid w:val="009E7370"/>
    <w:rsid w:val="009F1693"/>
    <w:rsid w:val="009F34B9"/>
    <w:rsid w:val="009F6E95"/>
    <w:rsid w:val="009F7842"/>
    <w:rsid w:val="00A015D6"/>
    <w:rsid w:val="00A0722D"/>
    <w:rsid w:val="00A075F1"/>
    <w:rsid w:val="00A1052E"/>
    <w:rsid w:val="00A17726"/>
    <w:rsid w:val="00A200B5"/>
    <w:rsid w:val="00A21A7C"/>
    <w:rsid w:val="00A231CB"/>
    <w:rsid w:val="00A24187"/>
    <w:rsid w:val="00A257DB"/>
    <w:rsid w:val="00A273F2"/>
    <w:rsid w:val="00A30B02"/>
    <w:rsid w:val="00A30F5D"/>
    <w:rsid w:val="00A32407"/>
    <w:rsid w:val="00A355F1"/>
    <w:rsid w:val="00A36C46"/>
    <w:rsid w:val="00A37E4A"/>
    <w:rsid w:val="00A40062"/>
    <w:rsid w:val="00A402C9"/>
    <w:rsid w:val="00A43183"/>
    <w:rsid w:val="00A432AF"/>
    <w:rsid w:val="00A4382E"/>
    <w:rsid w:val="00A44FF2"/>
    <w:rsid w:val="00A45DC7"/>
    <w:rsid w:val="00A50A98"/>
    <w:rsid w:val="00A55FED"/>
    <w:rsid w:val="00A62FF8"/>
    <w:rsid w:val="00A65621"/>
    <w:rsid w:val="00A76AAC"/>
    <w:rsid w:val="00A8023C"/>
    <w:rsid w:val="00A81189"/>
    <w:rsid w:val="00A83955"/>
    <w:rsid w:val="00A84399"/>
    <w:rsid w:val="00A858C7"/>
    <w:rsid w:val="00A92044"/>
    <w:rsid w:val="00A93C76"/>
    <w:rsid w:val="00AA06CF"/>
    <w:rsid w:val="00AA0E9E"/>
    <w:rsid w:val="00AA3862"/>
    <w:rsid w:val="00AA6C94"/>
    <w:rsid w:val="00AB05E4"/>
    <w:rsid w:val="00AB4A66"/>
    <w:rsid w:val="00AB7DB1"/>
    <w:rsid w:val="00AC03E4"/>
    <w:rsid w:val="00AC2118"/>
    <w:rsid w:val="00AD1D29"/>
    <w:rsid w:val="00AD771A"/>
    <w:rsid w:val="00AE5C86"/>
    <w:rsid w:val="00AE72AD"/>
    <w:rsid w:val="00AF2F6F"/>
    <w:rsid w:val="00AF5565"/>
    <w:rsid w:val="00B03F11"/>
    <w:rsid w:val="00B04A53"/>
    <w:rsid w:val="00B05CB0"/>
    <w:rsid w:val="00B074EA"/>
    <w:rsid w:val="00B07D17"/>
    <w:rsid w:val="00B112E3"/>
    <w:rsid w:val="00B16D54"/>
    <w:rsid w:val="00B20AF3"/>
    <w:rsid w:val="00B218FA"/>
    <w:rsid w:val="00B21A73"/>
    <w:rsid w:val="00B2295B"/>
    <w:rsid w:val="00B22E2D"/>
    <w:rsid w:val="00B23AAB"/>
    <w:rsid w:val="00B32F4F"/>
    <w:rsid w:val="00B33DC4"/>
    <w:rsid w:val="00B343D8"/>
    <w:rsid w:val="00B42424"/>
    <w:rsid w:val="00B42E45"/>
    <w:rsid w:val="00B43DE4"/>
    <w:rsid w:val="00B4533A"/>
    <w:rsid w:val="00B46403"/>
    <w:rsid w:val="00B64EA4"/>
    <w:rsid w:val="00B64F1B"/>
    <w:rsid w:val="00B658E0"/>
    <w:rsid w:val="00B701C6"/>
    <w:rsid w:val="00B71C0A"/>
    <w:rsid w:val="00B7319C"/>
    <w:rsid w:val="00B7459C"/>
    <w:rsid w:val="00B763B8"/>
    <w:rsid w:val="00B80D76"/>
    <w:rsid w:val="00B81E87"/>
    <w:rsid w:val="00B85134"/>
    <w:rsid w:val="00B85F1B"/>
    <w:rsid w:val="00B93110"/>
    <w:rsid w:val="00B93B37"/>
    <w:rsid w:val="00B95743"/>
    <w:rsid w:val="00B96518"/>
    <w:rsid w:val="00BA68E1"/>
    <w:rsid w:val="00BB22E9"/>
    <w:rsid w:val="00BB28D3"/>
    <w:rsid w:val="00BB3181"/>
    <w:rsid w:val="00BD0E59"/>
    <w:rsid w:val="00BD2E97"/>
    <w:rsid w:val="00BD31CD"/>
    <w:rsid w:val="00BD4F2D"/>
    <w:rsid w:val="00BD6805"/>
    <w:rsid w:val="00BE5B3E"/>
    <w:rsid w:val="00BF2114"/>
    <w:rsid w:val="00BF4FDA"/>
    <w:rsid w:val="00C03862"/>
    <w:rsid w:val="00C04A55"/>
    <w:rsid w:val="00C106F4"/>
    <w:rsid w:val="00C165D5"/>
    <w:rsid w:val="00C21993"/>
    <w:rsid w:val="00C225FB"/>
    <w:rsid w:val="00C22944"/>
    <w:rsid w:val="00C27536"/>
    <w:rsid w:val="00C317A2"/>
    <w:rsid w:val="00C3195D"/>
    <w:rsid w:val="00C32369"/>
    <w:rsid w:val="00C35478"/>
    <w:rsid w:val="00C42F9A"/>
    <w:rsid w:val="00C44DCA"/>
    <w:rsid w:val="00C51E16"/>
    <w:rsid w:val="00C55887"/>
    <w:rsid w:val="00C605F6"/>
    <w:rsid w:val="00C62903"/>
    <w:rsid w:val="00C711CF"/>
    <w:rsid w:val="00C71F36"/>
    <w:rsid w:val="00C747F6"/>
    <w:rsid w:val="00C77118"/>
    <w:rsid w:val="00C80F41"/>
    <w:rsid w:val="00C83FDD"/>
    <w:rsid w:val="00C853D4"/>
    <w:rsid w:val="00C90344"/>
    <w:rsid w:val="00C90680"/>
    <w:rsid w:val="00C925D7"/>
    <w:rsid w:val="00C931FD"/>
    <w:rsid w:val="00C956A0"/>
    <w:rsid w:val="00C96703"/>
    <w:rsid w:val="00CA19FE"/>
    <w:rsid w:val="00CA5DC9"/>
    <w:rsid w:val="00CB35C5"/>
    <w:rsid w:val="00CB530F"/>
    <w:rsid w:val="00CB7C8F"/>
    <w:rsid w:val="00CC14A1"/>
    <w:rsid w:val="00CC2E68"/>
    <w:rsid w:val="00CD0217"/>
    <w:rsid w:val="00CD0BCC"/>
    <w:rsid w:val="00CD1A40"/>
    <w:rsid w:val="00CD39BC"/>
    <w:rsid w:val="00CD6CFE"/>
    <w:rsid w:val="00CE3A70"/>
    <w:rsid w:val="00CF2BC2"/>
    <w:rsid w:val="00CF4145"/>
    <w:rsid w:val="00CF504A"/>
    <w:rsid w:val="00CF75CC"/>
    <w:rsid w:val="00CF7B49"/>
    <w:rsid w:val="00D06E20"/>
    <w:rsid w:val="00D07108"/>
    <w:rsid w:val="00D10D46"/>
    <w:rsid w:val="00D124F2"/>
    <w:rsid w:val="00D152DA"/>
    <w:rsid w:val="00D16749"/>
    <w:rsid w:val="00D17257"/>
    <w:rsid w:val="00D172B7"/>
    <w:rsid w:val="00D1789C"/>
    <w:rsid w:val="00D233DC"/>
    <w:rsid w:val="00D240AF"/>
    <w:rsid w:val="00D25E75"/>
    <w:rsid w:val="00D26105"/>
    <w:rsid w:val="00D314A3"/>
    <w:rsid w:val="00D36655"/>
    <w:rsid w:val="00D37FDA"/>
    <w:rsid w:val="00D41940"/>
    <w:rsid w:val="00D44759"/>
    <w:rsid w:val="00D4574C"/>
    <w:rsid w:val="00D463A8"/>
    <w:rsid w:val="00D466DD"/>
    <w:rsid w:val="00D472AE"/>
    <w:rsid w:val="00D4738C"/>
    <w:rsid w:val="00D478E8"/>
    <w:rsid w:val="00D47923"/>
    <w:rsid w:val="00D47965"/>
    <w:rsid w:val="00D50D04"/>
    <w:rsid w:val="00D50DC2"/>
    <w:rsid w:val="00D51934"/>
    <w:rsid w:val="00D55FC7"/>
    <w:rsid w:val="00D64CD1"/>
    <w:rsid w:val="00D65C2C"/>
    <w:rsid w:val="00D65F78"/>
    <w:rsid w:val="00D71ACE"/>
    <w:rsid w:val="00D71BA0"/>
    <w:rsid w:val="00D733B9"/>
    <w:rsid w:val="00D770DE"/>
    <w:rsid w:val="00D82855"/>
    <w:rsid w:val="00D86953"/>
    <w:rsid w:val="00D93C9D"/>
    <w:rsid w:val="00D9650D"/>
    <w:rsid w:val="00DA6D7C"/>
    <w:rsid w:val="00DB30DC"/>
    <w:rsid w:val="00DB379A"/>
    <w:rsid w:val="00DB3A5B"/>
    <w:rsid w:val="00DB4600"/>
    <w:rsid w:val="00DB676E"/>
    <w:rsid w:val="00DB76FE"/>
    <w:rsid w:val="00DC2EE3"/>
    <w:rsid w:val="00DC38C1"/>
    <w:rsid w:val="00DC6342"/>
    <w:rsid w:val="00DD120D"/>
    <w:rsid w:val="00DD22D7"/>
    <w:rsid w:val="00DD3D26"/>
    <w:rsid w:val="00DE03C4"/>
    <w:rsid w:val="00DE205D"/>
    <w:rsid w:val="00DE43E7"/>
    <w:rsid w:val="00DE6614"/>
    <w:rsid w:val="00DE7F40"/>
    <w:rsid w:val="00DF2FB0"/>
    <w:rsid w:val="00E03D53"/>
    <w:rsid w:val="00E06347"/>
    <w:rsid w:val="00E07213"/>
    <w:rsid w:val="00E1026C"/>
    <w:rsid w:val="00E10CE9"/>
    <w:rsid w:val="00E1561C"/>
    <w:rsid w:val="00E160D6"/>
    <w:rsid w:val="00E21DE4"/>
    <w:rsid w:val="00E25A5D"/>
    <w:rsid w:val="00E26CBD"/>
    <w:rsid w:val="00E27355"/>
    <w:rsid w:val="00E27BC8"/>
    <w:rsid w:val="00E27E7F"/>
    <w:rsid w:val="00E27FF2"/>
    <w:rsid w:val="00E33561"/>
    <w:rsid w:val="00E34CF6"/>
    <w:rsid w:val="00E35706"/>
    <w:rsid w:val="00E36E66"/>
    <w:rsid w:val="00E37F11"/>
    <w:rsid w:val="00E40245"/>
    <w:rsid w:val="00E452C9"/>
    <w:rsid w:val="00E47081"/>
    <w:rsid w:val="00E52E48"/>
    <w:rsid w:val="00E556E8"/>
    <w:rsid w:val="00E57CB2"/>
    <w:rsid w:val="00E6348E"/>
    <w:rsid w:val="00E66BAF"/>
    <w:rsid w:val="00E7143B"/>
    <w:rsid w:val="00E71CCD"/>
    <w:rsid w:val="00E72469"/>
    <w:rsid w:val="00E72733"/>
    <w:rsid w:val="00E73E3D"/>
    <w:rsid w:val="00E75C82"/>
    <w:rsid w:val="00E77165"/>
    <w:rsid w:val="00E8785A"/>
    <w:rsid w:val="00E930EC"/>
    <w:rsid w:val="00E94C44"/>
    <w:rsid w:val="00E97EF4"/>
    <w:rsid w:val="00EA092A"/>
    <w:rsid w:val="00EA2F82"/>
    <w:rsid w:val="00EA35C9"/>
    <w:rsid w:val="00EA5CC9"/>
    <w:rsid w:val="00EA7A45"/>
    <w:rsid w:val="00EB2567"/>
    <w:rsid w:val="00EB28FE"/>
    <w:rsid w:val="00EB4B5A"/>
    <w:rsid w:val="00EB5290"/>
    <w:rsid w:val="00EC076E"/>
    <w:rsid w:val="00EC0D82"/>
    <w:rsid w:val="00EC2C33"/>
    <w:rsid w:val="00ED08BC"/>
    <w:rsid w:val="00ED1D4F"/>
    <w:rsid w:val="00ED2AD4"/>
    <w:rsid w:val="00ED36CE"/>
    <w:rsid w:val="00EF2760"/>
    <w:rsid w:val="00EF44AF"/>
    <w:rsid w:val="00EF462A"/>
    <w:rsid w:val="00EF60F4"/>
    <w:rsid w:val="00F00C3C"/>
    <w:rsid w:val="00F00F1C"/>
    <w:rsid w:val="00F00F71"/>
    <w:rsid w:val="00F05BFF"/>
    <w:rsid w:val="00F1207F"/>
    <w:rsid w:val="00F12B6A"/>
    <w:rsid w:val="00F16416"/>
    <w:rsid w:val="00F225D2"/>
    <w:rsid w:val="00F3023C"/>
    <w:rsid w:val="00F3190E"/>
    <w:rsid w:val="00F330B6"/>
    <w:rsid w:val="00F33C2B"/>
    <w:rsid w:val="00F3490D"/>
    <w:rsid w:val="00F35904"/>
    <w:rsid w:val="00F35BF3"/>
    <w:rsid w:val="00F374AC"/>
    <w:rsid w:val="00F40BDD"/>
    <w:rsid w:val="00F47F5E"/>
    <w:rsid w:val="00F5036C"/>
    <w:rsid w:val="00F5175A"/>
    <w:rsid w:val="00F545A5"/>
    <w:rsid w:val="00F5530E"/>
    <w:rsid w:val="00F62128"/>
    <w:rsid w:val="00F64C21"/>
    <w:rsid w:val="00F6560C"/>
    <w:rsid w:val="00F7510F"/>
    <w:rsid w:val="00F758E0"/>
    <w:rsid w:val="00F8091D"/>
    <w:rsid w:val="00F81371"/>
    <w:rsid w:val="00F81812"/>
    <w:rsid w:val="00F8391A"/>
    <w:rsid w:val="00F90D7A"/>
    <w:rsid w:val="00F9176E"/>
    <w:rsid w:val="00F924C8"/>
    <w:rsid w:val="00F94CAA"/>
    <w:rsid w:val="00F961C3"/>
    <w:rsid w:val="00F967D0"/>
    <w:rsid w:val="00FA0EE4"/>
    <w:rsid w:val="00FB0A47"/>
    <w:rsid w:val="00FB2757"/>
    <w:rsid w:val="00FC07AE"/>
    <w:rsid w:val="00FC1605"/>
    <w:rsid w:val="00FC30A3"/>
    <w:rsid w:val="00FC60D1"/>
    <w:rsid w:val="00FC7C0C"/>
    <w:rsid w:val="00FD1AA3"/>
    <w:rsid w:val="00FD1DE8"/>
    <w:rsid w:val="00FD5D13"/>
    <w:rsid w:val="00FE419D"/>
    <w:rsid w:val="00FE42C9"/>
    <w:rsid w:val="00FE5BBB"/>
    <w:rsid w:val="00FE6271"/>
    <w:rsid w:val="00FE6ECF"/>
    <w:rsid w:val="00FF1EB8"/>
    <w:rsid w:val="028912B4"/>
    <w:rsid w:val="031E38A4"/>
    <w:rsid w:val="03E04982"/>
    <w:rsid w:val="04546008"/>
    <w:rsid w:val="0615645C"/>
    <w:rsid w:val="06A472BF"/>
    <w:rsid w:val="070A52C1"/>
    <w:rsid w:val="07E13A71"/>
    <w:rsid w:val="084F3813"/>
    <w:rsid w:val="093B7FF2"/>
    <w:rsid w:val="0A2B51B6"/>
    <w:rsid w:val="0B544F64"/>
    <w:rsid w:val="0D52116C"/>
    <w:rsid w:val="0E571AA0"/>
    <w:rsid w:val="0EF3005B"/>
    <w:rsid w:val="12DB305B"/>
    <w:rsid w:val="14217808"/>
    <w:rsid w:val="15293B51"/>
    <w:rsid w:val="17A71398"/>
    <w:rsid w:val="1DB22FB9"/>
    <w:rsid w:val="1E766561"/>
    <w:rsid w:val="20221780"/>
    <w:rsid w:val="20D37433"/>
    <w:rsid w:val="22FC271E"/>
    <w:rsid w:val="242B3850"/>
    <w:rsid w:val="262D6673"/>
    <w:rsid w:val="27AB7A4E"/>
    <w:rsid w:val="2842063E"/>
    <w:rsid w:val="29F67FAA"/>
    <w:rsid w:val="2C0E7D81"/>
    <w:rsid w:val="2C480044"/>
    <w:rsid w:val="2CF84BAD"/>
    <w:rsid w:val="2EA702A6"/>
    <w:rsid w:val="2EBD7029"/>
    <w:rsid w:val="2EF8502F"/>
    <w:rsid w:val="3023404B"/>
    <w:rsid w:val="33F9224A"/>
    <w:rsid w:val="36137F4B"/>
    <w:rsid w:val="362449D2"/>
    <w:rsid w:val="37530003"/>
    <w:rsid w:val="3A193DCC"/>
    <w:rsid w:val="3A877184"/>
    <w:rsid w:val="3B072C74"/>
    <w:rsid w:val="3C465FFE"/>
    <w:rsid w:val="405329F1"/>
    <w:rsid w:val="41CA7362"/>
    <w:rsid w:val="45186E08"/>
    <w:rsid w:val="458F7370"/>
    <w:rsid w:val="45E6644A"/>
    <w:rsid w:val="48293C10"/>
    <w:rsid w:val="4A02787F"/>
    <w:rsid w:val="4B163AF3"/>
    <w:rsid w:val="4E0A067E"/>
    <w:rsid w:val="4F825486"/>
    <w:rsid w:val="50454464"/>
    <w:rsid w:val="51132E17"/>
    <w:rsid w:val="54736CCF"/>
    <w:rsid w:val="54F26207"/>
    <w:rsid w:val="55542F87"/>
    <w:rsid w:val="58DE0720"/>
    <w:rsid w:val="593E5A54"/>
    <w:rsid w:val="5A5213E6"/>
    <w:rsid w:val="5B1F14AF"/>
    <w:rsid w:val="5BD761AD"/>
    <w:rsid w:val="5C5D57A3"/>
    <w:rsid w:val="5CD83FDE"/>
    <w:rsid w:val="5D7C4A88"/>
    <w:rsid w:val="5D7F2D72"/>
    <w:rsid w:val="5D860866"/>
    <w:rsid w:val="5D9F3366"/>
    <w:rsid w:val="5F103F82"/>
    <w:rsid w:val="60025BDF"/>
    <w:rsid w:val="638E05BA"/>
    <w:rsid w:val="6713453D"/>
    <w:rsid w:val="67270A29"/>
    <w:rsid w:val="68BB33B9"/>
    <w:rsid w:val="69BC5090"/>
    <w:rsid w:val="69BD0218"/>
    <w:rsid w:val="6BF52F16"/>
    <w:rsid w:val="6D2167E5"/>
    <w:rsid w:val="707905FD"/>
    <w:rsid w:val="71A01974"/>
    <w:rsid w:val="72A07199"/>
    <w:rsid w:val="76FB5C5C"/>
    <w:rsid w:val="78937894"/>
    <w:rsid w:val="78D727C6"/>
    <w:rsid w:val="79976A16"/>
    <w:rsid w:val="79ED0E0E"/>
    <w:rsid w:val="7A1025DD"/>
    <w:rsid w:val="7A9F3357"/>
    <w:rsid w:val="7B8C4AA1"/>
    <w:rsid w:val="7D120F19"/>
    <w:rsid w:val="7EC1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5"/>
    <w:qFormat/>
    <w:uiPriority w:val="0"/>
    <w:pPr>
      <w:widowControl w:val="0"/>
      <w:spacing w:before="100" w:beforeAutospacing="1" w:after="100" w:afterAutospacing="1"/>
      <w:outlineLvl w:val="0"/>
    </w:pPr>
    <w:rPr>
      <w:rFonts w:hint="eastAsia" w:ascii="宋体" w:hAnsi="宋体"/>
      <w:b/>
      <w:kern w:val="44"/>
      <w:sz w:val="48"/>
      <w:szCs w:val="48"/>
    </w:rPr>
  </w:style>
  <w:style w:type="paragraph" w:styleId="3">
    <w:name w:val="heading 3"/>
    <w:basedOn w:val="1"/>
    <w:next w:val="1"/>
    <w:link w:val="26"/>
    <w:qFormat/>
    <w:uiPriority w:val="0"/>
    <w:pPr>
      <w:spacing w:before="100" w:beforeAutospacing="1" w:after="100" w:afterAutospacing="1"/>
      <w:outlineLvl w:val="2"/>
    </w:pPr>
    <w:rPr>
      <w:rFonts w:ascii="宋体" w:hAnsi="宋体" w:cs="宋体"/>
      <w:b/>
      <w:bCs/>
      <w:sz w:val="27"/>
      <w:szCs w:val="27"/>
    </w:rPr>
  </w:style>
  <w:style w:type="character" w:default="1" w:styleId="19">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Document Map"/>
    <w:basedOn w:val="1"/>
    <w:link w:val="27"/>
    <w:semiHidden/>
    <w:qFormat/>
    <w:uiPriority w:val="0"/>
    <w:pPr>
      <w:widowControl w:val="0"/>
      <w:shd w:val="clear" w:color="auto" w:fill="000080"/>
      <w:jc w:val="both"/>
    </w:pPr>
    <w:rPr>
      <w:kern w:val="2"/>
      <w:sz w:val="21"/>
      <w:szCs w:val="24"/>
    </w:rPr>
  </w:style>
  <w:style w:type="paragraph" w:styleId="5">
    <w:name w:val="annotation text"/>
    <w:basedOn w:val="1"/>
    <w:link w:val="28"/>
    <w:semiHidden/>
    <w:qFormat/>
    <w:uiPriority w:val="0"/>
    <w:pPr>
      <w:widowControl w:val="0"/>
    </w:pPr>
    <w:rPr>
      <w:kern w:val="2"/>
      <w:sz w:val="21"/>
      <w:szCs w:val="24"/>
    </w:rPr>
  </w:style>
  <w:style w:type="paragraph" w:styleId="6">
    <w:name w:val="Body Text"/>
    <w:basedOn w:val="1"/>
    <w:link w:val="29"/>
    <w:qFormat/>
    <w:uiPriority w:val="0"/>
    <w:pPr>
      <w:widowControl w:val="0"/>
      <w:spacing w:after="120"/>
      <w:jc w:val="both"/>
    </w:pPr>
    <w:rPr>
      <w:kern w:val="2"/>
      <w:sz w:val="21"/>
      <w:szCs w:val="24"/>
    </w:rPr>
  </w:style>
  <w:style w:type="paragraph" w:styleId="7">
    <w:name w:val="Body Text Indent"/>
    <w:basedOn w:val="1"/>
    <w:link w:val="30"/>
    <w:qFormat/>
    <w:uiPriority w:val="0"/>
    <w:pPr>
      <w:widowControl w:val="0"/>
      <w:spacing w:after="120"/>
      <w:ind w:left="420" w:leftChars="200"/>
      <w:jc w:val="both"/>
    </w:pPr>
    <w:rPr>
      <w:kern w:val="2"/>
      <w:sz w:val="21"/>
      <w:szCs w:val="24"/>
    </w:rPr>
  </w:style>
  <w:style w:type="paragraph" w:styleId="8">
    <w:name w:val="Plain Text"/>
    <w:basedOn w:val="1"/>
    <w:link w:val="31"/>
    <w:qFormat/>
    <w:uiPriority w:val="0"/>
    <w:pPr>
      <w:widowControl w:val="0"/>
      <w:jc w:val="both"/>
    </w:pPr>
    <w:rPr>
      <w:rFonts w:ascii="宋体" w:hAnsi="Courier New"/>
      <w:kern w:val="2"/>
      <w:sz w:val="21"/>
      <w:szCs w:val="24"/>
    </w:rPr>
  </w:style>
  <w:style w:type="paragraph" w:styleId="9">
    <w:name w:val="Date"/>
    <w:basedOn w:val="1"/>
    <w:next w:val="1"/>
    <w:link w:val="32"/>
    <w:qFormat/>
    <w:uiPriority w:val="0"/>
    <w:pPr>
      <w:widowControl w:val="0"/>
      <w:ind w:left="100" w:leftChars="2500"/>
      <w:jc w:val="both"/>
    </w:pPr>
    <w:rPr>
      <w:kern w:val="2"/>
      <w:sz w:val="21"/>
      <w:szCs w:val="24"/>
    </w:rPr>
  </w:style>
  <w:style w:type="paragraph" w:styleId="10">
    <w:name w:val="Balloon Text"/>
    <w:basedOn w:val="1"/>
    <w:link w:val="33"/>
    <w:semiHidden/>
    <w:qFormat/>
    <w:uiPriority w:val="0"/>
    <w:pPr>
      <w:widowControl w:val="0"/>
      <w:jc w:val="both"/>
    </w:pPr>
    <w:rPr>
      <w:kern w:val="2"/>
      <w:sz w:val="18"/>
      <w:szCs w:val="18"/>
    </w:rPr>
  </w:style>
  <w:style w:type="paragraph" w:styleId="11">
    <w:name w:val="footer"/>
    <w:basedOn w:val="1"/>
    <w:link w:val="34"/>
    <w:unhideWhenUsed/>
    <w:qFormat/>
    <w:uiPriority w:val="99"/>
    <w:pPr>
      <w:widowControl w:val="0"/>
      <w:tabs>
        <w:tab w:val="center" w:pos="4153"/>
        <w:tab w:val="right" w:pos="8306"/>
      </w:tabs>
      <w:snapToGrid w:val="0"/>
    </w:pPr>
    <w:rPr>
      <w:rFonts w:ascii="Calibri" w:hAnsi="Calibri"/>
      <w:kern w:val="2"/>
      <w:sz w:val="18"/>
      <w:szCs w:val="18"/>
    </w:rPr>
  </w:style>
  <w:style w:type="paragraph" w:styleId="12">
    <w:name w:val="header"/>
    <w:basedOn w:val="1"/>
    <w:link w:val="35"/>
    <w:unhideWhenUsed/>
    <w:qFormat/>
    <w:uiPriority w:val="0"/>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13">
    <w:name w:val="Normal (Web)"/>
    <w:basedOn w:val="1"/>
    <w:qFormat/>
    <w:uiPriority w:val="99"/>
    <w:pPr>
      <w:widowControl w:val="0"/>
      <w:jc w:val="both"/>
    </w:pPr>
    <w:rPr>
      <w:kern w:val="2"/>
      <w:sz w:val="24"/>
      <w:szCs w:val="24"/>
    </w:rPr>
  </w:style>
  <w:style w:type="paragraph" w:styleId="14">
    <w:name w:val="annotation subject"/>
    <w:basedOn w:val="5"/>
    <w:next w:val="5"/>
    <w:link w:val="36"/>
    <w:semiHidden/>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Theme"/>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Light Shading Accent 2"/>
    <w:basedOn w:val="15"/>
    <w:qFormat/>
    <w:uiPriority w:val="60"/>
    <w:rPr>
      <w:color w:val="9437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line number"/>
    <w:basedOn w:val="19"/>
    <w:unhideWhenUsed/>
    <w:qFormat/>
    <w:uiPriority w:val="99"/>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1 字符"/>
    <w:link w:val="2"/>
    <w:qFormat/>
    <w:uiPriority w:val="0"/>
    <w:rPr>
      <w:rFonts w:ascii="宋体" w:hAnsi="宋体" w:eastAsia="宋体" w:cs="Times New Roman"/>
      <w:b/>
      <w:kern w:val="44"/>
      <w:sz w:val="48"/>
      <w:szCs w:val="48"/>
    </w:rPr>
  </w:style>
  <w:style w:type="character" w:customStyle="1" w:styleId="26">
    <w:name w:val="标题 3 字符"/>
    <w:link w:val="3"/>
    <w:qFormat/>
    <w:uiPriority w:val="0"/>
    <w:rPr>
      <w:rFonts w:ascii="宋体" w:hAnsi="宋体" w:eastAsia="宋体" w:cs="宋体"/>
      <w:b/>
      <w:bCs/>
      <w:kern w:val="0"/>
      <w:sz w:val="27"/>
      <w:szCs w:val="27"/>
    </w:rPr>
  </w:style>
  <w:style w:type="character" w:customStyle="1" w:styleId="27">
    <w:name w:val="文档结构图 字符"/>
    <w:link w:val="4"/>
    <w:semiHidden/>
    <w:qFormat/>
    <w:uiPriority w:val="0"/>
    <w:rPr>
      <w:rFonts w:ascii="Times New Roman" w:hAnsi="Times New Roman" w:eastAsia="宋体" w:cs="Times New Roman"/>
      <w:szCs w:val="24"/>
      <w:shd w:val="clear" w:color="auto" w:fill="000080"/>
    </w:rPr>
  </w:style>
  <w:style w:type="character" w:customStyle="1" w:styleId="28">
    <w:name w:val="批注文字 字符"/>
    <w:link w:val="5"/>
    <w:semiHidden/>
    <w:qFormat/>
    <w:uiPriority w:val="0"/>
    <w:rPr>
      <w:rFonts w:ascii="Times New Roman" w:hAnsi="Times New Roman" w:eastAsia="宋体" w:cs="Times New Roman"/>
      <w:szCs w:val="24"/>
    </w:rPr>
  </w:style>
  <w:style w:type="character" w:customStyle="1" w:styleId="29">
    <w:name w:val="正文文本 字符"/>
    <w:link w:val="6"/>
    <w:qFormat/>
    <w:uiPriority w:val="0"/>
    <w:rPr>
      <w:rFonts w:ascii="Times New Roman" w:hAnsi="Times New Roman" w:eastAsia="宋体" w:cs="Times New Roman"/>
      <w:szCs w:val="24"/>
    </w:rPr>
  </w:style>
  <w:style w:type="character" w:customStyle="1" w:styleId="30">
    <w:name w:val="正文文本缩进 字符"/>
    <w:link w:val="7"/>
    <w:qFormat/>
    <w:uiPriority w:val="0"/>
    <w:rPr>
      <w:rFonts w:ascii="Times New Roman" w:hAnsi="Times New Roman" w:eastAsia="宋体" w:cs="Times New Roman"/>
      <w:szCs w:val="24"/>
    </w:rPr>
  </w:style>
  <w:style w:type="character" w:customStyle="1" w:styleId="31">
    <w:name w:val="纯文本 字符"/>
    <w:link w:val="8"/>
    <w:qFormat/>
    <w:uiPriority w:val="0"/>
    <w:rPr>
      <w:rFonts w:ascii="宋体" w:hAnsi="Courier New" w:eastAsia="宋体" w:cs="Times New Roman"/>
      <w:szCs w:val="24"/>
    </w:rPr>
  </w:style>
  <w:style w:type="character" w:customStyle="1" w:styleId="32">
    <w:name w:val="日期 字符"/>
    <w:link w:val="9"/>
    <w:qFormat/>
    <w:uiPriority w:val="0"/>
    <w:rPr>
      <w:rFonts w:ascii="Times New Roman" w:hAnsi="Times New Roman" w:eastAsia="宋体" w:cs="Times New Roman"/>
      <w:szCs w:val="24"/>
    </w:rPr>
  </w:style>
  <w:style w:type="character" w:customStyle="1" w:styleId="33">
    <w:name w:val="批注框文本 字符"/>
    <w:link w:val="10"/>
    <w:semiHidden/>
    <w:qFormat/>
    <w:uiPriority w:val="0"/>
    <w:rPr>
      <w:rFonts w:ascii="Times New Roman" w:hAnsi="Times New Roman" w:eastAsia="宋体" w:cs="Times New Roman"/>
      <w:sz w:val="18"/>
      <w:szCs w:val="18"/>
    </w:rPr>
  </w:style>
  <w:style w:type="character" w:customStyle="1" w:styleId="34">
    <w:name w:val="页脚 字符"/>
    <w:link w:val="11"/>
    <w:qFormat/>
    <w:uiPriority w:val="99"/>
    <w:rPr>
      <w:sz w:val="18"/>
      <w:szCs w:val="18"/>
    </w:rPr>
  </w:style>
  <w:style w:type="character" w:customStyle="1" w:styleId="35">
    <w:name w:val="页眉 字符"/>
    <w:link w:val="12"/>
    <w:qFormat/>
    <w:uiPriority w:val="0"/>
    <w:rPr>
      <w:sz w:val="18"/>
      <w:szCs w:val="18"/>
    </w:rPr>
  </w:style>
  <w:style w:type="character" w:customStyle="1" w:styleId="36">
    <w:name w:val="批注主题 字符"/>
    <w:link w:val="14"/>
    <w:semiHidden/>
    <w:qFormat/>
    <w:uiPriority w:val="0"/>
    <w:rPr>
      <w:rFonts w:ascii="Times New Roman" w:hAnsi="Times New Roman" w:eastAsia="宋体" w:cs="Times New Roman"/>
      <w:b/>
      <w:bCs/>
      <w:szCs w:val="24"/>
    </w:rPr>
  </w:style>
  <w:style w:type="character" w:customStyle="1" w:styleId="37">
    <w:name w:val="topic"/>
    <w:basedOn w:val="19"/>
    <w:qFormat/>
    <w:uiPriority w:val="0"/>
  </w:style>
  <w:style w:type="character" w:customStyle="1" w:styleId="38">
    <w:name w:val="new"/>
    <w:basedOn w:val="19"/>
    <w:qFormat/>
    <w:uiPriority w:val="0"/>
  </w:style>
  <w:style w:type="character" w:customStyle="1" w:styleId="39">
    <w:name w:val="段 Char Char"/>
    <w:link w:val="40"/>
    <w:qFormat/>
    <w:uiPriority w:val="0"/>
    <w:rPr>
      <w:rFonts w:ascii="宋体"/>
      <w:kern w:val="2"/>
      <w:sz w:val="21"/>
      <w:szCs w:val="22"/>
      <w:lang w:val="en-US" w:eastAsia="zh-CN" w:bidi="ar-SA"/>
    </w:rPr>
  </w:style>
  <w:style w:type="paragraph" w:customStyle="1" w:styleId="40">
    <w:name w:val="段"/>
    <w:link w:val="39"/>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41">
    <w:name w:val="f101"/>
    <w:qFormat/>
    <w:uiPriority w:val="0"/>
    <w:rPr>
      <w:sz w:val="24"/>
      <w:szCs w:val="24"/>
    </w:rPr>
  </w:style>
  <w:style w:type="character" w:customStyle="1" w:styleId="42">
    <w:name w:val="p11"/>
    <w:qFormat/>
    <w:uiPriority w:val="0"/>
    <w:rPr>
      <w:rFonts w:hint="eastAsia" w:ascii="宋体" w:hAnsi="宋体" w:eastAsia="宋体"/>
      <w:sz w:val="21"/>
      <w:szCs w:val="21"/>
      <w:u w:val="none"/>
    </w:rPr>
  </w:style>
  <w:style w:type="character" w:customStyle="1" w:styleId="43">
    <w:name w:val="王奕，内文 Char"/>
    <w:link w:val="44"/>
    <w:qFormat/>
    <w:uiPriority w:val="0"/>
    <w:rPr>
      <w:rFonts w:eastAsia="宋体" w:cs="MS Shell Dlg"/>
      <w:color w:val="000000"/>
      <w:sz w:val="24"/>
      <w:szCs w:val="24"/>
    </w:rPr>
  </w:style>
  <w:style w:type="paragraph" w:customStyle="1" w:styleId="44">
    <w:name w:val="王奕，内文"/>
    <w:basedOn w:val="13"/>
    <w:link w:val="43"/>
    <w:qFormat/>
    <w:uiPriority w:val="0"/>
    <w:pPr>
      <w:widowControl/>
      <w:spacing w:line="360" w:lineRule="auto"/>
      <w:ind w:firstLine="200" w:firstLineChars="200"/>
    </w:pPr>
    <w:rPr>
      <w:rFonts w:ascii="Calibri" w:hAnsi="Calibri"/>
      <w:color w:val="000000"/>
      <w:kern w:val="0"/>
    </w:rPr>
  </w:style>
  <w:style w:type="character" w:customStyle="1" w:styleId="45">
    <w:name w:val="王奕改内文 Char"/>
    <w:link w:val="46"/>
    <w:qFormat/>
    <w:uiPriority w:val="0"/>
    <w:rPr>
      <w:rFonts w:ascii="宋体" w:hAnsi="宋体" w:eastAsia="宋体" w:cs="MS Shell Dlg"/>
      <w:color w:val="000000"/>
      <w:spacing w:val="-4"/>
      <w:sz w:val="24"/>
      <w:szCs w:val="24"/>
    </w:rPr>
  </w:style>
  <w:style w:type="paragraph" w:customStyle="1" w:styleId="46">
    <w:name w:val="王奕改内文"/>
    <w:basedOn w:val="1"/>
    <w:link w:val="45"/>
    <w:qFormat/>
    <w:uiPriority w:val="0"/>
    <w:pPr>
      <w:spacing w:line="360" w:lineRule="auto"/>
      <w:ind w:firstLine="200" w:firstLineChars="200"/>
      <w:jc w:val="both"/>
    </w:pPr>
    <w:rPr>
      <w:rFonts w:ascii="宋体" w:hAnsi="宋体"/>
      <w:color w:val="000000"/>
      <w:spacing w:val="-4"/>
      <w:sz w:val="24"/>
      <w:szCs w:val="24"/>
    </w:rPr>
  </w:style>
  <w:style w:type="character" w:customStyle="1" w:styleId="47">
    <w:name w:val="bluetxt1"/>
    <w:basedOn w:val="19"/>
    <w:qFormat/>
    <w:uiPriority w:val="0"/>
  </w:style>
  <w:style w:type="paragraph" w:customStyle="1" w:styleId="4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9">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List Paragraph2"/>
    <w:basedOn w:val="1"/>
    <w:qFormat/>
    <w:uiPriority w:val="34"/>
    <w:pPr>
      <w:widowControl w:val="0"/>
      <w:ind w:firstLine="420" w:firstLineChars="200"/>
    </w:pPr>
    <w:rPr>
      <w:rFonts w:ascii="Calibri" w:hAnsi="Calibri"/>
      <w:kern w:val="2"/>
      <w:sz w:val="21"/>
      <w:szCs w:val="24"/>
    </w:rPr>
  </w:style>
  <w:style w:type="paragraph" w:customStyle="1" w:styleId="52">
    <w:name w:val="List Paragraph1"/>
    <w:basedOn w:val="1"/>
    <w:qFormat/>
    <w:uiPriority w:val="0"/>
    <w:pPr>
      <w:widowControl w:val="0"/>
      <w:ind w:firstLine="200" w:firstLineChars="200"/>
      <w:jc w:val="both"/>
    </w:pPr>
    <w:rPr>
      <w:rFonts w:ascii="Calibri" w:hAnsi="Calibri"/>
      <w:kern w:val="2"/>
      <w:sz w:val="21"/>
      <w:szCs w:val="22"/>
    </w:rPr>
  </w:style>
  <w:style w:type="paragraph" w:customStyle="1" w:styleId="53">
    <w:name w:val="Level 1"/>
    <w:qFormat/>
    <w:uiPriority w:val="0"/>
    <w:pPr>
      <w:widowControl w:val="0"/>
      <w:autoSpaceDE w:val="0"/>
      <w:autoSpaceDN w:val="0"/>
      <w:adjustRightInd w:val="0"/>
      <w:ind w:left="720"/>
    </w:pPr>
    <w:rPr>
      <w:rFonts w:ascii="Arial Normale" w:hAnsi="Arial Normale" w:eastAsia="宋体" w:cs="Times New Roman"/>
      <w:sz w:val="24"/>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二级条标题"/>
    <w:basedOn w:val="58"/>
    <w:next w:val="1"/>
    <w:qFormat/>
    <w:uiPriority w:val="0"/>
    <w:pPr>
      <w:numPr>
        <w:ilvl w:val="3"/>
      </w:numPr>
      <w:ind w:left="105"/>
      <w:outlineLvl w:val="3"/>
    </w:pPr>
  </w:style>
  <w:style w:type="paragraph" w:customStyle="1" w:styleId="58">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9">
    <w:name w:val="_Style 36"/>
    <w:basedOn w:val="1"/>
    <w:next w:val="54"/>
    <w:qFormat/>
    <w:uiPriority w:val="72"/>
    <w:pPr>
      <w:widowControl w:val="0"/>
      <w:ind w:firstLine="420" w:firstLineChars="200"/>
      <w:jc w:val="both"/>
    </w:pPr>
    <w:rPr>
      <w:rFonts w:ascii="Calibri" w:hAnsi="Calibri"/>
      <w:kern w:val="2"/>
      <w:sz w:val="21"/>
      <w:szCs w:val="22"/>
    </w:rPr>
  </w:style>
  <w:style w:type="paragraph" w:customStyle="1" w:styleId="60">
    <w:name w:val="图表脚注"/>
    <w:next w:val="1"/>
    <w:qFormat/>
    <w:uiPriority w:val="0"/>
    <w:pPr>
      <w:numPr>
        <w:ilvl w:val="5"/>
        <w:numId w:val="1"/>
      </w:numPr>
      <w:ind w:left="200" w:leftChars="200" w:hanging="100" w:hangingChars="100"/>
      <w:jc w:val="both"/>
    </w:pPr>
    <w:rPr>
      <w:rFonts w:ascii="宋体" w:hAnsi="Times New Roman" w:eastAsia="宋体" w:cs="Times New Roman"/>
      <w:sz w:val="18"/>
      <w:lang w:val="en-US" w:eastAsia="zh-CN" w:bidi="ar-SA"/>
    </w:rPr>
  </w:style>
  <w:style w:type="paragraph" w:customStyle="1" w:styleId="6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2">
    <w:name w:val="三级条标题"/>
    <w:basedOn w:val="57"/>
    <w:next w:val="1"/>
    <w:qFormat/>
    <w:uiPriority w:val="0"/>
    <w:pPr>
      <w:numPr>
        <w:ilvl w:val="4"/>
      </w:numPr>
      <w:outlineLvl w:val="4"/>
    </w:pPr>
  </w:style>
  <w:style w:type="paragraph" w:customStyle="1" w:styleId="63">
    <w:name w:val="正文表标题"/>
    <w:next w:val="1"/>
    <w:qFormat/>
    <w:uiPriority w:val="0"/>
    <w:pPr>
      <w:numPr>
        <w:ilvl w:val="6"/>
        <w:numId w:val="1"/>
      </w:numPr>
      <w:jc w:val="center"/>
    </w:pPr>
    <w:rPr>
      <w:rFonts w:ascii="黑体" w:hAnsi="Times New Roman" w:eastAsia="黑体" w:cs="Times New Roman"/>
      <w:sz w:val="21"/>
      <w:lang w:val="en-US" w:eastAsia="zh-CN" w:bidi="ar-SA"/>
    </w:rPr>
  </w:style>
  <w:style w:type="table" w:customStyle="1" w:styleId="64">
    <w:name w:val="浅色底纹 - 强调文字颜色 11"/>
    <w:basedOn w:val="15"/>
    <w:qFormat/>
    <w:uiPriority w:val="60"/>
    <w:rPr>
      <w:color w:val="3660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65">
    <w:name w:val="浅色底纹1"/>
    <w:basedOn w:val="1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tcBorders>
          <w:top w:val="nil"/>
          <w:left w:val="nil"/>
          <w:bottom w:val="nil"/>
          <w:right w:val="nil"/>
          <w:insideH w:val="nil"/>
          <w:insideV w:val="nil"/>
          <w:tl2br w:val="nil"/>
          <w:tr2bl w:val="nil"/>
        </w:tcBorders>
        <w:shd w:val="clear" w:color="auto" w:fill="BFBFBF"/>
      </w:tcPr>
    </w:tblStylePr>
  </w:style>
  <w:style w:type="paragraph" w:customStyle="1" w:styleId="66">
    <w:name w:val="_Style 65"/>
    <w:unhideWhenUsed/>
    <w:qFormat/>
    <w:uiPriority w:val="99"/>
    <w:rPr>
      <w:rFonts w:ascii="Times New Roman" w:hAnsi="Times New Roman" w:eastAsia="宋体" w:cs="Times New Roman"/>
      <w:lang w:val="en-US" w:eastAsia="zh-CN" w:bidi="ar-SA"/>
    </w:rPr>
  </w:style>
  <w:style w:type="paragraph" w:customStyle="1" w:styleId="67">
    <w:name w:val="正文 A"/>
    <w:qFormat/>
    <w:uiPriority w:val="0"/>
    <w:pPr>
      <w:spacing w:after="160" w:line="259" w:lineRule="auto"/>
    </w:pPr>
    <w:rPr>
      <w:rFonts w:ascii="等线" w:hAnsi="等线" w:eastAsia="等线" w:cs="等线"/>
      <w:color w:val="000000"/>
      <w:sz w:val="22"/>
      <w:szCs w:val="22"/>
      <w:lang w:val="en-US" w:eastAsia="zh-CN" w:bidi="ar-SA"/>
    </w:rPr>
  </w:style>
  <w:style w:type="paragraph" w:styleId="6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6724</Words>
  <Characters>7132</Characters>
  <Lines>53</Lines>
  <Paragraphs>15</Paragraphs>
  <TotalTime>32</TotalTime>
  <ScaleCrop>false</ScaleCrop>
  <LinksUpToDate>false</LinksUpToDate>
  <CharactersWithSpaces>7181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2021-10-08T12:41:00Z</dcterms:created>
  <dc:creator>7</dc:creator>
  <cp:lastModifiedBy>太极箫客</cp:lastModifiedBy>
  <cp:lastPrinted>2022-09-14T02:24:00Z</cp:lastPrinted>
  <dcterms:modified xsi:type="dcterms:W3CDTF">2025-08-14T06:37:52Z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83442D4A33664901B3CC5AB826C0218F</vt:lpwstr>
  </property>
  <property fmtid="{D5CDD505-2E9C-101B-9397-08002B2CF9AE}" pid="4" name="KSOTemplateDocerSaveRecord">
    <vt:lpwstr>eyJoZGlkIjoiMDJiMzI3ODBiNTFmMWRjNDUyMjM1ZmZjODY5NDc2MWMiLCJ1c2VySWQiOiI0NTQ4Nzg1NzAifQ==</vt:lpwstr>
  </property>
</Properties>
</file>