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C862">
      <w:pPr>
        <w:overflowPunct w:val="0"/>
        <w:spacing w:line="520" w:lineRule="exact"/>
        <w:rPr>
          <w:rFonts w:ascii="Times New Roman" w:hAnsi="Times New Roman" w:eastAsia="黑体" w:cs="Times New Roman"/>
          <w:sz w:val="32"/>
          <w:szCs w:val="32"/>
        </w:rPr>
      </w:pPr>
      <w:bookmarkStart w:id="9" w:name="_GoBack"/>
      <w:bookmarkEnd w:id="9"/>
      <w:r>
        <w:rPr>
          <w:rFonts w:ascii="Times New Roman" w:hAnsi="Times New Roman" w:eastAsia="黑体" w:cs="Times New Roman"/>
          <w:sz w:val="32"/>
          <w:szCs w:val="32"/>
        </w:rPr>
        <w:t>附件13</w:t>
      </w:r>
    </w:p>
    <w:p w14:paraId="10850AB9">
      <w:pPr>
        <w:overflowPunct w:val="0"/>
        <w:spacing w:line="520" w:lineRule="exact"/>
        <w:rPr>
          <w:rFonts w:ascii="Times New Roman" w:hAnsi="Times New Roman" w:eastAsia="黑体" w:cs="Times New Roman"/>
          <w:sz w:val="32"/>
          <w:szCs w:val="32"/>
        </w:rPr>
      </w:pPr>
    </w:p>
    <w:p w14:paraId="6417A24F">
      <w:pPr>
        <w:overflowPunct w:val="0"/>
        <w:spacing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医用无菌超声耦合剂注册审查指导原则</w:t>
      </w:r>
    </w:p>
    <w:p w14:paraId="6816E2D2">
      <w:pPr>
        <w:overflowPunct w:val="0"/>
        <w:spacing w:line="520" w:lineRule="exact"/>
        <w:jc w:val="left"/>
        <w:rPr>
          <w:rFonts w:ascii="Times New Roman" w:hAnsi="Times New Roman" w:eastAsia="仿宋_GB2312" w:cs="Times New Roman"/>
          <w:sz w:val="32"/>
          <w:szCs w:val="32"/>
        </w:rPr>
      </w:pPr>
    </w:p>
    <w:p w14:paraId="3AF90B46">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本指导原则旨在指导注册申请人对医用无菌超声耦合剂注册申报资料的准备及撰写，同时也为技术审评部门审评注册申报资料提供参考。</w:t>
      </w:r>
    </w:p>
    <w:p w14:paraId="02D02173">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医用无菌超声耦合剂的一般要求，申请人应依据产品的具体特性确定其中内容是否适用。若不适用，需具体阐述理由及相应的科学依据，并依据产品的具体特性对注册申报资料的内容进行充实和细化。</w:t>
      </w:r>
    </w:p>
    <w:p w14:paraId="25821D7F">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736815E">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14:paraId="4D564F91">
      <w:pPr>
        <w:overflowPunct w:val="0"/>
        <w:spacing w:line="520" w:lineRule="exact"/>
        <w:ind w:firstLine="640" w:firstLineChars="200"/>
        <w:jc w:val="left"/>
        <w:outlineLvl w:val="0"/>
        <w:rPr>
          <w:rFonts w:ascii="Times New Roman" w:hAnsi="Times New Roman" w:eastAsia="黑体" w:cs="Times New Roman"/>
          <w:sz w:val="32"/>
          <w:szCs w:val="32"/>
        </w:rPr>
      </w:pPr>
      <w:bookmarkStart w:id="0" w:name="_Toc430332199"/>
      <w:bookmarkStart w:id="1" w:name="_Toc498607685"/>
      <w:r>
        <w:rPr>
          <w:rFonts w:ascii="Times New Roman" w:hAnsi="Times New Roman" w:eastAsia="黑体" w:cs="Times New Roman"/>
          <w:sz w:val="32"/>
          <w:szCs w:val="32"/>
        </w:rPr>
        <w:t>一、适用范围</w:t>
      </w:r>
      <w:bookmarkEnd w:id="0"/>
      <w:bookmarkEnd w:id="1"/>
    </w:p>
    <w:p w14:paraId="0BBABF6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中管理类别为Ⅱ类的医用超声耦合剂，分类编码为06-08-01（医用成像器械-超声影像诊断附属设备-超声耦合剂），产品以“无菌”形式提供。产品通常由丙二醇、丙三醇、三乙醇胺、卡波姆、纯化水等组成。</w:t>
      </w:r>
    </w:p>
    <w:p w14:paraId="4CF8F14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用于在完好皮肤上进行的超声诊断、治疗操作的非无菌型医用超声耦合剂，可参考本指导原则中适用的内容。</w:t>
      </w:r>
    </w:p>
    <w:p w14:paraId="0ED0AD55">
      <w:pPr>
        <w:overflowPunct w:val="0"/>
        <w:spacing w:line="520" w:lineRule="exact"/>
        <w:ind w:firstLine="640" w:firstLineChars="200"/>
        <w:jc w:val="left"/>
        <w:outlineLvl w:val="0"/>
        <w:rPr>
          <w:rFonts w:ascii="Times New Roman" w:hAnsi="Times New Roman" w:eastAsia="黑体" w:cs="Times New Roman"/>
          <w:sz w:val="32"/>
          <w:szCs w:val="32"/>
        </w:rPr>
      </w:pPr>
      <w:bookmarkStart w:id="2" w:name="_Toc498607686"/>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注册审查要点</w:t>
      </w:r>
    </w:p>
    <w:p w14:paraId="15F676FB">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14:paraId="31983A30">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kern w:val="0"/>
          <w:sz w:val="32"/>
          <w:szCs w:val="32"/>
        </w:rPr>
        <w:t>。</w:t>
      </w:r>
    </w:p>
    <w:p w14:paraId="73D9BD2C">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1.申请表</w:t>
      </w:r>
    </w:p>
    <w:p w14:paraId="54CDCF31">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产品命名应符合《医疗器械通用</w:t>
      </w:r>
      <w:r>
        <w:rPr>
          <w:rFonts w:hint="eastAsia" w:ascii="Times New Roman" w:hAnsi="Times New Roman" w:eastAsia="仿宋_GB2312" w:cs="Times New Roman"/>
          <w:snapToGrid w:val="0"/>
          <w:kern w:val="0"/>
          <w:sz w:val="32"/>
          <w:szCs w:val="32"/>
        </w:rPr>
        <w:t>名称</w:t>
      </w:r>
      <w:r>
        <w:rPr>
          <w:rFonts w:ascii="Times New Roman" w:hAnsi="Times New Roman" w:eastAsia="仿宋_GB2312" w:cs="Times New Roman"/>
          <w:snapToGrid w:val="0"/>
          <w:kern w:val="0"/>
          <w:sz w:val="32"/>
          <w:szCs w:val="32"/>
        </w:rPr>
        <w:t>命名规则》的要求，通常可采用医用无菌超声耦合剂命名。</w:t>
      </w:r>
    </w:p>
    <w:p w14:paraId="13E0851A">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2.分类编码</w:t>
      </w:r>
    </w:p>
    <w:p w14:paraId="6913D7AE">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参考《医疗器械分类目录》，申报产品属于子目录06-医用成像器械，一级产品类别08-超声影像诊断附属设备，二级产品类别01-</w:t>
      </w:r>
      <w:r>
        <w:rPr>
          <w:rFonts w:ascii="Times New Roman" w:hAnsi="Times New Roman" w:eastAsia="仿宋_GB2312" w:cs="Times New Roman"/>
          <w:bCs/>
          <w:sz w:val="32"/>
          <w:szCs w:val="32"/>
        </w:rPr>
        <w:t>超声耦合剂</w:t>
      </w:r>
      <w:r>
        <w:rPr>
          <w:rFonts w:ascii="Times New Roman" w:hAnsi="Times New Roman" w:eastAsia="仿宋_GB2312" w:cs="Times New Roman"/>
          <w:snapToGrid w:val="0"/>
          <w:kern w:val="0"/>
          <w:sz w:val="32"/>
          <w:szCs w:val="32"/>
        </w:rPr>
        <w:t>。</w:t>
      </w:r>
    </w:p>
    <w:p w14:paraId="2415A914">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3.注册单元划分</w:t>
      </w:r>
    </w:p>
    <w:p w14:paraId="65C91CCB">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注册单元的划分应参照《总局关于发布医疗器械注册单元划分指导原则的通告》，以产品的技术原理、结构组成、性能指标和适用范围等因素为划分依据。</w:t>
      </w:r>
    </w:p>
    <w:p w14:paraId="03910583">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例如：消毒型与非消毒型，建议不作为同一注册单元申报。</w:t>
      </w:r>
    </w:p>
    <w:p w14:paraId="5B57F4C5">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7671E2B4">
      <w:pPr>
        <w:pStyle w:val="3"/>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.概述</w:t>
      </w:r>
    </w:p>
    <w:p w14:paraId="684E0572">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1.1依据医疗器械分类目录，</w:t>
      </w:r>
      <w:r>
        <w:rPr>
          <w:rFonts w:ascii="Times New Roman" w:hAnsi="Times New Roman" w:eastAsia="仿宋_GB2312" w:cs="Times New Roman"/>
          <w:sz w:val="32"/>
          <w:szCs w:val="32"/>
        </w:rPr>
        <w:t>医用无菌超声耦合剂</w:t>
      </w:r>
      <w:r>
        <w:rPr>
          <w:rFonts w:ascii="Times New Roman" w:hAnsi="Times New Roman" w:eastAsia="仿宋_GB2312" w:cs="Times New Roman"/>
          <w:bCs/>
          <w:sz w:val="32"/>
          <w:szCs w:val="32"/>
        </w:rPr>
        <w:t>管理类别为</w:t>
      </w:r>
      <w:r>
        <w:rPr>
          <w:rFonts w:ascii="Times New Roman" w:hAnsi="Times New Roman" w:eastAsia="宋体" w:cs="Times New Roman"/>
          <w:bCs/>
          <w:sz w:val="32"/>
          <w:szCs w:val="32"/>
        </w:rPr>
        <w:t>Ⅱ</w:t>
      </w:r>
      <w:r>
        <w:rPr>
          <w:rFonts w:ascii="Times New Roman" w:hAnsi="Times New Roman" w:eastAsia="仿宋_GB2312" w:cs="Times New Roman"/>
          <w:bCs/>
          <w:sz w:val="32"/>
          <w:szCs w:val="32"/>
        </w:rPr>
        <w:t>类医疗器械，分类编码为06-08-01（医用成像器械-超声影像诊断附属设备-超声耦合剂）。</w:t>
      </w:r>
    </w:p>
    <w:p w14:paraId="5A2C247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1.2产品命名应符合《医疗器械通用名称命名规则》和国家标准、行业标准中的通用名称要求，如：医用无菌超声耦合剂。</w:t>
      </w:r>
    </w:p>
    <w:p w14:paraId="3727E9A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14:paraId="5BF9ACB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14:paraId="1E7FC97E">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医用无菌超声耦合剂通常由丙二醇、丙三醇、三乙醇胺、卡波姆、纯化水组成，部分具有消毒功能的产品中含有消毒剂（例如：三氯羟基二苯醚），产品以无菌形式提供。</w:t>
      </w:r>
      <w:bookmarkStart w:id="3" w:name="_Toc430332201"/>
      <w:bookmarkStart w:id="4" w:name="_Toc498607690"/>
    </w:p>
    <w:p w14:paraId="79B51F3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w:t>
      </w:r>
    </w:p>
    <w:p w14:paraId="732D1C32">
      <w:pPr>
        <w:overflowPunct w:val="0"/>
        <w:spacing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在超声诊断或治疗操作中，充填或涂敷于皮肤/黏膜与探头（或治疗头）辐射面之间，填充接触面之间的空隙，减小探头面与皮肤之间的摩擦，排除空隙中的空气，使探头与皮肤间的声阻抗差减小，从而减小超声能量在的损失。</w:t>
      </w:r>
    </w:p>
    <w:p w14:paraId="09D1011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3.型号规格</w:t>
      </w:r>
    </w:p>
    <w:p w14:paraId="3EAFBA9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14:paraId="51CA1BB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4.包装说明</w:t>
      </w:r>
    </w:p>
    <w:p w14:paraId="5E70966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说明产品的包装层次，写明产品各层次包装（初包装、中包装、大包装）的信息，包括包装所用材料及包装所载明的信息及样图；此外还应当说明无菌屏障系统的信息。</w:t>
      </w:r>
    </w:p>
    <w:p w14:paraId="5915ABA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5.适用范围和</w:t>
      </w:r>
      <w:r>
        <w:rPr>
          <w:rFonts w:hint="eastAsia" w:ascii="Times New Roman" w:hAnsi="Times New Roman" w:eastAsia="仿宋_GB2312" w:cs="Times New Roman"/>
          <w:sz w:val="32"/>
          <w:szCs w:val="32"/>
        </w:rPr>
        <w:t>禁忌证</w:t>
      </w:r>
    </w:p>
    <w:p w14:paraId="3156FBE8">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5.1适用范围：在超声诊断或治疗操作中，充填或涂敷于皮肤/黏膜与探头（或治疗头）辐射面之间，用于透射声波的中介媒质。</w:t>
      </w:r>
    </w:p>
    <w:p w14:paraId="3950281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5.2禁忌证：包括但不限于对产品原材料过敏者禁用。</w:t>
      </w:r>
    </w:p>
    <w:p w14:paraId="40B21CE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6.参考的同类产品或前代产品</w:t>
      </w:r>
    </w:p>
    <w:p w14:paraId="6CCC9DA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同类产品（国内外已上市）或前代产品（如有）的信息，阐述申请注册产品的研发背景和目的。对于同类产品，说明选择其作为研发参考的原因。申报产品应与已在中国境内上市的同类产品或前代产品进行对比分析，应详述产品间异同。</w:t>
      </w:r>
    </w:p>
    <w:p w14:paraId="588A7CC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7.不良事件情况（如适用）</w:t>
      </w:r>
    </w:p>
    <w:p w14:paraId="2B543E5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14:paraId="71DEE103">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5266C57A">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bookmarkEnd w:id="3"/>
      <w:bookmarkEnd w:id="4"/>
      <w:bookmarkStart w:id="5" w:name="_Toc498607692"/>
    </w:p>
    <w:p w14:paraId="42FD0E8C">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1.1风险分析方法</w:t>
      </w:r>
    </w:p>
    <w:p w14:paraId="28254EA8">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1.1.1在对风险的判定及分析中，要考虑合理的可预见的情况，它们包括：正常使用条件下和非正常使用条件下；</w:t>
      </w:r>
    </w:p>
    <w:p w14:paraId="6E8FCD9E">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1.1.2风险判定及分析应包括：对于患者的危害、对于操作者的危害和对于环境的危害；</w:t>
      </w:r>
    </w:p>
    <w:p w14:paraId="69F97929">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1.1.3风险形成的初始原因应包括：原材料选择不当，设计、生产风险，运输与防护不当等；人为因素包括不合理的操作；适用错误；综合危害；环境条件；</w:t>
      </w:r>
    </w:p>
    <w:p w14:paraId="338106E7">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1.1.4风险判定及分析考虑的问题包括：产品原材料生物学危害；产品质量是否会导致使用中出现不正常结果；操作信息，</w:t>
      </w:r>
      <w:r>
        <w:rPr>
          <w:rFonts w:ascii="Times New Roman" w:hAnsi="Times New Roman" w:eastAsia="仿宋_GB2312" w:cs="Times New Roman"/>
          <w:sz w:val="32"/>
          <w:szCs w:val="32"/>
        </w:rPr>
        <w:t>包括警示性语言、注意事项以及使用方法的准确性等。</w:t>
      </w:r>
    </w:p>
    <w:p w14:paraId="2103527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1.2风险分析清单</w:t>
      </w:r>
    </w:p>
    <w:p w14:paraId="22C27902">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医用无菌超声耦合剂产品的风险管理报告应符合YY/T 0316《医疗器械风险管理对医疗器械的应用》的有关要求，审查要点包括：</w:t>
      </w:r>
    </w:p>
    <w:p w14:paraId="23F70049">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1.2.1产品定性定量分析是否准确（依据YY/T 0316附录A）；</w:t>
      </w:r>
    </w:p>
    <w:p w14:paraId="50C1C6FE">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1.2.2危害分析是否全面（依据YY/T 0316附录D）；</w:t>
      </w:r>
    </w:p>
    <w:p w14:paraId="172506DF">
      <w:pPr>
        <w:overflowPunct w:val="0"/>
        <w:snapToGrid w:val="0"/>
        <w:spacing w:line="520" w:lineRule="exact"/>
        <w:ind w:firstLine="604" w:firstLineChars="189"/>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1.2.3风险可接受准则，降低风险的措施及采取措施后风险的可接受程度，是否有新的风险产生。根据YY/T 0316《医疗器械风险管理对医疗器械的应用》附录E危险（源）、可预见的事件序列和危险情况示例对“医用无菌超声耦合剂”已知或可预见的风险进行判定，产品在进行风险分析时至少应包括以下的主要危害（见表1），注册申请人还应根据自身产品特点确定其他危害。针对产品的各项风险，注册申请人应采取应对措施，确保风险降到可接受的程度。</w:t>
      </w:r>
    </w:p>
    <w:p w14:paraId="0EFD9629">
      <w:pPr>
        <w:overflowPunct w:val="0"/>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表1产品主要危害</w:t>
      </w:r>
    </w:p>
    <w:tbl>
      <w:tblPr>
        <w:tblStyle w:val="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901"/>
        <w:gridCol w:w="3321"/>
        <w:gridCol w:w="2832"/>
      </w:tblGrid>
      <w:tr w14:paraId="3496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gridSpan w:val="2"/>
            <w:vAlign w:val="center"/>
          </w:tcPr>
          <w:p w14:paraId="62D2EDB2">
            <w:pPr>
              <w:spacing w:line="520" w:lineRule="exact"/>
              <w:ind w:right="-67" w:rightChars="-32"/>
              <w:jc w:val="center"/>
              <w:rPr>
                <w:rFonts w:ascii="Times New Roman" w:hAnsi="Times New Roman" w:eastAsia="黑体" w:cs="Times New Roman"/>
                <w:bCs/>
                <w:sz w:val="28"/>
                <w:szCs w:val="28"/>
              </w:rPr>
            </w:pPr>
            <w:r>
              <w:rPr>
                <w:rFonts w:ascii="Times New Roman" w:hAnsi="Times New Roman" w:eastAsia="黑体" w:cs="Times New Roman"/>
                <w:bCs/>
                <w:sz w:val="28"/>
                <w:szCs w:val="28"/>
              </w:rPr>
              <w:t>危害类型</w:t>
            </w:r>
          </w:p>
        </w:tc>
        <w:tc>
          <w:tcPr>
            <w:tcW w:w="3321" w:type="dxa"/>
            <w:vAlign w:val="center"/>
          </w:tcPr>
          <w:p w14:paraId="2FA42C3B">
            <w:pPr>
              <w:spacing w:line="520" w:lineRule="exact"/>
              <w:ind w:right="-67" w:rightChars="-32"/>
              <w:jc w:val="center"/>
              <w:rPr>
                <w:rFonts w:ascii="Times New Roman" w:hAnsi="Times New Roman" w:eastAsia="黑体" w:cs="Times New Roman"/>
                <w:bCs/>
                <w:sz w:val="28"/>
                <w:szCs w:val="28"/>
              </w:rPr>
            </w:pPr>
            <w:r>
              <w:rPr>
                <w:rFonts w:ascii="Times New Roman" w:hAnsi="Times New Roman" w:eastAsia="黑体" w:cs="Times New Roman"/>
                <w:bCs/>
                <w:sz w:val="28"/>
                <w:szCs w:val="28"/>
              </w:rPr>
              <w:t>可预见的事件序列</w:t>
            </w:r>
          </w:p>
        </w:tc>
        <w:tc>
          <w:tcPr>
            <w:tcW w:w="2832" w:type="dxa"/>
            <w:vAlign w:val="center"/>
          </w:tcPr>
          <w:p w14:paraId="2D028294">
            <w:pPr>
              <w:spacing w:line="520" w:lineRule="exact"/>
              <w:ind w:right="-67" w:rightChars="-32"/>
              <w:jc w:val="center"/>
              <w:rPr>
                <w:rFonts w:ascii="Times New Roman" w:hAnsi="Times New Roman" w:eastAsia="黑体" w:cs="Times New Roman"/>
                <w:bCs/>
                <w:sz w:val="28"/>
                <w:szCs w:val="28"/>
              </w:rPr>
            </w:pPr>
            <w:r>
              <w:rPr>
                <w:rFonts w:ascii="Times New Roman" w:hAnsi="Times New Roman" w:eastAsia="黑体" w:cs="Times New Roman"/>
                <w:bCs/>
                <w:sz w:val="28"/>
                <w:szCs w:val="28"/>
              </w:rPr>
              <w:t>可能产生的危害</w:t>
            </w:r>
          </w:p>
        </w:tc>
      </w:tr>
      <w:tr w14:paraId="59FF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4FAE2D6B">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生物学危害和化学危害</w:t>
            </w:r>
          </w:p>
        </w:tc>
        <w:tc>
          <w:tcPr>
            <w:tcW w:w="1901" w:type="dxa"/>
            <w:vAlign w:val="center"/>
          </w:tcPr>
          <w:p w14:paraId="58B4536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生物污染</w:t>
            </w:r>
          </w:p>
        </w:tc>
        <w:tc>
          <w:tcPr>
            <w:tcW w:w="3321" w:type="dxa"/>
            <w:vAlign w:val="center"/>
          </w:tcPr>
          <w:p w14:paraId="02E7BB92">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包装破损或使用时操作不规范造成生物污染</w:t>
            </w:r>
          </w:p>
        </w:tc>
        <w:tc>
          <w:tcPr>
            <w:tcW w:w="2832" w:type="dxa"/>
            <w:vAlign w:val="center"/>
          </w:tcPr>
          <w:p w14:paraId="6C46EAED">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产品引入致病菌，引起患者身体不适或感染</w:t>
            </w:r>
          </w:p>
        </w:tc>
      </w:tr>
      <w:tr w14:paraId="5D5C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7A570EA5">
            <w:pPr>
              <w:spacing w:line="520" w:lineRule="exact"/>
              <w:ind w:right="-67" w:rightChars="-32"/>
              <w:jc w:val="center"/>
              <w:rPr>
                <w:rFonts w:ascii="Times New Roman" w:hAnsi="Times New Roman" w:eastAsia="仿宋_GB2312" w:cs="Times New Roman"/>
                <w:bCs/>
                <w:sz w:val="28"/>
                <w:szCs w:val="28"/>
              </w:rPr>
            </w:pPr>
          </w:p>
        </w:tc>
        <w:tc>
          <w:tcPr>
            <w:tcW w:w="1901" w:type="dxa"/>
            <w:vAlign w:val="center"/>
          </w:tcPr>
          <w:p w14:paraId="567DAB7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环境污染</w:t>
            </w:r>
          </w:p>
        </w:tc>
        <w:tc>
          <w:tcPr>
            <w:tcW w:w="3321" w:type="dxa"/>
            <w:vAlign w:val="center"/>
          </w:tcPr>
          <w:p w14:paraId="3973B98B">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生产环境污染产品，如外来的粉尘、微生物、其他杂质等</w:t>
            </w:r>
          </w:p>
        </w:tc>
        <w:tc>
          <w:tcPr>
            <w:tcW w:w="2832" w:type="dxa"/>
            <w:vAlign w:val="center"/>
          </w:tcPr>
          <w:p w14:paraId="09DF4F8A">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引起患者身体不适或感染</w:t>
            </w:r>
          </w:p>
        </w:tc>
      </w:tr>
      <w:tr w14:paraId="3B71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1EEFF6F1">
            <w:pPr>
              <w:spacing w:line="520" w:lineRule="exact"/>
              <w:ind w:right="-67" w:rightChars="-32"/>
              <w:jc w:val="center"/>
              <w:rPr>
                <w:rFonts w:ascii="Times New Roman" w:hAnsi="Times New Roman" w:eastAsia="仿宋_GB2312" w:cs="Times New Roman"/>
                <w:bCs/>
                <w:sz w:val="28"/>
                <w:szCs w:val="28"/>
              </w:rPr>
            </w:pPr>
          </w:p>
        </w:tc>
        <w:tc>
          <w:tcPr>
            <w:tcW w:w="1901" w:type="dxa"/>
            <w:vAlign w:val="center"/>
          </w:tcPr>
          <w:p w14:paraId="35C6E331">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生物相容性</w:t>
            </w:r>
          </w:p>
        </w:tc>
        <w:tc>
          <w:tcPr>
            <w:tcW w:w="3321" w:type="dxa"/>
            <w:vAlign w:val="center"/>
          </w:tcPr>
          <w:p w14:paraId="65F1D4BC">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采用了不合格原辅材料；生产引入了外来物质</w:t>
            </w:r>
          </w:p>
        </w:tc>
        <w:tc>
          <w:tcPr>
            <w:tcW w:w="2832" w:type="dxa"/>
            <w:vAlign w:val="center"/>
          </w:tcPr>
          <w:p w14:paraId="5EB399FA">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引起患者局部发红、发痒等过敏</w:t>
            </w:r>
          </w:p>
        </w:tc>
      </w:tr>
      <w:tr w14:paraId="3765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1079" w:type="dxa"/>
            <w:vMerge w:val="continue"/>
            <w:vAlign w:val="center"/>
          </w:tcPr>
          <w:p w14:paraId="669376A1">
            <w:pPr>
              <w:spacing w:line="520" w:lineRule="exact"/>
              <w:ind w:right="-67" w:rightChars="-32"/>
              <w:jc w:val="center"/>
              <w:rPr>
                <w:rFonts w:ascii="Times New Roman" w:hAnsi="Times New Roman" w:eastAsia="仿宋_GB2312" w:cs="Times New Roman"/>
                <w:bCs/>
                <w:sz w:val="28"/>
                <w:szCs w:val="28"/>
              </w:rPr>
            </w:pPr>
          </w:p>
        </w:tc>
        <w:tc>
          <w:tcPr>
            <w:tcW w:w="1901" w:type="dxa"/>
            <w:vAlign w:val="center"/>
          </w:tcPr>
          <w:p w14:paraId="3CE122EA">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化学危害</w:t>
            </w:r>
          </w:p>
        </w:tc>
        <w:tc>
          <w:tcPr>
            <w:tcW w:w="3321" w:type="dxa"/>
            <w:vAlign w:val="center"/>
          </w:tcPr>
          <w:p w14:paraId="3597C53B">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生产工艺控制不严</w:t>
            </w:r>
          </w:p>
          <w:p w14:paraId="03675E04">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不正确的配方（化学成分）</w:t>
            </w:r>
          </w:p>
          <w:p w14:paraId="4518C8D6">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未按照工艺要求配料</w:t>
            </w:r>
          </w:p>
          <w:p w14:paraId="2E71D2BD">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添加剂或助剂使用比例不正确</w:t>
            </w:r>
          </w:p>
        </w:tc>
        <w:tc>
          <w:tcPr>
            <w:tcW w:w="2832" w:type="dxa"/>
            <w:vAlign w:val="center"/>
          </w:tcPr>
          <w:p w14:paraId="489AC333">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造成毒性危害</w:t>
            </w:r>
          </w:p>
        </w:tc>
      </w:tr>
      <w:tr w14:paraId="14B8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3C5F288">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操作</w:t>
            </w:r>
          </w:p>
          <w:p w14:paraId="4510ADBD">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危害</w:t>
            </w:r>
          </w:p>
        </w:tc>
        <w:tc>
          <w:tcPr>
            <w:tcW w:w="1901" w:type="dxa"/>
            <w:vAlign w:val="center"/>
          </w:tcPr>
          <w:p w14:paraId="6F14CEA0">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由不熟练/未经培训的人员使用</w:t>
            </w:r>
          </w:p>
        </w:tc>
        <w:tc>
          <w:tcPr>
            <w:tcW w:w="3321" w:type="dxa"/>
            <w:vAlign w:val="center"/>
          </w:tcPr>
          <w:p w14:paraId="7E943CFB">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 xml:space="preserve">操作不熟练、操作失误 </w:t>
            </w:r>
          </w:p>
        </w:tc>
        <w:tc>
          <w:tcPr>
            <w:tcW w:w="2832" w:type="dxa"/>
          </w:tcPr>
          <w:p w14:paraId="0EE868ED">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无法保证使用安全性</w:t>
            </w:r>
          </w:p>
          <w:p w14:paraId="0598F9C5">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导致操作失误，</w:t>
            </w:r>
            <w:r>
              <w:rPr>
                <w:rFonts w:ascii="Times New Roman" w:hAnsi="Times New Roman" w:eastAsia="仿宋" w:cs="Times New Roman"/>
                <w:sz w:val="28"/>
                <w:szCs w:val="28"/>
              </w:rPr>
              <w:t>导致无法达到满意的效果</w:t>
            </w:r>
          </w:p>
        </w:tc>
      </w:tr>
      <w:tr w14:paraId="6360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61EB2817">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392FED47">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使用产品时未按照说明书中操作方法操作</w:t>
            </w:r>
          </w:p>
        </w:tc>
        <w:tc>
          <w:tcPr>
            <w:tcW w:w="3321" w:type="dxa"/>
            <w:vAlign w:val="center"/>
          </w:tcPr>
          <w:p w14:paraId="64B5DDFD">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错误操作；未采取相应的保护措施</w:t>
            </w:r>
          </w:p>
        </w:tc>
        <w:tc>
          <w:tcPr>
            <w:tcW w:w="2832" w:type="dxa"/>
          </w:tcPr>
          <w:p w14:paraId="4265B015">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无法保证使用安全性</w:t>
            </w:r>
          </w:p>
          <w:p w14:paraId="2BAA5543">
            <w:pPr>
              <w:spacing w:line="520" w:lineRule="exact"/>
              <w:rPr>
                <w:rFonts w:ascii="Times New Roman" w:hAnsi="Times New Roman" w:eastAsia="仿宋" w:cs="Times New Roman"/>
                <w:sz w:val="28"/>
                <w:szCs w:val="28"/>
              </w:rPr>
            </w:pPr>
            <w:r>
              <w:rPr>
                <w:rFonts w:ascii="Times New Roman" w:hAnsi="Times New Roman" w:eastAsia="仿宋_GB2312" w:cs="Times New Roman"/>
                <w:bCs/>
                <w:sz w:val="28"/>
                <w:szCs w:val="28"/>
              </w:rPr>
              <w:t>导致操作失误，</w:t>
            </w:r>
            <w:r>
              <w:rPr>
                <w:rFonts w:ascii="Times New Roman" w:hAnsi="Times New Roman" w:eastAsia="仿宋" w:cs="Times New Roman"/>
                <w:sz w:val="28"/>
                <w:szCs w:val="28"/>
              </w:rPr>
              <w:t>导致无法达到满意的效果</w:t>
            </w:r>
          </w:p>
        </w:tc>
      </w:tr>
      <w:tr w14:paraId="758C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4E24C1C0">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330E47AA">
            <w:pPr>
              <w:spacing w:line="5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忽视说明书中</w:t>
            </w:r>
            <w:r>
              <w:rPr>
                <w:rFonts w:hint="eastAsia" w:ascii="Times New Roman" w:hAnsi="Times New Roman" w:eastAsia="仿宋_GB2312" w:cs="Times New Roman"/>
                <w:bCs/>
                <w:sz w:val="28"/>
                <w:szCs w:val="28"/>
              </w:rPr>
              <w:t>禁忌证</w:t>
            </w:r>
            <w:r>
              <w:rPr>
                <w:rFonts w:ascii="Times New Roman" w:hAnsi="Times New Roman" w:eastAsia="仿宋_GB2312" w:cs="Times New Roman"/>
                <w:bCs/>
                <w:sz w:val="28"/>
                <w:szCs w:val="28"/>
              </w:rPr>
              <w:t>、警示信息等内容</w:t>
            </w:r>
          </w:p>
        </w:tc>
        <w:tc>
          <w:tcPr>
            <w:tcW w:w="3321" w:type="dxa"/>
            <w:vAlign w:val="center"/>
          </w:tcPr>
          <w:p w14:paraId="21705855">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患者在使用过程中出现过敏；产品接触到眼睛等其他部位</w:t>
            </w:r>
          </w:p>
        </w:tc>
        <w:tc>
          <w:tcPr>
            <w:tcW w:w="2832" w:type="dxa"/>
            <w:vAlign w:val="center"/>
          </w:tcPr>
          <w:p w14:paraId="4D88E206">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引起患者过敏，眼睛等其他部位产生刺激性</w:t>
            </w:r>
          </w:p>
        </w:tc>
      </w:tr>
      <w:tr w14:paraId="2202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743417DB">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信息</w:t>
            </w:r>
          </w:p>
          <w:p w14:paraId="7AEADB7A">
            <w:pPr>
              <w:spacing w:line="52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危害</w:t>
            </w:r>
          </w:p>
          <w:p w14:paraId="7BB6A9D8">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6DD7C47D">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不正确的标签</w:t>
            </w:r>
          </w:p>
        </w:tc>
        <w:tc>
          <w:tcPr>
            <w:tcW w:w="3321" w:type="dxa"/>
            <w:vAlign w:val="center"/>
          </w:tcPr>
          <w:p w14:paraId="17E5EAAB">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外部标记不全面、标记不正确或不能够清楚易认</w:t>
            </w:r>
          </w:p>
        </w:tc>
        <w:tc>
          <w:tcPr>
            <w:tcW w:w="2832" w:type="dxa"/>
            <w:vAlign w:val="center"/>
          </w:tcPr>
          <w:p w14:paraId="53DC1261">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错误使用；储存错误；</w:t>
            </w:r>
          </w:p>
          <w:p w14:paraId="3EACEFB8">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产品辨别错误</w:t>
            </w:r>
          </w:p>
        </w:tc>
      </w:tr>
      <w:tr w14:paraId="1991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2D22E90F">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11330538">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不正确的说明书；说明书上的注意事项、</w:t>
            </w:r>
            <w:r>
              <w:rPr>
                <w:rFonts w:hint="eastAsia" w:ascii="Times New Roman" w:hAnsi="Times New Roman" w:eastAsia="仿宋_GB2312" w:cs="Times New Roman"/>
                <w:bCs/>
                <w:sz w:val="28"/>
                <w:szCs w:val="28"/>
              </w:rPr>
              <w:t>禁忌证</w:t>
            </w:r>
            <w:r>
              <w:rPr>
                <w:rFonts w:ascii="Times New Roman" w:hAnsi="Times New Roman" w:eastAsia="仿宋_GB2312" w:cs="Times New Roman"/>
                <w:bCs/>
                <w:sz w:val="28"/>
                <w:szCs w:val="28"/>
              </w:rPr>
              <w:t>不全</w:t>
            </w:r>
          </w:p>
        </w:tc>
        <w:tc>
          <w:tcPr>
            <w:tcW w:w="3321" w:type="dxa"/>
            <w:vAlign w:val="center"/>
          </w:tcPr>
          <w:p w14:paraId="46B423E3">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缺少详细的使用方法、必要的警告说明</w:t>
            </w:r>
          </w:p>
        </w:tc>
        <w:tc>
          <w:tcPr>
            <w:tcW w:w="2832" w:type="dxa"/>
            <w:vAlign w:val="center"/>
          </w:tcPr>
          <w:p w14:paraId="3356C457">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错误操作；无法保证使用安全有效性</w:t>
            </w:r>
          </w:p>
        </w:tc>
      </w:tr>
      <w:tr w14:paraId="544F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4AE39201">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459B7457">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对医疗器械寿命终止缺少适当的决定</w:t>
            </w:r>
          </w:p>
        </w:tc>
        <w:tc>
          <w:tcPr>
            <w:tcW w:w="3321" w:type="dxa"/>
            <w:vAlign w:val="center"/>
          </w:tcPr>
          <w:p w14:paraId="1EE799E5">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没有标识产品有效期</w:t>
            </w:r>
          </w:p>
        </w:tc>
        <w:tc>
          <w:tcPr>
            <w:tcW w:w="2832" w:type="dxa"/>
            <w:vAlign w:val="center"/>
          </w:tcPr>
          <w:p w14:paraId="05AD12D3">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超出有效期的产品被使用，可能会引起患者细菌感染，或因材料老化产生而导致产品性能不符合要求</w:t>
            </w:r>
          </w:p>
        </w:tc>
      </w:tr>
      <w:tr w14:paraId="32D3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671C1EC9">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25413A9E">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不适当的产品包装（产品污染和／或变性）</w:t>
            </w:r>
          </w:p>
        </w:tc>
        <w:tc>
          <w:tcPr>
            <w:tcW w:w="3321" w:type="dxa"/>
            <w:vAlign w:val="center"/>
          </w:tcPr>
          <w:p w14:paraId="34336698">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生产、运输、搬运和储存过程中导致包装破损；包装封口不严密；包装材料选择不适当；使用前未检查产品包装状态</w:t>
            </w:r>
          </w:p>
        </w:tc>
        <w:tc>
          <w:tcPr>
            <w:tcW w:w="2832" w:type="dxa"/>
            <w:vAlign w:val="center"/>
          </w:tcPr>
          <w:p w14:paraId="2FEBE9B8">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产品使用性能无法得到保证</w:t>
            </w:r>
          </w:p>
        </w:tc>
      </w:tr>
      <w:tr w14:paraId="0B15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5403C63">
            <w:pPr>
              <w:spacing w:line="520" w:lineRule="exact"/>
              <w:ind w:right="-67" w:rightChars="-32"/>
              <w:rPr>
                <w:rFonts w:ascii="Times New Roman" w:hAnsi="Times New Roman" w:eastAsia="仿宋_GB2312" w:cs="Times New Roman"/>
                <w:bCs/>
                <w:sz w:val="28"/>
                <w:szCs w:val="28"/>
              </w:rPr>
            </w:pPr>
          </w:p>
        </w:tc>
        <w:tc>
          <w:tcPr>
            <w:tcW w:w="1901" w:type="dxa"/>
            <w:vAlign w:val="center"/>
          </w:tcPr>
          <w:p w14:paraId="564B4DA6">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再次使用和/或不适当的再次使用</w:t>
            </w:r>
          </w:p>
        </w:tc>
        <w:tc>
          <w:tcPr>
            <w:tcW w:w="3321" w:type="dxa"/>
            <w:vAlign w:val="center"/>
          </w:tcPr>
          <w:p w14:paraId="172DFDB1">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 xml:space="preserve">未说明产品配件（如有）使用方法；产品多次使用，未说明具体操作方法 </w:t>
            </w:r>
          </w:p>
        </w:tc>
        <w:tc>
          <w:tcPr>
            <w:tcW w:w="2832" w:type="dxa"/>
            <w:vAlign w:val="center"/>
          </w:tcPr>
          <w:p w14:paraId="6DCEBB07">
            <w:pPr>
              <w:spacing w:line="52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出现细菌感染现象</w:t>
            </w:r>
          </w:p>
        </w:tc>
      </w:tr>
    </w:tbl>
    <w:p w14:paraId="6DB8B09F">
      <w:pPr>
        <w:overflowPunct w:val="0"/>
        <w:spacing w:line="520" w:lineRule="exact"/>
        <w:ind w:firstLine="640" w:firstLineChars="200"/>
        <w:jc w:val="left"/>
        <w:outlineLvl w:val="0"/>
        <w:rPr>
          <w:rFonts w:ascii="Times New Roman" w:hAnsi="Times New Roman" w:eastAsia="仿宋_GB2312" w:cs="Times New Roman"/>
          <w:sz w:val="32"/>
          <w:szCs w:val="32"/>
        </w:rPr>
      </w:pPr>
    </w:p>
    <w:p w14:paraId="4FC219BC">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w:t>
      </w:r>
    </w:p>
    <w:p w14:paraId="37EADD1C">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医用无菌超声耦合剂需要考虑的产品基本技术性能指标，申请人根据自身产品的技术特点和用途制定相应的性能指标，且性能指标不得低于强制性国家标准、行业标准。</w:t>
      </w:r>
    </w:p>
    <w:p w14:paraId="629C9DF6">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医用无菌超声耦合剂产品性能指标至少应包括以下几点：</w:t>
      </w:r>
    </w:p>
    <w:p w14:paraId="01FCECBA">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2.1外观及性状；</w:t>
      </w:r>
    </w:p>
    <w:p w14:paraId="09B41977">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2.2装量；</w:t>
      </w:r>
    </w:p>
    <w:p w14:paraId="6D570AA2">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2.3声速；</w:t>
      </w:r>
    </w:p>
    <w:p w14:paraId="15C8457F">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2.4声特性阻抗；</w:t>
      </w:r>
    </w:p>
    <w:p w14:paraId="797CAC7C">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2.5声衰减；</w:t>
      </w:r>
    </w:p>
    <w:p w14:paraId="4DA9932C">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2.6黏度；</w:t>
      </w:r>
    </w:p>
    <w:p w14:paraId="70D78A5E">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2.7 pH；</w:t>
      </w:r>
    </w:p>
    <w:p w14:paraId="7E95BE43">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2.8无菌；</w:t>
      </w:r>
    </w:p>
    <w:p w14:paraId="6616B0AB">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2.9消毒型的产品应具有消毒作用，并应符合《消毒技术规范》和GB/T27949、GB/T27951中相应要求。</w:t>
      </w:r>
    </w:p>
    <w:p w14:paraId="16B5A65A">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p>
    <w:p w14:paraId="24846285">
      <w:pPr>
        <w:overflowPunct w:val="0"/>
        <w:spacing w:line="520" w:lineRule="exact"/>
        <w:ind w:firstLine="640" w:firstLineChars="200"/>
        <w:rPr>
          <w:rFonts w:ascii="Times New Roman" w:hAnsi="Times New Roman" w:eastAsia="仿宋_GB2312" w:cs="Times New Roman"/>
          <w:sz w:val="32"/>
          <w:szCs w:val="32"/>
        </w:rPr>
      </w:pPr>
      <w:bookmarkStart w:id="6" w:name="_Toc498607698"/>
      <w:r>
        <w:rPr>
          <w:rFonts w:ascii="Times New Roman" w:hAnsi="Times New Roman" w:eastAsia="仿宋_GB2312" w:cs="Times New Roman"/>
          <w:sz w:val="32"/>
          <w:szCs w:val="32"/>
        </w:rPr>
        <w:t>3.1原材料控制</w:t>
      </w:r>
    </w:p>
    <w:p w14:paraId="5620AC8D">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明确各种原料的化学名称、CAS号、化学结构式/分子式、分子量、来源和纯度（如适用）、使用量或组成比例、符合的标准、申请人的验收标准及相关的安全性评价报告，建议以列表的形式提供，并说明原材料的选择依据及来源。</w:t>
      </w:r>
    </w:p>
    <w:p w14:paraId="0D117BDC">
      <w:pPr>
        <w:overflowPunct w:val="0"/>
        <w:spacing w:line="52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3.2产品性能研究</w:t>
      </w:r>
      <w:bookmarkEnd w:id="6"/>
    </w:p>
    <w:p w14:paraId="34A0F2D1">
      <w:pPr>
        <w:overflowPunct w:val="0"/>
        <w:spacing w:line="52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应给出技术要求中各性能指标的设定依据、所采用的标准或方法、采用的原因及理论基础。</w:t>
      </w:r>
    </w:p>
    <w:p w14:paraId="3F7EDF5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医用无菌超声耦合剂的性能研究可参照YY0299《医用超声耦合剂》。若适用的国家标准、行业标准中有不采纳或偏离的条款，应说明不适用的理由。</w:t>
      </w:r>
    </w:p>
    <w:p w14:paraId="3C132E5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3.3生物相容性评价</w:t>
      </w:r>
    </w:p>
    <w:p w14:paraId="119E306D">
      <w:pPr>
        <w:overflowPunct w:val="0"/>
        <w:spacing w:line="520" w:lineRule="exact"/>
        <w:ind w:firstLine="640" w:firstLineChars="200"/>
        <w:rPr>
          <w:rFonts w:ascii="Times New Roman" w:hAnsi="Times New Roman" w:eastAsia="仿宋_GB2312" w:cs="Times New Roman"/>
          <w:kern w:val="0"/>
          <w:sz w:val="32"/>
          <w:szCs w:val="32"/>
        </w:rPr>
      </w:pPr>
      <w:bookmarkStart w:id="7" w:name="_Toc498607700"/>
      <w:r>
        <w:rPr>
          <w:rFonts w:ascii="Times New Roman" w:hAnsi="Times New Roman" w:eastAsia="仿宋_GB2312" w:cs="Times New Roman"/>
          <w:kern w:val="0"/>
          <w:sz w:val="32"/>
          <w:szCs w:val="32"/>
        </w:rPr>
        <w:t>生物相容性评价研究资料应当包括：生物相容性评价的依据和方法；产品所用材料的描述及与人体接触的性质和时间；实施或豁免生物学试验的理由和论证;对于现有数据或试验结果的评价。若开展生物学评价试验，应按照GB/T 16886.1《医疗器械生物学评价 第1部分：风险管理过程中的评价与试验》标准进行评价，至少应进行细胞毒性、刺激、迟发型超敏反应的生物学评价研究，若用于腔道，还应开展粘膜刺激性相关评价。</w:t>
      </w:r>
    </w:p>
    <w:p w14:paraId="7C6D942C">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仿宋" w:cs="Times New Roman"/>
          <w:sz w:val="32"/>
          <w:szCs w:val="32"/>
        </w:rPr>
        <w:t>3.4灭菌工艺研究</w:t>
      </w:r>
      <w:bookmarkEnd w:id="7"/>
    </w:p>
    <w:p w14:paraId="40C41F52">
      <w:pPr>
        <w:overflowPunct w:val="0"/>
        <w:spacing w:line="520" w:lineRule="exact"/>
        <w:ind w:firstLine="640" w:firstLineChars="200"/>
        <w:rPr>
          <w:rFonts w:ascii="Times New Roman" w:hAnsi="Times New Roman" w:eastAsia="仿宋_GB2312" w:cs="Times New Roman"/>
          <w:kern w:val="0"/>
          <w:sz w:val="32"/>
          <w:szCs w:val="32"/>
        </w:rPr>
      </w:pPr>
      <w:bookmarkStart w:id="8" w:name="_Toc498607701"/>
      <w:r>
        <w:rPr>
          <w:rFonts w:ascii="Times New Roman" w:hAnsi="Times New Roman" w:eastAsia="仿宋_GB2312" w:cs="Times New Roman"/>
          <w:kern w:val="0"/>
          <w:sz w:val="32"/>
          <w:szCs w:val="32"/>
        </w:rPr>
        <w:t>应明确灭菌工艺（方法和参数）及其选择依据和无菌保证水平（SAL），并提供灭菌确认报告，无菌保证水平（SAL）应保证达到1×10</w:t>
      </w:r>
      <w:r>
        <w:rPr>
          <w:rFonts w:ascii="Times New Roman" w:hAnsi="Times New Roman" w:eastAsia="仿宋_GB2312" w:cs="Times New Roman"/>
          <w:kern w:val="0"/>
          <w:sz w:val="32"/>
          <w:szCs w:val="32"/>
          <w:vertAlign w:val="superscript"/>
        </w:rPr>
        <w:t>-6</w:t>
      </w:r>
      <w:r>
        <w:rPr>
          <w:rFonts w:ascii="Times New Roman" w:hAnsi="Times New Roman" w:eastAsia="仿宋_GB2312" w:cs="Times New Roman"/>
          <w:kern w:val="0"/>
          <w:sz w:val="32"/>
          <w:szCs w:val="32"/>
        </w:rPr>
        <w:t>。灭菌过程的选择应至少考虑以下因素：产品与灭菌过程的适应性；包装材料与灭菌过程的适应性；灭菌对产品安全有效性的影响。</w:t>
      </w:r>
    </w:p>
    <w:p w14:paraId="117ED284">
      <w:pPr>
        <w:overflowPunct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3.5产品有效期和包装研究</w:t>
      </w:r>
      <w:bookmarkEnd w:id="8"/>
    </w:p>
    <w:p w14:paraId="6AEC9459">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应明确产品有效期，提供产品有效期的验证资料。对于开封后无法一次用完还可以继续使用的，应考虑产品开封后的有效期。可参考YY/T 0681系列标准提供加速老化验证资料。</w:t>
      </w:r>
    </w:p>
    <w:p w14:paraId="3CB15C22">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应明确产品的内包装形式并确保包装在宣称的运输储存条件下，在产品有效期内能够对产品起到防护作用并保持产品清洁。产品包装验证可依据有关国内、国际标准进行（如GB/T19633、ISO11607、ASTM D-4169等），提交产品的包装验证报告。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14:paraId="335EC0BE">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5F2559FD">
      <w:pPr>
        <w:overflowPunct w:val="0"/>
        <w:snapToGrid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医用无菌超声耦合剂已列入《免于临床评价医疗器械目录》，注册申请人无需提交临床评价资料。</w:t>
      </w:r>
    </w:p>
    <w:p w14:paraId="2DCDA90C">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123F11FF">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产品说明书和标签的编写应符合《医疗器械说明书和标签管理规定》和相关标准中的要求，同时还应注意以下几点（不限于此）：</w:t>
      </w:r>
    </w:p>
    <w:p w14:paraId="0C2C8158">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1.使用方法中应明确由专业医师使用，同时说明产品使用方法。</w:t>
      </w:r>
    </w:p>
    <w:p w14:paraId="0E944444">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2.禁忌证至少包含对产品组成成分过敏者禁用。</w:t>
      </w:r>
    </w:p>
    <w:p w14:paraId="40BA2218">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3.注意事项一般应有以下内容：避免接触眼睛；请勿吞食，如被吞咽，立即就医治疗；开封后应尽快使用，或明确开封后的使用期限。</w:t>
      </w:r>
    </w:p>
    <w:p w14:paraId="49AA4EE2">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14:paraId="3DD227D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至少应包括但不限于以下内容：</w:t>
      </w:r>
    </w:p>
    <w:p w14:paraId="641F98B8">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14:paraId="7ECF4699">
      <w:pPr>
        <w:widowControl/>
        <w:overflowPunct w:val="0"/>
        <w:spacing w:line="520" w:lineRule="exact"/>
        <w:ind w:firstLine="640" w:firstLineChars="200"/>
        <w:rPr>
          <w:rFonts w:ascii="Times New Roman" w:hAnsi="Times New Roman" w:cs="Times New Roman"/>
        </w:rPr>
      </w:pPr>
      <w:r>
        <w:rPr>
          <w:rFonts w:ascii="Times New Roman" w:hAnsi="Times New Roman" w:eastAsia="仿宋_GB2312" w:cs="Times New Roman"/>
          <w:sz w:val="32"/>
        </w:rPr>
        <w:t>注册申请人应根据申报产品的实际情况，</w:t>
      </w:r>
      <w:r>
        <w:rPr>
          <w:rFonts w:ascii="Times New Roman" w:hAnsi="Times New Roman" w:eastAsia="仿宋_GB2312" w:cs="Times New Roman"/>
          <w:sz w:val="32"/>
          <w:szCs w:val="32"/>
        </w:rPr>
        <w:t>以流程图的形式对生产工艺过程进行详细描述，注明关键工序和特殊过程，并</w:t>
      </w:r>
      <w:r>
        <w:rPr>
          <w:rFonts w:ascii="Times New Roman" w:hAnsi="Times New Roman" w:eastAsia="仿宋_GB2312" w:cs="Times New Roman"/>
          <w:spacing w:val="-4"/>
          <w:sz w:val="32"/>
        </w:rPr>
        <w:t>进行简单说明。关键工序和特殊过程因生产企业不同可能会存在差异。应说明生产工艺过程质量控制点，包括关键工序和特殊过程的控制规定和方法。</w:t>
      </w:r>
    </w:p>
    <w:p w14:paraId="3828364C">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14:paraId="5FE1FC7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4A6D56D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14:paraId="3E4ABC4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14:paraId="717DED2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14:paraId="7EB1217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14:paraId="45D6DA0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14:paraId="052FEDB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14:paraId="51A47CD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14:paraId="6E6D51B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14:paraId="57836EB8">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3.8如适用，应当提供拟核查产品与既往已通过核查产品在生产条件、生产工艺等方面的对比说明。</w:t>
      </w:r>
    </w:p>
    <w:p w14:paraId="0EF2A1E9">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5E27A625">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[1]医疗器械监督管理条例[Z].</w:t>
      </w:r>
    </w:p>
    <w:p w14:paraId="55A8F2B4">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[2]医疗器械注册与备案管理办法[Z].</w:t>
      </w:r>
    </w:p>
    <w:p w14:paraId="091AB484">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w:t>
      </w:r>
      <w:r>
        <w:rPr>
          <w:rFonts w:ascii="Times New Roman" w:hAnsi="Times New Roman" w:eastAsia="仿宋_GB2312" w:cs="Times New Roman"/>
          <w:sz w:val="32"/>
          <w:szCs w:val="32"/>
        </w:rPr>
        <w:t>医疗器械说明书和标签管理规定</w:t>
      </w:r>
      <w:r>
        <w:rPr>
          <w:rFonts w:ascii="Times New Roman" w:hAnsi="Times New Roman" w:eastAsia="仿宋_GB2312" w:cs="Times New Roman"/>
          <w:snapToGrid w:val="0"/>
          <w:kern w:val="0"/>
          <w:sz w:val="32"/>
          <w:szCs w:val="32"/>
        </w:rPr>
        <w:t>[Z].</w:t>
      </w:r>
    </w:p>
    <w:p w14:paraId="7ACC8D4F">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[4]关于发布医疗器械产品技术要求编写指导原则的通告[Z].</w:t>
      </w:r>
    </w:p>
    <w:p w14:paraId="08C3B383">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[5]关于公布医疗器械注册申报资料要求和批准证明文件格式的公告[Z].</w:t>
      </w:r>
    </w:p>
    <w:p w14:paraId="11AFB3D0">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[6]医疗器械临床评价技术指导原则[Z].</w:t>
      </w:r>
    </w:p>
    <w:p w14:paraId="57909786">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cs="Times New Roman"/>
        </w:rPr>
        <w:t xml:space="preserve"> </w:t>
      </w:r>
      <w:r>
        <w:rPr>
          <w:rFonts w:ascii="Times New Roman" w:hAnsi="Times New Roman" w:eastAsia="仿宋_GB2312" w:cs="Times New Roman"/>
          <w:sz w:val="32"/>
          <w:szCs w:val="32"/>
        </w:rPr>
        <w:t xml:space="preserve">GB/T 14233.2,医用输液、输血、注射器具检验方法 第2部分：生物学试验方法[S]. </w:t>
      </w:r>
    </w:p>
    <w:p w14:paraId="098ADC82">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cs="Times New Roman"/>
        </w:rPr>
        <w:t xml:space="preserve"> </w:t>
      </w:r>
      <w:r>
        <w:rPr>
          <w:rFonts w:ascii="Times New Roman" w:hAnsi="Times New Roman" w:eastAsia="仿宋_GB2312" w:cs="Times New Roman"/>
          <w:sz w:val="32"/>
          <w:szCs w:val="32"/>
        </w:rPr>
        <w:t>GB/T 16886.1,医疗器械生物学评价  第1部分：风险管理过程中的评价与试验[S].</w:t>
      </w:r>
    </w:p>
    <w:p w14:paraId="3CF9828A">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Times New Roman" w:hAnsi="Times New Roman" w:cs="Times New Roman"/>
        </w:rPr>
        <w:t xml:space="preserve"> </w:t>
      </w:r>
      <w:r>
        <w:rPr>
          <w:rFonts w:ascii="Times New Roman" w:hAnsi="Times New Roman" w:eastAsia="仿宋_GB2312" w:cs="Times New Roman"/>
          <w:sz w:val="32"/>
          <w:szCs w:val="32"/>
        </w:rPr>
        <w:t>GB/T 16886.5,医疗器械生物学评价 第5部分：体外细胞毒性试验[S].</w:t>
      </w:r>
    </w:p>
    <w:p w14:paraId="412D5967">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ascii="Times New Roman" w:hAnsi="Times New Roman" w:cs="Times New Roman"/>
        </w:rPr>
        <w:t xml:space="preserve"> </w:t>
      </w:r>
      <w:r>
        <w:rPr>
          <w:rFonts w:ascii="Times New Roman" w:hAnsi="Times New Roman" w:eastAsia="仿宋_GB2312" w:cs="Times New Roman"/>
          <w:sz w:val="32"/>
          <w:szCs w:val="32"/>
        </w:rPr>
        <w:t>GB/T 16886.10,医疗器械生物学评价 第10部分：刺激与皮肤致敏试验[S].</w:t>
      </w:r>
    </w:p>
    <w:p w14:paraId="751C48A3">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ascii="Times New Roman" w:hAnsi="Times New Roman" w:cs="Times New Roman"/>
        </w:rPr>
        <w:t xml:space="preserve"> </w:t>
      </w:r>
      <w:r>
        <w:rPr>
          <w:rFonts w:ascii="Times New Roman" w:hAnsi="Times New Roman" w:eastAsia="仿宋_GB2312" w:cs="Times New Roman"/>
          <w:sz w:val="32"/>
          <w:szCs w:val="32"/>
        </w:rPr>
        <w:t>GB 18280.1,医疗保健产品灭菌 辐射 第1部分：医疗器械灭菌过程的开发、确认和常规控制要求[S].</w:t>
      </w:r>
    </w:p>
    <w:p w14:paraId="4CE8E4BB">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ascii="Times New Roman" w:hAnsi="Times New Roman" w:cs="Times New Roman"/>
        </w:rPr>
        <w:t xml:space="preserve"> </w:t>
      </w:r>
      <w:r>
        <w:rPr>
          <w:rFonts w:ascii="Times New Roman" w:hAnsi="Times New Roman" w:eastAsia="仿宋_GB2312" w:cs="Times New Roman"/>
          <w:sz w:val="32"/>
          <w:szCs w:val="32"/>
        </w:rPr>
        <w:t>GB 18280.2,医疗保健产品灭菌 辐射 第2部分：建立灭菌剂量[S].</w:t>
      </w:r>
    </w:p>
    <w:p w14:paraId="63C5C3F4">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ascii="Times New Roman" w:hAnsi="Times New Roman" w:cs="Times New Roman"/>
        </w:rPr>
        <w:t xml:space="preserve"> </w:t>
      </w:r>
      <w:r>
        <w:rPr>
          <w:rFonts w:ascii="Times New Roman" w:hAnsi="Times New Roman" w:eastAsia="仿宋_GB2312" w:cs="Times New Roman"/>
          <w:sz w:val="32"/>
          <w:szCs w:val="32"/>
        </w:rPr>
        <w:t>GB/T27949,医疗器械消毒剂通用要求[S].</w:t>
      </w:r>
    </w:p>
    <w:p w14:paraId="4666BDE6">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ascii="Times New Roman" w:hAnsi="Times New Roman" w:cs="Times New Roman"/>
        </w:rPr>
        <w:t xml:space="preserve"> </w:t>
      </w:r>
      <w:r>
        <w:rPr>
          <w:rFonts w:ascii="Times New Roman" w:hAnsi="Times New Roman" w:eastAsia="仿宋_GB2312" w:cs="Times New Roman"/>
          <w:sz w:val="32"/>
          <w:szCs w:val="32"/>
        </w:rPr>
        <w:t>GB/T27951,皮肤消毒剂通用要求[S].</w:t>
      </w:r>
    </w:p>
    <w:p w14:paraId="513736B3">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ascii="Times New Roman" w:hAnsi="Times New Roman" w:cs="Times New Roman"/>
        </w:rPr>
        <w:t xml:space="preserve"> </w:t>
      </w:r>
      <w:r>
        <w:rPr>
          <w:rFonts w:ascii="Times New Roman" w:hAnsi="Times New Roman" w:eastAsia="仿宋_GB2312" w:cs="Times New Roman"/>
          <w:sz w:val="32"/>
          <w:szCs w:val="32"/>
        </w:rPr>
        <w:t>YY0299,医用超声耦合剂[S].</w:t>
      </w:r>
    </w:p>
    <w:p w14:paraId="4BB1F869">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ascii="Times New Roman" w:hAnsi="Times New Roman" w:cs="Times New Roman"/>
        </w:rPr>
        <w:t xml:space="preserve"> </w:t>
      </w:r>
      <w:r>
        <w:rPr>
          <w:rFonts w:ascii="Times New Roman" w:hAnsi="Times New Roman" w:eastAsia="仿宋_GB2312" w:cs="Times New Roman"/>
          <w:sz w:val="32"/>
          <w:szCs w:val="32"/>
        </w:rPr>
        <w:t>YY/T 0466.1,医疗器械 用于医疗器械标签、标记和提供信息的符号 第1部分：通用要求[S].</w:t>
      </w:r>
    </w:p>
    <w:p w14:paraId="1F6F9AB3">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ascii="Times New Roman" w:hAnsi="Times New Roman" w:cs="Times New Roman"/>
        </w:rPr>
        <w:t xml:space="preserve"> </w:t>
      </w:r>
      <w:r>
        <w:rPr>
          <w:rFonts w:ascii="Times New Roman" w:hAnsi="Times New Roman" w:eastAsia="仿宋_GB2312" w:cs="Times New Roman"/>
          <w:sz w:val="32"/>
          <w:szCs w:val="32"/>
        </w:rPr>
        <w:t>YY/T 0316,医疗器械风险管理对医疗器械的应用[S].</w:t>
      </w:r>
    </w:p>
    <w:bookmarkEnd w:id="5"/>
    <w:p w14:paraId="33DA9BD1">
      <w:pPr>
        <w:widowControl/>
        <w:overflowPunct w:val="0"/>
        <w:spacing w:line="520" w:lineRule="exact"/>
        <w:jc w:val="left"/>
        <w:rPr>
          <w:rFonts w:ascii="Times New Roman" w:hAnsi="Times New Roman" w:eastAsia="仿宋_GB2312" w:cs="Times New Roman"/>
          <w:kern w:val="0"/>
          <w:sz w:val="32"/>
          <w:szCs w:val="32"/>
        </w:rPr>
      </w:pPr>
    </w:p>
    <w:p w14:paraId="05E81D48">
      <w:pPr>
        <w:overflowPunct w:val="0"/>
        <w:spacing w:line="520" w:lineRule="exact"/>
        <w:rPr>
          <w:rFonts w:hint="eastAsia" w:eastAsia="宋体"/>
          <w:lang w:eastAsia="zh-CN"/>
        </w:rPr>
      </w:pPr>
    </w:p>
    <w:p w14:paraId="6CE61E00">
      <w:pPr>
        <w:overflowPunct w:val="0"/>
        <w:spacing w:line="520" w:lineRule="exact"/>
        <w:jc w:val="center"/>
        <w:rPr>
          <w:rFonts w:hint="eastAsia" w:eastAsia="宋体"/>
          <w:lang w:eastAsia="zh-CN"/>
        </w:rPr>
      </w:pPr>
    </w:p>
    <w:p w14:paraId="11DE4C06">
      <w:pPr>
        <w:overflowPunct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E0BE">
    <w:pPr>
      <w:pStyle w:val="5"/>
    </w:pPr>
    <w:r>
      <w:pict>
        <v:shape id="_x0000_s3073" o:spid="_x0000_s3073" o:spt="202" type="#_x0000_t202" style="position:absolute;left:0pt;margin-top:-29.55pt;height:144pt;width:144pt;mso-position-horizontal:outside;mso-position-horizontal-relative:margin;mso-wrap-style:none;z-index:251659264;mso-width-relative:page;mso-height-relative:page;" filled="f" stroked="f" coordsize="21600,21600" o:gfxdata="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&#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6zpxdYAAAAIAQAADwAAAAAAAAAB&#10;ACAAAAAiAAAAZHJzL2Rvd25yZXYueG1sUEsBAhQAFAAAAAgAh07iQErbzf8SAgAAEwQAAA4AAAAA&#10;AAAAAQAgAAAAJQEAAGRycy9lMm9Eb2MueG1sUEsFBgAAAAAGAAYAWQEAAKkFAAAAAA==&#10;">
          <v:path/>
          <v:fill on="f" focussize="0,0"/>
          <v:stroke on="f" weight="0.5pt" joinstyle="miter"/>
          <v:imagedata o:title=""/>
          <o:lock v:ext="edit"/>
          <v:textbox inset="0mm,0mm,0mm,0mm" style="mso-fit-shape-to-text:t;">
            <w:txbxContent>
              <w:p w14:paraId="7F28ED4B">
                <w:pPr>
                  <w:pStyle w:val="5"/>
                </w:pPr>
                <w:r>
                  <w:rPr>
                    <w:rFonts w:hint="eastAsia"/>
                    <w:color w:val="FFFFFF" w:themeColor="background1"/>
                    <w:sz w:val="28"/>
                    <w:szCs w:val="28"/>
                  </w:rPr>
                  <w:t>—</w:t>
                </w: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hint="eastAsia"/>
                    <w:sz w:val="28"/>
                    <w:szCs w:val="28"/>
                  </w:rPr>
                  <w:t xml:space="preserve"> —</w:t>
                </w:r>
                <w:r>
                  <w:rPr>
                    <w:rFonts w:hint="eastAsia"/>
                    <w:color w:val="FFFFFF" w:themeColor="background1"/>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7"/>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D4787B"/>
    <w:rsid w:val="000000EC"/>
    <w:rsid w:val="00001CB8"/>
    <w:rsid w:val="000072A6"/>
    <w:rsid w:val="00010C27"/>
    <w:rsid w:val="00012743"/>
    <w:rsid w:val="000151DE"/>
    <w:rsid w:val="000201FC"/>
    <w:rsid w:val="00023E39"/>
    <w:rsid w:val="000250E1"/>
    <w:rsid w:val="00026932"/>
    <w:rsid w:val="0004187F"/>
    <w:rsid w:val="00042622"/>
    <w:rsid w:val="00043D7F"/>
    <w:rsid w:val="00051374"/>
    <w:rsid w:val="00051F55"/>
    <w:rsid w:val="00056A5B"/>
    <w:rsid w:val="00056EAE"/>
    <w:rsid w:val="00060C45"/>
    <w:rsid w:val="00063B5B"/>
    <w:rsid w:val="00063BC0"/>
    <w:rsid w:val="00072147"/>
    <w:rsid w:val="00072360"/>
    <w:rsid w:val="000827CF"/>
    <w:rsid w:val="00087E72"/>
    <w:rsid w:val="00091B96"/>
    <w:rsid w:val="00092189"/>
    <w:rsid w:val="000A0383"/>
    <w:rsid w:val="000A4B3E"/>
    <w:rsid w:val="000B03A8"/>
    <w:rsid w:val="000B1C14"/>
    <w:rsid w:val="000B2C44"/>
    <w:rsid w:val="000B42ED"/>
    <w:rsid w:val="000B4C9C"/>
    <w:rsid w:val="000C49C2"/>
    <w:rsid w:val="000C5009"/>
    <w:rsid w:val="000D06A3"/>
    <w:rsid w:val="000D0B66"/>
    <w:rsid w:val="000D1308"/>
    <w:rsid w:val="000D43CA"/>
    <w:rsid w:val="000D5ACC"/>
    <w:rsid w:val="000D7F72"/>
    <w:rsid w:val="000E36B3"/>
    <w:rsid w:val="000E4395"/>
    <w:rsid w:val="000F05B4"/>
    <w:rsid w:val="000F302A"/>
    <w:rsid w:val="00100DE1"/>
    <w:rsid w:val="00104D33"/>
    <w:rsid w:val="00105DDD"/>
    <w:rsid w:val="0011034B"/>
    <w:rsid w:val="001119AA"/>
    <w:rsid w:val="001131DD"/>
    <w:rsid w:val="00114B88"/>
    <w:rsid w:val="00116D2D"/>
    <w:rsid w:val="0011740D"/>
    <w:rsid w:val="00127B97"/>
    <w:rsid w:val="00131253"/>
    <w:rsid w:val="00131939"/>
    <w:rsid w:val="0013330A"/>
    <w:rsid w:val="00136061"/>
    <w:rsid w:val="00137412"/>
    <w:rsid w:val="001446F8"/>
    <w:rsid w:val="00144B4B"/>
    <w:rsid w:val="00156815"/>
    <w:rsid w:val="0016092A"/>
    <w:rsid w:val="00164C93"/>
    <w:rsid w:val="00172DF8"/>
    <w:rsid w:val="00174180"/>
    <w:rsid w:val="00182B6C"/>
    <w:rsid w:val="00186DFF"/>
    <w:rsid w:val="00187A7F"/>
    <w:rsid w:val="00192E70"/>
    <w:rsid w:val="001942AB"/>
    <w:rsid w:val="001A4C7F"/>
    <w:rsid w:val="001A6796"/>
    <w:rsid w:val="001A6CE0"/>
    <w:rsid w:val="001B210B"/>
    <w:rsid w:val="001B39FD"/>
    <w:rsid w:val="001B3FEE"/>
    <w:rsid w:val="001B5460"/>
    <w:rsid w:val="001B6115"/>
    <w:rsid w:val="001B6DFE"/>
    <w:rsid w:val="001B7A79"/>
    <w:rsid w:val="001C0F0F"/>
    <w:rsid w:val="001C29DE"/>
    <w:rsid w:val="001C34A9"/>
    <w:rsid w:val="001C7241"/>
    <w:rsid w:val="001D0231"/>
    <w:rsid w:val="001D16C3"/>
    <w:rsid w:val="001D31F1"/>
    <w:rsid w:val="001D5E05"/>
    <w:rsid w:val="001E2DB1"/>
    <w:rsid w:val="001E50E0"/>
    <w:rsid w:val="001F1662"/>
    <w:rsid w:val="001F578F"/>
    <w:rsid w:val="001F605E"/>
    <w:rsid w:val="001F69C4"/>
    <w:rsid w:val="00200035"/>
    <w:rsid w:val="002006C6"/>
    <w:rsid w:val="002007DE"/>
    <w:rsid w:val="00201359"/>
    <w:rsid w:val="0020771E"/>
    <w:rsid w:val="00212D66"/>
    <w:rsid w:val="00215B69"/>
    <w:rsid w:val="00217962"/>
    <w:rsid w:val="00220E47"/>
    <w:rsid w:val="00221793"/>
    <w:rsid w:val="00222B0C"/>
    <w:rsid w:val="00222B83"/>
    <w:rsid w:val="0022336C"/>
    <w:rsid w:val="00223F58"/>
    <w:rsid w:val="002246A5"/>
    <w:rsid w:val="00235B1F"/>
    <w:rsid w:val="00242280"/>
    <w:rsid w:val="0024376D"/>
    <w:rsid w:val="002475C2"/>
    <w:rsid w:val="002478B8"/>
    <w:rsid w:val="002527A1"/>
    <w:rsid w:val="00255AF7"/>
    <w:rsid w:val="00257DAB"/>
    <w:rsid w:val="002622D7"/>
    <w:rsid w:val="00265F50"/>
    <w:rsid w:val="00267049"/>
    <w:rsid w:val="0027004F"/>
    <w:rsid w:val="00272908"/>
    <w:rsid w:val="0027455A"/>
    <w:rsid w:val="00283E1B"/>
    <w:rsid w:val="002875A2"/>
    <w:rsid w:val="00287915"/>
    <w:rsid w:val="00294961"/>
    <w:rsid w:val="002A4346"/>
    <w:rsid w:val="002A4A09"/>
    <w:rsid w:val="002B10C2"/>
    <w:rsid w:val="002B3B5F"/>
    <w:rsid w:val="002B3F5F"/>
    <w:rsid w:val="002B5E2C"/>
    <w:rsid w:val="002C21BD"/>
    <w:rsid w:val="002D0F88"/>
    <w:rsid w:val="002D122C"/>
    <w:rsid w:val="002D6900"/>
    <w:rsid w:val="002E45BB"/>
    <w:rsid w:val="002E538B"/>
    <w:rsid w:val="002E6239"/>
    <w:rsid w:val="002F00C1"/>
    <w:rsid w:val="002F0615"/>
    <w:rsid w:val="002F1595"/>
    <w:rsid w:val="003030AC"/>
    <w:rsid w:val="0031009F"/>
    <w:rsid w:val="0031059C"/>
    <w:rsid w:val="00321F9B"/>
    <w:rsid w:val="00322137"/>
    <w:rsid w:val="003241AE"/>
    <w:rsid w:val="003271F1"/>
    <w:rsid w:val="0033390D"/>
    <w:rsid w:val="00334ADE"/>
    <w:rsid w:val="00342F2E"/>
    <w:rsid w:val="00343544"/>
    <w:rsid w:val="0035320C"/>
    <w:rsid w:val="003532EE"/>
    <w:rsid w:val="00355FCE"/>
    <w:rsid w:val="00357301"/>
    <w:rsid w:val="0036078E"/>
    <w:rsid w:val="00362FC2"/>
    <w:rsid w:val="00363678"/>
    <w:rsid w:val="0036775C"/>
    <w:rsid w:val="00370047"/>
    <w:rsid w:val="00370BBB"/>
    <w:rsid w:val="003727B3"/>
    <w:rsid w:val="00373A45"/>
    <w:rsid w:val="00375954"/>
    <w:rsid w:val="003808C8"/>
    <w:rsid w:val="00385F15"/>
    <w:rsid w:val="0038779D"/>
    <w:rsid w:val="00387CBB"/>
    <w:rsid w:val="00392534"/>
    <w:rsid w:val="00396834"/>
    <w:rsid w:val="003975F9"/>
    <w:rsid w:val="003A2530"/>
    <w:rsid w:val="003A2F06"/>
    <w:rsid w:val="003B0676"/>
    <w:rsid w:val="003B19EC"/>
    <w:rsid w:val="003B1D59"/>
    <w:rsid w:val="003B2389"/>
    <w:rsid w:val="003B2D89"/>
    <w:rsid w:val="003B4476"/>
    <w:rsid w:val="003B4E8A"/>
    <w:rsid w:val="003B60F8"/>
    <w:rsid w:val="003B7A20"/>
    <w:rsid w:val="003C1F09"/>
    <w:rsid w:val="003C2343"/>
    <w:rsid w:val="003C3CBC"/>
    <w:rsid w:val="003D25ED"/>
    <w:rsid w:val="003D262F"/>
    <w:rsid w:val="003E0B1F"/>
    <w:rsid w:val="003E15AB"/>
    <w:rsid w:val="003E1854"/>
    <w:rsid w:val="003F3122"/>
    <w:rsid w:val="003F5301"/>
    <w:rsid w:val="00401C93"/>
    <w:rsid w:val="00407AA9"/>
    <w:rsid w:val="004138B6"/>
    <w:rsid w:val="0041660A"/>
    <w:rsid w:val="00416C24"/>
    <w:rsid w:val="00416ED4"/>
    <w:rsid w:val="00424D52"/>
    <w:rsid w:val="00434C69"/>
    <w:rsid w:val="00441CC3"/>
    <w:rsid w:val="00442B38"/>
    <w:rsid w:val="004433C2"/>
    <w:rsid w:val="00446B95"/>
    <w:rsid w:val="00447AAB"/>
    <w:rsid w:val="00453276"/>
    <w:rsid w:val="00453FE5"/>
    <w:rsid w:val="0045466D"/>
    <w:rsid w:val="004564FF"/>
    <w:rsid w:val="00457E71"/>
    <w:rsid w:val="0046563A"/>
    <w:rsid w:val="00471DB2"/>
    <w:rsid w:val="00472363"/>
    <w:rsid w:val="0047354E"/>
    <w:rsid w:val="00473ED0"/>
    <w:rsid w:val="00474546"/>
    <w:rsid w:val="00480358"/>
    <w:rsid w:val="00480580"/>
    <w:rsid w:val="00485214"/>
    <w:rsid w:val="004870C0"/>
    <w:rsid w:val="00490189"/>
    <w:rsid w:val="004960F7"/>
    <w:rsid w:val="00497375"/>
    <w:rsid w:val="004A24B3"/>
    <w:rsid w:val="004A4486"/>
    <w:rsid w:val="004A6092"/>
    <w:rsid w:val="004A6EC4"/>
    <w:rsid w:val="004B0047"/>
    <w:rsid w:val="004B0516"/>
    <w:rsid w:val="004B367D"/>
    <w:rsid w:val="004B4203"/>
    <w:rsid w:val="004D0DBD"/>
    <w:rsid w:val="004D14D2"/>
    <w:rsid w:val="004D35EC"/>
    <w:rsid w:val="004D3B68"/>
    <w:rsid w:val="004D791F"/>
    <w:rsid w:val="004E29EE"/>
    <w:rsid w:val="004E393B"/>
    <w:rsid w:val="004E5FA9"/>
    <w:rsid w:val="004E60F6"/>
    <w:rsid w:val="004F3104"/>
    <w:rsid w:val="00500368"/>
    <w:rsid w:val="00502F8C"/>
    <w:rsid w:val="00504095"/>
    <w:rsid w:val="0051306C"/>
    <w:rsid w:val="0051420F"/>
    <w:rsid w:val="00515091"/>
    <w:rsid w:val="0052351C"/>
    <w:rsid w:val="005235E6"/>
    <w:rsid w:val="00524467"/>
    <w:rsid w:val="005326E6"/>
    <w:rsid w:val="0053396C"/>
    <w:rsid w:val="00533DB1"/>
    <w:rsid w:val="00540D9F"/>
    <w:rsid w:val="00542688"/>
    <w:rsid w:val="005456E3"/>
    <w:rsid w:val="00545771"/>
    <w:rsid w:val="005461C0"/>
    <w:rsid w:val="00546AA2"/>
    <w:rsid w:val="0054734F"/>
    <w:rsid w:val="005474AF"/>
    <w:rsid w:val="00550FB3"/>
    <w:rsid w:val="005531B2"/>
    <w:rsid w:val="0055331C"/>
    <w:rsid w:val="00554316"/>
    <w:rsid w:val="00557138"/>
    <w:rsid w:val="00557800"/>
    <w:rsid w:val="00557C1B"/>
    <w:rsid w:val="005728B5"/>
    <w:rsid w:val="00572F43"/>
    <w:rsid w:val="0057558B"/>
    <w:rsid w:val="00576BD2"/>
    <w:rsid w:val="00581835"/>
    <w:rsid w:val="00582BD8"/>
    <w:rsid w:val="00583D45"/>
    <w:rsid w:val="00584005"/>
    <w:rsid w:val="00587AE9"/>
    <w:rsid w:val="005A0881"/>
    <w:rsid w:val="005B11F0"/>
    <w:rsid w:val="005B41A1"/>
    <w:rsid w:val="005B733C"/>
    <w:rsid w:val="005C46AB"/>
    <w:rsid w:val="005C7BB7"/>
    <w:rsid w:val="005D23CC"/>
    <w:rsid w:val="005D4C95"/>
    <w:rsid w:val="005E2E40"/>
    <w:rsid w:val="005E4668"/>
    <w:rsid w:val="005E5598"/>
    <w:rsid w:val="005F03CE"/>
    <w:rsid w:val="005F56FB"/>
    <w:rsid w:val="006011C5"/>
    <w:rsid w:val="00601A35"/>
    <w:rsid w:val="00601BD8"/>
    <w:rsid w:val="00603ED3"/>
    <w:rsid w:val="0061000D"/>
    <w:rsid w:val="00613427"/>
    <w:rsid w:val="006172F1"/>
    <w:rsid w:val="00624789"/>
    <w:rsid w:val="00624E6F"/>
    <w:rsid w:val="006274EB"/>
    <w:rsid w:val="00630D81"/>
    <w:rsid w:val="00631BD9"/>
    <w:rsid w:val="00634DAE"/>
    <w:rsid w:val="00635799"/>
    <w:rsid w:val="006371C6"/>
    <w:rsid w:val="00642A42"/>
    <w:rsid w:val="00642B81"/>
    <w:rsid w:val="00644D09"/>
    <w:rsid w:val="006556B2"/>
    <w:rsid w:val="006573F8"/>
    <w:rsid w:val="006655FE"/>
    <w:rsid w:val="00680314"/>
    <w:rsid w:val="006920C9"/>
    <w:rsid w:val="00693575"/>
    <w:rsid w:val="00696B32"/>
    <w:rsid w:val="006A1D4A"/>
    <w:rsid w:val="006A4031"/>
    <w:rsid w:val="006A59ED"/>
    <w:rsid w:val="006A7F24"/>
    <w:rsid w:val="006B265F"/>
    <w:rsid w:val="006B4D1C"/>
    <w:rsid w:val="006B5E34"/>
    <w:rsid w:val="006C34B0"/>
    <w:rsid w:val="006C36C4"/>
    <w:rsid w:val="006C529D"/>
    <w:rsid w:val="006D0B02"/>
    <w:rsid w:val="006D137E"/>
    <w:rsid w:val="006D2722"/>
    <w:rsid w:val="006D6DFD"/>
    <w:rsid w:val="006E04F6"/>
    <w:rsid w:val="006E7783"/>
    <w:rsid w:val="006F3CB2"/>
    <w:rsid w:val="006F6B95"/>
    <w:rsid w:val="00712C0A"/>
    <w:rsid w:val="0071316A"/>
    <w:rsid w:val="0073233B"/>
    <w:rsid w:val="0073305A"/>
    <w:rsid w:val="0073366D"/>
    <w:rsid w:val="007406E8"/>
    <w:rsid w:val="007432CF"/>
    <w:rsid w:val="00743A8A"/>
    <w:rsid w:val="007446A2"/>
    <w:rsid w:val="00746719"/>
    <w:rsid w:val="00752895"/>
    <w:rsid w:val="00752940"/>
    <w:rsid w:val="00755806"/>
    <w:rsid w:val="0075626B"/>
    <w:rsid w:val="00757639"/>
    <w:rsid w:val="007603C1"/>
    <w:rsid w:val="00762386"/>
    <w:rsid w:val="007634BB"/>
    <w:rsid w:val="00764F20"/>
    <w:rsid w:val="007709F7"/>
    <w:rsid w:val="00771890"/>
    <w:rsid w:val="00772A6E"/>
    <w:rsid w:val="00772A7E"/>
    <w:rsid w:val="007746EE"/>
    <w:rsid w:val="0077701A"/>
    <w:rsid w:val="0078230E"/>
    <w:rsid w:val="00785DFA"/>
    <w:rsid w:val="00786D01"/>
    <w:rsid w:val="00792648"/>
    <w:rsid w:val="0079321C"/>
    <w:rsid w:val="00796D4E"/>
    <w:rsid w:val="007A03F5"/>
    <w:rsid w:val="007A3878"/>
    <w:rsid w:val="007B3455"/>
    <w:rsid w:val="007B5A1D"/>
    <w:rsid w:val="007B713F"/>
    <w:rsid w:val="007C04DA"/>
    <w:rsid w:val="007C6B9B"/>
    <w:rsid w:val="007C6ECD"/>
    <w:rsid w:val="007C7727"/>
    <w:rsid w:val="007D5EC8"/>
    <w:rsid w:val="007E2F64"/>
    <w:rsid w:val="007E4425"/>
    <w:rsid w:val="007E4FF2"/>
    <w:rsid w:val="007F1DD5"/>
    <w:rsid w:val="007F5912"/>
    <w:rsid w:val="00801422"/>
    <w:rsid w:val="00803C47"/>
    <w:rsid w:val="00804608"/>
    <w:rsid w:val="00805C5A"/>
    <w:rsid w:val="008069AB"/>
    <w:rsid w:val="008104CD"/>
    <w:rsid w:val="00813D7F"/>
    <w:rsid w:val="00821821"/>
    <w:rsid w:val="00824A39"/>
    <w:rsid w:val="00827F77"/>
    <w:rsid w:val="0083065C"/>
    <w:rsid w:val="00833DBE"/>
    <w:rsid w:val="0084387D"/>
    <w:rsid w:val="00843D48"/>
    <w:rsid w:val="00846524"/>
    <w:rsid w:val="00853B88"/>
    <w:rsid w:val="0085459A"/>
    <w:rsid w:val="008558F0"/>
    <w:rsid w:val="008608FF"/>
    <w:rsid w:val="00863A48"/>
    <w:rsid w:val="008701F4"/>
    <w:rsid w:val="00870483"/>
    <w:rsid w:val="008732D3"/>
    <w:rsid w:val="008759DA"/>
    <w:rsid w:val="00880CDA"/>
    <w:rsid w:val="00881D7D"/>
    <w:rsid w:val="00882A59"/>
    <w:rsid w:val="00884608"/>
    <w:rsid w:val="00884B32"/>
    <w:rsid w:val="008906C9"/>
    <w:rsid w:val="00894CCC"/>
    <w:rsid w:val="008954D5"/>
    <w:rsid w:val="00895DB3"/>
    <w:rsid w:val="008A08AB"/>
    <w:rsid w:val="008A57D3"/>
    <w:rsid w:val="008A7DE6"/>
    <w:rsid w:val="008B0C7B"/>
    <w:rsid w:val="008B1C46"/>
    <w:rsid w:val="008C06AC"/>
    <w:rsid w:val="008C091D"/>
    <w:rsid w:val="008D24F8"/>
    <w:rsid w:val="008D3EC2"/>
    <w:rsid w:val="008D6E77"/>
    <w:rsid w:val="008D7360"/>
    <w:rsid w:val="008E0E48"/>
    <w:rsid w:val="008E2B80"/>
    <w:rsid w:val="008E33C0"/>
    <w:rsid w:val="008E351E"/>
    <w:rsid w:val="008E7649"/>
    <w:rsid w:val="008F0B01"/>
    <w:rsid w:val="008F1711"/>
    <w:rsid w:val="008F58F3"/>
    <w:rsid w:val="008F7808"/>
    <w:rsid w:val="00910AE9"/>
    <w:rsid w:val="00912D08"/>
    <w:rsid w:val="00913B8E"/>
    <w:rsid w:val="009159A8"/>
    <w:rsid w:val="0092471A"/>
    <w:rsid w:val="00930520"/>
    <w:rsid w:val="00931304"/>
    <w:rsid w:val="009333D0"/>
    <w:rsid w:val="00947292"/>
    <w:rsid w:val="009542BB"/>
    <w:rsid w:val="00954F8D"/>
    <w:rsid w:val="0096088A"/>
    <w:rsid w:val="00967CA0"/>
    <w:rsid w:val="00971FAF"/>
    <w:rsid w:val="00972AA5"/>
    <w:rsid w:val="0097418C"/>
    <w:rsid w:val="00975192"/>
    <w:rsid w:val="00976195"/>
    <w:rsid w:val="009765C6"/>
    <w:rsid w:val="00976A09"/>
    <w:rsid w:val="00976A0A"/>
    <w:rsid w:val="009843AE"/>
    <w:rsid w:val="00984E62"/>
    <w:rsid w:val="0098727E"/>
    <w:rsid w:val="009872F6"/>
    <w:rsid w:val="00990958"/>
    <w:rsid w:val="0099326A"/>
    <w:rsid w:val="00995662"/>
    <w:rsid w:val="00995C91"/>
    <w:rsid w:val="009A2294"/>
    <w:rsid w:val="009A2BCA"/>
    <w:rsid w:val="009A3637"/>
    <w:rsid w:val="009A5F27"/>
    <w:rsid w:val="009B1F5D"/>
    <w:rsid w:val="009B23B0"/>
    <w:rsid w:val="009B3115"/>
    <w:rsid w:val="009B5648"/>
    <w:rsid w:val="009C0271"/>
    <w:rsid w:val="009C0712"/>
    <w:rsid w:val="009C57E3"/>
    <w:rsid w:val="009D160C"/>
    <w:rsid w:val="009D472D"/>
    <w:rsid w:val="009E0368"/>
    <w:rsid w:val="009E6710"/>
    <w:rsid w:val="009F3140"/>
    <w:rsid w:val="009F4128"/>
    <w:rsid w:val="00A01D3E"/>
    <w:rsid w:val="00A03270"/>
    <w:rsid w:val="00A04A33"/>
    <w:rsid w:val="00A04F89"/>
    <w:rsid w:val="00A04F9F"/>
    <w:rsid w:val="00A05575"/>
    <w:rsid w:val="00A11316"/>
    <w:rsid w:val="00A1285E"/>
    <w:rsid w:val="00A1381E"/>
    <w:rsid w:val="00A15389"/>
    <w:rsid w:val="00A201F3"/>
    <w:rsid w:val="00A23FA5"/>
    <w:rsid w:val="00A24C4E"/>
    <w:rsid w:val="00A26D28"/>
    <w:rsid w:val="00A27829"/>
    <w:rsid w:val="00A303C4"/>
    <w:rsid w:val="00A360DE"/>
    <w:rsid w:val="00A42640"/>
    <w:rsid w:val="00A43687"/>
    <w:rsid w:val="00A44DAE"/>
    <w:rsid w:val="00A459D3"/>
    <w:rsid w:val="00A460EF"/>
    <w:rsid w:val="00A50056"/>
    <w:rsid w:val="00A50973"/>
    <w:rsid w:val="00A50E56"/>
    <w:rsid w:val="00A52011"/>
    <w:rsid w:val="00A54662"/>
    <w:rsid w:val="00A55805"/>
    <w:rsid w:val="00A55A9C"/>
    <w:rsid w:val="00A60EC3"/>
    <w:rsid w:val="00A6445C"/>
    <w:rsid w:val="00A653CA"/>
    <w:rsid w:val="00A704F4"/>
    <w:rsid w:val="00A71728"/>
    <w:rsid w:val="00A71A58"/>
    <w:rsid w:val="00A72531"/>
    <w:rsid w:val="00A771B6"/>
    <w:rsid w:val="00A807A6"/>
    <w:rsid w:val="00A829EE"/>
    <w:rsid w:val="00A82BD0"/>
    <w:rsid w:val="00A84587"/>
    <w:rsid w:val="00A84771"/>
    <w:rsid w:val="00A866F7"/>
    <w:rsid w:val="00A8676D"/>
    <w:rsid w:val="00A868D1"/>
    <w:rsid w:val="00A90A13"/>
    <w:rsid w:val="00A969D4"/>
    <w:rsid w:val="00AA2910"/>
    <w:rsid w:val="00AA666A"/>
    <w:rsid w:val="00AA6DF2"/>
    <w:rsid w:val="00AB12E9"/>
    <w:rsid w:val="00AB5AD8"/>
    <w:rsid w:val="00AB7B44"/>
    <w:rsid w:val="00AC3929"/>
    <w:rsid w:val="00AC3E9B"/>
    <w:rsid w:val="00AD06B4"/>
    <w:rsid w:val="00AD18B2"/>
    <w:rsid w:val="00AD4969"/>
    <w:rsid w:val="00AD688C"/>
    <w:rsid w:val="00AD739E"/>
    <w:rsid w:val="00AE276A"/>
    <w:rsid w:val="00AE3D1A"/>
    <w:rsid w:val="00B03205"/>
    <w:rsid w:val="00B05480"/>
    <w:rsid w:val="00B0694D"/>
    <w:rsid w:val="00B17225"/>
    <w:rsid w:val="00B21B31"/>
    <w:rsid w:val="00B21C0B"/>
    <w:rsid w:val="00B232B4"/>
    <w:rsid w:val="00B2373D"/>
    <w:rsid w:val="00B23A42"/>
    <w:rsid w:val="00B248A9"/>
    <w:rsid w:val="00B251DF"/>
    <w:rsid w:val="00B264F3"/>
    <w:rsid w:val="00B26CF4"/>
    <w:rsid w:val="00B2768D"/>
    <w:rsid w:val="00B27732"/>
    <w:rsid w:val="00B30C5C"/>
    <w:rsid w:val="00B31674"/>
    <w:rsid w:val="00B37D6C"/>
    <w:rsid w:val="00B42834"/>
    <w:rsid w:val="00B42D6C"/>
    <w:rsid w:val="00B44CC8"/>
    <w:rsid w:val="00B470C4"/>
    <w:rsid w:val="00B51A66"/>
    <w:rsid w:val="00B5350D"/>
    <w:rsid w:val="00B5646E"/>
    <w:rsid w:val="00B56DD0"/>
    <w:rsid w:val="00B5700D"/>
    <w:rsid w:val="00B60B04"/>
    <w:rsid w:val="00B62EEA"/>
    <w:rsid w:val="00B63122"/>
    <w:rsid w:val="00B67784"/>
    <w:rsid w:val="00B800CA"/>
    <w:rsid w:val="00B810C9"/>
    <w:rsid w:val="00B819B8"/>
    <w:rsid w:val="00B836C1"/>
    <w:rsid w:val="00B8575F"/>
    <w:rsid w:val="00B93E09"/>
    <w:rsid w:val="00BA36DB"/>
    <w:rsid w:val="00BB37FA"/>
    <w:rsid w:val="00BB4A23"/>
    <w:rsid w:val="00BB4D2E"/>
    <w:rsid w:val="00BB5C93"/>
    <w:rsid w:val="00BB7D05"/>
    <w:rsid w:val="00BB7FDB"/>
    <w:rsid w:val="00BC31DF"/>
    <w:rsid w:val="00BC400F"/>
    <w:rsid w:val="00BC44E5"/>
    <w:rsid w:val="00BC4632"/>
    <w:rsid w:val="00BC7E56"/>
    <w:rsid w:val="00BD14D3"/>
    <w:rsid w:val="00BD4709"/>
    <w:rsid w:val="00BD6211"/>
    <w:rsid w:val="00BE1439"/>
    <w:rsid w:val="00BE2C68"/>
    <w:rsid w:val="00BE6C61"/>
    <w:rsid w:val="00BF0994"/>
    <w:rsid w:val="00BF19B1"/>
    <w:rsid w:val="00BF23F5"/>
    <w:rsid w:val="00C00668"/>
    <w:rsid w:val="00C028A4"/>
    <w:rsid w:val="00C02FB9"/>
    <w:rsid w:val="00C051BB"/>
    <w:rsid w:val="00C15A25"/>
    <w:rsid w:val="00C16950"/>
    <w:rsid w:val="00C17012"/>
    <w:rsid w:val="00C17E45"/>
    <w:rsid w:val="00C201BC"/>
    <w:rsid w:val="00C304FB"/>
    <w:rsid w:val="00C36E01"/>
    <w:rsid w:val="00C42ED0"/>
    <w:rsid w:val="00C46C02"/>
    <w:rsid w:val="00C46E1B"/>
    <w:rsid w:val="00C47BAA"/>
    <w:rsid w:val="00C47CC6"/>
    <w:rsid w:val="00C519C7"/>
    <w:rsid w:val="00C53638"/>
    <w:rsid w:val="00C54926"/>
    <w:rsid w:val="00C553A0"/>
    <w:rsid w:val="00C6150E"/>
    <w:rsid w:val="00C62E8A"/>
    <w:rsid w:val="00C6321B"/>
    <w:rsid w:val="00C636A3"/>
    <w:rsid w:val="00C63B57"/>
    <w:rsid w:val="00C64BC7"/>
    <w:rsid w:val="00C65AB2"/>
    <w:rsid w:val="00C6659C"/>
    <w:rsid w:val="00C67315"/>
    <w:rsid w:val="00C70208"/>
    <w:rsid w:val="00C71812"/>
    <w:rsid w:val="00C7272F"/>
    <w:rsid w:val="00C73C89"/>
    <w:rsid w:val="00C76B63"/>
    <w:rsid w:val="00C77733"/>
    <w:rsid w:val="00C810B4"/>
    <w:rsid w:val="00CA56DB"/>
    <w:rsid w:val="00CB39C5"/>
    <w:rsid w:val="00CB6804"/>
    <w:rsid w:val="00CC1241"/>
    <w:rsid w:val="00CC164A"/>
    <w:rsid w:val="00CC3053"/>
    <w:rsid w:val="00CC4D24"/>
    <w:rsid w:val="00CC6C03"/>
    <w:rsid w:val="00CD0F23"/>
    <w:rsid w:val="00CD5297"/>
    <w:rsid w:val="00CD54D3"/>
    <w:rsid w:val="00CD623C"/>
    <w:rsid w:val="00CD686F"/>
    <w:rsid w:val="00CD7BDC"/>
    <w:rsid w:val="00CE2D50"/>
    <w:rsid w:val="00CE45CF"/>
    <w:rsid w:val="00CE4A2E"/>
    <w:rsid w:val="00CE55C4"/>
    <w:rsid w:val="00CE6860"/>
    <w:rsid w:val="00CE6DF4"/>
    <w:rsid w:val="00CF15C9"/>
    <w:rsid w:val="00CF1CC1"/>
    <w:rsid w:val="00CF72E3"/>
    <w:rsid w:val="00D0251E"/>
    <w:rsid w:val="00D026EA"/>
    <w:rsid w:val="00D031D8"/>
    <w:rsid w:val="00D10942"/>
    <w:rsid w:val="00D11DD1"/>
    <w:rsid w:val="00D13DC7"/>
    <w:rsid w:val="00D17BFE"/>
    <w:rsid w:val="00D21D15"/>
    <w:rsid w:val="00D23ACD"/>
    <w:rsid w:val="00D23BAF"/>
    <w:rsid w:val="00D32FD8"/>
    <w:rsid w:val="00D3671F"/>
    <w:rsid w:val="00D40397"/>
    <w:rsid w:val="00D4194D"/>
    <w:rsid w:val="00D4323B"/>
    <w:rsid w:val="00D4787B"/>
    <w:rsid w:val="00D47CE1"/>
    <w:rsid w:val="00D57B25"/>
    <w:rsid w:val="00D61A4A"/>
    <w:rsid w:val="00D626FC"/>
    <w:rsid w:val="00D742BB"/>
    <w:rsid w:val="00D74C0B"/>
    <w:rsid w:val="00D83D4C"/>
    <w:rsid w:val="00D91DA9"/>
    <w:rsid w:val="00D92A89"/>
    <w:rsid w:val="00D92CA6"/>
    <w:rsid w:val="00D94F20"/>
    <w:rsid w:val="00DA01B4"/>
    <w:rsid w:val="00DA4685"/>
    <w:rsid w:val="00DA5F19"/>
    <w:rsid w:val="00DB181D"/>
    <w:rsid w:val="00DC665F"/>
    <w:rsid w:val="00DD231D"/>
    <w:rsid w:val="00DD24EE"/>
    <w:rsid w:val="00DE1C6F"/>
    <w:rsid w:val="00DE2EED"/>
    <w:rsid w:val="00DE7478"/>
    <w:rsid w:val="00DF04EF"/>
    <w:rsid w:val="00DF0CEC"/>
    <w:rsid w:val="00DF22A7"/>
    <w:rsid w:val="00DF62C4"/>
    <w:rsid w:val="00E01041"/>
    <w:rsid w:val="00E01E02"/>
    <w:rsid w:val="00E115B9"/>
    <w:rsid w:val="00E139B8"/>
    <w:rsid w:val="00E17785"/>
    <w:rsid w:val="00E2227E"/>
    <w:rsid w:val="00E22DCB"/>
    <w:rsid w:val="00E24B39"/>
    <w:rsid w:val="00E26293"/>
    <w:rsid w:val="00E336C2"/>
    <w:rsid w:val="00E50CEF"/>
    <w:rsid w:val="00E51EB7"/>
    <w:rsid w:val="00E53344"/>
    <w:rsid w:val="00E54E2F"/>
    <w:rsid w:val="00E55105"/>
    <w:rsid w:val="00E569F8"/>
    <w:rsid w:val="00E6064D"/>
    <w:rsid w:val="00E610E8"/>
    <w:rsid w:val="00E63A1A"/>
    <w:rsid w:val="00E704F1"/>
    <w:rsid w:val="00E82316"/>
    <w:rsid w:val="00E845D9"/>
    <w:rsid w:val="00E86932"/>
    <w:rsid w:val="00E90F0B"/>
    <w:rsid w:val="00E913CE"/>
    <w:rsid w:val="00E91F27"/>
    <w:rsid w:val="00E93234"/>
    <w:rsid w:val="00E948A8"/>
    <w:rsid w:val="00E95BB7"/>
    <w:rsid w:val="00E9616D"/>
    <w:rsid w:val="00EA1755"/>
    <w:rsid w:val="00EA1C25"/>
    <w:rsid w:val="00EA3C96"/>
    <w:rsid w:val="00EA4E93"/>
    <w:rsid w:val="00EB74C3"/>
    <w:rsid w:val="00EB7E22"/>
    <w:rsid w:val="00EC1421"/>
    <w:rsid w:val="00EC1711"/>
    <w:rsid w:val="00EC435F"/>
    <w:rsid w:val="00ED01A3"/>
    <w:rsid w:val="00ED113E"/>
    <w:rsid w:val="00ED1CAE"/>
    <w:rsid w:val="00ED2052"/>
    <w:rsid w:val="00EE160E"/>
    <w:rsid w:val="00EE3C95"/>
    <w:rsid w:val="00EF1C0E"/>
    <w:rsid w:val="00EF20C2"/>
    <w:rsid w:val="00EF3B7D"/>
    <w:rsid w:val="00EF4608"/>
    <w:rsid w:val="00F011CC"/>
    <w:rsid w:val="00F01FA4"/>
    <w:rsid w:val="00F078B1"/>
    <w:rsid w:val="00F22D01"/>
    <w:rsid w:val="00F22F18"/>
    <w:rsid w:val="00F231A2"/>
    <w:rsid w:val="00F305D0"/>
    <w:rsid w:val="00F34D42"/>
    <w:rsid w:val="00F354DC"/>
    <w:rsid w:val="00F4298B"/>
    <w:rsid w:val="00F44FCF"/>
    <w:rsid w:val="00F4717B"/>
    <w:rsid w:val="00F51F2B"/>
    <w:rsid w:val="00F5383A"/>
    <w:rsid w:val="00F564F2"/>
    <w:rsid w:val="00F64B1A"/>
    <w:rsid w:val="00F670C0"/>
    <w:rsid w:val="00F75CB4"/>
    <w:rsid w:val="00F77724"/>
    <w:rsid w:val="00F7797E"/>
    <w:rsid w:val="00F817ED"/>
    <w:rsid w:val="00F83E37"/>
    <w:rsid w:val="00F87448"/>
    <w:rsid w:val="00F919C0"/>
    <w:rsid w:val="00F95ADC"/>
    <w:rsid w:val="00F95E80"/>
    <w:rsid w:val="00FA3455"/>
    <w:rsid w:val="00FA4CA4"/>
    <w:rsid w:val="00FB2523"/>
    <w:rsid w:val="00FB40EE"/>
    <w:rsid w:val="00FB44D1"/>
    <w:rsid w:val="00FB4986"/>
    <w:rsid w:val="00FB49DE"/>
    <w:rsid w:val="00FB7928"/>
    <w:rsid w:val="00FC3EFA"/>
    <w:rsid w:val="00FC515B"/>
    <w:rsid w:val="00FD03DB"/>
    <w:rsid w:val="00FD0C52"/>
    <w:rsid w:val="00FD3C45"/>
    <w:rsid w:val="00FE2F1D"/>
    <w:rsid w:val="00FE43A6"/>
    <w:rsid w:val="00FE727B"/>
    <w:rsid w:val="00FF3BD1"/>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60F290E"/>
    <w:rsid w:val="180C41F8"/>
    <w:rsid w:val="183F6A4F"/>
    <w:rsid w:val="18665DD4"/>
    <w:rsid w:val="1A6749FC"/>
    <w:rsid w:val="1B8D443B"/>
    <w:rsid w:val="1BBB6EF2"/>
    <w:rsid w:val="1BE87F82"/>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8521A07"/>
    <w:rsid w:val="2A8B654F"/>
    <w:rsid w:val="2B90645B"/>
    <w:rsid w:val="2BBC0CFD"/>
    <w:rsid w:val="2C0A7D08"/>
    <w:rsid w:val="2E920F6C"/>
    <w:rsid w:val="2EE97B5C"/>
    <w:rsid w:val="2EFC44CC"/>
    <w:rsid w:val="30683622"/>
    <w:rsid w:val="32452A03"/>
    <w:rsid w:val="32753B5F"/>
    <w:rsid w:val="33720D27"/>
    <w:rsid w:val="344404FC"/>
    <w:rsid w:val="34DA607D"/>
    <w:rsid w:val="3510148B"/>
    <w:rsid w:val="362C1D76"/>
    <w:rsid w:val="37A32315"/>
    <w:rsid w:val="38154270"/>
    <w:rsid w:val="387E0F6E"/>
    <w:rsid w:val="39A40862"/>
    <w:rsid w:val="3A2E4572"/>
    <w:rsid w:val="3C3E76DD"/>
    <w:rsid w:val="3C6E263E"/>
    <w:rsid w:val="3C894B2E"/>
    <w:rsid w:val="3E12044D"/>
    <w:rsid w:val="3E720333"/>
    <w:rsid w:val="40AE4CCE"/>
    <w:rsid w:val="41F05C62"/>
    <w:rsid w:val="42813C71"/>
    <w:rsid w:val="42A52AC8"/>
    <w:rsid w:val="43052E26"/>
    <w:rsid w:val="43217257"/>
    <w:rsid w:val="435D321A"/>
    <w:rsid w:val="44584D0D"/>
    <w:rsid w:val="456048F1"/>
    <w:rsid w:val="485C0EA7"/>
    <w:rsid w:val="4B025F36"/>
    <w:rsid w:val="4B682DF9"/>
    <w:rsid w:val="4BBA3A6F"/>
    <w:rsid w:val="4C753FD3"/>
    <w:rsid w:val="4D8B148F"/>
    <w:rsid w:val="4DA07E88"/>
    <w:rsid w:val="4E3142E2"/>
    <w:rsid w:val="4F0B449F"/>
    <w:rsid w:val="4FB304EB"/>
    <w:rsid w:val="507F6374"/>
    <w:rsid w:val="52615103"/>
    <w:rsid w:val="5293583A"/>
    <w:rsid w:val="52A72B76"/>
    <w:rsid w:val="53701D6C"/>
    <w:rsid w:val="54BC1D8E"/>
    <w:rsid w:val="566A1EF4"/>
    <w:rsid w:val="56C54E76"/>
    <w:rsid w:val="576D0F4D"/>
    <w:rsid w:val="58446ED5"/>
    <w:rsid w:val="58624018"/>
    <w:rsid w:val="58A8488D"/>
    <w:rsid w:val="593E413F"/>
    <w:rsid w:val="5A986635"/>
    <w:rsid w:val="5E0735C3"/>
    <w:rsid w:val="60517676"/>
    <w:rsid w:val="60B81034"/>
    <w:rsid w:val="63033BC1"/>
    <w:rsid w:val="637A638D"/>
    <w:rsid w:val="64193710"/>
    <w:rsid w:val="65F44FF0"/>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Plain Text"/>
    <w:basedOn w:val="1"/>
    <w:link w:val="21"/>
    <w:unhideWhenUsed/>
    <w:qFormat/>
    <w:uiPriority w:val="99"/>
    <w:rPr>
      <w:rFonts w:ascii="宋体" w:hAnsi="Courier New" w:eastAsia="宋体" w:cs="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二级条标题"/>
    <w:basedOn w:val="17"/>
    <w:next w:val="18"/>
    <w:qFormat/>
    <w:uiPriority w:val="0"/>
    <w:pPr>
      <w:numPr>
        <w:ilvl w:val="2"/>
      </w:numPr>
      <w:spacing w:before="50" w:after="50"/>
      <w:outlineLvl w:val="3"/>
    </w:pPr>
  </w:style>
  <w:style w:type="paragraph" w:customStyle="1" w:styleId="17">
    <w:name w:val="一级条标题"/>
    <w:next w:val="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20">
    <w:name w:val="f101"/>
    <w:qFormat/>
    <w:uiPriority w:val="99"/>
    <w:rPr>
      <w:sz w:val="24"/>
      <w:szCs w:val="24"/>
    </w:rPr>
  </w:style>
  <w:style w:type="character" w:customStyle="1" w:styleId="21">
    <w:name w:val="纯文本 字符"/>
    <w:basedOn w:val="11"/>
    <w:link w:val="3"/>
    <w:qFormat/>
    <w:uiPriority w:val="99"/>
    <w:rPr>
      <w:rFonts w:ascii="宋体" w:hAnsi="Courier New" w:cs="Courier New"/>
      <w:kern w:val="2"/>
      <w:sz w:val="21"/>
      <w:szCs w:val="21"/>
    </w:rPr>
  </w:style>
  <w:style w:type="character" w:customStyle="1" w:styleId="22">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8"/>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73581-0315-469A-AC1F-4F6DE4523C8E}">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12</Pages>
  <Words>5057</Words>
  <Characters>5473</Characters>
  <Lines>40</Lines>
  <Paragraphs>11</Paragraphs>
  <TotalTime>14</TotalTime>
  <ScaleCrop>false</ScaleCrop>
  <LinksUpToDate>false</LinksUpToDate>
  <CharactersWithSpaces>5514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太极箫客</cp:lastModifiedBy>
  <cp:lastPrinted>2021-10-08T01:24:00Z</cp:lastPrinted>
  <dcterms:modified xsi:type="dcterms:W3CDTF">2025-08-14T06:37:34Z</dcterms:modified>
  <cp:revision>1286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C4F089F4B5F3431C85D851E856D943EB</vt:lpwstr>
  </property>
  <property fmtid="{D5CDD505-2E9C-101B-9397-08002B2CF9AE}" pid="4" name="KSOTemplateDocerSaveRecord">
    <vt:lpwstr>eyJoZGlkIjoiMDJiMzI3ODBiNTFmMWRjNDUyMjM1ZmZjODY5NDc2MWMiLCJ1c2VySWQiOiI0NTQ4Nzg1NzAifQ==</vt:lpwstr>
  </property>
</Properties>
</file>