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4581">
      <w:pPr>
        <w:spacing w:line="560" w:lineRule="exact"/>
        <w:rPr>
          <w:rFonts w:hint="eastAsia" w:eastAsia="黑体" w:cs="黑体"/>
          <w:sz w:val="32"/>
          <w:szCs w:val="32"/>
        </w:rPr>
      </w:pPr>
      <w:bookmarkStart w:id="0" w:name="_GoBack"/>
      <w:bookmarkEnd w:id="0"/>
      <w:r>
        <w:rPr>
          <w:rFonts w:hint="eastAsia" w:ascii="黑体" w:hAnsi="黑体" w:eastAsia="黑体" w:cs="黑体"/>
          <w:sz w:val="32"/>
          <w:szCs w:val="32"/>
        </w:rPr>
        <w:t>附件7</w:t>
      </w:r>
    </w:p>
    <w:p w14:paraId="0A8BFA3D">
      <w:pPr>
        <w:spacing w:line="560" w:lineRule="exact"/>
        <w:jc w:val="center"/>
        <w:rPr>
          <w:rFonts w:hint="eastAsia" w:eastAsia="黑体" w:cs="黑体"/>
          <w:sz w:val="32"/>
          <w:szCs w:val="32"/>
        </w:rPr>
      </w:pPr>
    </w:p>
    <w:p w14:paraId="7E1227E3">
      <w:pPr>
        <w:spacing w:line="560" w:lineRule="exact"/>
        <w:jc w:val="center"/>
        <w:rPr>
          <w:rFonts w:hint="eastAsia" w:eastAsia="方正小标宋简体"/>
          <w:color w:val="000000"/>
          <w:sz w:val="44"/>
          <w:szCs w:val="44"/>
        </w:rPr>
      </w:pPr>
      <w:r>
        <w:rPr>
          <w:rFonts w:hint="eastAsia" w:eastAsia="方正小标宋简体"/>
          <w:color w:val="000000"/>
          <w:sz w:val="44"/>
          <w:szCs w:val="44"/>
        </w:rPr>
        <w:t>包皮切割吻合器注册审查指导原则</w:t>
      </w:r>
    </w:p>
    <w:p w14:paraId="44F97349">
      <w:pPr>
        <w:spacing w:line="560" w:lineRule="exact"/>
        <w:jc w:val="center"/>
        <w:rPr>
          <w:rFonts w:hint="eastAsia" w:eastAsia="方正小标宋简体"/>
          <w:color w:val="000000"/>
          <w:sz w:val="44"/>
          <w:szCs w:val="44"/>
        </w:rPr>
      </w:pPr>
    </w:p>
    <w:p w14:paraId="4621C4E2">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本指导原则旨在指导注册申请人对包皮切割吻合器注册申报的准备及撰写，同时也为技术审评部门提供参考。</w:t>
      </w:r>
    </w:p>
    <w:p w14:paraId="7AB8C758">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本指导原则是对包皮切割吻合器产品注册申报资料的一般要求，申请人应依据具体产品特性确定其中内容是否适用，若不适用，需具体阐述理由及相应的科学依据，并依据产品具体特性对注册申报资料的内容进行充实和细化。</w:t>
      </w:r>
    </w:p>
    <w:p w14:paraId="41FA875A">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9C1D2F6">
      <w:pPr>
        <w:spacing w:line="560" w:lineRule="exact"/>
        <w:ind w:firstLine="640" w:firstLineChars="200"/>
        <w:rPr>
          <w:rFonts w:eastAsia="仿宋"/>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本指导原则是在现行法规和标准体系以及当前认知水平下制定，随着法规和标准的不断完善，以及科学技术的不断发展，相关内容也将适时进行调整</w:t>
      </w:r>
      <w:r>
        <w:rPr>
          <w:rFonts w:eastAsia="仿宋"/>
          <w:sz w:val="32"/>
          <w:szCs w:val="32"/>
        </w:rPr>
        <w:t>。</w:t>
      </w:r>
    </w:p>
    <w:p w14:paraId="680CC1C3">
      <w:pPr>
        <w:tabs>
          <w:tab w:val="center" w:pos="4473"/>
        </w:tabs>
        <w:spacing w:line="560" w:lineRule="exact"/>
        <w:ind w:firstLine="640" w:firstLineChars="200"/>
        <w:outlineLvl w:val="0"/>
        <w:rPr>
          <w:rFonts w:eastAsia="黑体"/>
          <w:bCs/>
          <w:color w:val="000000"/>
          <w:sz w:val="32"/>
          <w:szCs w:val="32"/>
        </w:rPr>
      </w:pPr>
      <w:r>
        <w:rPr>
          <w:rFonts w:eastAsia="黑体"/>
          <w:bCs/>
          <w:color w:val="000000"/>
          <w:sz w:val="32"/>
          <w:szCs w:val="32"/>
        </w:rPr>
        <w:t>一、适用范围</w:t>
      </w:r>
    </w:p>
    <w:p w14:paraId="24AEE8B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本指导原则所涉及的包皮切割吻合器适用于临床包皮切割缝合手术，为一次性使用。</w:t>
      </w:r>
    </w:p>
    <w:p w14:paraId="02CA62E3">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重复使用的包皮切割吻合器不包含在本指导原则内，可酌情参考本指导原则。</w:t>
      </w:r>
    </w:p>
    <w:p w14:paraId="63E085D8">
      <w:pPr>
        <w:tabs>
          <w:tab w:val="center" w:pos="4473"/>
        </w:tabs>
        <w:spacing w:line="520" w:lineRule="exact"/>
        <w:ind w:firstLine="640" w:firstLineChars="200"/>
        <w:outlineLvl w:val="0"/>
        <w:rPr>
          <w:rFonts w:eastAsia="黑体"/>
          <w:bCs/>
          <w:color w:val="000000"/>
          <w:sz w:val="32"/>
          <w:szCs w:val="32"/>
        </w:rPr>
      </w:pPr>
      <w:r>
        <w:rPr>
          <w:rFonts w:eastAsia="黑体"/>
          <w:bCs/>
          <w:color w:val="000000"/>
          <w:sz w:val="32"/>
          <w:szCs w:val="32"/>
        </w:rPr>
        <w:t>二、</w:t>
      </w:r>
      <w:r>
        <w:rPr>
          <w:rFonts w:hint="eastAsia" w:eastAsia="黑体"/>
          <w:bCs/>
          <w:color w:val="000000"/>
          <w:sz w:val="32"/>
          <w:szCs w:val="32"/>
        </w:rPr>
        <w:t>注册</w:t>
      </w:r>
      <w:r>
        <w:rPr>
          <w:rFonts w:eastAsia="黑体"/>
          <w:bCs/>
          <w:color w:val="000000"/>
          <w:sz w:val="32"/>
          <w:szCs w:val="32"/>
        </w:rPr>
        <w:t>审查要点</w:t>
      </w:r>
    </w:p>
    <w:p w14:paraId="02369C22">
      <w:pPr>
        <w:spacing w:line="520" w:lineRule="exact"/>
        <w:ind w:right="-67" w:rightChars="-32" w:firstLine="640" w:firstLineChars="200"/>
        <w:outlineLvl w:val="1"/>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监管信息</w:t>
      </w:r>
      <w:r>
        <w:rPr>
          <w:rFonts w:eastAsia="楷体_GB2312"/>
          <w:color w:val="000000"/>
          <w:sz w:val="32"/>
          <w:szCs w:val="32"/>
        </w:rPr>
        <w:t xml:space="preserve">  </w:t>
      </w:r>
    </w:p>
    <w:p w14:paraId="6C11CC3C">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1.申请表</w:t>
      </w:r>
    </w:p>
    <w:p w14:paraId="3E6832DE">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1.1产品命名应符合《医疗器械通用名称命名规则》和国家标准、行业标准中的通用名称要求，如：包皮切割吻合器，一次性使用包皮切割吻合器、一次性包皮环切吻合器。</w:t>
      </w:r>
    </w:p>
    <w:p w14:paraId="06CC8812">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1.2根据《医疗器械分类目录》，分类编码为02（无源手术器械）-13（手术器械-吻（缝）合器械及材料）-01（吻合器（带钉））。</w:t>
      </w:r>
    </w:p>
    <w:p w14:paraId="3788769A">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1.3注册单元的划分应参照《总局关于发布医疗器械注册单元划分指导原则的通告》，以产品的技术原理、结构组成、性能指标和适用范围等因素为划分依据。</w:t>
      </w:r>
    </w:p>
    <w:p w14:paraId="15CBD2F1">
      <w:pPr>
        <w:spacing w:line="540" w:lineRule="exact"/>
        <w:ind w:firstLine="640" w:firstLineChars="200"/>
        <w:rPr>
          <w:rFonts w:hint="eastAsia" w:eastAsia="仿宋"/>
          <w:color w:val="000000"/>
          <w:sz w:val="32"/>
          <w:szCs w:val="32"/>
        </w:rPr>
      </w:pPr>
      <w:r>
        <w:rPr>
          <w:rFonts w:hint="eastAsia" w:eastAsia="仿宋_GB2312"/>
          <w:color w:val="000000"/>
          <w:sz w:val="32"/>
          <w:szCs w:val="32"/>
        </w:rPr>
        <w:t>例如：剪刀式和枪式包皮切割吻合器可作为同一注册单元</w:t>
      </w:r>
      <w:r>
        <w:rPr>
          <w:rFonts w:hint="eastAsia" w:eastAsia="仿宋"/>
          <w:color w:val="000000"/>
          <w:sz w:val="32"/>
          <w:szCs w:val="32"/>
        </w:rPr>
        <w:t>。</w:t>
      </w:r>
    </w:p>
    <w:p w14:paraId="306D0DEE">
      <w:pPr>
        <w:spacing w:line="540" w:lineRule="exact"/>
        <w:ind w:firstLine="640" w:firstLineChars="200"/>
        <w:rPr>
          <w:rFonts w:eastAsia="仿宋"/>
          <w:color w:val="000000"/>
          <w:kern w:val="0"/>
          <w:sz w:val="32"/>
          <w:szCs w:val="32"/>
        </w:rPr>
      </w:pPr>
      <w:r>
        <w:rPr>
          <w:rFonts w:hint="eastAsia" w:eastAsia="仿宋_GB2312"/>
          <w:color w:val="000000"/>
          <w:sz w:val="32"/>
          <w:szCs w:val="32"/>
        </w:rPr>
        <w:t>1.4</w:t>
      </w:r>
      <w:r>
        <w:rPr>
          <w:rFonts w:eastAsia="仿宋_GB2312"/>
          <w:color w:val="000000"/>
          <w:sz w:val="32"/>
          <w:szCs w:val="32"/>
        </w:rPr>
        <w:t>同一注册单元内</w:t>
      </w:r>
      <w:r>
        <w:rPr>
          <w:rFonts w:hint="eastAsia" w:eastAsia="仿宋_GB2312"/>
          <w:color w:val="000000"/>
          <w:sz w:val="32"/>
          <w:szCs w:val="32"/>
        </w:rPr>
        <w:t>，</w:t>
      </w:r>
      <w:r>
        <w:rPr>
          <w:rFonts w:eastAsia="仿宋_GB2312"/>
          <w:color w:val="000000"/>
          <w:sz w:val="32"/>
          <w:szCs w:val="32"/>
        </w:rPr>
        <w:t>选取典型产品进行检验。典型产品是指</w:t>
      </w:r>
      <w:r>
        <w:rPr>
          <w:rFonts w:hint="eastAsia" w:eastAsia="仿宋_GB2312"/>
          <w:color w:val="000000"/>
          <w:sz w:val="32"/>
          <w:szCs w:val="32"/>
        </w:rPr>
        <w:t>其检验结果</w:t>
      </w:r>
      <w:r>
        <w:rPr>
          <w:rFonts w:eastAsia="仿宋_GB2312"/>
          <w:color w:val="000000"/>
          <w:sz w:val="32"/>
          <w:szCs w:val="32"/>
        </w:rPr>
        <w:t>能够涵盖本注册单元内全部型号规格的一个或多个产品</w:t>
      </w:r>
      <w:r>
        <w:rPr>
          <w:rFonts w:eastAsia="仿宋"/>
          <w:color w:val="000000"/>
          <w:kern w:val="0"/>
          <w:sz w:val="32"/>
          <w:szCs w:val="32"/>
        </w:rPr>
        <w:t>。</w:t>
      </w:r>
    </w:p>
    <w:p w14:paraId="4F31C8EB">
      <w:pPr>
        <w:spacing w:line="540" w:lineRule="exact"/>
        <w:ind w:firstLine="640" w:firstLineChars="200"/>
        <w:rPr>
          <w:rFonts w:eastAsia="仿宋_GB2312"/>
          <w:color w:val="000000"/>
          <w:sz w:val="32"/>
          <w:szCs w:val="32"/>
        </w:rPr>
      </w:pPr>
      <w:r>
        <w:rPr>
          <w:rFonts w:eastAsia="仿宋_GB2312"/>
          <w:color w:val="000000"/>
          <w:sz w:val="32"/>
          <w:szCs w:val="32"/>
        </w:rPr>
        <w:t>按照</w:t>
      </w:r>
      <w:r>
        <w:rPr>
          <w:rFonts w:hint="eastAsia" w:eastAsia="仿宋_GB2312"/>
          <w:color w:val="000000"/>
          <w:sz w:val="32"/>
          <w:szCs w:val="32"/>
        </w:rPr>
        <w:t>“</w:t>
      </w:r>
      <w:r>
        <w:rPr>
          <w:rFonts w:eastAsia="仿宋_GB2312"/>
          <w:color w:val="000000"/>
          <w:sz w:val="32"/>
          <w:szCs w:val="32"/>
        </w:rPr>
        <w:t>同一注册单元内，所检测的产品应当是能够代表本注册单元内其他产品安全性和有效性的典型产品</w:t>
      </w:r>
      <w:r>
        <w:rPr>
          <w:rFonts w:hint="eastAsia" w:eastAsia="仿宋_GB2312"/>
          <w:color w:val="000000"/>
          <w:sz w:val="32"/>
          <w:szCs w:val="32"/>
        </w:rPr>
        <w:t>”</w:t>
      </w:r>
      <w:r>
        <w:rPr>
          <w:rFonts w:eastAsia="仿宋_GB2312"/>
          <w:color w:val="000000"/>
          <w:sz w:val="32"/>
          <w:szCs w:val="32"/>
        </w:rPr>
        <w:t>的原则，抽取样品应能涵盖该注册单元</w:t>
      </w:r>
      <w:r>
        <w:rPr>
          <w:rFonts w:hint="eastAsia" w:eastAsia="仿宋_GB2312"/>
          <w:color w:val="000000"/>
          <w:sz w:val="32"/>
          <w:szCs w:val="32"/>
        </w:rPr>
        <w:t>全部</w:t>
      </w:r>
      <w:r>
        <w:rPr>
          <w:rFonts w:eastAsia="仿宋_GB2312"/>
          <w:color w:val="000000"/>
          <w:sz w:val="32"/>
          <w:szCs w:val="32"/>
        </w:rPr>
        <w:t>产品的</w:t>
      </w:r>
      <w:r>
        <w:rPr>
          <w:rFonts w:hint="eastAsia" w:eastAsia="仿宋_GB2312"/>
          <w:color w:val="000000"/>
          <w:sz w:val="32"/>
          <w:szCs w:val="32"/>
        </w:rPr>
        <w:t>性能指标</w:t>
      </w:r>
      <w:r>
        <w:rPr>
          <w:rFonts w:eastAsia="仿宋_GB2312"/>
          <w:color w:val="000000"/>
          <w:sz w:val="32"/>
          <w:szCs w:val="32"/>
        </w:rPr>
        <w:t>。</w:t>
      </w:r>
    </w:p>
    <w:p w14:paraId="3E87F7F9">
      <w:pPr>
        <w:spacing w:line="540" w:lineRule="exact"/>
        <w:ind w:firstLine="640" w:firstLineChars="200"/>
        <w:rPr>
          <w:rFonts w:hint="eastAsia" w:eastAsia="仿宋"/>
          <w:color w:val="000000"/>
          <w:sz w:val="32"/>
          <w:szCs w:val="32"/>
        </w:rPr>
      </w:pPr>
      <w:r>
        <w:rPr>
          <w:rFonts w:hint="eastAsia" w:eastAsia="仿宋_GB2312"/>
          <w:color w:val="000000"/>
          <w:sz w:val="32"/>
          <w:szCs w:val="32"/>
        </w:rPr>
        <w:t>组成材料、结构、性能等具有差异的产品，建议分别选取典型性型号，进行差异性检验。例如：吻合钉材料不同，</w:t>
      </w:r>
      <w:r>
        <w:rPr>
          <w:rFonts w:eastAsia="仿宋_GB2312"/>
          <w:color w:val="000000"/>
          <w:sz w:val="32"/>
          <w:szCs w:val="32"/>
        </w:rPr>
        <w:t>如钛与不锈钢</w:t>
      </w:r>
      <w:r>
        <w:rPr>
          <w:rFonts w:hint="eastAsia" w:eastAsia="仿宋_GB2312"/>
          <w:color w:val="000000"/>
          <w:sz w:val="32"/>
          <w:szCs w:val="32"/>
        </w:rPr>
        <w:t>，</w:t>
      </w:r>
      <w:r>
        <w:rPr>
          <w:rFonts w:eastAsia="仿宋_GB2312"/>
          <w:color w:val="000000"/>
          <w:sz w:val="32"/>
          <w:szCs w:val="32"/>
        </w:rPr>
        <w:t>应分别在选择同种材料的产品中确定典型产品</w:t>
      </w:r>
      <w:r>
        <w:rPr>
          <w:rFonts w:hint="eastAsia" w:eastAsia="仿宋_GB2312"/>
          <w:color w:val="000000"/>
          <w:sz w:val="32"/>
          <w:szCs w:val="32"/>
        </w:rPr>
        <w:t>进行检验</w:t>
      </w:r>
      <w:r>
        <w:rPr>
          <w:rFonts w:hint="eastAsia" w:eastAsia="仿宋"/>
          <w:color w:val="000000"/>
          <w:kern w:val="0"/>
          <w:sz w:val="32"/>
          <w:szCs w:val="32"/>
        </w:rPr>
        <w:t>。</w:t>
      </w:r>
    </w:p>
    <w:p w14:paraId="15FE174D">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2.产品列表</w:t>
      </w:r>
    </w:p>
    <w:p w14:paraId="6A7A2C39">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以表格形式列出包皮切割吻合器的型号、规格、结构及组成、附件，以及每个型号规格的标识（如型号或部件的编号，器械唯一标识等）和描述说明（如尺寸、材质等）。</w:t>
      </w:r>
    </w:p>
    <w:p w14:paraId="24443A81">
      <w:pPr>
        <w:spacing w:line="540" w:lineRule="exact"/>
        <w:ind w:firstLine="640" w:firstLineChars="200"/>
        <w:rPr>
          <w:rFonts w:hint="eastAsia" w:eastAsia="仿宋_GB2312"/>
          <w:sz w:val="32"/>
          <w:szCs w:val="32"/>
        </w:rPr>
      </w:pPr>
      <w:r>
        <w:rPr>
          <w:rFonts w:hint="eastAsia" w:eastAsia="仿宋_GB2312"/>
          <w:color w:val="000000"/>
          <w:sz w:val="32"/>
          <w:szCs w:val="32"/>
        </w:rPr>
        <w:t>3.既往沟通记录</w:t>
      </w:r>
    </w:p>
    <w:p w14:paraId="4F2C59C8">
      <w:pPr>
        <w:spacing w:line="540" w:lineRule="exact"/>
        <w:ind w:firstLine="640" w:firstLineChars="200"/>
        <w:rPr>
          <w:rFonts w:hint="eastAsia" w:eastAsia="仿宋_GB2312"/>
          <w:sz w:val="32"/>
          <w:szCs w:val="32"/>
        </w:rPr>
      </w:pPr>
      <w:r>
        <w:rPr>
          <w:rFonts w:hint="eastAsia" w:eastAsia="仿宋_GB2312"/>
          <w:sz w:val="32"/>
          <w:szCs w:val="32"/>
        </w:rPr>
        <w:t>3.1在产品申报前，如果申请人与监管机构针对</w:t>
      </w:r>
      <w:r>
        <w:rPr>
          <w:rFonts w:hint="eastAsia" w:eastAsia="仿宋_GB2312"/>
          <w:color w:val="000000"/>
          <w:sz w:val="32"/>
          <w:szCs w:val="32"/>
        </w:rPr>
        <w:t>包皮切割吻合器</w:t>
      </w:r>
      <w:r>
        <w:rPr>
          <w:rFonts w:hint="eastAsia" w:eastAsia="仿宋_GB2312"/>
          <w:sz w:val="32"/>
          <w:szCs w:val="32"/>
        </w:rPr>
        <w:t>以会议形式进行了沟通，或者</w:t>
      </w:r>
      <w:r>
        <w:rPr>
          <w:rFonts w:hint="eastAsia" w:eastAsia="仿宋_GB2312"/>
          <w:color w:val="000000"/>
          <w:sz w:val="32"/>
          <w:szCs w:val="32"/>
        </w:rPr>
        <w:t>包皮切割吻合器</w:t>
      </w:r>
      <w:r>
        <w:rPr>
          <w:rFonts w:hint="eastAsia" w:eastAsia="仿宋_GB2312"/>
          <w:sz w:val="32"/>
          <w:szCs w:val="32"/>
        </w:rPr>
        <w:t>与既往注册申报相关。应当提供下列内容（如适用）：</w:t>
      </w:r>
    </w:p>
    <w:p w14:paraId="13D11F8A">
      <w:pPr>
        <w:spacing w:line="580" w:lineRule="exact"/>
        <w:ind w:firstLine="640" w:firstLineChars="200"/>
        <w:rPr>
          <w:rFonts w:hint="eastAsia" w:eastAsia="仿宋_GB2312"/>
          <w:sz w:val="32"/>
          <w:szCs w:val="32"/>
        </w:rPr>
      </w:pPr>
      <w:r>
        <w:rPr>
          <w:rFonts w:hint="eastAsia" w:eastAsia="仿宋_GB2312"/>
          <w:sz w:val="32"/>
          <w:szCs w:val="32"/>
        </w:rPr>
        <w:t>3.1.1列出监管机构回复的申报前沟通。</w:t>
      </w:r>
    </w:p>
    <w:p w14:paraId="5D8C4D1C">
      <w:pPr>
        <w:spacing w:line="580" w:lineRule="exact"/>
        <w:ind w:firstLine="640" w:firstLineChars="200"/>
        <w:rPr>
          <w:rFonts w:hint="eastAsia" w:eastAsia="仿宋_GB2312"/>
          <w:sz w:val="32"/>
          <w:szCs w:val="32"/>
        </w:rPr>
      </w:pPr>
      <w:r>
        <w:rPr>
          <w:rFonts w:hint="eastAsia" w:eastAsia="仿宋_GB2312"/>
          <w:sz w:val="32"/>
          <w:szCs w:val="32"/>
        </w:rPr>
        <w:t>3.1.2既往注册申报产品的受理号。</w:t>
      </w:r>
    </w:p>
    <w:p w14:paraId="70B35871">
      <w:pPr>
        <w:spacing w:line="580" w:lineRule="exact"/>
        <w:ind w:firstLine="640" w:firstLineChars="200"/>
        <w:rPr>
          <w:rFonts w:hint="eastAsia" w:eastAsia="仿宋_GB2312"/>
          <w:sz w:val="32"/>
          <w:szCs w:val="32"/>
        </w:rPr>
      </w:pPr>
      <w:r>
        <w:rPr>
          <w:rFonts w:hint="eastAsia" w:eastAsia="仿宋_GB2312"/>
          <w:sz w:val="32"/>
          <w:szCs w:val="32"/>
        </w:rPr>
        <w:t>3.1.3既往申报前沟通的相关资料，如既往申报会议前提交的信息、会议议程、演示幻灯片、最终的会议纪要、会议中待办事项的回复，以及所有与申请相关的电子邮件。</w:t>
      </w:r>
    </w:p>
    <w:p w14:paraId="06C635FF">
      <w:pPr>
        <w:spacing w:line="580" w:lineRule="exact"/>
        <w:ind w:firstLine="640" w:firstLineChars="200"/>
        <w:rPr>
          <w:rFonts w:hint="eastAsia" w:eastAsia="仿宋_GB2312"/>
          <w:sz w:val="32"/>
          <w:szCs w:val="32"/>
        </w:rPr>
      </w:pPr>
      <w:r>
        <w:rPr>
          <w:rFonts w:hint="eastAsia" w:eastAsia="仿宋_GB2312"/>
          <w:sz w:val="32"/>
          <w:szCs w:val="32"/>
        </w:rPr>
        <w:t>3.1.4既往申报（如自行撤销/不予注册上市申请、临床试验审批申请等）中监管机构已明确的相关问题。</w:t>
      </w:r>
    </w:p>
    <w:p w14:paraId="2E0C2889">
      <w:pPr>
        <w:spacing w:line="580" w:lineRule="exact"/>
        <w:ind w:firstLine="640" w:firstLineChars="200"/>
        <w:rPr>
          <w:rFonts w:hint="eastAsia" w:eastAsia="仿宋_GB2312"/>
          <w:sz w:val="32"/>
          <w:szCs w:val="32"/>
        </w:rPr>
      </w:pPr>
      <w:r>
        <w:rPr>
          <w:rFonts w:hint="eastAsia" w:eastAsia="仿宋_GB2312"/>
          <w:sz w:val="32"/>
          <w:szCs w:val="32"/>
        </w:rPr>
        <w:t>3.1.5在申报前沟通中，申请人明确提出的问题，以及监管机构提供的建议。</w:t>
      </w:r>
    </w:p>
    <w:p w14:paraId="72956078">
      <w:pPr>
        <w:spacing w:line="580" w:lineRule="exact"/>
        <w:ind w:firstLine="640" w:firstLineChars="200"/>
        <w:rPr>
          <w:rFonts w:hint="eastAsia" w:eastAsia="仿宋_GB2312"/>
          <w:sz w:val="32"/>
          <w:szCs w:val="32"/>
        </w:rPr>
      </w:pPr>
      <w:r>
        <w:rPr>
          <w:rFonts w:hint="eastAsia" w:eastAsia="仿宋_GB2312"/>
          <w:sz w:val="32"/>
          <w:szCs w:val="32"/>
        </w:rPr>
        <w:t>3.1.6说明在本次申报中如何解决上述问题。</w:t>
      </w:r>
    </w:p>
    <w:p w14:paraId="4E0A1D3A">
      <w:pPr>
        <w:spacing w:line="580" w:lineRule="exact"/>
        <w:ind w:firstLine="640" w:firstLineChars="200"/>
        <w:rPr>
          <w:rFonts w:hint="eastAsia" w:eastAsia="仿宋_GB2312"/>
          <w:sz w:val="32"/>
          <w:szCs w:val="32"/>
        </w:rPr>
      </w:pPr>
      <w:r>
        <w:rPr>
          <w:rFonts w:hint="eastAsia" w:eastAsia="仿宋_GB2312"/>
          <w:sz w:val="32"/>
          <w:szCs w:val="32"/>
        </w:rPr>
        <w:t>3.2如不适用，应当明确声明</w:t>
      </w:r>
      <w:r>
        <w:rPr>
          <w:rFonts w:hint="eastAsia" w:eastAsia="仿宋_GB2312"/>
          <w:color w:val="000000"/>
          <w:sz w:val="32"/>
          <w:szCs w:val="32"/>
        </w:rPr>
        <w:t>包皮切割吻合器</w:t>
      </w:r>
      <w:r>
        <w:rPr>
          <w:rFonts w:hint="eastAsia" w:eastAsia="仿宋_GB2312"/>
          <w:sz w:val="32"/>
          <w:szCs w:val="32"/>
        </w:rPr>
        <w:t>没有既往申报和/或申报前沟通。</w:t>
      </w:r>
    </w:p>
    <w:p w14:paraId="592A7D34">
      <w:pPr>
        <w:spacing w:line="580" w:lineRule="exact"/>
        <w:ind w:firstLine="640" w:firstLineChars="200"/>
        <w:rPr>
          <w:rFonts w:hint="eastAsia" w:eastAsia="仿宋_GB2312"/>
          <w:color w:val="000000"/>
          <w:sz w:val="32"/>
          <w:szCs w:val="32"/>
        </w:rPr>
      </w:pPr>
      <w:r>
        <w:rPr>
          <w:rFonts w:eastAsia="仿宋_GB2312"/>
          <w:color w:val="000000"/>
          <w:sz w:val="32"/>
          <w:szCs w:val="32"/>
        </w:rPr>
        <w:t>4.主</w:t>
      </w:r>
      <w:r>
        <w:rPr>
          <w:rFonts w:hint="eastAsia" w:eastAsia="仿宋_GB2312"/>
          <w:color w:val="000000"/>
          <w:sz w:val="32"/>
          <w:szCs w:val="32"/>
        </w:rPr>
        <w:t>文档授权信以及其它管理信息等</w:t>
      </w:r>
      <w:r>
        <w:rPr>
          <w:rFonts w:hint="eastAsia" w:eastAsia="仿宋_GB2312"/>
          <w:sz w:val="32"/>
          <w:szCs w:val="32"/>
        </w:rPr>
        <w:t>（如</w:t>
      </w:r>
      <w:r>
        <w:rPr>
          <w:rFonts w:eastAsia="仿宋_GB2312"/>
          <w:sz w:val="32"/>
          <w:szCs w:val="32"/>
        </w:rPr>
        <w:t>适用</w:t>
      </w:r>
      <w:r>
        <w:rPr>
          <w:rFonts w:hint="eastAsia" w:eastAsia="仿宋_GB2312"/>
          <w:sz w:val="32"/>
          <w:szCs w:val="32"/>
        </w:rPr>
        <w:t>）</w:t>
      </w:r>
    </w:p>
    <w:p w14:paraId="47E71F58">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746A13E2">
      <w:pPr>
        <w:spacing w:line="580" w:lineRule="exact"/>
        <w:ind w:right="-67" w:rightChars="-32" w:firstLine="640" w:firstLineChars="200"/>
        <w:outlineLvl w:val="1"/>
        <w:rPr>
          <w:rFonts w:eastAsia="楷体_GB2312"/>
          <w:color w:val="000000"/>
          <w:sz w:val="32"/>
          <w:szCs w:val="32"/>
        </w:rPr>
      </w:pPr>
      <w:r>
        <w:rPr>
          <w:rFonts w:eastAsia="楷体_GB2312"/>
          <w:color w:val="000000"/>
          <w:sz w:val="32"/>
          <w:szCs w:val="32"/>
        </w:rPr>
        <w:t>（二）</w:t>
      </w:r>
      <w:r>
        <w:rPr>
          <w:rFonts w:hint="eastAsia" w:eastAsia="楷体_GB2312"/>
          <w:color w:val="000000"/>
          <w:sz w:val="32"/>
          <w:szCs w:val="32"/>
        </w:rPr>
        <w:t>综述资料</w:t>
      </w:r>
    </w:p>
    <w:p w14:paraId="311FC9A3">
      <w:pPr>
        <w:spacing w:line="580" w:lineRule="exact"/>
        <w:ind w:firstLine="636" w:firstLineChars="200"/>
        <w:rPr>
          <w:rFonts w:hint="eastAsia" w:eastAsia="仿宋_GB2312"/>
          <w:color w:val="000000"/>
          <w:spacing w:val="-1"/>
          <w:sz w:val="32"/>
          <w:szCs w:val="32"/>
        </w:rPr>
      </w:pPr>
      <w:r>
        <w:rPr>
          <w:rFonts w:hint="eastAsia" w:eastAsia="仿宋_GB2312"/>
          <w:color w:val="000000"/>
          <w:spacing w:val="-1"/>
          <w:sz w:val="32"/>
          <w:szCs w:val="32"/>
        </w:rPr>
        <w:t>1.器械组成</w:t>
      </w:r>
    </w:p>
    <w:p w14:paraId="498E8FB3">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包皮切割吻合器通常由龟头罩、抵钉座、钉仓盖、钉仓、手柄、保险扣、调节旋钮、吻合钉、环形切割刀、推钉片等组成，可配有扎带等配件。部分产品中包含吻合钉垫圈。产品以无菌形式提供，一次性使用。在结构及组成中至少应明确与人体接触的组件的材质。</w:t>
      </w:r>
    </w:p>
    <w:p w14:paraId="7A9885BA">
      <w:pPr>
        <w:spacing w:line="520" w:lineRule="exact"/>
        <w:ind w:firstLine="640" w:firstLineChars="200"/>
        <w:rPr>
          <w:rFonts w:eastAsia="仿宋"/>
          <w:color w:val="000000"/>
          <w:sz w:val="32"/>
          <w:szCs w:val="32"/>
        </w:rPr>
      </w:pPr>
      <w:r>
        <w:rPr>
          <w:rFonts w:hint="eastAsia" w:eastAsia="仿宋_GB2312"/>
          <w:color w:val="000000"/>
          <w:sz w:val="32"/>
          <w:szCs w:val="32"/>
        </w:rPr>
        <w:drawing>
          <wp:anchor distT="0" distB="0" distL="114300" distR="114300" simplePos="0" relativeHeight="251659264" behindDoc="0" locked="0" layoutInCell="1" allowOverlap="1">
            <wp:simplePos x="0" y="0"/>
            <wp:positionH relativeFrom="column">
              <wp:align>center</wp:align>
            </wp:positionH>
            <wp:positionV relativeFrom="paragraph">
              <wp:posOffset>461010</wp:posOffset>
            </wp:positionV>
            <wp:extent cx="5217795" cy="2411730"/>
            <wp:effectExtent l="0" t="0" r="1905"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17795" cy="2411730"/>
                    </a:xfrm>
                    <a:prstGeom prst="rect">
                      <a:avLst/>
                    </a:prstGeom>
                    <a:noFill/>
                    <a:ln>
                      <a:noFill/>
                    </a:ln>
                  </pic:spPr>
                </pic:pic>
              </a:graphicData>
            </a:graphic>
          </wp:anchor>
        </w:drawing>
      </w:r>
      <w:r>
        <w:rPr>
          <w:rFonts w:hint="eastAsia" w:eastAsia="仿宋_GB2312"/>
          <w:color w:val="000000"/>
          <w:sz w:val="32"/>
          <w:szCs w:val="32"/>
        </w:rPr>
        <w:t>常见产品的示意图见图1</w:t>
      </w:r>
      <w:r>
        <w:rPr>
          <w:rFonts w:eastAsia="仿宋"/>
          <w:color w:val="000000"/>
          <w:sz w:val="32"/>
          <w:szCs w:val="32"/>
        </w:rPr>
        <w:t>。</w:t>
      </w:r>
    </w:p>
    <w:p w14:paraId="2555F27E">
      <w:pPr>
        <w:spacing w:line="520" w:lineRule="exact"/>
        <w:ind w:firstLine="640" w:firstLineChars="200"/>
        <w:rPr>
          <w:rFonts w:eastAsia="仿宋"/>
          <w:color w:val="000000"/>
          <w:sz w:val="32"/>
          <w:szCs w:val="32"/>
        </w:rPr>
      </w:pPr>
    </w:p>
    <w:p w14:paraId="34F7EC6B">
      <w:pPr>
        <w:spacing w:line="520" w:lineRule="exact"/>
        <w:jc w:val="left"/>
        <w:rPr>
          <w:rFonts w:hint="eastAsia" w:eastAsia="仿宋"/>
          <w:color w:val="000000"/>
          <w:sz w:val="28"/>
          <w:szCs w:val="28"/>
        </w:rPr>
      </w:pPr>
      <w:r>
        <w:rPr>
          <w:rFonts w:hint="eastAsia" w:eastAsia="仿宋"/>
          <w:color w:val="000000"/>
          <w:sz w:val="28"/>
          <w:szCs w:val="28"/>
        </w:rPr>
        <w:t>1.</w:t>
      </w:r>
      <w:r>
        <w:rPr>
          <w:rFonts w:hint="eastAsia" w:eastAsia="仿宋_GB2312"/>
          <w:color w:val="000000"/>
          <w:sz w:val="28"/>
          <w:szCs w:val="28"/>
        </w:rPr>
        <w:t>龟头罩</w:t>
      </w:r>
      <w:r>
        <w:rPr>
          <w:rFonts w:hint="eastAsia" w:eastAsia="仿宋"/>
          <w:color w:val="000000"/>
          <w:sz w:val="28"/>
          <w:szCs w:val="28"/>
        </w:rPr>
        <w:t xml:space="preserve"> 2.</w:t>
      </w:r>
      <w:r>
        <w:rPr>
          <w:rFonts w:hint="eastAsia" w:eastAsia="仿宋_GB2312"/>
          <w:color w:val="000000"/>
          <w:sz w:val="28"/>
          <w:szCs w:val="28"/>
        </w:rPr>
        <w:t>抵钉座</w:t>
      </w:r>
      <w:r>
        <w:rPr>
          <w:rFonts w:hint="eastAsia" w:eastAsia="仿宋"/>
          <w:color w:val="000000"/>
          <w:sz w:val="28"/>
          <w:szCs w:val="28"/>
        </w:rPr>
        <w:t xml:space="preserve"> 3.</w:t>
      </w:r>
      <w:r>
        <w:rPr>
          <w:rFonts w:hint="eastAsia" w:eastAsia="仿宋_GB2312"/>
          <w:color w:val="000000"/>
          <w:sz w:val="28"/>
          <w:szCs w:val="28"/>
        </w:rPr>
        <w:t>钉仓盖</w:t>
      </w:r>
      <w:r>
        <w:rPr>
          <w:rFonts w:hint="eastAsia" w:eastAsia="仿宋"/>
          <w:color w:val="000000"/>
          <w:sz w:val="28"/>
          <w:szCs w:val="28"/>
        </w:rPr>
        <w:t xml:space="preserve"> 4.</w:t>
      </w:r>
      <w:r>
        <w:rPr>
          <w:rFonts w:hint="eastAsia" w:eastAsia="仿宋_GB2312"/>
          <w:color w:val="000000"/>
          <w:sz w:val="28"/>
          <w:szCs w:val="28"/>
        </w:rPr>
        <w:t>吻合钉垫圈</w:t>
      </w:r>
      <w:r>
        <w:rPr>
          <w:rFonts w:hint="eastAsia" w:eastAsia="仿宋"/>
          <w:color w:val="000000"/>
          <w:sz w:val="28"/>
          <w:szCs w:val="28"/>
        </w:rPr>
        <w:t xml:space="preserve"> 5.</w:t>
      </w:r>
      <w:r>
        <w:rPr>
          <w:rFonts w:hint="eastAsia" w:eastAsia="仿宋_GB2312"/>
          <w:color w:val="000000"/>
          <w:sz w:val="28"/>
          <w:szCs w:val="28"/>
        </w:rPr>
        <w:t>钉仓</w:t>
      </w:r>
      <w:r>
        <w:rPr>
          <w:rFonts w:hint="eastAsia" w:eastAsia="仿宋"/>
          <w:color w:val="000000"/>
          <w:sz w:val="28"/>
          <w:szCs w:val="28"/>
        </w:rPr>
        <w:t xml:space="preserve"> 6.</w:t>
      </w:r>
      <w:r>
        <w:rPr>
          <w:rFonts w:hint="eastAsia" w:eastAsia="仿宋_GB2312"/>
          <w:color w:val="000000"/>
          <w:sz w:val="28"/>
          <w:szCs w:val="28"/>
        </w:rPr>
        <w:t>活动手柄</w:t>
      </w:r>
      <w:r>
        <w:rPr>
          <w:rFonts w:hint="eastAsia" w:eastAsia="仿宋"/>
          <w:color w:val="000000"/>
          <w:sz w:val="28"/>
          <w:szCs w:val="28"/>
        </w:rPr>
        <w:t xml:space="preserve"> 7.</w:t>
      </w:r>
      <w:r>
        <w:rPr>
          <w:rFonts w:hint="eastAsia" w:eastAsia="仿宋_GB2312"/>
          <w:color w:val="000000"/>
          <w:sz w:val="28"/>
          <w:szCs w:val="28"/>
        </w:rPr>
        <w:t>保险扣</w:t>
      </w:r>
      <w:r>
        <w:rPr>
          <w:rFonts w:hint="eastAsia" w:eastAsia="仿宋"/>
          <w:color w:val="000000"/>
          <w:sz w:val="28"/>
          <w:szCs w:val="28"/>
        </w:rPr>
        <w:t xml:space="preserve"> 8.</w:t>
      </w:r>
      <w:r>
        <w:rPr>
          <w:rFonts w:hint="eastAsia" w:eastAsia="仿宋_GB2312"/>
          <w:color w:val="000000"/>
          <w:sz w:val="28"/>
          <w:szCs w:val="28"/>
        </w:rPr>
        <w:t>固定手柄</w:t>
      </w:r>
      <w:r>
        <w:rPr>
          <w:rFonts w:hint="eastAsia" w:eastAsia="仿宋"/>
          <w:color w:val="000000"/>
          <w:sz w:val="28"/>
          <w:szCs w:val="28"/>
        </w:rPr>
        <w:t xml:space="preserve"> 9.</w:t>
      </w:r>
      <w:r>
        <w:rPr>
          <w:rFonts w:hint="eastAsia" w:eastAsia="仿宋_GB2312"/>
          <w:color w:val="000000"/>
          <w:sz w:val="28"/>
          <w:szCs w:val="28"/>
        </w:rPr>
        <w:t>调节旋钮</w:t>
      </w:r>
      <w:r>
        <w:rPr>
          <w:rFonts w:hint="eastAsia" w:eastAsia="仿宋"/>
          <w:color w:val="000000"/>
          <w:sz w:val="28"/>
          <w:szCs w:val="28"/>
        </w:rPr>
        <w:t xml:space="preserve"> 10.</w:t>
      </w:r>
      <w:r>
        <w:rPr>
          <w:rFonts w:hint="eastAsia" w:eastAsia="仿宋_GB2312"/>
          <w:color w:val="000000"/>
          <w:sz w:val="28"/>
          <w:szCs w:val="28"/>
        </w:rPr>
        <w:t>吻合钉</w:t>
      </w:r>
      <w:r>
        <w:rPr>
          <w:rFonts w:hint="eastAsia" w:eastAsia="仿宋"/>
          <w:color w:val="000000"/>
          <w:sz w:val="28"/>
          <w:szCs w:val="28"/>
        </w:rPr>
        <w:t xml:space="preserve"> 11.</w:t>
      </w:r>
      <w:r>
        <w:rPr>
          <w:rFonts w:hint="eastAsia" w:eastAsia="仿宋_GB2312"/>
          <w:color w:val="000000"/>
          <w:sz w:val="28"/>
          <w:szCs w:val="28"/>
        </w:rPr>
        <w:t>环形切割刀</w:t>
      </w:r>
      <w:r>
        <w:rPr>
          <w:rFonts w:hint="eastAsia" w:eastAsia="仿宋"/>
          <w:color w:val="000000"/>
          <w:sz w:val="28"/>
          <w:szCs w:val="28"/>
        </w:rPr>
        <w:t xml:space="preserve"> 12.</w:t>
      </w:r>
      <w:r>
        <w:rPr>
          <w:rFonts w:hint="eastAsia" w:eastAsia="仿宋_GB2312"/>
          <w:color w:val="000000"/>
          <w:sz w:val="28"/>
          <w:szCs w:val="28"/>
        </w:rPr>
        <w:t>推钉片</w:t>
      </w:r>
    </w:p>
    <w:p w14:paraId="2D690A4E">
      <w:pPr>
        <w:spacing w:line="520" w:lineRule="exact"/>
        <w:jc w:val="center"/>
        <w:rPr>
          <w:rFonts w:hint="eastAsia" w:eastAsia="黑体" w:cs="黑体"/>
          <w:color w:val="000000"/>
          <w:sz w:val="28"/>
          <w:szCs w:val="28"/>
        </w:rPr>
      </w:pPr>
      <w:r>
        <w:rPr>
          <w:rFonts w:hint="eastAsia" w:eastAsia="黑体" w:cs="黑体"/>
          <w:color w:val="000000"/>
          <w:sz w:val="28"/>
          <w:szCs w:val="28"/>
        </w:rPr>
        <w:t>a 剪刀式产品</w:t>
      </w:r>
    </w:p>
    <w:p w14:paraId="02189C3E">
      <w:pPr>
        <w:spacing w:line="520" w:lineRule="exact"/>
        <w:jc w:val="left"/>
        <w:rPr>
          <w:rFonts w:hint="eastAsia" w:eastAsia="仿宋"/>
          <w:color w:val="000000"/>
          <w:sz w:val="32"/>
          <w:szCs w:val="32"/>
        </w:rPr>
      </w:pPr>
      <w:r>
        <w:drawing>
          <wp:anchor distT="0" distB="0" distL="114300" distR="114300" simplePos="0" relativeHeight="251660288" behindDoc="0" locked="0" layoutInCell="1" allowOverlap="1">
            <wp:simplePos x="0" y="0"/>
            <wp:positionH relativeFrom="column">
              <wp:align>center</wp:align>
            </wp:positionH>
            <wp:positionV relativeFrom="paragraph">
              <wp:posOffset>14605</wp:posOffset>
            </wp:positionV>
            <wp:extent cx="3693795" cy="2520315"/>
            <wp:effectExtent l="0" t="0" r="1905" b="0"/>
            <wp:wrapTopAndBottom/>
            <wp:docPr id="1" name="图片 1" descr="eafb301f90a9e563aa606e476cca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fb301f90a9e563aa606e476cca5b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93795" cy="2520315"/>
                    </a:xfrm>
                    <a:prstGeom prst="rect">
                      <a:avLst/>
                    </a:prstGeom>
                    <a:noFill/>
                    <a:ln>
                      <a:noFill/>
                    </a:ln>
                  </pic:spPr>
                </pic:pic>
              </a:graphicData>
            </a:graphic>
          </wp:anchor>
        </w:drawing>
      </w:r>
      <w:r>
        <w:rPr>
          <w:rFonts w:hint="eastAsia" w:eastAsia="仿宋"/>
          <w:color w:val="000000"/>
          <w:sz w:val="28"/>
          <w:szCs w:val="32"/>
        </w:rPr>
        <w:t>1.</w:t>
      </w:r>
      <w:r>
        <w:rPr>
          <w:rFonts w:hint="eastAsia" w:eastAsia="仿宋_GB2312"/>
          <w:color w:val="000000"/>
          <w:sz w:val="28"/>
          <w:szCs w:val="28"/>
        </w:rPr>
        <w:t>龟头罩</w:t>
      </w:r>
      <w:r>
        <w:rPr>
          <w:rFonts w:hint="eastAsia" w:eastAsia="仿宋"/>
          <w:color w:val="000000"/>
          <w:sz w:val="28"/>
          <w:szCs w:val="32"/>
        </w:rPr>
        <w:t xml:space="preserve"> 2.</w:t>
      </w:r>
      <w:r>
        <w:rPr>
          <w:rFonts w:hint="eastAsia" w:eastAsia="仿宋_GB2312"/>
          <w:color w:val="000000"/>
          <w:sz w:val="28"/>
          <w:szCs w:val="28"/>
        </w:rPr>
        <w:t>抵钉座</w:t>
      </w:r>
      <w:r>
        <w:rPr>
          <w:rFonts w:hint="eastAsia" w:eastAsia="仿宋"/>
          <w:color w:val="000000"/>
          <w:sz w:val="28"/>
          <w:szCs w:val="32"/>
        </w:rPr>
        <w:t xml:space="preserve"> 3.</w:t>
      </w:r>
      <w:r>
        <w:rPr>
          <w:rFonts w:hint="eastAsia" w:eastAsia="仿宋_GB2312"/>
          <w:color w:val="000000"/>
          <w:sz w:val="28"/>
          <w:szCs w:val="28"/>
        </w:rPr>
        <w:t>钉仓盖</w:t>
      </w:r>
      <w:r>
        <w:rPr>
          <w:rFonts w:hint="eastAsia" w:eastAsia="仿宋"/>
          <w:color w:val="000000"/>
          <w:sz w:val="28"/>
          <w:szCs w:val="32"/>
        </w:rPr>
        <w:t xml:space="preserve"> 4.</w:t>
      </w:r>
      <w:r>
        <w:rPr>
          <w:rFonts w:hint="eastAsia" w:eastAsia="仿宋_GB2312"/>
          <w:color w:val="000000"/>
          <w:sz w:val="28"/>
          <w:szCs w:val="28"/>
        </w:rPr>
        <w:t>吻合钉垫圈</w:t>
      </w:r>
      <w:r>
        <w:rPr>
          <w:rFonts w:hint="eastAsia" w:eastAsia="仿宋"/>
          <w:color w:val="000000"/>
          <w:sz w:val="28"/>
          <w:szCs w:val="32"/>
        </w:rPr>
        <w:t xml:space="preserve"> 5.</w:t>
      </w:r>
      <w:r>
        <w:rPr>
          <w:rFonts w:hint="eastAsia" w:eastAsia="仿宋_GB2312"/>
          <w:color w:val="000000"/>
          <w:sz w:val="28"/>
          <w:szCs w:val="28"/>
        </w:rPr>
        <w:t>钉仓</w:t>
      </w:r>
      <w:r>
        <w:rPr>
          <w:rFonts w:hint="eastAsia" w:eastAsia="仿宋"/>
          <w:color w:val="000000"/>
          <w:sz w:val="28"/>
          <w:szCs w:val="32"/>
        </w:rPr>
        <w:t xml:space="preserve"> 6.</w:t>
      </w:r>
      <w:r>
        <w:rPr>
          <w:rFonts w:hint="eastAsia" w:eastAsia="仿宋_GB2312"/>
          <w:color w:val="000000"/>
          <w:sz w:val="28"/>
          <w:szCs w:val="28"/>
        </w:rPr>
        <w:t>活动手柄</w:t>
      </w:r>
      <w:r>
        <w:rPr>
          <w:rFonts w:hint="eastAsia" w:eastAsia="仿宋"/>
          <w:color w:val="000000"/>
          <w:sz w:val="28"/>
          <w:szCs w:val="32"/>
        </w:rPr>
        <w:t xml:space="preserve"> 7.</w:t>
      </w:r>
      <w:r>
        <w:rPr>
          <w:rFonts w:hint="eastAsia" w:eastAsia="仿宋_GB2312"/>
          <w:color w:val="000000"/>
          <w:sz w:val="28"/>
          <w:szCs w:val="28"/>
        </w:rPr>
        <w:t>保险扣</w:t>
      </w:r>
      <w:r>
        <w:rPr>
          <w:rFonts w:hint="eastAsia" w:eastAsia="仿宋"/>
          <w:color w:val="000000"/>
          <w:sz w:val="28"/>
          <w:szCs w:val="32"/>
        </w:rPr>
        <w:t xml:space="preserve"> 8.</w:t>
      </w:r>
      <w:r>
        <w:rPr>
          <w:rFonts w:hint="eastAsia" w:eastAsia="仿宋_GB2312"/>
          <w:color w:val="000000"/>
          <w:sz w:val="28"/>
          <w:szCs w:val="28"/>
        </w:rPr>
        <w:t>固定手柄</w:t>
      </w:r>
      <w:r>
        <w:rPr>
          <w:rFonts w:hint="eastAsia" w:eastAsia="仿宋"/>
          <w:color w:val="000000"/>
          <w:sz w:val="28"/>
          <w:szCs w:val="32"/>
        </w:rPr>
        <w:t xml:space="preserve"> 9.</w:t>
      </w:r>
      <w:r>
        <w:rPr>
          <w:rFonts w:hint="eastAsia" w:eastAsia="仿宋_GB2312"/>
          <w:color w:val="000000"/>
          <w:sz w:val="28"/>
          <w:szCs w:val="28"/>
        </w:rPr>
        <w:t>调节旋钮</w:t>
      </w:r>
    </w:p>
    <w:p w14:paraId="403C04DD">
      <w:pPr>
        <w:spacing w:line="520" w:lineRule="exact"/>
        <w:jc w:val="center"/>
        <w:rPr>
          <w:rFonts w:eastAsia="仿宋"/>
          <w:color w:val="000000"/>
          <w:sz w:val="32"/>
          <w:szCs w:val="32"/>
        </w:rPr>
      </w:pPr>
      <w:r>
        <w:rPr>
          <w:rFonts w:hint="eastAsia" w:eastAsia="黑体" w:cs="黑体"/>
          <w:color w:val="000000"/>
          <w:sz w:val="28"/>
          <w:szCs w:val="28"/>
        </w:rPr>
        <w:t>b 枪</w:t>
      </w:r>
      <w:r>
        <w:rPr>
          <w:rFonts w:eastAsia="黑体" w:cs="黑体"/>
          <w:color w:val="000000"/>
          <w:sz w:val="28"/>
          <w:szCs w:val="28"/>
        </w:rPr>
        <w:t>式产品</w:t>
      </w:r>
    </w:p>
    <w:p w14:paraId="59D614F9">
      <w:pPr>
        <w:spacing w:line="520" w:lineRule="exact"/>
        <w:jc w:val="center"/>
        <w:rPr>
          <w:rFonts w:eastAsia="仿宋"/>
          <w:color w:val="000000"/>
          <w:sz w:val="28"/>
          <w:szCs w:val="28"/>
        </w:rPr>
      </w:pPr>
      <w:r>
        <w:rPr>
          <w:rFonts w:hint="eastAsia" w:eastAsia="黑体" w:cs="黑体"/>
          <w:color w:val="000000"/>
          <w:sz w:val="28"/>
          <w:szCs w:val="28"/>
        </w:rPr>
        <w:t>图1 包皮切割吻合器示意图</w:t>
      </w:r>
    </w:p>
    <w:p w14:paraId="39B420DF">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2.产品工作原理</w:t>
      </w:r>
    </w:p>
    <w:p w14:paraId="6754E78C">
      <w:pPr>
        <w:spacing w:line="520" w:lineRule="exact"/>
        <w:ind w:firstLine="640" w:firstLineChars="200"/>
        <w:rPr>
          <w:rFonts w:eastAsia="仿宋"/>
          <w:color w:val="000000"/>
          <w:sz w:val="32"/>
          <w:szCs w:val="32"/>
        </w:rPr>
      </w:pPr>
      <w:r>
        <w:rPr>
          <w:rFonts w:hint="eastAsia" w:eastAsia="仿宋_GB2312"/>
          <w:color w:val="000000"/>
          <w:sz w:val="32"/>
          <w:szCs w:val="32"/>
        </w:rPr>
        <w:t>利用机械传动原理，按压击发手柄，活动连杆通过推动推钉片推出钉仓内吻合钉，同时带动环形切割刀，完成切割吻合，从而达到在包皮环切手术中切除过长包皮及吻合的效果</w:t>
      </w:r>
      <w:r>
        <w:rPr>
          <w:rFonts w:eastAsia="仿宋"/>
          <w:color w:val="000000"/>
          <w:sz w:val="32"/>
          <w:szCs w:val="32"/>
        </w:rPr>
        <w:t>。</w:t>
      </w:r>
    </w:p>
    <w:p w14:paraId="2C4E6A03">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3.包装描述</w:t>
      </w:r>
    </w:p>
    <w:p w14:paraId="3E64CAA1">
      <w:pPr>
        <w:spacing w:line="560" w:lineRule="exact"/>
        <w:ind w:firstLine="640" w:firstLineChars="200"/>
        <w:rPr>
          <w:rFonts w:eastAsia="仿宋_GB2312"/>
          <w:bCs/>
          <w:color w:val="000000"/>
          <w:sz w:val="32"/>
          <w:szCs w:val="32"/>
        </w:rPr>
      </w:pPr>
      <w:r>
        <w:rPr>
          <w:rFonts w:eastAsia="仿宋_GB2312"/>
          <w:color w:val="000000"/>
          <w:sz w:val="32"/>
          <w:szCs w:val="32"/>
        </w:rPr>
        <w:t>说明所有产品组成的包装信息。应当说明其</w:t>
      </w:r>
      <w:r>
        <w:rPr>
          <w:rFonts w:eastAsia="仿宋_GB2312"/>
          <w:sz w:val="32"/>
          <w:szCs w:val="32"/>
        </w:rPr>
        <w:t>无菌屏障系统</w:t>
      </w:r>
      <w:r>
        <w:rPr>
          <w:rFonts w:eastAsia="仿宋_GB2312"/>
          <w:color w:val="000000"/>
          <w:sz w:val="32"/>
          <w:szCs w:val="32"/>
        </w:rPr>
        <w:t>的信息。说明如何确保最终使用者可清晰地辨识包装的完整性。</w:t>
      </w:r>
    </w:p>
    <w:p w14:paraId="4241B932">
      <w:pPr>
        <w:spacing w:line="520" w:lineRule="exact"/>
        <w:ind w:firstLine="640" w:firstLineChars="200"/>
        <w:rPr>
          <w:rFonts w:hint="eastAsia" w:eastAsia="仿宋_GB2312"/>
          <w:color w:val="000000"/>
          <w:spacing w:val="-1"/>
          <w:sz w:val="32"/>
          <w:szCs w:val="32"/>
        </w:rPr>
      </w:pPr>
      <w:r>
        <w:rPr>
          <w:rFonts w:hint="eastAsia" w:eastAsia="仿宋_GB2312"/>
          <w:color w:val="000000"/>
          <w:sz w:val="32"/>
          <w:szCs w:val="32"/>
        </w:rPr>
        <w:t>4.</w:t>
      </w:r>
      <w:r>
        <w:rPr>
          <w:rFonts w:hint="eastAsia" w:eastAsia="仿宋_GB2312"/>
          <w:color w:val="000000"/>
          <w:spacing w:val="-1"/>
          <w:sz w:val="32"/>
          <w:szCs w:val="32"/>
        </w:rPr>
        <w:t>研发历程</w:t>
      </w:r>
    </w:p>
    <w:p w14:paraId="005D1F36">
      <w:pPr>
        <w:spacing w:line="520" w:lineRule="exact"/>
        <w:ind w:firstLine="636" w:firstLineChars="200"/>
        <w:rPr>
          <w:rFonts w:hint="eastAsia" w:eastAsia="仿宋_GB2312"/>
          <w:color w:val="000000"/>
          <w:spacing w:val="-1"/>
          <w:sz w:val="32"/>
          <w:szCs w:val="32"/>
        </w:rPr>
      </w:pPr>
      <w:r>
        <w:rPr>
          <w:rFonts w:hint="eastAsia" w:eastAsia="仿宋_GB2312"/>
          <w:color w:val="000000"/>
          <w:spacing w:val="-1"/>
          <w:sz w:val="32"/>
          <w:szCs w:val="32"/>
        </w:rPr>
        <w:t>阐述申请</w:t>
      </w:r>
      <w:r>
        <w:rPr>
          <w:rFonts w:hint="eastAsia" w:eastAsia="仿宋_GB2312"/>
          <w:color w:val="000000"/>
          <w:sz w:val="32"/>
          <w:szCs w:val="32"/>
        </w:rPr>
        <w:t>包皮切割吻合器</w:t>
      </w:r>
      <w:r>
        <w:rPr>
          <w:rFonts w:hint="eastAsia" w:eastAsia="仿宋_GB2312"/>
          <w:color w:val="000000"/>
          <w:spacing w:val="-1"/>
          <w:sz w:val="32"/>
          <w:szCs w:val="32"/>
        </w:rPr>
        <w:t>的研发背景和目的。如有参考的同类产品或前代产品，应当提供同类产品或前代产品的信息，并说明选择其作为研发参考的原因。</w:t>
      </w:r>
    </w:p>
    <w:p w14:paraId="03B010B4">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5.适用范围</w:t>
      </w:r>
    </w:p>
    <w:p w14:paraId="696B82C7">
      <w:pPr>
        <w:spacing w:line="520" w:lineRule="exact"/>
        <w:ind w:firstLine="640" w:firstLineChars="200"/>
        <w:rPr>
          <w:rFonts w:eastAsia="仿宋"/>
          <w:color w:val="000000"/>
          <w:sz w:val="32"/>
          <w:szCs w:val="32"/>
        </w:rPr>
      </w:pPr>
      <w:r>
        <w:rPr>
          <w:rFonts w:hint="eastAsia" w:eastAsia="仿宋_GB2312"/>
          <w:color w:val="000000"/>
          <w:sz w:val="32"/>
          <w:szCs w:val="32"/>
        </w:rPr>
        <w:t>适用于临床包皮的切割缝合手术</w:t>
      </w:r>
      <w:r>
        <w:rPr>
          <w:rFonts w:eastAsia="仿宋"/>
          <w:color w:val="000000"/>
          <w:sz w:val="32"/>
          <w:szCs w:val="32"/>
        </w:rPr>
        <w:t>。</w:t>
      </w:r>
    </w:p>
    <w:p w14:paraId="7CCE5078">
      <w:pPr>
        <w:spacing w:line="520" w:lineRule="exact"/>
        <w:ind w:firstLine="640" w:firstLineChars="200"/>
        <w:rPr>
          <w:rFonts w:hint="eastAsia" w:eastAsia="仿宋_GB2312"/>
          <w:color w:val="000000"/>
          <w:spacing w:val="-1"/>
          <w:sz w:val="32"/>
          <w:szCs w:val="32"/>
        </w:rPr>
      </w:pPr>
      <w:r>
        <w:rPr>
          <w:rFonts w:hint="eastAsia" w:eastAsia="仿宋_GB2312"/>
          <w:color w:val="000000"/>
          <w:sz w:val="32"/>
          <w:szCs w:val="32"/>
        </w:rPr>
        <w:t>6.</w:t>
      </w:r>
      <w:r>
        <w:rPr>
          <w:rFonts w:hint="eastAsia" w:eastAsia="仿宋_GB2312"/>
          <w:color w:val="000000"/>
          <w:spacing w:val="-1"/>
          <w:sz w:val="32"/>
          <w:szCs w:val="32"/>
        </w:rPr>
        <w:t>预期使用环境</w:t>
      </w:r>
    </w:p>
    <w:p w14:paraId="57B4B906">
      <w:pPr>
        <w:spacing w:line="520" w:lineRule="exact"/>
        <w:ind w:firstLine="636" w:firstLineChars="200"/>
        <w:rPr>
          <w:rFonts w:eastAsia="仿宋_GB2312"/>
          <w:color w:val="000000"/>
          <w:sz w:val="32"/>
          <w:szCs w:val="32"/>
        </w:rPr>
      </w:pPr>
      <w:r>
        <w:rPr>
          <w:rFonts w:hint="eastAsia" w:eastAsia="仿宋_GB2312"/>
          <w:color w:val="000000"/>
          <w:spacing w:val="-1"/>
          <w:sz w:val="32"/>
          <w:szCs w:val="32"/>
        </w:rPr>
        <w:t>预期使用环境为医疗机构。</w:t>
      </w:r>
    </w:p>
    <w:p w14:paraId="0F5F5A25">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7.禁忌证</w:t>
      </w:r>
    </w:p>
    <w:p w14:paraId="757C49DC">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（1）急性尿路感染、手术部位急性炎症（如包皮及龟头感染等）、水肿期患者禁用；</w:t>
      </w:r>
    </w:p>
    <w:p w14:paraId="3F3A3685">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（2）隐匿性阴茎者禁用；</w:t>
      </w:r>
    </w:p>
    <w:p w14:paraId="08296439">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（3）患有系统性疾病（如出血倾向、低蛋白血症、严重心血管疾病等）及精神疾病等禁忌手术者禁用；</w:t>
      </w:r>
    </w:p>
    <w:p w14:paraId="12764FC7">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（4）糖尿病患者在血糖未控制至正常范围之前禁用；</w:t>
      </w:r>
    </w:p>
    <w:p w14:paraId="5A58F38D">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（5）阴茎癌患者禁用；</w:t>
      </w:r>
    </w:p>
    <w:p w14:paraId="763F2984">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（6）近期使用过有抗凝血功能药物者禁用；</w:t>
      </w:r>
    </w:p>
    <w:p w14:paraId="095E24B9">
      <w:pPr>
        <w:spacing w:line="520" w:lineRule="exact"/>
        <w:ind w:firstLine="640" w:firstLineChars="200"/>
        <w:rPr>
          <w:rFonts w:eastAsia="仿宋"/>
          <w:color w:val="000000"/>
          <w:kern w:val="0"/>
          <w:sz w:val="32"/>
          <w:szCs w:val="32"/>
        </w:rPr>
      </w:pPr>
      <w:r>
        <w:rPr>
          <w:rFonts w:hint="eastAsia" w:eastAsia="仿宋_GB2312"/>
          <w:color w:val="000000"/>
          <w:sz w:val="32"/>
          <w:szCs w:val="32"/>
        </w:rPr>
        <w:t>（7）对产品使用的原材料过敏者禁用</w:t>
      </w:r>
      <w:r>
        <w:rPr>
          <w:rFonts w:eastAsia="仿宋"/>
          <w:color w:val="000000"/>
          <w:kern w:val="0"/>
          <w:sz w:val="32"/>
          <w:szCs w:val="32"/>
        </w:rPr>
        <w:t>。</w:t>
      </w:r>
    </w:p>
    <w:p w14:paraId="5AC773F5">
      <w:pPr>
        <w:spacing w:line="520" w:lineRule="exact"/>
        <w:ind w:firstLine="640" w:firstLineChars="200"/>
        <w:rPr>
          <w:rFonts w:eastAsia="仿宋_GB2312"/>
          <w:color w:val="000000"/>
          <w:sz w:val="32"/>
          <w:szCs w:val="32"/>
        </w:rPr>
      </w:pPr>
      <w:r>
        <w:rPr>
          <w:rFonts w:hint="eastAsia" w:eastAsia="仿宋_GB2312"/>
          <w:color w:val="000000"/>
          <w:sz w:val="32"/>
          <w:szCs w:val="32"/>
        </w:rPr>
        <w:t>8.</w:t>
      </w:r>
      <w:r>
        <w:rPr>
          <w:rFonts w:eastAsia="仿宋_GB2312"/>
          <w:color w:val="000000"/>
          <w:sz w:val="32"/>
          <w:szCs w:val="32"/>
        </w:rPr>
        <w:t>产品的不良事件历史记录</w:t>
      </w:r>
    </w:p>
    <w:p w14:paraId="36F6BCDA">
      <w:pPr>
        <w:spacing w:line="520" w:lineRule="exact"/>
        <w:ind w:firstLine="640" w:firstLineChars="200"/>
        <w:rPr>
          <w:rFonts w:eastAsia="仿宋"/>
          <w:kern w:val="0"/>
          <w:sz w:val="32"/>
          <w:szCs w:val="32"/>
        </w:rPr>
      </w:pPr>
      <w:r>
        <w:rPr>
          <w:rFonts w:eastAsia="仿宋_GB2312"/>
          <w:color w:val="000000"/>
          <w:sz w:val="32"/>
          <w:szCs w:val="32"/>
        </w:rPr>
        <w:t>根据文献记载及相关生产企业不良事件信息分析，包皮切割吻合器产品在临床中出现的可疑不良事件主要有：无法有效切断组织，无法正常吻合，落钉漏钉，手柄断裂，</w:t>
      </w:r>
      <w:r>
        <w:rPr>
          <w:rFonts w:hint="eastAsia" w:eastAsia="仿宋_GB2312"/>
          <w:color w:val="000000"/>
          <w:sz w:val="32"/>
          <w:szCs w:val="32"/>
        </w:rPr>
        <w:t>保险</w:t>
      </w:r>
      <w:r>
        <w:rPr>
          <w:rFonts w:eastAsia="仿宋_GB2312"/>
          <w:color w:val="000000"/>
          <w:sz w:val="32"/>
          <w:szCs w:val="32"/>
        </w:rPr>
        <w:t>扣滑落，</w:t>
      </w:r>
      <w:r>
        <w:rPr>
          <w:rFonts w:hint="eastAsia" w:eastAsia="仿宋_GB2312"/>
          <w:color w:val="000000"/>
          <w:sz w:val="32"/>
          <w:szCs w:val="32"/>
        </w:rPr>
        <w:t>组件</w:t>
      </w:r>
      <w:r>
        <w:rPr>
          <w:rFonts w:eastAsia="仿宋_GB2312"/>
          <w:color w:val="000000"/>
          <w:sz w:val="32"/>
          <w:szCs w:val="32"/>
        </w:rPr>
        <w:t>无法预期使用</w:t>
      </w:r>
      <w:r>
        <w:rPr>
          <w:rFonts w:hint="eastAsia" w:eastAsia="仿宋_GB2312"/>
          <w:color w:val="000000"/>
          <w:sz w:val="32"/>
          <w:szCs w:val="32"/>
        </w:rPr>
        <w:t>，使用完毕产品无法退出</w:t>
      </w:r>
      <w:r>
        <w:rPr>
          <w:rFonts w:eastAsia="仿宋_GB2312"/>
          <w:color w:val="000000"/>
          <w:sz w:val="32"/>
          <w:szCs w:val="32"/>
        </w:rPr>
        <w:t>，</w:t>
      </w:r>
      <w:r>
        <w:rPr>
          <w:rFonts w:hint="eastAsia" w:eastAsia="仿宋_GB2312"/>
          <w:color w:val="000000"/>
          <w:sz w:val="32"/>
          <w:szCs w:val="32"/>
        </w:rPr>
        <w:t>无菌包装破损，</w:t>
      </w:r>
      <w:r>
        <w:rPr>
          <w:rFonts w:eastAsia="仿宋_GB2312"/>
          <w:color w:val="000000"/>
          <w:sz w:val="32"/>
          <w:szCs w:val="32"/>
        </w:rPr>
        <w:t>吻合钉在规定的时间内无法自行脱落等。申请人应当收集并全面分析上报包皮切割吻合器相关可疑不良事件，以促进该类产品的进一步技术更新，最大限度地控制医疗器械潜在风险，保证该类产品安全有效地使用。申请人在风险分析时应关注同品种产品的不良事件历史记录</w:t>
      </w:r>
      <w:r>
        <w:rPr>
          <w:rFonts w:eastAsia="仿宋"/>
          <w:kern w:val="0"/>
          <w:sz w:val="32"/>
          <w:szCs w:val="32"/>
        </w:rPr>
        <w:t>。</w:t>
      </w:r>
    </w:p>
    <w:p w14:paraId="16E6B2AF">
      <w:pPr>
        <w:spacing w:line="520" w:lineRule="exact"/>
        <w:ind w:right="-67" w:rightChars="-32" w:firstLine="640" w:firstLineChars="200"/>
        <w:outlineLvl w:val="1"/>
        <w:rPr>
          <w:rFonts w:eastAsia="楷体_GB2312"/>
          <w:color w:val="000000"/>
          <w:sz w:val="32"/>
          <w:szCs w:val="32"/>
        </w:rPr>
      </w:pPr>
      <w:r>
        <w:rPr>
          <w:rFonts w:eastAsia="楷体_GB2312"/>
          <w:color w:val="000000"/>
          <w:sz w:val="32"/>
          <w:szCs w:val="32"/>
        </w:rPr>
        <w:t>（三）</w:t>
      </w:r>
      <w:r>
        <w:rPr>
          <w:rFonts w:hint="eastAsia" w:eastAsia="楷体_GB2312"/>
          <w:color w:val="000000"/>
          <w:sz w:val="32"/>
          <w:szCs w:val="32"/>
        </w:rPr>
        <w:t>非临床资料</w:t>
      </w:r>
    </w:p>
    <w:p w14:paraId="13598C5B">
      <w:pPr>
        <w:spacing w:line="520" w:lineRule="exact"/>
        <w:ind w:firstLine="636" w:firstLineChars="200"/>
        <w:rPr>
          <w:rFonts w:hint="eastAsia" w:eastAsia="仿宋_GB2312"/>
          <w:color w:val="000000"/>
          <w:spacing w:val="-1"/>
          <w:sz w:val="32"/>
          <w:szCs w:val="32"/>
        </w:rPr>
      </w:pPr>
      <w:r>
        <w:rPr>
          <w:rFonts w:eastAsia="仿宋_GB2312"/>
          <w:color w:val="000000"/>
          <w:spacing w:val="-1"/>
          <w:sz w:val="32"/>
          <w:szCs w:val="32"/>
        </w:rPr>
        <w:t>1.</w:t>
      </w:r>
      <w:r>
        <w:rPr>
          <w:rFonts w:hint="eastAsia" w:eastAsia="仿宋_GB2312"/>
          <w:color w:val="000000"/>
          <w:spacing w:val="-1"/>
          <w:sz w:val="32"/>
          <w:szCs w:val="32"/>
        </w:rPr>
        <w:t>产品风险管理资料</w:t>
      </w:r>
    </w:p>
    <w:p w14:paraId="350AEB00">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申请人应建立风险管理控制程序，并对包皮切割吻合器产品的设计开发、原材料采购、生产加工、包装、灭菌、运输、贮存、使用等产品生命周期全过程实施风险管理（按照YY/T 0316《医疗器械 风险管理对医疗器械的应用》标准的要求）。申请人在产品注册上市前，应对风险管理过程进行评审。应建立风险管理文档，风险管理文档应至少包括以下信息：</w:t>
      </w:r>
    </w:p>
    <w:p w14:paraId="5A941371">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1.1可能影响产品安全性的特征问题清单。应判定医疗器械与安全性有关特征的问题，但识别风险的来源并不局限于此（参考YY/T 0316附录C）。</w:t>
      </w:r>
    </w:p>
    <w:p w14:paraId="420523B1">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1.2产品有关的已知和可预见危害的清单。危险（源）分析是否全面，申请人应编写在正常使用和非正常使用两种条件下，与产品有关的已知的和可预见的危险（源）文件（参考YY/T 0316附录E）。已识别的风险应至少包括但不局限于以下方面：</w:t>
      </w:r>
    </w:p>
    <w:p w14:paraId="037BF5E6">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（1）设计和开发不当产生的危害。</w:t>
      </w:r>
    </w:p>
    <w:p w14:paraId="78896826">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（2）原材料的生物学和化学危害：材料或材料来源变化；材料的生物相容性和对生殖器官的影响。</w:t>
      </w:r>
    </w:p>
    <w:p w14:paraId="6C3A6DC1">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（3）生产制造可能产生的危害：污染；微粒残留；添加剂、粘接剂、助剂、辅剂的残留；工艺用水；生产环境洁净度；灭菌方式对产品不适宜，灭菌不完全，环氧乙烷残留量不合格等。</w:t>
      </w:r>
    </w:p>
    <w:p w14:paraId="1A8100AD">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（4）不正确使用产生的危害：产品选择与使用不当；未按照说明书中操作方法操作；重复使用等。</w:t>
      </w:r>
    </w:p>
    <w:p w14:paraId="7617057E">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（5）运输和贮藏产生的危害：包装破损；贮藏环境不当；标识不清等。</w:t>
      </w:r>
    </w:p>
    <w:p w14:paraId="74135453">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1.3风险评价、风险控制措施以及剩余风险评价汇总表。申请人应在产品生命全周期中对风险进行管理控制，以使剩余风险在可接受范围内。</w:t>
      </w:r>
    </w:p>
    <w:p w14:paraId="33B12BA0">
      <w:pPr>
        <w:spacing w:line="520" w:lineRule="exact"/>
        <w:ind w:firstLine="640" w:firstLineChars="200"/>
        <w:rPr>
          <w:rFonts w:eastAsia="仿宋"/>
          <w:color w:val="000000"/>
          <w:kern w:val="0"/>
          <w:sz w:val="32"/>
          <w:szCs w:val="32"/>
        </w:rPr>
      </w:pPr>
      <w:r>
        <w:rPr>
          <w:rFonts w:hint="eastAsia" w:eastAsia="仿宋_GB2312"/>
          <w:color w:val="000000"/>
          <w:sz w:val="32"/>
          <w:szCs w:val="32"/>
        </w:rPr>
        <w:t>表2示例性地给出了包皮切割吻合器产品可能涉及的部分危险、可预见的事件序列、危险情况和可能发生的伤害之间的关系（根据YY/T 0316附录E）。申请人还应结合自身产品特点确定其他危险，并针对各项危险，采取控制措施，确保危险降低到可接受的程度</w:t>
      </w:r>
      <w:r>
        <w:rPr>
          <w:rFonts w:eastAsia="仿宋"/>
          <w:color w:val="000000"/>
          <w:kern w:val="0"/>
          <w:sz w:val="32"/>
          <w:szCs w:val="32"/>
        </w:rPr>
        <w:t>。</w:t>
      </w:r>
    </w:p>
    <w:p w14:paraId="467A61DE">
      <w:pPr>
        <w:spacing w:line="520" w:lineRule="exact"/>
        <w:ind w:firstLine="640" w:firstLineChars="200"/>
        <w:rPr>
          <w:rFonts w:eastAsia="仿宋"/>
          <w:color w:val="000000"/>
          <w:kern w:val="0"/>
          <w:sz w:val="32"/>
          <w:szCs w:val="32"/>
        </w:rPr>
      </w:pPr>
    </w:p>
    <w:p w14:paraId="64216DD5">
      <w:pPr>
        <w:spacing w:line="520" w:lineRule="exact"/>
        <w:jc w:val="center"/>
        <w:rPr>
          <w:rFonts w:eastAsia="黑体"/>
          <w:sz w:val="28"/>
          <w:szCs w:val="32"/>
        </w:rPr>
      </w:pPr>
      <w:r>
        <w:rPr>
          <w:rFonts w:eastAsia="黑体"/>
          <w:sz w:val="28"/>
          <w:szCs w:val="32"/>
        </w:rPr>
        <w:t>表2 部分危险、可预见的事件序列、危险情况和</w:t>
      </w:r>
      <w:r>
        <w:rPr>
          <w:rFonts w:eastAsia="黑体"/>
          <w:sz w:val="28"/>
          <w:szCs w:val="32"/>
        </w:rPr>
        <w:br w:type="textWrapping"/>
      </w:r>
      <w:r>
        <w:rPr>
          <w:rFonts w:eastAsia="黑体"/>
          <w:sz w:val="28"/>
          <w:szCs w:val="32"/>
        </w:rPr>
        <w:t>可发生的伤害之间的关系</w:t>
      </w:r>
    </w:p>
    <w:p w14:paraId="01055DA3">
      <w:pPr>
        <w:spacing w:line="520" w:lineRule="exact"/>
        <w:jc w:val="center"/>
        <w:rPr>
          <w:rFonts w:eastAsia="黑体"/>
          <w:sz w:val="28"/>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9"/>
        <w:gridCol w:w="4522"/>
        <w:gridCol w:w="1950"/>
        <w:gridCol w:w="2092"/>
      </w:tblGrid>
      <w:tr w14:paraId="06E84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14363FAE">
            <w:pPr>
              <w:spacing w:line="5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危险</w:t>
            </w:r>
          </w:p>
        </w:tc>
        <w:tc>
          <w:tcPr>
            <w:tcW w:w="4522" w:type="dxa"/>
            <w:tcBorders>
              <w:top w:val="single" w:color="auto" w:sz="4" w:space="0"/>
              <w:left w:val="single" w:color="auto" w:sz="4" w:space="0"/>
              <w:bottom w:val="single" w:color="auto" w:sz="4" w:space="0"/>
              <w:right w:val="single" w:color="auto" w:sz="4" w:space="0"/>
            </w:tcBorders>
            <w:vAlign w:val="center"/>
          </w:tcPr>
          <w:p w14:paraId="4E3CA22E">
            <w:pPr>
              <w:spacing w:line="5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可预见的事件序列</w:t>
            </w:r>
          </w:p>
        </w:tc>
        <w:tc>
          <w:tcPr>
            <w:tcW w:w="1950" w:type="dxa"/>
            <w:tcBorders>
              <w:top w:val="single" w:color="auto" w:sz="4" w:space="0"/>
              <w:left w:val="single" w:color="auto" w:sz="4" w:space="0"/>
              <w:bottom w:val="single" w:color="auto" w:sz="4" w:space="0"/>
              <w:right w:val="single" w:color="auto" w:sz="4" w:space="0"/>
            </w:tcBorders>
          </w:tcPr>
          <w:p w14:paraId="058B5568">
            <w:pPr>
              <w:spacing w:line="5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危险情况</w:t>
            </w:r>
          </w:p>
        </w:tc>
        <w:tc>
          <w:tcPr>
            <w:tcW w:w="2092" w:type="dxa"/>
            <w:tcBorders>
              <w:top w:val="single" w:color="auto" w:sz="4" w:space="0"/>
              <w:left w:val="single" w:color="auto" w:sz="4" w:space="0"/>
              <w:bottom w:val="single" w:color="auto" w:sz="4" w:space="0"/>
              <w:right w:val="single" w:color="auto" w:sz="4" w:space="0"/>
            </w:tcBorders>
          </w:tcPr>
          <w:p w14:paraId="260D8FC0">
            <w:pPr>
              <w:spacing w:line="5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伤害</w:t>
            </w:r>
          </w:p>
        </w:tc>
      </w:tr>
      <w:tr w14:paraId="7EEFC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jc w:val="center"/>
        </w:trPr>
        <w:tc>
          <w:tcPr>
            <w:tcW w:w="1439" w:type="dxa"/>
            <w:tcBorders>
              <w:top w:val="single" w:color="auto" w:sz="4" w:space="0"/>
              <w:left w:val="single" w:color="auto" w:sz="4" w:space="0"/>
              <w:right w:val="single" w:color="auto" w:sz="4" w:space="0"/>
            </w:tcBorders>
            <w:vAlign w:val="center"/>
          </w:tcPr>
          <w:p w14:paraId="209F5EA8">
            <w:pPr>
              <w:spacing w:line="520" w:lineRule="exact"/>
              <w:jc w:val="center"/>
              <w:rPr>
                <w:rFonts w:hint="eastAsia" w:eastAsia="仿宋" w:cs="仿宋"/>
                <w:color w:val="000000"/>
                <w:sz w:val="28"/>
                <w:szCs w:val="28"/>
              </w:rPr>
            </w:pPr>
            <w:r>
              <w:rPr>
                <w:rFonts w:hint="eastAsia" w:eastAsia="仿宋_GB2312"/>
                <w:color w:val="000000"/>
                <w:sz w:val="28"/>
                <w:szCs w:val="28"/>
              </w:rPr>
              <w:t>设计开发危险</w:t>
            </w:r>
          </w:p>
        </w:tc>
        <w:tc>
          <w:tcPr>
            <w:tcW w:w="4522" w:type="dxa"/>
            <w:tcBorders>
              <w:top w:val="single" w:color="auto" w:sz="4" w:space="0"/>
              <w:left w:val="single" w:color="auto" w:sz="4" w:space="0"/>
              <w:right w:val="single" w:color="auto" w:sz="4" w:space="0"/>
            </w:tcBorders>
            <w:vAlign w:val="center"/>
          </w:tcPr>
          <w:p w14:paraId="5D969DAF">
            <w:pPr>
              <w:spacing w:line="520" w:lineRule="exact"/>
              <w:jc w:val="left"/>
              <w:rPr>
                <w:rFonts w:hint="eastAsia" w:eastAsia="仿宋_GB2312"/>
                <w:color w:val="000000"/>
                <w:sz w:val="28"/>
                <w:szCs w:val="28"/>
              </w:rPr>
            </w:pPr>
            <w:r>
              <w:rPr>
                <w:rFonts w:hint="eastAsia" w:eastAsia="仿宋_GB2312"/>
                <w:color w:val="000000"/>
                <w:sz w:val="28"/>
                <w:szCs w:val="28"/>
              </w:rPr>
              <w:t>产品机械系统设计不当；器身及吻合钉材料选择不当，导致不能有效切割或吻合</w:t>
            </w:r>
          </w:p>
        </w:tc>
        <w:tc>
          <w:tcPr>
            <w:tcW w:w="1950" w:type="dxa"/>
            <w:tcBorders>
              <w:top w:val="single" w:color="auto" w:sz="4" w:space="0"/>
              <w:left w:val="single" w:color="auto" w:sz="4" w:space="0"/>
              <w:right w:val="single" w:color="auto" w:sz="4" w:space="0"/>
            </w:tcBorders>
            <w:vAlign w:val="center"/>
          </w:tcPr>
          <w:p w14:paraId="28B6A494">
            <w:pPr>
              <w:spacing w:line="520" w:lineRule="exact"/>
              <w:jc w:val="left"/>
              <w:rPr>
                <w:rFonts w:hint="eastAsia" w:eastAsia="仿宋_GB2312"/>
                <w:color w:val="000000"/>
                <w:sz w:val="28"/>
                <w:szCs w:val="28"/>
              </w:rPr>
            </w:pPr>
            <w:r>
              <w:rPr>
                <w:rFonts w:hint="eastAsia" w:eastAsia="仿宋_GB2312"/>
                <w:color w:val="000000"/>
                <w:sz w:val="28"/>
                <w:szCs w:val="28"/>
              </w:rPr>
              <w:t>使用过程中损伤生殖器官或无法使用</w:t>
            </w:r>
          </w:p>
        </w:tc>
        <w:tc>
          <w:tcPr>
            <w:tcW w:w="2092" w:type="dxa"/>
            <w:tcBorders>
              <w:top w:val="single" w:color="auto" w:sz="4" w:space="0"/>
              <w:left w:val="single" w:color="auto" w:sz="4" w:space="0"/>
              <w:right w:val="single" w:color="auto" w:sz="4" w:space="0"/>
            </w:tcBorders>
            <w:vAlign w:val="center"/>
          </w:tcPr>
          <w:p w14:paraId="566053B9">
            <w:pPr>
              <w:spacing w:line="520" w:lineRule="exact"/>
              <w:jc w:val="left"/>
              <w:rPr>
                <w:rFonts w:hint="eastAsia" w:eastAsia="仿宋_GB2312"/>
                <w:color w:val="000000"/>
                <w:sz w:val="28"/>
                <w:szCs w:val="28"/>
              </w:rPr>
            </w:pPr>
            <w:r>
              <w:rPr>
                <w:rFonts w:hint="eastAsia" w:eastAsia="仿宋_GB2312"/>
                <w:color w:val="000000"/>
                <w:sz w:val="28"/>
                <w:szCs w:val="28"/>
              </w:rPr>
              <w:t>造成损伤、感染或额外伤害</w:t>
            </w:r>
          </w:p>
        </w:tc>
      </w:tr>
      <w:tr w14:paraId="18ECC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3" w:hRule="atLeast"/>
          <w:jc w:val="center"/>
        </w:trPr>
        <w:tc>
          <w:tcPr>
            <w:tcW w:w="1439" w:type="dxa"/>
            <w:tcBorders>
              <w:top w:val="single" w:color="auto" w:sz="4" w:space="0"/>
              <w:left w:val="single" w:color="auto" w:sz="4" w:space="0"/>
              <w:right w:val="single" w:color="auto" w:sz="4" w:space="0"/>
            </w:tcBorders>
            <w:vAlign w:val="center"/>
          </w:tcPr>
          <w:p w14:paraId="54A10CC6">
            <w:pPr>
              <w:spacing w:line="520" w:lineRule="exact"/>
              <w:jc w:val="center"/>
              <w:rPr>
                <w:rFonts w:hint="eastAsia" w:eastAsia="仿宋_GB2312"/>
                <w:color w:val="000000"/>
                <w:sz w:val="28"/>
                <w:szCs w:val="28"/>
              </w:rPr>
            </w:pPr>
            <w:r>
              <w:rPr>
                <w:rFonts w:hint="eastAsia" w:eastAsia="仿宋_GB2312"/>
                <w:color w:val="000000"/>
                <w:sz w:val="28"/>
                <w:szCs w:val="28"/>
              </w:rPr>
              <w:t>生物学和化学危险</w:t>
            </w:r>
          </w:p>
        </w:tc>
        <w:tc>
          <w:tcPr>
            <w:tcW w:w="4522" w:type="dxa"/>
            <w:tcBorders>
              <w:top w:val="single" w:color="auto" w:sz="4" w:space="0"/>
              <w:left w:val="single" w:color="auto" w:sz="4" w:space="0"/>
              <w:right w:val="single" w:color="auto" w:sz="4" w:space="0"/>
            </w:tcBorders>
            <w:vAlign w:val="center"/>
          </w:tcPr>
          <w:p w14:paraId="29F93511">
            <w:pPr>
              <w:spacing w:line="520" w:lineRule="exact"/>
              <w:jc w:val="left"/>
              <w:rPr>
                <w:rFonts w:hint="eastAsia" w:eastAsia="仿宋_GB2312"/>
                <w:color w:val="000000"/>
                <w:sz w:val="28"/>
                <w:szCs w:val="28"/>
              </w:rPr>
            </w:pPr>
            <w:r>
              <w:rPr>
                <w:rFonts w:hint="eastAsia" w:eastAsia="仿宋_GB2312"/>
                <w:color w:val="000000"/>
                <w:sz w:val="28"/>
                <w:szCs w:val="28"/>
              </w:rPr>
              <w:t>选用不适当的材料；灭菌未确认或未按已确认的参数灭菌；超过有效期使用；包装不符合要求或老化；零部件生锈；未按要求对生产环境进行控制；零部件未按要求清洗；清洗用水不符合要求；使用完后，未按医疗垃圾处理</w:t>
            </w:r>
          </w:p>
        </w:tc>
        <w:tc>
          <w:tcPr>
            <w:tcW w:w="1950" w:type="dxa"/>
            <w:tcBorders>
              <w:top w:val="single" w:color="auto" w:sz="4" w:space="0"/>
              <w:left w:val="single" w:color="auto" w:sz="4" w:space="0"/>
              <w:right w:val="single" w:color="auto" w:sz="4" w:space="0"/>
            </w:tcBorders>
            <w:vAlign w:val="center"/>
          </w:tcPr>
          <w:p w14:paraId="5622DD42">
            <w:pPr>
              <w:spacing w:line="520" w:lineRule="exact"/>
              <w:jc w:val="left"/>
              <w:rPr>
                <w:rFonts w:hint="eastAsia" w:eastAsia="仿宋_GB2312"/>
                <w:color w:val="000000"/>
                <w:sz w:val="28"/>
                <w:szCs w:val="28"/>
              </w:rPr>
            </w:pPr>
            <w:r>
              <w:rPr>
                <w:rFonts w:hint="eastAsia" w:eastAsia="仿宋_GB2312"/>
                <w:color w:val="000000"/>
                <w:sz w:val="28"/>
                <w:szCs w:val="28"/>
              </w:rPr>
              <w:t>生物相容性不符合要求；被污染的产品与人体接触；有菌或有毒物质影响环境</w:t>
            </w:r>
          </w:p>
        </w:tc>
        <w:tc>
          <w:tcPr>
            <w:tcW w:w="2092" w:type="dxa"/>
            <w:tcBorders>
              <w:top w:val="single" w:color="auto" w:sz="4" w:space="0"/>
              <w:left w:val="single" w:color="auto" w:sz="4" w:space="0"/>
              <w:right w:val="single" w:color="auto" w:sz="4" w:space="0"/>
            </w:tcBorders>
            <w:vAlign w:val="center"/>
          </w:tcPr>
          <w:p w14:paraId="48C10CF5">
            <w:pPr>
              <w:spacing w:line="520" w:lineRule="exact"/>
              <w:jc w:val="left"/>
              <w:rPr>
                <w:rFonts w:hint="eastAsia" w:eastAsia="仿宋_GB2312"/>
                <w:color w:val="000000"/>
                <w:sz w:val="28"/>
                <w:szCs w:val="28"/>
              </w:rPr>
            </w:pPr>
            <w:r>
              <w:rPr>
                <w:rFonts w:hint="eastAsia" w:eastAsia="仿宋_GB2312"/>
                <w:color w:val="000000"/>
                <w:sz w:val="28"/>
                <w:szCs w:val="28"/>
              </w:rPr>
              <w:t>产生刺激、过敏、感染等危害；造成环境污染或交叉感染</w:t>
            </w:r>
          </w:p>
        </w:tc>
      </w:tr>
      <w:tr w14:paraId="41FBD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3" w:hRule="atLeast"/>
          <w:jc w:val="center"/>
        </w:trPr>
        <w:tc>
          <w:tcPr>
            <w:tcW w:w="1439" w:type="dxa"/>
            <w:tcBorders>
              <w:top w:val="single" w:color="auto" w:sz="4" w:space="0"/>
              <w:left w:val="single" w:color="auto" w:sz="4" w:space="0"/>
              <w:right w:val="single" w:color="auto" w:sz="4" w:space="0"/>
            </w:tcBorders>
            <w:vAlign w:val="center"/>
          </w:tcPr>
          <w:p w14:paraId="579C28F2">
            <w:pPr>
              <w:spacing w:line="520" w:lineRule="exact"/>
              <w:jc w:val="center"/>
              <w:rPr>
                <w:rFonts w:hint="eastAsia" w:eastAsia="仿宋_GB2312"/>
                <w:color w:val="000000"/>
                <w:sz w:val="28"/>
                <w:szCs w:val="28"/>
              </w:rPr>
            </w:pPr>
            <w:r>
              <w:rPr>
                <w:rFonts w:hint="eastAsia" w:eastAsia="仿宋_GB2312"/>
                <w:color w:val="000000"/>
                <w:sz w:val="28"/>
                <w:szCs w:val="28"/>
              </w:rPr>
              <w:t>制造过程危险</w:t>
            </w:r>
          </w:p>
        </w:tc>
        <w:tc>
          <w:tcPr>
            <w:tcW w:w="4522" w:type="dxa"/>
            <w:tcBorders>
              <w:top w:val="single" w:color="auto" w:sz="4" w:space="0"/>
              <w:left w:val="single" w:color="auto" w:sz="4" w:space="0"/>
              <w:right w:val="single" w:color="auto" w:sz="4" w:space="0"/>
            </w:tcBorders>
            <w:vAlign w:val="center"/>
          </w:tcPr>
          <w:p w14:paraId="5FA06C8C">
            <w:pPr>
              <w:spacing w:line="520" w:lineRule="exact"/>
              <w:jc w:val="left"/>
              <w:rPr>
                <w:rFonts w:hint="eastAsia" w:eastAsia="仿宋_GB2312"/>
                <w:color w:val="000000"/>
                <w:sz w:val="28"/>
                <w:szCs w:val="28"/>
              </w:rPr>
            </w:pPr>
            <w:r>
              <w:rPr>
                <w:rFonts w:hint="eastAsia" w:eastAsia="仿宋_GB2312"/>
                <w:color w:val="000000"/>
                <w:sz w:val="28"/>
                <w:szCs w:val="28"/>
              </w:rPr>
              <w:t>采购不当；零部件加工精度不当，装配调试不当；不合格品未被检出；发生缺钉/掉钉现象；包装不当；灭菌有效性未被充分确认/验证</w:t>
            </w:r>
          </w:p>
        </w:tc>
        <w:tc>
          <w:tcPr>
            <w:tcW w:w="1950" w:type="dxa"/>
            <w:tcBorders>
              <w:top w:val="single" w:color="auto" w:sz="4" w:space="0"/>
              <w:left w:val="single" w:color="auto" w:sz="4" w:space="0"/>
              <w:right w:val="single" w:color="auto" w:sz="4" w:space="0"/>
            </w:tcBorders>
            <w:vAlign w:val="center"/>
          </w:tcPr>
          <w:p w14:paraId="05983234">
            <w:pPr>
              <w:spacing w:line="520" w:lineRule="exact"/>
              <w:jc w:val="left"/>
              <w:rPr>
                <w:rFonts w:hint="eastAsia" w:eastAsia="仿宋_GB2312"/>
                <w:color w:val="000000"/>
                <w:sz w:val="28"/>
                <w:szCs w:val="28"/>
              </w:rPr>
            </w:pPr>
            <w:r>
              <w:rPr>
                <w:rFonts w:hint="eastAsia" w:eastAsia="仿宋_GB2312"/>
                <w:color w:val="000000"/>
                <w:sz w:val="28"/>
                <w:szCs w:val="28"/>
              </w:rPr>
              <w:t>无法正常使用产品；性能不合格的产品使用于人体</w:t>
            </w:r>
          </w:p>
        </w:tc>
        <w:tc>
          <w:tcPr>
            <w:tcW w:w="2092" w:type="dxa"/>
            <w:tcBorders>
              <w:top w:val="single" w:color="auto" w:sz="4" w:space="0"/>
              <w:left w:val="single" w:color="auto" w:sz="4" w:space="0"/>
              <w:right w:val="single" w:color="auto" w:sz="4" w:space="0"/>
            </w:tcBorders>
            <w:vAlign w:val="center"/>
          </w:tcPr>
          <w:p w14:paraId="2B03E057">
            <w:pPr>
              <w:spacing w:line="520" w:lineRule="exact"/>
              <w:jc w:val="left"/>
              <w:rPr>
                <w:rFonts w:hint="eastAsia" w:eastAsia="仿宋_GB2312"/>
                <w:color w:val="000000"/>
                <w:sz w:val="28"/>
                <w:szCs w:val="28"/>
              </w:rPr>
            </w:pPr>
            <w:r>
              <w:rPr>
                <w:rFonts w:hint="eastAsia" w:eastAsia="仿宋_GB2312"/>
                <w:color w:val="000000"/>
                <w:sz w:val="28"/>
                <w:szCs w:val="28"/>
              </w:rPr>
              <w:t>手术中断，延长手术时间；手术失败或对患者造成机械损伤</w:t>
            </w:r>
          </w:p>
        </w:tc>
      </w:tr>
      <w:tr w14:paraId="627B6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3" w:hRule="atLeast"/>
          <w:jc w:val="center"/>
        </w:trPr>
        <w:tc>
          <w:tcPr>
            <w:tcW w:w="1439" w:type="dxa"/>
            <w:tcBorders>
              <w:top w:val="single" w:color="auto" w:sz="4" w:space="0"/>
              <w:left w:val="single" w:color="auto" w:sz="4" w:space="0"/>
              <w:right w:val="single" w:color="auto" w:sz="4" w:space="0"/>
            </w:tcBorders>
            <w:vAlign w:val="center"/>
          </w:tcPr>
          <w:p w14:paraId="36E08E5E">
            <w:pPr>
              <w:spacing w:line="520" w:lineRule="exact"/>
              <w:jc w:val="center"/>
              <w:rPr>
                <w:rFonts w:hint="eastAsia" w:eastAsia="仿宋_GB2312"/>
                <w:color w:val="000000"/>
                <w:sz w:val="28"/>
                <w:szCs w:val="28"/>
              </w:rPr>
            </w:pPr>
            <w:r>
              <w:rPr>
                <w:rFonts w:hint="eastAsia" w:eastAsia="仿宋_GB2312"/>
                <w:color w:val="000000"/>
                <w:sz w:val="28"/>
                <w:szCs w:val="28"/>
              </w:rPr>
              <w:t>运输和贮藏危险</w:t>
            </w:r>
          </w:p>
        </w:tc>
        <w:tc>
          <w:tcPr>
            <w:tcW w:w="4522" w:type="dxa"/>
            <w:tcBorders>
              <w:top w:val="single" w:color="auto" w:sz="4" w:space="0"/>
              <w:left w:val="single" w:color="auto" w:sz="4" w:space="0"/>
              <w:right w:val="single" w:color="auto" w:sz="4" w:space="0"/>
            </w:tcBorders>
            <w:vAlign w:val="center"/>
          </w:tcPr>
          <w:p w14:paraId="315F1BC5">
            <w:pPr>
              <w:spacing w:line="520" w:lineRule="exact"/>
              <w:jc w:val="left"/>
              <w:rPr>
                <w:rFonts w:hint="eastAsia" w:eastAsia="仿宋_GB2312"/>
                <w:color w:val="000000"/>
                <w:sz w:val="28"/>
                <w:szCs w:val="28"/>
              </w:rPr>
            </w:pPr>
            <w:r>
              <w:rPr>
                <w:rFonts w:hint="eastAsia" w:eastAsia="仿宋_GB2312"/>
                <w:color w:val="000000"/>
                <w:sz w:val="28"/>
                <w:szCs w:val="28"/>
              </w:rPr>
              <w:t>不恰当的包装导致污染；贮藏环境不当；未能按运输储存要求对产品进行防护，造成产品破损、污染；防护不当导致运输中吻合钉脱位/脱落</w:t>
            </w:r>
          </w:p>
        </w:tc>
        <w:tc>
          <w:tcPr>
            <w:tcW w:w="1950" w:type="dxa"/>
            <w:tcBorders>
              <w:top w:val="single" w:color="auto" w:sz="4" w:space="0"/>
              <w:left w:val="single" w:color="auto" w:sz="4" w:space="0"/>
              <w:right w:val="single" w:color="auto" w:sz="4" w:space="0"/>
            </w:tcBorders>
            <w:vAlign w:val="center"/>
          </w:tcPr>
          <w:p w14:paraId="68F0D364">
            <w:pPr>
              <w:spacing w:line="520" w:lineRule="exact"/>
              <w:jc w:val="left"/>
              <w:rPr>
                <w:rFonts w:hint="eastAsia" w:eastAsia="仿宋_GB2312"/>
                <w:color w:val="000000"/>
                <w:sz w:val="28"/>
                <w:szCs w:val="28"/>
              </w:rPr>
            </w:pPr>
            <w:r>
              <w:rPr>
                <w:rFonts w:hint="eastAsia" w:eastAsia="仿宋_GB2312"/>
                <w:color w:val="000000"/>
                <w:sz w:val="28"/>
                <w:szCs w:val="28"/>
              </w:rPr>
              <w:t>被污染的产品与人体接触；使用过程中无法正常吻合</w:t>
            </w:r>
          </w:p>
        </w:tc>
        <w:tc>
          <w:tcPr>
            <w:tcW w:w="2092" w:type="dxa"/>
            <w:tcBorders>
              <w:top w:val="single" w:color="auto" w:sz="4" w:space="0"/>
              <w:left w:val="single" w:color="auto" w:sz="4" w:space="0"/>
              <w:right w:val="single" w:color="auto" w:sz="4" w:space="0"/>
            </w:tcBorders>
            <w:vAlign w:val="center"/>
          </w:tcPr>
          <w:p w14:paraId="70CB65AB">
            <w:pPr>
              <w:spacing w:line="520" w:lineRule="exact"/>
              <w:jc w:val="left"/>
              <w:rPr>
                <w:rFonts w:hint="eastAsia" w:eastAsia="仿宋_GB2312"/>
                <w:color w:val="000000"/>
                <w:sz w:val="28"/>
                <w:szCs w:val="28"/>
              </w:rPr>
            </w:pPr>
            <w:r>
              <w:rPr>
                <w:rFonts w:hint="eastAsia" w:eastAsia="仿宋_GB2312"/>
                <w:color w:val="000000"/>
                <w:sz w:val="28"/>
                <w:szCs w:val="28"/>
              </w:rPr>
              <w:t>造成感染；造成损伤、出血</w:t>
            </w:r>
          </w:p>
        </w:tc>
      </w:tr>
      <w:tr w14:paraId="4BA83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45"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4C594E13">
            <w:pPr>
              <w:spacing w:line="520" w:lineRule="exact"/>
              <w:jc w:val="center"/>
              <w:rPr>
                <w:rFonts w:hint="eastAsia" w:eastAsia="仿宋_GB2312"/>
                <w:color w:val="000000"/>
                <w:sz w:val="28"/>
                <w:szCs w:val="28"/>
              </w:rPr>
            </w:pPr>
            <w:r>
              <w:rPr>
                <w:rFonts w:hint="eastAsia" w:eastAsia="仿宋_GB2312"/>
                <w:color w:val="000000"/>
                <w:sz w:val="28"/>
                <w:szCs w:val="28"/>
              </w:rPr>
              <w:t>使用危险</w:t>
            </w:r>
          </w:p>
        </w:tc>
        <w:tc>
          <w:tcPr>
            <w:tcW w:w="4522" w:type="dxa"/>
            <w:tcBorders>
              <w:top w:val="single" w:color="auto" w:sz="4" w:space="0"/>
              <w:left w:val="single" w:color="auto" w:sz="4" w:space="0"/>
              <w:bottom w:val="single" w:color="auto" w:sz="4" w:space="0"/>
              <w:right w:val="single" w:color="auto" w:sz="4" w:space="0"/>
            </w:tcBorders>
            <w:vAlign w:val="center"/>
          </w:tcPr>
          <w:p w14:paraId="0C193E17">
            <w:pPr>
              <w:spacing w:line="520" w:lineRule="exact"/>
              <w:jc w:val="left"/>
              <w:rPr>
                <w:rFonts w:hint="eastAsia" w:eastAsia="仿宋_GB2312"/>
                <w:color w:val="000000"/>
                <w:sz w:val="28"/>
                <w:szCs w:val="28"/>
              </w:rPr>
            </w:pPr>
            <w:r>
              <w:rPr>
                <w:rFonts w:hint="eastAsia" w:eastAsia="仿宋_GB2312"/>
                <w:color w:val="000000"/>
                <w:sz w:val="28"/>
                <w:szCs w:val="28"/>
              </w:rPr>
              <w:t>型号规格选择不当，造成错误使用；未明示应由经培训的专业人员使用；不完整的使用说明书，造成操作错误；性能特征不恰当的描述、不适当的使用规范，造成错误使用；非预期使用；手柄断裂；使用者未按规范程序使用；重复使用</w:t>
            </w:r>
          </w:p>
        </w:tc>
        <w:tc>
          <w:tcPr>
            <w:tcW w:w="1950" w:type="dxa"/>
            <w:tcBorders>
              <w:top w:val="single" w:color="auto" w:sz="4" w:space="0"/>
              <w:left w:val="single" w:color="auto" w:sz="4" w:space="0"/>
              <w:bottom w:val="single" w:color="auto" w:sz="4" w:space="0"/>
              <w:right w:val="single" w:color="auto" w:sz="4" w:space="0"/>
            </w:tcBorders>
            <w:vAlign w:val="center"/>
          </w:tcPr>
          <w:p w14:paraId="54EBBF8B">
            <w:pPr>
              <w:spacing w:line="520" w:lineRule="exact"/>
              <w:jc w:val="left"/>
              <w:rPr>
                <w:rFonts w:hint="eastAsia" w:eastAsia="仿宋_GB2312"/>
                <w:color w:val="000000"/>
                <w:sz w:val="28"/>
                <w:szCs w:val="28"/>
              </w:rPr>
            </w:pPr>
            <w:r>
              <w:rPr>
                <w:rFonts w:hint="eastAsia" w:eastAsia="仿宋_GB2312"/>
                <w:color w:val="000000"/>
                <w:sz w:val="28"/>
                <w:szCs w:val="28"/>
              </w:rPr>
              <w:t>规格不当；使用过程中损伤生殖器官或无法使用；产品重复使用</w:t>
            </w:r>
          </w:p>
        </w:tc>
        <w:tc>
          <w:tcPr>
            <w:tcW w:w="2092" w:type="dxa"/>
            <w:tcBorders>
              <w:top w:val="single" w:color="auto" w:sz="4" w:space="0"/>
              <w:left w:val="single" w:color="auto" w:sz="4" w:space="0"/>
              <w:bottom w:val="single" w:color="auto" w:sz="4" w:space="0"/>
              <w:right w:val="single" w:color="auto" w:sz="4" w:space="0"/>
            </w:tcBorders>
            <w:vAlign w:val="center"/>
          </w:tcPr>
          <w:p w14:paraId="10ABF35C">
            <w:pPr>
              <w:spacing w:line="520" w:lineRule="exact"/>
              <w:jc w:val="left"/>
              <w:rPr>
                <w:rFonts w:hint="eastAsia" w:eastAsia="仿宋_GB2312"/>
                <w:color w:val="000000"/>
                <w:sz w:val="28"/>
                <w:szCs w:val="28"/>
              </w:rPr>
            </w:pPr>
            <w:r>
              <w:rPr>
                <w:rFonts w:hint="eastAsia" w:eastAsia="仿宋_GB2312"/>
                <w:color w:val="000000"/>
                <w:sz w:val="28"/>
                <w:szCs w:val="28"/>
              </w:rPr>
              <w:t>造成损伤、感染或额外伤害；交叉感染；手术失败</w:t>
            </w:r>
          </w:p>
        </w:tc>
      </w:tr>
    </w:tbl>
    <w:p w14:paraId="48EB18E5">
      <w:pPr>
        <w:spacing w:line="520" w:lineRule="exact"/>
        <w:ind w:firstLine="636" w:firstLineChars="200"/>
        <w:rPr>
          <w:rFonts w:eastAsia="仿宋_GB2312"/>
          <w:color w:val="000000"/>
          <w:spacing w:val="-1"/>
          <w:sz w:val="32"/>
          <w:szCs w:val="32"/>
        </w:rPr>
      </w:pPr>
    </w:p>
    <w:p w14:paraId="4D62FFDE">
      <w:pPr>
        <w:spacing w:line="540" w:lineRule="exact"/>
        <w:ind w:firstLine="636" w:firstLineChars="200"/>
        <w:rPr>
          <w:rFonts w:hint="eastAsia" w:eastAsia="仿宋_GB2312"/>
          <w:color w:val="000000"/>
          <w:spacing w:val="-1"/>
          <w:sz w:val="32"/>
          <w:szCs w:val="32"/>
        </w:rPr>
      </w:pPr>
      <w:r>
        <w:rPr>
          <w:rFonts w:eastAsia="仿宋_GB2312"/>
          <w:color w:val="000000"/>
          <w:spacing w:val="-1"/>
          <w:sz w:val="32"/>
          <w:szCs w:val="32"/>
        </w:rPr>
        <w:t>2.</w:t>
      </w:r>
      <w:r>
        <w:rPr>
          <w:rFonts w:hint="eastAsia" w:eastAsia="仿宋_GB2312"/>
          <w:color w:val="000000"/>
          <w:spacing w:val="-1"/>
          <w:sz w:val="32"/>
          <w:szCs w:val="32"/>
        </w:rPr>
        <w:t>产品技术要求</w:t>
      </w:r>
    </w:p>
    <w:p w14:paraId="1A9D1F04">
      <w:pPr>
        <w:spacing w:line="540" w:lineRule="exact"/>
        <w:ind w:firstLine="640" w:firstLineChars="200"/>
        <w:rPr>
          <w:rFonts w:eastAsia="仿宋_GB2312"/>
          <w:color w:val="000000"/>
          <w:sz w:val="32"/>
          <w:szCs w:val="32"/>
        </w:rPr>
      </w:pPr>
      <w:r>
        <w:rPr>
          <w:rFonts w:eastAsia="仿宋_GB2312"/>
          <w:color w:val="000000"/>
          <w:sz w:val="32"/>
          <w:szCs w:val="32"/>
        </w:rPr>
        <w:t>根据《医疗器械注册与备案管理办法》的要求，产品技术要求应符合国家标准、行业标准和有关法律、法规的要求。在此基础上，申请人应根据产品的特点制定保证产品安全有效、质量可控的技术要求。产品技术要求及试验方法均应经过验证。常见的技术指标包括但不限于：</w:t>
      </w:r>
    </w:p>
    <w:p w14:paraId="530F3650">
      <w:pPr>
        <w:spacing w:line="54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1外观及尺寸</w:t>
      </w:r>
    </w:p>
    <w:p w14:paraId="790ABC90">
      <w:pPr>
        <w:spacing w:line="54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1.1</w:t>
      </w:r>
      <w:r>
        <w:rPr>
          <w:rFonts w:hint="eastAsia" w:eastAsia="仿宋_GB2312"/>
          <w:color w:val="000000"/>
          <w:sz w:val="32"/>
          <w:szCs w:val="32"/>
        </w:rPr>
        <w:t>产品</w:t>
      </w:r>
      <w:r>
        <w:rPr>
          <w:rFonts w:eastAsia="仿宋_GB2312"/>
          <w:color w:val="000000"/>
          <w:sz w:val="32"/>
          <w:szCs w:val="32"/>
        </w:rPr>
        <w:t>外表面应平整、光滑，无锋棱、毛刺及裂纹。器身上</w:t>
      </w:r>
      <w:r>
        <w:rPr>
          <w:rFonts w:hint="eastAsia" w:eastAsia="仿宋_GB2312"/>
          <w:color w:val="000000"/>
          <w:sz w:val="32"/>
          <w:szCs w:val="32"/>
        </w:rPr>
        <w:t>如有</w:t>
      </w:r>
      <w:r>
        <w:rPr>
          <w:rFonts w:eastAsia="仿宋_GB2312"/>
          <w:color w:val="000000"/>
          <w:sz w:val="32"/>
          <w:szCs w:val="32"/>
        </w:rPr>
        <w:t>标志</w:t>
      </w:r>
      <w:r>
        <w:rPr>
          <w:rFonts w:hint="eastAsia" w:eastAsia="仿宋_GB2312"/>
          <w:color w:val="000000"/>
          <w:sz w:val="32"/>
          <w:szCs w:val="32"/>
        </w:rPr>
        <w:t>或</w:t>
      </w:r>
      <w:r>
        <w:rPr>
          <w:rFonts w:eastAsia="仿宋_GB2312"/>
          <w:color w:val="000000"/>
          <w:sz w:val="32"/>
          <w:szCs w:val="32"/>
        </w:rPr>
        <w:t>刻度</w:t>
      </w:r>
      <w:r>
        <w:rPr>
          <w:rFonts w:hint="eastAsia" w:eastAsia="仿宋_GB2312"/>
          <w:color w:val="000000"/>
          <w:sz w:val="32"/>
          <w:szCs w:val="32"/>
        </w:rPr>
        <w:t>，</w:t>
      </w:r>
      <w:r>
        <w:rPr>
          <w:rFonts w:eastAsia="仿宋_GB2312"/>
          <w:color w:val="000000"/>
          <w:sz w:val="32"/>
          <w:szCs w:val="32"/>
        </w:rPr>
        <w:t>应清晰。</w:t>
      </w:r>
    </w:p>
    <w:p w14:paraId="64C39941">
      <w:pPr>
        <w:spacing w:line="54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1.2环形切割刀切口直径。</w:t>
      </w:r>
    </w:p>
    <w:p w14:paraId="126F47F5">
      <w:pPr>
        <w:spacing w:line="54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1.3吻合钉数量、尺寸。</w:t>
      </w:r>
    </w:p>
    <w:p w14:paraId="4509A940">
      <w:pPr>
        <w:spacing w:line="540" w:lineRule="exact"/>
        <w:ind w:firstLine="640" w:firstLineChars="200"/>
        <w:rPr>
          <w:rFonts w:eastAsia="仿宋_GB2312"/>
          <w:color w:val="000000"/>
          <w:sz w:val="32"/>
          <w:szCs w:val="32"/>
        </w:rPr>
      </w:pPr>
      <w:r>
        <w:rPr>
          <w:rFonts w:hint="eastAsia" w:eastAsia="仿宋_GB2312"/>
          <w:color w:val="000000"/>
          <w:sz w:val="32"/>
          <w:szCs w:val="32"/>
        </w:rPr>
        <w:t>2.2</w:t>
      </w:r>
      <w:r>
        <w:rPr>
          <w:rFonts w:eastAsia="仿宋_GB2312"/>
          <w:color w:val="000000"/>
          <w:sz w:val="32"/>
          <w:szCs w:val="32"/>
        </w:rPr>
        <w:t>物理性能</w:t>
      </w:r>
    </w:p>
    <w:p w14:paraId="541F3232">
      <w:pPr>
        <w:spacing w:line="520" w:lineRule="exact"/>
        <w:ind w:firstLine="640" w:firstLineChars="200"/>
        <w:rPr>
          <w:rFonts w:eastAsia="仿宋_GB2312"/>
          <w:color w:val="000000"/>
          <w:sz w:val="32"/>
          <w:szCs w:val="32"/>
        </w:rPr>
      </w:pPr>
      <w:r>
        <w:rPr>
          <w:rFonts w:hint="eastAsia" w:eastAsia="仿宋_GB2312"/>
          <w:color w:val="000000"/>
          <w:sz w:val="32"/>
          <w:szCs w:val="32"/>
        </w:rPr>
        <w:t>2.2</w:t>
      </w:r>
      <w:r>
        <w:rPr>
          <w:rFonts w:eastAsia="仿宋_GB2312"/>
          <w:color w:val="000000"/>
          <w:sz w:val="32"/>
          <w:szCs w:val="32"/>
        </w:rPr>
        <w:t>.1硬度：由申请人根据不同材料特性及设计需求，制定抵钉座</w:t>
      </w:r>
      <w:r>
        <w:rPr>
          <w:rFonts w:hint="eastAsia" w:eastAsia="仿宋_GB2312"/>
          <w:color w:val="000000"/>
          <w:sz w:val="32"/>
          <w:szCs w:val="32"/>
        </w:rPr>
        <w:t>、环形切割刀</w:t>
      </w:r>
      <w:r>
        <w:rPr>
          <w:rFonts w:eastAsia="仿宋_GB2312"/>
          <w:color w:val="000000"/>
          <w:sz w:val="32"/>
          <w:szCs w:val="32"/>
        </w:rPr>
        <w:t>的硬度要求</w:t>
      </w:r>
      <w:r>
        <w:rPr>
          <w:rFonts w:hint="eastAsia" w:eastAsia="仿宋_GB2312"/>
          <w:color w:val="000000"/>
          <w:sz w:val="32"/>
          <w:szCs w:val="32"/>
        </w:rPr>
        <w:t>。</w:t>
      </w:r>
    </w:p>
    <w:p w14:paraId="2E4CD94E">
      <w:pPr>
        <w:spacing w:line="520" w:lineRule="exact"/>
        <w:ind w:firstLine="640" w:firstLineChars="200"/>
        <w:rPr>
          <w:rFonts w:eastAsia="仿宋_GB2312"/>
          <w:color w:val="000000"/>
          <w:sz w:val="32"/>
          <w:szCs w:val="32"/>
        </w:rPr>
      </w:pPr>
      <w:r>
        <w:rPr>
          <w:rFonts w:hint="eastAsia" w:eastAsia="仿宋_GB2312"/>
          <w:color w:val="000000"/>
          <w:sz w:val="32"/>
          <w:szCs w:val="32"/>
        </w:rPr>
        <w:t>2.2</w:t>
      </w:r>
      <w:r>
        <w:rPr>
          <w:rFonts w:eastAsia="仿宋_GB2312"/>
          <w:color w:val="000000"/>
          <w:sz w:val="32"/>
          <w:szCs w:val="32"/>
        </w:rPr>
        <w:t>.2表面粗糙度：与</w:t>
      </w:r>
      <w:r>
        <w:rPr>
          <w:rFonts w:hint="eastAsia" w:eastAsia="仿宋_GB2312"/>
          <w:color w:val="000000"/>
          <w:sz w:val="32"/>
          <w:szCs w:val="32"/>
        </w:rPr>
        <w:t>患者</w:t>
      </w:r>
      <w:r>
        <w:rPr>
          <w:rFonts w:eastAsia="仿宋_GB2312"/>
          <w:color w:val="000000"/>
          <w:sz w:val="32"/>
          <w:szCs w:val="32"/>
        </w:rPr>
        <w:t>接触的</w:t>
      </w:r>
      <w:r>
        <w:rPr>
          <w:rFonts w:hint="eastAsia" w:eastAsia="仿宋_GB2312"/>
          <w:color w:val="000000"/>
          <w:sz w:val="32"/>
          <w:szCs w:val="32"/>
        </w:rPr>
        <w:t>产品</w:t>
      </w:r>
      <w:r>
        <w:rPr>
          <w:rFonts w:eastAsia="仿宋_GB2312"/>
          <w:color w:val="000000"/>
          <w:sz w:val="32"/>
          <w:szCs w:val="32"/>
        </w:rPr>
        <w:t>金属组件外露表面粗糙度Ra应不大于0.8 μm。</w:t>
      </w:r>
    </w:p>
    <w:p w14:paraId="454C34A2">
      <w:pPr>
        <w:spacing w:line="520" w:lineRule="exact"/>
        <w:ind w:firstLine="640" w:firstLineChars="200"/>
        <w:rPr>
          <w:rFonts w:eastAsia="仿宋_GB2312"/>
          <w:color w:val="000000"/>
          <w:sz w:val="32"/>
          <w:szCs w:val="32"/>
        </w:rPr>
      </w:pPr>
      <w:r>
        <w:rPr>
          <w:rFonts w:hint="eastAsia" w:eastAsia="仿宋_GB2312"/>
          <w:color w:val="000000"/>
          <w:sz w:val="32"/>
          <w:szCs w:val="32"/>
        </w:rPr>
        <w:t>2.2</w:t>
      </w:r>
      <w:r>
        <w:rPr>
          <w:rFonts w:eastAsia="仿宋_GB2312"/>
          <w:color w:val="000000"/>
          <w:sz w:val="32"/>
          <w:szCs w:val="32"/>
        </w:rPr>
        <w:t>.3环形切割刀锋利度：环形切割刀刃口应锋利，不得有卷刃、崩刃</w:t>
      </w:r>
      <w:r>
        <w:rPr>
          <w:rFonts w:hint="eastAsia" w:eastAsia="仿宋_GB2312"/>
          <w:color w:val="000000"/>
          <w:sz w:val="32"/>
          <w:szCs w:val="32"/>
        </w:rPr>
        <w:t>，</w:t>
      </w:r>
      <w:r>
        <w:rPr>
          <w:rFonts w:eastAsia="仿宋_GB2312"/>
          <w:color w:val="000000"/>
          <w:sz w:val="32"/>
          <w:szCs w:val="32"/>
        </w:rPr>
        <w:t>当切割3—0真丝捻制不涂层缝合线时，其切割力应不大于1.6 N。</w:t>
      </w:r>
    </w:p>
    <w:p w14:paraId="6BBD6942">
      <w:pPr>
        <w:spacing w:line="520" w:lineRule="exact"/>
        <w:ind w:firstLine="640" w:firstLineChars="200"/>
        <w:rPr>
          <w:rFonts w:eastAsia="仿宋_GB2312"/>
          <w:color w:val="000000"/>
          <w:sz w:val="32"/>
          <w:szCs w:val="32"/>
        </w:rPr>
      </w:pPr>
      <w:r>
        <w:rPr>
          <w:rFonts w:hint="eastAsia" w:eastAsia="仿宋_GB2312"/>
          <w:color w:val="000000"/>
          <w:sz w:val="32"/>
          <w:szCs w:val="32"/>
        </w:rPr>
        <w:t>2.3</w:t>
      </w:r>
      <w:r>
        <w:rPr>
          <w:rFonts w:eastAsia="仿宋_GB2312"/>
          <w:color w:val="000000"/>
          <w:sz w:val="32"/>
          <w:szCs w:val="32"/>
        </w:rPr>
        <w:t>化学性能</w:t>
      </w:r>
    </w:p>
    <w:p w14:paraId="77C2A745">
      <w:pPr>
        <w:spacing w:line="520" w:lineRule="exact"/>
        <w:ind w:firstLine="640" w:firstLineChars="200"/>
        <w:rPr>
          <w:rFonts w:eastAsia="仿宋_GB2312"/>
          <w:color w:val="000000"/>
          <w:sz w:val="32"/>
          <w:szCs w:val="32"/>
        </w:rPr>
      </w:pPr>
      <w:r>
        <w:rPr>
          <w:rFonts w:hint="eastAsia" w:eastAsia="仿宋_GB2312"/>
          <w:color w:val="000000"/>
          <w:sz w:val="32"/>
          <w:szCs w:val="32"/>
        </w:rPr>
        <w:t>2.3</w:t>
      </w:r>
      <w:r>
        <w:rPr>
          <w:rFonts w:eastAsia="仿宋_GB2312"/>
          <w:color w:val="000000"/>
          <w:sz w:val="32"/>
          <w:szCs w:val="32"/>
        </w:rPr>
        <w:t>.1耐腐蚀性能：与患者接触的</w:t>
      </w:r>
      <w:r>
        <w:rPr>
          <w:rFonts w:hint="eastAsia" w:eastAsia="仿宋_GB2312"/>
          <w:color w:val="000000"/>
          <w:sz w:val="32"/>
          <w:szCs w:val="32"/>
        </w:rPr>
        <w:t>产品</w:t>
      </w:r>
      <w:r>
        <w:rPr>
          <w:rFonts w:eastAsia="仿宋_GB2312"/>
          <w:color w:val="000000"/>
          <w:sz w:val="32"/>
          <w:szCs w:val="32"/>
        </w:rPr>
        <w:t>金属组件的耐腐蚀性</w:t>
      </w:r>
      <w:r>
        <w:rPr>
          <w:rFonts w:hint="eastAsia" w:eastAsia="仿宋_GB2312"/>
          <w:color w:val="000000"/>
          <w:sz w:val="32"/>
          <w:szCs w:val="32"/>
        </w:rPr>
        <w:t>能（参考</w:t>
      </w:r>
      <w:r>
        <w:rPr>
          <w:rFonts w:eastAsia="仿宋_GB2312"/>
          <w:color w:val="000000"/>
          <w:sz w:val="32"/>
          <w:szCs w:val="32"/>
        </w:rPr>
        <w:t>YY/T 0149中5.4 b</w:t>
      </w:r>
      <w:r>
        <w:rPr>
          <w:rFonts w:eastAsia="仿宋_GB2312"/>
          <w:color w:val="000000"/>
          <w:sz w:val="32"/>
          <w:szCs w:val="32"/>
          <w:lang w:val="en"/>
        </w:rPr>
        <w:t>）</w:t>
      </w:r>
      <w:r>
        <w:rPr>
          <w:rFonts w:eastAsia="仿宋_GB2312"/>
          <w:color w:val="000000"/>
          <w:sz w:val="32"/>
          <w:szCs w:val="32"/>
        </w:rPr>
        <w:t>的规定</w:t>
      </w:r>
      <w:r>
        <w:rPr>
          <w:rFonts w:hint="eastAsia" w:eastAsia="仿宋_GB2312"/>
          <w:color w:val="000000"/>
          <w:sz w:val="32"/>
          <w:szCs w:val="32"/>
        </w:rPr>
        <w:t>）</w:t>
      </w:r>
      <w:r>
        <w:rPr>
          <w:rFonts w:eastAsia="仿宋_GB2312"/>
          <w:color w:val="000000"/>
          <w:sz w:val="32"/>
          <w:szCs w:val="32"/>
        </w:rPr>
        <w:t>。</w:t>
      </w:r>
    </w:p>
    <w:p w14:paraId="4DFC8B64">
      <w:pPr>
        <w:spacing w:line="520" w:lineRule="exact"/>
        <w:ind w:firstLine="640" w:firstLineChars="200"/>
        <w:rPr>
          <w:rFonts w:eastAsia="仿宋_GB2312"/>
          <w:color w:val="000000"/>
          <w:sz w:val="32"/>
          <w:szCs w:val="32"/>
        </w:rPr>
      </w:pPr>
      <w:r>
        <w:rPr>
          <w:rFonts w:hint="eastAsia" w:eastAsia="仿宋_GB2312"/>
          <w:color w:val="000000"/>
          <w:sz w:val="32"/>
          <w:szCs w:val="32"/>
        </w:rPr>
        <w:t>2.3</w:t>
      </w:r>
      <w:r>
        <w:rPr>
          <w:rFonts w:eastAsia="仿宋_GB2312"/>
          <w:color w:val="000000"/>
          <w:sz w:val="32"/>
          <w:szCs w:val="32"/>
        </w:rPr>
        <w:t>.2由申请人根据不同材料特性决定是否对</w:t>
      </w:r>
      <w:r>
        <w:rPr>
          <w:rFonts w:hint="eastAsia" w:eastAsia="仿宋_GB2312"/>
          <w:color w:val="000000"/>
          <w:sz w:val="32"/>
          <w:szCs w:val="32"/>
        </w:rPr>
        <w:t>产品</w:t>
      </w:r>
      <w:r>
        <w:rPr>
          <w:rFonts w:eastAsia="仿宋_GB2312"/>
          <w:color w:val="000000"/>
          <w:sz w:val="32"/>
          <w:szCs w:val="32"/>
        </w:rPr>
        <w:t>中组件</w:t>
      </w:r>
      <w:r>
        <w:rPr>
          <w:rFonts w:hint="eastAsia" w:eastAsia="仿宋_GB2312"/>
          <w:color w:val="000000"/>
          <w:sz w:val="32"/>
          <w:szCs w:val="32"/>
        </w:rPr>
        <w:t>、配件</w:t>
      </w:r>
      <w:r>
        <w:rPr>
          <w:rFonts w:eastAsia="仿宋_GB2312"/>
          <w:color w:val="000000"/>
          <w:sz w:val="32"/>
          <w:szCs w:val="32"/>
        </w:rPr>
        <w:t>的化学性能（重金属、酸碱度</w:t>
      </w:r>
      <w:r>
        <w:rPr>
          <w:rFonts w:hint="eastAsia" w:eastAsia="仿宋_GB2312"/>
          <w:color w:val="000000"/>
          <w:sz w:val="32"/>
          <w:szCs w:val="32"/>
        </w:rPr>
        <w:t>、紫外吸光度</w:t>
      </w:r>
      <w:r>
        <w:rPr>
          <w:rFonts w:eastAsia="仿宋_GB2312"/>
          <w:color w:val="000000"/>
          <w:sz w:val="32"/>
          <w:szCs w:val="32"/>
        </w:rPr>
        <w:t>等）提出要求。若灭菌使用的方法容易产生残留，应明确残留物的名称及残留量要求。</w:t>
      </w:r>
    </w:p>
    <w:p w14:paraId="2E8F3D4D">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使用性能</w:t>
      </w:r>
    </w:p>
    <w:p w14:paraId="43B4A298">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产品</w:t>
      </w:r>
      <w:r>
        <w:rPr>
          <w:rFonts w:eastAsia="仿宋_GB2312"/>
          <w:color w:val="000000"/>
          <w:sz w:val="32"/>
          <w:szCs w:val="32"/>
        </w:rPr>
        <w:t>的需装配组件（龟头</w:t>
      </w:r>
      <w:r>
        <w:rPr>
          <w:rFonts w:hint="eastAsia" w:eastAsia="仿宋_GB2312"/>
          <w:color w:val="000000"/>
          <w:sz w:val="32"/>
          <w:szCs w:val="32"/>
        </w:rPr>
        <w:t>罩</w:t>
      </w:r>
      <w:r>
        <w:rPr>
          <w:rFonts w:eastAsia="仿宋_GB2312"/>
          <w:color w:val="000000"/>
          <w:sz w:val="32"/>
          <w:szCs w:val="32"/>
        </w:rPr>
        <w:t>等）与器身架应能顺利地装配和拆卸；各移动部位应能顺利推动，不得有卡</w:t>
      </w:r>
      <w:r>
        <w:rPr>
          <w:rFonts w:hint="eastAsia" w:eastAsia="仿宋_GB2312"/>
          <w:color w:val="000000"/>
          <w:sz w:val="32"/>
          <w:szCs w:val="32"/>
        </w:rPr>
        <w:t>阻</w:t>
      </w:r>
      <w:r>
        <w:rPr>
          <w:rFonts w:eastAsia="仿宋_GB2312"/>
          <w:color w:val="000000"/>
          <w:sz w:val="32"/>
          <w:szCs w:val="32"/>
        </w:rPr>
        <w:t>、松动现象。</w:t>
      </w:r>
    </w:p>
    <w:p w14:paraId="71DAA711">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.2</w:t>
      </w:r>
      <w:r>
        <w:rPr>
          <w:rFonts w:hint="eastAsia" w:eastAsia="仿宋_GB2312"/>
          <w:color w:val="000000"/>
          <w:sz w:val="32"/>
          <w:szCs w:val="32"/>
        </w:rPr>
        <w:t>产品</w:t>
      </w:r>
      <w:r>
        <w:rPr>
          <w:rFonts w:eastAsia="仿宋_GB2312"/>
          <w:color w:val="000000"/>
          <w:sz w:val="32"/>
          <w:szCs w:val="32"/>
        </w:rPr>
        <w:t>的</w:t>
      </w:r>
      <w:r>
        <w:rPr>
          <w:rFonts w:hint="eastAsia" w:eastAsia="仿宋_GB2312"/>
          <w:color w:val="000000"/>
          <w:sz w:val="32"/>
          <w:szCs w:val="32"/>
        </w:rPr>
        <w:t>保险扣</w:t>
      </w:r>
      <w:r>
        <w:rPr>
          <w:rFonts w:eastAsia="仿宋_GB2312"/>
          <w:color w:val="000000"/>
          <w:sz w:val="32"/>
          <w:szCs w:val="32"/>
        </w:rPr>
        <w:t>开闭应灵活，使用应安全；弹簧应有足够的弹性，松开</w:t>
      </w:r>
      <w:r>
        <w:rPr>
          <w:rFonts w:hint="eastAsia" w:eastAsia="仿宋_GB2312"/>
          <w:color w:val="000000"/>
          <w:sz w:val="32"/>
          <w:szCs w:val="32"/>
        </w:rPr>
        <w:t>手柄</w:t>
      </w:r>
      <w:r>
        <w:rPr>
          <w:rFonts w:eastAsia="仿宋_GB2312"/>
          <w:color w:val="000000"/>
          <w:sz w:val="32"/>
          <w:szCs w:val="32"/>
        </w:rPr>
        <w:t>时能迅速复位。</w:t>
      </w:r>
    </w:p>
    <w:p w14:paraId="74160B3F">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w:t>
      </w:r>
      <w:r>
        <w:rPr>
          <w:rFonts w:hint="eastAsia" w:eastAsia="仿宋_GB2312"/>
          <w:color w:val="000000"/>
          <w:sz w:val="32"/>
          <w:szCs w:val="32"/>
        </w:rPr>
        <w:t>3产品</w:t>
      </w:r>
      <w:r>
        <w:rPr>
          <w:rFonts w:eastAsia="仿宋_GB2312"/>
          <w:color w:val="000000"/>
          <w:sz w:val="32"/>
          <w:szCs w:val="32"/>
        </w:rPr>
        <w:t>应具有良好的吻合和切割性能，吻合后的吻合钉应成规定的形状。</w:t>
      </w:r>
    </w:p>
    <w:p w14:paraId="0C4D1841">
      <w:pPr>
        <w:spacing w:line="520" w:lineRule="exact"/>
        <w:ind w:firstLine="640" w:firstLineChars="200"/>
        <w:rPr>
          <w:rFonts w:hint="eastAsia" w:eastAsia="仿宋_GB2312"/>
          <w:color w:val="000000"/>
          <w:spacing w:val="-1"/>
          <w:sz w:val="32"/>
          <w:szCs w:val="32"/>
        </w:rPr>
      </w:pPr>
      <w:r>
        <w:rPr>
          <w:rFonts w:hint="eastAsia" w:eastAsia="仿宋_GB2312"/>
          <w:color w:val="000000"/>
          <w:sz w:val="32"/>
          <w:szCs w:val="32"/>
        </w:rPr>
        <w:t>2.5</w:t>
      </w:r>
      <w:r>
        <w:rPr>
          <w:rFonts w:eastAsia="仿宋_GB2312"/>
          <w:color w:val="000000"/>
          <w:sz w:val="32"/>
          <w:szCs w:val="32"/>
        </w:rPr>
        <w:t>无菌</w:t>
      </w:r>
    </w:p>
    <w:p w14:paraId="222FABC2">
      <w:pPr>
        <w:spacing w:line="520" w:lineRule="exact"/>
        <w:ind w:firstLine="636" w:firstLineChars="200"/>
        <w:rPr>
          <w:rFonts w:hint="eastAsia" w:eastAsia="仿宋_GB2312"/>
          <w:color w:val="000000"/>
          <w:spacing w:val="-1"/>
          <w:sz w:val="32"/>
          <w:szCs w:val="32"/>
        </w:rPr>
      </w:pPr>
      <w:r>
        <w:rPr>
          <w:rFonts w:eastAsia="仿宋_GB2312"/>
          <w:color w:val="000000"/>
          <w:spacing w:val="-1"/>
          <w:sz w:val="32"/>
          <w:szCs w:val="32"/>
        </w:rPr>
        <w:t>3.</w:t>
      </w:r>
      <w:r>
        <w:rPr>
          <w:rFonts w:hint="eastAsia" w:eastAsia="仿宋_GB2312"/>
          <w:color w:val="000000"/>
          <w:spacing w:val="-1"/>
          <w:sz w:val="32"/>
          <w:szCs w:val="32"/>
        </w:rPr>
        <w:t>研究资料</w:t>
      </w:r>
    </w:p>
    <w:p w14:paraId="68C0830C">
      <w:pPr>
        <w:spacing w:line="520" w:lineRule="exact"/>
        <w:ind w:firstLine="640" w:firstLineChars="200"/>
        <w:rPr>
          <w:rFonts w:eastAsia="仿宋_GB2312"/>
          <w:color w:val="000000"/>
          <w:sz w:val="32"/>
          <w:szCs w:val="32"/>
        </w:rPr>
      </w:pPr>
      <w:r>
        <w:rPr>
          <w:rFonts w:eastAsia="仿宋_GB2312"/>
          <w:color w:val="000000"/>
          <w:sz w:val="32"/>
          <w:szCs w:val="32"/>
        </w:rPr>
        <w:t>根据所申报的产品，提供适用的研究资料。</w:t>
      </w:r>
    </w:p>
    <w:p w14:paraId="05773AF5">
      <w:pPr>
        <w:spacing w:line="52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1产品性能研究</w:t>
      </w:r>
    </w:p>
    <w:p w14:paraId="35678111">
      <w:pPr>
        <w:spacing w:line="520" w:lineRule="exact"/>
        <w:ind w:firstLine="640" w:firstLineChars="200"/>
        <w:rPr>
          <w:rFonts w:hint="eastAsia" w:eastAsia="仿宋_GB2312"/>
          <w:color w:val="000000"/>
          <w:sz w:val="32"/>
          <w:szCs w:val="32"/>
        </w:rPr>
      </w:pPr>
      <w:r>
        <w:rPr>
          <w:rFonts w:eastAsia="仿宋_GB2312"/>
          <w:color w:val="000000"/>
          <w:sz w:val="32"/>
          <w:szCs w:val="32"/>
        </w:rPr>
        <w:t>应当提供产品性能研究资料以及产品技术要求的研究和编制说明，包括功能性、安全性指标（如化学性能、物理性能、微生物性能）以及与质量控制相关的其他指标的确定依据。产品的性能要求及试验方法可参考</w:t>
      </w:r>
      <w:r>
        <w:rPr>
          <w:rFonts w:hint="eastAsia" w:eastAsia="仿宋_GB2312"/>
          <w:color w:val="000000"/>
          <w:sz w:val="32"/>
          <w:szCs w:val="32"/>
        </w:rPr>
        <w:t>相应国家标准、行业标准的的适用部分进行制定（如YY/T 0245《吻（缝）合器 通用技术条件》等）。</w:t>
      </w:r>
    </w:p>
    <w:p w14:paraId="5F2E95EE">
      <w:pPr>
        <w:spacing w:line="52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2生物相容性评价研究</w:t>
      </w:r>
    </w:p>
    <w:p w14:paraId="122E7F1F">
      <w:pPr>
        <w:spacing w:line="520" w:lineRule="exact"/>
        <w:ind w:firstLine="640" w:firstLineChars="200"/>
        <w:rPr>
          <w:rFonts w:eastAsia="仿宋_GB2312"/>
          <w:color w:val="000000"/>
          <w:sz w:val="32"/>
          <w:szCs w:val="32"/>
        </w:rPr>
      </w:pPr>
      <w:r>
        <w:rPr>
          <w:rFonts w:eastAsia="仿宋_GB2312"/>
          <w:color w:val="000000"/>
          <w:sz w:val="32"/>
          <w:szCs w:val="32"/>
        </w:rPr>
        <w:t>对产品中与患者短期接触的组件，如抵钉座、钉仓等应按照GB/T 16886《医疗器械生物学评价》系列标准进行生物相容性评价。一般应评价的项目包括细胞毒性、致敏和皮内反应等。</w:t>
      </w:r>
    </w:p>
    <w:p w14:paraId="13D3462A">
      <w:pPr>
        <w:spacing w:line="520" w:lineRule="exact"/>
        <w:ind w:firstLine="640" w:firstLineChars="200"/>
        <w:rPr>
          <w:rFonts w:eastAsia="仿宋_GB2312"/>
          <w:color w:val="000000"/>
          <w:sz w:val="32"/>
          <w:szCs w:val="32"/>
        </w:rPr>
      </w:pPr>
      <w:r>
        <w:rPr>
          <w:rFonts w:eastAsia="仿宋_GB2312"/>
          <w:color w:val="000000"/>
          <w:sz w:val="32"/>
          <w:szCs w:val="32"/>
        </w:rPr>
        <w:t>对产品中与患者长期接触的组件，如吻合钉、吻合钉垫圈等应按照GB/T 16886《医疗器械生物学评价》系列标准进行生物相容性评价。一般应评价的项目包括细胞毒性、致敏、皮内反应等。</w:t>
      </w:r>
    </w:p>
    <w:p w14:paraId="3986A0B0">
      <w:pPr>
        <w:spacing w:line="520" w:lineRule="exact"/>
        <w:ind w:firstLine="640" w:firstLineChars="200"/>
        <w:rPr>
          <w:rFonts w:eastAsia="仿宋_GB2312"/>
          <w:color w:val="000000"/>
          <w:sz w:val="32"/>
          <w:szCs w:val="32"/>
        </w:rPr>
      </w:pPr>
      <w:r>
        <w:rPr>
          <w:rFonts w:eastAsia="仿宋_GB2312"/>
          <w:color w:val="000000"/>
          <w:sz w:val="32"/>
          <w:szCs w:val="32"/>
        </w:rPr>
        <w:t>吻合钉目前多采用钛、钛合金或纯钽、不锈钢材料。吻合钉一般应选用符合GB/T 13810中钛或钛合金材料化学成分要求的纯钛、钛合金材料，或符合YY/T 0245、ISO 13782中纯钽材料化学成分要求的纯钽材料，或符合GB 4234.1中不锈钢材料化学成分要求的不锈钢材料。</w:t>
      </w:r>
      <w:r>
        <w:rPr>
          <w:rFonts w:hint="eastAsia" w:eastAsia="仿宋_GB2312"/>
          <w:color w:val="000000"/>
          <w:sz w:val="32"/>
          <w:szCs w:val="32"/>
        </w:rPr>
        <w:t>对于采用以上材料制作的吻合钉可豁免生物学试验，并将吻合钉成分证明资料作为生物相容性评价研究资料的一部分。</w:t>
      </w:r>
      <w:r>
        <w:rPr>
          <w:rFonts w:eastAsia="仿宋_GB2312"/>
          <w:color w:val="000000"/>
          <w:sz w:val="32"/>
          <w:szCs w:val="32"/>
        </w:rPr>
        <w:t>选用其他材料（如其他不锈钢材料、其他金属材料）或表面改性处理的纯钛、钛合金、纯钽等制成的吻合钉，应按照GB/T 16886《医疗器械生物学评价》系列标准对吻合钉进行生物相容性评价研究，一般包括但不限于细胞毒性、致敏、皮内反应、急性毒性、亚慢性毒性、遗传毒性和植入后局部反应。</w:t>
      </w:r>
    </w:p>
    <w:p w14:paraId="72D89323">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部分产品结构组成中包括吻合钉垫圈，应按照GB/T 16886《医疗器械生物学评价》系列标准对吻合钉垫圈进行生物相容性评价研究，一般应评价的项目包括细胞毒性、致敏、皮内反应。</w:t>
      </w:r>
    </w:p>
    <w:p w14:paraId="00286B49">
      <w:pPr>
        <w:spacing w:line="520" w:lineRule="exact"/>
        <w:ind w:firstLine="640" w:firstLineChars="200"/>
        <w:rPr>
          <w:rFonts w:eastAsia="仿宋_GB2312"/>
          <w:color w:val="000000"/>
          <w:sz w:val="32"/>
          <w:szCs w:val="32"/>
        </w:rPr>
      </w:pPr>
      <w:r>
        <w:rPr>
          <w:rFonts w:eastAsia="仿宋_GB2312"/>
          <w:color w:val="000000"/>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0DAF160D">
      <w:pPr>
        <w:spacing w:line="52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3灭菌工艺研究</w:t>
      </w:r>
    </w:p>
    <w:p w14:paraId="45102F49">
      <w:pPr>
        <w:spacing w:line="540" w:lineRule="exact"/>
        <w:ind w:firstLine="640" w:firstLineChars="200"/>
        <w:rPr>
          <w:rFonts w:eastAsia="仿宋_GB2312"/>
          <w:color w:val="000000"/>
          <w:sz w:val="32"/>
          <w:szCs w:val="32"/>
        </w:rPr>
      </w:pPr>
      <w:r>
        <w:rPr>
          <w:rFonts w:eastAsia="仿宋_GB2312"/>
          <w:color w:val="000000"/>
          <w:sz w:val="32"/>
          <w:szCs w:val="32"/>
        </w:rPr>
        <w:t>应明确灭菌工艺（方法和参数）及其选择依据和无菌保证水平（SAL），并提供灭菌确认报告，无菌保证水平（SAL）应保证达到1×10</w:t>
      </w:r>
      <w:r>
        <w:rPr>
          <w:rFonts w:eastAsia="仿宋_GB2312"/>
          <w:color w:val="000000"/>
          <w:sz w:val="40"/>
          <w:szCs w:val="40"/>
          <w:vertAlign w:val="superscript"/>
        </w:rPr>
        <w:t>-6</w:t>
      </w:r>
      <w:r>
        <w:rPr>
          <w:rFonts w:eastAsia="仿宋_GB2312"/>
          <w:color w:val="000000"/>
          <w:sz w:val="32"/>
          <w:szCs w:val="32"/>
        </w:rPr>
        <w:t>。灭菌过程的选择应至少考虑以下因素：产品与灭菌过程的适应性；包装材料与灭菌过程的适应性；灭菌对产品安全有效性的影响。</w:t>
      </w:r>
    </w:p>
    <w:p w14:paraId="15608F8A">
      <w:pPr>
        <w:spacing w:line="540" w:lineRule="exact"/>
        <w:ind w:firstLine="640" w:firstLineChars="200"/>
        <w:rPr>
          <w:rFonts w:eastAsia="仿宋_GB2312"/>
          <w:color w:val="000000"/>
          <w:sz w:val="32"/>
          <w:szCs w:val="32"/>
        </w:rPr>
      </w:pPr>
      <w:r>
        <w:rPr>
          <w:rFonts w:eastAsia="仿宋_GB2312"/>
          <w:color w:val="000000"/>
          <w:sz w:val="32"/>
          <w:szCs w:val="32"/>
        </w:rPr>
        <w:t>若灭菌使用的方法易出现残留，应明确残留物的名称、限量及其确定依据、采取的处理措施及相应的残留量检测报告。</w:t>
      </w:r>
    </w:p>
    <w:p w14:paraId="456FE2F8">
      <w:pPr>
        <w:spacing w:line="54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4产品有效期和包装研究</w:t>
      </w:r>
    </w:p>
    <w:p w14:paraId="33F14598">
      <w:pPr>
        <w:spacing w:line="54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4.1</w:t>
      </w:r>
      <w:r>
        <w:rPr>
          <w:rFonts w:hint="eastAsia" w:eastAsia="仿宋_GB2312"/>
          <w:color w:val="000000"/>
          <w:sz w:val="32"/>
          <w:szCs w:val="32"/>
        </w:rPr>
        <w:t>有效期研究资料</w:t>
      </w:r>
    </w:p>
    <w:p w14:paraId="60E6F6B2">
      <w:pPr>
        <w:spacing w:line="540" w:lineRule="exact"/>
        <w:ind w:firstLine="640" w:firstLineChars="200"/>
        <w:rPr>
          <w:rFonts w:eastAsia="仿宋_GB2312"/>
          <w:color w:val="000000"/>
          <w:sz w:val="32"/>
          <w:szCs w:val="32"/>
        </w:rPr>
      </w:pPr>
      <w:r>
        <w:rPr>
          <w:rFonts w:eastAsia="仿宋_GB2312"/>
          <w:color w:val="000000"/>
          <w:sz w:val="32"/>
          <w:szCs w:val="32"/>
        </w:rPr>
        <w:t>货架有效期包括产品有效期和包装有效期。产品有效期验证可采用加速老化或实时老化的研究，加速老化试验研究的具体要求可参考YY/T 0681.1，应遵循极限试验等原则。</w:t>
      </w:r>
    </w:p>
    <w:p w14:paraId="06F3620B">
      <w:pPr>
        <w:spacing w:line="540" w:lineRule="exact"/>
        <w:ind w:firstLine="640" w:firstLineChars="200"/>
        <w:rPr>
          <w:rFonts w:eastAsia="仿宋_GB2312"/>
          <w:color w:val="000000"/>
          <w:sz w:val="32"/>
          <w:szCs w:val="32"/>
        </w:rPr>
      </w:pPr>
      <w:r>
        <w:rPr>
          <w:rFonts w:eastAsia="仿宋_GB2312"/>
          <w:color w:val="000000"/>
          <w:sz w:val="32"/>
          <w:szCs w:val="32"/>
        </w:rPr>
        <w:t>对于包装的有效期验证，建议申请人提交在选择恰当的材料和包装结构合格后的最终成品包装的初始完整性和维持完整性的检测结果。在进行加速老化试验研究时应注意产品选择的环境条件的老化机制应与在实时正常使用环境老化条件下真实发生产品老化的机制相匹配。</w:t>
      </w:r>
    </w:p>
    <w:p w14:paraId="6A8F3A60">
      <w:pPr>
        <w:spacing w:line="52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4.2</w:t>
      </w:r>
      <w:r>
        <w:rPr>
          <w:rFonts w:hint="eastAsia" w:eastAsia="仿宋_GB2312"/>
          <w:color w:val="000000"/>
          <w:sz w:val="32"/>
          <w:szCs w:val="32"/>
        </w:rPr>
        <w:t>包装研究资料</w:t>
      </w:r>
    </w:p>
    <w:p w14:paraId="737758AE">
      <w:pPr>
        <w:spacing w:line="520" w:lineRule="exact"/>
        <w:ind w:firstLine="640" w:firstLineChars="200"/>
        <w:rPr>
          <w:rFonts w:eastAsia="仿宋_GB2312"/>
          <w:color w:val="000000"/>
          <w:sz w:val="32"/>
          <w:szCs w:val="32"/>
        </w:rPr>
      </w:pPr>
      <w:r>
        <w:rPr>
          <w:rFonts w:eastAsia="仿宋_GB2312"/>
          <w:color w:val="000000"/>
          <w:sz w:val="32"/>
          <w:szCs w:val="32"/>
        </w:rPr>
        <w:t>产品包装验证可依据有关标准进行（如GB/T 19633、YY/T 0681系列标准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14:paraId="54D3BCDE">
      <w:pPr>
        <w:spacing w:line="520" w:lineRule="exact"/>
        <w:ind w:firstLine="636" w:firstLineChars="200"/>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5其他资料</w:t>
      </w:r>
    </w:p>
    <w:p w14:paraId="1793CF80">
      <w:pPr>
        <w:spacing w:line="520" w:lineRule="exact"/>
        <w:ind w:firstLine="640" w:firstLineChars="200"/>
        <w:rPr>
          <w:rFonts w:hint="eastAsia" w:eastAsia="仿宋_GB2312"/>
          <w:color w:val="000000"/>
          <w:spacing w:val="-1"/>
          <w:sz w:val="32"/>
          <w:szCs w:val="32"/>
        </w:rPr>
      </w:pPr>
      <w:r>
        <w:rPr>
          <w:rFonts w:eastAsia="仿宋_GB2312"/>
          <w:color w:val="000000"/>
          <w:sz w:val="32"/>
          <w:szCs w:val="32"/>
        </w:rPr>
        <w:t>证明产品安全性、有效性的其他研究资料</w:t>
      </w:r>
      <w:r>
        <w:rPr>
          <w:rFonts w:eastAsia="仿宋"/>
          <w:sz w:val="32"/>
          <w:szCs w:val="32"/>
        </w:rPr>
        <w:t>。</w:t>
      </w:r>
    </w:p>
    <w:p w14:paraId="577CBD32">
      <w:pPr>
        <w:spacing w:line="520" w:lineRule="exact"/>
        <w:ind w:right="-67" w:rightChars="-32" w:firstLine="640" w:firstLineChars="200"/>
        <w:outlineLvl w:val="1"/>
        <w:rPr>
          <w:rFonts w:eastAsia="楷体_GB2312"/>
          <w:color w:val="000000"/>
          <w:sz w:val="32"/>
          <w:szCs w:val="32"/>
        </w:rPr>
      </w:pPr>
      <w:r>
        <w:rPr>
          <w:rFonts w:eastAsia="楷体_GB2312"/>
          <w:color w:val="000000"/>
          <w:sz w:val="32"/>
          <w:szCs w:val="32"/>
        </w:rPr>
        <w:t>（四）</w:t>
      </w:r>
      <w:r>
        <w:rPr>
          <w:rFonts w:hint="eastAsia" w:eastAsia="楷体_GB2312"/>
          <w:color w:val="000000"/>
          <w:sz w:val="32"/>
          <w:szCs w:val="32"/>
        </w:rPr>
        <w:t>临床评价资料</w:t>
      </w:r>
    </w:p>
    <w:p w14:paraId="4CA6081C">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包皮切割吻合器</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r>
        <w:rPr>
          <w:rFonts w:hint="eastAsia" w:eastAsia="仿宋_GB2312"/>
          <w:color w:val="000000"/>
          <w:sz w:val="32"/>
          <w:szCs w:val="32"/>
        </w:rPr>
        <w:t>。</w:t>
      </w:r>
    </w:p>
    <w:p w14:paraId="4A743140">
      <w:pPr>
        <w:spacing w:line="520" w:lineRule="exact"/>
        <w:ind w:firstLine="640" w:firstLineChars="200"/>
        <w:rPr>
          <w:rFonts w:eastAsia="仿宋"/>
          <w:color w:val="000000"/>
          <w:kern w:val="0"/>
          <w:sz w:val="32"/>
          <w:szCs w:val="32"/>
        </w:rPr>
      </w:pPr>
      <w:r>
        <w:rPr>
          <w:rFonts w:eastAsia="仿宋_GB2312"/>
          <w:color w:val="000000"/>
          <w:sz w:val="32"/>
          <w:szCs w:val="32"/>
        </w:rPr>
        <w:t>对于与《</w:t>
      </w:r>
      <w:r>
        <w:rPr>
          <w:rFonts w:hint="eastAsia" w:eastAsia="仿宋_GB2312"/>
          <w:color w:val="000000"/>
          <w:sz w:val="32"/>
          <w:szCs w:val="32"/>
        </w:rPr>
        <w:t>免于临床评价医疗器械目录</w:t>
      </w:r>
      <w:r>
        <w:rPr>
          <w:rFonts w:eastAsia="仿宋_GB2312"/>
          <w:color w:val="000000"/>
          <w:sz w:val="32"/>
          <w:szCs w:val="32"/>
        </w:rPr>
        <w:t>》描述不相符的一次性使用包皮切割吻合器产品，例如新型作用机理产品，应按照《医疗器械临床评价技术指导原则》</w:t>
      </w:r>
      <w:r>
        <w:rPr>
          <w:rFonts w:hint="eastAsia" w:eastAsia="仿宋_GB2312"/>
          <w:color w:val="000000"/>
          <w:sz w:val="32"/>
          <w:szCs w:val="32"/>
        </w:rPr>
        <w:t>第六条或第七条</w:t>
      </w:r>
      <w:r>
        <w:rPr>
          <w:rFonts w:eastAsia="仿宋_GB2312"/>
          <w:color w:val="000000"/>
          <w:sz w:val="32"/>
          <w:szCs w:val="32"/>
        </w:rPr>
        <w:t>的要求提交临床评价资料</w:t>
      </w:r>
      <w:r>
        <w:rPr>
          <w:rFonts w:eastAsia="仿宋"/>
          <w:kern w:val="0"/>
          <w:sz w:val="32"/>
          <w:szCs w:val="32"/>
        </w:rPr>
        <w:t>。</w:t>
      </w:r>
    </w:p>
    <w:p w14:paraId="3F76CCC8">
      <w:pPr>
        <w:spacing w:line="520" w:lineRule="exact"/>
        <w:ind w:right="-67" w:rightChars="-32" w:firstLine="640" w:firstLineChars="200"/>
        <w:outlineLvl w:val="1"/>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五</w:t>
      </w:r>
      <w:r>
        <w:rPr>
          <w:rFonts w:eastAsia="楷体_GB2312"/>
          <w:color w:val="000000"/>
          <w:sz w:val="32"/>
          <w:szCs w:val="32"/>
        </w:rPr>
        <w:t>）产品</w:t>
      </w:r>
      <w:r>
        <w:rPr>
          <w:rFonts w:hint="eastAsia" w:eastAsia="楷体_GB2312"/>
          <w:color w:val="000000"/>
          <w:sz w:val="32"/>
          <w:szCs w:val="32"/>
        </w:rPr>
        <w:t>说明书和标签样稿</w:t>
      </w:r>
    </w:p>
    <w:p w14:paraId="0A926DBD">
      <w:pPr>
        <w:spacing w:line="520" w:lineRule="exact"/>
        <w:ind w:firstLine="640" w:firstLineChars="200"/>
        <w:rPr>
          <w:rFonts w:hint="eastAsia" w:eastAsia="仿宋_GB2312"/>
          <w:color w:val="000000"/>
          <w:sz w:val="32"/>
          <w:szCs w:val="32"/>
        </w:rPr>
      </w:pPr>
      <w:r>
        <w:rPr>
          <w:rFonts w:eastAsia="仿宋_GB2312"/>
          <w:color w:val="000000"/>
          <w:sz w:val="32"/>
          <w:szCs w:val="32"/>
        </w:rPr>
        <w:t>产品说明书、标签应符合《医疗器械说明书和标签管理规定》的要求，并可参考YY/T 0466.1《医疗器械 用于医疗器械标签、标记和提供信息的符号》</w:t>
      </w:r>
      <w:r>
        <w:rPr>
          <w:rFonts w:hint="eastAsia" w:eastAsia="仿宋_GB2312"/>
          <w:color w:val="000000"/>
          <w:sz w:val="32"/>
          <w:szCs w:val="32"/>
        </w:rPr>
        <w:t>等</w:t>
      </w:r>
      <w:r>
        <w:rPr>
          <w:rFonts w:eastAsia="仿宋_GB2312"/>
          <w:color w:val="000000"/>
          <w:sz w:val="32"/>
          <w:szCs w:val="32"/>
        </w:rPr>
        <w:t>相关标准。所提交的文本和标签样稿应内容清晰、完整。说明书中的适用范围、</w:t>
      </w:r>
      <w:r>
        <w:rPr>
          <w:rFonts w:hint="eastAsia" w:eastAsia="仿宋_GB2312"/>
          <w:color w:val="000000"/>
          <w:sz w:val="32"/>
          <w:szCs w:val="32"/>
        </w:rPr>
        <w:t>禁忌证</w:t>
      </w:r>
      <w:r>
        <w:rPr>
          <w:rFonts w:eastAsia="仿宋_GB2312"/>
          <w:color w:val="000000"/>
          <w:sz w:val="32"/>
          <w:szCs w:val="32"/>
        </w:rPr>
        <w:t>、注意事项、警示信息、有效期等信息应与产品综述资料、研究资料和临床评价资料中所描述及验证的内容一致。</w:t>
      </w:r>
      <w:r>
        <w:rPr>
          <w:rFonts w:hint="eastAsia" w:eastAsia="仿宋_GB2312"/>
          <w:color w:val="000000"/>
          <w:sz w:val="32"/>
          <w:szCs w:val="32"/>
        </w:rPr>
        <w:t>产品说明书中声称的产品结构组成、尺寸和其他技术信息应与产品技术要求、检验报告中内容一致。</w:t>
      </w:r>
      <w:r>
        <w:rPr>
          <w:rFonts w:eastAsia="仿宋_GB2312"/>
          <w:color w:val="000000"/>
          <w:sz w:val="32"/>
          <w:szCs w:val="32"/>
        </w:rPr>
        <w:t>产品说明书中应注明产品的交付状态</w:t>
      </w:r>
      <w:r>
        <w:rPr>
          <w:rFonts w:hint="eastAsia" w:eastAsia="仿宋_GB2312"/>
          <w:color w:val="000000"/>
          <w:sz w:val="32"/>
          <w:szCs w:val="32"/>
        </w:rPr>
        <w:t>，明确</w:t>
      </w:r>
      <w:r>
        <w:rPr>
          <w:rFonts w:eastAsia="仿宋_GB2312"/>
          <w:color w:val="000000"/>
          <w:sz w:val="32"/>
          <w:szCs w:val="32"/>
        </w:rPr>
        <w:t>包装材料、包装形式、使用说明、注意事项、废弃物处置</w:t>
      </w:r>
      <w:r>
        <w:rPr>
          <w:rFonts w:hint="eastAsia" w:eastAsia="仿宋_GB2312"/>
          <w:color w:val="000000"/>
          <w:sz w:val="32"/>
          <w:szCs w:val="32"/>
        </w:rPr>
        <w:t>。</w:t>
      </w:r>
    </w:p>
    <w:p w14:paraId="321734A2">
      <w:pPr>
        <w:spacing w:line="520" w:lineRule="exact"/>
        <w:ind w:firstLine="640" w:firstLineChars="200"/>
        <w:rPr>
          <w:rFonts w:eastAsia="仿宋_GB2312"/>
          <w:color w:val="000000"/>
          <w:sz w:val="32"/>
          <w:szCs w:val="32"/>
        </w:rPr>
      </w:pPr>
      <w:r>
        <w:rPr>
          <w:rFonts w:eastAsia="仿宋_GB2312"/>
          <w:color w:val="000000"/>
          <w:sz w:val="32"/>
          <w:szCs w:val="32"/>
        </w:rPr>
        <w:t>同时，在说明书的注意事项或警示信息中应至少包含以下内容：</w:t>
      </w:r>
    </w:p>
    <w:p w14:paraId="12010155">
      <w:pPr>
        <w:numPr>
          <w:ilvl w:val="0"/>
          <w:numId w:val="1"/>
        </w:numPr>
        <w:spacing w:line="520" w:lineRule="exact"/>
        <w:ind w:left="567"/>
        <w:rPr>
          <w:rFonts w:hint="eastAsia" w:eastAsia="仿宋_GB2312"/>
          <w:color w:val="000000"/>
          <w:sz w:val="32"/>
          <w:szCs w:val="32"/>
        </w:rPr>
      </w:pPr>
      <w:r>
        <w:rPr>
          <w:rFonts w:hint="eastAsia" w:eastAsia="仿宋_GB2312"/>
          <w:color w:val="000000"/>
          <w:sz w:val="32"/>
          <w:szCs w:val="32"/>
        </w:rPr>
        <w:t>本产品的使用必须符合医疗机构相关操作规范及法规要求</w:t>
      </w:r>
    </w:p>
    <w:p w14:paraId="05B2E91E">
      <w:pPr>
        <w:spacing w:line="520" w:lineRule="exact"/>
        <w:rPr>
          <w:rFonts w:hint="eastAsia" w:eastAsia="仿宋_GB2312"/>
          <w:color w:val="000000"/>
          <w:sz w:val="32"/>
          <w:szCs w:val="32"/>
        </w:rPr>
      </w:pPr>
      <w:r>
        <w:rPr>
          <w:rFonts w:hint="eastAsia" w:eastAsia="仿宋_GB2312"/>
          <w:color w:val="000000"/>
          <w:sz w:val="32"/>
          <w:szCs w:val="32"/>
        </w:rPr>
        <w:t>，仅限于经培训的医务人员使用；</w:t>
      </w:r>
    </w:p>
    <w:p w14:paraId="09547983">
      <w:pPr>
        <w:spacing w:line="520" w:lineRule="exact"/>
        <w:ind w:left="567"/>
        <w:rPr>
          <w:rFonts w:hint="eastAsia" w:eastAsia="仿宋_GB2312"/>
          <w:color w:val="000000"/>
          <w:sz w:val="32"/>
          <w:szCs w:val="32"/>
        </w:rPr>
      </w:pPr>
      <w:r>
        <w:rPr>
          <w:rFonts w:hint="eastAsia" w:eastAsia="仿宋_GB2312"/>
          <w:color w:val="000000"/>
          <w:sz w:val="32"/>
          <w:szCs w:val="32"/>
        </w:rPr>
        <w:t>2.产品为一次性使用，禁止重复使用；</w:t>
      </w:r>
    </w:p>
    <w:p w14:paraId="4854E55B">
      <w:pPr>
        <w:spacing w:line="520" w:lineRule="exact"/>
        <w:ind w:left="567"/>
        <w:rPr>
          <w:rFonts w:hint="eastAsia" w:eastAsia="仿宋_GB2312"/>
          <w:color w:val="000000"/>
          <w:sz w:val="32"/>
          <w:szCs w:val="32"/>
        </w:rPr>
      </w:pPr>
      <w:r>
        <w:rPr>
          <w:rFonts w:hint="eastAsia" w:eastAsia="仿宋_GB2312"/>
          <w:color w:val="000000"/>
          <w:sz w:val="32"/>
          <w:szCs w:val="32"/>
        </w:rPr>
        <w:t>3.应提示灭菌方式，包装破损禁止使用；超出有效期时禁止</w:t>
      </w:r>
    </w:p>
    <w:p w14:paraId="320ECBF8">
      <w:pPr>
        <w:spacing w:line="520" w:lineRule="exact"/>
        <w:rPr>
          <w:rFonts w:hint="eastAsia" w:eastAsia="仿宋_GB2312"/>
          <w:color w:val="000000"/>
          <w:sz w:val="32"/>
          <w:szCs w:val="32"/>
        </w:rPr>
      </w:pPr>
      <w:r>
        <w:rPr>
          <w:rFonts w:hint="eastAsia" w:eastAsia="仿宋_GB2312"/>
          <w:color w:val="000000"/>
          <w:sz w:val="32"/>
          <w:szCs w:val="32"/>
        </w:rPr>
        <w:t>使用；</w:t>
      </w:r>
    </w:p>
    <w:p w14:paraId="6F46C037">
      <w:pPr>
        <w:spacing w:line="520" w:lineRule="exact"/>
        <w:ind w:left="567"/>
        <w:rPr>
          <w:rFonts w:hint="eastAsia" w:eastAsia="仿宋_GB2312"/>
          <w:color w:val="000000"/>
          <w:sz w:val="32"/>
          <w:szCs w:val="32"/>
        </w:rPr>
      </w:pPr>
      <w:r>
        <w:rPr>
          <w:rFonts w:hint="eastAsia" w:eastAsia="仿宋_GB2312"/>
          <w:color w:val="000000"/>
          <w:sz w:val="32"/>
          <w:szCs w:val="32"/>
        </w:rPr>
        <w:t>4.应选用型号规格与阴茎大小相近的产品进行手术；</w:t>
      </w:r>
    </w:p>
    <w:p w14:paraId="5EA9672B">
      <w:pPr>
        <w:spacing w:line="520" w:lineRule="exact"/>
        <w:ind w:left="567"/>
        <w:rPr>
          <w:rFonts w:hint="eastAsia" w:eastAsia="仿宋_GB2312"/>
          <w:color w:val="000000"/>
          <w:sz w:val="32"/>
          <w:szCs w:val="32"/>
        </w:rPr>
      </w:pPr>
      <w:r>
        <w:rPr>
          <w:rFonts w:hint="eastAsia" w:eastAsia="仿宋_GB2312"/>
          <w:color w:val="000000"/>
          <w:sz w:val="32"/>
          <w:szCs w:val="32"/>
        </w:rPr>
        <w:t>5.在未完整阅读使用说明书之前请勿尝试操作该产品，任何</w:t>
      </w:r>
    </w:p>
    <w:p w14:paraId="4990A754">
      <w:pPr>
        <w:spacing w:line="520" w:lineRule="exact"/>
        <w:rPr>
          <w:rFonts w:hint="eastAsia" w:eastAsia="仿宋_GB2312"/>
          <w:color w:val="000000"/>
          <w:sz w:val="32"/>
          <w:szCs w:val="32"/>
        </w:rPr>
      </w:pPr>
      <w:r>
        <w:rPr>
          <w:rFonts w:hint="eastAsia" w:eastAsia="仿宋_GB2312"/>
          <w:color w:val="000000"/>
          <w:sz w:val="32"/>
          <w:szCs w:val="32"/>
        </w:rPr>
        <w:t>的不谨慎操作都将给手术带来风险；</w:t>
      </w:r>
    </w:p>
    <w:p w14:paraId="3AC71D53">
      <w:pPr>
        <w:numPr>
          <w:ilvl w:val="0"/>
          <w:numId w:val="2"/>
        </w:numPr>
        <w:spacing w:line="520" w:lineRule="exact"/>
        <w:ind w:left="567"/>
        <w:rPr>
          <w:rFonts w:hint="eastAsia" w:eastAsia="仿宋_GB2312"/>
          <w:color w:val="000000"/>
          <w:sz w:val="32"/>
          <w:szCs w:val="32"/>
        </w:rPr>
      </w:pPr>
      <w:r>
        <w:rPr>
          <w:rFonts w:hint="eastAsia" w:eastAsia="仿宋_GB2312"/>
          <w:color w:val="000000"/>
          <w:sz w:val="32"/>
          <w:szCs w:val="32"/>
        </w:rPr>
        <w:t>产品使用后应按照医疗机构的卫生管理规范进行处置；接</w:t>
      </w:r>
    </w:p>
    <w:p w14:paraId="5628705B">
      <w:pPr>
        <w:spacing w:line="520" w:lineRule="exact"/>
        <w:rPr>
          <w:rFonts w:hint="eastAsia" w:eastAsia="仿宋_GB2312"/>
          <w:color w:val="000000"/>
          <w:sz w:val="32"/>
          <w:szCs w:val="32"/>
        </w:rPr>
      </w:pPr>
      <w:r>
        <w:rPr>
          <w:rFonts w:hint="eastAsia" w:eastAsia="仿宋_GB2312"/>
          <w:color w:val="000000"/>
          <w:sz w:val="32"/>
          <w:szCs w:val="32"/>
        </w:rPr>
        <w:t>触过体液的产品应特别处置以防生物污染的发生；</w:t>
      </w:r>
    </w:p>
    <w:p w14:paraId="6165373C">
      <w:pPr>
        <w:numPr>
          <w:ilvl w:val="0"/>
          <w:numId w:val="2"/>
        </w:numPr>
        <w:spacing w:line="520" w:lineRule="exact"/>
        <w:ind w:left="567"/>
        <w:rPr>
          <w:rFonts w:hint="eastAsia" w:eastAsia="仿宋_GB2312"/>
          <w:color w:val="000000"/>
          <w:sz w:val="32"/>
          <w:szCs w:val="32"/>
        </w:rPr>
      </w:pPr>
      <w:r>
        <w:rPr>
          <w:rFonts w:hint="eastAsia" w:eastAsia="仿宋_GB2312"/>
          <w:color w:val="000000"/>
          <w:sz w:val="32"/>
          <w:szCs w:val="32"/>
        </w:rPr>
        <w:t>包皮粘接、系带过短及其他先天异常者，应先进行处理并</w:t>
      </w:r>
    </w:p>
    <w:p w14:paraId="1DFDB18D">
      <w:pPr>
        <w:spacing w:line="520" w:lineRule="exact"/>
        <w:rPr>
          <w:rFonts w:hint="eastAsia" w:eastAsia="仿宋_GB2312"/>
          <w:color w:val="000000"/>
          <w:sz w:val="32"/>
          <w:szCs w:val="32"/>
        </w:rPr>
      </w:pPr>
      <w:r>
        <w:rPr>
          <w:rFonts w:hint="eastAsia" w:eastAsia="仿宋_GB2312"/>
          <w:color w:val="000000"/>
          <w:sz w:val="32"/>
          <w:szCs w:val="32"/>
        </w:rPr>
        <w:t>止血等，之后再使用本产品；</w:t>
      </w:r>
    </w:p>
    <w:p w14:paraId="33176F9C">
      <w:pPr>
        <w:numPr>
          <w:ilvl w:val="0"/>
          <w:numId w:val="2"/>
        </w:numPr>
        <w:spacing w:line="520" w:lineRule="exact"/>
        <w:ind w:left="567"/>
        <w:rPr>
          <w:rFonts w:hint="eastAsia" w:eastAsia="仿宋_GB2312"/>
          <w:color w:val="000000"/>
          <w:sz w:val="32"/>
          <w:szCs w:val="32"/>
        </w:rPr>
      </w:pPr>
      <w:r>
        <w:rPr>
          <w:rFonts w:hint="eastAsia" w:eastAsia="仿宋_GB2312"/>
          <w:color w:val="000000"/>
          <w:sz w:val="32"/>
          <w:szCs w:val="32"/>
        </w:rPr>
        <w:t>使用前应检查外观和保险扣是否正常，有异常时禁止使用；</w:t>
      </w:r>
    </w:p>
    <w:p w14:paraId="6B9D6E32">
      <w:pPr>
        <w:spacing w:line="520" w:lineRule="exact"/>
        <w:rPr>
          <w:rFonts w:hint="eastAsia" w:eastAsia="仿宋_GB2312"/>
          <w:color w:val="000000"/>
          <w:sz w:val="32"/>
          <w:szCs w:val="32"/>
        </w:rPr>
      </w:pPr>
      <w:r>
        <w:rPr>
          <w:rFonts w:hint="eastAsia" w:eastAsia="仿宋_GB2312"/>
          <w:color w:val="000000"/>
          <w:sz w:val="32"/>
          <w:szCs w:val="32"/>
        </w:rPr>
        <w:t>直到产品准备好要击发，方可释放保险扣；</w:t>
      </w:r>
    </w:p>
    <w:p w14:paraId="64629744">
      <w:pPr>
        <w:numPr>
          <w:ilvl w:val="0"/>
          <w:numId w:val="2"/>
        </w:numPr>
        <w:spacing w:line="520" w:lineRule="exact"/>
        <w:ind w:left="567"/>
        <w:rPr>
          <w:rFonts w:hint="eastAsia" w:eastAsia="仿宋_GB2312"/>
          <w:color w:val="000000"/>
          <w:sz w:val="32"/>
          <w:szCs w:val="32"/>
        </w:rPr>
      </w:pPr>
      <w:r>
        <w:rPr>
          <w:rFonts w:hint="eastAsia" w:eastAsia="仿宋_GB2312"/>
          <w:color w:val="000000"/>
          <w:sz w:val="32"/>
          <w:szCs w:val="32"/>
        </w:rPr>
        <w:t>要一次击发到底，切勿部分击发器械，以确保吻合钉正确</w:t>
      </w:r>
    </w:p>
    <w:p w14:paraId="1F04B666">
      <w:pPr>
        <w:spacing w:line="520" w:lineRule="exact"/>
        <w:rPr>
          <w:rFonts w:hint="eastAsia" w:eastAsia="仿宋_GB2312"/>
          <w:color w:val="000000"/>
          <w:sz w:val="32"/>
          <w:szCs w:val="32"/>
        </w:rPr>
      </w:pPr>
      <w:r>
        <w:rPr>
          <w:rFonts w:hint="eastAsia" w:eastAsia="仿宋_GB2312"/>
          <w:color w:val="000000"/>
          <w:sz w:val="32"/>
          <w:szCs w:val="32"/>
        </w:rPr>
        <w:t>成型及包皮正确切割；</w:t>
      </w:r>
    </w:p>
    <w:p w14:paraId="6A4E5E59">
      <w:pPr>
        <w:spacing w:line="520" w:lineRule="exact"/>
        <w:ind w:left="567"/>
        <w:rPr>
          <w:rFonts w:hint="eastAsia" w:eastAsia="仿宋_GB2312"/>
          <w:color w:val="000000"/>
          <w:sz w:val="32"/>
          <w:szCs w:val="32"/>
        </w:rPr>
      </w:pPr>
      <w:r>
        <w:rPr>
          <w:rFonts w:hint="eastAsia" w:eastAsia="仿宋_GB2312"/>
          <w:color w:val="000000"/>
          <w:sz w:val="32"/>
          <w:szCs w:val="32"/>
        </w:rPr>
        <w:t>10.手术过程中出现包皮没有完全切断时，可用手术剪加以</w:t>
      </w:r>
    </w:p>
    <w:p w14:paraId="54D66385">
      <w:pPr>
        <w:spacing w:line="520" w:lineRule="exact"/>
        <w:rPr>
          <w:rFonts w:hint="eastAsia" w:eastAsia="仿宋_GB2312"/>
          <w:color w:val="000000"/>
          <w:sz w:val="32"/>
          <w:szCs w:val="32"/>
        </w:rPr>
      </w:pPr>
      <w:r>
        <w:rPr>
          <w:rFonts w:hint="eastAsia" w:eastAsia="仿宋_GB2312"/>
          <w:color w:val="000000"/>
          <w:sz w:val="32"/>
          <w:szCs w:val="32"/>
        </w:rPr>
        <w:t>修剪；罕见的明显出血经按压无效时可进行缝合止血，不得进行重复切割吻合操作；术后局麻处和术口部位少许淤肿属正常现象，会自行消退；</w:t>
      </w:r>
    </w:p>
    <w:p w14:paraId="637133E2">
      <w:pPr>
        <w:spacing w:line="520" w:lineRule="exact"/>
        <w:ind w:left="567"/>
        <w:rPr>
          <w:rFonts w:hint="eastAsia" w:eastAsia="仿宋_GB2312"/>
          <w:color w:val="000000"/>
          <w:sz w:val="32"/>
          <w:szCs w:val="32"/>
        </w:rPr>
      </w:pPr>
      <w:r>
        <w:rPr>
          <w:rFonts w:hint="eastAsia" w:eastAsia="仿宋_GB2312"/>
          <w:color w:val="000000"/>
          <w:sz w:val="32"/>
          <w:szCs w:val="32"/>
        </w:rPr>
        <w:t>11.患者术后应返院检查；吻合钉</w:t>
      </w:r>
      <w:r>
        <w:rPr>
          <w:rFonts w:eastAsia="仿宋_GB2312"/>
          <w:color w:val="000000"/>
          <w:sz w:val="32"/>
          <w:szCs w:val="32"/>
        </w:rPr>
        <w:t>在规定的时间内</w:t>
      </w:r>
      <w:r>
        <w:rPr>
          <w:rFonts w:hint="eastAsia" w:eastAsia="仿宋_GB2312"/>
          <w:color w:val="000000"/>
          <w:sz w:val="32"/>
          <w:szCs w:val="32"/>
        </w:rPr>
        <w:t>如未脱落</w:t>
      </w:r>
    </w:p>
    <w:p w14:paraId="556D5F13">
      <w:pPr>
        <w:spacing w:line="520" w:lineRule="exact"/>
        <w:rPr>
          <w:rFonts w:hint="eastAsia" w:eastAsia="仿宋"/>
          <w:color w:val="000000"/>
          <w:sz w:val="32"/>
          <w:szCs w:val="32"/>
        </w:rPr>
      </w:pPr>
      <w:r>
        <w:rPr>
          <w:rFonts w:hint="eastAsia" w:eastAsia="仿宋_GB2312"/>
          <w:color w:val="000000"/>
          <w:sz w:val="32"/>
          <w:szCs w:val="32"/>
        </w:rPr>
        <w:t>应返院进行处理。</w:t>
      </w:r>
    </w:p>
    <w:p w14:paraId="0F6CC6CB">
      <w:pPr>
        <w:spacing w:line="520" w:lineRule="exact"/>
        <w:ind w:right="-67" w:rightChars="-32" w:firstLine="640" w:firstLineChars="200"/>
        <w:outlineLvl w:val="1"/>
        <w:rPr>
          <w:rFonts w:eastAsia="楷体_GB2312"/>
          <w:color w:val="FF0000"/>
          <w:sz w:val="32"/>
          <w:szCs w:val="32"/>
        </w:rPr>
      </w:pPr>
      <w:r>
        <w:rPr>
          <w:rFonts w:eastAsia="楷体_GB2312"/>
          <w:color w:val="000000"/>
          <w:sz w:val="32"/>
          <w:szCs w:val="32"/>
        </w:rPr>
        <w:t>（</w:t>
      </w:r>
      <w:r>
        <w:rPr>
          <w:rFonts w:hint="eastAsia" w:eastAsia="楷体_GB2312"/>
          <w:color w:val="000000"/>
          <w:sz w:val="32"/>
          <w:szCs w:val="32"/>
        </w:rPr>
        <w:t>六</w:t>
      </w:r>
      <w:r>
        <w:rPr>
          <w:rFonts w:eastAsia="楷体_GB2312"/>
          <w:color w:val="000000"/>
          <w:sz w:val="32"/>
          <w:szCs w:val="32"/>
        </w:rPr>
        <w:t>）</w:t>
      </w:r>
      <w:r>
        <w:rPr>
          <w:rFonts w:hint="eastAsia" w:eastAsia="楷体_GB2312"/>
          <w:sz w:val="32"/>
          <w:szCs w:val="32"/>
        </w:rPr>
        <w:t>质量管理体系文件</w:t>
      </w:r>
    </w:p>
    <w:p w14:paraId="64278A47">
      <w:pPr>
        <w:spacing w:line="520" w:lineRule="exact"/>
        <w:ind w:firstLine="640" w:firstLineChars="200"/>
        <w:rPr>
          <w:rFonts w:eastAsia="仿宋"/>
          <w:kern w:val="0"/>
          <w:sz w:val="32"/>
          <w:szCs w:val="32"/>
        </w:rPr>
      </w:pPr>
      <w:r>
        <w:rPr>
          <w:rFonts w:hint="eastAsia" w:eastAsia="仿宋_GB2312"/>
          <w:color w:val="000000"/>
          <w:sz w:val="32"/>
          <w:szCs w:val="32"/>
        </w:rPr>
        <w:t>1.申请人基本情况表。</w:t>
      </w:r>
      <w:r>
        <w:rPr>
          <w:rFonts w:eastAsia="仿宋_GB2312"/>
          <w:color w:val="000000"/>
          <w:sz w:val="32"/>
          <w:szCs w:val="32"/>
        </w:rPr>
        <w:t>若申报产品有多个研制、生产场地，应概述每个研制、生产场地的实际情况</w:t>
      </w:r>
      <w:r>
        <w:rPr>
          <w:rFonts w:eastAsia="仿宋"/>
          <w:color w:val="000000"/>
          <w:sz w:val="32"/>
          <w:szCs w:val="32"/>
        </w:rPr>
        <w:t>。</w:t>
      </w:r>
    </w:p>
    <w:p w14:paraId="7F0B023B">
      <w:pPr>
        <w:spacing w:line="56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.申请人组织机构图。</w:t>
      </w:r>
    </w:p>
    <w:p w14:paraId="5D8230B7">
      <w:pPr>
        <w:spacing w:line="56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.生产企业总平面布置图、生产区域分布图。</w:t>
      </w:r>
    </w:p>
    <w:p w14:paraId="6BBCFE74">
      <w:pPr>
        <w:spacing w:line="56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.生产过程有净化要求，应当提供有资质的检测机构出具的环境检测报告（附平面布局图）复印件。</w:t>
      </w:r>
    </w:p>
    <w:p w14:paraId="1646B499">
      <w:pPr>
        <w:spacing w:line="56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应列明产品生产过程中所需原材料的名称、牌号、供应商、符合标准等基本信息。主要原材料应具有稳定的供货渠道以保证产品质量，需提供原材料供应商的资质证明文件及质量协议，需明确所用原材料（包括初包装材料）的质量控制要求。应重点关注吻合钉原材料的质量控制措施。</w:t>
      </w:r>
    </w:p>
    <w:p w14:paraId="411DFA3A">
      <w:pPr>
        <w:spacing w:line="520" w:lineRule="exact"/>
        <w:ind w:firstLine="640" w:firstLineChars="200"/>
        <w:rPr>
          <w:rFonts w:eastAsia="仿宋_GB2312"/>
          <w:color w:val="000000"/>
          <w:sz w:val="32"/>
          <w:szCs w:val="32"/>
        </w:rPr>
      </w:pPr>
      <w:r>
        <w:rPr>
          <w:rFonts w:eastAsia="仿宋_GB2312"/>
          <w:color w:val="000000"/>
          <w:sz w:val="32"/>
          <w:szCs w:val="32"/>
        </w:rPr>
        <w:t>6.应提交产品的生产工艺管理控制文件，详细说明产品的生产工艺和步骤，列出工艺图表，阐述生产工艺过程的质量控制标准及控制措施。生产工艺应已通过验证，能够生产出质量稳定、安全有效的产品，在注册质量管理体系核查中，对此项内容进行核查。</w:t>
      </w:r>
    </w:p>
    <w:p w14:paraId="570B2F29">
      <w:pPr>
        <w:spacing w:line="520" w:lineRule="exact"/>
        <w:ind w:firstLine="640" w:firstLineChars="200"/>
        <w:rPr>
          <w:rFonts w:eastAsia="仿宋_GB2312"/>
          <w:color w:val="000000"/>
          <w:sz w:val="32"/>
          <w:szCs w:val="32"/>
        </w:rPr>
      </w:pPr>
      <w:r>
        <w:rPr>
          <w:rFonts w:eastAsia="仿宋_GB2312"/>
          <w:color w:val="000000"/>
          <w:sz w:val="32"/>
          <w:szCs w:val="32"/>
        </w:rPr>
        <w:t>应注明特殊过程和关键工序（如：装配、焊接、清洗、内包封口、灭菌等），明确其过程控制点及控制参数，对生产工艺的可控性、稳定性应进行确认。</w:t>
      </w:r>
    </w:p>
    <w:p w14:paraId="45D35F6C">
      <w:pPr>
        <w:spacing w:line="520" w:lineRule="exact"/>
        <w:ind w:firstLine="640" w:firstLineChars="200"/>
        <w:rPr>
          <w:rFonts w:eastAsia="仿宋_GB2312"/>
          <w:color w:val="000000"/>
          <w:sz w:val="32"/>
          <w:szCs w:val="32"/>
        </w:rPr>
      </w:pPr>
      <w:r>
        <w:rPr>
          <w:rFonts w:eastAsia="仿宋_GB2312"/>
          <w:color w:val="000000"/>
          <w:sz w:val="32"/>
          <w:szCs w:val="32"/>
        </w:rPr>
        <w:t>吻合钉若选用表面改性处理（涂层、酸蚀等）的金属材料（如纯钛、钛合金材料、纯钽、不锈钢等），需要给出改性层或涂层的元素成分、组织结构、理化性能、结合强度等信息及其相关的制备工艺。</w:t>
      </w:r>
    </w:p>
    <w:p w14:paraId="12EDAE86">
      <w:pPr>
        <w:spacing w:line="560" w:lineRule="exact"/>
        <w:ind w:firstLine="640" w:firstLineChars="200"/>
        <w:rPr>
          <w:rFonts w:eastAsia="仿宋_GB2312"/>
          <w:color w:val="000000"/>
          <w:sz w:val="32"/>
          <w:szCs w:val="32"/>
        </w:rPr>
      </w:pPr>
      <w:r>
        <w:rPr>
          <w:rFonts w:eastAsia="仿宋_GB2312"/>
          <w:color w:val="000000"/>
          <w:sz w:val="32"/>
          <w:szCs w:val="32"/>
        </w:rPr>
        <w:t>对生产加工过程使用的所有辅剂、助剂等添加剂均应说明使用剂量、对残留量的控制措施和接受标准，并提供检验报告和安全性评价报告。</w:t>
      </w:r>
    </w:p>
    <w:p w14:paraId="0B52C6BD">
      <w:pPr>
        <w:spacing w:line="560" w:lineRule="exact"/>
        <w:ind w:firstLine="640" w:firstLineChars="20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.主要生产设备和检验设备（包括进货检验、过程检验、出厂最终检验所需的相关设备</w:t>
      </w:r>
      <w:r>
        <w:rPr>
          <w:rFonts w:hint="eastAsia" w:eastAsia="仿宋_GB2312"/>
          <w:color w:val="000000"/>
          <w:sz w:val="32"/>
          <w:szCs w:val="32"/>
        </w:rPr>
        <w:t>、</w:t>
      </w:r>
      <w:r>
        <w:rPr>
          <w:rFonts w:eastAsia="仿宋_GB2312"/>
          <w:color w:val="000000"/>
          <w:sz w:val="32"/>
          <w:szCs w:val="32"/>
        </w:rPr>
        <w:t>环境监测设备）目录。</w:t>
      </w:r>
    </w:p>
    <w:p w14:paraId="6D39990E">
      <w:pPr>
        <w:spacing w:line="560" w:lineRule="exact"/>
        <w:ind w:firstLine="640" w:firstLineChars="200"/>
        <w:rPr>
          <w:rFonts w:eastAsia="仿宋_GB2312"/>
          <w:color w:val="000000"/>
          <w:sz w:val="32"/>
          <w:szCs w:val="32"/>
        </w:rPr>
      </w:pPr>
      <w:r>
        <w:rPr>
          <w:rFonts w:hint="eastAsia" w:eastAsia="仿宋_GB2312"/>
          <w:color w:val="000000"/>
          <w:sz w:val="32"/>
          <w:szCs w:val="32"/>
        </w:rPr>
        <w:t>8</w:t>
      </w:r>
      <w:r>
        <w:rPr>
          <w:rFonts w:eastAsia="仿宋_GB2312"/>
          <w:color w:val="000000"/>
          <w:sz w:val="32"/>
          <w:szCs w:val="32"/>
        </w:rPr>
        <w:t>.质量管理体系自查报告。</w:t>
      </w:r>
    </w:p>
    <w:p w14:paraId="72E54750">
      <w:pPr>
        <w:spacing w:line="520" w:lineRule="exact"/>
        <w:ind w:firstLine="640" w:firstLineChars="200"/>
        <w:rPr>
          <w:rFonts w:eastAsia="仿宋_GB2312"/>
          <w:color w:val="000000"/>
          <w:sz w:val="32"/>
          <w:szCs w:val="32"/>
        </w:rPr>
      </w:pPr>
      <w:r>
        <w:rPr>
          <w:rFonts w:hint="eastAsia" w:eastAsia="仿宋_GB2312"/>
          <w:color w:val="000000"/>
          <w:sz w:val="32"/>
          <w:szCs w:val="32"/>
        </w:rPr>
        <w:t>9</w:t>
      </w:r>
      <w:r>
        <w:rPr>
          <w:rFonts w:eastAsia="仿宋_GB2312"/>
          <w:color w:val="000000"/>
          <w:sz w:val="32"/>
          <w:szCs w:val="32"/>
        </w:rPr>
        <w:t>.应当提供拟核查产品与既往已通过核查产品在生产条件、生产工艺等方面的对比说明</w:t>
      </w:r>
      <w:r>
        <w:rPr>
          <w:rFonts w:hint="eastAsia" w:eastAsia="仿宋_GB2312"/>
          <w:sz w:val="32"/>
          <w:szCs w:val="32"/>
        </w:rPr>
        <w:t>（如</w:t>
      </w:r>
      <w:r>
        <w:rPr>
          <w:rFonts w:eastAsia="仿宋_GB2312"/>
          <w:sz w:val="32"/>
          <w:szCs w:val="32"/>
        </w:rPr>
        <w:t>适用</w:t>
      </w:r>
      <w:r>
        <w:rPr>
          <w:rFonts w:hint="eastAsia" w:eastAsia="仿宋_GB2312"/>
          <w:sz w:val="32"/>
          <w:szCs w:val="32"/>
        </w:rPr>
        <w:t>）</w:t>
      </w:r>
      <w:r>
        <w:rPr>
          <w:rFonts w:eastAsia="仿宋_GB2312"/>
          <w:color w:val="000000"/>
          <w:sz w:val="32"/>
          <w:szCs w:val="32"/>
        </w:rPr>
        <w:t>。</w:t>
      </w:r>
    </w:p>
    <w:p w14:paraId="7F3A8E1B">
      <w:pPr>
        <w:spacing w:line="520" w:lineRule="exact"/>
        <w:ind w:right="-67" w:rightChars="-32" w:firstLine="640" w:firstLineChars="200"/>
        <w:outlineLvl w:val="0"/>
        <w:rPr>
          <w:rFonts w:eastAsia="黑体"/>
          <w:color w:val="000000"/>
          <w:sz w:val="32"/>
          <w:szCs w:val="32"/>
        </w:rPr>
      </w:pPr>
      <w:r>
        <w:rPr>
          <w:rFonts w:eastAsia="黑体"/>
          <w:color w:val="000000"/>
          <w:sz w:val="32"/>
          <w:szCs w:val="32"/>
        </w:rPr>
        <w:t>三、</w:t>
      </w:r>
      <w:r>
        <w:rPr>
          <w:rFonts w:hint="eastAsia" w:eastAsia="黑体"/>
          <w:color w:val="000000"/>
          <w:sz w:val="32"/>
          <w:szCs w:val="32"/>
        </w:rPr>
        <w:t>参考文献</w:t>
      </w:r>
    </w:p>
    <w:p w14:paraId="2B198978">
      <w:pPr>
        <w:spacing w:line="520" w:lineRule="exact"/>
        <w:ind w:firstLine="640" w:firstLineChars="200"/>
        <w:rPr>
          <w:rFonts w:eastAsia="仿宋_GB2312"/>
          <w:color w:val="000000"/>
          <w:sz w:val="32"/>
          <w:szCs w:val="32"/>
        </w:rPr>
      </w:pPr>
      <w:r>
        <w:rPr>
          <w:rFonts w:eastAsia="仿宋_GB2312"/>
          <w:color w:val="000000"/>
          <w:sz w:val="32"/>
          <w:szCs w:val="32"/>
        </w:rPr>
        <w:t>[1]GB/T 12672，丙烯腈-丁二烯-苯乙烯（ABS）树脂</w:t>
      </w:r>
      <w:r>
        <w:rPr>
          <w:rFonts w:eastAsia="仿宋_GB2312"/>
          <w:sz w:val="32"/>
          <w:szCs w:val="32"/>
        </w:rPr>
        <w:t>[S]</w:t>
      </w:r>
      <w:r>
        <w:rPr>
          <w:rFonts w:eastAsia="仿宋_GB2312"/>
          <w:color w:val="000000"/>
          <w:sz w:val="32"/>
          <w:szCs w:val="32"/>
        </w:rPr>
        <w:t>.</w:t>
      </w:r>
    </w:p>
    <w:p w14:paraId="33CA7500">
      <w:pPr>
        <w:spacing w:line="520" w:lineRule="exact"/>
        <w:ind w:firstLine="640" w:firstLineChars="200"/>
        <w:rPr>
          <w:rFonts w:eastAsia="仿宋_GB2312"/>
          <w:color w:val="000000"/>
          <w:sz w:val="32"/>
          <w:szCs w:val="32"/>
        </w:rPr>
      </w:pPr>
      <w:r>
        <w:rPr>
          <w:rFonts w:eastAsia="仿宋_GB2312"/>
          <w:color w:val="000000"/>
          <w:sz w:val="32"/>
          <w:szCs w:val="32"/>
        </w:rPr>
        <w:t>[2]GB/T 1220，不锈钢棒</w:t>
      </w:r>
      <w:r>
        <w:rPr>
          <w:rFonts w:eastAsia="仿宋_GB2312"/>
          <w:sz w:val="32"/>
          <w:szCs w:val="32"/>
        </w:rPr>
        <w:t>[S]</w:t>
      </w:r>
      <w:r>
        <w:rPr>
          <w:rFonts w:eastAsia="仿宋_GB2312"/>
          <w:color w:val="000000"/>
          <w:sz w:val="32"/>
          <w:szCs w:val="32"/>
        </w:rPr>
        <w:t>.</w:t>
      </w:r>
    </w:p>
    <w:p w14:paraId="3735F125">
      <w:pPr>
        <w:spacing w:line="520" w:lineRule="exact"/>
        <w:ind w:firstLine="640" w:firstLineChars="200"/>
        <w:rPr>
          <w:rFonts w:eastAsia="仿宋_GB2312"/>
          <w:color w:val="000000"/>
          <w:sz w:val="32"/>
          <w:szCs w:val="32"/>
        </w:rPr>
      </w:pPr>
      <w:r>
        <w:rPr>
          <w:rFonts w:eastAsia="仿宋_GB2312"/>
          <w:color w:val="000000"/>
          <w:sz w:val="32"/>
          <w:szCs w:val="32"/>
        </w:rPr>
        <w:t>[3]GB/T 13810，外科植入物用钛及钛合金加工材料</w:t>
      </w:r>
      <w:r>
        <w:rPr>
          <w:rFonts w:eastAsia="仿宋_GB2312"/>
          <w:sz w:val="32"/>
          <w:szCs w:val="32"/>
        </w:rPr>
        <w:t>[S]</w:t>
      </w:r>
      <w:r>
        <w:rPr>
          <w:rFonts w:eastAsia="仿宋_GB2312"/>
          <w:color w:val="000000"/>
          <w:sz w:val="32"/>
          <w:szCs w:val="32"/>
        </w:rPr>
        <w:t>.</w:t>
      </w:r>
    </w:p>
    <w:p w14:paraId="1A97466E">
      <w:pPr>
        <w:spacing w:line="520" w:lineRule="exact"/>
        <w:ind w:firstLine="640" w:firstLineChars="200"/>
        <w:rPr>
          <w:rFonts w:eastAsia="仿宋_GB2312"/>
          <w:color w:val="000000"/>
          <w:sz w:val="32"/>
          <w:szCs w:val="32"/>
        </w:rPr>
      </w:pPr>
      <w:r>
        <w:rPr>
          <w:rFonts w:eastAsia="仿宋_GB2312"/>
          <w:color w:val="000000"/>
          <w:sz w:val="32"/>
          <w:szCs w:val="32"/>
        </w:rPr>
        <w:t>[4]GB/T 230.1, 金属材料 洛氏硬度试验方法 第1部分：试验方法</w:t>
      </w:r>
      <w:r>
        <w:rPr>
          <w:rFonts w:eastAsia="仿宋_GB2312"/>
          <w:sz w:val="32"/>
          <w:szCs w:val="32"/>
        </w:rPr>
        <w:t>[S]</w:t>
      </w:r>
      <w:r>
        <w:rPr>
          <w:rFonts w:eastAsia="仿宋_GB2312"/>
          <w:color w:val="000000"/>
          <w:sz w:val="32"/>
          <w:szCs w:val="32"/>
        </w:rPr>
        <w:t>.</w:t>
      </w:r>
    </w:p>
    <w:p w14:paraId="57B919BA">
      <w:pPr>
        <w:spacing w:line="520" w:lineRule="exact"/>
        <w:ind w:firstLine="640" w:firstLineChars="200"/>
        <w:rPr>
          <w:rFonts w:eastAsia="仿宋_GB2312"/>
          <w:color w:val="000000"/>
          <w:sz w:val="32"/>
          <w:szCs w:val="32"/>
        </w:rPr>
      </w:pPr>
      <w:r>
        <w:rPr>
          <w:rFonts w:eastAsia="仿宋_GB2312"/>
          <w:color w:val="000000"/>
          <w:sz w:val="32"/>
          <w:szCs w:val="32"/>
        </w:rPr>
        <w:t>[5]GB/T 3280, 不锈钢冷轧钢板和钢带</w:t>
      </w:r>
      <w:r>
        <w:rPr>
          <w:rFonts w:eastAsia="仿宋_GB2312"/>
          <w:sz w:val="32"/>
          <w:szCs w:val="32"/>
        </w:rPr>
        <w:t>[S]</w:t>
      </w:r>
      <w:r>
        <w:rPr>
          <w:rFonts w:eastAsia="仿宋_GB2312"/>
          <w:color w:val="000000"/>
          <w:sz w:val="32"/>
          <w:szCs w:val="32"/>
        </w:rPr>
        <w:t>.</w:t>
      </w:r>
    </w:p>
    <w:p w14:paraId="6A11866C">
      <w:pPr>
        <w:spacing w:line="520" w:lineRule="exact"/>
        <w:ind w:firstLine="640" w:firstLineChars="200"/>
        <w:rPr>
          <w:rFonts w:eastAsia="仿宋_GB2312"/>
          <w:color w:val="000000"/>
          <w:sz w:val="32"/>
          <w:szCs w:val="32"/>
        </w:rPr>
      </w:pPr>
      <w:r>
        <w:rPr>
          <w:rFonts w:eastAsia="仿宋_GB2312"/>
          <w:color w:val="000000"/>
          <w:sz w:val="32"/>
          <w:szCs w:val="32"/>
        </w:rPr>
        <w:t>[6]GB 4234.1, 外科植入物 金属材料 第1部分：锻造不锈钢</w:t>
      </w:r>
      <w:r>
        <w:rPr>
          <w:rFonts w:eastAsia="仿宋_GB2312"/>
          <w:sz w:val="32"/>
          <w:szCs w:val="32"/>
        </w:rPr>
        <w:t>[S]</w:t>
      </w:r>
      <w:r>
        <w:rPr>
          <w:rFonts w:eastAsia="仿宋_GB2312"/>
          <w:color w:val="000000"/>
          <w:sz w:val="32"/>
          <w:szCs w:val="32"/>
        </w:rPr>
        <w:t>.</w:t>
      </w:r>
    </w:p>
    <w:p w14:paraId="0F9567B3">
      <w:pPr>
        <w:spacing w:line="520" w:lineRule="exact"/>
        <w:ind w:firstLine="640" w:firstLineChars="200"/>
        <w:rPr>
          <w:rFonts w:eastAsia="仿宋_GB2312"/>
          <w:color w:val="000000"/>
          <w:sz w:val="32"/>
          <w:szCs w:val="32"/>
        </w:rPr>
      </w:pPr>
      <w:r>
        <w:rPr>
          <w:rFonts w:eastAsia="仿宋_GB2312"/>
          <w:color w:val="000000"/>
          <w:sz w:val="32"/>
          <w:szCs w:val="32"/>
        </w:rPr>
        <w:t>[7]GB/T 4240, 不锈钢丝</w:t>
      </w:r>
      <w:r>
        <w:rPr>
          <w:rFonts w:eastAsia="仿宋_GB2312"/>
          <w:sz w:val="32"/>
          <w:szCs w:val="32"/>
        </w:rPr>
        <w:t>[S]</w:t>
      </w:r>
      <w:r>
        <w:rPr>
          <w:rFonts w:eastAsia="仿宋_GB2312"/>
          <w:color w:val="000000"/>
          <w:sz w:val="32"/>
          <w:szCs w:val="32"/>
        </w:rPr>
        <w:t>.</w:t>
      </w:r>
    </w:p>
    <w:p w14:paraId="7F6A9FD1">
      <w:pPr>
        <w:spacing w:line="520" w:lineRule="exact"/>
        <w:ind w:firstLine="640" w:firstLineChars="200"/>
        <w:rPr>
          <w:rFonts w:eastAsia="仿宋_GB2312"/>
          <w:color w:val="000000"/>
          <w:sz w:val="32"/>
          <w:szCs w:val="32"/>
        </w:rPr>
      </w:pPr>
      <w:r>
        <w:rPr>
          <w:rFonts w:eastAsia="仿宋_GB2312"/>
          <w:color w:val="000000"/>
          <w:sz w:val="32"/>
          <w:szCs w:val="32"/>
        </w:rPr>
        <w:t>[8]GB/T 4340.1, 金属材料 维氏硬度试验 第1部分：试验方法</w:t>
      </w:r>
      <w:r>
        <w:rPr>
          <w:rFonts w:eastAsia="仿宋_GB2312"/>
          <w:sz w:val="32"/>
          <w:szCs w:val="32"/>
        </w:rPr>
        <w:t>[S]</w:t>
      </w:r>
      <w:r>
        <w:rPr>
          <w:rFonts w:eastAsia="仿宋_GB2312"/>
          <w:color w:val="000000"/>
          <w:sz w:val="32"/>
          <w:szCs w:val="32"/>
        </w:rPr>
        <w:t>.</w:t>
      </w:r>
    </w:p>
    <w:p w14:paraId="123F5301">
      <w:pPr>
        <w:spacing w:line="520" w:lineRule="exact"/>
        <w:ind w:firstLine="640" w:firstLineChars="200"/>
        <w:rPr>
          <w:rFonts w:eastAsia="仿宋_GB2312"/>
          <w:color w:val="000000"/>
          <w:sz w:val="32"/>
          <w:szCs w:val="32"/>
        </w:rPr>
      </w:pPr>
      <w:r>
        <w:rPr>
          <w:rFonts w:eastAsia="仿宋_GB2312"/>
          <w:color w:val="000000"/>
          <w:sz w:val="32"/>
          <w:szCs w:val="32"/>
        </w:rPr>
        <w:t>[9] GB/T 1423</w:t>
      </w:r>
      <w:r>
        <w:rPr>
          <w:rFonts w:hint="eastAsia" w:eastAsia="仿宋_GB2312"/>
          <w:color w:val="000000"/>
          <w:sz w:val="32"/>
          <w:szCs w:val="32"/>
        </w:rPr>
        <w:t>3，</w:t>
      </w:r>
      <w:r>
        <w:rPr>
          <w:rFonts w:eastAsia="仿宋_GB2312"/>
          <w:color w:val="000000"/>
          <w:sz w:val="32"/>
          <w:szCs w:val="32"/>
        </w:rPr>
        <w:t>系列标准，医用输液、输血、注射器具检验方法</w:t>
      </w:r>
      <w:r>
        <w:rPr>
          <w:rFonts w:eastAsia="仿宋_GB2312"/>
          <w:sz w:val="32"/>
          <w:szCs w:val="32"/>
        </w:rPr>
        <w:t>[S]</w:t>
      </w:r>
      <w:r>
        <w:rPr>
          <w:rFonts w:eastAsia="仿宋_GB2312"/>
          <w:color w:val="000000"/>
          <w:sz w:val="32"/>
          <w:szCs w:val="32"/>
        </w:rPr>
        <w:t>.</w:t>
      </w:r>
    </w:p>
    <w:p w14:paraId="63F4D669">
      <w:pPr>
        <w:spacing w:line="520" w:lineRule="exact"/>
        <w:ind w:firstLine="640" w:firstLineChars="200"/>
        <w:rPr>
          <w:rFonts w:eastAsia="仿宋_GB2312"/>
          <w:color w:val="000000"/>
          <w:sz w:val="32"/>
          <w:szCs w:val="32"/>
        </w:rPr>
      </w:pPr>
      <w:r>
        <w:rPr>
          <w:rFonts w:eastAsia="仿宋_GB2312"/>
          <w:color w:val="000000"/>
          <w:sz w:val="32"/>
          <w:szCs w:val="32"/>
        </w:rPr>
        <w:t>[10] GB/T 16886</w:t>
      </w:r>
      <w:r>
        <w:rPr>
          <w:rFonts w:hint="eastAsia" w:eastAsia="仿宋_GB2312"/>
          <w:color w:val="000000"/>
          <w:sz w:val="32"/>
          <w:szCs w:val="32"/>
        </w:rPr>
        <w:t>，</w:t>
      </w:r>
      <w:r>
        <w:rPr>
          <w:rFonts w:eastAsia="仿宋_GB2312"/>
          <w:color w:val="000000"/>
          <w:sz w:val="32"/>
          <w:szCs w:val="32"/>
        </w:rPr>
        <w:t>系列标准，医疗器械生物学评价</w:t>
      </w:r>
      <w:r>
        <w:rPr>
          <w:rFonts w:eastAsia="仿宋_GB2312"/>
          <w:sz w:val="32"/>
          <w:szCs w:val="32"/>
        </w:rPr>
        <w:t>[S]</w:t>
      </w:r>
      <w:r>
        <w:rPr>
          <w:rFonts w:eastAsia="仿宋_GB2312"/>
          <w:color w:val="000000"/>
          <w:sz w:val="32"/>
          <w:szCs w:val="32"/>
        </w:rPr>
        <w:t>.</w:t>
      </w:r>
    </w:p>
    <w:p w14:paraId="7EB19368">
      <w:pPr>
        <w:spacing w:line="520" w:lineRule="exact"/>
        <w:ind w:firstLine="640" w:firstLineChars="200"/>
        <w:rPr>
          <w:rFonts w:eastAsia="仿宋_GB2312"/>
          <w:color w:val="000000"/>
          <w:sz w:val="32"/>
          <w:szCs w:val="32"/>
        </w:rPr>
      </w:pPr>
      <w:r>
        <w:rPr>
          <w:rFonts w:eastAsia="仿宋_GB2312"/>
          <w:color w:val="000000"/>
          <w:sz w:val="32"/>
          <w:szCs w:val="32"/>
        </w:rPr>
        <w:t>[11] GB 18279</w:t>
      </w:r>
      <w:r>
        <w:rPr>
          <w:rFonts w:hint="eastAsia" w:eastAsia="仿宋_GB2312"/>
          <w:color w:val="000000"/>
          <w:sz w:val="32"/>
          <w:szCs w:val="32"/>
        </w:rPr>
        <w:t>，</w:t>
      </w:r>
      <w:r>
        <w:rPr>
          <w:rFonts w:eastAsia="仿宋_GB2312"/>
          <w:color w:val="000000"/>
          <w:sz w:val="32"/>
          <w:szCs w:val="32"/>
        </w:rPr>
        <w:t>系列标准，医疗保健产品灭菌 环氧乙烷</w:t>
      </w:r>
      <w:r>
        <w:rPr>
          <w:rFonts w:eastAsia="仿宋_GB2312"/>
          <w:sz w:val="32"/>
          <w:szCs w:val="32"/>
        </w:rPr>
        <w:t>[S]</w:t>
      </w:r>
      <w:r>
        <w:rPr>
          <w:rFonts w:eastAsia="仿宋_GB2312"/>
          <w:color w:val="000000"/>
          <w:sz w:val="32"/>
          <w:szCs w:val="32"/>
        </w:rPr>
        <w:t>.</w:t>
      </w:r>
    </w:p>
    <w:p w14:paraId="1B1E27C2">
      <w:pPr>
        <w:spacing w:line="520" w:lineRule="exact"/>
        <w:ind w:firstLine="640" w:firstLineChars="200"/>
        <w:rPr>
          <w:rFonts w:eastAsia="仿宋_GB2312"/>
          <w:color w:val="000000"/>
          <w:sz w:val="32"/>
          <w:szCs w:val="32"/>
        </w:rPr>
      </w:pPr>
      <w:r>
        <w:rPr>
          <w:rFonts w:eastAsia="仿宋_GB2312"/>
          <w:color w:val="000000"/>
          <w:sz w:val="32"/>
          <w:szCs w:val="32"/>
        </w:rPr>
        <w:t>[12] GB 18280</w:t>
      </w:r>
      <w:r>
        <w:rPr>
          <w:rFonts w:hint="eastAsia" w:eastAsia="仿宋_GB2312"/>
          <w:color w:val="000000"/>
          <w:sz w:val="32"/>
          <w:szCs w:val="32"/>
        </w:rPr>
        <w:t>，</w:t>
      </w:r>
      <w:r>
        <w:rPr>
          <w:rFonts w:eastAsia="仿宋_GB2312"/>
          <w:color w:val="000000"/>
          <w:sz w:val="32"/>
          <w:szCs w:val="32"/>
        </w:rPr>
        <w:t>系列标准，医疗保健产品灭菌 辐射</w:t>
      </w:r>
      <w:r>
        <w:rPr>
          <w:rFonts w:eastAsia="仿宋_GB2312"/>
          <w:sz w:val="32"/>
          <w:szCs w:val="32"/>
        </w:rPr>
        <w:t>[S]</w:t>
      </w:r>
      <w:r>
        <w:rPr>
          <w:rFonts w:eastAsia="仿宋_GB2312"/>
          <w:color w:val="000000"/>
          <w:sz w:val="32"/>
          <w:szCs w:val="32"/>
        </w:rPr>
        <w:t>.</w:t>
      </w:r>
    </w:p>
    <w:p w14:paraId="24B8932D">
      <w:pPr>
        <w:spacing w:line="520" w:lineRule="exact"/>
        <w:ind w:firstLine="640" w:firstLineChars="200"/>
        <w:rPr>
          <w:rFonts w:eastAsia="仿宋_GB2312"/>
          <w:color w:val="000000"/>
          <w:sz w:val="32"/>
          <w:szCs w:val="32"/>
        </w:rPr>
      </w:pPr>
      <w:r>
        <w:rPr>
          <w:rFonts w:eastAsia="仿宋_GB2312"/>
          <w:color w:val="000000"/>
          <w:sz w:val="32"/>
          <w:szCs w:val="32"/>
        </w:rPr>
        <w:t>[13] GB/T 19633</w:t>
      </w:r>
      <w:r>
        <w:rPr>
          <w:rFonts w:hint="eastAsia" w:eastAsia="仿宋_GB2312"/>
          <w:color w:val="000000"/>
          <w:sz w:val="32"/>
          <w:szCs w:val="32"/>
        </w:rPr>
        <w:t>，</w:t>
      </w:r>
      <w:r>
        <w:rPr>
          <w:rFonts w:eastAsia="仿宋_GB2312"/>
          <w:color w:val="000000"/>
          <w:sz w:val="32"/>
          <w:szCs w:val="32"/>
        </w:rPr>
        <w:t>系列标准, 最终灭菌医疗器械包装</w:t>
      </w:r>
      <w:r>
        <w:rPr>
          <w:rFonts w:eastAsia="仿宋_GB2312"/>
          <w:sz w:val="32"/>
          <w:szCs w:val="32"/>
        </w:rPr>
        <w:t>[S]</w:t>
      </w:r>
      <w:r>
        <w:rPr>
          <w:rFonts w:eastAsia="仿宋_GB2312"/>
          <w:color w:val="000000"/>
          <w:sz w:val="32"/>
          <w:szCs w:val="32"/>
        </w:rPr>
        <w:t>.</w:t>
      </w:r>
    </w:p>
    <w:p w14:paraId="412DEC42">
      <w:pPr>
        <w:spacing w:line="520" w:lineRule="exact"/>
        <w:ind w:firstLine="640" w:firstLineChars="200"/>
        <w:rPr>
          <w:rFonts w:eastAsia="仿宋_GB2312"/>
          <w:color w:val="000000"/>
          <w:sz w:val="32"/>
          <w:szCs w:val="32"/>
        </w:rPr>
      </w:pPr>
      <w:r>
        <w:rPr>
          <w:rFonts w:eastAsia="仿宋_GB2312"/>
          <w:color w:val="000000"/>
          <w:sz w:val="32"/>
          <w:szCs w:val="32"/>
        </w:rPr>
        <w:t>[14] YY/T 0149, 不锈钢医用器械 耐腐蚀性能试验方法</w:t>
      </w:r>
      <w:r>
        <w:rPr>
          <w:rFonts w:eastAsia="仿宋_GB2312"/>
          <w:sz w:val="32"/>
          <w:szCs w:val="32"/>
        </w:rPr>
        <w:t>[S]</w:t>
      </w:r>
      <w:r>
        <w:rPr>
          <w:rFonts w:eastAsia="仿宋_GB2312"/>
          <w:color w:val="000000"/>
          <w:sz w:val="32"/>
          <w:szCs w:val="32"/>
        </w:rPr>
        <w:t>.</w:t>
      </w:r>
    </w:p>
    <w:p w14:paraId="75DE305F">
      <w:pPr>
        <w:spacing w:line="520" w:lineRule="exact"/>
        <w:ind w:firstLine="640" w:firstLineChars="200"/>
        <w:rPr>
          <w:rFonts w:eastAsia="仿宋_GB2312"/>
          <w:color w:val="000000"/>
          <w:sz w:val="32"/>
          <w:szCs w:val="32"/>
        </w:rPr>
      </w:pPr>
      <w:r>
        <w:rPr>
          <w:rFonts w:eastAsia="仿宋_GB2312"/>
          <w:color w:val="000000"/>
          <w:sz w:val="32"/>
          <w:szCs w:val="32"/>
        </w:rPr>
        <w:t>[15] YY/T 0171, 外科器械 包装、标志和使用说明书</w:t>
      </w:r>
      <w:r>
        <w:rPr>
          <w:rFonts w:eastAsia="仿宋_GB2312"/>
          <w:sz w:val="32"/>
          <w:szCs w:val="32"/>
        </w:rPr>
        <w:t>[S]</w:t>
      </w:r>
      <w:r>
        <w:rPr>
          <w:rFonts w:eastAsia="仿宋_GB2312"/>
          <w:color w:val="000000"/>
          <w:sz w:val="32"/>
          <w:szCs w:val="32"/>
        </w:rPr>
        <w:t>.</w:t>
      </w:r>
    </w:p>
    <w:p w14:paraId="3C691795">
      <w:pPr>
        <w:spacing w:line="520" w:lineRule="exact"/>
        <w:ind w:firstLine="640" w:firstLineChars="200"/>
        <w:rPr>
          <w:rFonts w:eastAsia="仿宋_GB2312"/>
          <w:color w:val="000000"/>
          <w:sz w:val="32"/>
          <w:szCs w:val="32"/>
        </w:rPr>
      </w:pPr>
      <w:r>
        <w:rPr>
          <w:rFonts w:eastAsia="仿宋_GB2312"/>
          <w:color w:val="000000"/>
          <w:sz w:val="32"/>
          <w:szCs w:val="32"/>
        </w:rPr>
        <w:t>[16] YY/T 0245, 吻（缝）合器通用技术条件</w:t>
      </w:r>
      <w:r>
        <w:rPr>
          <w:rFonts w:eastAsia="仿宋_GB2312"/>
          <w:sz w:val="32"/>
          <w:szCs w:val="32"/>
        </w:rPr>
        <w:t>[S]</w:t>
      </w:r>
      <w:r>
        <w:rPr>
          <w:rFonts w:eastAsia="仿宋_GB2312"/>
          <w:color w:val="000000"/>
          <w:sz w:val="32"/>
          <w:szCs w:val="32"/>
        </w:rPr>
        <w:t>.</w:t>
      </w:r>
    </w:p>
    <w:p w14:paraId="4AEE203E">
      <w:pPr>
        <w:spacing w:line="520" w:lineRule="exact"/>
        <w:ind w:firstLine="640" w:firstLineChars="200"/>
        <w:rPr>
          <w:rFonts w:eastAsia="仿宋_GB2312"/>
          <w:color w:val="000000"/>
          <w:sz w:val="32"/>
          <w:szCs w:val="32"/>
        </w:rPr>
      </w:pPr>
      <w:r>
        <w:rPr>
          <w:rFonts w:eastAsia="仿宋_GB2312"/>
          <w:color w:val="000000"/>
          <w:sz w:val="32"/>
          <w:szCs w:val="32"/>
        </w:rPr>
        <w:t>[17] YY 0334, 硅橡胶外科植入物通用要求</w:t>
      </w:r>
      <w:r>
        <w:rPr>
          <w:rFonts w:eastAsia="仿宋_GB2312"/>
          <w:sz w:val="32"/>
          <w:szCs w:val="32"/>
        </w:rPr>
        <w:t>[S]</w:t>
      </w:r>
      <w:r>
        <w:rPr>
          <w:rFonts w:eastAsia="仿宋_GB2312"/>
          <w:color w:val="000000"/>
          <w:sz w:val="32"/>
          <w:szCs w:val="32"/>
        </w:rPr>
        <w:t>.</w:t>
      </w:r>
    </w:p>
    <w:p w14:paraId="1A595239">
      <w:pPr>
        <w:spacing w:line="520" w:lineRule="exact"/>
        <w:ind w:firstLine="640" w:firstLineChars="200"/>
        <w:rPr>
          <w:rFonts w:eastAsia="仿宋_GB2312"/>
          <w:color w:val="000000"/>
          <w:sz w:val="32"/>
          <w:szCs w:val="32"/>
        </w:rPr>
      </w:pPr>
      <w:r>
        <w:rPr>
          <w:rFonts w:eastAsia="仿宋_GB2312"/>
          <w:color w:val="000000"/>
          <w:sz w:val="32"/>
          <w:szCs w:val="32"/>
        </w:rPr>
        <w:t>[18] YY/T 0466.1, 医疗器械 用于医疗器械标签、标记和提供信息的符号 第1部分：通用要求</w:t>
      </w:r>
      <w:r>
        <w:rPr>
          <w:rFonts w:eastAsia="仿宋_GB2312"/>
          <w:sz w:val="32"/>
          <w:szCs w:val="32"/>
        </w:rPr>
        <w:t>[S]</w:t>
      </w:r>
      <w:r>
        <w:rPr>
          <w:rFonts w:eastAsia="仿宋_GB2312"/>
          <w:color w:val="000000"/>
          <w:sz w:val="32"/>
          <w:szCs w:val="32"/>
        </w:rPr>
        <w:t>.</w:t>
      </w:r>
    </w:p>
    <w:p w14:paraId="13C9C39B">
      <w:pPr>
        <w:spacing w:line="520" w:lineRule="exact"/>
        <w:ind w:firstLine="640" w:firstLineChars="200"/>
        <w:rPr>
          <w:rFonts w:eastAsia="仿宋_GB2312"/>
          <w:color w:val="000000"/>
          <w:sz w:val="32"/>
          <w:szCs w:val="32"/>
        </w:rPr>
      </w:pPr>
      <w:r>
        <w:rPr>
          <w:rFonts w:eastAsia="仿宋_GB2312"/>
          <w:color w:val="000000"/>
          <w:sz w:val="32"/>
          <w:szCs w:val="32"/>
        </w:rPr>
        <w:t>[19] YY/T 0681系列标准, 无菌医疗器械包装试验方法</w:t>
      </w:r>
      <w:r>
        <w:rPr>
          <w:rFonts w:eastAsia="仿宋_GB2312"/>
          <w:sz w:val="32"/>
          <w:szCs w:val="32"/>
        </w:rPr>
        <w:t>[S]</w:t>
      </w:r>
      <w:r>
        <w:rPr>
          <w:rFonts w:eastAsia="仿宋_GB2312"/>
          <w:color w:val="000000"/>
          <w:sz w:val="32"/>
          <w:szCs w:val="32"/>
        </w:rPr>
        <w:t>.</w:t>
      </w:r>
    </w:p>
    <w:p w14:paraId="1C3DBC57">
      <w:pPr>
        <w:spacing w:line="520" w:lineRule="exact"/>
        <w:ind w:firstLine="640" w:firstLineChars="200"/>
        <w:rPr>
          <w:rFonts w:eastAsia="仿宋_GB2312"/>
          <w:color w:val="000000"/>
          <w:sz w:val="32"/>
          <w:szCs w:val="32"/>
        </w:rPr>
      </w:pPr>
      <w:r>
        <w:rPr>
          <w:rFonts w:eastAsia="仿宋_GB2312"/>
          <w:color w:val="000000"/>
          <w:sz w:val="32"/>
          <w:szCs w:val="32"/>
        </w:rPr>
        <w:t>[20] ISO 13782, Implants for surgery - Metallic materials - Unalloyed tantalum for surgical implant applications/外科植入物-金属材料-外科植入用纯钽材料</w:t>
      </w:r>
      <w:r>
        <w:rPr>
          <w:rFonts w:eastAsia="仿宋_GB2312"/>
          <w:sz w:val="32"/>
          <w:szCs w:val="32"/>
        </w:rPr>
        <w:t>[S]</w:t>
      </w:r>
      <w:r>
        <w:rPr>
          <w:rFonts w:eastAsia="仿宋_GB2312"/>
          <w:color w:val="000000"/>
          <w:sz w:val="32"/>
          <w:szCs w:val="32"/>
        </w:rPr>
        <w:t>.</w:t>
      </w:r>
    </w:p>
    <w:p w14:paraId="32E5237B">
      <w:pPr>
        <w:spacing w:line="520" w:lineRule="exact"/>
        <w:ind w:firstLine="640" w:firstLineChars="200"/>
        <w:rPr>
          <w:rFonts w:eastAsia="仿宋_GB2312"/>
          <w:color w:val="000000"/>
          <w:sz w:val="32"/>
          <w:szCs w:val="32"/>
        </w:rPr>
      </w:pPr>
      <w:r>
        <w:rPr>
          <w:rFonts w:eastAsia="仿宋_GB2312"/>
          <w:color w:val="000000"/>
          <w:sz w:val="32"/>
          <w:szCs w:val="32"/>
        </w:rPr>
        <w:t>[21] 中华人民共和国药典（2020版）</w:t>
      </w:r>
    </w:p>
    <w:p w14:paraId="03F95A9D">
      <w:pPr>
        <w:snapToGrid w:val="0"/>
        <w:spacing w:line="560" w:lineRule="exact"/>
        <w:ind w:firstLine="640" w:firstLineChars="200"/>
        <w:rPr>
          <w:rFonts w:eastAsia="黑体"/>
          <w:sz w:val="32"/>
          <w:szCs w:val="32"/>
        </w:rPr>
      </w:pPr>
      <w:r>
        <w:rPr>
          <w:rFonts w:eastAsia="黑体"/>
          <w:sz w:val="32"/>
          <w:szCs w:val="32"/>
        </w:rPr>
        <w:t>四、编写单位</w:t>
      </w:r>
    </w:p>
    <w:p w14:paraId="20059AEE">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湖北省药品监督管理局审评中心</w:t>
      </w:r>
    </w:p>
    <w:p w14:paraId="275C5C4B"/>
    <w:p w14:paraId="6B798B2F">
      <w:pPr>
        <w:spacing w:line="560" w:lineRule="exact"/>
        <w:rPr>
          <w:rFonts w:hint="eastAsia" w:eastAsia="等线"/>
          <w:lang w:eastAsia="zh-CN"/>
        </w:rPr>
      </w:pPr>
    </w:p>
    <w:p w14:paraId="058CDE68">
      <w:pPr>
        <w:spacing w:line="560" w:lineRule="exact"/>
        <w:jc w:val="center"/>
        <w:rPr>
          <w:rFonts w:hint="eastAsia" w:eastAsia="等线"/>
          <w:lang w:eastAsia="zh-CN"/>
        </w:rPr>
      </w:pPr>
    </w:p>
    <w:p w14:paraId="3CF96847">
      <w:pPr>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11BB0"/>
    <w:multiLevelType w:val="singleLevel"/>
    <w:tmpl w:val="92511BB0"/>
    <w:lvl w:ilvl="0" w:tentative="0">
      <w:start w:val="6"/>
      <w:numFmt w:val="decimal"/>
      <w:lvlText w:val="%1."/>
      <w:lvlJc w:val="left"/>
      <w:pPr>
        <w:tabs>
          <w:tab w:val="left" w:pos="312"/>
        </w:tabs>
      </w:pPr>
    </w:lvl>
  </w:abstractNum>
  <w:abstractNum w:abstractNumId="1">
    <w:nsid w:val="44AA392E"/>
    <w:multiLevelType w:val="singleLevel"/>
    <w:tmpl w:val="44AA392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DC"/>
    <w:rsid w:val="001F6619"/>
    <w:rsid w:val="00325786"/>
    <w:rsid w:val="00405DDC"/>
    <w:rsid w:val="00542AE9"/>
    <w:rsid w:val="00E60E4D"/>
    <w:rsid w:val="36C87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节标题"/>
    <w:basedOn w:val="1"/>
    <w:next w:val="1"/>
    <w:qFormat/>
    <w:uiPriority w:val="0"/>
    <w:pPr>
      <w:spacing w:before="50" w:beforeLines="50" w:after="50" w:afterLines="50"/>
      <w:jc w:val="left"/>
    </w:pPr>
    <w:rPr>
      <w:rFonts w:eastAsia="微软雅黑"/>
      <w:b/>
      <w:sz w:val="28"/>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7686</Words>
  <Characters>8344</Characters>
  <Lines>61</Lines>
  <Paragraphs>17</Paragraphs>
  <TotalTime>0</TotalTime>
  <ScaleCrop>false</ScaleCrop>
  <LinksUpToDate>false</LinksUpToDate>
  <CharactersWithSpaces>8463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2021-12-20T01:04:00Z</dcterms:created>
  <dc:creator>屈贝贝</dc:creator>
  <cp:lastModifiedBy>太极箫客</cp:lastModifiedBy>
  <dcterms:modified xsi:type="dcterms:W3CDTF">2025-08-14T06:36:47Z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D4C3934588DB43F7B86654FC226A9362_12</vt:lpwstr>
  </property>
</Properties>
</file>