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80EB5">
      <w:pPr>
        <w:pBdr>
          <w:bottom w:val="single" w:color="auto" w:sz="4" w:space="1"/>
        </w:pBdr>
        <w:shd w:val="clear" w:color="auto" w:fill="FFFFFF"/>
        <w:topLinePunct/>
        <w:autoSpaceDE/>
        <w:autoSpaceDN/>
        <w:adjustRightInd/>
        <w:jc w:val="center"/>
        <w:rPr>
          <w:sz w:val="44"/>
          <w:szCs w:val="44"/>
        </w:rPr>
      </w:pPr>
      <w:bookmarkStart w:id="10" w:name="_GoBack"/>
      <w:bookmarkEnd w:id="10"/>
      <w:r>
        <w:rPr>
          <w:b/>
          <w:color w:val="000000"/>
          <w:sz w:val="44"/>
          <w:szCs w:val="44"/>
        </w:rPr>
        <w:t>动物源性医疗器械（体外诊断设备除外）</w:t>
      </w:r>
    </w:p>
    <w:p w14:paraId="4168FCDC">
      <w:pPr>
        <w:shd w:val="clear" w:color="auto" w:fill="FFFFFF"/>
        <w:topLinePunct/>
        <w:autoSpaceDE/>
        <w:autoSpaceDN/>
        <w:adjustRightInd/>
        <w:jc w:val="center"/>
        <w:rPr>
          <w:sz w:val="44"/>
          <w:szCs w:val="44"/>
        </w:rPr>
      </w:pPr>
      <w:r>
        <w:rPr>
          <w:b/>
          <w:color w:val="000000"/>
          <w:sz w:val="44"/>
          <w:szCs w:val="44"/>
        </w:rPr>
        <w:t>行业和美国食品药品监督管理局工作人员指南</w:t>
      </w:r>
    </w:p>
    <w:p w14:paraId="79567E14">
      <w:pPr>
        <w:shd w:val="clear" w:color="auto" w:fill="FFFFFF"/>
        <w:topLinePunct/>
        <w:autoSpaceDE/>
        <w:autoSpaceDN/>
        <w:adjustRightInd/>
        <w:jc w:val="center"/>
        <w:rPr>
          <w:b/>
          <w:color w:val="000000"/>
          <w:sz w:val="24"/>
          <w:szCs w:val="24"/>
        </w:rPr>
      </w:pPr>
    </w:p>
    <w:p w14:paraId="73B96C38">
      <w:pPr>
        <w:shd w:val="clear" w:color="auto" w:fill="FFFFFF"/>
        <w:topLinePunct/>
        <w:autoSpaceDE/>
        <w:autoSpaceDN/>
        <w:adjustRightInd/>
        <w:jc w:val="center"/>
        <w:rPr>
          <w:b/>
          <w:bCs/>
          <w:color w:val="000000"/>
          <w:sz w:val="24"/>
          <w:szCs w:val="24"/>
        </w:rPr>
      </w:pPr>
      <w:r>
        <w:rPr>
          <w:b/>
          <w:color w:val="000000"/>
          <w:sz w:val="24"/>
          <w:szCs w:val="24"/>
        </w:rPr>
        <w:t>文件发布日期：2019年3月15日</w:t>
      </w:r>
    </w:p>
    <w:p w14:paraId="062FCF36">
      <w:pPr>
        <w:shd w:val="clear" w:color="auto" w:fill="FFFFFF"/>
        <w:topLinePunct/>
        <w:autoSpaceDE/>
        <w:autoSpaceDN/>
        <w:adjustRightInd/>
        <w:jc w:val="center"/>
        <w:rPr>
          <w:b/>
          <w:color w:val="000000"/>
          <w:sz w:val="24"/>
          <w:szCs w:val="24"/>
        </w:rPr>
      </w:pPr>
    </w:p>
    <w:p w14:paraId="2B799A8E">
      <w:pPr>
        <w:shd w:val="clear" w:color="auto" w:fill="FFFFFF"/>
        <w:topLinePunct/>
        <w:autoSpaceDE/>
        <w:autoSpaceDN/>
        <w:adjustRightInd/>
        <w:jc w:val="center"/>
        <w:rPr>
          <w:sz w:val="24"/>
          <w:szCs w:val="24"/>
        </w:rPr>
      </w:pPr>
      <w:r>
        <w:rPr>
          <w:b/>
          <w:color w:val="000000"/>
          <w:sz w:val="24"/>
          <w:szCs w:val="24"/>
        </w:rPr>
        <w:t>文件草案发布日期：2014年1月23日</w:t>
      </w:r>
    </w:p>
    <w:p w14:paraId="732D0D86">
      <w:pPr>
        <w:shd w:val="clear" w:color="auto" w:fill="FFFFFF"/>
        <w:topLinePunct/>
        <w:autoSpaceDE/>
        <w:autoSpaceDN/>
        <w:adjustRightInd/>
        <w:jc w:val="center"/>
        <w:rPr>
          <w:b/>
          <w:color w:val="000000"/>
          <w:sz w:val="24"/>
          <w:szCs w:val="24"/>
        </w:rPr>
      </w:pPr>
    </w:p>
    <w:p w14:paraId="732AF6F3">
      <w:pPr>
        <w:shd w:val="clear" w:color="auto" w:fill="FFFFFF"/>
        <w:topLinePunct/>
        <w:autoSpaceDE/>
        <w:autoSpaceDN/>
        <w:adjustRightInd/>
        <w:jc w:val="center"/>
        <w:rPr>
          <w:b/>
          <w:bCs/>
          <w:color w:val="000000"/>
          <w:sz w:val="24"/>
          <w:szCs w:val="24"/>
        </w:rPr>
      </w:pPr>
      <w:r>
        <w:rPr>
          <w:b/>
          <w:color w:val="000000"/>
          <w:sz w:val="24"/>
          <w:szCs w:val="24"/>
        </w:rPr>
        <w:t>本文件取代1998年11月6日发布的《动物源性医疗器械（体外诊断设备除外）》</w:t>
      </w:r>
    </w:p>
    <w:p w14:paraId="5250BF6A">
      <w:pPr>
        <w:shd w:val="clear" w:color="auto" w:fill="FFFFFF"/>
        <w:topLinePunct/>
        <w:autoSpaceDE/>
        <w:autoSpaceDN/>
        <w:adjustRightInd/>
        <w:jc w:val="center"/>
        <w:rPr>
          <w:sz w:val="24"/>
          <w:szCs w:val="24"/>
        </w:rPr>
      </w:pPr>
    </w:p>
    <w:p w14:paraId="7ECC1826">
      <w:pPr>
        <w:shd w:val="clear" w:color="auto" w:fill="FFFFFF"/>
        <w:topLinePunct/>
        <w:autoSpaceDE/>
        <w:autoSpaceDN/>
        <w:adjustRightInd/>
        <w:ind w:firstLine="480" w:firstLineChars="200"/>
        <w:jc w:val="both"/>
        <w:rPr>
          <w:sz w:val="24"/>
          <w:szCs w:val="24"/>
        </w:rPr>
      </w:pPr>
      <w:r>
        <w:rPr>
          <w:color w:val="000000"/>
          <w:sz w:val="24"/>
          <w:szCs w:val="24"/>
        </w:rPr>
        <w:t>如对本文件有任何疑问，请与外科器械部联系</w:t>
      </w:r>
      <w:r>
        <w:rPr>
          <w:rFonts w:hint="eastAsia"/>
          <w:color w:val="000000"/>
          <w:sz w:val="24"/>
          <w:szCs w:val="24"/>
        </w:rPr>
        <w:t>，</w:t>
      </w:r>
      <w:r>
        <w:rPr>
          <w:color w:val="000000"/>
          <w:sz w:val="24"/>
          <w:szCs w:val="24"/>
        </w:rPr>
        <w:t>电话（301）796-6970。</w:t>
      </w:r>
    </w:p>
    <w:p w14:paraId="76C7776B">
      <w:pPr>
        <w:shd w:val="clear" w:color="auto" w:fill="FFFFFF"/>
        <w:topLinePunct/>
        <w:autoSpaceDE/>
        <w:autoSpaceDN/>
        <w:adjustRightInd/>
        <w:jc w:val="both"/>
        <w:rPr>
          <w:b/>
          <w:bCs/>
          <w:color w:val="000000"/>
          <w:sz w:val="24"/>
          <w:szCs w:val="24"/>
        </w:rPr>
      </w:pPr>
    </w:p>
    <w:p w14:paraId="5D3D2966">
      <w:pPr>
        <w:shd w:val="clear" w:color="auto" w:fill="FFFFFF"/>
        <w:topLinePunct/>
        <w:autoSpaceDE/>
        <w:autoSpaceDN/>
        <w:adjustRightInd/>
        <w:jc w:val="both"/>
        <w:rPr>
          <w:b/>
          <w:bCs/>
          <w:color w:val="000000"/>
          <w:sz w:val="24"/>
          <w:szCs w:val="24"/>
        </w:rPr>
      </w:pPr>
    </w:p>
    <w:p w14:paraId="0E6A0CB1">
      <w:pPr>
        <w:shd w:val="clear" w:color="auto" w:fill="FFFFFF"/>
        <w:topLinePunct/>
        <w:autoSpaceDE/>
        <w:autoSpaceDN/>
        <w:adjustRightInd/>
        <w:jc w:val="both"/>
        <w:rPr>
          <w:b/>
          <w:bCs/>
          <w:color w:val="000000"/>
          <w:sz w:val="24"/>
          <w:szCs w:val="24"/>
        </w:rPr>
      </w:pPr>
    </w:p>
    <w:p w14:paraId="1575A597">
      <w:pPr>
        <w:shd w:val="clear" w:color="auto" w:fill="FFFFFF"/>
        <w:topLinePunct/>
        <w:autoSpaceDE/>
        <w:autoSpaceDN/>
        <w:adjustRightInd/>
        <w:jc w:val="both"/>
        <w:rPr>
          <w:b/>
          <w:bCs/>
          <w:color w:val="000000"/>
          <w:sz w:val="24"/>
          <w:szCs w:val="24"/>
        </w:rPr>
      </w:pPr>
    </w:p>
    <w:p w14:paraId="5D5E49AD">
      <w:pPr>
        <w:shd w:val="clear" w:color="auto" w:fill="FFFFFF"/>
        <w:topLinePunct/>
        <w:autoSpaceDE/>
        <w:autoSpaceDN/>
        <w:adjustRightInd/>
        <w:jc w:val="both"/>
        <w:rPr>
          <w:b/>
          <w:bCs/>
          <w:color w:val="000000"/>
          <w:sz w:val="24"/>
          <w:szCs w:val="24"/>
        </w:rPr>
      </w:pPr>
    </w:p>
    <w:p w14:paraId="053D580E">
      <w:pPr>
        <w:shd w:val="clear" w:color="auto" w:fill="FFFFFF"/>
        <w:topLinePunct/>
        <w:autoSpaceDE/>
        <w:autoSpaceDN/>
        <w:adjustRightInd/>
        <w:jc w:val="both"/>
        <w:rPr>
          <w:b/>
          <w:bCs/>
          <w:color w:val="000000"/>
          <w:sz w:val="24"/>
          <w:szCs w:val="24"/>
        </w:rPr>
      </w:pPr>
    </w:p>
    <w:p w14:paraId="1D67BB46">
      <w:pPr>
        <w:shd w:val="clear" w:color="auto" w:fill="FFFFFF"/>
        <w:topLinePunct/>
        <w:autoSpaceDE/>
        <w:autoSpaceDN/>
        <w:adjustRightInd/>
        <w:jc w:val="both"/>
        <w:rPr>
          <w:b/>
          <w:bCs/>
          <w:color w:val="000000"/>
          <w:sz w:val="24"/>
          <w:szCs w:val="24"/>
        </w:rPr>
      </w:pPr>
    </w:p>
    <w:p w14:paraId="2F882A06">
      <w:pPr>
        <w:shd w:val="clear" w:color="auto" w:fill="FFFFFF"/>
        <w:topLinePunct/>
        <w:autoSpaceDE/>
        <w:autoSpaceDN/>
        <w:adjustRightInd/>
        <w:jc w:val="both"/>
        <w:rPr>
          <w:b/>
          <w:bCs/>
          <w:color w:val="000000"/>
          <w:sz w:val="24"/>
          <w:szCs w:val="24"/>
        </w:rPr>
      </w:pPr>
    </w:p>
    <w:p w14:paraId="15C0E77F">
      <w:pPr>
        <w:shd w:val="clear" w:color="auto" w:fill="FFFFFF"/>
        <w:topLinePunct/>
        <w:autoSpaceDE/>
        <w:autoSpaceDN/>
        <w:adjustRightInd/>
        <w:jc w:val="both"/>
        <w:rPr>
          <w:b/>
          <w:bCs/>
          <w:color w:val="000000"/>
          <w:sz w:val="24"/>
          <w:szCs w:val="24"/>
        </w:rPr>
      </w:pPr>
    </w:p>
    <w:p w14:paraId="247DB946">
      <w:pPr>
        <w:shd w:val="clear" w:color="auto" w:fill="FFFFFF"/>
        <w:topLinePunct/>
        <w:autoSpaceDE/>
        <w:autoSpaceDN/>
        <w:adjustRightInd/>
        <w:jc w:val="both"/>
        <w:rPr>
          <w:b/>
          <w:bCs/>
          <w:color w:val="000000"/>
          <w:sz w:val="24"/>
          <w:szCs w:val="24"/>
        </w:rPr>
      </w:pPr>
    </w:p>
    <w:p w14:paraId="06396682">
      <w:pPr>
        <w:shd w:val="clear" w:color="auto" w:fill="FFFFFF"/>
        <w:topLinePunct/>
        <w:autoSpaceDE/>
        <w:autoSpaceDN/>
        <w:adjustRightInd/>
        <w:jc w:val="both"/>
        <w:rPr>
          <w:b/>
          <w:bCs/>
          <w:color w:val="000000"/>
          <w:sz w:val="24"/>
          <w:szCs w:val="24"/>
        </w:rPr>
      </w:pPr>
    </w:p>
    <w:p w14:paraId="631E45EB">
      <w:pPr>
        <w:shd w:val="clear" w:color="auto" w:fill="FFFFFF"/>
        <w:topLinePunct/>
        <w:autoSpaceDE/>
        <w:autoSpaceDN/>
        <w:adjustRightInd/>
        <w:jc w:val="both"/>
        <w:rPr>
          <w:b/>
          <w:bCs/>
          <w:color w:val="000000"/>
          <w:sz w:val="24"/>
          <w:szCs w:val="24"/>
        </w:rPr>
      </w:pPr>
    </w:p>
    <w:p w14:paraId="1B6D2728">
      <w:pPr>
        <w:shd w:val="clear" w:color="auto" w:fill="FFFFFF"/>
        <w:topLinePunct/>
        <w:autoSpaceDE/>
        <w:autoSpaceDN/>
        <w:adjustRightInd/>
        <w:jc w:val="both"/>
        <w:rPr>
          <w:b/>
          <w:bCs/>
          <w:color w:val="000000"/>
          <w:sz w:val="24"/>
          <w:szCs w:val="24"/>
        </w:rPr>
      </w:pPr>
    </w:p>
    <w:tbl>
      <w:tblPr>
        <w:tblStyle w:val="12"/>
        <w:tblW w:w="0" w:type="auto"/>
        <w:tblInd w:w="0" w:type="dxa"/>
        <w:tblLayout w:type="fixed"/>
        <w:tblCellMar>
          <w:top w:w="0" w:type="dxa"/>
          <w:left w:w="108" w:type="dxa"/>
          <w:bottom w:w="0" w:type="dxa"/>
          <w:right w:w="108" w:type="dxa"/>
        </w:tblCellMar>
      </w:tblPr>
      <w:tblGrid>
        <w:gridCol w:w="4644"/>
        <w:gridCol w:w="4645"/>
      </w:tblGrid>
      <w:tr w14:paraId="079B4891">
        <w:tblPrEx>
          <w:tblCellMar>
            <w:top w:w="0" w:type="dxa"/>
            <w:left w:w="108" w:type="dxa"/>
            <w:bottom w:w="0" w:type="dxa"/>
            <w:right w:w="108" w:type="dxa"/>
          </w:tblCellMar>
        </w:tblPrEx>
        <w:tc>
          <w:tcPr>
            <w:tcW w:w="4644" w:type="dxa"/>
            <w:shd w:val="clear" w:color="auto" w:fill="auto"/>
          </w:tcPr>
          <w:p w14:paraId="4583FAC1">
            <w:pPr>
              <w:topLinePunct/>
              <w:autoSpaceDE/>
              <w:autoSpaceDN/>
              <w:adjustRightInd/>
              <w:jc w:val="both"/>
              <w:rPr>
                <w:b/>
                <w:bCs/>
                <w:color w:val="000000"/>
                <w:sz w:val="21"/>
                <w:szCs w:val="21"/>
              </w:rPr>
            </w:pPr>
            <w:r>
              <w:rPr>
                <w:sz w:val="21"/>
                <w:szCs w:val="21"/>
              </w:rPr>
              <w:drawing>
                <wp:inline distT="0" distB="0" distL="0" distR="0">
                  <wp:extent cx="2790190" cy="857885"/>
                  <wp:effectExtent l="0" t="0" r="0" b="0"/>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90190" cy="857885"/>
                          </a:xfrm>
                          <a:prstGeom prst="rect">
                            <a:avLst/>
                          </a:prstGeom>
                          <a:noFill/>
                          <a:ln>
                            <a:noFill/>
                          </a:ln>
                        </pic:spPr>
                      </pic:pic>
                    </a:graphicData>
                  </a:graphic>
                </wp:inline>
              </w:drawing>
            </w:r>
          </w:p>
        </w:tc>
        <w:tc>
          <w:tcPr>
            <w:tcW w:w="4645" w:type="dxa"/>
            <w:shd w:val="clear" w:color="auto" w:fill="auto"/>
          </w:tcPr>
          <w:p w14:paraId="7337940E">
            <w:pPr>
              <w:shd w:val="clear" w:color="auto" w:fill="FFFFFF"/>
              <w:topLinePunct/>
              <w:autoSpaceDE/>
              <w:autoSpaceDN/>
              <w:adjustRightInd/>
              <w:jc w:val="right"/>
              <w:rPr>
                <w:sz w:val="21"/>
                <w:szCs w:val="21"/>
              </w:rPr>
            </w:pPr>
            <w:r>
              <w:rPr>
                <w:b/>
                <w:color w:val="000000"/>
                <w:sz w:val="21"/>
                <w:szCs w:val="21"/>
              </w:rPr>
              <w:t>美国卫生与公共服务部</w:t>
            </w:r>
          </w:p>
          <w:p w14:paraId="3637C40A">
            <w:pPr>
              <w:shd w:val="clear" w:color="auto" w:fill="FFFFFF"/>
              <w:topLinePunct/>
              <w:autoSpaceDE/>
              <w:autoSpaceDN/>
              <w:adjustRightInd/>
              <w:jc w:val="right"/>
              <w:rPr>
                <w:sz w:val="21"/>
                <w:szCs w:val="21"/>
              </w:rPr>
            </w:pPr>
            <w:r>
              <w:rPr>
                <w:b/>
                <w:color w:val="000000"/>
                <w:sz w:val="21"/>
                <w:szCs w:val="21"/>
              </w:rPr>
              <w:t>美国食品药品监督管理局</w:t>
            </w:r>
          </w:p>
          <w:p w14:paraId="14687D4A">
            <w:pPr>
              <w:shd w:val="clear" w:color="auto" w:fill="FFFFFF"/>
              <w:topLinePunct/>
              <w:autoSpaceDE/>
              <w:autoSpaceDN/>
              <w:adjustRightInd/>
              <w:jc w:val="right"/>
              <w:rPr>
                <w:sz w:val="21"/>
                <w:szCs w:val="21"/>
              </w:rPr>
            </w:pPr>
            <w:r>
              <w:rPr>
                <w:b/>
                <w:color w:val="000000"/>
                <w:sz w:val="21"/>
                <w:szCs w:val="21"/>
              </w:rPr>
              <w:t>医疗器械和辐射健康中心</w:t>
            </w:r>
          </w:p>
        </w:tc>
      </w:tr>
    </w:tbl>
    <w:p w14:paraId="6B3B9D7E">
      <w:pPr>
        <w:widowControl/>
        <w:autoSpaceDE/>
        <w:autoSpaceDN/>
        <w:adjustRightInd/>
        <w:rPr>
          <w:sz w:val="24"/>
          <w:szCs w:val="24"/>
        </w:rPr>
      </w:pPr>
      <w:r>
        <w:rPr>
          <w:sz w:val="24"/>
          <w:szCs w:val="24"/>
        </w:rPr>
        <w:br w:type="page"/>
      </w:r>
    </w:p>
    <w:p w14:paraId="6915DB2A">
      <w:pPr>
        <w:shd w:val="clear" w:color="auto" w:fill="FFFFFF"/>
        <w:topLinePunct/>
        <w:autoSpaceDE/>
        <w:autoSpaceDN/>
        <w:adjustRightInd/>
        <w:jc w:val="center"/>
        <w:rPr>
          <w:sz w:val="36"/>
          <w:szCs w:val="36"/>
        </w:rPr>
      </w:pPr>
      <w:r>
        <w:rPr>
          <w:b/>
          <w:color w:val="000000"/>
          <w:sz w:val="36"/>
          <w:szCs w:val="36"/>
        </w:rPr>
        <w:t>前言</w:t>
      </w:r>
    </w:p>
    <w:p w14:paraId="0685C5C9">
      <w:pPr>
        <w:shd w:val="clear" w:color="auto" w:fill="FFFFFF"/>
        <w:topLinePunct/>
        <w:autoSpaceDE/>
        <w:autoSpaceDN/>
        <w:adjustRightInd/>
        <w:jc w:val="both"/>
        <w:rPr>
          <w:sz w:val="32"/>
          <w:szCs w:val="32"/>
        </w:rPr>
      </w:pPr>
      <w:r>
        <w:rPr>
          <w:b/>
          <w:color w:val="000000"/>
          <w:sz w:val="32"/>
          <w:szCs w:val="32"/>
        </w:rPr>
        <w:t>公众意见</w:t>
      </w:r>
    </w:p>
    <w:p w14:paraId="04B3855F">
      <w:pPr>
        <w:shd w:val="clear" w:color="auto" w:fill="FFFFFF"/>
        <w:topLinePunct/>
        <w:autoSpaceDE/>
        <w:autoSpaceDN/>
        <w:adjustRightInd/>
        <w:ind w:firstLine="480" w:firstLineChars="200"/>
        <w:jc w:val="both"/>
        <w:rPr>
          <w:color w:val="000000"/>
          <w:sz w:val="24"/>
          <w:szCs w:val="24"/>
        </w:rPr>
      </w:pPr>
      <w:r>
        <w:rPr>
          <w:sz w:val="24"/>
          <w:szCs w:val="24"/>
          <w:lang w:eastAsia="en-US"/>
        </w:rPr>
        <w:t>电子版意见和建议可随时提交至</w:t>
      </w:r>
      <w:r>
        <w:fldChar w:fldCharType="begin"/>
      </w:r>
      <w:r>
        <w:instrText xml:space="preserve"> HYPERLINK "https://www.regulations.gov/" \h </w:instrText>
      </w:r>
      <w:r>
        <w:fldChar w:fldCharType="separate"/>
      </w:r>
      <w:r>
        <w:rPr>
          <w:color w:val="0000FF"/>
          <w:sz w:val="24"/>
          <w:szCs w:val="24"/>
          <w:u w:val="single" w:color="0000FF"/>
          <w:lang w:eastAsia="en-US"/>
        </w:rPr>
        <w:t>http://www.regulations.gov</w:t>
      </w:r>
      <w:r>
        <w:rPr>
          <w:color w:val="0000FF"/>
          <w:sz w:val="24"/>
          <w:szCs w:val="24"/>
          <w:u w:val="single" w:color="0000FF"/>
          <w:lang w:eastAsia="en-US"/>
        </w:rPr>
        <w:fldChar w:fldCharType="end"/>
      </w:r>
      <w:r>
        <w:rPr>
          <w:sz w:val="24"/>
          <w:szCs w:val="24"/>
          <w:lang w:eastAsia="en-US"/>
        </w:rPr>
        <w:t>，供FDA审议。</w:t>
      </w:r>
      <w:r>
        <w:rPr>
          <w:color w:val="000000"/>
          <w:sz w:val="24"/>
          <w:szCs w:val="24"/>
        </w:rPr>
        <w:t>可将书面意见提交至：美国食品药品监督管理局备案文件管理部，地址为5630 Fishers Lane, Room 1061, (HFA-305), Rockville, MD 20852。所有意见或建议均应注明备案文件编号FDA-20</w:t>
      </w:r>
      <w:r>
        <w:rPr>
          <w:rFonts w:hint="eastAsia"/>
          <w:color w:val="000000"/>
          <w:sz w:val="24"/>
          <w:szCs w:val="24"/>
        </w:rPr>
        <w:t>13</w:t>
      </w:r>
      <w:r>
        <w:rPr>
          <w:color w:val="000000"/>
          <w:sz w:val="24"/>
          <w:szCs w:val="24"/>
        </w:rPr>
        <w:t>-D-</w:t>
      </w:r>
      <w:r>
        <w:rPr>
          <w:rFonts w:hint="eastAsia"/>
          <w:color w:val="000000"/>
          <w:sz w:val="24"/>
          <w:szCs w:val="24"/>
        </w:rPr>
        <w:t>1574</w:t>
      </w:r>
      <w:r>
        <w:rPr>
          <w:color w:val="000000"/>
          <w:sz w:val="24"/>
          <w:szCs w:val="24"/>
        </w:rPr>
        <w:t>。下次修订或更新本文件时，FDA将考虑实施该意见。</w:t>
      </w:r>
    </w:p>
    <w:p w14:paraId="74248A41">
      <w:pPr>
        <w:shd w:val="clear" w:color="auto" w:fill="FFFFFF"/>
        <w:topLinePunct/>
        <w:autoSpaceDE/>
        <w:autoSpaceDN/>
        <w:adjustRightInd/>
        <w:jc w:val="both"/>
        <w:rPr>
          <w:color w:val="000000"/>
          <w:sz w:val="24"/>
          <w:szCs w:val="24"/>
        </w:rPr>
      </w:pPr>
    </w:p>
    <w:p w14:paraId="2F5607B3">
      <w:pPr>
        <w:shd w:val="clear" w:color="auto" w:fill="FFFFFF"/>
        <w:topLinePunct/>
        <w:autoSpaceDE/>
        <w:autoSpaceDN/>
        <w:adjustRightInd/>
        <w:jc w:val="both"/>
        <w:rPr>
          <w:b/>
          <w:bCs/>
          <w:color w:val="000000"/>
          <w:sz w:val="32"/>
          <w:szCs w:val="32"/>
        </w:rPr>
      </w:pPr>
      <w:r>
        <w:rPr>
          <w:b/>
          <w:color w:val="000000"/>
          <w:sz w:val="32"/>
          <w:szCs w:val="32"/>
        </w:rPr>
        <w:t>更多副本</w:t>
      </w:r>
    </w:p>
    <w:p w14:paraId="127237F2">
      <w:pPr>
        <w:shd w:val="clear" w:color="auto" w:fill="FFFFFF"/>
        <w:topLinePunct/>
        <w:autoSpaceDE/>
        <w:autoSpaceDN/>
        <w:adjustRightInd/>
        <w:ind w:firstLine="480" w:firstLineChars="200"/>
        <w:jc w:val="both"/>
        <w:rPr>
          <w:sz w:val="24"/>
          <w:szCs w:val="24"/>
        </w:rPr>
      </w:pPr>
      <w:r>
        <w:rPr>
          <w:color w:val="000000"/>
          <w:sz w:val="24"/>
          <w:szCs w:val="24"/>
        </w:rPr>
        <w:t>更多副本可通过互联网获取。</w:t>
      </w:r>
      <w:r>
        <w:rPr>
          <w:sz w:val="24"/>
          <w:szCs w:val="24"/>
        </w:rPr>
        <w:t>您也可以通过电子邮件发送请求至</w:t>
      </w:r>
      <w:r>
        <w:rPr>
          <w:color w:val="3333FF"/>
          <w:sz w:val="24"/>
          <w:szCs w:val="24"/>
          <w:u w:val="single"/>
        </w:rPr>
        <w:t>CDRH-Guidance@fda.hhs.gov</w:t>
      </w:r>
      <w:r>
        <w:rPr>
          <w:sz w:val="24"/>
          <w:szCs w:val="24"/>
        </w:rPr>
        <w:t>获取本指南的副本。</w:t>
      </w:r>
      <w:r>
        <w:rPr>
          <w:color w:val="000000"/>
          <w:sz w:val="24"/>
          <w:szCs w:val="24"/>
        </w:rPr>
        <w:t>请使用文件编号（2206），注明您所要求获取的指南。</w:t>
      </w:r>
    </w:p>
    <w:p w14:paraId="42D8F131">
      <w:pPr>
        <w:shd w:val="clear" w:color="auto" w:fill="FFFFFF"/>
        <w:topLinePunct/>
        <w:autoSpaceDE/>
        <w:autoSpaceDN/>
        <w:adjustRightInd/>
        <w:jc w:val="both"/>
        <w:rPr>
          <w:sz w:val="24"/>
          <w:szCs w:val="24"/>
        </w:rPr>
      </w:pPr>
    </w:p>
    <w:p w14:paraId="17A9BA12">
      <w:pPr>
        <w:widowControl/>
        <w:autoSpaceDE/>
        <w:autoSpaceDN/>
        <w:adjustRightInd/>
        <w:rPr>
          <w:sz w:val="24"/>
          <w:szCs w:val="24"/>
        </w:rPr>
      </w:pPr>
      <w:r>
        <w:rPr>
          <w:sz w:val="24"/>
          <w:szCs w:val="24"/>
        </w:rPr>
        <w:br w:type="page"/>
      </w:r>
    </w:p>
    <w:p w14:paraId="65541323">
      <w:pPr>
        <w:shd w:val="clear" w:color="auto" w:fill="FFFFFF"/>
        <w:topLinePunct/>
        <w:autoSpaceDE/>
        <w:autoSpaceDN/>
        <w:adjustRightInd/>
        <w:jc w:val="center"/>
        <w:rPr>
          <w:sz w:val="36"/>
          <w:szCs w:val="36"/>
        </w:rPr>
      </w:pPr>
      <w:r>
        <w:rPr>
          <w:b/>
          <w:color w:val="000000"/>
          <w:sz w:val="36"/>
          <w:szCs w:val="36"/>
        </w:rPr>
        <w:t>目录</w:t>
      </w:r>
    </w:p>
    <w:p w14:paraId="3D3B8B2A">
      <w:pPr>
        <w:pStyle w:val="8"/>
        <w:rPr>
          <w:rFonts w:asciiTheme="minorHAnsi" w:hAnsiTheme="minorHAnsi" w:eastAsiaTheme="minorEastAsia" w:cstheme="minorBidi"/>
          <w:kern w:val="2"/>
          <w:sz w:val="21"/>
          <w:szCs w:val="22"/>
          <w:lang w:bidi="he-IL"/>
        </w:rPr>
      </w:pPr>
      <w:r>
        <w:rPr>
          <w:szCs w:val="24"/>
        </w:rPr>
        <w:fldChar w:fldCharType="begin"/>
      </w:r>
      <w:r>
        <w:rPr>
          <w:szCs w:val="24"/>
        </w:rPr>
        <w:instrText xml:space="preserve"> TOC \o "1-3" \h \z \u </w:instrText>
      </w:r>
      <w:r>
        <w:rPr>
          <w:szCs w:val="24"/>
        </w:rPr>
        <w:fldChar w:fldCharType="separate"/>
      </w:r>
      <w:r>
        <w:fldChar w:fldCharType="begin"/>
      </w:r>
      <w:r>
        <w:instrText xml:space="preserve"> HYPERLINK \l "_Toc97372927" </w:instrText>
      </w:r>
      <w:r>
        <w:fldChar w:fldCharType="separate"/>
      </w:r>
      <w:r>
        <w:rPr>
          <w:rStyle w:val="15"/>
        </w:rPr>
        <w:t>I.</w:t>
      </w:r>
      <w:r>
        <w:rPr>
          <w:rFonts w:asciiTheme="minorHAnsi" w:hAnsiTheme="minorHAnsi" w:eastAsiaTheme="minorEastAsia" w:cstheme="minorBidi"/>
          <w:kern w:val="2"/>
          <w:sz w:val="21"/>
          <w:szCs w:val="22"/>
          <w:lang w:bidi="he-IL"/>
        </w:rPr>
        <w:tab/>
      </w:r>
      <w:r>
        <w:rPr>
          <w:rStyle w:val="15"/>
          <w:rFonts w:hint="eastAsia"/>
        </w:rPr>
        <w:t>引言</w:t>
      </w:r>
      <w:r>
        <w:tab/>
      </w:r>
      <w:r>
        <w:fldChar w:fldCharType="begin"/>
      </w:r>
      <w:r>
        <w:instrText xml:space="preserve"> PAGEREF _Toc97372927 \h </w:instrText>
      </w:r>
      <w:r>
        <w:fldChar w:fldCharType="separate"/>
      </w:r>
      <w:r>
        <w:t>1</w:t>
      </w:r>
      <w:r>
        <w:fldChar w:fldCharType="end"/>
      </w:r>
      <w:r>
        <w:fldChar w:fldCharType="end"/>
      </w:r>
    </w:p>
    <w:p w14:paraId="3056920A">
      <w:pPr>
        <w:pStyle w:val="8"/>
        <w:rPr>
          <w:rFonts w:asciiTheme="minorHAnsi" w:hAnsiTheme="minorHAnsi" w:eastAsiaTheme="minorEastAsia" w:cstheme="minorBidi"/>
          <w:kern w:val="2"/>
          <w:sz w:val="21"/>
          <w:szCs w:val="22"/>
          <w:lang w:bidi="he-IL"/>
        </w:rPr>
      </w:pPr>
      <w:r>
        <w:fldChar w:fldCharType="begin"/>
      </w:r>
      <w:r>
        <w:instrText xml:space="preserve"> HYPERLINK \l "_Toc97372928" </w:instrText>
      </w:r>
      <w:r>
        <w:fldChar w:fldCharType="separate"/>
      </w:r>
      <w:r>
        <w:rPr>
          <w:rStyle w:val="15"/>
        </w:rPr>
        <w:t>II.</w:t>
      </w:r>
      <w:r>
        <w:rPr>
          <w:rFonts w:asciiTheme="minorHAnsi" w:hAnsiTheme="minorHAnsi" w:eastAsiaTheme="minorEastAsia" w:cstheme="minorBidi"/>
          <w:kern w:val="2"/>
          <w:sz w:val="21"/>
          <w:szCs w:val="22"/>
          <w:lang w:bidi="he-IL"/>
        </w:rPr>
        <w:tab/>
      </w:r>
      <w:r>
        <w:rPr>
          <w:rStyle w:val="15"/>
          <w:rFonts w:hint="eastAsia"/>
        </w:rPr>
        <w:t>背景</w:t>
      </w:r>
      <w:r>
        <w:tab/>
      </w:r>
      <w:r>
        <w:fldChar w:fldCharType="begin"/>
      </w:r>
      <w:r>
        <w:instrText xml:space="preserve"> PAGEREF _Toc97372928 \h </w:instrText>
      </w:r>
      <w:r>
        <w:fldChar w:fldCharType="separate"/>
      </w:r>
      <w:r>
        <w:t>2</w:t>
      </w:r>
      <w:r>
        <w:fldChar w:fldCharType="end"/>
      </w:r>
      <w:r>
        <w:fldChar w:fldCharType="end"/>
      </w:r>
    </w:p>
    <w:p w14:paraId="042D63ED">
      <w:pPr>
        <w:pStyle w:val="8"/>
        <w:rPr>
          <w:rFonts w:asciiTheme="minorHAnsi" w:hAnsiTheme="minorHAnsi" w:eastAsiaTheme="minorEastAsia" w:cstheme="minorBidi"/>
          <w:kern w:val="2"/>
          <w:sz w:val="21"/>
          <w:szCs w:val="22"/>
          <w:lang w:bidi="he-IL"/>
        </w:rPr>
      </w:pPr>
      <w:r>
        <w:fldChar w:fldCharType="begin"/>
      </w:r>
      <w:r>
        <w:instrText xml:space="preserve"> HYPERLINK \l "_Toc97372929" </w:instrText>
      </w:r>
      <w:r>
        <w:fldChar w:fldCharType="separate"/>
      </w:r>
      <w:r>
        <w:rPr>
          <w:rStyle w:val="15"/>
        </w:rPr>
        <w:t>III.</w:t>
      </w:r>
      <w:r>
        <w:rPr>
          <w:rFonts w:asciiTheme="minorHAnsi" w:hAnsiTheme="minorHAnsi" w:eastAsiaTheme="minorEastAsia" w:cstheme="minorBidi"/>
          <w:kern w:val="2"/>
          <w:sz w:val="21"/>
          <w:szCs w:val="22"/>
          <w:lang w:bidi="he-IL"/>
        </w:rPr>
        <w:tab/>
      </w:r>
      <w:r>
        <w:rPr>
          <w:rStyle w:val="15"/>
          <w:rFonts w:hint="eastAsia"/>
        </w:rPr>
        <w:t>范围</w:t>
      </w:r>
      <w:r>
        <w:tab/>
      </w:r>
      <w:r>
        <w:fldChar w:fldCharType="begin"/>
      </w:r>
      <w:r>
        <w:instrText xml:space="preserve"> PAGEREF _Toc97372929 \h </w:instrText>
      </w:r>
      <w:r>
        <w:fldChar w:fldCharType="separate"/>
      </w:r>
      <w:r>
        <w:t>3</w:t>
      </w:r>
      <w:r>
        <w:fldChar w:fldCharType="end"/>
      </w:r>
      <w:r>
        <w:fldChar w:fldCharType="end"/>
      </w:r>
    </w:p>
    <w:p w14:paraId="5C5F29DA">
      <w:pPr>
        <w:pStyle w:val="8"/>
        <w:rPr>
          <w:rFonts w:asciiTheme="minorHAnsi" w:hAnsiTheme="minorHAnsi" w:eastAsiaTheme="minorEastAsia" w:cstheme="minorBidi"/>
          <w:kern w:val="2"/>
          <w:sz w:val="21"/>
          <w:szCs w:val="22"/>
          <w:lang w:bidi="he-IL"/>
        </w:rPr>
      </w:pPr>
      <w:r>
        <w:fldChar w:fldCharType="begin"/>
      </w:r>
      <w:r>
        <w:instrText xml:space="preserve"> HYPERLINK \l "_Toc97372930" </w:instrText>
      </w:r>
      <w:r>
        <w:fldChar w:fldCharType="separate"/>
      </w:r>
      <w:r>
        <w:rPr>
          <w:rStyle w:val="15"/>
        </w:rPr>
        <w:t>IV.</w:t>
      </w:r>
      <w:r>
        <w:rPr>
          <w:rFonts w:asciiTheme="minorHAnsi" w:hAnsiTheme="minorHAnsi" w:eastAsiaTheme="minorEastAsia" w:cstheme="minorBidi"/>
          <w:kern w:val="2"/>
          <w:sz w:val="21"/>
          <w:szCs w:val="22"/>
          <w:lang w:bidi="he-IL"/>
        </w:rPr>
        <w:tab/>
      </w:r>
      <w:r>
        <w:rPr>
          <w:rStyle w:val="15"/>
          <w:rFonts w:hint="eastAsia"/>
        </w:rPr>
        <w:t>使用动物源性材料时的考虑因素</w:t>
      </w:r>
      <w:r>
        <w:tab/>
      </w:r>
      <w:r>
        <w:fldChar w:fldCharType="begin"/>
      </w:r>
      <w:r>
        <w:instrText xml:space="preserve"> PAGEREF _Toc97372930 \h </w:instrText>
      </w:r>
      <w:r>
        <w:fldChar w:fldCharType="separate"/>
      </w:r>
      <w:r>
        <w:t>4</w:t>
      </w:r>
      <w:r>
        <w:fldChar w:fldCharType="end"/>
      </w:r>
      <w:r>
        <w:fldChar w:fldCharType="end"/>
      </w:r>
    </w:p>
    <w:p w14:paraId="49D57739">
      <w:pPr>
        <w:pStyle w:val="10"/>
        <w:rPr>
          <w:rFonts w:asciiTheme="minorHAnsi" w:hAnsiTheme="minorHAnsi" w:eastAsiaTheme="minorEastAsia" w:cstheme="minorBidi"/>
          <w:kern w:val="2"/>
          <w:sz w:val="21"/>
          <w:szCs w:val="22"/>
          <w:lang w:bidi="he-IL"/>
        </w:rPr>
      </w:pPr>
      <w:r>
        <w:fldChar w:fldCharType="begin"/>
      </w:r>
      <w:r>
        <w:instrText xml:space="preserve"> HYPERLINK \l "_Toc97372931" </w:instrText>
      </w:r>
      <w:r>
        <w:fldChar w:fldCharType="separate"/>
      </w:r>
      <w:r>
        <w:rPr>
          <w:rStyle w:val="15"/>
        </w:rPr>
        <w:t>A.</w:t>
      </w:r>
      <w:r>
        <w:rPr>
          <w:rFonts w:asciiTheme="minorHAnsi" w:hAnsiTheme="minorHAnsi" w:eastAsiaTheme="minorEastAsia" w:cstheme="minorBidi"/>
          <w:kern w:val="2"/>
          <w:sz w:val="21"/>
          <w:szCs w:val="22"/>
          <w:lang w:bidi="he-IL"/>
        </w:rPr>
        <w:tab/>
      </w:r>
      <w:r>
        <w:rPr>
          <w:rStyle w:val="15"/>
          <w:rFonts w:hint="eastAsia"/>
        </w:rPr>
        <w:t>动物组织采集控制</w:t>
      </w:r>
      <w:r>
        <w:tab/>
      </w:r>
      <w:r>
        <w:fldChar w:fldCharType="begin"/>
      </w:r>
      <w:r>
        <w:instrText xml:space="preserve"> PAGEREF _Toc97372931 \h </w:instrText>
      </w:r>
      <w:r>
        <w:fldChar w:fldCharType="separate"/>
      </w:r>
      <w:r>
        <w:t>4</w:t>
      </w:r>
      <w:r>
        <w:fldChar w:fldCharType="end"/>
      </w:r>
      <w:r>
        <w:fldChar w:fldCharType="end"/>
      </w:r>
    </w:p>
    <w:p w14:paraId="1D4B962F">
      <w:pPr>
        <w:pStyle w:val="10"/>
        <w:rPr>
          <w:rFonts w:asciiTheme="minorHAnsi" w:hAnsiTheme="minorHAnsi" w:eastAsiaTheme="minorEastAsia" w:cstheme="minorBidi"/>
          <w:kern w:val="2"/>
          <w:sz w:val="21"/>
          <w:szCs w:val="22"/>
          <w:lang w:bidi="he-IL"/>
        </w:rPr>
      </w:pPr>
      <w:r>
        <w:fldChar w:fldCharType="begin"/>
      </w:r>
      <w:r>
        <w:instrText xml:space="preserve"> HYPERLINK \l "_Toc97372932" </w:instrText>
      </w:r>
      <w:r>
        <w:fldChar w:fldCharType="separate"/>
      </w:r>
      <w:r>
        <w:rPr>
          <w:rStyle w:val="15"/>
        </w:rPr>
        <w:t>B.</w:t>
      </w:r>
      <w:r>
        <w:rPr>
          <w:rFonts w:asciiTheme="minorHAnsi" w:hAnsiTheme="minorHAnsi" w:eastAsiaTheme="minorEastAsia" w:cstheme="minorBidi"/>
          <w:kern w:val="2"/>
          <w:sz w:val="21"/>
          <w:szCs w:val="22"/>
          <w:lang w:bidi="he-IL"/>
        </w:rPr>
        <w:tab/>
      </w:r>
      <w:r>
        <w:rPr>
          <w:rStyle w:val="15"/>
          <w:rFonts w:hint="eastAsia"/>
        </w:rPr>
        <w:t>动物组织成分的生产控制</w:t>
      </w:r>
      <w:r>
        <w:tab/>
      </w:r>
      <w:r>
        <w:fldChar w:fldCharType="begin"/>
      </w:r>
      <w:r>
        <w:instrText xml:space="preserve"> PAGEREF _Toc97372932 \h </w:instrText>
      </w:r>
      <w:r>
        <w:fldChar w:fldCharType="separate"/>
      </w:r>
      <w:r>
        <w:t>5</w:t>
      </w:r>
      <w:r>
        <w:fldChar w:fldCharType="end"/>
      </w:r>
      <w:r>
        <w:fldChar w:fldCharType="end"/>
      </w:r>
    </w:p>
    <w:p w14:paraId="77CD3FB2">
      <w:pPr>
        <w:pStyle w:val="10"/>
        <w:rPr>
          <w:rFonts w:asciiTheme="minorHAnsi" w:hAnsiTheme="minorHAnsi" w:eastAsiaTheme="minorEastAsia" w:cstheme="minorBidi"/>
          <w:kern w:val="2"/>
          <w:sz w:val="21"/>
          <w:szCs w:val="22"/>
          <w:lang w:bidi="he-IL"/>
        </w:rPr>
      </w:pPr>
      <w:r>
        <w:fldChar w:fldCharType="begin"/>
      </w:r>
      <w:r>
        <w:instrText xml:space="preserve"> HYPERLINK \l "_Toc97372933" </w:instrText>
      </w:r>
      <w:r>
        <w:fldChar w:fldCharType="separate"/>
      </w:r>
      <w:r>
        <w:rPr>
          <w:rStyle w:val="15"/>
        </w:rPr>
        <w:t>C.</w:t>
      </w:r>
      <w:r>
        <w:rPr>
          <w:rFonts w:asciiTheme="minorHAnsi" w:hAnsiTheme="minorHAnsi" w:eastAsiaTheme="minorEastAsia" w:cstheme="minorBidi"/>
          <w:kern w:val="2"/>
          <w:sz w:val="21"/>
          <w:szCs w:val="22"/>
          <w:lang w:bidi="he-IL"/>
        </w:rPr>
        <w:tab/>
      </w:r>
      <w:r>
        <w:rPr>
          <w:rStyle w:val="15"/>
          <w:rFonts w:hint="eastAsia"/>
        </w:rPr>
        <w:t>灭菌</w:t>
      </w:r>
      <w:r>
        <w:tab/>
      </w:r>
      <w:r>
        <w:fldChar w:fldCharType="begin"/>
      </w:r>
      <w:r>
        <w:instrText xml:space="preserve"> PAGEREF _Toc97372933 \h </w:instrText>
      </w:r>
      <w:r>
        <w:fldChar w:fldCharType="separate"/>
      </w:r>
      <w:r>
        <w:t>6</w:t>
      </w:r>
      <w:r>
        <w:fldChar w:fldCharType="end"/>
      </w:r>
      <w:r>
        <w:fldChar w:fldCharType="end"/>
      </w:r>
    </w:p>
    <w:p w14:paraId="18117977">
      <w:pPr>
        <w:pStyle w:val="10"/>
        <w:rPr>
          <w:rFonts w:asciiTheme="minorHAnsi" w:hAnsiTheme="minorHAnsi" w:eastAsiaTheme="minorEastAsia" w:cstheme="minorBidi"/>
          <w:kern w:val="2"/>
          <w:sz w:val="21"/>
          <w:szCs w:val="22"/>
          <w:lang w:bidi="he-IL"/>
        </w:rPr>
      </w:pPr>
      <w:r>
        <w:fldChar w:fldCharType="begin"/>
      </w:r>
      <w:r>
        <w:instrText xml:space="preserve"> HYPERLINK \l "_Toc97372934" </w:instrText>
      </w:r>
      <w:r>
        <w:fldChar w:fldCharType="separate"/>
      </w:r>
      <w:r>
        <w:rPr>
          <w:rStyle w:val="15"/>
        </w:rPr>
        <w:t>D.</w:t>
      </w:r>
      <w:r>
        <w:rPr>
          <w:rFonts w:asciiTheme="minorHAnsi" w:hAnsiTheme="minorHAnsi" w:eastAsiaTheme="minorEastAsia" w:cstheme="minorBidi"/>
          <w:kern w:val="2"/>
          <w:sz w:val="21"/>
          <w:szCs w:val="22"/>
          <w:lang w:bidi="he-IL"/>
        </w:rPr>
        <w:tab/>
      </w:r>
      <w:r>
        <w:rPr>
          <w:rStyle w:val="15"/>
          <w:rFonts w:hint="eastAsia"/>
        </w:rPr>
        <w:t>传染性海绵状脑病的特定问题</w:t>
      </w:r>
      <w:r>
        <w:tab/>
      </w:r>
      <w:r>
        <w:fldChar w:fldCharType="begin"/>
      </w:r>
      <w:r>
        <w:instrText xml:space="preserve"> PAGEREF _Toc97372934 \h </w:instrText>
      </w:r>
      <w:r>
        <w:fldChar w:fldCharType="separate"/>
      </w:r>
      <w:r>
        <w:t>8</w:t>
      </w:r>
      <w:r>
        <w:fldChar w:fldCharType="end"/>
      </w:r>
      <w:r>
        <w:fldChar w:fldCharType="end"/>
      </w:r>
    </w:p>
    <w:p w14:paraId="5828788A">
      <w:pPr>
        <w:shd w:val="clear" w:color="auto" w:fill="FFFFFF"/>
        <w:topLinePunct/>
        <w:autoSpaceDE/>
        <w:autoSpaceDN/>
        <w:adjustRightInd/>
        <w:jc w:val="both"/>
        <w:rPr>
          <w:sz w:val="24"/>
          <w:szCs w:val="24"/>
        </w:rPr>
      </w:pPr>
      <w:r>
        <w:rPr>
          <w:sz w:val="24"/>
          <w:szCs w:val="24"/>
        </w:rPr>
        <w:fldChar w:fldCharType="end"/>
      </w:r>
    </w:p>
    <w:p w14:paraId="23A52D03">
      <w:pPr>
        <w:shd w:val="clear" w:color="auto" w:fill="FFFFFF"/>
        <w:topLinePunct/>
        <w:autoSpaceDE/>
        <w:autoSpaceDN/>
        <w:adjustRightInd/>
        <w:jc w:val="both"/>
        <w:rPr>
          <w:sz w:val="24"/>
          <w:szCs w:val="24"/>
        </w:rPr>
      </w:pPr>
    </w:p>
    <w:p w14:paraId="12BC8EA1">
      <w:pPr>
        <w:shd w:val="clear" w:color="auto" w:fill="FFFFFF"/>
        <w:topLinePunct/>
        <w:autoSpaceDE/>
        <w:autoSpaceDN/>
        <w:adjustRightInd/>
        <w:jc w:val="both"/>
        <w:rPr>
          <w:sz w:val="24"/>
          <w:szCs w:val="24"/>
        </w:rPr>
      </w:pPr>
    </w:p>
    <w:p w14:paraId="66B8755A">
      <w:pPr>
        <w:shd w:val="clear" w:color="auto" w:fill="FFFFFF"/>
        <w:topLinePunct/>
        <w:autoSpaceDE/>
        <w:autoSpaceDN/>
        <w:adjustRightInd/>
        <w:jc w:val="both"/>
        <w:rPr>
          <w:sz w:val="24"/>
          <w:szCs w:val="24"/>
        </w:rPr>
        <w:sectPr>
          <w:headerReference r:id="rId4" w:type="default"/>
          <w:pgSz w:w="11909" w:h="16834"/>
          <w:pgMar w:top="1134" w:right="1134" w:bottom="1134" w:left="1418" w:header="567" w:footer="567" w:gutter="0"/>
          <w:cols w:space="60" w:num="1"/>
          <w:docGrid w:type="lines" w:linePitch="364" w:charSpace="0"/>
        </w:sectPr>
      </w:pPr>
    </w:p>
    <w:p w14:paraId="4D7AE6BF">
      <w:pPr>
        <w:pBdr>
          <w:bottom w:val="single" w:color="auto" w:sz="4" w:space="1"/>
        </w:pBdr>
        <w:shd w:val="clear" w:color="auto" w:fill="FFFFFF"/>
        <w:topLinePunct/>
        <w:autoSpaceDE/>
        <w:autoSpaceDN/>
        <w:adjustRightInd/>
        <w:jc w:val="center"/>
        <w:rPr>
          <w:b/>
          <w:sz w:val="44"/>
          <w:szCs w:val="44"/>
        </w:rPr>
      </w:pPr>
      <w:r>
        <w:rPr>
          <w:b/>
          <w:sz w:val="44"/>
          <w:szCs w:val="44"/>
        </w:rPr>
        <w:t>动物源性医疗器械（体外诊断设备除外）</w:t>
      </w:r>
    </w:p>
    <w:p w14:paraId="7EF2FA2F">
      <w:pPr>
        <w:shd w:val="clear" w:color="auto" w:fill="FFFFFF"/>
        <w:topLinePunct/>
        <w:autoSpaceDE/>
        <w:autoSpaceDN/>
        <w:adjustRightInd/>
        <w:jc w:val="center"/>
        <w:rPr>
          <w:sz w:val="44"/>
          <w:szCs w:val="44"/>
        </w:rPr>
      </w:pPr>
      <w:r>
        <w:rPr>
          <w:b/>
          <w:color w:val="000000"/>
          <w:sz w:val="44"/>
          <w:szCs w:val="44"/>
        </w:rPr>
        <w:t>行业和美国食品药品监督管理局工作人员指南</w:t>
      </w:r>
    </w:p>
    <w:p w14:paraId="7D8737DF"/>
    <w:tbl>
      <w:tblPr>
        <w:tblStyle w:val="12"/>
        <w:tblW w:w="0" w:type="auto"/>
        <w:tblInd w:w="0" w:type="dxa"/>
        <w:tblBorders>
          <w:top w:val="thinThickThinSmallGap" w:color="auto" w:sz="18" w:space="0"/>
          <w:left w:val="thinThickThinSmallGap" w:color="auto" w:sz="18" w:space="0"/>
          <w:bottom w:val="thinThickThinSmallGap" w:color="auto" w:sz="18" w:space="0"/>
          <w:right w:val="thinThickThinSmallGap" w:color="auto" w:sz="18" w:space="0"/>
          <w:insideH w:val="none" w:color="auto" w:sz="0" w:space="0"/>
          <w:insideV w:val="none" w:color="auto" w:sz="0" w:space="0"/>
        </w:tblBorders>
        <w:tblLayout w:type="autofit"/>
        <w:tblCellMar>
          <w:top w:w="0" w:type="dxa"/>
          <w:left w:w="57" w:type="dxa"/>
          <w:bottom w:w="0" w:type="dxa"/>
          <w:right w:w="57" w:type="dxa"/>
        </w:tblCellMar>
      </w:tblPr>
      <w:tblGrid>
        <w:gridCol w:w="9289"/>
      </w:tblGrid>
      <w:tr w14:paraId="01651271">
        <w:tblPrEx>
          <w:tblBorders>
            <w:top w:val="thinThickThinSmallGap" w:color="auto" w:sz="18" w:space="0"/>
            <w:left w:val="thinThickThinSmallGap" w:color="auto" w:sz="18" w:space="0"/>
            <w:bottom w:val="thinThickThinSmallGap" w:color="auto" w:sz="18" w:space="0"/>
            <w:right w:val="thinThickThinSmallGap" w:color="auto" w:sz="18" w:space="0"/>
            <w:insideH w:val="none" w:color="auto" w:sz="0" w:space="0"/>
            <w:insideV w:val="none" w:color="auto" w:sz="0" w:space="0"/>
          </w:tblBorders>
          <w:tblCellMar>
            <w:top w:w="0" w:type="dxa"/>
            <w:left w:w="57" w:type="dxa"/>
            <w:bottom w:w="0" w:type="dxa"/>
            <w:right w:w="57" w:type="dxa"/>
          </w:tblCellMar>
        </w:tblPrEx>
        <w:tc>
          <w:tcPr>
            <w:tcW w:w="9289" w:type="dxa"/>
            <w:shd w:val="clear" w:color="auto" w:fill="auto"/>
          </w:tcPr>
          <w:p w14:paraId="4A74E43F">
            <w:pPr>
              <w:shd w:val="clear" w:color="auto" w:fill="FFFFFF"/>
              <w:topLinePunct/>
              <w:autoSpaceDE/>
              <w:autoSpaceDN/>
              <w:adjustRightInd/>
              <w:ind w:firstLine="482" w:firstLineChars="200"/>
              <w:jc w:val="both"/>
              <w:rPr>
                <w:sz w:val="24"/>
                <w:szCs w:val="24"/>
              </w:rPr>
            </w:pPr>
            <w:r>
              <w:rPr>
                <w:b/>
                <w:i/>
                <w:color w:val="000000"/>
                <w:sz w:val="24"/>
                <w:szCs w:val="24"/>
              </w:rPr>
              <w:t>本指南代表美国食品药品监督管理局（FDA或本机构）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t>
            </w:r>
          </w:p>
        </w:tc>
      </w:tr>
    </w:tbl>
    <w:p w14:paraId="1D812C74">
      <w:pPr>
        <w:pStyle w:val="2"/>
        <w:spacing w:before="0" w:beforeLines="0" w:line="240" w:lineRule="auto"/>
        <w:ind w:left="964" w:hanging="964"/>
        <w:rPr>
          <w:szCs w:val="32"/>
        </w:rPr>
      </w:pPr>
      <w:bookmarkStart w:id="0" w:name="_Toc97372927"/>
      <w:r>
        <w:rPr>
          <w:szCs w:val="32"/>
        </w:rPr>
        <w:t>I.</w:t>
      </w:r>
      <w:r>
        <w:rPr>
          <w:szCs w:val="32"/>
        </w:rPr>
        <w:tab/>
      </w:r>
      <w:r>
        <w:rPr>
          <w:szCs w:val="32"/>
        </w:rPr>
        <w:t>引言</w:t>
      </w:r>
      <w:bookmarkEnd w:id="0"/>
    </w:p>
    <w:p w14:paraId="7F9328D7">
      <w:pPr>
        <w:shd w:val="clear" w:color="auto" w:fill="FFFFFF"/>
        <w:topLinePunct/>
        <w:autoSpaceDE/>
        <w:autoSpaceDN/>
        <w:adjustRightInd/>
        <w:ind w:firstLine="480" w:firstLineChars="200"/>
        <w:jc w:val="both"/>
        <w:rPr>
          <w:sz w:val="24"/>
          <w:szCs w:val="24"/>
        </w:rPr>
      </w:pPr>
      <w:r>
        <w:rPr>
          <w:color w:val="000000"/>
          <w:sz w:val="24"/>
          <w:szCs w:val="24"/>
        </w:rPr>
        <w:t>美国食品药品监督管理局（FDA）发布本指南，</w:t>
      </w:r>
      <w:r>
        <w:rPr>
          <w:rFonts w:hint="eastAsia"/>
          <w:color w:val="000000"/>
          <w:sz w:val="24"/>
          <w:szCs w:val="24"/>
        </w:rPr>
        <w:t>旨在</w:t>
      </w:r>
      <w:r>
        <w:rPr>
          <w:color w:val="000000"/>
          <w:sz w:val="24"/>
          <w:szCs w:val="24"/>
        </w:rPr>
        <w:t>更新关于在医疗器械生产中使用动物源性材料的政策。动物源性材料在医疗器械中的作用已得到确认。然而，如果收集、储存或制造不当，这些材料可能存在传播传染病的风险。</w:t>
      </w:r>
      <w:r>
        <w:rPr>
          <w:sz w:val="24"/>
          <w:szCs w:val="24"/>
        </w:rPr>
        <w:t>本指南旨在进一步澄清和更新关于使用国际标准化组织（ISO）22442-1《</w:t>
      </w:r>
      <w:bookmarkStart w:id="1" w:name="OLE_LINK1"/>
      <w:bookmarkStart w:id="2" w:name="OLE_LINK2"/>
      <w:r>
        <w:rPr>
          <w:sz w:val="24"/>
          <w:szCs w:val="24"/>
        </w:rPr>
        <w:t>利用动物组织及其衍生物的医疗器械</w:t>
      </w:r>
      <w:bookmarkEnd w:id="1"/>
      <w:bookmarkEnd w:id="2"/>
      <w:r>
        <w:rPr>
          <w:sz w:val="24"/>
          <w:szCs w:val="24"/>
        </w:rPr>
        <w:t xml:space="preserve"> - 第1部分：风险管理应用》、ISO 22442-2《利用动物组织及其衍生物的医疗器械 - 第2部分：来源、收集及处理控制》以及ISO 22442-3《利用动物组织及其衍生物的医疗器械 - 第3部分：病毒和传染性海绵状脑病（TSE）病原消除和/或灭活的确认》的信息，以支持向FDA提交的申请。</w:t>
      </w:r>
      <w:r>
        <w:rPr>
          <w:color w:val="000000"/>
          <w:sz w:val="24"/>
          <w:szCs w:val="24"/>
        </w:rPr>
        <w:t>该指南还就控制动物组织的病毒病原体来源的方法，以及评价生产方法清除最终产品中此类病原体能力的方法提供了建议。</w:t>
      </w:r>
      <w:r>
        <w:rPr>
          <w:sz w:val="24"/>
          <w:szCs w:val="24"/>
        </w:rPr>
        <w:t>该指南取代了1998年11月6日发布的《动物源性医疗器械（除体外诊断器械）》（</w:t>
      </w:r>
      <w:r>
        <w:rPr>
          <w:rFonts w:ascii="宋体" w:hAnsi="宋体"/>
          <w:sz w:val="24"/>
          <w:szCs w:val="24"/>
        </w:rPr>
        <w:t>“</w:t>
      </w:r>
      <w:r>
        <w:rPr>
          <w:sz w:val="24"/>
          <w:szCs w:val="24"/>
        </w:rPr>
        <w:t>1998年指南</w:t>
      </w:r>
      <w:r>
        <w:rPr>
          <w:rFonts w:ascii="宋体" w:hAnsi="宋体"/>
          <w:sz w:val="24"/>
          <w:szCs w:val="24"/>
        </w:rPr>
        <w:t>”</w:t>
      </w:r>
      <w:r>
        <w:rPr>
          <w:sz w:val="24"/>
          <w:szCs w:val="24"/>
        </w:rPr>
        <w:t>）。</w:t>
      </w:r>
    </w:p>
    <w:p w14:paraId="791CD41D">
      <w:pPr>
        <w:shd w:val="clear" w:color="auto" w:fill="FFFFFF"/>
        <w:topLinePunct/>
        <w:autoSpaceDE/>
        <w:autoSpaceDN/>
        <w:adjustRightInd/>
        <w:ind w:firstLine="480" w:firstLineChars="200"/>
        <w:jc w:val="both"/>
        <w:rPr>
          <w:sz w:val="24"/>
          <w:szCs w:val="24"/>
        </w:rPr>
      </w:pPr>
    </w:p>
    <w:p w14:paraId="4B92CF7B">
      <w:pPr>
        <w:shd w:val="clear" w:color="auto" w:fill="FFFFFF"/>
        <w:topLinePunct/>
        <w:autoSpaceDE/>
        <w:autoSpaceDN/>
        <w:adjustRightInd/>
        <w:ind w:firstLine="480" w:firstLineChars="200"/>
        <w:jc w:val="both"/>
        <w:rPr>
          <w:color w:val="000000"/>
          <w:sz w:val="24"/>
          <w:szCs w:val="24"/>
          <w:vertAlign w:val="superscript"/>
        </w:rPr>
      </w:pPr>
      <w:r>
        <w:rPr>
          <w:sz w:val="24"/>
          <w:szCs w:val="24"/>
        </w:rPr>
        <w:t>关于本文件中提到的FDA认可标准的最新版本，请参阅</w:t>
      </w:r>
      <w:r>
        <w:rPr>
          <w:color w:val="3333FF"/>
          <w:sz w:val="24"/>
          <w:szCs w:val="24"/>
          <w:u w:val="single"/>
        </w:rPr>
        <w:t>FDA认可共识标准数据库</w:t>
      </w:r>
      <w:r>
        <w:rPr>
          <w:sz w:val="24"/>
          <w:szCs w:val="24"/>
        </w:rPr>
        <w:t>。 </w:t>
      </w:r>
      <w:r>
        <w:rPr>
          <w:rStyle w:val="17"/>
          <w:sz w:val="24"/>
          <w:szCs w:val="24"/>
        </w:rPr>
        <w:footnoteReference w:id="0"/>
      </w:r>
    </w:p>
    <w:p w14:paraId="5A2E7E38">
      <w:pPr>
        <w:shd w:val="clear" w:color="auto" w:fill="FFFFFF"/>
        <w:topLinePunct/>
        <w:autoSpaceDE/>
        <w:autoSpaceDN/>
        <w:adjustRightInd/>
        <w:jc w:val="both"/>
        <w:rPr>
          <w:color w:val="000000"/>
          <w:sz w:val="24"/>
          <w:szCs w:val="24"/>
          <w:vertAlign w:val="superscript"/>
        </w:rPr>
      </w:pPr>
    </w:p>
    <w:p w14:paraId="3E665B26">
      <w:pPr>
        <w:shd w:val="clear" w:color="auto" w:fill="FFFFFF"/>
        <w:topLinePunct/>
        <w:autoSpaceDE/>
        <w:autoSpaceDN/>
        <w:adjustRightInd/>
        <w:jc w:val="both"/>
        <w:rPr>
          <w:sz w:val="24"/>
          <w:szCs w:val="24"/>
        </w:rPr>
      </w:pPr>
      <w:r>
        <w:rPr>
          <w:sz w:val="24"/>
          <w:szCs w:val="24"/>
        </w:rPr>
        <w:br w:type="page"/>
      </w:r>
    </w:p>
    <w:p w14:paraId="77C39C84">
      <w:pPr>
        <w:shd w:val="clear" w:color="auto" w:fill="FFFFFF"/>
        <w:topLinePunct/>
        <w:autoSpaceDE/>
        <w:autoSpaceDN/>
        <w:adjustRightInd/>
        <w:ind w:firstLine="480" w:firstLineChars="200"/>
        <w:jc w:val="both"/>
        <w:rPr>
          <w:color w:val="000000"/>
          <w:sz w:val="24"/>
          <w:szCs w:val="24"/>
        </w:rPr>
      </w:pPr>
      <w:r>
        <w:rPr>
          <w:color w:val="000000"/>
          <w:sz w:val="24"/>
          <w:szCs w:val="24"/>
        </w:rPr>
        <w:t>在本指南文件中，术语</w:t>
      </w:r>
      <w:r>
        <w:rPr>
          <w:rFonts w:ascii="宋体" w:hAnsi="宋体"/>
          <w:color w:val="000000"/>
          <w:sz w:val="24"/>
          <w:szCs w:val="24"/>
        </w:rPr>
        <w:t>“</w:t>
      </w:r>
      <w:r>
        <w:rPr>
          <w:color w:val="000000"/>
          <w:sz w:val="24"/>
          <w:szCs w:val="24"/>
        </w:rPr>
        <w:t>我们</w:t>
      </w:r>
      <w:r>
        <w:rPr>
          <w:rFonts w:ascii="宋体" w:hAnsi="宋体"/>
          <w:color w:val="000000"/>
          <w:sz w:val="24"/>
          <w:szCs w:val="24"/>
        </w:rPr>
        <w:t>”</w:t>
      </w:r>
      <w:r>
        <w:rPr>
          <w:color w:val="000000"/>
          <w:sz w:val="24"/>
          <w:szCs w:val="24"/>
        </w:rPr>
        <w:t>指CDRH的FDA工作人员。</w:t>
      </w:r>
      <w:r>
        <w:rPr>
          <w:rFonts w:ascii="宋体" w:hAnsi="宋体"/>
          <w:color w:val="000000"/>
          <w:sz w:val="24"/>
          <w:szCs w:val="24"/>
        </w:rPr>
        <w:t>“</w:t>
      </w:r>
      <w:r>
        <w:rPr>
          <w:color w:val="000000"/>
          <w:sz w:val="24"/>
          <w:szCs w:val="24"/>
        </w:rPr>
        <w:t>您</w:t>
      </w:r>
      <w:r>
        <w:rPr>
          <w:rFonts w:ascii="宋体" w:hAnsi="宋体"/>
          <w:color w:val="000000"/>
          <w:sz w:val="24"/>
          <w:szCs w:val="24"/>
        </w:rPr>
        <w:t>”</w:t>
      </w:r>
      <w:r>
        <w:rPr>
          <w:color w:val="000000"/>
          <w:sz w:val="24"/>
          <w:szCs w:val="24"/>
        </w:rPr>
        <w:t>和</w:t>
      </w:r>
      <w:r>
        <w:rPr>
          <w:rFonts w:ascii="宋体" w:hAnsi="宋体"/>
          <w:color w:val="000000"/>
          <w:sz w:val="24"/>
          <w:szCs w:val="24"/>
        </w:rPr>
        <w:t>“</w:t>
      </w:r>
      <w:r>
        <w:rPr>
          <w:color w:val="000000"/>
          <w:sz w:val="24"/>
          <w:szCs w:val="24"/>
        </w:rPr>
        <w:t>您的</w:t>
      </w:r>
      <w:r>
        <w:rPr>
          <w:rFonts w:ascii="宋体" w:hAnsi="宋体"/>
          <w:color w:val="000000"/>
          <w:sz w:val="24"/>
          <w:szCs w:val="24"/>
        </w:rPr>
        <w:t>”</w:t>
      </w:r>
      <w:r>
        <w:rPr>
          <w:color w:val="000000"/>
          <w:sz w:val="24"/>
          <w:szCs w:val="24"/>
        </w:rPr>
        <w:t>均指制造商。</w:t>
      </w:r>
    </w:p>
    <w:p w14:paraId="38260C9C">
      <w:pPr>
        <w:shd w:val="clear" w:color="auto" w:fill="FFFFFF"/>
        <w:topLinePunct/>
        <w:autoSpaceDE/>
        <w:autoSpaceDN/>
        <w:adjustRightInd/>
        <w:ind w:firstLine="480" w:firstLineChars="200"/>
        <w:jc w:val="both"/>
        <w:rPr>
          <w:sz w:val="24"/>
          <w:szCs w:val="24"/>
        </w:rPr>
      </w:pPr>
    </w:p>
    <w:p w14:paraId="26585A62">
      <w:pPr>
        <w:shd w:val="clear" w:color="auto" w:fill="FFFFFF"/>
        <w:topLinePunct/>
        <w:autoSpaceDE/>
        <w:autoSpaceDN/>
        <w:adjustRightInd/>
        <w:ind w:firstLine="480" w:firstLineChars="200"/>
        <w:jc w:val="both"/>
        <w:rPr>
          <w:sz w:val="24"/>
          <w:szCs w:val="24"/>
        </w:rPr>
      </w:pPr>
      <w:r>
        <w:rPr>
          <w:color w:val="000000"/>
          <w:sz w:val="24"/>
          <w:szCs w:val="24"/>
        </w:rPr>
        <w:t>FDA指导性文件，包括本指南在内，不具有法律强制责任。相反，指南表明了该机构目前关于该主题的思考，除非引用具体的法规或法律要求，否则只应视为建议。在本机构指南中使用词语</w:t>
      </w:r>
      <w:r>
        <w:rPr>
          <w:rFonts w:ascii="宋体" w:hAnsi="宋体"/>
          <w:color w:val="000000"/>
          <w:sz w:val="24"/>
          <w:szCs w:val="24"/>
        </w:rPr>
        <w:t>“</w:t>
      </w:r>
      <w:r>
        <w:rPr>
          <w:i/>
          <w:iCs/>
          <w:color w:val="000000"/>
          <w:sz w:val="24"/>
          <w:szCs w:val="24"/>
        </w:rPr>
        <w:t>应</w:t>
      </w:r>
      <w:r>
        <w:rPr>
          <w:rFonts w:ascii="宋体" w:hAnsi="宋体"/>
          <w:color w:val="000000"/>
          <w:sz w:val="24"/>
          <w:szCs w:val="24"/>
        </w:rPr>
        <w:t>”</w:t>
      </w:r>
      <w:r>
        <w:rPr>
          <w:color w:val="000000"/>
          <w:sz w:val="24"/>
          <w:szCs w:val="24"/>
        </w:rPr>
        <w:t>是指建议或推荐进行某一事项，并非强制要求</w:t>
      </w:r>
      <w:r>
        <w:rPr>
          <w:sz w:val="24"/>
          <w:szCs w:val="24"/>
        </w:rPr>
        <w:t>。</w:t>
      </w:r>
    </w:p>
    <w:p w14:paraId="26BE8D26">
      <w:pPr>
        <w:shd w:val="clear" w:color="auto" w:fill="FFFFFF"/>
        <w:topLinePunct/>
        <w:autoSpaceDE/>
        <w:autoSpaceDN/>
        <w:adjustRightInd/>
        <w:jc w:val="both"/>
        <w:rPr>
          <w:sz w:val="24"/>
          <w:szCs w:val="24"/>
        </w:rPr>
      </w:pPr>
    </w:p>
    <w:p w14:paraId="269020C5">
      <w:pPr>
        <w:pStyle w:val="2"/>
        <w:spacing w:before="0" w:beforeLines="0" w:line="240" w:lineRule="auto"/>
        <w:ind w:left="964" w:hanging="964"/>
        <w:rPr>
          <w:szCs w:val="32"/>
        </w:rPr>
      </w:pPr>
      <w:bookmarkStart w:id="3" w:name="_Toc97372928"/>
      <w:r>
        <w:rPr>
          <w:szCs w:val="32"/>
        </w:rPr>
        <w:t>II.</w:t>
      </w:r>
      <w:r>
        <w:rPr>
          <w:szCs w:val="32"/>
        </w:rPr>
        <w:tab/>
      </w:r>
      <w:r>
        <w:rPr>
          <w:szCs w:val="32"/>
        </w:rPr>
        <w:t>背景</w:t>
      </w:r>
      <w:bookmarkEnd w:id="3"/>
    </w:p>
    <w:p w14:paraId="0245DDC4">
      <w:pPr>
        <w:shd w:val="clear" w:color="auto" w:fill="FFFFFF"/>
        <w:topLinePunct/>
        <w:autoSpaceDE/>
        <w:autoSpaceDN/>
        <w:adjustRightInd/>
        <w:ind w:firstLine="480" w:firstLineChars="200"/>
        <w:jc w:val="both"/>
        <w:rPr>
          <w:color w:val="000000"/>
          <w:sz w:val="24"/>
          <w:szCs w:val="24"/>
        </w:rPr>
      </w:pPr>
      <w:r>
        <w:rPr>
          <w:color w:val="000000"/>
          <w:sz w:val="24"/>
          <w:szCs w:val="24"/>
        </w:rPr>
        <w:t>该指南更新了1998年指南，涉及使用动物组织的潜在风险方面，目前包括与病毒病原体和所有传染性海绵状脑病（TSE）有关的建议。1998年指南涉及如何减少暴露于一种特定TSE（即牛海绵状脑病（BSE））的可能性。该文件继续关注传染性疾病控制，并包含记录动物组织来源和进行病毒灭活确认研究的建议。将动物作为医疗器械所用身体组织来源进行商业生产会带来多种风险。1998年文件主要涉及动物组织来源中的地理因素。除地理因素外，该文件还包括一些建议，这些建议认为适当的动物饲养可确保组织来源安全。</w:t>
      </w:r>
    </w:p>
    <w:p w14:paraId="7739A16D">
      <w:pPr>
        <w:shd w:val="clear" w:color="auto" w:fill="FFFFFF"/>
        <w:topLinePunct/>
        <w:autoSpaceDE/>
        <w:autoSpaceDN/>
        <w:adjustRightInd/>
        <w:ind w:firstLine="480" w:firstLineChars="200"/>
        <w:jc w:val="both"/>
        <w:rPr>
          <w:sz w:val="24"/>
          <w:szCs w:val="24"/>
        </w:rPr>
      </w:pPr>
    </w:p>
    <w:p w14:paraId="4D596485">
      <w:pPr>
        <w:shd w:val="clear" w:color="auto" w:fill="FFFFFF"/>
        <w:topLinePunct/>
        <w:autoSpaceDE/>
        <w:autoSpaceDN/>
        <w:adjustRightInd/>
        <w:ind w:firstLine="480" w:firstLineChars="200"/>
        <w:jc w:val="both"/>
        <w:rPr>
          <w:color w:val="000000"/>
          <w:sz w:val="24"/>
          <w:szCs w:val="24"/>
        </w:rPr>
      </w:pPr>
      <w:r>
        <w:rPr>
          <w:color w:val="000000"/>
          <w:sz w:val="24"/>
          <w:szCs w:val="24"/>
        </w:rPr>
        <w:t>国际标准ISO 22442系列利用动物组织及其衍生物的医疗器械 - 第1部分：风险管理应用、第2部分：来源、收集及处理控制和第3部分：病毒和传染性海绵状脑病（TSE）病原消除和/或灭活的确认，为动物组织的选择和处理以及评价医疗器械中病原体污染的风险提供了建议。本指南与ISO 22442系列标准配合使用，旨在帮助您识别与动物组织源性医疗器械组件和/或生产试剂有关的可能风险。</w:t>
      </w:r>
    </w:p>
    <w:p w14:paraId="78F2BC65">
      <w:pPr>
        <w:shd w:val="clear" w:color="auto" w:fill="FFFFFF"/>
        <w:topLinePunct/>
        <w:autoSpaceDE/>
        <w:autoSpaceDN/>
        <w:adjustRightInd/>
        <w:ind w:firstLine="480" w:firstLineChars="200"/>
        <w:jc w:val="both"/>
        <w:rPr>
          <w:sz w:val="24"/>
          <w:szCs w:val="24"/>
        </w:rPr>
      </w:pPr>
    </w:p>
    <w:p w14:paraId="7972249F">
      <w:pPr>
        <w:shd w:val="clear" w:color="auto" w:fill="FFFFFF"/>
        <w:topLinePunct/>
        <w:autoSpaceDE/>
        <w:autoSpaceDN/>
        <w:adjustRightInd/>
        <w:ind w:firstLine="480" w:firstLineChars="200"/>
        <w:jc w:val="both"/>
        <w:rPr>
          <w:color w:val="000000"/>
          <w:sz w:val="24"/>
          <w:szCs w:val="24"/>
        </w:rPr>
      </w:pPr>
      <w:r>
        <w:rPr>
          <w:color w:val="000000"/>
          <w:sz w:val="24"/>
          <w:szCs w:val="24"/>
        </w:rPr>
        <w:t>此外，本机构还认识到ISO标准需要定期审查和修订。</w:t>
      </w:r>
      <w:r>
        <w:rPr>
          <w:sz w:val="24"/>
          <w:szCs w:val="24"/>
        </w:rPr>
        <w:t>通过FDA标准识别过程，CDRH通过发布在FDA网站上的补充信息表来提供与ISO 22442系列标准识别程度相关的信息。 </w:t>
      </w:r>
      <w:r>
        <w:rPr>
          <w:rStyle w:val="17"/>
          <w:sz w:val="24"/>
          <w:szCs w:val="24"/>
        </w:rPr>
        <w:footnoteReference w:id="1"/>
      </w:r>
      <w:r>
        <w:rPr>
          <w:rFonts w:hint="eastAsia"/>
          <w:color w:val="000000"/>
          <w:sz w:val="24"/>
          <w:szCs w:val="24"/>
          <w:vertAlign w:val="superscript"/>
        </w:rPr>
        <w:t xml:space="preserve"> </w:t>
      </w:r>
      <w:r>
        <w:rPr>
          <w:color w:val="000000"/>
          <w:sz w:val="24"/>
          <w:szCs w:val="24"/>
        </w:rPr>
        <w:t>FDA将酌情升级本指南文件，对ISO 22442系列标准导致本文件中的建议出现重大变更进行进一步修订。</w:t>
      </w:r>
    </w:p>
    <w:p w14:paraId="2AF3E498">
      <w:pPr>
        <w:shd w:val="clear" w:color="auto" w:fill="FFFFFF"/>
        <w:topLinePunct/>
        <w:autoSpaceDE/>
        <w:autoSpaceDN/>
        <w:adjustRightInd/>
        <w:jc w:val="both"/>
        <w:rPr>
          <w:color w:val="000000"/>
          <w:sz w:val="24"/>
          <w:szCs w:val="24"/>
        </w:rPr>
      </w:pPr>
    </w:p>
    <w:p w14:paraId="30447A9E">
      <w:pPr>
        <w:shd w:val="clear" w:color="auto" w:fill="FFFFFF"/>
        <w:topLinePunct/>
        <w:autoSpaceDE/>
        <w:autoSpaceDN/>
        <w:adjustRightInd/>
        <w:jc w:val="both"/>
        <w:rPr>
          <w:color w:val="3333FF"/>
          <w:sz w:val="24"/>
          <w:szCs w:val="24"/>
          <w:u w:val="single"/>
        </w:rPr>
      </w:pPr>
    </w:p>
    <w:p w14:paraId="23852B79">
      <w:pPr>
        <w:shd w:val="clear" w:color="auto" w:fill="FFFFFF"/>
        <w:topLinePunct/>
        <w:autoSpaceDE/>
        <w:autoSpaceDN/>
        <w:adjustRightInd/>
        <w:jc w:val="both"/>
        <w:rPr>
          <w:sz w:val="24"/>
          <w:szCs w:val="24"/>
        </w:rPr>
      </w:pPr>
      <w:r>
        <w:rPr>
          <w:sz w:val="24"/>
          <w:szCs w:val="24"/>
        </w:rPr>
        <w:br w:type="page"/>
      </w:r>
    </w:p>
    <w:p w14:paraId="46E17615">
      <w:pPr>
        <w:pStyle w:val="2"/>
        <w:spacing w:before="0" w:beforeLines="0" w:line="240" w:lineRule="auto"/>
        <w:ind w:left="964" w:hanging="964"/>
        <w:rPr>
          <w:szCs w:val="32"/>
        </w:rPr>
      </w:pPr>
      <w:bookmarkStart w:id="4" w:name="_Toc97372929"/>
      <w:r>
        <w:rPr>
          <w:szCs w:val="32"/>
        </w:rPr>
        <w:t>III.</w:t>
      </w:r>
      <w:r>
        <w:rPr>
          <w:szCs w:val="32"/>
        </w:rPr>
        <w:tab/>
      </w:r>
      <w:r>
        <w:rPr>
          <w:szCs w:val="32"/>
        </w:rPr>
        <w:t>范围</w:t>
      </w:r>
      <w:bookmarkEnd w:id="4"/>
    </w:p>
    <w:p w14:paraId="527BD526">
      <w:pPr>
        <w:shd w:val="clear" w:color="auto" w:fill="FFFFFF"/>
        <w:topLinePunct/>
        <w:autoSpaceDE/>
        <w:autoSpaceDN/>
        <w:adjustRightInd/>
        <w:ind w:firstLine="480" w:firstLineChars="200"/>
        <w:jc w:val="both"/>
        <w:rPr>
          <w:sz w:val="24"/>
          <w:szCs w:val="24"/>
        </w:rPr>
      </w:pPr>
      <w:r>
        <w:rPr>
          <w:sz w:val="24"/>
          <w:szCs w:val="24"/>
        </w:rPr>
        <w:t>本指南中的信息适用于所有含有或接触（如通过生产试剂）动物源性（如牛、羊、猪、禽类）材料的医疗器械，但体外诊断器械和根据其生产方法普遍视为安全的材料（如ISO 22442-1:2015附件C中所述牛脂衍生物）除外。</w:t>
      </w:r>
      <w:r>
        <w:rPr>
          <w:color w:val="000000"/>
          <w:sz w:val="24"/>
          <w:szCs w:val="24"/>
        </w:rPr>
        <w:t>本指南涉及可能污染动物材料并存在于医疗器械中的人类病原体的风险。对于间接接触人类的器械，本指南考虑了对患者的风险（例如，间接接触可能导致病原体暴露的方式）和可能处理不接触患者的器械组件的医疗保健提供者。</w:t>
      </w:r>
    </w:p>
    <w:p w14:paraId="577324AF">
      <w:pPr>
        <w:shd w:val="clear" w:color="auto" w:fill="FFFFFF"/>
        <w:topLinePunct/>
        <w:autoSpaceDE/>
        <w:autoSpaceDN/>
        <w:adjustRightInd/>
        <w:ind w:firstLine="480" w:firstLineChars="200"/>
        <w:jc w:val="both"/>
        <w:rPr>
          <w:sz w:val="24"/>
          <w:szCs w:val="24"/>
        </w:rPr>
      </w:pPr>
    </w:p>
    <w:p w14:paraId="73AD049E">
      <w:pPr>
        <w:shd w:val="clear" w:color="auto" w:fill="FFFFFF"/>
        <w:topLinePunct/>
        <w:autoSpaceDE/>
        <w:autoSpaceDN/>
        <w:adjustRightInd/>
        <w:ind w:firstLine="480" w:firstLineChars="200"/>
        <w:jc w:val="both"/>
        <w:rPr>
          <w:sz w:val="24"/>
          <w:szCs w:val="24"/>
        </w:rPr>
      </w:pPr>
      <w:r>
        <w:rPr>
          <w:sz w:val="24"/>
          <w:szCs w:val="24"/>
        </w:rPr>
        <w:t>本指南提供：1）FDA认为对记录含动物组织的医疗器械的安全和稳定生产至关重要的信息；2）在本指南范围内的产品上市前申请中应包括的信息；3）关于如何应用质量体系（QS）法规</w:t>
      </w:r>
      <w:r>
        <w:rPr>
          <w:rStyle w:val="17"/>
          <w:sz w:val="24"/>
          <w:szCs w:val="24"/>
        </w:rPr>
        <w:footnoteReference w:id="2"/>
      </w:r>
      <w:r>
        <w:rPr>
          <w:sz w:val="24"/>
          <w:szCs w:val="24"/>
        </w:rPr>
        <w:t>的特定方面控制和记录含动物组织的医疗器械的安全和稳定生产的建议；4）关于确定生产方法消除最终产品中病毒污染能力的具体方法的更多信息。</w:t>
      </w:r>
      <w:r>
        <w:rPr>
          <w:color w:val="000000"/>
          <w:sz w:val="24"/>
          <w:szCs w:val="24"/>
        </w:rPr>
        <w:t>上市前申请通常应包括以下确定的具体内容或风险缓解方法的信息。此外，生产设施处的记录应继续记录与QS法规相一致的每批已生产产品的此类信息。</w:t>
      </w:r>
    </w:p>
    <w:p w14:paraId="7753430F">
      <w:pPr>
        <w:shd w:val="clear" w:color="auto" w:fill="FFFFFF"/>
        <w:topLinePunct/>
        <w:autoSpaceDE/>
        <w:autoSpaceDN/>
        <w:adjustRightInd/>
        <w:ind w:firstLine="480" w:firstLineChars="200"/>
        <w:jc w:val="both"/>
        <w:rPr>
          <w:color w:val="000000"/>
          <w:sz w:val="24"/>
          <w:szCs w:val="24"/>
        </w:rPr>
      </w:pPr>
    </w:p>
    <w:p w14:paraId="4F971E3A">
      <w:pPr>
        <w:shd w:val="clear" w:color="auto" w:fill="FFFFFF"/>
        <w:topLinePunct/>
        <w:autoSpaceDE/>
        <w:autoSpaceDN/>
        <w:adjustRightInd/>
        <w:ind w:firstLine="480" w:firstLineChars="200"/>
        <w:jc w:val="both"/>
        <w:rPr>
          <w:sz w:val="24"/>
          <w:szCs w:val="24"/>
        </w:rPr>
      </w:pPr>
      <w:r>
        <w:rPr>
          <w:color w:val="000000"/>
          <w:sz w:val="24"/>
          <w:szCs w:val="24"/>
        </w:rPr>
        <w:t>FDA已制定本指南文件，以协助行业对含动物源性器械组件并与人体直接或间接接触的医疗器械准备上市前批准（PMA）申请、人道主义器械豁免（HDE）申请、试验用器械豁免（IDE）申请、上市前通知（510(k)）申请和创新产品分类申请。本指南不适用于人体组织源性医疗器械，因为与人体供体组织相关的潜在污染物与动物组织中的污染物极为不同。</w:t>
      </w:r>
    </w:p>
    <w:p w14:paraId="50408F75">
      <w:pPr>
        <w:shd w:val="clear" w:color="auto" w:fill="FFFFFF"/>
        <w:topLinePunct/>
        <w:autoSpaceDE/>
        <w:autoSpaceDN/>
        <w:adjustRightInd/>
        <w:ind w:firstLine="480" w:firstLineChars="200"/>
        <w:jc w:val="both"/>
        <w:rPr>
          <w:color w:val="000000"/>
          <w:sz w:val="24"/>
          <w:szCs w:val="24"/>
        </w:rPr>
      </w:pPr>
    </w:p>
    <w:p w14:paraId="736F8895">
      <w:pPr>
        <w:shd w:val="clear" w:color="auto" w:fill="FFFFFF"/>
        <w:topLinePunct/>
        <w:autoSpaceDE/>
        <w:autoSpaceDN/>
        <w:adjustRightInd/>
        <w:ind w:firstLine="480" w:firstLineChars="200"/>
        <w:jc w:val="both"/>
        <w:rPr>
          <w:color w:val="000000"/>
          <w:sz w:val="24"/>
          <w:szCs w:val="24"/>
        </w:rPr>
      </w:pPr>
      <w:r>
        <w:rPr>
          <w:color w:val="000000"/>
          <w:sz w:val="24"/>
          <w:szCs w:val="24"/>
        </w:rPr>
        <w:t>如果制造商对本指南其特定产品的适用性有任何疑问，我们建议制造商向FDA咨询。</w:t>
      </w:r>
    </w:p>
    <w:p w14:paraId="18D7C374">
      <w:pPr>
        <w:shd w:val="clear" w:color="auto" w:fill="FFFFFF"/>
        <w:topLinePunct/>
        <w:autoSpaceDE/>
        <w:autoSpaceDN/>
        <w:adjustRightInd/>
        <w:ind w:firstLine="480" w:firstLineChars="200"/>
        <w:jc w:val="both"/>
        <w:rPr>
          <w:sz w:val="24"/>
          <w:szCs w:val="24"/>
        </w:rPr>
      </w:pPr>
    </w:p>
    <w:p w14:paraId="39EF041B">
      <w:pPr>
        <w:shd w:val="clear" w:color="auto" w:fill="FFFFFF"/>
        <w:topLinePunct/>
        <w:autoSpaceDE/>
        <w:autoSpaceDN/>
        <w:adjustRightInd/>
        <w:ind w:left="480" w:hanging="480" w:hangingChars="200"/>
        <w:contextualSpacing/>
        <w:jc w:val="both"/>
        <w:rPr>
          <w:color w:val="000000"/>
          <w:sz w:val="24"/>
          <w:szCs w:val="24"/>
        </w:rPr>
      </w:pPr>
    </w:p>
    <w:p w14:paraId="2973E84E">
      <w:pPr>
        <w:shd w:val="clear" w:color="auto" w:fill="FFFFFF"/>
        <w:topLinePunct/>
        <w:autoSpaceDE/>
        <w:autoSpaceDN/>
        <w:adjustRightInd/>
        <w:ind w:left="480" w:hanging="480" w:hangingChars="200"/>
        <w:contextualSpacing/>
        <w:jc w:val="both"/>
        <w:rPr>
          <w:sz w:val="24"/>
          <w:szCs w:val="24"/>
        </w:rPr>
      </w:pPr>
      <w:r>
        <w:rPr>
          <w:sz w:val="24"/>
          <w:szCs w:val="24"/>
        </w:rPr>
        <w:br w:type="page"/>
      </w:r>
    </w:p>
    <w:p w14:paraId="5EA3CF8D">
      <w:pPr>
        <w:pStyle w:val="2"/>
        <w:spacing w:before="0" w:beforeLines="0" w:line="240" w:lineRule="auto"/>
        <w:ind w:left="964" w:hanging="964"/>
        <w:rPr>
          <w:szCs w:val="32"/>
        </w:rPr>
      </w:pPr>
      <w:bookmarkStart w:id="5" w:name="_Toc97372930"/>
      <w:r>
        <w:rPr>
          <w:szCs w:val="32"/>
        </w:rPr>
        <w:t>IV.</w:t>
      </w:r>
      <w:r>
        <w:rPr>
          <w:szCs w:val="32"/>
        </w:rPr>
        <w:tab/>
      </w:r>
      <w:r>
        <w:rPr>
          <w:szCs w:val="32"/>
        </w:rPr>
        <w:t>使用动物源性材料时的考虑因素</w:t>
      </w:r>
      <w:bookmarkEnd w:id="5"/>
    </w:p>
    <w:p w14:paraId="0827CCAC">
      <w:pPr>
        <w:shd w:val="clear" w:color="auto" w:fill="FFFFFF"/>
        <w:topLinePunct/>
        <w:autoSpaceDE/>
        <w:autoSpaceDN/>
        <w:adjustRightInd/>
        <w:jc w:val="both"/>
        <w:rPr>
          <w:color w:val="000000"/>
          <w:sz w:val="24"/>
          <w:szCs w:val="24"/>
        </w:rPr>
      </w:pPr>
      <w:bookmarkStart w:id="6" w:name="_Toc97372931"/>
    </w:p>
    <w:p w14:paraId="4D5E3E8C">
      <w:pPr>
        <w:pStyle w:val="3"/>
        <w:spacing w:before="0" w:beforeLines="0" w:line="240" w:lineRule="auto"/>
        <w:ind w:left="1698" w:leftChars="496" w:hanging="706" w:hangingChars="251"/>
        <w:rPr>
          <w:szCs w:val="28"/>
        </w:rPr>
      </w:pPr>
      <w:r>
        <w:rPr>
          <w:szCs w:val="28"/>
        </w:rPr>
        <w:t>A.</w:t>
      </w:r>
      <w:r>
        <w:rPr>
          <w:szCs w:val="28"/>
        </w:rPr>
        <w:tab/>
      </w:r>
      <w:r>
        <w:rPr>
          <w:szCs w:val="28"/>
        </w:rPr>
        <w:t>动物组织采集控制</w:t>
      </w:r>
      <w:bookmarkEnd w:id="6"/>
    </w:p>
    <w:p w14:paraId="217D4E1C">
      <w:pPr>
        <w:shd w:val="clear" w:color="auto" w:fill="FFFFFF"/>
        <w:topLinePunct/>
        <w:autoSpaceDE/>
        <w:autoSpaceDN/>
        <w:adjustRightInd/>
        <w:jc w:val="both"/>
        <w:rPr>
          <w:color w:val="000000"/>
          <w:sz w:val="24"/>
          <w:szCs w:val="24"/>
        </w:rPr>
      </w:pPr>
    </w:p>
    <w:p w14:paraId="33925109">
      <w:pPr>
        <w:shd w:val="clear" w:color="auto" w:fill="FFFFFF"/>
        <w:topLinePunct/>
        <w:autoSpaceDE/>
        <w:autoSpaceDN/>
        <w:adjustRightInd/>
        <w:ind w:firstLine="480" w:firstLineChars="200"/>
        <w:jc w:val="both"/>
        <w:rPr>
          <w:sz w:val="24"/>
          <w:szCs w:val="24"/>
        </w:rPr>
      </w:pPr>
      <w:r>
        <w:rPr>
          <w:color w:val="000000"/>
          <w:sz w:val="24"/>
          <w:szCs w:val="24"/>
        </w:rPr>
        <w:t>为确保含有或接触动物组织的医疗器械的安全性，FDA认为必须：1）记录动物组织的来源和处理，以及2）了解生产和灭菌过程消除人类病原体的能力。因此，FDA建议您收集和记录以下信息，以了解用作器械组件（如心包、内脏、骨骼、透明质酸、胶原蛋白）或生产试剂（如组织培养基、酶）的动物组织源性材料。对于用人类病原体污染风险较低的动物组织（如甲壳类动物）制备的器械，如果适用于该特定源材料，FDA建议您说明以下所述信息。如果确定不适用，FDA建议您提供科学解释（即基于已发表的文献或来自公认来源的信息（例如，WHO、CDC、USDA）），以确定可能存在于动物种类中的人类病原体，以及您的方法如何确保器械安全性。</w:t>
      </w:r>
    </w:p>
    <w:p w14:paraId="38363A83">
      <w:pPr>
        <w:shd w:val="clear" w:color="auto" w:fill="FFFFFF"/>
        <w:topLinePunct/>
        <w:autoSpaceDE/>
        <w:autoSpaceDN/>
        <w:adjustRightInd/>
        <w:ind w:firstLine="480" w:firstLineChars="200"/>
        <w:jc w:val="both"/>
        <w:rPr>
          <w:sz w:val="24"/>
          <w:szCs w:val="24"/>
        </w:rPr>
      </w:pPr>
    </w:p>
    <w:p w14:paraId="0F3B8763">
      <w:pPr>
        <w:shd w:val="clear" w:color="auto" w:fill="FFFFFF"/>
        <w:topLinePunct/>
        <w:autoSpaceDE/>
        <w:autoSpaceDN/>
        <w:adjustRightInd/>
        <w:ind w:firstLine="480" w:firstLineChars="200"/>
        <w:jc w:val="both"/>
        <w:rPr>
          <w:color w:val="000000"/>
          <w:sz w:val="24"/>
          <w:szCs w:val="24"/>
        </w:rPr>
      </w:pPr>
      <w:r>
        <w:rPr>
          <w:sz w:val="24"/>
          <w:szCs w:val="24"/>
        </w:rPr>
        <w:t>上市前申请应包括以下确定项目的信息，该信息与ISO 22442-2和风险缓解方法</w:t>
      </w:r>
      <w:r>
        <w:rPr>
          <w:rStyle w:val="17"/>
          <w:sz w:val="24"/>
          <w:szCs w:val="24"/>
        </w:rPr>
        <w:footnoteReference w:id="3"/>
      </w:r>
      <w:r>
        <w:rPr>
          <w:sz w:val="24"/>
          <w:szCs w:val="24"/>
        </w:rPr>
        <w:t>（如适用）一致。</w:t>
      </w:r>
      <w:r>
        <w:rPr>
          <w:color w:val="000000"/>
          <w:sz w:val="24"/>
          <w:szCs w:val="24"/>
        </w:rPr>
        <w:t>您可以在上市前申请中记录这些信息，或参考其他监管申请（例如，主文件、PMA、510(k)）。</w:t>
      </w:r>
    </w:p>
    <w:p w14:paraId="07EEB35C">
      <w:pPr>
        <w:shd w:val="clear" w:color="auto" w:fill="FFFFFF"/>
        <w:topLinePunct/>
        <w:autoSpaceDE/>
        <w:autoSpaceDN/>
        <w:adjustRightInd/>
        <w:ind w:firstLine="480" w:firstLineChars="200"/>
        <w:jc w:val="both"/>
        <w:rPr>
          <w:sz w:val="24"/>
          <w:szCs w:val="24"/>
        </w:rPr>
      </w:pPr>
    </w:p>
    <w:p w14:paraId="79C58E85">
      <w:pPr>
        <w:pStyle w:val="23"/>
        <w:numPr>
          <w:ilvl w:val="0"/>
          <w:numId w:val="1"/>
        </w:numPr>
        <w:shd w:val="clear" w:color="auto" w:fill="FFFFFF"/>
        <w:topLinePunct/>
        <w:autoSpaceDE/>
        <w:autoSpaceDN/>
        <w:adjustRightInd/>
        <w:ind w:left="904" w:leftChars="200" w:hanging="504" w:hangingChars="210"/>
        <w:jc w:val="both"/>
        <w:rPr>
          <w:sz w:val="24"/>
          <w:szCs w:val="24"/>
        </w:rPr>
      </w:pPr>
      <w:r>
        <w:rPr>
          <w:color w:val="000000"/>
          <w:sz w:val="24"/>
          <w:szCs w:val="24"/>
        </w:rPr>
        <w:t>动物种类；</w:t>
      </w:r>
    </w:p>
    <w:p w14:paraId="2AF96EF1">
      <w:pPr>
        <w:pStyle w:val="23"/>
        <w:numPr>
          <w:ilvl w:val="0"/>
          <w:numId w:val="1"/>
        </w:numPr>
        <w:shd w:val="clear" w:color="auto" w:fill="FFFFFF"/>
        <w:topLinePunct/>
        <w:autoSpaceDE/>
        <w:autoSpaceDN/>
        <w:adjustRightInd/>
        <w:ind w:left="904" w:leftChars="200" w:hanging="504" w:hangingChars="210"/>
        <w:jc w:val="both"/>
        <w:rPr>
          <w:sz w:val="24"/>
          <w:szCs w:val="24"/>
        </w:rPr>
      </w:pPr>
      <w:r>
        <w:rPr>
          <w:color w:val="000000"/>
          <w:sz w:val="24"/>
          <w:szCs w:val="24"/>
        </w:rPr>
        <w:t>动物屠宰时的年龄；</w:t>
      </w:r>
    </w:p>
    <w:p w14:paraId="3E21D94F">
      <w:pPr>
        <w:pStyle w:val="23"/>
        <w:numPr>
          <w:ilvl w:val="0"/>
          <w:numId w:val="1"/>
        </w:numPr>
        <w:shd w:val="clear" w:color="auto" w:fill="FFFFFF"/>
        <w:topLinePunct/>
        <w:autoSpaceDE/>
        <w:autoSpaceDN/>
        <w:adjustRightInd/>
        <w:ind w:left="904" w:leftChars="200" w:hanging="504" w:hangingChars="210"/>
        <w:jc w:val="both"/>
        <w:rPr>
          <w:sz w:val="24"/>
          <w:szCs w:val="24"/>
        </w:rPr>
      </w:pPr>
      <w:r>
        <w:rPr>
          <w:color w:val="000000"/>
          <w:sz w:val="24"/>
          <w:szCs w:val="24"/>
        </w:rPr>
        <w:t>使用的具体组织（如果使用多种组织，请指明所有这些组织）；</w:t>
      </w:r>
    </w:p>
    <w:p w14:paraId="339A89A9">
      <w:pPr>
        <w:pStyle w:val="23"/>
        <w:numPr>
          <w:ilvl w:val="0"/>
          <w:numId w:val="1"/>
        </w:numPr>
        <w:shd w:val="clear" w:color="auto" w:fill="FFFFFF"/>
        <w:topLinePunct/>
        <w:autoSpaceDE/>
        <w:autoSpaceDN/>
        <w:adjustRightInd/>
        <w:ind w:left="904" w:leftChars="200" w:hanging="504" w:hangingChars="210"/>
        <w:jc w:val="both"/>
        <w:rPr>
          <w:sz w:val="24"/>
          <w:szCs w:val="24"/>
        </w:rPr>
      </w:pPr>
      <w:r>
        <w:rPr>
          <w:color w:val="000000"/>
          <w:sz w:val="24"/>
          <w:szCs w:val="24"/>
        </w:rPr>
        <w:t>动物的原产地和居住地（酌情提供更具体的地理信息）（如有）；</w:t>
      </w:r>
    </w:p>
    <w:p w14:paraId="4A9FE9B1">
      <w:pPr>
        <w:pStyle w:val="23"/>
        <w:numPr>
          <w:ilvl w:val="0"/>
          <w:numId w:val="1"/>
        </w:numPr>
        <w:shd w:val="clear" w:color="auto" w:fill="FFFFFF"/>
        <w:topLinePunct/>
        <w:autoSpaceDE/>
        <w:autoSpaceDN/>
        <w:adjustRightInd/>
        <w:ind w:left="904" w:leftChars="200" w:hanging="504" w:hangingChars="210"/>
        <w:jc w:val="both"/>
        <w:rPr>
          <w:sz w:val="24"/>
          <w:szCs w:val="24"/>
        </w:rPr>
      </w:pPr>
      <w:r>
        <w:rPr>
          <w:color w:val="000000"/>
          <w:sz w:val="24"/>
          <w:szCs w:val="24"/>
        </w:rPr>
        <w:t>畜群或生物集合状态（例如，封闭畜群/群体）；</w:t>
      </w:r>
    </w:p>
    <w:p w14:paraId="73D50836">
      <w:pPr>
        <w:pStyle w:val="23"/>
        <w:numPr>
          <w:ilvl w:val="0"/>
          <w:numId w:val="1"/>
        </w:numPr>
        <w:shd w:val="clear" w:color="auto" w:fill="FFFFFF"/>
        <w:topLinePunct/>
        <w:autoSpaceDE/>
        <w:autoSpaceDN/>
        <w:adjustRightInd/>
        <w:ind w:left="904" w:leftChars="200" w:hanging="504" w:hangingChars="210"/>
        <w:jc w:val="both"/>
        <w:rPr>
          <w:sz w:val="24"/>
          <w:szCs w:val="24"/>
        </w:rPr>
      </w:pPr>
      <w:r>
        <w:rPr>
          <w:color w:val="000000"/>
          <w:sz w:val="24"/>
          <w:szCs w:val="24"/>
        </w:rPr>
        <w:t>积极监测畜群健康和被采集组织的特定动物的健康的方法（例如，用可在所需组织中共同纯化的改性活病毒进行疫苗接种，积极监测人类病原体）；</w:t>
      </w:r>
    </w:p>
    <w:p w14:paraId="4EA8E272">
      <w:pPr>
        <w:pStyle w:val="23"/>
        <w:numPr>
          <w:ilvl w:val="0"/>
          <w:numId w:val="1"/>
        </w:numPr>
        <w:shd w:val="clear" w:color="auto" w:fill="FFFFFF"/>
        <w:topLinePunct/>
        <w:autoSpaceDE/>
        <w:autoSpaceDN/>
        <w:adjustRightInd/>
        <w:ind w:left="904" w:leftChars="200" w:hanging="504" w:hangingChars="210"/>
        <w:jc w:val="both"/>
        <w:rPr>
          <w:sz w:val="24"/>
          <w:szCs w:val="24"/>
        </w:rPr>
      </w:pPr>
      <w:r>
        <w:rPr>
          <w:color w:val="000000"/>
          <w:sz w:val="24"/>
          <w:szCs w:val="24"/>
        </w:rPr>
        <w:t>运输动物组织的方法和条件（例如，组织冷藏和检疫）；</w:t>
      </w:r>
    </w:p>
    <w:p w14:paraId="40041FBB">
      <w:pPr>
        <w:pStyle w:val="23"/>
        <w:numPr>
          <w:ilvl w:val="0"/>
          <w:numId w:val="1"/>
        </w:numPr>
        <w:shd w:val="clear" w:color="auto" w:fill="FFFFFF"/>
        <w:topLinePunct/>
        <w:autoSpaceDE/>
        <w:autoSpaceDN/>
        <w:adjustRightInd/>
        <w:ind w:left="904" w:leftChars="200" w:hanging="504" w:hangingChars="210"/>
        <w:jc w:val="both"/>
        <w:rPr>
          <w:sz w:val="24"/>
          <w:szCs w:val="24"/>
        </w:rPr>
      </w:pPr>
      <w:r>
        <w:rPr>
          <w:sz w:val="24"/>
          <w:szCs w:val="24"/>
        </w:rPr>
        <w:t>美国农业部（USDA）屠宰场的地位；</w:t>
      </w:r>
      <w:r>
        <w:rPr>
          <w:rStyle w:val="17"/>
          <w:sz w:val="24"/>
          <w:szCs w:val="24"/>
        </w:rPr>
        <w:footnoteReference w:id="4"/>
      </w:r>
    </w:p>
    <w:p w14:paraId="79422D7C">
      <w:pPr>
        <w:pStyle w:val="23"/>
        <w:numPr>
          <w:ilvl w:val="0"/>
          <w:numId w:val="1"/>
        </w:numPr>
        <w:shd w:val="clear" w:color="auto" w:fill="FFFFFF"/>
        <w:topLinePunct/>
        <w:autoSpaceDE/>
        <w:autoSpaceDN/>
        <w:adjustRightInd/>
        <w:ind w:left="904" w:leftChars="200" w:hanging="504" w:hangingChars="210"/>
        <w:jc w:val="both"/>
        <w:rPr>
          <w:sz w:val="24"/>
          <w:szCs w:val="24"/>
        </w:rPr>
      </w:pPr>
      <w:r>
        <w:rPr>
          <w:color w:val="000000"/>
          <w:sz w:val="24"/>
          <w:szCs w:val="24"/>
        </w:rPr>
        <w:t>为允许组织进一步处理和/或与其他组织和器械组件结合而进行的试验（和放行标准）（例如，分析证书）；以及</w:t>
      </w:r>
    </w:p>
    <w:p w14:paraId="28784669">
      <w:pPr>
        <w:shd w:val="clear" w:color="auto" w:fill="FFFFFF"/>
        <w:topLinePunct/>
        <w:autoSpaceDE/>
        <w:autoSpaceDN/>
        <w:adjustRightInd/>
        <w:ind w:left="480" w:hanging="480" w:hangingChars="200"/>
        <w:jc w:val="both"/>
        <w:rPr>
          <w:sz w:val="24"/>
          <w:szCs w:val="24"/>
        </w:rPr>
      </w:pPr>
      <w:r>
        <w:rPr>
          <w:sz w:val="24"/>
          <w:szCs w:val="24"/>
        </w:rPr>
        <w:br w:type="page"/>
      </w:r>
    </w:p>
    <w:p w14:paraId="2931F3E0">
      <w:pPr>
        <w:pStyle w:val="23"/>
        <w:numPr>
          <w:ilvl w:val="0"/>
          <w:numId w:val="1"/>
        </w:numPr>
        <w:shd w:val="clear" w:color="auto" w:fill="FFFFFF"/>
        <w:topLinePunct/>
        <w:autoSpaceDE/>
        <w:autoSpaceDN/>
        <w:adjustRightInd/>
        <w:ind w:left="904" w:leftChars="200" w:hanging="504" w:hangingChars="210"/>
        <w:jc w:val="both"/>
        <w:rPr>
          <w:sz w:val="24"/>
          <w:szCs w:val="24"/>
        </w:rPr>
      </w:pPr>
      <w:r>
        <w:rPr>
          <w:color w:val="000000"/>
          <w:sz w:val="24"/>
          <w:szCs w:val="24"/>
        </w:rPr>
        <w:t>材料安全数据表（如有）可能是包括在监管申请中的有效信息，因为其提供了与该组件相关的安全性和潜在毒性概述（包括在组织处理过程中所用任何试剂的信息），以支持生物相容性评价。</w:t>
      </w:r>
    </w:p>
    <w:p w14:paraId="7F35C306">
      <w:pPr>
        <w:shd w:val="clear" w:color="auto" w:fill="FFFFFF"/>
        <w:topLinePunct/>
        <w:autoSpaceDE/>
        <w:autoSpaceDN/>
        <w:adjustRightInd/>
        <w:jc w:val="both"/>
        <w:rPr>
          <w:color w:val="000000"/>
          <w:sz w:val="24"/>
          <w:szCs w:val="24"/>
        </w:rPr>
      </w:pPr>
    </w:p>
    <w:p w14:paraId="7C65A805">
      <w:pPr>
        <w:shd w:val="clear" w:color="auto" w:fill="FFFFFF"/>
        <w:topLinePunct/>
        <w:autoSpaceDE/>
        <w:autoSpaceDN/>
        <w:adjustRightInd/>
        <w:ind w:firstLine="480" w:firstLineChars="200"/>
        <w:jc w:val="both"/>
        <w:rPr>
          <w:color w:val="000000"/>
          <w:sz w:val="24"/>
          <w:szCs w:val="24"/>
        </w:rPr>
      </w:pPr>
      <w:r>
        <w:rPr>
          <w:color w:val="000000"/>
          <w:sz w:val="24"/>
          <w:szCs w:val="24"/>
        </w:rPr>
        <w:t>可提供符合USDA动植物卫生检疫局（APHIS）进口和/或USDA食品安全检验局（FSIS）检验要求的证明，以代替这些表格中提供的任何上述项目。</w:t>
      </w:r>
    </w:p>
    <w:p w14:paraId="4C87BDE8">
      <w:pPr>
        <w:shd w:val="clear" w:color="auto" w:fill="FFFFFF"/>
        <w:topLinePunct/>
        <w:autoSpaceDE/>
        <w:autoSpaceDN/>
        <w:adjustRightInd/>
        <w:ind w:firstLine="480" w:firstLineChars="200"/>
        <w:jc w:val="both"/>
        <w:rPr>
          <w:sz w:val="24"/>
          <w:szCs w:val="24"/>
        </w:rPr>
      </w:pPr>
    </w:p>
    <w:p w14:paraId="62EBCB3D">
      <w:pPr>
        <w:shd w:val="clear" w:color="auto" w:fill="FFFFFF"/>
        <w:topLinePunct/>
        <w:autoSpaceDE/>
        <w:autoSpaceDN/>
        <w:adjustRightInd/>
        <w:ind w:firstLine="480" w:firstLineChars="200"/>
        <w:jc w:val="both"/>
        <w:rPr>
          <w:color w:val="000000"/>
          <w:sz w:val="24"/>
          <w:szCs w:val="24"/>
        </w:rPr>
      </w:pPr>
      <w:r>
        <w:rPr>
          <w:sz w:val="24"/>
          <w:szCs w:val="24"/>
        </w:rPr>
        <w:t>此外，生产设施应记录：1）维护上述项目记录的程序</w:t>
      </w:r>
      <w:r>
        <w:rPr>
          <w:rStyle w:val="17"/>
          <w:sz w:val="24"/>
          <w:szCs w:val="24"/>
        </w:rPr>
        <w:footnoteReference w:id="5"/>
      </w:r>
      <w:r>
        <w:rPr>
          <w:sz w:val="24"/>
          <w:szCs w:val="24"/>
        </w:rPr>
        <w:t>，以及2）每批所生产产品的上述所有信息（器械历史记录）。</w:t>
      </w:r>
      <w:r>
        <w:rPr>
          <w:rStyle w:val="17"/>
          <w:sz w:val="24"/>
          <w:szCs w:val="24"/>
        </w:rPr>
        <w:footnoteReference w:id="6"/>
      </w:r>
      <w:r>
        <w:rPr>
          <w:color w:val="000000"/>
          <w:sz w:val="24"/>
          <w:szCs w:val="24"/>
        </w:rPr>
        <w:t>如果有必要确保医疗器械的安全性，可以在检查中审查这些信息。</w:t>
      </w:r>
    </w:p>
    <w:p w14:paraId="0E5A35EB">
      <w:pPr>
        <w:shd w:val="clear" w:color="auto" w:fill="FFFFFF"/>
        <w:topLinePunct/>
        <w:autoSpaceDE/>
        <w:autoSpaceDN/>
        <w:adjustRightInd/>
        <w:ind w:firstLine="480" w:firstLineChars="200"/>
        <w:jc w:val="both"/>
        <w:rPr>
          <w:sz w:val="24"/>
          <w:szCs w:val="24"/>
        </w:rPr>
      </w:pPr>
    </w:p>
    <w:p w14:paraId="0AE0D415">
      <w:pPr>
        <w:pStyle w:val="3"/>
        <w:spacing w:before="0" w:beforeLines="0" w:line="240" w:lineRule="auto"/>
        <w:ind w:left="1698" w:leftChars="496" w:hanging="706" w:hangingChars="251"/>
        <w:rPr>
          <w:szCs w:val="28"/>
        </w:rPr>
      </w:pPr>
      <w:bookmarkStart w:id="7" w:name="_Toc97372932"/>
      <w:r>
        <w:rPr>
          <w:szCs w:val="28"/>
        </w:rPr>
        <w:t>B.</w:t>
      </w:r>
      <w:r>
        <w:rPr>
          <w:szCs w:val="28"/>
        </w:rPr>
        <w:tab/>
      </w:r>
      <w:r>
        <w:rPr>
          <w:szCs w:val="28"/>
        </w:rPr>
        <w:t>动物组织成分的生产控制</w:t>
      </w:r>
      <w:bookmarkEnd w:id="7"/>
    </w:p>
    <w:p w14:paraId="0E8D4985">
      <w:pPr>
        <w:shd w:val="clear" w:color="auto" w:fill="FFFFFF"/>
        <w:topLinePunct/>
        <w:autoSpaceDE/>
        <w:autoSpaceDN/>
        <w:adjustRightInd/>
        <w:jc w:val="both"/>
        <w:rPr>
          <w:color w:val="000000"/>
          <w:sz w:val="24"/>
          <w:szCs w:val="24"/>
        </w:rPr>
      </w:pPr>
    </w:p>
    <w:p w14:paraId="6E34D2D6">
      <w:pPr>
        <w:shd w:val="clear" w:color="auto" w:fill="FFFFFF"/>
        <w:topLinePunct/>
        <w:autoSpaceDE/>
        <w:autoSpaceDN/>
        <w:adjustRightInd/>
        <w:ind w:firstLine="480" w:firstLineChars="200"/>
        <w:jc w:val="both"/>
        <w:rPr>
          <w:color w:val="000000"/>
          <w:sz w:val="24"/>
          <w:szCs w:val="24"/>
        </w:rPr>
      </w:pPr>
      <w:r>
        <w:rPr>
          <w:color w:val="000000"/>
          <w:sz w:val="24"/>
          <w:szCs w:val="24"/>
        </w:rPr>
        <w:t>FDA还建议您收集和记录器械生产中所用的每种动物源性材料（和设施）的下列信息。</w:t>
      </w:r>
      <w:r>
        <w:rPr>
          <w:sz w:val="24"/>
          <w:szCs w:val="24"/>
        </w:rPr>
        <w:t>上市前申请应包括以下项目的信息和风险缓解方法</w:t>
      </w:r>
      <w:r>
        <w:rPr>
          <w:rStyle w:val="17"/>
          <w:sz w:val="24"/>
          <w:szCs w:val="24"/>
        </w:rPr>
        <w:footnoteReference w:id="7"/>
      </w:r>
      <w:r>
        <w:rPr>
          <w:sz w:val="24"/>
          <w:szCs w:val="24"/>
        </w:rPr>
        <w:t>（如适用）。</w:t>
      </w:r>
      <w:r>
        <w:rPr>
          <w:color w:val="000000"/>
          <w:sz w:val="24"/>
          <w:szCs w:val="24"/>
        </w:rPr>
        <w:t>您可以在上市前申请中记录这些信息，或参考其他监管申请（例如，主文件、PMA、510(k)）。建议的信息包括：</w:t>
      </w:r>
    </w:p>
    <w:p w14:paraId="5D4A3DCB">
      <w:pPr>
        <w:shd w:val="clear" w:color="auto" w:fill="FFFFFF"/>
        <w:topLinePunct/>
        <w:autoSpaceDE/>
        <w:autoSpaceDN/>
        <w:adjustRightInd/>
        <w:jc w:val="both"/>
        <w:rPr>
          <w:sz w:val="24"/>
          <w:szCs w:val="24"/>
        </w:rPr>
      </w:pPr>
    </w:p>
    <w:p w14:paraId="7B895832">
      <w:pPr>
        <w:pStyle w:val="23"/>
        <w:numPr>
          <w:ilvl w:val="0"/>
          <w:numId w:val="2"/>
        </w:numPr>
        <w:shd w:val="clear" w:color="auto" w:fill="FFFFFF"/>
        <w:topLinePunct/>
        <w:autoSpaceDE/>
        <w:autoSpaceDN/>
        <w:adjustRightInd/>
        <w:ind w:left="904" w:leftChars="200" w:hanging="504" w:hangingChars="210"/>
        <w:jc w:val="both"/>
        <w:rPr>
          <w:sz w:val="24"/>
          <w:szCs w:val="24"/>
        </w:rPr>
      </w:pPr>
      <w:r>
        <w:rPr>
          <w:color w:val="000000"/>
          <w:sz w:val="24"/>
          <w:szCs w:val="24"/>
        </w:rPr>
        <w:t>允许动物组织进一步处理和/或与其他动物组织或器械组件结合制造的试验方法和放行标准；</w:t>
      </w:r>
    </w:p>
    <w:p w14:paraId="5F096B20">
      <w:pPr>
        <w:pStyle w:val="23"/>
        <w:numPr>
          <w:ilvl w:val="0"/>
          <w:numId w:val="2"/>
        </w:numPr>
        <w:shd w:val="clear" w:color="auto" w:fill="FFFFFF"/>
        <w:topLinePunct/>
        <w:autoSpaceDE/>
        <w:autoSpaceDN/>
        <w:adjustRightInd/>
        <w:ind w:left="904" w:leftChars="200" w:hanging="504" w:hangingChars="210"/>
        <w:jc w:val="both"/>
        <w:rPr>
          <w:sz w:val="24"/>
          <w:szCs w:val="24"/>
        </w:rPr>
      </w:pPr>
      <w:r>
        <w:rPr>
          <w:color w:val="000000"/>
          <w:sz w:val="24"/>
          <w:szCs w:val="24"/>
        </w:rPr>
        <w:t>组织检疫程序，直至</w:t>
      </w:r>
      <w:r>
        <w:rPr>
          <w:rFonts w:hint="eastAsia"/>
          <w:color w:val="000000"/>
          <w:sz w:val="24"/>
          <w:szCs w:val="24"/>
        </w:rPr>
        <w:t>其</w:t>
      </w:r>
      <w:r>
        <w:rPr>
          <w:color w:val="000000"/>
          <w:sz w:val="24"/>
          <w:szCs w:val="24"/>
        </w:rPr>
        <w:t>符合/不符合放行标准；</w:t>
      </w:r>
    </w:p>
    <w:p w14:paraId="075F994C">
      <w:pPr>
        <w:pStyle w:val="23"/>
        <w:numPr>
          <w:ilvl w:val="0"/>
          <w:numId w:val="2"/>
        </w:numPr>
        <w:shd w:val="clear" w:color="auto" w:fill="FFFFFF"/>
        <w:topLinePunct/>
        <w:autoSpaceDE/>
        <w:autoSpaceDN/>
        <w:adjustRightInd/>
        <w:ind w:left="904" w:leftChars="200" w:hanging="504" w:hangingChars="210"/>
        <w:jc w:val="both"/>
        <w:rPr>
          <w:sz w:val="24"/>
          <w:szCs w:val="24"/>
        </w:rPr>
      </w:pPr>
      <w:r>
        <w:rPr>
          <w:color w:val="000000"/>
          <w:sz w:val="24"/>
          <w:szCs w:val="24"/>
        </w:rPr>
        <w:t>评价过程中和最终产品的生物负载或无菌性的试验方法和验收标准；以及</w:t>
      </w:r>
    </w:p>
    <w:p w14:paraId="7988B6F2">
      <w:pPr>
        <w:pStyle w:val="23"/>
        <w:numPr>
          <w:ilvl w:val="0"/>
          <w:numId w:val="2"/>
        </w:numPr>
        <w:shd w:val="clear" w:color="auto" w:fill="FFFFFF"/>
        <w:topLinePunct/>
        <w:autoSpaceDE/>
        <w:autoSpaceDN/>
        <w:adjustRightInd/>
        <w:ind w:left="904" w:leftChars="200" w:hanging="504" w:hangingChars="210"/>
        <w:jc w:val="both"/>
        <w:rPr>
          <w:sz w:val="24"/>
          <w:szCs w:val="24"/>
        </w:rPr>
      </w:pPr>
      <w:r>
        <w:rPr>
          <w:color w:val="000000"/>
          <w:sz w:val="24"/>
          <w:szCs w:val="24"/>
        </w:rPr>
        <w:t>避免交叉污染的设施去污/灭菌方法。</w:t>
      </w:r>
    </w:p>
    <w:p w14:paraId="043183B8">
      <w:pPr>
        <w:shd w:val="clear" w:color="auto" w:fill="FFFFFF"/>
        <w:topLinePunct/>
        <w:autoSpaceDE/>
        <w:autoSpaceDN/>
        <w:adjustRightInd/>
        <w:jc w:val="both"/>
        <w:rPr>
          <w:sz w:val="24"/>
          <w:szCs w:val="24"/>
        </w:rPr>
      </w:pPr>
    </w:p>
    <w:p w14:paraId="0CDF66EA">
      <w:pPr>
        <w:shd w:val="clear" w:color="auto" w:fill="FFFFFF"/>
        <w:topLinePunct/>
        <w:autoSpaceDE/>
        <w:autoSpaceDN/>
        <w:adjustRightInd/>
        <w:ind w:firstLine="480" w:firstLineChars="200"/>
        <w:jc w:val="both"/>
        <w:rPr>
          <w:color w:val="000000"/>
          <w:sz w:val="24"/>
          <w:szCs w:val="24"/>
        </w:rPr>
      </w:pPr>
      <w:r>
        <w:rPr>
          <w:sz w:val="24"/>
          <w:szCs w:val="24"/>
        </w:rPr>
        <w:t>此外，生产设施应记录：1）维护上述项目记录的程序</w:t>
      </w:r>
      <w:r>
        <w:rPr>
          <w:rStyle w:val="17"/>
          <w:sz w:val="24"/>
          <w:szCs w:val="24"/>
        </w:rPr>
        <w:footnoteReference w:id="8"/>
      </w:r>
      <w:r>
        <w:rPr>
          <w:sz w:val="24"/>
          <w:szCs w:val="24"/>
        </w:rPr>
        <w:t>；2）每批所生产产品的上述所有信息（器械历史记录）</w:t>
      </w:r>
      <w:r>
        <w:rPr>
          <w:rStyle w:val="17"/>
          <w:sz w:val="24"/>
          <w:szCs w:val="24"/>
        </w:rPr>
        <w:footnoteReference w:id="9"/>
      </w:r>
      <w:r>
        <w:rPr>
          <w:sz w:val="24"/>
          <w:szCs w:val="24"/>
        </w:rPr>
        <w:t>；3）确认生产设备清洁、去污和灭菌对特定病原体暴露的有效性的信息。</w:t>
      </w:r>
      <w:r>
        <w:rPr>
          <w:rStyle w:val="17"/>
          <w:sz w:val="24"/>
          <w:szCs w:val="24"/>
        </w:rPr>
        <w:footnoteReference w:id="10"/>
      </w:r>
      <w:r>
        <w:rPr>
          <w:color w:val="000000"/>
          <w:sz w:val="24"/>
          <w:szCs w:val="24"/>
        </w:rPr>
        <w:t>如果有必要确保医疗器械的安全性，可以在检查中审查这些信息。</w:t>
      </w:r>
    </w:p>
    <w:p w14:paraId="00CC25D8">
      <w:pPr>
        <w:shd w:val="clear" w:color="auto" w:fill="FFFFFF"/>
        <w:topLinePunct/>
        <w:autoSpaceDE/>
        <w:autoSpaceDN/>
        <w:adjustRightInd/>
        <w:ind w:left="480" w:hanging="480" w:hangingChars="200"/>
        <w:jc w:val="both"/>
        <w:rPr>
          <w:sz w:val="24"/>
          <w:szCs w:val="24"/>
        </w:rPr>
      </w:pPr>
      <w:r>
        <w:rPr>
          <w:sz w:val="24"/>
          <w:szCs w:val="24"/>
        </w:rPr>
        <w:br w:type="page"/>
      </w:r>
    </w:p>
    <w:p w14:paraId="32D46F17">
      <w:pPr>
        <w:shd w:val="clear" w:color="auto" w:fill="FFFFFF"/>
        <w:topLinePunct/>
        <w:autoSpaceDE/>
        <w:autoSpaceDN/>
        <w:adjustRightInd/>
        <w:ind w:firstLine="480" w:firstLineChars="200"/>
        <w:jc w:val="both"/>
        <w:rPr>
          <w:color w:val="000000"/>
          <w:sz w:val="24"/>
          <w:szCs w:val="24"/>
          <w:u w:val="single"/>
          <w:vertAlign w:val="superscript"/>
        </w:rPr>
      </w:pPr>
      <w:r>
        <w:rPr>
          <w:sz w:val="24"/>
          <w:szCs w:val="24"/>
        </w:rPr>
        <w:t>QS法规包括与设计、生产、包装、标签、储存、安装和维修医疗器械所用方法、设施和控制有关的要求。</w:t>
      </w:r>
      <w:r>
        <w:rPr>
          <w:color w:val="000000"/>
          <w:sz w:val="24"/>
          <w:szCs w:val="24"/>
        </w:rPr>
        <w:t>根据21 CFR 820.50的规定，采购控制要求最终器械制造商建立程序，以确保所有采购或以其他方式收到的产品和服务符合特定要求，包括动物源性材料。应用于生产材料的控制措施应与生产材料、预期用途以及生产材料对安全性和有效性的影响相适应（61 FR 52602, 52624）。有关某些上市前申请的QS法规的进一步信息，可参见</w:t>
      </w:r>
      <w:r>
        <w:rPr>
          <w:color w:val="3333FF"/>
          <w:sz w:val="24"/>
          <w:szCs w:val="24"/>
          <w:u w:val="single"/>
        </w:rPr>
        <w:t>《特定上市前申请审查的质量体系信息：行业和FDA工作人员指南》。</w:t>
      </w:r>
      <w:r>
        <w:rPr>
          <w:rStyle w:val="17"/>
          <w:color w:val="000000"/>
          <w:sz w:val="24"/>
          <w:szCs w:val="24"/>
          <w:u w:val="single"/>
        </w:rPr>
        <w:footnoteReference w:id="11"/>
      </w:r>
    </w:p>
    <w:p w14:paraId="6FDD3793">
      <w:pPr>
        <w:shd w:val="clear" w:color="auto" w:fill="FFFFFF"/>
        <w:topLinePunct/>
        <w:autoSpaceDE/>
        <w:autoSpaceDN/>
        <w:adjustRightInd/>
        <w:ind w:firstLine="480" w:firstLineChars="200"/>
        <w:jc w:val="both"/>
        <w:rPr>
          <w:color w:val="3333FF"/>
          <w:sz w:val="24"/>
          <w:szCs w:val="24"/>
        </w:rPr>
      </w:pPr>
    </w:p>
    <w:p w14:paraId="1AB691DC">
      <w:pPr>
        <w:pStyle w:val="3"/>
        <w:spacing w:before="0" w:beforeLines="0" w:line="240" w:lineRule="auto"/>
        <w:ind w:left="1698" w:leftChars="496" w:hanging="706" w:hangingChars="251"/>
        <w:rPr>
          <w:szCs w:val="28"/>
        </w:rPr>
      </w:pPr>
      <w:bookmarkStart w:id="8" w:name="_Toc97372933"/>
      <w:r>
        <w:rPr>
          <w:szCs w:val="28"/>
        </w:rPr>
        <w:t>C.</w:t>
      </w:r>
      <w:r>
        <w:rPr>
          <w:szCs w:val="28"/>
        </w:rPr>
        <w:tab/>
      </w:r>
      <w:r>
        <w:rPr>
          <w:szCs w:val="28"/>
        </w:rPr>
        <w:t>灭菌</w:t>
      </w:r>
      <w:bookmarkEnd w:id="8"/>
    </w:p>
    <w:p w14:paraId="5255858E">
      <w:pPr>
        <w:shd w:val="clear" w:color="auto" w:fill="FFFFFF"/>
        <w:topLinePunct/>
        <w:autoSpaceDE/>
        <w:autoSpaceDN/>
        <w:adjustRightInd/>
        <w:jc w:val="both"/>
        <w:rPr>
          <w:color w:val="000000"/>
          <w:sz w:val="24"/>
          <w:szCs w:val="24"/>
        </w:rPr>
      </w:pPr>
    </w:p>
    <w:p w14:paraId="6906755B">
      <w:pPr>
        <w:shd w:val="clear" w:color="auto" w:fill="FFFFFF"/>
        <w:topLinePunct/>
        <w:autoSpaceDE/>
        <w:autoSpaceDN/>
        <w:adjustRightInd/>
        <w:ind w:firstLine="480" w:firstLineChars="200"/>
        <w:jc w:val="both"/>
        <w:rPr>
          <w:color w:val="000000"/>
          <w:sz w:val="24"/>
          <w:szCs w:val="24"/>
        </w:rPr>
      </w:pPr>
      <w:r>
        <w:rPr>
          <w:color w:val="000000"/>
          <w:sz w:val="24"/>
          <w:szCs w:val="24"/>
        </w:rPr>
        <w:t>由于确认含动物组织的器械灭菌问题非常复杂，需要逐一评价，我们建议您审查以下FDA认可共识标准：</w:t>
      </w:r>
    </w:p>
    <w:p w14:paraId="35F180D0">
      <w:pPr>
        <w:shd w:val="clear" w:color="auto" w:fill="FFFFFF"/>
        <w:topLinePunct/>
        <w:autoSpaceDE/>
        <w:autoSpaceDN/>
        <w:adjustRightInd/>
        <w:jc w:val="both"/>
        <w:rPr>
          <w:sz w:val="24"/>
          <w:szCs w:val="24"/>
        </w:rPr>
      </w:pPr>
    </w:p>
    <w:p w14:paraId="37D110BE">
      <w:pPr>
        <w:pStyle w:val="23"/>
        <w:numPr>
          <w:ilvl w:val="0"/>
          <w:numId w:val="3"/>
        </w:numPr>
        <w:shd w:val="clear" w:color="auto" w:fill="FFFFFF"/>
        <w:tabs>
          <w:tab w:val="left" w:pos="1440"/>
        </w:tabs>
        <w:topLinePunct/>
        <w:autoSpaceDE/>
        <w:autoSpaceDN/>
        <w:adjustRightInd/>
        <w:ind w:left="904" w:leftChars="200" w:hanging="504" w:hangingChars="210"/>
        <w:jc w:val="both"/>
        <w:rPr>
          <w:sz w:val="24"/>
          <w:szCs w:val="24"/>
        </w:rPr>
      </w:pPr>
      <w:r>
        <w:rPr>
          <w:color w:val="000000"/>
          <w:sz w:val="24"/>
          <w:szCs w:val="24"/>
        </w:rPr>
        <w:t>ISO 11135，医疗保健产品灭菌 - 环氧乙烷 - 医疗器械灭菌过程的开发、确认和常规控制要求</w:t>
      </w:r>
    </w:p>
    <w:p w14:paraId="6A7C21BC">
      <w:pPr>
        <w:pStyle w:val="23"/>
        <w:numPr>
          <w:ilvl w:val="0"/>
          <w:numId w:val="3"/>
        </w:numPr>
        <w:shd w:val="clear" w:color="auto" w:fill="FFFFFF"/>
        <w:tabs>
          <w:tab w:val="left" w:pos="1440"/>
        </w:tabs>
        <w:topLinePunct/>
        <w:autoSpaceDE/>
        <w:autoSpaceDN/>
        <w:adjustRightInd/>
        <w:ind w:left="904" w:leftChars="200" w:hanging="504" w:hangingChars="210"/>
        <w:jc w:val="both"/>
        <w:rPr>
          <w:sz w:val="24"/>
          <w:szCs w:val="24"/>
        </w:rPr>
      </w:pPr>
      <w:r>
        <w:rPr>
          <w:color w:val="000000"/>
          <w:sz w:val="24"/>
          <w:szCs w:val="24"/>
        </w:rPr>
        <w:t>ISO 17665-1，医疗保健产品灭菌 - 湿热 - 第1部分：医疗器械灭菌过程的开发、确认和常规控制要求</w:t>
      </w:r>
    </w:p>
    <w:p w14:paraId="37272BE6">
      <w:pPr>
        <w:pStyle w:val="23"/>
        <w:numPr>
          <w:ilvl w:val="0"/>
          <w:numId w:val="3"/>
        </w:numPr>
        <w:shd w:val="clear" w:color="auto" w:fill="FFFFFF"/>
        <w:tabs>
          <w:tab w:val="left" w:pos="1440"/>
        </w:tabs>
        <w:topLinePunct/>
        <w:autoSpaceDE/>
        <w:autoSpaceDN/>
        <w:adjustRightInd/>
        <w:ind w:left="904" w:leftChars="200" w:hanging="504" w:hangingChars="210"/>
        <w:jc w:val="both"/>
        <w:rPr>
          <w:sz w:val="24"/>
          <w:szCs w:val="24"/>
        </w:rPr>
      </w:pPr>
      <w:r>
        <w:rPr>
          <w:color w:val="000000"/>
          <w:sz w:val="24"/>
          <w:szCs w:val="24"/>
        </w:rPr>
        <w:t>ISO 11137-1，医疗保健产品灭菌 - 辐射 - 第1部分：医疗器械灭菌过程的开发、确认和常规控制要求</w:t>
      </w:r>
    </w:p>
    <w:p w14:paraId="74CBE108">
      <w:pPr>
        <w:pStyle w:val="23"/>
        <w:numPr>
          <w:ilvl w:val="0"/>
          <w:numId w:val="3"/>
        </w:numPr>
        <w:shd w:val="clear" w:color="auto" w:fill="FFFFFF"/>
        <w:tabs>
          <w:tab w:val="left" w:pos="1440"/>
        </w:tabs>
        <w:topLinePunct/>
        <w:autoSpaceDE/>
        <w:autoSpaceDN/>
        <w:adjustRightInd/>
        <w:ind w:left="904" w:leftChars="200" w:hanging="504" w:hangingChars="210"/>
        <w:jc w:val="both"/>
        <w:rPr>
          <w:sz w:val="24"/>
          <w:szCs w:val="24"/>
        </w:rPr>
      </w:pPr>
      <w:r>
        <w:rPr>
          <w:color w:val="000000"/>
          <w:sz w:val="24"/>
          <w:szCs w:val="24"/>
        </w:rPr>
        <w:t>ISO 11737-1，医疗器械的灭菌 - 微生物学方法 - 第1部分：产品上微生物总数的测定</w:t>
      </w:r>
    </w:p>
    <w:p w14:paraId="4C84DEE0">
      <w:pPr>
        <w:pStyle w:val="23"/>
        <w:numPr>
          <w:ilvl w:val="0"/>
          <w:numId w:val="3"/>
        </w:numPr>
        <w:shd w:val="clear" w:color="auto" w:fill="FFFFFF"/>
        <w:tabs>
          <w:tab w:val="left" w:pos="1440"/>
        </w:tabs>
        <w:topLinePunct/>
        <w:autoSpaceDE/>
        <w:autoSpaceDN/>
        <w:adjustRightInd/>
        <w:ind w:left="904" w:leftChars="200" w:hanging="504" w:hangingChars="210"/>
        <w:jc w:val="both"/>
        <w:rPr>
          <w:sz w:val="24"/>
          <w:szCs w:val="24"/>
        </w:rPr>
      </w:pPr>
      <w:r>
        <w:rPr>
          <w:color w:val="000000"/>
          <w:sz w:val="24"/>
          <w:szCs w:val="24"/>
        </w:rPr>
        <w:t>ISO 11737-2，医疗器械的灭菌 - 微生物学方法 - 第2部分：用于灭菌过程的定义、确认和维护的无菌试验</w:t>
      </w:r>
    </w:p>
    <w:p w14:paraId="206711AA">
      <w:pPr>
        <w:pStyle w:val="23"/>
        <w:numPr>
          <w:ilvl w:val="0"/>
          <w:numId w:val="3"/>
        </w:numPr>
        <w:shd w:val="clear" w:color="auto" w:fill="FFFFFF"/>
        <w:tabs>
          <w:tab w:val="left" w:pos="1440"/>
        </w:tabs>
        <w:topLinePunct/>
        <w:autoSpaceDE/>
        <w:autoSpaceDN/>
        <w:adjustRightInd/>
        <w:ind w:left="904" w:leftChars="200" w:hanging="504" w:hangingChars="210"/>
        <w:jc w:val="both"/>
        <w:rPr>
          <w:sz w:val="24"/>
          <w:szCs w:val="24"/>
        </w:rPr>
      </w:pPr>
      <w:r>
        <w:rPr>
          <w:color w:val="000000"/>
          <w:sz w:val="24"/>
          <w:szCs w:val="24"/>
        </w:rPr>
        <w:t>ISO 14160，医疗保健产品灭菌 - 使用动物组织及其衍生物的一次性医疗器械的液体化学灭菌剂 - 医疗器械灭菌过程的特征、开发、确认和常规控制的要求</w:t>
      </w:r>
    </w:p>
    <w:p w14:paraId="2D1D7BE1">
      <w:pPr>
        <w:pStyle w:val="23"/>
        <w:numPr>
          <w:ilvl w:val="0"/>
          <w:numId w:val="3"/>
        </w:numPr>
        <w:shd w:val="clear" w:color="auto" w:fill="FFFFFF"/>
        <w:tabs>
          <w:tab w:val="left" w:pos="1440"/>
        </w:tabs>
        <w:topLinePunct/>
        <w:autoSpaceDE/>
        <w:autoSpaceDN/>
        <w:adjustRightInd/>
        <w:ind w:left="904" w:leftChars="200" w:hanging="504" w:hangingChars="210"/>
        <w:jc w:val="both"/>
        <w:rPr>
          <w:sz w:val="24"/>
          <w:szCs w:val="24"/>
        </w:rPr>
      </w:pPr>
      <w:r>
        <w:rPr>
          <w:color w:val="000000"/>
          <w:sz w:val="24"/>
          <w:szCs w:val="24"/>
        </w:rPr>
        <w:t>ISO 14937，医疗保健产品灭菌 - 灭菌剂表征和医疗器械灭菌过程的开发、确认和常规控制的通用要求</w:t>
      </w:r>
    </w:p>
    <w:p w14:paraId="473C472D">
      <w:pPr>
        <w:shd w:val="clear" w:color="auto" w:fill="FFFFFF"/>
        <w:topLinePunct/>
        <w:autoSpaceDE/>
        <w:autoSpaceDN/>
        <w:adjustRightInd/>
        <w:ind w:firstLine="480" w:firstLineChars="200"/>
        <w:jc w:val="both"/>
        <w:rPr>
          <w:sz w:val="24"/>
          <w:szCs w:val="24"/>
        </w:rPr>
      </w:pPr>
    </w:p>
    <w:p w14:paraId="5F262766">
      <w:pPr>
        <w:shd w:val="clear" w:color="auto" w:fill="FFFFFF"/>
        <w:topLinePunct/>
        <w:autoSpaceDE/>
        <w:autoSpaceDN/>
        <w:adjustRightInd/>
        <w:ind w:firstLine="480" w:firstLineChars="200"/>
        <w:jc w:val="both"/>
        <w:rPr>
          <w:sz w:val="24"/>
          <w:szCs w:val="24"/>
        </w:rPr>
      </w:pPr>
      <w:r>
        <w:rPr>
          <w:sz w:val="24"/>
          <w:szCs w:val="24"/>
        </w:rPr>
        <w:t>此外，如有需要，建议您与负责审查贵公司特定器械类型的FDA工作人员联系，以进一步讨论灭菌程序。</w:t>
      </w:r>
      <w:r>
        <w:rPr>
          <w:rStyle w:val="17"/>
          <w:sz w:val="24"/>
          <w:szCs w:val="24"/>
        </w:rPr>
        <w:footnoteReference w:id="12"/>
      </w:r>
    </w:p>
    <w:p w14:paraId="6A32DA5C">
      <w:pPr>
        <w:shd w:val="clear" w:color="auto" w:fill="FFFFFF"/>
        <w:topLinePunct/>
        <w:autoSpaceDE/>
        <w:autoSpaceDN/>
        <w:adjustRightInd/>
        <w:ind w:left="480" w:hanging="480" w:hangingChars="200"/>
        <w:rPr>
          <w:sz w:val="24"/>
          <w:szCs w:val="24"/>
        </w:rPr>
      </w:pPr>
      <w:r>
        <w:rPr>
          <w:sz w:val="24"/>
          <w:szCs w:val="24"/>
        </w:rPr>
        <w:br w:type="page"/>
      </w:r>
    </w:p>
    <w:p w14:paraId="3BEFE78B">
      <w:pPr>
        <w:shd w:val="clear" w:color="auto" w:fill="FFFFFF"/>
        <w:topLinePunct/>
        <w:autoSpaceDE/>
        <w:autoSpaceDN/>
        <w:adjustRightInd/>
        <w:ind w:firstLine="480" w:firstLineChars="200"/>
        <w:jc w:val="both"/>
        <w:rPr>
          <w:color w:val="000000"/>
          <w:sz w:val="24"/>
          <w:szCs w:val="24"/>
        </w:rPr>
      </w:pPr>
      <w:r>
        <w:rPr>
          <w:color w:val="000000"/>
          <w:sz w:val="24"/>
          <w:szCs w:val="24"/>
        </w:rPr>
        <w:t>当动物组织中的病毒病原体属于医疗器械对公众健康的风险时，建议您考虑处理和灭菌可灭活或清除病毒的程度。FDA对确认病毒灭活方法的建议如下所示。</w:t>
      </w:r>
    </w:p>
    <w:p w14:paraId="17BFC35A">
      <w:pPr>
        <w:shd w:val="clear" w:color="auto" w:fill="FFFFFF"/>
        <w:topLinePunct/>
        <w:autoSpaceDE/>
        <w:autoSpaceDN/>
        <w:adjustRightInd/>
        <w:jc w:val="both"/>
        <w:rPr>
          <w:sz w:val="24"/>
          <w:szCs w:val="24"/>
        </w:rPr>
      </w:pPr>
    </w:p>
    <w:p w14:paraId="7D929D74">
      <w:pPr>
        <w:shd w:val="clear" w:color="auto" w:fill="FFFFFF"/>
        <w:topLinePunct/>
        <w:autoSpaceDE/>
        <w:autoSpaceDN/>
        <w:adjustRightInd/>
        <w:jc w:val="both"/>
        <w:rPr>
          <w:sz w:val="24"/>
          <w:szCs w:val="24"/>
        </w:rPr>
      </w:pPr>
      <w:r>
        <w:rPr>
          <w:b/>
          <w:color w:val="000000"/>
          <w:sz w:val="24"/>
          <w:szCs w:val="24"/>
          <w:u w:val="single"/>
        </w:rPr>
        <w:t>病毒确认研究</w:t>
      </w:r>
    </w:p>
    <w:p w14:paraId="32B61290">
      <w:pPr>
        <w:shd w:val="clear" w:color="auto" w:fill="FFFFFF"/>
        <w:topLinePunct/>
        <w:autoSpaceDE/>
        <w:autoSpaceDN/>
        <w:adjustRightInd/>
        <w:jc w:val="both"/>
        <w:rPr>
          <w:color w:val="000000"/>
          <w:sz w:val="24"/>
          <w:szCs w:val="24"/>
        </w:rPr>
      </w:pPr>
    </w:p>
    <w:p w14:paraId="7CAF62CC">
      <w:pPr>
        <w:shd w:val="clear" w:color="auto" w:fill="FFFFFF"/>
        <w:topLinePunct/>
        <w:autoSpaceDE/>
        <w:autoSpaceDN/>
        <w:adjustRightInd/>
        <w:ind w:firstLine="480" w:firstLineChars="200"/>
        <w:jc w:val="both"/>
        <w:rPr>
          <w:color w:val="000000"/>
          <w:sz w:val="24"/>
          <w:szCs w:val="24"/>
        </w:rPr>
      </w:pPr>
      <w:r>
        <w:rPr>
          <w:color w:val="000000"/>
          <w:sz w:val="24"/>
          <w:szCs w:val="24"/>
        </w:rPr>
        <w:t>应评估产品制造中所用的处理方法和灭菌技术，以确定其灭活和清除病毒的能力。通常通过比较未处理源材料中的病毒量估计值与生产和灭菌过程提供的病毒灭活/清除程度来确定病毒灭活数据。正如ISO 22442第3部分（第5节）所建议的内容，应审查已发表的文献，以估计未处理源材料中的病毒量，并优化病毒灭活/清除研究设计（例如，选择模型病毒和待评价的处理步骤）。通常使用特定生产和灭菌步骤的缩减版（如胶原蛋白的酸提取或干热灭菌）与适当的模型病毒进行此类研究。应选择这些研究中所用的模型病毒，以反映源动物组织中可能存在的实际病毒污染物（例如，基于DNA的和基于RNA的病毒，包膜和非包膜病毒）。</w:t>
      </w:r>
    </w:p>
    <w:p w14:paraId="0DF2E101">
      <w:pPr>
        <w:shd w:val="clear" w:color="auto" w:fill="FFFFFF"/>
        <w:topLinePunct/>
        <w:autoSpaceDE/>
        <w:autoSpaceDN/>
        <w:adjustRightInd/>
        <w:ind w:firstLine="480" w:firstLineChars="200"/>
        <w:jc w:val="both"/>
        <w:rPr>
          <w:sz w:val="24"/>
          <w:szCs w:val="24"/>
        </w:rPr>
      </w:pPr>
    </w:p>
    <w:p w14:paraId="4498ADE7">
      <w:pPr>
        <w:shd w:val="clear" w:color="auto" w:fill="FFFFFF"/>
        <w:topLinePunct/>
        <w:autoSpaceDE/>
        <w:autoSpaceDN/>
        <w:adjustRightInd/>
        <w:ind w:firstLine="480" w:firstLineChars="200"/>
        <w:jc w:val="both"/>
        <w:rPr>
          <w:color w:val="000000"/>
          <w:sz w:val="24"/>
          <w:szCs w:val="24"/>
        </w:rPr>
      </w:pPr>
      <w:r>
        <w:rPr>
          <w:sz w:val="24"/>
          <w:szCs w:val="24"/>
        </w:rPr>
        <w:t>您的病毒灭活研究结果应表明，选定处理步骤和灭菌过程中的病毒log</w:t>
      </w:r>
      <w:r>
        <w:rPr>
          <w:sz w:val="24"/>
          <w:szCs w:val="24"/>
          <w:vertAlign w:val="subscript"/>
        </w:rPr>
        <w:t>10</w:t>
      </w:r>
      <w:r>
        <w:rPr>
          <w:sz w:val="24"/>
          <w:szCs w:val="24"/>
        </w:rPr>
        <w:t>减少总和（即，总体病毒减少系数）足以产生安全的产品。</w:t>
      </w:r>
      <w:r>
        <w:rPr>
          <w:rStyle w:val="17"/>
          <w:sz w:val="24"/>
          <w:szCs w:val="24"/>
        </w:rPr>
        <w:footnoteReference w:id="13"/>
      </w:r>
      <w:r>
        <w:rPr>
          <w:color w:val="000000"/>
          <w:sz w:val="24"/>
          <w:szCs w:val="24"/>
        </w:rPr>
        <w:t>例如，与未处理源材料中估计的病毒浓度相比，病毒减少至少6个对数的器械历来被视为安全器械。应在您的上市前报告中提交描述这些研究的最终报告。该报告应讨论：1）器械中的动物种类和组织源材料，以及源材料中可能存在的病毒量（由内部研究或已发表的文献确定）；2）所选模型病毒的适当性；3）病毒灭活研究中所用条件与商业生产方法的相关性；以及4）这些研究证明最终产品安全的理由。</w:t>
      </w:r>
    </w:p>
    <w:p w14:paraId="2B9A0BF2">
      <w:pPr>
        <w:shd w:val="clear" w:color="auto" w:fill="FFFFFF"/>
        <w:topLinePunct/>
        <w:autoSpaceDE/>
        <w:autoSpaceDN/>
        <w:adjustRightInd/>
        <w:ind w:firstLine="480" w:firstLineChars="200"/>
        <w:jc w:val="both"/>
        <w:rPr>
          <w:color w:val="000000"/>
          <w:sz w:val="24"/>
          <w:szCs w:val="24"/>
        </w:rPr>
      </w:pPr>
    </w:p>
    <w:p w14:paraId="6FF6BA14">
      <w:pPr>
        <w:shd w:val="clear" w:color="auto" w:fill="FFFFFF"/>
        <w:topLinePunct/>
        <w:autoSpaceDE/>
        <w:autoSpaceDN/>
        <w:adjustRightInd/>
        <w:ind w:firstLine="480" w:firstLineChars="200"/>
        <w:jc w:val="both"/>
        <w:rPr>
          <w:color w:val="000000"/>
          <w:sz w:val="24"/>
          <w:szCs w:val="24"/>
        </w:rPr>
      </w:pPr>
      <w:r>
        <w:rPr>
          <w:sz w:val="24"/>
          <w:szCs w:val="24"/>
        </w:rPr>
        <w:t>ISO 22442-3和参考的ICH文件</w:t>
      </w:r>
      <w:r>
        <w:rPr>
          <w:rStyle w:val="17"/>
          <w:sz w:val="24"/>
          <w:szCs w:val="24"/>
        </w:rPr>
        <w:footnoteReference w:id="14"/>
      </w:r>
      <w:r>
        <w:rPr>
          <w:sz w:val="24"/>
          <w:szCs w:val="24"/>
        </w:rPr>
        <w:t>对病毒清除研究的一般设计和解释提供了其他见解。</w:t>
      </w:r>
      <w:r>
        <w:rPr>
          <w:color w:val="000000"/>
          <w:sz w:val="24"/>
          <w:szCs w:val="24"/>
        </w:rPr>
        <w:t>ISO 22442-3还建议酌情确定病毒灭活的动力学，以确定灭活全部病毒所需的理论时间。虽然此类信息在特定情况下很重要，但FDA已发现，在单一时间点而不是动力学研究所需的多个时间点，测量病毒灭活程度可提供病毒清除的充分证据，，前提条件是1）评价病毒灭活的模型系统条件与器械制造条件非常相似；2）受试模型病毒准确地反映了组织内病毒污染对受试灭活方法的敏感性；3）研究中观察到的病毒清除程度明显大于源组织中存在的任何病原体浓度。</w:t>
      </w:r>
    </w:p>
    <w:p w14:paraId="231519E6">
      <w:pPr>
        <w:shd w:val="clear" w:color="auto" w:fill="FFFFFF"/>
        <w:topLinePunct/>
        <w:autoSpaceDE/>
        <w:autoSpaceDN/>
        <w:adjustRightInd/>
        <w:ind w:firstLine="480" w:firstLineChars="200"/>
        <w:jc w:val="both"/>
        <w:rPr>
          <w:color w:val="000000"/>
          <w:sz w:val="24"/>
          <w:szCs w:val="24"/>
        </w:rPr>
      </w:pPr>
    </w:p>
    <w:p w14:paraId="092E63EA">
      <w:pPr>
        <w:shd w:val="clear" w:color="auto" w:fill="FFFFFF"/>
        <w:topLinePunct/>
        <w:autoSpaceDE/>
        <w:autoSpaceDN/>
        <w:adjustRightInd/>
        <w:ind w:firstLine="480" w:firstLineChars="200"/>
        <w:jc w:val="both"/>
        <w:rPr>
          <w:color w:val="000000"/>
          <w:sz w:val="24"/>
          <w:szCs w:val="24"/>
        </w:rPr>
      </w:pPr>
      <w:r>
        <w:rPr>
          <w:color w:val="000000"/>
          <w:sz w:val="24"/>
          <w:szCs w:val="24"/>
        </w:rPr>
        <w:br w:type="page"/>
      </w:r>
    </w:p>
    <w:p w14:paraId="229FD94C">
      <w:pPr>
        <w:shd w:val="clear" w:color="auto" w:fill="FFFFFF"/>
        <w:topLinePunct/>
        <w:autoSpaceDE/>
        <w:autoSpaceDN/>
        <w:adjustRightInd/>
        <w:ind w:firstLine="480" w:firstLineChars="200"/>
        <w:jc w:val="both"/>
        <w:rPr>
          <w:color w:val="000000"/>
          <w:sz w:val="24"/>
          <w:szCs w:val="24"/>
        </w:rPr>
      </w:pPr>
      <w:r>
        <w:rPr>
          <w:color w:val="000000"/>
          <w:sz w:val="24"/>
          <w:szCs w:val="24"/>
        </w:rPr>
        <w:t>虽然证明与生产和灭菌过程有关的病毒灭活特性的数据通常在实验室研究中与预期产品一起确定，但可酌情提交证明器械生产/灭菌过程的病毒灭活参数的已发表文献，以代替此类试验。FDA建议在以下情况下提交文献信息：1）出版物包含足够信息以评价研究结果（例如，试验条件、样品组成和为确认试验条件而进行的对照研究）；2）提供信息解释为何公布的供试品准确地反映您的产品；3）提供信息解释为何公布的病毒灭活程序准确地反映您的生产/灭菌方法（例如，反应温度、溶液pH值和离子强度、产品接触灭活步骤的时间以及您的产品和引用的出版物中蛋白质和其他杂质的浓度）。</w:t>
      </w:r>
    </w:p>
    <w:p w14:paraId="223B3F49">
      <w:pPr>
        <w:shd w:val="clear" w:color="auto" w:fill="FFFFFF"/>
        <w:topLinePunct/>
        <w:autoSpaceDE/>
        <w:autoSpaceDN/>
        <w:adjustRightInd/>
        <w:ind w:firstLine="480" w:firstLineChars="200"/>
        <w:jc w:val="both"/>
        <w:rPr>
          <w:color w:val="000000"/>
          <w:sz w:val="24"/>
          <w:szCs w:val="24"/>
        </w:rPr>
      </w:pPr>
    </w:p>
    <w:p w14:paraId="5AE14D06">
      <w:pPr>
        <w:shd w:val="clear" w:color="auto" w:fill="FFFFFF"/>
        <w:topLinePunct/>
        <w:autoSpaceDE/>
        <w:autoSpaceDN/>
        <w:adjustRightInd/>
        <w:ind w:firstLine="480" w:firstLineChars="200"/>
        <w:jc w:val="both"/>
        <w:rPr>
          <w:color w:val="000000"/>
          <w:sz w:val="24"/>
          <w:szCs w:val="24"/>
        </w:rPr>
      </w:pPr>
      <w:r>
        <w:rPr>
          <w:color w:val="000000"/>
          <w:sz w:val="24"/>
          <w:szCs w:val="24"/>
        </w:rPr>
        <w:t>最后，请注意，通常认为病毒灭活研究无法反映朊病毒污染清除或灭活程度。</w:t>
      </w:r>
    </w:p>
    <w:p w14:paraId="55F789D7">
      <w:pPr>
        <w:shd w:val="clear" w:color="auto" w:fill="FFFFFF"/>
        <w:topLinePunct/>
        <w:autoSpaceDE/>
        <w:autoSpaceDN/>
        <w:adjustRightInd/>
        <w:ind w:firstLine="480" w:firstLineChars="200"/>
        <w:jc w:val="both"/>
        <w:rPr>
          <w:sz w:val="24"/>
          <w:szCs w:val="24"/>
        </w:rPr>
      </w:pPr>
    </w:p>
    <w:p w14:paraId="1054B92C">
      <w:pPr>
        <w:pStyle w:val="3"/>
        <w:spacing w:before="0" w:beforeLines="0" w:line="240" w:lineRule="auto"/>
        <w:ind w:left="1698" w:leftChars="496" w:hanging="706" w:hangingChars="251"/>
        <w:rPr>
          <w:szCs w:val="28"/>
        </w:rPr>
      </w:pPr>
      <w:bookmarkStart w:id="9" w:name="_Toc97372934"/>
      <w:r>
        <w:rPr>
          <w:szCs w:val="28"/>
        </w:rPr>
        <w:t>D.</w:t>
      </w:r>
      <w:r>
        <w:rPr>
          <w:szCs w:val="28"/>
        </w:rPr>
        <w:tab/>
      </w:r>
      <w:r>
        <w:rPr>
          <w:szCs w:val="28"/>
        </w:rPr>
        <w:t>传染性海绵状脑病的特定问题</w:t>
      </w:r>
      <w:bookmarkEnd w:id="9"/>
    </w:p>
    <w:p w14:paraId="146FF166">
      <w:pPr>
        <w:shd w:val="clear" w:color="auto" w:fill="FFFFFF"/>
        <w:topLinePunct/>
        <w:autoSpaceDE/>
        <w:autoSpaceDN/>
        <w:adjustRightInd/>
        <w:jc w:val="both"/>
        <w:rPr>
          <w:sz w:val="24"/>
          <w:szCs w:val="24"/>
        </w:rPr>
      </w:pPr>
    </w:p>
    <w:p w14:paraId="1D50863B">
      <w:pPr>
        <w:shd w:val="clear" w:color="auto" w:fill="FFFFFF"/>
        <w:topLinePunct/>
        <w:autoSpaceDE/>
        <w:autoSpaceDN/>
        <w:adjustRightInd/>
        <w:ind w:firstLine="480" w:firstLineChars="200"/>
        <w:jc w:val="both"/>
        <w:rPr>
          <w:sz w:val="24"/>
          <w:szCs w:val="24"/>
        </w:rPr>
      </w:pPr>
      <w:r>
        <w:rPr>
          <w:sz w:val="24"/>
          <w:szCs w:val="24"/>
        </w:rPr>
        <w:t>BSE是一种影响牛中枢神经系统的退行性疾病，与在羊（羊痒病）、鹿（慢性消耗性疾病）</w:t>
      </w:r>
      <w:r>
        <w:rPr>
          <w:rStyle w:val="17"/>
          <w:sz w:val="24"/>
          <w:szCs w:val="24"/>
        </w:rPr>
        <w:footnoteReference w:id="15"/>
      </w:r>
      <w:r>
        <w:rPr>
          <w:sz w:val="24"/>
          <w:szCs w:val="24"/>
        </w:rPr>
        <w:t>和人类（克雅氏病或CJD和不太常见的类似疾病）中发现的其他传染性海绵状脑病（TSE）相似。</w:t>
      </w:r>
      <w:r>
        <w:rPr>
          <w:color w:val="000000"/>
          <w:sz w:val="24"/>
          <w:szCs w:val="24"/>
        </w:rPr>
        <w:t>当前数据表明，暴露后需要2至8年的潜伏期才能检测到BSE症状。目前既无TSE疾病治疗方法，也无有效筛查方法来检测活体动物或人类感染。通过对牛死后脑组织的显微镜检查以及使用ELISA、蛋白印迹法或其他技术检测朊病毒蛋白的异常形式来实现诊断。</w:t>
      </w:r>
    </w:p>
    <w:p w14:paraId="22B82DC0">
      <w:pPr>
        <w:shd w:val="clear" w:color="auto" w:fill="FFFFFF"/>
        <w:topLinePunct/>
        <w:autoSpaceDE/>
        <w:autoSpaceDN/>
        <w:adjustRightInd/>
        <w:ind w:left="480" w:hanging="480" w:hangingChars="200"/>
        <w:rPr>
          <w:sz w:val="24"/>
          <w:szCs w:val="24"/>
        </w:rPr>
      </w:pPr>
    </w:p>
    <w:p w14:paraId="1A18611B">
      <w:pPr>
        <w:shd w:val="clear" w:color="auto" w:fill="FFFFFF"/>
        <w:topLinePunct/>
        <w:autoSpaceDE/>
        <w:autoSpaceDN/>
        <w:adjustRightInd/>
        <w:ind w:left="480" w:hanging="480" w:hangingChars="200"/>
        <w:rPr>
          <w:sz w:val="24"/>
          <w:szCs w:val="24"/>
        </w:rPr>
      </w:pPr>
      <w:r>
        <w:rPr>
          <w:sz w:val="24"/>
          <w:szCs w:val="24"/>
        </w:rPr>
        <w:br w:type="page"/>
      </w:r>
    </w:p>
    <w:p w14:paraId="4ADD7072">
      <w:pPr>
        <w:shd w:val="clear" w:color="auto" w:fill="FFFFFF"/>
        <w:topLinePunct/>
        <w:autoSpaceDE/>
        <w:autoSpaceDN/>
        <w:adjustRightInd/>
        <w:ind w:firstLine="480" w:firstLineChars="200"/>
        <w:jc w:val="both"/>
        <w:rPr>
          <w:color w:val="000000"/>
          <w:sz w:val="24"/>
          <w:szCs w:val="24"/>
        </w:rPr>
      </w:pPr>
      <w:r>
        <w:rPr>
          <w:sz w:val="24"/>
          <w:szCs w:val="24"/>
        </w:rPr>
        <w:t>人们普遍认为BSE致病原是一种朊病毒（即正常蛋白酶敏感性细胞朊病毒蛋白[称为PrP</w:t>
      </w:r>
      <w:r>
        <w:rPr>
          <w:sz w:val="24"/>
          <w:szCs w:val="24"/>
          <w:vertAlign w:val="superscript"/>
        </w:rPr>
        <w:t>C</w:t>
      </w:r>
      <w:r>
        <w:rPr>
          <w:sz w:val="24"/>
          <w:szCs w:val="24"/>
        </w:rPr>
        <w:t>或PrP(sen)]的异常折叠形式），可促进其他正常细胞蛋白向异常错误折叠的感染相关蛋白酶抗性朊病毒结构（称为PrP(res)或PrP</w:t>
      </w:r>
      <w:r>
        <w:rPr>
          <w:sz w:val="24"/>
          <w:szCs w:val="24"/>
          <w:vertAlign w:val="superscript"/>
        </w:rPr>
        <w:t>TSE</w:t>
      </w:r>
      <w:r>
        <w:rPr>
          <w:sz w:val="24"/>
          <w:szCs w:val="24"/>
        </w:rPr>
        <w:t>）转化。人们已在牛的大脑、脊髓、眼睛、回肠、淋巴结、近端结肠、脾脏、扁桃体、硬脑膜、松果体、胎盘、脑脊液、垂体、肾上腺、远端结肠、鼻粘膜、外周神经、骨髓、肝脏、肺、胰腺和胸腺中检测出PrP(res)。</w:t>
      </w:r>
      <w:r>
        <w:rPr>
          <w:rStyle w:val="17"/>
          <w:sz w:val="24"/>
          <w:szCs w:val="24"/>
        </w:rPr>
        <w:footnoteReference w:id="16"/>
      </w:r>
      <w:r>
        <w:rPr>
          <w:sz w:val="24"/>
          <w:szCs w:val="24"/>
        </w:rPr>
        <w:t>从更敏感的检测方法或更大型动物研究获得数据后，未来可能会在其他组织中检测TSE感染性。动物研究中已通过实验证明传染。</w:t>
      </w:r>
      <w:r>
        <w:rPr>
          <w:rStyle w:val="17"/>
          <w:sz w:val="24"/>
          <w:szCs w:val="24"/>
        </w:rPr>
        <w:footnoteReference w:id="17"/>
      </w:r>
      <w:r>
        <w:rPr>
          <w:sz w:val="24"/>
          <w:szCs w:val="24"/>
        </w:rPr>
        <w:t>众所周知，TSE病原体对传统形式的消毒和灭菌有极强抗性。</w:t>
      </w:r>
      <w:r>
        <w:rPr>
          <w:color w:val="000000"/>
          <w:sz w:val="24"/>
          <w:szCs w:val="24"/>
        </w:rPr>
        <w:t>有关最新信息，请参见FDA关于BSE的网站，可登录以下网站查阅：</w:t>
      </w:r>
      <w:r>
        <w:rPr>
          <w:color w:val="3333FF"/>
          <w:sz w:val="24"/>
          <w:szCs w:val="24"/>
          <w:u w:val="single"/>
        </w:rPr>
        <w:t>https://www.fda.gov/AnimalVeterinary/ComplianceEnforcement/BovineSpongiformEncephalo pathy/ucm2006517.htm, for the most current information.</w:t>
      </w:r>
      <w:r>
        <w:rPr>
          <w:rStyle w:val="17"/>
          <w:sz w:val="24"/>
          <w:szCs w:val="24"/>
          <w:u w:val="single"/>
        </w:rPr>
        <w:footnoteReference w:id="18"/>
      </w:r>
    </w:p>
    <w:p w14:paraId="2D8B6989">
      <w:pPr>
        <w:shd w:val="clear" w:color="auto" w:fill="FFFFFF"/>
        <w:topLinePunct/>
        <w:autoSpaceDE/>
        <w:autoSpaceDN/>
        <w:adjustRightInd/>
        <w:ind w:firstLine="480" w:firstLineChars="200"/>
        <w:jc w:val="both"/>
        <w:rPr>
          <w:sz w:val="24"/>
          <w:szCs w:val="24"/>
        </w:rPr>
      </w:pPr>
    </w:p>
    <w:p w14:paraId="2C2FAA0B">
      <w:pPr>
        <w:shd w:val="clear" w:color="auto" w:fill="FFFFFF"/>
        <w:topLinePunct/>
        <w:autoSpaceDE/>
        <w:autoSpaceDN/>
        <w:adjustRightInd/>
        <w:ind w:firstLine="480" w:firstLineChars="200"/>
        <w:jc w:val="both"/>
        <w:rPr>
          <w:color w:val="000000"/>
          <w:sz w:val="24"/>
          <w:szCs w:val="24"/>
        </w:rPr>
      </w:pPr>
      <w:r>
        <w:rPr>
          <w:color w:val="000000"/>
          <w:sz w:val="24"/>
          <w:szCs w:val="24"/>
        </w:rPr>
        <w:t>鉴于疾病发生前有极长潜伏期，缺乏有效活体动物筛选测试，以及vCJD的致命结果，我们建议您在上市前申请中，除上述第A和B节所列信息外，还应收集和记录可能潜伏TSE感染的任何反刍动物（如牛、绵羊、山羊、鹿和麋鹿等颈类动物）源性材料。</w:t>
      </w:r>
    </w:p>
    <w:p w14:paraId="5A283B10">
      <w:pPr>
        <w:shd w:val="clear" w:color="auto" w:fill="FFFFFF"/>
        <w:topLinePunct/>
        <w:autoSpaceDE/>
        <w:autoSpaceDN/>
        <w:adjustRightInd/>
        <w:ind w:firstLine="480" w:firstLineChars="200"/>
        <w:jc w:val="both"/>
        <w:rPr>
          <w:sz w:val="24"/>
          <w:szCs w:val="24"/>
        </w:rPr>
      </w:pPr>
    </w:p>
    <w:p w14:paraId="3B9B3FAA">
      <w:pPr>
        <w:pStyle w:val="23"/>
        <w:numPr>
          <w:ilvl w:val="0"/>
          <w:numId w:val="4"/>
        </w:numPr>
        <w:shd w:val="clear" w:color="auto" w:fill="FFFFFF"/>
        <w:topLinePunct/>
        <w:autoSpaceDE/>
        <w:autoSpaceDN/>
        <w:adjustRightInd/>
        <w:ind w:left="904" w:leftChars="200" w:hanging="504" w:hangingChars="210"/>
        <w:jc w:val="both"/>
        <w:rPr>
          <w:sz w:val="24"/>
          <w:szCs w:val="24"/>
        </w:rPr>
      </w:pPr>
      <w:r>
        <w:rPr>
          <w:sz w:val="24"/>
          <w:szCs w:val="24"/>
        </w:rPr>
        <w:t>动物是否来自于BSE风险可忽略、受控或未知的国家（根据OIE）；</w:t>
      </w:r>
      <w:r>
        <w:rPr>
          <w:rStyle w:val="17"/>
          <w:sz w:val="24"/>
          <w:szCs w:val="24"/>
        </w:rPr>
        <w:footnoteReference w:id="19"/>
      </w:r>
      <w:r>
        <w:rPr>
          <w:rFonts w:hint="eastAsia"/>
          <w:sz w:val="24"/>
          <w:szCs w:val="24"/>
        </w:rPr>
        <w:t>,</w:t>
      </w:r>
      <w:r>
        <w:rPr>
          <w:rStyle w:val="17"/>
          <w:sz w:val="24"/>
          <w:szCs w:val="24"/>
        </w:rPr>
        <w:footnoteReference w:id="20"/>
      </w:r>
    </w:p>
    <w:p w14:paraId="4DE6242A">
      <w:pPr>
        <w:pStyle w:val="23"/>
        <w:numPr>
          <w:ilvl w:val="0"/>
          <w:numId w:val="4"/>
        </w:numPr>
        <w:shd w:val="clear" w:color="auto" w:fill="FFFFFF"/>
        <w:topLinePunct/>
        <w:autoSpaceDE/>
        <w:autoSpaceDN/>
        <w:adjustRightInd/>
        <w:ind w:left="904" w:leftChars="200" w:hanging="504" w:hangingChars="210"/>
        <w:jc w:val="both"/>
        <w:rPr>
          <w:sz w:val="24"/>
          <w:szCs w:val="24"/>
        </w:rPr>
      </w:pPr>
      <w:r>
        <w:rPr>
          <w:sz w:val="24"/>
          <w:szCs w:val="24"/>
        </w:rPr>
        <w:t>有关畜群长期健康的信息（例如，记录的繁殖历史、动物可追溯性、不存在TSE病，以及检测TSE的监测项目）；</w:t>
      </w:r>
    </w:p>
    <w:p w14:paraId="11063D12">
      <w:pPr>
        <w:pStyle w:val="23"/>
        <w:numPr>
          <w:ilvl w:val="0"/>
          <w:numId w:val="4"/>
        </w:numPr>
        <w:shd w:val="clear" w:color="auto" w:fill="FFFFFF"/>
        <w:topLinePunct/>
        <w:autoSpaceDE/>
        <w:autoSpaceDN/>
        <w:adjustRightInd/>
        <w:ind w:left="904" w:leftChars="200" w:hanging="504" w:hangingChars="210"/>
        <w:jc w:val="both"/>
        <w:rPr>
          <w:sz w:val="24"/>
          <w:szCs w:val="24"/>
        </w:rPr>
      </w:pPr>
      <w:r>
        <w:rPr>
          <w:color w:val="000000"/>
          <w:sz w:val="24"/>
          <w:szCs w:val="24"/>
        </w:rPr>
        <w:t>动物饲料成分（例如，动物饲料历史记录（包括饲料混合记录）以及在分销地点的动物饲料成分标签）（请注意，FDA于2008年发布最终规则，禁止将某些材料喂给反刍动物，参见73 FR 22719）；</w:t>
      </w:r>
    </w:p>
    <w:p w14:paraId="37619EE7">
      <w:pPr>
        <w:pStyle w:val="23"/>
        <w:numPr>
          <w:ilvl w:val="0"/>
          <w:numId w:val="4"/>
        </w:numPr>
        <w:shd w:val="clear" w:color="auto" w:fill="FFFFFF"/>
        <w:topLinePunct/>
        <w:autoSpaceDE/>
        <w:autoSpaceDN/>
        <w:adjustRightInd/>
        <w:ind w:left="904" w:leftChars="200" w:hanging="504" w:hangingChars="210"/>
        <w:jc w:val="both"/>
        <w:rPr>
          <w:sz w:val="24"/>
          <w:szCs w:val="24"/>
        </w:rPr>
      </w:pPr>
      <w:r>
        <w:rPr>
          <w:color w:val="000000"/>
          <w:sz w:val="24"/>
          <w:szCs w:val="24"/>
        </w:rPr>
        <w:t>减少非TSE组织与可能含TSE组织的材料交叉污染风险的动物击昏和屠宰方法；以及</w:t>
      </w:r>
    </w:p>
    <w:p w14:paraId="3719C2B5">
      <w:pPr>
        <w:pStyle w:val="23"/>
        <w:numPr>
          <w:ilvl w:val="0"/>
          <w:numId w:val="4"/>
        </w:numPr>
        <w:shd w:val="clear" w:color="auto" w:fill="FFFFFF"/>
        <w:topLinePunct/>
        <w:autoSpaceDE/>
        <w:autoSpaceDN/>
        <w:adjustRightInd/>
        <w:ind w:left="904" w:leftChars="200" w:hanging="504" w:hangingChars="210"/>
        <w:jc w:val="both"/>
        <w:rPr>
          <w:sz w:val="24"/>
          <w:szCs w:val="24"/>
        </w:rPr>
      </w:pPr>
      <w:r>
        <w:rPr>
          <w:sz w:val="24"/>
          <w:szCs w:val="24"/>
        </w:rPr>
        <w:t>死前检查和/或尸检的具体内容（例如，大体目视检查、特定器官和异常检查、实验室测试（如PrP</w:t>
      </w:r>
      <w:r>
        <w:rPr>
          <w:sz w:val="24"/>
          <w:szCs w:val="24"/>
          <w:vertAlign w:val="superscript"/>
        </w:rPr>
        <w:t>TSE</w:t>
      </w:r>
      <w:r>
        <w:rPr>
          <w:sz w:val="24"/>
          <w:szCs w:val="24"/>
        </w:rPr>
        <w:t>测试））。</w:t>
      </w:r>
    </w:p>
    <w:p w14:paraId="045D7BE0">
      <w:pPr>
        <w:shd w:val="clear" w:color="auto" w:fill="FFFFFF"/>
        <w:topLinePunct/>
        <w:autoSpaceDE/>
        <w:autoSpaceDN/>
        <w:adjustRightInd/>
        <w:ind w:left="480" w:hanging="480" w:hangingChars="200"/>
        <w:jc w:val="both"/>
        <w:rPr>
          <w:color w:val="000000"/>
          <w:sz w:val="24"/>
          <w:szCs w:val="24"/>
        </w:rPr>
      </w:pPr>
    </w:p>
    <w:p w14:paraId="409393F7">
      <w:pPr>
        <w:shd w:val="clear" w:color="auto" w:fill="FFFFFF"/>
        <w:topLinePunct/>
        <w:autoSpaceDE/>
        <w:autoSpaceDN/>
        <w:adjustRightInd/>
        <w:jc w:val="both"/>
        <w:rPr>
          <w:sz w:val="24"/>
          <w:szCs w:val="24"/>
        </w:rPr>
      </w:pPr>
      <w:r>
        <w:rPr>
          <w:sz w:val="24"/>
          <w:szCs w:val="24"/>
        </w:rPr>
        <w:br w:type="page"/>
      </w:r>
    </w:p>
    <w:p w14:paraId="77B57305">
      <w:pPr>
        <w:shd w:val="clear" w:color="auto" w:fill="FFFFFF"/>
        <w:topLinePunct/>
        <w:autoSpaceDE/>
        <w:autoSpaceDN/>
        <w:adjustRightInd/>
        <w:ind w:firstLine="480" w:firstLineChars="200"/>
        <w:jc w:val="both"/>
        <w:rPr>
          <w:sz w:val="24"/>
          <w:szCs w:val="24"/>
        </w:rPr>
      </w:pPr>
      <w:r>
        <w:rPr>
          <w:sz w:val="24"/>
          <w:szCs w:val="24"/>
        </w:rPr>
        <w:t>此外，生产设施应记录：1）维护上述项目记录的程序</w:t>
      </w:r>
      <w:r>
        <w:rPr>
          <w:rStyle w:val="17"/>
          <w:sz w:val="24"/>
          <w:szCs w:val="24"/>
        </w:rPr>
        <w:footnoteReference w:id="21"/>
      </w:r>
      <w:r>
        <w:rPr>
          <w:sz w:val="24"/>
          <w:szCs w:val="24"/>
        </w:rPr>
        <w:t>，以及2）每批生产产品的上述所有信息（器械历史记录）。</w:t>
      </w:r>
      <w:r>
        <w:rPr>
          <w:rStyle w:val="17"/>
          <w:sz w:val="24"/>
          <w:szCs w:val="24"/>
        </w:rPr>
        <w:footnoteReference w:id="22"/>
      </w:r>
      <w:r>
        <w:rPr>
          <w:color w:val="000000"/>
          <w:sz w:val="24"/>
          <w:szCs w:val="24"/>
        </w:rPr>
        <w:t>如果有必要确保医疗器械的安全性，可以在检查中审查这些信息。</w:t>
      </w:r>
    </w:p>
    <w:p w14:paraId="5CECF86E">
      <w:pPr>
        <w:shd w:val="clear" w:color="auto" w:fill="FFFFFF"/>
        <w:topLinePunct/>
        <w:autoSpaceDE/>
        <w:autoSpaceDN/>
        <w:adjustRightInd/>
        <w:ind w:firstLine="480" w:firstLineChars="200"/>
        <w:jc w:val="both"/>
        <w:rPr>
          <w:color w:val="000000"/>
          <w:sz w:val="24"/>
          <w:szCs w:val="24"/>
        </w:rPr>
      </w:pPr>
    </w:p>
    <w:p w14:paraId="070A8992">
      <w:pPr>
        <w:shd w:val="clear" w:color="auto" w:fill="FFFFFF"/>
        <w:topLinePunct/>
        <w:autoSpaceDE/>
        <w:autoSpaceDN/>
        <w:adjustRightInd/>
        <w:ind w:firstLine="480" w:firstLineChars="200"/>
        <w:jc w:val="both"/>
        <w:rPr>
          <w:sz w:val="24"/>
          <w:szCs w:val="24"/>
        </w:rPr>
      </w:pPr>
      <w:r>
        <w:rPr>
          <w:color w:val="000000"/>
          <w:sz w:val="24"/>
          <w:szCs w:val="24"/>
        </w:rPr>
        <w:t>此外，必须记住，TSE感染性物质在表面的停留时间未知，且尚未完全确定全面保证从表面清除TSE感染性物质的方法。对于更危险的场所或用于制造器械的设备，暴露于潜在TSE感染动物（如牛、羊、鹿或麋鹿等颈部动物）后，可能尚未对为清除屠宰场的表面污染而开发的清洁过程进行充分表征或确认。因此，对于涉及使用潜在TSE感染动物的组织进行器械生产的设施，您的文件还应确定何时/是否有任何潜在TSE感染材料可能之前在该设施中被处理过，以及采取何种措施处理任何潜在污染。这些信息可以包括之前在本指南第IV.B节</w:t>
      </w:r>
      <w:r>
        <w:rPr>
          <w:rFonts w:ascii="宋体" w:hAnsi="宋体"/>
          <w:color w:val="000000"/>
          <w:sz w:val="24"/>
          <w:szCs w:val="24"/>
        </w:rPr>
        <w:t>“</w:t>
      </w:r>
      <w:r>
        <w:rPr>
          <w:color w:val="000000"/>
          <w:sz w:val="24"/>
          <w:szCs w:val="24"/>
        </w:rPr>
        <w:t>动物组织成分的生产控制</w:t>
      </w:r>
      <w:r>
        <w:rPr>
          <w:rFonts w:ascii="宋体" w:hAnsi="宋体"/>
          <w:color w:val="000000"/>
          <w:sz w:val="24"/>
          <w:szCs w:val="24"/>
        </w:rPr>
        <w:t>”</w:t>
      </w:r>
      <w:r>
        <w:rPr>
          <w:color w:val="000000"/>
          <w:sz w:val="24"/>
          <w:szCs w:val="24"/>
        </w:rPr>
        <w:t>中所讨论的信息以及之前组织处理日期（另请参见21 CFR 820.50）。</w:t>
      </w:r>
    </w:p>
    <w:p w14:paraId="0A037346">
      <w:pPr>
        <w:shd w:val="clear" w:color="auto" w:fill="FFFFFF"/>
        <w:topLinePunct/>
        <w:autoSpaceDE/>
        <w:autoSpaceDN/>
        <w:adjustRightInd/>
        <w:ind w:firstLine="480" w:firstLineChars="200"/>
        <w:jc w:val="both"/>
        <w:rPr>
          <w:color w:val="000000"/>
          <w:sz w:val="24"/>
          <w:szCs w:val="24"/>
        </w:rPr>
      </w:pPr>
    </w:p>
    <w:p w14:paraId="3A4C582B">
      <w:pPr>
        <w:shd w:val="clear" w:color="auto" w:fill="FFFFFF"/>
        <w:topLinePunct/>
        <w:autoSpaceDE/>
        <w:autoSpaceDN/>
        <w:adjustRightInd/>
        <w:ind w:firstLine="480" w:firstLineChars="200"/>
        <w:jc w:val="both"/>
        <w:rPr>
          <w:sz w:val="24"/>
          <w:szCs w:val="24"/>
        </w:rPr>
      </w:pPr>
      <w:r>
        <w:rPr>
          <w:color w:val="000000"/>
          <w:sz w:val="24"/>
          <w:szCs w:val="24"/>
        </w:rPr>
        <w:t>由于筛查法不能确保来自奶牛或其他反刍动物的组织不含TSE，以上讨论的方法（如监测动物饲料、控制动物饲养和组织处理）反映了从动物组织中制备安全医疗器械的现有最佳方法。然而，当确认TSE筛查测定可准确识别受TSE污染的组织时，FDA将考虑酌情修订本指南，并建议将此类试验引入组织采集和处理的标准操作规程中。</w:t>
      </w:r>
    </w:p>
    <w:p w14:paraId="1DDF30F5">
      <w:pPr>
        <w:shd w:val="clear" w:color="auto" w:fill="FFFFFF"/>
        <w:topLinePunct/>
        <w:autoSpaceDE/>
        <w:autoSpaceDN/>
        <w:adjustRightInd/>
        <w:ind w:firstLine="480" w:firstLineChars="200"/>
        <w:jc w:val="both"/>
        <w:rPr>
          <w:sz w:val="24"/>
          <w:szCs w:val="24"/>
        </w:rPr>
      </w:pPr>
    </w:p>
    <w:p w14:paraId="1665D77C">
      <w:pPr>
        <w:shd w:val="clear" w:color="auto" w:fill="FFFFFF"/>
        <w:topLinePunct/>
        <w:autoSpaceDE/>
        <w:autoSpaceDN/>
        <w:adjustRightInd/>
        <w:jc w:val="both"/>
        <w:rPr>
          <w:sz w:val="24"/>
          <w:szCs w:val="24"/>
        </w:rPr>
      </w:pPr>
    </w:p>
    <w:p w14:paraId="5C087787">
      <w:pPr>
        <w:shd w:val="clear" w:color="auto" w:fill="FFFFFF"/>
        <w:topLinePunct/>
        <w:autoSpaceDE/>
        <w:autoSpaceDN/>
        <w:adjustRightInd/>
        <w:jc w:val="both"/>
        <w:rPr>
          <w:sz w:val="24"/>
          <w:szCs w:val="24"/>
        </w:rPr>
      </w:pPr>
    </w:p>
    <w:p w14:paraId="4BDE5AD2">
      <w:pPr>
        <w:shd w:val="clear" w:color="auto" w:fill="FFFFFF"/>
        <w:topLinePunct/>
        <w:autoSpaceDE/>
        <w:autoSpaceDN/>
        <w:adjustRightInd/>
        <w:jc w:val="both"/>
        <w:rPr>
          <w:sz w:val="24"/>
          <w:szCs w:val="24"/>
        </w:rPr>
      </w:pPr>
    </w:p>
    <w:p w14:paraId="2C4F0FE5">
      <w:pPr>
        <w:shd w:val="clear" w:color="auto" w:fill="FFFFFF"/>
        <w:topLinePunct/>
        <w:autoSpaceDE/>
        <w:autoSpaceDN/>
        <w:adjustRightInd/>
        <w:jc w:val="both"/>
        <w:rPr>
          <w:sz w:val="24"/>
          <w:szCs w:val="24"/>
        </w:rPr>
      </w:pPr>
    </w:p>
    <w:p w14:paraId="73BD2E7C">
      <w:pPr>
        <w:pBdr>
          <w:bottom w:val="single" w:color="auto" w:sz="4" w:space="1"/>
        </w:pBdr>
        <w:shd w:val="clear" w:color="auto" w:fill="FFFFFF"/>
        <w:topLinePunct/>
        <w:autoSpaceDE/>
        <w:autoSpaceDN/>
        <w:adjustRightInd/>
        <w:jc w:val="center"/>
        <w:rPr>
          <w:rFonts w:hint="eastAsia" w:eastAsia="宋体"/>
          <w:lang w:eastAsia="zh-CN"/>
        </w:rPr>
      </w:pPr>
    </w:p>
    <w:p w14:paraId="0CE1B328">
      <w:pPr>
        <w:pBdr>
          <w:bottom w:val="single" w:color="auto" w:sz="4" w:space="1"/>
        </w:pBdr>
        <w:shd w:val="clear" w:color="auto" w:fill="FFFFFF"/>
        <w:topLinePunct/>
        <w:autoSpaceDE/>
        <w:autoSpaceDN/>
        <w:adjustRightInd/>
        <w:jc w:val="center"/>
        <w:rPr>
          <w:rFonts w:hint="eastAsia" w:eastAsia="宋体"/>
          <w:lang w:eastAsia="zh-CN"/>
        </w:rPr>
      </w:pPr>
    </w:p>
    <w:p w14:paraId="493D05DE">
      <w:pPr>
        <w:pBdr>
          <w:bottom w:val="single" w:color="auto" w:sz="4" w:space="1"/>
        </w:pBdr>
        <w:shd w:val="clear" w:color="auto" w:fill="FFFFFF"/>
        <w:topLinePunct/>
        <w:autoSpaceDE/>
        <w:autoSpaceDN/>
        <w:adjustRightInd/>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9" w:h="16834"/>
      <w:pgMar w:top="1134" w:right="1134" w:bottom="1134" w:left="1418" w:header="567" w:footer="567" w:gutter="0"/>
      <w:pgNumType w:start="1"/>
      <w:cols w:space="60" w:num="1"/>
      <w:docGrid w:type="lines" w:linePitch="36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6C0E">
    <w:pPr>
      <w:pStyle w:val="6"/>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14:paraId="496F2B9A">
      <w:pPr>
        <w:shd w:val="clear" w:color="auto" w:fill="FFFFFF"/>
        <w:topLinePunct/>
        <w:autoSpaceDE/>
        <w:autoSpaceDN/>
        <w:adjustRightInd/>
        <w:snapToGrid w:val="0"/>
        <w:jc w:val="both"/>
        <w:rPr>
          <w:sz w:val="21"/>
          <w:szCs w:val="21"/>
        </w:rPr>
      </w:pPr>
      <w:r>
        <w:rPr>
          <w:rStyle w:val="17"/>
          <w:sz w:val="21"/>
          <w:szCs w:val="21"/>
        </w:rPr>
        <w:footnoteRef/>
      </w:r>
      <w:r>
        <w:rPr>
          <w:sz w:val="21"/>
          <w:szCs w:val="21"/>
        </w:rPr>
        <w:t>可登录以下网址获取</w:t>
      </w:r>
      <w:r>
        <w:fldChar w:fldCharType="begin"/>
      </w:r>
      <w:r>
        <w:instrText xml:space="preserve"> HYPERLINK "https://www.accessdata.fda.gov/scripts/cdrh/cfdocs/cfStandards/search.cfm" </w:instrText>
      </w:r>
      <w:r>
        <w:fldChar w:fldCharType="separate"/>
      </w:r>
      <w:r>
        <w:rPr>
          <w:rStyle w:val="15"/>
          <w:sz w:val="21"/>
          <w:szCs w:val="21"/>
        </w:rPr>
        <w:t>https://www.accessdata.fda.gov/scripts/cdrh/cfdocs/cfStandards/search.cfm</w:t>
      </w:r>
      <w:r>
        <w:rPr>
          <w:rStyle w:val="15"/>
          <w:sz w:val="21"/>
          <w:szCs w:val="21"/>
        </w:rPr>
        <w:fldChar w:fldCharType="end"/>
      </w:r>
    </w:p>
  </w:footnote>
  <w:footnote w:id="1">
    <w:p w14:paraId="0D800633">
      <w:pPr>
        <w:pStyle w:val="9"/>
        <w:jc w:val="both"/>
        <w:rPr>
          <w:sz w:val="21"/>
          <w:szCs w:val="21"/>
        </w:rPr>
      </w:pPr>
      <w:r>
        <w:rPr>
          <w:rStyle w:val="17"/>
          <w:sz w:val="21"/>
          <w:szCs w:val="21"/>
        </w:rPr>
        <w:footnoteRef/>
      </w:r>
      <w:r>
        <w:rPr>
          <w:color w:val="3333FF"/>
          <w:sz w:val="21"/>
          <w:szCs w:val="21"/>
          <w:u w:val="single"/>
        </w:rPr>
        <w:t>https://www.accessdata.fda.gov/scripts/cdrh/cfdocs/cfStandards/search.cfm</w:t>
      </w:r>
    </w:p>
  </w:footnote>
  <w:footnote w:id="2">
    <w:p w14:paraId="0E6FFB4A">
      <w:pPr>
        <w:pStyle w:val="9"/>
        <w:jc w:val="both"/>
        <w:rPr>
          <w:sz w:val="21"/>
          <w:szCs w:val="21"/>
        </w:rPr>
      </w:pPr>
      <w:r>
        <w:rPr>
          <w:rStyle w:val="17"/>
          <w:sz w:val="21"/>
          <w:szCs w:val="21"/>
        </w:rPr>
        <w:footnoteRef/>
      </w:r>
      <w:r>
        <w:rPr>
          <w:color w:val="000000"/>
          <w:sz w:val="21"/>
          <w:szCs w:val="21"/>
        </w:rPr>
        <w:t>21</w:t>
      </w:r>
      <w:r>
        <w:rPr>
          <w:rFonts w:hint="eastAsia"/>
          <w:color w:val="000000"/>
          <w:sz w:val="21"/>
          <w:szCs w:val="21"/>
        </w:rPr>
        <w:t xml:space="preserve"> </w:t>
      </w:r>
      <w:r>
        <w:rPr>
          <w:color w:val="000000"/>
          <w:sz w:val="21"/>
          <w:szCs w:val="21"/>
        </w:rPr>
        <w:t>CFR</w:t>
      </w:r>
      <w:r>
        <w:rPr>
          <w:rFonts w:hint="eastAsia"/>
          <w:color w:val="000000"/>
          <w:sz w:val="21"/>
          <w:szCs w:val="21"/>
        </w:rPr>
        <w:t xml:space="preserve"> </w:t>
      </w:r>
      <w:r>
        <w:rPr>
          <w:color w:val="000000"/>
          <w:sz w:val="21"/>
          <w:szCs w:val="21"/>
        </w:rPr>
        <w:t>820</w:t>
      </w:r>
    </w:p>
  </w:footnote>
  <w:footnote w:id="3">
    <w:p w14:paraId="3956E5FB">
      <w:pPr>
        <w:shd w:val="clear" w:color="auto" w:fill="FFFFFF"/>
        <w:topLinePunct/>
        <w:autoSpaceDE/>
        <w:autoSpaceDN/>
        <w:adjustRightInd/>
        <w:snapToGrid w:val="0"/>
        <w:jc w:val="both"/>
        <w:rPr>
          <w:sz w:val="21"/>
          <w:szCs w:val="21"/>
        </w:rPr>
      </w:pPr>
      <w:r>
        <w:rPr>
          <w:rStyle w:val="17"/>
          <w:sz w:val="21"/>
          <w:szCs w:val="21"/>
        </w:rPr>
        <w:footnoteRef/>
      </w:r>
      <w:r>
        <w:rPr>
          <w:sz w:val="21"/>
          <w:szCs w:val="21"/>
        </w:rPr>
        <w:t>ISO 22442-1，动物源性医疗器械-第1部分：风险管理应用</w:t>
      </w:r>
    </w:p>
  </w:footnote>
  <w:footnote w:id="4">
    <w:p w14:paraId="3A3C4A96">
      <w:pPr>
        <w:shd w:val="clear" w:color="auto" w:fill="FFFFFF"/>
        <w:topLinePunct/>
        <w:autoSpaceDE/>
        <w:autoSpaceDN/>
        <w:adjustRightInd/>
        <w:snapToGrid w:val="0"/>
        <w:jc w:val="both"/>
        <w:rPr>
          <w:sz w:val="21"/>
          <w:szCs w:val="21"/>
        </w:rPr>
      </w:pPr>
      <w:r>
        <w:rPr>
          <w:rStyle w:val="17"/>
          <w:sz w:val="21"/>
          <w:szCs w:val="21"/>
        </w:rPr>
        <w:footnoteRef/>
      </w:r>
      <w:r>
        <w:rPr>
          <w:color w:val="000000"/>
          <w:sz w:val="21"/>
          <w:szCs w:val="21"/>
        </w:rPr>
        <w:t>USDA地位不包括在ISO 22442-2中，然而，将提供有关所用组织安全性的其他保证。</w:t>
      </w:r>
    </w:p>
  </w:footnote>
  <w:footnote w:id="5">
    <w:p w14:paraId="6F9A906A">
      <w:pPr>
        <w:shd w:val="clear" w:color="auto" w:fill="FFFFFF"/>
        <w:topLinePunct/>
        <w:autoSpaceDE/>
        <w:autoSpaceDN/>
        <w:adjustRightInd/>
        <w:snapToGrid w:val="0"/>
        <w:jc w:val="both"/>
        <w:rPr>
          <w:sz w:val="21"/>
          <w:szCs w:val="21"/>
        </w:rPr>
      </w:pPr>
      <w:r>
        <w:rPr>
          <w:rStyle w:val="17"/>
          <w:sz w:val="21"/>
          <w:szCs w:val="21"/>
        </w:rPr>
        <w:footnoteRef/>
      </w:r>
      <w:r>
        <w:rPr>
          <w:color w:val="000000"/>
          <w:sz w:val="21"/>
          <w:szCs w:val="21"/>
        </w:rPr>
        <w:t>21 CFR 820.70</w:t>
      </w:r>
    </w:p>
  </w:footnote>
  <w:footnote w:id="6">
    <w:p w14:paraId="1687DCCA">
      <w:pPr>
        <w:shd w:val="clear" w:color="auto" w:fill="FFFFFF"/>
        <w:topLinePunct/>
        <w:autoSpaceDE/>
        <w:autoSpaceDN/>
        <w:adjustRightInd/>
        <w:snapToGrid w:val="0"/>
        <w:jc w:val="both"/>
        <w:rPr>
          <w:b/>
          <w:bCs/>
          <w:sz w:val="21"/>
          <w:szCs w:val="21"/>
        </w:rPr>
      </w:pPr>
      <w:r>
        <w:rPr>
          <w:rStyle w:val="17"/>
          <w:sz w:val="21"/>
          <w:szCs w:val="21"/>
        </w:rPr>
        <w:footnoteRef/>
      </w:r>
      <w:r>
        <w:rPr>
          <w:color w:val="000000"/>
          <w:sz w:val="21"/>
          <w:szCs w:val="21"/>
        </w:rPr>
        <w:t>21 CFR 820.184</w:t>
      </w:r>
    </w:p>
  </w:footnote>
  <w:footnote w:id="7">
    <w:p w14:paraId="4A924E00">
      <w:pPr>
        <w:shd w:val="clear" w:color="auto" w:fill="FFFFFF"/>
        <w:topLinePunct/>
        <w:autoSpaceDE/>
        <w:autoSpaceDN/>
        <w:adjustRightInd/>
        <w:snapToGrid w:val="0"/>
        <w:jc w:val="both"/>
        <w:rPr>
          <w:sz w:val="21"/>
          <w:szCs w:val="21"/>
        </w:rPr>
      </w:pPr>
      <w:r>
        <w:rPr>
          <w:rStyle w:val="17"/>
          <w:sz w:val="21"/>
          <w:szCs w:val="21"/>
        </w:rPr>
        <w:footnoteRef/>
      </w:r>
      <w:r>
        <w:rPr>
          <w:color w:val="000000"/>
          <w:sz w:val="21"/>
          <w:szCs w:val="21"/>
        </w:rPr>
        <w:t>ISO 22442-1，利用动物组织及其衍生物的医疗器械-第1部分：风险管理应用</w:t>
      </w:r>
    </w:p>
  </w:footnote>
  <w:footnote w:id="8">
    <w:p w14:paraId="5D688D35">
      <w:pPr>
        <w:shd w:val="clear" w:color="auto" w:fill="FFFFFF"/>
        <w:topLinePunct/>
        <w:autoSpaceDE/>
        <w:autoSpaceDN/>
        <w:adjustRightInd/>
        <w:snapToGrid w:val="0"/>
        <w:jc w:val="both"/>
        <w:rPr>
          <w:sz w:val="21"/>
          <w:szCs w:val="21"/>
        </w:rPr>
      </w:pPr>
      <w:r>
        <w:rPr>
          <w:rStyle w:val="17"/>
          <w:sz w:val="21"/>
          <w:szCs w:val="21"/>
        </w:rPr>
        <w:footnoteRef/>
      </w:r>
      <w:r>
        <w:rPr>
          <w:color w:val="000000"/>
          <w:sz w:val="21"/>
          <w:szCs w:val="21"/>
        </w:rPr>
        <w:t>21 CFR 820.70</w:t>
      </w:r>
    </w:p>
  </w:footnote>
  <w:footnote w:id="9">
    <w:p w14:paraId="2094280D">
      <w:pPr>
        <w:shd w:val="clear" w:color="auto" w:fill="FFFFFF"/>
        <w:topLinePunct/>
        <w:autoSpaceDE/>
        <w:autoSpaceDN/>
        <w:adjustRightInd/>
        <w:snapToGrid w:val="0"/>
        <w:jc w:val="both"/>
        <w:rPr>
          <w:sz w:val="21"/>
          <w:szCs w:val="21"/>
        </w:rPr>
      </w:pPr>
      <w:r>
        <w:rPr>
          <w:rStyle w:val="17"/>
          <w:sz w:val="21"/>
          <w:szCs w:val="21"/>
        </w:rPr>
        <w:footnoteRef/>
      </w:r>
      <w:r>
        <w:rPr>
          <w:color w:val="000000"/>
          <w:sz w:val="21"/>
          <w:szCs w:val="21"/>
        </w:rPr>
        <w:t>21 CFR 820.184</w:t>
      </w:r>
    </w:p>
  </w:footnote>
  <w:footnote w:id="10">
    <w:p w14:paraId="5343E149">
      <w:pPr>
        <w:shd w:val="clear" w:color="auto" w:fill="FFFFFF"/>
        <w:topLinePunct/>
        <w:autoSpaceDE/>
        <w:autoSpaceDN/>
        <w:adjustRightInd/>
        <w:snapToGrid w:val="0"/>
        <w:jc w:val="both"/>
        <w:rPr>
          <w:sz w:val="21"/>
          <w:szCs w:val="21"/>
        </w:rPr>
      </w:pPr>
      <w:r>
        <w:rPr>
          <w:rStyle w:val="17"/>
          <w:sz w:val="21"/>
          <w:szCs w:val="21"/>
        </w:rPr>
        <w:footnoteRef/>
      </w:r>
      <w:r>
        <w:rPr>
          <w:sz w:val="21"/>
          <w:szCs w:val="21"/>
        </w:rPr>
        <w:t>21 CFR 820.75</w:t>
      </w:r>
    </w:p>
  </w:footnote>
  <w:footnote w:id="11">
    <w:p w14:paraId="2D7296B0">
      <w:pPr>
        <w:shd w:val="clear" w:color="auto" w:fill="FFFFFF"/>
        <w:topLinePunct/>
        <w:autoSpaceDE/>
        <w:autoSpaceDN/>
        <w:adjustRightInd/>
        <w:snapToGrid w:val="0"/>
        <w:jc w:val="both"/>
        <w:rPr>
          <w:sz w:val="21"/>
          <w:szCs w:val="21"/>
        </w:rPr>
      </w:pPr>
      <w:r>
        <w:rPr>
          <w:rStyle w:val="17"/>
          <w:sz w:val="21"/>
          <w:szCs w:val="21"/>
        </w:rPr>
        <w:footnoteRef/>
      </w:r>
      <w:r>
        <w:rPr>
          <w:color w:val="000000"/>
          <w:sz w:val="21"/>
          <w:szCs w:val="21"/>
        </w:rPr>
        <w:t xml:space="preserve">可登录以下网址查阅 </w:t>
      </w:r>
      <w:r>
        <w:rPr>
          <w:rFonts w:hint="eastAsia"/>
          <w:color w:val="000000"/>
          <w:sz w:val="21"/>
          <w:szCs w:val="21"/>
        </w:rPr>
        <w:br w:type="textWrapping"/>
      </w:r>
      <w:r>
        <w:rPr>
          <w:color w:val="3333FF"/>
          <w:sz w:val="21"/>
          <w:szCs w:val="21"/>
          <w:u w:val="single"/>
        </w:rPr>
        <w:t>https://www.fda.gov/downloads/MedicalDevices/DeviceRegulationandGuidance/GuidanceDocuments/ucm070899 .pdf</w:t>
      </w:r>
    </w:p>
  </w:footnote>
  <w:footnote w:id="12">
    <w:p w14:paraId="3A63CE79">
      <w:pPr>
        <w:pStyle w:val="9"/>
        <w:jc w:val="both"/>
        <w:rPr>
          <w:sz w:val="21"/>
          <w:szCs w:val="21"/>
        </w:rPr>
      </w:pPr>
      <w:r>
        <w:rPr>
          <w:rStyle w:val="17"/>
          <w:sz w:val="21"/>
          <w:szCs w:val="21"/>
        </w:rPr>
        <w:footnoteRef/>
      </w:r>
      <w:r>
        <w:rPr>
          <w:color w:val="000000"/>
          <w:sz w:val="21"/>
          <w:szCs w:val="21"/>
        </w:rPr>
        <w:t>有关通过预申请过程请求FDA反馈的更多信息，请参见FDA的指南</w:t>
      </w:r>
      <w:r>
        <w:rPr>
          <w:color w:val="3333FF"/>
          <w:sz w:val="21"/>
          <w:szCs w:val="21"/>
          <w:u w:val="single"/>
        </w:rPr>
        <w:t>《请求获取医疗器械申请的反馈意见：预申请项目及与美国食品药品监督管理局工作人员</w:t>
      </w:r>
      <w:r>
        <w:rPr>
          <w:rFonts w:hint="eastAsia"/>
          <w:color w:val="3333FF"/>
          <w:sz w:val="21"/>
          <w:szCs w:val="21"/>
          <w:u w:val="single"/>
        </w:rPr>
        <w:t>的</w:t>
      </w:r>
      <w:r>
        <w:rPr>
          <w:color w:val="3333FF"/>
          <w:sz w:val="21"/>
          <w:szCs w:val="21"/>
          <w:u w:val="single"/>
        </w:rPr>
        <w:t>会议》</w:t>
      </w:r>
      <w:r>
        <w:rPr>
          <w:color w:val="000000"/>
          <w:sz w:val="21"/>
          <w:szCs w:val="21"/>
        </w:rPr>
        <w:t>，可登录以下网址查阅</w:t>
      </w:r>
      <w:r>
        <w:rPr>
          <w:color w:val="3333FF"/>
          <w:sz w:val="21"/>
          <w:szCs w:val="21"/>
          <w:u w:val="single"/>
        </w:rPr>
        <w:t>https://www.fda.gov/MedicalDevices/DeviceRegulationandGuidance/GuidanceDocuments/UCM311176。</w:t>
      </w:r>
    </w:p>
  </w:footnote>
  <w:footnote w:id="13">
    <w:p w14:paraId="371E1BB9">
      <w:pPr>
        <w:shd w:val="clear" w:color="auto" w:fill="FFFFFF"/>
        <w:tabs>
          <w:tab w:val="left" w:pos="182"/>
        </w:tabs>
        <w:topLinePunct/>
        <w:autoSpaceDE/>
        <w:autoSpaceDN/>
        <w:adjustRightInd/>
        <w:snapToGrid w:val="0"/>
        <w:jc w:val="both"/>
        <w:rPr>
          <w:sz w:val="21"/>
          <w:szCs w:val="21"/>
        </w:rPr>
      </w:pPr>
      <w:r>
        <w:rPr>
          <w:rStyle w:val="17"/>
          <w:sz w:val="21"/>
          <w:szCs w:val="21"/>
        </w:rPr>
        <w:footnoteRef/>
      </w:r>
      <w:r>
        <w:rPr>
          <w:sz w:val="21"/>
          <w:szCs w:val="21"/>
        </w:rPr>
        <w:t>ISO 22442-1，利用动物组织及其衍生物的医疗器械-第1部分：风险管理应用</w:t>
      </w:r>
    </w:p>
  </w:footnote>
  <w:footnote w:id="14">
    <w:p w14:paraId="1C8F8A15">
      <w:pPr>
        <w:shd w:val="clear" w:color="auto" w:fill="FFFFFF"/>
        <w:tabs>
          <w:tab w:val="left" w:pos="182"/>
        </w:tabs>
        <w:topLinePunct/>
        <w:autoSpaceDE/>
        <w:autoSpaceDN/>
        <w:adjustRightInd/>
        <w:snapToGrid w:val="0"/>
        <w:jc w:val="both"/>
        <w:rPr>
          <w:color w:val="3333FF"/>
          <w:sz w:val="21"/>
          <w:szCs w:val="21"/>
          <w:u w:val="single"/>
        </w:rPr>
      </w:pPr>
      <w:r>
        <w:rPr>
          <w:rStyle w:val="17"/>
          <w:sz w:val="21"/>
          <w:szCs w:val="21"/>
        </w:rPr>
        <w:footnoteRef/>
      </w:r>
      <w:r>
        <w:rPr>
          <w:color w:val="000000"/>
          <w:sz w:val="21"/>
          <w:szCs w:val="21"/>
        </w:rPr>
        <w:t>对来自人源或动物源细胞系的生物技术产品的病毒安全性评价Q5a(R1)，可登录以下网址查阅</w:t>
      </w:r>
      <w:r>
        <w:fldChar w:fldCharType="begin"/>
      </w:r>
      <w:r>
        <w:instrText xml:space="preserve"> HYPERLINK "http://www.ich.org/fileadmin/Public_Web_Site/ICH_Products/Guidelines/Quality/Q5A_R1/Step4/Q5A_R1__Gui%20deline.pdf" </w:instrText>
      </w:r>
      <w:r>
        <w:fldChar w:fldCharType="separate"/>
      </w:r>
      <w:r>
        <w:rPr>
          <w:rStyle w:val="15"/>
          <w:sz w:val="21"/>
          <w:szCs w:val="21"/>
        </w:rPr>
        <w:t>http://www.ich.org/fileadmin/Public_Web_Site/ICH_Products/Guidelines/Quality/Q5A_R1/Step4/Q5A_R1__Gui deline.pdf</w:t>
      </w:r>
      <w:r>
        <w:rPr>
          <w:rStyle w:val="15"/>
          <w:sz w:val="21"/>
          <w:szCs w:val="21"/>
        </w:rPr>
        <w:fldChar w:fldCharType="end"/>
      </w:r>
    </w:p>
  </w:footnote>
  <w:footnote w:id="15">
    <w:p w14:paraId="19A8BCA2">
      <w:pPr>
        <w:pStyle w:val="9"/>
        <w:jc w:val="both"/>
        <w:rPr>
          <w:sz w:val="21"/>
          <w:szCs w:val="21"/>
        </w:rPr>
      </w:pPr>
      <w:r>
        <w:rPr>
          <w:rStyle w:val="17"/>
          <w:sz w:val="21"/>
          <w:szCs w:val="21"/>
        </w:rPr>
        <w:footnoteRef/>
      </w:r>
      <w:r>
        <w:rPr>
          <w:color w:val="000000"/>
          <w:sz w:val="21"/>
          <w:szCs w:val="21"/>
        </w:rPr>
        <w:t>USDA动植物检疫局关于CWD（慢性消耗性疾病）的网站：</w:t>
      </w:r>
      <w:r>
        <w:rPr>
          <w:rFonts w:hint="eastAsia"/>
          <w:color w:val="000000"/>
          <w:sz w:val="21"/>
          <w:szCs w:val="21"/>
        </w:rPr>
        <w:br w:type="textWrapping"/>
      </w:r>
      <w:r>
        <w:rPr>
          <w:color w:val="3333FF"/>
          <w:sz w:val="21"/>
          <w:szCs w:val="21"/>
          <w:u w:val="single"/>
        </w:rPr>
        <w:t>https://www.aphis.usda.gov/aphis/ourfocus/animalhealth/sa_animal_disease_information/sa_alternate_livestock/sa _cervid_health/sa_cwd</w:t>
      </w:r>
    </w:p>
  </w:footnote>
  <w:footnote w:id="16">
    <w:p w14:paraId="0A9A536C">
      <w:pPr>
        <w:shd w:val="clear" w:color="auto" w:fill="FFFFFF"/>
        <w:topLinePunct/>
        <w:autoSpaceDE/>
        <w:autoSpaceDN/>
        <w:adjustRightInd/>
        <w:snapToGrid w:val="0"/>
        <w:jc w:val="both"/>
        <w:rPr>
          <w:color w:val="3333FF"/>
          <w:sz w:val="21"/>
          <w:szCs w:val="21"/>
        </w:rPr>
      </w:pPr>
      <w:r>
        <w:rPr>
          <w:rStyle w:val="17"/>
          <w:sz w:val="21"/>
          <w:szCs w:val="21"/>
        </w:rPr>
        <w:footnoteRef/>
      </w:r>
      <w:r>
        <w:rPr>
          <w:color w:val="000000"/>
          <w:sz w:val="21"/>
          <w:szCs w:val="21"/>
        </w:rPr>
        <w:t xml:space="preserve">WHO关于传染性海绵状脑病的组织感染性分布表（2010年更新），可登录以下网址查阅 </w:t>
      </w:r>
      <w:r>
        <w:rPr>
          <w:color w:val="3333FF"/>
          <w:sz w:val="21"/>
          <w:szCs w:val="21"/>
          <w:u w:val="single"/>
        </w:rPr>
        <w:t>http://www.who.int/bloodproducts/tablestissueinfectivity.pdf</w:t>
      </w:r>
    </w:p>
  </w:footnote>
  <w:footnote w:id="17">
    <w:p w14:paraId="1CF68F1C">
      <w:pPr>
        <w:shd w:val="clear" w:color="auto" w:fill="FFFFFF"/>
        <w:topLinePunct/>
        <w:autoSpaceDE/>
        <w:autoSpaceDN/>
        <w:adjustRightInd/>
        <w:snapToGrid w:val="0"/>
        <w:jc w:val="both"/>
        <w:rPr>
          <w:sz w:val="21"/>
          <w:szCs w:val="21"/>
        </w:rPr>
      </w:pPr>
      <w:r>
        <w:rPr>
          <w:rStyle w:val="17"/>
          <w:sz w:val="21"/>
          <w:szCs w:val="21"/>
        </w:rPr>
        <w:footnoteRef/>
      </w:r>
      <w:r>
        <w:rPr>
          <w:color w:val="000000"/>
          <w:sz w:val="21"/>
          <w:szCs w:val="21"/>
        </w:rPr>
        <w:t>Hamir, et.al., “Experimental interspecies transmission studies of the transmissible spongiform encephalopathies to cattle comparison to bovine spongiform encephalopathy in cattle.”Journal of Veterinary Diagnostic Investigation, May 2011, 23(3):407-420</w:t>
      </w:r>
    </w:p>
  </w:footnote>
  <w:footnote w:id="18">
    <w:p w14:paraId="5AD196A8">
      <w:pPr>
        <w:shd w:val="clear" w:color="auto" w:fill="FFFFFF"/>
        <w:topLinePunct/>
        <w:autoSpaceDE/>
        <w:autoSpaceDN/>
        <w:adjustRightInd/>
        <w:snapToGrid w:val="0"/>
        <w:jc w:val="both"/>
        <w:rPr>
          <w:sz w:val="21"/>
          <w:szCs w:val="21"/>
        </w:rPr>
      </w:pPr>
      <w:r>
        <w:rPr>
          <w:rStyle w:val="17"/>
          <w:sz w:val="21"/>
          <w:szCs w:val="21"/>
        </w:rPr>
        <w:footnoteRef/>
      </w:r>
      <w:r>
        <w:rPr>
          <w:color w:val="000000"/>
          <w:sz w:val="21"/>
          <w:szCs w:val="21"/>
        </w:rPr>
        <w:t xml:space="preserve">其他资源包括世界动物卫生组织（OIE）《世界BSE状况和年发病率》，可登录以下网址查阅 </w:t>
      </w:r>
      <w:r>
        <w:fldChar w:fldCharType="begin"/>
      </w:r>
      <w:r>
        <w:instrText xml:space="preserve"> HYPERLINK "http://www.oie.int/en/animal-health-in-the-world/bse-situation-in-the-world-" </w:instrText>
      </w:r>
      <w:r>
        <w:fldChar w:fldCharType="separate"/>
      </w:r>
      <w:r>
        <w:rPr>
          <w:rStyle w:val="15"/>
          <w:color w:val="3333FF"/>
          <w:sz w:val="21"/>
          <w:szCs w:val="21"/>
        </w:rPr>
        <w:t>http://www.oie.int/en/animal-health-in-the-world/bse-situation-in-the-world-</w:t>
      </w:r>
      <w:r>
        <w:rPr>
          <w:rStyle w:val="15"/>
          <w:color w:val="3333FF"/>
          <w:sz w:val="21"/>
          <w:szCs w:val="21"/>
        </w:rPr>
        <w:fldChar w:fldCharType="end"/>
      </w:r>
      <w:r>
        <w:rPr>
          <w:color w:val="3333FF"/>
          <w:sz w:val="21"/>
          <w:szCs w:val="21"/>
          <w:u w:val="single"/>
        </w:rPr>
        <w:t xml:space="preserve"> and-annual-incidence-rate/</w:t>
      </w:r>
      <w:r>
        <w:rPr>
          <w:color w:val="000000"/>
          <w:sz w:val="21"/>
          <w:szCs w:val="21"/>
        </w:rPr>
        <w:t>，以及 《全球变异型CJD病例》，可登录以下网址查阅</w:t>
      </w:r>
      <w:r>
        <w:rPr>
          <w:color w:val="3333FF"/>
          <w:sz w:val="21"/>
          <w:szCs w:val="21"/>
          <w:u w:val="single"/>
        </w:rPr>
        <w:t>http://www.cjd.ed.ac.uk/sites/default/files/worldfigs.pdf</w:t>
      </w:r>
      <w:r>
        <w:rPr>
          <w:color w:val="3333FF"/>
          <w:sz w:val="21"/>
          <w:szCs w:val="21"/>
        </w:rPr>
        <w:t>.</w:t>
      </w:r>
    </w:p>
  </w:footnote>
  <w:footnote w:id="19">
    <w:p w14:paraId="33F60E1E">
      <w:pPr>
        <w:shd w:val="clear" w:color="auto" w:fill="FFFFFF"/>
        <w:topLinePunct/>
        <w:autoSpaceDE/>
        <w:autoSpaceDN/>
        <w:adjustRightInd/>
        <w:snapToGrid w:val="0"/>
        <w:jc w:val="both"/>
        <w:rPr>
          <w:sz w:val="21"/>
          <w:szCs w:val="21"/>
        </w:rPr>
      </w:pPr>
      <w:r>
        <w:rPr>
          <w:rStyle w:val="17"/>
          <w:sz w:val="21"/>
          <w:szCs w:val="21"/>
        </w:rPr>
        <w:footnoteRef/>
      </w:r>
      <w:r>
        <w:rPr>
          <w:color w:val="000000"/>
          <w:sz w:val="21"/>
          <w:szCs w:val="21"/>
        </w:rPr>
        <w:t xml:space="preserve">《OIE成员国牛海绵状脑病风险状况清单》，可登录以下网址查阅 </w:t>
      </w:r>
      <w:r>
        <w:rPr>
          <w:rFonts w:hint="eastAsia"/>
          <w:color w:val="000000"/>
          <w:sz w:val="21"/>
          <w:szCs w:val="21"/>
        </w:rPr>
        <w:br w:type="textWrapping"/>
      </w:r>
      <w:r>
        <w:rPr>
          <w:color w:val="3333FF"/>
          <w:sz w:val="21"/>
          <w:szCs w:val="21"/>
          <w:u w:val="single"/>
        </w:rPr>
        <w:t>http://www.oie.int/animal-health-in-the-world/official-disease-status/bse/list-of-bse-risk-status/</w:t>
      </w:r>
    </w:p>
  </w:footnote>
  <w:footnote w:id="20">
    <w:p w14:paraId="33CA2C02">
      <w:pPr>
        <w:pStyle w:val="9"/>
        <w:jc w:val="both"/>
        <w:rPr>
          <w:sz w:val="21"/>
          <w:szCs w:val="21"/>
        </w:rPr>
      </w:pPr>
      <w:r>
        <w:rPr>
          <w:rStyle w:val="17"/>
          <w:sz w:val="21"/>
          <w:szCs w:val="21"/>
        </w:rPr>
        <w:footnoteRef/>
      </w:r>
      <w:r>
        <w:rPr>
          <w:color w:val="000000"/>
          <w:sz w:val="21"/>
          <w:szCs w:val="21"/>
        </w:rPr>
        <w:t>78 FR 72979</w:t>
      </w:r>
    </w:p>
  </w:footnote>
  <w:footnote w:id="21">
    <w:p w14:paraId="7AAA3BF5">
      <w:pPr>
        <w:shd w:val="clear" w:color="auto" w:fill="FFFFFF"/>
        <w:topLinePunct/>
        <w:autoSpaceDE/>
        <w:autoSpaceDN/>
        <w:adjustRightInd/>
        <w:snapToGrid w:val="0"/>
        <w:jc w:val="both"/>
        <w:rPr>
          <w:sz w:val="21"/>
          <w:szCs w:val="21"/>
        </w:rPr>
      </w:pPr>
      <w:r>
        <w:rPr>
          <w:rStyle w:val="17"/>
          <w:sz w:val="21"/>
          <w:szCs w:val="21"/>
        </w:rPr>
        <w:footnoteRef/>
      </w:r>
      <w:r>
        <w:rPr>
          <w:sz w:val="21"/>
          <w:szCs w:val="21"/>
        </w:rPr>
        <w:t>21 CFR 820.70</w:t>
      </w:r>
    </w:p>
  </w:footnote>
  <w:footnote w:id="22">
    <w:p w14:paraId="4D365CAE">
      <w:pPr>
        <w:shd w:val="clear" w:color="auto" w:fill="FFFFFF"/>
        <w:topLinePunct/>
        <w:autoSpaceDE/>
        <w:autoSpaceDN/>
        <w:adjustRightInd/>
        <w:snapToGrid w:val="0"/>
        <w:jc w:val="both"/>
        <w:rPr>
          <w:sz w:val="21"/>
          <w:szCs w:val="21"/>
        </w:rPr>
      </w:pPr>
      <w:r>
        <w:rPr>
          <w:rStyle w:val="17"/>
          <w:sz w:val="21"/>
          <w:szCs w:val="21"/>
        </w:rPr>
        <w:footnoteRef/>
      </w:r>
      <w:r>
        <w:rPr>
          <w:sz w:val="21"/>
          <w:szCs w:val="21"/>
        </w:rPr>
        <w:t>21 CFR 820.184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C474">
    <w:pPr>
      <w:shd w:val="clear" w:color="auto" w:fill="FFFFFF"/>
      <w:topLinePunct/>
      <w:autoSpaceDE/>
      <w:autoSpaceDN/>
      <w:adjustRightInd/>
      <w:jc w:val="center"/>
      <w:rPr>
        <w:rFonts w:ascii="宋体" w:hAnsi="宋体"/>
        <w:sz w:val="21"/>
        <w:szCs w:val="21"/>
      </w:rPr>
    </w:pPr>
    <w:r>
      <w:rPr>
        <w:rFonts w:hint="eastAsia" w:ascii="宋体" w:hAnsi="宋体" w:cs="宋体"/>
        <w:b/>
        <w:i/>
        <w:color w:val="000000"/>
        <w:sz w:val="21"/>
      </w:rPr>
      <w:t>所含建议不具约束力</w:t>
    </w:r>
  </w:p>
  <w:p w14:paraId="4F536650">
    <w:pPr>
      <w:pStyle w:val="7"/>
      <w:pBdr>
        <w:bottom w:val="none" w:color="auto" w:sz="0" w:space="0"/>
      </w:pBdr>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D41AFB"/>
    <w:multiLevelType w:val="multilevel"/>
    <w:tmpl w:val="3AD41AFB"/>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DF271A5"/>
    <w:multiLevelType w:val="multilevel"/>
    <w:tmpl w:val="4DF271A5"/>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CA57245"/>
    <w:multiLevelType w:val="multilevel"/>
    <w:tmpl w:val="5CA57245"/>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2BB44A7"/>
    <w:multiLevelType w:val="multilevel"/>
    <w:tmpl w:val="72BB44A7"/>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rawingGridHorizontalSpacing w:val="100"/>
  <w:drawingGridVerticalSpacing w:val="182"/>
  <w:displayHorizontalDrawingGridEvery w:val="0"/>
  <w:displayVerticalDrawingGridEvery w:val="2"/>
  <w:doNotShadeFormData w:val="1"/>
  <w:characterSpacingControl w:val="compressPunctuation"/>
  <w:doNotValidateAgainstSchema/>
  <w:doNotDemarcateInvalidXml/>
  <w:footnotePr>
    <w:footnote w:id="46"/>
    <w:footnote w:id="4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04"/>
    <w:rsid w:val="0001155E"/>
    <w:rsid w:val="00016384"/>
    <w:rsid w:val="00072028"/>
    <w:rsid w:val="000855A2"/>
    <w:rsid w:val="00090056"/>
    <w:rsid w:val="000A19BE"/>
    <w:rsid w:val="000A7C40"/>
    <w:rsid w:val="000B5648"/>
    <w:rsid w:val="000B6EB0"/>
    <w:rsid w:val="000C59F8"/>
    <w:rsid w:val="000E2EE2"/>
    <w:rsid w:val="00103570"/>
    <w:rsid w:val="00106608"/>
    <w:rsid w:val="001170C1"/>
    <w:rsid w:val="00142C37"/>
    <w:rsid w:val="00160DE7"/>
    <w:rsid w:val="00165D2C"/>
    <w:rsid w:val="0019004E"/>
    <w:rsid w:val="00193A75"/>
    <w:rsid w:val="00197572"/>
    <w:rsid w:val="001A68AF"/>
    <w:rsid w:val="001B11A6"/>
    <w:rsid w:val="001F51FD"/>
    <w:rsid w:val="001F6D1B"/>
    <w:rsid w:val="002112B5"/>
    <w:rsid w:val="002118AA"/>
    <w:rsid w:val="002A380E"/>
    <w:rsid w:val="002E2709"/>
    <w:rsid w:val="002F0ABD"/>
    <w:rsid w:val="002F0EFB"/>
    <w:rsid w:val="002F2332"/>
    <w:rsid w:val="002F4F47"/>
    <w:rsid w:val="003038C2"/>
    <w:rsid w:val="0034023E"/>
    <w:rsid w:val="0034294D"/>
    <w:rsid w:val="00356950"/>
    <w:rsid w:val="003865EC"/>
    <w:rsid w:val="003C510A"/>
    <w:rsid w:val="003C70F1"/>
    <w:rsid w:val="003C77AD"/>
    <w:rsid w:val="003E0B94"/>
    <w:rsid w:val="003F2FA1"/>
    <w:rsid w:val="00411B76"/>
    <w:rsid w:val="00423419"/>
    <w:rsid w:val="00446EBD"/>
    <w:rsid w:val="00453691"/>
    <w:rsid w:val="004B0AB7"/>
    <w:rsid w:val="004E0BA5"/>
    <w:rsid w:val="004F4CE8"/>
    <w:rsid w:val="005678B5"/>
    <w:rsid w:val="00592F98"/>
    <w:rsid w:val="00594D5E"/>
    <w:rsid w:val="005A6466"/>
    <w:rsid w:val="005B11BA"/>
    <w:rsid w:val="005B2051"/>
    <w:rsid w:val="005B23B7"/>
    <w:rsid w:val="005B3964"/>
    <w:rsid w:val="005E34C6"/>
    <w:rsid w:val="005E594C"/>
    <w:rsid w:val="005E6875"/>
    <w:rsid w:val="00631A69"/>
    <w:rsid w:val="00660915"/>
    <w:rsid w:val="006F70AF"/>
    <w:rsid w:val="007062BE"/>
    <w:rsid w:val="0075232E"/>
    <w:rsid w:val="00772749"/>
    <w:rsid w:val="007905CB"/>
    <w:rsid w:val="007A22C1"/>
    <w:rsid w:val="007B76F4"/>
    <w:rsid w:val="007F5013"/>
    <w:rsid w:val="008076EE"/>
    <w:rsid w:val="008143A7"/>
    <w:rsid w:val="00836CBF"/>
    <w:rsid w:val="00837147"/>
    <w:rsid w:val="00840DC7"/>
    <w:rsid w:val="00847822"/>
    <w:rsid w:val="008633E0"/>
    <w:rsid w:val="00864E7D"/>
    <w:rsid w:val="00891532"/>
    <w:rsid w:val="008A7804"/>
    <w:rsid w:val="008B08AF"/>
    <w:rsid w:val="008B5A0C"/>
    <w:rsid w:val="008E0411"/>
    <w:rsid w:val="008E4AE2"/>
    <w:rsid w:val="009346C8"/>
    <w:rsid w:val="009547BA"/>
    <w:rsid w:val="00991F19"/>
    <w:rsid w:val="009A146C"/>
    <w:rsid w:val="009A1977"/>
    <w:rsid w:val="009A4ED9"/>
    <w:rsid w:val="009B5952"/>
    <w:rsid w:val="009E4521"/>
    <w:rsid w:val="009F03B7"/>
    <w:rsid w:val="00A06BF9"/>
    <w:rsid w:val="00A10DC3"/>
    <w:rsid w:val="00A213A6"/>
    <w:rsid w:val="00A257E8"/>
    <w:rsid w:val="00A35596"/>
    <w:rsid w:val="00A64B01"/>
    <w:rsid w:val="00A85E74"/>
    <w:rsid w:val="00A86935"/>
    <w:rsid w:val="00A9666F"/>
    <w:rsid w:val="00AA3BEE"/>
    <w:rsid w:val="00AD1FBA"/>
    <w:rsid w:val="00AE5373"/>
    <w:rsid w:val="00AF6662"/>
    <w:rsid w:val="00B01AC8"/>
    <w:rsid w:val="00B21996"/>
    <w:rsid w:val="00B4308D"/>
    <w:rsid w:val="00B822F5"/>
    <w:rsid w:val="00BA45DE"/>
    <w:rsid w:val="00BB393D"/>
    <w:rsid w:val="00C41BF4"/>
    <w:rsid w:val="00C47EBA"/>
    <w:rsid w:val="00C563AA"/>
    <w:rsid w:val="00C7043B"/>
    <w:rsid w:val="00D401DA"/>
    <w:rsid w:val="00D550C4"/>
    <w:rsid w:val="00E04683"/>
    <w:rsid w:val="00E15A0E"/>
    <w:rsid w:val="00E32E75"/>
    <w:rsid w:val="00E34896"/>
    <w:rsid w:val="00E43EEB"/>
    <w:rsid w:val="00E6406C"/>
    <w:rsid w:val="00E84C60"/>
    <w:rsid w:val="00E96F7A"/>
    <w:rsid w:val="00EA19F5"/>
    <w:rsid w:val="00ED2FE2"/>
    <w:rsid w:val="00ED301F"/>
    <w:rsid w:val="00F71992"/>
    <w:rsid w:val="00F95B6B"/>
    <w:rsid w:val="00FC20AC"/>
    <w:rsid w:val="00FC2C01"/>
    <w:rsid w:val="00FC460A"/>
    <w:rsid w:val="3ED24B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
    <w:name w:val="heading 1"/>
    <w:basedOn w:val="1"/>
    <w:next w:val="1"/>
    <w:link w:val="21"/>
    <w:qFormat/>
    <w:uiPriority w:val="9"/>
    <w:pPr>
      <w:keepNext/>
      <w:topLinePunct/>
      <w:autoSpaceDE/>
      <w:autoSpaceDN/>
      <w:spacing w:before="10" w:beforeLines="10" w:line="300" w:lineRule="auto"/>
      <w:ind w:hanging="301" w:hangingChars="300"/>
      <w:outlineLvl w:val="0"/>
    </w:pPr>
    <w:rPr>
      <w:b/>
      <w:bCs/>
      <w:kern w:val="44"/>
      <w:sz w:val="32"/>
      <w:szCs w:val="44"/>
    </w:rPr>
  </w:style>
  <w:style w:type="paragraph" w:styleId="3">
    <w:name w:val="heading 2"/>
    <w:basedOn w:val="1"/>
    <w:next w:val="1"/>
    <w:link w:val="22"/>
    <w:unhideWhenUsed/>
    <w:qFormat/>
    <w:uiPriority w:val="9"/>
    <w:pPr>
      <w:keepNext/>
      <w:topLinePunct/>
      <w:autoSpaceDE/>
      <w:autoSpaceDN/>
      <w:spacing w:before="10" w:beforeLines="10" w:line="300" w:lineRule="auto"/>
      <w:ind w:hanging="300" w:hangingChars="300"/>
      <w:jc w:val="both"/>
      <w:outlineLvl w:val="1"/>
    </w:pPr>
    <w:rPr>
      <w:b/>
      <w:bCs/>
      <w:sz w:val="28"/>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5"/>
    <w:semiHidden/>
    <w:unhideWhenUsed/>
    <w:uiPriority w:val="99"/>
  </w:style>
  <w:style w:type="paragraph" w:styleId="5">
    <w:name w:val="Balloon Text"/>
    <w:basedOn w:val="1"/>
    <w:link w:val="20"/>
    <w:semiHidden/>
    <w:unhideWhenUsed/>
    <w:uiPriority w:val="99"/>
    <w:rPr>
      <w:sz w:val="18"/>
      <w:szCs w:val="18"/>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uiPriority w:val="39"/>
    <w:pPr>
      <w:tabs>
        <w:tab w:val="right" w:leader="dot" w:pos="9347"/>
      </w:tabs>
      <w:topLinePunct/>
      <w:autoSpaceDE/>
      <w:autoSpaceDN/>
      <w:ind w:left="720" w:hanging="720" w:hangingChars="300"/>
      <w:jc w:val="both"/>
    </w:pPr>
    <w:rPr>
      <w:sz w:val="24"/>
    </w:rPr>
  </w:style>
  <w:style w:type="paragraph" w:styleId="9">
    <w:name w:val="footnote text"/>
    <w:basedOn w:val="1"/>
    <w:link w:val="27"/>
    <w:semiHidden/>
    <w:unhideWhenUsed/>
    <w:uiPriority w:val="99"/>
    <w:pPr>
      <w:snapToGrid w:val="0"/>
    </w:pPr>
    <w:rPr>
      <w:sz w:val="18"/>
      <w:szCs w:val="18"/>
    </w:rPr>
  </w:style>
  <w:style w:type="paragraph" w:styleId="10">
    <w:name w:val="toc 2"/>
    <w:basedOn w:val="1"/>
    <w:next w:val="1"/>
    <w:autoRedefine/>
    <w:unhideWhenUsed/>
    <w:qFormat/>
    <w:uiPriority w:val="39"/>
    <w:pPr>
      <w:tabs>
        <w:tab w:val="left" w:pos="1050"/>
        <w:tab w:val="right" w:leader="dot" w:pos="9347"/>
      </w:tabs>
      <w:topLinePunct/>
      <w:autoSpaceDE/>
      <w:autoSpaceDN/>
      <w:ind w:left="880" w:leftChars="200" w:hanging="480" w:hangingChars="200"/>
      <w:jc w:val="both"/>
    </w:pPr>
    <w:rPr>
      <w:sz w:val="24"/>
    </w:rPr>
  </w:style>
  <w:style w:type="paragraph" w:styleId="11">
    <w:name w:val="annotation subject"/>
    <w:basedOn w:val="4"/>
    <w:next w:val="4"/>
    <w:link w:val="26"/>
    <w:semiHidden/>
    <w:unhideWhenUsed/>
    <w:uiPriority w:val="99"/>
    <w:rPr>
      <w:b/>
      <w:bCs/>
    </w:rPr>
  </w:style>
  <w:style w:type="table" w:styleId="1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uiPriority w:val="99"/>
    <w:rPr>
      <w:color w:val="0000FF"/>
      <w:u w:val="single"/>
    </w:rPr>
  </w:style>
  <w:style w:type="character" w:styleId="16">
    <w:name w:val="annotation reference"/>
    <w:basedOn w:val="14"/>
    <w:semiHidden/>
    <w:unhideWhenUsed/>
    <w:uiPriority w:val="99"/>
    <w:rPr>
      <w:sz w:val="21"/>
      <w:szCs w:val="21"/>
    </w:rPr>
  </w:style>
  <w:style w:type="character" w:styleId="17">
    <w:name w:val="footnote reference"/>
    <w:basedOn w:val="14"/>
    <w:semiHidden/>
    <w:unhideWhenUsed/>
    <w:uiPriority w:val="99"/>
    <w:rPr>
      <w:vertAlign w:val="superscript"/>
    </w:rPr>
  </w:style>
  <w:style w:type="character" w:customStyle="1" w:styleId="18">
    <w:name w:val="页眉 Char"/>
    <w:link w:val="7"/>
    <w:uiPriority w:val="99"/>
    <w:rPr>
      <w:rFonts w:ascii="Times New Roman" w:hAnsi="Times New Roman" w:cs="Times New Roman"/>
      <w:kern w:val="0"/>
      <w:sz w:val="18"/>
      <w:szCs w:val="18"/>
    </w:rPr>
  </w:style>
  <w:style w:type="character" w:customStyle="1" w:styleId="19">
    <w:name w:val="页脚 Char"/>
    <w:link w:val="6"/>
    <w:uiPriority w:val="99"/>
    <w:rPr>
      <w:rFonts w:ascii="Times New Roman" w:hAnsi="Times New Roman" w:cs="Times New Roman"/>
      <w:kern w:val="0"/>
      <w:sz w:val="18"/>
      <w:szCs w:val="18"/>
    </w:rPr>
  </w:style>
  <w:style w:type="character" w:customStyle="1" w:styleId="20">
    <w:name w:val="批注框文本 Char"/>
    <w:link w:val="5"/>
    <w:semiHidden/>
    <w:uiPriority w:val="99"/>
    <w:rPr>
      <w:rFonts w:ascii="Times New Roman" w:hAnsi="Times New Roman" w:cs="Times New Roman"/>
      <w:kern w:val="0"/>
      <w:sz w:val="18"/>
      <w:szCs w:val="18"/>
    </w:rPr>
  </w:style>
  <w:style w:type="character" w:customStyle="1" w:styleId="21">
    <w:name w:val="标题 1 Char"/>
    <w:link w:val="2"/>
    <w:uiPriority w:val="9"/>
    <w:rPr>
      <w:rFonts w:ascii="Times New Roman" w:hAnsi="Times New Roman" w:eastAsia="宋体" w:cs="Times New Roman"/>
      <w:b/>
      <w:bCs/>
      <w:kern w:val="44"/>
      <w:sz w:val="32"/>
      <w:szCs w:val="44"/>
    </w:rPr>
  </w:style>
  <w:style w:type="character" w:customStyle="1" w:styleId="22">
    <w:name w:val="标题 2 Char"/>
    <w:link w:val="3"/>
    <w:qFormat/>
    <w:uiPriority w:val="9"/>
    <w:rPr>
      <w:rFonts w:ascii="Times New Roman" w:hAnsi="Times New Roman" w:eastAsia="宋体" w:cs="Times New Roman"/>
      <w:b/>
      <w:bCs/>
      <w:kern w:val="0"/>
      <w:sz w:val="28"/>
      <w:szCs w:val="32"/>
    </w:rPr>
  </w:style>
  <w:style w:type="paragraph" w:styleId="23">
    <w:name w:val="List Paragraph"/>
    <w:basedOn w:val="1"/>
    <w:qFormat/>
    <w:uiPriority w:val="34"/>
    <w:pPr>
      <w:ind w:firstLine="420" w:firstLineChars="200"/>
    </w:pPr>
  </w:style>
  <w:style w:type="paragraph" w:customStyle="1" w:styleId="24">
    <w:name w:val="Revision"/>
    <w:hidden/>
    <w:semiHidden/>
    <w:qFormat/>
    <w:uiPriority w:val="99"/>
    <w:rPr>
      <w:rFonts w:ascii="Times New Roman" w:hAnsi="Times New Roman" w:eastAsia="宋体" w:cs="Times New Roman"/>
      <w:lang w:val="en-US" w:eastAsia="zh-CN" w:bidi="ar-SA"/>
    </w:rPr>
  </w:style>
  <w:style w:type="character" w:customStyle="1" w:styleId="25">
    <w:name w:val="批注文字 Char"/>
    <w:basedOn w:val="14"/>
    <w:link w:val="4"/>
    <w:semiHidden/>
    <w:uiPriority w:val="99"/>
    <w:rPr>
      <w:rFonts w:ascii="Times New Roman" w:hAnsi="Times New Roman"/>
    </w:rPr>
  </w:style>
  <w:style w:type="character" w:customStyle="1" w:styleId="26">
    <w:name w:val="批注主题 Char"/>
    <w:basedOn w:val="25"/>
    <w:link w:val="11"/>
    <w:semiHidden/>
    <w:qFormat/>
    <w:uiPriority w:val="99"/>
    <w:rPr>
      <w:rFonts w:ascii="Times New Roman" w:hAnsi="Times New Roman"/>
      <w:b/>
      <w:bCs/>
    </w:rPr>
  </w:style>
  <w:style w:type="character" w:customStyle="1" w:styleId="27">
    <w:name w:val="脚注文本 Char"/>
    <w:basedOn w:val="14"/>
    <w:link w:val="9"/>
    <w:semiHidden/>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DD58-3C21-4777-BCAD-B67EAF2DFB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6498</Words>
  <Characters>7234</Characters>
  <Lines>57</Lines>
  <Paragraphs>16</Paragraphs>
  <TotalTime>15</TotalTime>
  <ScaleCrop>false</ScaleCrop>
  <LinksUpToDate>false</LinksUpToDate>
  <CharactersWithSpaces>7336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2022-03-11T06:16:00Z</dcterms:created>
  <dc:creator>Administrator</dc:creator>
  <cp:lastModifiedBy>太极箫客</cp:lastModifiedBy>
  <dcterms:modified xsi:type="dcterms:W3CDTF">2025-08-14T06:36:40Z</dcterms:modified>
  <dc:title>Medical Devices Containing Materials Derived from Animal Sources (Except for In Vitro Diagnostic Devices) - Guidance for Industry and Food and Drug Administration Staff</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F2C95B6ABBFA410F8600237967827CB5_12</vt:lpwstr>
  </property>
</Properties>
</file>