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804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ascii="宋体" w:hAnsi="宋体" w:eastAsia="宋体" w:cs="宋体"/>
          <w:b/>
          <w:bCs w:val="0"/>
          <w:color w:val="000000"/>
          <w:sz w:val="32"/>
          <w:szCs w:val="32"/>
        </w:rPr>
      </w:pPr>
      <w:bookmarkStart w:id="0" w:name="_GoBack"/>
      <w:bookmarkEnd w:id="0"/>
      <w:r>
        <w:rPr>
          <w:rStyle w:val="5"/>
          <w:rFonts w:hint="eastAsia" w:ascii="宋体" w:hAnsi="宋体" w:eastAsia="宋体" w:cs="宋体"/>
          <w:b/>
          <w:bCs w:val="0"/>
          <w:color w:val="000000"/>
          <w:sz w:val="32"/>
          <w:szCs w:val="32"/>
        </w:rPr>
        <w:t>加拿大医疗器械认证简介</w:t>
      </w:r>
    </w:p>
    <w:p w14:paraId="3B7854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ascii="宋体" w:hAnsi="宋体" w:eastAsia="宋体" w:cs="宋体"/>
          <w:color w:val="000000"/>
          <w:sz w:val="24"/>
          <w:szCs w:val="24"/>
        </w:rPr>
      </w:pPr>
    </w:p>
    <w:p w14:paraId="0DC27F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加拿大拥有严格的指导方针，是世界上最好的医疗器械监管体系之一。作为世界上屈指可数的不需要指派当地代表的国家，加拿大对很多外国制造商非常具有吸引力。</w:t>
      </w:r>
    </w:p>
    <w:p w14:paraId="6D4584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E3E3E"/>
          <w:spacing w:val="10"/>
          <w:sz w:val="24"/>
          <w:szCs w:val="24"/>
        </w:rPr>
      </w:pPr>
    </w:p>
    <w:p w14:paraId="392E1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sz w:val="24"/>
          <w:szCs w:val="24"/>
        </w:rPr>
        <w:t>1</w:t>
      </w:r>
      <w:r>
        <w:rPr>
          <w:rStyle w:val="5"/>
          <w:rFonts w:hint="eastAsia" w:ascii="宋体" w:hAnsi="宋体" w:eastAsia="宋体" w:cs="宋体"/>
          <w:sz w:val="24"/>
          <w:szCs w:val="24"/>
          <w:lang w:val="en-US" w:eastAsia="zh-CN"/>
        </w:rPr>
        <w:t xml:space="preserve"> </w:t>
      </w:r>
      <w:r>
        <w:rPr>
          <w:rStyle w:val="5"/>
          <w:rFonts w:hint="eastAsia" w:ascii="宋体" w:hAnsi="宋体" w:eastAsia="宋体" w:cs="宋体"/>
          <w:sz w:val="24"/>
          <w:szCs w:val="24"/>
        </w:rPr>
        <w:t>主管机构和核心法规</w:t>
      </w:r>
    </w:p>
    <w:p w14:paraId="5EB349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在加拿大，所有医疗器械均受加拿大卫生部HC监管。根据 1998 年实施的医疗器械法规 SOR/98-282（最新修订版SOR/2021-199，2022-03-02），在加拿大销售之前，医疗器械需经过加拿大卫生部审查，以评估其安全性、有效性和质量。</w:t>
      </w:r>
    </w:p>
    <w:p w14:paraId="5FC10F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E3E3E"/>
          <w:spacing w:val="10"/>
          <w:sz w:val="24"/>
          <w:szCs w:val="24"/>
        </w:rPr>
      </w:pPr>
    </w:p>
    <w:p w14:paraId="286D89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sz w:val="24"/>
          <w:szCs w:val="24"/>
        </w:rPr>
        <w:t>2</w:t>
      </w:r>
      <w:r>
        <w:rPr>
          <w:rStyle w:val="5"/>
          <w:rFonts w:hint="eastAsia" w:ascii="宋体" w:hAnsi="宋体" w:eastAsia="宋体" w:cs="宋体"/>
          <w:sz w:val="24"/>
          <w:szCs w:val="24"/>
          <w:lang w:val="en-US" w:eastAsia="zh-CN"/>
        </w:rPr>
        <w:t xml:space="preserve"> </w:t>
      </w:r>
      <w:r>
        <w:rPr>
          <w:rStyle w:val="5"/>
          <w:rFonts w:hint="eastAsia" w:ascii="宋体" w:hAnsi="宋体" w:eastAsia="宋体" w:cs="宋体"/>
          <w:sz w:val="24"/>
          <w:szCs w:val="24"/>
        </w:rPr>
        <w:t>产品分类</w:t>
      </w:r>
    </w:p>
    <w:p w14:paraId="47512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“医疗器械”一词涵盖了广泛用于治疗、缓解、诊断或预防疾病或身体异常状态的产品。</w:t>
      </w:r>
    </w:p>
    <w:p w14:paraId="0AD1C1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根据医疗器械法规SOR/98-282附录1，第一部分医疗器械分类规则，按侵入性程度、接触持续时间、对身体造成的影响等因素，将医疗器械分为I 类、II 类、III 类和 IV 类。加拿大医疗器械分类系统大量借鉴了欧盟医疗器械指令 93/42/EEC。许多规则和术语解释类似于欧盟。但是，根据欧盟分类系统归为一类的医疗器械不一定会根据加拿大医疗器械分类归为同一类。申请人必须遵守法规中规定的规则，以确定其设备在加拿大的适当分类。</w:t>
      </w:r>
    </w:p>
    <w:p w14:paraId="6D90E0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3E3E3E"/>
          <w:spacing w:val="10"/>
          <w:sz w:val="24"/>
          <w:szCs w:val="24"/>
        </w:rPr>
      </w:pPr>
      <w:r>
        <w:rPr>
          <w:rFonts w:hint="eastAsia" w:ascii="宋体" w:hAnsi="宋体" w:eastAsia="宋体" w:cs="宋体"/>
          <w:color w:val="000000"/>
          <w:sz w:val="24"/>
          <w:szCs w:val="24"/>
        </w:rPr>
        <w:t>医疗器械法规SOR/98-282附录1，第二部分为体外诊断设备分类规则，亦将IVD产品分为I 类、II 类、III 类和 IV 类。具体可参见加拿大卫生部发布的基于风险分类的MD和IVD分类指南。</w:t>
      </w:r>
    </w:p>
    <w:p w14:paraId="7B97E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E3E3E"/>
          <w:spacing w:val="10"/>
          <w:sz w:val="24"/>
          <w:szCs w:val="24"/>
        </w:rPr>
      </w:pPr>
    </w:p>
    <w:p w14:paraId="1DF605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sz w:val="24"/>
          <w:szCs w:val="24"/>
        </w:rPr>
        <w:t>3</w:t>
      </w:r>
      <w:r>
        <w:rPr>
          <w:rStyle w:val="5"/>
          <w:rFonts w:hint="eastAsia" w:ascii="宋体" w:hAnsi="宋体" w:eastAsia="宋体" w:cs="宋体"/>
          <w:sz w:val="24"/>
          <w:szCs w:val="24"/>
          <w:lang w:val="en-US" w:eastAsia="zh-CN"/>
        </w:rPr>
        <w:t xml:space="preserve"> </w:t>
      </w:r>
      <w:r>
        <w:rPr>
          <w:rStyle w:val="5"/>
          <w:rFonts w:hint="eastAsia" w:ascii="宋体" w:hAnsi="宋体" w:eastAsia="宋体" w:cs="宋体"/>
          <w:sz w:val="24"/>
          <w:szCs w:val="24"/>
        </w:rPr>
        <w:t>认证模式&amp;审核流程</w:t>
      </w:r>
    </w:p>
    <w:p w14:paraId="03770E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加拿大医疗器械注册有</w:t>
      </w:r>
      <w:r>
        <w:rPr>
          <w:rStyle w:val="5"/>
          <w:rFonts w:hint="eastAsia" w:ascii="宋体" w:hAnsi="宋体" w:eastAsia="宋体" w:cs="宋体"/>
          <w:color w:val="0052FF"/>
          <w:sz w:val="24"/>
          <w:szCs w:val="24"/>
        </w:rPr>
        <w:t>两种途径</w:t>
      </w:r>
      <w:r>
        <w:rPr>
          <w:rFonts w:hint="eastAsia" w:ascii="宋体" w:hAnsi="宋体" w:eastAsia="宋体" w:cs="宋体"/>
          <w:color w:val="000000"/>
          <w:sz w:val="24"/>
          <w:szCs w:val="24"/>
        </w:rPr>
        <w:t>：</w:t>
      </w:r>
    </w:p>
    <w:p w14:paraId="2A26E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color w:val="000000"/>
          <w:sz w:val="24"/>
          <w:szCs w:val="24"/>
        </w:rPr>
        <w:t>1. 医疗器械经营许可证（Medical Device Establishment Licensing (MDEL））：</w:t>
      </w:r>
    </w:p>
    <w:p w14:paraId="69ABD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颁发给 I 类制造商以及所有器械类别的进口商或分销商的许可证，允许他们在加拿大进口或分销医疗器械。</w:t>
      </w:r>
    </w:p>
    <w:p w14:paraId="5D71EEA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宋体" w:hAnsi="宋体" w:eastAsia="宋体" w:cs="宋体"/>
          <w:sz w:val="24"/>
          <w:szCs w:val="24"/>
        </w:rPr>
      </w:pPr>
    </w:p>
    <w:p w14:paraId="655A71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需要准备的资料：MDEL申请表，质量管理体系程序</w:t>
      </w:r>
    </w:p>
    <w:p w14:paraId="3D3B20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无需质量管理体系审核</w:t>
      </w:r>
    </w:p>
    <w:p w14:paraId="698C7A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申请筛选和审查流程：</w:t>
      </w:r>
    </w:p>
    <w:p w14:paraId="3E66DA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宋体" w:hAnsi="宋体" w:eastAsia="宋体" w:cs="宋体"/>
          <w:color w:val="000000"/>
          <w:sz w:val="24"/>
          <w:szCs w:val="24"/>
        </w:rPr>
      </w:pPr>
    </w:p>
    <w:p w14:paraId="2EAB4A9B">
      <w:pPr>
        <w:keepNext w:val="0"/>
        <w:keepLines w:val="0"/>
        <w:widowControl/>
        <w:suppressLineNumbers w:val="0"/>
        <w:jc w:val="left"/>
        <w:rPr>
          <w:rFonts w:hint="eastAsia"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4305300</wp:posOffset>
                </wp:positionH>
                <wp:positionV relativeFrom="paragraph">
                  <wp:posOffset>3861435</wp:posOffset>
                </wp:positionV>
                <wp:extent cx="825500" cy="381000"/>
                <wp:effectExtent l="6350" t="6350" r="6350" b="6350"/>
                <wp:wrapNone/>
                <wp:docPr id="2" name="矩形 2"/>
                <wp:cNvGraphicFramePr/>
                <a:graphic xmlns:a="http://schemas.openxmlformats.org/drawingml/2006/main">
                  <a:graphicData uri="http://schemas.microsoft.com/office/word/2010/wordprocessingShape">
                    <wps:wsp>
                      <wps:cNvSpPr/>
                      <wps:spPr>
                        <a:xfrm>
                          <a:off x="5448300" y="4775835"/>
                          <a:ext cx="825500"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9pt;margin-top:304.05pt;height:30pt;width:65pt;z-index:251659264;v-text-anchor:middle;mso-width-relative:page;mso-height-relative:page;" fillcolor="#FFFFFF [3212]" filled="t" stroked="t" coordsize="21600,21600" o:gfxdata="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GSiqq1wAAAAsBAAAPAAAAAAAAAAEAIAAAACIAAABkcnMvZG93&#10;bnJldi54bWxQSwECFAAUAAAACACHTuJAXryFg3MCAAD/BAAADgAAAAAAAAABACAAAAAmAQAAZHJz&#10;L2Uyb0RvYy54bWxQSwUGAAAAAAYABgBZAQAACwYAAAAA&#10;">
                <v:fill on="t" focussize="0,0"/>
                <v:stroke weight="1pt" color="#FFFFFF [3212]" miterlimit="8" joinstyle="miter"/>
                <v:imagedata o:title=""/>
                <o:lock v:ext="edit" aspectratio="f"/>
              </v:rect>
            </w:pict>
          </mc:Fallback>
        </mc:AlternateContent>
      </w:r>
      <w:r>
        <w:rPr>
          <w:rFonts w:hint="eastAsia" w:ascii="宋体" w:hAnsi="宋体" w:eastAsia="宋体" w:cs="宋体"/>
          <w:kern w:val="0"/>
          <w:sz w:val="24"/>
          <w:szCs w:val="24"/>
          <w:lang w:val="en-US" w:eastAsia="zh-CN" w:bidi="ar"/>
        </w:rPr>
        <w:drawing>
          <wp:inline distT="0" distB="0" distL="114300" distR="114300">
            <wp:extent cx="5186680" cy="4287520"/>
            <wp:effectExtent l="0" t="0" r="7620"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186680" cy="4287520"/>
                    </a:xfrm>
                    <a:prstGeom prst="rect">
                      <a:avLst/>
                    </a:prstGeom>
                    <a:noFill/>
                    <a:ln w="9525">
                      <a:noFill/>
                    </a:ln>
                  </pic:spPr>
                </pic:pic>
              </a:graphicData>
            </a:graphic>
          </wp:inline>
        </w:drawing>
      </w:r>
    </w:p>
    <w:p w14:paraId="310A6E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获取MDEL的时间范围：120个日历日。</w:t>
      </w:r>
    </w:p>
    <w:p w14:paraId="4E631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0000"/>
          <w:sz w:val="24"/>
          <w:szCs w:val="24"/>
        </w:rPr>
      </w:pPr>
    </w:p>
    <w:p w14:paraId="6FE07C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color w:val="000000"/>
          <w:sz w:val="24"/>
          <w:szCs w:val="24"/>
        </w:rPr>
        <w:t>2. 医疗器械许可证 (Medical Device Licences MDL)：</w:t>
      </w:r>
    </w:p>
    <w:p w14:paraId="7A4B7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颁发给制造商的许可证，授权他们在加拿大进口或销售其 II、III 或 IV 类医疗器械。每个设备类别的文档要求各不相同。</w:t>
      </w:r>
    </w:p>
    <w:p w14:paraId="49EDEA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部分情况，可申请免于持有医疗器械经营许可证MDEL，详情可咨询欧必美。</w:t>
      </w:r>
    </w:p>
    <w:p w14:paraId="64E89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color w:val="0052FF"/>
          <w:sz w:val="24"/>
          <w:szCs w:val="24"/>
        </w:rPr>
        <w:t>2.1 需要准备的资料：</w:t>
      </w:r>
    </w:p>
    <w:p w14:paraId="707686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color w:val="000000"/>
          <w:sz w:val="24"/>
          <w:szCs w:val="24"/>
        </w:rPr>
        <w:t>2.1.1 II类：官方时间表（15天）</w:t>
      </w:r>
    </w:p>
    <w:p w14:paraId="04194C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MDL 申请表</w:t>
      </w:r>
    </w:p>
    <w:p w14:paraId="66D6F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费用表</w:t>
      </w:r>
    </w:p>
    <w:p w14:paraId="614DDD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标签</w:t>
      </w:r>
    </w:p>
    <w:p w14:paraId="4BD67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符合性声明（文件）</w:t>
      </w:r>
    </w:p>
    <w:p w14:paraId="4592BA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MDSAP证书</w:t>
      </w:r>
    </w:p>
    <w:p w14:paraId="6EF51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符合HC要求的技术文件</w:t>
      </w:r>
    </w:p>
    <w:p w14:paraId="67B0778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宋体" w:hAnsi="宋体" w:eastAsia="宋体" w:cs="宋体"/>
          <w:sz w:val="24"/>
          <w:szCs w:val="24"/>
        </w:rPr>
      </w:pPr>
    </w:p>
    <w:p w14:paraId="5CA5F2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color w:val="000000"/>
          <w:sz w:val="24"/>
          <w:szCs w:val="24"/>
        </w:rPr>
        <w:t>2.1.2 III类：官方时间表（60天）</w:t>
      </w:r>
    </w:p>
    <w:p w14:paraId="41982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MDL 申请表</w:t>
      </w:r>
    </w:p>
    <w:p w14:paraId="62FEE8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符合性声明（文件）</w:t>
      </w:r>
    </w:p>
    <w:p w14:paraId="0466D0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MDSAP 证书</w:t>
      </w:r>
    </w:p>
    <w:p w14:paraId="1B037E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标签</w:t>
      </w:r>
    </w:p>
    <w:p w14:paraId="718822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符合HC要求的技术文件</w:t>
      </w:r>
    </w:p>
    <w:p w14:paraId="20254A2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宋体" w:hAnsi="宋体" w:eastAsia="宋体" w:cs="宋体"/>
          <w:sz w:val="24"/>
          <w:szCs w:val="24"/>
        </w:rPr>
      </w:pPr>
    </w:p>
    <w:p w14:paraId="620991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color w:val="000000"/>
          <w:sz w:val="24"/>
          <w:szCs w:val="24"/>
        </w:rPr>
        <w:t>2.1.3 III类：官方时间表（75天）</w:t>
      </w:r>
    </w:p>
    <w:p w14:paraId="47092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MDL 申请表</w:t>
      </w:r>
    </w:p>
    <w:p w14:paraId="3B60F9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符合性声明（文件）</w:t>
      </w:r>
    </w:p>
    <w:p w14:paraId="2FD5C3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MDSAP 证书</w:t>
      </w:r>
    </w:p>
    <w:p w14:paraId="00DF10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标签</w:t>
      </w:r>
    </w:p>
    <w:p w14:paraId="6850F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000000"/>
          <w:sz w:val="24"/>
          <w:szCs w:val="24"/>
        </w:rPr>
        <w:t>符合HC要求的技术文件</w:t>
      </w:r>
    </w:p>
    <w:p w14:paraId="07D5B93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eastAsia="宋体" w:cs="宋体"/>
          <w:sz w:val="24"/>
          <w:szCs w:val="24"/>
        </w:rPr>
      </w:pPr>
    </w:p>
    <w:p w14:paraId="009E0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color w:val="0052FF"/>
          <w:sz w:val="24"/>
          <w:szCs w:val="24"/>
        </w:rPr>
        <w:t>2.2 申请流程：</w:t>
      </w:r>
    </w:p>
    <w:p w14:paraId="1F740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color w:val="000000"/>
          <w:sz w:val="24"/>
          <w:szCs w:val="24"/>
        </w:rPr>
        <w:t>2.2.1 II类：</w:t>
      </w:r>
      <w:r>
        <w:rPr>
          <w:rFonts w:hint="eastAsia" w:ascii="宋体" w:hAnsi="宋体" w:eastAsia="宋体" w:cs="宋体"/>
          <w:color w:val="000000"/>
          <w:sz w:val="24"/>
          <w:szCs w:val="24"/>
        </w:rPr>
        <w:t>行政筛查-监管筛查-技术筛查-行政筛查</w:t>
      </w:r>
    </w:p>
    <w:p w14:paraId="6277E1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color w:val="000000"/>
          <w:sz w:val="24"/>
          <w:szCs w:val="24"/>
        </w:rPr>
        <w:t>2.2.2 III类：</w:t>
      </w:r>
      <w:r>
        <w:rPr>
          <w:rFonts w:hint="eastAsia" w:ascii="宋体" w:hAnsi="宋体" w:eastAsia="宋体" w:cs="宋体"/>
          <w:color w:val="000000"/>
          <w:sz w:val="24"/>
          <w:szCs w:val="24"/>
        </w:rPr>
        <w:t>行政筛查-监管筛查-技术筛查-行政筛查-行政审查1-行政审查2</w:t>
      </w:r>
    </w:p>
    <w:p w14:paraId="2FCBAF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color w:val="000000"/>
          <w:sz w:val="24"/>
          <w:szCs w:val="24"/>
        </w:rPr>
        <w:t>2.2.1 IV类：</w:t>
      </w:r>
      <w:r>
        <w:rPr>
          <w:rFonts w:hint="eastAsia" w:ascii="宋体" w:hAnsi="宋体" w:eastAsia="宋体" w:cs="宋体"/>
          <w:color w:val="000000"/>
          <w:sz w:val="24"/>
          <w:szCs w:val="24"/>
        </w:rPr>
        <w:t>行政筛查-监管筛查-技术筛查-行政筛查-行政审查1-行政审查2</w:t>
      </w:r>
    </w:p>
    <w:p w14:paraId="012C7C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p>
    <w:p w14:paraId="423A9B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sz w:val="24"/>
          <w:szCs w:val="24"/>
        </w:rPr>
        <w:t>注意事项</w:t>
      </w:r>
    </w:p>
    <w:p w14:paraId="7894E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color w:val="1571ED"/>
          <w:sz w:val="24"/>
          <w:szCs w:val="24"/>
        </w:rPr>
        <w:t>1. 质量管理体系：</w:t>
      </w:r>
    </w:p>
    <w:p w14:paraId="639A3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自2019年1月1日起，不再接受CMDCA颁发的CAN/CSA-ISO 13485:03和CAN/CSA-ISO 13485:16证书。因此，所有II、III和IV类设备的制造商必须切换到医疗器械单一审核程序（MDSAP），经认可的审核机构审核成功后获得证书（参考CAN/CSA-ISO 13485:16，见修正案SOR 2019-44，第2节)。高风险医疗器械需要TGA符合性评估，而CE认证不是合规性的可接受证据。</w:t>
      </w:r>
    </w:p>
    <w:p w14:paraId="0F507E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p>
    <w:p w14:paraId="0E3550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color w:val="1571ED"/>
          <w:sz w:val="24"/>
          <w:szCs w:val="24"/>
        </w:rPr>
        <w:t>2. MDL（批准许</w:t>
      </w:r>
      <w:r>
        <w:rPr>
          <w:rStyle w:val="5"/>
          <w:rFonts w:hint="eastAsia" w:ascii="宋体" w:hAnsi="宋体" w:eastAsia="宋体" w:cs="宋体"/>
          <w:color w:val="0052FF"/>
          <w:sz w:val="24"/>
          <w:szCs w:val="24"/>
        </w:rPr>
        <w:t>可证）</w:t>
      </w:r>
      <w:r>
        <w:rPr>
          <w:rFonts w:hint="eastAsia" w:ascii="宋体" w:hAnsi="宋体" w:eastAsia="宋体" w:cs="宋体"/>
          <w:sz w:val="24"/>
          <w:szCs w:val="24"/>
        </w:rPr>
        <w:t>是对设备的批准，而MDEL（工厂许可证）是给予制造商/分销商/进口商公司的许可证。</w:t>
      </w:r>
    </w:p>
    <w:p w14:paraId="60AA8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p>
    <w:p w14:paraId="3376E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color w:val="1571ED"/>
          <w:sz w:val="24"/>
          <w:szCs w:val="24"/>
        </w:rPr>
        <w:t>3. 许可证有效性：</w:t>
      </w:r>
      <w:r>
        <w:rPr>
          <w:rFonts w:hint="eastAsia" w:ascii="宋体" w:hAnsi="宋体" w:eastAsia="宋体" w:cs="宋体"/>
          <w:sz w:val="24"/>
          <w:szCs w:val="24"/>
        </w:rPr>
        <w:br w:type="textWrapping"/>
      </w:r>
      <w:r>
        <w:rPr>
          <w:rFonts w:hint="eastAsia" w:ascii="宋体" w:hAnsi="宋体" w:eastAsia="宋体" w:cs="宋体"/>
          <w:sz w:val="24"/>
          <w:szCs w:val="24"/>
        </w:rPr>
        <w:t>与FDA相同，MDEL和MDL必须每年更新，否则将被取消。</w:t>
      </w:r>
      <w:r>
        <w:rPr>
          <w:rFonts w:hint="eastAsia" w:ascii="宋体" w:hAnsi="宋体" w:eastAsia="宋体" w:cs="宋体"/>
          <w:sz w:val="24"/>
          <w:szCs w:val="24"/>
        </w:rPr>
        <w:br w:type="textWrapping"/>
      </w:r>
      <w:r>
        <w:rPr>
          <w:rFonts w:hint="eastAsia" w:ascii="宋体" w:hAnsi="宋体" w:eastAsia="宋体" w:cs="宋体"/>
          <w:sz w:val="24"/>
          <w:szCs w:val="24"/>
        </w:rPr>
        <w:t>MDEL续期（I类）的方式是在4月1日前提交年审申请并支付费用。</w:t>
      </w:r>
      <w:r>
        <w:rPr>
          <w:rFonts w:hint="eastAsia" w:ascii="宋体" w:hAnsi="宋体" w:eastAsia="宋体" w:cs="宋体"/>
          <w:sz w:val="24"/>
          <w:szCs w:val="24"/>
        </w:rPr>
        <w:br w:type="textWrapping"/>
      </w:r>
      <w:r>
        <w:rPr>
          <w:rFonts w:hint="eastAsia" w:ascii="宋体" w:hAnsi="宋体" w:eastAsia="宋体" w:cs="宋体"/>
          <w:sz w:val="24"/>
          <w:szCs w:val="24"/>
        </w:rPr>
        <w:t>MDL更新（II、III和IV类）是通过申报已售出设备的数量来完成的，根据这些数量计算更新费用，到期日为每年11月1日。</w:t>
      </w:r>
    </w:p>
    <w:p w14:paraId="4909A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p>
    <w:p w14:paraId="7EA73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Style w:val="5"/>
          <w:rFonts w:hint="eastAsia" w:ascii="宋体" w:hAnsi="宋体" w:eastAsia="宋体" w:cs="宋体"/>
          <w:color w:val="1571ED"/>
          <w:sz w:val="24"/>
          <w:szCs w:val="24"/>
        </w:rPr>
        <w:t>4. 语言：英语和法语</w:t>
      </w:r>
    </w:p>
    <w:p w14:paraId="64997546">
      <w:pPr>
        <w:rPr>
          <w:rFonts w:hint="eastAsia" w:ascii="宋体" w:hAnsi="宋体" w:eastAsia="宋体" w:cs="宋体"/>
          <w:sz w:val="24"/>
          <w:szCs w:val="24"/>
        </w:rPr>
      </w:pPr>
    </w:p>
    <w:p w14:paraId="77785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p>
    <w:p w14:paraId="11806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p>
    <w:p w14:paraId="5B7D0E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820" w:right="10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75C8C"/>
    <w:multiLevelType w:val="multilevel"/>
    <w:tmpl w:val="A7275C8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EB704017"/>
    <w:multiLevelType w:val="multilevel"/>
    <w:tmpl w:val="EB70401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338EAEBD"/>
    <w:multiLevelType w:val="multilevel"/>
    <w:tmpl w:val="338EAEB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YxNTI2MzhlODQ4YTE0NmFkN2IzNWE3M2I2NDAifQ=="/>
  </w:docVars>
  <w:rsids>
    <w:rsidRoot w:val="00000000"/>
    <w:rsid w:val="1BB34B12"/>
    <w:rsid w:val="32882B2B"/>
    <w:rsid w:val="42467B43"/>
    <w:rsid w:val="510B4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1270</Words>
  <Characters>1586</Characters>
  <Lines>0</Lines>
  <Paragraphs>0</Paragraphs>
  <TotalTime>4</TotalTime>
  <ScaleCrop>false</ScaleCrop>
  <LinksUpToDate>false</LinksUpToDate>
  <CharactersWithSpaces>1640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2022-07-06T07:10:00Z</dcterms:created>
  <dc:creator>BIO218</dc:creator>
  <cp:lastModifiedBy>太极箫客</cp:lastModifiedBy>
  <dcterms:modified xsi:type="dcterms:W3CDTF">2025-08-14T06:36:32Z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36D222681AA544D3BBBF110CD06F2E17</vt:lpwstr>
  </property>
  <property fmtid="{D5CDD505-2E9C-101B-9397-08002B2CF9AE}" pid="4" name="KSOTemplateDocerSaveRecord">
    <vt:lpwstr>eyJoZGlkIjoiMDJiMzI3ODBiNTFmMWRjNDUyMjM1ZmZjODY5NDc2MWMiLCJ1c2VySWQiOiI0NTQ4Nzg1NzAifQ==</vt:lpwstr>
  </property>
</Properties>
</file>