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F4C45">
      <w:pPr>
        <w:snapToGrid w:val="0"/>
        <w:spacing w:line="300" w:lineRule="auto"/>
        <w:jc w:val="center"/>
        <w:rPr>
          <w:rFonts w:ascii="Arial" w:hAnsi="Arial" w:eastAsia="宋体" w:cs="Arial"/>
          <w:b/>
          <w:sz w:val="56"/>
          <w:lang w:eastAsia="zh-CN"/>
        </w:rPr>
      </w:pPr>
      <w:bookmarkStart w:id="98" w:name="_GoBack"/>
      <w:bookmarkEnd w:id="98"/>
      <w:r>
        <w:rPr>
          <w:rFonts w:ascii="Arial" w:hAnsi="Arial" w:eastAsia="宋体" w:cs="Arial"/>
          <w:b/>
          <w:sz w:val="56"/>
          <w:lang w:eastAsia="zh-CN"/>
        </w:rPr>
        <w:t>加工、再加工医疗器械的医疗关键点：验证方法和标识</w:t>
      </w:r>
    </w:p>
    <w:p w14:paraId="19FB95EE">
      <w:pPr>
        <w:snapToGrid w:val="0"/>
        <w:spacing w:line="300" w:lineRule="auto"/>
        <w:ind w:left="106"/>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5986780" cy="6350"/>
                <wp:effectExtent l="9525" t="9525" r="4445" b="3175"/>
                <wp:docPr id="53" name="Group 50"/>
                <wp:cNvGraphicFramePr/>
                <a:graphic xmlns:a="http://schemas.openxmlformats.org/drawingml/2006/main">
                  <a:graphicData uri="http://schemas.microsoft.com/office/word/2010/wordprocessingGroup">
                    <wpg:wgp>
                      <wpg:cNvGrpSpPr/>
                      <wpg:grpSpPr>
                        <a:xfrm>
                          <a:off x="0" y="0"/>
                          <a:ext cx="5986780" cy="6350"/>
                          <a:chOff x="0" y="0"/>
                          <a:chExt cx="9428" cy="10"/>
                        </a:xfrm>
                      </wpg:grpSpPr>
                      <wpg:grpSp>
                        <wpg:cNvPr id="54" name="Group 51"/>
                        <wpg:cNvGrpSpPr/>
                        <wpg:grpSpPr>
                          <a:xfrm>
                            <a:off x="5" y="5"/>
                            <a:ext cx="9418" cy="2"/>
                            <a:chOff x="5" y="5"/>
                            <a:chExt cx="9418" cy="2"/>
                          </a:xfrm>
                        </wpg:grpSpPr>
                        <wps:wsp>
                          <wps:cNvPr id="55" name="Freeform 52"/>
                          <wps:cNvSpPr/>
                          <wps:spPr bwMode="auto">
                            <a:xfrm>
                              <a:off x="5" y="5"/>
                              <a:ext cx="9418" cy="2"/>
                            </a:xfrm>
                            <a:custGeom>
                              <a:avLst/>
                              <a:gdLst>
                                <a:gd name="T0" fmla="+- 0 5 5"/>
                                <a:gd name="T1" fmla="*/ T0 w 9418"/>
                                <a:gd name="T2" fmla="+- 0 9422 5"/>
                                <a:gd name="T3" fmla="*/ T2 w 9418"/>
                              </a:gdLst>
                              <a:ahLst/>
                              <a:cxnLst>
                                <a:cxn ang="0">
                                  <a:pos x="T1" y="0"/>
                                </a:cxn>
                                <a:cxn ang="0">
                                  <a:pos x="T3" y="0"/>
                                </a:cxn>
                              </a:cxnLst>
                              <a:rect l="0" t="0" r="r" b="b"/>
                              <a:pathLst>
                                <a:path w="9418">
                                  <a:moveTo>
                                    <a:pt x="0" y="0"/>
                                  </a:moveTo>
                                  <a:lnTo>
                                    <a:pt x="9417" y="0"/>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0" o:spid="_x0000_s1026" o:spt="203" style="height:0.5pt;width:471.4pt;" coordsize="9428,10" o:gfxdata="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udfpwNQAAAADAQAADwAAAAAAAAABACAAAAAiAAAAZHJzL2Rv&#10;d25yZXYueG1sUEsBAhQAFAAAAAgAh07iQGNnMdoiAwAA/gcAAA4AAAAAAAAAAQAgAAAAIwEAAGRy&#10;cy9lMm9Eb2MueG1sUEsFBgAAAAAGAAYAWQEAALcGAAAAAA==&#10;">
                <o:lock v:ext="edit" aspectratio="f"/>
                <v:group id="Group 51" o:spid="_x0000_s1026" o:spt="203" style="position:absolute;left:5;top:5;height:2;width:9418;" coordorigin="5,5" coordsize="9418,2"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Freeform 52" o:spid="_x0000_s1026" o:spt="100" style="position:absolute;left:5;top:5;height:2;width:9418;" filled="f" stroked="t" coordsize="9418,1" o:gfxdata="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ReN2vQAA&#10;ANsAAAAPAAAAAAAAAAEAIAAAACIAAABkcnMvZG93bnJldi54bWxQSwECFAAUAAAACACHTuJAMy8F&#10;njsAAAA5AAAAEAAAAAAAAAABACAAAAAMAQAAZHJzL3NoYXBleG1sLnhtbFBLBQYAAAAABgAGAFsB&#10;AAC2AwAAAAA=&#10;" path="m0,0l9417,0e">
                    <v:path o:connectlocs="0,0;9417,0" o:connectangles="0,0"/>
                    <v:fill on="f" focussize="0,0"/>
                    <v:stroke weight="0.48pt" color="#000000" joinstyle="round"/>
                    <v:imagedata o:title=""/>
                    <o:lock v:ext="edit" aspectratio="f"/>
                  </v:shape>
                </v:group>
                <w10:wrap type="none"/>
                <w10:anchorlock/>
              </v:group>
            </w:pict>
          </mc:Fallback>
        </mc:AlternateContent>
      </w:r>
    </w:p>
    <w:p w14:paraId="635DAA68">
      <w:pPr>
        <w:snapToGrid w:val="0"/>
        <w:spacing w:before="8" w:line="300" w:lineRule="auto"/>
        <w:jc w:val="center"/>
        <w:rPr>
          <w:rFonts w:ascii="Arial" w:hAnsi="Arial" w:eastAsia="宋体" w:cs="Arial"/>
          <w:sz w:val="56"/>
          <w:szCs w:val="56"/>
          <w:lang w:eastAsia="zh-CN"/>
        </w:rPr>
      </w:pPr>
      <w:r>
        <w:rPr>
          <w:rFonts w:ascii="Arial" w:hAnsi="Arial" w:eastAsia="宋体" w:cs="Arial"/>
          <w:b/>
          <w:sz w:val="56"/>
          <w:lang w:eastAsia="zh-CN"/>
        </w:rPr>
        <w:t>行业和食品药品监督管理局员工指南</w:t>
      </w:r>
    </w:p>
    <w:p w14:paraId="242F767C">
      <w:pPr>
        <w:snapToGrid w:val="0"/>
        <w:spacing w:line="300" w:lineRule="auto"/>
        <w:jc w:val="center"/>
        <w:rPr>
          <w:rFonts w:ascii="Arial" w:hAnsi="Arial" w:eastAsia="宋体" w:cs="Arial"/>
          <w:b/>
          <w:bCs/>
          <w:sz w:val="24"/>
          <w:szCs w:val="24"/>
          <w:lang w:eastAsia="zh-CN"/>
        </w:rPr>
      </w:pPr>
      <w:r>
        <w:rPr>
          <w:rFonts w:ascii="Arial" w:hAnsi="Arial" w:eastAsia="宋体" w:cs="Arial"/>
          <w:b/>
          <w:sz w:val="24"/>
          <w:szCs w:val="24"/>
          <w:lang w:eastAsia="zh-CN"/>
        </w:rPr>
        <w:t>文件发布日期：2015年3月17日</w:t>
      </w:r>
    </w:p>
    <w:p w14:paraId="71C5705A">
      <w:pPr>
        <w:snapToGrid w:val="0"/>
        <w:spacing w:before="11" w:line="300" w:lineRule="auto"/>
        <w:rPr>
          <w:rFonts w:ascii="Arial" w:hAnsi="Arial" w:eastAsia="宋体" w:cs="Arial"/>
          <w:b/>
          <w:bCs/>
          <w:sz w:val="23"/>
          <w:szCs w:val="23"/>
          <w:lang w:eastAsia="zh-CN"/>
        </w:rPr>
      </w:pPr>
    </w:p>
    <w:p w14:paraId="6F00E193">
      <w:pPr>
        <w:snapToGrid w:val="0"/>
        <w:spacing w:line="300" w:lineRule="auto"/>
        <w:ind w:left="269" w:firstLine="499"/>
        <w:rPr>
          <w:rFonts w:ascii="Arial" w:hAnsi="Arial" w:eastAsia="宋体" w:cs="Arial"/>
          <w:sz w:val="28"/>
          <w:szCs w:val="28"/>
          <w:lang w:eastAsia="zh-CN"/>
        </w:rPr>
      </w:pPr>
      <w:r>
        <w:rPr>
          <w:rFonts w:ascii="Arial" w:hAnsi="Arial" w:eastAsia="宋体" w:cs="Arial"/>
          <w:b/>
          <w:bCs/>
          <w:sz w:val="28"/>
          <w:szCs w:val="28"/>
          <w:lang w:eastAsia="zh-CN"/>
        </w:rPr>
        <w:t>本文件将取代1996年4月发布的“医疗机构的标识可重复使用医疗器械再加工：FDA审查员指南”。</w:t>
      </w:r>
    </w:p>
    <w:p w14:paraId="5BEE7BCA">
      <w:pPr>
        <w:snapToGrid w:val="0"/>
        <w:spacing w:line="300" w:lineRule="auto"/>
        <w:rPr>
          <w:rFonts w:ascii="Arial" w:hAnsi="Arial" w:eastAsia="宋体" w:cs="Arial"/>
          <w:b/>
          <w:bCs/>
          <w:sz w:val="28"/>
          <w:szCs w:val="28"/>
          <w:lang w:eastAsia="zh-CN"/>
        </w:rPr>
      </w:pPr>
    </w:p>
    <w:p w14:paraId="5B6C4269">
      <w:pPr>
        <w:snapToGrid w:val="0"/>
        <w:spacing w:line="300" w:lineRule="auto"/>
        <w:rPr>
          <w:rFonts w:ascii="Arial" w:hAnsi="Arial" w:eastAsia="宋体" w:cs="Arial"/>
          <w:b/>
          <w:bCs/>
          <w:sz w:val="28"/>
          <w:szCs w:val="28"/>
          <w:lang w:eastAsia="zh-CN"/>
        </w:rPr>
      </w:pPr>
    </w:p>
    <w:p w14:paraId="58A8A5C6">
      <w:pPr>
        <w:snapToGrid w:val="0"/>
        <w:spacing w:line="300" w:lineRule="auto"/>
        <w:rPr>
          <w:rFonts w:ascii="Arial" w:hAnsi="Arial" w:eastAsia="宋体" w:cs="Arial"/>
          <w:b/>
          <w:bCs/>
          <w:sz w:val="28"/>
          <w:szCs w:val="28"/>
          <w:lang w:eastAsia="zh-CN"/>
        </w:rPr>
      </w:pPr>
    </w:p>
    <w:p w14:paraId="47EA6F5A">
      <w:pPr>
        <w:snapToGrid w:val="0"/>
        <w:spacing w:before="8" w:line="300" w:lineRule="auto"/>
        <w:rPr>
          <w:rFonts w:ascii="Arial" w:hAnsi="Arial" w:eastAsia="宋体" w:cs="Arial"/>
          <w:b/>
          <w:bCs/>
          <w:sz w:val="23"/>
          <w:szCs w:val="23"/>
          <w:lang w:eastAsia="zh-CN"/>
        </w:rPr>
      </w:pPr>
    </w:p>
    <w:p w14:paraId="6676782B">
      <w:pPr>
        <w:snapToGrid w:val="0"/>
        <w:spacing w:line="300" w:lineRule="auto"/>
        <w:ind w:left="406"/>
        <w:jc w:val="center"/>
        <w:rPr>
          <w:rFonts w:ascii="Arial" w:hAnsi="Arial" w:eastAsia="宋体" w:cs="Arial"/>
          <w:sz w:val="28"/>
          <w:szCs w:val="28"/>
          <w:lang w:eastAsia="zh-CN"/>
        </w:rPr>
      </w:pPr>
      <w:r>
        <w:rPr>
          <w:rFonts w:ascii="Arial" w:hAnsi="Arial" w:eastAsia="宋体" w:cs="Arial"/>
          <w:b/>
          <w:sz w:val="28"/>
          <w:lang w:eastAsia="zh-CN"/>
        </w:rPr>
        <w:t>本文件草案于2011年5月2日发布。</w:t>
      </w:r>
    </w:p>
    <w:p w14:paraId="5924CA76">
      <w:pPr>
        <w:snapToGrid w:val="0"/>
        <w:spacing w:before="10" w:line="300" w:lineRule="auto"/>
        <w:rPr>
          <w:rFonts w:ascii="Arial" w:hAnsi="Arial" w:eastAsia="宋体" w:cs="Arial"/>
          <w:b/>
          <w:bCs/>
          <w:sz w:val="23"/>
          <w:szCs w:val="23"/>
          <w:lang w:eastAsia="zh-CN"/>
        </w:rPr>
      </w:pPr>
    </w:p>
    <w:p w14:paraId="43A16D85">
      <w:pPr>
        <w:pStyle w:val="6"/>
        <w:snapToGrid w:val="0"/>
        <w:spacing w:line="300" w:lineRule="auto"/>
        <w:ind w:left="139"/>
        <w:jc w:val="both"/>
        <w:rPr>
          <w:rFonts w:ascii="Arial" w:hAnsi="Arial" w:eastAsia="宋体" w:cs="Arial"/>
          <w:lang w:eastAsia="zh-CN"/>
        </w:rPr>
      </w:pPr>
      <w:r>
        <w:rPr>
          <w:rFonts w:ascii="Arial" w:hAnsi="Arial" w:eastAsia="宋体" w:cs="Arial"/>
          <w:lang w:eastAsia="zh-CN"/>
        </w:rPr>
        <w:t>有关由器械</w:t>
      </w:r>
      <w:r>
        <w:rPr>
          <w:rFonts w:hint="eastAsia" w:ascii="Arial" w:hAnsi="Arial" w:eastAsia="宋体" w:cs="Arial"/>
          <w:lang w:eastAsia="zh-CN"/>
        </w:rPr>
        <w:t>和</w:t>
      </w:r>
      <w:r>
        <w:rPr>
          <w:rFonts w:ascii="Arial" w:hAnsi="Arial" w:eastAsia="宋体" w:cs="Arial"/>
          <w:lang w:eastAsia="zh-CN"/>
        </w:rPr>
        <w:t>放射卫生中心监管的器械问题，请联系感染控制器械分部（INCB），电话（301）796-5580。关于由生物制品评价和研究中心（CBER）监管的器械的问题，请联系交流、外联与开发办公室，电话：800-835-4709或240-402-7800。</w:t>
      </w:r>
    </w:p>
    <w:p w14:paraId="57C265BC">
      <w:pPr>
        <w:snapToGrid w:val="0"/>
        <w:spacing w:line="300" w:lineRule="auto"/>
        <w:rPr>
          <w:rFonts w:ascii="Arial" w:hAnsi="Arial" w:eastAsia="宋体" w:cs="Arial"/>
          <w:sz w:val="24"/>
          <w:szCs w:val="24"/>
          <w:lang w:eastAsia="zh-CN"/>
        </w:rPr>
      </w:pPr>
    </w:p>
    <w:p w14:paraId="1CBB63BE">
      <w:pPr>
        <w:snapToGrid w:val="0"/>
        <w:spacing w:line="300" w:lineRule="auto"/>
        <w:rPr>
          <w:rFonts w:ascii="Arial" w:hAnsi="Arial" w:eastAsia="宋体" w:cs="Arial"/>
          <w:sz w:val="24"/>
          <w:szCs w:val="24"/>
          <w:lang w:eastAsia="zh-CN"/>
        </w:rPr>
      </w:pPr>
    </w:p>
    <w:p w14:paraId="73CEA6D8">
      <w:pPr>
        <w:snapToGrid w:val="0"/>
        <w:spacing w:line="300" w:lineRule="auto"/>
        <w:rPr>
          <w:rFonts w:ascii="Arial" w:hAnsi="Arial" w:eastAsia="宋体" w:cs="Arial"/>
          <w:sz w:val="24"/>
          <w:szCs w:val="24"/>
          <w:lang w:eastAsia="zh-CN"/>
        </w:rPr>
      </w:pPr>
    </w:p>
    <w:p w14:paraId="3089FA24">
      <w:pPr>
        <w:snapToGrid w:val="0"/>
        <w:spacing w:before="5" w:line="300" w:lineRule="auto"/>
        <w:rPr>
          <w:rFonts w:ascii="Arial" w:hAnsi="Arial" w:eastAsia="宋体" w:cs="Arial"/>
          <w:sz w:val="24"/>
          <w:szCs w:val="24"/>
          <w:lang w:eastAsia="zh-CN"/>
        </w:rPr>
      </w:pPr>
    </w:p>
    <w:p w14:paraId="000ABEDF">
      <w:pPr>
        <w:pStyle w:val="6"/>
        <w:snapToGrid w:val="0"/>
        <w:spacing w:line="300" w:lineRule="auto"/>
        <w:ind w:left="139"/>
        <w:jc w:val="right"/>
        <w:rPr>
          <w:rFonts w:ascii="Arial" w:hAnsi="Arial" w:eastAsia="宋体" w:cs="Arial"/>
          <w:b/>
          <w:lang w:eastAsia="zh-CN"/>
        </w:rPr>
      </w:pPr>
      <w:r>
        <w:rPr>
          <w:rFonts w:ascii="Arial" w:hAnsi="Arial" w:eastAsia="宋体" w:cs="Arial"/>
          <w:b/>
          <w:lang w:eastAsia="zh-CN"/>
        </w:rPr>
        <mc:AlternateContent>
          <mc:Choice Requires="wpg">
            <w:drawing>
              <wp:anchor distT="0" distB="0" distL="114300" distR="114300" simplePos="0" relativeHeight="251660288" behindDoc="0" locked="0" layoutInCell="1" allowOverlap="1">
                <wp:simplePos x="0" y="0"/>
                <wp:positionH relativeFrom="page">
                  <wp:posOffset>907415</wp:posOffset>
                </wp:positionH>
                <wp:positionV relativeFrom="paragraph">
                  <wp:posOffset>1905</wp:posOffset>
                </wp:positionV>
                <wp:extent cx="1886585" cy="952500"/>
                <wp:effectExtent l="2540" t="1905" r="0" b="0"/>
                <wp:wrapNone/>
                <wp:docPr id="50" name="Group 53"/>
                <wp:cNvGraphicFramePr/>
                <a:graphic xmlns:a="http://schemas.openxmlformats.org/drawingml/2006/main">
                  <a:graphicData uri="http://schemas.microsoft.com/office/word/2010/wordprocessingGroup">
                    <wpg:wgp>
                      <wpg:cNvGrpSpPr/>
                      <wpg:grpSpPr>
                        <a:xfrm>
                          <a:off x="0" y="0"/>
                          <a:ext cx="1886585" cy="952500"/>
                          <a:chOff x="1429" y="3"/>
                          <a:chExt cx="2971" cy="1500"/>
                        </a:xfrm>
                      </wpg:grpSpPr>
                      <pic:pic xmlns:pic="http://schemas.openxmlformats.org/drawingml/2006/picture">
                        <pic:nvPicPr>
                          <pic:cNvPr id="51" name="Picture 54" descr="CBE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2870" y="51"/>
                            <a:ext cx="1530" cy="1365"/>
                          </a:xfrm>
                          <a:prstGeom prst="rect">
                            <a:avLst/>
                          </a:prstGeom>
                          <a:noFill/>
                        </pic:spPr>
                      </pic:pic>
                      <pic:pic xmlns:pic="http://schemas.openxmlformats.org/drawingml/2006/picture">
                        <pic:nvPicPr>
                          <pic:cNvPr id="52" name="Picture 55" descr="CDRH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1429" y="3"/>
                            <a:ext cx="1440" cy="1500"/>
                          </a:xfrm>
                          <a:prstGeom prst="rect">
                            <a:avLst/>
                          </a:prstGeom>
                          <a:noFill/>
                        </pic:spPr>
                      </pic:pic>
                    </wpg:wgp>
                  </a:graphicData>
                </a:graphic>
              </wp:anchor>
            </w:drawing>
          </mc:Choice>
          <mc:Fallback>
            <w:pict>
              <v:group id="Group 53" o:spid="_x0000_s1026" o:spt="203" style="position:absolute;left:0pt;margin-left:71.45pt;margin-top:0.15pt;height:75pt;width:148.55pt;mso-position-horizontal-relative:page;z-index:251660288;mso-width-relative:page;mso-height-relative:page;" coordorigin="1429,3" coordsize="2971,1500" o:gfxdata="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">
                <o:lock v:ext="edit" aspectratio="f"/>
                <v:shape id="Picture 54" o:spid="_x0000_s1026" o:spt="75" alt="CBER logo" type="#_x0000_t75" style="position:absolute;left:2870;top:51;height:1365;width:1530;" filled="f" o:preferrelative="t" stroked="f" coordsize="21600,21600" o:gfxdata="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fGcI7sAAADb&#10;AAAADwAAAAAAAAABACAAAAAiAAAAZHJzL2Rvd25yZXYueG1sUEsBAhQAFAAAAAgAh07iQDMvBZ47&#10;AAAAOQAAABAAAAAAAAAAAQAgAAAACgEAAGRycy9zaGFwZXhtbC54bWxQSwUGAAAAAAYABgBbAQAA&#10;tAMAAAAA&#10;">
                  <v:fill on="f" focussize="0,0"/>
                  <v:stroke on="f"/>
                  <v:imagedata r:id="rId6" o:title=""/>
                  <o:lock v:ext="edit" aspectratio="t"/>
                </v:shape>
                <v:shape id="Picture 55" o:spid="_x0000_s1026" o:spt="75" alt="CDRH logo" type="#_x0000_t75" style="position:absolute;left:1429;top:3;height:1500;width:1440;" filled="f" o:preferrelative="t" stroked="f" coordsize="21600,21600" o:gfxdata="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DVu+q/&#10;AAAA2wAAAA8AAAAAAAAAAQAgAAAAIgAAAGRycy9kb3ducmV2LnhtbFBLAQIUABQAAAAIAIdO4kAz&#10;LwWeOwAAADkAAAAQAAAAAAAAAAEAIAAAAA4BAABkcnMvc2hhcGV4bWwueG1sUEsFBgAAAAAGAAYA&#10;WwEAALgDAAAAAA==&#10;">
                  <v:fill on="f" focussize="0,0"/>
                  <v:stroke on="f"/>
                  <v:imagedata r:id="rId7" o:title=""/>
                  <o:lock v:ext="edit" aspectratio="t"/>
                </v:shape>
              </v:group>
            </w:pict>
          </mc:Fallback>
        </mc:AlternateContent>
      </w:r>
      <w:r>
        <w:rPr>
          <w:rFonts w:ascii="Arial" w:hAnsi="Arial" w:eastAsia="宋体" w:cs="Arial"/>
          <w:b/>
          <w:lang w:eastAsia="zh-CN"/>
        </w:rPr>
        <w:t>美国卫生与公众服务部</w:t>
      </w:r>
    </w:p>
    <w:p w14:paraId="671F6653">
      <w:pPr>
        <w:pStyle w:val="6"/>
        <w:snapToGrid w:val="0"/>
        <w:spacing w:line="300" w:lineRule="auto"/>
        <w:ind w:left="139"/>
        <w:jc w:val="right"/>
        <w:rPr>
          <w:rFonts w:ascii="Arial" w:hAnsi="Arial" w:eastAsia="宋体" w:cs="Arial"/>
          <w:b/>
          <w:lang w:eastAsia="zh-CN"/>
        </w:rPr>
      </w:pPr>
      <w:r>
        <w:rPr>
          <w:rFonts w:ascii="Arial" w:hAnsi="Arial" w:eastAsia="宋体" w:cs="Arial"/>
          <w:b/>
          <w:lang w:eastAsia="zh-CN"/>
        </w:rPr>
        <w:t>食品药品监督管理局</w:t>
      </w:r>
    </w:p>
    <w:p w14:paraId="63CE49B9">
      <w:pPr>
        <w:pStyle w:val="6"/>
        <w:snapToGrid w:val="0"/>
        <w:spacing w:line="300" w:lineRule="auto"/>
        <w:ind w:left="139"/>
        <w:jc w:val="right"/>
        <w:rPr>
          <w:rFonts w:ascii="Arial" w:hAnsi="Arial" w:eastAsia="宋体" w:cs="Arial"/>
          <w:b/>
          <w:lang w:eastAsia="zh-CN"/>
        </w:rPr>
      </w:pPr>
      <w:r>
        <w:rPr>
          <w:rFonts w:ascii="Arial" w:hAnsi="Arial" w:eastAsia="宋体" w:cs="Arial"/>
          <w:b/>
          <w:lang w:eastAsia="zh-CN"/>
        </w:rPr>
        <w:t>器械与放射卫生中心</w:t>
      </w:r>
    </w:p>
    <w:p w14:paraId="639A8C6E">
      <w:pPr>
        <w:pStyle w:val="6"/>
        <w:snapToGrid w:val="0"/>
        <w:spacing w:line="300" w:lineRule="auto"/>
        <w:ind w:left="139"/>
        <w:jc w:val="right"/>
        <w:rPr>
          <w:rFonts w:ascii="Arial" w:hAnsi="Arial" w:eastAsia="宋体" w:cs="Arial"/>
          <w:b/>
          <w:lang w:eastAsia="zh-CN"/>
        </w:rPr>
      </w:pPr>
      <w:r>
        <w:rPr>
          <w:rFonts w:ascii="Arial" w:hAnsi="Arial" w:eastAsia="宋体" w:cs="Arial"/>
          <w:b/>
          <w:lang w:eastAsia="zh-CN"/>
        </w:rPr>
        <w:t>器械评估办公室</w:t>
      </w:r>
    </w:p>
    <w:p w14:paraId="6AC3FE57">
      <w:pPr>
        <w:pStyle w:val="6"/>
        <w:snapToGrid w:val="0"/>
        <w:spacing w:line="300" w:lineRule="auto"/>
        <w:ind w:left="139"/>
        <w:jc w:val="right"/>
        <w:rPr>
          <w:rFonts w:ascii="Arial" w:hAnsi="Arial" w:eastAsia="宋体" w:cs="Arial"/>
          <w:b/>
          <w:lang w:eastAsia="zh-CN"/>
        </w:rPr>
      </w:pPr>
    </w:p>
    <w:p w14:paraId="7ECAF707">
      <w:pPr>
        <w:pStyle w:val="6"/>
        <w:snapToGrid w:val="0"/>
        <w:spacing w:line="300" w:lineRule="auto"/>
        <w:ind w:left="139"/>
        <w:jc w:val="right"/>
        <w:rPr>
          <w:rFonts w:ascii="Arial" w:hAnsi="Arial" w:eastAsia="宋体" w:cs="Arial"/>
          <w:b/>
          <w:lang w:eastAsia="zh-CN"/>
        </w:rPr>
        <w:sectPr>
          <w:type w:val="continuous"/>
          <w:pgSz w:w="12260" w:h="15840"/>
          <w:pgMar w:top="1134" w:right="1134" w:bottom="1134" w:left="1134" w:header="720" w:footer="720" w:gutter="0"/>
          <w:cols w:space="720" w:num="1"/>
          <w:docGrid w:linePitch="299" w:charSpace="0"/>
        </w:sectPr>
      </w:pPr>
      <w:r>
        <w:rPr>
          <w:rFonts w:ascii="Arial" w:hAnsi="Arial" w:eastAsia="宋体" w:cs="Arial"/>
          <w:b/>
          <w:lang w:eastAsia="zh-CN"/>
        </w:rPr>
        <w:t>生物制品评价和研究中心</w:t>
      </w:r>
    </w:p>
    <w:p w14:paraId="388E8D78">
      <w:pPr>
        <w:snapToGrid w:val="0"/>
        <w:spacing w:line="300" w:lineRule="auto"/>
        <w:rPr>
          <w:rFonts w:ascii="Arial" w:hAnsi="Arial" w:eastAsia="宋体" w:cs="Arial"/>
          <w:b/>
          <w:bCs/>
          <w:sz w:val="20"/>
          <w:szCs w:val="20"/>
          <w:lang w:eastAsia="zh-CN"/>
        </w:rPr>
      </w:pPr>
    </w:p>
    <w:p w14:paraId="2B556FFA">
      <w:pPr>
        <w:snapToGrid w:val="0"/>
        <w:spacing w:before="10" w:line="300" w:lineRule="auto"/>
        <w:rPr>
          <w:rFonts w:ascii="Arial" w:hAnsi="Arial" w:eastAsia="宋体" w:cs="Arial"/>
          <w:b/>
          <w:bCs/>
          <w:sz w:val="15"/>
          <w:szCs w:val="15"/>
          <w:lang w:eastAsia="zh-CN"/>
        </w:rPr>
      </w:pPr>
    </w:p>
    <w:p w14:paraId="6F687B24">
      <w:pPr>
        <w:snapToGrid w:val="0"/>
        <w:spacing w:line="300" w:lineRule="auto"/>
        <w:rPr>
          <w:rFonts w:ascii="Arial" w:hAnsi="Arial" w:eastAsia="宋体" w:cs="Arial"/>
          <w:b/>
          <w:bCs/>
          <w:sz w:val="36"/>
          <w:szCs w:val="36"/>
          <w:lang w:eastAsia="zh-CN"/>
        </w:rPr>
      </w:pPr>
    </w:p>
    <w:p w14:paraId="16F2344C">
      <w:pPr>
        <w:snapToGrid w:val="0"/>
        <w:spacing w:before="3" w:line="300" w:lineRule="auto"/>
        <w:rPr>
          <w:rFonts w:ascii="Arial" w:hAnsi="Arial" w:eastAsia="宋体" w:cs="Arial"/>
          <w:b/>
          <w:bCs/>
          <w:sz w:val="39"/>
          <w:szCs w:val="39"/>
          <w:lang w:eastAsia="zh-CN"/>
        </w:rPr>
      </w:pPr>
    </w:p>
    <w:p w14:paraId="5EDED3BF">
      <w:pPr>
        <w:snapToGrid w:val="0"/>
        <w:spacing w:before="38" w:line="300" w:lineRule="auto"/>
        <w:ind w:left="100"/>
        <w:jc w:val="center"/>
        <w:rPr>
          <w:rFonts w:ascii="Arial" w:hAnsi="Arial" w:eastAsia="宋体" w:cs="Arial"/>
          <w:sz w:val="48"/>
          <w:szCs w:val="48"/>
          <w:lang w:eastAsia="zh-CN"/>
        </w:rPr>
      </w:pPr>
      <w:r>
        <w:rPr>
          <w:rFonts w:ascii="Arial" w:hAnsi="Arial" w:eastAsia="宋体" w:cs="Arial"/>
          <w:b/>
          <w:sz w:val="48"/>
          <w:lang w:eastAsia="zh-CN"/>
        </w:rPr>
        <w:t>前言</w:t>
      </w:r>
    </w:p>
    <w:p w14:paraId="1D40FB73">
      <w:pPr>
        <w:snapToGrid w:val="0"/>
        <w:spacing w:line="300" w:lineRule="auto"/>
        <w:rPr>
          <w:rFonts w:ascii="Arial" w:hAnsi="Arial" w:eastAsia="宋体" w:cs="Arial"/>
          <w:b/>
          <w:sz w:val="36"/>
          <w:szCs w:val="36"/>
          <w:lang w:eastAsia="zh-CN"/>
        </w:rPr>
      </w:pPr>
    </w:p>
    <w:p w14:paraId="47E5A90F">
      <w:pPr>
        <w:snapToGrid w:val="0"/>
        <w:spacing w:line="300" w:lineRule="auto"/>
        <w:rPr>
          <w:rFonts w:ascii="Arial" w:hAnsi="Arial" w:eastAsia="宋体" w:cs="Arial"/>
          <w:b/>
          <w:sz w:val="36"/>
          <w:szCs w:val="36"/>
          <w:lang w:eastAsia="zh-CN"/>
        </w:rPr>
      </w:pPr>
      <w:r>
        <w:rPr>
          <w:rFonts w:ascii="Arial" w:hAnsi="Arial" w:eastAsia="宋体" w:cs="Arial"/>
          <w:b/>
          <w:sz w:val="36"/>
          <w:szCs w:val="36"/>
          <w:lang w:eastAsia="zh-CN"/>
        </w:rPr>
        <w:t>公共评论</w:t>
      </w:r>
    </w:p>
    <w:p w14:paraId="2027CB24">
      <w:pPr>
        <w:snapToGrid w:val="0"/>
        <w:spacing w:before="5" w:line="300" w:lineRule="auto"/>
        <w:rPr>
          <w:rFonts w:ascii="Arial" w:hAnsi="Arial" w:eastAsia="宋体" w:cs="Arial"/>
          <w:b/>
          <w:bCs/>
          <w:sz w:val="17"/>
          <w:szCs w:val="17"/>
          <w:lang w:eastAsia="zh-CN"/>
        </w:rPr>
      </w:pPr>
    </w:p>
    <w:p w14:paraId="0A64A578">
      <w:pPr>
        <w:pStyle w:val="6"/>
        <w:snapToGrid w:val="0"/>
        <w:spacing w:before="69" w:line="300" w:lineRule="auto"/>
        <w:ind w:left="0"/>
        <w:jc w:val="both"/>
        <w:rPr>
          <w:rFonts w:ascii="Arial" w:hAnsi="Arial" w:eastAsia="宋体" w:cs="Arial"/>
          <w:lang w:eastAsia="zh-CN"/>
        </w:rPr>
      </w:pPr>
      <w:r>
        <w:rPr>
          <w:rFonts w:ascii="Arial" w:hAnsi="Arial" w:eastAsia="宋体" w:cs="Arial"/>
          <w:lang w:eastAsia="zh-CN"/>
        </w:rPr>
        <w:t>贵公司可以随时提交电子评论和建议至</w:t>
      </w:r>
      <w:r>
        <w:rPr>
          <w:rFonts w:ascii="Arial" w:hAnsi="Arial" w:eastAsia="宋体" w:cs="Arial"/>
          <w:color w:val="0000FF"/>
          <w:u w:val="single"/>
          <w:lang w:eastAsia="zh-CN"/>
        </w:rPr>
        <w:t>http：//www.regulations.gov</w:t>
      </w:r>
      <w:r>
        <w:rPr>
          <w:rFonts w:ascii="Arial" w:hAnsi="Arial" w:eastAsia="宋体" w:cs="Arial"/>
          <w:lang w:eastAsia="zh-CN"/>
        </w:rPr>
        <w:t>，供部门审议。书面评论请提交至食品药品监督管理局，文档管理部（5630 Fishers Lane，Room 1061，（HFA-305），Rockville，MD，20852）。请使用文档编号FDA–2008–D–0611标识所有评论。可能直到文件下次修订或更新时，评论才会被机构受理。</w:t>
      </w:r>
    </w:p>
    <w:p w14:paraId="438D704F">
      <w:pPr>
        <w:snapToGrid w:val="0"/>
        <w:spacing w:before="6" w:line="300" w:lineRule="auto"/>
        <w:jc w:val="both"/>
        <w:rPr>
          <w:rFonts w:ascii="Arial" w:hAnsi="Arial" w:eastAsia="宋体" w:cs="Arial"/>
          <w:sz w:val="24"/>
          <w:szCs w:val="24"/>
          <w:lang w:eastAsia="zh-CN"/>
        </w:rPr>
      </w:pPr>
    </w:p>
    <w:p w14:paraId="469195C8">
      <w:pPr>
        <w:snapToGrid w:val="0"/>
        <w:spacing w:line="300" w:lineRule="auto"/>
        <w:jc w:val="both"/>
        <w:rPr>
          <w:rFonts w:ascii="Arial" w:hAnsi="Arial" w:eastAsia="宋体" w:cs="Arial"/>
          <w:b/>
          <w:sz w:val="36"/>
          <w:szCs w:val="36"/>
          <w:lang w:eastAsia="zh-CN"/>
        </w:rPr>
      </w:pPr>
      <w:r>
        <w:rPr>
          <w:rFonts w:ascii="Arial" w:hAnsi="Arial" w:eastAsia="宋体" w:cs="Arial"/>
          <w:b/>
          <w:sz w:val="36"/>
          <w:szCs w:val="36"/>
          <w:lang w:eastAsia="zh-CN"/>
        </w:rPr>
        <w:t>其他副本</w:t>
      </w:r>
    </w:p>
    <w:p w14:paraId="65FBEB23">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其他副本可从互联网获得。贵公司还可以向CDRH-Guidance@fda.hhs.gov发送电子邮件请求，以接收本指南的副本。请使用文件编号1748来标识贵公司要求获得的指南。</w:t>
      </w:r>
    </w:p>
    <w:p w14:paraId="0B584ECA">
      <w:pPr>
        <w:pStyle w:val="6"/>
        <w:snapToGrid w:val="0"/>
        <w:spacing w:line="300" w:lineRule="auto"/>
        <w:ind w:left="0"/>
        <w:jc w:val="both"/>
        <w:rPr>
          <w:rFonts w:ascii="Arial" w:hAnsi="Arial" w:eastAsia="宋体" w:cs="Arial"/>
          <w:lang w:eastAsia="zh-CN"/>
        </w:rPr>
      </w:pPr>
    </w:p>
    <w:p w14:paraId="2DFBBA92">
      <w:pPr>
        <w:pStyle w:val="6"/>
        <w:snapToGrid w:val="0"/>
        <w:spacing w:line="300" w:lineRule="auto"/>
        <w:ind w:left="0"/>
        <w:rPr>
          <w:rFonts w:ascii="Arial" w:hAnsi="Arial" w:eastAsia="宋体" w:cs="Arial"/>
        </w:rPr>
      </w:pPr>
      <w:r>
        <w:rPr>
          <w:rFonts w:ascii="Arial" w:hAnsi="Arial" w:eastAsia="宋体" w:cs="Arial"/>
          <w:lang w:eastAsia="zh-CN"/>
        </w:rPr>
        <w:t>其他副本还可通过提交书面请求（地址为10903 New Hampshire Ave.，WO71，Room 3128，Silver Spring，MD 20993-0002）或致电1-800-835-4709或240-402-7800或发送电子邮件至</w:t>
      </w:r>
      <w:r>
        <w:rPr>
          <w:rFonts w:ascii="Arial" w:hAnsi="Arial" w:eastAsia="宋体" w:cs="Arial"/>
          <w:color w:val="0000FF"/>
          <w:u w:val="single"/>
          <w:lang w:eastAsia="zh-CN"/>
        </w:rPr>
        <w:t>ocod@</w:t>
      </w:r>
      <w:r>
        <w:rPr>
          <w:rFonts w:ascii="Arial" w:hAnsi="Arial" w:eastAsia="宋体" w:cs="Arial"/>
          <w:color w:val="0000FF"/>
          <w:u w:val="single"/>
        </w:rPr>
        <w:t>fda.hhs.gov</w:t>
      </w:r>
      <w:r>
        <w:rPr>
          <w:rFonts w:ascii="Arial" w:hAnsi="Arial" w:eastAsia="宋体" w:cs="Arial"/>
          <w:lang w:eastAsia="zh-CN"/>
        </w:rPr>
        <w:t>从交流、外联与开发办</w:t>
      </w:r>
      <w:bookmarkStart w:id="0" w:name="OLE_LINK4"/>
      <w:bookmarkStart w:id="1" w:name="OLE_LINK3"/>
      <w:r>
        <w:rPr>
          <w:rFonts w:ascii="Arial" w:hAnsi="Arial" w:eastAsia="宋体" w:cs="Arial"/>
          <w:lang w:eastAsia="zh-CN"/>
        </w:rPr>
        <w:t>公</w:t>
      </w:r>
      <w:bookmarkEnd w:id="0"/>
      <w:bookmarkEnd w:id="1"/>
      <w:r>
        <w:rPr>
          <w:rFonts w:ascii="Arial" w:hAnsi="Arial" w:eastAsia="宋体" w:cs="Arial"/>
          <w:lang w:eastAsia="zh-CN"/>
        </w:rPr>
        <w:t>室（OCOD），生物制品评价和研究中心（CBER）处获得，或访问网站：</w:t>
      </w:r>
      <w:r>
        <w:rPr>
          <w:rFonts w:ascii="Arial" w:hAnsi="Arial" w:eastAsia="宋体" w:cs="Arial"/>
          <w:color w:val="0000FF"/>
          <w:u w:val="single"/>
        </w:rPr>
        <w:t>http：//www.fda.gov/BiologicsBloodVaccines/GuidanceComplianceRegulatoryInformation/Guida nces/default.htm</w:t>
      </w:r>
      <w:r>
        <w:rPr>
          <w:rFonts w:ascii="Arial" w:hAnsi="Arial" w:eastAsia="宋体" w:cs="Arial"/>
        </w:rPr>
        <w:t>。</w:t>
      </w:r>
    </w:p>
    <w:p w14:paraId="0DD96818">
      <w:pPr>
        <w:snapToGrid w:val="0"/>
        <w:spacing w:line="300" w:lineRule="auto"/>
        <w:jc w:val="both"/>
        <w:rPr>
          <w:rFonts w:ascii="Arial" w:hAnsi="Arial" w:eastAsia="宋体" w:cs="Arial"/>
        </w:rPr>
        <w:sectPr>
          <w:headerReference r:id="rId3" w:type="default"/>
          <w:type w:val="continuous"/>
          <w:pgSz w:w="12260" w:h="15840"/>
          <w:pgMar w:top="1134" w:right="1134" w:bottom="1134" w:left="1134" w:header="720" w:footer="720" w:gutter="0"/>
          <w:cols w:space="720" w:num="1"/>
          <w:docGrid w:linePitch="299" w:charSpace="0"/>
        </w:sectPr>
      </w:pPr>
    </w:p>
    <w:p w14:paraId="58FFA56C">
      <w:pPr>
        <w:snapToGrid w:val="0"/>
        <w:spacing w:line="300" w:lineRule="auto"/>
        <w:jc w:val="both"/>
        <w:rPr>
          <w:rFonts w:ascii="Arial" w:hAnsi="Arial" w:eastAsia="宋体" w:cs="Arial"/>
          <w:sz w:val="20"/>
          <w:szCs w:val="20"/>
        </w:rPr>
      </w:pPr>
    </w:p>
    <w:p w14:paraId="01D49F66">
      <w:pPr>
        <w:snapToGrid w:val="0"/>
        <w:spacing w:line="300" w:lineRule="auto"/>
        <w:jc w:val="both"/>
        <w:rPr>
          <w:rFonts w:ascii="Arial" w:hAnsi="Arial" w:eastAsia="宋体" w:cs="Arial"/>
        </w:rPr>
        <w:sectPr>
          <w:pgSz w:w="12260" w:h="15840"/>
          <w:pgMar w:top="1134" w:right="1134" w:bottom="1134" w:left="1134" w:header="748" w:footer="0" w:gutter="0"/>
          <w:cols w:space="720" w:num="1"/>
          <w:docGrid w:linePitch="299" w:charSpace="0"/>
        </w:sectPr>
      </w:pPr>
    </w:p>
    <w:sdt>
      <w:sdtPr>
        <w:rPr>
          <w:rFonts w:ascii="Arial" w:hAnsi="Arial" w:eastAsia="宋体" w:cs="Arial"/>
          <w:b/>
          <w:color w:val="auto"/>
          <w:sz w:val="22"/>
          <w:szCs w:val="22"/>
          <w:lang w:val="zh-CN" w:eastAsia="en-US"/>
        </w:rPr>
        <w:id w:val="-1147280103"/>
        <w:docPartObj>
          <w:docPartGallery w:val="Table of Contents"/>
          <w:docPartUnique/>
        </w:docPartObj>
      </w:sdtPr>
      <w:sdtEndPr>
        <w:rPr>
          <w:rFonts w:ascii="Arial" w:hAnsi="Arial" w:eastAsia="宋体" w:cs="Arial"/>
          <w:b/>
          <w:bCs/>
          <w:color w:val="auto"/>
          <w:sz w:val="22"/>
          <w:szCs w:val="22"/>
          <w:lang w:val="zh-CN" w:eastAsia="en-US"/>
        </w:rPr>
      </w:sdtEndPr>
      <w:sdtContent>
        <w:p w14:paraId="05A2EF17">
          <w:pPr>
            <w:pStyle w:val="22"/>
            <w:snapToGrid w:val="0"/>
            <w:spacing w:line="300" w:lineRule="auto"/>
            <w:ind w:firstLine="850" w:firstLineChars="385"/>
            <w:jc w:val="both"/>
            <w:rPr>
              <w:rFonts w:ascii="Arial" w:hAnsi="Arial" w:eastAsia="宋体" w:cs="Arial"/>
              <w:b/>
              <w:color w:val="auto"/>
              <w:lang w:val="zh-CN"/>
            </w:rPr>
          </w:pPr>
          <w:r>
            <w:rPr>
              <w:rFonts w:ascii="Arial" w:hAnsi="Arial" w:eastAsia="宋体" w:cs="Arial"/>
              <w:b/>
              <w:color w:val="auto"/>
              <w:lang w:val="zh-CN"/>
            </w:rPr>
            <w:t>目录</w:t>
          </w:r>
        </w:p>
        <w:p w14:paraId="0F316FC3">
          <w:pPr>
            <w:rPr>
              <w:lang w:val="zh-CN" w:eastAsia="zh-CN"/>
            </w:rPr>
          </w:pPr>
        </w:p>
        <w:p w14:paraId="14497E19">
          <w:pPr>
            <w:pStyle w:val="12"/>
            <w:tabs>
              <w:tab w:val="left" w:pos="1320"/>
              <w:tab w:val="right" w:leader="dot" w:pos="9982"/>
            </w:tabs>
            <w:rPr>
              <w:rFonts w:ascii="Arial" w:hAnsi="Arial" w:eastAsia="宋体" w:cs="Arial"/>
              <w:b w:val="0"/>
              <w:kern w:val="2"/>
              <w:sz w:val="21"/>
              <w:szCs w:val="22"/>
              <w:lang w:eastAsia="zh-CN"/>
            </w:rPr>
          </w:pPr>
          <w:r>
            <w:rPr>
              <w:rFonts w:ascii="Arial" w:hAnsi="Arial" w:eastAsia="宋体" w:cs="Arial"/>
            </w:rPr>
            <w:fldChar w:fldCharType="begin"/>
          </w:r>
          <w:r>
            <w:rPr>
              <w:rFonts w:ascii="Arial" w:hAnsi="Arial" w:eastAsia="宋体" w:cs="Arial"/>
            </w:rPr>
            <w:instrText xml:space="preserve"> TOC \o "1-3" \h \z \u </w:instrText>
          </w:r>
          <w:r>
            <w:rPr>
              <w:rFonts w:ascii="Arial" w:hAnsi="Arial" w:eastAsia="宋体" w:cs="Arial"/>
            </w:rPr>
            <w:fldChar w:fldCharType="separate"/>
          </w:r>
          <w:r>
            <w:fldChar w:fldCharType="begin"/>
          </w:r>
          <w:r>
            <w:instrText xml:space="preserve"> HYPERLINK \l "_Toc481569186" </w:instrText>
          </w:r>
          <w:r>
            <w:fldChar w:fldCharType="separate"/>
          </w:r>
          <w:r>
            <w:rPr>
              <w:rStyle w:val="15"/>
              <w:rFonts w:ascii="Arial" w:hAnsi="Arial" w:eastAsia="宋体" w:cs="Arial"/>
              <w:spacing w:val="-6"/>
              <w:w w:val="99"/>
            </w:rPr>
            <w:t>I.</w:t>
          </w:r>
          <w:r>
            <w:rPr>
              <w:rFonts w:ascii="Arial" w:hAnsi="Arial" w:eastAsia="宋体" w:cs="Arial"/>
              <w:b w:val="0"/>
              <w:kern w:val="2"/>
              <w:sz w:val="21"/>
              <w:szCs w:val="22"/>
              <w:lang w:eastAsia="zh-CN"/>
            </w:rPr>
            <w:tab/>
          </w:r>
          <w:r>
            <w:rPr>
              <w:rStyle w:val="15"/>
              <w:rFonts w:ascii="Arial" w:hAnsi="Arial" w:eastAsia="宋体" w:cs="Arial"/>
              <w:lang w:eastAsia="zh-CN"/>
            </w:rPr>
            <w:t>引言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_Toc481569186 \h </w:instrText>
          </w:r>
          <w:r>
            <w:rPr>
              <w:rFonts w:ascii="Arial" w:hAnsi="Arial" w:eastAsia="宋体" w:cs="Arial"/>
            </w:rPr>
            <w:fldChar w:fldCharType="separate"/>
          </w:r>
          <w:r>
            <w:rPr>
              <w:rFonts w:ascii="Arial" w:hAnsi="Arial" w:eastAsia="宋体" w:cs="Arial"/>
            </w:rPr>
            <w:t>1</w:t>
          </w:r>
          <w:r>
            <w:rPr>
              <w:rFonts w:ascii="Arial" w:hAnsi="Arial" w:eastAsia="宋体" w:cs="Arial"/>
            </w:rPr>
            <w:fldChar w:fldCharType="end"/>
          </w:r>
          <w:r>
            <w:rPr>
              <w:rFonts w:ascii="Arial" w:hAnsi="Arial" w:eastAsia="宋体" w:cs="Arial"/>
            </w:rPr>
            <w:fldChar w:fldCharType="end"/>
          </w:r>
        </w:p>
        <w:p w14:paraId="3540DB83">
          <w:pPr>
            <w:pStyle w:val="12"/>
            <w:tabs>
              <w:tab w:val="left" w:pos="1320"/>
              <w:tab w:val="right" w:leader="dot" w:pos="9982"/>
            </w:tabs>
            <w:rPr>
              <w:rFonts w:ascii="Arial" w:hAnsi="Arial" w:eastAsia="宋体" w:cs="Arial"/>
              <w:b w:val="0"/>
              <w:kern w:val="2"/>
              <w:sz w:val="21"/>
              <w:szCs w:val="22"/>
              <w:lang w:eastAsia="zh-CN"/>
            </w:rPr>
          </w:pPr>
          <w:r>
            <w:fldChar w:fldCharType="begin"/>
          </w:r>
          <w:r>
            <w:instrText xml:space="preserve"> HYPERLINK \l "_Toc481569187" </w:instrText>
          </w:r>
          <w:r>
            <w:fldChar w:fldCharType="separate"/>
          </w:r>
          <w:r>
            <w:rPr>
              <w:rStyle w:val="15"/>
              <w:rFonts w:ascii="Arial" w:hAnsi="Arial" w:eastAsia="宋体" w:cs="Arial"/>
              <w:spacing w:val="-6"/>
              <w:w w:val="99"/>
            </w:rPr>
            <w:t>II.</w:t>
          </w:r>
          <w:r>
            <w:rPr>
              <w:rFonts w:ascii="Arial" w:hAnsi="Arial" w:eastAsia="宋体" w:cs="Arial"/>
              <w:b w:val="0"/>
              <w:kern w:val="2"/>
              <w:sz w:val="21"/>
              <w:szCs w:val="22"/>
              <w:lang w:eastAsia="zh-CN"/>
            </w:rPr>
            <w:tab/>
          </w:r>
          <w:r>
            <w:rPr>
              <w:rStyle w:val="15"/>
              <w:rFonts w:ascii="Arial" w:hAnsi="Arial" w:eastAsia="宋体" w:cs="Arial"/>
              <w:lang w:eastAsia="zh-CN"/>
            </w:rPr>
            <w:t>背景</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_Toc481569187 \h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rPr>
            <w:fldChar w:fldCharType="end"/>
          </w:r>
        </w:p>
        <w:p w14:paraId="0A7EEC82">
          <w:pPr>
            <w:pStyle w:val="12"/>
            <w:tabs>
              <w:tab w:val="left" w:pos="1320"/>
              <w:tab w:val="right" w:leader="dot" w:pos="9982"/>
            </w:tabs>
            <w:rPr>
              <w:rFonts w:ascii="Arial" w:hAnsi="Arial" w:eastAsia="宋体" w:cs="Arial"/>
              <w:b w:val="0"/>
              <w:kern w:val="2"/>
              <w:sz w:val="21"/>
              <w:szCs w:val="22"/>
              <w:lang w:eastAsia="zh-CN"/>
            </w:rPr>
          </w:pPr>
          <w:r>
            <w:fldChar w:fldCharType="begin"/>
          </w:r>
          <w:r>
            <w:instrText xml:space="preserve"> HYPERLINK \l "_Toc481569188" </w:instrText>
          </w:r>
          <w:r>
            <w:fldChar w:fldCharType="separate"/>
          </w:r>
          <w:r>
            <w:rPr>
              <w:rStyle w:val="15"/>
              <w:rFonts w:ascii="Arial" w:hAnsi="Arial" w:eastAsia="宋体" w:cs="Arial"/>
              <w:spacing w:val="-6"/>
              <w:w w:val="99"/>
            </w:rPr>
            <w:t>III.</w:t>
          </w:r>
          <w:r>
            <w:rPr>
              <w:rFonts w:ascii="Arial" w:hAnsi="Arial" w:eastAsia="宋体" w:cs="Arial"/>
              <w:b w:val="0"/>
              <w:kern w:val="2"/>
              <w:sz w:val="21"/>
              <w:szCs w:val="22"/>
              <w:lang w:eastAsia="zh-CN"/>
            </w:rPr>
            <w:tab/>
          </w:r>
          <w:r>
            <w:rPr>
              <w:rStyle w:val="15"/>
              <w:rFonts w:ascii="Arial" w:hAnsi="Arial" w:eastAsia="宋体" w:cs="Arial"/>
              <w:lang w:eastAsia="zh-CN"/>
            </w:rPr>
            <w:t>范围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_Toc481569188 \h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rPr>
            <w:fldChar w:fldCharType="end"/>
          </w:r>
        </w:p>
        <w:p w14:paraId="046B76EE">
          <w:pPr>
            <w:pStyle w:val="7"/>
            <w:tabs>
              <w:tab w:val="right" w:leader="dot" w:pos="9982"/>
            </w:tabs>
            <w:ind w:left="880" w:firstLine="550" w:firstLineChars="250"/>
            <w:rPr>
              <w:rFonts w:ascii="Arial" w:hAnsi="Arial" w:eastAsia="宋体" w:cs="Arial"/>
              <w:kern w:val="2"/>
              <w:sz w:val="21"/>
              <w:lang w:eastAsia="zh-CN"/>
            </w:rPr>
          </w:pPr>
          <w:r>
            <w:fldChar w:fldCharType="begin"/>
          </w:r>
          <w:r>
            <w:instrText xml:space="preserve"> HYPERLINK \l "_Toc481569189" </w:instrText>
          </w:r>
          <w:r>
            <w:fldChar w:fldCharType="separate"/>
          </w:r>
          <w:r>
            <w:rPr>
              <w:rStyle w:val="15"/>
              <w:rFonts w:ascii="Arial" w:hAnsi="Arial" w:eastAsia="宋体" w:cs="Arial"/>
              <w:lang w:eastAsia="zh-CN"/>
            </w:rPr>
            <w:t>排除</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_Toc481569189 \h </w:instrText>
          </w:r>
          <w:r>
            <w:rPr>
              <w:rFonts w:ascii="Arial" w:hAnsi="Arial" w:eastAsia="宋体" w:cs="Arial"/>
            </w:rPr>
            <w:fldChar w:fldCharType="separate"/>
          </w:r>
          <w:r>
            <w:rPr>
              <w:rFonts w:ascii="Arial" w:hAnsi="Arial" w:eastAsia="宋体" w:cs="Arial"/>
            </w:rPr>
            <w:t>3</w:t>
          </w:r>
          <w:r>
            <w:rPr>
              <w:rFonts w:ascii="Arial" w:hAnsi="Arial" w:eastAsia="宋体" w:cs="Arial"/>
            </w:rPr>
            <w:fldChar w:fldCharType="end"/>
          </w:r>
          <w:r>
            <w:rPr>
              <w:rFonts w:ascii="Arial" w:hAnsi="Arial" w:eastAsia="宋体" w:cs="Arial"/>
            </w:rPr>
            <w:fldChar w:fldCharType="end"/>
          </w:r>
        </w:p>
        <w:p w14:paraId="49B9DD7D">
          <w:pPr>
            <w:pStyle w:val="12"/>
            <w:tabs>
              <w:tab w:val="left" w:pos="1470"/>
              <w:tab w:val="right" w:leader="dot" w:pos="9982"/>
            </w:tabs>
            <w:rPr>
              <w:rFonts w:ascii="Arial" w:hAnsi="Arial" w:eastAsia="宋体" w:cs="Arial"/>
              <w:b w:val="0"/>
              <w:kern w:val="2"/>
              <w:sz w:val="21"/>
              <w:szCs w:val="22"/>
              <w:lang w:eastAsia="zh-CN"/>
            </w:rPr>
          </w:pPr>
          <w:r>
            <w:fldChar w:fldCharType="begin"/>
          </w:r>
          <w:r>
            <w:instrText xml:space="preserve"> HYPERLINK \l "_Toc481569190" </w:instrText>
          </w:r>
          <w:r>
            <w:fldChar w:fldCharType="separate"/>
          </w:r>
          <w:r>
            <w:rPr>
              <w:rStyle w:val="15"/>
              <w:rFonts w:ascii="Arial" w:hAnsi="Arial" w:eastAsia="宋体" w:cs="Arial"/>
              <w:spacing w:val="-6"/>
              <w:w w:val="99"/>
              <w:lang w:eastAsia="zh-CN"/>
            </w:rPr>
            <w:t>IV.</w:t>
          </w:r>
          <w:r>
            <w:rPr>
              <w:rFonts w:ascii="Arial" w:hAnsi="Arial" w:eastAsia="宋体" w:cs="Arial"/>
              <w:b w:val="0"/>
              <w:kern w:val="2"/>
              <w:sz w:val="21"/>
              <w:szCs w:val="22"/>
              <w:lang w:eastAsia="zh-CN"/>
            </w:rPr>
            <w:tab/>
          </w:r>
          <w:r>
            <w:rPr>
              <w:rStyle w:val="15"/>
              <w:rFonts w:ascii="Arial" w:hAnsi="Arial" w:eastAsia="宋体" w:cs="Arial"/>
              <w:lang w:eastAsia="zh-CN"/>
            </w:rPr>
            <w:t>可重复使用医疗器械的一般考虑</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_Toc481569190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47F9776E">
          <w:pPr>
            <w:pStyle w:val="7"/>
            <w:tabs>
              <w:tab w:val="left" w:pos="1320"/>
              <w:tab w:val="right" w:leader="dot" w:pos="9982"/>
            </w:tabs>
            <w:ind w:left="880"/>
            <w:rPr>
              <w:rFonts w:ascii="Arial" w:hAnsi="Arial" w:eastAsia="宋体" w:cs="Arial"/>
              <w:kern w:val="2"/>
              <w:sz w:val="21"/>
              <w:lang w:eastAsia="zh-CN"/>
            </w:rPr>
          </w:pPr>
          <w:r>
            <w:fldChar w:fldCharType="begin"/>
          </w:r>
          <w:r>
            <w:instrText xml:space="preserve"> HYPERLINK \l "_Toc481569191" </w:instrText>
          </w:r>
          <w:r>
            <w:fldChar w:fldCharType="separate"/>
          </w:r>
          <w:r>
            <w:rPr>
              <w:rStyle w:val="15"/>
              <w:rFonts w:ascii="Arial" w:hAnsi="Arial" w:eastAsia="宋体" w:cs="Arial"/>
              <w:spacing w:val="-2"/>
              <w:lang w:eastAsia="zh-CN"/>
            </w:rPr>
            <w:t>A.</w:t>
          </w:r>
          <w:r>
            <w:rPr>
              <w:rFonts w:ascii="Arial" w:hAnsi="Arial" w:eastAsia="宋体" w:cs="Arial"/>
              <w:kern w:val="2"/>
              <w:sz w:val="21"/>
              <w:lang w:eastAsia="zh-CN"/>
            </w:rPr>
            <w:tab/>
          </w:r>
          <w:r>
            <w:rPr>
              <w:rStyle w:val="15"/>
              <w:rFonts w:ascii="Arial" w:hAnsi="Arial" w:eastAsia="宋体" w:cs="Arial"/>
              <w:lang w:eastAsia="zh-CN"/>
            </w:rPr>
            <w:t>可重复使用医疗器械的设计</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_Toc481569191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5B2A80D7">
          <w:pPr>
            <w:pStyle w:val="7"/>
            <w:tabs>
              <w:tab w:val="left" w:pos="1320"/>
              <w:tab w:val="right" w:leader="dot" w:pos="9982"/>
            </w:tabs>
            <w:ind w:left="880"/>
            <w:rPr>
              <w:rFonts w:ascii="Arial" w:hAnsi="Arial" w:eastAsia="宋体" w:cs="Arial"/>
              <w:kern w:val="2"/>
              <w:sz w:val="21"/>
              <w:lang w:eastAsia="zh-CN"/>
            </w:rPr>
          </w:pPr>
          <w:r>
            <w:fldChar w:fldCharType="begin"/>
          </w:r>
          <w:r>
            <w:instrText xml:space="preserve"> HYPERLINK \l "_Toc481569192" </w:instrText>
          </w:r>
          <w:r>
            <w:fldChar w:fldCharType="separate"/>
          </w:r>
          <w:r>
            <w:rPr>
              <w:rStyle w:val="15"/>
              <w:rFonts w:ascii="Arial" w:hAnsi="Arial" w:eastAsia="宋体" w:cs="Arial"/>
              <w:spacing w:val="-2"/>
              <w:lang w:eastAsia="zh-CN"/>
            </w:rPr>
            <w:t>B.</w:t>
          </w:r>
          <w:r>
            <w:rPr>
              <w:rFonts w:ascii="Arial" w:hAnsi="Arial" w:eastAsia="宋体" w:cs="Arial"/>
              <w:kern w:val="2"/>
              <w:sz w:val="21"/>
              <w:lang w:eastAsia="zh-CN"/>
            </w:rPr>
            <w:tab/>
          </w:r>
          <w:r>
            <w:rPr>
              <w:rStyle w:val="15"/>
              <w:rFonts w:ascii="Arial" w:hAnsi="Arial" w:eastAsia="宋体" w:cs="Arial"/>
              <w:lang w:eastAsia="zh-CN"/>
            </w:rPr>
            <w:t>确保可重复使用医疗器械的安全性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_Toc481569192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5DC74E1C">
          <w:pPr>
            <w:pStyle w:val="12"/>
            <w:tabs>
              <w:tab w:val="left" w:pos="1320"/>
              <w:tab w:val="right" w:leader="dot" w:pos="9982"/>
            </w:tabs>
            <w:rPr>
              <w:rFonts w:ascii="Arial" w:hAnsi="Arial" w:eastAsia="宋体" w:cs="Arial"/>
              <w:b w:val="0"/>
              <w:kern w:val="2"/>
              <w:sz w:val="21"/>
              <w:szCs w:val="22"/>
              <w:lang w:eastAsia="zh-CN"/>
            </w:rPr>
          </w:pPr>
          <w:r>
            <w:fldChar w:fldCharType="begin"/>
          </w:r>
          <w:r>
            <w:instrText xml:space="preserve"> HYPERLINK \l "_Toc481569193" </w:instrText>
          </w:r>
          <w:r>
            <w:fldChar w:fldCharType="separate"/>
          </w:r>
          <w:r>
            <w:rPr>
              <w:rStyle w:val="15"/>
              <w:rFonts w:ascii="Arial" w:hAnsi="Arial" w:eastAsia="宋体" w:cs="Arial"/>
              <w:spacing w:val="-6"/>
              <w:w w:val="99"/>
              <w:lang w:eastAsia="zh-CN"/>
            </w:rPr>
            <w:t>V.</w:t>
          </w:r>
          <w:r>
            <w:rPr>
              <w:rFonts w:ascii="Arial" w:hAnsi="Arial" w:eastAsia="宋体" w:cs="Arial"/>
              <w:b w:val="0"/>
              <w:kern w:val="2"/>
              <w:sz w:val="21"/>
              <w:szCs w:val="22"/>
              <w:lang w:eastAsia="zh-CN"/>
            </w:rPr>
            <w:tab/>
          </w:r>
          <w:r>
            <w:rPr>
              <w:rStyle w:val="15"/>
              <w:rFonts w:ascii="Arial" w:hAnsi="Arial" w:eastAsia="宋体" w:cs="Arial"/>
              <w:lang w:eastAsia="zh-CN"/>
            </w:rPr>
            <w:t>器械标签中再加工说明的一般考虑</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_Toc481569193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238CD9F6">
          <w:pPr>
            <w:pStyle w:val="7"/>
            <w:tabs>
              <w:tab w:val="left" w:pos="1320"/>
              <w:tab w:val="right" w:leader="dot" w:pos="9982"/>
            </w:tabs>
            <w:ind w:left="880"/>
            <w:rPr>
              <w:rFonts w:ascii="Arial" w:hAnsi="Arial" w:eastAsia="宋体" w:cs="Arial"/>
              <w:kern w:val="2"/>
              <w:sz w:val="21"/>
              <w:lang w:eastAsia="zh-CN"/>
            </w:rPr>
          </w:pPr>
          <w:r>
            <w:fldChar w:fldCharType="begin"/>
          </w:r>
          <w:r>
            <w:instrText xml:space="preserve"> HYPERLINK \l "_Toc481569194" </w:instrText>
          </w:r>
          <w:r>
            <w:fldChar w:fldCharType="separate"/>
          </w:r>
          <w:r>
            <w:rPr>
              <w:rStyle w:val="15"/>
              <w:rFonts w:ascii="Arial" w:hAnsi="Arial" w:eastAsia="宋体" w:cs="Arial"/>
              <w:spacing w:val="-3"/>
            </w:rPr>
            <w:t>A.</w:t>
          </w:r>
          <w:r>
            <w:rPr>
              <w:rFonts w:ascii="Arial" w:hAnsi="Arial" w:eastAsia="宋体" w:cs="Arial"/>
              <w:kern w:val="2"/>
              <w:sz w:val="21"/>
              <w:lang w:eastAsia="zh-CN"/>
            </w:rPr>
            <w:tab/>
          </w:r>
          <w:r>
            <w:rPr>
              <w:rStyle w:val="15"/>
              <w:rFonts w:ascii="Arial" w:hAnsi="Arial" w:eastAsia="宋体" w:cs="Arial"/>
            </w:rPr>
            <w:t>再加工概述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_Toc481569194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572DB072">
          <w:pPr>
            <w:pStyle w:val="7"/>
            <w:tabs>
              <w:tab w:val="left" w:pos="1320"/>
              <w:tab w:val="right" w:leader="dot" w:pos="9982"/>
            </w:tabs>
            <w:ind w:left="880"/>
            <w:rPr>
              <w:rFonts w:ascii="Arial" w:hAnsi="Arial" w:eastAsia="宋体" w:cs="Arial"/>
              <w:kern w:val="2"/>
              <w:sz w:val="21"/>
              <w:lang w:eastAsia="zh-CN"/>
            </w:rPr>
          </w:pPr>
          <w:r>
            <w:fldChar w:fldCharType="begin"/>
          </w:r>
          <w:r>
            <w:instrText xml:space="preserve"> HYPERLINK \l "_Toc481569195" </w:instrText>
          </w:r>
          <w:r>
            <w:fldChar w:fldCharType="separate"/>
          </w:r>
          <w:r>
            <w:rPr>
              <w:rStyle w:val="15"/>
              <w:rFonts w:ascii="Arial" w:hAnsi="Arial" w:eastAsia="宋体" w:cs="Arial"/>
              <w:spacing w:val="-3"/>
              <w:lang w:eastAsia="zh-CN"/>
            </w:rPr>
            <w:t>B.</w:t>
          </w:r>
          <w:r>
            <w:rPr>
              <w:rFonts w:ascii="Arial" w:hAnsi="Arial" w:eastAsia="宋体" w:cs="Arial"/>
              <w:kern w:val="2"/>
              <w:sz w:val="21"/>
              <w:lang w:eastAsia="zh-CN"/>
            </w:rPr>
            <w:tab/>
          </w:r>
          <w:r>
            <w:rPr>
              <w:rStyle w:val="15"/>
              <w:rFonts w:ascii="Arial" w:hAnsi="Arial" w:eastAsia="宋体" w:cs="Arial"/>
              <w:lang w:eastAsia="zh-CN"/>
            </w:rPr>
            <w:t>制定再加工说明的资源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_Toc481569195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7AED7380">
          <w:pPr>
            <w:pStyle w:val="7"/>
            <w:tabs>
              <w:tab w:val="left" w:pos="1320"/>
              <w:tab w:val="right" w:leader="dot" w:pos="9982"/>
            </w:tabs>
            <w:ind w:left="880"/>
            <w:rPr>
              <w:rFonts w:ascii="Arial" w:hAnsi="Arial" w:eastAsia="宋体" w:cs="Arial"/>
              <w:kern w:val="2"/>
              <w:sz w:val="21"/>
              <w:lang w:eastAsia="zh-CN"/>
            </w:rPr>
          </w:pPr>
          <w:r>
            <w:fldChar w:fldCharType="begin"/>
          </w:r>
          <w:r>
            <w:instrText xml:space="preserve"> HYPERLINK \l "_Toc481569196" </w:instrText>
          </w:r>
          <w:r>
            <w:fldChar w:fldCharType="separate"/>
          </w:r>
          <w:r>
            <w:rPr>
              <w:rStyle w:val="15"/>
              <w:rFonts w:ascii="Arial" w:hAnsi="Arial" w:eastAsia="宋体" w:cs="Arial"/>
              <w:spacing w:val="-3"/>
              <w:lang w:eastAsia="zh-CN"/>
            </w:rPr>
            <w:t>C.</w:t>
          </w:r>
          <w:r>
            <w:rPr>
              <w:rFonts w:ascii="Arial" w:hAnsi="Arial" w:eastAsia="宋体" w:cs="Arial"/>
              <w:kern w:val="2"/>
              <w:sz w:val="21"/>
              <w:lang w:eastAsia="zh-CN"/>
            </w:rPr>
            <w:tab/>
          </w:r>
          <w:r>
            <w:rPr>
              <w:rStyle w:val="15"/>
              <w:rFonts w:ascii="Arial" w:hAnsi="Arial" w:eastAsia="宋体" w:cs="Arial"/>
              <w:lang w:eastAsia="zh-CN"/>
            </w:rPr>
            <w:t>制定再加工说明的人为因素</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_Toc481569196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1011CEF7">
          <w:pPr>
            <w:pStyle w:val="12"/>
            <w:tabs>
              <w:tab w:val="left" w:pos="1470"/>
              <w:tab w:val="right" w:leader="dot" w:pos="9982"/>
            </w:tabs>
            <w:rPr>
              <w:rFonts w:ascii="Arial" w:hAnsi="Arial" w:eastAsia="宋体" w:cs="Arial"/>
              <w:b w:val="0"/>
              <w:kern w:val="2"/>
              <w:sz w:val="21"/>
              <w:szCs w:val="22"/>
              <w:lang w:eastAsia="zh-CN"/>
            </w:rPr>
          </w:pPr>
          <w:r>
            <w:fldChar w:fldCharType="begin"/>
          </w:r>
          <w:r>
            <w:instrText xml:space="preserve"> HYPERLINK \l "_Toc481569197" </w:instrText>
          </w:r>
          <w:r>
            <w:fldChar w:fldCharType="separate"/>
          </w:r>
          <w:r>
            <w:rPr>
              <w:rStyle w:val="15"/>
              <w:rFonts w:ascii="Arial" w:hAnsi="Arial" w:eastAsia="宋体" w:cs="Arial"/>
              <w:spacing w:val="-6"/>
              <w:w w:val="99"/>
              <w:lang w:eastAsia="zh-CN"/>
            </w:rPr>
            <w:t>VI.</w:t>
          </w:r>
          <w:r>
            <w:rPr>
              <w:rFonts w:ascii="Arial" w:hAnsi="Arial" w:eastAsia="宋体" w:cs="Arial"/>
              <w:b w:val="0"/>
              <w:kern w:val="2"/>
              <w:sz w:val="21"/>
              <w:szCs w:val="22"/>
              <w:lang w:eastAsia="zh-CN"/>
            </w:rPr>
            <w:tab/>
          </w:r>
          <w:r>
            <w:rPr>
              <w:rStyle w:val="15"/>
              <w:rFonts w:ascii="Arial" w:hAnsi="Arial" w:eastAsia="宋体" w:cs="Arial"/>
              <w:lang w:eastAsia="zh-CN"/>
            </w:rPr>
            <w:t>再加工说明的FDA六项标准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_Toc481569197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7104DBB3">
          <w:pPr>
            <w:pStyle w:val="7"/>
            <w:tabs>
              <w:tab w:val="right" w:leader="dot" w:pos="9982"/>
            </w:tabs>
            <w:ind w:left="880"/>
            <w:rPr>
              <w:rFonts w:ascii="Arial" w:hAnsi="Arial" w:eastAsia="宋体" w:cs="Arial"/>
              <w:kern w:val="2"/>
              <w:sz w:val="21"/>
              <w:lang w:eastAsia="zh-CN"/>
            </w:rPr>
          </w:pPr>
          <w:r>
            <w:fldChar w:fldCharType="begin"/>
          </w:r>
          <w:r>
            <w:instrText xml:space="preserve"> HYPERLINK \l "_Toc481569198" </w:instrText>
          </w:r>
          <w:r>
            <w:fldChar w:fldCharType="separate"/>
          </w:r>
          <w:r>
            <w:rPr>
              <w:rStyle w:val="15"/>
              <w:rFonts w:ascii="Arial" w:hAnsi="Arial" w:eastAsia="宋体" w:cs="Arial"/>
              <w:lang w:eastAsia="zh-CN"/>
            </w:rPr>
            <w:t>标准1.标签应反映器械的预期用途</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_Toc481569198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065491F2">
          <w:pPr>
            <w:pStyle w:val="7"/>
            <w:tabs>
              <w:tab w:val="right" w:leader="dot" w:pos="9982"/>
            </w:tabs>
            <w:ind w:left="880"/>
            <w:rPr>
              <w:rFonts w:ascii="Arial" w:hAnsi="Arial" w:eastAsia="宋体" w:cs="Arial"/>
              <w:kern w:val="2"/>
              <w:sz w:val="21"/>
              <w:lang w:eastAsia="zh-CN"/>
            </w:rPr>
          </w:pPr>
          <w:r>
            <w:fldChar w:fldCharType="begin"/>
          </w:r>
          <w:r>
            <w:instrText xml:space="preserve"> HYPERLINK \l "_Toc481569199" </w:instrText>
          </w:r>
          <w:r>
            <w:fldChar w:fldCharType="separate"/>
          </w:r>
          <w:r>
            <w:rPr>
              <w:rStyle w:val="15"/>
              <w:rFonts w:ascii="Arial" w:hAnsi="Arial" w:eastAsia="宋体" w:cs="Arial"/>
              <w:lang w:eastAsia="zh-CN"/>
            </w:rPr>
            <w:t>标准2.可重复使用器械的再加工说明应建议用户彻底清洁器械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_Toc481569199 \h </w:instrText>
          </w:r>
          <w:r>
            <w:rPr>
              <w:rFonts w:ascii="Arial" w:hAnsi="Arial" w:eastAsia="宋体" w:cs="Arial"/>
            </w:rPr>
            <w:fldChar w:fldCharType="separate"/>
          </w:r>
          <w:r>
            <w:rPr>
              <w:rFonts w:ascii="Arial" w:hAnsi="Arial" w:eastAsia="宋体" w:cs="Arial"/>
            </w:rPr>
            <w:t>9</w:t>
          </w:r>
          <w:r>
            <w:rPr>
              <w:rFonts w:ascii="Arial" w:hAnsi="Arial" w:eastAsia="宋体" w:cs="Arial"/>
            </w:rPr>
            <w:fldChar w:fldCharType="end"/>
          </w:r>
          <w:r>
            <w:rPr>
              <w:rFonts w:ascii="Arial" w:hAnsi="Arial" w:eastAsia="宋体" w:cs="Arial"/>
            </w:rPr>
            <w:fldChar w:fldCharType="end"/>
          </w:r>
        </w:p>
        <w:p w14:paraId="4D57D52F">
          <w:pPr>
            <w:pStyle w:val="7"/>
            <w:tabs>
              <w:tab w:val="right" w:leader="dot" w:pos="9982"/>
            </w:tabs>
            <w:ind w:left="880"/>
            <w:rPr>
              <w:rFonts w:ascii="Arial" w:hAnsi="Arial" w:eastAsia="宋体" w:cs="Arial"/>
              <w:kern w:val="2"/>
              <w:sz w:val="21"/>
              <w:lang w:eastAsia="zh-CN"/>
            </w:rPr>
          </w:pPr>
          <w:r>
            <w:fldChar w:fldCharType="begin"/>
          </w:r>
          <w:r>
            <w:instrText xml:space="preserve"> HYPERLINK \l "_Toc481569200" </w:instrText>
          </w:r>
          <w:r>
            <w:fldChar w:fldCharType="separate"/>
          </w:r>
          <w:r>
            <w:rPr>
              <w:rStyle w:val="15"/>
              <w:rFonts w:ascii="Arial" w:hAnsi="Arial" w:eastAsia="宋体" w:cs="Arial"/>
              <w:lang w:eastAsia="zh-CN"/>
            </w:rPr>
            <w:t>标准3.再加工说明应指明该器械的适用灭菌方法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_Toc481569200 \h </w:instrText>
          </w:r>
          <w:r>
            <w:rPr>
              <w:rFonts w:ascii="Arial" w:hAnsi="Arial" w:eastAsia="宋体" w:cs="Arial"/>
            </w:rPr>
            <w:fldChar w:fldCharType="separate"/>
          </w:r>
          <w:r>
            <w:rPr>
              <w:rFonts w:ascii="Arial" w:hAnsi="Arial" w:eastAsia="宋体" w:cs="Arial"/>
            </w:rPr>
            <w:t>9</w:t>
          </w:r>
          <w:r>
            <w:rPr>
              <w:rFonts w:ascii="Arial" w:hAnsi="Arial" w:eastAsia="宋体" w:cs="Arial"/>
            </w:rPr>
            <w:fldChar w:fldCharType="end"/>
          </w:r>
          <w:r>
            <w:rPr>
              <w:rFonts w:ascii="Arial" w:hAnsi="Arial" w:eastAsia="宋体" w:cs="Arial"/>
            </w:rPr>
            <w:fldChar w:fldCharType="end"/>
          </w:r>
        </w:p>
        <w:p w14:paraId="521605F0">
          <w:pPr>
            <w:pStyle w:val="7"/>
            <w:tabs>
              <w:tab w:val="right" w:leader="dot" w:pos="9982"/>
            </w:tabs>
            <w:ind w:left="880"/>
            <w:rPr>
              <w:rFonts w:ascii="Arial" w:hAnsi="Arial" w:eastAsia="宋体" w:cs="Arial"/>
              <w:kern w:val="2"/>
              <w:sz w:val="21"/>
              <w:lang w:eastAsia="zh-CN"/>
            </w:rPr>
          </w:pPr>
          <w:r>
            <w:fldChar w:fldCharType="begin"/>
          </w:r>
          <w:r>
            <w:instrText xml:space="preserve"> HYPERLINK \l "_Toc481569201" </w:instrText>
          </w:r>
          <w:r>
            <w:fldChar w:fldCharType="separate"/>
          </w:r>
          <w:r>
            <w:rPr>
              <w:rStyle w:val="15"/>
              <w:rFonts w:ascii="Arial" w:hAnsi="Arial" w:eastAsia="宋体" w:cs="Arial"/>
              <w:lang w:eastAsia="zh-CN"/>
            </w:rPr>
            <w:t>标准4.再加工说明在技术上应可行，且只包括合法上市的器械和附件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_Toc481569201 \h </w:instrText>
          </w:r>
          <w:r>
            <w:rPr>
              <w:rFonts w:ascii="Arial" w:hAnsi="Arial" w:eastAsia="宋体" w:cs="Arial"/>
            </w:rPr>
            <w:fldChar w:fldCharType="separate"/>
          </w:r>
          <w:r>
            <w:rPr>
              <w:rFonts w:ascii="Arial" w:hAnsi="Arial" w:eastAsia="宋体" w:cs="Arial"/>
            </w:rPr>
            <w:t>12</w:t>
          </w:r>
          <w:r>
            <w:rPr>
              <w:rFonts w:ascii="Arial" w:hAnsi="Arial" w:eastAsia="宋体" w:cs="Arial"/>
            </w:rPr>
            <w:fldChar w:fldCharType="end"/>
          </w:r>
          <w:r>
            <w:rPr>
              <w:rFonts w:ascii="Arial" w:hAnsi="Arial" w:eastAsia="宋体" w:cs="Arial"/>
            </w:rPr>
            <w:fldChar w:fldCharType="end"/>
          </w:r>
        </w:p>
        <w:p w14:paraId="6433434B">
          <w:pPr>
            <w:pStyle w:val="7"/>
            <w:tabs>
              <w:tab w:val="right" w:leader="dot" w:pos="9982"/>
            </w:tabs>
            <w:ind w:left="880"/>
            <w:rPr>
              <w:rFonts w:ascii="Arial" w:hAnsi="Arial" w:eastAsia="宋体" w:cs="Arial"/>
              <w:kern w:val="2"/>
              <w:sz w:val="21"/>
              <w:lang w:eastAsia="zh-CN"/>
            </w:rPr>
          </w:pPr>
          <w:r>
            <w:fldChar w:fldCharType="begin"/>
          </w:r>
          <w:r>
            <w:instrText xml:space="preserve"> HYPERLINK \l "_Toc481569202" </w:instrText>
          </w:r>
          <w:r>
            <w:fldChar w:fldCharType="separate"/>
          </w:r>
          <w:r>
            <w:rPr>
              <w:rStyle w:val="15"/>
              <w:rFonts w:ascii="Arial" w:hAnsi="Arial" w:eastAsia="宋体" w:cs="Arial"/>
              <w:lang w:eastAsia="zh-CN"/>
            </w:rPr>
            <w:t>标准5.再加工说明应全面</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_Toc481569202 \h </w:instrText>
          </w:r>
          <w:r>
            <w:rPr>
              <w:rFonts w:ascii="Arial" w:hAnsi="Arial" w:eastAsia="宋体" w:cs="Arial"/>
            </w:rPr>
            <w:fldChar w:fldCharType="separate"/>
          </w:r>
          <w:r>
            <w:rPr>
              <w:rFonts w:ascii="Arial" w:hAnsi="Arial" w:eastAsia="宋体" w:cs="Arial"/>
            </w:rPr>
            <w:t>13</w:t>
          </w:r>
          <w:r>
            <w:rPr>
              <w:rFonts w:ascii="Arial" w:hAnsi="Arial" w:eastAsia="宋体" w:cs="Arial"/>
            </w:rPr>
            <w:fldChar w:fldCharType="end"/>
          </w:r>
          <w:r>
            <w:rPr>
              <w:rFonts w:ascii="Arial" w:hAnsi="Arial" w:eastAsia="宋体" w:cs="Arial"/>
            </w:rPr>
            <w:fldChar w:fldCharType="end"/>
          </w:r>
        </w:p>
        <w:p w14:paraId="5F0F9F1C">
          <w:pPr>
            <w:pStyle w:val="7"/>
            <w:tabs>
              <w:tab w:val="right" w:leader="dot" w:pos="9982"/>
            </w:tabs>
            <w:ind w:left="880"/>
            <w:rPr>
              <w:rFonts w:ascii="Arial" w:hAnsi="Arial" w:eastAsia="宋体" w:cs="Arial"/>
              <w:kern w:val="2"/>
              <w:sz w:val="21"/>
              <w:lang w:eastAsia="zh-CN"/>
            </w:rPr>
          </w:pPr>
          <w:r>
            <w:fldChar w:fldCharType="begin"/>
          </w:r>
          <w:r>
            <w:instrText xml:space="preserve"> HYPERLINK \l "_Toc481569203" </w:instrText>
          </w:r>
          <w:r>
            <w:fldChar w:fldCharType="separate"/>
          </w:r>
          <w:r>
            <w:rPr>
              <w:rStyle w:val="15"/>
              <w:rFonts w:ascii="Arial" w:hAnsi="Arial" w:eastAsia="宋体" w:cs="Arial"/>
              <w:lang w:eastAsia="zh-CN"/>
            </w:rPr>
            <w:t>标准6.再加工说明应为可以理解</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_Toc481569203 \h </w:instrText>
          </w:r>
          <w:r>
            <w:rPr>
              <w:rFonts w:ascii="Arial" w:hAnsi="Arial" w:eastAsia="宋体" w:cs="Arial"/>
            </w:rPr>
            <w:fldChar w:fldCharType="separate"/>
          </w:r>
          <w:r>
            <w:rPr>
              <w:rFonts w:ascii="Arial" w:hAnsi="Arial" w:eastAsia="宋体" w:cs="Arial"/>
            </w:rPr>
            <w:t>21</w:t>
          </w:r>
          <w:r>
            <w:rPr>
              <w:rFonts w:ascii="Arial" w:hAnsi="Arial" w:eastAsia="宋体" w:cs="Arial"/>
            </w:rPr>
            <w:fldChar w:fldCharType="end"/>
          </w:r>
          <w:r>
            <w:rPr>
              <w:rFonts w:ascii="Arial" w:hAnsi="Arial" w:eastAsia="宋体" w:cs="Arial"/>
            </w:rPr>
            <w:fldChar w:fldCharType="end"/>
          </w:r>
        </w:p>
        <w:p w14:paraId="216A1A18">
          <w:pPr>
            <w:pStyle w:val="12"/>
            <w:tabs>
              <w:tab w:val="left" w:pos="1470"/>
              <w:tab w:val="right" w:leader="dot" w:pos="9982"/>
            </w:tabs>
            <w:rPr>
              <w:rFonts w:ascii="Arial" w:hAnsi="Arial" w:eastAsia="宋体" w:cs="Arial"/>
              <w:b w:val="0"/>
              <w:kern w:val="2"/>
              <w:sz w:val="21"/>
              <w:szCs w:val="22"/>
              <w:lang w:eastAsia="zh-CN"/>
            </w:rPr>
          </w:pPr>
          <w:r>
            <w:fldChar w:fldCharType="begin"/>
          </w:r>
          <w:r>
            <w:instrText xml:space="preserve"> HYPERLINK \l "_Toc481569204" </w:instrText>
          </w:r>
          <w:r>
            <w:fldChar w:fldCharType="separate"/>
          </w:r>
          <w:r>
            <w:rPr>
              <w:rStyle w:val="15"/>
              <w:rFonts w:ascii="Arial" w:hAnsi="Arial" w:eastAsia="宋体" w:cs="Arial"/>
              <w:spacing w:val="-6"/>
              <w:w w:val="99"/>
              <w:lang w:eastAsia="zh-CN"/>
            </w:rPr>
            <w:t>VII.</w:t>
          </w:r>
          <w:r>
            <w:rPr>
              <w:rFonts w:ascii="Arial" w:hAnsi="Arial" w:eastAsia="宋体" w:cs="Arial"/>
              <w:b w:val="0"/>
              <w:kern w:val="2"/>
              <w:sz w:val="21"/>
              <w:szCs w:val="22"/>
              <w:lang w:eastAsia="zh-CN"/>
            </w:rPr>
            <w:tab/>
          </w:r>
          <w:r>
            <w:rPr>
              <w:rStyle w:val="15"/>
              <w:rFonts w:ascii="Arial" w:hAnsi="Arial" w:eastAsia="宋体" w:cs="Arial"/>
              <w:lang w:eastAsia="zh-CN"/>
            </w:rPr>
            <w:t>按照质量体系规定确认再加工方法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_Toc481569204 \h </w:instrText>
          </w:r>
          <w:r>
            <w:rPr>
              <w:rFonts w:ascii="Arial" w:hAnsi="Arial" w:eastAsia="宋体" w:cs="Arial"/>
            </w:rPr>
            <w:fldChar w:fldCharType="separate"/>
          </w:r>
          <w:r>
            <w:rPr>
              <w:rFonts w:ascii="Arial" w:hAnsi="Arial" w:eastAsia="宋体" w:cs="Arial"/>
            </w:rPr>
            <w:t>22</w:t>
          </w:r>
          <w:r>
            <w:rPr>
              <w:rFonts w:ascii="Arial" w:hAnsi="Arial" w:eastAsia="宋体" w:cs="Arial"/>
            </w:rPr>
            <w:fldChar w:fldCharType="end"/>
          </w:r>
          <w:r>
            <w:rPr>
              <w:rFonts w:ascii="Arial" w:hAnsi="Arial" w:eastAsia="宋体" w:cs="Arial"/>
            </w:rPr>
            <w:fldChar w:fldCharType="end"/>
          </w:r>
        </w:p>
        <w:p w14:paraId="0629A49D">
          <w:pPr>
            <w:pStyle w:val="12"/>
            <w:tabs>
              <w:tab w:val="left" w:pos="1470"/>
              <w:tab w:val="right" w:leader="dot" w:pos="9982"/>
            </w:tabs>
            <w:rPr>
              <w:rFonts w:ascii="Arial" w:hAnsi="Arial" w:eastAsia="宋体" w:cs="Arial"/>
              <w:b w:val="0"/>
              <w:kern w:val="2"/>
              <w:sz w:val="21"/>
              <w:szCs w:val="22"/>
              <w:lang w:eastAsia="zh-CN"/>
            </w:rPr>
          </w:pPr>
          <w:r>
            <w:fldChar w:fldCharType="begin"/>
          </w:r>
          <w:r>
            <w:instrText xml:space="preserve"> HYPERLINK \l "_Toc481569205" </w:instrText>
          </w:r>
          <w:r>
            <w:fldChar w:fldCharType="separate"/>
          </w:r>
          <w:r>
            <w:rPr>
              <w:rStyle w:val="15"/>
              <w:rFonts w:ascii="Arial" w:hAnsi="Arial" w:eastAsia="宋体" w:cs="Arial"/>
              <w:spacing w:val="-6"/>
              <w:w w:val="99"/>
            </w:rPr>
            <w:t>VIII.</w:t>
          </w:r>
          <w:r>
            <w:rPr>
              <w:rFonts w:ascii="Arial" w:hAnsi="Arial" w:eastAsia="宋体" w:cs="Arial"/>
              <w:b w:val="0"/>
              <w:kern w:val="2"/>
              <w:sz w:val="21"/>
              <w:szCs w:val="22"/>
              <w:lang w:eastAsia="zh-CN"/>
            </w:rPr>
            <w:tab/>
          </w:r>
          <w:r>
            <w:rPr>
              <w:rStyle w:val="15"/>
              <w:rFonts w:ascii="Arial" w:hAnsi="Arial" w:eastAsia="宋体" w:cs="Arial"/>
            </w:rPr>
            <w:t>清洁过程的</w:t>
          </w:r>
          <w:r>
            <w:rPr>
              <w:rStyle w:val="15"/>
              <w:rFonts w:ascii="Arial" w:hAnsi="Arial" w:eastAsia="宋体" w:cs="Arial"/>
              <w:lang w:eastAsia="zh-CN"/>
            </w:rPr>
            <w:t>确认</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_Toc481569205 \h </w:instrText>
          </w:r>
          <w:r>
            <w:rPr>
              <w:rFonts w:ascii="Arial" w:hAnsi="Arial" w:eastAsia="宋体" w:cs="Arial"/>
            </w:rPr>
            <w:fldChar w:fldCharType="separate"/>
          </w:r>
          <w:r>
            <w:rPr>
              <w:rFonts w:ascii="Arial" w:hAnsi="Arial" w:eastAsia="宋体" w:cs="Arial"/>
            </w:rPr>
            <w:t>23</w:t>
          </w:r>
          <w:r>
            <w:rPr>
              <w:rFonts w:ascii="Arial" w:hAnsi="Arial" w:eastAsia="宋体" w:cs="Arial"/>
            </w:rPr>
            <w:fldChar w:fldCharType="end"/>
          </w:r>
          <w:r>
            <w:rPr>
              <w:rFonts w:ascii="Arial" w:hAnsi="Arial" w:eastAsia="宋体" w:cs="Arial"/>
            </w:rPr>
            <w:fldChar w:fldCharType="end"/>
          </w:r>
        </w:p>
        <w:p w14:paraId="453A6098">
          <w:pPr>
            <w:pStyle w:val="7"/>
            <w:tabs>
              <w:tab w:val="left" w:pos="1320"/>
              <w:tab w:val="right" w:leader="dot" w:pos="9982"/>
            </w:tabs>
            <w:ind w:left="880"/>
            <w:rPr>
              <w:rFonts w:ascii="Arial" w:hAnsi="Arial" w:eastAsia="宋体" w:cs="Arial"/>
              <w:kern w:val="2"/>
              <w:sz w:val="21"/>
              <w:lang w:eastAsia="zh-CN"/>
            </w:rPr>
          </w:pPr>
          <w:r>
            <w:fldChar w:fldCharType="begin"/>
          </w:r>
          <w:r>
            <w:instrText xml:space="preserve"> HYPERLINK \l "_Toc481569206" </w:instrText>
          </w:r>
          <w:r>
            <w:fldChar w:fldCharType="separate"/>
          </w:r>
          <w:r>
            <w:rPr>
              <w:rStyle w:val="15"/>
              <w:rFonts w:ascii="Arial" w:hAnsi="Arial" w:eastAsia="宋体" w:cs="Arial"/>
              <w:spacing w:val="-3"/>
              <w:lang w:eastAsia="zh-CN"/>
            </w:rPr>
            <w:t>A.</w:t>
          </w:r>
          <w:r>
            <w:rPr>
              <w:rFonts w:ascii="Arial" w:hAnsi="Arial" w:eastAsia="宋体" w:cs="Arial"/>
              <w:kern w:val="2"/>
              <w:sz w:val="21"/>
              <w:lang w:eastAsia="zh-CN"/>
            </w:rPr>
            <w:tab/>
          </w:r>
          <w:r>
            <w:rPr>
              <w:rStyle w:val="15"/>
              <w:rFonts w:ascii="Arial" w:hAnsi="Arial" w:eastAsia="宋体" w:cs="Arial"/>
              <w:lang w:eastAsia="zh-CN"/>
            </w:rPr>
            <w:t>使用最坏情况试验确认清洁过程</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_Toc481569206 \h </w:instrText>
          </w:r>
          <w:r>
            <w:rPr>
              <w:rFonts w:ascii="Arial" w:hAnsi="Arial" w:eastAsia="宋体" w:cs="Arial"/>
            </w:rPr>
            <w:fldChar w:fldCharType="separate"/>
          </w:r>
          <w:r>
            <w:rPr>
              <w:rFonts w:ascii="Arial" w:hAnsi="Arial" w:eastAsia="宋体" w:cs="Arial"/>
            </w:rPr>
            <w:t>23</w:t>
          </w:r>
          <w:r>
            <w:rPr>
              <w:rFonts w:ascii="Arial" w:hAnsi="Arial" w:eastAsia="宋体" w:cs="Arial"/>
            </w:rPr>
            <w:fldChar w:fldCharType="end"/>
          </w:r>
          <w:r>
            <w:rPr>
              <w:rFonts w:ascii="Arial" w:hAnsi="Arial" w:eastAsia="宋体" w:cs="Arial"/>
            </w:rPr>
            <w:fldChar w:fldCharType="end"/>
          </w:r>
        </w:p>
        <w:p w14:paraId="4A348A90">
          <w:pPr>
            <w:pStyle w:val="7"/>
            <w:tabs>
              <w:tab w:val="left" w:pos="1320"/>
              <w:tab w:val="right" w:leader="dot" w:pos="9982"/>
            </w:tabs>
            <w:ind w:left="880"/>
            <w:rPr>
              <w:rFonts w:ascii="Arial" w:hAnsi="Arial" w:eastAsia="宋体" w:cs="Arial"/>
              <w:kern w:val="2"/>
              <w:sz w:val="21"/>
              <w:lang w:eastAsia="zh-CN"/>
            </w:rPr>
          </w:pPr>
          <w:r>
            <w:fldChar w:fldCharType="begin"/>
          </w:r>
          <w:r>
            <w:instrText xml:space="preserve"> HYPERLINK \l "_Toc481569207" </w:instrText>
          </w:r>
          <w:r>
            <w:fldChar w:fldCharType="separate"/>
          </w:r>
          <w:r>
            <w:rPr>
              <w:rStyle w:val="15"/>
              <w:rFonts w:ascii="Arial" w:hAnsi="Arial" w:eastAsia="宋体" w:cs="Arial"/>
              <w:spacing w:val="-3"/>
              <w:lang w:eastAsia="zh-CN"/>
            </w:rPr>
            <w:t>B.</w:t>
          </w:r>
          <w:r>
            <w:rPr>
              <w:rFonts w:ascii="Arial" w:hAnsi="Arial" w:eastAsia="宋体" w:cs="Arial"/>
              <w:kern w:val="2"/>
              <w:sz w:val="21"/>
              <w:lang w:eastAsia="zh-CN"/>
            </w:rPr>
            <w:tab/>
          </w:r>
          <w:r>
            <w:rPr>
              <w:rStyle w:val="15"/>
              <w:rFonts w:ascii="Arial" w:hAnsi="Arial" w:eastAsia="宋体" w:cs="Arial"/>
              <w:lang w:eastAsia="zh-CN"/>
            </w:rPr>
            <w:t>确定模拟使用方案的资源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_Toc481569207 \h </w:instrText>
          </w:r>
          <w:r>
            <w:rPr>
              <w:rFonts w:ascii="Arial" w:hAnsi="Arial" w:eastAsia="宋体" w:cs="Arial"/>
            </w:rPr>
            <w:fldChar w:fldCharType="separate"/>
          </w:r>
          <w:r>
            <w:rPr>
              <w:rFonts w:ascii="Arial" w:hAnsi="Arial" w:eastAsia="宋体" w:cs="Arial"/>
            </w:rPr>
            <w:t>27</w:t>
          </w:r>
          <w:r>
            <w:rPr>
              <w:rFonts w:ascii="Arial" w:hAnsi="Arial" w:eastAsia="宋体" w:cs="Arial"/>
            </w:rPr>
            <w:fldChar w:fldCharType="end"/>
          </w:r>
          <w:r>
            <w:rPr>
              <w:rFonts w:ascii="Arial" w:hAnsi="Arial" w:eastAsia="宋体" w:cs="Arial"/>
            </w:rPr>
            <w:fldChar w:fldCharType="end"/>
          </w:r>
        </w:p>
        <w:p w14:paraId="2DFFFD58">
          <w:pPr>
            <w:pStyle w:val="12"/>
            <w:tabs>
              <w:tab w:val="left" w:pos="1470"/>
              <w:tab w:val="right" w:leader="dot" w:pos="9982"/>
            </w:tabs>
            <w:rPr>
              <w:rFonts w:ascii="Arial" w:hAnsi="Arial" w:eastAsia="宋体" w:cs="Arial"/>
              <w:b w:val="0"/>
              <w:kern w:val="2"/>
              <w:sz w:val="21"/>
              <w:szCs w:val="22"/>
              <w:lang w:eastAsia="zh-CN"/>
            </w:rPr>
          </w:pPr>
          <w:r>
            <w:fldChar w:fldCharType="begin"/>
          </w:r>
          <w:r>
            <w:instrText xml:space="preserve"> HYPERLINK \l "_Toc481569208" </w:instrText>
          </w:r>
          <w:r>
            <w:fldChar w:fldCharType="separate"/>
          </w:r>
          <w:r>
            <w:rPr>
              <w:rStyle w:val="15"/>
              <w:rFonts w:ascii="Arial" w:hAnsi="Arial" w:eastAsia="宋体" w:cs="Arial"/>
              <w:spacing w:val="-6"/>
              <w:w w:val="99"/>
              <w:lang w:eastAsia="zh-CN"/>
            </w:rPr>
            <w:t>IX.</w:t>
          </w:r>
          <w:r>
            <w:rPr>
              <w:rFonts w:ascii="Arial" w:hAnsi="Arial" w:eastAsia="宋体" w:cs="Arial"/>
              <w:b w:val="0"/>
              <w:kern w:val="2"/>
              <w:sz w:val="21"/>
              <w:szCs w:val="22"/>
              <w:lang w:eastAsia="zh-CN"/>
            </w:rPr>
            <w:tab/>
          </w:r>
          <w:r>
            <w:rPr>
              <w:rStyle w:val="15"/>
              <w:rFonts w:ascii="Arial" w:hAnsi="Arial" w:eastAsia="宋体" w:cs="Arial"/>
              <w:lang w:eastAsia="zh-CN"/>
            </w:rPr>
            <w:t>确认最终灭菌过程来制备供下一患者使用的器械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_Toc481569208 \h </w:instrText>
          </w:r>
          <w:r>
            <w:rPr>
              <w:rFonts w:ascii="Arial" w:hAnsi="Arial" w:eastAsia="宋体" w:cs="Arial"/>
            </w:rPr>
            <w:fldChar w:fldCharType="separate"/>
          </w:r>
          <w:r>
            <w:rPr>
              <w:rFonts w:ascii="Arial" w:hAnsi="Arial" w:eastAsia="宋体" w:cs="Arial"/>
            </w:rPr>
            <w:t>28</w:t>
          </w:r>
          <w:r>
            <w:rPr>
              <w:rFonts w:ascii="Arial" w:hAnsi="Arial" w:eastAsia="宋体" w:cs="Arial"/>
            </w:rPr>
            <w:fldChar w:fldCharType="end"/>
          </w:r>
          <w:r>
            <w:rPr>
              <w:rFonts w:ascii="Arial" w:hAnsi="Arial" w:eastAsia="宋体" w:cs="Arial"/>
            </w:rPr>
            <w:fldChar w:fldCharType="end"/>
          </w:r>
        </w:p>
        <w:p w14:paraId="4E317270">
          <w:pPr>
            <w:pStyle w:val="7"/>
            <w:tabs>
              <w:tab w:val="left" w:pos="1320"/>
              <w:tab w:val="right" w:leader="dot" w:pos="9982"/>
            </w:tabs>
            <w:ind w:left="880"/>
            <w:rPr>
              <w:rFonts w:ascii="Arial" w:hAnsi="Arial" w:eastAsia="宋体" w:cs="Arial"/>
              <w:kern w:val="2"/>
              <w:sz w:val="21"/>
              <w:lang w:eastAsia="zh-CN"/>
            </w:rPr>
          </w:pPr>
          <w:r>
            <w:fldChar w:fldCharType="begin"/>
          </w:r>
          <w:r>
            <w:instrText xml:space="preserve"> HYPERLINK \l "_Toc481569209" </w:instrText>
          </w:r>
          <w:r>
            <w:fldChar w:fldCharType="separate"/>
          </w:r>
          <w:r>
            <w:rPr>
              <w:rStyle w:val="15"/>
              <w:rFonts w:ascii="Arial" w:hAnsi="Arial" w:eastAsia="宋体" w:cs="Arial"/>
              <w:spacing w:val="-2"/>
            </w:rPr>
            <w:t>A.</w:t>
          </w:r>
          <w:r>
            <w:rPr>
              <w:rFonts w:ascii="Arial" w:hAnsi="Arial" w:eastAsia="宋体" w:cs="Arial"/>
              <w:kern w:val="2"/>
              <w:sz w:val="21"/>
              <w:lang w:eastAsia="zh-CN"/>
            </w:rPr>
            <w:tab/>
          </w:r>
          <w:r>
            <w:rPr>
              <w:rStyle w:val="15"/>
              <w:rFonts w:ascii="Arial" w:hAnsi="Arial" w:eastAsia="宋体" w:cs="Arial"/>
            </w:rPr>
            <w:t>消毒</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_Toc481569209 \h </w:instrText>
          </w:r>
          <w:r>
            <w:rPr>
              <w:rFonts w:ascii="Arial" w:hAnsi="Arial" w:eastAsia="宋体" w:cs="Arial"/>
            </w:rPr>
            <w:fldChar w:fldCharType="separate"/>
          </w:r>
          <w:r>
            <w:rPr>
              <w:rFonts w:ascii="Arial" w:hAnsi="Arial" w:eastAsia="宋体" w:cs="Arial"/>
            </w:rPr>
            <w:t>28</w:t>
          </w:r>
          <w:r>
            <w:rPr>
              <w:rFonts w:ascii="Arial" w:hAnsi="Arial" w:eastAsia="宋体" w:cs="Arial"/>
            </w:rPr>
            <w:fldChar w:fldCharType="end"/>
          </w:r>
          <w:r>
            <w:rPr>
              <w:rFonts w:ascii="Arial" w:hAnsi="Arial" w:eastAsia="宋体" w:cs="Arial"/>
            </w:rPr>
            <w:fldChar w:fldCharType="end"/>
          </w:r>
        </w:p>
        <w:p w14:paraId="43704688">
          <w:pPr>
            <w:pStyle w:val="7"/>
            <w:tabs>
              <w:tab w:val="left" w:pos="1320"/>
              <w:tab w:val="right" w:leader="dot" w:pos="9982"/>
            </w:tabs>
            <w:ind w:left="880"/>
            <w:rPr>
              <w:rFonts w:ascii="Arial" w:hAnsi="Arial" w:eastAsia="宋体" w:cs="Arial"/>
              <w:kern w:val="2"/>
              <w:sz w:val="21"/>
              <w:lang w:eastAsia="zh-CN"/>
            </w:rPr>
          </w:pPr>
          <w:r>
            <w:fldChar w:fldCharType="begin"/>
          </w:r>
          <w:r>
            <w:instrText xml:space="preserve"> HYPERLINK \l "_Toc481569210" </w:instrText>
          </w:r>
          <w:r>
            <w:fldChar w:fldCharType="separate"/>
          </w:r>
          <w:r>
            <w:rPr>
              <w:rStyle w:val="15"/>
              <w:rFonts w:ascii="Arial" w:hAnsi="Arial" w:eastAsia="宋体" w:cs="Arial"/>
              <w:spacing w:val="-2"/>
            </w:rPr>
            <w:t>B.</w:t>
          </w:r>
          <w:r>
            <w:rPr>
              <w:rFonts w:ascii="Arial" w:hAnsi="Arial" w:eastAsia="宋体" w:cs="Arial"/>
              <w:kern w:val="2"/>
              <w:sz w:val="21"/>
              <w:lang w:eastAsia="zh-CN"/>
            </w:rPr>
            <w:tab/>
          </w:r>
          <w:r>
            <w:rPr>
              <w:rStyle w:val="15"/>
              <w:rFonts w:ascii="Arial" w:hAnsi="Arial" w:eastAsia="宋体" w:cs="Arial"/>
            </w:rPr>
            <w:t>灭菌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_Toc481569210 \h </w:instrText>
          </w:r>
          <w:r>
            <w:rPr>
              <w:rFonts w:ascii="Arial" w:hAnsi="Arial" w:eastAsia="宋体" w:cs="Arial"/>
            </w:rPr>
            <w:fldChar w:fldCharType="separate"/>
          </w:r>
          <w:r>
            <w:rPr>
              <w:rFonts w:ascii="Arial" w:hAnsi="Arial" w:eastAsia="宋体" w:cs="Arial"/>
            </w:rPr>
            <w:t>28</w:t>
          </w:r>
          <w:r>
            <w:rPr>
              <w:rFonts w:ascii="Arial" w:hAnsi="Arial" w:eastAsia="宋体" w:cs="Arial"/>
            </w:rPr>
            <w:fldChar w:fldCharType="end"/>
          </w:r>
          <w:r>
            <w:rPr>
              <w:rFonts w:ascii="Arial" w:hAnsi="Arial" w:eastAsia="宋体" w:cs="Arial"/>
            </w:rPr>
            <w:fldChar w:fldCharType="end"/>
          </w:r>
        </w:p>
        <w:p w14:paraId="389C7055">
          <w:pPr>
            <w:pStyle w:val="12"/>
            <w:tabs>
              <w:tab w:val="left" w:pos="1320"/>
              <w:tab w:val="right" w:leader="dot" w:pos="9982"/>
            </w:tabs>
            <w:rPr>
              <w:rFonts w:ascii="Arial" w:hAnsi="Arial" w:eastAsia="宋体" w:cs="Arial"/>
              <w:b w:val="0"/>
              <w:kern w:val="2"/>
              <w:sz w:val="21"/>
              <w:szCs w:val="22"/>
              <w:lang w:eastAsia="zh-CN"/>
            </w:rPr>
          </w:pPr>
          <w:r>
            <w:fldChar w:fldCharType="begin"/>
          </w:r>
          <w:r>
            <w:instrText xml:space="preserve"> HYPERLINK \l "_Toc481569211" </w:instrText>
          </w:r>
          <w:r>
            <w:fldChar w:fldCharType="separate"/>
          </w:r>
          <w:r>
            <w:rPr>
              <w:rStyle w:val="15"/>
              <w:rFonts w:ascii="Arial" w:hAnsi="Arial" w:eastAsia="宋体" w:cs="Arial"/>
              <w:spacing w:val="-6"/>
              <w:w w:val="99"/>
              <w:lang w:eastAsia="zh-CN"/>
            </w:rPr>
            <w:t>X.</w:t>
          </w:r>
          <w:r>
            <w:rPr>
              <w:rFonts w:ascii="Arial" w:hAnsi="Arial" w:eastAsia="宋体" w:cs="Arial"/>
              <w:b w:val="0"/>
              <w:kern w:val="2"/>
              <w:sz w:val="21"/>
              <w:szCs w:val="22"/>
              <w:lang w:eastAsia="zh-CN"/>
            </w:rPr>
            <w:tab/>
          </w:r>
          <w:r>
            <w:rPr>
              <w:rStyle w:val="15"/>
              <w:rFonts w:ascii="Arial" w:hAnsi="Arial" w:eastAsia="宋体" w:cs="Arial"/>
              <w:lang w:eastAsia="zh-CN"/>
            </w:rPr>
            <w:t>FDA对提交资料中有关再加工方法确认的再加工说明和文档的审查</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_Toc481569211 \h </w:instrText>
          </w:r>
          <w:r>
            <w:rPr>
              <w:rFonts w:ascii="Arial" w:hAnsi="Arial" w:eastAsia="宋体" w:cs="Arial"/>
            </w:rPr>
            <w:fldChar w:fldCharType="separate"/>
          </w:r>
          <w:r>
            <w:rPr>
              <w:rFonts w:ascii="Arial" w:hAnsi="Arial" w:eastAsia="宋体" w:cs="Arial"/>
            </w:rPr>
            <w:t>28</w:t>
          </w:r>
          <w:r>
            <w:rPr>
              <w:rFonts w:ascii="Arial" w:hAnsi="Arial" w:eastAsia="宋体" w:cs="Arial"/>
            </w:rPr>
            <w:fldChar w:fldCharType="end"/>
          </w:r>
          <w:r>
            <w:rPr>
              <w:rFonts w:ascii="Arial" w:hAnsi="Arial" w:eastAsia="宋体" w:cs="Arial"/>
            </w:rPr>
            <w:fldChar w:fldCharType="end"/>
          </w:r>
        </w:p>
        <w:p w14:paraId="7B075DB4">
          <w:pPr>
            <w:pStyle w:val="7"/>
            <w:tabs>
              <w:tab w:val="left" w:pos="1320"/>
              <w:tab w:val="right" w:leader="dot" w:pos="9982"/>
            </w:tabs>
            <w:ind w:left="880"/>
            <w:rPr>
              <w:rFonts w:ascii="Arial" w:hAnsi="Arial" w:eastAsia="宋体" w:cs="Arial"/>
              <w:kern w:val="2"/>
              <w:sz w:val="21"/>
              <w:lang w:eastAsia="zh-CN"/>
            </w:rPr>
          </w:pPr>
          <w:r>
            <w:fldChar w:fldCharType="begin"/>
          </w:r>
          <w:r>
            <w:instrText xml:space="preserve"> HYPERLINK \l "_Toc481569212" </w:instrText>
          </w:r>
          <w:r>
            <w:fldChar w:fldCharType="separate"/>
          </w:r>
          <w:r>
            <w:rPr>
              <w:rStyle w:val="15"/>
              <w:rFonts w:ascii="Arial" w:hAnsi="Arial" w:eastAsia="宋体" w:cs="Arial"/>
              <w:spacing w:val="-5"/>
            </w:rPr>
            <w:t>A.</w:t>
          </w:r>
          <w:r>
            <w:rPr>
              <w:rFonts w:ascii="Arial" w:hAnsi="Arial" w:eastAsia="宋体" w:cs="Arial"/>
              <w:kern w:val="2"/>
              <w:sz w:val="21"/>
              <w:lang w:eastAsia="zh-CN"/>
            </w:rPr>
            <w:tab/>
          </w:r>
          <w:r>
            <w:rPr>
              <w:rStyle w:val="15"/>
              <w:rFonts w:ascii="Arial" w:hAnsi="Arial" w:eastAsia="宋体" w:cs="Arial"/>
            </w:rPr>
            <w:t>510（k）</w:t>
          </w:r>
          <w:r>
            <w:rPr>
              <w:rStyle w:val="15"/>
              <w:rFonts w:ascii="Arial" w:hAnsi="Arial" w:eastAsia="宋体" w:cs="Arial"/>
              <w:lang w:eastAsia="zh-CN"/>
            </w:rPr>
            <w:t>中的文档</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_Toc481569212 \h </w:instrText>
          </w:r>
          <w:r>
            <w:rPr>
              <w:rFonts w:ascii="Arial" w:hAnsi="Arial" w:eastAsia="宋体" w:cs="Arial"/>
            </w:rPr>
            <w:fldChar w:fldCharType="separate"/>
          </w:r>
          <w:r>
            <w:rPr>
              <w:rFonts w:ascii="Arial" w:hAnsi="Arial" w:eastAsia="宋体" w:cs="Arial"/>
            </w:rPr>
            <w:t>29</w:t>
          </w:r>
          <w:r>
            <w:rPr>
              <w:rFonts w:ascii="Arial" w:hAnsi="Arial" w:eastAsia="宋体" w:cs="Arial"/>
            </w:rPr>
            <w:fldChar w:fldCharType="end"/>
          </w:r>
          <w:r>
            <w:rPr>
              <w:rFonts w:ascii="Arial" w:hAnsi="Arial" w:eastAsia="宋体" w:cs="Arial"/>
            </w:rPr>
            <w:fldChar w:fldCharType="end"/>
          </w:r>
        </w:p>
        <w:p w14:paraId="481D7666">
          <w:pPr>
            <w:pStyle w:val="7"/>
            <w:tabs>
              <w:tab w:val="left" w:pos="1320"/>
              <w:tab w:val="right" w:leader="dot" w:pos="9982"/>
            </w:tabs>
            <w:ind w:left="880"/>
            <w:rPr>
              <w:rFonts w:ascii="Arial" w:hAnsi="Arial" w:eastAsia="宋体" w:cs="Arial"/>
              <w:kern w:val="2"/>
              <w:sz w:val="21"/>
              <w:lang w:eastAsia="zh-CN"/>
            </w:rPr>
          </w:pPr>
          <w:r>
            <w:fldChar w:fldCharType="begin"/>
          </w:r>
          <w:r>
            <w:instrText xml:space="preserve"> HYPERLINK \l "_Toc481569213" </w:instrText>
          </w:r>
          <w:r>
            <w:fldChar w:fldCharType="separate"/>
          </w:r>
          <w:r>
            <w:rPr>
              <w:rStyle w:val="15"/>
              <w:rFonts w:ascii="Arial" w:hAnsi="Arial" w:eastAsia="宋体" w:cs="Arial"/>
              <w:spacing w:val="-5"/>
              <w:lang w:eastAsia="zh-CN"/>
            </w:rPr>
            <w:t>B.</w:t>
          </w:r>
          <w:r>
            <w:rPr>
              <w:rFonts w:ascii="Arial" w:hAnsi="Arial" w:eastAsia="宋体" w:cs="Arial"/>
              <w:kern w:val="2"/>
              <w:sz w:val="21"/>
              <w:lang w:eastAsia="zh-CN"/>
            </w:rPr>
            <w:tab/>
          </w:r>
          <w:r>
            <w:rPr>
              <w:rStyle w:val="15"/>
              <w:rFonts w:ascii="Arial" w:hAnsi="Arial" w:eastAsia="宋体" w:cs="Arial"/>
              <w:lang w:eastAsia="zh-CN"/>
            </w:rPr>
            <w:t>PMA、HDE和重新请求中的文档</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_Toc481569213 \h </w:instrText>
          </w:r>
          <w:r>
            <w:rPr>
              <w:rFonts w:ascii="Arial" w:hAnsi="Arial" w:eastAsia="宋体" w:cs="Arial"/>
            </w:rPr>
            <w:fldChar w:fldCharType="separate"/>
          </w:r>
          <w:r>
            <w:rPr>
              <w:rFonts w:ascii="Arial" w:hAnsi="Arial" w:eastAsia="宋体" w:cs="Arial"/>
            </w:rPr>
            <w:t>30</w:t>
          </w:r>
          <w:r>
            <w:rPr>
              <w:rFonts w:ascii="Arial" w:hAnsi="Arial" w:eastAsia="宋体" w:cs="Arial"/>
            </w:rPr>
            <w:fldChar w:fldCharType="end"/>
          </w:r>
          <w:r>
            <w:rPr>
              <w:rFonts w:ascii="Arial" w:hAnsi="Arial" w:eastAsia="宋体" w:cs="Arial"/>
            </w:rPr>
            <w:fldChar w:fldCharType="end"/>
          </w:r>
        </w:p>
        <w:p w14:paraId="48D55FCA">
          <w:pPr>
            <w:pStyle w:val="7"/>
            <w:tabs>
              <w:tab w:val="left" w:pos="1320"/>
              <w:tab w:val="right" w:leader="dot" w:pos="9982"/>
            </w:tabs>
            <w:ind w:left="880"/>
            <w:rPr>
              <w:rFonts w:ascii="Arial" w:hAnsi="Arial" w:eastAsia="宋体" w:cs="Arial"/>
              <w:kern w:val="2"/>
              <w:sz w:val="21"/>
              <w:lang w:eastAsia="zh-CN"/>
            </w:rPr>
          </w:pPr>
          <w:r>
            <w:fldChar w:fldCharType="begin"/>
          </w:r>
          <w:r>
            <w:instrText xml:space="preserve"> HYPERLINK \l "_Toc481569214" </w:instrText>
          </w:r>
          <w:r>
            <w:fldChar w:fldCharType="separate"/>
          </w:r>
          <w:r>
            <w:rPr>
              <w:rStyle w:val="15"/>
              <w:rFonts w:ascii="Arial" w:hAnsi="Arial" w:eastAsia="宋体" w:cs="Arial"/>
              <w:spacing w:val="-5"/>
            </w:rPr>
            <w:t>C.</w:t>
          </w:r>
          <w:r>
            <w:rPr>
              <w:rFonts w:ascii="Arial" w:hAnsi="Arial" w:eastAsia="宋体" w:cs="Arial"/>
              <w:kern w:val="2"/>
              <w:sz w:val="21"/>
              <w:lang w:eastAsia="zh-CN"/>
            </w:rPr>
            <w:tab/>
          </w:r>
          <w:r>
            <w:rPr>
              <w:rStyle w:val="15"/>
              <w:rFonts w:ascii="Arial" w:hAnsi="Arial" w:eastAsia="宋体" w:cs="Arial"/>
            </w:rPr>
            <w:t>IDE中的</w:t>
          </w:r>
          <w:r>
            <w:rPr>
              <w:rStyle w:val="15"/>
              <w:rFonts w:ascii="Arial" w:hAnsi="Arial" w:eastAsia="宋体" w:cs="Arial"/>
              <w:lang w:eastAsia="zh-CN"/>
            </w:rPr>
            <w:t>文档</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_Toc481569214 \h </w:instrText>
          </w:r>
          <w:r>
            <w:rPr>
              <w:rFonts w:ascii="Arial" w:hAnsi="Arial" w:eastAsia="宋体" w:cs="Arial"/>
            </w:rPr>
            <w:fldChar w:fldCharType="separate"/>
          </w:r>
          <w:r>
            <w:rPr>
              <w:rFonts w:ascii="Arial" w:hAnsi="Arial" w:eastAsia="宋体" w:cs="Arial"/>
            </w:rPr>
            <w:t>30</w:t>
          </w:r>
          <w:r>
            <w:rPr>
              <w:rFonts w:ascii="Arial" w:hAnsi="Arial" w:eastAsia="宋体" w:cs="Arial"/>
            </w:rPr>
            <w:fldChar w:fldCharType="end"/>
          </w:r>
          <w:r>
            <w:rPr>
              <w:rFonts w:ascii="Arial" w:hAnsi="Arial" w:eastAsia="宋体" w:cs="Arial"/>
            </w:rPr>
            <w:fldChar w:fldCharType="end"/>
          </w:r>
        </w:p>
        <w:p w14:paraId="4DB7C8A0">
          <w:pPr>
            <w:rPr>
              <w:rStyle w:val="15"/>
              <w:rFonts w:ascii="Arial" w:hAnsi="Arial" w:eastAsia="宋体" w:cs="Arial"/>
              <w:b/>
              <w:sz w:val="24"/>
              <w:szCs w:val="24"/>
            </w:rPr>
          </w:pPr>
          <w:r>
            <w:rPr>
              <w:rStyle w:val="15"/>
              <w:rFonts w:ascii="Arial" w:hAnsi="Arial" w:eastAsia="宋体" w:cs="Arial"/>
            </w:rPr>
            <w:br w:type="page"/>
          </w:r>
        </w:p>
        <w:p w14:paraId="555B3423">
          <w:pPr>
            <w:pStyle w:val="12"/>
            <w:tabs>
              <w:tab w:val="right" w:leader="dot" w:pos="9982"/>
            </w:tabs>
            <w:rPr>
              <w:rFonts w:ascii="Arial" w:hAnsi="Arial" w:eastAsia="宋体" w:cs="Arial"/>
              <w:b w:val="0"/>
              <w:kern w:val="2"/>
              <w:sz w:val="21"/>
              <w:szCs w:val="22"/>
              <w:lang w:eastAsia="zh-CN"/>
            </w:rPr>
          </w:pPr>
          <w:r>
            <w:fldChar w:fldCharType="begin"/>
          </w:r>
          <w:r>
            <w:instrText xml:space="preserve"> HYPERLINK \l "_Toc481569215" </w:instrText>
          </w:r>
          <w:r>
            <w:fldChar w:fldCharType="separate"/>
          </w:r>
          <w:r>
            <w:rPr>
              <w:rStyle w:val="15"/>
              <w:rFonts w:ascii="Arial" w:hAnsi="Arial" w:eastAsia="宋体" w:cs="Arial"/>
              <w:lang w:eastAsia="zh-CN"/>
            </w:rPr>
            <w:t>附录A. 术语定义</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_Toc481569215 \h </w:instrText>
          </w:r>
          <w:r>
            <w:rPr>
              <w:rFonts w:ascii="Arial" w:hAnsi="Arial" w:eastAsia="宋体" w:cs="Arial"/>
            </w:rPr>
            <w:fldChar w:fldCharType="separate"/>
          </w:r>
          <w:r>
            <w:rPr>
              <w:rFonts w:ascii="Arial" w:hAnsi="Arial" w:eastAsia="宋体" w:cs="Arial"/>
            </w:rPr>
            <w:t>32</w:t>
          </w:r>
          <w:r>
            <w:rPr>
              <w:rFonts w:ascii="Arial" w:hAnsi="Arial" w:eastAsia="宋体" w:cs="Arial"/>
            </w:rPr>
            <w:fldChar w:fldCharType="end"/>
          </w:r>
          <w:r>
            <w:rPr>
              <w:rFonts w:ascii="Arial" w:hAnsi="Arial" w:eastAsia="宋体" w:cs="Arial"/>
            </w:rPr>
            <w:fldChar w:fldCharType="end"/>
          </w:r>
        </w:p>
        <w:p w14:paraId="427306CF">
          <w:pPr>
            <w:pStyle w:val="12"/>
            <w:tabs>
              <w:tab w:val="right" w:leader="dot" w:pos="9982"/>
            </w:tabs>
            <w:rPr>
              <w:rFonts w:ascii="Arial" w:hAnsi="Arial" w:eastAsia="宋体" w:cs="Arial"/>
              <w:b w:val="0"/>
              <w:kern w:val="2"/>
              <w:sz w:val="21"/>
              <w:szCs w:val="22"/>
              <w:lang w:eastAsia="zh-CN"/>
            </w:rPr>
          </w:pPr>
          <w:r>
            <w:fldChar w:fldCharType="begin"/>
          </w:r>
          <w:r>
            <w:instrText xml:space="preserve"> HYPERLINK \l "_Toc481569216" </w:instrText>
          </w:r>
          <w:r>
            <w:fldChar w:fldCharType="separate"/>
          </w:r>
          <w:r>
            <w:rPr>
              <w:rStyle w:val="15"/>
              <w:rFonts w:ascii="Arial" w:hAnsi="Arial" w:eastAsia="宋体" w:cs="Arial"/>
              <w:lang w:eastAsia="zh-CN"/>
            </w:rPr>
            <w:t>附录B. 可重复使用医疗器械再加工概述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_Toc481569216 \h </w:instrText>
          </w:r>
          <w:r>
            <w:rPr>
              <w:rFonts w:ascii="Arial" w:hAnsi="Arial" w:eastAsia="宋体" w:cs="Arial"/>
            </w:rPr>
            <w:fldChar w:fldCharType="separate"/>
          </w:r>
          <w:r>
            <w:rPr>
              <w:rFonts w:ascii="Arial" w:hAnsi="Arial" w:eastAsia="宋体" w:cs="Arial"/>
            </w:rPr>
            <w:t>35</w:t>
          </w:r>
          <w:r>
            <w:rPr>
              <w:rFonts w:ascii="Arial" w:hAnsi="Arial" w:eastAsia="宋体" w:cs="Arial"/>
            </w:rPr>
            <w:fldChar w:fldCharType="end"/>
          </w:r>
          <w:r>
            <w:rPr>
              <w:rFonts w:ascii="Arial" w:hAnsi="Arial" w:eastAsia="宋体" w:cs="Arial"/>
            </w:rPr>
            <w:fldChar w:fldCharType="end"/>
          </w:r>
        </w:p>
        <w:p w14:paraId="0837FDCC">
          <w:pPr>
            <w:pStyle w:val="12"/>
            <w:tabs>
              <w:tab w:val="right" w:leader="dot" w:pos="9982"/>
            </w:tabs>
            <w:rPr>
              <w:rFonts w:ascii="Arial" w:hAnsi="Arial" w:eastAsia="宋体" w:cs="Arial"/>
              <w:b w:val="0"/>
              <w:kern w:val="2"/>
              <w:sz w:val="21"/>
              <w:szCs w:val="22"/>
              <w:lang w:eastAsia="zh-CN"/>
            </w:rPr>
          </w:pPr>
          <w:r>
            <w:fldChar w:fldCharType="begin"/>
          </w:r>
          <w:r>
            <w:instrText xml:space="preserve"> HYPERLINK \l "_Toc481569217" </w:instrText>
          </w:r>
          <w:r>
            <w:fldChar w:fldCharType="separate"/>
          </w:r>
          <w:r>
            <w:rPr>
              <w:rStyle w:val="15"/>
              <w:rFonts w:ascii="Arial" w:hAnsi="Arial" w:eastAsia="宋体" w:cs="Arial"/>
              <w:lang w:eastAsia="zh-CN"/>
            </w:rPr>
            <w:t>附录C. 医疗机构中使用的灭菌循环示例</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_Toc481569217 \h </w:instrText>
          </w:r>
          <w:r>
            <w:rPr>
              <w:rFonts w:ascii="Arial" w:hAnsi="Arial" w:eastAsia="宋体" w:cs="Arial"/>
            </w:rPr>
            <w:fldChar w:fldCharType="separate"/>
          </w:r>
          <w:r>
            <w:rPr>
              <w:rFonts w:ascii="Arial" w:hAnsi="Arial" w:eastAsia="宋体" w:cs="Arial"/>
            </w:rPr>
            <w:t>36</w:t>
          </w:r>
          <w:r>
            <w:rPr>
              <w:rFonts w:ascii="Arial" w:hAnsi="Arial" w:eastAsia="宋体" w:cs="Arial"/>
            </w:rPr>
            <w:fldChar w:fldCharType="end"/>
          </w:r>
          <w:r>
            <w:rPr>
              <w:rFonts w:ascii="Arial" w:hAnsi="Arial" w:eastAsia="宋体" w:cs="Arial"/>
            </w:rPr>
            <w:fldChar w:fldCharType="end"/>
          </w:r>
        </w:p>
        <w:p w14:paraId="61B7E3EB">
          <w:pPr>
            <w:pStyle w:val="12"/>
            <w:tabs>
              <w:tab w:val="right" w:leader="dot" w:pos="9982"/>
            </w:tabs>
            <w:rPr>
              <w:rFonts w:ascii="Arial" w:hAnsi="Arial" w:eastAsia="宋体" w:cs="Arial"/>
              <w:b w:val="0"/>
              <w:kern w:val="2"/>
              <w:sz w:val="21"/>
              <w:szCs w:val="22"/>
              <w:lang w:eastAsia="zh-CN"/>
            </w:rPr>
          </w:pPr>
          <w:r>
            <w:fldChar w:fldCharType="begin"/>
          </w:r>
          <w:r>
            <w:instrText xml:space="preserve"> HYPERLINK \l "_Toc481569218" </w:instrText>
          </w:r>
          <w:r>
            <w:fldChar w:fldCharType="separate"/>
          </w:r>
          <w:r>
            <w:rPr>
              <w:rStyle w:val="15"/>
              <w:rFonts w:ascii="Arial" w:hAnsi="Arial" w:eastAsia="宋体" w:cs="Arial"/>
              <w:lang w:eastAsia="zh-CN"/>
            </w:rPr>
            <w:t>附录D. 微生物对灭菌化学品的抗性的降序排列</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_Toc481569218 \h </w:instrText>
          </w:r>
          <w:r>
            <w:rPr>
              <w:rFonts w:ascii="Arial" w:hAnsi="Arial" w:eastAsia="宋体" w:cs="Arial"/>
            </w:rPr>
            <w:fldChar w:fldCharType="separate"/>
          </w:r>
          <w:r>
            <w:rPr>
              <w:rFonts w:ascii="Arial" w:hAnsi="Arial" w:eastAsia="宋体" w:cs="Arial"/>
            </w:rPr>
            <w:t>37</w:t>
          </w:r>
          <w:r>
            <w:rPr>
              <w:rFonts w:ascii="Arial" w:hAnsi="Arial" w:eastAsia="宋体" w:cs="Arial"/>
            </w:rPr>
            <w:fldChar w:fldCharType="end"/>
          </w:r>
          <w:r>
            <w:rPr>
              <w:rFonts w:ascii="Arial" w:hAnsi="Arial" w:eastAsia="宋体" w:cs="Arial"/>
            </w:rPr>
            <w:fldChar w:fldCharType="end"/>
          </w:r>
        </w:p>
        <w:p w14:paraId="55F8E013">
          <w:pPr>
            <w:pStyle w:val="12"/>
            <w:tabs>
              <w:tab w:val="right" w:leader="dot" w:pos="9982"/>
            </w:tabs>
            <w:rPr>
              <w:rFonts w:ascii="Arial" w:hAnsi="Arial" w:eastAsia="宋体" w:cs="Arial"/>
              <w:b w:val="0"/>
              <w:kern w:val="2"/>
              <w:sz w:val="21"/>
              <w:szCs w:val="22"/>
              <w:lang w:eastAsia="zh-CN"/>
            </w:rPr>
          </w:pPr>
          <w:r>
            <w:fldChar w:fldCharType="begin"/>
          </w:r>
          <w:r>
            <w:instrText xml:space="preserve"> HYPERLINK \l "_Toc481569219" </w:instrText>
          </w:r>
          <w:r>
            <w:fldChar w:fldCharType="separate"/>
          </w:r>
          <w:r>
            <w:rPr>
              <w:rStyle w:val="15"/>
              <w:rFonts w:ascii="Arial" w:hAnsi="Arial" w:eastAsia="宋体" w:cs="Arial"/>
              <w:lang w:eastAsia="zh-CN"/>
            </w:rPr>
            <w:t>附录E. 510（k）应提供数据以验证再加工说明的器械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_Toc481569219 \h </w:instrText>
          </w:r>
          <w:r>
            <w:rPr>
              <w:rFonts w:ascii="Arial" w:hAnsi="Arial" w:eastAsia="宋体" w:cs="Arial"/>
            </w:rPr>
            <w:fldChar w:fldCharType="separate"/>
          </w:r>
          <w:r>
            <w:rPr>
              <w:rFonts w:ascii="Arial" w:hAnsi="Arial" w:eastAsia="宋体" w:cs="Arial"/>
            </w:rPr>
            <w:t>38</w:t>
          </w:r>
          <w:r>
            <w:rPr>
              <w:rFonts w:ascii="Arial" w:hAnsi="Arial" w:eastAsia="宋体" w:cs="Arial"/>
            </w:rPr>
            <w:fldChar w:fldCharType="end"/>
          </w:r>
          <w:r>
            <w:rPr>
              <w:rFonts w:ascii="Arial" w:hAnsi="Arial" w:eastAsia="宋体" w:cs="Arial"/>
            </w:rPr>
            <w:fldChar w:fldCharType="end"/>
          </w:r>
        </w:p>
        <w:p w14:paraId="677DA432">
          <w:pPr>
            <w:snapToGrid w:val="0"/>
            <w:spacing w:line="300" w:lineRule="auto"/>
            <w:jc w:val="both"/>
            <w:rPr>
              <w:rFonts w:ascii="Arial" w:hAnsi="Arial" w:eastAsia="宋体" w:cs="Arial"/>
            </w:rPr>
          </w:pPr>
          <w:r>
            <w:rPr>
              <w:rFonts w:ascii="Arial" w:hAnsi="Arial" w:eastAsia="宋体" w:cs="Arial"/>
              <w:sz w:val="24"/>
              <w:szCs w:val="24"/>
            </w:rPr>
            <w:fldChar w:fldCharType="end"/>
          </w:r>
        </w:p>
      </w:sdtContent>
    </w:sdt>
    <w:p w14:paraId="5F80E172">
      <w:pPr>
        <w:snapToGrid w:val="0"/>
        <w:spacing w:line="300" w:lineRule="auto"/>
        <w:jc w:val="both"/>
        <w:rPr>
          <w:rFonts w:ascii="Arial" w:hAnsi="Arial" w:eastAsia="宋体" w:cs="Arial"/>
        </w:rPr>
        <w:sectPr>
          <w:type w:val="continuous"/>
          <w:pgSz w:w="12260" w:h="15840"/>
          <w:pgMar w:top="1134" w:right="1134" w:bottom="1134" w:left="1134" w:header="720" w:footer="720" w:gutter="0"/>
          <w:cols w:space="720" w:num="1"/>
          <w:docGrid w:linePitch="299" w:charSpace="0"/>
        </w:sectPr>
      </w:pPr>
    </w:p>
    <w:p w14:paraId="564D25DC">
      <w:pPr>
        <w:snapToGrid w:val="0"/>
        <w:spacing w:line="300" w:lineRule="auto"/>
        <w:jc w:val="both"/>
        <w:rPr>
          <w:rFonts w:ascii="Arial" w:hAnsi="Arial" w:eastAsia="宋体" w:cs="Arial"/>
        </w:rPr>
      </w:pPr>
    </w:p>
    <w:p w14:paraId="5E7EE556">
      <w:pPr>
        <w:snapToGrid w:val="0"/>
        <w:spacing w:line="300" w:lineRule="auto"/>
        <w:jc w:val="both"/>
        <w:rPr>
          <w:rFonts w:ascii="Arial" w:hAnsi="Arial" w:eastAsia="宋体" w:cs="Arial"/>
        </w:rPr>
      </w:pPr>
    </w:p>
    <w:p w14:paraId="7D2DF7BB">
      <w:pPr>
        <w:snapToGrid w:val="0"/>
        <w:spacing w:line="300" w:lineRule="auto"/>
        <w:jc w:val="both"/>
        <w:rPr>
          <w:rFonts w:ascii="Arial" w:hAnsi="Arial" w:eastAsia="宋体" w:cs="Arial"/>
        </w:rPr>
      </w:pPr>
    </w:p>
    <w:p w14:paraId="4B0E0EBE">
      <w:pPr>
        <w:snapToGrid w:val="0"/>
        <w:spacing w:line="300" w:lineRule="auto"/>
        <w:jc w:val="both"/>
        <w:rPr>
          <w:rFonts w:ascii="Arial" w:hAnsi="Arial" w:eastAsia="宋体" w:cs="Arial"/>
        </w:rPr>
      </w:pPr>
    </w:p>
    <w:p w14:paraId="17868C1A">
      <w:pPr>
        <w:snapToGrid w:val="0"/>
        <w:spacing w:line="300" w:lineRule="auto"/>
        <w:jc w:val="both"/>
        <w:rPr>
          <w:rFonts w:ascii="Arial" w:hAnsi="Arial" w:eastAsia="宋体" w:cs="Arial"/>
        </w:rPr>
      </w:pPr>
    </w:p>
    <w:p w14:paraId="13891B66">
      <w:pPr>
        <w:snapToGrid w:val="0"/>
        <w:spacing w:line="300" w:lineRule="auto"/>
        <w:jc w:val="both"/>
        <w:rPr>
          <w:rFonts w:ascii="Arial" w:hAnsi="Arial" w:eastAsia="宋体" w:cs="Arial"/>
        </w:rPr>
      </w:pPr>
    </w:p>
    <w:p w14:paraId="05AA7FF4">
      <w:pPr>
        <w:snapToGrid w:val="0"/>
        <w:spacing w:line="300" w:lineRule="auto"/>
        <w:jc w:val="both"/>
        <w:rPr>
          <w:rFonts w:ascii="Arial" w:hAnsi="Arial" w:eastAsia="宋体" w:cs="Arial"/>
        </w:rPr>
      </w:pPr>
    </w:p>
    <w:p w14:paraId="17DCBD1F">
      <w:pPr>
        <w:snapToGrid w:val="0"/>
        <w:spacing w:line="300" w:lineRule="auto"/>
        <w:jc w:val="both"/>
        <w:rPr>
          <w:rFonts w:ascii="Arial" w:hAnsi="Arial" w:eastAsia="宋体" w:cs="Arial"/>
        </w:rPr>
      </w:pPr>
    </w:p>
    <w:p w14:paraId="53C394C0">
      <w:pPr>
        <w:snapToGrid w:val="0"/>
        <w:spacing w:line="300" w:lineRule="auto"/>
        <w:jc w:val="both"/>
        <w:rPr>
          <w:rFonts w:ascii="Arial" w:hAnsi="Arial" w:eastAsia="宋体" w:cs="Arial"/>
        </w:rPr>
        <w:sectPr>
          <w:type w:val="continuous"/>
          <w:pgSz w:w="12260" w:h="15840"/>
          <w:pgMar w:top="1134" w:right="1134" w:bottom="1134" w:left="1134" w:header="720" w:footer="720" w:gutter="0"/>
          <w:cols w:space="720" w:num="1"/>
          <w:docGrid w:linePitch="299" w:charSpace="0"/>
        </w:sectPr>
      </w:pPr>
    </w:p>
    <w:p w14:paraId="1CA3209A">
      <w:pPr>
        <w:snapToGrid w:val="0"/>
        <w:spacing w:line="300" w:lineRule="auto"/>
        <w:jc w:val="center"/>
        <w:rPr>
          <w:rFonts w:ascii="Arial" w:hAnsi="Arial" w:eastAsia="宋体" w:cs="Arial"/>
          <w:b/>
          <w:spacing w:val="-1"/>
          <w:sz w:val="48"/>
          <w:szCs w:val="48"/>
          <w:lang w:eastAsia="zh-CN"/>
        </w:rPr>
      </w:pPr>
      <w:bookmarkStart w:id="2" w:name="_Toc480670818"/>
      <w:r>
        <w:rPr>
          <w:rFonts w:ascii="Arial" w:hAnsi="Arial" w:eastAsia="宋体" w:cs="Arial"/>
          <w:b/>
          <w:sz w:val="48"/>
          <w:szCs w:val="48"/>
          <w:lang w:eastAsia="zh-CN"/>
        </w:rPr>
        <mc:AlternateContent>
          <mc:Choice Requires="wpg">
            <w:drawing>
              <wp:anchor distT="0" distB="0" distL="114300" distR="114300" simplePos="0" relativeHeight="251661312" behindDoc="1" locked="0" layoutInCell="1" allowOverlap="1">
                <wp:simplePos x="0" y="0"/>
                <wp:positionH relativeFrom="page">
                  <wp:posOffset>895985</wp:posOffset>
                </wp:positionH>
                <wp:positionV relativeFrom="paragraph">
                  <wp:posOffset>1003300</wp:posOffset>
                </wp:positionV>
                <wp:extent cx="5980430" cy="1270"/>
                <wp:effectExtent l="10160" t="12700" r="10160" b="5080"/>
                <wp:wrapNone/>
                <wp:docPr id="48" name="Group 56"/>
                <wp:cNvGraphicFramePr/>
                <a:graphic xmlns:a="http://schemas.openxmlformats.org/drawingml/2006/main">
                  <a:graphicData uri="http://schemas.microsoft.com/office/word/2010/wordprocessingGroup">
                    <wpg:wgp>
                      <wpg:cNvGrpSpPr/>
                      <wpg:grpSpPr>
                        <a:xfrm>
                          <a:off x="0" y="0"/>
                          <a:ext cx="5980430" cy="1270"/>
                          <a:chOff x="1411" y="1580"/>
                          <a:chExt cx="9418" cy="2"/>
                        </a:xfrm>
                      </wpg:grpSpPr>
                      <wps:wsp>
                        <wps:cNvPr id="49" name="Freeform 57"/>
                        <wps:cNvSpPr/>
                        <wps:spPr bwMode="auto">
                          <a:xfrm>
                            <a:off x="1411" y="1580"/>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56" o:spid="_x0000_s1026" o:spt="203" style="position:absolute;left:0pt;margin-left:70.55pt;margin-top:79pt;height:0.1pt;width:470.9pt;mso-position-horizontal-relative:page;z-index:-251655168;mso-width-relative:page;mso-height-relative:page;" coordorigin="1411,1580" coordsize="9418,2" o:gfxdata="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BLuaov2QAAAAwBAAAP&#10;AAAAAAAAAAEAIAAAACIAAABkcnMvZG93bnJldi54bWxQSwECFAAUAAAACACHTuJANpVYT/sCAADv&#10;BgAADgAAAAAAAAABACAAAAAoAQAAZHJzL2Uyb0RvYy54bWxQSwUGAAAAAAYABgBZAQAAlQYAAAAA&#10;">
                <o:lock v:ext="edit" aspectratio="f"/>
                <v:shape id="Freeform 57" o:spid="_x0000_s1026" o:spt="100" style="position:absolute;left:1411;top:1580;height:2;width:9418;" filled="f" stroked="t" coordsize="9418,1" o:gfxdata="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dF/rr4A&#10;AADbAAAADwAAAAAAAAABACAAAAAiAAAAZHJzL2Rvd25yZXYueG1sUEsBAhQAFAAAAAgAh07iQDMv&#10;BZ47AAAAOQAAABAAAAAAAAAAAQAgAAAADQEAAGRycy9zaGFwZXhtbC54bWxQSwUGAAAAAAYABgBb&#10;AQAAtwMAAAAA&#10;" path="m0,0l9418,0e">
                  <v:path o:connectlocs="0,0;9418,0" o:connectangles="0,0"/>
                  <v:fill on="f" focussize="0,0"/>
                  <v:stroke weight="0.48pt" color="#000000" joinstyle="round"/>
                  <v:imagedata o:title=""/>
                  <o:lock v:ext="edit" aspectratio="f"/>
                </v:shape>
              </v:group>
            </w:pict>
          </mc:Fallback>
        </mc:AlternateContent>
      </w:r>
      <w:bookmarkStart w:id="3" w:name="I._Introduction"/>
      <w:bookmarkEnd w:id="3"/>
      <w:r>
        <w:rPr>
          <w:rFonts w:ascii="Arial" w:hAnsi="Arial" w:eastAsia="宋体" w:cs="Arial"/>
          <w:b/>
          <w:sz w:val="48"/>
          <w:szCs w:val="48"/>
          <w:lang w:eastAsia="zh-CN"/>
        </w:rPr>
        <w:t>加工、再加工医疗器械的医疗关键点：验证方法和标识</w:t>
      </w:r>
      <w:bookmarkEnd w:id="2"/>
    </w:p>
    <w:p w14:paraId="33A68F30">
      <w:pPr>
        <w:snapToGrid w:val="0"/>
        <w:spacing w:line="300" w:lineRule="auto"/>
        <w:jc w:val="center"/>
        <w:rPr>
          <w:rFonts w:ascii="Arial" w:hAnsi="Arial" w:eastAsia="宋体" w:cs="Arial"/>
          <w:b/>
          <w:sz w:val="48"/>
          <w:szCs w:val="48"/>
          <w:lang w:eastAsia="zh-CN"/>
        </w:rPr>
      </w:pPr>
      <w:bookmarkStart w:id="4" w:name="_Toc480670819"/>
    </w:p>
    <w:p w14:paraId="3EAFF3A6">
      <w:pPr>
        <w:snapToGrid w:val="0"/>
        <w:spacing w:line="300" w:lineRule="auto"/>
        <w:jc w:val="center"/>
        <w:rPr>
          <w:rFonts w:ascii="Arial" w:hAnsi="Arial" w:eastAsia="宋体" w:cs="Arial"/>
          <w:b/>
          <w:sz w:val="48"/>
          <w:szCs w:val="48"/>
          <w:lang w:eastAsia="zh-CN"/>
        </w:rPr>
      </w:pPr>
      <w:r>
        <w:rPr>
          <w:rFonts w:ascii="Arial" w:hAnsi="Arial" w:eastAsia="宋体" w:cs="Arial"/>
          <w:b/>
          <w:sz w:val="48"/>
          <w:szCs w:val="48"/>
          <w:lang w:eastAsia="zh-CN"/>
        </w:rPr>
        <w:t>行业和食品药品监督管理局员工指南</w:t>
      </w:r>
      <w:bookmarkEnd w:id="4"/>
    </w:p>
    <w:p w14:paraId="074D39AE">
      <w:pPr>
        <w:snapToGrid w:val="0"/>
        <w:spacing w:before="4" w:line="300" w:lineRule="auto"/>
        <w:jc w:val="both"/>
        <w:rPr>
          <w:rFonts w:ascii="Arial" w:hAnsi="Arial" w:eastAsia="宋体" w:cs="Arial"/>
          <w:b/>
          <w:bCs/>
          <w:sz w:val="28"/>
          <w:szCs w:val="28"/>
          <w:lang w:eastAsia="zh-CN"/>
        </w:rPr>
      </w:pPr>
    </w:p>
    <w:p w14:paraId="611490DE">
      <w:pPr>
        <w:snapToGrid w:val="0"/>
        <w:spacing w:line="300" w:lineRule="auto"/>
        <w:ind w:left="113"/>
        <w:jc w:val="both"/>
        <w:rPr>
          <w:rFonts w:ascii="Arial" w:hAnsi="Arial" w:eastAsia="宋体" w:cs="Arial"/>
          <w:sz w:val="20"/>
          <w:szCs w:val="20"/>
        </w:rPr>
      </w:pPr>
      <w:r>
        <w:rPr>
          <w:rFonts w:ascii="Arial" w:hAnsi="Arial" w:eastAsia="宋体" w:cs="Arial"/>
          <w:position w:val="-41"/>
          <w:sz w:val="20"/>
          <w:szCs w:val="20"/>
          <w:lang w:eastAsia="zh-CN"/>
        </w:rPr>
        <mc:AlternateContent>
          <mc:Choice Requires="wps">
            <w:drawing>
              <wp:inline distT="0" distB="0" distL="0" distR="0">
                <wp:extent cx="6155690" cy="1330960"/>
                <wp:effectExtent l="19050" t="19050" r="26035" b="21590"/>
                <wp:docPr id="47" name="Text Box 67"/>
                <wp:cNvGraphicFramePr/>
                <a:graphic xmlns:a="http://schemas.openxmlformats.org/drawingml/2006/main">
                  <a:graphicData uri="http://schemas.microsoft.com/office/word/2010/wordprocessingShape">
                    <wps:wsp>
                      <wps:cNvSpPr txBox="1">
                        <a:spLocks noChangeArrowheads="1"/>
                      </wps:cNvSpPr>
                      <wps:spPr bwMode="auto">
                        <a:xfrm>
                          <a:off x="0" y="0"/>
                          <a:ext cx="6155690" cy="1330960"/>
                        </a:xfrm>
                        <a:prstGeom prst="rect">
                          <a:avLst/>
                        </a:prstGeom>
                        <a:noFill/>
                        <a:ln w="38100" cmpd="tri">
                          <a:solidFill>
                            <a:srgbClr val="000000"/>
                          </a:solidFill>
                          <a:miter lim="800000"/>
                        </a:ln>
                      </wps:spPr>
                      <wps:txbx>
                        <w:txbxContent>
                          <w:p w14:paraId="3BA22522">
                            <w:pPr>
                              <w:spacing w:before="49"/>
                              <w:ind w:left="136" w:right="317"/>
                              <w:jc w:val="both"/>
                              <w:rPr>
                                <w:rFonts w:ascii="Arial" w:hAnsi="Arial" w:eastAsia="宋体" w:cs="Arial"/>
                                <w:b/>
                                <w:i/>
                                <w:sz w:val="24"/>
                                <w:szCs w:val="24"/>
                                <w:lang w:eastAsia="zh-CN" w:bidi="ar"/>
                              </w:rPr>
                            </w:pPr>
                            <w:bookmarkStart w:id="96" w:name="OLE_LINK10"/>
                            <w:bookmarkStart w:id="97" w:name="OLE_LINK11"/>
                            <w:r>
                              <w:rPr>
                                <w:rFonts w:ascii="Arial" w:hAnsi="Arial" w:eastAsia="宋体" w:cs="Arial"/>
                                <w:b/>
                                <w:i/>
                                <w:sz w:val="24"/>
                                <w:szCs w:val="24"/>
                                <w:lang w:eastAsia="zh-CN" w:bidi="ar"/>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bookmarkEnd w:id="96"/>
                            <w:bookmarkEnd w:id="97"/>
                          </w:p>
                        </w:txbxContent>
                      </wps:txbx>
                      <wps:bodyPr rot="0" vert="horz" wrap="square" lIns="0" tIns="0" rIns="0" bIns="0" anchor="t" anchorCtr="0" upright="1">
                        <a:noAutofit/>
                      </wps:bodyPr>
                    </wps:wsp>
                  </a:graphicData>
                </a:graphic>
              </wp:inline>
            </w:drawing>
          </mc:Choice>
          <mc:Fallback>
            <w:pict>
              <v:shape id="Text Box 67" o:spid="_x0000_s1026" o:spt="202" type="#_x0000_t202" style="height:104.8pt;width:484.7pt;" filled="f" stroked="t" coordsize="21600,21600" o:gfxdata="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M5pmP1AAAAAUBAAAPAAAAAAAAAAEAIAAAACIAAABkcnMvZG93bnJldi54bWxQSwECFAAU&#10;AAAACACHTuJAtstjci4CAABcBAAADgAAAAAAAAABACAAAAAjAQAAZHJzL2Uyb0RvYy54bWxQSwUG&#10;AAAAAAYABgBZAQAAwwUAAAAA&#10;">
                <v:fill on="f" focussize="0,0"/>
                <v:stroke weight="3pt" color="#000000" linestyle="thickBetweenThin" miterlimit="8" joinstyle="miter"/>
                <v:imagedata o:title=""/>
                <o:lock v:ext="edit" aspectratio="f"/>
                <v:textbox inset="0mm,0mm,0mm,0mm">
                  <w:txbxContent>
                    <w:p w14:paraId="3BA22522">
                      <w:pPr>
                        <w:spacing w:before="49"/>
                        <w:ind w:left="136" w:right="317"/>
                        <w:jc w:val="both"/>
                        <w:rPr>
                          <w:rFonts w:ascii="Arial" w:hAnsi="Arial" w:eastAsia="宋体" w:cs="Arial"/>
                          <w:b/>
                          <w:i/>
                          <w:sz w:val="24"/>
                          <w:szCs w:val="24"/>
                          <w:lang w:eastAsia="zh-CN" w:bidi="ar"/>
                        </w:rPr>
                      </w:pPr>
                      <w:bookmarkStart w:id="96" w:name="OLE_LINK10"/>
                      <w:bookmarkStart w:id="97" w:name="OLE_LINK11"/>
                      <w:r>
                        <w:rPr>
                          <w:rFonts w:ascii="Arial" w:hAnsi="Arial" w:eastAsia="宋体" w:cs="Arial"/>
                          <w:b/>
                          <w:i/>
                          <w:sz w:val="24"/>
                          <w:szCs w:val="24"/>
                          <w:lang w:eastAsia="zh-CN" w:bidi="ar"/>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bookmarkEnd w:id="96"/>
                      <w:bookmarkEnd w:id="97"/>
                    </w:p>
                  </w:txbxContent>
                </v:textbox>
                <w10:wrap type="none"/>
                <w10:anchorlock/>
              </v:shape>
            </w:pict>
          </mc:Fallback>
        </mc:AlternateContent>
      </w:r>
    </w:p>
    <w:p w14:paraId="40CD833E">
      <w:pPr>
        <w:snapToGrid w:val="0"/>
        <w:spacing w:before="11" w:line="300" w:lineRule="auto"/>
        <w:jc w:val="both"/>
        <w:rPr>
          <w:rFonts w:ascii="Arial" w:hAnsi="Arial" w:eastAsia="宋体" w:cs="Arial"/>
          <w:b/>
          <w:bCs/>
          <w:sz w:val="52"/>
          <w:szCs w:val="52"/>
        </w:rPr>
      </w:pPr>
    </w:p>
    <w:p w14:paraId="2D232A5F">
      <w:pPr>
        <w:pStyle w:val="3"/>
        <w:numPr>
          <w:ilvl w:val="0"/>
          <w:numId w:val="1"/>
        </w:numPr>
        <w:tabs>
          <w:tab w:val="left" w:pos="999"/>
          <w:tab w:val="left" w:pos="1000"/>
        </w:tabs>
        <w:snapToGrid w:val="0"/>
        <w:spacing w:line="300" w:lineRule="auto"/>
        <w:ind w:hanging="560"/>
        <w:jc w:val="both"/>
        <w:rPr>
          <w:rFonts w:ascii="Arial" w:hAnsi="Arial" w:eastAsia="宋体" w:cs="Arial"/>
          <w:bCs w:val="0"/>
        </w:rPr>
      </w:pPr>
      <w:bookmarkStart w:id="5" w:name="_Toc481569186"/>
      <w:r>
        <w:rPr>
          <w:rFonts w:ascii="Arial" w:hAnsi="Arial" w:eastAsia="宋体" w:cs="Arial"/>
          <w:bCs w:val="0"/>
          <w:lang w:eastAsia="zh-CN"/>
        </w:rPr>
        <w:t>引言</w:t>
      </w:r>
      <w:bookmarkEnd w:id="5"/>
    </w:p>
    <w:p w14:paraId="04A74AFA">
      <w:pPr>
        <w:pStyle w:val="6"/>
        <w:snapToGrid w:val="0"/>
        <w:spacing w:line="300" w:lineRule="auto"/>
        <w:ind w:left="279"/>
        <w:jc w:val="both"/>
        <w:rPr>
          <w:rFonts w:ascii="Arial" w:hAnsi="Arial" w:eastAsia="宋体" w:cs="Arial"/>
          <w:lang w:eastAsia="zh-CN"/>
        </w:rPr>
      </w:pPr>
      <w:r>
        <w:rPr>
          <w:rFonts w:ascii="Arial" w:hAnsi="Arial" w:eastAsia="宋体" w:cs="Arial"/>
          <w:lang w:eastAsia="zh-CN"/>
        </w:rPr>
        <w:t>本指南为可重复使用</w:t>
      </w:r>
      <w:r>
        <w:rPr>
          <w:rFonts w:ascii="Arial" w:hAnsi="Arial" w:eastAsia="宋体" w:cs="Arial"/>
          <w:vertAlign w:val="superscript"/>
          <w:lang w:eastAsia="zh-CN"/>
        </w:rPr>
        <w:t>1</w:t>
      </w:r>
      <w:r>
        <w:rPr>
          <w:rFonts w:ascii="Arial" w:hAnsi="Arial" w:eastAsia="宋体" w:cs="Arial"/>
          <w:lang w:eastAsia="zh-CN"/>
        </w:rPr>
        <w:t>医疗器械的再加工说明的制定和科学确认提供了建议。本指导性文件还提供了关于上市前通告提交材料【510（k）】、上市前批准（PMA）申请、人道主义器材豁免（HDE）申请、重新请求和器械临床研究豁免（IDE））申请的内容和审查的建议，并涉及用于再加工可重复使用医疗器械的标签说明。请注意，获得510（k）豁免并不意味着器械可免于遵守标签或质量体系（QS）要求。510（k）豁免器械的制造商应遵循本指南中关于此类要求的建议，如该器械通过法规特别免于遵守特定QS要求等除外。</w:t>
      </w:r>
    </w:p>
    <w:p w14:paraId="769CD283">
      <w:pPr>
        <w:snapToGrid w:val="0"/>
        <w:spacing w:before="8" w:line="300" w:lineRule="auto"/>
        <w:jc w:val="both"/>
        <w:rPr>
          <w:rFonts w:ascii="Arial" w:hAnsi="Arial" w:eastAsia="宋体" w:cs="Arial"/>
          <w:sz w:val="23"/>
          <w:szCs w:val="23"/>
          <w:lang w:eastAsia="zh-CN"/>
        </w:rPr>
      </w:pPr>
    </w:p>
    <w:p w14:paraId="036F9289">
      <w:pPr>
        <w:pStyle w:val="6"/>
        <w:snapToGrid w:val="0"/>
        <w:spacing w:line="300" w:lineRule="auto"/>
        <w:ind w:left="279"/>
        <w:jc w:val="both"/>
        <w:rPr>
          <w:rFonts w:ascii="Arial" w:hAnsi="Arial" w:eastAsia="宋体" w:cs="Arial"/>
          <w:lang w:eastAsia="zh-CN"/>
        </w:rPr>
      </w:pPr>
      <w:r>
        <w:rPr>
          <w:rFonts w:ascii="Arial" w:hAnsi="Arial" w:eastAsia="宋体" w:cs="Arial"/>
          <w:lang w:eastAsia="zh-CN"/>
        </w:rPr>
        <w:t>可重复使用医疗器械的制造商有责任使标签具有足够的使用说明，包括有关准备器械以供使用的说明。虽然FDA认识到，器械用户社区遵循器械标签中经验证的再加工说明的关键作用和责任，但本文件的重点在于为制造和确认再加工说明所涉及的复杂活动中的医疗器械制造商提供指南，以确保该器械可以被安全地使用并用于其预期目的。</w:t>
      </w:r>
    </w:p>
    <w:p w14:paraId="12602A48">
      <w:pPr>
        <w:snapToGrid w:val="0"/>
        <w:spacing w:line="300" w:lineRule="auto"/>
        <w:jc w:val="both"/>
        <w:rPr>
          <w:rFonts w:ascii="Arial" w:hAnsi="Arial" w:eastAsia="宋体" w:cs="Arial"/>
          <w:sz w:val="24"/>
          <w:szCs w:val="24"/>
          <w:lang w:eastAsia="zh-CN"/>
        </w:rPr>
      </w:pPr>
    </w:p>
    <w:p w14:paraId="6EBF3C7B">
      <w:pPr>
        <w:pStyle w:val="6"/>
        <w:snapToGrid w:val="0"/>
        <w:spacing w:line="300" w:lineRule="auto"/>
        <w:ind w:left="280"/>
        <w:jc w:val="both"/>
        <w:rPr>
          <w:rFonts w:ascii="Arial" w:hAnsi="Arial" w:eastAsia="宋体" w:cs="Arial"/>
          <w:lang w:eastAsia="zh-CN"/>
        </w:rPr>
      </w:pPr>
    </w:p>
    <w:p w14:paraId="56099CF7">
      <w:pPr>
        <w:snapToGrid w:val="0"/>
        <w:spacing w:before="3" w:line="300" w:lineRule="auto"/>
        <w:jc w:val="both"/>
        <w:rPr>
          <w:rFonts w:ascii="Arial" w:hAnsi="Arial" w:eastAsia="宋体" w:cs="Arial"/>
          <w:sz w:val="14"/>
          <w:szCs w:val="14"/>
          <w:lang w:eastAsia="zh-CN"/>
        </w:rPr>
      </w:pPr>
    </w:p>
    <w:p w14:paraId="02E0B664">
      <w:pPr>
        <w:snapToGrid w:val="0"/>
        <w:spacing w:line="300" w:lineRule="auto"/>
        <w:ind w:left="27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44" name="Group 36"/>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45" name="Group 37"/>
                        <wpg:cNvGrpSpPr/>
                        <wpg:grpSpPr>
                          <a:xfrm>
                            <a:off x="6" y="6"/>
                            <a:ext cx="2880" cy="2"/>
                            <a:chOff x="6" y="6"/>
                            <a:chExt cx="2880" cy="2"/>
                          </a:xfrm>
                        </wpg:grpSpPr>
                        <wps:wsp>
                          <wps:cNvPr id="46" name="Freeform 38"/>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36"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A/oSF1AAAAAMBAAAPAAAAAAAAAAEAIAAAACIAAABkcnMvZG93bnJldi54&#10;bWxQSwECFAAUAAAACACHTuJAJOShlRsDAAD+BwAADgAAAAAAAAABACAAAAAjAQAAZHJzL2Uyb0Rv&#10;Yy54bWxQSwUGAAAAAAYABgBZAQAAsAYAAAAA&#10;">
                <o:lock v:ext="edit" aspectratio="f"/>
                <v:group id="Group 37" o:spid="_x0000_s1026" o:spt="203" style="position:absolute;left:6;top:6;height:2;width:2880;" coordorigin="6,6" coordsize="2880,2"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shape id="Freeform 38" o:spid="_x0000_s1026" o:spt="100" style="position:absolute;left:6;top:6;height:2;width:2880;" filled="f" stroked="t" coordsize="2880,1" o:gfxdata="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xpjc+8AAAA&#10;2wAAAA8AAAAAAAAAAQAgAAAAIgAAAGRycy9kb3ducmV2LnhtbFBLAQIUABQAAAAIAIdO4kAzLwWe&#10;OwAAADkAAAAQAAAAAAAAAAEAIAAAAAsBAABkcnMvc2hhcGV4bWwueG1sUEsFBgAAAAAGAAYAWwEA&#10;ALUDA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000F3DDB">
      <w:pPr>
        <w:snapToGrid w:val="0"/>
        <w:spacing w:before="71" w:line="300" w:lineRule="auto"/>
        <w:ind w:left="280"/>
        <w:jc w:val="both"/>
        <w:rPr>
          <w:rFonts w:ascii="Arial" w:hAnsi="Arial" w:eastAsia="宋体" w:cs="Arial"/>
          <w:sz w:val="20"/>
          <w:szCs w:val="20"/>
          <w:lang w:eastAsia="zh-CN"/>
        </w:rPr>
      </w:pPr>
      <w:r>
        <w:rPr>
          <w:rFonts w:ascii="Arial" w:hAnsi="Arial" w:eastAsia="宋体" w:cs="Arial"/>
          <w:position w:val="9"/>
          <w:sz w:val="13"/>
          <w:szCs w:val="13"/>
          <w:lang w:eastAsia="zh-CN"/>
        </w:rPr>
        <w:t>1</w:t>
      </w:r>
      <w:r>
        <w:rPr>
          <w:rFonts w:ascii="Arial" w:hAnsi="Arial" w:eastAsia="宋体" w:cs="Arial"/>
          <w:sz w:val="20"/>
          <w:szCs w:val="20"/>
          <w:lang w:eastAsia="zh-CN"/>
        </w:rPr>
        <w:t>虽然本指南的范围还包括最初以非无菌方式向用户提供并要求用户在使用之前对器械进行加工的一次性使用医疗器械，但本指南所涉及的大部分器械是可重复使用器械。因此，本文件使用术语“可重复使用器械”以便于编辑。</w:t>
      </w:r>
    </w:p>
    <w:p w14:paraId="172FB2F2">
      <w:pPr>
        <w:rPr>
          <w:rFonts w:ascii="Arial" w:hAnsi="Arial" w:eastAsia="宋体" w:cs="Arial"/>
          <w:sz w:val="20"/>
          <w:szCs w:val="20"/>
          <w:lang w:eastAsia="zh-CN"/>
        </w:rPr>
      </w:pPr>
      <w:r>
        <w:rPr>
          <w:rFonts w:ascii="Arial" w:hAnsi="Arial" w:eastAsia="宋体" w:cs="Arial"/>
          <w:sz w:val="20"/>
          <w:szCs w:val="20"/>
          <w:lang w:eastAsia="zh-CN"/>
        </w:rPr>
        <w:br w:type="page"/>
      </w:r>
    </w:p>
    <w:p w14:paraId="0D403064">
      <w:pPr>
        <w:pStyle w:val="6"/>
        <w:snapToGrid w:val="0"/>
        <w:spacing w:before="214" w:line="300" w:lineRule="auto"/>
        <w:ind w:left="0"/>
        <w:jc w:val="both"/>
        <w:rPr>
          <w:rFonts w:ascii="Arial" w:hAnsi="Arial" w:eastAsia="宋体" w:cs="Arial"/>
          <w:lang w:eastAsia="zh-CN"/>
        </w:rPr>
      </w:pPr>
      <w:bookmarkStart w:id="6" w:name="III._Scope"/>
      <w:bookmarkEnd w:id="6"/>
      <w:bookmarkStart w:id="7" w:name="II._Background"/>
      <w:bookmarkEnd w:id="7"/>
      <w:bookmarkStart w:id="8" w:name="OLE_LINK12"/>
      <w:bookmarkStart w:id="9" w:name="OLE_LINK13"/>
      <w:r>
        <w:rPr>
          <w:rFonts w:ascii="Arial" w:hAnsi="Arial" w:eastAsia="宋体" w:cs="Arial"/>
          <w:lang w:eastAsia="zh-CN"/>
        </w:rPr>
        <w:t>FDA的指导性文件，包括本指南，不构成具有法律强制力的责任。相反，指南表明了本审查机构对某一主题的最新见解，除非引用具体的法规或法律要求，否则只应视为建议。在本审查机构指南中使用词语“应”是指建议或推荐进行某一事项，并非强制要求。</w:t>
      </w:r>
    </w:p>
    <w:bookmarkEnd w:id="8"/>
    <w:bookmarkEnd w:id="9"/>
    <w:p w14:paraId="4A95EB40">
      <w:pPr>
        <w:pStyle w:val="6"/>
        <w:snapToGrid w:val="0"/>
        <w:spacing w:before="214" w:line="300" w:lineRule="auto"/>
        <w:ind w:left="0"/>
        <w:jc w:val="both"/>
        <w:rPr>
          <w:rFonts w:ascii="Arial" w:hAnsi="Arial" w:eastAsia="宋体" w:cs="Arial"/>
          <w:lang w:eastAsia="zh-CN"/>
        </w:rPr>
      </w:pPr>
    </w:p>
    <w:p w14:paraId="144F7A31">
      <w:pPr>
        <w:pStyle w:val="3"/>
        <w:numPr>
          <w:ilvl w:val="0"/>
          <w:numId w:val="1"/>
        </w:numPr>
        <w:tabs>
          <w:tab w:val="left" w:pos="840"/>
        </w:tabs>
        <w:snapToGrid w:val="0"/>
        <w:spacing w:line="300" w:lineRule="auto"/>
        <w:ind w:left="720"/>
        <w:jc w:val="both"/>
        <w:rPr>
          <w:rFonts w:ascii="Arial" w:hAnsi="Arial" w:eastAsia="宋体" w:cs="Arial"/>
          <w:bCs w:val="0"/>
        </w:rPr>
      </w:pPr>
      <w:bookmarkStart w:id="10" w:name="_Toc481569187"/>
      <w:r>
        <w:rPr>
          <w:rFonts w:ascii="Arial" w:hAnsi="Arial" w:eastAsia="宋体" w:cs="Arial"/>
          <w:bCs w:val="0"/>
          <w:lang w:eastAsia="zh-CN"/>
        </w:rPr>
        <w:t>背景</w:t>
      </w:r>
      <w:bookmarkEnd w:id="10"/>
    </w:p>
    <w:p w14:paraId="3AB4148D">
      <w:pPr>
        <w:pStyle w:val="6"/>
        <w:snapToGrid w:val="0"/>
        <w:spacing w:before="269" w:line="300" w:lineRule="auto"/>
        <w:ind w:left="0"/>
        <w:jc w:val="both"/>
        <w:rPr>
          <w:rFonts w:ascii="Arial" w:hAnsi="Arial" w:eastAsia="宋体" w:cs="Arial"/>
          <w:lang w:eastAsia="zh-CN"/>
        </w:rPr>
      </w:pPr>
      <w:r>
        <w:rPr>
          <w:rFonts w:ascii="Arial" w:hAnsi="Arial" w:eastAsia="宋体" w:cs="Arial"/>
          <w:lang w:eastAsia="zh-CN"/>
        </w:rPr>
        <w:t>根据联邦食品、药品和化妆品法案（FDCA）第502（f）节（21 USC 352（f）），器械必须具有足够的使用说明。足够的非处方使用说明包括有关准备器械以供使用的说明。21 CFR 801.5（g）。只要满足某些条件，处方器械就可以免于足够的使用说明要求，包括标签应具有 “使用信息，包括适应症、</w:t>
      </w:r>
      <w:r>
        <w:rPr>
          <w:rFonts w:hint="eastAsia" w:ascii="Arial" w:hAnsi="Arial" w:eastAsia="宋体" w:cs="Arial"/>
          <w:lang w:eastAsia="zh-CN"/>
        </w:rPr>
        <w:t>效果</w:t>
      </w:r>
      <w:r>
        <w:rPr>
          <w:rFonts w:ascii="Arial" w:hAnsi="Arial" w:eastAsia="宋体" w:cs="Arial"/>
          <w:lang w:eastAsia="zh-CN"/>
        </w:rPr>
        <w:t>、路线、方法、施用频率和持续时间以及任何相关危害、禁忌症、副作用和注意事项，由此获法律许可以施用该器械的执业医师可以安全地使用该器械并将其用于其预期目的。”21 CFR 801.109（c）。因为关于如何适当再加工可重复使用器械的说明对于确保适当制备可重复使用器械以供下一次外行使用，以及许可执业医师可以安全地使用器械来说至关重要，因此我们认为，足够的再加工说明是根据21 CFR 801.5提供足够使用说明的一部分，也是根据21 CFR 801.109豁免足够使用说明的条件。为了便于编辑，我们将在本文件中使用短语“足够的使用说明”来指代处方和非处方器械的要求。</w:t>
      </w:r>
    </w:p>
    <w:p w14:paraId="116374D6">
      <w:pPr>
        <w:snapToGrid w:val="0"/>
        <w:spacing w:line="300" w:lineRule="auto"/>
        <w:jc w:val="both"/>
        <w:rPr>
          <w:rFonts w:ascii="Arial" w:hAnsi="Arial" w:eastAsia="宋体" w:cs="Arial"/>
          <w:sz w:val="24"/>
          <w:szCs w:val="24"/>
          <w:lang w:eastAsia="zh-CN"/>
        </w:rPr>
      </w:pPr>
    </w:p>
    <w:p w14:paraId="7E0CF36E">
      <w:pPr>
        <w:pStyle w:val="6"/>
        <w:snapToGrid w:val="0"/>
        <w:spacing w:line="300" w:lineRule="auto"/>
        <w:ind w:left="0"/>
        <w:rPr>
          <w:rFonts w:ascii="Arial" w:hAnsi="Arial" w:eastAsia="宋体" w:cs="Arial"/>
          <w:lang w:eastAsia="zh-CN"/>
        </w:rPr>
      </w:pPr>
      <w:r>
        <w:rPr>
          <w:rFonts w:ascii="Arial" w:hAnsi="Arial" w:eastAsia="宋体" w:cs="Arial"/>
          <w:lang w:eastAsia="zh-CN"/>
        </w:rPr>
        <w:t>标签必须符合21 CFR 第 801部分和第801部分中给出的任何适用器械特定要求；体外诊断（IVD）器械的标签必须符合21 CFR809.10。医疗器械的一般标签要求在题为“医疗器械的标签法规要求”的指南进行谈论，网址为：</w:t>
      </w:r>
      <w:r>
        <w:rPr>
          <w:rFonts w:ascii="Arial" w:hAnsi="Arial" w:eastAsia="宋体" w:cs="Arial"/>
          <w:color w:val="0000FF"/>
          <w:u w:val="single"/>
          <w:lang w:eastAsia="zh-CN"/>
        </w:rPr>
        <w:t>http：//www.fda.gov/downloads/MedicalDevices/DeviceRegulationandGuidance/GuidanceDocuments/UCM095308.pdf</w:t>
      </w:r>
      <w:r>
        <w:rPr>
          <w:rFonts w:ascii="Arial" w:hAnsi="Arial" w:eastAsia="宋体" w:cs="Arial"/>
          <w:lang w:eastAsia="zh-CN"/>
        </w:rPr>
        <w:t>。</w:t>
      </w:r>
    </w:p>
    <w:p w14:paraId="5E926C7E">
      <w:pPr>
        <w:pStyle w:val="6"/>
        <w:snapToGrid w:val="0"/>
        <w:spacing w:line="300" w:lineRule="auto"/>
        <w:ind w:left="0"/>
        <w:jc w:val="both"/>
        <w:rPr>
          <w:rFonts w:ascii="Arial" w:hAnsi="Arial" w:eastAsia="宋体" w:cs="Arial"/>
          <w:lang w:eastAsia="zh-CN"/>
        </w:rPr>
      </w:pPr>
    </w:p>
    <w:p w14:paraId="7166D348">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近年来，越来越难以再加工的可重复使用医疗器械设计向更复杂方向进行变革。此外，再加工可重复使用医疗器械中涉及的知识和技术方面取得了重大进展。本指南反映了这些领域的科学进步。附录A提供了有关本指导性文件中使用的常用术语定义的其他信息。</w:t>
      </w:r>
    </w:p>
    <w:p w14:paraId="56613EA4">
      <w:pPr>
        <w:pStyle w:val="6"/>
        <w:snapToGrid w:val="0"/>
        <w:spacing w:line="300" w:lineRule="auto"/>
        <w:ind w:left="120"/>
        <w:jc w:val="both"/>
        <w:rPr>
          <w:rFonts w:ascii="Arial" w:hAnsi="Arial" w:eastAsia="宋体" w:cs="Arial"/>
          <w:lang w:eastAsia="zh-CN"/>
        </w:rPr>
      </w:pPr>
      <w:r>
        <w:rPr>
          <w:rFonts w:ascii="Arial" w:hAnsi="Arial" w:eastAsia="宋体" w:cs="Arial"/>
          <w:lang w:eastAsia="zh-CN"/>
        </w:rPr>
        <w:t>随着器械再加工领域的其他科学信息便于使用，可能会对本指南进行进一步修订。</w:t>
      </w:r>
    </w:p>
    <w:p w14:paraId="30988016">
      <w:pPr>
        <w:snapToGrid w:val="0"/>
        <w:spacing w:before="6" w:line="300" w:lineRule="auto"/>
        <w:jc w:val="both"/>
        <w:rPr>
          <w:rFonts w:ascii="Arial" w:hAnsi="Arial" w:eastAsia="宋体" w:cs="Arial"/>
          <w:sz w:val="24"/>
          <w:szCs w:val="24"/>
          <w:lang w:eastAsia="zh-CN"/>
        </w:rPr>
      </w:pPr>
    </w:p>
    <w:p w14:paraId="69482FED">
      <w:pPr>
        <w:pStyle w:val="3"/>
        <w:numPr>
          <w:ilvl w:val="0"/>
          <w:numId w:val="1"/>
        </w:numPr>
        <w:tabs>
          <w:tab w:val="left" w:pos="840"/>
        </w:tabs>
        <w:snapToGrid w:val="0"/>
        <w:spacing w:line="300" w:lineRule="auto"/>
        <w:ind w:left="720"/>
        <w:jc w:val="both"/>
        <w:rPr>
          <w:rFonts w:ascii="Arial" w:hAnsi="Arial" w:eastAsia="宋体" w:cs="Arial"/>
          <w:bCs w:val="0"/>
        </w:rPr>
      </w:pPr>
      <w:bookmarkStart w:id="11" w:name="_Toc481569188"/>
      <w:r>
        <w:rPr>
          <w:rFonts w:ascii="Arial" w:hAnsi="Arial" w:eastAsia="宋体" w:cs="Arial"/>
          <w:bCs w:val="0"/>
          <w:lang w:eastAsia="zh-CN"/>
        </w:rPr>
        <w:t>范围</w:t>
      </w:r>
      <w:bookmarkEnd w:id="11"/>
    </w:p>
    <w:p w14:paraId="757346A8">
      <w:pPr>
        <w:pStyle w:val="6"/>
        <w:snapToGrid w:val="0"/>
        <w:spacing w:before="271" w:line="300" w:lineRule="auto"/>
        <w:ind w:left="0"/>
        <w:jc w:val="both"/>
        <w:rPr>
          <w:rFonts w:ascii="Arial" w:hAnsi="Arial" w:eastAsia="宋体" w:cs="Arial"/>
          <w:lang w:eastAsia="zh-CN"/>
        </w:rPr>
      </w:pPr>
      <w:r>
        <w:rPr>
          <w:rFonts w:ascii="Arial" w:hAnsi="Arial" w:eastAsia="宋体" w:cs="Arial"/>
          <w:lang w:eastAsia="zh-CN"/>
        </w:rPr>
        <w:t>本指南的范围仅限于属于下列四种再加工情况的器械。</w:t>
      </w:r>
    </w:p>
    <w:p w14:paraId="03E5F995">
      <w:pPr>
        <w:pStyle w:val="17"/>
        <w:numPr>
          <w:ilvl w:val="1"/>
          <w:numId w:val="1"/>
        </w:numPr>
        <w:tabs>
          <w:tab w:val="left" w:pos="855"/>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最初以无菌形式向用户提供，并且要求用户在器械首次使用后、后续患者再次使用器械前再加工（即，清洁和消毒或灭菌）该器械的可重复使用医疗器械。</w:t>
      </w:r>
    </w:p>
    <w:p w14:paraId="0263017B">
      <w:pPr>
        <w:rPr>
          <w:rFonts w:ascii="Arial" w:hAnsi="Arial" w:eastAsia="宋体" w:cs="Arial"/>
          <w:sz w:val="24"/>
          <w:szCs w:val="24"/>
          <w:lang w:eastAsia="zh-CN"/>
        </w:rPr>
      </w:pPr>
      <w:r>
        <w:rPr>
          <w:rFonts w:ascii="Arial" w:hAnsi="Arial" w:eastAsia="宋体" w:cs="Arial"/>
          <w:sz w:val="24"/>
          <w:szCs w:val="24"/>
          <w:lang w:eastAsia="zh-CN"/>
        </w:rPr>
        <w:br w:type="page"/>
      </w:r>
    </w:p>
    <w:p w14:paraId="4524C2D2">
      <w:pPr>
        <w:pStyle w:val="17"/>
        <w:numPr>
          <w:ilvl w:val="1"/>
          <w:numId w:val="1"/>
        </w:numPr>
        <w:tabs>
          <w:tab w:val="left" w:pos="855"/>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最初以非无菌形式提供给用户，并要求用户加工（即清洁、清洁以及消毒，或清洁和灭菌）器械以供首次使用，并在每次使用后再加工器械的可重复使用医疗器械 。</w:t>
      </w:r>
    </w:p>
    <w:p w14:paraId="652B68AE">
      <w:pPr>
        <w:pStyle w:val="17"/>
        <w:numPr>
          <w:ilvl w:val="1"/>
          <w:numId w:val="1"/>
        </w:numPr>
        <w:tabs>
          <w:tab w:val="left" w:pos="855"/>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仅由单个患者重复使用，并且旨在每次使用之间进行再加工的可重复使用医疗器械。</w:t>
      </w:r>
    </w:p>
    <w:p w14:paraId="2314E538">
      <w:pPr>
        <w:pStyle w:val="17"/>
        <w:numPr>
          <w:ilvl w:val="1"/>
          <w:numId w:val="1"/>
        </w:numPr>
        <w:tabs>
          <w:tab w:val="left" w:pos="855"/>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最初以非无菌形式提供给用户，并要求用户在使用前加工该器械的一次性使用医疗器械。</w:t>
      </w:r>
    </w:p>
    <w:p w14:paraId="1C4B199F">
      <w:pPr>
        <w:snapToGrid w:val="0"/>
        <w:spacing w:line="300" w:lineRule="auto"/>
        <w:jc w:val="both"/>
        <w:rPr>
          <w:rFonts w:ascii="Arial" w:hAnsi="Arial" w:eastAsia="宋体" w:cs="Arial"/>
          <w:sz w:val="24"/>
          <w:szCs w:val="24"/>
          <w:lang w:eastAsia="zh-CN"/>
        </w:rPr>
      </w:pPr>
    </w:p>
    <w:p w14:paraId="7FF6DD91">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请注意，本指南的以下部分不适用于最初以非无菌方式提供的一次性使用器械：</w:t>
      </w:r>
    </w:p>
    <w:p w14:paraId="139E9217">
      <w:pPr>
        <w:pStyle w:val="17"/>
        <w:numPr>
          <w:ilvl w:val="0"/>
          <w:numId w:val="2"/>
        </w:numPr>
        <w:tabs>
          <w:tab w:val="left" w:pos="84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第VI节，标准5.b-使用点加工</w:t>
      </w:r>
    </w:p>
    <w:p w14:paraId="3B99ADBF">
      <w:pPr>
        <w:pStyle w:val="17"/>
        <w:numPr>
          <w:ilvl w:val="0"/>
          <w:numId w:val="2"/>
        </w:numPr>
        <w:tabs>
          <w:tab w:val="left" w:pos="84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第VI节，标准5.l –可重复使用寿命</w:t>
      </w:r>
    </w:p>
    <w:p w14:paraId="70395B0B">
      <w:pPr>
        <w:snapToGrid w:val="0"/>
        <w:spacing w:before="6" w:line="300" w:lineRule="auto"/>
        <w:jc w:val="both"/>
        <w:rPr>
          <w:rFonts w:ascii="Arial" w:hAnsi="Arial" w:eastAsia="宋体" w:cs="Arial"/>
          <w:sz w:val="24"/>
          <w:szCs w:val="24"/>
          <w:lang w:eastAsia="zh-CN"/>
        </w:rPr>
      </w:pPr>
    </w:p>
    <w:p w14:paraId="26AD8728">
      <w:pPr>
        <w:pStyle w:val="4"/>
        <w:snapToGrid w:val="0"/>
        <w:spacing w:line="300" w:lineRule="auto"/>
        <w:ind w:left="840" w:firstLine="0"/>
        <w:jc w:val="both"/>
        <w:rPr>
          <w:rFonts w:ascii="Arial" w:hAnsi="Arial" w:eastAsia="宋体" w:cs="Arial"/>
          <w:b w:val="0"/>
          <w:bCs w:val="0"/>
          <w:lang w:eastAsia="zh-CN"/>
        </w:rPr>
      </w:pPr>
      <w:bookmarkStart w:id="12" w:name="_Toc481569189"/>
      <w:r>
        <w:rPr>
          <w:rFonts w:ascii="Arial" w:hAnsi="Arial" w:eastAsia="宋体" w:cs="Arial"/>
          <w:lang w:eastAsia="zh-CN"/>
        </w:rPr>
        <w:t>排除</w:t>
      </w:r>
      <w:bookmarkEnd w:id="12"/>
    </w:p>
    <w:p w14:paraId="0A2470B4">
      <w:pPr>
        <w:snapToGrid w:val="0"/>
        <w:spacing w:before="5" w:line="300" w:lineRule="auto"/>
        <w:jc w:val="both"/>
        <w:rPr>
          <w:rFonts w:ascii="Arial" w:hAnsi="Arial" w:eastAsia="宋体" w:cs="Arial"/>
          <w:b/>
          <w:bCs/>
          <w:sz w:val="23"/>
          <w:szCs w:val="23"/>
          <w:lang w:eastAsia="zh-CN"/>
        </w:rPr>
      </w:pPr>
    </w:p>
    <w:p w14:paraId="5EF30378">
      <w:pPr>
        <w:pStyle w:val="6"/>
        <w:snapToGrid w:val="0"/>
        <w:spacing w:line="300" w:lineRule="auto"/>
        <w:ind w:left="839"/>
        <w:jc w:val="both"/>
        <w:rPr>
          <w:rFonts w:ascii="Arial" w:hAnsi="Arial" w:eastAsia="宋体" w:cs="Arial"/>
          <w:lang w:eastAsia="zh-CN"/>
        </w:rPr>
      </w:pPr>
      <w:r>
        <w:rPr>
          <w:rFonts w:ascii="Arial" w:hAnsi="Arial" w:eastAsia="宋体" w:cs="Arial"/>
          <w:lang w:eastAsia="zh-CN"/>
        </w:rPr>
        <w:t>下面列出的五种情况不在本指南的范围内，因为其与可重复使用医疗器械无关，或者因为其侧重于一次性使用器械的再加工。</w:t>
      </w:r>
    </w:p>
    <w:p w14:paraId="54B61A6A">
      <w:pPr>
        <w:pStyle w:val="17"/>
        <w:numPr>
          <w:ilvl w:val="2"/>
          <w:numId w:val="1"/>
        </w:numPr>
        <w:tabs>
          <w:tab w:val="left" w:pos="1560"/>
        </w:tabs>
        <w:snapToGrid w:val="0"/>
        <w:spacing w:line="300" w:lineRule="auto"/>
        <w:rPr>
          <w:rFonts w:ascii="Arial" w:hAnsi="Arial" w:eastAsia="宋体" w:cs="Arial"/>
          <w:sz w:val="24"/>
          <w:szCs w:val="24"/>
        </w:rPr>
      </w:pPr>
      <w:r>
        <w:rPr>
          <w:rFonts w:ascii="Arial" w:hAnsi="Arial" w:eastAsia="宋体" w:cs="Arial"/>
          <w:sz w:val="24"/>
          <w:szCs w:val="24"/>
          <w:lang w:eastAsia="zh-CN"/>
        </w:rPr>
        <w:t>行业机构中用于制造以灭菌形式销售的一次性使用医疗器械的流程（有关此主题的更多信息，请参见FDA的指南草案“关于标签为无菌器械的上市前通告（510（ k））提交材料的灭菌信息提交和审查”（</w:t>
      </w:r>
      <w:r>
        <w:rPr>
          <w:rFonts w:ascii="Arial" w:hAnsi="Arial" w:eastAsia="宋体" w:cs="Arial"/>
          <w:color w:val="0000FF"/>
          <w:sz w:val="24"/>
          <w:szCs w:val="24"/>
          <w:u w:val="single"/>
          <w:lang w:eastAsia="zh-CN"/>
        </w:rPr>
        <w:t>http：//www.fda.gov/MedicalDevices/DeviceRegulationandGuidance/GuidanceD ocuments/ucm109897.htm</w:t>
      </w:r>
      <w:r>
        <w:rPr>
          <w:rFonts w:ascii="Arial" w:hAnsi="Arial" w:eastAsia="宋体" w:cs="Arial"/>
          <w:sz w:val="24"/>
          <w:szCs w:val="24"/>
          <w:lang w:eastAsia="zh-CN"/>
        </w:rPr>
        <w:t>）。FDA的指南草案代表了FDA针对该主题的拟定方法。</w:t>
      </w:r>
      <w:r>
        <w:rPr>
          <w:rFonts w:ascii="Arial" w:hAnsi="Arial" w:eastAsia="宋体" w:cs="Arial"/>
          <w:sz w:val="24"/>
          <w:szCs w:val="24"/>
        </w:rPr>
        <w:t>）</w:t>
      </w:r>
    </w:p>
    <w:p w14:paraId="1ED42361">
      <w:pPr>
        <w:pStyle w:val="17"/>
        <w:numPr>
          <w:ilvl w:val="2"/>
          <w:numId w:val="1"/>
        </w:numPr>
        <w:tabs>
          <w:tab w:val="left" w:pos="1560"/>
        </w:tabs>
        <w:snapToGrid w:val="0"/>
        <w:spacing w:line="300" w:lineRule="auto"/>
        <w:rPr>
          <w:rFonts w:ascii="Arial" w:hAnsi="Arial" w:eastAsia="宋体" w:cs="Arial"/>
          <w:sz w:val="24"/>
          <w:szCs w:val="24"/>
        </w:rPr>
      </w:pPr>
      <w:r>
        <w:rPr>
          <w:rFonts w:ascii="Arial" w:hAnsi="Arial" w:eastAsia="宋体" w:cs="Arial"/>
          <w:sz w:val="24"/>
          <w:szCs w:val="24"/>
          <w:lang w:eastAsia="zh-CN"/>
        </w:rPr>
        <w:t>旨在由</w:t>
      </w:r>
      <w:r>
        <w:rPr>
          <w:rFonts w:ascii="Arial" w:hAnsi="Arial" w:eastAsia="宋体" w:cs="Arial"/>
          <w:sz w:val="24"/>
          <w:szCs w:val="24"/>
        </w:rPr>
        <w:t>一次性使用器械的再加工</w:t>
      </w:r>
      <w:r>
        <w:rPr>
          <w:rFonts w:ascii="Arial" w:hAnsi="Arial" w:eastAsia="宋体" w:cs="Arial"/>
          <w:sz w:val="24"/>
          <w:szCs w:val="24"/>
          <w:lang w:eastAsia="zh-CN"/>
        </w:rPr>
        <w:t>人员</w:t>
      </w:r>
      <w:r>
        <w:rPr>
          <w:rFonts w:ascii="Arial" w:hAnsi="Arial" w:eastAsia="宋体" w:cs="Arial"/>
          <w:sz w:val="24"/>
          <w:szCs w:val="24"/>
        </w:rPr>
        <w:t>使用</w:t>
      </w:r>
      <w:r>
        <w:rPr>
          <w:rFonts w:ascii="Arial" w:hAnsi="Arial" w:eastAsia="宋体" w:cs="Arial"/>
          <w:sz w:val="24"/>
          <w:szCs w:val="24"/>
          <w:lang w:eastAsia="zh-CN"/>
        </w:rPr>
        <w:t>流程</w:t>
      </w:r>
      <w:r>
        <w:rPr>
          <w:rFonts w:ascii="Arial" w:hAnsi="Arial" w:eastAsia="宋体" w:cs="Arial"/>
          <w:sz w:val="24"/>
          <w:szCs w:val="24"/>
        </w:rPr>
        <w:t>（参见</w:t>
      </w:r>
      <w:r>
        <w:rPr>
          <w:rFonts w:ascii="Arial" w:hAnsi="Arial" w:eastAsia="宋体" w:cs="Arial"/>
          <w:sz w:val="24"/>
          <w:szCs w:val="24"/>
          <w:lang w:eastAsia="zh-CN"/>
        </w:rPr>
        <w:t>“</w:t>
      </w:r>
      <w:r>
        <w:rPr>
          <w:rFonts w:ascii="Arial" w:hAnsi="Arial" w:eastAsia="宋体" w:cs="Arial"/>
          <w:sz w:val="24"/>
          <w:szCs w:val="24"/>
        </w:rPr>
        <w:t>2002年医疗器械用户</w:t>
      </w:r>
      <w:r>
        <w:rPr>
          <w:rFonts w:ascii="Arial" w:hAnsi="Arial" w:eastAsia="宋体" w:cs="Arial"/>
          <w:sz w:val="24"/>
          <w:szCs w:val="24"/>
          <w:lang w:eastAsia="zh-CN"/>
        </w:rPr>
        <w:t>收费</w:t>
      </w:r>
      <w:r>
        <w:rPr>
          <w:rFonts w:ascii="Arial" w:hAnsi="Arial" w:eastAsia="宋体" w:cs="Arial"/>
          <w:sz w:val="24"/>
          <w:szCs w:val="24"/>
        </w:rPr>
        <w:t>与现代化法案，</w:t>
      </w:r>
      <w:r>
        <w:rPr>
          <w:rFonts w:ascii="Arial" w:hAnsi="Arial" w:eastAsia="宋体" w:cs="Arial"/>
          <w:sz w:val="24"/>
          <w:szCs w:val="24"/>
          <w:lang w:eastAsia="zh-CN"/>
        </w:rPr>
        <w:t>再加工</w:t>
      </w:r>
      <w:r>
        <w:rPr>
          <w:rFonts w:ascii="Arial" w:hAnsi="Arial" w:eastAsia="宋体" w:cs="Arial"/>
          <w:sz w:val="24"/>
          <w:szCs w:val="24"/>
        </w:rPr>
        <w:t>一次性使用医疗器械的上市前通告提交</w:t>
      </w:r>
      <w:r>
        <w:rPr>
          <w:rFonts w:ascii="Arial" w:hAnsi="Arial" w:eastAsia="宋体" w:cs="Arial"/>
          <w:sz w:val="24"/>
          <w:szCs w:val="24"/>
          <w:lang w:eastAsia="zh-CN"/>
        </w:rPr>
        <w:t>材料</w:t>
      </w:r>
      <w:r>
        <w:rPr>
          <w:rFonts w:ascii="Arial" w:hAnsi="Arial" w:eastAsia="宋体" w:cs="Arial"/>
          <w:sz w:val="24"/>
          <w:szCs w:val="24"/>
        </w:rPr>
        <w:t>（510（k））中的验证数据</w:t>
      </w:r>
      <w:r>
        <w:rPr>
          <w:rFonts w:ascii="Arial" w:hAnsi="Arial" w:eastAsia="宋体" w:cs="Arial"/>
          <w:sz w:val="24"/>
          <w:szCs w:val="24"/>
          <w:lang w:eastAsia="zh-CN"/>
        </w:rPr>
        <w:t>”</w:t>
      </w:r>
      <w:r>
        <w:rPr>
          <w:rFonts w:ascii="Arial" w:hAnsi="Arial" w:eastAsia="宋体" w:cs="Arial"/>
          <w:sz w:val="24"/>
          <w:szCs w:val="24"/>
        </w:rPr>
        <w:t>（</w:t>
      </w:r>
      <w:r>
        <w:fldChar w:fldCharType="begin"/>
      </w:r>
      <w:r>
        <w:instrText xml:space="preserve"> HYPERLINK "http://www.fda.gov/MedicalDevices/DeviceRegulationandGuidance/GuidanceDocuments/ucm071434.htm" \h </w:instrText>
      </w:r>
      <w:r>
        <w:fldChar w:fldCharType="separate"/>
      </w:r>
      <w:r>
        <w:rPr>
          <w:rFonts w:ascii="Arial" w:hAnsi="Arial" w:eastAsia="宋体" w:cs="Arial"/>
          <w:color w:val="0000FF"/>
          <w:spacing w:val="-1"/>
          <w:sz w:val="24"/>
          <w:szCs w:val="24"/>
          <w:u w:val="single" w:color="0000FF"/>
        </w:rPr>
        <w:t>http：//www.fda.gov/MedicalDevices/DeviceRegulationandGuidance/GuidanceD</w:t>
      </w:r>
      <w:r>
        <w:rPr>
          <w:rFonts w:ascii="Arial" w:hAnsi="Arial" w:eastAsia="宋体" w:cs="Arial"/>
          <w:color w:val="0000FF"/>
          <w:spacing w:val="-9"/>
          <w:sz w:val="24"/>
          <w:szCs w:val="24"/>
          <w:u w:val="single" w:color="0000FF"/>
        </w:rPr>
        <w:t xml:space="preserve"> </w:t>
      </w:r>
      <w:r>
        <w:rPr>
          <w:rFonts w:ascii="Arial" w:hAnsi="Arial" w:eastAsia="宋体" w:cs="Arial"/>
          <w:color w:val="0000FF"/>
          <w:spacing w:val="-9"/>
          <w:sz w:val="24"/>
          <w:szCs w:val="24"/>
          <w:u w:val="single" w:color="0000FF"/>
        </w:rPr>
        <w:fldChar w:fldCharType="end"/>
      </w:r>
      <w:r>
        <w:fldChar w:fldCharType="begin"/>
      </w:r>
      <w:r>
        <w:instrText xml:space="preserve"> HYPERLINK "http://www.fda.gov/MedicalDevices/DeviceRegulationandGuidance/GuidanceDocuments/ucm071434.htm" \h </w:instrText>
      </w:r>
      <w:r>
        <w:fldChar w:fldCharType="separate"/>
      </w:r>
      <w:r>
        <w:rPr>
          <w:rFonts w:ascii="Arial" w:hAnsi="Arial" w:eastAsia="宋体" w:cs="Arial"/>
          <w:color w:val="0000FF"/>
          <w:sz w:val="24"/>
          <w:szCs w:val="24"/>
          <w:u w:val="single" w:color="0000FF"/>
        </w:rPr>
        <w:t>ocuments/ucm071434.htm</w:t>
      </w:r>
      <w:r>
        <w:rPr>
          <w:rFonts w:ascii="Arial" w:hAnsi="Arial" w:eastAsia="宋体" w:cs="Arial"/>
          <w:color w:val="0000FF"/>
          <w:sz w:val="24"/>
          <w:szCs w:val="24"/>
          <w:u w:val="single" w:color="0000FF"/>
        </w:rPr>
        <w:fldChar w:fldCharType="end"/>
      </w:r>
      <w:r>
        <w:rPr>
          <w:rFonts w:ascii="Arial" w:hAnsi="Arial" w:eastAsia="宋体" w:cs="Arial"/>
          <w:sz w:val="24"/>
          <w:szCs w:val="24"/>
        </w:rPr>
        <w:t>））</w:t>
      </w:r>
    </w:p>
    <w:p w14:paraId="291A9E4C">
      <w:pPr>
        <w:pStyle w:val="17"/>
        <w:numPr>
          <w:ilvl w:val="2"/>
          <w:numId w:val="1"/>
        </w:numPr>
        <w:tabs>
          <w:tab w:val="left" w:pos="1560"/>
        </w:tabs>
        <w:snapToGrid w:val="0"/>
        <w:spacing w:line="300" w:lineRule="auto"/>
        <w:jc w:val="both"/>
        <w:rPr>
          <w:rFonts w:ascii="Arial" w:hAnsi="Arial" w:eastAsia="宋体" w:cs="Arial"/>
          <w:sz w:val="24"/>
          <w:lang w:eastAsia="zh-CN"/>
        </w:rPr>
      </w:pPr>
      <w:r>
        <w:rPr>
          <w:rFonts w:ascii="Arial" w:hAnsi="Arial" w:eastAsia="宋体" w:cs="Arial"/>
          <w:sz w:val="24"/>
          <w:lang w:eastAsia="zh-CN"/>
        </w:rPr>
        <w:t>用于原始器械制造商未为无菌器械配备再加工说明以允许在包装打开后使用的无菌器械的任何流程。（不具有再加工说明的一次性使用无菌器械不得再加工，且如果灭菌包装已被破坏，不应进行使用。该器械应适当丢弃或退回制造商。）</w:t>
      </w:r>
    </w:p>
    <w:p w14:paraId="6927789C">
      <w:pPr>
        <w:pStyle w:val="17"/>
        <w:numPr>
          <w:ilvl w:val="2"/>
          <w:numId w:val="1"/>
        </w:numPr>
        <w:tabs>
          <w:tab w:val="left" w:pos="1560"/>
        </w:tabs>
        <w:snapToGrid w:val="0"/>
        <w:spacing w:line="300" w:lineRule="auto"/>
        <w:jc w:val="both"/>
        <w:rPr>
          <w:rFonts w:ascii="Arial" w:hAnsi="Arial" w:eastAsia="宋体" w:cs="Arial"/>
          <w:sz w:val="24"/>
          <w:lang w:eastAsia="zh-CN"/>
        </w:rPr>
      </w:pPr>
      <w:r>
        <w:rPr>
          <w:rFonts w:ascii="Arial" w:hAnsi="Arial" w:eastAsia="宋体" w:cs="Arial"/>
          <w:sz w:val="24"/>
          <w:lang w:eastAsia="zh-CN"/>
        </w:rPr>
        <w:t>关于从污染医疗器械中去除或灭活传染性海绵状脑病（TSE）药剂（即朊病毒）的流程。请注意，截至本指南发布之日，FDA尚未批准或许可任何医疗器械（包括灭菌剂）用于减少TSE药剂的感染性。</w:t>
      </w:r>
    </w:p>
    <w:p w14:paraId="74860FD2">
      <w:pPr>
        <w:pStyle w:val="17"/>
        <w:numPr>
          <w:ilvl w:val="2"/>
          <w:numId w:val="1"/>
        </w:numPr>
        <w:tabs>
          <w:tab w:val="left" w:pos="1560"/>
        </w:tabs>
        <w:snapToGrid w:val="0"/>
        <w:spacing w:line="300" w:lineRule="auto"/>
        <w:jc w:val="both"/>
        <w:rPr>
          <w:rFonts w:ascii="Arial" w:hAnsi="Arial" w:eastAsia="宋体" w:cs="Arial"/>
          <w:sz w:val="20"/>
          <w:szCs w:val="20"/>
          <w:lang w:eastAsia="zh-CN"/>
        </w:rPr>
      </w:pPr>
      <w:r>
        <w:rPr>
          <w:rFonts w:ascii="Arial" w:hAnsi="Arial" w:eastAsia="宋体" w:cs="Arial"/>
          <w:sz w:val="24"/>
          <w:lang w:eastAsia="zh-CN"/>
        </w:rPr>
        <w:t>含有起初不以灭菌方式提供和使用之间无法充分（1）清洁和消毒或（2）清洁和灭菌的组件的可重复使用医疗器械（例如，多患者使用动态血糖监测仪（CGM）的手持式无线接收器）。</w:t>
      </w:r>
    </w:p>
    <w:p w14:paraId="26FF40B3">
      <w:pPr>
        <w:snapToGrid w:val="0"/>
        <w:spacing w:before="7" w:line="300" w:lineRule="auto"/>
        <w:jc w:val="both"/>
        <w:rPr>
          <w:rFonts w:ascii="Arial" w:hAnsi="Arial" w:eastAsia="宋体" w:cs="Arial"/>
          <w:sz w:val="16"/>
          <w:szCs w:val="16"/>
          <w:lang w:eastAsia="zh-CN"/>
        </w:rPr>
      </w:pPr>
    </w:p>
    <w:p w14:paraId="567BC8F9">
      <w:pPr>
        <w:rPr>
          <w:rFonts w:ascii="Arial" w:hAnsi="Arial" w:eastAsia="宋体" w:cs="Arial"/>
          <w:sz w:val="24"/>
          <w:szCs w:val="24"/>
          <w:lang w:eastAsia="zh-CN"/>
        </w:rPr>
      </w:pPr>
      <w:bookmarkStart w:id="13" w:name="IV._General_Considerations_for_Reusable_"/>
      <w:bookmarkEnd w:id="13"/>
      <w:bookmarkStart w:id="14" w:name="B._Ensuring_the_Safety_of_Reusable_Medic"/>
      <w:bookmarkEnd w:id="14"/>
      <w:bookmarkStart w:id="15" w:name="A._Design_of_Reusable_Medical_Devices"/>
      <w:bookmarkEnd w:id="15"/>
      <w:bookmarkStart w:id="16" w:name="V._General_Considerations_for_Reprocessi"/>
      <w:bookmarkEnd w:id="16"/>
      <w:r>
        <w:rPr>
          <w:rFonts w:ascii="Arial" w:hAnsi="Arial" w:eastAsia="宋体" w:cs="Arial"/>
          <w:lang w:eastAsia="zh-CN"/>
        </w:rPr>
        <w:br w:type="page"/>
      </w:r>
    </w:p>
    <w:p w14:paraId="14B9C2B8">
      <w:pPr>
        <w:pStyle w:val="6"/>
        <w:snapToGrid w:val="0"/>
        <w:spacing w:before="69" w:line="300" w:lineRule="auto"/>
        <w:ind w:left="0"/>
        <w:jc w:val="both"/>
        <w:rPr>
          <w:rFonts w:ascii="Arial" w:hAnsi="Arial" w:eastAsia="宋体" w:cs="Arial"/>
          <w:lang w:eastAsia="zh-CN"/>
        </w:rPr>
      </w:pPr>
      <w:r>
        <w:rPr>
          <w:rFonts w:ascii="Arial" w:hAnsi="Arial" w:eastAsia="宋体" w:cs="Arial"/>
          <w:lang w:eastAsia="zh-CN"/>
        </w:rPr>
        <w:t>本文件并不旨在提供有关设计、试验或再加工确认的器械具体建议。如果可用，贵公司还应遵循器械特定指南中的建议。</w:t>
      </w:r>
    </w:p>
    <w:p w14:paraId="622A4CFA">
      <w:pPr>
        <w:snapToGrid w:val="0"/>
        <w:spacing w:before="6" w:line="300" w:lineRule="auto"/>
        <w:jc w:val="both"/>
        <w:rPr>
          <w:rFonts w:ascii="Arial" w:hAnsi="Arial" w:eastAsia="宋体" w:cs="Arial"/>
          <w:sz w:val="24"/>
          <w:szCs w:val="24"/>
          <w:lang w:eastAsia="zh-CN"/>
        </w:rPr>
      </w:pPr>
    </w:p>
    <w:p w14:paraId="7F18AF73">
      <w:pPr>
        <w:pStyle w:val="3"/>
        <w:numPr>
          <w:ilvl w:val="0"/>
          <w:numId w:val="1"/>
        </w:numPr>
        <w:tabs>
          <w:tab w:val="left" w:pos="840"/>
        </w:tabs>
        <w:snapToGrid w:val="0"/>
        <w:spacing w:line="300" w:lineRule="auto"/>
        <w:ind w:left="720"/>
        <w:jc w:val="both"/>
        <w:rPr>
          <w:rFonts w:ascii="Arial" w:hAnsi="Arial" w:eastAsia="宋体" w:cs="Arial"/>
          <w:b w:val="0"/>
          <w:bCs w:val="0"/>
          <w:lang w:eastAsia="zh-CN"/>
        </w:rPr>
      </w:pPr>
      <w:bookmarkStart w:id="17" w:name="_Toc481569190"/>
      <w:r>
        <w:rPr>
          <w:rFonts w:ascii="Arial" w:hAnsi="Arial" w:eastAsia="宋体" w:cs="Arial"/>
          <w:lang w:eastAsia="zh-CN"/>
        </w:rPr>
        <w:t>可重复使用医疗器械的一般考虑</w:t>
      </w:r>
      <w:bookmarkEnd w:id="17"/>
    </w:p>
    <w:p w14:paraId="33FA65CA">
      <w:pPr>
        <w:pStyle w:val="4"/>
        <w:numPr>
          <w:ilvl w:val="0"/>
          <w:numId w:val="3"/>
        </w:numPr>
        <w:tabs>
          <w:tab w:val="left" w:pos="1560"/>
        </w:tabs>
        <w:snapToGrid w:val="0"/>
        <w:spacing w:before="275" w:line="300" w:lineRule="auto"/>
        <w:jc w:val="both"/>
        <w:rPr>
          <w:rFonts w:ascii="Arial" w:hAnsi="Arial" w:eastAsia="宋体" w:cs="Arial"/>
          <w:b w:val="0"/>
          <w:bCs w:val="0"/>
          <w:lang w:eastAsia="zh-CN"/>
        </w:rPr>
      </w:pPr>
      <w:bookmarkStart w:id="18" w:name="_Toc481569191"/>
      <w:r>
        <w:rPr>
          <w:rFonts w:ascii="Arial" w:hAnsi="Arial" w:eastAsia="宋体" w:cs="Arial"/>
          <w:lang w:eastAsia="zh-CN"/>
        </w:rPr>
        <w:t>可重复使用医疗器械的设计</w:t>
      </w:r>
      <w:bookmarkEnd w:id="18"/>
    </w:p>
    <w:p w14:paraId="4ECFDA95">
      <w:pPr>
        <w:snapToGrid w:val="0"/>
        <w:spacing w:before="8" w:line="300" w:lineRule="auto"/>
        <w:jc w:val="both"/>
        <w:rPr>
          <w:rFonts w:ascii="Arial" w:hAnsi="Arial" w:eastAsia="宋体" w:cs="Arial"/>
          <w:b/>
          <w:bCs/>
          <w:sz w:val="23"/>
          <w:szCs w:val="23"/>
          <w:lang w:eastAsia="zh-CN"/>
        </w:rPr>
      </w:pPr>
    </w:p>
    <w:p w14:paraId="177E01CD">
      <w:pPr>
        <w:pStyle w:val="6"/>
        <w:snapToGrid w:val="0"/>
        <w:spacing w:line="300" w:lineRule="auto"/>
        <w:ind w:left="839"/>
        <w:jc w:val="both"/>
        <w:rPr>
          <w:rFonts w:ascii="Arial" w:hAnsi="Arial" w:eastAsia="宋体" w:cs="Arial"/>
          <w:lang w:eastAsia="zh-CN"/>
        </w:rPr>
      </w:pPr>
      <w:r>
        <w:rPr>
          <w:rFonts w:ascii="Arial" w:hAnsi="Arial" w:eastAsia="宋体" w:cs="Arial"/>
          <w:lang w:eastAsia="zh-CN"/>
        </w:rPr>
        <w:t>可重复使用器械的制造商应考虑便于用户进行轻松和有效清洁以及必要的消毒或灭菌的器械设计。</w:t>
      </w:r>
    </w:p>
    <w:p w14:paraId="53115CFD">
      <w:pPr>
        <w:pStyle w:val="6"/>
        <w:snapToGrid w:val="0"/>
        <w:spacing w:line="300" w:lineRule="auto"/>
        <w:ind w:left="839"/>
        <w:jc w:val="both"/>
        <w:rPr>
          <w:rFonts w:ascii="Arial" w:hAnsi="Arial" w:eastAsia="宋体" w:cs="Arial"/>
          <w:lang w:eastAsia="zh-CN"/>
        </w:rPr>
      </w:pPr>
      <w:r>
        <w:rPr>
          <w:rFonts w:ascii="Arial" w:hAnsi="Arial" w:eastAsia="宋体" w:cs="Arial"/>
          <w:lang w:eastAsia="zh-CN"/>
        </w:rPr>
        <w:t>一些复杂的器械设计对清洁和清洁确认（例如，管腔内轴构造、分离器通道、精细通道、密封件和接合关节表面）提出了特别挑战。从器械设计和工程的早期阶段，制造商应考虑促进有效再加工的替代设计（例如，替换可挑战一次性使用部件再加工的特征；包括冲洗端口；指明和/或提供专用清洁附件）。</w:t>
      </w:r>
    </w:p>
    <w:p w14:paraId="7843656D">
      <w:pPr>
        <w:snapToGrid w:val="0"/>
        <w:spacing w:before="4" w:line="300" w:lineRule="auto"/>
        <w:jc w:val="both"/>
        <w:rPr>
          <w:rFonts w:ascii="Arial" w:hAnsi="Arial" w:eastAsia="宋体" w:cs="Arial"/>
          <w:sz w:val="24"/>
          <w:szCs w:val="24"/>
          <w:lang w:eastAsia="zh-CN"/>
        </w:rPr>
      </w:pPr>
    </w:p>
    <w:p w14:paraId="5A861F0F">
      <w:pPr>
        <w:pStyle w:val="4"/>
        <w:numPr>
          <w:ilvl w:val="0"/>
          <w:numId w:val="3"/>
        </w:numPr>
        <w:tabs>
          <w:tab w:val="left" w:pos="1560"/>
        </w:tabs>
        <w:snapToGrid w:val="0"/>
        <w:spacing w:line="300" w:lineRule="auto"/>
        <w:jc w:val="both"/>
        <w:rPr>
          <w:rFonts w:ascii="Arial" w:hAnsi="Arial" w:eastAsia="宋体" w:cs="Arial"/>
          <w:b w:val="0"/>
          <w:bCs w:val="0"/>
          <w:lang w:eastAsia="zh-CN"/>
        </w:rPr>
      </w:pPr>
      <w:bookmarkStart w:id="19" w:name="_Toc481569192"/>
      <w:r>
        <w:rPr>
          <w:rFonts w:ascii="Arial" w:hAnsi="Arial" w:eastAsia="宋体" w:cs="Arial"/>
          <w:lang w:eastAsia="zh-CN"/>
        </w:rPr>
        <w:t>确保可重复使用医疗器械的安全性</w:t>
      </w:r>
      <w:bookmarkEnd w:id="19"/>
    </w:p>
    <w:p w14:paraId="385B81D8">
      <w:pPr>
        <w:snapToGrid w:val="0"/>
        <w:spacing w:before="8" w:line="300" w:lineRule="auto"/>
        <w:jc w:val="both"/>
        <w:rPr>
          <w:rFonts w:ascii="Arial" w:hAnsi="Arial" w:eastAsia="宋体" w:cs="Arial"/>
          <w:b/>
          <w:bCs/>
          <w:sz w:val="23"/>
          <w:szCs w:val="23"/>
          <w:lang w:eastAsia="zh-CN"/>
        </w:rPr>
      </w:pPr>
    </w:p>
    <w:p w14:paraId="73D61C49">
      <w:pPr>
        <w:pStyle w:val="6"/>
        <w:snapToGrid w:val="0"/>
        <w:spacing w:line="300" w:lineRule="auto"/>
        <w:ind w:left="839"/>
        <w:jc w:val="both"/>
        <w:rPr>
          <w:rFonts w:ascii="Arial" w:hAnsi="Arial" w:eastAsia="宋体" w:cs="Arial"/>
          <w:lang w:eastAsia="zh-CN"/>
        </w:rPr>
      </w:pPr>
      <w:r>
        <w:rPr>
          <w:rFonts w:ascii="Arial" w:hAnsi="Arial" w:eastAsia="宋体" w:cs="Arial"/>
          <w:lang w:eastAsia="zh-CN"/>
        </w:rPr>
        <w:t>可重复使用器械和附件的制造商及其用户在确保安全有效地再加工医疗器械方面发挥重要作用。</w:t>
      </w:r>
    </w:p>
    <w:p w14:paraId="73CD0C05">
      <w:pPr>
        <w:pStyle w:val="6"/>
        <w:snapToGrid w:val="0"/>
        <w:spacing w:line="300" w:lineRule="auto"/>
        <w:ind w:left="839"/>
        <w:jc w:val="both"/>
        <w:rPr>
          <w:rFonts w:ascii="Arial" w:hAnsi="Arial" w:eastAsia="宋体" w:cs="Arial"/>
          <w:lang w:eastAsia="zh-CN"/>
        </w:rPr>
      </w:pPr>
      <w:r>
        <w:rPr>
          <w:rFonts w:ascii="Arial" w:hAnsi="Arial" w:eastAsia="宋体" w:cs="Arial"/>
          <w:lang w:eastAsia="zh-CN"/>
        </w:rPr>
        <w:t>可重复使用器械的制造商应提供足够的标签，提供对器械和器械附件进行安全再加工并制备以供重新使用的说明。在标签中，制造商应为用户确定材料和设备，包括重新加工器械所需的再加工物料以及部件编号（如果适用）。标签还应明确指明适当的材料和设备参数，以充分再加工器械，以及用户随时可用的材料和设备。FDA鼓励用户确保他们可易于获得设施、器械和对制造商指明的清洁、灭菌/消毒剂来实施说明，并遵循说明。</w:t>
      </w:r>
    </w:p>
    <w:p w14:paraId="244A3043">
      <w:pPr>
        <w:pStyle w:val="6"/>
        <w:snapToGrid w:val="0"/>
        <w:spacing w:line="300" w:lineRule="auto"/>
        <w:ind w:left="839"/>
        <w:jc w:val="both"/>
        <w:rPr>
          <w:rFonts w:ascii="Arial" w:hAnsi="Arial" w:eastAsia="宋体" w:cs="Arial"/>
          <w:lang w:eastAsia="zh-CN"/>
        </w:rPr>
      </w:pPr>
    </w:p>
    <w:p w14:paraId="55782C28">
      <w:pPr>
        <w:pStyle w:val="6"/>
        <w:snapToGrid w:val="0"/>
        <w:spacing w:line="300" w:lineRule="auto"/>
        <w:ind w:left="839"/>
        <w:jc w:val="both"/>
        <w:rPr>
          <w:rFonts w:ascii="Arial" w:hAnsi="Arial" w:eastAsia="宋体" w:cs="Arial"/>
          <w:lang w:eastAsia="zh-CN"/>
        </w:rPr>
      </w:pPr>
      <w:r>
        <w:rPr>
          <w:rFonts w:ascii="Arial" w:hAnsi="Arial" w:eastAsia="宋体" w:cs="Arial"/>
          <w:lang w:eastAsia="zh-CN"/>
        </w:rPr>
        <w:t>制造商应根据相应的要求，在器械主记录和/或设计历史记录文件中保留证明再加工说明已验证、完整且可理解，以及可以被用户合理实施的试验文档。器械主记录必须符合21 CFR 820.181的要求；设计历史档案必须符合21 CFR 820.30（j）的要求。</w:t>
      </w:r>
    </w:p>
    <w:p w14:paraId="0A605FBB">
      <w:pPr>
        <w:snapToGrid w:val="0"/>
        <w:spacing w:before="6" w:line="300" w:lineRule="auto"/>
        <w:jc w:val="both"/>
        <w:rPr>
          <w:rFonts w:ascii="Arial" w:hAnsi="Arial" w:eastAsia="宋体" w:cs="Arial"/>
          <w:sz w:val="24"/>
          <w:szCs w:val="24"/>
          <w:lang w:eastAsia="zh-CN"/>
        </w:rPr>
      </w:pPr>
    </w:p>
    <w:p w14:paraId="66C987A3">
      <w:pPr>
        <w:pStyle w:val="3"/>
        <w:numPr>
          <w:ilvl w:val="0"/>
          <w:numId w:val="1"/>
        </w:numPr>
        <w:tabs>
          <w:tab w:val="left" w:pos="840"/>
        </w:tabs>
        <w:snapToGrid w:val="0"/>
        <w:spacing w:line="300" w:lineRule="auto"/>
        <w:jc w:val="both"/>
        <w:rPr>
          <w:rFonts w:ascii="Arial" w:hAnsi="Arial" w:eastAsia="宋体" w:cs="Arial"/>
          <w:b w:val="0"/>
          <w:bCs w:val="0"/>
          <w:sz w:val="20"/>
          <w:szCs w:val="20"/>
          <w:lang w:eastAsia="zh-CN"/>
        </w:rPr>
      </w:pPr>
      <w:bookmarkStart w:id="20" w:name="_Toc481569193"/>
      <w:r>
        <w:rPr>
          <w:rFonts w:ascii="Arial" w:hAnsi="Arial" w:eastAsia="宋体" w:cs="Arial"/>
          <w:lang w:eastAsia="zh-CN"/>
        </w:rPr>
        <w:t>器械标签中再加工说明的一般考虑</w:t>
      </w:r>
      <w:bookmarkEnd w:id="20"/>
    </w:p>
    <w:p w14:paraId="521834E5">
      <w:pPr>
        <w:rPr>
          <w:rFonts w:ascii="Arial" w:hAnsi="Arial" w:eastAsia="宋体" w:cs="Arial"/>
          <w:b/>
          <w:bCs/>
          <w:sz w:val="28"/>
          <w:szCs w:val="28"/>
          <w:lang w:eastAsia="zh-CN"/>
        </w:rPr>
      </w:pPr>
      <w:bookmarkStart w:id="21" w:name="A._Overview_of_Reprocessing"/>
      <w:bookmarkEnd w:id="21"/>
      <w:r>
        <w:rPr>
          <w:rFonts w:ascii="Arial" w:hAnsi="Arial" w:eastAsia="宋体" w:cs="Arial"/>
          <w:lang w:eastAsia="zh-CN"/>
        </w:rPr>
        <w:br w:type="page"/>
      </w:r>
    </w:p>
    <w:p w14:paraId="0BA8BF8E">
      <w:pPr>
        <w:pStyle w:val="4"/>
        <w:numPr>
          <w:ilvl w:val="0"/>
          <w:numId w:val="4"/>
        </w:numPr>
        <w:tabs>
          <w:tab w:val="left" w:pos="1160"/>
        </w:tabs>
        <w:snapToGrid w:val="0"/>
        <w:spacing w:before="220" w:line="300" w:lineRule="auto"/>
        <w:jc w:val="both"/>
        <w:rPr>
          <w:rFonts w:ascii="Arial" w:hAnsi="Arial" w:eastAsia="宋体" w:cs="Arial"/>
          <w:b w:val="0"/>
          <w:bCs w:val="0"/>
        </w:rPr>
      </w:pPr>
      <w:bookmarkStart w:id="22" w:name="_Toc481569194"/>
      <w:r>
        <w:rPr>
          <w:rFonts w:ascii="Arial" w:hAnsi="Arial" w:eastAsia="宋体" w:cs="Arial"/>
        </w:rPr>
        <w:t>再加工概述</w:t>
      </w:r>
      <w:bookmarkEnd w:id="22"/>
    </w:p>
    <w:p w14:paraId="239FBC75">
      <w:pPr>
        <w:snapToGrid w:val="0"/>
        <w:spacing w:before="5" w:line="300" w:lineRule="auto"/>
        <w:jc w:val="both"/>
        <w:rPr>
          <w:rFonts w:ascii="Arial" w:hAnsi="Arial" w:eastAsia="宋体" w:cs="Arial"/>
          <w:b/>
          <w:bCs/>
          <w:sz w:val="23"/>
          <w:szCs w:val="23"/>
        </w:rPr>
      </w:pPr>
    </w:p>
    <w:p w14:paraId="78034C97">
      <w:pPr>
        <w:pStyle w:val="6"/>
        <w:snapToGrid w:val="0"/>
        <w:spacing w:line="300" w:lineRule="auto"/>
        <w:ind w:left="439"/>
        <w:jc w:val="both"/>
        <w:rPr>
          <w:rFonts w:ascii="Arial" w:hAnsi="Arial" w:eastAsia="宋体" w:cs="Arial"/>
          <w:lang w:eastAsia="zh-CN"/>
        </w:rPr>
      </w:pPr>
      <w:r>
        <w:rPr>
          <w:rFonts w:ascii="Arial" w:hAnsi="Arial" w:eastAsia="宋体" w:cs="Arial"/>
          <w:lang w:eastAsia="zh-CN"/>
        </w:rPr>
        <w:t>再加工的定义为用于一个先前已使用或污染但适用于后续一次性使用的医疗器械的已验证流程。这些流程旨在通过清洁来去除污物和污染物以及通过消毒或灭菌来灭活微生物。可重复使用器械的再加工包括从接近器械使用点开始的适当步骤，并且通常依次包括以下三个步骤：</w:t>
      </w:r>
    </w:p>
    <w:p w14:paraId="0C736974">
      <w:pPr>
        <w:pStyle w:val="17"/>
        <w:numPr>
          <w:ilvl w:val="1"/>
          <w:numId w:val="4"/>
        </w:numPr>
        <w:tabs>
          <w:tab w:val="left" w:pos="1160"/>
        </w:tabs>
        <w:snapToGrid w:val="0"/>
        <w:spacing w:line="300" w:lineRule="auto"/>
        <w:jc w:val="both"/>
        <w:rPr>
          <w:rFonts w:ascii="Arial" w:hAnsi="Arial" w:eastAsia="宋体" w:cs="Arial"/>
          <w:sz w:val="24"/>
          <w:szCs w:val="24"/>
          <w:lang w:eastAsia="zh-CN"/>
        </w:rPr>
      </w:pPr>
      <w:r>
        <w:rPr>
          <w:rFonts w:ascii="Arial" w:hAnsi="Arial" w:eastAsia="宋体" w:cs="Arial"/>
          <w:sz w:val="24"/>
          <w:szCs w:val="24"/>
          <w:u w:val="single"/>
          <w:lang w:eastAsia="zh-CN"/>
        </w:rPr>
        <w:t>使用点加工：</w:t>
      </w:r>
      <w:r>
        <w:rPr>
          <w:rFonts w:ascii="Arial" w:hAnsi="Arial" w:eastAsia="宋体" w:cs="Arial"/>
          <w:sz w:val="24"/>
          <w:szCs w:val="24"/>
          <w:lang w:eastAsia="zh-CN"/>
        </w:rPr>
        <w:t>再加工以使用点的加工开始（即靠近器械的使用点），以便进行后续清洁步骤。我们将其定义为使用点加工，其中包括及时的初步清洁步骤和/或措施，以防止器械内部和外部污染物干燥。</w:t>
      </w:r>
    </w:p>
    <w:p w14:paraId="0314BBD2">
      <w:pPr>
        <w:pStyle w:val="17"/>
        <w:numPr>
          <w:ilvl w:val="1"/>
          <w:numId w:val="4"/>
        </w:numPr>
        <w:tabs>
          <w:tab w:val="left" w:pos="1160"/>
        </w:tabs>
        <w:snapToGrid w:val="0"/>
        <w:spacing w:line="300" w:lineRule="auto"/>
        <w:jc w:val="both"/>
        <w:rPr>
          <w:rFonts w:ascii="Arial" w:hAnsi="Arial" w:eastAsia="宋体" w:cs="Arial"/>
          <w:sz w:val="24"/>
          <w:szCs w:val="24"/>
          <w:lang w:eastAsia="zh-CN"/>
        </w:rPr>
      </w:pPr>
      <w:r>
        <w:rPr>
          <w:rFonts w:ascii="Arial" w:hAnsi="Arial" w:eastAsia="宋体" w:cs="Arial"/>
          <w:sz w:val="24"/>
          <w:szCs w:val="24"/>
          <w:u w:val="single"/>
          <w:lang w:eastAsia="zh-CN"/>
        </w:rPr>
        <w:t>彻底清洁：</w:t>
      </w:r>
      <w:r>
        <w:rPr>
          <w:rFonts w:ascii="Arial" w:hAnsi="Arial" w:eastAsia="宋体" w:cs="Arial"/>
          <w:sz w:val="24"/>
          <w:szCs w:val="24"/>
          <w:lang w:eastAsia="zh-CN"/>
        </w:rPr>
        <w:t>在使用点加工后，应彻底清洁器械。通常，因在专用清洁区域进行彻底清洁。在使用期间可能不会被病原体污染的器械（例如室内生命体征监测器）可能不需要消毒，因此可能仅适用于清洁后使用。</w:t>
      </w:r>
    </w:p>
    <w:p w14:paraId="33D33767">
      <w:pPr>
        <w:pStyle w:val="17"/>
        <w:numPr>
          <w:ilvl w:val="1"/>
          <w:numId w:val="4"/>
        </w:numPr>
        <w:tabs>
          <w:tab w:val="left" w:pos="1160"/>
        </w:tabs>
        <w:snapToGrid w:val="0"/>
        <w:spacing w:line="300" w:lineRule="auto"/>
        <w:jc w:val="both"/>
        <w:rPr>
          <w:rFonts w:ascii="Arial" w:hAnsi="Arial" w:eastAsia="宋体" w:cs="Arial"/>
          <w:sz w:val="24"/>
          <w:szCs w:val="24"/>
          <w:lang w:eastAsia="zh-CN"/>
        </w:rPr>
      </w:pPr>
      <w:r>
        <w:rPr>
          <w:rFonts w:ascii="Arial" w:hAnsi="Arial" w:eastAsia="宋体" w:cs="Arial"/>
          <w:sz w:val="24"/>
          <w:szCs w:val="24"/>
          <w:u w:val="single"/>
          <w:lang w:eastAsia="zh-CN"/>
        </w:rPr>
        <w:t>消毒或灭菌：</w:t>
      </w:r>
      <w:r>
        <w:rPr>
          <w:rFonts w:ascii="Arial" w:hAnsi="Arial" w:eastAsia="宋体" w:cs="Arial"/>
          <w:sz w:val="24"/>
          <w:szCs w:val="24"/>
          <w:lang w:eastAsia="zh-CN"/>
        </w:rPr>
        <w:t>根据器械的预期用途，器械应进行消毒或灭菌，并重新使用。</w:t>
      </w:r>
    </w:p>
    <w:p w14:paraId="29EA0AEE">
      <w:pPr>
        <w:snapToGrid w:val="0"/>
        <w:spacing w:line="300" w:lineRule="auto"/>
        <w:jc w:val="both"/>
        <w:rPr>
          <w:rFonts w:ascii="Arial" w:hAnsi="Arial" w:eastAsia="宋体" w:cs="Arial"/>
          <w:sz w:val="24"/>
          <w:szCs w:val="24"/>
          <w:lang w:eastAsia="zh-CN"/>
        </w:rPr>
      </w:pPr>
    </w:p>
    <w:p w14:paraId="4D324DA8">
      <w:pPr>
        <w:pStyle w:val="6"/>
        <w:snapToGrid w:val="0"/>
        <w:spacing w:line="300" w:lineRule="auto"/>
        <w:ind w:left="440"/>
        <w:jc w:val="both"/>
        <w:rPr>
          <w:rFonts w:ascii="Arial" w:hAnsi="Arial" w:eastAsia="宋体" w:cs="Arial"/>
          <w:lang w:eastAsia="zh-CN"/>
        </w:rPr>
      </w:pPr>
      <w:r>
        <w:rPr>
          <w:rFonts w:ascii="Arial" w:hAnsi="Arial" w:eastAsia="宋体" w:cs="Arial"/>
          <w:lang w:eastAsia="zh-CN"/>
        </w:rPr>
        <w:t>再加工的简单概述如图1所示。附录B中提供了各再加工步骤的详细概述。</w:t>
      </w:r>
    </w:p>
    <w:p w14:paraId="64C9186F">
      <w:pPr>
        <w:snapToGrid w:val="0"/>
        <w:spacing w:line="300" w:lineRule="auto"/>
        <w:jc w:val="both"/>
        <w:rPr>
          <w:rFonts w:ascii="Arial" w:hAnsi="Arial" w:eastAsia="宋体" w:cs="Arial"/>
          <w:sz w:val="20"/>
          <w:szCs w:val="20"/>
          <w:lang w:eastAsia="zh-CN"/>
        </w:rPr>
      </w:pPr>
    </w:p>
    <w:p w14:paraId="4BB464DD">
      <w:pPr>
        <w:snapToGrid w:val="0"/>
        <w:spacing w:before="1" w:line="300" w:lineRule="auto"/>
        <w:jc w:val="both"/>
        <w:rPr>
          <w:rFonts w:ascii="Arial" w:hAnsi="Arial" w:eastAsia="宋体" w:cs="Arial"/>
          <w:sz w:val="21"/>
          <w:szCs w:val="21"/>
          <w:lang w:eastAsia="zh-CN"/>
        </w:rPr>
      </w:pPr>
    </w:p>
    <w:p w14:paraId="386C768D">
      <w:pPr>
        <w:pStyle w:val="5"/>
        <w:snapToGrid w:val="0"/>
        <w:spacing w:before="69" w:line="300" w:lineRule="auto"/>
        <w:ind w:left="0" w:firstLine="0"/>
        <w:jc w:val="center"/>
        <w:rPr>
          <w:rFonts w:ascii="Arial" w:hAnsi="Arial" w:eastAsia="宋体" w:cs="Arial"/>
          <w:b w:val="0"/>
          <w:bCs w:val="0"/>
        </w:rPr>
      </w:pPr>
      <w:r>
        <w:rPr>
          <w:rFonts w:ascii="Arial" w:hAnsi="Arial" w:eastAsia="宋体" w:cs="Arial"/>
        </w:rPr>
        <w:t>图1.流程概述</w:t>
      </w:r>
    </w:p>
    <w:p w14:paraId="76CCD37F">
      <w:pPr>
        <w:snapToGrid w:val="0"/>
        <w:spacing w:before="1" w:line="300" w:lineRule="auto"/>
        <w:jc w:val="both"/>
        <w:rPr>
          <w:rFonts w:ascii="Arial" w:hAnsi="Arial" w:eastAsia="宋体" w:cs="Arial"/>
          <w:b/>
          <w:bCs/>
          <w:sz w:val="21"/>
          <w:szCs w:val="21"/>
        </w:rPr>
      </w:pPr>
    </w:p>
    <w:p w14:paraId="4411C953">
      <w:pPr>
        <w:snapToGrid w:val="0"/>
        <w:spacing w:before="69" w:line="300" w:lineRule="auto"/>
        <w:ind w:left="1" w:leftChars="-154" w:hanging="340" w:hangingChars="141"/>
        <w:jc w:val="center"/>
        <w:rPr>
          <w:rFonts w:ascii="Arial" w:hAnsi="Arial" w:eastAsia="宋体" w:cs="Arial"/>
          <w:b/>
          <w:sz w:val="24"/>
          <w:szCs w:val="24"/>
        </w:rPr>
      </w:pPr>
      <w:r>
        <w:rPr>
          <w:rFonts w:ascii="Arial" w:hAnsi="Arial" w:eastAsia="宋体" w:cs="Arial"/>
          <w:b/>
          <w:sz w:val="24"/>
          <w:szCs w:val="24"/>
          <w:lang w:eastAsia="zh-CN"/>
        </w:rPr>
        <w:t>使用</w:t>
      </w:r>
    </w:p>
    <w:p w14:paraId="62BC8147">
      <w:pPr>
        <w:snapToGrid w:val="0"/>
        <w:spacing w:before="5" w:line="300" w:lineRule="auto"/>
        <w:ind w:left="-183" w:leftChars="-154" w:hanging="156" w:hangingChars="141"/>
        <w:jc w:val="center"/>
        <w:rPr>
          <w:rFonts w:ascii="Arial" w:hAnsi="Arial" w:eastAsia="宋体" w:cs="Arial"/>
          <w:b/>
          <w:bCs/>
          <w:sz w:val="11"/>
          <w:szCs w:val="11"/>
        </w:rPr>
      </w:pPr>
    </w:p>
    <w:p w14:paraId="73D508E0">
      <w:pPr>
        <w:snapToGrid w:val="0"/>
        <w:spacing w:line="300" w:lineRule="auto"/>
        <w:ind w:left="-57" w:leftChars="-154" w:hanging="282" w:hangingChars="141"/>
        <w:jc w:val="center"/>
        <w:rPr>
          <w:rFonts w:ascii="Arial" w:hAnsi="Arial" w:eastAsia="宋体" w:cs="Arial"/>
          <w:sz w:val="20"/>
          <w:szCs w:val="20"/>
        </w:rPr>
      </w:pPr>
      <w:r>
        <w:rPr>
          <w:rFonts w:ascii="Arial" w:hAnsi="Arial" w:eastAsia="宋体" w:cs="Arial"/>
          <w:position w:val="-9"/>
          <w:sz w:val="20"/>
          <w:szCs w:val="20"/>
          <w:lang w:eastAsia="zh-CN"/>
        </w:rPr>
        <mc:AlternateContent>
          <mc:Choice Requires="wpg">
            <w:drawing>
              <wp:inline distT="0" distB="0" distL="0" distR="0">
                <wp:extent cx="88900" cy="323850"/>
                <wp:effectExtent l="9525" t="0" r="6350" b="9525"/>
                <wp:docPr id="39" name="Group 31"/>
                <wp:cNvGraphicFramePr/>
                <a:graphic xmlns:a="http://schemas.openxmlformats.org/drawingml/2006/main">
                  <a:graphicData uri="http://schemas.microsoft.com/office/word/2010/wordprocessingGroup">
                    <wpg:wgp>
                      <wpg:cNvGrpSpPr/>
                      <wpg:grpSpPr>
                        <a:xfrm>
                          <a:off x="0" y="0"/>
                          <a:ext cx="88900" cy="323850"/>
                          <a:chOff x="0" y="0"/>
                          <a:chExt cx="140" cy="510"/>
                        </a:xfrm>
                      </wpg:grpSpPr>
                      <wpg:grpSp>
                        <wpg:cNvPr id="40" name="Group 34"/>
                        <wpg:cNvGrpSpPr/>
                        <wpg:grpSpPr>
                          <a:xfrm>
                            <a:off x="69" y="8"/>
                            <a:ext cx="2" cy="495"/>
                            <a:chOff x="69" y="8"/>
                            <a:chExt cx="2" cy="495"/>
                          </a:xfrm>
                        </wpg:grpSpPr>
                        <wps:wsp>
                          <wps:cNvPr id="41" name="Freeform 35"/>
                          <wps:cNvSpPr/>
                          <wps:spPr bwMode="auto">
                            <a:xfrm>
                              <a:off x="69" y="8"/>
                              <a:ext cx="2" cy="495"/>
                            </a:xfrm>
                            <a:custGeom>
                              <a:avLst/>
                              <a:gdLst>
                                <a:gd name="T0" fmla="+- 0 69 69"/>
                                <a:gd name="T1" fmla="*/ T0 w 1"/>
                                <a:gd name="T2" fmla="+- 0 8 8"/>
                                <a:gd name="T3" fmla="*/ 8 h 495"/>
                                <a:gd name="T4" fmla="+- 0 70 69"/>
                                <a:gd name="T5" fmla="*/ T4 w 1"/>
                                <a:gd name="T6" fmla="+- 0 503 8"/>
                                <a:gd name="T7" fmla="*/ 503 h 495"/>
                              </a:gdLst>
                              <a:ahLst/>
                              <a:cxnLst>
                                <a:cxn ang="0">
                                  <a:pos x="T1" y="T3"/>
                                </a:cxn>
                                <a:cxn ang="0">
                                  <a:pos x="T5" y="T7"/>
                                </a:cxn>
                              </a:cxnLst>
                              <a:rect l="0" t="0" r="r" b="b"/>
                              <a:pathLst>
                                <a:path w="1" h="495">
                                  <a:moveTo>
                                    <a:pt x="0" y="0"/>
                                  </a:moveTo>
                                  <a:lnTo>
                                    <a:pt x="1" y="495"/>
                                  </a:lnTo>
                                </a:path>
                              </a:pathLst>
                            </a:custGeom>
                            <a:noFill/>
                            <a:ln w="9525">
                              <a:solidFill>
                                <a:srgbClr val="000000"/>
                              </a:solidFill>
                              <a:round/>
                            </a:ln>
                          </wps:spPr>
                          <wps:bodyPr rot="0" vert="horz" wrap="square" lIns="91440" tIns="45720" rIns="91440" bIns="45720" anchor="t" anchorCtr="0" upright="1">
                            <a:noAutofit/>
                          </wps:bodyPr>
                        </wps:wsp>
                      </wpg:grpSp>
                      <wpg:grpSp>
                        <wpg:cNvPr id="42" name="Group 32"/>
                        <wpg:cNvGrpSpPr/>
                        <wpg:grpSpPr>
                          <a:xfrm>
                            <a:off x="0" y="362"/>
                            <a:ext cx="140" cy="141"/>
                            <a:chOff x="0" y="362"/>
                            <a:chExt cx="140" cy="141"/>
                          </a:xfrm>
                        </wpg:grpSpPr>
                        <wps:wsp>
                          <wps:cNvPr id="43" name="Freeform 33"/>
                          <wps:cNvSpPr/>
                          <wps:spPr bwMode="auto">
                            <a:xfrm>
                              <a:off x="0" y="362"/>
                              <a:ext cx="140" cy="141"/>
                            </a:xfrm>
                            <a:custGeom>
                              <a:avLst/>
                              <a:gdLst>
                                <a:gd name="T0" fmla="*/ 0 w 140"/>
                                <a:gd name="T1" fmla="+- 0 363 362"/>
                                <a:gd name="T2" fmla="*/ 363 h 141"/>
                                <a:gd name="T3" fmla="*/ 70 w 140"/>
                                <a:gd name="T4" fmla="+- 0 503 362"/>
                                <a:gd name="T5" fmla="*/ 503 h 141"/>
                                <a:gd name="T6" fmla="*/ 140 w 140"/>
                                <a:gd name="T7" fmla="+- 0 362 362"/>
                                <a:gd name="T8" fmla="*/ 362 h 141"/>
                                <a:gd name="T9" fmla="*/ 0 w 140"/>
                                <a:gd name="T10" fmla="+- 0 363 362"/>
                                <a:gd name="T11" fmla="*/ 363 h 141"/>
                              </a:gdLst>
                              <a:ahLst/>
                              <a:cxnLst>
                                <a:cxn ang="0">
                                  <a:pos x="T0" y="T2"/>
                                </a:cxn>
                                <a:cxn ang="0">
                                  <a:pos x="T3" y="T5"/>
                                </a:cxn>
                                <a:cxn ang="0">
                                  <a:pos x="T6" y="T8"/>
                                </a:cxn>
                                <a:cxn ang="0">
                                  <a:pos x="T9" y="T11"/>
                                </a:cxn>
                              </a:cxnLst>
                              <a:rect l="0" t="0" r="r" b="b"/>
                              <a:pathLst>
                                <a:path w="140" h="141">
                                  <a:moveTo>
                                    <a:pt x="0" y="1"/>
                                  </a:moveTo>
                                  <a:lnTo>
                                    <a:pt x="70" y="141"/>
                                  </a:lnTo>
                                  <a:lnTo>
                                    <a:pt x="140" y="0"/>
                                  </a:lnTo>
                                  <a:lnTo>
                                    <a:pt x="0" y="1"/>
                                  </a:lnTo>
                                  <a:close/>
                                </a:path>
                              </a:pathLst>
                            </a:custGeom>
                            <a:solidFill>
                              <a:srgbClr val="000000"/>
                            </a:solidFill>
                            <a:ln>
                              <a:noFill/>
                            </a:ln>
                          </wps:spPr>
                          <wps:bodyPr rot="0" vert="horz" wrap="square" lIns="91440" tIns="45720" rIns="91440" bIns="45720" anchor="t" anchorCtr="0" upright="1">
                            <a:noAutofit/>
                          </wps:bodyPr>
                        </wps:wsp>
                      </wpg:grpSp>
                    </wpg:wgp>
                  </a:graphicData>
                </a:graphic>
              </wp:inline>
            </w:drawing>
          </mc:Choice>
          <mc:Fallback>
            <w:pict>
              <v:group id="Group 31" o:spid="_x0000_s1026" o:spt="203" style="height:25.5pt;width:7pt;" coordsize="140,510" o:gfxdata="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">
                <o:lock v:ext="edit" aspectratio="f"/>
                <v:group id="Group 34" o:spid="_x0000_s1026" o:spt="203" style="position:absolute;left:69;top:8;height:495;width:2;" coordorigin="69,8" coordsize="2,495"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shape id="Freeform 35" o:spid="_x0000_s1026" o:spt="100" style="position:absolute;left:69;top:8;height:495;width:2;" filled="f" stroked="t" coordsize="1,495" o:gfxdata="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G2i274A&#10;AADbAAAADwAAAAAAAAABACAAAAAiAAAAZHJzL2Rvd25yZXYueG1sUEsBAhQAFAAAAAgAh07iQDMv&#10;BZ47AAAAOQAAABAAAAAAAAAAAQAgAAAADQEAAGRycy9zaGFwZXhtbC54bWxQSwUGAAAAAAYABgBb&#10;AQAAtwMAAAAA&#10;" path="m0,0l1,495e">
                    <v:path o:connectlocs="0,8;2,503" o:connectangles="0,0"/>
                    <v:fill on="f" focussize="0,0"/>
                    <v:stroke color="#000000" joinstyle="round"/>
                    <v:imagedata o:title=""/>
                    <o:lock v:ext="edit" aspectratio="f"/>
                  </v:shape>
                </v:group>
                <v:group id="Group 32" o:spid="_x0000_s1026" o:spt="203" style="position:absolute;left:0;top:362;height:141;width:140;" coordorigin="0,362" coordsize="140,141"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Freeform 33" o:spid="_x0000_s1026" o:spt="100" style="position:absolute;left:0;top:362;height:141;width:140;" fillcolor="#000000" filled="t" stroked="f" coordsize="140,141" o:gfxdata="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bV4O7sAAADb&#10;AAAADwAAAAAAAAABACAAAAAiAAAAZHJzL2Rvd25yZXYueG1sUEsBAhQAFAAAAAgAh07iQDMvBZ47&#10;AAAAOQAAABAAAAAAAAAAAQAgAAAACgEAAGRycy9zaGFwZXhtbC54bWxQSwUGAAAAAAYABgBbAQAA&#10;tAMAAAAA&#10;" path="m0,1l70,141,140,0,0,1xe">
                    <v:path o:connectlocs="0,363;70,503;140,362;0,363" o:connectangles="0,0,0,0"/>
                    <v:fill on="t" focussize="0,0"/>
                    <v:stroke on="f"/>
                    <v:imagedata o:title=""/>
                    <o:lock v:ext="edit" aspectratio="f"/>
                  </v:shape>
                </v:group>
                <w10:wrap type="none"/>
                <w10:anchorlock/>
              </v:group>
            </w:pict>
          </mc:Fallback>
        </mc:AlternateContent>
      </w:r>
    </w:p>
    <w:p w14:paraId="39F1556D">
      <w:pPr>
        <w:snapToGrid w:val="0"/>
        <w:spacing w:before="105" w:line="300" w:lineRule="auto"/>
        <w:ind w:left="-28" w:leftChars="-154" w:hanging="311" w:hangingChars="141"/>
        <w:jc w:val="center"/>
        <w:rPr>
          <w:rFonts w:ascii="Arial" w:hAnsi="Arial" w:eastAsia="宋体" w:cs="Arial"/>
          <w:lang w:eastAsia="zh-CN"/>
        </w:rPr>
      </w:pPr>
      <w:r>
        <w:rPr>
          <w:rFonts w:ascii="Arial" w:hAnsi="Arial" w:eastAsia="宋体" w:cs="Arial"/>
          <w:b/>
          <w:lang w:eastAsia="zh-CN"/>
        </w:rPr>
        <w:t>使用点加工</w:t>
      </w:r>
      <w:r>
        <w:rPr>
          <w:rFonts w:ascii="Arial" w:hAnsi="Arial" w:eastAsia="宋体" w:cs="Arial"/>
          <w:b/>
          <w:lang w:eastAsia="zh-CN"/>
        </w:rPr>
        <w:br w:type="textWrapping"/>
      </w:r>
      <w:r>
        <w:rPr>
          <w:rFonts w:ascii="Arial" w:hAnsi="Arial" w:eastAsia="宋体" w:cs="Arial"/>
          <w:lang w:eastAsia="zh-CN"/>
        </w:rPr>
        <w:t>（及时的初步加工以去除和/或防止污物和污染物干燥）</w:t>
      </w:r>
    </w:p>
    <w:p w14:paraId="3781B7A3">
      <w:pPr>
        <w:snapToGrid w:val="0"/>
        <w:spacing w:before="2" w:line="300" w:lineRule="auto"/>
        <w:ind w:left="-227" w:leftChars="-154" w:hanging="112" w:hangingChars="141"/>
        <w:jc w:val="center"/>
        <w:rPr>
          <w:rFonts w:ascii="Arial" w:hAnsi="Arial" w:eastAsia="宋体" w:cs="Arial"/>
          <w:sz w:val="8"/>
          <w:szCs w:val="8"/>
          <w:lang w:eastAsia="zh-CN"/>
        </w:rPr>
      </w:pPr>
    </w:p>
    <w:p w14:paraId="4AA2AD49">
      <w:pPr>
        <w:snapToGrid w:val="0"/>
        <w:spacing w:line="300" w:lineRule="auto"/>
        <w:ind w:left="-57" w:leftChars="-154" w:hanging="282" w:hangingChars="141"/>
        <w:jc w:val="center"/>
        <w:rPr>
          <w:rFonts w:ascii="Arial" w:hAnsi="Arial" w:eastAsia="宋体" w:cs="Arial"/>
          <w:sz w:val="20"/>
          <w:szCs w:val="20"/>
        </w:rPr>
      </w:pPr>
      <w:r>
        <w:rPr>
          <w:rFonts w:ascii="Arial" w:hAnsi="Arial" w:eastAsia="宋体" w:cs="Arial"/>
          <w:position w:val="-9"/>
          <w:sz w:val="20"/>
          <w:szCs w:val="20"/>
          <w:lang w:eastAsia="zh-CN"/>
        </w:rPr>
        <mc:AlternateContent>
          <mc:Choice Requires="wpg">
            <w:drawing>
              <wp:inline distT="0" distB="0" distL="0" distR="0">
                <wp:extent cx="88900" cy="323850"/>
                <wp:effectExtent l="9525" t="9525" r="6350" b="0"/>
                <wp:docPr id="34" name="Group 26"/>
                <wp:cNvGraphicFramePr/>
                <a:graphic xmlns:a="http://schemas.openxmlformats.org/drawingml/2006/main">
                  <a:graphicData uri="http://schemas.microsoft.com/office/word/2010/wordprocessingGroup">
                    <wpg:wgp>
                      <wpg:cNvGrpSpPr/>
                      <wpg:grpSpPr>
                        <a:xfrm>
                          <a:off x="0" y="0"/>
                          <a:ext cx="88900" cy="323850"/>
                          <a:chOff x="0" y="0"/>
                          <a:chExt cx="140" cy="510"/>
                        </a:xfrm>
                      </wpg:grpSpPr>
                      <wpg:grpSp>
                        <wpg:cNvPr id="35" name="Group 29"/>
                        <wpg:cNvGrpSpPr/>
                        <wpg:grpSpPr>
                          <a:xfrm>
                            <a:off x="69" y="8"/>
                            <a:ext cx="2" cy="495"/>
                            <a:chOff x="69" y="8"/>
                            <a:chExt cx="2" cy="495"/>
                          </a:xfrm>
                        </wpg:grpSpPr>
                        <wps:wsp>
                          <wps:cNvPr id="36" name="Freeform 30"/>
                          <wps:cNvSpPr/>
                          <wps:spPr bwMode="auto">
                            <a:xfrm>
                              <a:off x="69" y="8"/>
                              <a:ext cx="2" cy="495"/>
                            </a:xfrm>
                            <a:custGeom>
                              <a:avLst/>
                              <a:gdLst>
                                <a:gd name="T0" fmla="+- 0 69 69"/>
                                <a:gd name="T1" fmla="*/ T0 w 1"/>
                                <a:gd name="T2" fmla="+- 0 7 8"/>
                                <a:gd name="T3" fmla="*/ 7 h 495"/>
                                <a:gd name="T4" fmla="+- 0 70 69"/>
                                <a:gd name="T5" fmla="*/ T4 w 1"/>
                                <a:gd name="T6" fmla="+- 0 502 8"/>
                                <a:gd name="T7" fmla="*/ 502 h 495"/>
                              </a:gdLst>
                              <a:ahLst/>
                              <a:cxnLst>
                                <a:cxn ang="0">
                                  <a:pos x="T1" y="T3"/>
                                </a:cxn>
                                <a:cxn ang="0">
                                  <a:pos x="T5" y="T7"/>
                                </a:cxn>
                              </a:cxnLst>
                              <a:rect l="0" t="0" r="r" b="b"/>
                              <a:pathLst>
                                <a:path w="1" h="495">
                                  <a:moveTo>
                                    <a:pt x="0" y="-1"/>
                                  </a:moveTo>
                                  <a:lnTo>
                                    <a:pt x="1" y="494"/>
                                  </a:lnTo>
                                </a:path>
                              </a:pathLst>
                            </a:custGeom>
                            <a:noFill/>
                            <a:ln w="9525">
                              <a:solidFill>
                                <a:srgbClr val="000000"/>
                              </a:solidFill>
                              <a:round/>
                            </a:ln>
                          </wps:spPr>
                          <wps:bodyPr rot="0" vert="horz" wrap="square" lIns="91440" tIns="45720" rIns="91440" bIns="45720" anchor="t" anchorCtr="0" upright="1">
                            <a:noAutofit/>
                          </wps:bodyPr>
                        </wps:wsp>
                      </wpg:grpSp>
                      <wpg:grpSp>
                        <wpg:cNvPr id="37" name="Group 27"/>
                        <wpg:cNvGrpSpPr/>
                        <wpg:grpSpPr>
                          <a:xfrm>
                            <a:off x="0" y="362"/>
                            <a:ext cx="140" cy="141"/>
                            <a:chOff x="0" y="362"/>
                            <a:chExt cx="140" cy="141"/>
                          </a:xfrm>
                        </wpg:grpSpPr>
                        <wps:wsp>
                          <wps:cNvPr id="38" name="Freeform 28"/>
                          <wps:cNvSpPr/>
                          <wps:spPr bwMode="auto">
                            <a:xfrm>
                              <a:off x="0" y="362"/>
                              <a:ext cx="140" cy="141"/>
                            </a:xfrm>
                            <a:custGeom>
                              <a:avLst/>
                              <a:gdLst>
                                <a:gd name="T0" fmla="*/ 0 w 140"/>
                                <a:gd name="T1" fmla="+- 0 363 362"/>
                                <a:gd name="T2" fmla="*/ 363 h 141"/>
                                <a:gd name="T3" fmla="*/ 70 w 140"/>
                                <a:gd name="T4" fmla="+- 0 503 362"/>
                                <a:gd name="T5" fmla="*/ 503 h 141"/>
                                <a:gd name="T6" fmla="*/ 140 w 140"/>
                                <a:gd name="T7" fmla="+- 0 362 362"/>
                                <a:gd name="T8" fmla="*/ 362 h 141"/>
                                <a:gd name="T9" fmla="*/ 0 w 140"/>
                                <a:gd name="T10" fmla="+- 0 363 362"/>
                                <a:gd name="T11" fmla="*/ 363 h 141"/>
                              </a:gdLst>
                              <a:ahLst/>
                              <a:cxnLst>
                                <a:cxn ang="0">
                                  <a:pos x="T0" y="T2"/>
                                </a:cxn>
                                <a:cxn ang="0">
                                  <a:pos x="T3" y="T5"/>
                                </a:cxn>
                                <a:cxn ang="0">
                                  <a:pos x="T6" y="T8"/>
                                </a:cxn>
                                <a:cxn ang="0">
                                  <a:pos x="T9" y="T11"/>
                                </a:cxn>
                              </a:cxnLst>
                              <a:rect l="0" t="0" r="r" b="b"/>
                              <a:pathLst>
                                <a:path w="140" h="141">
                                  <a:moveTo>
                                    <a:pt x="0" y="1"/>
                                  </a:moveTo>
                                  <a:lnTo>
                                    <a:pt x="70" y="141"/>
                                  </a:lnTo>
                                  <a:lnTo>
                                    <a:pt x="140" y="0"/>
                                  </a:lnTo>
                                  <a:lnTo>
                                    <a:pt x="0" y="1"/>
                                  </a:lnTo>
                                  <a:close/>
                                </a:path>
                              </a:pathLst>
                            </a:custGeom>
                            <a:solidFill>
                              <a:srgbClr val="000000"/>
                            </a:solidFill>
                            <a:ln>
                              <a:noFill/>
                            </a:ln>
                          </wps:spPr>
                          <wps:bodyPr rot="0" vert="horz" wrap="square" lIns="91440" tIns="45720" rIns="91440" bIns="45720" anchor="t" anchorCtr="0" upright="1">
                            <a:noAutofit/>
                          </wps:bodyPr>
                        </wps:wsp>
                      </wpg:grpSp>
                    </wpg:wgp>
                  </a:graphicData>
                </a:graphic>
              </wp:inline>
            </w:drawing>
          </mc:Choice>
          <mc:Fallback>
            <w:pict>
              <v:group id="Group 26" o:spid="_x0000_s1026" o:spt="203" style="height:25.5pt;width:7pt;" coordsize="140,510" o:gfxdata="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">
                <o:lock v:ext="edit" aspectratio="f"/>
                <v:group id="Group 29" o:spid="_x0000_s1026" o:spt="203" style="position:absolute;left:69;top:8;height:495;width:2;" coordorigin="69,8" coordsize="2,495"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Freeform 30" o:spid="_x0000_s1026" o:spt="100" style="position:absolute;left:69;top:8;height:495;width:2;" filled="f" stroked="t" coordsize="1,495" o:gfxdata="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4JJ0r4A&#10;AADbAAAADwAAAAAAAAABACAAAAAiAAAAZHJzL2Rvd25yZXYueG1sUEsBAhQAFAAAAAgAh07iQDMv&#10;BZ47AAAAOQAAABAAAAAAAAAAAQAgAAAADQEAAGRycy9zaGFwZXhtbC54bWxQSwUGAAAAAAYABgBb&#10;AQAAtwMAAAAA&#10;" path="m0,-1l1,494e">
                    <v:path o:connectlocs="0,7;2,502" o:connectangles="0,0"/>
                    <v:fill on="f" focussize="0,0"/>
                    <v:stroke color="#000000" joinstyle="round"/>
                    <v:imagedata o:title=""/>
                    <o:lock v:ext="edit" aspectratio="f"/>
                  </v:shape>
                </v:group>
                <v:group id="Group 27" o:spid="_x0000_s1026" o:spt="203" style="position:absolute;left:0;top:362;height:141;width:140;" coordorigin="0,362" coordsize="140,141"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shape id="Freeform 28" o:spid="_x0000_s1026" o:spt="100" style="position:absolute;left:0;top:362;height:141;width:140;" fillcolor="#000000" filled="t" stroked="f" coordsize="140,141" o:gfxdata="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nF5k3tAAAANsAAAAPAAAA&#10;AAAAAAEAIAAAACIAAABkcnMvZG93bnJldi54bWxQSwECFAAUAAAACACHTuJAMy8FnjsAAAA5AAAA&#10;EAAAAAAAAAABACAAAAADAQAAZHJzL3NoYXBleG1sLnhtbFBLBQYAAAAABgAGAFsBAACtAwAAAAA=&#10;" path="m0,1l70,141,140,0,0,1xe">
                    <v:path o:connectlocs="0,363;70,503;140,362;0,363" o:connectangles="0,0,0,0"/>
                    <v:fill on="t" focussize="0,0"/>
                    <v:stroke on="f"/>
                    <v:imagedata o:title=""/>
                    <o:lock v:ext="edit" aspectratio="f"/>
                  </v:shape>
                </v:group>
                <w10:wrap type="none"/>
                <w10:anchorlock/>
              </v:group>
            </w:pict>
          </mc:Fallback>
        </mc:AlternateContent>
      </w:r>
    </w:p>
    <w:p w14:paraId="0293FAF8">
      <w:pPr>
        <w:snapToGrid w:val="0"/>
        <w:spacing w:before="133" w:line="300" w:lineRule="auto"/>
        <w:ind w:left="-28" w:leftChars="-154" w:hanging="311" w:hangingChars="141"/>
        <w:jc w:val="center"/>
        <w:rPr>
          <w:rFonts w:ascii="Arial" w:hAnsi="Arial" w:eastAsia="宋体" w:cs="Arial"/>
          <w:b/>
        </w:rPr>
      </w:pPr>
      <w:r>
        <w:rPr>
          <w:rFonts w:ascii="Arial" w:hAnsi="Arial" w:eastAsia="宋体" w:cs="Arial"/>
          <w:b/>
          <w:lang w:eastAsia="zh-CN"/>
        </w:rPr>
        <w:t>全面清理</w:t>
      </w:r>
    </w:p>
    <w:p w14:paraId="33430173">
      <w:pPr>
        <w:snapToGrid w:val="0"/>
        <w:spacing w:before="25" w:line="300" w:lineRule="auto"/>
        <w:ind w:left="-29" w:leftChars="-154" w:hanging="310" w:hangingChars="141"/>
        <w:jc w:val="center"/>
        <w:rPr>
          <w:rFonts w:ascii="Arial" w:hAnsi="Arial" w:eastAsia="宋体" w:cs="Arial"/>
        </w:rPr>
      </w:pPr>
      <w:r>
        <w:rPr>
          <w:rFonts w:ascii="Arial" w:hAnsi="Arial" w:eastAsia="宋体" w:cs="Arial"/>
        </w:rPr>
        <w:t>（</w:t>
      </w:r>
      <w:r>
        <w:rPr>
          <w:rFonts w:ascii="Arial" w:hAnsi="Arial" w:eastAsia="宋体" w:cs="Arial"/>
          <w:lang w:eastAsia="zh-CN"/>
        </w:rPr>
        <w:t>与</w:t>
      </w:r>
      <w:r>
        <w:rPr>
          <w:rFonts w:ascii="Arial" w:hAnsi="Arial" w:eastAsia="宋体" w:cs="Arial"/>
        </w:rPr>
        <w:t>返回使用，或）</w:t>
      </w:r>
    </w:p>
    <w:p w14:paraId="11FF91AA">
      <w:pPr>
        <w:snapToGrid w:val="0"/>
        <w:spacing w:before="5" w:line="300" w:lineRule="auto"/>
        <w:ind w:left="-241" w:leftChars="-154" w:hanging="98" w:hangingChars="141"/>
        <w:jc w:val="center"/>
        <w:rPr>
          <w:rFonts w:ascii="Arial" w:hAnsi="Arial" w:eastAsia="宋体" w:cs="Arial"/>
          <w:sz w:val="7"/>
          <w:szCs w:val="7"/>
        </w:rPr>
      </w:pPr>
    </w:p>
    <w:p w14:paraId="03AAEDA3">
      <w:pPr>
        <w:snapToGrid w:val="0"/>
        <w:spacing w:line="300" w:lineRule="auto"/>
        <w:ind w:left="-57" w:leftChars="-154" w:hanging="282" w:hangingChars="141"/>
        <w:jc w:val="center"/>
        <w:rPr>
          <w:rFonts w:ascii="Arial" w:hAnsi="Arial" w:eastAsia="宋体" w:cs="Arial"/>
          <w:sz w:val="20"/>
          <w:szCs w:val="20"/>
        </w:rPr>
      </w:pPr>
      <w:r>
        <w:rPr>
          <w:rFonts w:ascii="Arial" w:hAnsi="Arial" w:eastAsia="宋体" w:cs="Arial"/>
          <w:position w:val="-12"/>
          <w:sz w:val="20"/>
          <w:szCs w:val="20"/>
          <w:lang w:eastAsia="zh-CN"/>
        </w:rPr>
        <w:drawing>
          <wp:inline distT="0" distB="0" distL="0" distR="0">
            <wp:extent cx="482600" cy="423545"/>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pic:cNvPicPr>
                  </pic:nvPicPr>
                  <pic:blipFill>
                    <a:blip r:embed="rId8" cstate="print"/>
                    <a:stretch>
                      <a:fillRect/>
                    </a:stretch>
                  </pic:blipFill>
                  <pic:spPr>
                    <a:xfrm>
                      <a:off x="0" y="0"/>
                      <a:ext cx="482697" cy="423862"/>
                    </a:xfrm>
                    <a:prstGeom prst="rect">
                      <a:avLst/>
                    </a:prstGeom>
                  </pic:spPr>
                </pic:pic>
              </a:graphicData>
            </a:graphic>
          </wp:inline>
        </w:drawing>
      </w:r>
    </w:p>
    <w:p w14:paraId="0E6D7B30">
      <w:pPr>
        <w:snapToGrid w:val="0"/>
        <w:spacing w:before="10" w:line="300" w:lineRule="auto"/>
        <w:ind w:left="-142" w:leftChars="-154" w:hanging="197" w:hangingChars="141"/>
        <w:jc w:val="center"/>
        <w:rPr>
          <w:rFonts w:ascii="Arial" w:hAnsi="Arial" w:eastAsia="宋体" w:cs="Arial"/>
          <w:sz w:val="14"/>
          <w:szCs w:val="14"/>
        </w:rPr>
      </w:pPr>
    </w:p>
    <w:p w14:paraId="6A58D3F9">
      <w:pPr>
        <w:snapToGrid w:val="0"/>
        <w:spacing w:line="300" w:lineRule="auto"/>
        <w:ind w:left="-142" w:leftChars="-154" w:hanging="197" w:hangingChars="141"/>
        <w:jc w:val="center"/>
        <w:rPr>
          <w:rFonts w:ascii="Arial" w:hAnsi="Arial" w:eastAsia="宋体" w:cs="Arial"/>
          <w:sz w:val="14"/>
          <w:szCs w:val="14"/>
        </w:rPr>
        <w:sectPr>
          <w:footerReference r:id="rId4" w:type="default"/>
          <w:pgSz w:w="12260" w:h="15840"/>
          <w:pgMar w:top="1134" w:right="1134" w:bottom="1134" w:left="1134" w:header="748" w:footer="773" w:gutter="0"/>
          <w:pgNumType w:start="1"/>
          <w:cols w:space="720" w:num="1"/>
          <w:docGrid w:linePitch="299" w:charSpace="0"/>
        </w:sectPr>
      </w:pPr>
    </w:p>
    <w:p w14:paraId="037F0338">
      <w:pPr>
        <w:snapToGrid w:val="0"/>
        <w:spacing w:before="86" w:line="300" w:lineRule="auto"/>
        <w:ind w:left="-29" w:leftChars="-13" w:firstLine="3001" w:firstLineChars="1359"/>
        <w:jc w:val="center"/>
        <w:rPr>
          <w:rFonts w:ascii="Arial" w:hAnsi="Arial" w:eastAsia="宋体" w:cs="Arial"/>
          <w:b/>
        </w:rPr>
      </w:pPr>
      <w:r>
        <w:rPr>
          <w:rFonts w:ascii="Arial" w:hAnsi="Arial" w:eastAsia="宋体" w:cs="Arial"/>
          <w:b/>
          <w:lang w:eastAsia="zh-CN"/>
        </w:rPr>
        <w:t>消毒</w:t>
      </w:r>
    </w:p>
    <w:p w14:paraId="622A9CD9">
      <w:pPr>
        <w:snapToGrid w:val="0"/>
        <w:spacing w:before="20" w:line="300" w:lineRule="auto"/>
        <w:ind w:left="-29" w:leftChars="-13" w:firstLine="2989" w:firstLineChars="1359"/>
        <w:jc w:val="center"/>
        <w:rPr>
          <w:rFonts w:ascii="Arial" w:hAnsi="Arial" w:eastAsia="宋体" w:cs="Arial"/>
          <w:lang w:eastAsia="zh-CN"/>
        </w:rPr>
      </w:pPr>
      <w:r>
        <w:rPr>
          <w:rFonts w:ascii="Arial" w:hAnsi="Arial" w:eastAsia="宋体" w:cs="Arial"/>
        </w:rPr>
        <w:t>（低</w:t>
      </w:r>
      <w:r>
        <w:rPr>
          <w:rFonts w:ascii="Arial" w:hAnsi="Arial" w:eastAsia="宋体" w:cs="Arial"/>
          <w:lang w:eastAsia="zh-CN"/>
        </w:rPr>
        <w:t>、</w:t>
      </w:r>
      <w:r>
        <w:rPr>
          <w:rFonts w:ascii="Arial" w:hAnsi="Arial" w:eastAsia="宋体" w:cs="Arial"/>
        </w:rPr>
        <w:t>中</w:t>
      </w:r>
      <w:r>
        <w:rPr>
          <w:rFonts w:ascii="Arial" w:hAnsi="Arial" w:eastAsia="宋体" w:cs="Arial"/>
          <w:lang w:eastAsia="zh-CN"/>
        </w:rPr>
        <w:t>或</w:t>
      </w:r>
      <w:r>
        <w:rPr>
          <w:rFonts w:ascii="Arial" w:hAnsi="Arial" w:eastAsia="宋体" w:cs="Arial"/>
        </w:rPr>
        <w:t>高</w:t>
      </w:r>
      <w:r>
        <w:rPr>
          <w:rFonts w:ascii="Arial" w:hAnsi="Arial" w:eastAsia="宋体" w:cs="Arial"/>
          <w:lang w:eastAsia="zh-CN"/>
        </w:rPr>
        <w:t>水平）</w:t>
      </w:r>
    </w:p>
    <w:p w14:paraId="12756E22">
      <w:pPr>
        <w:snapToGrid w:val="0"/>
        <w:spacing w:before="72" w:line="300" w:lineRule="auto"/>
        <w:ind w:left="-29" w:leftChars="-154" w:right="3824" w:rightChars="1738" w:hanging="310" w:hangingChars="141"/>
        <w:jc w:val="center"/>
        <w:rPr>
          <w:rFonts w:ascii="Arial" w:hAnsi="Arial" w:eastAsia="宋体" w:cs="Arial"/>
          <w:b/>
          <w:lang w:eastAsia="zh-CN"/>
        </w:rPr>
      </w:pPr>
      <w:r>
        <w:rPr>
          <w:rFonts w:ascii="Arial" w:hAnsi="Arial" w:eastAsia="宋体" w:cs="Arial"/>
          <w:lang w:eastAsia="zh-CN"/>
        </w:rPr>
        <w:br w:type="column"/>
      </w:r>
      <w:r>
        <w:rPr>
          <w:rFonts w:ascii="Arial" w:hAnsi="Arial" w:eastAsia="宋体" w:cs="Arial"/>
          <w:b/>
          <w:lang w:eastAsia="zh-CN"/>
        </w:rPr>
        <w:t>灭菌</w:t>
      </w:r>
    </w:p>
    <w:p w14:paraId="71C4764F">
      <w:pPr>
        <w:snapToGrid w:val="0"/>
        <w:spacing w:line="300" w:lineRule="auto"/>
        <w:jc w:val="both"/>
        <w:rPr>
          <w:rFonts w:ascii="Arial" w:hAnsi="Arial" w:eastAsia="宋体" w:cs="Arial"/>
          <w:lang w:eastAsia="zh-CN"/>
        </w:rPr>
        <w:sectPr>
          <w:type w:val="continuous"/>
          <w:pgSz w:w="12260" w:h="15840"/>
          <w:pgMar w:top="1134" w:right="1134" w:bottom="1134" w:left="1134" w:header="720" w:footer="720" w:gutter="0"/>
          <w:cols w:equalWidth="0" w:num="2">
            <w:col w:w="4994" w:space="40"/>
            <w:col w:w="4958"/>
          </w:cols>
          <w:docGrid w:linePitch="299" w:charSpace="0"/>
        </w:sectPr>
      </w:pPr>
    </w:p>
    <w:p w14:paraId="287BFC40">
      <w:pPr>
        <w:pStyle w:val="6"/>
        <w:snapToGrid w:val="0"/>
        <w:spacing w:line="300" w:lineRule="auto"/>
        <w:ind w:left="440"/>
        <w:jc w:val="both"/>
        <w:rPr>
          <w:rFonts w:ascii="Arial" w:hAnsi="Arial" w:eastAsia="宋体" w:cs="Arial"/>
          <w:lang w:eastAsia="zh-CN"/>
        </w:rPr>
      </w:pPr>
      <w:bookmarkStart w:id="23" w:name="B._Resources_for_Developing_Reprocessing"/>
      <w:bookmarkEnd w:id="23"/>
      <w:r>
        <w:rPr>
          <w:rFonts w:ascii="Arial" w:hAnsi="Arial" w:eastAsia="宋体" w:cs="Arial"/>
          <w:lang w:eastAsia="zh-CN"/>
        </w:rPr>
        <w:t>重要的是注意，清洁、消毒和灭菌是明显不同的流程。</w:t>
      </w:r>
    </w:p>
    <w:p w14:paraId="2B7310AF">
      <w:pPr>
        <w:pStyle w:val="6"/>
        <w:snapToGrid w:val="0"/>
        <w:spacing w:line="300" w:lineRule="auto"/>
        <w:ind w:left="440"/>
        <w:jc w:val="both"/>
        <w:rPr>
          <w:rFonts w:ascii="Arial" w:hAnsi="Arial" w:eastAsia="宋体" w:cs="Arial"/>
          <w:lang w:eastAsia="zh-CN"/>
        </w:rPr>
      </w:pPr>
    </w:p>
    <w:p w14:paraId="2A03B713">
      <w:pPr>
        <w:pStyle w:val="6"/>
        <w:snapToGrid w:val="0"/>
        <w:spacing w:line="300" w:lineRule="auto"/>
        <w:ind w:left="440"/>
        <w:jc w:val="both"/>
        <w:rPr>
          <w:rFonts w:ascii="Arial" w:hAnsi="Arial" w:eastAsia="宋体" w:cs="Arial"/>
          <w:lang w:eastAsia="zh-CN"/>
        </w:rPr>
      </w:pPr>
      <w:r>
        <w:rPr>
          <w:rFonts w:ascii="Arial" w:hAnsi="Arial" w:eastAsia="宋体" w:cs="Arial"/>
          <w:lang w:eastAsia="zh-CN"/>
        </w:rPr>
        <w:t>清洁是指物理去除污物和污染物；用于清洁的方法和试剂的设计应用于有效去除这些污物和污染物。</w:t>
      </w:r>
    </w:p>
    <w:p w14:paraId="2E935202">
      <w:pPr>
        <w:pStyle w:val="6"/>
        <w:snapToGrid w:val="0"/>
        <w:spacing w:line="300" w:lineRule="auto"/>
        <w:ind w:left="440"/>
        <w:jc w:val="both"/>
        <w:rPr>
          <w:rFonts w:ascii="Arial" w:hAnsi="Arial" w:eastAsia="宋体" w:cs="Arial"/>
        </w:rPr>
      </w:pPr>
      <w:r>
        <w:rPr>
          <w:rFonts w:ascii="Arial" w:hAnsi="Arial" w:eastAsia="宋体" w:cs="Arial"/>
        </w:rPr>
        <w:t>有效清洁应：</w:t>
      </w:r>
    </w:p>
    <w:p w14:paraId="36885301">
      <w:pPr>
        <w:pStyle w:val="17"/>
        <w:numPr>
          <w:ilvl w:val="0"/>
          <w:numId w:val="5"/>
        </w:numPr>
        <w:tabs>
          <w:tab w:val="left" w:pos="116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最小化从一个患者到另一个患者的污物转移或单个患者使用之间的污物转移；</w:t>
      </w:r>
    </w:p>
    <w:p w14:paraId="6EDB1ED8">
      <w:pPr>
        <w:pStyle w:val="17"/>
        <w:numPr>
          <w:ilvl w:val="0"/>
          <w:numId w:val="5"/>
        </w:numPr>
        <w:tabs>
          <w:tab w:val="left" w:pos="116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防止残留污物在整个产品的使用寿命内的积聚；以及</w:t>
      </w:r>
    </w:p>
    <w:p w14:paraId="24C7BE45">
      <w:pPr>
        <w:pStyle w:val="17"/>
        <w:numPr>
          <w:ilvl w:val="0"/>
          <w:numId w:val="5"/>
        </w:numPr>
        <w:tabs>
          <w:tab w:val="left" w:pos="116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允许成功的后续消毒/灭菌步骤。</w:t>
      </w:r>
    </w:p>
    <w:p w14:paraId="736A6174">
      <w:pPr>
        <w:pStyle w:val="6"/>
        <w:snapToGrid w:val="0"/>
        <w:spacing w:line="300" w:lineRule="auto"/>
        <w:ind w:left="440"/>
        <w:jc w:val="both"/>
        <w:rPr>
          <w:rFonts w:ascii="Arial" w:hAnsi="Arial" w:eastAsia="宋体" w:cs="Arial"/>
          <w:lang w:eastAsia="zh-CN"/>
        </w:rPr>
      </w:pPr>
      <w:r>
        <w:rPr>
          <w:rFonts w:ascii="Arial" w:hAnsi="Arial" w:eastAsia="宋体" w:cs="Arial"/>
          <w:lang w:eastAsia="zh-CN"/>
        </w:rPr>
        <w:t>相比之下，消毒和灭菌流程旨在杀死微生物；用于消毒和灭菌的方法和试剂的设计应用于实现适当的灭菌效果。有关消毒和灭菌的定义，请参见附录A中，以及关于适当灭菌流程的具体信息，请参见第VI节标准3。</w:t>
      </w:r>
    </w:p>
    <w:p w14:paraId="71F96C83">
      <w:pPr>
        <w:pStyle w:val="6"/>
        <w:snapToGrid w:val="0"/>
        <w:spacing w:line="300" w:lineRule="auto"/>
        <w:ind w:left="440"/>
        <w:jc w:val="both"/>
        <w:rPr>
          <w:rFonts w:ascii="Arial" w:hAnsi="Arial" w:eastAsia="宋体" w:cs="Arial"/>
          <w:lang w:eastAsia="zh-CN"/>
        </w:rPr>
      </w:pPr>
    </w:p>
    <w:p w14:paraId="6EA8BA66">
      <w:pPr>
        <w:pStyle w:val="6"/>
        <w:snapToGrid w:val="0"/>
        <w:spacing w:line="300" w:lineRule="auto"/>
        <w:ind w:left="440"/>
        <w:jc w:val="both"/>
        <w:rPr>
          <w:rFonts w:ascii="Arial" w:hAnsi="Arial" w:eastAsia="宋体" w:cs="Arial"/>
          <w:lang w:eastAsia="zh-CN"/>
        </w:rPr>
      </w:pPr>
      <w:r>
        <w:rPr>
          <w:rFonts w:ascii="Arial" w:hAnsi="Arial" w:eastAsia="宋体" w:cs="Arial"/>
          <w:lang w:eastAsia="zh-CN"/>
        </w:rPr>
        <w:t>因此，清洁步骤应分开确认、独立于消毒或灭菌步骤。</w:t>
      </w:r>
    </w:p>
    <w:p w14:paraId="6D0E9738">
      <w:pPr>
        <w:pStyle w:val="6"/>
        <w:snapToGrid w:val="0"/>
        <w:spacing w:line="300" w:lineRule="auto"/>
        <w:ind w:left="440"/>
        <w:jc w:val="both"/>
        <w:rPr>
          <w:rFonts w:ascii="Arial" w:hAnsi="Arial" w:eastAsia="宋体" w:cs="Arial"/>
          <w:lang w:eastAsia="zh-CN"/>
        </w:rPr>
      </w:pPr>
    </w:p>
    <w:p w14:paraId="2C536A42">
      <w:pPr>
        <w:pStyle w:val="6"/>
        <w:snapToGrid w:val="0"/>
        <w:spacing w:line="300" w:lineRule="auto"/>
        <w:ind w:left="440"/>
        <w:jc w:val="both"/>
        <w:rPr>
          <w:rFonts w:ascii="Arial" w:hAnsi="Arial" w:eastAsia="宋体" w:cs="Arial"/>
          <w:lang w:eastAsia="zh-CN"/>
        </w:rPr>
      </w:pPr>
      <w:r>
        <w:rPr>
          <w:rFonts w:ascii="Arial" w:hAnsi="Arial" w:eastAsia="宋体" w:cs="Arial"/>
          <w:lang w:eastAsia="zh-CN"/>
        </w:rPr>
        <w:t>可重复使用医疗器械加工的概述见本文件附录B。</w:t>
      </w:r>
    </w:p>
    <w:p w14:paraId="60409203">
      <w:pPr>
        <w:snapToGrid w:val="0"/>
        <w:spacing w:before="6" w:line="300" w:lineRule="auto"/>
        <w:jc w:val="both"/>
        <w:rPr>
          <w:rFonts w:ascii="Arial" w:hAnsi="Arial" w:eastAsia="宋体" w:cs="Arial"/>
          <w:sz w:val="24"/>
          <w:szCs w:val="24"/>
          <w:lang w:eastAsia="zh-CN"/>
        </w:rPr>
      </w:pPr>
    </w:p>
    <w:p w14:paraId="0D47BB8E">
      <w:pPr>
        <w:pStyle w:val="4"/>
        <w:numPr>
          <w:ilvl w:val="0"/>
          <w:numId w:val="4"/>
        </w:numPr>
        <w:tabs>
          <w:tab w:val="left" w:pos="1160"/>
        </w:tabs>
        <w:snapToGrid w:val="0"/>
        <w:spacing w:line="300" w:lineRule="auto"/>
        <w:jc w:val="both"/>
        <w:rPr>
          <w:rFonts w:ascii="Arial" w:hAnsi="Arial" w:eastAsia="宋体" w:cs="Arial"/>
          <w:b w:val="0"/>
          <w:bCs w:val="0"/>
          <w:lang w:eastAsia="zh-CN"/>
        </w:rPr>
      </w:pPr>
      <w:bookmarkStart w:id="24" w:name="_Toc481569195"/>
      <w:r>
        <w:rPr>
          <w:rFonts w:ascii="Arial" w:hAnsi="Arial" w:eastAsia="宋体" w:cs="Arial"/>
          <w:lang w:eastAsia="zh-CN"/>
        </w:rPr>
        <w:t>制定再加工说明的资源</w:t>
      </w:r>
      <w:bookmarkEnd w:id="24"/>
    </w:p>
    <w:p w14:paraId="7C1B9768">
      <w:pPr>
        <w:snapToGrid w:val="0"/>
        <w:spacing w:before="5" w:line="300" w:lineRule="auto"/>
        <w:jc w:val="both"/>
        <w:rPr>
          <w:rFonts w:ascii="Arial" w:hAnsi="Arial" w:eastAsia="宋体" w:cs="Arial"/>
          <w:b/>
          <w:bCs/>
          <w:sz w:val="23"/>
          <w:szCs w:val="23"/>
          <w:lang w:eastAsia="zh-CN"/>
        </w:rPr>
      </w:pPr>
    </w:p>
    <w:p w14:paraId="345D871E">
      <w:pPr>
        <w:pStyle w:val="6"/>
        <w:snapToGrid w:val="0"/>
        <w:spacing w:line="300" w:lineRule="auto"/>
        <w:ind w:left="440"/>
        <w:jc w:val="both"/>
        <w:rPr>
          <w:rFonts w:ascii="Arial" w:hAnsi="Arial" w:eastAsia="宋体" w:cs="Arial"/>
          <w:lang w:eastAsia="zh-CN"/>
        </w:rPr>
      </w:pPr>
      <w:r>
        <w:rPr>
          <w:rFonts w:ascii="Arial" w:hAnsi="Arial" w:eastAsia="宋体" w:cs="Arial"/>
          <w:lang w:eastAsia="zh-CN"/>
        </w:rPr>
        <w:t>以下是为可重复使用医疗器械开发再加工说明时需要考虑的资源。</w:t>
      </w:r>
    </w:p>
    <w:p w14:paraId="3449CBCD">
      <w:pPr>
        <w:pStyle w:val="17"/>
        <w:numPr>
          <w:ilvl w:val="1"/>
          <w:numId w:val="4"/>
        </w:numPr>
        <w:tabs>
          <w:tab w:val="left" w:pos="1160"/>
        </w:tabs>
        <w:snapToGrid w:val="0"/>
        <w:spacing w:line="300" w:lineRule="auto"/>
        <w:rPr>
          <w:rFonts w:ascii="Arial" w:hAnsi="Arial" w:eastAsia="宋体" w:cs="Arial"/>
          <w:sz w:val="24"/>
          <w:szCs w:val="24"/>
          <w:lang w:eastAsia="zh-CN"/>
        </w:rPr>
      </w:pPr>
      <w:r>
        <w:rPr>
          <w:rFonts w:ascii="Arial" w:hAnsi="Arial" w:eastAsia="宋体" w:cs="Arial"/>
          <w:sz w:val="24"/>
          <w:szCs w:val="24"/>
          <w:lang w:eastAsia="zh-CN"/>
        </w:rPr>
        <w:t>如果可用，贵公司应遵循器械特定指南中的标签建议。可以通过搜寻FDA的指导性文件数据库（其网址为：</w:t>
      </w:r>
      <w:r>
        <w:fldChar w:fldCharType="begin"/>
      </w:r>
      <w:r>
        <w:instrText xml:space="preserve"> HYPERLINK "http://www.fda.gov/RegulatoryInformation/Guidances/default.htm" </w:instrText>
      </w:r>
      <w:r>
        <w:fldChar w:fldCharType="separate"/>
      </w:r>
      <w:r>
        <w:rPr>
          <w:rStyle w:val="15"/>
          <w:rFonts w:ascii="Arial" w:hAnsi="Arial" w:eastAsia="宋体" w:cs="Arial"/>
          <w:sz w:val="24"/>
          <w:szCs w:val="24"/>
          <w:lang w:eastAsia="zh-CN"/>
        </w:rPr>
        <w:t>http：//www.fda.gov/RegulatoryInformation/Guidances/default.htm</w:t>
      </w:r>
      <w:r>
        <w:rPr>
          <w:rStyle w:val="15"/>
          <w:rFonts w:ascii="Arial" w:hAnsi="Arial" w:eastAsia="宋体" w:cs="Arial"/>
          <w:sz w:val="24"/>
          <w:szCs w:val="24"/>
          <w:lang w:eastAsia="zh-CN"/>
        </w:rPr>
        <w:fldChar w:fldCharType="end"/>
      </w:r>
      <w:r>
        <w:rPr>
          <w:rFonts w:ascii="Arial" w:hAnsi="Arial" w:eastAsia="宋体" w:cs="Arial"/>
          <w:sz w:val="24"/>
          <w:szCs w:val="24"/>
          <w:lang w:eastAsia="zh-CN"/>
        </w:rPr>
        <w:t>）来查找器械指南。</w:t>
      </w:r>
    </w:p>
    <w:p w14:paraId="6492C2A8">
      <w:pPr>
        <w:pStyle w:val="17"/>
        <w:numPr>
          <w:ilvl w:val="1"/>
          <w:numId w:val="4"/>
        </w:numPr>
        <w:tabs>
          <w:tab w:val="left" w:pos="1160"/>
        </w:tabs>
        <w:snapToGrid w:val="0"/>
        <w:spacing w:line="300" w:lineRule="auto"/>
        <w:jc w:val="both"/>
        <w:rPr>
          <w:rFonts w:ascii="Arial" w:hAnsi="Arial" w:eastAsia="宋体" w:cs="Arial"/>
          <w:sz w:val="24"/>
          <w:szCs w:val="24"/>
          <w:lang w:eastAsia="zh-CN"/>
        </w:rPr>
      </w:pPr>
      <w:r>
        <w:rPr>
          <w:rFonts w:ascii="Arial" w:hAnsi="Arial" w:eastAsia="宋体" w:cs="Arial"/>
          <w:sz w:val="24"/>
          <w:lang w:eastAsia="zh-CN"/>
        </w:rPr>
        <w:t>由医疗器械促进协会（AAMI）开发的以下技术信息报告（TIR）为制造商和用户提供了技术信息，并且在开发可重复使用医疗器械的标签说明时可能会有所帮助：</w:t>
      </w:r>
    </w:p>
    <w:p w14:paraId="50DC255F">
      <w:pPr>
        <w:pStyle w:val="17"/>
        <w:numPr>
          <w:ilvl w:val="2"/>
          <w:numId w:val="4"/>
        </w:numPr>
        <w:tabs>
          <w:tab w:val="left" w:pos="152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AAMI TIR12，用于医疗机构中再加工的可重复使用医疗器械的设计、测试和标识：医疗器械制造商的指南。</w:t>
      </w:r>
    </w:p>
    <w:p w14:paraId="42B6EAC8">
      <w:pPr>
        <w:pStyle w:val="17"/>
        <w:numPr>
          <w:ilvl w:val="2"/>
          <w:numId w:val="4"/>
        </w:numPr>
        <w:tabs>
          <w:tab w:val="left" w:pos="152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AAMI TIR30，清洁可重复使用医疗器械的流程、材料、试验方法和验收标准汇编。</w:t>
      </w:r>
    </w:p>
    <w:p w14:paraId="3AD9E044">
      <w:pPr>
        <w:pStyle w:val="17"/>
        <w:numPr>
          <w:ilvl w:val="1"/>
          <w:numId w:val="4"/>
        </w:numPr>
        <w:tabs>
          <w:tab w:val="left" w:pos="1520"/>
        </w:tabs>
        <w:snapToGrid w:val="0"/>
        <w:spacing w:line="300" w:lineRule="auto"/>
        <w:jc w:val="both"/>
        <w:rPr>
          <w:rFonts w:ascii="Arial" w:hAnsi="Arial" w:eastAsia="宋体" w:cs="Arial"/>
          <w:sz w:val="24"/>
          <w:szCs w:val="24"/>
          <w:lang w:eastAsia="zh-CN"/>
        </w:rPr>
      </w:pPr>
      <w:r>
        <w:rPr>
          <w:rFonts w:ascii="Arial" w:hAnsi="Arial" w:eastAsia="宋体" w:cs="Arial"/>
          <w:sz w:val="24"/>
          <w:lang w:eastAsia="zh-CN"/>
        </w:rPr>
        <w:t>我们建议贵公司参考当前FDA认可的AAMI/ANSI ST81版本，</w:t>
      </w:r>
      <w:r>
        <w:rPr>
          <w:rFonts w:hint="eastAsia" w:ascii="Arial" w:hAnsi="Arial" w:eastAsia="宋体" w:cs="Arial"/>
          <w:color w:val="0000FF"/>
          <w:sz w:val="24"/>
          <w:u w:val="single"/>
          <w:lang w:eastAsia="zh-CN"/>
        </w:rPr>
        <w:t>医疗器械的灭菌</w:t>
      </w:r>
      <w:r>
        <w:rPr>
          <w:rFonts w:ascii="Arial" w:hAnsi="Arial" w:eastAsia="宋体" w:cs="Arial"/>
          <w:color w:val="0000FF"/>
          <w:sz w:val="24"/>
          <w:u w:val="single"/>
          <w:lang w:eastAsia="zh-CN"/>
        </w:rPr>
        <w:t>-</w:t>
      </w:r>
      <w:r>
        <w:rPr>
          <w:rFonts w:hint="eastAsia" w:ascii="Arial" w:hAnsi="Arial" w:eastAsia="宋体" w:cs="Arial"/>
          <w:color w:val="0000FF"/>
          <w:sz w:val="24"/>
          <w:u w:val="single"/>
          <w:lang w:eastAsia="zh-CN"/>
        </w:rPr>
        <w:t>制造商应提供用于加工可再灭菌医疗器械的信息</w:t>
      </w:r>
      <w:r>
        <w:rPr>
          <w:rFonts w:ascii="Arial" w:hAnsi="Arial" w:eastAsia="宋体" w:cs="Arial"/>
          <w:sz w:val="24"/>
          <w:lang w:eastAsia="zh-CN"/>
        </w:rPr>
        <w:t>。</w:t>
      </w:r>
    </w:p>
    <w:p w14:paraId="46C45D32">
      <w:pPr>
        <w:rPr>
          <w:rFonts w:ascii="Arial" w:hAnsi="Arial" w:eastAsia="宋体" w:cs="Arial"/>
          <w:sz w:val="24"/>
          <w:lang w:eastAsia="zh-CN"/>
        </w:rPr>
      </w:pPr>
      <w:r>
        <w:rPr>
          <w:rFonts w:ascii="Arial" w:hAnsi="Arial" w:eastAsia="宋体" w:cs="Arial"/>
          <w:sz w:val="24"/>
          <w:lang w:eastAsia="zh-CN"/>
        </w:rPr>
        <w:br w:type="page"/>
      </w:r>
    </w:p>
    <w:p w14:paraId="3B421FE2">
      <w:pPr>
        <w:pStyle w:val="17"/>
        <w:numPr>
          <w:ilvl w:val="1"/>
          <w:numId w:val="4"/>
        </w:numPr>
        <w:tabs>
          <w:tab w:val="left" w:pos="1160"/>
        </w:tabs>
        <w:snapToGrid w:val="0"/>
        <w:spacing w:line="300" w:lineRule="auto"/>
        <w:jc w:val="both"/>
        <w:rPr>
          <w:rFonts w:ascii="Arial" w:hAnsi="Arial" w:eastAsia="宋体" w:cs="Arial"/>
          <w:sz w:val="24"/>
          <w:lang w:eastAsia="zh-CN"/>
        </w:rPr>
      </w:pPr>
      <w:r>
        <w:rPr>
          <w:rFonts w:ascii="Arial" w:hAnsi="Arial" w:eastAsia="宋体" w:cs="Arial"/>
          <w:sz w:val="24"/>
          <w:lang w:eastAsia="zh-CN"/>
        </w:rPr>
        <w:t>我们建议贵公司使用目前FDA认可的试验方法，其中，其可从标准开发组织（SDO）获得。FDA认可的共识标准可搜索数据库可从以下网址获取：</w:t>
      </w:r>
      <w:r>
        <w:rPr>
          <w:rFonts w:ascii="Arial" w:hAnsi="Arial" w:eastAsia="宋体" w:cs="Arial"/>
          <w:color w:val="0000FF"/>
          <w:sz w:val="24"/>
          <w:u w:val="single"/>
          <w:lang w:eastAsia="zh-CN"/>
        </w:rPr>
        <w:t>http：//www.accessdata.fda.gov/scripts/cdrh/cfdocs/cfStandards/search.cfm</w:t>
      </w:r>
      <w:r>
        <w:rPr>
          <w:rFonts w:ascii="Arial" w:hAnsi="Arial" w:eastAsia="宋体" w:cs="Arial"/>
          <w:sz w:val="24"/>
          <w:lang w:eastAsia="zh-CN"/>
        </w:rPr>
        <w:t>。</w:t>
      </w:r>
    </w:p>
    <w:p w14:paraId="7E559C84">
      <w:pPr>
        <w:pStyle w:val="17"/>
        <w:numPr>
          <w:ilvl w:val="1"/>
          <w:numId w:val="4"/>
        </w:numPr>
        <w:tabs>
          <w:tab w:val="left" w:pos="1160"/>
        </w:tabs>
        <w:snapToGrid w:val="0"/>
        <w:spacing w:line="300" w:lineRule="auto"/>
        <w:rPr>
          <w:rFonts w:ascii="Arial" w:hAnsi="Arial" w:eastAsia="宋体" w:cs="Arial"/>
          <w:sz w:val="24"/>
          <w:lang w:eastAsia="zh-CN"/>
        </w:rPr>
      </w:pPr>
      <w:r>
        <w:rPr>
          <w:rFonts w:ascii="Arial" w:hAnsi="Arial" w:eastAsia="宋体" w:cs="Arial"/>
          <w:sz w:val="24"/>
          <w:lang w:eastAsia="zh-CN"/>
        </w:rPr>
        <w:t>贵公司还应参考专业协会、协会、标准开发组织和政府机构发布的任何相关临床实践指南和有关感染控制的建议（例如，来自疾病控制中心（CDC）的“医疗机构的消毒和灭菌指南，2008年”，其网址为：</w:t>
      </w:r>
      <w:r>
        <w:rPr>
          <w:rFonts w:ascii="Arial" w:hAnsi="Arial" w:eastAsia="宋体" w:cs="Arial"/>
          <w:color w:val="0000FF"/>
          <w:sz w:val="24"/>
          <w:u w:val="single"/>
          <w:lang w:eastAsia="zh-CN"/>
        </w:rPr>
        <w:t>http：//www.cdc.gov/hicpac/pdf/guidelines/disinfection_nov_2008.pdf</w:t>
      </w:r>
      <w:r>
        <w:rPr>
          <w:rFonts w:ascii="Arial" w:hAnsi="Arial" w:eastAsia="宋体" w:cs="Arial"/>
          <w:sz w:val="24"/>
          <w:lang w:eastAsia="zh-CN"/>
        </w:rPr>
        <w:t>）。</w:t>
      </w:r>
    </w:p>
    <w:p w14:paraId="41624A84">
      <w:pPr>
        <w:pStyle w:val="17"/>
        <w:tabs>
          <w:tab w:val="left" w:pos="1160"/>
        </w:tabs>
        <w:snapToGrid w:val="0"/>
        <w:spacing w:line="300" w:lineRule="auto"/>
        <w:ind w:left="1160"/>
        <w:jc w:val="both"/>
        <w:rPr>
          <w:rFonts w:ascii="Arial" w:hAnsi="Arial" w:eastAsia="宋体" w:cs="Arial"/>
          <w:sz w:val="24"/>
          <w:lang w:eastAsia="zh-CN"/>
        </w:rPr>
      </w:pPr>
      <w:r>
        <w:rPr>
          <w:rFonts w:ascii="Arial" w:hAnsi="Arial" w:eastAsia="宋体" w:cs="Arial"/>
          <w:sz w:val="24"/>
          <w:lang w:eastAsia="zh-CN"/>
        </w:rPr>
        <w:t>然而，临床实践指南并不总是顾及或正确进行FDA的所有法规要求。例如，一些专业组织可能会建议以不一定符合FDA法规的方式使用消毒剂。需要遵守FDA法规。</w:t>
      </w:r>
    </w:p>
    <w:p w14:paraId="3BD00D8A">
      <w:pPr>
        <w:snapToGrid w:val="0"/>
        <w:spacing w:before="6" w:line="300" w:lineRule="auto"/>
        <w:jc w:val="both"/>
        <w:rPr>
          <w:rFonts w:ascii="Arial" w:hAnsi="Arial" w:eastAsia="宋体" w:cs="Arial"/>
          <w:sz w:val="24"/>
          <w:szCs w:val="24"/>
          <w:lang w:eastAsia="zh-CN"/>
        </w:rPr>
      </w:pPr>
    </w:p>
    <w:p w14:paraId="22BE684E">
      <w:pPr>
        <w:pStyle w:val="4"/>
        <w:numPr>
          <w:ilvl w:val="0"/>
          <w:numId w:val="4"/>
        </w:numPr>
        <w:tabs>
          <w:tab w:val="left" w:pos="1160"/>
        </w:tabs>
        <w:snapToGrid w:val="0"/>
        <w:spacing w:line="300" w:lineRule="auto"/>
        <w:jc w:val="both"/>
        <w:rPr>
          <w:rFonts w:ascii="Arial" w:hAnsi="Arial" w:eastAsia="宋体" w:cs="Arial"/>
          <w:b w:val="0"/>
          <w:bCs w:val="0"/>
          <w:lang w:eastAsia="zh-CN"/>
        </w:rPr>
      </w:pPr>
      <w:bookmarkStart w:id="25" w:name="_Toc481569196"/>
      <w:r>
        <w:rPr>
          <w:rFonts w:ascii="Arial" w:hAnsi="Arial" w:eastAsia="宋体" w:cs="Arial"/>
          <w:lang w:eastAsia="zh-CN"/>
        </w:rPr>
        <w:t>制定再加工说明的人为因素</w:t>
      </w:r>
      <w:bookmarkEnd w:id="25"/>
    </w:p>
    <w:p w14:paraId="5D9F9FA9">
      <w:pPr>
        <w:snapToGrid w:val="0"/>
        <w:spacing w:before="5" w:line="300" w:lineRule="auto"/>
        <w:jc w:val="both"/>
        <w:rPr>
          <w:rFonts w:ascii="Arial" w:hAnsi="Arial" w:eastAsia="宋体" w:cs="Arial"/>
          <w:b/>
          <w:bCs/>
          <w:sz w:val="23"/>
          <w:szCs w:val="23"/>
          <w:lang w:eastAsia="zh-CN"/>
        </w:rPr>
      </w:pPr>
    </w:p>
    <w:p w14:paraId="5B1E59F0">
      <w:pPr>
        <w:pStyle w:val="6"/>
        <w:snapToGrid w:val="0"/>
        <w:spacing w:line="300" w:lineRule="auto"/>
        <w:ind w:left="440"/>
        <w:jc w:val="both"/>
        <w:rPr>
          <w:rFonts w:ascii="Arial" w:hAnsi="Arial" w:eastAsia="宋体" w:cs="Arial"/>
          <w:lang w:eastAsia="zh-CN"/>
        </w:rPr>
      </w:pPr>
      <w:r>
        <w:rPr>
          <w:rFonts w:ascii="Arial" w:hAnsi="Arial" w:eastAsia="宋体" w:cs="Arial"/>
          <w:lang w:eastAsia="zh-CN"/>
        </w:rPr>
        <w:t>在制定贵公司的再加工说明时，贵公司应考虑以下有关人为因素的建议：</w:t>
      </w:r>
    </w:p>
    <w:p w14:paraId="5D4127DD">
      <w:pPr>
        <w:snapToGrid w:val="0"/>
        <w:spacing w:line="300" w:lineRule="auto"/>
        <w:jc w:val="both"/>
        <w:rPr>
          <w:rFonts w:ascii="Arial" w:hAnsi="Arial" w:eastAsia="宋体" w:cs="Arial"/>
          <w:sz w:val="24"/>
          <w:szCs w:val="24"/>
          <w:lang w:eastAsia="zh-CN"/>
        </w:rPr>
      </w:pPr>
    </w:p>
    <w:p w14:paraId="32C09750">
      <w:pPr>
        <w:pStyle w:val="17"/>
        <w:numPr>
          <w:ilvl w:val="1"/>
          <w:numId w:val="4"/>
        </w:numPr>
        <w:tabs>
          <w:tab w:val="left" w:pos="116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我们建议贵公司在每个产品系列中制定一致的再加工说明。提供一致的方法和术语，并为某一类型的所有器械使用相同文件格式的标签可能有助于提高用户的理解和对说明的依从性。</w:t>
      </w:r>
    </w:p>
    <w:p w14:paraId="2D0B9702">
      <w:pPr>
        <w:pStyle w:val="17"/>
        <w:numPr>
          <w:ilvl w:val="1"/>
          <w:numId w:val="4"/>
        </w:numPr>
        <w:tabs>
          <w:tab w:val="left" w:pos="116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贵公司应解决已知存在于再加工器械或类似器械中的任何已知的上市后人为因素问题。人为因素问题的示例包括但不限于需要实质灵活性或力度、良好视力或熟悉罕见惯例的行为。贵公司可以通过审查贵公司内部用户投诉文件、已发表的文献、FDA的医疗器械报告（MDR）系统和FDA安全警报和公共健康通知，来找到关于上市后问题的信息。我们建议贵公司参考以下来源以获取关于人为因素的更多信息：</w:t>
      </w:r>
    </w:p>
    <w:p w14:paraId="0B7DFEC1">
      <w:pPr>
        <w:pStyle w:val="17"/>
        <w:numPr>
          <w:ilvl w:val="2"/>
          <w:numId w:val="4"/>
        </w:numPr>
        <w:tabs>
          <w:tab w:val="left" w:pos="1520"/>
        </w:tabs>
        <w:snapToGrid w:val="0"/>
        <w:spacing w:line="300" w:lineRule="auto"/>
        <w:rPr>
          <w:rFonts w:ascii="Arial" w:hAnsi="Arial" w:eastAsia="宋体" w:cs="Arial"/>
          <w:sz w:val="24"/>
          <w:szCs w:val="24"/>
        </w:rPr>
      </w:pPr>
      <w:r>
        <w:rPr>
          <w:rFonts w:ascii="Arial" w:hAnsi="Arial" w:eastAsia="宋体" w:cs="Arial"/>
          <w:sz w:val="24"/>
          <w:szCs w:val="24"/>
        </w:rPr>
        <w:t>FDA指南“医疗器械使用安全：将人为因素纳入风险管理”（</w:t>
      </w:r>
      <w:r>
        <w:rPr>
          <w:rFonts w:ascii="Arial" w:hAnsi="Arial" w:eastAsia="宋体" w:cs="Arial"/>
          <w:color w:val="0000FF"/>
          <w:sz w:val="24"/>
          <w:szCs w:val="24"/>
          <w:u w:val="single"/>
        </w:rPr>
        <w:t>http：//www.fda.gov/downloads/MedicalDevices/DeviceRegulationandGuidan ce/GuidanceDocuments/ucm259760.pdf</w:t>
      </w:r>
      <w:r>
        <w:rPr>
          <w:rFonts w:ascii="Arial" w:hAnsi="Arial" w:eastAsia="宋体" w:cs="Arial"/>
          <w:sz w:val="24"/>
          <w:szCs w:val="24"/>
        </w:rPr>
        <w:t>）。</w:t>
      </w:r>
    </w:p>
    <w:p w14:paraId="27E6716B">
      <w:pPr>
        <w:pStyle w:val="17"/>
        <w:numPr>
          <w:ilvl w:val="2"/>
          <w:numId w:val="4"/>
        </w:numPr>
        <w:tabs>
          <w:tab w:val="left" w:pos="1520"/>
        </w:tabs>
        <w:snapToGrid w:val="0"/>
        <w:spacing w:line="300" w:lineRule="auto"/>
        <w:rPr>
          <w:rFonts w:ascii="Arial" w:hAnsi="Arial" w:eastAsia="宋体" w:cs="Arial"/>
          <w:sz w:val="24"/>
          <w:szCs w:val="24"/>
        </w:rPr>
      </w:pPr>
      <w:r>
        <w:rPr>
          <w:rFonts w:ascii="Arial" w:hAnsi="Arial" w:eastAsia="宋体" w:cs="Arial"/>
          <w:sz w:val="24"/>
          <w:szCs w:val="24"/>
        </w:rPr>
        <w:t>FDA指南“医疗器械标签的人为因素原则”（</w:t>
      </w:r>
      <w:r>
        <w:rPr>
          <w:rFonts w:ascii="Arial" w:hAnsi="Arial" w:eastAsia="宋体" w:cs="Arial"/>
          <w:color w:val="0000FF"/>
          <w:sz w:val="24"/>
          <w:szCs w:val="24"/>
          <w:u w:val="single"/>
        </w:rPr>
        <w:t>http：//www.fda.gov/downloads/MedicalDevices/DeviceRegulationandGuidan ce/GuidanceDocuments/UCM095300.pdf</w:t>
      </w:r>
      <w:r>
        <w:rPr>
          <w:rFonts w:ascii="Arial" w:hAnsi="Arial" w:eastAsia="宋体" w:cs="Arial"/>
          <w:sz w:val="24"/>
          <w:szCs w:val="24"/>
        </w:rPr>
        <w:t>）。</w:t>
      </w:r>
    </w:p>
    <w:p w14:paraId="37C1177D">
      <w:pPr>
        <w:pStyle w:val="17"/>
        <w:numPr>
          <w:ilvl w:val="2"/>
          <w:numId w:val="4"/>
        </w:numPr>
        <w:tabs>
          <w:tab w:val="left" w:pos="1520"/>
        </w:tabs>
        <w:snapToGrid w:val="0"/>
        <w:spacing w:line="300" w:lineRule="auto"/>
        <w:rPr>
          <w:rFonts w:ascii="Arial" w:hAnsi="Arial" w:eastAsia="宋体" w:cs="Arial"/>
          <w:sz w:val="24"/>
          <w:szCs w:val="24"/>
          <w:lang w:eastAsia="zh-CN"/>
        </w:rPr>
      </w:pPr>
      <w:r>
        <w:rPr>
          <w:rFonts w:ascii="Arial" w:hAnsi="Arial" w:eastAsia="宋体" w:cs="Arial"/>
          <w:sz w:val="24"/>
          <w:szCs w:val="24"/>
          <w:lang w:eastAsia="zh-CN"/>
        </w:rPr>
        <w:t>目前FDA认可的IEC标准62366版本，“</w:t>
      </w:r>
      <w:r>
        <w:rPr>
          <w:rFonts w:ascii="Arial" w:hAnsi="Arial" w:eastAsia="宋体" w:cs="Arial"/>
          <w:color w:val="0000FF"/>
          <w:sz w:val="24"/>
          <w:szCs w:val="24"/>
          <w:lang w:eastAsia="zh-CN"/>
        </w:rPr>
        <w:t>医疗器械-应用可用性工程优化医疗器械设计</w:t>
      </w:r>
      <w:r>
        <w:rPr>
          <w:rFonts w:ascii="Arial" w:hAnsi="Arial" w:eastAsia="宋体" w:cs="Arial"/>
          <w:sz w:val="24"/>
          <w:szCs w:val="24"/>
          <w:lang w:eastAsia="zh-CN"/>
        </w:rPr>
        <w:t>”。</w:t>
      </w:r>
    </w:p>
    <w:p w14:paraId="1AF7A1B3">
      <w:pPr>
        <w:pStyle w:val="17"/>
        <w:numPr>
          <w:ilvl w:val="2"/>
          <w:numId w:val="4"/>
        </w:numPr>
        <w:tabs>
          <w:tab w:val="left" w:pos="1520"/>
        </w:tabs>
        <w:snapToGrid w:val="0"/>
        <w:spacing w:line="300" w:lineRule="auto"/>
        <w:rPr>
          <w:rFonts w:ascii="Arial" w:hAnsi="Arial" w:eastAsia="宋体" w:cs="Arial"/>
          <w:sz w:val="24"/>
          <w:szCs w:val="24"/>
          <w:lang w:eastAsia="zh-CN"/>
        </w:rPr>
      </w:pPr>
      <w:r>
        <w:rPr>
          <w:rFonts w:ascii="Arial" w:hAnsi="Arial" w:eastAsia="宋体" w:cs="Arial"/>
          <w:sz w:val="24"/>
          <w:szCs w:val="24"/>
          <w:lang w:eastAsia="zh-CN"/>
        </w:rPr>
        <w:t>目前FDA认可的ANSI/AAMI HE75版本，“</w:t>
      </w:r>
      <w:r>
        <w:rPr>
          <w:rFonts w:ascii="Arial" w:hAnsi="Arial" w:eastAsia="宋体" w:cs="Arial"/>
          <w:color w:val="0000FF"/>
          <w:sz w:val="24"/>
          <w:szCs w:val="24"/>
          <w:u w:val="single"/>
          <w:lang w:eastAsia="zh-CN"/>
        </w:rPr>
        <w:t>人为因素工程-医疗器械设计</w:t>
      </w:r>
      <w:r>
        <w:rPr>
          <w:rFonts w:ascii="Arial" w:hAnsi="Arial" w:eastAsia="宋体" w:cs="Arial"/>
          <w:sz w:val="24"/>
          <w:szCs w:val="24"/>
          <w:lang w:eastAsia="zh-CN"/>
        </w:rPr>
        <w:t>”。</w:t>
      </w:r>
    </w:p>
    <w:p w14:paraId="06859AD8">
      <w:pPr>
        <w:pStyle w:val="17"/>
        <w:numPr>
          <w:ilvl w:val="1"/>
          <w:numId w:val="4"/>
        </w:numPr>
        <w:tabs>
          <w:tab w:val="left" w:pos="1160"/>
        </w:tabs>
        <w:snapToGrid w:val="0"/>
        <w:spacing w:line="300" w:lineRule="auto"/>
        <w:jc w:val="both"/>
        <w:rPr>
          <w:rFonts w:ascii="Arial" w:hAnsi="Arial" w:eastAsia="宋体" w:cs="Arial"/>
          <w:sz w:val="20"/>
          <w:szCs w:val="20"/>
          <w:lang w:eastAsia="zh-CN"/>
        </w:rPr>
      </w:pPr>
      <w:r>
        <w:rPr>
          <w:rFonts w:ascii="Arial" w:hAnsi="Arial" w:eastAsia="宋体" w:cs="Arial"/>
          <w:sz w:val="24"/>
          <w:lang w:eastAsia="zh-CN"/>
        </w:rPr>
        <w:t>对于受限于21 CFR 820.30中的设计控制的器械，贵公司应确认贵公司的再加工说明，以确保用户能够成功地了解并遵守此类说明。FDA建议考虑以下几点：</w:t>
      </w:r>
    </w:p>
    <w:p w14:paraId="308658CC">
      <w:pPr>
        <w:rPr>
          <w:rFonts w:ascii="Arial" w:hAnsi="Arial" w:eastAsia="宋体" w:cs="Arial"/>
          <w:sz w:val="24"/>
          <w:lang w:eastAsia="zh-CN"/>
        </w:rPr>
      </w:pPr>
      <w:bookmarkStart w:id="26" w:name="Criterion_1._Labeling_should_reflect_the"/>
      <w:bookmarkEnd w:id="26"/>
      <w:bookmarkStart w:id="27" w:name="VI._FDA’s_Six_Criteria_for_Reprocessing_"/>
      <w:bookmarkEnd w:id="27"/>
      <w:r>
        <w:rPr>
          <w:rFonts w:ascii="Arial" w:hAnsi="Arial" w:eastAsia="宋体" w:cs="Arial"/>
          <w:sz w:val="24"/>
          <w:lang w:eastAsia="zh-CN"/>
        </w:rPr>
        <w:br w:type="page"/>
      </w:r>
    </w:p>
    <w:p w14:paraId="63D86CC2">
      <w:pPr>
        <w:pStyle w:val="17"/>
        <w:numPr>
          <w:ilvl w:val="2"/>
          <w:numId w:val="4"/>
        </w:numPr>
        <w:tabs>
          <w:tab w:val="left" w:pos="1900"/>
        </w:tabs>
        <w:snapToGrid w:val="0"/>
        <w:spacing w:line="300" w:lineRule="auto"/>
        <w:ind w:left="1900"/>
        <w:jc w:val="both"/>
        <w:rPr>
          <w:rFonts w:ascii="Arial" w:hAnsi="Arial" w:eastAsia="宋体" w:cs="Arial"/>
          <w:sz w:val="24"/>
          <w:lang w:eastAsia="zh-CN"/>
        </w:rPr>
      </w:pPr>
      <w:r>
        <w:rPr>
          <w:rFonts w:ascii="Arial" w:hAnsi="Arial" w:eastAsia="宋体" w:cs="Arial"/>
          <w:sz w:val="24"/>
          <w:lang w:eastAsia="zh-CN"/>
        </w:rPr>
        <w:t>贵公司的确认研究参与者应代表执行这些实际再加工程序的专业人员。如果用户将佩戴个人防护设备（如护目镜、全长防护面罩、重型实用手套或袖子防液套），则确认研究参与者也应佩戴这些设备。</w:t>
      </w:r>
    </w:p>
    <w:p w14:paraId="525E4620">
      <w:pPr>
        <w:pStyle w:val="17"/>
        <w:numPr>
          <w:ilvl w:val="2"/>
          <w:numId w:val="4"/>
        </w:numPr>
        <w:tabs>
          <w:tab w:val="left" w:pos="1900"/>
        </w:tabs>
        <w:snapToGrid w:val="0"/>
        <w:spacing w:line="300" w:lineRule="auto"/>
        <w:ind w:left="1900"/>
        <w:jc w:val="both"/>
        <w:rPr>
          <w:rFonts w:ascii="Arial" w:hAnsi="Arial" w:eastAsia="宋体" w:cs="Arial"/>
          <w:sz w:val="24"/>
          <w:lang w:eastAsia="zh-CN"/>
        </w:rPr>
      </w:pPr>
      <w:r>
        <w:rPr>
          <w:rFonts w:ascii="Arial" w:hAnsi="Arial" w:eastAsia="宋体" w:cs="Arial"/>
          <w:sz w:val="24"/>
          <w:lang w:eastAsia="zh-CN"/>
        </w:rPr>
        <w:t>参与者可以使用说明来执行实际或模拟的再加工过程，或者口头说明阅读说明时他们应做些什么。</w:t>
      </w:r>
    </w:p>
    <w:p w14:paraId="334B69B8">
      <w:pPr>
        <w:pStyle w:val="17"/>
        <w:numPr>
          <w:ilvl w:val="2"/>
          <w:numId w:val="4"/>
        </w:numPr>
        <w:tabs>
          <w:tab w:val="left" w:pos="1900"/>
        </w:tabs>
        <w:snapToGrid w:val="0"/>
        <w:spacing w:line="300" w:lineRule="auto"/>
        <w:ind w:left="1900"/>
        <w:jc w:val="both"/>
        <w:rPr>
          <w:rFonts w:ascii="Arial" w:hAnsi="Arial" w:eastAsia="宋体" w:cs="Arial"/>
          <w:sz w:val="24"/>
          <w:lang w:eastAsia="zh-CN"/>
        </w:rPr>
      </w:pPr>
      <w:r>
        <w:rPr>
          <w:rFonts w:ascii="Arial" w:hAnsi="Arial" w:eastAsia="宋体" w:cs="Arial"/>
          <w:sz w:val="24"/>
          <w:lang w:eastAsia="zh-CN"/>
        </w:rPr>
        <w:t>如果使用环境的属性可能会影响使用说明和器械再加工，则应在研究中表示。</w:t>
      </w:r>
    </w:p>
    <w:p w14:paraId="1B65B2BA">
      <w:pPr>
        <w:pStyle w:val="17"/>
        <w:numPr>
          <w:ilvl w:val="2"/>
          <w:numId w:val="4"/>
        </w:numPr>
        <w:tabs>
          <w:tab w:val="left" w:pos="1900"/>
        </w:tabs>
        <w:snapToGrid w:val="0"/>
        <w:spacing w:line="300" w:lineRule="auto"/>
        <w:ind w:left="1900"/>
        <w:jc w:val="both"/>
        <w:rPr>
          <w:rFonts w:ascii="Arial" w:hAnsi="Arial" w:eastAsia="宋体" w:cs="Arial"/>
          <w:sz w:val="24"/>
          <w:szCs w:val="24"/>
          <w:lang w:eastAsia="zh-CN"/>
        </w:rPr>
      </w:pPr>
      <w:r>
        <w:rPr>
          <w:rFonts w:ascii="Arial" w:hAnsi="Arial" w:eastAsia="宋体" w:cs="Arial"/>
          <w:sz w:val="24"/>
          <w:szCs w:val="24"/>
          <w:lang w:eastAsia="zh-CN"/>
        </w:rPr>
        <w:t>在试验期间观察和记录参与者的行为将允许贵公司评估参与者是否遵守说明并确定以及了解所发生的任何错误或问题的性质。</w:t>
      </w:r>
    </w:p>
    <w:p w14:paraId="079AF793">
      <w:pPr>
        <w:pStyle w:val="17"/>
        <w:numPr>
          <w:ilvl w:val="2"/>
          <w:numId w:val="4"/>
        </w:numPr>
        <w:tabs>
          <w:tab w:val="left" w:pos="1900"/>
        </w:tabs>
        <w:snapToGrid w:val="0"/>
        <w:spacing w:line="300" w:lineRule="auto"/>
        <w:ind w:left="1900"/>
        <w:jc w:val="both"/>
        <w:rPr>
          <w:rFonts w:ascii="Arial" w:hAnsi="Arial" w:eastAsia="宋体" w:cs="Arial"/>
          <w:sz w:val="24"/>
          <w:szCs w:val="24"/>
          <w:lang w:eastAsia="zh-CN"/>
        </w:rPr>
      </w:pPr>
      <w:r>
        <w:rPr>
          <w:rFonts w:ascii="Arial" w:hAnsi="Arial" w:eastAsia="宋体" w:cs="Arial"/>
          <w:sz w:val="24"/>
          <w:szCs w:val="24"/>
          <w:lang w:eastAsia="zh-CN"/>
        </w:rPr>
        <w:t>在独立使用说明后，贵公司应询问参与者是否难以进行再加工，并允许其说明其经验。贵公司应具体询问所观察到的任何错误、问题或疑问。参与者应对说明中其认为混淆、误导或不完整的任何措辞提供主观反馈。参与者的回复和意见应记录在案。如果贵公司在对其进行测试后对说明进行了重大更改，则应确认更改是否可成功消除或减少先前确定的问题。</w:t>
      </w:r>
    </w:p>
    <w:p w14:paraId="2331C79B">
      <w:pPr>
        <w:snapToGrid w:val="0"/>
        <w:spacing w:before="6" w:line="300" w:lineRule="auto"/>
        <w:jc w:val="both"/>
        <w:rPr>
          <w:rFonts w:ascii="Arial" w:hAnsi="Arial" w:eastAsia="宋体" w:cs="Arial"/>
          <w:sz w:val="24"/>
          <w:szCs w:val="24"/>
          <w:lang w:eastAsia="zh-CN"/>
        </w:rPr>
      </w:pPr>
    </w:p>
    <w:p w14:paraId="161768D2">
      <w:pPr>
        <w:pStyle w:val="3"/>
        <w:numPr>
          <w:ilvl w:val="0"/>
          <w:numId w:val="1"/>
        </w:numPr>
        <w:tabs>
          <w:tab w:val="left" w:pos="820"/>
        </w:tabs>
        <w:snapToGrid w:val="0"/>
        <w:spacing w:line="300" w:lineRule="auto"/>
        <w:ind w:left="720"/>
        <w:jc w:val="both"/>
        <w:rPr>
          <w:rFonts w:ascii="Arial" w:hAnsi="Arial" w:eastAsia="宋体" w:cs="Arial"/>
          <w:b w:val="0"/>
          <w:bCs w:val="0"/>
          <w:lang w:eastAsia="zh-CN"/>
        </w:rPr>
      </w:pPr>
      <w:bookmarkStart w:id="28" w:name="_Toc481569197"/>
      <w:r>
        <w:rPr>
          <w:rFonts w:ascii="Arial" w:hAnsi="Arial" w:eastAsia="宋体" w:cs="Arial"/>
          <w:lang w:eastAsia="zh-CN"/>
        </w:rPr>
        <w:t>再加工说明的FDA六项标准</w:t>
      </w:r>
      <w:bookmarkEnd w:id="28"/>
    </w:p>
    <w:p w14:paraId="67F34729">
      <w:pPr>
        <w:pStyle w:val="6"/>
        <w:snapToGrid w:val="0"/>
        <w:spacing w:before="269" w:line="300" w:lineRule="auto"/>
        <w:ind w:left="0"/>
        <w:jc w:val="both"/>
        <w:rPr>
          <w:rFonts w:ascii="Arial" w:hAnsi="Arial" w:eastAsia="宋体" w:cs="Arial"/>
          <w:lang w:eastAsia="zh-CN"/>
        </w:rPr>
      </w:pPr>
      <w:r>
        <w:rPr>
          <w:rFonts w:ascii="Arial" w:hAnsi="Arial" w:eastAsia="宋体" w:cs="Arial"/>
          <w:lang w:eastAsia="zh-CN"/>
        </w:rPr>
        <w:t>贵公司的标签应设计以下六个标准，以使再加工说明清晰明了，这将确保用户了解并正确遵循再加工说明。</w:t>
      </w:r>
    </w:p>
    <w:p w14:paraId="43CDA85F">
      <w:pPr>
        <w:snapToGrid w:val="0"/>
        <w:spacing w:before="6" w:line="300" w:lineRule="auto"/>
        <w:jc w:val="both"/>
        <w:rPr>
          <w:rFonts w:ascii="Arial" w:hAnsi="Arial" w:eastAsia="宋体" w:cs="Arial"/>
          <w:sz w:val="28"/>
          <w:szCs w:val="28"/>
          <w:lang w:eastAsia="zh-CN"/>
        </w:rPr>
      </w:pPr>
    </w:p>
    <w:p w14:paraId="197B059E">
      <w:pPr>
        <w:pStyle w:val="4"/>
        <w:snapToGrid w:val="0"/>
        <w:spacing w:line="300" w:lineRule="auto"/>
        <w:ind w:left="820" w:firstLine="0"/>
        <w:jc w:val="both"/>
        <w:rPr>
          <w:rFonts w:ascii="Arial" w:hAnsi="Arial" w:eastAsia="宋体" w:cs="Arial"/>
          <w:b w:val="0"/>
          <w:bCs w:val="0"/>
          <w:lang w:eastAsia="zh-CN"/>
        </w:rPr>
      </w:pPr>
      <w:bookmarkStart w:id="29" w:name="_Toc481569198"/>
      <w:r>
        <w:rPr>
          <w:rFonts w:ascii="Arial" w:hAnsi="Arial" w:eastAsia="宋体" w:cs="Arial"/>
          <w:lang w:eastAsia="zh-CN"/>
        </w:rPr>
        <w:t>标准1.标签应反映器械的预期用途。</w:t>
      </w:r>
      <w:bookmarkEnd w:id="29"/>
    </w:p>
    <w:p w14:paraId="466D7B35">
      <w:pPr>
        <w:snapToGrid w:val="0"/>
        <w:spacing w:before="8" w:line="300" w:lineRule="auto"/>
        <w:jc w:val="both"/>
        <w:rPr>
          <w:rFonts w:ascii="Arial" w:hAnsi="Arial" w:eastAsia="宋体" w:cs="Arial"/>
          <w:b/>
          <w:bCs/>
          <w:sz w:val="23"/>
          <w:szCs w:val="23"/>
          <w:lang w:eastAsia="zh-CN"/>
        </w:rPr>
      </w:pPr>
    </w:p>
    <w:p w14:paraId="07D7165E">
      <w:pPr>
        <w:pStyle w:val="6"/>
        <w:snapToGrid w:val="0"/>
        <w:spacing w:line="300" w:lineRule="auto"/>
        <w:ind w:left="820"/>
        <w:jc w:val="both"/>
        <w:rPr>
          <w:rFonts w:ascii="Arial" w:hAnsi="Arial" w:eastAsia="宋体" w:cs="Arial"/>
          <w:lang w:eastAsia="zh-CN"/>
        </w:rPr>
      </w:pPr>
      <w:r>
        <w:rPr>
          <w:rFonts w:ascii="Arial" w:hAnsi="Arial" w:eastAsia="宋体" w:cs="Arial"/>
          <w:lang w:eastAsia="zh-CN"/>
        </w:rPr>
        <w:t>贵公司的标签应提供反映器械的物理设计、其预期用途以及器械在临床使用期间将遭受的污染和污染的再加工方法的说明。适当的再加工说明取决于器械是否：</w:t>
      </w:r>
    </w:p>
    <w:p w14:paraId="1969CCC3">
      <w:pPr>
        <w:pStyle w:val="17"/>
        <w:numPr>
          <w:ilvl w:val="0"/>
          <w:numId w:val="6"/>
        </w:numPr>
        <w:tabs>
          <w:tab w:val="left" w:pos="1540"/>
        </w:tabs>
        <w:snapToGrid w:val="0"/>
        <w:spacing w:line="300" w:lineRule="auto"/>
        <w:jc w:val="both"/>
        <w:rPr>
          <w:rFonts w:ascii="Arial" w:hAnsi="Arial" w:eastAsia="宋体" w:cs="Arial"/>
          <w:sz w:val="24"/>
          <w:szCs w:val="24"/>
        </w:rPr>
      </w:pPr>
      <w:r>
        <w:rPr>
          <w:rFonts w:ascii="Arial" w:hAnsi="Arial" w:eastAsia="宋体" w:cs="Arial"/>
          <w:sz w:val="24"/>
          <w:szCs w:val="24"/>
        </w:rPr>
        <w:t>仅接触完整皮肤；</w:t>
      </w:r>
    </w:p>
    <w:p w14:paraId="767D6C59">
      <w:pPr>
        <w:pStyle w:val="17"/>
        <w:numPr>
          <w:ilvl w:val="0"/>
          <w:numId w:val="6"/>
        </w:numPr>
        <w:tabs>
          <w:tab w:val="left" w:pos="1540"/>
        </w:tabs>
        <w:snapToGrid w:val="0"/>
        <w:spacing w:line="300" w:lineRule="auto"/>
        <w:jc w:val="both"/>
        <w:rPr>
          <w:rFonts w:ascii="Arial" w:hAnsi="Arial" w:eastAsia="宋体" w:cs="Arial"/>
          <w:sz w:val="24"/>
          <w:szCs w:val="24"/>
        </w:rPr>
      </w:pPr>
      <w:r>
        <w:rPr>
          <w:rFonts w:ascii="Arial" w:hAnsi="Arial" w:eastAsia="宋体" w:cs="Arial"/>
          <w:sz w:val="24"/>
          <w:szCs w:val="24"/>
        </w:rPr>
        <w:t>接触完整的粘膜表面；</w:t>
      </w:r>
    </w:p>
    <w:p w14:paraId="7064A445">
      <w:pPr>
        <w:pStyle w:val="17"/>
        <w:numPr>
          <w:ilvl w:val="0"/>
          <w:numId w:val="6"/>
        </w:numPr>
        <w:tabs>
          <w:tab w:val="left" w:pos="154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通常接触无菌组织、血液或体液，如脑脊液，腹膜液，房水等；</w:t>
      </w:r>
    </w:p>
    <w:p w14:paraId="0AD8495B">
      <w:pPr>
        <w:pStyle w:val="17"/>
        <w:numPr>
          <w:ilvl w:val="0"/>
          <w:numId w:val="6"/>
        </w:numPr>
        <w:tabs>
          <w:tab w:val="left" w:pos="154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尽管不与患者直接接触，但是由于接近患者身体，</w:t>
      </w:r>
      <w:r>
        <w:rPr>
          <w:rFonts w:ascii="Arial" w:hAnsi="Arial" w:eastAsia="宋体" w:cs="Arial"/>
          <w:lang w:eastAsia="zh-CN"/>
        </w:rPr>
        <w:t>将遭受</w:t>
      </w:r>
      <w:r>
        <w:rPr>
          <w:rFonts w:ascii="Arial" w:hAnsi="Arial" w:eastAsia="宋体" w:cs="Arial"/>
          <w:sz w:val="24"/>
          <w:szCs w:val="24"/>
          <w:lang w:eastAsia="zh-CN"/>
        </w:rPr>
        <w:t>体液或血液的飞溅或溅射；</w:t>
      </w:r>
    </w:p>
    <w:p w14:paraId="4F054645">
      <w:pPr>
        <w:pStyle w:val="17"/>
        <w:numPr>
          <w:ilvl w:val="0"/>
          <w:numId w:val="6"/>
        </w:numPr>
        <w:tabs>
          <w:tab w:val="left" w:pos="154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使用过程中，</w:t>
      </w:r>
      <w:r>
        <w:rPr>
          <w:rFonts w:ascii="Arial" w:hAnsi="Arial" w:eastAsia="宋体" w:cs="Arial"/>
          <w:lang w:eastAsia="zh-CN"/>
        </w:rPr>
        <w:t>将遭受源自与</w:t>
      </w:r>
      <w:r>
        <w:rPr>
          <w:rFonts w:ascii="Arial" w:hAnsi="Arial" w:eastAsia="宋体" w:cs="Arial"/>
          <w:sz w:val="24"/>
          <w:szCs w:val="24"/>
          <w:lang w:eastAsia="zh-CN"/>
        </w:rPr>
        <w:t>患者护理人员或患者的脏手接触的污染；（请注意，未洗涤和戴手套的手都可以将有机污物以及微生物携带到其接触的表面）；</w:t>
      </w:r>
    </w:p>
    <w:p w14:paraId="567870A8">
      <w:pPr>
        <w:pStyle w:val="17"/>
        <w:numPr>
          <w:ilvl w:val="0"/>
          <w:numId w:val="6"/>
        </w:numPr>
        <w:tabs>
          <w:tab w:val="left" w:pos="1540"/>
        </w:tabs>
        <w:snapToGrid w:val="0"/>
        <w:spacing w:line="300" w:lineRule="auto"/>
        <w:jc w:val="both"/>
        <w:rPr>
          <w:rFonts w:ascii="Arial" w:hAnsi="Arial" w:eastAsia="宋体" w:cs="Arial"/>
          <w:sz w:val="24"/>
          <w:szCs w:val="24"/>
          <w:lang w:eastAsia="zh-CN"/>
        </w:rPr>
      </w:pPr>
      <w:r>
        <w:rPr>
          <w:rFonts w:ascii="Arial" w:hAnsi="Arial" w:eastAsia="宋体" w:cs="Arial"/>
          <w:lang w:eastAsia="zh-CN"/>
        </w:rPr>
        <w:t>将遭受因</w:t>
      </w:r>
      <w:r>
        <w:rPr>
          <w:rFonts w:ascii="Arial" w:hAnsi="Arial" w:eastAsia="宋体" w:cs="Arial"/>
          <w:sz w:val="24"/>
          <w:szCs w:val="24"/>
          <w:lang w:eastAsia="zh-CN"/>
        </w:rPr>
        <w:t>意外或意外事件（例如患者出血、失禁、呕吐、滴漏敷料的伤口）而产生的污染；如果冲洗不足，</w:t>
      </w:r>
      <w:r>
        <w:rPr>
          <w:rFonts w:ascii="Arial" w:hAnsi="Arial" w:eastAsia="宋体" w:cs="Arial"/>
          <w:lang w:eastAsia="zh-CN"/>
        </w:rPr>
        <w:t>将受</w:t>
      </w:r>
      <w:r>
        <w:rPr>
          <w:rFonts w:ascii="Arial" w:hAnsi="Arial" w:eastAsia="宋体" w:cs="Arial"/>
          <w:sz w:val="24"/>
          <w:szCs w:val="24"/>
          <w:lang w:eastAsia="zh-CN"/>
        </w:rPr>
        <w:t>使用可能留下有害残留物，或对器械材料或性能造成不利影响的消毒剂或其他化学品进行的再加工影响；或</w:t>
      </w:r>
    </w:p>
    <w:p w14:paraId="492D58EF">
      <w:pPr>
        <w:pStyle w:val="17"/>
        <w:numPr>
          <w:ilvl w:val="0"/>
          <w:numId w:val="6"/>
        </w:numPr>
        <w:tabs>
          <w:tab w:val="left" w:pos="154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给患者或用户带来特定或特有风险。</w:t>
      </w:r>
    </w:p>
    <w:p w14:paraId="68EF6CA7">
      <w:pPr>
        <w:pStyle w:val="4"/>
        <w:snapToGrid w:val="0"/>
        <w:spacing w:before="64" w:line="300" w:lineRule="auto"/>
        <w:ind w:left="0" w:firstLine="0"/>
        <w:rPr>
          <w:rFonts w:ascii="Arial" w:hAnsi="Arial" w:eastAsia="宋体" w:cs="Arial"/>
          <w:b w:val="0"/>
          <w:bCs w:val="0"/>
          <w:lang w:eastAsia="zh-CN"/>
        </w:rPr>
      </w:pPr>
      <w:bookmarkStart w:id="30" w:name="_Toc481569199"/>
      <w:r>
        <w:rPr>
          <w:rFonts w:ascii="Arial" w:hAnsi="Arial" w:eastAsia="宋体" w:cs="Arial"/>
          <w:lang w:eastAsia="zh-CN"/>
        </w:rPr>
        <w:t>标准2.可重复使用器械的再加工说明应建议用户彻底清洁器械。</w:t>
      </w:r>
      <w:bookmarkEnd w:id="30"/>
    </w:p>
    <w:p w14:paraId="356D5D4C">
      <w:pPr>
        <w:snapToGrid w:val="0"/>
        <w:spacing w:before="5" w:line="300" w:lineRule="auto"/>
        <w:jc w:val="both"/>
        <w:rPr>
          <w:rFonts w:ascii="Arial" w:hAnsi="Arial" w:eastAsia="宋体" w:cs="Arial"/>
          <w:b/>
          <w:bCs/>
          <w:sz w:val="23"/>
          <w:szCs w:val="23"/>
          <w:lang w:eastAsia="zh-CN"/>
        </w:rPr>
      </w:pPr>
    </w:p>
    <w:p w14:paraId="682ECDEF">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清洁是再加工的第一步，应在标签中进行说明以作为整个再加工说明的一部分。充分的灭菌或消毒取决于清洁的彻底性。给用户的说明应清楚传达进行彻底清洁的方法。清洁程序的详情将根据器械的复杂程度而变化。</w:t>
      </w:r>
    </w:p>
    <w:p w14:paraId="2DE68352">
      <w:pPr>
        <w:pStyle w:val="6"/>
        <w:snapToGrid w:val="0"/>
        <w:spacing w:line="300" w:lineRule="auto"/>
        <w:ind w:left="0"/>
        <w:jc w:val="both"/>
        <w:rPr>
          <w:rFonts w:ascii="Arial" w:hAnsi="Arial" w:eastAsia="宋体" w:cs="Arial"/>
          <w:lang w:eastAsia="zh-CN"/>
        </w:rPr>
      </w:pPr>
    </w:p>
    <w:p w14:paraId="33F7B9F5">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具有可能导致污物驻留的特征或具有使其难以清洁特征的器械可能需要拆卸，进行完全清洁，制造商可以在不拆卸的情况下确认有效清洁（即，应在拆卸的情况下以及未拆卸的情况下（用作对比）进行的污染器械仅的试验中获得数据）除外。对于此类器械，清洁说明中应提供适当拆卸的说明/图表（详见标准5.C）。</w:t>
      </w:r>
    </w:p>
    <w:p w14:paraId="6C196693">
      <w:pPr>
        <w:snapToGrid w:val="0"/>
        <w:spacing w:line="300" w:lineRule="auto"/>
        <w:jc w:val="both"/>
        <w:rPr>
          <w:rFonts w:ascii="Arial" w:hAnsi="Arial" w:eastAsia="宋体" w:cs="Arial"/>
          <w:sz w:val="24"/>
          <w:szCs w:val="24"/>
          <w:lang w:eastAsia="zh-CN"/>
        </w:rPr>
      </w:pPr>
    </w:p>
    <w:p w14:paraId="665989BF">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该器械的使用说明可以包括使用保护性护盖和护套来尝试减少在器械可重新使用之前所需的清洁程度（例如支气管镜）。如果贵公司建议使用保护性护盖，贵公司的标签应包括仅使用合法上市的防护罩的建议。但是，贵公司的器械清洁说明应假定最坏情况，其中，在未配备防护措施的情况下使用该器械，因为在使用过程中护盖的完好性可能会丧失。护盖完好性的未被注意的丧失可能造成一定的污染程度，其中，虽然难以对其进行观察，但是其会对下一个患者的健康构成风险，除非该器械进行适当再加工。</w:t>
      </w:r>
    </w:p>
    <w:p w14:paraId="74513319">
      <w:pPr>
        <w:snapToGrid w:val="0"/>
        <w:spacing w:line="300" w:lineRule="auto"/>
        <w:jc w:val="both"/>
        <w:rPr>
          <w:rFonts w:ascii="Arial" w:hAnsi="Arial" w:eastAsia="宋体" w:cs="Arial"/>
          <w:sz w:val="24"/>
          <w:szCs w:val="24"/>
          <w:lang w:eastAsia="zh-CN"/>
        </w:rPr>
      </w:pPr>
    </w:p>
    <w:p w14:paraId="375E4BA2">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可冲洗器械（例如内窥镜，腹腔镜仪器和具有冲洗口的其他器械）容易产生碎屑堆积，并应具有说明/图表，以确保清洁过程中的正确冲洗。在这些过程中，正确地冲洗器械对于从器械内部去除驻留的污物至关重要。冲洗说明/图表应提供有关如何正确冲洗器械、要使用的具体附件（包括用于冲洗口且尺寸适当的连接器）以及用于确保彻底和有效清洁器械的冲洗剂的类型和体积的信息。</w:t>
      </w:r>
    </w:p>
    <w:p w14:paraId="2C8C3A92">
      <w:pPr>
        <w:snapToGrid w:val="0"/>
        <w:spacing w:before="6" w:line="300" w:lineRule="auto"/>
        <w:jc w:val="both"/>
        <w:rPr>
          <w:rFonts w:ascii="Arial" w:hAnsi="Arial" w:eastAsia="宋体" w:cs="Arial"/>
          <w:sz w:val="24"/>
          <w:szCs w:val="24"/>
          <w:lang w:eastAsia="zh-CN"/>
        </w:rPr>
      </w:pPr>
    </w:p>
    <w:p w14:paraId="2CD63750">
      <w:pPr>
        <w:pStyle w:val="4"/>
        <w:snapToGrid w:val="0"/>
        <w:spacing w:line="300" w:lineRule="auto"/>
        <w:ind w:left="0" w:firstLine="0"/>
        <w:jc w:val="both"/>
        <w:rPr>
          <w:rFonts w:ascii="Arial" w:hAnsi="Arial" w:eastAsia="宋体" w:cs="Arial"/>
          <w:b w:val="0"/>
          <w:bCs w:val="0"/>
          <w:lang w:eastAsia="zh-CN"/>
        </w:rPr>
      </w:pPr>
      <w:bookmarkStart w:id="31" w:name="_Toc481569200"/>
      <w:r>
        <w:rPr>
          <w:rFonts w:ascii="Arial" w:hAnsi="Arial" w:eastAsia="宋体" w:cs="Arial"/>
          <w:lang w:eastAsia="zh-CN"/>
        </w:rPr>
        <w:t>标准3.再加工说明应指明该器械的适用灭菌方法。</w:t>
      </w:r>
      <w:bookmarkEnd w:id="31"/>
    </w:p>
    <w:p w14:paraId="4A687349">
      <w:pPr>
        <w:snapToGrid w:val="0"/>
        <w:spacing w:before="5" w:line="300" w:lineRule="auto"/>
        <w:jc w:val="both"/>
        <w:rPr>
          <w:rFonts w:ascii="Arial" w:hAnsi="Arial" w:eastAsia="宋体" w:cs="Arial"/>
          <w:b/>
          <w:bCs/>
          <w:sz w:val="23"/>
          <w:szCs w:val="23"/>
          <w:lang w:eastAsia="zh-CN"/>
        </w:rPr>
      </w:pPr>
    </w:p>
    <w:p w14:paraId="1DE5A4BD">
      <w:pPr>
        <w:pStyle w:val="6"/>
        <w:snapToGrid w:val="0"/>
        <w:spacing w:line="300" w:lineRule="auto"/>
        <w:ind w:left="0"/>
        <w:jc w:val="both"/>
        <w:rPr>
          <w:rFonts w:ascii="Arial" w:hAnsi="Arial" w:eastAsia="宋体" w:cs="Arial"/>
          <w:sz w:val="20"/>
          <w:szCs w:val="20"/>
          <w:lang w:eastAsia="zh-CN"/>
        </w:rPr>
      </w:pPr>
      <w:r>
        <w:rPr>
          <w:rFonts w:ascii="Arial" w:hAnsi="Arial" w:eastAsia="宋体" w:cs="Arial"/>
          <w:lang w:eastAsia="zh-CN"/>
        </w:rPr>
        <w:t>贵公司的说明应符合当前的感染控制原则。推荐的灭菌方法应为消毒或灭菌（高、中等或低水平），且这取决于器械的预期用途。</w:t>
      </w:r>
    </w:p>
    <w:p w14:paraId="5AA1F49F">
      <w:pPr>
        <w:snapToGrid w:val="0"/>
        <w:spacing w:line="300" w:lineRule="auto"/>
        <w:jc w:val="both"/>
        <w:rPr>
          <w:rFonts w:ascii="Arial" w:hAnsi="Arial" w:eastAsia="宋体" w:cs="Arial"/>
          <w:sz w:val="20"/>
          <w:szCs w:val="20"/>
          <w:lang w:eastAsia="zh-CN"/>
        </w:rPr>
      </w:pPr>
    </w:p>
    <w:p w14:paraId="42B69CA0">
      <w:pPr>
        <w:rPr>
          <w:rFonts w:ascii="Arial" w:hAnsi="Arial" w:eastAsia="宋体" w:cs="Arial"/>
          <w:sz w:val="24"/>
          <w:szCs w:val="24"/>
          <w:lang w:eastAsia="zh-CN"/>
        </w:rPr>
      </w:pPr>
      <w:bookmarkStart w:id="32" w:name="A._Critical_Devices"/>
      <w:bookmarkEnd w:id="32"/>
      <w:bookmarkStart w:id="33" w:name="B._Semi-Critical_Devices"/>
      <w:bookmarkEnd w:id="33"/>
      <w:r>
        <w:rPr>
          <w:rFonts w:ascii="Arial" w:hAnsi="Arial" w:eastAsia="宋体" w:cs="Arial"/>
          <w:lang w:eastAsia="zh-CN"/>
        </w:rPr>
        <w:br w:type="page"/>
      </w:r>
    </w:p>
    <w:p w14:paraId="2656673A">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请注意，无论推荐使用哪种再加工方法，贵公司均应确认器械与方法的相容性以及方法成功再加工器械功能的能力，然后在使用说明中进行说明。确认应证明污物和污染物有效去除，并且该器械无活性微生物。</w:t>
      </w:r>
    </w:p>
    <w:p w14:paraId="63268F04">
      <w:pPr>
        <w:pStyle w:val="6"/>
        <w:snapToGrid w:val="0"/>
        <w:spacing w:line="300" w:lineRule="auto"/>
        <w:ind w:left="0"/>
        <w:jc w:val="both"/>
        <w:rPr>
          <w:rFonts w:ascii="Arial" w:hAnsi="Arial" w:eastAsia="宋体" w:cs="Arial"/>
          <w:lang w:eastAsia="zh-CN"/>
        </w:rPr>
      </w:pPr>
    </w:p>
    <w:p w14:paraId="41D056D9">
      <w:pPr>
        <w:pStyle w:val="6"/>
        <w:snapToGrid w:val="0"/>
        <w:spacing w:line="300" w:lineRule="auto"/>
        <w:ind w:left="0"/>
        <w:jc w:val="both"/>
        <w:rPr>
          <w:rFonts w:ascii="Arial" w:hAnsi="Arial" w:eastAsia="宋体" w:cs="Arial"/>
          <w:lang w:eastAsia="zh-CN"/>
        </w:rPr>
      </w:pPr>
      <w:r>
        <w:rPr>
          <w:rFonts w:ascii="Arial" w:hAnsi="Arial" w:eastAsia="宋体" w:cs="Arial"/>
          <w:lang w:eastAsia="zh-CN"/>
        </w:rPr>
        <w:t>FDA将下述Spaulding分类</w:t>
      </w:r>
      <w:r>
        <w:rPr>
          <w:rFonts w:ascii="Arial" w:hAnsi="Arial" w:eastAsia="宋体" w:cs="Arial"/>
          <w:vertAlign w:val="superscript"/>
          <w:lang w:eastAsia="zh-CN"/>
        </w:rPr>
        <w:t>2</w:t>
      </w:r>
      <w:r>
        <w:rPr>
          <w:rFonts w:ascii="Arial" w:hAnsi="Arial" w:eastAsia="宋体" w:cs="Arial"/>
          <w:lang w:eastAsia="zh-CN"/>
        </w:rPr>
        <w:t>方案用于关键、半关键和非关键器械，描述由器械引起的潜在感染风险和适当的灭菌过程。由于Spaulding分类无法详细介绍所有临床器械应用和再加工需求，所以我们对其进行了相应修改，详情如下。</w:t>
      </w:r>
    </w:p>
    <w:p w14:paraId="6734CC1D">
      <w:pPr>
        <w:snapToGrid w:val="0"/>
        <w:spacing w:before="5" w:line="300" w:lineRule="auto"/>
        <w:jc w:val="both"/>
        <w:rPr>
          <w:rFonts w:ascii="Arial" w:hAnsi="Arial" w:eastAsia="宋体" w:cs="Arial"/>
          <w:sz w:val="24"/>
          <w:szCs w:val="24"/>
          <w:lang w:eastAsia="zh-CN"/>
        </w:rPr>
      </w:pPr>
    </w:p>
    <w:p w14:paraId="419DE0D7">
      <w:pPr>
        <w:pStyle w:val="5"/>
        <w:numPr>
          <w:ilvl w:val="0"/>
          <w:numId w:val="7"/>
        </w:numPr>
        <w:tabs>
          <w:tab w:val="left" w:pos="980"/>
        </w:tabs>
        <w:snapToGrid w:val="0"/>
        <w:spacing w:line="300" w:lineRule="auto"/>
        <w:ind w:hanging="1042"/>
        <w:jc w:val="both"/>
        <w:rPr>
          <w:rFonts w:ascii="Arial" w:hAnsi="Arial" w:eastAsia="宋体" w:cs="Arial"/>
          <w:b w:val="0"/>
          <w:bCs w:val="0"/>
        </w:rPr>
      </w:pPr>
      <w:r>
        <w:rPr>
          <w:rFonts w:ascii="Arial" w:hAnsi="Arial" w:eastAsia="宋体" w:cs="Arial"/>
        </w:rPr>
        <w:t>关键器械</w:t>
      </w:r>
    </w:p>
    <w:p w14:paraId="3ABC49EA">
      <w:pPr>
        <w:tabs>
          <w:tab w:val="left" w:pos="980"/>
        </w:tabs>
        <w:snapToGrid w:val="0"/>
        <w:spacing w:before="7" w:line="300" w:lineRule="auto"/>
        <w:ind w:hanging="1042"/>
        <w:jc w:val="both"/>
        <w:rPr>
          <w:rFonts w:ascii="Arial" w:hAnsi="Arial" w:eastAsia="宋体" w:cs="Arial"/>
          <w:b/>
          <w:bCs/>
          <w:sz w:val="23"/>
          <w:szCs w:val="23"/>
        </w:rPr>
      </w:pPr>
    </w:p>
    <w:p w14:paraId="15A53A7D">
      <w:pPr>
        <w:pStyle w:val="6"/>
        <w:tabs>
          <w:tab w:val="left" w:pos="980"/>
        </w:tabs>
        <w:snapToGrid w:val="0"/>
        <w:spacing w:line="300" w:lineRule="auto"/>
        <w:ind w:left="518"/>
        <w:jc w:val="both"/>
        <w:rPr>
          <w:rFonts w:ascii="Arial" w:hAnsi="Arial" w:eastAsia="宋体" w:cs="Arial"/>
          <w:lang w:eastAsia="zh-CN"/>
        </w:rPr>
      </w:pPr>
      <w:r>
        <w:rPr>
          <w:rFonts w:ascii="Arial" w:hAnsi="Arial" w:eastAsia="宋体" w:cs="Arial"/>
          <w:lang w:eastAsia="zh-CN"/>
        </w:rPr>
        <w:t>关键器械是直接引入血流中的器械，或在使用过程中与正常无菌的组织或身体空间接触的器械。如果该器械并未灭菌，则存在出现微生物传播和感染风险（亚临床或临床）的可能性。应指示用户在每次使用后进行拆卸（如果适用）、彻底清洁并对关键器械进行灭菌。</w:t>
      </w:r>
    </w:p>
    <w:p w14:paraId="158C40F6">
      <w:pPr>
        <w:pStyle w:val="6"/>
        <w:tabs>
          <w:tab w:val="left" w:pos="980"/>
        </w:tabs>
        <w:snapToGrid w:val="0"/>
        <w:spacing w:line="300" w:lineRule="auto"/>
        <w:ind w:left="1199" w:hanging="1042"/>
        <w:jc w:val="both"/>
        <w:rPr>
          <w:rFonts w:ascii="Arial" w:hAnsi="Arial" w:eastAsia="宋体" w:cs="Arial"/>
          <w:lang w:eastAsia="zh-CN"/>
        </w:rPr>
      </w:pPr>
    </w:p>
    <w:p w14:paraId="63FFE8C2">
      <w:pPr>
        <w:pStyle w:val="6"/>
        <w:tabs>
          <w:tab w:val="left" w:pos="980"/>
        </w:tabs>
        <w:snapToGrid w:val="0"/>
        <w:spacing w:line="300" w:lineRule="auto"/>
        <w:ind w:left="518"/>
        <w:jc w:val="both"/>
        <w:rPr>
          <w:rFonts w:ascii="Arial" w:hAnsi="Arial" w:eastAsia="宋体" w:cs="Arial"/>
          <w:lang w:eastAsia="zh-CN"/>
        </w:rPr>
      </w:pPr>
      <w:r>
        <w:rPr>
          <w:rFonts w:ascii="Arial" w:hAnsi="Arial" w:eastAsia="宋体" w:cs="Arial"/>
          <w:lang w:eastAsia="zh-CN"/>
        </w:rPr>
        <w:t>关键器械的示例包括外科器械、无菌组织中灭菌工具的冲洗系统、用于无菌体腔的内窥镜（例如腹腔镜、关节镜、血管内窥镜）和所有内窥镜活检附件。</w:t>
      </w:r>
    </w:p>
    <w:p w14:paraId="46D17D4C">
      <w:pPr>
        <w:tabs>
          <w:tab w:val="left" w:pos="980"/>
        </w:tabs>
        <w:snapToGrid w:val="0"/>
        <w:spacing w:before="5" w:line="300" w:lineRule="auto"/>
        <w:ind w:hanging="1042"/>
        <w:jc w:val="both"/>
        <w:rPr>
          <w:rFonts w:ascii="Arial" w:hAnsi="Arial" w:eastAsia="宋体" w:cs="Arial"/>
          <w:sz w:val="24"/>
          <w:szCs w:val="24"/>
          <w:lang w:eastAsia="zh-CN"/>
        </w:rPr>
      </w:pPr>
    </w:p>
    <w:p w14:paraId="7F79875F">
      <w:pPr>
        <w:pStyle w:val="5"/>
        <w:numPr>
          <w:ilvl w:val="0"/>
          <w:numId w:val="7"/>
        </w:numPr>
        <w:tabs>
          <w:tab w:val="left" w:pos="980"/>
        </w:tabs>
        <w:snapToGrid w:val="0"/>
        <w:spacing w:line="300" w:lineRule="auto"/>
        <w:ind w:hanging="1042"/>
        <w:jc w:val="both"/>
        <w:rPr>
          <w:rFonts w:ascii="Arial" w:hAnsi="Arial" w:eastAsia="宋体" w:cs="Arial"/>
          <w:b w:val="0"/>
          <w:bCs w:val="0"/>
        </w:rPr>
      </w:pPr>
      <w:r>
        <w:rPr>
          <w:rFonts w:ascii="Arial" w:hAnsi="Arial" w:eastAsia="宋体" w:cs="Arial"/>
        </w:rPr>
        <w:t>半关键器械</w:t>
      </w:r>
    </w:p>
    <w:p w14:paraId="57DB92E9">
      <w:pPr>
        <w:tabs>
          <w:tab w:val="left" w:pos="980"/>
        </w:tabs>
        <w:snapToGrid w:val="0"/>
        <w:spacing w:before="7" w:line="300" w:lineRule="auto"/>
        <w:ind w:hanging="1042"/>
        <w:jc w:val="both"/>
        <w:rPr>
          <w:rFonts w:ascii="Arial" w:hAnsi="Arial" w:eastAsia="宋体" w:cs="Arial"/>
          <w:b/>
          <w:bCs/>
          <w:sz w:val="23"/>
          <w:szCs w:val="23"/>
        </w:rPr>
      </w:pPr>
    </w:p>
    <w:p w14:paraId="537A0677">
      <w:pPr>
        <w:pStyle w:val="6"/>
        <w:tabs>
          <w:tab w:val="left" w:pos="980"/>
        </w:tabs>
        <w:snapToGrid w:val="0"/>
        <w:spacing w:line="300" w:lineRule="auto"/>
        <w:ind w:left="518"/>
        <w:jc w:val="both"/>
        <w:rPr>
          <w:rFonts w:ascii="Arial" w:hAnsi="Arial" w:eastAsia="宋体" w:cs="Arial"/>
          <w:lang w:eastAsia="zh-CN"/>
        </w:rPr>
      </w:pPr>
      <w:r>
        <w:rPr>
          <w:rFonts w:ascii="Arial" w:hAnsi="Arial" w:eastAsia="宋体" w:cs="Arial"/>
          <w:lang w:eastAsia="zh-CN"/>
        </w:rPr>
        <w:t>半关键器械是接触完整粘膜或非完整皮肤的器械。其通常不会穿透组织或以其他方式进入身体的正常无菌区域。完整的粘膜表面对小数量孢子具有相对抗力。然而，这些器械应进行再加工以去除所有微生物。应指示用户彻底清洁这些器械，然后通过灭菌对其进行再加工。如果器械设计不允许进行灭菌（例如，器械材料不能经受灭菌），则应使用高水平的消毒。</w:t>
      </w:r>
    </w:p>
    <w:p w14:paraId="3A31760C">
      <w:pPr>
        <w:tabs>
          <w:tab w:val="left" w:pos="980"/>
        </w:tabs>
        <w:snapToGrid w:val="0"/>
        <w:spacing w:line="300" w:lineRule="auto"/>
        <w:ind w:hanging="1042"/>
        <w:jc w:val="both"/>
        <w:rPr>
          <w:rFonts w:ascii="Arial" w:hAnsi="Arial" w:eastAsia="宋体" w:cs="Arial"/>
          <w:sz w:val="24"/>
          <w:szCs w:val="24"/>
          <w:lang w:eastAsia="zh-CN"/>
        </w:rPr>
      </w:pPr>
    </w:p>
    <w:p w14:paraId="2C1584C7">
      <w:pPr>
        <w:pStyle w:val="6"/>
        <w:tabs>
          <w:tab w:val="left" w:pos="980"/>
        </w:tabs>
        <w:snapToGrid w:val="0"/>
        <w:spacing w:line="300" w:lineRule="auto"/>
        <w:ind w:left="518"/>
        <w:jc w:val="both"/>
        <w:rPr>
          <w:rFonts w:ascii="Arial" w:hAnsi="Arial" w:eastAsia="宋体" w:cs="Arial"/>
          <w:lang w:eastAsia="zh-CN"/>
        </w:rPr>
      </w:pPr>
      <w:r>
        <w:rPr>
          <w:rFonts w:ascii="Arial" w:hAnsi="Arial" w:eastAsia="宋体" w:cs="Arial"/>
          <w:lang w:eastAsia="zh-CN"/>
        </w:rPr>
        <w:t>半关键器械的示例包括十二指肠镜、气管插管、支气管镜、喉镜刀片和其他呼吸器械、食道测压探针、隔膜配合环和胃肠内窥镜。</w:t>
      </w:r>
    </w:p>
    <w:p w14:paraId="4EDB312D">
      <w:pPr>
        <w:snapToGrid w:val="0"/>
        <w:spacing w:line="300" w:lineRule="auto"/>
        <w:jc w:val="both"/>
        <w:rPr>
          <w:rFonts w:ascii="Arial" w:hAnsi="Arial" w:eastAsia="宋体" w:cs="Arial"/>
          <w:sz w:val="24"/>
          <w:szCs w:val="24"/>
          <w:lang w:eastAsia="zh-CN"/>
        </w:rPr>
      </w:pPr>
    </w:p>
    <w:p w14:paraId="10D4D366">
      <w:pPr>
        <w:snapToGrid w:val="0"/>
        <w:spacing w:before="1" w:line="300" w:lineRule="auto"/>
        <w:jc w:val="both"/>
        <w:rPr>
          <w:rFonts w:ascii="Arial" w:hAnsi="Arial" w:eastAsia="宋体" w:cs="Arial"/>
          <w:sz w:val="29"/>
          <w:szCs w:val="29"/>
          <w:lang w:eastAsia="zh-CN"/>
        </w:rPr>
      </w:pPr>
    </w:p>
    <w:p w14:paraId="65346D74">
      <w:pPr>
        <w:snapToGrid w:val="0"/>
        <w:spacing w:line="300" w:lineRule="auto"/>
        <w:ind w:left="11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31" name="Group 23"/>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32" name="Group 24"/>
                        <wpg:cNvGrpSpPr/>
                        <wpg:grpSpPr>
                          <a:xfrm>
                            <a:off x="6" y="6"/>
                            <a:ext cx="2880" cy="2"/>
                            <a:chOff x="6" y="6"/>
                            <a:chExt cx="2880" cy="2"/>
                          </a:xfrm>
                        </wpg:grpSpPr>
                        <wps:wsp>
                          <wps:cNvPr id="33" name="Freeform 25"/>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3"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ID+hIXUAAAAAwEAAA8AAAAAAAAAAQAgAAAAIgAAAGRycy9kb3ducmV2Lnht&#10;bFBLAQIUABQAAAAIAIdO4kCOzahEGgMAAP4HAAAOAAAAAAAAAAEAIAAAACMBAABkcnMvZTJvRG9j&#10;LnhtbFBLBQYAAAAABgAGAFkBAACvBgAAAAA=&#10;">
                <o:lock v:ext="edit" aspectratio="f"/>
                <v:group id="Group 24" o:spid="_x0000_s1026" o:spt="203" style="position:absolute;left:6;top:6;height:2;width:2880;" coordorigin="6,6" coordsize="2880,2"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Freeform 25" o:spid="_x0000_s1026" o:spt="100" style="position:absolute;left:6;top:6;height:2;width:2880;" filled="f" stroked="t" coordsize="2880,1" o:gfxdata="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BhdKrsAAADb&#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3479DC59">
      <w:pPr>
        <w:snapToGrid w:val="0"/>
        <w:spacing w:before="71" w:line="300" w:lineRule="auto"/>
        <w:ind w:left="120"/>
        <w:jc w:val="both"/>
        <w:rPr>
          <w:rFonts w:ascii="Arial" w:hAnsi="Arial" w:eastAsia="宋体" w:cs="Arial"/>
          <w:sz w:val="20"/>
          <w:szCs w:val="20"/>
          <w:lang w:eastAsia="zh-CN"/>
        </w:rPr>
      </w:pPr>
      <w:r>
        <w:rPr>
          <w:rFonts w:ascii="Arial" w:hAnsi="Arial" w:eastAsia="宋体" w:cs="Arial"/>
          <w:position w:val="9"/>
          <w:sz w:val="13"/>
          <w:lang w:eastAsia="zh-CN"/>
        </w:rPr>
        <w:t xml:space="preserve">2 </w:t>
      </w:r>
      <w:bookmarkStart w:id="34" w:name="_bookmark16"/>
      <w:bookmarkEnd w:id="34"/>
      <w:r>
        <w:rPr>
          <w:rFonts w:ascii="Arial" w:hAnsi="Arial" w:eastAsia="宋体" w:cs="Arial"/>
          <w:sz w:val="20"/>
          <w:szCs w:val="20"/>
          <w:lang w:eastAsia="zh-CN"/>
        </w:rPr>
        <w:t>Spaulding，EH。化学消毒在预防院内感染中的作用。Brachman PS、Eickoff TC，编辑 。国际院内感染会议会议记录，1970年。芝加哥：</w:t>
      </w:r>
      <w:r>
        <w:rPr>
          <w:rStyle w:val="21"/>
          <w:rFonts w:ascii="Arial" w:hAnsi="Arial" w:eastAsia="宋体" w:cs="Arial"/>
          <w:color w:val="313131"/>
          <w:lang w:eastAsia="zh-CN"/>
        </w:rPr>
        <w:t>美国医院协会</w:t>
      </w:r>
      <w:r>
        <w:rPr>
          <w:rFonts w:ascii="Arial" w:hAnsi="Arial" w:eastAsia="宋体" w:cs="Arial"/>
          <w:sz w:val="20"/>
          <w:szCs w:val="20"/>
          <w:lang w:eastAsia="zh-CN"/>
        </w:rPr>
        <w:t>，1971年：254-274</w:t>
      </w:r>
    </w:p>
    <w:p w14:paraId="6EA8684A">
      <w:pPr>
        <w:snapToGrid w:val="0"/>
        <w:spacing w:line="300" w:lineRule="auto"/>
        <w:jc w:val="both"/>
        <w:rPr>
          <w:rFonts w:ascii="Arial" w:hAnsi="Arial" w:eastAsia="宋体" w:cs="Arial"/>
          <w:sz w:val="20"/>
          <w:szCs w:val="20"/>
          <w:lang w:eastAsia="zh-CN"/>
        </w:rPr>
        <w:sectPr>
          <w:pgSz w:w="12260" w:h="15840"/>
          <w:pgMar w:top="1134" w:right="1134" w:bottom="1134" w:left="1134" w:header="748" w:footer="773" w:gutter="0"/>
          <w:cols w:space="720" w:num="1"/>
          <w:docGrid w:linePitch="299" w:charSpace="0"/>
        </w:sectPr>
      </w:pPr>
    </w:p>
    <w:p w14:paraId="56ED85EA">
      <w:pPr>
        <w:snapToGrid w:val="0"/>
        <w:spacing w:line="300" w:lineRule="auto"/>
        <w:jc w:val="both"/>
        <w:rPr>
          <w:rFonts w:ascii="Arial" w:hAnsi="Arial" w:eastAsia="宋体" w:cs="Arial"/>
          <w:sz w:val="20"/>
          <w:szCs w:val="20"/>
          <w:lang w:eastAsia="zh-CN"/>
        </w:rPr>
      </w:pPr>
    </w:p>
    <w:p w14:paraId="1EA26359">
      <w:pPr>
        <w:snapToGrid w:val="0"/>
        <w:spacing w:before="11" w:line="300" w:lineRule="auto"/>
        <w:jc w:val="both"/>
        <w:rPr>
          <w:rFonts w:ascii="Arial" w:hAnsi="Arial" w:eastAsia="宋体" w:cs="Arial"/>
          <w:sz w:val="18"/>
          <w:szCs w:val="18"/>
          <w:lang w:eastAsia="zh-CN"/>
        </w:rPr>
      </w:pPr>
    </w:p>
    <w:p w14:paraId="2A0A6E03">
      <w:pPr>
        <w:pStyle w:val="6"/>
        <w:tabs>
          <w:tab w:val="left" w:pos="980"/>
        </w:tabs>
        <w:snapToGrid w:val="0"/>
        <w:spacing w:line="300" w:lineRule="auto"/>
        <w:ind w:left="518"/>
        <w:jc w:val="both"/>
        <w:rPr>
          <w:rFonts w:ascii="Arial" w:hAnsi="Arial" w:eastAsia="宋体" w:cs="Arial"/>
          <w:lang w:eastAsia="zh-CN"/>
        </w:rPr>
      </w:pPr>
      <w:bookmarkStart w:id="35" w:name="C._Non-Critical_Devices"/>
      <w:bookmarkEnd w:id="35"/>
      <w:r>
        <w:rPr>
          <w:rFonts w:ascii="Arial" w:hAnsi="Arial" w:eastAsia="宋体" w:cs="Arial"/>
          <w:lang w:eastAsia="zh-CN"/>
        </w:rPr>
        <w:t>耐热器械（如刚性内窥镜）应通过蒸汽灭菌来进行加工。对于不耐热器械，可用的“低温”再加工技术包括过氧化氢（H</w:t>
      </w:r>
      <w:r>
        <w:rPr>
          <w:rFonts w:ascii="Arial" w:hAnsi="Arial" w:eastAsia="宋体" w:cs="Arial"/>
          <w:vertAlign w:val="subscript"/>
          <w:lang w:eastAsia="zh-CN"/>
        </w:rPr>
        <w:t>2</w:t>
      </w:r>
      <w:r>
        <w:rPr>
          <w:rFonts w:ascii="Arial" w:hAnsi="Arial" w:eastAsia="宋体" w:cs="Arial"/>
          <w:lang w:eastAsia="zh-CN"/>
        </w:rPr>
        <w:t>O</w:t>
      </w:r>
      <w:r>
        <w:rPr>
          <w:rFonts w:ascii="Arial" w:hAnsi="Arial" w:eastAsia="宋体" w:cs="Arial"/>
          <w:vertAlign w:val="subscript"/>
          <w:lang w:eastAsia="zh-CN"/>
        </w:rPr>
        <w:t>2</w:t>
      </w:r>
      <w:r>
        <w:rPr>
          <w:rFonts w:ascii="Arial" w:hAnsi="Arial" w:eastAsia="宋体" w:cs="Arial"/>
          <w:lang w:eastAsia="zh-CN"/>
        </w:rPr>
        <w:t>）灭菌、臭氧（O</w:t>
      </w:r>
      <w:r>
        <w:rPr>
          <w:rFonts w:ascii="Arial" w:hAnsi="Arial" w:eastAsia="宋体" w:cs="Arial"/>
          <w:vertAlign w:val="subscript"/>
          <w:lang w:eastAsia="zh-CN"/>
        </w:rPr>
        <w:t>3</w:t>
      </w:r>
      <w:r>
        <w:rPr>
          <w:rFonts w:ascii="Arial" w:hAnsi="Arial" w:eastAsia="宋体" w:cs="Arial"/>
          <w:lang w:eastAsia="zh-CN"/>
        </w:rPr>
        <w:t>）灭菌、环氧乙烷（EO）灭菌</w:t>
      </w:r>
      <w:r>
        <w:rPr>
          <w:rFonts w:ascii="Arial" w:hAnsi="Arial" w:eastAsia="宋体" w:cs="Arial"/>
          <w:vertAlign w:val="superscript"/>
          <w:lang w:eastAsia="zh-CN"/>
        </w:rPr>
        <w:t>3</w:t>
      </w:r>
      <w:r>
        <w:rPr>
          <w:rFonts w:ascii="Arial" w:hAnsi="Arial" w:eastAsia="宋体" w:cs="Arial"/>
          <w:lang w:eastAsia="zh-CN"/>
        </w:rPr>
        <w:t>（包括器械通风）和提供液体化学灭菌或高水平消毒的液体化学灭菌剂/高水平消毒剂化学系统。在医疗机构中使用的高水平消毒方法包括在高消毒条件下使用的液体化学灭菌剂和热水巴氏消毒法（通常用于呼吸和麻醉器械再加工）。</w:t>
      </w:r>
    </w:p>
    <w:p w14:paraId="46B4A6C3">
      <w:pPr>
        <w:snapToGrid w:val="0"/>
        <w:spacing w:before="2" w:line="300" w:lineRule="auto"/>
        <w:jc w:val="both"/>
        <w:rPr>
          <w:rFonts w:ascii="Arial" w:hAnsi="Arial" w:eastAsia="宋体" w:cs="Arial"/>
          <w:sz w:val="24"/>
          <w:szCs w:val="24"/>
          <w:lang w:eastAsia="zh-CN"/>
        </w:rPr>
      </w:pPr>
    </w:p>
    <w:p w14:paraId="39A4911D">
      <w:pPr>
        <w:pStyle w:val="5"/>
        <w:numPr>
          <w:ilvl w:val="0"/>
          <w:numId w:val="7"/>
        </w:numPr>
        <w:tabs>
          <w:tab w:val="left" w:pos="980"/>
        </w:tabs>
        <w:snapToGrid w:val="0"/>
        <w:spacing w:line="300" w:lineRule="auto"/>
        <w:ind w:hanging="1042"/>
        <w:jc w:val="both"/>
        <w:rPr>
          <w:rFonts w:ascii="Arial" w:hAnsi="Arial" w:eastAsia="宋体" w:cs="Arial"/>
          <w:b w:val="0"/>
          <w:bCs w:val="0"/>
        </w:rPr>
      </w:pPr>
      <w:r>
        <w:rPr>
          <w:rFonts w:ascii="Arial" w:hAnsi="Arial" w:eastAsia="宋体" w:cs="Arial"/>
        </w:rPr>
        <w:t>非关键器械</w:t>
      </w:r>
    </w:p>
    <w:p w14:paraId="263D6847">
      <w:pPr>
        <w:snapToGrid w:val="0"/>
        <w:spacing w:before="7" w:line="300" w:lineRule="auto"/>
        <w:jc w:val="both"/>
        <w:rPr>
          <w:rFonts w:ascii="Arial" w:hAnsi="Arial" w:eastAsia="宋体" w:cs="Arial"/>
          <w:b/>
          <w:bCs/>
          <w:sz w:val="23"/>
          <w:szCs w:val="23"/>
        </w:rPr>
      </w:pPr>
    </w:p>
    <w:p w14:paraId="660F55C4">
      <w:pPr>
        <w:pStyle w:val="6"/>
        <w:tabs>
          <w:tab w:val="left" w:pos="980"/>
        </w:tabs>
        <w:snapToGrid w:val="0"/>
        <w:spacing w:line="300" w:lineRule="auto"/>
        <w:ind w:left="518"/>
        <w:jc w:val="both"/>
        <w:rPr>
          <w:rFonts w:ascii="Arial" w:hAnsi="Arial" w:eastAsia="宋体" w:cs="Arial"/>
          <w:lang w:eastAsia="zh-CN"/>
        </w:rPr>
      </w:pPr>
      <w:r>
        <w:rPr>
          <w:rFonts w:ascii="Arial" w:hAnsi="Arial" w:eastAsia="宋体" w:cs="Arial"/>
          <w:lang w:eastAsia="zh-CN"/>
        </w:rPr>
        <w:t>非关键器械是其表面仅接触完整皮肤并且不会穿透皮肤的仪器和其他器械。非关键器械还包括不直接接触患者但在患者护理（例如，血液、体液）期间可能被微生物和有机污物污染的器械；此类器械的污染可能较不明显。FDA建议进行彻底清洁，然后根据污染的性质和程度对非关键器械进行中等水平或低水平消毒。</w:t>
      </w:r>
    </w:p>
    <w:p w14:paraId="38B0BB64">
      <w:pPr>
        <w:pStyle w:val="6"/>
        <w:snapToGrid w:val="0"/>
        <w:spacing w:line="300" w:lineRule="auto"/>
        <w:ind w:left="1200"/>
        <w:jc w:val="both"/>
        <w:rPr>
          <w:rFonts w:ascii="Arial" w:hAnsi="Arial" w:eastAsia="宋体" w:cs="Arial"/>
          <w:lang w:eastAsia="zh-CN"/>
        </w:rPr>
      </w:pPr>
    </w:p>
    <w:p w14:paraId="6E0B59BA">
      <w:pPr>
        <w:pStyle w:val="6"/>
        <w:tabs>
          <w:tab w:val="left" w:pos="980"/>
        </w:tabs>
        <w:snapToGrid w:val="0"/>
        <w:spacing w:line="300" w:lineRule="auto"/>
        <w:ind w:left="518"/>
        <w:jc w:val="both"/>
        <w:rPr>
          <w:rFonts w:ascii="Arial" w:hAnsi="Arial" w:eastAsia="宋体" w:cs="Arial"/>
          <w:lang w:eastAsia="zh-CN"/>
        </w:rPr>
      </w:pPr>
      <w:r>
        <w:rPr>
          <w:rFonts w:ascii="Arial" w:hAnsi="Arial" w:eastAsia="宋体" w:cs="Arial"/>
          <w:lang w:eastAsia="zh-CN"/>
        </w:rPr>
        <w:t>仅接触完整皮肤的器械的示例包括血压袖带、听诊器和皮肤电极。不直接接触患者但在患者护理期间可能被污染的器械示例包括输液泵和呼吸机。</w:t>
      </w:r>
    </w:p>
    <w:p w14:paraId="75846F06">
      <w:pPr>
        <w:snapToGrid w:val="0"/>
        <w:spacing w:line="300" w:lineRule="auto"/>
        <w:jc w:val="both"/>
        <w:rPr>
          <w:rFonts w:ascii="Arial" w:hAnsi="Arial" w:eastAsia="宋体" w:cs="Arial"/>
          <w:sz w:val="24"/>
          <w:szCs w:val="24"/>
          <w:lang w:eastAsia="zh-CN"/>
        </w:rPr>
      </w:pPr>
    </w:p>
    <w:p w14:paraId="1365BE5B">
      <w:pPr>
        <w:pStyle w:val="6"/>
        <w:tabs>
          <w:tab w:val="left" w:pos="980"/>
        </w:tabs>
        <w:snapToGrid w:val="0"/>
        <w:spacing w:line="300" w:lineRule="auto"/>
        <w:ind w:left="518"/>
        <w:jc w:val="both"/>
        <w:rPr>
          <w:rFonts w:ascii="Arial" w:hAnsi="Arial" w:eastAsia="宋体" w:cs="Arial"/>
          <w:lang w:eastAsia="zh-CN"/>
        </w:rPr>
      </w:pPr>
      <w:r>
        <w:rPr>
          <w:rFonts w:ascii="Arial" w:hAnsi="Arial" w:eastAsia="宋体" w:cs="Arial"/>
          <w:lang w:eastAsia="zh-CN"/>
        </w:rPr>
        <w:t>请注意，一些消毒剂是相当有效的清洁剂，而其他消毒剂则不是。贵公司应始终考虑在临床使用期间该器械可能暴露的最坏情况微生物、在使用期间出现器械的显著有机污染的可能性以及器械材料在选择消毒剂来进行确认，然后推荐与贵公司的器械一起使用时反复经受消毒剂接触的能力。在选择消毒剂进行研究和确认时，贵公司还应考虑在医疗机构中经常使用的产品。如果某一产品或产品类别可能会损坏贵公司器械中的材料，贵公司的器械标签应提供警告，即请勿使用该产品或产品类别来对贵公司的器械进行再加工。</w:t>
      </w:r>
    </w:p>
    <w:p w14:paraId="1A0ED3B4">
      <w:pPr>
        <w:snapToGrid w:val="0"/>
        <w:spacing w:before="3" w:line="300" w:lineRule="auto"/>
        <w:jc w:val="both"/>
        <w:rPr>
          <w:rFonts w:ascii="Arial" w:hAnsi="Arial" w:eastAsia="宋体" w:cs="Arial"/>
          <w:sz w:val="24"/>
          <w:szCs w:val="24"/>
          <w:lang w:eastAsia="zh-CN"/>
        </w:rPr>
      </w:pPr>
    </w:p>
    <w:p w14:paraId="2911468A">
      <w:pPr>
        <w:pStyle w:val="6"/>
        <w:tabs>
          <w:tab w:val="left" w:pos="980"/>
        </w:tabs>
        <w:snapToGrid w:val="0"/>
        <w:spacing w:line="300" w:lineRule="auto"/>
        <w:ind w:left="518"/>
        <w:jc w:val="both"/>
        <w:rPr>
          <w:rFonts w:ascii="Arial" w:hAnsi="Arial" w:eastAsia="宋体" w:cs="Arial"/>
          <w:lang w:eastAsia="zh-CN"/>
        </w:rPr>
      </w:pPr>
      <w:r>
        <w:rPr>
          <w:rFonts w:ascii="Arial" w:hAnsi="Arial" w:eastAsia="宋体" w:cs="Arial"/>
          <w:lang w:eastAsia="zh-CN"/>
        </w:rPr>
        <w:t>应清洁受血液或体液（其中可能含有血源性病原体）污染的物品，然后使其经受使用具有EPA登记的乙型肝炎灭活声明的产品进行的中等水平消毒。</w:t>
      </w:r>
      <w:r>
        <w:rPr>
          <w:rFonts w:ascii="Arial" w:hAnsi="Arial" w:eastAsia="宋体" w:cs="Arial"/>
          <w:vertAlign w:val="superscript"/>
          <w:lang w:eastAsia="zh-CN"/>
        </w:rPr>
        <w:t>4</w:t>
      </w:r>
      <w:r>
        <w:rPr>
          <w:rFonts w:ascii="Arial" w:hAnsi="Arial" w:eastAsia="宋体" w:cs="Arial"/>
          <w:lang w:eastAsia="zh-CN"/>
        </w:rPr>
        <w:t>医疗机构中使用的血糖计是受血液污染的器械的示例，其中，当在每个患者使用之后没有进行适当清洁和消毒，以及在未严格遵守手套使用和取下手套后洗手的规定的情况下使用时，其已成为患者间使用过程中乙型肝炎传播的来源。</w:t>
      </w:r>
    </w:p>
    <w:p w14:paraId="425DCC64">
      <w:pPr>
        <w:snapToGrid w:val="0"/>
        <w:spacing w:before="8" w:line="300" w:lineRule="auto"/>
        <w:jc w:val="both"/>
        <w:rPr>
          <w:rFonts w:ascii="Arial" w:hAnsi="Arial" w:eastAsia="宋体" w:cs="Arial"/>
          <w:sz w:val="23"/>
          <w:szCs w:val="23"/>
          <w:lang w:eastAsia="zh-CN"/>
        </w:rPr>
      </w:pPr>
    </w:p>
    <w:p w14:paraId="41D17E76">
      <w:pPr>
        <w:pStyle w:val="6"/>
        <w:snapToGrid w:val="0"/>
        <w:spacing w:line="300" w:lineRule="auto"/>
        <w:ind w:left="1200"/>
        <w:jc w:val="both"/>
        <w:rPr>
          <w:rFonts w:ascii="Arial" w:hAnsi="Arial" w:eastAsia="宋体" w:cs="Arial"/>
          <w:lang w:eastAsia="zh-CN"/>
        </w:rPr>
      </w:pPr>
    </w:p>
    <w:p w14:paraId="0024F7FF">
      <w:pPr>
        <w:snapToGrid w:val="0"/>
        <w:spacing w:before="1" w:line="300" w:lineRule="auto"/>
        <w:jc w:val="both"/>
        <w:rPr>
          <w:rFonts w:ascii="Arial" w:hAnsi="Arial" w:eastAsia="宋体" w:cs="Arial"/>
          <w:sz w:val="25"/>
          <w:szCs w:val="25"/>
          <w:lang w:eastAsia="zh-CN"/>
        </w:rPr>
      </w:pPr>
    </w:p>
    <w:p w14:paraId="69F71A1A">
      <w:pPr>
        <w:snapToGrid w:val="0"/>
        <w:spacing w:line="300" w:lineRule="auto"/>
        <w:ind w:left="11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28" name="Group 20"/>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29" name="Group 21"/>
                        <wpg:cNvGrpSpPr/>
                        <wpg:grpSpPr>
                          <a:xfrm>
                            <a:off x="6" y="6"/>
                            <a:ext cx="2880" cy="2"/>
                            <a:chOff x="6" y="6"/>
                            <a:chExt cx="2880" cy="2"/>
                          </a:xfrm>
                        </wpg:grpSpPr>
                        <wps:wsp>
                          <wps:cNvPr id="30" name="Freeform 22"/>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0"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gP6EhdQAAAADAQAADwAAAAAAAAABACAAAAAiAAAAZHJzL2Rvd25yZXYu&#10;eG1sUEsBAhQAFAAAAAgAh07iQENI5k0cAwAA/gcAAA4AAAAAAAAAAQAgAAAAIwEAAGRycy9lMm9E&#10;b2MueG1sUEsFBgAAAAAGAAYAWQEAALEGAAAAAA==&#10;">
                <o:lock v:ext="edit" aspectratio="f"/>
                <v:group id="Group 21" o:spid="_x0000_s1026" o:spt="203" style="position:absolute;left:6;top:6;height:2;width:2880;" coordorigin="6,6" coordsize="2880,2"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Freeform 22" o:spid="_x0000_s1026" o:spt="100" style="position:absolute;left:6;top:6;height:2;width:2880;" filled="f" stroked="t" coordsize="2880,1" o:gfxdata="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rDXbsAAADb&#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3CA206D6">
      <w:pPr>
        <w:snapToGrid w:val="0"/>
        <w:spacing w:before="71" w:line="300" w:lineRule="auto"/>
        <w:ind w:left="120"/>
        <w:jc w:val="both"/>
        <w:rPr>
          <w:rFonts w:ascii="Arial" w:hAnsi="Arial" w:eastAsia="宋体" w:cs="Arial"/>
          <w:sz w:val="20"/>
          <w:szCs w:val="20"/>
          <w:lang w:eastAsia="zh-CN"/>
        </w:rPr>
      </w:pPr>
      <w:r>
        <w:rPr>
          <w:rFonts w:ascii="Arial" w:hAnsi="Arial" w:eastAsia="宋体" w:cs="Arial"/>
          <w:position w:val="9"/>
          <w:sz w:val="13"/>
          <w:lang w:eastAsia="zh-CN"/>
        </w:rPr>
        <w:t xml:space="preserve">3 </w:t>
      </w:r>
      <w:bookmarkStart w:id="36" w:name="_bookmark17"/>
      <w:bookmarkEnd w:id="36"/>
      <w:r>
        <w:rPr>
          <w:rFonts w:ascii="Arial" w:hAnsi="Arial" w:eastAsia="宋体" w:cs="Arial"/>
          <w:sz w:val="20"/>
          <w:szCs w:val="20"/>
          <w:lang w:eastAsia="zh-CN"/>
        </w:rPr>
        <w:t>EO灭菌可能不适合某些器械类型，如十二指肠镜。</w:t>
      </w:r>
    </w:p>
    <w:p w14:paraId="0911679F">
      <w:pPr>
        <w:snapToGrid w:val="0"/>
        <w:spacing w:before="14" w:line="300" w:lineRule="auto"/>
        <w:ind w:left="120"/>
        <w:jc w:val="both"/>
        <w:rPr>
          <w:rFonts w:ascii="Arial" w:hAnsi="Arial" w:eastAsia="宋体" w:cs="Arial"/>
          <w:sz w:val="20"/>
          <w:szCs w:val="20"/>
          <w:lang w:eastAsia="zh-CN"/>
        </w:rPr>
      </w:pPr>
      <w:r>
        <w:rPr>
          <w:rFonts w:ascii="Arial" w:hAnsi="Arial" w:eastAsia="宋体" w:cs="Arial"/>
          <w:position w:val="9"/>
          <w:sz w:val="13"/>
          <w:szCs w:val="13"/>
          <w:lang w:eastAsia="zh-CN"/>
        </w:rPr>
        <w:t>4</w:t>
      </w:r>
      <w:r>
        <w:rPr>
          <w:rFonts w:ascii="Arial" w:hAnsi="Arial" w:eastAsia="宋体" w:cs="Arial"/>
          <w:spacing w:val="13"/>
          <w:position w:val="9"/>
          <w:sz w:val="13"/>
          <w:szCs w:val="13"/>
          <w:lang w:eastAsia="zh-CN"/>
        </w:rPr>
        <w:t xml:space="preserve"> </w:t>
      </w:r>
      <w:bookmarkStart w:id="37" w:name="_bookmark18"/>
      <w:bookmarkEnd w:id="37"/>
      <w:r>
        <w:rPr>
          <w:rFonts w:ascii="Arial" w:hAnsi="Arial" w:eastAsia="宋体" w:cs="Arial"/>
          <w:sz w:val="20"/>
          <w:szCs w:val="20"/>
          <w:lang w:eastAsia="zh-CN"/>
        </w:rPr>
        <w:t>疾病预防控制中心（CDC），“医疗机构消毒和灭菌指南”，2008年。</w:t>
      </w:r>
    </w:p>
    <w:p w14:paraId="472F9105">
      <w:pPr>
        <w:snapToGrid w:val="0"/>
        <w:spacing w:line="300" w:lineRule="auto"/>
        <w:jc w:val="both"/>
        <w:rPr>
          <w:rFonts w:ascii="Arial" w:hAnsi="Arial" w:eastAsia="宋体" w:cs="Arial"/>
          <w:sz w:val="20"/>
          <w:szCs w:val="20"/>
          <w:lang w:eastAsia="zh-CN"/>
        </w:rPr>
        <w:sectPr>
          <w:pgSz w:w="12260" w:h="15840"/>
          <w:pgMar w:top="1134" w:right="1134" w:bottom="1134" w:left="1134" w:header="748" w:footer="773" w:gutter="0"/>
          <w:cols w:space="720" w:num="1"/>
          <w:docGrid w:linePitch="299" w:charSpace="0"/>
        </w:sectPr>
      </w:pPr>
    </w:p>
    <w:p w14:paraId="5FA85693">
      <w:pPr>
        <w:snapToGrid w:val="0"/>
        <w:spacing w:line="300" w:lineRule="auto"/>
        <w:jc w:val="both"/>
        <w:rPr>
          <w:rFonts w:ascii="Arial" w:hAnsi="Arial" w:eastAsia="宋体" w:cs="Arial"/>
          <w:sz w:val="20"/>
          <w:szCs w:val="20"/>
          <w:lang w:eastAsia="zh-CN"/>
        </w:rPr>
      </w:pPr>
    </w:p>
    <w:p w14:paraId="16EB01FC">
      <w:pPr>
        <w:pStyle w:val="6"/>
        <w:tabs>
          <w:tab w:val="left" w:pos="980"/>
        </w:tabs>
        <w:snapToGrid w:val="0"/>
        <w:spacing w:line="300" w:lineRule="auto"/>
        <w:ind w:left="518"/>
        <w:jc w:val="both"/>
        <w:rPr>
          <w:rFonts w:ascii="Arial" w:hAnsi="Arial" w:eastAsia="宋体" w:cs="Arial"/>
          <w:lang w:eastAsia="zh-CN"/>
        </w:rPr>
      </w:pPr>
      <w:bookmarkStart w:id="38" w:name="Criterion_4._Reprocessing_instructions_s"/>
      <w:bookmarkEnd w:id="38"/>
      <w:r>
        <w:rPr>
          <w:rFonts w:ascii="Arial" w:hAnsi="Arial" w:eastAsia="宋体" w:cs="Arial"/>
          <w:lang w:eastAsia="zh-CN"/>
        </w:rPr>
        <w:t>请注意，在某些临床情况下（例如诺维病毒或艰难梭菌感染患者、耐药微生物等），CDC建议使用的隔离预防措施可能包括使用特定的消毒剂，并应遵循此类措施。使用消毒剂时，应指示用户遵循特定的EPA标签消毒剂接触时间以及医疗器械标签中指明的说明。</w:t>
      </w:r>
    </w:p>
    <w:p w14:paraId="71DE0636">
      <w:pPr>
        <w:pStyle w:val="6"/>
        <w:tabs>
          <w:tab w:val="left" w:pos="980"/>
        </w:tabs>
        <w:snapToGrid w:val="0"/>
        <w:spacing w:line="300" w:lineRule="auto"/>
        <w:ind w:left="518"/>
        <w:jc w:val="both"/>
        <w:rPr>
          <w:rFonts w:ascii="Arial" w:hAnsi="Arial" w:eastAsia="宋体" w:cs="Arial"/>
          <w:lang w:eastAsia="zh-CN"/>
        </w:rPr>
      </w:pPr>
    </w:p>
    <w:p w14:paraId="389B1B02">
      <w:pPr>
        <w:pStyle w:val="6"/>
        <w:tabs>
          <w:tab w:val="left" w:pos="980"/>
        </w:tabs>
        <w:snapToGrid w:val="0"/>
        <w:spacing w:line="300" w:lineRule="auto"/>
        <w:ind w:left="518"/>
        <w:jc w:val="both"/>
        <w:rPr>
          <w:rFonts w:ascii="Arial" w:hAnsi="Arial" w:eastAsia="宋体" w:cs="Arial"/>
          <w:lang w:eastAsia="zh-CN"/>
        </w:rPr>
      </w:pPr>
      <w:r>
        <w:rPr>
          <w:rFonts w:ascii="Arial" w:hAnsi="Arial" w:eastAsia="宋体" w:cs="Arial"/>
          <w:lang w:eastAsia="zh-CN"/>
        </w:rPr>
        <w:t>在使用期间可能不会被病原体污染的器械（例如室内生命体征监测器）可能无需经受消毒，因此可能仅适用于清洁后使用。</w:t>
      </w:r>
    </w:p>
    <w:p w14:paraId="67C2D6FA">
      <w:pPr>
        <w:snapToGrid w:val="0"/>
        <w:spacing w:before="6" w:line="300" w:lineRule="auto"/>
        <w:jc w:val="both"/>
        <w:rPr>
          <w:rFonts w:ascii="Arial" w:hAnsi="Arial" w:eastAsia="宋体" w:cs="Arial"/>
          <w:sz w:val="24"/>
          <w:szCs w:val="24"/>
          <w:lang w:eastAsia="zh-CN"/>
        </w:rPr>
      </w:pPr>
    </w:p>
    <w:p w14:paraId="26E302F0">
      <w:pPr>
        <w:pStyle w:val="4"/>
        <w:snapToGrid w:val="0"/>
        <w:spacing w:line="300" w:lineRule="auto"/>
        <w:ind w:left="0" w:firstLine="0"/>
        <w:jc w:val="both"/>
        <w:rPr>
          <w:rFonts w:ascii="Arial" w:hAnsi="Arial" w:eastAsia="宋体" w:cs="Arial"/>
          <w:lang w:eastAsia="zh-CN"/>
        </w:rPr>
      </w:pPr>
      <w:bookmarkStart w:id="39" w:name="_Toc481569201"/>
      <w:r>
        <w:rPr>
          <w:rFonts w:ascii="Arial" w:hAnsi="Arial" w:eastAsia="宋体" w:cs="Arial"/>
          <w:lang w:eastAsia="zh-CN"/>
        </w:rPr>
        <w:t>标准4.再加工说明在技术上应可行，且只包括合法上市的器械和附件。</w:t>
      </w:r>
      <w:bookmarkEnd w:id="39"/>
    </w:p>
    <w:p w14:paraId="35E8F2D2">
      <w:pPr>
        <w:snapToGrid w:val="0"/>
        <w:spacing w:before="5" w:line="300" w:lineRule="auto"/>
        <w:jc w:val="both"/>
        <w:rPr>
          <w:rFonts w:ascii="Arial" w:hAnsi="Arial" w:eastAsia="宋体" w:cs="Arial"/>
          <w:b/>
          <w:bCs/>
          <w:sz w:val="23"/>
          <w:szCs w:val="23"/>
          <w:lang w:eastAsia="zh-CN"/>
        </w:rPr>
      </w:pPr>
    </w:p>
    <w:p w14:paraId="7B90BCA4">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在预期地点（例如，医疗机构或家庭使用）中，再加工说明在技术上应可行。应明确规定实施说明所需的器械和附件（包括详细说明和部件编号（如果适用）），并随时供用户使用。</w:t>
      </w:r>
    </w:p>
    <w:p w14:paraId="66FE4ED2">
      <w:pPr>
        <w:pStyle w:val="6"/>
        <w:snapToGrid w:val="0"/>
        <w:spacing w:line="300" w:lineRule="auto"/>
        <w:ind w:left="0"/>
        <w:jc w:val="both"/>
        <w:rPr>
          <w:rFonts w:ascii="Arial" w:hAnsi="Arial" w:eastAsia="宋体" w:cs="Arial"/>
          <w:lang w:eastAsia="zh-CN"/>
        </w:rPr>
      </w:pPr>
    </w:p>
    <w:p w14:paraId="02214524">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灭菌器的类型以及制造商确认的灭菌周期参数和附件应由提供给用户。例如，辐射灭菌通常仅用于制造机构中。蒸汽灭菌是医疗机构中最常用的灭菌方法。EO、H</w:t>
      </w:r>
      <w:r>
        <w:rPr>
          <w:rFonts w:ascii="Arial" w:hAnsi="Arial" w:eastAsia="宋体" w:cs="Arial"/>
          <w:vertAlign w:val="subscript"/>
          <w:lang w:eastAsia="zh-CN"/>
        </w:rPr>
        <w:t>2</w:t>
      </w:r>
      <w:r>
        <w:rPr>
          <w:rFonts w:ascii="Arial" w:hAnsi="Arial" w:eastAsia="宋体" w:cs="Arial"/>
          <w:lang w:eastAsia="zh-CN"/>
        </w:rPr>
        <w:t>O</w:t>
      </w:r>
      <w:r>
        <w:rPr>
          <w:rFonts w:ascii="Arial" w:hAnsi="Arial" w:eastAsia="宋体" w:cs="Arial"/>
          <w:vertAlign w:val="subscript"/>
          <w:lang w:eastAsia="zh-CN"/>
        </w:rPr>
        <w:t>2</w:t>
      </w:r>
      <w:r>
        <w:rPr>
          <w:rFonts w:ascii="Arial" w:hAnsi="Arial" w:eastAsia="宋体" w:cs="Arial"/>
          <w:lang w:eastAsia="zh-CN"/>
        </w:rPr>
        <w:t>、O</w:t>
      </w:r>
      <w:r>
        <w:rPr>
          <w:rFonts w:ascii="Arial" w:hAnsi="Arial" w:eastAsia="宋体" w:cs="Arial"/>
          <w:vertAlign w:val="subscript"/>
          <w:lang w:eastAsia="zh-CN"/>
        </w:rPr>
        <w:t>3</w:t>
      </w:r>
      <w:r>
        <w:rPr>
          <w:rFonts w:ascii="Arial" w:hAnsi="Arial" w:eastAsia="宋体" w:cs="Arial"/>
          <w:lang w:eastAsia="zh-CN"/>
        </w:rPr>
        <w:t>和液体化学灭菌过程也可在一些医疗机构中使用。干热和化学蒸汽灭菌较为罕见。</w:t>
      </w:r>
    </w:p>
    <w:p w14:paraId="3F8551D5">
      <w:pPr>
        <w:snapToGrid w:val="0"/>
        <w:spacing w:before="8" w:line="300" w:lineRule="auto"/>
        <w:jc w:val="both"/>
        <w:rPr>
          <w:rFonts w:ascii="Arial" w:hAnsi="Arial" w:eastAsia="宋体" w:cs="Arial"/>
          <w:sz w:val="23"/>
          <w:szCs w:val="23"/>
          <w:lang w:eastAsia="zh-CN"/>
        </w:rPr>
      </w:pPr>
    </w:p>
    <w:p w14:paraId="77211BD2">
      <w:pPr>
        <w:pStyle w:val="6"/>
        <w:snapToGrid w:val="0"/>
        <w:spacing w:line="300" w:lineRule="auto"/>
        <w:ind w:left="0"/>
        <w:jc w:val="both"/>
        <w:rPr>
          <w:rFonts w:ascii="Arial" w:hAnsi="Arial" w:eastAsia="宋体" w:cs="Arial"/>
          <w:lang w:eastAsia="zh-CN"/>
        </w:rPr>
      </w:pPr>
      <w:r>
        <w:rPr>
          <w:rFonts w:ascii="Arial" w:hAnsi="Arial" w:eastAsia="宋体" w:cs="Arial"/>
          <w:lang w:eastAsia="zh-CN"/>
        </w:rPr>
        <w:t>FDA建议，说明应指明对于用户来说在技术上可行的灭菌方法和参数。也就是说，标签中规定的、用于再加工器械的灭菌循环参数应与常用的合法上市灭菌器的经确认灭菌循环参数一致。在本指南发布时，通常用于医疗蒸汽和EO灭菌器上的循环参数的示例在附录C中提供。根据附录C中所示的常规参数，设计贵公司的再加工说明可确保贵公司的再加工说明与现有的、基本的、FDA许可的再加工器械相容。有关其他方法的信息，请参见AAMI TIR12。</w:t>
      </w:r>
    </w:p>
    <w:p w14:paraId="1A1D9008">
      <w:pPr>
        <w:snapToGrid w:val="0"/>
        <w:spacing w:line="300" w:lineRule="auto"/>
        <w:jc w:val="both"/>
        <w:rPr>
          <w:rFonts w:ascii="Arial" w:hAnsi="Arial" w:eastAsia="宋体" w:cs="Arial"/>
          <w:sz w:val="24"/>
          <w:szCs w:val="24"/>
          <w:lang w:eastAsia="zh-CN"/>
        </w:rPr>
      </w:pPr>
    </w:p>
    <w:p w14:paraId="0172BA4B">
      <w:pPr>
        <w:pStyle w:val="6"/>
        <w:snapToGrid w:val="0"/>
        <w:spacing w:line="300" w:lineRule="auto"/>
        <w:ind w:left="0"/>
        <w:jc w:val="both"/>
        <w:rPr>
          <w:rFonts w:ascii="Arial" w:hAnsi="Arial" w:eastAsia="宋体" w:cs="Arial"/>
          <w:lang w:eastAsia="zh-CN"/>
        </w:rPr>
      </w:pPr>
      <w:r>
        <w:rPr>
          <w:rFonts w:ascii="Arial" w:hAnsi="Arial" w:eastAsia="宋体" w:cs="Arial"/>
          <w:lang w:eastAsia="zh-CN"/>
        </w:rPr>
        <w:t>FDA的建议：灭菌方法和参数对于用户来说在技术上应可行，可直接应用于灭菌附件。医疗机构中用于再加工可重复使用器械的许多灭菌附件是受FDA上市前通告要求制约的II类医疗器械。这些附件包括灭菌包装、灭菌袋、灭菌盒和灭菌容器；生物指示物和化学指示剂；以及液体化学灭菌剂和消毒剂。这些产品通常需要为特定过程参数或参数集获得FDA许可，此类参数或参数集出现在FDA许可的灭菌附件的“预期用途”部分。</w:t>
      </w:r>
    </w:p>
    <w:p w14:paraId="70F7E1B2">
      <w:pPr>
        <w:rPr>
          <w:rFonts w:ascii="Arial" w:hAnsi="Arial" w:eastAsia="宋体" w:cs="Arial"/>
          <w:sz w:val="24"/>
          <w:szCs w:val="24"/>
          <w:lang w:eastAsia="zh-CN"/>
        </w:rPr>
      </w:pPr>
      <w:r>
        <w:rPr>
          <w:rFonts w:ascii="Arial" w:hAnsi="Arial" w:eastAsia="宋体" w:cs="Arial"/>
          <w:lang w:eastAsia="zh-CN"/>
        </w:rPr>
        <w:br w:type="page"/>
      </w:r>
    </w:p>
    <w:p w14:paraId="46E1C95D">
      <w:pPr>
        <w:pStyle w:val="6"/>
        <w:snapToGrid w:val="0"/>
        <w:spacing w:line="300" w:lineRule="auto"/>
        <w:ind w:left="0"/>
        <w:rPr>
          <w:rFonts w:ascii="Arial" w:hAnsi="Arial" w:eastAsia="宋体" w:cs="Arial"/>
          <w:lang w:eastAsia="zh-CN"/>
        </w:rPr>
      </w:pPr>
      <w:r>
        <w:rPr>
          <w:rFonts w:ascii="Arial" w:hAnsi="Arial" w:eastAsia="宋体" w:cs="Arial"/>
          <w:lang w:eastAsia="zh-CN"/>
        </w:rPr>
        <w:t>贵公司的再加工说明应符合这些具体的过程参数。FDA保留了FDA许可的液体化学灭菌剂和高水平消毒剂的清单，可从以下网站获得：</w:t>
      </w:r>
      <w:r>
        <w:rPr>
          <w:rFonts w:ascii="Arial" w:hAnsi="Arial" w:eastAsia="宋体" w:cs="Arial"/>
          <w:color w:val="0000FF"/>
          <w:u w:val="single"/>
          <w:lang w:eastAsia="zh-CN"/>
        </w:rPr>
        <w:t>http：//www.fda.gov/MedicalDevices/DeviceRegulationandGuidance/ReprocessingofReus ableMedicalDevices/ucm437347.htm</w:t>
      </w:r>
      <w:r>
        <w:rPr>
          <w:rFonts w:ascii="Arial" w:hAnsi="Arial" w:eastAsia="宋体" w:cs="Arial"/>
          <w:lang w:eastAsia="zh-CN"/>
        </w:rPr>
        <w:t>。根据本文件中所示的常规参数，设计确认方案可确保贵公司的器械与现有的、FDA许可的液体化学灭菌剂和高水平消毒剂相容。</w:t>
      </w:r>
    </w:p>
    <w:p w14:paraId="237F14F6">
      <w:pPr>
        <w:snapToGrid w:val="0"/>
        <w:spacing w:before="5" w:line="300" w:lineRule="auto"/>
        <w:jc w:val="both"/>
        <w:rPr>
          <w:rFonts w:ascii="Arial" w:hAnsi="Arial" w:eastAsia="宋体" w:cs="Arial"/>
          <w:sz w:val="24"/>
          <w:szCs w:val="24"/>
          <w:lang w:eastAsia="zh-CN"/>
        </w:rPr>
      </w:pPr>
    </w:p>
    <w:p w14:paraId="1D99B549">
      <w:pPr>
        <w:pStyle w:val="5"/>
        <w:snapToGrid w:val="0"/>
        <w:spacing w:line="300" w:lineRule="auto"/>
        <w:ind w:left="475" w:leftChars="216" w:firstLine="2" w:firstLineChars="1"/>
        <w:jc w:val="both"/>
        <w:rPr>
          <w:rFonts w:ascii="Arial" w:hAnsi="Arial" w:eastAsia="宋体" w:cs="Arial"/>
          <w:b w:val="0"/>
          <w:bCs w:val="0"/>
          <w:lang w:eastAsia="zh-CN"/>
        </w:rPr>
      </w:pPr>
      <w:r>
        <w:rPr>
          <w:rFonts w:ascii="Arial" w:hAnsi="Arial" w:eastAsia="宋体" w:cs="Arial"/>
          <w:lang w:eastAsia="zh-CN"/>
        </w:rPr>
        <w:t>延长循环</w:t>
      </w:r>
    </w:p>
    <w:p w14:paraId="4EDE58E0">
      <w:pPr>
        <w:pStyle w:val="6"/>
        <w:snapToGrid w:val="0"/>
        <w:spacing w:line="300" w:lineRule="auto"/>
        <w:ind w:left="475" w:leftChars="216" w:firstLine="2" w:firstLineChars="1"/>
        <w:jc w:val="both"/>
        <w:rPr>
          <w:rFonts w:ascii="Arial" w:hAnsi="Arial" w:eastAsia="宋体" w:cs="Arial"/>
          <w:lang w:eastAsia="zh-CN"/>
        </w:rPr>
      </w:pPr>
      <w:r>
        <w:rPr>
          <w:rFonts w:ascii="Arial" w:hAnsi="Arial" w:eastAsia="宋体" w:cs="Arial"/>
          <w:lang w:eastAsia="zh-CN"/>
        </w:rPr>
        <w:t>术语“延长循环”通常用于说明任何含有偏离常用FDA许可的灭菌器的质量标准，且存在限制或无FDA许可的灭菌附件的灭菌循环。延长循环通常包括较长的暴露时间和/或较高或中等温度，从而使其可能偏离更常规的灭菌循环。延长循环的实施给医疗机构提出了严峻的技术挑战。</w:t>
      </w:r>
    </w:p>
    <w:p w14:paraId="1849120C">
      <w:pPr>
        <w:snapToGrid w:val="0"/>
        <w:spacing w:line="300" w:lineRule="auto"/>
        <w:ind w:left="475" w:leftChars="216" w:firstLine="2" w:firstLineChars="1"/>
        <w:jc w:val="both"/>
        <w:rPr>
          <w:rFonts w:ascii="Arial" w:hAnsi="Arial" w:eastAsia="宋体" w:cs="Arial"/>
          <w:sz w:val="24"/>
          <w:szCs w:val="24"/>
          <w:lang w:eastAsia="zh-CN"/>
        </w:rPr>
      </w:pPr>
    </w:p>
    <w:p w14:paraId="2A9D7DA8">
      <w:pPr>
        <w:pStyle w:val="6"/>
        <w:snapToGrid w:val="0"/>
        <w:spacing w:line="300" w:lineRule="auto"/>
        <w:ind w:left="475" w:leftChars="216" w:firstLine="2" w:firstLineChars="1"/>
        <w:jc w:val="both"/>
        <w:rPr>
          <w:rFonts w:ascii="Arial" w:hAnsi="Arial" w:eastAsia="宋体" w:cs="Arial"/>
          <w:lang w:eastAsia="zh-CN"/>
        </w:rPr>
      </w:pPr>
      <w:r>
        <w:rPr>
          <w:rFonts w:ascii="Arial" w:hAnsi="Arial" w:eastAsia="宋体" w:cs="Arial"/>
          <w:lang w:eastAsia="zh-CN"/>
        </w:rPr>
        <w:t>延长循环的开发目的通常用于实现复杂器械的灭菌或较大负载。如果适当的附件器械已许可用于此类延长循环，则应在再加工说明中推荐对较大负载或更复杂的器械使用延长循环。虽然许多灭菌器设计有有关时间和温度的手动超控，但FDA通常会为离散循环参数规格来评价物理和微生物性能验证数据和产品标签声明，以作为灭菌器及其附件的上市前审查过程的一部分，包括生物指示物、化学指示剂和灭菌包装。</w:t>
      </w:r>
    </w:p>
    <w:p w14:paraId="3C543A57">
      <w:pPr>
        <w:snapToGrid w:val="0"/>
        <w:spacing w:line="300" w:lineRule="auto"/>
        <w:ind w:left="475" w:leftChars="216" w:firstLine="2" w:firstLineChars="1"/>
        <w:jc w:val="both"/>
        <w:rPr>
          <w:rFonts w:ascii="Arial" w:hAnsi="Arial" w:eastAsia="宋体" w:cs="Arial"/>
          <w:sz w:val="24"/>
          <w:szCs w:val="24"/>
          <w:lang w:eastAsia="zh-CN"/>
        </w:rPr>
      </w:pPr>
    </w:p>
    <w:p w14:paraId="1068F0F3">
      <w:pPr>
        <w:pStyle w:val="6"/>
        <w:snapToGrid w:val="0"/>
        <w:spacing w:line="300" w:lineRule="auto"/>
        <w:ind w:left="475" w:leftChars="216" w:firstLine="2" w:firstLineChars="1"/>
        <w:jc w:val="both"/>
        <w:rPr>
          <w:rFonts w:ascii="Arial" w:hAnsi="Arial" w:eastAsia="宋体" w:cs="Arial"/>
          <w:lang w:eastAsia="zh-CN"/>
        </w:rPr>
      </w:pPr>
      <w:r>
        <w:rPr>
          <w:rFonts w:ascii="Arial" w:hAnsi="Arial" w:eastAsia="宋体" w:cs="Arial"/>
          <w:lang w:eastAsia="zh-CN"/>
        </w:rPr>
        <w:t>FDA建议，“范围”不应用于定义灭菌周期（例如，121°C-132°C的温度以及大于或等于4分钟的暴露时间），因为这意味着所有的中间值已被确认，并且存在FDA许可的附件可用于所有中间循环。</w:t>
      </w:r>
    </w:p>
    <w:p w14:paraId="6F2E3527">
      <w:pPr>
        <w:pStyle w:val="6"/>
        <w:snapToGrid w:val="0"/>
        <w:spacing w:line="300" w:lineRule="auto"/>
        <w:ind w:left="475" w:leftChars="216" w:firstLine="2" w:firstLineChars="1"/>
        <w:jc w:val="both"/>
        <w:rPr>
          <w:rFonts w:ascii="Arial" w:hAnsi="Arial" w:eastAsia="宋体" w:cs="Arial"/>
          <w:lang w:eastAsia="zh-CN"/>
        </w:rPr>
      </w:pPr>
    </w:p>
    <w:p w14:paraId="138FD094">
      <w:pPr>
        <w:pStyle w:val="6"/>
        <w:snapToGrid w:val="0"/>
        <w:spacing w:line="300" w:lineRule="auto"/>
        <w:ind w:left="475" w:leftChars="216" w:firstLine="2" w:firstLineChars="1"/>
        <w:jc w:val="both"/>
        <w:rPr>
          <w:rFonts w:ascii="Arial" w:hAnsi="Arial" w:eastAsia="宋体" w:cs="Arial"/>
          <w:lang w:eastAsia="zh-CN"/>
        </w:rPr>
      </w:pPr>
      <w:r>
        <w:rPr>
          <w:rFonts w:ascii="Arial" w:hAnsi="Arial" w:eastAsia="宋体" w:cs="Arial"/>
          <w:lang w:eastAsia="zh-CN"/>
        </w:rPr>
        <w:t>本审查机构已接受了标签中经确认的干燥时间规格，其中，其超出了用于FDA许可的灭菌器上的规格，并且需要手动设置干燥时间控制。</w:t>
      </w:r>
    </w:p>
    <w:p w14:paraId="43E01A27">
      <w:pPr>
        <w:snapToGrid w:val="0"/>
        <w:spacing w:before="6" w:line="300" w:lineRule="auto"/>
        <w:jc w:val="both"/>
        <w:rPr>
          <w:rFonts w:ascii="Arial" w:hAnsi="Arial" w:eastAsia="宋体" w:cs="Arial"/>
          <w:sz w:val="24"/>
          <w:szCs w:val="24"/>
          <w:lang w:eastAsia="zh-CN"/>
        </w:rPr>
      </w:pPr>
    </w:p>
    <w:p w14:paraId="6FAF84FE">
      <w:pPr>
        <w:pStyle w:val="4"/>
        <w:snapToGrid w:val="0"/>
        <w:spacing w:line="300" w:lineRule="auto"/>
        <w:ind w:left="0" w:firstLine="0"/>
        <w:jc w:val="both"/>
        <w:rPr>
          <w:rFonts w:ascii="Arial" w:hAnsi="Arial" w:eastAsia="宋体" w:cs="Arial"/>
          <w:b w:val="0"/>
          <w:bCs w:val="0"/>
          <w:lang w:eastAsia="zh-CN"/>
        </w:rPr>
      </w:pPr>
      <w:bookmarkStart w:id="40" w:name="_Toc481569202"/>
      <w:r>
        <w:rPr>
          <w:rFonts w:ascii="Arial" w:hAnsi="Arial" w:eastAsia="宋体" w:cs="Arial"/>
          <w:lang w:eastAsia="zh-CN"/>
        </w:rPr>
        <w:t>标准5.再加工说明应全面。</w:t>
      </w:r>
      <w:bookmarkEnd w:id="40"/>
    </w:p>
    <w:p w14:paraId="780CAAB5">
      <w:pPr>
        <w:snapToGrid w:val="0"/>
        <w:spacing w:before="5" w:line="300" w:lineRule="auto"/>
        <w:jc w:val="both"/>
        <w:rPr>
          <w:rFonts w:ascii="Arial" w:hAnsi="Arial" w:eastAsia="宋体" w:cs="Arial"/>
          <w:b/>
          <w:bCs/>
          <w:sz w:val="23"/>
          <w:szCs w:val="23"/>
          <w:lang w:eastAsia="zh-CN"/>
        </w:rPr>
      </w:pPr>
    </w:p>
    <w:p w14:paraId="5142975B">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全面说明使用户能够准确了解如何安全有效地实施整个再加工过程。可能存在几种可接受的说明格式。</w:t>
      </w:r>
    </w:p>
    <w:p w14:paraId="1330BF32">
      <w:pPr>
        <w:pStyle w:val="6"/>
        <w:snapToGrid w:val="0"/>
        <w:spacing w:line="300" w:lineRule="auto"/>
        <w:ind w:left="0"/>
        <w:jc w:val="both"/>
        <w:rPr>
          <w:rFonts w:ascii="Arial" w:hAnsi="Arial" w:eastAsia="宋体" w:cs="Arial"/>
          <w:lang w:eastAsia="zh-CN"/>
        </w:rPr>
      </w:pPr>
    </w:p>
    <w:p w14:paraId="5A50BBAE">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为了确保再加工说明全面，其应包括以下所有元素。如果有任何元素不适用于贵公司的器械，则贵公司应在贵公司的上市前提交材料中进行说明，并提供一个理由。</w:t>
      </w:r>
    </w:p>
    <w:p w14:paraId="0B4BA639">
      <w:pPr>
        <w:snapToGrid w:val="0"/>
        <w:spacing w:before="5" w:line="300" w:lineRule="auto"/>
        <w:jc w:val="both"/>
        <w:rPr>
          <w:rFonts w:ascii="Arial" w:hAnsi="Arial" w:eastAsia="宋体" w:cs="Arial"/>
          <w:sz w:val="24"/>
          <w:szCs w:val="24"/>
          <w:lang w:eastAsia="zh-CN"/>
        </w:rPr>
      </w:pPr>
    </w:p>
    <w:p w14:paraId="079C36F8">
      <w:pPr>
        <w:pStyle w:val="5"/>
        <w:numPr>
          <w:ilvl w:val="0"/>
          <w:numId w:val="8"/>
        </w:numPr>
        <w:tabs>
          <w:tab w:val="left" w:pos="1160"/>
        </w:tabs>
        <w:snapToGrid w:val="0"/>
        <w:spacing w:line="300" w:lineRule="auto"/>
        <w:jc w:val="both"/>
        <w:rPr>
          <w:rFonts w:ascii="Arial" w:hAnsi="Arial" w:eastAsia="宋体" w:cs="Arial"/>
          <w:b w:val="0"/>
          <w:bCs w:val="0"/>
          <w:sz w:val="20"/>
          <w:szCs w:val="20"/>
          <w:u w:val="single"/>
        </w:rPr>
      </w:pPr>
      <w:r>
        <w:rPr>
          <w:rFonts w:ascii="Arial" w:hAnsi="Arial" w:eastAsia="宋体" w:cs="Arial"/>
          <w:u w:val="single" w:color="000000"/>
        </w:rPr>
        <w:t>特殊附件</w:t>
      </w:r>
    </w:p>
    <w:p w14:paraId="20DDD4F7">
      <w:pPr>
        <w:rPr>
          <w:rFonts w:ascii="Arial" w:hAnsi="Arial" w:eastAsia="宋体" w:cs="Arial"/>
          <w:sz w:val="24"/>
          <w:szCs w:val="24"/>
          <w:lang w:eastAsia="zh-CN"/>
        </w:rPr>
      </w:pPr>
      <w:bookmarkStart w:id="41" w:name="B._Point-of-Use_Processing"/>
      <w:bookmarkEnd w:id="41"/>
      <w:bookmarkStart w:id="42" w:name="C._Disassembly_and_Reassembly"/>
      <w:bookmarkEnd w:id="42"/>
      <w:r>
        <w:rPr>
          <w:rFonts w:ascii="Arial" w:hAnsi="Arial" w:eastAsia="宋体" w:cs="Arial"/>
          <w:lang w:eastAsia="zh-CN"/>
        </w:rPr>
        <w:br w:type="page"/>
      </w:r>
    </w:p>
    <w:p w14:paraId="2C626071">
      <w:pPr>
        <w:pStyle w:val="6"/>
        <w:snapToGrid w:val="0"/>
        <w:spacing w:before="214" w:line="300" w:lineRule="auto"/>
        <w:ind w:left="799"/>
        <w:jc w:val="both"/>
        <w:rPr>
          <w:rFonts w:ascii="Arial" w:hAnsi="Arial" w:eastAsia="宋体" w:cs="Arial"/>
          <w:lang w:eastAsia="zh-CN"/>
        </w:rPr>
      </w:pPr>
      <w:r>
        <w:rPr>
          <w:rFonts w:ascii="Arial" w:hAnsi="Arial" w:eastAsia="宋体" w:cs="Arial"/>
          <w:lang w:eastAsia="zh-CN"/>
        </w:rPr>
        <w:t>说明应描述进行安全再加工所需的任何附件。如果器械在再加工期间需要特殊保护（例如，阀门、塞子或螺旋帽以防止刺激性化学品进入），则应对其进行详细描述。说明还应确定任何特殊工具、刷子的尺寸和类型（包括定制刷子）、齐平端口连接器和连接器尺寸规格、工具盒、试验工具包、特定类型的灭菌包装或容器以及部件编号（如果适用）。说明应提供足够的细节，以便用户可以购买正确的物品，包括任何定制清洁附件，或确定购买此类物品的来源。</w:t>
      </w:r>
    </w:p>
    <w:p w14:paraId="1BEAB412">
      <w:pPr>
        <w:snapToGrid w:val="0"/>
        <w:spacing w:before="5" w:line="300" w:lineRule="auto"/>
        <w:jc w:val="both"/>
        <w:rPr>
          <w:rFonts w:ascii="Arial" w:hAnsi="Arial" w:eastAsia="宋体" w:cs="Arial"/>
          <w:sz w:val="24"/>
          <w:szCs w:val="24"/>
          <w:lang w:eastAsia="zh-CN"/>
        </w:rPr>
      </w:pPr>
    </w:p>
    <w:p w14:paraId="14EC6ED7">
      <w:pPr>
        <w:pStyle w:val="5"/>
        <w:numPr>
          <w:ilvl w:val="0"/>
          <w:numId w:val="8"/>
        </w:numPr>
        <w:tabs>
          <w:tab w:val="left" w:pos="1160"/>
        </w:tabs>
        <w:snapToGrid w:val="0"/>
        <w:spacing w:line="300" w:lineRule="auto"/>
        <w:jc w:val="both"/>
        <w:rPr>
          <w:rFonts w:ascii="Arial" w:hAnsi="Arial" w:eastAsia="宋体" w:cs="Arial"/>
          <w:b w:val="0"/>
          <w:bCs w:val="0"/>
          <w:u w:val="single"/>
        </w:rPr>
      </w:pPr>
      <w:r>
        <w:rPr>
          <w:rFonts w:ascii="Arial" w:hAnsi="Arial" w:eastAsia="宋体" w:cs="Arial"/>
          <w:u w:val="single" w:color="000000"/>
        </w:rPr>
        <w:t>使用点加工</w:t>
      </w:r>
    </w:p>
    <w:p w14:paraId="457C4DE6">
      <w:pPr>
        <w:snapToGrid w:val="0"/>
        <w:spacing w:before="7" w:line="300" w:lineRule="auto"/>
        <w:jc w:val="both"/>
        <w:rPr>
          <w:rFonts w:ascii="Arial" w:hAnsi="Arial" w:eastAsia="宋体" w:cs="Arial"/>
          <w:b/>
          <w:bCs/>
          <w:sz w:val="17"/>
          <w:szCs w:val="17"/>
        </w:rPr>
      </w:pPr>
    </w:p>
    <w:p w14:paraId="781DFB39">
      <w:pPr>
        <w:pStyle w:val="6"/>
        <w:snapToGrid w:val="0"/>
        <w:spacing w:line="300" w:lineRule="auto"/>
        <w:ind w:left="799"/>
        <w:jc w:val="both"/>
        <w:rPr>
          <w:rFonts w:ascii="Arial" w:hAnsi="Arial" w:eastAsia="宋体" w:cs="Arial"/>
          <w:lang w:eastAsia="zh-CN"/>
        </w:rPr>
      </w:pPr>
      <w:r>
        <w:rPr>
          <w:rFonts w:ascii="Arial" w:hAnsi="Arial" w:eastAsia="宋体" w:cs="Arial"/>
          <w:lang w:eastAsia="zh-CN"/>
        </w:rPr>
        <w:t>根据需要，标签应包括用于使用点加工的适当说明。例如，应适当提供有关在清洁之前执行及时的初始清洁步骤和/或措施以防止污物在器械表面上干燥的说明，因为其将有助于后续清洁步骤。</w:t>
      </w:r>
    </w:p>
    <w:p w14:paraId="532F6CD8">
      <w:pPr>
        <w:pStyle w:val="6"/>
        <w:snapToGrid w:val="0"/>
        <w:spacing w:line="300" w:lineRule="auto"/>
        <w:ind w:left="799"/>
        <w:jc w:val="both"/>
        <w:rPr>
          <w:rFonts w:ascii="Arial" w:hAnsi="Arial" w:eastAsia="宋体" w:cs="Arial"/>
          <w:lang w:eastAsia="zh-CN"/>
        </w:rPr>
      </w:pPr>
    </w:p>
    <w:p w14:paraId="3CFAC927">
      <w:pPr>
        <w:pStyle w:val="6"/>
        <w:snapToGrid w:val="0"/>
        <w:spacing w:line="300" w:lineRule="auto"/>
        <w:ind w:left="799"/>
        <w:jc w:val="both"/>
        <w:rPr>
          <w:rFonts w:ascii="Arial" w:hAnsi="Arial" w:eastAsia="宋体" w:cs="Arial"/>
          <w:lang w:eastAsia="zh-CN"/>
        </w:rPr>
      </w:pPr>
      <w:r>
        <w:rPr>
          <w:rFonts w:ascii="Arial" w:hAnsi="Arial" w:eastAsia="宋体" w:cs="Arial"/>
          <w:lang w:eastAsia="zh-CN"/>
        </w:rPr>
        <w:t>一般来说，再加工过程应尽可能减少或消除步骤之间的延迟。延迟可能产生有利于微生物生长的条件，从而可能提高后续步骤（如清洁和消毒/灭菌）的挑战性。有机污染物可能会灭活或阻止消毒剂或消毒剂的完全渗透。</w:t>
      </w:r>
    </w:p>
    <w:p w14:paraId="63A26E67">
      <w:pPr>
        <w:snapToGrid w:val="0"/>
        <w:spacing w:before="5" w:line="300" w:lineRule="auto"/>
        <w:jc w:val="both"/>
        <w:rPr>
          <w:rFonts w:ascii="Arial" w:hAnsi="Arial" w:eastAsia="宋体" w:cs="Arial"/>
          <w:sz w:val="24"/>
          <w:szCs w:val="24"/>
          <w:lang w:eastAsia="zh-CN"/>
        </w:rPr>
      </w:pPr>
    </w:p>
    <w:p w14:paraId="63C3D76D">
      <w:pPr>
        <w:pStyle w:val="5"/>
        <w:numPr>
          <w:ilvl w:val="0"/>
          <w:numId w:val="8"/>
        </w:numPr>
        <w:tabs>
          <w:tab w:val="left" w:pos="1160"/>
        </w:tabs>
        <w:snapToGrid w:val="0"/>
        <w:spacing w:line="300" w:lineRule="auto"/>
        <w:jc w:val="both"/>
        <w:rPr>
          <w:rFonts w:ascii="Arial" w:hAnsi="Arial" w:eastAsia="宋体" w:cs="Arial"/>
          <w:b w:val="0"/>
          <w:bCs w:val="0"/>
          <w:u w:val="single"/>
        </w:rPr>
      </w:pPr>
      <w:r>
        <w:rPr>
          <w:rFonts w:ascii="Arial" w:hAnsi="Arial" w:eastAsia="宋体" w:cs="Arial"/>
          <w:u w:val="single" w:color="000000"/>
        </w:rPr>
        <w:t>拆卸和重新组装</w:t>
      </w:r>
    </w:p>
    <w:p w14:paraId="1E48DF9D">
      <w:pPr>
        <w:snapToGrid w:val="0"/>
        <w:spacing w:before="7" w:line="300" w:lineRule="auto"/>
        <w:jc w:val="both"/>
        <w:rPr>
          <w:rFonts w:ascii="Arial" w:hAnsi="Arial" w:eastAsia="宋体" w:cs="Arial"/>
          <w:b/>
          <w:bCs/>
          <w:sz w:val="17"/>
          <w:szCs w:val="17"/>
        </w:rPr>
      </w:pPr>
    </w:p>
    <w:p w14:paraId="17B6A338">
      <w:pPr>
        <w:pStyle w:val="6"/>
        <w:snapToGrid w:val="0"/>
        <w:spacing w:line="300" w:lineRule="auto"/>
        <w:ind w:left="799"/>
        <w:jc w:val="both"/>
        <w:rPr>
          <w:rFonts w:ascii="Arial" w:hAnsi="Arial" w:eastAsia="宋体" w:cs="Arial"/>
          <w:lang w:eastAsia="zh-CN"/>
        </w:rPr>
      </w:pPr>
      <w:r>
        <w:rPr>
          <w:rFonts w:ascii="Arial" w:hAnsi="Arial" w:eastAsia="宋体" w:cs="Arial"/>
          <w:lang w:eastAsia="zh-CN"/>
        </w:rPr>
        <w:t>如果器械具有可拆卸部件，则再加工说明应包括拆卸和重新组装器械以方便用户清洁的分步说明。应确定执行这些活动所需的设备。建议使用图表、照片、插图和/或视频。此外，说明应指明用户应执行该步骤的位置（例如，在使用点时，在指明的清洁区域）。</w:t>
      </w:r>
    </w:p>
    <w:p w14:paraId="4B330723">
      <w:pPr>
        <w:snapToGrid w:val="0"/>
        <w:spacing w:line="300" w:lineRule="auto"/>
        <w:jc w:val="both"/>
        <w:rPr>
          <w:rFonts w:ascii="Arial" w:hAnsi="Arial" w:eastAsia="宋体" w:cs="Arial"/>
          <w:sz w:val="24"/>
          <w:szCs w:val="24"/>
          <w:lang w:eastAsia="zh-CN"/>
        </w:rPr>
      </w:pPr>
    </w:p>
    <w:p w14:paraId="2CE87431">
      <w:pPr>
        <w:pStyle w:val="6"/>
        <w:snapToGrid w:val="0"/>
        <w:spacing w:line="300" w:lineRule="auto"/>
        <w:ind w:left="799"/>
        <w:jc w:val="both"/>
        <w:rPr>
          <w:rFonts w:ascii="Arial" w:hAnsi="Arial" w:eastAsia="宋体" w:cs="Arial"/>
          <w:sz w:val="20"/>
          <w:szCs w:val="20"/>
          <w:lang w:eastAsia="zh-CN"/>
        </w:rPr>
      </w:pPr>
      <w:r>
        <w:rPr>
          <w:rFonts w:ascii="Arial" w:hAnsi="Arial" w:eastAsia="宋体" w:cs="Arial"/>
          <w:lang w:eastAsia="zh-CN"/>
        </w:rPr>
        <w:t>拆卸和重新组装说明应清晰明了、特定于器械并反映确认活动。“拆卸（如果适用）”等表述是指“适用性”的确定由用户决定；但不应使用此类模糊语言。如果器械必须拆卸以进行清洁，则应对说明进行确认，以确保在再加工过程中的适当时间点可进行适当的重新组装。标签应向用户提供经确认的方法，用于验证重新组装是否已正确执行；这是为了确保器械处于可操作状态以供下次使用。说明还应规定应灭菌之前还是之后进行重新组装。此外，拆卸和重新组装说明应提供用于目视检查器械和组件已确定无法在完全组装配置中评估的组件磨损信息。</w:t>
      </w:r>
    </w:p>
    <w:p w14:paraId="2534D50C">
      <w:pPr>
        <w:snapToGrid w:val="0"/>
        <w:spacing w:line="300" w:lineRule="auto"/>
        <w:jc w:val="both"/>
        <w:rPr>
          <w:rFonts w:ascii="Arial" w:hAnsi="Arial" w:eastAsia="宋体" w:cs="Arial"/>
          <w:sz w:val="20"/>
          <w:szCs w:val="20"/>
          <w:lang w:eastAsia="zh-CN"/>
        </w:rPr>
      </w:pPr>
    </w:p>
    <w:p w14:paraId="44A32FBB">
      <w:pPr>
        <w:rPr>
          <w:rFonts w:ascii="Arial" w:hAnsi="Arial" w:eastAsia="宋体" w:cs="Arial"/>
          <w:sz w:val="24"/>
          <w:szCs w:val="24"/>
          <w:lang w:eastAsia="zh-CN"/>
        </w:rPr>
      </w:pPr>
      <w:bookmarkStart w:id="43" w:name="D._Method_of_Cleaning"/>
      <w:bookmarkEnd w:id="43"/>
      <w:bookmarkStart w:id="44" w:name="E._Cleaning_Agents"/>
      <w:bookmarkEnd w:id="44"/>
      <w:r>
        <w:rPr>
          <w:rFonts w:ascii="Arial" w:hAnsi="Arial" w:eastAsia="宋体" w:cs="Arial"/>
          <w:lang w:eastAsia="zh-CN"/>
        </w:rPr>
        <w:br w:type="page"/>
      </w:r>
    </w:p>
    <w:p w14:paraId="35D0C7C4">
      <w:pPr>
        <w:pStyle w:val="6"/>
        <w:snapToGrid w:val="0"/>
        <w:spacing w:before="214" w:line="300" w:lineRule="auto"/>
        <w:jc w:val="both"/>
        <w:rPr>
          <w:rFonts w:ascii="Arial" w:hAnsi="Arial" w:eastAsia="宋体" w:cs="Arial"/>
          <w:lang w:eastAsia="zh-CN"/>
        </w:rPr>
      </w:pPr>
      <w:r>
        <w:rPr>
          <w:rFonts w:ascii="Arial" w:hAnsi="Arial" w:eastAsia="宋体" w:cs="Arial"/>
          <w:lang w:eastAsia="zh-CN"/>
        </w:rPr>
        <w:t>如果重新组装应由外科医生进行，且已在外科医生手册中进行说明，则也应在再加工说明中提及。</w:t>
      </w:r>
    </w:p>
    <w:p w14:paraId="2154A4BA">
      <w:pPr>
        <w:snapToGrid w:val="0"/>
        <w:spacing w:before="5" w:line="300" w:lineRule="auto"/>
        <w:jc w:val="both"/>
        <w:rPr>
          <w:rFonts w:ascii="Arial" w:hAnsi="Arial" w:eastAsia="宋体" w:cs="Arial"/>
          <w:sz w:val="24"/>
          <w:szCs w:val="24"/>
          <w:lang w:eastAsia="zh-CN"/>
        </w:rPr>
      </w:pPr>
    </w:p>
    <w:p w14:paraId="34702629">
      <w:pPr>
        <w:pStyle w:val="5"/>
        <w:numPr>
          <w:ilvl w:val="0"/>
          <w:numId w:val="8"/>
        </w:numPr>
        <w:tabs>
          <w:tab w:val="left" w:pos="1160"/>
        </w:tabs>
        <w:snapToGrid w:val="0"/>
        <w:spacing w:line="300" w:lineRule="auto"/>
        <w:jc w:val="both"/>
        <w:rPr>
          <w:rFonts w:ascii="Arial" w:hAnsi="Arial" w:eastAsia="宋体" w:cs="Arial"/>
          <w:b w:val="0"/>
          <w:bCs w:val="0"/>
          <w:u w:val="single"/>
        </w:rPr>
      </w:pPr>
      <w:r>
        <w:rPr>
          <w:rFonts w:ascii="Arial" w:hAnsi="Arial" w:eastAsia="宋体" w:cs="Arial"/>
          <w:u w:val="single" w:color="000000"/>
        </w:rPr>
        <w:t>清洁方法</w:t>
      </w:r>
    </w:p>
    <w:p w14:paraId="4F14A6F3">
      <w:pPr>
        <w:snapToGrid w:val="0"/>
        <w:spacing w:before="7" w:line="300" w:lineRule="auto"/>
        <w:jc w:val="both"/>
        <w:rPr>
          <w:rFonts w:ascii="Arial" w:hAnsi="Arial" w:eastAsia="宋体" w:cs="Arial"/>
          <w:b/>
          <w:bCs/>
          <w:sz w:val="17"/>
          <w:szCs w:val="17"/>
        </w:rPr>
      </w:pPr>
    </w:p>
    <w:p w14:paraId="47BA9B1B">
      <w:pPr>
        <w:pStyle w:val="6"/>
        <w:snapToGrid w:val="0"/>
        <w:spacing w:line="300" w:lineRule="auto"/>
        <w:jc w:val="both"/>
        <w:rPr>
          <w:rFonts w:ascii="Arial" w:hAnsi="Arial" w:eastAsia="宋体" w:cs="Arial"/>
          <w:lang w:eastAsia="zh-CN"/>
        </w:rPr>
      </w:pPr>
      <w:r>
        <w:rPr>
          <w:rFonts w:ascii="Arial" w:hAnsi="Arial" w:eastAsia="宋体" w:cs="Arial"/>
          <w:lang w:eastAsia="zh-CN"/>
        </w:rPr>
        <w:t>标签应提供详细的、经确认的清洁方法。该方法可以是手动或机动（例如，清洁器、清洁器/消毒器、超声波清洁器）或者可以结合两者。然而，制造商应意识到，一些小型医疗机构可能没有自动清洁设备；因此，可能需要经确认的手动清洁说明。</w:t>
      </w:r>
    </w:p>
    <w:p w14:paraId="503ECD9D">
      <w:pPr>
        <w:pStyle w:val="6"/>
        <w:snapToGrid w:val="0"/>
        <w:spacing w:line="300" w:lineRule="auto"/>
        <w:jc w:val="both"/>
        <w:rPr>
          <w:rFonts w:ascii="Arial" w:hAnsi="Arial" w:eastAsia="宋体" w:cs="Arial"/>
          <w:lang w:eastAsia="zh-CN"/>
        </w:rPr>
      </w:pPr>
    </w:p>
    <w:p w14:paraId="5C22CF8C">
      <w:pPr>
        <w:pStyle w:val="6"/>
        <w:snapToGrid w:val="0"/>
        <w:spacing w:line="300" w:lineRule="auto"/>
        <w:jc w:val="both"/>
        <w:rPr>
          <w:rFonts w:ascii="Arial" w:hAnsi="Arial" w:eastAsia="宋体" w:cs="Arial"/>
          <w:lang w:eastAsia="zh-CN"/>
        </w:rPr>
      </w:pPr>
      <w:r>
        <w:rPr>
          <w:rFonts w:ascii="Arial" w:hAnsi="Arial" w:eastAsia="宋体" w:cs="Arial"/>
          <w:lang w:eastAsia="zh-CN"/>
        </w:rPr>
        <w:t>清洁说明应提供各推荐方法的适当参数清单。</w:t>
      </w:r>
    </w:p>
    <w:p w14:paraId="30AC2F1E">
      <w:pPr>
        <w:pStyle w:val="6"/>
        <w:snapToGrid w:val="0"/>
        <w:spacing w:line="300" w:lineRule="auto"/>
        <w:jc w:val="both"/>
        <w:rPr>
          <w:rFonts w:ascii="Arial" w:hAnsi="Arial" w:eastAsia="宋体" w:cs="Arial"/>
          <w:lang w:eastAsia="zh-CN"/>
        </w:rPr>
      </w:pPr>
    </w:p>
    <w:p w14:paraId="22A5C36B">
      <w:pPr>
        <w:pStyle w:val="6"/>
        <w:snapToGrid w:val="0"/>
        <w:spacing w:line="300" w:lineRule="auto"/>
        <w:jc w:val="both"/>
        <w:rPr>
          <w:rFonts w:ascii="Arial" w:hAnsi="Arial" w:eastAsia="宋体" w:cs="Arial"/>
          <w:lang w:eastAsia="zh-CN"/>
        </w:rPr>
      </w:pPr>
      <w:r>
        <w:rPr>
          <w:rFonts w:ascii="Arial" w:hAnsi="Arial" w:eastAsia="宋体" w:cs="Arial"/>
          <w:lang w:eastAsia="zh-CN"/>
        </w:rPr>
        <w:t>对于手动清洁，标签应指明每个加工步骤的持续时间，以及温度、水质和其他必要条件。在适当的情况下，应根据器械设计和确认活动来指明重复启动、屈曲和操作。</w:t>
      </w:r>
    </w:p>
    <w:p w14:paraId="4C9D2976">
      <w:pPr>
        <w:snapToGrid w:val="0"/>
        <w:spacing w:line="300" w:lineRule="auto"/>
        <w:jc w:val="both"/>
        <w:rPr>
          <w:rFonts w:ascii="Arial" w:hAnsi="Arial" w:eastAsia="宋体" w:cs="Arial"/>
          <w:sz w:val="24"/>
          <w:szCs w:val="24"/>
          <w:lang w:eastAsia="zh-CN"/>
        </w:rPr>
      </w:pPr>
    </w:p>
    <w:p w14:paraId="5F55599B">
      <w:pPr>
        <w:pStyle w:val="6"/>
        <w:snapToGrid w:val="0"/>
        <w:spacing w:line="300" w:lineRule="auto"/>
        <w:jc w:val="both"/>
        <w:rPr>
          <w:rFonts w:ascii="Arial" w:hAnsi="Arial" w:eastAsia="宋体" w:cs="Arial"/>
          <w:lang w:eastAsia="zh-CN"/>
        </w:rPr>
      </w:pPr>
      <w:r>
        <w:rPr>
          <w:rFonts w:ascii="Arial" w:hAnsi="Arial" w:eastAsia="宋体" w:cs="Arial"/>
          <w:lang w:eastAsia="zh-CN"/>
        </w:rPr>
        <w:t>类似地，对于自动清洁，标签应指明所有加工条件。说明应推荐设备设置，如时间、温度和最大器械负载大小。</w:t>
      </w:r>
    </w:p>
    <w:p w14:paraId="6C9B30A4">
      <w:pPr>
        <w:pStyle w:val="6"/>
        <w:snapToGrid w:val="0"/>
        <w:spacing w:line="300" w:lineRule="auto"/>
        <w:jc w:val="both"/>
        <w:rPr>
          <w:rFonts w:ascii="Arial" w:hAnsi="Arial" w:eastAsia="宋体" w:cs="Arial"/>
          <w:lang w:eastAsia="zh-CN"/>
        </w:rPr>
      </w:pPr>
    </w:p>
    <w:p w14:paraId="4BD758B5">
      <w:pPr>
        <w:pStyle w:val="6"/>
        <w:snapToGrid w:val="0"/>
        <w:spacing w:line="300" w:lineRule="auto"/>
        <w:jc w:val="both"/>
        <w:rPr>
          <w:rFonts w:ascii="Arial" w:hAnsi="Arial" w:eastAsia="宋体" w:cs="Arial"/>
          <w:lang w:eastAsia="zh-CN"/>
        </w:rPr>
      </w:pPr>
      <w:r>
        <w:rPr>
          <w:rFonts w:ascii="Arial" w:hAnsi="Arial" w:eastAsia="宋体" w:cs="Arial"/>
          <w:lang w:eastAsia="zh-CN"/>
        </w:rPr>
        <w:t>无论清洁方法为手动、自动还是两者的组合，标签应含有全面的说明，包括每个清洁、冲洗和干燥步骤的照片和/或图表（如果适用），以便用户可以准确地遵循这些步骤或将其编程到器械清洁器或清洁器/消毒器中。有关使用洗涤剂、酶清洁剂和自动清洁循环的建议应符合这些产品的制造商使用说明。</w:t>
      </w:r>
    </w:p>
    <w:p w14:paraId="0CC399B3">
      <w:pPr>
        <w:snapToGrid w:val="0"/>
        <w:spacing w:line="300" w:lineRule="auto"/>
        <w:jc w:val="both"/>
        <w:rPr>
          <w:rFonts w:ascii="Arial" w:hAnsi="Arial" w:eastAsia="宋体" w:cs="Arial"/>
          <w:sz w:val="24"/>
          <w:szCs w:val="24"/>
          <w:lang w:eastAsia="zh-CN"/>
        </w:rPr>
      </w:pPr>
    </w:p>
    <w:p w14:paraId="086709EA">
      <w:pPr>
        <w:pStyle w:val="6"/>
        <w:snapToGrid w:val="0"/>
        <w:spacing w:line="300" w:lineRule="auto"/>
        <w:jc w:val="both"/>
        <w:rPr>
          <w:rFonts w:ascii="Arial" w:hAnsi="Arial" w:eastAsia="宋体" w:cs="Arial"/>
          <w:lang w:eastAsia="zh-CN"/>
        </w:rPr>
      </w:pPr>
      <w:r>
        <w:rPr>
          <w:rFonts w:ascii="Arial" w:hAnsi="Arial" w:eastAsia="宋体" w:cs="Arial"/>
          <w:lang w:eastAsia="zh-CN"/>
        </w:rPr>
        <w:t>标签应提供医疗器械的表面清洁说明，其中，此类医疗器械处于通过医疗员工的常规加工而受到患者物质污染的风险当中。即使建议仅进行简单的表面清洁，标签应标识所建议的方法、特定位置或材料的任何注意事项、所需的任何拆卸以及后续步骤。</w:t>
      </w:r>
    </w:p>
    <w:p w14:paraId="7FC339F1">
      <w:pPr>
        <w:pStyle w:val="6"/>
        <w:snapToGrid w:val="0"/>
        <w:spacing w:line="300" w:lineRule="auto"/>
        <w:jc w:val="both"/>
        <w:rPr>
          <w:rFonts w:ascii="Arial" w:hAnsi="Arial" w:eastAsia="宋体" w:cs="Arial"/>
          <w:lang w:eastAsia="zh-CN"/>
        </w:rPr>
      </w:pPr>
    </w:p>
    <w:p w14:paraId="44382CD7">
      <w:pPr>
        <w:pStyle w:val="6"/>
        <w:snapToGrid w:val="0"/>
        <w:spacing w:line="300" w:lineRule="auto"/>
        <w:jc w:val="both"/>
        <w:rPr>
          <w:rFonts w:ascii="Arial" w:hAnsi="Arial" w:eastAsia="宋体" w:cs="Arial"/>
          <w:lang w:eastAsia="zh-CN"/>
        </w:rPr>
      </w:pPr>
      <w:r>
        <w:rPr>
          <w:rFonts w:ascii="Arial" w:hAnsi="Arial" w:eastAsia="宋体" w:cs="Arial"/>
          <w:lang w:eastAsia="zh-CN"/>
        </w:rPr>
        <w:t>对于其内部组件在临床使用时未被污染但可能因与液体（例如清洁剂、消毒剂）接触而被损坏的器械，表面清洁说明应说明如何充分清洁器械，并防止与其设计不适用于与液体接触的内部器械组件接触。</w:t>
      </w:r>
    </w:p>
    <w:p w14:paraId="7C0CA9A3">
      <w:pPr>
        <w:snapToGrid w:val="0"/>
        <w:spacing w:before="5" w:line="300" w:lineRule="auto"/>
        <w:jc w:val="both"/>
        <w:rPr>
          <w:rFonts w:ascii="Arial" w:hAnsi="Arial" w:eastAsia="宋体" w:cs="Arial"/>
          <w:sz w:val="24"/>
          <w:szCs w:val="24"/>
          <w:lang w:eastAsia="zh-CN"/>
        </w:rPr>
      </w:pPr>
    </w:p>
    <w:p w14:paraId="4241ECF5">
      <w:pPr>
        <w:pStyle w:val="5"/>
        <w:numPr>
          <w:ilvl w:val="0"/>
          <w:numId w:val="8"/>
        </w:numPr>
        <w:tabs>
          <w:tab w:val="left" w:pos="1160"/>
        </w:tabs>
        <w:snapToGrid w:val="0"/>
        <w:spacing w:line="300" w:lineRule="auto"/>
        <w:jc w:val="both"/>
        <w:rPr>
          <w:rFonts w:ascii="Arial" w:hAnsi="Arial" w:eastAsia="宋体" w:cs="Arial"/>
          <w:b w:val="0"/>
          <w:bCs w:val="0"/>
          <w:sz w:val="20"/>
          <w:szCs w:val="20"/>
          <w:u w:val="single"/>
        </w:rPr>
      </w:pPr>
      <w:r>
        <w:rPr>
          <w:rFonts w:ascii="Arial" w:hAnsi="Arial" w:eastAsia="宋体" w:cs="Arial"/>
          <w:u w:val="single" w:color="000000"/>
        </w:rPr>
        <w:t>清洁剂</w:t>
      </w:r>
    </w:p>
    <w:p w14:paraId="6DF5D2AE">
      <w:pPr>
        <w:pStyle w:val="6"/>
        <w:snapToGrid w:val="0"/>
        <w:spacing w:line="300" w:lineRule="auto"/>
        <w:jc w:val="both"/>
        <w:rPr>
          <w:rFonts w:ascii="Arial" w:hAnsi="Arial" w:eastAsia="宋体" w:cs="Arial"/>
          <w:lang w:eastAsia="zh-CN"/>
        </w:rPr>
      </w:pPr>
      <w:bookmarkStart w:id="45" w:name="F._Rinsing"/>
      <w:bookmarkEnd w:id="45"/>
      <w:r>
        <w:rPr>
          <w:rFonts w:ascii="Arial" w:hAnsi="Arial" w:eastAsia="宋体" w:cs="Arial"/>
          <w:lang w:eastAsia="zh-CN"/>
        </w:rPr>
        <w:t>说明应仅推荐在清洁验证研究期间使用的清洁剂或试剂的类别（例如，季铵化合物和酶清洁剂等），其中，此类试剂已证明与器械相容并且可有效用于清洁器械。标签应提供制备和使用这些试剂的说明（例如，每加仑水混合1盎司的洗涤剂），或者参考清洁剂标签以制备和使用说明（例如，根据洗涤剂制造商的说明）。用于特定医疗器械的标签应符合清洁剂制造商的产品使用说明。</w:t>
      </w:r>
    </w:p>
    <w:p w14:paraId="64A6B170">
      <w:pPr>
        <w:pStyle w:val="6"/>
        <w:snapToGrid w:val="0"/>
        <w:spacing w:line="300" w:lineRule="auto"/>
        <w:jc w:val="both"/>
        <w:rPr>
          <w:rFonts w:ascii="Arial" w:hAnsi="Arial" w:eastAsia="宋体" w:cs="Arial"/>
          <w:lang w:eastAsia="zh-CN"/>
        </w:rPr>
      </w:pPr>
    </w:p>
    <w:p w14:paraId="42B2D7BE">
      <w:pPr>
        <w:pStyle w:val="6"/>
        <w:snapToGrid w:val="0"/>
        <w:spacing w:line="300" w:lineRule="auto"/>
        <w:jc w:val="both"/>
        <w:rPr>
          <w:rFonts w:ascii="Arial" w:hAnsi="Arial" w:eastAsia="宋体" w:cs="Arial"/>
          <w:lang w:eastAsia="zh-CN"/>
        </w:rPr>
      </w:pPr>
      <w:r>
        <w:rPr>
          <w:rFonts w:ascii="Arial" w:hAnsi="Arial" w:eastAsia="宋体" w:cs="Arial"/>
          <w:lang w:eastAsia="zh-CN"/>
        </w:rPr>
        <w:t>某些产品（例如一些季铵化合物和醇）可用于清洁（去除污物）和消毒（微生物灭活）。其他产品只能执行这两个功能中的一个。如果旨在进行这两个步骤，使用说明应涉及清洁和消毒，并应清楚说明清洁和消毒之间的区别以及每个步骤使用的产品。</w:t>
      </w:r>
    </w:p>
    <w:p w14:paraId="7E66138D">
      <w:pPr>
        <w:snapToGrid w:val="0"/>
        <w:spacing w:before="5" w:line="300" w:lineRule="auto"/>
        <w:jc w:val="both"/>
        <w:rPr>
          <w:rFonts w:ascii="Arial" w:hAnsi="Arial" w:eastAsia="宋体" w:cs="Arial"/>
          <w:sz w:val="24"/>
          <w:szCs w:val="24"/>
          <w:lang w:eastAsia="zh-CN"/>
        </w:rPr>
      </w:pPr>
    </w:p>
    <w:p w14:paraId="145B5695">
      <w:pPr>
        <w:pStyle w:val="5"/>
        <w:numPr>
          <w:ilvl w:val="0"/>
          <w:numId w:val="8"/>
        </w:numPr>
        <w:tabs>
          <w:tab w:val="left" w:pos="1160"/>
        </w:tabs>
        <w:snapToGrid w:val="0"/>
        <w:spacing w:line="300" w:lineRule="auto"/>
        <w:jc w:val="both"/>
        <w:rPr>
          <w:rFonts w:ascii="Arial" w:hAnsi="Arial" w:eastAsia="宋体" w:cs="Arial"/>
          <w:b w:val="0"/>
          <w:bCs w:val="0"/>
          <w:u w:val="single"/>
        </w:rPr>
      </w:pPr>
      <w:r>
        <w:rPr>
          <w:rFonts w:ascii="Arial" w:hAnsi="Arial" w:eastAsia="宋体" w:cs="Arial"/>
          <w:u w:val="single" w:color="000000"/>
        </w:rPr>
        <w:t>冲洗</w:t>
      </w:r>
    </w:p>
    <w:p w14:paraId="0F91A367">
      <w:pPr>
        <w:snapToGrid w:val="0"/>
        <w:spacing w:before="7" w:line="300" w:lineRule="auto"/>
        <w:jc w:val="both"/>
        <w:rPr>
          <w:rFonts w:ascii="Arial" w:hAnsi="Arial" w:eastAsia="宋体" w:cs="Arial"/>
          <w:b/>
          <w:bCs/>
          <w:sz w:val="17"/>
          <w:szCs w:val="17"/>
        </w:rPr>
      </w:pPr>
    </w:p>
    <w:p w14:paraId="17E6A8C5">
      <w:pPr>
        <w:pStyle w:val="6"/>
        <w:snapToGrid w:val="0"/>
        <w:spacing w:line="300" w:lineRule="auto"/>
        <w:jc w:val="both"/>
        <w:rPr>
          <w:rFonts w:ascii="Arial" w:hAnsi="Arial" w:eastAsia="宋体" w:cs="Arial"/>
          <w:lang w:eastAsia="zh-CN"/>
        </w:rPr>
      </w:pPr>
      <w:r>
        <w:rPr>
          <w:rFonts w:ascii="Arial" w:hAnsi="Arial" w:eastAsia="宋体" w:cs="Arial"/>
          <w:lang w:eastAsia="zh-CN"/>
        </w:rPr>
        <w:t>标签应推荐有关进行冲洗以去除再加工中使用的化学残留物的具体说明；清洁后以及使用液体化学灭菌剂/高水平消毒剂后，应进行冲洗步骤。冲洗可能是手动或机动。冲洗说明应提供冲洗水的类型和质量、冲洗持续时间（或冲洗次数、体积和重复次数）以及温度。贵公司可以参考洗涤剂制造商的标签，以协助制定贵公司经确认的冲洗说明。</w:t>
      </w:r>
    </w:p>
    <w:p w14:paraId="4EF63462">
      <w:pPr>
        <w:pStyle w:val="6"/>
        <w:snapToGrid w:val="0"/>
        <w:spacing w:line="300" w:lineRule="auto"/>
        <w:jc w:val="both"/>
        <w:rPr>
          <w:rFonts w:ascii="Arial" w:hAnsi="Arial" w:eastAsia="宋体" w:cs="Arial"/>
          <w:lang w:eastAsia="zh-CN"/>
        </w:rPr>
      </w:pPr>
    </w:p>
    <w:p w14:paraId="536A5EA8">
      <w:pPr>
        <w:pStyle w:val="6"/>
        <w:snapToGrid w:val="0"/>
        <w:spacing w:line="300" w:lineRule="auto"/>
        <w:jc w:val="both"/>
        <w:rPr>
          <w:rFonts w:ascii="Arial" w:hAnsi="Arial" w:eastAsia="宋体" w:cs="Arial"/>
          <w:lang w:eastAsia="zh-CN"/>
        </w:rPr>
      </w:pPr>
      <w:r>
        <w:rPr>
          <w:rFonts w:ascii="Arial" w:hAnsi="Arial" w:eastAsia="宋体" w:cs="Arial"/>
          <w:lang w:eastAsia="zh-CN"/>
        </w:rPr>
        <w:t>应确认冲洗说明，来证明残留清洁剂和液体灭菌剂的水平已被减少至不会干扰后续再加工步骤以及不具有毒性的水平。此外，对于某些器械，最终的冲洗水规格应足以去除细菌内毒素。（请注意，自来水可能含有细菌内毒素。）</w:t>
      </w:r>
    </w:p>
    <w:p w14:paraId="4B4F3FC5">
      <w:pPr>
        <w:snapToGrid w:val="0"/>
        <w:spacing w:line="300" w:lineRule="auto"/>
        <w:jc w:val="both"/>
        <w:rPr>
          <w:rFonts w:ascii="Arial" w:hAnsi="Arial" w:eastAsia="宋体" w:cs="Arial"/>
          <w:sz w:val="24"/>
          <w:szCs w:val="24"/>
          <w:lang w:eastAsia="zh-CN"/>
        </w:rPr>
      </w:pPr>
    </w:p>
    <w:p w14:paraId="4E594080">
      <w:pPr>
        <w:pStyle w:val="6"/>
        <w:snapToGrid w:val="0"/>
        <w:spacing w:before="69" w:line="300" w:lineRule="auto"/>
        <w:jc w:val="both"/>
        <w:rPr>
          <w:rFonts w:ascii="Arial" w:hAnsi="Arial" w:eastAsia="宋体" w:cs="Arial"/>
        </w:rPr>
      </w:pPr>
      <w:r>
        <w:rPr>
          <w:rFonts w:ascii="Arial" w:hAnsi="Arial" w:eastAsia="宋体" w:cs="Arial"/>
          <w:lang w:eastAsia="zh-CN"/>
        </w:rPr>
        <w:t>我们建议贵公司参考当前版本的AAMI TIR34“用于医疗器械再加工的水”，以获得有关最终冲洗水质量的更多信息，并根据器械的预期用途确定最终冲洗水的最佳水质。</w:t>
      </w:r>
      <w:r>
        <w:rPr>
          <w:rFonts w:ascii="Arial" w:hAnsi="Arial" w:eastAsia="宋体" w:cs="Arial"/>
        </w:rPr>
        <w:t>我们还建议贵公司参考FDA的指南“</w:t>
      </w:r>
      <w:r>
        <w:rPr>
          <w:rFonts w:hint="eastAsia" w:ascii="Arial" w:hAnsi="Arial" w:eastAsia="宋体" w:cs="Arial"/>
          <w:color w:val="0000FF"/>
          <w:u w:val="single"/>
        </w:rPr>
        <w:t>热原和</w:t>
      </w:r>
      <w:r>
        <w:rPr>
          <w:rFonts w:hint="eastAsia" w:ascii="Arial" w:hAnsi="Arial" w:eastAsia="宋体" w:cs="Arial"/>
          <w:color w:val="0000FF"/>
          <w:u w:val="single"/>
          <w:lang w:eastAsia="zh-CN"/>
        </w:rPr>
        <w:t>细胞</w:t>
      </w:r>
      <w:r>
        <w:rPr>
          <w:rFonts w:hint="eastAsia" w:ascii="Arial" w:hAnsi="Arial" w:eastAsia="宋体" w:cs="Arial"/>
          <w:color w:val="0000FF"/>
          <w:u w:val="single"/>
        </w:rPr>
        <w:t>内毒素试验：问</w:t>
      </w:r>
      <w:r>
        <w:rPr>
          <w:rFonts w:hint="eastAsia" w:ascii="Arial" w:hAnsi="Arial" w:eastAsia="宋体" w:cs="Arial"/>
          <w:color w:val="0000FF"/>
          <w:u w:val="single"/>
          <w:lang w:eastAsia="zh-CN"/>
        </w:rPr>
        <w:t>题和</w:t>
      </w:r>
      <w:r>
        <w:rPr>
          <w:rFonts w:hint="eastAsia" w:ascii="Arial" w:hAnsi="Arial" w:eastAsia="宋体" w:cs="Arial"/>
          <w:color w:val="0000FF"/>
          <w:u w:val="single"/>
        </w:rPr>
        <w:t>答</w:t>
      </w:r>
      <w:r>
        <w:rPr>
          <w:rFonts w:hint="eastAsia" w:ascii="Arial" w:hAnsi="Arial" w:eastAsia="宋体" w:cs="Arial"/>
          <w:color w:val="0000FF"/>
          <w:u w:val="single"/>
          <w:lang w:eastAsia="zh-CN"/>
        </w:rPr>
        <w:t>案</w:t>
      </w:r>
      <w:r>
        <w:rPr>
          <w:rFonts w:ascii="Arial" w:hAnsi="Arial" w:eastAsia="宋体" w:cs="Arial"/>
          <w:color w:val="0000FF"/>
          <w:u w:val="single"/>
        </w:rPr>
        <w:t>”</w:t>
      </w:r>
      <w:r>
        <w:rPr>
          <w:rFonts w:hint="eastAsia" w:ascii="Arial" w:hAnsi="Arial" w:eastAsia="宋体" w:cs="Arial"/>
          <w:color w:val="0000FF"/>
          <w:u w:val="single"/>
        </w:rPr>
        <w:t>（</w:t>
      </w:r>
      <w:r>
        <w:rPr>
          <w:rFonts w:ascii="Arial" w:hAnsi="Arial" w:eastAsia="宋体" w:cs="Arial"/>
          <w:color w:val="0000FF"/>
          <w:u w:val="single"/>
        </w:rPr>
        <w:t>http</w:t>
      </w:r>
      <w:r>
        <w:rPr>
          <w:rFonts w:hint="eastAsia" w:ascii="Arial" w:hAnsi="Arial" w:eastAsia="宋体" w:cs="Arial"/>
          <w:color w:val="0000FF"/>
          <w:u w:val="single"/>
        </w:rPr>
        <w:t>：</w:t>
      </w:r>
      <w:r>
        <w:rPr>
          <w:rFonts w:ascii="Arial" w:hAnsi="Arial" w:eastAsia="宋体" w:cs="Arial"/>
          <w:color w:val="0000FF"/>
          <w:u w:val="single"/>
        </w:rPr>
        <w:t>//www.fda.gov/downloads/Drugs/GuidanceComplianceRegulatoryInformation/ Guidances/UCM310098.pdf</w:t>
      </w:r>
      <w:r>
        <w:rPr>
          <w:rFonts w:hint="eastAsia" w:ascii="Arial" w:hAnsi="Arial" w:eastAsia="宋体" w:cs="Arial"/>
        </w:rPr>
        <w:t>）。</w:t>
      </w:r>
    </w:p>
    <w:p w14:paraId="4DC5579D">
      <w:pPr>
        <w:pStyle w:val="6"/>
        <w:snapToGrid w:val="0"/>
        <w:spacing w:before="69" w:line="300" w:lineRule="auto"/>
        <w:jc w:val="both"/>
        <w:rPr>
          <w:rFonts w:ascii="Arial" w:hAnsi="Arial" w:eastAsia="宋体" w:cs="Arial"/>
        </w:rPr>
      </w:pPr>
    </w:p>
    <w:p w14:paraId="13FBB0CB">
      <w:pPr>
        <w:pStyle w:val="6"/>
        <w:snapToGrid w:val="0"/>
        <w:spacing w:before="69" w:line="300" w:lineRule="auto"/>
        <w:jc w:val="both"/>
        <w:rPr>
          <w:rFonts w:ascii="Arial" w:hAnsi="Arial" w:eastAsia="宋体" w:cs="Arial"/>
          <w:lang w:eastAsia="zh-CN"/>
        </w:rPr>
      </w:pPr>
      <w:r>
        <w:rPr>
          <w:rFonts w:ascii="Arial" w:hAnsi="Arial" w:eastAsia="宋体" w:cs="Arial"/>
          <w:lang w:eastAsia="zh-CN"/>
        </w:rPr>
        <w:t>FDA通常不推荐将生理盐水溶液作为最终冲洗，因为生理盐水溶液可能会干扰后续消毒或灭菌步骤。生理盐水冲洗也可能导致某些器械的腐蚀和无机残留物的积聚。</w:t>
      </w:r>
    </w:p>
    <w:p w14:paraId="454DDD0B">
      <w:pPr>
        <w:snapToGrid w:val="0"/>
        <w:spacing w:before="1" w:line="300" w:lineRule="auto"/>
        <w:jc w:val="both"/>
        <w:rPr>
          <w:rFonts w:ascii="Arial" w:hAnsi="Arial" w:eastAsia="宋体" w:cs="Arial"/>
          <w:sz w:val="19"/>
          <w:szCs w:val="19"/>
          <w:lang w:eastAsia="zh-CN"/>
        </w:rPr>
      </w:pPr>
    </w:p>
    <w:p w14:paraId="5A0632CC">
      <w:pPr>
        <w:snapToGrid w:val="0"/>
        <w:spacing w:before="1" w:line="300" w:lineRule="auto"/>
        <w:jc w:val="both"/>
        <w:rPr>
          <w:rFonts w:ascii="Arial" w:hAnsi="Arial" w:eastAsia="宋体" w:cs="Arial"/>
          <w:sz w:val="19"/>
          <w:szCs w:val="19"/>
          <w:lang w:eastAsia="zh-CN"/>
        </w:rPr>
      </w:pPr>
    </w:p>
    <w:p w14:paraId="52D22F9E">
      <w:pPr>
        <w:snapToGrid w:val="0"/>
        <w:spacing w:before="1" w:line="300" w:lineRule="auto"/>
        <w:jc w:val="both"/>
        <w:rPr>
          <w:rFonts w:ascii="Arial" w:hAnsi="Arial" w:eastAsia="宋体" w:cs="Arial"/>
          <w:sz w:val="19"/>
          <w:szCs w:val="19"/>
          <w:lang w:eastAsia="zh-CN"/>
        </w:rPr>
      </w:pPr>
    </w:p>
    <w:p w14:paraId="4D856CFF">
      <w:pPr>
        <w:snapToGrid w:val="0"/>
        <w:spacing w:before="1" w:line="300" w:lineRule="auto"/>
        <w:jc w:val="both"/>
        <w:rPr>
          <w:rFonts w:ascii="Arial" w:hAnsi="Arial" w:eastAsia="宋体" w:cs="Arial"/>
          <w:sz w:val="19"/>
          <w:szCs w:val="19"/>
          <w:lang w:eastAsia="zh-CN"/>
        </w:rPr>
      </w:pPr>
    </w:p>
    <w:p w14:paraId="0610B17D">
      <w:pPr>
        <w:snapToGrid w:val="0"/>
        <w:spacing w:before="1" w:line="300" w:lineRule="auto"/>
        <w:jc w:val="both"/>
        <w:rPr>
          <w:rFonts w:ascii="Arial" w:hAnsi="Arial" w:eastAsia="宋体" w:cs="Arial"/>
          <w:sz w:val="19"/>
          <w:szCs w:val="19"/>
          <w:lang w:eastAsia="zh-CN"/>
        </w:rPr>
      </w:pPr>
    </w:p>
    <w:p w14:paraId="6B374BA7">
      <w:pPr>
        <w:snapToGrid w:val="0"/>
        <w:spacing w:before="1" w:line="300" w:lineRule="auto"/>
        <w:jc w:val="both"/>
        <w:rPr>
          <w:rFonts w:ascii="Arial" w:hAnsi="Arial" w:eastAsia="宋体" w:cs="Arial"/>
          <w:sz w:val="19"/>
          <w:szCs w:val="19"/>
          <w:lang w:eastAsia="zh-CN"/>
        </w:rPr>
      </w:pPr>
    </w:p>
    <w:p w14:paraId="63F06087">
      <w:pPr>
        <w:snapToGrid w:val="0"/>
        <w:spacing w:before="1" w:line="300" w:lineRule="auto"/>
        <w:jc w:val="both"/>
        <w:rPr>
          <w:rFonts w:ascii="Arial" w:hAnsi="Arial" w:eastAsia="宋体" w:cs="Arial"/>
          <w:sz w:val="19"/>
          <w:szCs w:val="19"/>
          <w:lang w:eastAsia="zh-CN"/>
        </w:rPr>
      </w:pPr>
    </w:p>
    <w:p w14:paraId="5A18997C">
      <w:pPr>
        <w:snapToGrid w:val="0"/>
        <w:spacing w:before="1" w:line="300" w:lineRule="auto"/>
        <w:jc w:val="both"/>
        <w:rPr>
          <w:rFonts w:ascii="Arial" w:hAnsi="Arial" w:eastAsia="宋体" w:cs="Arial"/>
          <w:sz w:val="19"/>
          <w:szCs w:val="19"/>
          <w:lang w:eastAsia="zh-CN"/>
        </w:rPr>
      </w:pPr>
    </w:p>
    <w:p w14:paraId="7519A861">
      <w:pPr>
        <w:snapToGrid w:val="0"/>
        <w:spacing w:before="1" w:line="300" w:lineRule="auto"/>
        <w:jc w:val="both"/>
        <w:rPr>
          <w:rFonts w:ascii="Arial" w:hAnsi="Arial" w:eastAsia="宋体" w:cs="Arial"/>
          <w:sz w:val="19"/>
          <w:szCs w:val="19"/>
          <w:lang w:eastAsia="zh-CN"/>
        </w:rPr>
      </w:pPr>
    </w:p>
    <w:p w14:paraId="0E39DD83">
      <w:pPr>
        <w:snapToGrid w:val="0"/>
        <w:spacing w:before="1" w:line="300" w:lineRule="auto"/>
        <w:jc w:val="both"/>
        <w:rPr>
          <w:rFonts w:ascii="Arial" w:hAnsi="Arial" w:eastAsia="宋体" w:cs="Arial"/>
          <w:sz w:val="19"/>
          <w:szCs w:val="19"/>
          <w:lang w:eastAsia="zh-CN"/>
        </w:rPr>
      </w:pPr>
    </w:p>
    <w:p w14:paraId="718CA2A0">
      <w:pPr>
        <w:snapToGrid w:val="0"/>
        <w:spacing w:before="1" w:line="300" w:lineRule="auto"/>
        <w:jc w:val="both"/>
        <w:rPr>
          <w:rFonts w:ascii="Arial" w:hAnsi="Arial" w:eastAsia="宋体" w:cs="Arial"/>
          <w:sz w:val="19"/>
          <w:szCs w:val="19"/>
          <w:lang w:eastAsia="zh-CN"/>
        </w:rPr>
      </w:pPr>
    </w:p>
    <w:p w14:paraId="5C6661BE">
      <w:pPr>
        <w:snapToGrid w:val="0"/>
        <w:spacing w:before="1" w:line="300" w:lineRule="auto"/>
        <w:jc w:val="both"/>
        <w:rPr>
          <w:rFonts w:ascii="Arial" w:hAnsi="Arial" w:eastAsia="宋体" w:cs="Arial"/>
          <w:sz w:val="19"/>
          <w:szCs w:val="19"/>
          <w:lang w:eastAsia="zh-CN"/>
        </w:rPr>
      </w:pPr>
    </w:p>
    <w:p w14:paraId="2FFD3281">
      <w:pPr>
        <w:snapToGrid w:val="0"/>
        <w:spacing w:before="1" w:line="300" w:lineRule="auto"/>
        <w:jc w:val="both"/>
        <w:rPr>
          <w:rFonts w:ascii="Arial" w:hAnsi="Arial" w:eastAsia="宋体" w:cs="Arial"/>
          <w:sz w:val="19"/>
          <w:szCs w:val="19"/>
          <w:lang w:eastAsia="zh-CN"/>
        </w:rPr>
      </w:pPr>
    </w:p>
    <w:p w14:paraId="4665C754">
      <w:pPr>
        <w:snapToGrid w:val="0"/>
        <w:spacing w:before="1" w:line="300" w:lineRule="auto"/>
        <w:jc w:val="both"/>
        <w:rPr>
          <w:rFonts w:ascii="Arial" w:hAnsi="Arial" w:eastAsia="宋体" w:cs="Arial"/>
          <w:sz w:val="19"/>
          <w:szCs w:val="19"/>
          <w:lang w:eastAsia="zh-CN"/>
        </w:rPr>
      </w:pPr>
    </w:p>
    <w:p w14:paraId="32518A00">
      <w:pPr>
        <w:snapToGrid w:val="0"/>
        <w:spacing w:before="1" w:line="300" w:lineRule="auto"/>
        <w:jc w:val="both"/>
        <w:rPr>
          <w:rFonts w:ascii="Arial" w:hAnsi="Arial" w:eastAsia="宋体" w:cs="Arial"/>
          <w:sz w:val="19"/>
          <w:szCs w:val="19"/>
          <w:lang w:eastAsia="zh-CN"/>
        </w:rPr>
      </w:pPr>
    </w:p>
    <w:p w14:paraId="7AC331B9">
      <w:pPr>
        <w:pStyle w:val="5"/>
        <w:numPr>
          <w:ilvl w:val="0"/>
          <w:numId w:val="8"/>
        </w:numPr>
        <w:tabs>
          <w:tab w:val="left" w:pos="1160"/>
        </w:tabs>
        <w:snapToGrid w:val="0"/>
        <w:spacing w:line="300" w:lineRule="auto"/>
        <w:jc w:val="both"/>
        <w:rPr>
          <w:rFonts w:ascii="Arial" w:hAnsi="Arial" w:eastAsia="宋体" w:cs="Arial"/>
          <w:b w:val="0"/>
          <w:bCs w:val="0"/>
          <w:u w:val="single"/>
        </w:rPr>
      </w:pPr>
      <w:bookmarkStart w:id="46" w:name="G._Lubricating_Agents"/>
      <w:bookmarkEnd w:id="46"/>
      <w:bookmarkStart w:id="47" w:name="H._Visual_Inspection"/>
      <w:bookmarkEnd w:id="47"/>
      <w:bookmarkStart w:id="48" w:name="Method_of_Disinfection_or_Sterilization"/>
      <w:bookmarkEnd w:id="48"/>
      <w:r>
        <w:rPr>
          <w:rFonts w:ascii="Arial" w:hAnsi="Arial" w:eastAsia="宋体" w:cs="Arial"/>
          <w:u w:val="single" w:color="000000"/>
        </w:rPr>
        <w:t>润滑剂</w:t>
      </w:r>
    </w:p>
    <w:p w14:paraId="26301225">
      <w:pPr>
        <w:snapToGrid w:val="0"/>
        <w:spacing w:before="7" w:line="300" w:lineRule="auto"/>
        <w:jc w:val="both"/>
        <w:rPr>
          <w:rFonts w:ascii="Arial" w:hAnsi="Arial" w:eastAsia="宋体" w:cs="Arial"/>
          <w:b/>
          <w:bCs/>
          <w:sz w:val="17"/>
          <w:szCs w:val="17"/>
        </w:rPr>
      </w:pPr>
    </w:p>
    <w:p w14:paraId="6BE4BA8A">
      <w:pPr>
        <w:pStyle w:val="6"/>
        <w:snapToGrid w:val="0"/>
        <w:spacing w:line="300" w:lineRule="auto"/>
        <w:ind w:left="799"/>
        <w:jc w:val="both"/>
        <w:rPr>
          <w:rFonts w:ascii="Arial" w:hAnsi="Arial" w:eastAsia="宋体" w:cs="Arial"/>
          <w:lang w:eastAsia="zh-CN"/>
        </w:rPr>
      </w:pPr>
      <w:r>
        <w:rPr>
          <w:rFonts w:ascii="Arial" w:hAnsi="Arial" w:eastAsia="宋体" w:cs="Arial"/>
          <w:lang w:eastAsia="zh-CN"/>
        </w:rPr>
        <w:t>使用润滑剂是延长一些医疗器械使用寿命的有效途径。润滑剂可以减少通常与金属间运动有关的摩擦，从而减少器械磨损和腐蚀。</w:t>
      </w:r>
    </w:p>
    <w:p w14:paraId="3CF7F3BE">
      <w:pPr>
        <w:pStyle w:val="6"/>
        <w:snapToGrid w:val="0"/>
        <w:spacing w:line="300" w:lineRule="auto"/>
        <w:ind w:left="799"/>
        <w:jc w:val="both"/>
        <w:rPr>
          <w:rFonts w:ascii="Arial" w:hAnsi="Arial" w:eastAsia="宋体" w:cs="Arial"/>
          <w:lang w:eastAsia="zh-CN"/>
        </w:rPr>
      </w:pPr>
    </w:p>
    <w:p w14:paraId="27865444">
      <w:pPr>
        <w:pStyle w:val="6"/>
        <w:snapToGrid w:val="0"/>
        <w:spacing w:line="300" w:lineRule="auto"/>
        <w:ind w:left="799"/>
        <w:jc w:val="both"/>
        <w:rPr>
          <w:rFonts w:ascii="Arial" w:hAnsi="Arial" w:eastAsia="宋体" w:cs="Arial"/>
          <w:lang w:eastAsia="zh-CN"/>
        </w:rPr>
      </w:pPr>
      <w:r>
        <w:rPr>
          <w:rFonts w:ascii="Arial" w:hAnsi="Arial" w:eastAsia="宋体" w:cs="Arial"/>
          <w:lang w:eastAsia="zh-CN"/>
        </w:rPr>
        <w:t>如果适用，再加工说明应推荐与医疗器械、其预期用途以及后续任何加工步骤（如灭菌）相容的润滑剂或一类润滑剂（例如水溶性润滑剂）。此外，可重复使用器械的标签应参考润滑剂标签，以用于准备和使用这些试剂的说明。</w:t>
      </w:r>
    </w:p>
    <w:p w14:paraId="3B57104A">
      <w:pPr>
        <w:pStyle w:val="6"/>
        <w:snapToGrid w:val="0"/>
        <w:spacing w:line="300" w:lineRule="auto"/>
        <w:jc w:val="both"/>
        <w:rPr>
          <w:rFonts w:ascii="Arial" w:hAnsi="Arial" w:eastAsia="宋体" w:cs="Arial"/>
          <w:lang w:eastAsia="zh-CN"/>
        </w:rPr>
      </w:pPr>
    </w:p>
    <w:p w14:paraId="27AED9DE">
      <w:pPr>
        <w:pStyle w:val="6"/>
        <w:snapToGrid w:val="0"/>
        <w:spacing w:line="300" w:lineRule="auto"/>
        <w:ind w:left="799"/>
        <w:jc w:val="both"/>
        <w:rPr>
          <w:rFonts w:ascii="Arial" w:hAnsi="Arial" w:eastAsia="宋体" w:cs="Arial"/>
          <w:lang w:eastAsia="zh-CN"/>
        </w:rPr>
      </w:pPr>
      <w:r>
        <w:rPr>
          <w:rFonts w:ascii="Arial" w:hAnsi="Arial" w:eastAsia="宋体" w:cs="Arial"/>
          <w:lang w:eastAsia="zh-CN"/>
        </w:rPr>
        <w:t>如果贵公司的再加工说明指明使用润滑剂，则应在器械的使用条件下使用润滑剂确认器械再加工方法。</w:t>
      </w:r>
    </w:p>
    <w:p w14:paraId="129A12F5">
      <w:pPr>
        <w:pStyle w:val="6"/>
        <w:snapToGrid w:val="0"/>
        <w:spacing w:line="300" w:lineRule="auto"/>
        <w:ind w:left="799"/>
        <w:jc w:val="both"/>
        <w:rPr>
          <w:rFonts w:ascii="Arial" w:hAnsi="Arial" w:eastAsia="宋体" w:cs="Arial"/>
          <w:lang w:eastAsia="zh-CN"/>
        </w:rPr>
      </w:pPr>
    </w:p>
    <w:p w14:paraId="63629F9B">
      <w:pPr>
        <w:pStyle w:val="6"/>
        <w:snapToGrid w:val="0"/>
        <w:spacing w:line="300" w:lineRule="auto"/>
        <w:ind w:left="799"/>
        <w:jc w:val="both"/>
        <w:rPr>
          <w:rFonts w:ascii="Arial" w:hAnsi="Arial" w:eastAsia="宋体" w:cs="Arial"/>
          <w:lang w:eastAsia="zh-CN"/>
        </w:rPr>
      </w:pPr>
      <w:r>
        <w:rPr>
          <w:rFonts w:ascii="Arial" w:hAnsi="Arial" w:eastAsia="宋体" w:cs="Arial"/>
          <w:lang w:eastAsia="zh-CN"/>
        </w:rPr>
        <w:t>当使用油基和硅酮润滑剂时，应十分小心，因为其可以涂覆和保护表面微生物，并降低某些灭菌方法（包括蒸汽和EO）的有效性。其甚至可以为微生物生长提供营养。</w:t>
      </w:r>
    </w:p>
    <w:p w14:paraId="22746D87">
      <w:pPr>
        <w:snapToGrid w:val="0"/>
        <w:spacing w:before="5" w:line="300" w:lineRule="auto"/>
        <w:jc w:val="both"/>
        <w:rPr>
          <w:rFonts w:ascii="Arial" w:hAnsi="Arial" w:eastAsia="宋体" w:cs="Arial"/>
          <w:sz w:val="24"/>
          <w:szCs w:val="24"/>
          <w:lang w:eastAsia="zh-CN"/>
        </w:rPr>
      </w:pPr>
    </w:p>
    <w:p w14:paraId="32A45204">
      <w:pPr>
        <w:pStyle w:val="5"/>
        <w:numPr>
          <w:ilvl w:val="0"/>
          <w:numId w:val="8"/>
        </w:numPr>
        <w:tabs>
          <w:tab w:val="left" w:pos="1160"/>
        </w:tabs>
        <w:snapToGrid w:val="0"/>
        <w:spacing w:line="300" w:lineRule="auto"/>
        <w:jc w:val="both"/>
        <w:rPr>
          <w:rFonts w:ascii="Arial" w:hAnsi="Arial" w:eastAsia="宋体" w:cs="Arial"/>
          <w:b w:val="0"/>
          <w:bCs w:val="0"/>
          <w:u w:val="single"/>
        </w:rPr>
      </w:pPr>
      <w:r>
        <w:rPr>
          <w:rFonts w:ascii="Arial" w:hAnsi="Arial" w:eastAsia="宋体" w:cs="Arial"/>
          <w:u w:val="single" w:color="000000"/>
        </w:rPr>
        <w:t>目视检查</w:t>
      </w:r>
    </w:p>
    <w:p w14:paraId="06FE3B8E">
      <w:pPr>
        <w:snapToGrid w:val="0"/>
        <w:spacing w:before="7" w:line="300" w:lineRule="auto"/>
        <w:jc w:val="both"/>
        <w:rPr>
          <w:rFonts w:ascii="Arial" w:hAnsi="Arial" w:eastAsia="宋体" w:cs="Arial"/>
          <w:b/>
          <w:bCs/>
          <w:sz w:val="17"/>
          <w:szCs w:val="17"/>
        </w:rPr>
      </w:pPr>
    </w:p>
    <w:p w14:paraId="15AE5B70">
      <w:pPr>
        <w:pStyle w:val="6"/>
        <w:snapToGrid w:val="0"/>
        <w:spacing w:line="300" w:lineRule="auto"/>
        <w:jc w:val="both"/>
        <w:rPr>
          <w:rFonts w:ascii="Arial" w:hAnsi="Arial" w:eastAsia="宋体" w:cs="Arial"/>
          <w:lang w:eastAsia="zh-CN"/>
        </w:rPr>
      </w:pPr>
      <w:r>
        <w:rPr>
          <w:rFonts w:ascii="Arial" w:hAnsi="Arial" w:eastAsia="宋体" w:cs="Arial"/>
          <w:lang w:eastAsia="zh-CN"/>
        </w:rPr>
        <w:t>所有常规清洁说明应提供目视检查说明，其中可能包括放大使用和足够照明。说明应告知用户，如果在清洁步骤结束时确定器械看上去未完全清洁，则用户应重复相关的先前清洁步骤或安全加工器械。</w:t>
      </w:r>
    </w:p>
    <w:p w14:paraId="71AB07BF">
      <w:pPr>
        <w:pStyle w:val="6"/>
        <w:snapToGrid w:val="0"/>
        <w:spacing w:line="300" w:lineRule="auto"/>
        <w:jc w:val="both"/>
        <w:rPr>
          <w:rFonts w:ascii="Arial" w:hAnsi="Arial" w:eastAsia="宋体" w:cs="Arial"/>
          <w:lang w:eastAsia="zh-CN"/>
        </w:rPr>
      </w:pPr>
    </w:p>
    <w:p w14:paraId="4634DA9D">
      <w:pPr>
        <w:pStyle w:val="6"/>
        <w:snapToGrid w:val="0"/>
        <w:spacing w:line="300" w:lineRule="auto"/>
        <w:jc w:val="both"/>
        <w:rPr>
          <w:rFonts w:ascii="Arial" w:hAnsi="Arial" w:eastAsia="宋体" w:cs="Arial"/>
          <w:lang w:eastAsia="zh-CN"/>
        </w:rPr>
      </w:pPr>
      <w:r>
        <w:rPr>
          <w:rFonts w:ascii="Arial" w:hAnsi="Arial" w:eastAsia="宋体" w:cs="Arial"/>
          <w:lang w:eastAsia="zh-CN"/>
        </w:rPr>
        <w:t>此外，目视检查说明应标识与器械性能相关的验收或失败标准（例如，不可接受的劣化，例如腐蚀、变色、点蚀、密封破裂），以及正确处置故障器械的说明。</w:t>
      </w:r>
    </w:p>
    <w:p w14:paraId="1316DD8F">
      <w:pPr>
        <w:snapToGrid w:val="0"/>
        <w:spacing w:before="5" w:line="300" w:lineRule="auto"/>
        <w:jc w:val="both"/>
        <w:rPr>
          <w:rFonts w:ascii="Arial" w:hAnsi="Arial" w:eastAsia="宋体" w:cs="Arial"/>
          <w:sz w:val="24"/>
          <w:szCs w:val="24"/>
          <w:lang w:eastAsia="zh-CN"/>
        </w:rPr>
      </w:pPr>
    </w:p>
    <w:p w14:paraId="5BE11A29">
      <w:pPr>
        <w:pStyle w:val="5"/>
        <w:numPr>
          <w:ilvl w:val="0"/>
          <w:numId w:val="8"/>
        </w:numPr>
        <w:tabs>
          <w:tab w:val="left" w:pos="1520"/>
        </w:tabs>
        <w:snapToGrid w:val="0"/>
        <w:spacing w:line="300" w:lineRule="auto"/>
        <w:jc w:val="both"/>
        <w:rPr>
          <w:rFonts w:ascii="Arial" w:hAnsi="Arial" w:eastAsia="宋体" w:cs="Arial"/>
          <w:b w:val="0"/>
          <w:bCs w:val="0"/>
          <w:u w:val="single"/>
        </w:rPr>
      </w:pPr>
      <w:r>
        <w:rPr>
          <w:rFonts w:ascii="Arial" w:hAnsi="Arial" w:eastAsia="宋体" w:cs="Arial"/>
          <w:u w:val="single" w:color="000000"/>
        </w:rPr>
        <w:t>消毒或灭菌方法</w:t>
      </w:r>
    </w:p>
    <w:p w14:paraId="3488384C">
      <w:pPr>
        <w:snapToGrid w:val="0"/>
        <w:spacing w:before="7" w:line="300" w:lineRule="auto"/>
        <w:jc w:val="both"/>
        <w:rPr>
          <w:rFonts w:ascii="Arial" w:hAnsi="Arial" w:eastAsia="宋体" w:cs="Arial"/>
          <w:b/>
          <w:bCs/>
          <w:sz w:val="17"/>
          <w:szCs w:val="17"/>
        </w:rPr>
      </w:pPr>
    </w:p>
    <w:p w14:paraId="5B0BFFC2">
      <w:pPr>
        <w:pStyle w:val="6"/>
        <w:snapToGrid w:val="0"/>
        <w:spacing w:line="300" w:lineRule="auto"/>
        <w:jc w:val="both"/>
        <w:rPr>
          <w:rFonts w:ascii="Arial" w:hAnsi="Arial" w:eastAsia="宋体" w:cs="Arial"/>
          <w:lang w:eastAsia="zh-CN"/>
        </w:rPr>
      </w:pPr>
      <w:r>
        <w:rPr>
          <w:rFonts w:ascii="Arial" w:hAnsi="Arial" w:eastAsia="宋体" w:cs="Arial"/>
          <w:lang w:eastAsia="zh-CN"/>
        </w:rPr>
        <w:t>对于要进行消毒或灭菌的可重复使用器械，再加工说明应规定至少一种经确认的灭菌方法以用于消毒或灭菌。</w:t>
      </w:r>
    </w:p>
    <w:p w14:paraId="14303232">
      <w:pPr>
        <w:pStyle w:val="6"/>
        <w:snapToGrid w:val="0"/>
        <w:spacing w:line="300" w:lineRule="auto"/>
        <w:jc w:val="both"/>
        <w:rPr>
          <w:rFonts w:ascii="Arial" w:hAnsi="Arial" w:eastAsia="宋体" w:cs="Arial"/>
          <w:lang w:eastAsia="zh-CN"/>
        </w:rPr>
      </w:pPr>
    </w:p>
    <w:p w14:paraId="324446CB">
      <w:pPr>
        <w:pStyle w:val="6"/>
        <w:snapToGrid w:val="0"/>
        <w:spacing w:line="300" w:lineRule="auto"/>
        <w:jc w:val="both"/>
        <w:rPr>
          <w:rFonts w:ascii="Arial" w:hAnsi="Arial" w:eastAsia="宋体" w:cs="Arial"/>
          <w:lang w:eastAsia="zh-CN"/>
        </w:rPr>
      </w:pPr>
      <w:r>
        <w:rPr>
          <w:rFonts w:ascii="Arial" w:hAnsi="Arial" w:eastAsia="宋体" w:cs="Arial"/>
          <w:lang w:eastAsia="zh-CN"/>
        </w:rPr>
        <w:t>灭菌方法的类型取决于要进行再加工的器械类型。有关选择灭菌方法的类型时的一般考虑，请参考标准3。</w:t>
      </w:r>
    </w:p>
    <w:p w14:paraId="441A390C">
      <w:pPr>
        <w:pStyle w:val="6"/>
        <w:snapToGrid w:val="0"/>
        <w:spacing w:line="300" w:lineRule="auto"/>
        <w:jc w:val="both"/>
        <w:rPr>
          <w:rFonts w:ascii="Arial" w:hAnsi="Arial" w:eastAsia="宋体" w:cs="Arial"/>
          <w:lang w:eastAsia="zh-CN"/>
        </w:rPr>
      </w:pPr>
    </w:p>
    <w:p w14:paraId="10871488">
      <w:pPr>
        <w:rPr>
          <w:rFonts w:ascii="Arial" w:hAnsi="Arial" w:eastAsia="宋体" w:cs="Arial"/>
          <w:sz w:val="24"/>
          <w:szCs w:val="24"/>
          <w:lang w:eastAsia="zh-CN"/>
        </w:rPr>
      </w:pPr>
      <w:r>
        <w:rPr>
          <w:rFonts w:ascii="Arial" w:hAnsi="Arial" w:eastAsia="宋体" w:cs="Arial"/>
          <w:lang w:eastAsia="zh-CN"/>
        </w:rPr>
        <w:br w:type="page"/>
      </w:r>
    </w:p>
    <w:p w14:paraId="18A55BD6">
      <w:pPr>
        <w:pStyle w:val="6"/>
        <w:snapToGrid w:val="0"/>
        <w:spacing w:line="300" w:lineRule="auto"/>
        <w:jc w:val="both"/>
        <w:rPr>
          <w:rFonts w:ascii="Arial" w:hAnsi="Arial" w:eastAsia="宋体" w:cs="Arial"/>
          <w:lang w:eastAsia="zh-CN"/>
        </w:rPr>
      </w:pPr>
      <w:r>
        <w:rPr>
          <w:rFonts w:ascii="Arial" w:hAnsi="Arial" w:eastAsia="宋体" w:cs="Arial"/>
          <w:lang w:eastAsia="zh-CN"/>
        </w:rPr>
        <w:t>灭菌设备和灭菌周期参数的规格因制造商和型号而异。有关再加工的标签应标识特定的灭菌方法和类型，并列出经确认的循环参数。</w:t>
      </w:r>
    </w:p>
    <w:p w14:paraId="55DEB664">
      <w:pPr>
        <w:snapToGrid w:val="0"/>
        <w:spacing w:line="300" w:lineRule="auto"/>
        <w:jc w:val="both"/>
        <w:rPr>
          <w:rFonts w:ascii="Arial" w:hAnsi="Arial" w:eastAsia="宋体" w:cs="Arial"/>
          <w:sz w:val="24"/>
          <w:szCs w:val="24"/>
          <w:lang w:eastAsia="zh-CN"/>
        </w:rPr>
      </w:pPr>
    </w:p>
    <w:p w14:paraId="4AE09509">
      <w:pPr>
        <w:pStyle w:val="6"/>
        <w:snapToGrid w:val="0"/>
        <w:spacing w:line="300" w:lineRule="auto"/>
        <w:jc w:val="both"/>
        <w:rPr>
          <w:rFonts w:ascii="Arial" w:hAnsi="Arial" w:eastAsia="宋体" w:cs="Arial"/>
          <w:lang w:eastAsia="zh-CN"/>
        </w:rPr>
      </w:pPr>
      <w:r>
        <w:rPr>
          <w:rFonts w:ascii="Arial" w:hAnsi="Arial" w:eastAsia="宋体" w:cs="Arial"/>
          <w:lang w:eastAsia="zh-CN"/>
        </w:rPr>
        <w:t>传统的灭菌方法（如蒸汽和EO）已在灭菌器制造商之间充分标准化，从而可以通过临界循环参数来确定灭菌周期。也可仅使用临界循环参数确定这些灭菌过程的附件。有关医疗机构中目前使用的灭菌循环的典型参数，请参见附录C.</w:t>
      </w:r>
    </w:p>
    <w:p w14:paraId="007B66B0">
      <w:pPr>
        <w:pStyle w:val="6"/>
        <w:snapToGrid w:val="0"/>
        <w:spacing w:line="300" w:lineRule="auto"/>
        <w:jc w:val="both"/>
        <w:rPr>
          <w:rFonts w:ascii="Arial" w:hAnsi="Arial" w:eastAsia="宋体" w:cs="Arial"/>
          <w:lang w:eastAsia="zh-CN"/>
        </w:rPr>
      </w:pPr>
    </w:p>
    <w:p w14:paraId="727F3D6B">
      <w:pPr>
        <w:pStyle w:val="6"/>
        <w:snapToGrid w:val="0"/>
        <w:spacing w:line="300" w:lineRule="auto"/>
        <w:jc w:val="both"/>
        <w:rPr>
          <w:rFonts w:ascii="Arial" w:hAnsi="Arial" w:eastAsia="宋体" w:cs="Arial"/>
          <w:lang w:eastAsia="zh-CN"/>
        </w:rPr>
      </w:pPr>
      <w:r>
        <w:rPr>
          <w:rFonts w:ascii="Arial" w:hAnsi="Arial" w:eastAsia="宋体" w:cs="Arial"/>
          <w:lang w:eastAsia="zh-CN"/>
        </w:rPr>
        <w:t>使用较新的低温化学灭菌方法（例如，H</w:t>
      </w:r>
      <w:r>
        <w:rPr>
          <w:rFonts w:ascii="Arial" w:hAnsi="Arial" w:eastAsia="宋体" w:cs="Arial"/>
          <w:vertAlign w:val="subscript"/>
          <w:lang w:eastAsia="zh-CN"/>
        </w:rPr>
        <w:t>2</w:t>
      </w:r>
      <w:r>
        <w:rPr>
          <w:rFonts w:ascii="Arial" w:hAnsi="Arial" w:eastAsia="宋体" w:cs="Arial"/>
          <w:lang w:eastAsia="zh-CN"/>
        </w:rPr>
        <w:t>O</w:t>
      </w:r>
      <w:r>
        <w:rPr>
          <w:rFonts w:ascii="Arial" w:hAnsi="Arial" w:eastAsia="宋体" w:cs="Arial"/>
          <w:vertAlign w:val="subscript"/>
          <w:lang w:eastAsia="zh-CN"/>
        </w:rPr>
        <w:t>2</w:t>
      </w:r>
      <w:r>
        <w:rPr>
          <w:rFonts w:ascii="Arial" w:hAnsi="Arial" w:eastAsia="宋体" w:cs="Arial"/>
          <w:lang w:eastAsia="zh-CN"/>
        </w:rPr>
        <w:t>和O</w:t>
      </w:r>
      <w:r>
        <w:rPr>
          <w:rFonts w:ascii="Arial" w:hAnsi="Arial" w:eastAsia="宋体" w:cs="Arial"/>
          <w:vertAlign w:val="subscript"/>
          <w:lang w:eastAsia="zh-CN"/>
        </w:rPr>
        <w:t>3</w:t>
      </w:r>
      <w:r>
        <w:rPr>
          <w:rFonts w:ascii="Arial" w:hAnsi="Arial" w:eastAsia="宋体" w:cs="Arial"/>
          <w:lang w:eastAsia="zh-CN"/>
        </w:rPr>
        <w:t>）的灭菌规程的专有特性因器械制造商而异。因此，对于这些灭菌过程，应在再加工说明中明确标识器械制造商、灭菌器型号和特定循环标识（名称或循环参数）。</w:t>
      </w:r>
    </w:p>
    <w:p w14:paraId="13C6A9D8">
      <w:pPr>
        <w:pStyle w:val="6"/>
        <w:snapToGrid w:val="0"/>
        <w:spacing w:line="300" w:lineRule="auto"/>
        <w:jc w:val="both"/>
        <w:rPr>
          <w:rFonts w:ascii="Arial" w:hAnsi="Arial" w:eastAsia="宋体" w:cs="Arial"/>
          <w:lang w:eastAsia="zh-CN"/>
        </w:rPr>
      </w:pPr>
      <w:r>
        <w:rPr>
          <w:rFonts w:ascii="Arial" w:hAnsi="Arial" w:eastAsia="宋体" w:cs="Arial"/>
          <w:lang w:eastAsia="zh-CN"/>
        </w:rPr>
        <w:t>这些灭菌过程的附件应由附件制造商标明，以指明灭菌器制造商、灭菌器型号和灭菌器循环名称和/或循环参数。</w:t>
      </w:r>
    </w:p>
    <w:p w14:paraId="18B9A204">
      <w:pPr>
        <w:snapToGrid w:val="0"/>
        <w:spacing w:line="300" w:lineRule="auto"/>
        <w:jc w:val="both"/>
        <w:rPr>
          <w:rFonts w:ascii="Arial" w:hAnsi="Arial" w:eastAsia="宋体" w:cs="Arial"/>
          <w:sz w:val="24"/>
          <w:szCs w:val="24"/>
          <w:lang w:eastAsia="zh-CN"/>
        </w:rPr>
      </w:pPr>
    </w:p>
    <w:p w14:paraId="4D3833A6">
      <w:pPr>
        <w:pStyle w:val="6"/>
        <w:snapToGrid w:val="0"/>
        <w:spacing w:line="300" w:lineRule="auto"/>
        <w:jc w:val="both"/>
        <w:rPr>
          <w:rFonts w:ascii="Arial" w:hAnsi="Arial" w:eastAsia="宋体" w:cs="Arial"/>
          <w:lang w:eastAsia="zh-CN"/>
        </w:rPr>
      </w:pPr>
      <w:r>
        <w:rPr>
          <w:rFonts w:ascii="Arial" w:hAnsi="Arial" w:eastAsia="宋体" w:cs="Arial"/>
          <w:lang w:eastAsia="zh-CN"/>
        </w:rPr>
        <w:t>对于所有方法，完整的循环规格应包括所有关键循环参数和其他标识循环的相关信息。例如：</w:t>
      </w:r>
    </w:p>
    <w:p w14:paraId="64FA8D91">
      <w:pPr>
        <w:snapToGrid w:val="0"/>
        <w:spacing w:line="300" w:lineRule="auto"/>
        <w:jc w:val="both"/>
        <w:rPr>
          <w:rFonts w:ascii="Arial" w:hAnsi="Arial" w:eastAsia="宋体" w:cs="Arial"/>
          <w:sz w:val="24"/>
          <w:szCs w:val="24"/>
          <w:lang w:eastAsia="zh-CN"/>
        </w:rPr>
      </w:pPr>
    </w:p>
    <w:p w14:paraId="603D255D">
      <w:pPr>
        <w:pStyle w:val="17"/>
        <w:numPr>
          <w:ilvl w:val="1"/>
          <w:numId w:val="8"/>
        </w:numPr>
        <w:tabs>
          <w:tab w:val="left" w:pos="152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湿热/蒸汽-循环类型（动态空气去除与重力）、暴露时间、温度、干燥时间</w:t>
      </w:r>
    </w:p>
    <w:p w14:paraId="31655C3B">
      <w:pPr>
        <w:pStyle w:val="17"/>
        <w:numPr>
          <w:ilvl w:val="1"/>
          <w:numId w:val="8"/>
        </w:numPr>
        <w:tabs>
          <w:tab w:val="left" w:pos="152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EO-EO浓度（和气体成分）、暴露时间、相对湿度、温度、通风时间</w:t>
      </w:r>
    </w:p>
    <w:p w14:paraId="3B5C2194">
      <w:pPr>
        <w:pStyle w:val="17"/>
        <w:numPr>
          <w:ilvl w:val="1"/>
          <w:numId w:val="8"/>
        </w:numPr>
        <w:tabs>
          <w:tab w:val="left" w:pos="152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H</w:t>
      </w:r>
      <w:r>
        <w:rPr>
          <w:rFonts w:ascii="Arial" w:hAnsi="Arial" w:eastAsia="宋体" w:cs="Arial"/>
          <w:sz w:val="24"/>
          <w:szCs w:val="24"/>
          <w:vertAlign w:val="subscript"/>
          <w:lang w:eastAsia="zh-CN"/>
        </w:rPr>
        <w:t>2</w:t>
      </w:r>
      <w:r>
        <w:rPr>
          <w:rFonts w:ascii="Arial" w:hAnsi="Arial" w:eastAsia="宋体" w:cs="Arial"/>
          <w:sz w:val="24"/>
          <w:szCs w:val="24"/>
          <w:lang w:eastAsia="zh-CN"/>
        </w:rPr>
        <w:t>O</w:t>
      </w:r>
      <w:r>
        <w:rPr>
          <w:rFonts w:ascii="Arial" w:hAnsi="Arial" w:eastAsia="宋体" w:cs="Arial"/>
          <w:sz w:val="24"/>
          <w:szCs w:val="24"/>
          <w:vertAlign w:val="subscript"/>
          <w:lang w:eastAsia="zh-CN"/>
        </w:rPr>
        <w:t>2</w:t>
      </w:r>
      <w:r>
        <w:rPr>
          <w:rFonts w:ascii="Arial" w:hAnsi="Arial" w:eastAsia="宋体" w:cs="Arial"/>
          <w:sz w:val="24"/>
          <w:szCs w:val="24"/>
          <w:lang w:eastAsia="zh-CN"/>
        </w:rPr>
        <w:t>和O</w:t>
      </w:r>
      <w:r>
        <w:rPr>
          <w:rFonts w:ascii="Arial" w:hAnsi="Arial" w:eastAsia="宋体" w:cs="Arial"/>
          <w:sz w:val="24"/>
          <w:szCs w:val="24"/>
          <w:vertAlign w:val="subscript"/>
          <w:lang w:eastAsia="zh-CN"/>
        </w:rPr>
        <w:t>3</w:t>
      </w:r>
      <w:r>
        <w:rPr>
          <w:rFonts w:ascii="Arial" w:hAnsi="Arial" w:eastAsia="宋体" w:cs="Arial"/>
          <w:sz w:val="24"/>
          <w:szCs w:val="24"/>
          <w:lang w:eastAsia="zh-CN"/>
        </w:rPr>
        <w:t>-制造商、型号、每个型号的特定循环标识（按名称或特定循环参数标识）</w:t>
      </w:r>
    </w:p>
    <w:p w14:paraId="1C65CBB7">
      <w:pPr>
        <w:pStyle w:val="17"/>
        <w:numPr>
          <w:ilvl w:val="1"/>
          <w:numId w:val="8"/>
        </w:numPr>
        <w:tabs>
          <w:tab w:val="left" w:pos="1520"/>
        </w:tabs>
        <w:snapToGrid w:val="0"/>
        <w:spacing w:line="300" w:lineRule="auto"/>
        <w:jc w:val="both"/>
        <w:rPr>
          <w:rFonts w:ascii="Arial" w:hAnsi="Arial" w:eastAsia="宋体" w:cs="Arial"/>
          <w:sz w:val="24"/>
          <w:szCs w:val="24"/>
        </w:rPr>
      </w:pPr>
      <w:r>
        <w:rPr>
          <w:rFonts w:ascii="Arial" w:hAnsi="Arial" w:eastAsia="宋体" w:cs="Arial"/>
          <w:sz w:val="24"/>
          <w:szCs w:val="24"/>
        </w:rPr>
        <w:t>干热-暴露时间</w:t>
      </w:r>
      <w:r>
        <w:rPr>
          <w:rFonts w:ascii="Arial" w:hAnsi="Arial" w:eastAsia="宋体" w:cs="Arial"/>
          <w:sz w:val="24"/>
          <w:szCs w:val="24"/>
          <w:lang w:eastAsia="zh-CN"/>
        </w:rPr>
        <w:t>、</w:t>
      </w:r>
      <w:r>
        <w:rPr>
          <w:rFonts w:ascii="Arial" w:hAnsi="Arial" w:eastAsia="宋体" w:cs="Arial"/>
          <w:sz w:val="24"/>
          <w:szCs w:val="24"/>
        </w:rPr>
        <w:t>温度</w:t>
      </w:r>
    </w:p>
    <w:p w14:paraId="2077ED71">
      <w:pPr>
        <w:snapToGrid w:val="0"/>
        <w:spacing w:line="300" w:lineRule="auto"/>
        <w:jc w:val="both"/>
        <w:rPr>
          <w:rFonts w:ascii="Arial" w:hAnsi="Arial" w:eastAsia="宋体" w:cs="Arial"/>
          <w:sz w:val="24"/>
          <w:szCs w:val="24"/>
        </w:rPr>
      </w:pPr>
    </w:p>
    <w:p w14:paraId="7A9F9658">
      <w:pPr>
        <w:pStyle w:val="6"/>
        <w:snapToGrid w:val="0"/>
        <w:spacing w:line="300" w:lineRule="auto"/>
        <w:ind w:left="828"/>
        <w:jc w:val="both"/>
        <w:rPr>
          <w:rFonts w:ascii="Arial" w:hAnsi="Arial" w:eastAsia="宋体" w:cs="Arial"/>
          <w:lang w:eastAsia="zh-CN"/>
        </w:rPr>
      </w:pPr>
      <w:r>
        <w:rPr>
          <w:rFonts w:ascii="Arial" w:hAnsi="Arial" w:eastAsia="宋体" w:cs="Arial"/>
          <w:lang w:eastAsia="zh-CN"/>
        </w:rPr>
        <w:t>此外，灭菌负载的标签中应尽可能说明器械设计、包装和负载特性的规格。例如：</w:t>
      </w:r>
    </w:p>
    <w:p w14:paraId="5DD9EB67">
      <w:pPr>
        <w:snapToGrid w:val="0"/>
        <w:spacing w:line="300" w:lineRule="auto"/>
        <w:jc w:val="both"/>
        <w:rPr>
          <w:rFonts w:ascii="Arial" w:hAnsi="Arial" w:eastAsia="宋体" w:cs="Arial"/>
          <w:sz w:val="24"/>
          <w:szCs w:val="24"/>
          <w:lang w:eastAsia="zh-CN"/>
        </w:rPr>
      </w:pPr>
    </w:p>
    <w:p w14:paraId="4C4FDA49">
      <w:pPr>
        <w:pStyle w:val="17"/>
        <w:numPr>
          <w:ilvl w:val="1"/>
          <w:numId w:val="8"/>
        </w:numPr>
        <w:tabs>
          <w:tab w:val="left" w:pos="152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重量-标签应规定负载工具盒的最大重量。贵公司应遵循当前FDA认可的AAMI ST77版本“</w:t>
      </w:r>
      <w:r>
        <w:rPr>
          <w:rFonts w:ascii="Arial" w:hAnsi="Arial" w:eastAsia="宋体" w:cs="Arial"/>
          <w:color w:val="0000FF"/>
          <w:sz w:val="24"/>
          <w:szCs w:val="24"/>
          <w:u w:val="single"/>
          <w:lang w:eastAsia="zh-CN"/>
        </w:rPr>
        <w:t>可重复使用医疗器械灭菌的屏障器械</w:t>
      </w:r>
      <w:r>
        <w:rPr>
          <w:rFonts w:ascii="Arial" w:hAnsi="Arial" w:eastAsia="宋体" w:cs="Arial"/>
          <w:sz w:val="24"/>
          <w:szCs w:val="24"/>
          <w:lang w:eastAsia="zh-CN"/>
        </w:rPr>
        <w:t>”以及医疗灭菌器规格中的建议。</w:t>
      </w:r>
    </w:p>
    <w:p w14:paraId="2EC8FFA4">
      <w:pPr>
        <w:pStyle w:val="17"/>
        <w:numPr>
          <w:ilvl w:val="1"/>
          <w:numId w:val="8"/>
        </w:numPr>
        <w:tabs>
          <w:tab w:val="left" w:pos="152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材料-标签应警告不得在灭菌负载中纳入不相容的材料（例如，与H</w:t>
      </w:r>
      <w:r>
        <w:rPr>
          <w:rFonts w:ascii="Arial" w:hAnsi="Arial" w:eastAsia="宋体" w:cs="Arial"/>
          <w:sz w:val="24"/>
          <w:szCs w:val="24"/>
          <w:vertAlign w:val="subscript"/>
          <w:lang w:eastAsia="zh-CN"/>
        </w:rPr>
        <w:t>2</w:t>
      </w:r>
      <w:r>
        <w:rPr>
          <w:rFonts w:ascii="Arial" w:hAnsi="Arial" w:eastAsia="宋体" w:cs="Arial"/>
          <w:sz w:val="24"/>
          <w:szCs w:val="24"/>
          <w:lang w:eastAsia="zh-CN"/>
        </w:rPr>
        <w:t>O</w:t>
      </w:r>
      <w:r>
        <w:rPr>
          <w:rFonts w:ascii="Arial" w:hAnsi="Arial" w:eastAsia="宋体" w:cs="Arial"/>
          <w:sz w:val="24"/>
          <w:szCs w:val="24"/>
          <w:vertAlign w:val="subscript"/>
          <w:lang w:eastAsia="zh-CN"/>
        </w:rPr>
        <w:t>2</w:t>
      </w:r>
      <w:r>
        <w:rPr>
          <w:rFonts w:ascii="Arial" w:hAnsi="Arial" w:eastAsia="宋体" w:cs="Arial"/>
          <w:sz w:val="24"/>
          <w:szCs w:val="24"/>
          <w:lang w:eastAsia="zh-CN"/>
        </w:rPr>
        <w:t>灭菌的纤维素不相容性）。</w:t>
      </w:r>
    </w:p>
    <w:p w14:paraId="173E8ACB">
      <w:pPr>
        <w:pStyle w:val="17"/>
        <w:numPr>
          <w:ilvl w:val="1"/>
          <w:numId w:val="8"/>
        </w:numPr>
        <w:tabs>
          <w:tab w:val="left" w:pos="1520"/>
        </w:tabs>
        <w:snapToGrid w:val="0"/>
        <w:spacing w:line="300" w:lineRule="auto"/>
        <w:jc w:val="both"/>
        <w:rPr>
          <w:rFonts w:ascii="Arial" w:hAnsi="Arial" w:eastAsia="宋体" w:cs="Arial"/>
          <w:sz w:val="20"/>
          <w:szCs w:val="20"/>
          <w:lang w:eastAsia="zh-CN"/>
        </w:rPr>
      </w:pPr>
      <w:r>
        <w:rPr>
          <w:rFonts w:ascii="Arial" w:hAnsi="Arial" w:eastAsia="宋体" w:cs="Arial"/>
          <w:sz w:val="24"/>
          <w:szCs w:val="24"/>
          <w:lang w:eastAsia="zh-CN"/>
        </w:rPr>
        <w:t>器械设计-标签应建议仅对具有与规定的灭菌器标签和灭菌循环相容的尺寸或特性的器械（例如，管腔规格、电动手机）进行灭菌。</w:t>
      </w:r>
    </w:p>
    <w:p w14:paraId="0F37EE32">
      <w:pPr>
        <w:pStyle w:val="17"/>
        <w:numPr>
          <w:ilvl w:val="1"/>
          <w:numId w:val="8"/>
        </w:numPr>
        <w:tabs>
          <w:tab w:val="left" w:pos="1520"/>
        </w:tabs>
        <w:snapToGrid w:val="0"/>
        <w:spacing w:line="300" w:lineRule="auto"/>
        <w:jc w:val="both"/>
        <w:rPr>
          <w:rFonts w:ascii="Arial" w:hAnsi="Arial" w:eastAsia="宋体" w:cs="Arial"/>
          <w:sz w:val="24"/>
          <w:szCs w:val="24"/>
          <w:lang w:eastAsia="zh-CN"/>
        </w:rPr>
      </w:pPr>
      <w:bookmarkStart w:id="49" w:name="J._Reduction_of_Sterilant_Residuals"/>
      <w:bookmarkEnd w:id="49"/>
      <w:bookmarkStart w:id="50" w:name="K._Drying"/>
      <w:bookmarkEnd w:id="50"/>
      <w:r>
        <w:rPr>
          <w:rFonts w:ascii="Arial" w:hAnsi="Arial" w:eastAsia="宋体" w:cs="Arial"/>
          <w:sz w:val="24"/>
          <w:szCs w:val="24"/>
          <w:lang w:eastAsia="zh-CN"/>
        </w:rPr>
        <w:t>室负载-标签应说明室负载；例如，如果确认在空载或完全最坏情况负载下进行。</w:t>
      </w:r>
    </w:p>
    <w:p w14:paraId="6DF6CAAE">
      <w:pPr>
        <w:pStyle w:val="17"/>
        <w:numPr>
          <w:ilvl w:val="1"/>
          <w:numId w:val="8"/>
        </w:numPr>
        <w:tabs>
          <w:tab w:val="left" w:pos="152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干燥-标签应表明在包装器械进行灭菌之前，</w:t>
      </w:r>
      <w:bookmarkStart w:id="51" w:name="OLE_LINK7"/>
      <w:bookmarkStart w:id="52" w:name="OLE_LINK8"/>
      <w:r>
        <w:rPr>
          <w:rFonts w:ascii="Arial" w:hAnsi="Arial" w:eastAsia="宋体" w:cs="Arial"/>
          <w:sz w:val="24"/>
          <w:szCs w:val="24"/>
          <w:lang w:eastAsia="zh-CN"/>
        </w:rPr>
        <w:t>器械</w:t>
      </w:r>
      <w:bookmarkEnd w:id="51"/>
      <w:bookmarkEnd w:id="52"/>
      <w:r>
        <w:rPr>
          <w:rFonts w:ascii="Arial" w:hAnsi="Arial" w:eastAsia="宋体" w:cs="Arial"/>
          <w:sz w:val="24"/>
          <w:szCs w:val="24"/>
          <w:lang w:eastAsia="zh-CN"/>
        </w:rPr>
        <w:t>应干燥。</w:t>
      </w:r>
    </w:p>
    <w:p w14:paraId="21256FBB">
      <w:pPr>
        <w:pStyle w:val="17"/>
        <w:numPr>
          <w:ilvl w:val="1"/>
          <w:numId w:val="8"/>
        </w:numPr>
        <w:tabs>
          <w:tab w:val="left" w:pos="152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无菌保持-标签应标识经过FDA许可和设计用于允许充分灭菌剂渗透以及维持无菌的包装。灭菌包装应获得许可并标明与推荐用于其要并入器械的灭菌参数相同的灭菌参数。</w:t>
      </w:r>
    </w:p>
    <w:p w14:paraId="5C707D01">
      <w:pPr>
        <w:pStyle w:val="5"/>
        <w:numPr>
          <w:ilvl w:val="0"/>
          <w:numId w:val="8"/>
        </w:numPr>
        <w:tabs>
          <w:tab w:val="left" w:pos="1160"/>
        </w:tabs>
        <w:snapToGrid w:val="0"/>
        <w:spacing w:line="300" w:lineRule="auto"/>
        <w:jc w:val="both"/>
        <w:rPr>
          <w:rFonts w:ascii="Arial" w:hAnsi="Arial" w:eastAsia="宋体" w:cs="Arial"/>
          <w:b w:val="0"/>
          <w:bCs w:val="0"/>
          <w:u w:val="single"/>
        </w:rPr>
      </w:pPr>
      <w:r>
        <w:rPr>
          <w:rFonts w:ascii="Arial" w:hAnsi="Arial" w:eastAsia="宋体" w:cs="Arial"/>
          <w:u w:val="single" w:color="000000"/>
        </w:rPr>
        <w:t>减少</w:t>
      </w:r>
      <w:r>
        <w:rPr>
          <w:rFonts w:ascii="Arial" w:hAnsi="Arial" w:eastAsia="宋体" w:cs="Arial"/>
          <w:u w:val="single" w:color="000000"/>
          <w:lang w:eastAsia="zh-CN"/>
        </w:rPr>
        <w:t>灭菌</w:t>
      </w:r>
      <w:r>
        <w:rPr>
          <w:rFonts w:ascii="Arial" w:hAnsi="Arial" w:eastAsia="宋体" w:cs="Arial"/>
          <w:u w:val="single" w:color="000000"/>
        </w:rPr>
        <w:t>剂残留</w:t>
      </w:r>
    </w:p>
    <w:p w14:paraId="6B84DDAD">
      <w:pPr>
        <w:snapToGrid w:val="0"/>
        <w:spacing w:before="7" w:line="300" w:lineRule="auto"/>
        <w:jc w:val="both"/>
        <w:rPr>
          <w:rFonts w:ascii="Arial" w:hAnsi="Arial" w:eastAsia="宋体" w:cs="Arial"/>
          <w:b/>
          <w:bCs/>
          <w:sz w:val="17"/>
          <w:szCs w:val="17"/>
        </w:rPr>
      </w:pPr>
    </w:p>
    <w:p w14:paraId="3C32699E">
      <w:pPr>
        <w:pStyle w:val="6"/>
        <w:snapToGrid w:val="0"/>
        <w:spacing w:line="300" w:lineRule="auto"/>
        <w:ind w:left="799"/>
        <w:jc w:val="both"/>
        <w:rPr>
          <w:rFonts w:ascii="Arial" w:hAnsi="Arial" w:eastAsia="宋体" w:cs="Arial"/>
          <w:lang w:eastAsia="zh-CN"/>
        </w:rPr>
      </w:pPr>
      <w:r>
        <w:rPr>
          <w:rFonts w:ascii="Arial" w:hAnsi="Arial" w:eastAsia="宋体" w:cs="Arial"/>
          <w:lang w:eastAsia="zh-CN"/>
        </w:rPr>
        <w:t>标签应提供减少灭菌剂残留（例如通风）的说明，例如使用EO、过氧化氢进行灭菌或可能在器械上留下灭菌剂残留的其他灭菌过程等过程。</w:t>
      </w:r>
    </w:p>
    <w:p w14:paraId="6B5457A6">
      <w:pPr>
        <w:pStyle w:val="6"/>
        <w:snapToGrid w:val="0"/>
        <w:spacing w:line="300" w:lineRule="auto"/>
        <w:ind w:left="799"/>
        <w:jc w:val="both"/>
        <w:rPr>
          <w:rFonts w:ascii="Arial" w:hAnsi="Arial" w:eastAsia="宋体" w:cs="Arial"/>
          <w:lang w:eastAsia="zh-CN"/>
        </w:rPr>
      </w:pPr>
    </w:p>
    <w:p w14:paraId="77B57238">
      <w:pPr>
        <w:pStyle w:val="6"/>
        <w:snapToGrid w:val="0"/>
        <w:spacing w:line="300" w:lineRule="auto"/>
        <w:ind w:left="799"/>
        <w:jc w:val="both"/>
        <w:rPr>
          <w:rFonts w:ascii="Arial" w:hAnsi="Arial" w:eastAsia="宋体" w:cs="Arial"/>
          <w:lang w:eastAsia="zh-CN"/>
        </w:rPr>
      </w:pPr>
      <w:r>
        <w:rPr>
          <w:rFonts w:ascii="Arial" w:hAnsi="Arial" w:eastAsia="宋体" w:cs="Arial"/>
          <w:lang w:eastAsia="zh-CN"/>
        </w:rPr>
        <w:t>例如，对于适用于通过EO进行灭菌的器械，标签应建议通风时间，以将EO残留减少到可接受的水平。有关EO通风建议的更多信息，并为根据器械的预期用途确定最佳通风过程规格，我们建议贵公司参考当前FDA认可的AAMI ST41版本“</w:t>
      </w:r>
      <w:r>
        <w:rPr>
          <w:rFonts w:ascii="Arial" w:hAnsi="Arial" w:eastAsia="宋体" w:cs="Arial"/>
          <w:color w:val="0000FF"/>
          <w:u w:val="single"/>
          <w:lang w:eastAsia="zh-CN"/>
        </w:rPr>
        <w:t>医疗机构中的环氧乙烷灭菌：安全性和有效性</w:t>
      </w:r>
      <w:r>
        <w:rPr>
          <w:rFonts w:ascii="Arial" w:hAnsi="Arial" w:eastAsia="宋体" w:cs="Arial"/>
          <w:lang w:eastAsia="zh-CN"/>
        </w:rPr>
        <w:t>“。有关可接受EO残留水平的更多信息，我们建议贵公司参考当前FDA认可的ANSI/AAMI/ISO 10993-7版本“</w:t>
      </w:r>
      <w:r>
        <w:rPr>
          <w:rFonts w:ascii="Arial" w:hAnsi="Arial" w:eastAsia="宋体" w:cs="Arial"/>
          <w:color w:val="0000FF"/>
          <w:u w:val="single"/>
          <w:lang w:eastAsia="zh-CN"/>
        </w:rPr>
        <w:t>医疗器械的生物学评价-第7部分：环氧乙烷灭菌残留</w:t>
      </w:r>
      <w:r>
        <w:rPr>
          <w:rFonts w:ascii="Arial" w:hAnsi="Arial" w:eastAsia="宋体" w:cs="Arial"/>
          <w:lang w:eastAsia="zh-CN"/>
        </w:rPr>
        <w:t>”。</w:t>
      </w:r>
    </w:p>
    <w:p w14:paraId="05F6FF5C">
      <w:pPr>
        <w:snapToGrid w:val="0"/>
        <w:spacing w:before="5" w:line="300" w:lineRule="auto"/>
        <w:jc w:val="both"/>
        <w:rPr>
          <w:rFonts w:ascii="Arial" w:hAnsi="Arial" w:eastAsia="宋体" w:cs="Arial"/>
          <w:sz w:val="18"/>
          <w:szCs w:val="18"/>
          <w:lang w:eastAsia="zh-CN"/>
        </w:rPr>
      </w:pPr>
    </w:p>
    <w:p w14:paraId="4BF9967E">
      <w:pPr>
        <w:pStyle w:val="5"/>
        <w:numPr>
          <w:ilvl w:val="0"/>
          <w:numId w:val="8"/>
        </w:numPr>
        <w:tabs>
          <w:tab w:val="left" w:pos="1160"/>
        </w:tabs>
        <w:snapToGrid w:val="0"/>
        <w:spacing w:before="69" w:line="300" w:lineRule="auto"/>
        <w:jc w:val="both"/>
        <w:rPr>
          <w:rFonts w:ascii="Arial" w:hAnsi="Arial" w:eastAsia="宋体" w:cs="Arial"/>
          <w:b w:val="0"/>
          <w:bCs w:val="0"/>
          <w:u w:val="single"/>
        </w:rPr>
      </w:pPr>
      <w:r>
        <w:rPr>
          <w:rFonts w:ascii="Arial" w:hAnsi="Arial" w:eastAsia="宋体" w:cs="Arial"/>
          <w:u w:val="single" w:color="000000"/>
        </w:rPr>
        <w:t>干燥</w:t>
      </w:r>
    </w:p>
    <w:p w14:paraId="3D7D1BE2">
      <w:pPr>
        <w:snapToGrid w:val="0"/>
        <w:spacing w:before="7" w:line="300" w:lineRule="auto"/>
        <w:jc w:val="both"/>
        <w:rPr>
          <w:rFonts w:ascii="Arial" w:hAnsi="Arial" w:eastAsia="宋体" w:cs="Arial"/>
          <w:b/>
          <w:bCs/>
          <w:sz w:val="17"/>
          <w:szCs w:val="17"/>
        </w:rPr>
      </w:pPr>
    </w:p>
    <w:p w14:paraId="494A1F00">
      <w:pPr>
        <w:pStyle w:val="6"/>
        <w:snapToGrid w:val="0"/>
        <w:spacing w:line="300" w:lineRule="auto"/>
        <w:jc w:val="both"/>
        <w:rPr>
          <w:rFonts w:ascii="Arial" w:hAnsi="Arial" w:eastAsia="宋体" w:cs="Arial"/>
          <w:lang w:eastAsia="zh-CN"/>
        </w:rPr>
      </w:pPr>
      <w:r>
        <w:rPr>
          <w:rFonts w:ascii="Arial" w:hAnsi="Arial" w:eastAsia="宋体" w:cs="Arial"/>
          <w:lang w:eastAsia="zh-CN"/>
        </w:rPr>
        <w:t>在进行高水平消毒/液体化学灭菌剂再加工后，有源器械干燥可能会减少或消除非包装器械的再污染，因为在再加工结束时，器械将变湿。标签应推荐在加工后及存储前应用于彻底干燥器械的过程，这样可以消除支持污染微生物生存的水分。</w:t>
      </w:r>
    </w:p>
    <w:p w14:paraId="48838AA4">
      <w:pPr>
        <w:pStyle w:val="6"/>
        <w:snapToGrid w:val="0"/>
        <w:spacing w:line="300" w:lineRule="auto"/>
        <w:jc w:val="both"/>
        <w:rPr>
          <w:rFonts w:ascii="Arial" w:hAnsi="Arial" w:eastAsia="宋体" w:cs="Arial"/>
          <w:lang w:eastAsia="zh-CN"/>
        </w:rPr>
      </w:pPr>
    </w:p>
    <w:p w14:paraId="248A7C7B">
      <w:pPr>
        <w:pStyle w:val="6"/>
        <w:snapToGrid w:val="0"/>
        <w:spacing w:line="300" w:lineRule="auto"/>
        <w:jc w:val="both"/>
        <w:rPr>
          <w:rFonts w:ascii="Arial" w:hAnsi="Arial" w:eastAsia="宋体" w:cs="Arial"/>
          <w:lang w:eastAsia="zh-CN"/>
        </w:rPr>
      </w:pPr>
      <w:r>
        <w:rPr>
          <w:rFonts w:ascii="Arial" w:hAnsi="Arial" w:eastAsia="宋体" w:cs="Arial"/>
          <w:lang w:eastAsia="zh-CN"/>
        </w:rPr>
        <w:t>标签还应建议经确认的最小干燥时间规格，以用于非包装/包装器械的最终灭菌方法。灭菌后驻留在非包装/包装产品上的水分可能会损害包装材料的无菌屏障属性和密封的有效性，从而危害包装的完好性和性能。</w:t>
      </w:r>
    </w:p>
    <w:p w14:paraId="2976194B">
      <w:pPr>
        <w:snapToGrid w:val="0"/>
        <w:spacing w:line="300" w:lineRule="auto"/>
        <w:jc w:val="both"/>
        <w:rPr>
          <w:rFonts w:ascii="Arial" w:hAnsi="Arial" w:eastAsia="宋体" w:cs="Arial"/>
          <w:sz w:val="24"/>
          <w:szCs w:val="24"/>
          <w:lang w:eastAsia="zh-CN"/>
        </w:rPr>
      </w:pPr>
    </w:p>
    <w:p w14:paraId="27E09B2B">
      <w:pPr>
        <w:pStyle w:val="6"/>
        <w:snapToGrid w:val="0"/>
        <w:spacing w:line="300" w:lineRule="auto"/>
        <w:jc w:val="both"/>
        <w:rPr>
          <w:rFonts w:ascii="Arial" w:hAnsi="Arial" w:eastAsia="宋体" w:cs="Arial"/>
          <w:lang w:eastAsia="zh-CN"/>
        </w:rPr>
      </w:pPr>
      <w:r>
        <w:rPr>
          <w:rFonts w:ascii="Arial" w:hAnsi="Arial" w:eastAsia="宋体" w:cs="Arial"/>
          <w:lang w:eastAsia="zh-CN"/>
        </w:rPr>
        <w:t>加工中干燥（即，清洁后干燥）是另一个重要的考虑因素，因为在器械上残留的水分可能干扰后续灭菌过程。如果完整加工延迟，标签应推荐在任何延迟灭菌之前进行的中间且有效的干燥步骤。</w:t>
      </w:r>
    </w:p>
    <w:p w14:paraId="0C6097A1">
      <w:pPr>
        <w:snapToGrid w:val="0"/>
        <w:spacing w:line="300" w:lineRule="auto"/>
        <w:jc w:val="both"/>
        <w:rPr>
          <w:rFonts w:ascii="Arial" w:hAnsi="Arial" w:eastAsia="宋体" w:cs="Arial"/>
          <w:sz w:val="20"/>
          <w:szCs w:val="20"/>
          <w:lang w:eastAsia="zh-CN"/>
        </w:rPr>
      </w:pPr>
    </w:p>
    <w:p w14:paraId="0DA47282">
      <w:pPr>
        <w:snapToGrid w:val="0"/>
        <w:spacing w:before="1" w:line="300" w:lineRule="auto"/>
        <w:jc w:val="both"/>
        <w:rPr>
          <w:rFonts w:ascii="Arial" w:hAnsi="Arial" w:eastAsia="宋体" w:cs="Arial"/>
          <w:sz w:val="17"/>
          <w:szCs w:val="17"/>
          <w:lang w:eastAsia="zh-CN"/>
        </w:rPr>
      </w:pPr>
    </w:p>
    <w:p w14:paraId="7E2A7B74">
      <w:pPr>
        <w:snapToGrid w:val="0"/>
        <w:spacing w:before="1" w:line="300" w:lineRule="auto"/>
        <w:jc w:val="both"/>
        <w:rPr>
          <w:rFonts w:ascii="Arial" w:hAnsi="Arial" w:eastAsia="宋体" w:cs="Arial"/>
          <w:sz w:val="17"/>
          <w:szCs w:val="17"/>
          <w:lang w:eastAsia="zh-CN"/>
        </w:rPr>
      </w:pPr>
    </w:p>
    <w:p w14:paraId="5790643D">
      <w:pPr>
        <w:snapToGrid w:val="0"/>
        <w:spacing w:before="1" w:line="300" w:lineRule="auto"/>
        <w:jc w:val="both"/>
        <w:rPr>
          <w:rFonts w:ascii="Arial" w:hAnsi="Arial" w:eastAsia="宋体" w:cs="Arial"/>
          <w:sz w:val="17"/>
          <w:szCs w:val="17"/>
          <w:lang w:eastAsia="zh-CN"/>
        </w:rPr>
      </w:pPr>
    </w:p>
    <w:p w14:paraId="248392F6">
      <w:pPr>
        <w:snapToGrid w:val="0"/>
        <w:spacing w:before="1" w:line="300" w:lineRule="auto"/>
        <w:jc w:val="both"/>
        <w:rPr>
          <w:rFonts w:ascii="Arial" w:hAnsi="Arial" w:eastAsia="宋体" w:cs="Arial"/>
          <w:sz w:val="17"/>
          <w:szCs w:val="17"/>
          <w:lang w:eastAsia="zh-CN"/>
        </w:rPr>
      </w:pPr>
    </w:p>
    <w:p w14:paraId="25BBBA46">
      <w:pPr>
        <w:snapToGrid w:val="0"/>
        <w:spacing w:before="1" w:line="300" w:lineRule="auto"/>
        <w:jc w:val="both"/>
        <w:rPr>
          <w:rFonts w:ascii="Arial" w:hAnsi="Arial" w:eastAsia="宋体" w:cs="Arial"/>
          <w:sz w:val="17"/>
          <w:szCs w:val="17"/>
          <w:lang w:eastAsia="zh-CN"/>
        </w:rPr>
      </w:pPr>
    </w:p>
    <w:p w14:paraId="430601B9">
      <w:pPr>
        <w:snapToGrid w:val="0"/>
        <w:spacing w:before="1" w:line="300" w:lineRule="auto"/>
        <w:jc w:val="both"/>
        <w:rPr>
          <w:rFonts w:ascii="Arial" w:hAnsi="Arial" w:eastAsia="宋体" w:cs="Arial"/>
          <w:sz w:val="17"/>
          <w:szCs w:val="17"/>
          <w:lang w:eastAsia="zh-CN"/>
        </w:rPr>
      </w:pPr>
    </w:p>
    <w:p w14:paraId="2BB8C660">
      <w:pPr>
        <w:snapToGrid w:val="0"/>
        <w:spacing w:before="1" w:line="300" w:lineRule="auto"/>
        <w:jc w:val="both"/>
        <w:rPr>
          <w:rFonts w:ascii="Arial" w:hAnsi="Arial" w:eastAsia="宋体" w:cs="Arial"/>
          <w:sz w:val="17"/>
          <w:szCs w:val="17"/>
          <w:lang w:eastAsia="zh-CN"/>
        </w:rPr>
      </w:pPr>
    </w:p>
    <w:p w14:paraId="10D88618">
      <w:pPr>
        <w:snapToGrid w:val="0"/>
        <w:spacing w:before="1" w:line="300" w:lineRule="auto"/>
        <w:jc w:val="both"/>
        <w:rPr>
          <w:rFonts w:ascii="Arial" w:hAnsi="Arial" w:eastAsia="宋体" w:cs="Arial"/>
          <w:sz w:val="17"/>
          <w:szCs w:val="17"/>
          <w:lang w:eastAsia="zh-CN"/>
        </w:rPr>
      </w:pPr>
    </w:p>
    <w:p w14:paraId="56A1FBBA">
      <w:pPr>
        <w:snapToGrid w:val="0"/>
        <w:spacing w:before="1" w:line="300" w:lineRule="auto"/>
        <w:jc w:val="both"/>
        <w:rPr>
          <w:rFonts w:ascii="Arial" w:hAnsi="Arial" w:eastAsia="宋体" w:cs="Arial"/>
          <w:sz w:val="17"/>
          <w:szCs w:val="17"/>
          <w:lang w:eastAsia="zh-CN"/>
        </w:rPr>
      </w:pPr>
    </w:p>
    <w:p w14:paraId="226BAC0B">
      <w:pPr>
        <w:snapToGrid w:val="0"/>
        <w:spacing w:before="1" w:line="300" w:lineRule="auto"/>
        <w:jc w:val="both"/>
        <w:rPr>
          <w:rFonts w:ascii="Arial" w:hAnsi="Arial" w:eastAsia="宋体" w:cs="Arial"/>
          <w:sz w:val="17"/>
          <w:szCs w:val="17"/>
          <w:lang w:eastAsia="zh-CN"/>
        </w:rPr>
      </w:pPr>
    </w:p>
    <w:p w14:paraId="7DD939CA">
      <w:pPr>
        <w:snapToGrid w:val="0"/>
        <w:spacing w:before="1" w:line="300" w:lineRule="auto"/>
        <w:jc w:val="both"/>
        <w:rPr>
          <w:rFonts w:ascii="Arial" w:hAnsi="Arial" w:eastAsia="宋体" w:cs="Arial"/>
          <w:sz w:val="17"/>
          <w:szCs w:val="17"/>
          <w:lang w:eastAsia="zh-CN"/>
        </w:rPr>
      </w:pPr>
    </w:p>
    <w:p w14:paraId="23BDD622">
      <w:pPr>
        <w:snapToGrid w:val="0"/>
        <w:spacing w:before="1" w:line="300" w:lineRule="auto"/>
        <w:jc w:val="both"/>
        <w:rPr>
          <w:rFonts w:ascii="Arial" w:hAnsi="Arial" w:eastAsia="宋体" w:cs="Arial"/>
          <w:sz w:val="17"/>
          <w:szCs w:val="17"/>
          <w:lang w:eastAsia="zh-CN"/>
        </w:rPr>
      </w:pPr>
    </w:p>
    <w:p w14:paraId="66F4E8CF">
      <w:pPr>
        <w:snapToGrid w:val="0"/>
        <w:spacing w:before="1" w:line="300" w:lineRule="auto"/>
        <w:jc w:val="both"/>
        <w:rPr>
          <w:rFonts w:ascii="Arial" w:hAnsi="Arial" w:eastAsia="宋体" w:cs="Arial"/>
          <w:sz w:val="17"/>
          <w:szCs w:val="17"/>
          <w:lang w:eastAsia="zh-CN"/>
        </w:rPr>
      </w:pPr>
    </w:p>
    <w:p w14:paraId="2D59F565">
      <w:pPr>
        <w:snapToGrid w:val="0"/>
        <w:spacing w:before="1" w:line="300" w:lineRule="auto"/>
        <w:jc w:val="both"/>
        <w:rPr>
          <w:rFonts w:ascii="Arial" w:hAnsi="Arial" w:eastAsia="宋体" w:cs="Arial"/>
          <w:sz w:val="17"/>
          <w:szCs w:val="17"/>
          <w:lang w:eastAsia="zh-CN"/>
        </w:rPr>
      </w:pPr>
    </w:p>
    <w:p w14:paraId="20ACDF93">
      <w:pPr>
        <w:snapToGrid w:val="0"/>
        <w:spacing w:before="1" w:line="300" w:lineRule="auto"/>
        <w:jc w:val="both"/>
        <w:rPr>
          <w:rFonts w:ascii="Arial" w:hAnsi="Arial" w:eastAsia="宋体" w:cs="Arial"/>
          <w:sz w:val="17"/>
          <w:szCs w:val="17"/>
          <w:lang w:eastAsia="zh-CN"/>
        </w:rPr>
      </w:pPr>
    </w:p>
    <w:p w14:paraId="3A88936D">
      <w:pPr>
        <w:pStyle w:val="5"/>
        <w:numPr>
          <w:ilvl w:val="0"/>
          <w:numId w:val="8"/>
        </w:numPr>
        <w:tabs>
          <w:tab w:val="left" w:pos="1160"/>
        </w:tabs>
        <w:snapToGrid w:val="0"/>
        <w:spacing w:before="69" w:line="300" w:lineRule="auto"/>
        <w:jc w:val="both"/>
        <w:rPr>
          <w:rFonts w:ascii="Arial" w:hAnsi="Arial" w:eastAsia="宋体" w:cs="Arial"/>
          <w:b w:val="0"/>
          <w:bCs w:val="0"/>
          <w:u w:val="single"/>
        </w:rPr>
      </w:pPr>
      <w:bookmarkStart w:id="53" w:name="L._Reuse_Life"/>
      <w:bookmarkEnd w:id="53"/>
      <w:bookmarkStart w:id="54" w:name="M._Additional_Labeling_Recommendations"/>
      <w:bookmarkEnd w:id="54"/>
      <w:r>
        <w:rPr>
          <w:rFonts w:ascii="Arial" w:hAnsi="Arial" w:eastAsia="宋体" w:cs="Arial"/>
          <w:u w:val="single" w:color="000000"/>
          <w:lang w:eastAsia="zh-CN"/>
        </w:rPr>
        <w:t>重复使用寿命</w:t>
      </w:r>
    </w:p>
    <w:p w14:paraId="50B49D99">
      <w:pPr>
        <w:snapToGrid w:val="0"/>
        <w:spacing w:before="7" w:line="300" w:lineRule="auto"/>
        <w:jc w:val="both"/>
        <w:rPr>
          <w:rFonts w:ascii="Arial" w:hAnsi="Arial" w:eastAsia="宋体" w:cs="Arial"/>
          <w:b/>
          <w:bCs/>
          <w:sz w:val="17"/>
          <w:szCs w:val="17"/>
        </w:rPr>
      </w:pPr>
    </w:p>
    <w:p w14:paraId="3FBD281A">
      <w:pPr>
        <w:pStyle w:val="6"/>
        <w:snapToGrid w:val="0"/>
        <w:spacing w:before="69" w:line="300" w:lineRule="auto"/>
        <w:ind w:left="799"/>
        <w:jc w:val="both"/>
        <w:rPr>
          <w:rFonts w:ascii="Arial" w:hAnsi="Arial" w:eastAsia="宋体" w:cs="Arial"/>
          <w:lang w:eastAsia="zh-CN"/>
        </w:rPr>
      </w:pPr>
      <w:r>
        <w:rPr>
          <w:rFonts w:ascii="Arial" w:hAnsi="Arial" w:eastAsia="宋体" w:cs="Arial"/>
          <w:lang w:eastAsia="zh-CN"/>
        </w:rPr>
        <w:t>标签应1）通知用户可以根据试验重新使用该器械多少次；或2）向用户提供用于确定器械是否已经超过其使用寿命的机制或方法。在后一种情况下，标签应标识用于确定器械仍然在性能规格内的方法，以及适当处置故障器械的说明。例如：</w:t>
      </w:r>
    </w:p>
    <w:p w14:paraId="240840BE">
      <w:pPr>
        <w:snapToGrid w:val="0"/>
        <w:spacing w:line="300" w:lineRule="auto"/>
        <w:jc w:val="both"/>
        <w:rPr>
          <w:rFonts w:ascii="Arial" w:hAnsi="Arial" w:eastAsia="宋体" w:cs="Arial"/>
          <w:sz w:val="24"/>
          <w:szCs w:val="24"/>
          <w:lang w:eastAsia="zh-CN"/>
        </w:rPr>
      </w:pPr>
    </w:p>
    <w:p w14:paraId="5643DBF2">
      <w:pPr>
        <w:pStyle w:val="17"/>
        <w:numPr>
          <w:ilvl w:val="1"/>
          <w:numId w:val="8"/>
        </w:numPr>
        <w:tabs>
          <w:tab w:val="left" w:pos="152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参考器械设计功能的标签，如内置的自动预检功能；</w:t>
      </w:r>
    </w:p>
    <w:p w14:paraId="3DF944F7">
      <w:pPr>
        <w:pStyle w:val="17"/>
        <w:numPr>
          <w:ilvl w:val="1"/>
          <w:numId w:val="8"/>
        </w:numPr>
        <w:tabs>
          <w:tab w:val="left" w:pos="152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标识在重新使用之前应通过的性能试验的标签；</w:t>
      </w:r>
    </w:p>
    <w:p w14:paraId="192D8B22">
      <w:pPr>
        <w:pStyle w:val="17"/>
        <w:numPr>
          <w:ilvl w:val="1"/>
          <w:numId w:val="8"/>
        </w:numPr>
        <w:tabs>
          <w:tab w:val="left" w:pos="152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建议目视检查以及验收或失败标准（例如不可接受的恶化，如腐蚀、变色、点蚀、密封破裂）的标签。</w:t>
      </w:r>
    </w:p>
    <w:p w14:paraId="28A04C00">
      <w:pPr>
        <w:pStyle w:val="6"/>
        <w:snapToGrid w:val="0"/>
        <w:spacing w:line="300" w:lineRule="auto"/>
        <w:ind w:left="799"/>
        <w:jc w:val="both"/>
        <w:rPr>
          <w:rFonts w:ascii="Arial" w:hAnsi="Arial" w:eastAsia="宋体" w:cs="Arial"/>
          <w:lang w:eastAsia="zh-CN"/>
        </w:rPr>
      </w:pPr>
    </w:p>
    <w:p w14:paraId="02EB3878">
      <w:pPr>
        <w:pStyle w:val="6"/>
        <w:snapToGrid w:val="0"/>
        <w:spacing w:line="300" w:lineRule="auto"/>
        <w:ind w:left="799"/>
        <w:jc w:val="both"/>
        <w:rPr>
          <w:rFonts w:ascii="Arial" w:hAnsi="Arial" w:eastAsia="宋体" w:cs="Arial"/>
          <w:lang w:eastAsia="zh-CN"/>
        </w:rPr>
      </w:pPr>
      <w:r>
        <w:rPr>
          <w:rFonts w:ascii="Arial" w:hAnsi="Arial" w:eastAsia="宋体" w:cs="Arial"/>
          <w:lang w:eastAsia="zh-CN"/>
        </w:rPr>
        <w:t>无论选择哪种方法，标签应建议如何评价复杂器械难以观察区域中的恶化，特别是管腔内（例如泄漏试验）的恶化。</w:t>
      </w:r>
    </w:p>
    <w:p w14:paraId="68BA2097">
      <w:pPr>
        <w:pStyle w:val="6"/>
        <w:snapToGrid w:val="0"/>
        <w:spacing w:line="300" w:lineRule="auto"/>
        <w:ind w:left="799"/>
        <w:jc w:val="both"/>
        <w:rPr>
          <w:rFonts w:ascii="Arial" w:hAnsi="Arial" w:eastAsia="宋体" w:cs="Arial"/>
          <w:lang w:eastAsia="zh-CN"/>
        </w:rPr>
      </w:pPr>
    </w:p>
    <w:p w14:paraId="70ADA3CB">
      <w:pPr>
        <w:pStyle w:val="6"/>
        <w:snapToGrid w:val="0"/>
        <w:spacing w:line="300" w:lineRule="auto"/>
        <w:ind w:left="799"/>
        <w:jc w:val="both"/>
        <w:rPr>
          <w:rFonts w:ascii="Arial" w:hAnsi="Arial" w:eastAsia="宋体" w:cs="Arial"/>
          <w:lang w:eastAsia="zh-CN"/>
        </w:rPr>
      </w:pPr>
      <w:r>
        <w:rPr>
          <w:rFonts w:ascii="Arial" w:hAnsi="Arial" w:eastAsia="宋体" w:cs="Arial"/>
          <w:lang w:eastAsia="zh-CN"/>
        </w:rPr>
        <w:t>重复使用寿命也可以通过确认产品可以再加工和重复使用的次数并在标签中提供本规格来解决。如果器械的重复使用寿命限制在特定数量的使用/再加工循环，则标签还应说明重复使用循环数的特定跟踪方法。标签应适当提醒用户，即特定数量的重复使用循环取决于是否完全遵守该器械的使用说明。</w:t>
      </w:r>
    </w:p>
    <w:p w14:paraId="4EC2483C">
      <w:pPr>
        <w:snapToGrid w:val="0"/>
        <w:spacing w:before="5" w:line="300" w:lineRule="auto"/>
        <w:jc w:val="both"/>
        <w:rPr>
          <w:rFonts w:ascii="Arial" w:hAnsi="Arial" w:eastAsia="宋体" w:cs="Arial"/>
          <w:sz w:val="24"/>
          <w:szCs w:val="24"/>
          <w:lang w:eastAsia="zh-CN"/>
        </w:rPr>
      </w:pPr>
    </w:p>
    <w:p w14:paraId="102E0EA5">
      <w:pPr>
        <w:pStyle w:val="5"/>
        <w:numPr>
          <w:ilvl w:val="0"/>
          <w:numId w:val="8"/>
        </w:numPr>
        <w:tabs>
          <w:tab w:val="left" w:pos="1160"/>
        </w:tabs>
        <w:snapToGrid w:val="0"/>
        <w:spacing w:line="300" w:lineRule="auto"/>
        <w:jc w:val="both"/>
        <w:rPr>
          <w:rFonts w:ascii="Arial" w:hAnsi="Arial" w:eastAsia="宋体" w:cs="Arial"/>
          <w:b w:val="0"/>
          <w:bCs w:val="0"/>
          <w:u w:val="single"/>
        </w:rPr>
      </w:pPr>
      <w:r>
        <w:rPr>
          <w:rFonts w:ascii="Arial" w:hAnsi="Arial" w:eastAsia="宋体" w:cs="Arial"/>
          <w:u w:val="single" w:color="000000"/>
          <w:lang w:eastAsia="zh-CN"/>
        </w:rPr>
        <w:t>其他</w:t>
      </w:r>
      <w:r>
        <w:rPr>
          <w:rFonts w:ascii="Arial" w:hAnsi="Arial" w:eastAsia="宋体" w:cs="Arial"/>
          <w:u w:val="single" w:color="000000"/>
        </w:rPr>
        <w:t>标签建议</w:t>
      </w:r>
    </w:p>
    <w:p w14:paraId="4C1F55DE">
      <w:pPr>
        <w:snapToGrid w:val="0"/>
        <w:spacing w:before="7" w:line="300" w:lineRule="auto"/>
        <w:jc w:val="both"/>
        <w:rPr>
          <w:rFonts w:ascii="Arial" w:hAnsi="Arial" w:eastAsia="宋体" w:cs="Arial"/>
          <w:b/>
          <w:bCs/>
          <w:sz w:val="17"/>
          <w:szCs w:val="17"/>
        </w:rPr>
      </w:pPr>
    </w:p>
    <w:p w14:paraId="5128DFBA">
      <w:pPr>
        <w:pStyle w:val="6"/>
        <w:snapToGrid w:val="0"/>
        <w:spacing w:line="300" w:lineRule="auto"/>
        <w:jc w:val="both"/>
        <w:rPr>
          <w:rFonts w:ascii="Arial" w:hAnsi="Arial" w:eastAsia="宋体" w:cs="Arial"/>
          <w:lang w:eastAsia="zh-CN"/>
        </w:rPr>
      </w:pPr>
      <w:r>
        <w:rPr>
          <w:rFonts w:ascii="Arial" w:hAnsi="Arial" w:eastAsia="宋体" w:cs="Arial"/>
          <w:lang w:eastAsia="zh-CN"/>
        </w:rPr>
        <w:t>最初以非无菌形式向用户提供且要求用户在使用前对器械进行灭菌的器械应直接在单个器械标签（例如，仅与托运纸箱相反）上明确标记为“非无菌”，以确保非无菌产品在使用前进行灭菌。</w:t>
      </w:r>
    </w:p>
    <w:p w14:paraId="50D157CE">
      <w:pPr>
        <w:pStyle w:val="6"/>
        <w:snapToGrid w:val="0"/>
        <w:spacing w:line="300" w:lineRule="auto"/>
        <w:jc w:val="both"/>
        <w:rPr>
          <w:rFonts w:ascii="Arial" w:hAnsi="Arial" w:eastAsia="宋体" w:cs="Arial"/>
          <w:lang w:eastAsia="zh-CN"/>
        </w:rPr>
      </w:pPr>
    </w:p>
    <w:p w14:paraId="37BEBED5">
      <w:pPr>
        <w:pStyle w:val="6"/>
        <w:snapToGrid w:val="0"/>
        <w:spacing w:line="300" w:lineRule="auto"/>
        <w:jc w:val="both"/>
        <w:rPr>
          <w:rFonts w:ascii="Arial" w:hAnsi="Arial" w:eastAsia="宋体" w:cs="Arial"/>
          <w:lang w:eastAsia="zh-CN"/>
        </w:rPr>
      </w:pPr>
      <w:r>
        <w:rPr>
          <w:rFonts w:ascii="Arial" w:hAnsi="Arial" w:eastAsia="宋体" w:cs="Arial"/>
          <w:lang w:eastAsia="zh-CN"/>
        </w:rPr>
        <w:t>在需要进行再加工时，标签应提供有关再加工过程的任何特殊警告或注意事项。这些可能与用户安全有关或强调可能显著改变再加工的安全性或有效性或器械性能的条件。例如，一些器械可能具有未密封接缝/裂缝，其中，过量液体消毒剂可能通过此类接缝/缝隙到达器械内部并损坏器械。在这种情况下，标签应警告用户这种潜在危险，并提供具体的使用说明来防止这种危害，例如避免将过量液体施加在器械上。也应适当提醒器件损坏可能会影响再加工过程的情况。</w:t>
      </w:r>
    </w:p>
    <w:p w14:paraId="490878A0">
      <w:pPr>
        <w:snapToGrid w:val="0"/>
        <w:spacing w:before="1" w:line="300" w:lineRule="auto"/>
        <w:jc w:val="both"/>
        <w:rPr>
          <w:rFonts w:ascii="Arial" w:hAnsi="Arial" w:eastAsia="宋体" w:cs="Arial"/>
          <w:sz w:val="19"/>
          <w:szCs w:val="19"/>
          <w:lang w:eastAsia="zh-CN"/>
        </w:rPr>
      </w:pPr>
    </w:p>
    <w:p w14:paraId="66BD7143">
      <w:pPr>
        <w:snapToGrid w:val="0"/>
        <w:spacing w:before="1" w:line="300" w:lineRule="auto"/>
        <w:jc w:val="both"/>
        <w:rPr>
          <w:rFonts w:ascii="Arial" w:hAnsi="Arial" w:eastAsia="宋体" w:cs="Arial"/>
          <w:sz w:val="19"/>
          <w:szCs w:val="19"/>
          <w:lang w:eastAsia="zh-CN"/>
        </w:rPr>
      </w:pPr>
    </w:p>
    <w:p w14:paraId="446CC26E">
      <w:pPr>
        <w:snapToGrid w:val="0"/>
        <w:spacing w:before="1" w:line="300" w:lineRule="auto"/>
        <w:jc w:val="both"/>
        <w:rPr>
          <w:rFonts w:ascii="Arial" w:hAnsi="Arial" w:eastAsia="宋体" w:cs="Arial"/>
          <w:sz w:val="19"/>
          <w:szCs w:val="19"/>
          <w:lang w:eastAsia="zh-CN"/>
        </w:rPr>
      </w:pPr>
    </w:p>
    <w:p w14:paraId="71899902">
      <w:pPr>
        <w:snapToGrid w:val="0"/>
        <w:spacing w:before="1" w:line="300" w:lineRule="auto"/>
        <w:jc w:val="both"/>
        <w:rPr>
          <w:rFonts w:ascii="Arial" w:hAnsi="Arial" w:eastAsia="宋体" w:cs="Arial"/>
          <w:sz w:val="19"/>
          <w:szCs w:val="19"/>
          <w:lang w:eastAsia="zh-CN"/>
        </w:rPr>
      </w:pPr>
    </w:p>
    <w:p w14:paraId="2B1DFF09">
      <w:pPr>
        <w:snapToGrid w:val="0"/>
        <w:spacing w:before="1" w:line="300" w:lineRule="auto"/>
        <w:jc w:val="both"/>
        <w:rPr>
          <w:rFonts w:ascii="Arial" w:hAnsi="Arial" w:eastAsia="宋体" w:cs="Arial"/>
          <w:sz w:val="19"/>
          <w:szCs w:val="19"/>
          <w:lang w:eastAsia="zh-CN"/>
        </w:rPr>
      </w:pPr>
    </w:p>
    <w:p w14:paraId="45C4B19C">
      <w:pPr>
        <w:snapToGrid w:val="0"/>
        <w:spacing w:before="1" w:line="300" w:lineRule="auto"/>
        <w:jc w:val="both"/>
        <w:rPr>
          <w:rFonts w:ascii="Arial" w:hAnsi="Arial" w:eastAsia="宋体" w:cs="Arial"/>
          <w:sz w:val="19"/>
          <w:szCs w:val="19"/>
          <w:lang w:eastAsia="zh-CN"/>
        </w:rPr>
      </w:pPr>
    </w:p>
    <w:p w14:paraId="160BBBC9">
      <w:pPr>
        <w:pStyle w:val="5"/>
        <w:numPr>
          <w:ilvl w:val="0"/>
          <w:numId w:val="8"/>
        </w:numPr>
        <w:tabs>
          <w:tab w:val="left" w:pos="1160"/>
        </w:tabs>
        <w:snapToGrid w:val="0"/>
        <w:spacing w:line="300" w:lineRule="auto"/>
        <w:jc w:val="both"/>
        <w:rPr>
          <w:rFonts w:ascii="Arial" w:hAnsi="Arial" w:eastAsia="宋体" w:cs="Arial"/>
          <w:b w:val="0"/>
          <w:bCs w:val="0"/>
          <w:u w:val="single"/>
        </w:rPr>
      </w:pPr>
      <w:bookmarkStart w:id="55" w:name="N._Patient_or_Lay_Use"/>
      <w:bookmarkEnd w:id="55"/>
      <w:bookmarkStart w:id="56" w:name="Criterion_6._Reprocessing_instructions_s"/>
      <w:bookmarkEnd w:id="56"/>
      <w:bookmarkStart w:id="57" w:name="O._Reference_to_Guidelines_or_Accessory_"/>
      <w:bookmarkEnd w:id="57"/>
      <w:bookmarkStart w:id="58" w:name="P._Manufacturer’s_Contact_Information"/>
      <w:bookmarkEnd w:id="58"/>
      <w:r>
        <w:rPr>
          <w:rFonts w:ascii="Arial" w:hAnsi="Arial" w:eastAsia="宋体" w:cs="Arial"/>
          <w:u w:val="single" w:color="000000"/>
        </w:rPr>
        <w:t>患者或</w:t>
      </w:r>
      <w:r>
        <w:rPr>
          <w:rFonts w:ascii="Arial" w:hAnsi="Arial" w:eastAsia="宋体" w:cs="Arial"/>
          <w:u w:val="single" w:color="000000"/>
          <w:lang w:eastAsia="zh-CN"/>
        </w:rPr>
        <w:t>外行</w:t>
      </w:r>
      <w:r>
        <w:rPr>
          <w:rFonts w:ascii="Arial" w:hAnsi="Arial" w:eastAsia="宋体" w:cs="Arial"/>
          <w:u w:val="single" w:color="000000"/>
        </w:rPr>
        <w:t>使用</w:t>
      </w:r>
    </w:p>
    <w:p w14:paraId="74D30353">
      <w:pPr>
        <w:snapToGrid w:val="0"/>
        <w:spacing w:before="7" w:line="300" w:lineRule="auto"/>
        <w:jc w:val="both"/>
        <w:rPr>
          <w:rFonts w:ascii="Arial" w:hAnsi="Arial" w:eastAsia="宋体" w:cs="Arial"/>
          <w:b/>
          <w:bCs/>
          <w:sz w:val="17"/>
          <w:szCs w:val="17"/>
        </w:rPr>
      </w:pPr>
    </w:p>
    <w:p w14:paraId="0C6534B9">
      <w:pPr>
        <w:pStyle w:val="6"/>
        <w:snapToGrid w:val="0"/>
        <w:spacing w:before="69" w:line="300" w:lineRule="auto"/>
        <w:jc w:val="both"/>
        <w:rPr>
          <w:rFonts w:ascii="Arial" w:hAnsi="Arial" w:eastAsia="宋体" w:cs="Arial"/>
          <w:u w:val="single"/>
        </w:rPr>
      </w:pPr>
      <w:r>
        <w:rPr>
          <w:rFonts w:ascii="Arial" w:hAnsi="Arial" w:eastAsia="宋体" w:cs="Arial"/>
          <w:lang w:eastAsia="zh-CN"/>
        </w:rPr>
        <w:t>旨在由患者或普通护工（例如，家庭成员或其他人）维护的器械应具有普通人可理解并且可在家中执行的再加工说明。实施说明所需的设备和附件也应在预期使用位置上随时可用。另</w:t>
      </w:r>
      <w:r>
        <w:rPr>
          <w:rFonts w:ascii="Arial" w:hAnsi="Arial" w:eastAsia="宋体" w:cs="Arial"/>
        </w:rPr>
        <w:t>请参见FDA的指导性文件</w:t>
      </w:r>
      <w:r>
        <w:rPr>
          <w:rFonts w:ascii="Arial" w:hAnsi="Arial" w:eastAsia="宋体" w:cs="Arial"/>
          <w:color w:val="0000FF"/>
          <w:u w:val="single"/>
        </w:rPr>
        <w:t>“</w:t>
      </w:r>
      <w:r>
        <w:rPr>
          <w:rFonts w:hint="eastAsia" w:ascii="Arial" w:hAnsi="Arial" w:eastAsia="宋体" w:cs="Arial"/>
          <w:color w:val="0000FF"/>
          <w:u w:val="single"/>
          <w:lang w:eastAsia="zh-CN"/>
        </w:rPr>
        <w:t>有关</w:t>
      </w:r>
      <w:r>
        <w:rPr>
          <w:rFonts w:hint="eastAsia" w:ascii="Arial" w:hAnsi="Arial" w:eastAsia="宋体" w:cs="Arial"/>
          <w:color w:val="0000FF"/>
          <w:u w:val="single"/>
        </w:rPr>
        <w:t>医疗器械患者</w:t>
      </w:r>
      <w:r>
        <w:rPr>
          <w:rFonts w:hint="eastAsia" w:ascii="Arial" w:hAnsi="Arial" w:eastAsia="宋体" w:cs="Arial"/>
          <w:color w:val="0000FF"/>
          <w:u w:val="single"/>
          <w:lang w:eastAsia="zh-CN"/>
        </w:rPr>
        <w:t>标志的</w:t>
      </w:r>
      <w:r>
        <w:rPr>
          <w:rFonts w:hint="eastAsia" w:ascii="Arial" w:hAnsi="Arial" w:eastAsia="宋体" w:cs="Arial"/>
          <w:color w:val="0000FF"/>
          <w:u w:val="single"/>
        </w:rPr>
        <w:t>指南</w:t>
      </w:r>
      <w:r>
        <w:rPr>
          <w:rFonts w:ascii="Arial" w:hAnsi="Arial" w:eastAsia="宋体" w:cs="Arial"/>
          <w:color w:val="0000FF"/>
          <w:u w:val="single"/>
        </w:rPr>
        <w:t>”</w:t>
      </w:r>
      <w:r>
        <w:rPr>
          <w:rFonts w:hint="eastAsia" w:ascii="Arial" w:hAnsi="Arial" w:eastAsia="宋体" w:cs="Arial"/>
          <w:color w:val="0000FF"/>
          <w:u w:val="single"/>
        </w:rPr>
        <w:t>（</w:t>
      </w:r>
      <w:r>
        <w:rPr>
          <w:rFonts w:ascii="Arial" w:hAnsi="Arial" w:eastAsia="宋体" w:cs="Arial"/>
          <w:color w:val="0000FF"/>
          <w:u w:val="single"/>
        </w:rPr>
        <w:t>http</w:t>
      </w:r>
      <w:r>
        <w:rPr>
          <w:rFonts w:hint="eastAsia" w:ascii="Arial" w:hAnsi="Arial" w:eastAsia="宋体" w:cs="Arial"/>
          <w:color w:val="0000FF"/>
          <w:u w:val="single"/>
        </w:rPr>
        <w:t>：</w:t>
      </w:r>
      <w:r>
        <w:rPr>
          <w:rFonts w:ascii="Arial" w:hAnsi="Arial" w:eastAsia="宋体" w:cs="Arial"/>
          <w:color w:val="0000FF"/>
          <w:u w:val="single"/>
        </w:rPr>
        <w:t>//www.fda.gov/MedicalDevices/DeviceRegulationandGuidance/GuidanceDocuments/ ucm070782.htm</w:t>
      </w:r>
      <w:r>
        <w:rPr>
          <w:rFonts w:hint="eastAsia" w:ascii="Arial" w:hAnsi="Arial" w:eastAsia="宋体" w:cs="Arial"/>
          <w:color w:val="0000FF"/>
          <w:u w:val="single"/>
        </w:rPr>
        <w:t>）</w:t>
      </w:r>
      <w:r>
        <w:rPr>
          <w:rFonts w:hint="eastAsia" w:ascii="Arial" w:hAnsi="Arial" w:eastAsia="宋体" w:cs="Arial"/>
        </w:rPr>
        <w:t>。</w:t>
      </w:r>
    </w:p>
    <w:p w14:paraId="24D0385F">
      <w:pPr>
        <w:snapToGrid w:val="0"/>
        <w:spacing w:before="5" w:line="300" w:lineRule="auto"/>
        <w:jc w:val="both"/>
        <w:rPr>
          <w:rFonts w:ascii="Arial" w:hAnsi="Arial" w:eastAsia="宋体" w:cs="Arial"/>
          <w:sz w:val="18"/>
          <w:szCs w:val="18"/>
        </w:rPr>
      </w:pPr>
    </w:p>
    <w:p w14:paraId="720BE5D5">
      <w:pPr>
        <w:pStyle w:val="5"/>
        <w:numPr>
          <w:ilvl w:val="0"/>
          <w:numId w:val="8"/>
        </w:numPr>
        <w:tabs>
          <w:tab w:val="left" w:pos="1160"/>
        </w:tabs>
        <w:snapToGrid w:val="0"/>
        <w:spacing w:before="69" w:line="300" w:lineRule="auto"/>
        <w:jc w:val="both"/>
        <w:rPr>
          <w:rFonts w:ascii="Arial" w:hAnsi="Arial" w:eastAsia="宋体" w:cs="Arial"/>
          <w:b w:val="0"/>
          <w:bCs w:val="0"/>
          <w:u w:val="single"/>
        </w:rPr>
      </w:pPr>
      <w:r>
        <w:rPr>
          <w:rFonts w:ascii="Arial" w:hAnsi="Arial" w:eastAsia="宋体" w:cs="Arial"/>
          <w:u w:val="single" w:color="000000"/>
        </w:rPr>
        <w:t>参考指南或附件标签</w:t>
      </w:r>
    </w:p>
    <w:p w14:paraId="7E384BB5">
      <w:pPr>
        <w:snapToGrid w:val="0"/>
        <w:spacing w:before="7" w:line="300" w:lineRule="auto"/>
        <w:jc w:val="both"/>
        <w:rPr>
          <w:rFonts w:ascii="Arial" w:hAnsi="Arial" w:eastAsia="宋体" w:cs="Arial"/>
          <w:b/>
          <w:bCs/>
          <w:sz w:val="17"/>
          <w:szCs w:val="17"/>
        </w:rPr>
      </w:pPr>
    </w:p>
    <w:p w14:paraId="4C9386EE">
      <w:pPr>
        <w:pStyle w:val="6"/>
        <w:snapToGrid w:val="0"/>
        <w:spacing w:line="300" w:lineRule="auto"/>
        <w:jc w:val="both"/>
        <w:rPr>
          <w:rFonts w:ascii="Arial" w:hAnsi="Arial" w:eastAsia="宋体" w:cs="Arial"/>
          <w:lang w:eastAsia="zh-CN"/>
        </w:rPr>
      </w:pPr>
      <w:r>
        <w:rPr>
          <w:rFonts w:ascii="Arial" w:hAnsi="Arial" w:eastAsia="宋体" w:cs="Arial"/>
          <w:lang w:eastAsia="zh-CN"/>
        </w:rPr>
        <w:t>除本指南中拟定所有建议外，可重复使用器械标签还应向用户提供以下内容，以进行额外教育，但不得代替已确认的再加工说明：专业公司的临床实践指南或临床指南 CDC。请注意，临床实践指南并不总是顾及或正确进行所有FDA法规要求。需要遵守FDA法规。</w:t>
      </w:r>
    </w:p>
    <w:p w14:paraId="41E67E7B">
      <w:pPr>
        <w:snapToGrid w:val="0"/>
        <w:spacing w:line="300" w:lineRule="auto"/>
        <w:jc w:val="both"/>
        <w:rPr>
          <w:rFonts w:ascii="Arial" w:hAnsi="Arial" w:eastAsia="宋体" w:cs="Arial"/>
          <w:sz w:val="24"/>
          <w:szCs w:val="24"/>
          <w:lang w:eastAsia="zh-CN"/>
        </w:rPr>
      </w:pPr>
    </w:p>
    <w:p w14:paraId="0492B0AF">
      <w:pPr>
        <w:pStyle w:val="6"/>
        <w:snapToGrid w:val="0"/>
        <w:spacing w:line="300" w:lineRule="auto"/>
        <w:jc w:val="both"/>
        <w:rPr>
          <w:rFonts w:ascii="Arial" w:hAnsi="Arial" w:eastAsia="宋体" w:cs="Arial"/>
          <w:lang w:eastAsia="zh-CN"/>
        </w:rPr>
      </w:pPr>
      <w:r>
        <w:rPr>
          <w:rFonts w:ascii="Arial" w:hAnsi="Arial" w:eastAsia="宋体" w:cs="Arial"/>
          <w:lang w:eastAsia="zh-CN"/>
        </w:rPr>
        <w:t>只要所参考的标签与可重复使用器械的标签相关且一致，就可接受参考用于再加工的器械（如内窥镜清洁器-消毒器）的标签。例如，内窥镜的标签可以针对内窥镜再加工的某些细节部分参考（例如，放置在室中）内窥镜清洁器-消毒器标签。</w:t>
      </w:r>
    </w:p>
    <w:p w14:paraId="60A92853">
      <w:pPr>
        <w:snapToGrid w:val="0"/>
        <w:spacing w:before="5" w:line="300" w:lineRule="auto"/>
        <w:jc w:val="both"/>
        <w:rPr>
          <w:rFonts w:ascii="Arial" w:hAnsi="Arial" w:eastAsia="宋体" w:cs="Arial"/>
          <w:sz w:val="24"/>
          <w:szCs w:val="24"/>
          <w:lang w:eastAsia="zh-CN"/>
        </w:rPr>
      </w:pPr>
    </w:p>
    <w:p w14:paraId="7545A019">
      <w:pPr>
        <w:pStyle w:val="5"/>
        <w:numPr>
          <w:ilvl w:val="0"/>
          <w:numId w:val="8"/>
        </w:numPr>
        <w:tabs>
          <w:tab w:val="left" w:pos="1160"/>
        </w:tabs>
        <w:snapToGrid w:val="0"/>
        <w:spacing w:line="300" w:lineRule="auto"/>
        <w:jc w:val="both"/>
        <w:rPr>
          <w:rFonts w:ascii="Arial" w:hAnsi="Arial" w:eastAsia="宋体" w:cs="Arial"/>
          <w:b w:val="0"/>
          <w:bCs w:val="0"/>
          <w:u w:val="single"/>
        </w:rPr>
      </w:pPr>
      <w:r>
        <w:rPr>
          <w:rFonts w:ascii="Arial" w:hAnsi="Arial" w:eastAsia="宋体" w:cs="Arial"/>
          <w:u w:val="single" w:color="000000"/>
        </w:rPr>
        <w:t>制造商联系方式</w:t>
      </w:r>
    </w:p>
    <w:p w14:paraId="51815355">
      <w:pPr>
        <w:snapToGrid w:val="0"/>
        <w:spacing w:before="7" w:line="300" w:lineRule="auto"/>
        <w:jc w:val="both"/>
        <w:rPr>
          <w:rFonts w:ascii="Arial" w:hAnsi="Arial" w:eastAsia="宋体" w:cs="Arial"/>
          <w:b/>
          <w:bCs/>
          <w:sz w:val="17"/>
          <w:szCs w:val="17"/>
          <w:u w:val="single"/>
        </w:rPr>
      </w:pPr>
    </w:p>
    <w:p w14:paraId="5A334794">
      <w:pPr>
        <w:pStyle w:val="6"/>
        <w:snapToGrid w:val="0"/>
        <w:spacing w:line="300" w:lineRule="auto"/>
        <w:jc w:val="both"/>
        <w:rPr>
          <w:rFonts w:ascii="Arial" w:hAnsi="Arial" w:eastAsia="宋体" w:cs="Arial"/>
          <w:lang w:eastAsia="zh-CN"/>
        </w:rPr>
      </w:pPr>
      <w:r>
        <w:rPr>
          <w:rFonts w:ascii="Arial" w:hAnsi="Arial" w:eastAsia="宋体" w:cs="Arial"/>
          <w:lang w:eastAsia="zh-CN"/>
        </w:rPr>
        <w:t>可重复使用器械的制造商应是用户对于再加工工程感到疑惑时的适当联系人。可重复使用器械的说明应提供电话号码、电子邮件地址和网页地址，以获取有关再加工器械的其他信息，包括有关器械感染控制过程的问题。</w:t>
      </w:r>
    </w:p>
    <w:p w14:paraId="03B0302A">
      <w:pPr>
        <w:pStyle w:val="6"/>
        <w:snapToGrid w:val="0"/>
        <w:spacing w:line="300" w:lineRule="auto"/>
        <w:jc w:val="both"/>
        <w:rPr>
          <w:rFonts w:ascii="Arial" w:hAnsi="Arial" w:eastAsia="宋体" w:cs="Arial"/>
          <w:lang w:eastAsia="zh-CN"/>
        </w:rPr>
      </w:pPr>
    </w:p>
    <w:p w14:paraId="317311D7">
      <w:pPr>
        <w:pStyle w:val="6"/>
        <w:snapToGrid w:val="0"/>
        <w:spacing w:line="300" w:lineRule="auto"/>
        <w:jc w:val="both"/>
        <w:rPr>
          <w:rFonts w:ascii="Arial" w:hAnsi="Arial" w:eastAsia="宋体" w:cs="Arial"/>
          <w:lang w:eastAsia="zh-CN"/>
        </w:rPr>
      </w:pPr>
      <w:r>
        <w:rPr>
          <w:rFonts w:ascii="Arial" w:hAnsi="Arial" w:eastAsia="宋体" w:cs="Arial"/>
          <w:lang w:eastAsia="zh-CN"/>
        </w:rPr>
        <w:t>器械制造商的客户服务代表通常是器械用户有相关器械再加工问题时的初始联系人。这些人员的培训应提供关于其负责的器械再加工，以及提供可以其快速访问的信息资源的信息，为器械用户提供帮助。</w:t>
      </w:r>
    </w:p>
    <w:p w14:paraId="2694ABC3">
      <w:pPr>
        <w:snapToGrid w:val="0"/>
        <w:spacing w:before="6" w:line="300" w:lineRule="auto"/>
        <w:jc w:val="both"/>
        <w:rPr>
          <w:rFonts w:ascii="Arial" w:hAnsi="Arial" w:eastAsia="宋体" w:cs="Arial"/>
          <w:sz w:val="24"/>
          <w:szCs w:val="24"/>
          <w:lang w:eastAsia="zh-CN"/>
        </w:rPr>
      </w:pPr>
    </w:p>
    <w:p w14:paraId="0AD74805">
      <w:pPr>
        <w:pStyle w:val="4"/>
        <w:snapToGrid w:val="0"/>
        <w:spacing w:line="300" w:lineRule="auto"/>
        <w:ind w:left="439" w:firstLine="0"/>
        <w:jc w:val="both"/>
        <w:rPr>
          <w:rFonts w:ascii="Arial" w:hAnsi="Arial" w:eastAsia="宋体" w:cs="Arial"/>
          <w:b w:val="0"/>
          <w:bCs w:val="0"/>
          <w:lang w:eastAsia="zh-CN"/>
        </w:rPr>
      </w:pPr>
      <w:bookmarkStart w:id="59" w:name="_Toc481569203"/>
      <w:r>
        <w:rPr>
          <w:rFonts w:ascii="Arial" w:hAnsi="Arial" w:eastAsia="宋体" w:cs="Arial"/>
          <w:lang w:eastAsia="zh-CN"/>
        </w:rPr>
        <w:t>标准6.再加工说明应为可以理解。</w:t>
      </w:r>
      <w:bookmarkEnd w:id="59"/>
    </w:p>
    <w:p w14:paraId="2D32384E">
      <w:pPr>
        <w:snapToGrid w:val="0"/>
        <w:spacing w:before="5" w:line="300" w:lineRule="auto"/>
        <w:jc w:val="both"/>
        <w:rPr>
          <w:rFonts w:ascii="Arial" w:hAnsi="Arial" w:eastAsia="宋体" w:cs="Arial"/>
          <w:b/>
          <w:bCs/>
          <w:sz w:val="23"/>
          <w:szCs w:val="23"/>
          <w:lang w:eastAsia="zh-CN"/>
        </w:rPr>
      </w:pPr>
    </w:p>
    <w:p w14:paraId="40854147">
      <w:pPr>
        <w:pStyle w:val="6"/>
        <w:snapToGrid w:val="0"/>
        <w:spacing w:line="300" w:lineRule="auto"/>
        <w:ind w:left="439"/>
        <w:jc w:val="both"/>
        <w:rPr>
          <w:rFonts w:ascii="Arial" w:hAnsi="Arial" w:eastAsia="宋体" w:cs="Arial"/>
          <w:lang w:eastAsia="zh-CN"/>
        </w:rPr>
      </w:pPr>
      <w:r>
        <w:rPr>
          <w:rFonts w:ascii="Arial" w:hAnsi="Arial" w:eastAsia="宋体" w:cs="Arial"/>
          <w:lang w:eastAsia="zh-CN"/>
        </w:rPr>
        <w:t>再加工说明应清晰、易读（即合理的字体大小）、并按顺序提供，即从初始加工步骤至最终加工步骤（例如使用点加工、拆卸、清洁、冲洗、重新组装、消毒或灭菌、消毒或液体化学灭菌后的最终冲洗以及加工后处理）。说明应尽可能用简单语言编写。其也应足够详细，说明所有步骤的正确程序。图表、图解和/或器械再加工说明以及可以在工作站中发布的图片有助于确保遵守再加工说明。网页发布的图片/器械图解也可以直接或通过客户服务代表回答用户问题。</w:t>
      </w:r>
    </w:p>
    <w:p w14:paraId="3FEED4F6">
      <w:pPr>
        <w:pStyle w:val="6"/>
        <w:snapToGrid w:val="0"/>
        <w:spacing w:line="300" w:lineRule="auto"/>
        <w:ind w:left="439"/>
        <w:jc w:val="both"/>
        <w:rPr>
          <w:rFonts w:ascii="Arial" w:hAnsi="Arial" w:eastAsia="宋体" w:cs="Arial"/>
          <w:lang w:eastAsia="zh-CN"/>
        </w:rPr>
      </w:pPr>
    </w:p>
    <w:p w14:paraId="422F30EA">
      <w:pPr>
        <w:pStyle w:val="6"/>
        <w:snapToGrid w:val="0"/>
        <w:spacing w:line="300" w:lineRule="auto"/>
        <w:ind w:left="439"/>
        <w:jc w:val="both"/>
        <w:rPr>
          <w:rFonts w:ascii="Arial" w:hAnsi="Arial" w:eastAsia="宋体" w:cs="Arial"/>
          <w:lang w:eastAsia="zh-CN"/>
        </w:rPr>
      </w:pPr>
      <w:r>
        <w:rPr>
          <w:rFonts w:ascii="Arial" w:hAnsi="Arial" w:eastAsia="宋体" w:cs="Arial"/>
          <w:lang w:eastAsia="zh-CN"/>
        </w:rPr>
        <w:t>在适用的情况下，说明可能提供用于传达推荐实践的技术图解或其他图形表示。但是，任何图形都应附有说明文字。应对说明进行确认，以确保用户能够理解并遵守。</w:t>
      </w:r>
    </w:p>
    <w:p w14:paraId="6EEE6D44">
      <w:pPr>
        <w:snapToGrid w:val="0"/>
        <w:spacing w:before="6" w:line="300" w:lineRule="auto"/>
        <w:jc w:val="both"/>
        <w:rPr>
          <w:rFonts w:ascii="Arial" w:hAnsi="Arial" w:eastAsia="宋体" w:cs="Arial"/>
          <w:sz w:val="24"/>
          <w:szCs w:val="24"/>
          <w:lang w:eastAsia="zh-CN"/>
        </w:rPr>
      </w:pPr>
    </w:p>
    <w:p w14:paraId="3A49A3B4">
      <w:pPr>
        <w:pStyle w:val="3"/>
        <w:numPr>
          <w:ilvl w:val="0"/>
          <w:numId w:val="1"/>
        </w:numPr>
        <w:tabs>
          <w:tab w:val="left" w:pos="841"/>
        </w:tabs>
        <w:snapToGrid w:val="0"/>
        <w:spacing w:line="300" w:lineRule="auto"/>
        <w:ind w:left="720"/>
        <w:jc w:val="both"/>
        <w:rPr>
          <w:rFonts w:ascii="Arial" w:hAnsi="Arial" w:eastAsia="宋体" w:cs="Arial"/>
          <w:b w:val="0"/>
          <w:bCs w:val="0"/>
          <w:lang w:eastAsia="zh-CN"/>
        </w:rPr>
      </w:pPr>
      <w:bookmarkStart w:id="60" w:name="_Toc481569204"/>
      <w:r>
        <w:rPr>
          <w:rFonts w:ascii="Arial" w:hAnsi="Arial" w:eastAsia="宋体" w:cs="Arial"/>
          <w:lang w:eastAsia="zh-CN"/>
        </w:rPr>
        <w:t>按照质量体系规定确认再加工方法</w:t>
      </w:r>
      <w:bookmarkEnd w:id="60"/>
    </w:p>
    <w:p w14:paraId="362ECFF7">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对于II类和III类器械以及选择I类器械，制造商必须确定并维持确认其器械设计的程序，从而将确保器械符合既定用户需求和预期用途。21 CFR 820.30（g）。制造商还必须确定并维持用于监测和控制已确认过程的过程参数的程序，以确保继续满足所规定的要求，21 CFR 820.75（b）。</w:t>
      </w:r>
    </w:p>
    <w:p w14:paraId="2F8FE905">
      <w:pPr>
        <w:pStyle w:val="6"/>
        <w:snapToGrid w:val="0"/>
        <w:spacing w:line="300" w:lineRule="auto"/>
        <w:ind w:left="0"/>
        <w:jc w:val="both"/>
        <w:rPr>
          <w:rFonts w:ascii="Arial" w:hAnsi="Arial" w:eastAsia="宋体" w:cs="Arial"/>
          <w:lang w:eastAsia="zh-CN"/>
        </w:rPr>
      </w:pPr>
      <w:r>
        <w:rPr>
          <w:rFonts w:ascii="Arial" w:hAnsi="Arial" w:eastAsia="宋体" w:cs="Arial"/>
          <w:lang w:eastAsia="zh-CN"/>
        </w:rPr>
        <w:t>确定程序包括实施。21 CFR 820.3（k）。FDA说明这些规定，要求制造商确认可重复使用器械的设计（包括再加工说明）以确保器械能够如预期地在其使用寿命内可进行有效再加工和安全重复使用。请注意，510（k）豁免并不意味着器械无需遵守标签或质量体系（QS）要求。某些器械可通过法规特定免于遵守大多数QS要求。制造商应参考其特定器械类型的适用法规，以确定哪些QS要求适用。</w:t>
      </w:r>
    </w:p>
    <w:p w14:paraId="07069215">
      <w:pPr>
        <w:snapToGrid w:val="0"/>
        <w:spacing w:line="300" w:lineRule="auto"/>
        <w:jc w:val="both"/>
        <w:rPr>
          <w:rFonts w:ascii="Arial" w:hAnsi="Arial" w:eastAsia="宋体" w:cs="Arial"/>
          <w:sz w:val="24"/>
          <w:szCs w:val="24"/>
          <w:lang w:eastAsia="zh-CN"/>
        </w:rPr>
      </w:pPr>
    </w:p>
    <w:p w14:paraId="1D1CF8C0">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设计、材料和其他因素的相似性可能允许确定产品系列（例如具有一定范围的可用尺寸的器械），以最小化再加工确认工作。也就是说，可以确定用于家庭中最难再加工器械的验证数据（即，最坏情况下的器械或“主器械”）涵盖可提供等同或更小再加工挑战的器械。如果采用了这种方法，则应评价在家庭中较难加工的器械的所有设计特征，例如与主题器械的再加工挑战相关的管腔长度和直径、材料、配置和纹理，并确保其具有与主器械再加工相比较小的挑战性。任何可能影响灭菌剂渗透或效力的设计或材料变化都可能导致需要进行重新确认。如果使用了主器械，则应记录有关理由的支持性信息。</w:t>
      </w:r>
    </w:p>
    <w:p w14:paraId="61AF0B95">
      <w:pPr>
        <w:snapToGrid w:val="0"/>
        <w:spacing w:line="300" w:lineRule="auto"/>
        <w:jc w:val="both"/>
        <w:rPr>
          <w:rFonts w:ascii="Arial" w:hAnsi="Arial" w:eastAsia="宋体" w:cs="Arial"/>
          <w:sz w:val="24"/>
          <w:szCs w:val="24"/>
          <w:lang w:eastAsia="zh-CN"/>
        </w:rPr>
      </w:pPr>
    </w:p>
    <w:p w14:paraId="116CDABF">
      <w:pPr>
        <w:rPr>
          <w:rFonts w:ascii="Arial" w:hAnsi="Arial" w:eastAsia="宋体" w:cs="Arial"/>
          <w:sz w:val="24"/>
          <w:szCs w:val="24"/>
          <w:lang w:eastAsia="zh-CN"/>
        </w:rPr>
      </w:pPr>
      <w:r>
        <w:rPr>
          <w:rFonts w:ascii="Arial" w:hAnsi="Arial" w:eastAsia="宋体" w:cs="Arial"/>
          <w:lang w:eastAsia="zh-CN"/>
        </w:rPr>
        <w:br w:type="page"/>
      </w:r>
    </w:p>
    <w:p w14:paraId="4471E3AD">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对于根据21 CFR 820.30进行设计控制的器械，应对器械设计（包括其标签，例如再加工说明）进行确认，以确保器械符合既定用户需求和预期用途，并包括在实际或模拟使用条件下对生产单位的测试。根据21 CFR 820.30（g），所使用的人为因素方法应确保已考虑用户人群和运行环境的特性。请参见本指南第V.C. 节，以了解更多有关制定再加工说明中的人为因素的信息。</w:t>
      </w:r>
    </w:p>
    <w:p w14:paraId="3FBA4A82">
      <w:pPr>
        <w:pStyle w:val="6"/>
        <w:snapToGrid w:val="0"/>
        <w:spacing w:line="300" w:lineRule="auto"/>
        <w:ind w:left="0"/>
        <w:jc w:val="both"/>
        <w:rPr>
          <w:rFonts w:ascii="Arial" w:hAnsi="Arial" w:eastAsia="宋体" w:cs="Arial"/>
          <w:lang w:eastAsia="zh-CN"/>
        </w:rPr>
      </w:pPr>
    </w:p>
    <w:p w14:paraId="317CAB66">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根据21 CFR 820.75，应对清洁、消毒和灭菌过程进行验证，以提供高度保证，即器械将始终符合预定规格。</w:t>
      </w:r>
    </w:p>
    <w:p w14:paraId="7CCD82B8">
      <w:pPr>
        <w:snapToGrid w:val="0"/>
        <w:spacing w:before="6" w:line="300" w:lineRule="auto"/>
        <w:jc w:val="both"/>
        <w:rPr>
          <w:rFonts w:ascii="Arial" w:hAnsi="Arial" w:eastAsia="宋体" w:cs="Arial"/>
          <w:sz w:val="24"/>
          <w:szCs w:val="24"/>
          <w:lang w:eastAsia="zh-CN"/>
        </w:rPr>
      </w:pPr>
    </w:p>
    <w:p w14:paraId="5F952E7D">
      <w:pPr>
        <w:pStyle w:val="3"/>
        <w:numPr>
          <w:ilvl w:val="0"/>
          <w:numId w:val="1"/>
        </w:numPr>
        <w:tabs>
          <w:tab w:val="left" w:pos="980"/>
        </w:tabs>
        <w:snapToGrid w:val="0"/>
        <w:spacing w:line="300" w:lineRule="auto"/>
        <w:ind w:left="720"/>
        <w:jc w:val="both"/>
        <w:rPr>
          <w:rFonts w:ascii="Arial" w:hAnsi="Arial" w:eastAsia="宋体" w:cs="Arial"/>
          <w:b w:val="0"/>
          <w:bCs w:val="0"/>
        </w:rPr>
      </w:pPr>
      <w:bookmarkStart w:id="61" w:name="_Toc481569205"/>
      <w:r>
        <w:rPr>
          <w:rFonts w:ascii="Arial" w:hAnsi="Arial" w:eastAsia="宋体" w:cs="Arial"/>
        </w:rPr>
        <w:t>清洁过程的</w:t>
      </w:r>
      <w:r>
        <w:rPr>
          <w:rFonts w:ascii="Arial" w:hAnsi="Arial" w:eastAsia="宋体" w:cs="Arial"/>
          <w:lang w:eastAsia="zh-CN"/>
        </w:rPr>
        <w:t>确认</w:t>
      </w:r>
      <w:bookmarkEnd w:id="61"/>
    </w:p>
    <w:p w14:paraId="2CC07D33">
      <w:pPr>
        <w:snapToGrid w:val="0"/>
        <w:spacing w:before="6" w:line="300" w:lineRule="auto"/>
        <w:jc w:val="both"/>
        <w:rPr>
          <w:rFonts w:ascii="Arial" w:hAnsi="Arial" w:eastAsia="宋体" w:cs="Arial"/>
          <w:b/>
          <w:bCs/>
          <w:sz w:val="35"/>
          <w:szCs w:val="35"/>
        </w:rPr>
      </w:pPr>
    </w:p>
    <w:p w14:paraId="1039897E">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本节介绍了FDA关于如何遵守上一节中讨论的、有关确认设计用于清洁可重复使用医疗器械过程的QS要求的建议。尽管有许多FDA认可的、与医疗器械灭菌相关的共识标准可用，但目前有关医疗器械的清洁的标准或指南有限。</w:t>
      </w:r>
    </w:p>
    <w:p w14:paraId="3E0DA686">
      <w:pPr>
        <w:pStyle w:val="6"/>
        <w:snapToGrid w:val="0"/>
        <w:spacing w:line="300" w:lineRule="auto"/>
        <w:ind w:left="0"/>
        <w:jc w:val="both"/>
        <w:rPr>
          <w:rFonts w:ascii="Arial" w:hAnsi="Arial" w:eastAsia="宋体" w:cs="Arial"/>
          <w:lang w:eastAsia="zh-CN"/>
        </w:rPr>
      </w:pPr>
    </w:p>
    <w:p w14:paraId="381A2F47">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贵公司应进行确认活动以证明：1）贵公司的方法（手动或机械）足以允许器械经受进一步加工并最终可安全重复使用；以及2）贵公司的再加工说明可有效地将正确的再加工方法传达给用户。</w:t>
      </w:r>
    </w:p>
    <w:p w14:paraId="5C17CDCE">
      <w:pPr>
        <w:snapToGrid w:val="0"/>
        <w:spacing w:before="6" w:line="300" w:lineRule="auto"/>
        <w:jc w:val="both"/>
        <w:rPr>
          <w:rFonts w:ascii="Arial" w:hAnsi="Arial" w:eastAsia="宋体" w:cs="Arial"/>
          <w:sz w:val="24"/>
          <w:szCs w:val="24"/>
          <w:lang w:eastAsia="zh-CN"/>
        </w:rPr>
      </w:pPr>
    </w:p>
    <w:p w14:paraId="3459AEFA">
      <w:pPr>
        <w:pStyle w:val="4"/>
        <w:numPr>
          <w:ilvl w:val="0"/>
          <w:numId w:val="9"/>
        </w:numPr>
        <w:tabs>
          <w:tab w:val="left" w:pos="1560"/>
        </w:tabs>
        <w:snapToGrid w:val="0"/>
        <w:spacing w:line="300" w:lineRule="auto"/>
        <w:jc w:val="both"/>
        <w:rPr>
          <w:rFonts w:ascii="Arial" w:hAnsi="Arial" w:eastAsia="宋体" w:cs="Arial"/>
          <w:b w:val="0"/>
          <w:bCs w:val="0"/>
          <w:lang w:eastAsia="zh-CN"/>
        </w:rPr>
      </w:pPr>
      <w:bookmarkStart w:id="62" w:name="_Toc481569206"/>
      <w:r>
        <w:rPr>
          <w:rFonts w:ascii="Arial" w:hAnsi="Arial" w:eastAsia="宋体" w:cs="Arial"/>
          <w:lang w:eastAsia="zh-CN"/>
        </w:rPr>
        <w:t>使用最坏情况试验确认清洁过程</w:t>
      </w:r>
      <w:bookmarkEnd w:id="62"/>
    </w:p>
    <w:p w14:paraId="76764012">
      <w:pPr>
        <w:snapToGrid w:val="0"/>
        <w:spacing w:before="5" w:line="300" w:lineRule="auto"/>
        <w:jc w:val="both"/>
        <w:rPr>
          <w:rFonts w:ascii="Arial" w:hAnsi="Arial" w:eastAsia="宋体" w:cs="Arial"/>
          <w:b/>
          <w:bCs/>
          <w:sz w:val="23"/>
          <w:szCs w:val="23"/>
          <w:lang w:eastAsia="zh-CN"/>
        </w:rPr>
      </w:pPr>
    </w:p>
    <w:p w14:paraId="57CB083E">
      <w:pPr>
        <w:pStyle w:val="6"/>
        <w:snapToGrid w:val="0"/>
        <w:spacing w:line="300" w:lineRule="auto"/>
        <w:ind w:left="840"/>
        <w:jc w:val="both"/>
        <w:rPr>
          <w:rFonts w:ascii="Arial" w:hAnsi="Arial" w:eastAsia="宋体" w:cs="Arial"/>
          <w:lang w:eastAsia="zh-CN"/>
        </w:rPr>
      </w:pPr>
      <w:r>
        <w:rPr>
          <w:rFonts w:ascii="Arial" w:hAnsi="Arial" w:eastAsia="宋体" w:cs="Arial"/>
          <w:lang w:eastAsia="zh-CN"/>
        </w:rPr>
        <w:t>贵公司应确认贵公司在标签中提供的清洁过程。贵公司的确认活动应基于使用与器械临床使用条件相关的污物的综合确认方案。这些应包括清洁过程的最坏情况（最不严谨）的实施、代表最坏情况的医疗器械（对重新加工最具挑战性且最受污染），以及与临床相关污物有关的至少两种定量试验方法 。清洁过程确认方案应指明预定的清洁试验端点。这些方案应设计用于确定在常规加工中可以充分清洁器械上最难接近的位置。</w:t>
      </w:r>
    </w:p>
    <w:p w14:paraId="052645B9">
      <w:pPr>
        <w:pStyle w:val="6"/>
        <w:snapToGrid w:val="0"/>
        <w:spacing w:line="300" w:lineRule="auto"/>
        <w:ind w:left="840"/>
        <w:jc w:val="both"/>
        <w:rPr>
          <w:rFonts w:ascii="Arial" w:hAnsi="Arial" w:eastAsia="宋体" w:cs="Arial"/>
          <w:lang w:eastAsia="zh-CN"/>
        </w:rPr>
      </w:pPr>
    </w:p>
    <w:p w14:paraId="26855A67">
      <w:pPr>
        <w:pStyle w:val="6"/>
        <w:snapToGrid w:val="0"/>
        <w:spacing w:line="300" w:lineRule="auto"/>
        <w:ind w:left="840"/>
        <w:jc w:val="both"/>
        <w:rPr>
          <w:rFonts w:ascii="Arial" w:hAnsi="Arial" w:eastAsia="宋体" w:cs="Arial"/>
          <w:lang w:eastAsia="zh-CN"/>
        </w:rPr>
      </w:pPr>
      <w:r>
        <w:rPr>
          <w:rFonts w:ascii="Arial" w:hAnsi="Arial" w:eastAsia="宋体" w:cs="Arial"/>
          <w:lang w:eastAsia="zh-CN"/>
        </w:rPr>
        <w:t>对于所有试验，贵公司应选择合理数量的复制样本，以支持基于正在执行的试验的任何说明的有效性。</w:t>
      </w:r>
    </w:p>
    <w:p w14:paraId="616BD0C2">
      <w:pPr>
        <w:snapToGrid w:val="0"/>
        <w:spacing w:before="5" w:line="300" w:lineRule="auto"/>
        <w:jc w:val="both"/>
        <w:rPr>
          <w:rFonts w:ascii="Arial" w:hAnsi="Arial" w:eastAsia="宋体" w:cs="Arial"/>
          <w:sz w:val="24"/>
          <w:szCs w:val="24"/>
          <w:lang w:eastAsia="zh-CN"/>
        </w:rPr>
      </w:pPr>
    </w:p>
    <w:p w14:paraId="4130D4B5">
      <w:pPr>
        <w:pStyle w:val="5"/>
        <w:numPr>
          <w:ilvl w:val="1"/>
          <w:numId w:val="9"/>
        </w:numPr>
        <w:tabs>
          <w:tab w:val="left" w:pos="1560"/>
        </w:tabs>
        <w:snapToGrid w:val="0"/>
        <w:spacing w:line="300" w:lineRule="auto"/>
        <w:jc w:val="both"/>
        <w:rPr>
          <w:rFonts w:ascii="Arial" w:hAnsi="Arial" w:eastAsia="宋体" w:cs="Arial"/>
          <w:b w:val="0"/>
          <w:bCs w:val="0"/>
          <w:u w:val="single"/>
          <w:lang w:eastAsia="zh-CN"/>
        </w:rPr>
      </w:pPr>
      <w:r>
        <w:rPr>
          <w:rFonts w:ascii="Arial" w:hAnsi="Arial" w:eastAsia="宋体" w:cs="Arial"/>
          <w:u w:val="single" w:color="000000"/>
          <w:lang w:eastAsia="zh-CN"/>
        </w:rPr>
        <w:t>人造污物、接种地点和模拟用途</w:t>
      </w:r>
    </w:p>
    <w:p w14:paraId="7E0DCA4A">
      <w:pPr>
        <w:snapToGrid w:val="0"/>
        <w:spacing w:before="7" w:line="300" w:lineRule="auto"/>
        <w:jc w:val="both"/>
        <w:rPr>
          <w:rFonts w:ascii="Arial" w:hAnsi="Arial" w:eastAsia="宋体" w:cs="Arial"/>
          <w:b/>
          <w:bCs/>
          <w:sz w:val="17"/>
          <w:szCs w:val="17"/>
          <w:lang w:eastAsia="zh-CN"/>
        </w:rPr>
      </w:pPr>
    </w:p>
    <w:p w14:paraId="3704D75C">
      <w:pPr>
        <w:pStyle w:val="6"/>
        <w:snapToGrid w:val="0"/>
        <w:spacing w:before="69" w:line="300" w:lineRule="auto"/>
        <w:ind w:left="1200"/>
        <w:jc w:val="both"/>
        <w:rPr>
          <w:rFonts w:ascii="Arial" w:hAnsi="Arial" w:eastAsia="宋体" w:cs="Arial"/>
          <w:lang w:eastAsia="zh-CN"/>
        </w:rPr>
      </w:pPr>
      <w:r>
        <w:rPr>
          <w:rFonts w:ascii="Arial" w:hAnsi="Arial" w:eastAsia="宋体" w:cs="Arial"/>
          <w:lang w:eastAsia="zh-CN"/>
        </w:rPr>
        <w:t>完善的模拟使用试验方案的实施应为再加工确认的组成部分。</w:t>
      </w:r>
    </w:p>
    <w:p w14:paraId="3A53802B">
      <w:pPr>
        <w:snapToGrid w:val="0"/>
        <w:spacing w:before="5" w:line="300" w:lineRule="auto"/>
        <w:jc w:val="both"/>
        <w:rPr>
          <w:rFonts w:ascii="Arial" w:hAnsi="Arial" w:eastAsia="宋体" w:cs="Arial"/>
          <w:sz w:val="24"/>
          <w:szCs w:val="24"/>
          <w:lang w:eastAsia="zh-CN"/>
        </w:rPr>
      </w:pPr>
    </w:p>
    <w:p w14:paraId="2E524564">
      <w:pPr>
        <w:pStyle w:val="5"/>
        <w:numPr>
          <w:ilvl w:val="2"/>
          <w:numId w:val="9"/>
        </w:numPr>
        <w:tabs>
          <w:tab w:val="left" w:pos="1920"/>
        </w:tabs>
        <w:snapToGrid w:val="0"/>
        <w:spacing w:line="300" w:lineRule="auto"/>
        <w:jc w:val="both"/>
        <w:rPr>
          <w:rFonts w:ascii="Arial" w:hAnsi="Arial" w:eastAsia="宋体" w:cs="Arial"/>
          <w:b w:val="0"/>
          <w:bCs w:val="0"/>
          <w:u w:val="single"/>
        </w:rPr>
      </w:pPr>
      <w:r>
        <w:rPr>
          <w:rFonts w:ascii="Arial" w:hAnsi="Arial" w:eastAsia="宋体" w:cs="Arial"/>
          <w:u w:val="single" w:color="000000"/>
        </w:rPr>
        <w:t>人造污物</w:t>
      </w:r>
    </w:p>
    <w:p w14:paraId="15CA9B64">
      <w:pPr>
        <w:snapToGrid w:val="0"/>
        <w:spacing w:before="7" w:line="300" w:lineRule="auto"/>
        <w:jc w:val="both"/>
        <w:rPr>
          <w:rFonts w:ascii="Arial" w:hAnsi="Arial" w:eastAsia="宋体" w:cs="Arial"/>
          <w:b/>
          <w:bCs/>
          <w:sz w:val="17"/>
          <w:szCs w:val="17"/>
        </w:rPr>
      </w:pPr>
    </w:p>
    <w:p w14:paraId="2BFC2A82">
      <w:pPr>
        <w:pStyle w:val="6"/>
        <w:snapToGrid w:val="0"/>
        <w:spacing w:before="69" w:line="300" w:lineRule="auto"/>
        <w:ind w:left="1560"/>
        <w:jc w:val="both"/>
        <w:rPr>
          <w:rFonts w:ascii="Arial" w:hAnsi="Arial" w:eastAsia="宋体" w:cs="Arial"/>
          <w:lang w:eastAsia="zh-CN"/>
        </w:rPr>
      </w:pPr>
      <w:r>
        <w:rPr>
          <w:rFonts w:ascii="Arial" w:hAnsi="Arial" w:eastAsia="宋体" w:cs="Arial"/>
          <w:lang w:eastAsia="zh-CN"/>
        </w:rPr>
        <w:t>制造商应选择人造试验污物，其中，其成分可准确代表在实际临床使用期间该器械可能暴露，并将对清洁过程造成最大（最坏情况）挑战的材料。例如，检喉镜旨在提供喉部的可视化，是医学程序的一部分，包括促进气管插管、心肺复苏和该解剖位置中的手术。检喉镜可能会暴露于血液和粘液。因此，为了模拟最坏情况下的清洁挑战，人造试验污物应为多组分污物，其中包括模拟血液和粘液的物质。请注意，对血液和粘液进行单独的清洁确认无法代表最坏情况下的挑战，因为血液和粘液的混合物更难清洁。</w:t>
      </w:r>
    </w:p>
    <w:p w14:paraId="02A8EF43">
      <w:pPr>
        <w:pStyle w:val="6"/>
        <w:snapToGrid w:val="0"/>
        <w:spacing w:before="69" w:line="300" w:lineRule="auto"/>
        <w:ind w:left="1560"/>
        <w:jc w:val="both"/>
        <w:rPr>
          <w:rFonts w:ascii="Arial" w:hAnsi="Arial" w:eastAsia="宋体" w:cs="Arial"/>
          <w:sz w:val="20"/>
          <w:szCs w:val="20"/>
          <w:lang w:eastAsia="zh-CN"/>
        </w:rPr>
      </w:pPr>
    </w:p>
    <w:p w14:paraId="622C02D3">
      <w:pPr>
        <w:pStyle w:val="6"/>
        <w:snapToGrid w:val="0"/>
        <w:spacing w:before="69" w:line="300" w:lineRule="auto"/>
        <w:ind w:left="1560"/>
        <w:jc w:val="both"/>
        <w:rPr>
          <w:rFonts w:ascii="Arial" w:hAnsi="Arial" w:eastAsia="宋体" w:cs="Arial"/>
          <w:lang w:eastAsia="zh-CN"/>
        </w:rPr>
      </w:pPr>
      <w:r>
        <w:rPr>
          <w:rFonts w:ascii="Arial" w:hAnsi="Arial" w:eastAsia="宋体" w:cs="Arial"/>
          <w:lang w:eastAsia="zh-CN"/>
        </w:rPr>
        <w:t>所选择的人工试验污物应允许对至少两种临床相关污物成分进行定量以进行确认试验（例如总有机碳、蛋白质）。</w:t>
      </w:r>
    </w:p>
    <w:p w14:paraId="56A03C54">
      <w:pPr>
        <w:pStyle w:val="6"/>
        <w:snapToGrid w:val="0"/>
        <w:spacing w:before="69" w:line="300" w:lineRule="auto"/>
        <w:ind w:left="1560"/>
        <w:jc w:val="both"/>
        <w:rPr>
          <w:rFonts w:ascii="Arial" w:hAnsi="Arial" w:eastAsia="宋体" w:cs="Arial"/>
          <w:lang w:eastAsia="zh-CN"/>
        </w:rPr>
      </w:pPr>
    </w:p>
    <w:p w14:paraId="10CBED84">
      <w:pPr>
        <w:pStyle w:val="6"/>
        <w:snapToGrid w:val="0"/>
        <w:spacing w:before="69" w:line="300" w:lineRule="auto"/>
        <w:ind w:left="1560"/>
        <w:jc w:val="both"/>
        <w:rPr>
          <w:rFonts w:ascii="Arial" w:hAnsi="Arial" w:eastAsia="宋体" w:cs="Arial"/>
          <w:lang w:eastAsia="zh-CN"/>
        </w:rPr>
      </w:pPr>
      <w:r>
        <w:rPr>
          <w:rFonts w:ascii="Arial" w:hAnsi="Arial" w:eastAsia="宋体" w:cs="Arial"/>
          <w:lang w:eastAsia="zh-CN"/>
        </w:rPr>
        <w:t>FDA不建议将孢子（或任何其他微生物标记）对数减少试验用于确定清洁方法有效性的方法。目前，缺乏关于细菌孢子的去除是否与从器械中去除临床有机污物直接相关的足够科学证据。此类试验只能说明某一过程降低孢子数量的程度，但其并未提供有机污物的任何其他成分的信息。</w:t>
      </w:r>
    </w:p>
    <w:p w14:paraId="669805CB">
      <w:pPr>
        <w:snapToGrid w:val="0"/>
        <w:spacing w:before="5" w:line="300" w:lineRule="auto"/>
        <w:jc w:val="both"/>
        <w:rPr>
          <w:rFonts w:ascii="Arial" w:hAnsi="Arial" w:eastAsia="宋体" w:cs="Arial"/>
          <w:sz w:val="24"/>
          <w:szCs w:val="24"/>
          <w:lang w:eastAsia="zh-CN"/>
        </w:rPr>
      </w:pPr>
    </w:p>
    <w:p w14:paraId="54BD4C44">
      <w:pPr>
        <w:pStyle w:val="5"/>
        <w:numPr>
          <w:ilvl w:val="2"/>
          <w:numId w:val="9"/>
        </w:numPr>
        <w:tabs>
          <w:tab w:val="left" w:pos="1520"/>
        </w:tabs>
        <w:snapToGrid w:val="0"/>
        <w:spacing w:line="300" w:lineRule="auto"/>
        <w:jc w:val="both"/>
        <w:rPr>
          <w:rFonts w:ascii="Arial" w:hAnsi="Arial" w:eastAsia="宋体" w:cs="Arial"/>
          <w:b w:val="0"/>
          <w:bCs w:val="0"/>
        </w:rPr>
      </w:pPr>
      <w:r>
        <w:rPr>
          <w:rFonts w:ascii="Arial" w:hAnsi="Arial" w:eastAsia="宋体" w:cs="Arial"/>
          <w:u w:val="thick" w:color="000000"/>
        </w:rPr>
        <w:t>接种</w:t>
      </w:r>
      <w:r>
        <w:rPr>
          <w:rFonts w:ascii="Arial" w:hAnsi="Arial" w:eastAsia="宋体" w:cs="Arial"/>
          <w:u w:val="thick" w:color="000000"/>
          <w:lang w:eastAsia="zh-CN"/>
        </w:rPr>
        <w:t>地点</w:t>
      </w:r>
    </w:p>
    <w:p w14:paraId="572BCFE5">
      <w:pPr>
        <w:snapToGrid w:val="0"/>
        <w:spacing w:before="7" w:line="300" w:lineRule="auto"/>
        <w:jc w:val="both"/>
        <w:rPr>
          <w:rFonts w:ascii="Arial" w:hAnsi="Arial" w:eastAsia="宋体" w:cs="Arial"/>
          <w:b/>
          <w:bCs/>
          <w:sz w:val="17"/>
          <w:szCs w:val="17"/>
        </w:rPr>
      </w:pPr>
    </w:p>
    <w:p w14:paraId="603F2C88">
      <w:pPr>
        <w:pStyle w:val="6"/>
        <w:snapToGrid w:val="0"/>
        <w:spacing w:before="69" w:line="300" w:lineRule="auto"/>
        <w:ind w:left="1560"/>
        <w:jc w:val="both"/>
        <w:rPr>
          <w:rFonts w:ascii="Arial" w:hAnsi="Arial" w:eastAsia="宋体" w:cs="Arial"/>
          <w:lang w:eastAsia="zh-CN"/>
        </w:rPr>
      </w:pPr>
      <w:r>
        <w:rPr>
          <w:rFonts w:ascii="Arial" w:hAnsi="Arial" w:eastAsia="宋体" w:cs="Arial"/>
          <w:lang w:eastAsia="zh-CN"/>
        </w:rPr>
        <w:t>污物接种应模拟最坏情况下的临床使用条件。我们建议贵公司在所有可能接触患者材料的地方使用人造土来接种器械，包括所有难以清洁的位置。</w:t>
      </w:r>
    </w:p>
    <w:p w14:paraId="72993A93">
      <w:pPr>
        <w:snapToGrid w:val="0"/>
        <w:spacing w:before="5" w:line="300" w:lineRule="auto"/>
        <w:jc w:val="both"/>
        <w:rPr>
          <w:rFonts w:ascii="Arial" w:hAnsi="Arial" w:eastAsia="宋体" w:cs="Arial"/>
          <w:sz w:val="24"/>
          <w:szCs w:val="24"/>
          <w:lang w:eastAsia="zh-CN"/>
        </w:rPr>
      </w:pPr>
    </w:p>
    <w:p w14:paraId="76696579">
      <w:pPr>
        <w:pStyle w:val="5"/>
        <w:numPr>
          <w:ilvl w:val="2"/>
          <w:numId w:val="9"/>
        </w:numPr>
        <w:tabs>
          <w:tab w:val="left" w:pos="1520"/>
        </w:tabs>
        <w:snapToGrid w:val="0"/>
        <w:spacing w:line="300" w:lineRule="auto"/>
        <w:jc w:val="both"/>
        <w:rPr>
          <w:rFonts w:ascii="Arial" w:hAnsi="Arial" w:eastAsia="宋体" w:cs="Arial"/>
          <w:b w:val="0"/>
          <w:bCs w:val="0"/>
        </w:rPr>
      </w:pPr>
      <w:r>
        <w:rPr>
          <w:rFonts w:ascii="Arial" w:hAnsi="Arial" w:eastAsia="宋体" w:cs="Arial"/>
          <w:u w:val="thick" w:color="000000"/>
        </w:rPr>
        <w:t>模拟使用条件</w:t>
      </w:r>
    </w:p>
    <w:p w14:paraId="61939D38">
      <w:pPr>
        <w:snapToGrid w:val="0"/>
        <w:spacing w:before="7" w:line="300" w:lineRule="auto"/>
        <w:jc w:val="both"/>
        <w:rPr>
          <w:rFonts w:ascii="Arial" w:hAnsi="Arial" w:eastAsia="宋体" w:cs="Arial"/>
          <w:b/>
          <w:bCs/>
          <w:sz w:val="17"/>
          <w:szCs w:val="17"/>
        </w:rPr>
      </w:pPr>
    </w:p>
    <w:p w14:paraId="7187B67F">
      <w:pPr>
        <w:pStyle w:val="6"/>
        <w:snapToGrid w:val="0"/>
        <w:spacing w:before="69" w:line="300" w:lineRule="auto"/>
        <w:ind w:left="1560"/>
        <w:jc w:val="both"/>
        <w:rPr>
          <w:rFonts w:ascii="Arial" w:hAnsi="Arial" w:eastAsia="宋体" w:cs="Arial"/>
          <w:lang w:eastAsia="zh-CN"/>
        </w:rPr>
      </w:pPr>
      <w:r>
        <w:rPr>
          <w:rFonts w:ascii="Arial" w:hAnsi="Arial" w:eastAsia="宋体" w:cs="Arial"/>
          <w:lang w:eastAsia="zh-CN"/>
        </w:rPr>
        <w:t>应考虑用于确认研究的模拟使用条件，特别是对于具有处于因重复使用而积累污物的风险下特征的器械。在这种情况下，贵公司的确认研究应使用已进行一些模拟使用的器械。贵公司的确认研究应纳入多个完整的使用循环，并应设计用于评估随时间推移的污物积累。贵公司使用的模拟使用循环的数量在科学上应合理。</w:t>
      </w:r>
    </w:p>
    <w:p w14:paraId="4C7A2776">
      <w:pPr>
        <w:snapToGrid w:val="0"/>
        <w:spacing w:line="300" w:lineRule="auto"/>
        <w:jc w:val="both"/>
        <w:rPr>
          <w:rFonts w:ascii="Arial" w:hAnsi="Arial" w:eastAsia="宋体" w:cs="Arial"/>
          <w:sz w:val="24"/>
          <w:szCs w:val="24"/>
          <w:lang w:eastAsia="zh-CN"/>
        </w:rPr>
      </w:pPr>
    </w:p>
    <w:p w14:paraId="6A9D9D84">
      <w:pPr>
        <w:pStyle w:val="6"/>
        <w:snapToGrid w:val="0"/>
        <w:spacing w:before="69" w:line="300" w:lineRule="auto"/>
        <w:ind w:left="1560"/>
        <w:jc w:val="both"/>
        <w:rPr>
          <w:rFonts w:ascii="Arial" w:hAnsi="Arial" w:eastAsia="宋体" w:cs="Arial"/>
          <w:lang w:eastAsia="zh-CN"/>
        </w:rPr>
      </w:pPr>
      <w:r>
        <w:rPr>
          <w:rFonts w:ascii="Arial" w:hAnsi="Arial" w:eastAsia="宋体" w:cs="Arial"/>
          <w:lang w:eastAsia="zh-CN"/>
        </w:rPr>
        <w:t>如果器械已通电或在临床使用过程中变热，则应在模拟使用试验过程中复现这些情况。此类器械的示例包括电动手机和电外科工具。</w:t>
      </w:r>
    </w:p>
    <w:p w14:paraId="14EAEEEE">
      <w:pPr>
        <w:pStyle w:val="6"/>
        <w:snapToGrid w:val="0"/>
        <w:spacing w:line="300" w:lineRule="auto"/>
        <w:ind w:left="1159"/>
        <w:jc w:val="both"/>
        <w:rPr>
          <w:rFonts w:ascii="Arial" w:hAnsi="Arial" w:eastAsia="宋体" w:cs="Arial"/>
          <w:lang w:eastAsia="zh-CN"/>
        </w:rPr>
      </w:pPr>
    </w:p>
    <w:p w14:paraId="17CA5732">
      <w:pPr>
        <w:pStyle w:val="6"/>
        <w:snapToGrid w:val="0"/>
        <w:spacing w:before="69" w:line="300" w:lineRule="auto"/>
        <w:ind w:left="1560"/>
        <w:jc w:val="both"/>
        <w:rPr>
          <w:rFonts w:ascii="Arial" w:hAnsi="Arial" w:eastAsia="宋体" w:cs="Arial"/>
          <w:lang w:eastAsia="zh-CN"/>
        </w:rPr>
      </w:pPr>
      <w:r>
        <w:rPr>
          <w:rFonts w:ascii="Arial" w:hAnsi="Arial" w:eastAsia="宋体" w:cs="Arial"/>
          <w:lang w:eastAsia="zh-CN"/>
        </w:rPr>
        <w:t>模拟使用条件应考虑到实际使用条件，以模拟最坏情况下的临床使用（例如，临床暴露的最坏情况持续时间）。贵公司还应进行器械预期的所有功能程序（重复连接、屈曲、操作），以充分污染器械以代表最坏情况。</w:t>
      </w:r>
    </w:p>
    <w:p w14:paraId="2FC7E451">
      <w:pPr>
        <w:snapToGrid w:val="0"/>
        <w:spacing w:line="300" w:lineRule="auto"/>
        <w:jc w:val="both"/>
        <w:rPr>
          <w:rFonts w:ascii="Arial" w:hAnsi="Arial" w:eastAsia="宋体" w:cs="Arial"/>
          <w:sz w:val="24"/>
          <w:szCs w:val="24"/>
          <w:lang w:eastAsia="zh-CN"/>
        </w:rPr>
      </w:pPr>
    </w:p>
    <w:p w14:paraId="564228B0">
      <w:pPr>
        <w:pStyle w:val="6"/>
        <w:snapToGrid w:val="0"/>
        <w:spacing w:before="69" w:line="300" w:lineRule="auto"/>
        <w:ind w:left="1560"/>
        <w:jc w:val="both"/>
        <w:rPr>
          <w:rFonts w:ascii="Arial" w:hAnsi="Arial" w:eastAsia="宋体" w:cs="Arial"/>
          <w:lang w:eastAsia="zh-CN"/>
        </w:rPr>
      </w:pPr>
      <w:r>
        <w:rPr>
          <w:rFonts w:ascii="Arial" w:hAnsi="Arial" w:eastAsia="宋体" w:cs="Arial"/>
          <w:lang w:eastAsia="zh-CN"/>
        </w:rPr>
        <w:t>如果器械在使用过程中可能会重复将污物“推到”难以接触的区域，则确认污染应包括重复污染，以充分复现这种“最坏情况”的使用情况。如果在器械的临床应用之后，污物可能会干燥，且使用后可能无法立即进行清洁（例如，在未进行适当再加工的情况下运输的替代器械），确认方法应允许污物干燥一段时间 以模拟最坏情况（持续时间最长）。对照器械应以与试验器械完全相同的方式进行制备和加工；阳性对照器械应脏污，阴性对照器械不得污染。</w:t>
      </w:r>
    </w:p>
    <w:p w14:paraId="607960D6">
      <w:pPr>
        <w:snapToGrid w:val="0"/>
        <w:spacing w:before="5" w:line="300" w:lineRule="auto"/>
        <w:jc w:val="both"/>
        <w:rPr>
          <w:rFonts w:ascii="Arial" w:hAnsi="Arial" w:eastAsia="宋体" w:cs="Arial"/>
          <w:sz w:val="24"/>
          <w:szCs w:val="24"/>
          <w:lang w:eastAsia="zh-CN"/>
        </w:rPr>
      </w:pPr>
    </w:p>
    <w:p w14:paraId="6466BFD5">
      <w:pPr>
        <w:pStyle w:val="5"/>
        <w:numPr>
          <w:ilvl w:val="1"/>
          <w:numId w:val="9"/>
        </w:numPr>
        <w:tabs>
          <w:tab w:val="left" w:pos="1160"/>
        </w:tabs>
        <w:snapToGrid w:val="0"/>
        <w:spacing w:line="300" w:lineRule="auto"/>
        <w:jc w:val="both"/>
        <w:rPr>
          <w:rFonts w:ascii="Arial" w:hAnsi="Arial" w:eastAsia="宋体" w:cs="Arial"/>
          <w:b w:val="0"/>
          <w:bCs w:val="0"/>
          <w:u w:val="single"/>
          <w:lang w:eastAsia="zh-CN"/>
        </w:rPr>
      </w:pPr>
      <w:r>
        <w:rPr>
          <w:rFonts w:ascii="Arial" w:hAnsi="Arial" w:eastAsia="宋体" w:cs="Arial"/>
          <w:u w:val="single" w:color="000000"/>
          <w:lang w:eastAsia="zh-CN"/>
        </w:rPr>
        <w:t>确认方案：有关设计用于测试清洁过程的方法的文档</w:t>
      </w:r>
    </w:p>
    <w:p w14:paraId="08A06173">
      <w:pPr>
        <w:snapToGrid w:val="0"/>
        <w:spacing w:before="7" w:line="300" w:lineRule="auto"/>
        <w:jc w:val="both"/>
        <w:rPr>
          <w:rFonts w:ascii="Arial" w:hAnsi="Arial" w:eastAsia="宋体" w:cs="Arial"/>
          <w:b/>
          <w:bCs/>
          <w:sz w:val="17"/>
          <w:szCs w:val="17"/>
          <w:lang w:eastAsia="zh-CN"/>
        </w:rPr>
      </w:pPr>
    </w:p>
    <w:p w14:paraId="75800AB2">
      <w:pPr>
        <w:pStyle w:val="6"/>
        <w:snapToGrid w:val="0"/>
        <w:spacing w:line="300" w:lineRule="auto"/>
        <w:jc w:val="both"/>
        <w:rPr>
          <w:rFonts w:ascii="Arial" w:hAnsi="Arial" w:eastAsia="宋体" w:cs="Arial"/>
          <w:lang w:eastAsia="zh-CN"/>
        </w:rPr>
      </w:pPr>
      <w:r>
        <w:rPr>
          <w:rFonts w:ascii="Arial" w:hAnsi="Arial" w:eastAsia="宋体" w:cs="Arial"/>
          <w:lang w:eastAsia="zh-CN"/>
        </w:rPr>
        <w:t>确认方案应支持贵公司器械标签中提供的清洁说明；对于时间、温度和浓度等参数，其应详细和具体。</w:t>
      </w:r>
    </w:p>
    <w:p w14:paraId="0A15A817">
      <w:pPr>
        <w:pStyle w:val="6"/>
        <w:snapToGrid w:val="0"/>
        <w:spacing w:line="300" w:lineRule="auto"/>
        <w:jc w:val="both"/>
        <w:rPr>
          <w:rFonts w:ascii="Arial" w:hAnsi="Arial" w:eastAsia="宋体" w:cs="Arial"/>
          <w:lang w:eastAsia="zh-CN"/>
        </w:rPr>
      </w:pPr>
    </w:p>
    <w:p w14:paraId="10A02FC6">
      <w:pPr>
        <w:pStyle w:val="6"/>
        <w:snapToGrid w:val="0"/>
        <w:spacing w:line="300" w:lineRule="auto"/>
        <w:jc w:val="both"/>
        <w:rPr>
          <w:rFonts w:ascii="Arial" w:hAnsi="Arial" w:eastAsia="宋体" w:cs="Arial"/>
          <w:lang w:eastAsia="zh-CN"/>
        </w:rPr>
      </w:pPr>
      <w:r>
        <w:rPr>
          <w:rFonts w:ascii="Arial" w:hAnsi="Arial" w:eastAsia="宋体" w:cs="Arial"/>
          <w:lang w:eastAsia="zh-CN"/>
        </w:rPr>
        <w:t>清洁确认方案应将最短时间、最低温度、最弱的稀释度等用于清洁说明的每个步骤。贵公司应对清洁说明的文本和确认方案的文本进行详细的并行比较，以确定和解释所有最坏情况下的加工条件。</w:t>
      </w:r>
    </w:p>
    <w:p w14:paraId="6FAE7C9E">
      <w:pPr>
        <w:pStyle w:val="6"/>
        <w:snapToGrid w:val="0"/>
        <w:spacing w:line="300" w:lineRule="auto"/>
        <w:jc w:val="both"/>
        <w:rPr>
          <w:rFonts w:ascii="Arial" w:hAnsi="Arial" w:eastAsia="宋体" w:cs="Arial"/>
          <w:lang w:eastAsia="zh-CN"/>
        </w:rPr>
      </w:pPr>
    </w:p>
    <w:p w14:paraId="0193BE74">
      <w:pPr>
        <w:pStyle w:val="6"/>
        <w:snapToGrid w:val="0"/>
        <w:spacing w:line="300" w:lineRule="auto"/>
        <w:jc w:val="both"/>
        <w:rPr>
          <w:rFonts w:ascii="Arial" w:hAnsi="Arial" w:eastAsia="宋体" w:cs="Arial"/>
          <w:lang w:eastAsia="zh-CN"/>
        </w:rPr>
      </w:pPr>
      <w:r>
        <w:rPr>
          <w:rFonts w:ascii="Arial" w:hAnsi="Arial" w:eastAsia="宋体" w:cs="Arial"/>
          <w:lang w:eastAsia="zh-CN"/>
        </w:rPr>
        <w:t>最坏情况加工条件的示例：</w:t>
      </w:r>
    </w:p>
    <w:p w14:paraId="7BFB80A9">
      <w:pPr>
        <w:snapToGrid w:val="0"/>
        <w:spacing w:line="300" w:lineRule="auto"/>
        <w:jc w:val="both"/>
        <w:rPr>
          <w:rFonts w:ascii="Arial" w:hAnsi="Arial" w:eastAsia="宋体" w:cs="Arial"/>
          <w:sz w:val="24"/>
          <w:szCs w:val="24"/>
          <w:lang w:eastAsia="zh-CN"/>
        </w:rPr>
      </w:pPr>
    </w:p>
    <w:p w14:paraId="64846DF1">
      <w:pPr>
        <w:pStyle w:val="17"/>
        <w:numPr>
          <w:ilvl w:val="0"/>
          <w:numId w:val="10"/>
        </w:numPr>
        <w:tabs>
          <w:tab w:val="left" w:pos="152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如果清洁说明建议进行10至20分钟预浸泡，确认方案应规定10分钟。</w:t>
      </w:r>
    </w:p>
    <w:p w14:paraId="55AE9687">
      <w:pPr>
        <w:pStyle w:val="17"/>
        <w:numPr>
          <w:ilvl w:val="0"/>
          <w:numId w:val="10"/>
        </w:numPr>
        <w:tabs>
          <w:tab w:val="left" w:pos="152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如果清洁说明建议用户在45ºC±5ºC下进行手动清洁，确认方案应规定在40ºC下进行清洁。</w:t>
      </w:r>
    </w:p>
    <w:p w14:paraId="01E83F3D">
      <w:pPr>
        <w:pStyle w:val="17"/>
        <w:numPr>
          <w:ilvl w:val="0"/>
          <w:numId w:val="10"/>
        </w:numPr>
        <w:tabs>
          <w:tab w:val="left" w:pos="152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酶洗涤剂：通常，“最坏情况”意味着最短时间、最低温度等。在最低温度下进行确认的例外是酶洗涤剂，签字，其通常具有“最佳有效”温度范围。确认方案应适当处理酶洗涤剂清洁说明中规定的温度范围。</w:t>
      </w:r>
    </w:p>
    <w:p w14:paraId="642BC3C4">
      <w:pPr>
        <w:pStyle w:val="17"/>
        <w:numPr>
          <w:ilvl w:val="0"/>
          <w:numId w:val="10"/>
        </w:numPr>
        <w:tabs>
          <w:tab w:val="left" w:pos="1520"/>
        </w:tabs>
        <w:snapToGrid w:val="0"/>
        <w:spacing w:line="300" w:lineRule="auto"/>
        <w:jc w:val="both"/>
        <w:rPr>
          <w:rFonts w:ascii="Arial" w:hAnsi="Arial" w:eastAsia="宋体" w:cs="Arial"/>
          <w:sz w:val="24"/>
          <w:lang w:eastAsia="zh-CN"/>
        </w:rPr>
      </w:pPr>
      <w:r>
        <w:rPr>
          <w:rFonts w:ascii="Arial" w:hAnsi="Arial" w:eastAsia="宋体" w:cs="Arial"/>
          <w:sz w:val="24"/>
          <w:lang w:eastAsia="zh-CN"/>
        </w:rPr>
        <w:t>医疗清洁器/消毒器：如果贵公司的过程确认使用了自动医疗清洁器/清洁器消毒器或超声波清洁机，则贵公司的最坏情况应包括可用清洁器/清洁器消毒器循环或超声波清洁机的预期循环参数的极限值。</w:t>
      </w:r>
    </w:p>
    <w:p w14:paraId="4282B3F8">
      <w:pPr>
        <w:pStyle w:val="17"/>
        <w:numPr>
          <w:ilvl w:val="0"/>
          <w:numId w:val="10"/>
        </w:numPr>
        <w:tabs>
          <w:tab w:val="left" w:pos="1520"/>
        </w:tabs>
        <w:snapToGrid w:val="0"/>
        <w:spacing w:line="300" w:lineRule="auto"/>
        <w:jc w:val="both"/>
        <w:rPr>
          <w:rFonts w:ascii="Arial" w:hAnsi="Arial" w:eastAsia="宋体" w:cs="Arial"/>
          <w:sz w:val="24"/>
          <w:lang w:eastAsia="zh-CN"/>
        </w:rPr>
      </w:pPr>
      <w:r>
        <w:rPr>
          <w:rFonts w:ascii="Arial" w:hAnsi="Arial" w:eastAsia="宋体" w:cs="Arial"/>
          <w:sz w:val="24"/>
          <w:lang w:eastAsia="zh-CN"/>
        </w:rPr>
        <w:t>如果器械由在清洁过程中必须冲洗的管腔、端口或通道组成，则确认方案应包括最小的冲洗规格，例如时间、冲洗量或流量以及重复次数（例如，10 mL冲洗，执行 3次）。</w:t>
      </w:r>
    </w:p>
    <w:p w14:paraId="22A9C821">
      <w:pPr>
        <w:snapToGrid w:val="0"/>
        <w:spacing w:before="1" w:line="300" w:lineRule="auto"/>
        <w:jc w:val="both"/>
        <w:rPr>
          <w:rFonts w:ascii="Arial" w:hAnsi="Arial" w:eastAsia="宋体" w:cs="Arial"/>
          <w:sz w:val="17"/>
          <w:szCs w:val="17"/>
          <w:lang w:eastAsia="zh-CN"/>
        </w:rPr>
      </w:pPr>
    </w:p>
    <w:p w14:paraId="61E1D39A">
      <w:pPr>
        <w:snapToGrid w:val="0"/>
        <w:spacing w:before="1" w:line="300" w:lineRule="auto"/>
        <w:jc w:val="both"/>
        <w:rPr>
          <w:rFonts w:ascii="Arial" w:hAnsi="Arial" w:eastAsia="宋体" w:cs="Arial"/>
          <w:sz w:val="17"/>
          <w:szCs w:val="17"/>
          <w:lang w:eastAsia="zh-CN"/>
        </w:rPr>
      </w:pPr>
    </w:p>
    <w:p w14:paraId="206741A8">
      <w:pPr>
        <w:snapToGrid w:val="0"/>
        <w:spacing w:before="1" w:line="300" w:lineRule="auto"/>
        <w:jc w:val="both"/>
        <w:rPr>
          <w:rFonts w:ascii="Arial" w:hAnsi="Arial" w:eastAsia="宋体" w:cs="Arial"/>
          <w:sz w:val="17"/>
          <w:szCs w:val="17"/>
          <w:lang w:eastAsia="zh-CN"/>
        </w:rPr>
      </w:pPr>
    </w:p>
    <w:p w14:paraId="1B750001">
      <w:pPr>
        <w:snapToGrid w:val="0"/>
        <w:spacing w:before="1" w:line="300" w:lineRule="auto"/>
        <w:jc w:val="both"/>
        <w:rPr>
          <w:rFonts w:ascii="Arial" w:hAnsi="Arial" w:eastAsia="宋体" w:cs="Arial"/>
          <w:sz w:val="17"/>
          <w:szCs w:val="17"/>
          <w:lang w:eastAsia="zh-CN"/>
        </w:rPr>
      </w:pPr>
    </w:p>
    <w:p w14:paraId="25752627">
      <w:pPr>
        <w:snapToGrid w:val="0"/>
        <w:spacing w:before="1" w:line="300" w:lineRule="auto"/>
        <w:jc w:val="both"/>
        <w:rPr>
          <w:rFonts w:ascii="Arial" w:hAnsi="Arial" w:eastAsia="宋体" w:cs="Arial"/>
          <w:sz w:val="17"/>
          <w:szCs w:val="17"/>
          <w:lang w:eastAsia="zh-CN"/>
        </w:rPr>
      </w:pPr>
    </w:p>
    <w:p w14:paraId="0FCEDC15">
      <w:pPr>
        <w:snapToGrid w:val="0"/>
        <w:spacing w:before="1" w:line="300" w:lineRule="auto"/>
        <w:jc w:val="both"/>
        <w:rPr>
          <w:rFonts w:ascii="Arial" w:hAnsi="Arial" w:eastAsia="宋体" w:cs="Arial"/>
          <w:sz w:val="17"/>
          <w:szCs w:val="17"/>
          <w:lang w:eastAsia="zh-CN"/>
        </w:rPr>
      </w:pPr>
    </w:p>
    <w:p w14:paraId="220691BC">
      <w:pPr>
        <w:snapToGrid w:val="0"/>
        <w:spacing w:before="1" w:line="300" w:lineRule="auto"/>
        <w:jc w:val="both"/>
        <w:rPr>
          <w:rFonts w:ascii="Arial" w:hAnsi="Arial" w:eastAsia="宋体" w:cs="Arial"/>
          <w:sz w:val="17"/>
          <w:szCs w:val="17"/>
          <w:lang w:eastAsia="zh-CN"/>
        </w:rPr>
      </w:pPr>
    </w:p>
    <w:p w14:paraId="42468969">
      <w:pPr>
        <w:pStyle w:val="5"/>
        <w:numPr>
          <w:ilvl w:val="1"/>
          <w:numId w:val="9"/>
        </w:numPr>
        <w:tabs>
          <w:tab w:val="left" w:pos="1160"/>
        </w:tabs>
        <w:snapToGrid w:val="0"/>
        <w:spacing w:before="69" w:line="300" w:lineRule="auto"/>
        <w:jc w:val="both"/>
        <w:rPr>
          <w:rFonts w:ascii="Arial" w:hAnsi="Arial" w:eastAsia="宋体" w:cs="Arial"/>
          <w:b w:val="0"/>
          <w:bCs w:val="0"/>
          <w:u w:val="single"/>
          <w:lang w:eastAsia="zh-CN"/>
        </w:rPr>
      </w:pPr>
      <w:bookmarkStart w:id="63" w:name="b._Methods_Validation"/>
      <w:bookmarkEnd w:id="63"/>
      <w:bookmarkStart w:id="64" w:name="a._Choice_of_Test_Types"/>
      <w:bookmarkEnd w:id="64"/>
      <w:bookmarkStart w:id="65" w:name="3._Testing:_Test_Types_and_Protocols"/>
      <w:bookmarkEnd w:id="65"/>
      <w:r>
        <w:rPr>
          <w:rFonts w:ascii="Arial" w:hAnsi="Arial" w:eastAsia="宋体" w:cs="Arial"/>
          <w:u w:val="single" w:color="000000"/>
          <w:lang w:eastAsia="zh-CN"/>
        </w:rPr>
        <w:t>试验：试验类型和方案</w:t>
      </w:r>
    </w:p>
    <w:p w14:paraId="2A4A1142">
      <w:pPr>
        <w:snapToGrid w:val="0"/>
        <w:spacing w:before="11" w:line="300" w:lineRule="auto"/>
        <w:jc w:val="both"/>
        <w:rPr>
          <w:rFonts w:ascii="Arial" w:hAnsi="Arial" w:eastAsia="宋体" w:cs="Arial"/>
          <w:b/>
          <w:bCs/>
          <w:sz w:val="17"/>
          <w:szCs w:val="17"/>
          <w:lang w:eastAsia="zh-CN"/>
        </w:rPr>
      </w:pPr>
    </w:p>
    <w:p w14:paraId="13F932AF">
      <w:pPr>
        <w:pStyle w:val="17"/>
        <w:numPr>
          <w:ilvl w:val="2"/>
          <w:numId w:val="9"/>
        </w:numPr>
        <w:tabs>
          <w:tab w:val="left" w:pos="1520"/>
        </w:tabs>
        <w:snapToGrid w:val="0"/>
        <w:spacing w:before="69" w:line="300" w:lineRule="auto"/>
        <w:ind w:hanging="758"/>
        <w:jc w:val="both"/>
        <w:rPr>
          <w:rFonts w:ascii="Arial" w:hAnsi="Arial" w:eastAsia="宋体" w:cs="Arial"/>
          <w:sz w:val="24"/>
          <w:szCs w:val="24"/>
          <w:u w:val="single"/>
        </w:rPr>
      </w:pPr>
      <w:r>
        <w:rPr>
          <w:rFonts w:ascii="Arial" w:hAnsi="Arial" w:eastAsia="宋体" w:cs="Arial"/>
          <w:b/>
          <w:sz w:val="24"/>
          <w:u w:val="single" w:color="000000"/>
        </w:rPr>
        <w:t>选择试验类型</w:t>
      </w:r>
    </w:p>
    <w:p w14:paraId="7BAFEA44">
      <w:pPr>
        <w:snapToGrid w:val="0"/>
        <w:spacing w:before="7" w:line="300" w:lineRule="auto"/>
        <w:jc w:val="both"/>
        <w:rPr>
          <w:rFonts w:ascii="Arial" w:hAnsi="Arial" w:eastAsia="宋体" w:cs="Arial"/>
          <w:b/>
          <w:bCs/>
          <w:sz w:val="17"/>
          <w:szCs w:val="17"/>
        </w:rPr>
      </w:pPr>
    </w:p>
    <w:p w14:paraId="6CD8BCDD">
      <w:pPr>
        <w:pStyle w:val="6"/>
        <w:snapToGrid w:val="0"/>
        <w:spacing w:line="300" w:lineRule="auto"/>
        <w:ind w:left="1160"/>
        <w:jc w:val="both"/>
        <w:rPr>
          <w:rFonts w:ascii="Arial" w:hAnsi="Arial" w:eastAsia="宋体" w:cs="Arial"/>
          <w:lang w:eastAsia="zh-CN"/>
        </w:rPr>
      </w:pPr>
      <w:r>
        <w:rPr>
          <w:rFonts w:ascii="Arial" w:hAnsi="Arial" w:eastAsia="宋体" w:cs="Arial"/>
          <w:lang w:eastAsia="zh-CN"/>
        </w:rPr>
        <w:t>FDA建议贵公司至少使用两种能够直接测量临床有意义水平的临床相关污物的定量试验方法，以满足相关的预定清洁端点。存在许多潜在试验方法可用于评价污物和污染物，以及清洁过程的有效性。AAMI TIR 30“清洁可重复使用医疗器械的过程、材料、试验方法和验收标准汇编”概述了已发表文献中可用的试验方法。</w:t>
      </w:r>
    </w:p>
    <w:p w14:paraId="35122E5D">
      <w:pPr>
        <w:pStyle w:val="6"/>
        <w:snapToGrid w:val="0"/>
        <w:spacing w:line="300" w:lineRule="auto"/>
        <w:ind w:left="1160"/>
        <w:jc w:val="both"/>
        <w:rPr>
          <w:rFonts w:ascii="Arial" w:hAnsi="Arial" w:eastAsia="宋体" w:cs="Arial"/>
          <w:lang w:eastAsia="zh-CN"/>
        </w:rPr>
      </w:pPr>
    </w:p>
    <w:p w14:paraId="3083C7FB">
      <w:pPr>
        <w:pStyle w:val="6"/>
        <w:snapToGrid w:val="0"/>
        <w:spacing w:line="300" w:lineRule="auto"/>
        <w:ind w:left="1160"/>
        <w:jc w:val="both"/>
        <w:rPr>
          <w:rFonts w:ascii="Arial" w:hAnsi="Arial" w:eastAsia="宋体" w:cs="Arial"/>
          <w:lang w:eastAsia="zh-CN"/>
        </w:rPr>
      </w:pPr>
      <w:r>
        <w:rPr>
          <w:rFonts w:ascii="Arial" w:hAnsi="Arial" w:eastAsia="宋体" w:cs="Arial"/>
          <w:lang w:eastAsia="zh-CN"/>
        </w:rPr>
        <w:t>选择试验方法时，应考虑多个因素。这些应包括但不限于在实际临床使用期间器械预期接触的污染物（应在人造污物中充分表示）、直接测量这些成分的试验特异性，以及试验方法与拟定清洁端点相关的灵敏度。</w:t>
      </w:r>
    </w:p>
    <w:p w14:paraId="233DFC15">
      <w:pPr>
        <w:snapToGrid w:val="0"/>
        <w:spacing w:line="300" w:lineRule="auto"/>
        <w:jc w:val="both"/>
        <w:rPr>
          <w:rFonts w:ascii="Arial" w:hAnsi="Arial" w:eastAsia="宋体" w:cs="Arial"/>
          <w:sz w:val="24"/>
          <w:szCs w:val="24"/>
          <w:lang w:eastAsia="zh-CN"/>
        </w:rPr>
      </w:pPr>
    </w:p>
    <w:p w14:paraId="16E512B2">
      <w:pPr>
        <w:pStyle w:val="6"/>
        <w:snapToGrid w:val="0"/>
        <w:spacing w:line="300" w:lineRule="auto"/>
        <w:ind w:left="1160"/>
        <w:jc w:val="both"/>
        <w:rPr>
          <w:rFonts w:ascii="Arial" w:hAnsi="Arial" w:eastAsia="宋体" w:cs="Arial"/>
          <w:lang w:eastAsia="zh-CN"/>
        </w:rPr>
      </w:pPr>
      <w:r>
        <w:rPr>
          <w:rFonts w:ascii="Arial" w:hAnsi="Arial" w:eastAsia="宋体" w:cs="Arial"/>
          <w:lang w:eastAsia="zh-CN"/>
        </w:rPr>
        <w:t>无论贵公司选择的试验类型如何，在验证过程中都应对外表面和内表面进行目视检查。</w:t>
      </w:r>
    </w:p>
    <w:p w14:paraId="781F8974">
      <w:pPr>
        <w:pStyle w:val="6"/>
        <w:snapToGrid w:val="0"/>
        <w:spacing w:line="300" w:lineRule="auto"/>
        <w:ind w:left="1160"/>
        <w:jc w:val="both"/>
        <w:rPr>
          <w:rFonts w:ascii="Arial" w:hAnsi="Arial" w:eastAsia="宋体" w:cs="Arial"/>
          <w:lang w:eastAsia="zh-CN"/>
        </w:rPr>
      </w:pPr>
    </w:p>
    <w:p w14:paraId="5EDCFA88">
      <w:pPr>
        <w:pStyle w:val="6"/>
        <w:snapToGrid w:val="0"/>
        <w:spacing w:line="300" w:lineRule="auto"/>
        <w:ind w:left="1160"/>
        <w:jc w:val="both"/>
        <w:rPr>
          <w:rFonts w:ascii="Arial" w:hAnsi="Arial" w:eastAsia="宋体" w:cs="Arial"/>
          <w:lang w:eastAsia="zh-CN"/>
        </w:rPr>
      </w:pPr>
      <w:r>
        <w:rPr>
          <w:rFonts w:ascii="Arial" w:hAnsi="Arial" w:eastAsia="宋体" w:cs="Arial"/>
          <w:lang w:eastAsia="zh-CN"/>
        </w:rPr>
        <w:t>贵公司应为所选择的试验类型提供理由，包括任何相关文档（例如，FDA认可的标准、已发表的文献、用于可商购测定的使用说明）。如果贵公司选择的试验方法与所提供的文档中描述的方法有所偏差，那么贵公司应确定并证明每个偏差的正确性。</w:t>
      </w:r>
    </w:p>
    <w:p w14:paraId="4504AC70">
      <w:pPr>
        <w:snapToGrid w:val="0"/>
        <w:spacing w:before="5" w:line="300" w:lineRule="auto"/>
        <w:jc w:val="both"/>
        <w:rPr>
          <w:rFonts w:ascii="Arial" w:hAnsi="Arial" w:eastAsia="宋体" w:cs="Arial"/>
          <w:sz w:val="24"/>
          <w:szCs w:val="24"/>
          <w:lang w:eastAsia="zh-CN"/>
        </w:rPr>
      </w:pPr>
    </w:p>
    <w:p w14:paraId="0CB982DB">
      <w:pPr>
        <w:pStyle w:val="17"/>
        <w:numPr>
          <w:ilvl w:val="2"/>
          <w:numId w:val="9"/>
        </w:numPr>
        <w:tabs>
          <w:tab w:val="left" w:pos="1520"/>
        </w:tabs>
        <w:snapToGrid w:val="0"/>
        <w:spacing w:before="69" w:line="300" w:lineRule="auto"/>
        <w:ind w:hanging="758"/>
        <w:jc w:val="both"/>
        <w:rPr>
          <w:rFonts w:ascii="Arial" w:hAnsi="Arial" w:eastAsia="宋体" w:cs="Arial"/>
          <w:b/>
          <w:bCs/>
        </w:rPr>
      </w:pPr>
      <w:r>
        <w:rPr>
          <w:rFonts w:ascii="Arial" w:hAnsi="Arial" w:eastAsia="宋体" w:cs="Arial"/>
          <w:b/>
          <w:sz w:val="24"/>
          <w:u w:val="single" w:color="000000"/>
        </w:rPr>
        <w:t>方法</w:t>
      </w:r>
      <w:r>
        <w:rPr>
          <w:rFonts w:ascii="Arial" w:hAnsi="Arial" w:eastAsia="宋体" w:cs="Arial"/>
          <w:b/>
          <w:sz w:val="24"/>
          <w:u w:val="single" w:color="000000"/>
          <w:lang w:eastAsia="zh-CN"/>
        </w:rPr>
        <w:t>确认</w:t>
      </w:r>
    </w:p>
    <w:p w14:paraId="795829BD">
      <w:pPr>
        <w:snapToGrid w:val="0"/>
        <w:spacing w:before="7" w:line="300" w:lineRule="auto"/>
        <w:jc w:val="both"/>
        <w:rPr>
          <w:rFonts w:ascii="Arial" w:hAnsi="Arial" w:eastAsia="宋体" w:cs="Arial"/>
          <w:b/>
          <w:bCs/>
          <w:sz w:val="17"/>
          <w:szCs w:val="17"/>
        </w:rPr>
      </w:pPr>
    </w:p>
    <w:p w14:paraId="6F959655">
      <w:pPr>
        <w:pStyle w:val="6"/>
        <w:snapToGrid w:val="0"/>
        <w:spacing w:line="300" w:lineRule="auto"/>
        <w:ind w:left="1160"/>
        <w:jc w:val="both"/>
        <w:rPr>
          <w:rFonts w:ascii="Arial" w:hAnsi="Arial" w:eastAsia="宋体" w:cs="Arial"/>
          <w:lang w:eastAsia="zh-CN"/>
        </w:rPr>
      </w:pPr>
      <w:r>
        <w:rPr>
          <w:rFonts w:ascii="Arial" w:hAnsi="Arial" w:eastAsia="宋体" w:cs="Arial"/>
          <w:lang w:eastAsia="zh-CN"/>
        </w:rPr>
        <w:t>贵公司应确认贵公司选择用于测试残留污物的试验方法。贵公司的方法文档应包括分析灵敏度和特异性信息，以及预定的清洁端点，并应说明适当的对照。</w:t>
      </w:r>
    </w:p>
    <w:p w14:paraId="416FBB1D">
      <w:pPr>
        <w:pStyle w:val="6"/>
        <w:snapToGrid w:val="0"/>
        <w:spacing w:line="300" w:lineRule="auto"/>
        <w:ind w:left="1160"/>
        <w:jc w:val="both"/>
        <w:rPr>
          <w:rFonts w:ascii="Arial" w:hAnsi="Arial" w:eastAsia="宋体" w:cs="Arial"/>
          <w:lang w:eastAsia="zh-CN"/>
        </w:rPr>
      </w:pPr>
    </w:p>
    <w:p w14:paraId="4995F831">
      <w:pPr>
        <w:pStyle w:val="6"/>
        <w:snapToGrid w:val="0"/>
        <w:spacing w:line="300" w:lineRule="auto"/>
        <w:ind w:left="1160"/>
        <w:jc w:val="both"/>
        <w:rPr>
          <w:rFonts w:ascii="Arial" w:hAnsi="Arial" w:eastAsia="宋体" w:cs="Arial"/>
          <w:lang w:eastAsia="zh-CN"/>
        </w:rPr>
      </w:pPr>
      <w:r>
        <w:rPr>
          <w:rFonts w:ascii="Arial" w:hAnsi="Arial" w:eastAsia="宋体" w:cs="Arial"/>
          <w:lang w:eastAsia="zh-CN"/>
        </w:rPr>
        <w:t>本审查机构建议贵公司的试验方法包括以下对照：</w:t>
      </w:r>
    </w:p>
    <w:p w14:paraId="4E410350">
      <w:pPr>
        <w:snapToGrid w:val="0"/>
        <w:spacing w:line="300" w:lineRule="auto"/>
        <w:jc w:val="both"/>
        <w:rPr>
          <w:rFonts w:ascii="Arial" w:hAnsi="Arial" w:eastAsia="宋体" w:cs="Arial"/>
          <w:sz w:val="24"/>
          <w:szCs w:val="24"/>
          <w:lang w:eastAsia="zh-CN"/>
        </w:rPr>
      </w:pPr>
    </w:p>
    <w:p w14:paraId="1D715399">
      <w:pPr>
        <w:pStyle w:val="17"/>
        <w:numPr>
          <w:ilvl w:val="3"/>
          <w:numId w:val="9"/>
        </w:numPr>
        <w:tabs>
          <w:tab w:val="left" w:pos="1880"/>
        </w:tabs>
        <w:snapToGrid w:val="0"/>
        <w:spacing w:line="300" w:lineRule="auto"/>
        <w:jc w:val="both"/>
        <w:rPr>
          <w:rFonts w:ascii="Arial" w:hAnsi="Arial" w:eastAsia="宋体" w:cs="Arial"/>
          <w:sz w:val="24"/>
          <w:szCs w:val="24"/>
          <w:lang w:eastAsia="zh-CN"/>
        </w:rPr>
      </w:pPr>
      <w:bookmarkStart w:id="66" w:name="c._Extraction_Method"/>
      <w:bookmarkEnd w:id="66"/>
      <w:bookmarkStart w:id="67" w:name="B._Resources_for_Establishing_Simulated_"/>
      <w:bookmarkEnd w:id="67"/>
      <w:r>
        <w:rPr>
          <w:rFonts w:ascii="Arial" w:hAnsi="Arial" w:eastAsia="宋体" w:cs="Arial"/>
          <w:sz w:val="24"/>
          <w:szCs w:val="24"/>
          <w:lang w:eastAsia="zh-CN"/>
        </w:rPr>
        <w:t>阴性器械对照-器械应未污染，并经受与试验器械相同的清洁和提取。残留污物的量应等于或略高于阴性样本对照。</w:t>
      </w:r>
    </w:p>
    <w:p w14:paraId="6F56192F">
      <w:pPr>
        <w:pStyle w:val="17"/>
        <w:numPr>
          <w:ilvl w:val="3"/>
          <w:numId w:val="9"/>
        </w:numPr>
        <w:tabs>
          <w:tab w:val="left" w:pos="188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阳性器械对照-使用数量已知的污物污染器械，但不得对其进行清洁，然后提取残留污物。残留污物应等于或稍低于所放置污物的量。在计算过程中应计算和使用污物采收率。</w:t>
      </w:r>
    </w:p>
    <w:p w14:paraId="26F67B8C">
      <w:pPr>
        <w:rPr>
          <w:rFonts w:ascii="Arial" w:hAnsi="Arial" w:eastAsia="宋体" w:cs="Arial"/>
          <w:sz w:val="24"/>
          <w:szCs w:val="24"/>
          <w:lang w:eastAsia="zh-CN"/>
        </w:rPr>
      </w:pPr>
      <w:r>
        <w:rPr>
          <w:rFonts w:ascii="Arial" w:hAnsi="Arial" w:eastAsia="宋体" w:cs="Arial"/>
          <w:sz w:val="24"/>
          <w:szCs w:val="24"/>
          <w:lang w:eastAsia="zh-CN"/>
        </w:rPr>
        <w:br w:type="page"/>
      </w:r>
    </w:p>
    <w:p w14:paraId="4A383749">
      <w:pPr>
        <w:pStyle w:val="17"/>
        <w:numPr>
          <w:ilvl w:val="3"/>
          <w:numId w:val="9"/>
        </w:numPr>
        <w:tabs>
          <w:tab w:val="left" w:pos="188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阴性样本对照-“提取”应在未使用任何器械的情况下进行。此样本用作空白。</w:t>
      </w:r>
    </w:p>
    <w:p w14:paraId="6AF1D1D2">
      <w:pPr>
        <w:pStyle w:val="17"/>
        <w:numPr>
          <w:ilvl w:val="3"/>
          <w:numId w:val="9"/>
        </w:numPr>
        <w:tabs>
          <w:tab w:val="left" w:pos="1880"/>
        </w:tabs>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阳性样品对照-在未使用任何器械的情况下将已知量的污物（等于或略高于定量限度）添加到 “提取”中。该对照解决了提取液的干扰和提取方法以及污物检测。</w:t>
      </w:r>
    </w:p>
    <w:p w14:paraId="18C51081">
      <w:pPr>
        <w:snapToGrid w:val="0"/>
        <w:spacing w:before="5" w:line="300" w:lineRule="auto"/>
        <w:jc w:val="both"/>
        <w:rPr>
          <w:rFonts w:ascii="Arial" w:hAnsi="Arial" w:eastAsia="宋体" w:cs="Arial"/>
          <w:sz w:val="24"/>
          <w:szCs w:val="24"/>
          <w:lang w:eastAsia="zh-CN"/>
        </w:rPr>
      </w:pPr>
    </w:p>
    <w:p w14:paraId="13FA6718">
      <w:pPr>
        <w:pStyle w:val="17"/>
        <w:numPr>
          <w:ilvl w:val="2"/>
          <w:numId w:val="9"/>
        </w:numPr>
        <w:tabs>
          <w:tab w:val="left" w:pos="1520"/>
        </w:tabs>
        <w:snapToGrid w:val="0"/>
        <w:spacing w:before="69" w:line="300" w:lineRule="auto"/>
        <w:ind w:hanging="758"/>
        <w:jc w:val="both"/>
        <w:rPr>
          <w:rFonts w:ascii="Arial" w:hAnsi="Arial" w:eastAsia="宋体" w:cs="Arial"/>
          <w:b/>
          <w:sz w:val="24"/>
          <w:u w:val="single" w:color="000000"/>
          <w:lang w:eastAsia="zh-CN"/>
        </w:rPr>
      </w:pPr>
      <w:r>
        <w:rPr>
          <w:rFonts w:ascii="Arial" w:hAnsi="Arial" w:eastAsia="宋体" w:cs="Arial"/>
          <w:b/>
          <w:sz w:val="24"/>
          <w:u w:val="single" w:color="000000"/>
          <w:lang w:eastAsia="zh-CN"/>
        </w:rPr>
        <w:t>提取方法</w:t>
      </w:r>
    </w:p>
    <w:p w14:paraId="3A82D88E">
      <w:pPr>
        <w:pStyle w:val="17"/>
        <w:tabs>
          <w:tab w:val="left" w:pos="1520"/>
        </w:tabs>
        <w:snapToGrid w:val="0"/>
        <w:spacing w:before="69" w:line="300" w:lineRule="auto"/>
        <w:ind w:left="1920"/>
        <w:jc w:val="both"/>
        <w:rPr>
          <w:rFonts w:ascii="Arial" w:hAnsi="Arial" w:eastAsia="宋体" w:cs="Arial"/>
          <w:b/>
          <w:sz w:val="24"/>
          <w:u w:val="single" w:color="000000"/>
          <w:lang w:eastAsia="zh-CN"/>
        </w:rPr>
      </w:pPr>
    </w:p>
    <w:p w14:paraId="337A1E2F">
      <w:pPr>
        <w:pStyle w:val="6"/>
        <w:snapToGrid w:val="0"/>
        <w:spacing w:line="300" w:lineRule="auto"/>
        <w:ind w:left="1160"/>
        <w:jc w:val="both"/>
        <w:rPr>
          <w:rFonts w:ascii="Arial" w:hAnsi="Arial" w:eastAsia="宋体" w:cs="Arial"/>
          <w:lang w:eastAsia="zh-CN"/>
        </w:rPr>
      </w:pPr>
      <w:r>
        <w:rPr>
          <w:rFonts w:ascii="Arial" w:hAnsi="Arial" w:eastAsia="宋体" w:cs="Arial"/>
          <w:lang w:eastAsia="zh-CN"/>
        </w:rPr>
        <w:t>器械应受用于回收残留污物的经确认提取方法制约。应为每个器械全面说明提取方法，并应确定其采收率以作为其验证的一部分。</w:t>
      </w:r>
    </w:p>
    <w:p w14:paraId="4E7C8EB8">
      <w:pPr>
        <w:pStyle w:val="6"/>
        <w:snapToGrid w:val="0"/>
        <w:spacing w:line="300" w:lineRule="auto"/>
        <w:ind w:left="1160"/>
        <w:jc w:val="both"/>
        <w:rPr>
          <w:rFonts w:ascii="Arial" w:hAnsi="Arial" w:eastAsia="宋体" w:cs="Arial"/>
          <w:lang w:eastAsia="zh-CN"/>
        </w:rPr>
      </w:pPr>
    </w:p>
    <w:p w14:paraId="46D5EF2B">
      <w:pPr>
        <w:pStyle w:val="6"/>
        <w:snapToGrid w:val="0"/>
        <w:spacing w:line="300" w:lineRule="auto"/>
        <w:ind w:left="1160"/>
        <w:jc w:val="both"/>
        <w:rPr>
          <w:rFonts w:ascii="Arial" w:hAnsi="Arial" w:eastAsia="宋体" w:cs="Arial"/>
          <w:lang w:eastAsia="zh-CN"/>
        </w:rPr>
      </w:pPr>
      <w:r>
        <w:rPr>
          <w:rFonts w:ascii="Arial" w:hAnsi="Arial" w:eastAsia="宋体" w:cs="Arial"/>
          <w:lang w:eastAsia="zh-CN"/>
        </w:rPr>
        <w:t>彻底提取和使用已知量的污物进行提取是常用于确定采收率的方法。提取应对所有表面进行采样，包括内表面（如管腔）和接合表面。在采收率试验的确定中，应解决具有最坏情况挑战（最难去除）的污物成分。贵公司应确保用于从器械中去除试验污物的提取量不会太大，以使试验标记被稀释到检测水平以下以用于测定。</w:t>
      </w:r>
    </w:p>
    <w:p w14:paraId="16C80FB5">
      <w:pPr>
        <w:snapToGrid w:val="0"/>
        <w:spacing w:line="300" w:lineRule="auto"/>
        <w:jc w:val="both"/>
        <w:rPr>
          <w:rFonts w:ascii="Arial" w:hAnsi="Arial" w:eastAsia="宋体" w:cs="Arial"/>
          <w:sz w:val="24"/>
          <w:szCs w:val="24"/>
          <w:lang w:eastAsia="zh-CN"/>
        </w:rPr>
      </w:pPr>
    </w:p>
    <w:p w14:paraId="5F778D65">
      <w:pPr>
        <w:pStyle w:val="6"/>
        <w:snapToGrid w:val="0"/>
        <w:spacing w:line="300" w:lineRule="auto"/>
        <w:ind w:left="1160"/>
        <w:jc w:val="both"/>
        <w:rPr>
          <w:rFonts w:ascii="Arial" w:hAnsi="Arial" w:eastAsia="宋体" w:cs="Arial"/>
          <w:lang w:eastAsia="zh-CN"/>
        </w:rPr>
      </w:pPr>
      <w:r>
        <w:rPr>
          <w:rFonts w:ascii="Arial" w:hAnsi="Arial" w:eastAsia="宋体" w:cs="Arial"/>
          <w:lang w:eastAsia="zh-CN"/>
        </w:rPr>
        <w:t>一些器械设计包括在使用过程中可能被污染但在清洁和提取期间难以接触的较复杂内部结构（例如管腔、内部运动部件）。因此，清洁方法，包括拆卸，应设计用于接触这些表面。对于此类在几何上较为复杂的器械，在提取方法确认和器械清洁确认期间，应对所有相关的内部表面区域进行采样。因此，为了确认研究，可能需要额外的拆卸过程，以便从这些难以接触的区域充分提取残留污物。这种额外拆卸很少需要拆卸由基本元件构成单元以外的单元，或者要求其实际的物理破坏。</w:t>
      </w:r>
    </w:p>
    <w:p w14:paraId="63EC881D">
      <w:pPr>
        <w:snapToGrid w:val="0"/>
        <w:spacing w:line="300" w:lineRule="auto"/>
        <w:jc w:val="both"/>
        <w:rPr>
          <w:rFonts w:ascii="Arial" w:hAnsi="Arial" w:eastAsia="宋体" w:cs="Arial"/>
          <w:sz w:val="24"/>
          <w:szCs w:val="24"/>
          <w:lang w:eastAsia="zh-CN"/>
        </w:rPr>
      </w:pPr>
    </w:p>
    <w:p w14:paraId="186FCE0E">
      <w:pPr>
        <w:pStyle w:val="6"/>
        <w:snapToGrid w:val="0"/>
        <w:spacing w:line="300" w:lineRule="auto"/>
        <w:ind w:left="1160"/>
        <w:jc w:val="both"/>
        <w:rPr>
          <w:rFonts w:ascii="Arial" w:hAnsi="Arial" w:eastAsia="宋体" w:cs="Arial"/>
          <w:lang w:eastAsia="zh-CN"/>
        </w:rPr>
      </w:pPr>
      <w:r>
        <w:rPr>
          <w:rFonts w:ascii="Arial" w:hAnsi="Arial" w:eastAsia="宋体" w:cs="Arial"/>
          <w:lang w:eastAsia="zh-CN"/>
        </w:rPr>
        <w:t>对于具有不适用于与临床污物和液体接触的内部隔室的器械，贵公司应证明清洁溶液、冲洗水和/或患者材料不会通过不完整的密封、接缝或其他内外连续气室渗入器械的内部方面。</w:t>
      </w:r>
    </w:p>
    <w:p w14:paraId="7FC06C75">
      <w:pPr>
        <w:pStyle w:val="6"/>
        <w:snapToGrid w:val="0"/>
        <w:spacing w:line="300" w:lineRule="auto"/>
        <w:ind w:left="1160"/>
        <w:jc w:val="both"/>
        <w:rPr>
          <w:rFonts w:ascii="Arial" w:hAnsi="Arial" w:eastAsia="宋体" w:cs="Arial"/>
          <w:lang w:eastAsia="zh-CN"/>
        </w:rPr>
      </w:pPr>
    </w:p>
    <w:p w14:paraId="5F6BB03A">
      <w:pPr>
        <w:pStyle w:val="6"/>
        <w:snapToGrid w:val="0"/>
        <w:spacing w:line="300" w:lineRule="auto"/>
        <w:ind w:left="1160"/>
        <w:jc w:val="both"/>
        <w:rPr>
          <w:rFonts w:ascii="Arial" w:hAnsi="Arial" w:eastAsia="宋体" w:cs="Arial"/>
          <w:lang w:eastAsia="zh-CN"/>
        </w:rPr>
      </w:pPr>
      <w:r>
        <w:rPr>
          <w:rFonts w:ascii="Arial" w:hAnsi="Arial" w:eastAsia="宋体" w:cs="Arial"/>
          <w:lang w:eastAsia="zh-CN"/>
        </w:rPr>
        <w:t>如果贵公司确定存在临床污垢或清洁液侵入的风险，则贵公司应证明清洁方法符合用于可在器械使用寿命期间内任何时候被污染的所有内部表面的清洁端点。</w:t>
      </w:r>
    </w:p>
    <w:p w14:paraId="4B7F0CC5">
      <w:pPr>
        <w:snapToGrid w:val="0"/>
        <w:spacing w:before="6" w:line="300" w:lineRule="auto"/>
        <w:jc w:val="both"/>
        <w:rPr>
          <w:rFonts w:ascii="Arial" w:hAnsi="Arial" w:eastAsia="宋体" w:cs="Arial"/>
          <w:sz w:val="24"/>
          <w:szCs w:val="24"/>
          <w:lang w:eastAsia="zh-CN"/>
        </w:rPr>
      </w:pPr>
    </w:p>
    <w:p w14:paraId="2977C5D1">
      <w:pPr>
        <w:pStyle w:val="4"/>
        <w:numPr>
          <w:ilvl w:val="0"/>
          <w:numId w:val="9"/>
        </w:numPr>
        <w:tabs>
          <w:tab w:val="left" w:pos="1160"/>
        </w:tabs>
        <w:snapToGrid w:val="0"/>
        <w:spacing w:line="300" w:lineRule="auto"/>
        <w:jc w:val="both"/>
        <w:rPr>
          <w:rFonts w:ascii="Arial" w:hAnsi="Arial" w:eastAsia="宋体" w:cs="Arial"/>
          <w:b w:val="0"/>
          <w:bCs w:val="0"/>
          <w:sz w:val="20"/>
          <w:szCs w:val="20"/>
          <w:lang w:eastAsia="zh-CN"/>
        </w:rPr>
      </w:pPr>
      <w:bookmarkStart w:id="68" w:name="_Toc481569207"/>
      <w:r>
        <w:rPr>
          <w:rFonts w:ascii="Arial" w:hAnsi="Arial" w:eastAsia="宋体" w:cs="Arial"/>
          <w:lang w:eastAsia="zh-CN"/>
        </w:rPr>
        <w:t>确定模拟使用方案的资源</w:t>
      </w:r>
      <w:bookmarkEnd w:id="68"/>
    </w:p>
    <w:p w14:paraId="640B8B16">
      <w:pPr>
        <w:rPr>
          <w:rFonts w:ascii="Arial" w:hAnsi="Arial" w:eastAsia="宋体" w:cs="Arial"/>
          <w:sz w:val="24"/>
          <w:szCs w:val="24"/>
          <w:lang w:eastAsia="zh-CN"/>
        </w:rPr>
      </w:pPr>
      <w:bookmarkStart w:id="69" w:name="B._Sterilization"/>
      <w:bookmarkEnd w:id="69"/>
      <w:bookmarkStart w:id="70" w:name="IX._Validation_of_the_Final_Microbicidal"/>
      <w:bookmarkEnd w:id="70"/>
      <w:bookmarkStart w:id="71" w:name="A._Disinfection"/>
      <w:bookmarkEnd w:id="71"/>
      <w:bookmarkStart w:id="72" w:name="X._FDA_Review_of_Reprocessing_Instructio"/>
      <w:bookmarkEnd w:id="72"/>
      <w:r>
        <w:rPr>
          <w:rFonts w:ascii="Arial" w:hAnsi="Arial" w:eastAsia="宋体" w:cs="Arial"/>
          <w:lang w:eastAsia="zh-CN"/>
        </w:rPr>
        <w:br w:type="page"/>
      </w:r>
    </w:p>
    <w:p w14:paraId="05D436C7">
      <w:pPr>
        <w:pStyle w:val="6"/>
        <w:snapToGrid w:val="0"/>
        <w:spacing w:line="300" w:lineRule="auto"/>
        <w:ind w:left="839"/>
        <w:jc w:val="both"/>
        <w:rPr>
          <w:rFonts w:ascii="Arial" w:hAnsi="Arial" w:eastAsia="宋体" w:cs="Arial"/>
          <w:lang w:eastAsia="zh-CN"/>
        </w:rPr>
      </w:pPr>
      <w:r>
        <w:rPr>
          <w:rFonts w:ascii="Arial" w:hAnsi="Arial" w:eastAsia="宋体" w:cs="Arial"/>
          <w:lang w:eastAsia="zh-CN"/>
        </w:rPr>
        <w:t>FDA建议在清洁过程的确认过程中使用最坏情况下的模拟使用方案。在适用的情况下，应咨询临床医生，以确定实际、最坏情况下的器械污染的程度和性质。此外，在确定再加工方案时，应考虑可用性和人为因素问题。</w:t>
      </w:r>
    </w:p>
    <w:p w14:paraId="639B92FC">
      <w:pPr>
        <w:pStyle w:val="6"/>
        <w:snapToGrid w:val="0"/>
        <w:spacing w:line="300" w:lineRule="auto"/>
        <w:ind w:left="839"/>
        <w:jc w:val="both"/>
        <w:rPr>
          <w:rFonts w:ascii="Arial" w:hAnsi="Arial" w:eastAsia="宋体" w:cs="Arial"/>
          <w:lang w:eastAsia="zh-CN"/>
        </w:rPr>
      </w:pPr>
    </w:p>
    <w:p w14:paraId="3D525C00">
      <w:pPr>
        <w:pStyle w:val="6"/>
        <w:snapToGrid w:val="0"/>
        <w:spacing w:line="300" w:lineRule="auto"/>
        <w:ind w:left="839"/>
        <w:jc w:val="both"/>
        <w:rPr>
          <w:rFonts w:ascii="Arial" w:hAnsi="Arial" w:eastAsia="宋体" w:cs="Arial"/>
          <w:lang w:eastAsia="zh-CN"/>
        </w:rPr>
      </w:pPr>
      <w:r>
        <w:rPr>
          <w:rFonts w:ascii="Arial" w:hAnsi="Arial" w:eastAsia="宋体" w:cs="Arial"/>
          <w:lang w:eastAsia="zh-CN"/>
        </w:rPr>
        <w:t>另外，参考AAMI TIR</w:t>
      </w:r>
      <w:r>
        <w:rPr>
          <w:rFonts w:ascii="Arial" w:hAnsi="Arial" w:eastAsia="宋体" w:cs="Arial"/>
          <w:vertAlign w:val="superscript"/>
          <w:lang w:eastAsia="zh-CN"/>
        </w:rPr>
        <w:t xml:space="preserve"> 30</w:t>
      </w:r>
      <w:r>
        <w:rPr>
          <w:rFonts w:ascii="Arial" w:hAnsi="Arial" w:eastAsia="宋体" w:cs="Arial"/>
          <w:lang w:eastAsia="zh-CN"/>
        </w:rPr>
        <w:t>“过程、材料、试验方法和清洁可重复使用医疗器械的验收标准的汇编”来获得具体涉及已发表文献中描述的污物和污物配方的其他信息可能会有所帮助。</w:t>
      </w:r>
    </w:p>
    <w:p w14:paraId="49406577">
      <w:pPr>
        <w:snapToGrid w:val="0"/>
        <w:spacing w:before="6" w:line="300" w:lineRule="auto"/>
        <w:jc w:val="both"/>
        <w:rPr>
          <w:rFonts w:ascii="Arial" w:hAnsi="Arial" w:eastAsia="宋体" w:cs="Arial"/>
          <w:sz w:val="24"/>
          <w:szCs w:val="24"/>
          <w:lang w:eastAsia="zh-CN"/>
        </w:rPr>
      </w:pPr>
    </w:p>
    <w:p w14:paraId="556C54CA">
      <w:pPr>
        <w:pStyle w:val="3"/>
        <w:numPr>
          <w:ilvl w:val="0"/>
          <w:numId w:val="1"/>
        </w:numPr>
        <w:tabs>
          <w:tab w:val="left" w:pos="840"/>
        </w:tabs>
        <w:snapToGrid w:val="0"/>
        <w:spacing w:line="300" w:lineRule="auto"/>
        <w:ind w:left="720"/>
        <w:jc w:val="both"/>
        <w:rPr>
          <w:rFonts w:ascii="Arial" w:hAnsi="Arial" w:eastAsia="宋体" w:cs="Arial"/>
          <w:b w:val="0"/>
          <w:bCs w:val="0"/>
          <w:lang w:eastAsia="zh-CN"/>
        </w:rPr>
      </w:pPr>
      <w:bookmarkStart w:id="73" w:name="_Toc481569208"/>
      <w:r>
        <w:rPr>
          <w:rFonts w:ascii="Arial" w:hAnsi="Arial" w:eastAsia="宋体" w:cs="Arial"/>
          <w:lang w:eastAsia="zh-CN"/>
        </w:rPr>
        <w:t>确认最终灭菌过程来制备供下一患者使用的器械</w:t>
      </w:r>
      <w:bookmarkEnd w:id="73"/>
    </w:p>
    <w:p w14:paraId="50A329E2">
      <w:pPr>
        <w:pStyle w:val="4"/>
        <w:numPr>
          <w:ilvl w:val="0"/>
          <w:numId w:val="11"/>
        </w:numPr>
        <w:tabs>
          <w:tab w:val="left" w:pos="1560"/>
        </w:tabs>
        <w:snapToGrid w:val="0"/>
        <w:spacing w:before="277" w:line="300" w:lineRule="auto"/>
        <w:jc w:val="both"/>
        <w:rPr>
          <w:rFonts w:ascii="Arial" w:hAnsi="Arial" w:eastAsia="宋体" w:cs="Arial"/>
          <w:b w:val="0"/>
          <w:bCs w:val="0"/>
        </w:rPr>
      </w:pPr>
      <w:bookmarkStart w:id="74" w:name="_Toc481569209"/>
      <w:r>
        <w:rPr>
          <w:rFonts w:ascii="Arial" w:hAnsi="Arial" w:eastAsia="宋体" w:cs="Arial"/>
        </w:rPr>
        <w:t>消毒</w:t>
      </w:r>
      <w:bookmarkEnd w:id="74"/>
    </w:p>
    <w:p w14:paraId="256CAE07">
      <w:pPr>
        <w:snapToGrid w:val="0"/>
        <w:spacing w:before="5" w:line="300" w:lineRule="auto"/>
        <w:jc w:val="both"/>
        <w:rPr>
          <w:rFonts w:ascii="Arial" w:hAnsi="Arial" w:eastAsia="宋体" w:cs="Arial"/>
          <w:b/>
          <w:bCs/>
          <w:sz w:val="23"/>
          <w:szCs w:val="23"/>
        </w:rPr>
      </w:pPr>
    </w:p>
    <w:p w14:paraId="40196D57">
      <w:pPr>
        <w:pStyle w:val="6"/>
        <w:snapToGrid w:val="0"/>
        <w:spacing w:line="300" w:lineRule="auto"/>
        <w:ind w:left="840"/>
        <w:jc w:val="both"/>
        <w:rPr>
          <w:rFonts w:ascii="Arial" w:hAnsi="Arial" w:eastAsia="宋体" w:cs="Arial"/>
          <w:lang w:eastAsia="zh-CN"/>
        </w:rPr>
      </w:pPr>
      <w:r>
        <w:rPr>
          <w:rFonts w:ascii="Arial" w:hAnsi="Arial" w:eastAsia="宋体" w:cs="Arial"/>
          <w:lang w:eastAsia="zh-CN"/>
        </w:rPr>
        <w:t>FDA建议贵公司确认贵公司的消毒过程和说明。FDA还建议贵公司遵循器械特定的FDA指导性文件或任何相关的FDA认可标准中的建议。</w:t>
      </w:r>
    </w:p>
    <w:p w14:paraId="6A0E5CA7">
      <w:pPr>
        <w:pStyle w:val="6"/>
        <w:snapToGrid w:val="0"/>
        <w:spacing w:before="3" w:line="300" w:lineRule="auto"/>
        <w:ind w:left="840"/>
        <w:jc w:val="both"/>
        <w:rPr>
          <w:rFonts w:ascii="Arial" w:hAnsi="Arial" w:eastAsia="宋体" w:cs="Arial"/>
          <w:lang w:eastAsia="zh-CN"/>
        </w:rPr>
      </w:pPr>
    </w:p>
    <w:p w14:paraId="2940570C">
      <w:pPr>
        <w:pStyle w:val="4"/>
        <w:numPr>
          <w:ilvl w:val="0"/>
          <w:numId w:val="11"/>
        </w:numPr>
        <w:tabs>
          <w:tab w:val="left" w:pos="1560"/>
        </w:tabs>
        <w:snapToGrid w:val="0"/>
        <w:spacing w:line="300" w:lineRule="auto"/>
        <w:jc w:val="both"/>
        <w:rPr>
          <w:rFonts w:ascii="Arial" w:hAnsi="Arial" w:eastAsia="宋体" w:cs="Arial"/>
          <w:b w:val="0"/>
          <w:bCs w:val="0"/>
        </w:rPr>
      </w:pPr>
      <w:bookmarkStart w:id="75" w:name="_Toc481569210"/>
      <w:r>
        <w:rPr>
          <w:rFonts w:ascii="Arial" w:hAnsi="Arial" w:eastAsia="宋体" w:cs="Arial"/>
        </w:rPr>
        <w:t>灭菌</w:t>
      </w:r>
      <w:bookmarkEnd w:id="75"/>
    </w:p>
    <w:p w14:paraId="21DEA646">
      <w:pPr>
        <w:snapToGrid w:val="0"/>
        <w:spacing w:before="5" w:line="300" w:lineRule="auto"/>
        <w:jc w:val="both"/>
        <w:rPr>
          <w:rFonts w:ascii="Arial" w:hAnsi="Arial" w:eastAsia="宋体" w:cs="Arial"/>
          <w:b/>
          <w:bCs/>
          <w:sz w:val="23"/>
          <w:szCs w:val="23"/>
        </w:rPr>
      </w:pPr>
    </w:p>
    <w:p w14:paraId="70A23D5A">
      <w:pPr>
        <w:pStyle w:val="6"/>
        <w:snapToGrid w:val="0"/>
        <w:spacing w:line="300" w:lineRule="auto"/>
        <w:ind w:left="840"/>
        <w:jc w:val="both"/>
        <w:rPr>
          <w:rFonts w:ascii="Arial" w:hAnsi="Arial" w:eastAsia="宋体" w:cs="Arial"/>
          <w:lang w:eastAsia="zh-CN"/>
        </w:rPr>
      </w:pPr>
      <w:r>
        <w:rPr>
          <w:rFonts w:ascii="Arial" w:hAnsi="Arial" w:eastAsia="宋体" w:cs="Arial"/>
          <w:lang w:eastAsia="zh-CN"/>
        </w:rPr>
        <w:t>FDA建议贵公司在贵公司的标签中确认并提供符合附录C提供的常规参数的灭菌周期规格。这样做是为了确保贵公司的器械与必要且FDA已许可的再加工器械相容，并且再加工说明在技术上可由用户实施。对于旨在以灭菌形式使用的可重复使用器械，标签应包括贵公司已确认的灭菌过程，以达到10</w:t>
      </w:r>
      <w:r>
        <w:rPr>
          <w:rFonts w:ascii="Arial" w:hAnsi="Arial" w:eastAsia="宋体" w:cs="Arial"/>
          <w:vertAlign w:val="superscript"/>
          <w:lang w:eastAsia="zh-CN"/>
        </w:rPr>
        <w:t>-6</w:t>
      </w:r>
      <w:r>
        <w:rPr>
          <w:rFonts w:ascii="Arial" w:hAnsi="Arial" w:eastAsia="宋体" w:cs="Arial"/>
          <w:lang w:eastAsia="zh-CN"/>
        </w:rPr>
        <w:t>（或10</w:t>
      </w:r>
      <w:r>
        <w:rPr>
          <w:rFonts w:ascii="Arial" w:hAnsi="Arial" w:eastAsia="宋体" w:cs="Arial"/>
          <w:vertAlign w:val="superscript"/>
          <w:lang w:eastAsia="zh-CN"/>
        </w:rPr>
        <w:t>-3</w:t>
      </w:r>
      <w:r>
        <w:rPr>
          <w:rFonts w:ascii="Arial" w:hAnsi="Arial" w:eastAsia="宋体" w:cs="Arial"/>
          <w:lang w:eastAsia="zh-CN"/>
        </w:rPr>
        <w:t>，如果适用）的无菌保证水平（SAL）。</w:t>
      </w:r>
    </w:p>
    <w:p w14:paraId="05799530">
      <w:pPr>
        <w:snapToGrid w:val="0"/>
        <w:spacing w:before="8" w:line="300" w:lineRule="auto"/>
        <w:jc w:val="both"/>
        <w:rPr>
          <w:rFonts w:ascii="Arial" w:hAnsi="Arial" w:eastAsia="宋体" w:cs="Arial"/>
          <w:sz w:val="23"/>
          <w:szCs w:val="23"/>
          <w:lang w:eastAsia="zh-CN"/>
        </w:rPr>
      </w:pPr>
    </w:p>
    <w:p w14:paraId="048DC4D0">
      <w:pPr>
        <w:pStyle w:val="6"/>
        <w:snapToGrid w:val="0"/>
        <w:spacing w:line="300" w:lineRule="auto"/>
        <w:ind w:left="840"/>
        <w:jc w:val="both"/>
        <w:rPr>
          <w:rFonts w:ascii="Arial" w:hAnsi="Arial" w:eastAsia="宋体" w:cs="Arial"/>
          <w:lang w:eastAsia="zh-CN"/>
        </w:rPr>
      </w:pPr>
      <w:r>
        <w:rPr>
          <w:rFonts w:ascii="Arial" w:hAnsi="Arial" w:eastAsia="宋体" w:cs="Arial"/>
          <w:lang w:eastAsia="zh-CN"/>
        </w:rPr>
        <w:t>确认数据应在FDA许可的灭菌器中，并使用FDA许可的灭菌附件（如生物指示物、物理/化学灭菌过程指标、灭菌包装）生成。此外，可以在灭菌器中产生验证数据，以证明关键灭菌参数的控制等同于或优于FDA许可的灭菌器。如果贵公司选择了这种方法，贵公司应解决试验灭菌器和FDA许可的灭菌器之间可能存在的差异。</w:t>
      </w:r>
    </w:p>
    <w:p w14:paraId="2298316D">
      <w:pPr>
        <w:snapToGrid w:val="0"/>
        <w:spacing w:before="6" w:line="300" w:lineRule="auto"/>
        <w:jc w:val="both"/>
        <w:rPr>
          <w:rFonts w:ascii="Arial" w:hAnsi="Arial" w:eastAsia="宋体" w:cs="Arial"/>
          <w:sz w:val="24"/>
          <w:szCs w:val="24"/>
          <w:lang w:eastAsia="zh-CN"/>
        </w:rPr>
      </w:pPr>
    </w:p>
    <w:p w14:paraId="54A135B7">
      <w:pPr>
        <w:pStyle w:val="3"/>
        <w:numPr>
          <w:ilvl w:val="0"/>
          <w:numId w:val="1"/>
        </w:numPr>
        <w:tabs>
          <w:tab w:val="left" w:pos="840"/>
        </w:tabs>
        <w:snapToGrid w:val="0"/>
        <w:spacing w:line="300" w:lineRule="auto"/>
        <w:jc w:val="both"/>
        <w:rPr>
          <w:rFonts w:ascii="Arial" w:hAnsi="Arial" w:eastAsia="宋体" w:cs="Arial"/>
          <w:b w:val="0"/>
          <w:bCs w:val="0"/>
          <w:lang w:eastAsia="zh-CN"/>
        </w:rPr>
      </w:pPr>
      <w:bookmarkStart w:id="76" w:name="_Toc481569211"/>
      <w:r>
        <w:rPr>
          <w:rFonts w:ascii="Arial" w:hAnsi="Arial" w:eastAsia="宋体" w:cs="Arial"/>
          <w:lang w:eastAsia="zh-CN"/>
        </w:rPr>
        <w:t>FDA对提交资料中有关再加工方法确认的再加工说明和文档的审查</w:t>
      </w:r>
      <w:bookmarkEnd w:id="76"/>
    </w:p>
    <w:p w14:paraId="5EE95010">
      <w:pPr>
        <w:rPr>
          <w:rFonts w:ascii="Arial" w:hAnsi="Arial" w:eastAsia="宋体" w:cs="Arial"/>
          <w:sz w:val="24"/>
          <w:szCs w:val="24"/>
          <w:lang w:eastAsia="zh-CN"/>
        </w:rPr>
      </w:pPr>
      <w:r>
        <w:rPr>
          <w:rFonts w:ascii="Arial" w:hAnsi="Arial" w:eastAsia="宋体" w:cs="Arial"/>
          <w:lang w:eastAsia="zh-CN"/>
        </w:rPr>
        <w:br w:type="page"/>
      </w:r>
    </w:p>
    <w:p w14:paraId="1A891F3E">
      <w:pPr>
        <w:pStyle w:val="6"/>
        <w:snapToGrid w:val="0"/>
        <w:spacing w:line="288" w:lineRule="auto"/>
        <w:ind w:left="0"/>
        <w:jc w:val="both"/>
        <w:rPr>
          <w:rFonts w:ascii="Arial" w:hAnsi="Arial" w:eastAsia="宋体" w:cs="Arial"/>
          <w:lang w:eastAsia="zh-CN"/>
        </w:rPr>
      </w:pPr>
      <w:r>
        <w:rPr>
          <w:rFonts w:ascii="Arial" w:hAnsi="Arial" w:eastAsia="宋体" w:cs="Arial"/>
          <w:lang w:eastAsia="zh-CN"/>
        </w:rPr>
        <w:t>所有清洁、消毒和灭菌方法均应经过确认，并在提交上市前提交材料之前完成确认。贵公司的再加工说明应反映经确认的方法。当我们审查可重复使用医疗器械的上市前提交材料时，FDA将审查标签中提供的再加工说明。如果拟定标签包括未提供足够的使用指南的再加工说明，FDA将其传达给上市前提交材料的提交者。提交者可以提供修订标签或提供理由（和任何支持性文档）来解释标签已充分的理由来进行回应。</w:t>
      </w:r>
    </w:p>
    <w:p w14:paraId="1E817F78">
      <w:pPr>
        <w:snapToGrid w:val="0"/>
        <w:spacing w:line="288" w:lineRule="auto"/>
        <w:jc w:val="both"/>
        <w:rPr>
          <w:rFonts w:ascii="Arial" w:hAnsi="Arial" w:eastAsia="宋体" w:cs="Arial"/>
          <w:sz w:val="24"/>
          <w:szCs w:val="24"/>
          <w:lang w:eastAsia="zh-CN"/>
        </w:rPr>
      </w:pPr>
    </w:p>
    <w:p w14:paraId="5E5719EC">
      <w:pPr>
        <w:pStyle w:val="6"/>
        <w:snapToGrid w:val="0"/>
        <w:spacing w:line="288" w:lineRule="auto"/>
        <w:ind w:left="0"/>
        <w:jc w:val="both"/>
        <w:rPr>
          <w:rFonts w:ascii="Arial" w:hAnsi="Arial" w:eastAsia="宋体" w:cs="Arial"/>
          <w:lang w:eastAsia="zh-CN"/>
        </w:rPr>
      </w:pPr>
      <w:r>
        <w:rPr>
          <w:rFonts w:ascii="Arial" w:hAnsi="Arial" w:eastAsia="宋体" w:cs="Arial"/>
          <w:lang w:eastAsia="zh-CN"/>
        </w:rPr>
        <w:t>提交给FDA以确认贵公司的再加工流程和说明的文档将取决于上市前提交的类型和器械类型，如下所述。</w:t>
      </w:r>
    </w:p>
    <w:p w14:paraId="4FBC8A3C">
      <w:pPr>
        <w:pStyle w:val="4"/>
        <w:numPr>
          <w:ilvl w:val="0"/>
          <w:numId w:val="12"/>
        </w:numPr>
        <w:tabs>
          <w:tab w:val="left" w:pos="1560"/>
        </w:tabs>
        <w:snapToGrid w:val="0"/>
        <w:spacing w:line="288" w:lineRule="auto"/>
        <w:jc w:val="both"/>
        <w:rPr>
          <w:rFonts w:ascii="Arial" w:hAnsi="Arial" w:eastAsia="宋体" w:cs="Arial"/>
          <w:b w:val="0"/>
          <w:bCs w:val="0"/>
        </w:rPr>
      </w:pPr>
      <w:bookmarkStart w:id="77" w:name="_Toc481569212"/>
      <w:r>
        <w:rPr>
          <w:rFonts w:ascii="Arial" w:hAnsi="Arial" w:eastAsia="宋体" w:cs="Arial"/>
        </w:rPr>
        <w:t>510（k）</w:t>
      </w:r>
      <w:r>
        <w:rPr>
          <w:rFonts w:ascii="Arial" w:hAnsi="Arial" w:eastAsia="宋体" w:cs="Arial"/>
          <w:lang w:eastAsia="zh-CN"/>
        </w:rPr>
        <w:t>中的文档</w:t>
      </w:r>
      <w:bookmarkEnd w:id="77"/>
    </w:p>
    <w:p w14:paraId="6C568D4F">
      <w:pPr>
        <w:snapToGrid w:val="0"/>
        <w:spacing w:line="288" w:lineRule="auto"/>
        <w:jc w:val="both"/>
        <w:rPr>
          <w:rFonts w:ascii="Arial" w:hAnsi="Arial" w:eastAsia="宋体" w:cs="Arial"/>
          <w:b/>
          <w:bCs/>
          <w:sz w:val="23"/>
          <w:szCs w:val="23"/>
        </w:rPr>
      </w:pPr>
    </w:p>
    <w:p w14:paraId="3A195E85">
      <w:pPr>
        <w:pStyle w:val="5"/>
        <w:snapToGrid w:val="0"/>
        <w:spacing w:line="288" w:lineRule="auto"/>
        <w:ind w:left="840" w:firstLine="0"/>
        <w:jc w:val="both"/>
        <w:rPr>
          <w:rFonts w:ascii="Arial" w:hAnsi="Arial" w:eastAsia="宋体" w:cs="Arial"/>
          <w:b w:val="0"/>
          <w:bCs w:val="0"/>
          <w:u w:val="single"/>
        </w:rPr>
      </w:pPr>
      <w:r>
        <w:rPr>
          <w:rFonts w:ascii="Arial" w:hAnsi="Arial" w:eastAsia="宋体" w:cs="Arial"/>
          <w:u w:val="single" w:color="000000"/>
        </w:rPr>
        <w:t>审查再加工说明</w:t>
      </w:r>
    </w:p>
    <w:p w14:paraId="23B87F74">
      <w:pPr>
        <w:snapToGrid w:val="0"/>
        <w:spacing w:line="288" w:lineRule="auto"/>
        <w:jc w:val="both"/>
        <w:rPr>
          <w:rFonts w:ascii="Arial" w:hAnsi="Arial" w:eastAsia="宋体" w:cs="Arial"/>
          <w:b/>
          <w:bCs/>
          <w:sz w:val="17"/>
          <w:szCs w:val="17"/>
        </w:rPr>
      </w:pPr>
    </w:p>
    <w:p w14:paraId="7A427EFE">
      <w:pPr>
        <w:pStyle w:val="6"/>
        <w:snapToGrid w:val="0"/>
        <w:spacing w:line="288" w:lineRule="auto"/>
        <w:ind w:left="840"/>
        <w:jc w:val="both"/>
        <w:rPr>
          <w:rFonts w:ascii="Arial" w:hAnsi="Arial" w:eastAsia="宋体" w:cs="Arial"/>
          <w:lang w:eastAsia="zh-CN"/>
        </w:rPr>
      </w:pPr>
      <w:r>
        <w:rPr>
          <w:rFonts w:ascii="Arial" w:hAnsi="Arial" w:eastAsia="宋体" w:cs="Arial"/>
          <w:lang w:eastAsia="zh-CN"/>
        </w:rPr>
        <w:t>所有510（k）必须提供拟定标签和足以对器械、其预期用途及其使用说明进行说明的贴标。21 CFR 807.87（e）。对于本指南范围定义的可重复使用医疗器械，FDA认为其应包括再加工说明。再加工说明的确认应在提交510（k）之前完成。</w:t>
      </w:r>
    </w:p>
    <w:p w14:paraId="1F3A2F6D">
      <w:pPr>
        <w:snapToGrid w:val="0"/>
        <w:spacing w:line="288" w:lineRule="auto"/>
        <w:jc w:val="both"/>
        <w:rPr>
          <w:rFonts w:ascii="Arial" w:hAnsi="Arial" w:eastAsia="宋体" w:cs="Arial"/>
          <w:sz w:val="24"/>
          <w:szCs w:val="24"/>
          <w:lang w:eastAsia="zh-CN"/>
        </w:rPr>
      </w:pPr>
    </w:p>
    <w:p w14:paraId="7889B7BC">
      <w:pPr>
        <w:pStyle w:val="6"/>
        <w:snapToGrid w:val="0"/>
        <w:spacing w:line="288" w:lineRule="auto"/>
        <w:ind w:left="840"/>
        <w:jc w:val="both"/>
        <w:rPr>
          <w:rFonts w:ascii="Arial" w:hAnsi="Arial" w:eastAsia="宋体" w:cs="Arial"/>
          <w:lang w:eastAsia="zh-CN"/>
        </w:rPr>
      </w:pPr>
      <w:r>
        <w:rPr>
          <w:rFonts w:ascii="Arial" w:hAnsi="Arial" w:eastAsia="宋体" w:cs="Arial"/>
          <w:lang w:eastAsia="zh-CN"/>
        </w:rPr>
        <w:t>在评价510（k）时，FDA通常将已合法上市的比较器械的标签与新器械的拟定标签进行比较。对</w:t>
      </w:r>
      <w:r>
        <w:rPr>
          <w:rFonts w:ascii="Arial" w:hAnsi="Arial" w:eastAsia="宋体" w:cs="Arial"/>
        </w:rPr>
        <w:t>FDA的510（k）决策过程的</w:t>
      </w:r>
      <w:r>
        <w:rPr>
          <w:rFonts w:ascii="Arial" w:hAnsi="Arial" w:eastAsia="宋体" w:cs="Arial"/>
          <w:lang w:eastAsia="zh-CN"/>
        </w:rPr>
        <w:t>说明见</w:t>
      </w:r>
      <w:r>
        <w:rPr>
          <w:rFonts w:ascii="Arial" w:hAnsi="Arial" w:eastAsia="宋体" w:cs="Arial"/>
        </w:rPr>
        <w:t>FDA的指南</w:t>
      </w:r>
      <w:r>
        <w:rPr>
          <w:rFonts w:ascii="Arial" w:hAnsi="Arial" w:eastAsia="宋体" w:cs="Arial"/>
          <w:lang w:eastAsia="zh-CN"/>
        </w:rPr>
        <w:t>“</w:t>
      </w:r>
      <w:r>
        <w:rPr>
          <w:rFonts w:ascii="Arial" w:hAnsi="Arial" w:eastAsia="宋体" w:cs="Arial"/>
        </w:rPr>
        <w:t>510（k）计划：评价上市前通告中的实质等同</w:t>
      </w:r>
      <w:r>
        <w:rPr>
          <w:rFonts w:ascii="Arial" w:hAnsi="Arial" w:eastAsia="宋体" w:cs="Arial"/>
          <w:lang w:eastAsia="zh-CN"/>
        </w:rPr>
        <w:t>性</w:t>
      </w:r>
      <w:r>
        <w:rPr>
          <w:rFonts w:ascii="Arial" w:hAnsi="Arial" w:eastAsia="宋体" w:cs="Arial"/>
        </w:rPr>
        <w:t>【510（k）】</w:t>
      </w:r>
      <w:r>
        <w:rPr>
          <w:rFonts w:ascii="Arial" w:hAnsi="Arial" w:eastAsia="宋体" w:cs="Arial"/>
          <w:lang w:eastAsia="zh-CN"/>
        </w:rPr>
        <w:t>”</w:t>
      </w:r>
      <w:r>
        <w:rPr>
          <w:rFonts w:ascii="Arial" w:hAnsi="Arial" w:eastAsia="宋体" w:cs="Arial"/>
        </w:rPr>
        <w:t>（</w:t>
      </w:r>
      <w:r>
        <w:rPr>
          <w:rFonts w:ascii="Arial" w:hAnsi="Arial" w:eastAsia="宋体" w:cs="Arial"/>
          <w:lang w:eastAsia="zh-CN"/>
        </w:rPr>
        <w:t>网址为：</w:t>
      </w:r>
      <w:r>
        <w:rPr>
          <w:rFonts w:ascii="Arial" w:hAnsi="Arial" w:eastAsia="宋体" w:cs="Arial"/>
          <w:color w:val="0000FF"/>
          <w:u w:val="single"/>
        </w:rPr>
        <w:t>http：//www.fda.gov/downloads/MedicalDevices/DeviceRegulationandGuidance/Guidanc eDocuments/UCM284443.pdf＃page = 30</w:t>
      </w:r>
      <w:r>
        <w:rPr>
          <w:rFonts w:ascii="Arial" w:hAnsi="Arial" w:eastAsia="宋体" w:cs="Arial"/>
        </w:rPr>
        <w:t>）。</w:t>
      </w:r>
      <w:r>
        <w:rPr>
          <w:rFonts w:ascii="Arial" w:hAnsi="Arial" w:eastAsia="宋体" w:cs="Arial"/>
          <w:lang w:eastAsia="zh-CN"/>
        </w:rPr>
        <w:t>作为本评价的一部分，在所有其他产品差异中，拟定标签的差异可能会影响两台器械是否实质等同的评估。然而，一些较旧的、已合法上市的可重复使用器械的再加工说明可能与最先进的科学不一致，因此可能无法确保器械处于清洁、消毒或无菌状态。这可能会导致这些器械根据FDCA第501（c）节被视为劣品，因为其纯度或质量低于其声称或表明具有的纯度或质量低，或根据FDCA 502B（f）节被视为假冒品，因为其标签不具有足够的使用说明，或根据FDCA第502（j）节被视为假冒品，因为其可能因其他可能的违规行为而危害健康。制备再加工说明时应考虑到这一点来作为510（k）提交材料的一部分。</w:t>
      </w:r>
    </w:p>
    <w:p w14:paraId="2E365EDB">
      <w:pPr>
        <w:snapToGrid w:val="0"/>
        <w:spacing w:line="288" w:lineRule="auto"/>
        <w:jc w:val="both"/>
        <w:rPr>
          <w:rFonts w:ascii="Arial" w:hAnsi="Arial" w:eastAsia="宋体" w:cs="Arial"/>
          <w:sz w:val="24"/>
          <w:szCs w:val="24"/>
          <w:lang w:eastAsia="zh-CN"/>
        </w:rPr>
      </w:pPr>
    </w:p>
    <w:p w14:paraId="60E2170E">
      <w:pPr>
        <w:pStyle w:val="6"/>
        <w:snapToGrid w:val="0"/>
        <w:spacing w:line="288" w:lineRule="auto"/>
        <w:ind w:left="840"/>
        <w:jc w:val="both"/>
        <w:rPr>
          <w:rFonts w:ascii="Arial" w:hAnsi="Arial" w:eastAsia="宋体" w:cs="Arial"/>
          <w:lang w:eastAsia="zh-CN"/>
        </w:rPr>
      </w:pPr>
      <w:r>
        <w:rPr>
          <w:rFonts w:ascii="Arial" w:hAnsi="Arial" w:eastAsia="宋体" w:cs="Arial"/>
          <w:lang w:eastAsia="zh-CN"/>
        </w:rPr>
        <w:t>根据上市前提交审查的标准操作程序，如果上市后经验表明某一具体再加工方法与可能的不安全再加工相关，则FDA可能会建议更改使用此类方法以用于审查中的器械的拟定说明，以满足改进再加工方法的需要，从而避免所报告的该类型不良事件和上一段落中讨论的该类型违规。</w:t>
      </w:r>
      <w:r>
        <w:fldChar w:fldCharType="begin"/>
      </w:r>
      <w:r>
        <w:instrText xml:space="preserve"> HYPERLINK \l "_bookmark31" </w:instrText>
      </w:r>
      <w:r>
        <w:fldChar w:fldCharType="separate"/>
      </w:r>
      <w:r>
        <w:rPr>
          <w:rFonts w:ascii="Arial" w:hAnsi="Arial" w:eastAsia="宋体" w:cs="Arial"/>
          <w:position w:val="11"/>
          <w:sz w:val="16"/>
          <w:lang w:eastAsia="zh-CN"/>
        </w:rPr>
        <w:t>5</w:t>
      </w:r>
      <w:r>
        <w:rPr>
          <w:rFonts w:ascii="Arial" w:hAnsi="Arial" w:eastAsia="宋体" w:cs="Arial"/>
          <w:position w:val="11"/>
          <w:sz w:val="16"/>
          <w:lang w:eastAsia="zh-CN"/>
        </w:rPr>
        <w:fldChar w:fldCharType="end"/>
      </w:r>
    </w:p>
    <w:p w14:paraId="1782305E">
      <w:pPr>
        <w:snapToGrid w:val="0"/>
        <w:spacing w:line="288" w:lineRule="auto"/>
        <w:jc w:val="both"/>
        <w:rPr>
          <w:rFonts w:ascii="Arial" w:hAnsi="Arial" w:eastAsia="宋体" w:cs="Arial"/>
          <w:sz w:val="20"/>
          <w:szCs w:val="20"/>
          <w:lang w:eastAsia="zh-CN"/>
        </w:rPr>
      </w:pPr>
    </w:p>
    <w:p w14:paraId="1BCB119B">
      <w:pPr>
        <w:snapToGrid w:val="0"/>
        <w:spacing w:line="288" w:lineRule="auto"/>
        <w:ind w:left="11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25" name="Group 17"/>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26" name="Group 18"/>
                        <wpg:cNvGrpSpPr/>
                        <wpg:grpSpPr>
                          <a:xfrm>
                            <a:off x="6" y="6"/>
                            <a:ext cx="2880" cy="2"/>
                            <a:chOff x="6" y="6"/>
                            <a:chExt cx="2880" cy="2"/>
                          </a:xfrm>
                        </wpg:grpSpPr>
                        <wps:wsp>
                          <wps:cNvPr id="27" name="Freeform 19"/>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7"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gP6EhdQAAAADAQAADwAAAAAAAAABACAAAAAiAAAAZHJzL2Rvd25yZXYueG1s&#10;UEsBAhQAFAAAAAgAh07iQMUk1FkZAwAA/gcAAA4AAAAAAAAAAQAgAAAAIwEAAGRycy9lMm9Eb2Mu&#10;eG1sUEsFBgAAAAAGAAYAWQEAAK4GAAAAAA==&#10;">
                <o:lock v:ext="edit" aspectratio="f"/>
                <v:group id="Group 18" o:spid="_x0000_s1026" o:spt="203" style="position:absolute;left:6;top:6;height:2;width:2880;" coordorigin="6,6" coordsize="2880,2"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Freeform 19" o:spid="_x0000_s1026" o:spt="100" style="position:absolute;left:6;top:6;height:2;width:2880;" filled="f" stroked="t" coordsize="2880,1" o:gfxdata="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s30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36C7CD32">
      <w:pPr>
        <w:snapToGrid w:val="0"/>
        <w:spacing w:line="288" w:lineRule="auto"/>
        <w:ind w:left="120"/>
        <w:rPr>
          <w:rFonts w:ascii="Arial" w:hAnsi="Arial" w:eastAsia="宋体" w:cs="Arial"/>
          <w:sz w:val="20"/>
          <w:szCs w:val="20"/>
        </w:rPr>
      </w:pPr>
      <w:r>
        <w:rPr>
          <w:rFonts w:ascii="Arial" w:hAnsi="Arial" w:eastAsia="宋体" w:cs="Arial"/>
          <w:position w:val="9"/>
          <w:sz w:val="13"/>
        </w:rPr>
        <w:t xml:space="preserve">5 </w:t>
      </w:r>
      <w:bookmarkStart w:id="78" w:name="_bookmark31"/>
      <w:bookmarkEnd w:id="78"/>
      <w:r>
        <w:rPr>
          <w:rFonts w:ascii="Arial" w:hAnsi="Arial" w:eastAsia="宋体" w:cs="Arial"/>
          <w:sz w:val="20"/>
          <w:szCs w:val="20"/>
        </w:rPr>
        <w:t>SOP：</w:t>
      </w:r>
      <w:r>
        <w:rPr>
          <w:rFonts w:ascii="Arial" w:hAnsi="Arial" w:eastAsia="宋体" w:cs="Arial"/>
          <w:sz w:val="20"/>
          <w:szCs w:val="20"/>
          <w:lang w:eastAsia="zh-CN"/>
        </w:rPr>
        <w:t>上市前</w:t>
      </w:r>
      <w:r>
        <w:rPr>
          <w:rFonts w:ascii="Arial" w:hAnsi="Arial" w:eastAsia="宋体" w:cs="Arial"/>
          <w:sz w:val="20"/>
          <w:szCs w:val="20"/>
        </w:rPr>
        <w:t>提交</w:t>
      </w:r>
      <w:r>
        <w:rPr>
          <w:rFonts w:ascii="Arial" w:hAnsi="Arial" w:eastAsia="宋体" w:cs="Arial"/>
          <w:sz w:val="20"/>
          <w:szCs w:val="20"/>
          <w:lang w:eastAsia="zh-CN"/>
        </w:rPr>
        <w:t>的其他</w:t>
      </w:r>
      <w:r>
        <w:rPr>
          <w:rFonts w:ascii="Arial" w:hAnsi="Arial" w:eastAsia="宋体" w:cs="Arial"/>
          <w:sz w:val="20"/>
          <w:szCs w:val="20"/>
        </w:rPr>
        <w:t>或更改数据需求的决策机构（</w:t>
      </w:r>
      <w:r>
        <w:rPr>
          <w:rFonts w:ascii="Arial" w:hAnsi="Arial" w:eastAsia="宋体" w:cs="Arial"/>
          <w:color w:val="0000FF"/>
          <w:sz w:val="20"/>
          <w:szCs w:val="20"/>
          <w:u w:val="single"/>
        </w:rPr>
        <w:t>http：//www.fda.gov/AboutFDA/CentersOffices/OfficeofMedicalProductsandTobacco/CDRH/CDRHReports/ucm27 9288.htm</w:t>
      </w:r>
      <w:r>
        <w:rPr>
          <w:rFonts w:ascii="Arial" w:hAnsi="Arial" w:eastAsia="宋体" w:cs="Arial"/>
          <w:sz w:val="20"/>
          <w:szCs w:val="20"/>
        </w:rPr>
        <w:t>）。</w:t>
      </w:r>
    </w:p>
    <w:p w14:paraId="6EC2DD3E">
      <w:pPr>
        <w:snapToGrid w:val="0"/>
        <w:spacing w:line="300" w:lineRule="auto"/>
        <w:jc w:val="both"/>
        <w:rPr>
          <w:rFonts w:ascii="Arial" w:hAnsi="Arial" w:eastAsia="宋体" w:cs="Arial"/>
          <w:sz w:val="20"/>
          <w:szCs w:val="20"/>
        </w:rPr>
        <w:sectPr>
          <w:pgSz w:w="12260" w:h="15840"/>
          <w:pgMar w:top="1134" w:right="1134" w:bottom="1134" w:left="1134" w:header="748" w:footer="773" w:gutter="0"/>
          <w:cols w:space="720" w:num="1"/>
          <w:docGrid w:linePitch="299" w:charSpace="0"/>
        </w:sectPr>
      </w:pPr>
    </w:p>
    <w:p w14:paraId="2F3D06F4">
      <w:pPr>
        <w:pStyle w:val="5"/>
        <w:snapToGrid w:val="0"/>
        <w:spacing w:line="300" w:lineRule="auto"/>
        <w:ind w:left="840" w:firstLine="0"/>
        <w:jc w:val="both"/>
        <w:rPr>
          <w:rFonts w:ascii="Arial" w:hAnsi="Arial" w:eastAsia="宋体" w:cs="Arial"/>
          <w:b w:val="0"/>
          <w:bCs w:val="0"/>
          <w:lang w:eastAsia="zh-CN"/>
        </w:rPr>
      </w:pPr>
      <w:bookmarkStart w:id="79" w:name="A_PMA,_HDE_or_de_novo_request_should_inc"/>
      <w:bookmarkEnd w:id="79"/>
      <w:bookmarkStart w:id="80" w:name="C._Documentation_in_IDEs"/>
      <w:bookmarkEnd w:id="80"/>
      <w:bookmarkStart w:id="81" w:name="B._Documentation_in_PMAs,_HDEs_and_De_No"/>
      <w:bookmarkEnd w:id="81"/>
      <w:r>
        <w:rPr>
          <w:rFonts w:ascii="Arial" w:hAnsi="Arial" w:eastAsia="宋体" w:cs="Arial"/>
          <w:u w:val="thick" w:color="000000"/>
          <w:lang w:eastAsia="zh-CN"/>
        </w:rPr>
        <w:t>再加工说明确认的审查</w:t>
      </w:r>
    </w:p>
    <w:p w14:paraId="7D47767F">
      <w:pPr>
        <w:snapToGrid w:val="0"/>
        <w:spacing w:before="7" w:line="300" w:lineRule="auto"/>
        <w:jc w:val="both"/>
        <w:rPr>
          <w:rFonts w:ascii="Arial" w:hAnsi="Arial" w:eastAsia="宋体" w:cs="Arial"/>
          <w:b/>
          <w:bCs/>
          <w:sz w:val="17"/>
          <w:szCs w:val="17"/>
          <w:lang w:eastAsia="zh-CN"/>
        </w:rPr>
      </w:pPr>
    </w:p>
    <w:p w14:paraId="2F176184">
      <w:pPr>
        <w:pStyle w:val="6"/>
        <w:snapToGrid w:val="0"/>
        <w:spacing w:line="300" w:lineRule="auto"/>
        <w:ind w:left="840"/>
        <w:jc w:val="both"/>
        <w:rPr>
          <w:rFonts w:ascii="Arial" w:hAnsi="Arial" w:eastAsia="宋体" w:cs="Arial"/>
          <w:lang w:eastAsia="zh-CN"/>
        </w:rPr>
      </w:pPr>
      <w:r>
        <w:rPr>
          <w:rFonts w:ascii="Arial" w:hAnsi="Arial" w:eastAsia="宋体" w:cs="Arial"/>
          <w:lang w:eastAsia="zh-CN"/>
        </w:rPr>
        <w:t>FDA已确定了一小部分医疗器械，其中，如果其没有进行充分再加工，则微生物传播的可能性更大，并且呈现高度的感染风险（亚临床或临床）。这种确定是基于通过以下方式收集的知识：MDR；召回；文献或媒体报道的微生物传播或患者感染的定期爆发；疾病控制中心（CDC），退伍军人管理局（VA）和其他医疗机构提供的报告；以及制造商启动的监测研究。这些器械类型列于附录E中。这些器械的510（k）应包括供FDA审查的再加工说明确认的方案和完整试验报告，以便FDA具有评价实质等同性所需的信息。</w:t>
      </w:r>
      <w:r>
        <w:fldChar w:fldCharType="begin"/>
      </w:r>
      <w:r>
        <w:instrText xml:space="preserve"> HYPERLINK \l "_bookmark35" </w:instrText>
      </w:r>
      <w:r>
        <w:fldChar w:fldCharType="separate"/>
      </w:r>
      <w:r>
        <w:rPr>
          <w:rFonts w:ascii="Arial" w:hAnsi="Arial" w:eastAsia="宋体" w:cs="Arial"/>
          <w:position w:val="11"/>
          <w:sz w:val="16"/>
          <w:lang w:eastAsia="zh-CN"/>
        </w:rPr>
        <w:t>6</w:t>
      </w:r>
      <w:r>
        <w:rPr>
          <w:rFonts w:ascii="Arial" w:hAnsi="Arial" w:eastAsia="宋体" w:cs="Arial"/>
          <w:position w:val="11"/>
          <w:sz w:val="16"/>
          <w:lang w:eastAsia="zh-CN"/>
        </w:rPr>
        <w:fldChar w:fldCharType="end"/>
      </w:r>
      <w:r>
        <w:rPr>
          <w:rFonts w:ascii="Arial" w:hAnsi="Arial" w:eastAsia="宋体" w:cs="Arial"/>
          <w:lang w:eastAsia="zh-CN"/>
        </w:rPr>
        <w:t>这包括清洁说明以及消毒或灭菌说明的确认。再加工确认数据应证明拟定再加工说明加工主题器械的程度至少与类似器械的再加工说明相同。</w:t>
      </w:r>
    </w:p>
    <w:p w14:paraId="3F9CDB15">
      <w:pPr>
        <w:snapToGrid w:val="0"/>
        <w:spacing w:before="8" w:line="300" w:lineRule="auto"/>
        <w:jc w:val="both"/>
        <w:rPr>
          <w:rFonts w:ascii="Arial" w:hAnsi="Arial" w:eastAsia="宋体" w:cs="Arial"/>
          <w:sz w:val="23"/>
          <w:szCs w:val="23"/>
          <w:lang w:eastAsia="zh-CN"/>
        </w:rPr>
      </w:pPr>
    </w:p>
    <w:p w14:paraId="34200F98">
      <w:pPr>
        <w:pStyle w:val="6"/>
        <w:snapToGrid w:val="0"/>
        <w:spacing w:line="300" w:lineRule="auto"/>
        <w:ind w:left="840"/>
        <w:jc w:val="both"/>
        <w:rPr>
          <w:rFonts w:ascii="Arial" w:hAnsi="Arial" w:eastAsia="宋体" w:cs="Arial"/>
          <w:lang w:eastAsia="zh-CN"/>
        </w:rPr>
      </w:pPr>
      <w:r>
        <w:rPr>
          <w:rFonts w:ascii="Arial" w:hAnsi="Arial" w:eastAsia="宋体" w:cs="Arial"/>
          <w:lang w:eastAsia="zh-CN"/>
        </w:rPr>
        <w:t>对于附录E中未确定的可重复使用医疗器械，FDA并不期望在510（k）提交材料中提供再加工说明确认的完整报告。如果器械特定的指南推荐或评价实质等同性要求提供验证数据，FDA员工可以根据21 CFR第820部分的要求提供制造商应保存的这些数据。</w:t>
      </w:r>
    </w:p>
    <w:p w14:paraId="3D413D7F">
      <w:pPr>
        <w:snapToGrid w:val="0"/>
        <w:spacing w:before="6" w:line="300" w:lineRule="auto"/>
        <w:jc w:val="both"/>
        <w:rPr>
          <w:rFonts w:ascii="Arial" w:hAnsi="Arial" w:eastAsia="宋体" w:cs="Arial"/>
          <w:sz w:val="28"/>
          <w:szCs w:val="28"/>
          <w:lang w:eastAsia="zh-CN"/>
        </w:rPr>
      </w:pPr>
    </w:p>
    <w:p w14:paraId="20E3AB82">
      <w:pPr>
        <w:pStyle w:val="4"/>
        <w:numPr>
          <w:ilvl w:val="0"/>
          <w:numId w:val="12"/>
        </w:numPr>
        <w:tabs>
          <w:tab w:val="left" w:pos="1560"/>
        </w:tabs>
        <w:snapToGrid w:val="0"/>
        <w:spacing w:line="300" w:lineRule="auto"/>
        <w:jc w:val="both"/>
        <w:rPr>
          <w:rFonts w:ascii="Arial" w:hAnsi="Arial" w:eastAsia="宋体" w:cs="Arial"/>
          <w:b w:val="0"/>
          <w:bCs w:val="0"/>
          <w:lang w:eastAsia="zh-CN"/>
        </w:rPr>
      </w:pPr>
      <w:bookmarkStart w:id="82" w:name="_Toc481569213"/>
      <w:r>
        <w:rPr>
          <w:rFonts w:ascii="Arial" w:hAnsi="Arial" w:eastAsia="宋体" w:cs="Arial"/>
          <w:lang w:eastAsia="zh-CN"/>
        </w:rPr>
        <w:t>PMA、HDE和重新请求中的文档</w:t>
      </w:r>
      <w:bookmarkEnd w:id="82"/>
    </w:p>
    <w:p w14:paraId="1377A943">
      <w:pPr>
        <w:snapToGrid w:val="0"/>
        <w:spacing w:before="5" w:line="300" w:lineRule="auto"/>
        <w:jc w:val="both"/>
        <w:rPr>
          <w:rFonts w:ascii="Arial" w:hAnsi="Arial" w:eastAsia="宋体" w:cs="Arial"/>
          <w:b/>
          <w:bCs/>
          <w:sz w:val="23"/>
          <w:szCs w:val="23"/>
          <w:lang w:eastAsia="zh-CN"/>
        </w:rPr>
      </w:pPr>
    </w:p>
    <w:p w14:paraId="362941EA">
      <w:pPr>
        <w:pStyle w:val="6"/>
        <w:snapToGrid w:val="0"/>
        <w:spacing w:line="300" w:lineRule="auto"/>
        <w:ind w:left="839"/>
        <w:jc w:val="both"/>
        <w:rPr>
          <w:rFonts w:ascii="Arial" w:hAnsi="Arial" w:eastAsia="宋体" w:cs="Arial"/>
          <w:lang w:eastAsia="zh-CN"/>
        </w:rPr>
      </w:pPr>
      <w:r>
        <w:rPr>
          <w:rFonts w:ascii="Arial" w:hAnsi="Arial" w:eastAsia="宋体" w:cs="Arial"/>
          <w:lang w:eastAsia="zh-CN"/>
        </w:rPr>
        <w:t>PMA，HDE或重新请求应包括制造和设计部分中再加工说明确认的方案和完整试验报告。FDA打算以与其他制造和设计数据相同的方式检查再加工确认数据。</w:t>
      </w:r>
    </w:p>
    <w:p w14:paraId="218AA4C2">
      <w:pPr>
        <w:snapToGrid w:val="0"/>
        <w:spacing w:before="6" w:line="300" w:lineRule="auto"/>
        <w:jc w:val="both"/>
        <w:rPr>
          <w:rFonts w:ascii="Arial" w:hAnsi="Arial" w:eastAsia="宋体" w:cs="Arial"/>
          <w:sz w:val="28"/>
          <w:szCs w:val="28"/>
          <w:lang w:eastAsia="zh-CN"/>
        </w:rPr>
      </w:pPr>
    </w:p>
    <w:p w14:paraId="6FA4B5D3">
      <w:pPr>
        <w:pStyle w:val="4"/>
        <w:numPr>
          <w:ilvl w:val="0"/>
          <w:numId w:val="12"/>
        </w:numPr>
        <w:tabs>
          <w:tab w:val="left" w:pos="1560"/>
        </w:tabs>
        <w:snapToGrid w:val="0"/>
        <w:spacing w:line="300" w:lineRule="auto"/>
        <w:jc w:val="both"/>
        <w:rPr>
          <w:rFonts w:ascii="Arial" w:hAnsi="Arial" w:eastAsia="宋体" w:cs="Arial"/>
          <w:b w:val="0"/>
          <w:bCs w:val="0"/>
        </w:rPr>
      </w:pPr>
      <w:bookmarkStart w:id="83" w:name="_bookmark34"/>
      <w:bookmarkEnd w:id="83"/>
      <w:bookmarkStart w:id="84" w:name="_Toc481569214"/>
      <w:r>
        <w:rPr>
          <w:rFonts w:ascii="Arial" w:hAnsi="Arial" w:eastAsia="宋体" w:cs="Arial"/>
        </w:rPr>
        <w:t>IDE中的</w:t>
      </w:r>
      <w:r>
        <w:rPr>
          <w:rFonts w:ascii="Arial" w:hAnsi="Arial" w:eastAsia="宋体" w:cs="Arial"/>
          <w:lang w:eastAsia="zh-CN"/>
        </w:rPr>
        <w:t>文档</w:t>
      </w:r>
      <w:bookmarkEnd w:id="84"/>
    </w:p>
    <w:p w14:paraId="1F1073B2">
      <w:pPr>
        <w:snapToGrid w:val="0"/>
        <w:spacing w:before="9" w:line="300" w:lineRule="auto"/>
        <w:jc w:val="both"/>
        <w:rPr>
          <w:rFonts w:ascii="Arial" w:hAnsi="Arial" w:eastAsia="宋体" w:cs="Arial"/>
          <w:b/>
          <w:bCs/>
          <w:sz w:val="23"/>
          <w:szCs w:val="23"/>
        </w:rPr>
      </w:pPr>
    </w:p>
    <w:p w14:paraId="2EE07B2A">
      <w:pPr>
        <w:pStyle w:val="6"/>
        <w:snapToGrid w:val="0"/>
        <w:spacing w:line="300" w:lineRule="auto"/>
        <w:ind w:left="840"/>
        <w:jc w:val="both"/>
        <w:rPr>
          <w:rFonts w:ascii="Arial" w:hAnsi="Arial" w:eastAsia="宋体" w:cs="Arial"/>
          <w:lang w:eastAsia="zh-CN"/>
        </w:rPr>
      </w:pPr>
      <w:r>
        <w:rPr>
          <w:rFonts w:ascii="Arial" w:hAnsi="Arial" w:eastAsia="宋体" w:cs="Arial"/>
          <w:lang w:eastAsia="zh-CN"/>
        </w:rPr>
        <w:t>IDE申请必须提供所有先前临床、动物和实验室试验的报告，以作为先前研究报告的一部分。</w:t>
      </w:r>
      <w:r>
        <w:rPr>
          <w:rFonts w:ascii="Arial" w:hAnsi="Arial" w:eastAsia="宋体" w:cs="Arial"/>
          <w:vertAlign w:val="superscript"/>
          <w:lang w:eastAsia="zh-CN"/>
        </w:rPr>
        <w:t>7</w:t>
      </w:r>
      <w:r>
        <w:rPr>
          <w:rFonts w:ascii="Arial" w:hAnsi="Arial" w:eastAsia="宋体" w:cs="Arial"/>
          <w:lang w:eastAsia="zh-CN"/>
        </w:rPr>
        <w:t>我们认为，其应包括再加工说明确认试验的摘要。由于已批准的IDE并不可免于遵守21 CFR 820.30中的设计控制，我们建议在提交IDE时完成对再加工说明的确认。</w:t>
      </w:r>
    </w:p>
    <w:p w14:paraId="609691AC">
      <w:pPr>
        <w:pStyle w:val="6"/>
        <w:snapToGrid w:val="0"/>
        <w:spacing w:line="300" w:lineRule="auto"/>
        <w:ind w:left="840"/>
        <w:jc w:val="both"/>
        <w:rPr>
          <w:rFonts w:ascii="Arial" w:hAnsi="Arial" w:eastAsia="宋体" w:cs="Arial"/>
          <w:lang w:eastAsia="zh-CN"/>
        </w:rPr>
      </w:pPr>
    </w:p>
    <w:p w14:paraId="0D22650C">
      <w:pPr>
        <w:snapToGrid w:val="0"/>
        <w:spacing w:before="10" w:line="300" w:lineRule="auto"/>
        <w:jc w:val="both"/>
        <w:rPr>
          <w:rFonts w:ascii="Arial" w:hAnsi="Arial" w:eastAsia="宋体" w:cs="Arial"/>
          <w:sz w:val="28"/>
          <w:szCs w:val="28"/>
          <w:lang w:eastAsia="zh-CN"/>
        </w:rPr>
      </w:pPr>
    </w:p>
    <w:p w14:paraId="315737D0">
      <w:pPr>
        <w:snapToGrid w:val="0"/>
        <w:spacing w:line="300" w:lineRule="auto"/>
        <w:ind w:left="11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22" name="Group 14"/>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23" name="Group 15"/>
                        <wpg:cNvGrpSpPr/>
                        <wpg:grpSpPr>
                          <a:xfrm>
                            <a:off x="6" y="6"/>
                            <a:ext cx="2880" cy="2"/>
                            <a:chOff x="6" y="6"/>
                            <a:chExt cx="2880" cy="2"/>
                          </a:xfrm>
                        </wpg:grpSpPr>
                        <wps:wsp>
                          <wps:cNvPr id="24" name="Freeform 16"/>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4"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gP6EhdQAAAADAQAADwAAAAAAAAABACAAAAAiAAAAZHJzL2Rvd25yZXYu&#10;eG1sUEsBAhQAFAAAAAgAh07iQN4L7/ccAwAA/gcAAA4AAAAAAAAAAQAgAAAAIwEAAGRycy9lMm9E&#10;b2MueG1sUEsFBgAAAAAGAAYAWQEAALEGAAAAAA==&#10;">
                <o:lock v:ext="edit" aspectratio="f"/>
                <v:group id="Group 15" o:spid="_x0000_s1026" o:spt="203" style="position:absolute;left:6;top:6;height:2;width:2880;" coordorigin="6,6" coordsize="2880,2"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Freeform 16" o:spid="_x0000_s1026" o:spt="100" style="position:absolute;left:6;top:6;height:2;width:2880;" filled="f" stroked="t" coordsize="2880,1" o:gfxdata="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4oU4O8AAAA&#10;2wAAAA8AAAAAAAAAAQAgAAAAIgAAAGRycy9kb3ducmV2LnhtbFBLAQIUABQAAAAIAIdO4kAzLwWe&#10;OwAAADkAAAAQAAAAAAAAAAEAIAAAAAsBAABkcnMvc2hhcGV4bWwueG1sUEsFBgAAAAAGAAYAWwEA&#10;ALUDA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02198781">
      <w:pPr>
        <w:snapToGrid w:val="0"/>
        <w:spacing w:before="71" w:line="300" w:lineRule="auto"/>
        <w:ind w:left="119"/>
        <w:jc w:val="both"/>
        <w:rPr>
          <w:rFonts w:ascii="Arial" w:hAnsi="Arial" w:eastAsia="宋体" w:cs="Arial"/>
          <w:sz w:val="20"/>
          <w:szCs w:val="20"/>
          <w:lang w:eastAsia="zh-CN"/>
        </w:rPr>
      </w:pPr>
      <w:r>
        <w:rPr>
          <w:rFonts w:ascii="Arial" w:hAnsi="Arial" w:eastAsia="宋体" w:cs="Arial"/>
          <w:position w:val="9"/>
          <w:sz w:val="13"/>
          <w:szCs w:val="13"/>
          <w:lang w:eastAsia="zh-CN"/>
        </w:rPr>
        <w:t>6</w:t>
      </w:r>
      <w:r>
        <w:rPr>
          <w:rFonts w:ascii="Arial" w:hAnsi="Arial" w:eastAsia="宋体" w:cs="Arial"/>
          <w:sz w:val="20"/>
          <w:szCs w:val="20"/>
          <w:lang w:eastAsia="zh-CN"/>
        </w:rPr>
        <w:t>有关510（k）的FDA提交建议和审查规范见FDA的指南“510（k）计划：评价上市前通告【510（k）】中的实质等同性。”该指南解释了FDA用于评价实质等同性的决策过程，包括何时需提交数据。</w:t>
      </w:r>
    </w:p>
    <w:p w14:paraId="529BB00A">
      <w:pPr>
        <w:snapToGrid w:val="0"/>
        <w:spacing w:line="300" w:lineRule="auto"/>
        <w:ind w:left="120"/>
        <w:jc w:val="both"/>
        <w:rPr>
          <w:rFonts w:ascii="Arial" w:hAnsi="Arial" w:eastAsia="宋体" w:cs="Arial"/>
          <w:sz w:val="20"/>
          <w:lang w:eastAsia="zh-CN"/>
        </w:rPr>
      </w:pPr>
      <w:r>
        <w:rPr>
          <w:rFonts w:ascii="Arial" w:hAnsi="Arial" w:eastAsia="宋体" w:cs="Arial"/>
          <w:position w:val="9"/>
          <w:sz w:val="13"/>
          <w:lang w:eastAsia="zh-CN"/>
        </w:rPr>
        <w:t>7</w:t>
      </w:r>
      <w:r>
        <w:rPr>
          <w:rFonts w:ascii="Arial" w:hAnsi="Arial" w:eastAsia="宋体" w:cs="Arial"/>
          <w:sz w:val="20"/>
          <w:szCs w:val="20"/>
          <w:lang w:eastAsia="zh-CN"/>
        </w:rPr>
        <w:t>21 CFR 812.27规定，先前研究的报告应包括对该器械进行的所有先前临床、动物和实验室试验的报告，并应全面且足以证明拟定研究的合理性。</w:t>
      </w:r>
    </w:p>
    <w:p w14:paraId="190679AD">
      <w:pPr>
        <w:snapToGrid w:val="0"/>
        <w:spacing w:line="300" w:lineRule="auto"/>
        <w:jc w:val="both"/>
        <w:rPr>
          <w:rFonts w:ascii="Arial" w:hAnsi="Arial" w:eastAsia="宋体" w:cs="Arial"/>
          <w:sz w:val="20"/>
          <w:szCs w:val="20"/>
          <w:lang w:eastAsia="zh-CN"/>
        </w:rPr>
      </w:pPr>
    </w:p>
    <w:p w14:paraId="71108CAE">
      <w:pPr>
        <w:snapToGrid w:val="0"/>
        <w:spacing w:line="300" w:lineRule="auto"/>
        <w:jc w:val="both"/>
        <w:rPr>
          <w:rFonts w:ascii="Arial" w:hAnsi="Arial" w:eastAsia="宋体" w:cs="Arial"/>
          <w:sz w:val="20"/>
          <w:szCs w:val="20"/>
          <w:lang w:eastAsia="zh-CN"/>
        </w:rPr>
      </w:pPr>
    </w:p>
    <w:p w14:paraId="11F93CBC">
      <w:pPr>
        <w:snapToGrid w:val="0"/>
        <w:spacing w:line="300" w:lineRule="auto"/>
        <w:jc w:val="both"/>
        <w:rPr>
          <w:rFonts w:ascii="Arial" w:hAnsi="Arial" w:eastAsia="宋体" w:cs="Arial"/>
          <w:sz w:val="20"/>
          <w:szCs w:val="20"/>
          <w:lang w:eastAsia="zh-CN"/>
        </w:rPr>
      </w:pPr>
    </w:p>
    <w:p w14:paraId="4270A7A5">
      <w:pPr>
        <w:snapToGrid w:val="0"/>
        <w:spacing w:line="300" w:lineRule="auto"/>
        <w:jc w:val="both"/>
        <w:rPr>
          <w:rFonts w:ascii="Arial" w:hAnsi="Arial" w:eastAsia="宋体" w:cs="Arial"/>
          <w:sz w:val="20"/>
          <w:szCs w:val="20"/>
          <w:lang w:eastAsia="zh-CN"/>
        </w:rPr>
      </w:pPr>
    </w:p>
    <w:p w14:paraId="62BC0D06">
      <w:pPr>
        <w:snapToGrid w:val="0"/>
        <w:spacing w:line="300" w:lineRule="auto"/>
        <w:jc w:val="both"/>
        <w:rPr>
          <w:rFonts w:ascii="Arial" w:hAnsi="Arial" w:eastAsia="宋体" w:cs="Arial"/>
          <w:sz w:val="20"/>
          <w:szCs w:val="20"/>
          <w:lang w:eastAsia="zh-CN"/>
        </w:rPr>
      </w:pPr>
    </w:p>
    <w:p w14:paraId="1E55ABDB">
      <w:pPr>
        <w:pStyle w:val="6"/>
        <w:snapToGrid w:val="0"/>
        <w:spacing w:line="300" w:lineRule="auto"/>
        <w:ind w:left="840"/>
        <w:jc w:val="both"/>
        <w:rPr>
          <w:rFonts w:ascii="Arial" w:hAnsi="Arial" w:eastAsia="宋体" w:cs="Arial"/>
          <w:lang w:eastAsia="zh-CN"/>
        </w:rPr>
      </w:pPr>
      <w:r>
        <w:rPr>
          <w:rFonts w:ascii="Arial" w:hAnsi="Arial" w:eastAsia="宋体" w:cs="Arial"/>
          <w:lang w:eastAsia="zh-CN"/>
        </w:rPr>
        <w:t>FDA打算适当考虑临床研究开始前所需数据的范围，记录建议用于该器械的再加工说明的安全性。</w:t>
      </w:r>
    </w:p>
    <w:p w14:paraId="2280CBA3">
      <w:pPr>
        <w:snapToGrid w:val="0"/>
        <w:spacing w:line="300" w:lineRule="auto"/>
        <w:jc w:val="both"/>
        <w:rPr>
          <w:rFonts w:ascii="Arial" w:hAnsi="Arial" w:eastAsia="宋体" w:cs="Arial"/>
          <w:sz w:val="20"/>
          <w:szCs w:val="20"/>
          <w:lang w:eastAsia="zh-CN"/>
        </w:rPr>
        <w:sectPr>
          <w:pgSz w:w="12260" w:h="15840"/>
          <w:pgMar w:top="1134" w:right="1134" w:bottom="1134" w:left="1134" w:header="748" w:footer="773" w:gutter="0"/>
          <w:cols w:space="720" w:num="1"/>
          <w:docGrid w:linePitch="299" w:charSpace="0"/>
        </w:sectPr>
      </w:pPr>
    </w:p>
    <w:p w14:paraId="77E3761F">
      <w:pPr>
        <w:pStyle w:val="3"/>
        <w:snapToGrid w:val="0"/>
        <w:spacing w:before="220" w:line="300" w:lineRule="auto"/>
        <w:ind w:left="100" w:firstLine="0"/>
        <w:jc w:val="both"/>
        <w:rPr>
          <w:rFonts w:ascii="Arial" w:hAnsi="Arial" w:eastAsia="宋体" w:cs="Arial"/>
          <w:lang w:eastAsia="zh-CN"/>
        </w:rPr>
      </w:pPr>
      <w:bookmarkStart w:id="85" w:name="APPENDIX_A.__Definition_of_Terms"/>
      <w:bookmarkEnd w:id="85"/>
      <w:bookmarkStart w:id="86" w:name="_Toc481569215"/>
      <w:r>
        <w:rPr>
          <w:rFonts w:ascii="Arial" w:hAnsi="Arial" w:eastAsia="宋体" w:cs="Arial"/>
          <w:lang w:eastAsia="zh-CN"/>
        </w:rPr>
        <w:t>附录A. 术语定义</w:t>
      </w:r>
      <w:bookmarkEnd w:id="86"/>
    </w:p>
    <w:p w14:paraId="24FE2AA8">
      <w:pPr>
        <w:pStyle w:val="6"/>
        <w:snapToGrid w:val="0"/>
        <w:spacing w:before="279" w:line="300" w:lineRule="auto"/>
        <w:ind w:left="148" w:hanging="29"/>
        <w:jc w:val="both"/>
        <w:rPr>
          <w:rFonts w:ascii="Arial" w:hAnsi="Arial" w:eastAsia="宋体" w:cs="Arial"/>
          <w:lang w:eastAsia="zh-CN"/>
        </w:rPr>
      </w:pPr>
      <w:r>
        <w:rPr>
          <w:rFonts w:ascii="Arial" w:hAnsi="Arial" w:eastAsia="宋体" w:cs="Arial"/>
          <w:lang w:eastAsia="zh-CN"/>
        </w:rPr>
        <w:t>以下是可能用于器械标签中的再加工说明中的常见术语，其中一些术语来自参考文件。</w:t>
      </w:r>
      <w:r>
        <w:rPr>
          <w:rFonts w:ascii="Arial" w:hAnsi="Arial" w:eastAsia="宋体" w:cs="Arial"/>
          <w:vertAlign w:val="superscript"/>
          <w:lang w:eastAsia="zh-CN"/>
        </w:rPr>
        <w:t>8、9、10、11、12、13</w:t>
      </w:r>
      <w:r>
        <w:rPr>
          <w:rFonts w:ascii="Arial" w:hAnsi="Arial" w:eastAsia="宋体" w:cs="Arial"/>
          <w:lang w:eastAsia="zh-CN"/>
        </w:rPr>
        <w:t>此列表并不详尽。这里定义的一些术语来自其他相关的FDA指南，并且这里为本指南定义了一些术语。术语的其他定义可参见参考文件。</w:t>
      </w:r>
    </w:p>
    <w:p w14:paraId="703D20A1">
      <w:pPr>
        <w:snapToGrid w:val="0"/>
        <w:spacing w:before="7" w:line="300" w:lineRule="auto"/>
        <w:jc w:val="both"/>
        <w:rPr>
          <w:rFonts w:ascii="Arial" w:hAnsi="Arial" w:eastAsia="宋体" w:cs="Arial"/>
          <w:sz w:val="20"/>
          <w:szCs w:val="20"/>
          <w:lang w:eastAsia="zh-CN"/>
        </w:rPr>
      </w:pPr>
    </w:p>
    <w:p w14:paraId="6C6D346E">
      <w:pPr>
        <w:pStyle w:val="6"/>
        <w:snapToGrid w:val="0"/>
        <w:spacing w:line="300" w:lineRule="auto"/>
        <w:ind w:left="120"/>
        <w:jc w:val="both"/>
        <w:rPr>
          <w:rFonts w:ascii="Arial" w:hAnsi="Arial" w:eastAsia="宋体" w:cs="Arial"/>
          <w:lang w:eastAsia="zh-CN"/>
        </w:rPr>
      </w:pPr>
      <w:r>
        <w:rPr>
          <w:rFonts w:ascii="Arial" w:hAnsi="Arial" w:eastAsia="宋体" w:cs="Arial"/>
          <w:u w:val="single"/>
          <w:lang w:eastAsia="zh-CN"/>
        </w:rPr>
        <w:t>生物指示物（BI）</w:t>
      </w:r>
      <w:r>
        <w:rPr>
          <w:rFonts w:ascii="Arial" w:hAnsi="Arial" w:eastAsia="宋体" w:cs="Arial"/>
          <w:lang w:eastAsia="zh-CN"/>
        </w:rPr>
        <w:t>：含有可提供对特定灭菌过程的既定抗性的活性微生物的试验系统。</w:t>
      </w:r>
    </w:p>
    <w:p w14:paraId="3C5AFBC2">
      <w:pPr>
        <w:pStyle w:val="6"/>
        <w:snapToGrid w:val="0"/>
        <w:spacing w:line="300" w:lineRule="auto"/>
        <w:ind w:left="120"/>
        <w:jc w:val="both"/>
        <w:rPr>
          <w:rFonts w:ascii="Arial" w:hAnsi="Arial" w:eastAsia="宋体" w:cs="Arial"/>
          <w:lang w:eastAsia="zh-CN"/>
        </w:rPr>
      </w:pPr>
    </w:p>
    <w:p w14:paraId="125D1513">
      <w:pPr>
        <w:pStyle w:val="6"/>
        <w:snapToGrid w:val="0"/>
        <w:spacing w:line="300" w:lineRule="auto"/>
        <w:ind w:left="120"/>
        <w:jc w:val="both"/>
        <w:rPr>
          <w:rFonts w:ascii="Arial" w:hAnsi="Arial" w:eastAsia="宋体" w:cs="Arial"/>
          <w:lang w:eastAsia="zh-CN"/>
        </w:rPr>
      </w:pPr>
      <w:r>
        <w:rPr>
          <w:rFonts w:ascii="Arial" w:hAnsi="Arial" w:eastAsia="宋体" w:cs="Arial"/>
          <w:u w:val="single"/>
          <w:lang w:eastAsia="zh-CN"/>
        </w:rPr>
        <w:t>清洁</w:t>
      </w:r>
      <w:r>
        <w:rPr>
          <w:rFonts w:ascii="Arial" w:hAnsi="Arial" w:eastAsia="宋体" w:cs="Arial"/>
          <w:lang w:eastAsia="zh-CN"/>
        </w:rPr>
        <w:t>：从物品中去除污物和污染物以到达可进行进一步加工或用于预期用途所需的程度。</w:t>
      </w:r>
    </w:p>
    <w:p w14:paraId="42D0AF62">
      <w:pPr>
        <w:pStyle w:val="6"/>
        <w:snapToGrid w:val="0"/>
        <w:spacing w:line="300" w:lineRule="auto"/>
        <w:ind w:left="120"/>
        <w:jc w:val="both"/>
        <w:rPr>
          <w:rFonts w:ascii="Arial" w:hAnsi="Arial" w:eastAsia="宋体" w:cs="Arial"/>
          <w:lang w:eastAsia="zh-CN"/>
        </w:rPr>
      </w:pPr>
    </w:p>
    <w:p w14:paraId="367BD4AB">
      <w:pPr>
        <w:pStyle w:val="6"/>
        <w:snapToGrid w:val="0"/>
        <w:spacing w:line="300" w:lineRule="auto"/>
        <w:ind w:left="120"/>
        <w:jc w:val="both"/>
        <w:rPr>
          <w:rFonts w:ascii="Arial" w:hAnsi="Arial" w:eastAsia="宋体" w:cs="Arial"/>
          <w:lang w:eastAsia="zh-CN"/>
        </w:rPr>
      </w:pPr>
      <w:r>
        <w:rPr>
          <w:rFonts w:ascii="Arial" w:hAnsi="Arial" w:eastAsia="宋体" w:cs="Arial"/>
          <w:u w:val="single"/>
          <w:lang w:eastAsia="zh-CN"/>
        </w:rPr>
        <w:t>设计历史文件（DHF）</w:t>
      </w:r>
      <w:r>
        <w:rPr>
          <w:rFonts w:ascii="Arial" w:hAnsi="Arial" w:eastAsia="宋体" w:cs="Arial"/>
          <w:lang w:eastAsia="zh-CN"/>
        </w:rPr>
        <w:t>：描述产品器械的设计历史的记录汇编。（21 CFR 820.3（e））</w:t>
      </w:r>
    </w:p>
    <w:p w14:paraId="610F53CA">
      <w:pPr>
        <w:snapToGrid w:val="0"/>
        <w:spacing w:before="10" w:line="300" w:lineRule="auto"/>
        <w:jc w:val="both"/>
        <w:rPr>
          <w:rFonts w:ascii="Arial" w:hAnsi="Arial" w:eastAsia="宋体" w:cs="Arial"/>
          <w:sz w:val="20"/>
          <w:szCs w:val="20"/>
          <w:lang w:eastAsia="zh-CN"/>
        </w:rPr>
      </w:pPr>
    </w:p>
    <w:p w14:paraId="569881A5">
      <w:pPr>
        <w:pStyle w:val="6"/>
        <w:snapToGrid w:val="0"/>
        <w:spacing w:line="300" w:lineRule="auto"/>
        <w:ind w:left="120"/>
        <w:jc w:val="both"/>
        <w:rPr>
          <w:rFonts w:ascii="Arial" w:hAnsi="Arial" w:eastAsia="宋体" w:cs="Arial"/>
          <w:lang w:eastAsia="zh-CN"/>
        </w:rPr>
      </w:pPr>
      <w:r>
        <w:rPr>
          <w:rFonts w:ascii="Arial" w:hAnsi="Arial" w:eastAsia="宋体" w:cs="Arial"/>
          <w:u w:val="single"/>
          <w:lang w:eastAsia="zh-CN"/>
        </w:rPr>
        <w:t>器械主记录（DMR）</w:t>
      </w:r>
      <w:r>
        <w:rPr>
          <w:rFonts w:ascii="Arial" w:hAnsi="Arial" w:eastAsia="宋体" w:cs="Arial"/>
          <w:lang w:eastAsia="zh-CN"/>
        </w:rPr>
        <w:t>：含有成品器械的程序和规格的记录汇编。（21 CFR 820.3（j））</w:t>
      </w:r>
    </w:p>
    <w:p w14:paraId="01A3618F">
      <w:pPr>
        <w:pStyle w:val="6"/>
        <w:snapToGrid w:val="0"/>
        <w:spacing w:line="300" w:lineRule="auto"/>
        <w:ind w:left="120"/>
        <w:jc w:val="both"/>
        <w:rPr>
          <w:rFonts w:ascii="Arial" w:hAnsi="Arial" w:eastAsia="宋体" w:cs="Arial"/>
          <w:lang w:eastAsia="zh-CN"/>
        </w:rPr>
      </w:pPr>
    </w:p>
    <w:p w14:paraId="19C88811">
      <w:pPr>
        <w:pStyle w:val="6"/>
        <w:snapToGrid w:val="0"/>
        <w:spacing w:line="300" w:lineRule="auto"/>
        <w:ind w:left="120"/>
        <w:jc w:val="both"/>
        <w:rPr>
          <w:rFonts w:ascii="Arial" w:hAnsi="Arial" w:eastAsia="宋体" w:cs="Arial"/>
          <w:lang w:eastAsia="zh-CN"/>
        </w:rPr>
      </w:pPr>
      <w:r>
        <w:rPr>
          <w:rFonts w:ascii="Arial" w:hAnsi="Arial" w:eastAsia="宋体" w:cs="Arial"/>
          <w:u w:val="single"/>
          <w:lang w:eastAsia="zh-CN"/>
        </w:rPr>
        <w:t>消毒剂</w:t>
      </w:r>
      <w:r>
        <w:rPr>
          <w:rFonts w:ascii="Arial" w:hAnsi="Arial" w:eastAsia="宋体" w:cs="Arial"/>
          <w:lang w:eastAsia="zh-CN"/>
        </w:rPr>
        <w:t>：通过化学或物理手段破坏病原体和其他微生物的药剂。消毒剂破坏是公认程度最高的致病微生物，但不一定涵盖所有微生物形式，如细菌孢子。</w:t>
      </w:r>
    </w:p>
    <w:p w14:paraId="77995EB1">
      <w:pPr>
        <w:pStyle w:val="6"/>
        <w:snapToGrid w:val="0"/>
        <w:spacing w:line="300" w:lineRule="auto"/>
        <w:ind w:left="120"/>
        <w:jc w:val="both"/>
        <w:rPr>
          <w:rFonts w:ascii="Arial" w:hAnsi="Arial" w:eastAsia="宋体" w:cs="Arial"/>
          <w:lang w:eastAsia="zh-CN"/>
        </w:rPr>
      </w:pPr>
    </w:p>
    <w:p w14:paraId="47B68EC8">
      <w:pPr>
        <w:pStyle w:val="6"/>
        <w:snapToGrid w:val="0"/>
        <w:spacing w:line="300" w:lineRule="auto"/>
        <w:ind w:left="120"/>
        <w:jc w:val="both"/>
        <w:rPr>
          <w:rFonts w:ascii="Arial" w:hAnsi="Arial" w:eastAsia="宋体" w:cs="Arial"/>
          <w:lang w:eastAsia="zh-CN"/>
        </w:rPr>
      </w:pPr>
      <w:r>
        <w:rPr>
          <w:rFonts w:ascii="Arial" w:hAnsi="Arial" w:eastAsia="宋体" w:cs="Arial"/>
          <w:u w:val="single"/>
          <w:lang w:eastAsia="zh-CN"/>
        </w:rPr>
        <w:t>消毒</w:t>
      </w:r>
      <w:r>
        <w:rPr>
          <w:rFonts w:ascii="Arial" w:hAnsi="Arial" w:eastAsia="宋体" w:cs="Arial"/>
          <w:lang w:eastAsia="zh-CN"/>
        </w:rPr>
        <w:t>：通过物理或化学手段破坏病原体和其他微生物的过程。消毒过程不能确保与灭菌过程相关的相同安全幅度。根据消毒剂的性质（请参见附录D），消毒过程的致死率可能有所不同，从而使消毒剂的性质分为以下子类别：</w:t>
      </w:r>
    </w:p>
    <w:p w14:paraId="2403C0F0">
      <w:pPr>
        <w:pStyle w:val="17"/>
        <w:snapToGrid w:val="0"/>
        <w:spacing w:line="300" w:lineRule="auto"/>
        <w:jc w:val="both"/>
        <w:rPr>
          <w:rFonts w:ascii="Arial" w:hAnsi="Arial" w:eastAsia="宋体" w:cs="Arial"/>
          <w:sz w:val="24"/>
          <w:szCs w:val="24"/>
          <w:lang w:eastAsia="zh-CN"/>
        </w:rPr>
      </w:pPr>
    </w:p>
    <w:p w14:paraId="7B5FA4E1">
      <w:pPr>
        <w:pStyle w:val="17"/>
        <w:numPr>
          <w:ilvl w:val="0"/>
          <w:numId w:val="13"/>
        </w:numPr>
        <w:tabs>
          <w:tab w:val="left" w:pos="840"/>
        </w:tabs>
        <w:snapToGrid w:val="0"/>
        <w:spacing w:line="300" w:lineRule="auto"/>
        <w:jc w:val="both"/>
        <w:rPr>
          <w:rFonts w:ascii="Arial" w:hAnsi="Arial" w:eastAsia="宋体" w:cs="Arial"/>
          <w:sz w:val="24"/>
          <w:szCs w:val="24"/>
          <w:lang w:eastAsia="zh-CN"/>
        </w:rPr>
      </w:pPr>
      <w:r>
        <w:rPr>
          <w:rFonts w:ascii="Arial" w:hAnsi="Arial" w:eastAsia="宋体" w:cs="Arial"/>
          <w:sz w:val="24"/>
          <w:szCs w:val="24"/>
          <w:u w:val="single"/>
          <w:lang w:eastAsia="zh-CN"/>
        </w:rPr>
        <w:t>高水平消毒</w:t>
      </w:r>
      <w:r>
        <w:rPr>
          <w:rFonts w:ascii="Arial" w:hAnsi="Arial" w:eastAsia="宋体" w:cs="Arial"/>
          <w:sz w:val="24"/>
          <w:szCs w:val="24"/>
          <w:lang w:eastAsia="zh-CN"/>
        </w:rPr>
        <w:t>：在低于灭菌条件下使用灭菌剂的致死过程。除了大量的细菌孢子，该过程可杀死所有形式的微生物。</w:t>
      </w:r>
    </w:p>
    <w:p w14:paraId="1045D832">
      <w:pPr>
        <w:pStyle w:val="17"/>
        <w:tabs>
          <w:tab w:val="left" w:pos="840"/>
        </w:tabs>
        <w:snapToGrid w:val="0"/>
        <w:spacing w:line="300" w:lineRule="auto"/>
        <w:ind w:left="840"/>
        <w:jc w:val="both"/>
        <w:rPr>
          <w:rFonts w:ascii="Arial" w:hAnsi="Arial" w:eastAsia="宋体" w:cs="Arial"/>
          <w:sz w:val="24"/>
          <w:szCs w:val="24"/>
          <w:lang w:eastAsia="zh-CN"/>
        </w:rPr>
      </w:pPr>
    </w:p>
    <w:p w14:paraId="4A14A39C">
      <w:pPr>
        <w:pStyle w:val="17"/>
        <w:numPr>
          <w:ilvl w:val="0"/>
          <w:numId w:val="13"/>
        </w:numPr>
        <w:tabs>
          <w:tab w:val="left" w:pos="840"/>
        </w:tabs>
        <w:snapToGrid w:val="0"/>
        <w:spacing w:line="300" w:lineRule="auto"/>
        <w:jc w:val="both"/>
        <w:rPr>
          <w:rFonts w:ascii="Arial" w:hAnsi="Arial" w:eastAsia="宋体" w:cs="Arial"/>
          <w:sz w:val="24"/>
          <w:szCs w:val="24"/>
          <w:lang w:eastAsia="zh-CN"/>
        </w:rPr>
      </w:pPr>
      <w:r>
        <w:rPr>
          <w:rFonts w:ascii="Arial" w:hAnsi="Arial" w:eastAsia="宋体" w:cs="Arial"/>
          <w:sz w:val="24"/>
          <w:szCs w:val="24"/>
          <w:u w:val="single"/>
          <w:lang w:eastAsia="zh-CN"/>
        </w:rPr>
        <w:t>中等消毒</w:t>
      </w:r>
      <w:r>
        <w:rPr>
          <w:rFonts w:ascii="Arial" w:hAnsi="Arial" w:eastAsia="宋体" w:cs="Arial"/>
          <w:sz w:val="24"/>
          <w:szCs w:val="24"/>
          <w:lang w:eastAsia="zh-CN"/>
        </w:rPr>
        <w:t>：使用可杀死病毒、分枝杆菌、真菌和营养细菌但无法杀死细菌孢子的药剂的致死过程。</w:t>
      </w:r>
    </w:p>
    <w:p w14:paraId="2FE78EAA">
      <w:pPr>
        <w:snapToGrid w:val="0"/>
        <w:spacing w:line="300" w:lineRule="auto"/>
        <w:jc w:val="both"/>
        <w:rPr>
          <w:rFonts w:ascii="Arial" w:hAnsi="Arial" w:eastAsia="宋体" w:cs="Arial"/>
          <w:sz w:val="20"/>
          <w:szCs w:val="20"/>
          <w:lang w:eastAsia="zh-CN"/>
        </w:rPr>
      </w:pPr>
    </w:p>
    <w:p w14:paraId="73E1809A">
      <w:pPr>
        <w:snapToGrid w:val="0"/>
        <w:spacing w:line="300" w:lineRule="auto"/>
        <w:jc w:val="both"/>
        <w:rPr>
          <w:rFonts w:ascii="Arial" w:hAnsi="Arial" w:eastAsia="宋体" w:cs="Arial"/>
          <w:sz w:val="20"/>
          <w:szCs w:val="20"/>
          <w:lang w:eastAsia="zh-CN"/>
        </w:rPr>
      </w:pPr>
    </w:p>
    <w:p w14:paraId="09F32FF3">
      <w:pPr>
        <w:snapToGrid w:val="0"/>
        <w:spacing w:before="2" w:line="300" w:lineRule="auto"/>
        <w:jc w:val="both"/>
        <w:rPr>
          <w:rFonts w:ascii="Arial" w:hAnsi="Arial" w:eastAsia="宋体" w:cs="Arial"/>
          <w:sz w:val="10"/>
          <w:szCs w:val="10"/>
          <w:lang w:eastAsia="zh-CN"/>
        </w:rPr>
      </w:pPr>
    </w:p>
    <w:p w14:paraId="503848C6">
      <w:pPr>
        <w:snapToGrid w:val="0"/>
        <w:spacing w:line="300" w:lineRule="auto"/>
        <w:ind w:left="11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19" name="Group 11"/>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20" name="Group 12"/>
                        <wpg:cNvGrpSpPr/>
                        <wpg:grpSpPr>
                          <a:xfrm>
                            <a:off x="6" y="6"/>
                            <a:ext cx="2880" cy="2"/>
                            <a:chOff x="6" y="6"/>
                            <a:chExt cx="2880" cy="2"/>
                          </a:xfrm>
                        </wpg:grpSpPr>
                        <wps:wsp>
                          <wps:cNvPr id="21" name="Freeform 13"/>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1"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gP6EhdQAAAADAQAADwAAAAAAAAABACAAAAAiAAAAZHJzL2Rvd25yZXYu&#10;eG1sUEsBAhQAFAAAAAgAh07iQPNUesccAwAA/gcAAA4AAAAAAAAAAQAgAAAAIwEAAGRycy9lMm9E&#10;b2MueG1sUEsFBgAAAAAGAAYAWQEAALEGAAAAAA==&#10;">
                <o:lock v:ext="edit" aspectratio="f"/>
                <v:group id="Group 12" o:spid="_x0000_s1026" o:spt="203" style="position:absolute;left:6;top:6;height:2;width:2880;" coordorigin="6,6" coordsize="2880,2"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Freeform 13" o:spid="_x0000_s1026" o:spt="100" style="position:absolute;left:6;top:6;height:2;width:2880;" filled="f" stroked="t" coordsize="2880,1" o:gfxdata="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wG7sAAADb&#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581A7BCB">
      <w:pPr>
        <w:snapToGrid w:val="0"/>
        <w:spacing w:before="71" w:line="300" w:lineRule="auto"/>
        <w:ind w:left="120"/>
        <w:jc w:val="both"/>
        <w:rPr>
          <w:rFonts w:ascii="Arial" w:hAnsi="Arial" w:eastAsia="宋体" w:cs="Arial"/>
          <w:sz w:val="20"/>
          <w:szCs w:val="20"/>
          <w:lang w:eastAsia="zh-CN"/>
        </w:rPr>
      </w:pPr>
      <w:r>
        <w:rPr>
          <w:rFonts w:ascii="Arial" w:hAnsi="Arial" w:eastAsia="宋体" w:cs="Arial"/>
          <w:position w:val="9"/>
          <w:sz w:val="13"/>
          <w:lang w:eastAsia="zh-CN"/>
        </w:rPr>
        <w:t>8</w:t>
      </w:r>
      <w:r>
        <w:rPr>
          <w:rFonts w:ascii="Arial" w:hAnsi="Arial" w:eastAsia="宋体" w:cs="Arial"/>
          <w:sz w:val="20"/>
          <w:szCs w:val="20"/>
          <w:lang w:eastAsia="zh-CN"/>
        </w:rPr>
        <w:t>Pflug，I.J.，无菌过程的微生物学与工程，第七版。</w:t>
      </w:r>
      <w:r>
        <w:rPr>
          <w:rFonts w:ascii="Arial" w:hAnsi="Arial" w:eastAsia="宋体" w:cs="Arial"/>
          <w:sz w:val="20"/>
          <w:lang w:eastAsia="zh-CN"/>
        </w:rPr>
        <w:t>Minneapolis，</w:t>
      </w:r>
      <w:r>
        <w:rPr>
          <w:rFonts w:ascii="Arial" w:hAnsi="Arial" w:eastAsia="宋体" w:cs="Arial"/>
          <w:sz w:val="20"/>
          <w:szCs w:val="20"/>
          <w:lang w:eastAsia="zh-CN"/>
        </w:rPr>
        <w:t>环境消毒实验室。1990年，第1-3章。</w:t>
      </w:r>
    </w:p>
    <w:p w14:paraId="4C8AB0E4">
      <w:pPr>
        <w:snapToGrid w:val="0"/>
        <w:spacing w:before="3" w:line="300" w:lineRule="auto"/>
        <w:ind w:left="120"/>
        <w:jc w:val="both"/>
        <w:rPr>
          <w:rFonts w:ascii="Arial" w:hAnsi="Arial" w:eastAsia="宋体" w:cs="Arial"/>
          <w:sz w:val="20"/>
          <w:szCs w:val="20"/>
          <w:lang w:eastAsia="zh-CN"/>
        </w:rPr>
      </w:pPr>
      <w:r>
        <w:rPr>
          <w:rFonts w:ascii="Arial" w:hAnsi="Arial" w:eastAsia="宋体" w:cs="Arial"/>
          <w:position w:val="9"/>
          <w:sz w:val="13"/>
          <w:lang w:eastAsia="zh-CN"/>
        </w:rPr>
        <w:t>9</w:t>
      </w:r>
      <w:r>
        <w:rPr>
          <w:rFonts w:ascii="Arial" w:hAnsi="Arial" w:eastAsia="宋体" w:cs="Arial"/>
          <w:sz w:val="20"/>
          <w:szCs w:val="20"/>
          <w:lang w:eastAsia="zh-CN"/>
        </w:rPr>
        <w:t xml:space="preserve"> Sehulster LM、Chinn RYW、Arduino MJ等人，医疗机构环境感染控制指南，2003年。</w:t>
      </w:r>
    </w:p>
    <w:p w14:paraId="021F3C32">
      <w:pPr>
        <w:snapToGrid w:val="0"/>
        <w:spacing w:line="300" w:lineRule="auto"/>
        <w:ind w:left="119"/>
        <w:rPr>
          <w:rFonts w:ascii="Arial" w:hAnsi="Arial" w:eastAsia="宋体" w:cs="Arial"/>
          <w:sz w:val="20"/>
          <w:szCs w:val="20"/>
        </w:rPr>
      </w:pPr>
      <w:r>
        <w:rPr>
          <w:rFonts w:ascii="Arial" w:hAnsi="Arial" w:eastAsia="宋体" w:cs="Arial"/>
          <w:position w:val="9"/>
          <w:sz w:val="13"/>
        </w:rPr>
        <w:t xml:space="preserve">10 </w:t>
      </w:r>
      <w:bookmarkStart w:id="87" w:name="_bookmark40"/>
      <w:bookmarkEnd w:id="87"/>
      <w:r>
        <w:rPr>
          <w:rFonts w:ascii="Arial" w:hAnsi="Arial" w:eastAsia="宋体" w:cs="Arial"/>
          <w:sz w:val="20"/>
          <w:szCs w:val="20"/>
        </w:rPr>
        <w:t>职业安全与健康管理局，网址：</w:t>
      </w:r>
      <w:r>
        <w:fldChar w:fldCharType="begin"/>
      </w:r>
      <w:r>
        <w:instrText xml:space="preserve"> HYPERLINK "http://www.osha.gov/pls/oshaweb/owadisp.show_document?p_table=STANDARDS&amp;amp;p_id=10051" \h </w:instrText>
      </w:r>
      <w:r>
        <w:fldChar w:fldCharType="separate"/>
      </w:r>
      <w:r>
        <w:rPr>
          <w:rFonts w:ascii="Arial" w:hAnsi="Arial" w:eastAsia="宋体" w:cs="Arial"/>
          <w:color w:val="0000FF"/>
          <w:sz w:val="20"/>
          <w:u w:val="single" w:color="0000FF"/>
        </w:rPr>
        <w:t>http：//www.osha.gov/pls/oshaweb/owadisp.show_document?p_table=STANDARDS&amp;p_id=10051</w:t>
      </w:r>
      <w:r>
        <w:rPr>
          <w:rFonts w:ascii="Arial" w:hAnsi="Arial" w:eastAsia="宋体" w:cs="Arial"/>
          <w:color w:val="0000FF"/>
          <w:sz w:val="20"/>
          <w:u w:val="single" w:color="0000FF"/>
          <w:lang w:eastAsia="zh-CN"/>
        </w:rPr>
        <w:t>。</w:t>
      </w:r>
      <w:r>
        <w:rPr>
          <w:rFonts w:ascii="Arial" w:hAnsi="Arial" w:eastAsia="宋体" w:cs="Arial"/>
          <w:color w:val="0000FF"/>
          <w:sz w:val="20"/>
          <w:u w:val="single" w:color="0000FF"/>
          <w:lang w:eastAsia="zh-CN"/>
        </w:rPr>
        <w:fldChar w:fldCharType="end"/>
      </w:r>
    </w:p>
    <w:p w14:paraId="227FEEED">
      <w:pPr>
        <w:snapToGrid w:val="0"/>
        <w:spacing w:before="15" w:line="300" w:lineRule="auto"/>
        <w:ind w:left="120"/>
        <w:jc w:val="both"/>
        <w:rPr>
          <w:rFonts w:ascii="Arial" w:hAnsi="Arial" w:eastAsia="宋体" w:cs="Arial"/>
          <w:sz w:val="20"/>
          <w:szCs w:val="20"/>
        </w:rPr>
      </w:pPr>
      <w:r>
        <w:rPr>
          <w:rFonts w:ascii="Arial" w:hAnsi="Arial" w:eastAsia="宋体" w:cs="Arial"/>
          <w:position w:val="9"/>
          <w:sz w:val="13"/>
          <w:lang w:eastAsia="zh-CN"/>
        </w:rPr>
        <w:t>11</w:t>
      </w:r>
      <w:r>
        <w:rPr>
          <w:rFonts w:ascii="Arial" w:hAnsi="Arial" w:eastAsia="宋体" w:cs="Arial"/>
          <w:sz w:val="20"/>
          <w:szCs w:val="20"/>
          <w:lang w:eastAsia="zh-CN"/>
        </w:rPr>
        <w:t>医疗器械促进协会（AAMI）。医疗产品的灭菌–术语。</w:t>
      </w:r>
      <w:r>
        <w:rPr>
          <w:rFonts w:ascii="Arial" w:hAnsi="Arial" w:eastAsia="宋体" w:cs="Arial"/>
          <w:sz w:val="20"/>
          <w:szCs w:val="20"/>
        </w:rPr>
        <w:t>ANSI/AAMI/ISO TIR11139：2006。</w:t>
      </w:r>
    </w:p>
    <w:p w14:paraId="149CEA15">
      <w:pPr>
        <w:snapToGrid w:val="0"/>
        <w:spacing w:line="300" w:lineRule="auto"/>
        <w:ind w:left="120"/>
        <w:jc w:val="both"/>
        <w:rPr>
          <w:rFonts w:ascii="Arial" w:hAnsi="Arial" w:eastAsia="宋体" w:cs="Arial"/>
          <w:sz w:val="20"/>
          <w:szCs w:val="20"/>
        </w:rPr>
      </w:pPr>
      <w:r>
        <w:rPr>
          <w:rFonts w:ascii="Arial" w:hAnsi="Arial" w:eastAsia="宋体" w:cs="Arial"/>
          <w:position w:val="9"/>
          <w:sz w:val="13"/>
        </w:rPr>
        <w:t xml:space="preserve">12 </w:t>
      </w:r>
      <w:bookmarkStart w:id="88" w:name="_bookmark42"/>
      <w:bookmarkEnd w:id="88"/>
      <w:r>
        <w:rPr>
          <w:rFonts w:ascii="Arial" w:hAnsi="Arial" w:eastAsia="宋体" w:cs="Arial"/>
          <w:sz w:val="20"/>
          <w:szCs w:val="20"/>
        </w:rPr>
        <w:t>Block SS，</w:t>
      </w:r>
      <w:r>
        <w:rPr>
          <w:rFonts w:ascii="Arial" w:hAnsi="Arial" w:eastAsia="宋体" w:cs="Arial"/>
          <w:sz w:val="20"/>
          <w:szCs w:val="20"/>
          <w:lang w:eastAsia="zh-CN"/>
        </w:rPr>
        <w:t>术语定义，</w:t>
      </w:r>
      <w:r>
        <w:rPr>
          <w:rFonts w:ascii="Arial" w:hAnsi="Arial" w:eastAsia="宋体" w:cs="Arial"/>
          <w:sz w:val="20"/>
          <w:szCs w:val="20"/>
        </w:rPr>
        <w:t>Block SS，</w:t>
      </w:r>
      <w:r>
        <w:rPr>
          <w:rFonts w:ascii="Arial" w:hAnsi="Arial" w:eastAsia="宋体" w:cs="Arial"/>
          <w:sz w:val="20"/>
          <w:szCs w:val="20"/>
          <w:lang w:eastAsia="zh-CN"/>
        </w:rPr>
        <w:t>编辑</w:t>
      </w:r>
      <w:r>
        <w:rPr>
          <w:rFonts w:ascii="Arial" w:hAnsi="Arial" w:eastAsia="宋体" w:cs="Arial"/>
          <w:sz w:val="20"/>
          <w:szCs w:val="20"/>
        </w:rPr>
        <w:t>。</w:t>
      </w:r>
      <w:r>
        <w:rPr>
          <w:rFonts w:ascii="Arial" w:hAnsi="Arial" w:eastAsia="宋体" w:cs="Arial"/>
          <w:sz w:val="20"/>
          <w:szCs w:val="20"/>
          <w:lang w:eastAsia="zh-CN"/>
        </w:rPr>
        <w:t>消毒、灭菌和保存，第5版。</w:t>
      </w:r>
      <w:r>
        <w:rPr>
          <w:rFonts w:ascii="Arial" w:hAnsi="Arial" w:eastAsia="宋体" w:cs="Arial"/>
          <w:sz w:val="20"/>
          <w:szCs w:val="20"/>
        </w:rPr>
        <w:t>Phila：Lippincott Williams＆Wilkins 2001：19-28。</w:t>
      </w:r>
    </w:p>
    <w:p w14:paraId="05A9CFE8">
      <w:pPr>
        <w:snapToGrid w:val="0"/>
        <w:spacing w:line="300" w:lineRule="auto"/>
        <w:ind w:left="120"/>
        <w:jc w:val="both"/>
        <w:rPr>
          <w:rFonts w:ascii="Arial" w:hAnsi="Arial" w:eastAsia="宋体" w:cs="Arial"/>
          <w:sz w:val="20"/>
        </w:rPr>
      </w:pPr>
      <w:r>
        <w:rPr>
          <w:rFonts w:ascii="Arial" w:hAnsi="Arial" w:eastAsia="宋体" w:cs="Arial"/>
          <w:position w:val="9"/>
          <w:sz w:val="13"/>
          <w:lang w:eastAsia="zh-CN"/>
        </w:rPr>
        <w:t>13</w:t>
      </w:r>
      <w:r>
        <w:rPr>
          <w:rFonts w:ascii="Arial" w:hAnsi="Arial" w:eastAsia="宋体" w:cs="Arial"/>
          <w:sz w:val="20"/>
          <w:szCs w:val="20"/>
          <w:lang w:eastAsia="zh-CN"/>
        </w:rPr>
        <w:t>医疗器械促进协会（AAMI）。医疗机构蒸汽灭菌和无菌保证综合指南。</w:t>
      </w:r>
      <w:r>
        <w:rPr>
          <w:rFonts w:ascii="Arial" w:hAnsi="Arial" w:eastAsia="宋体" w:cs="Arial"/>
          <w:sz w:val="20"/>
          <w:szCs w:val="20"/>
        </w:rPr>
        <w:t>ANSI/AAMI ST79：2010＆A1：2010。</w:t>
      </w:r>
    </w:p>
    <w:p w14:paraId="49DC47B0">
      <w:pPr>
        <w:snapToGrid w:val="0"/>
        <w:spacing w:line="300" w:lineRule="auto"/>
        <w:jc w:val="both"/>
        <w:rPr>
          <w:rFonts w:ascii="Arial" w:hAnsi="Arial" w:eastAsia="宋体" w:cs="Arial"/>
          <w:sz w:val="20"/>
          <w:szCs w:val="20"/>
        </w:rPr>
        <w:sectPr>
          <w:pgSz w:w="12260" w:h="15840"/>
          <w:pgMar w:top="1134" w:right="1134" w:bottom="1134" w:left="1134" w:header="748" w:footer="773" w:gutter="0"/>
          <w:cols w:space="720" w:num="1"/>
          <w:docGrid w:linePitch="299" w:charSpace="0"/>
        </w:sectPr>
      </w:pPr>
    </w:p>
    <w:p w14:paraId="64D1C5D3">
      <w:pPr>
        <w:pStyle w:val="17"/>
        <w:numPr>
          <w:ilvl w:val="0"/>
          <w:numId w:val="13"/>
        </w:numPr>
        <w:tabs>
          <w:tab w:val="left" w:pos="840"/>
        </w:tabs>
        <w:snapToGrid w:val="0"/>
        <w:spacing w:line="288" w:lineRule="auto"/>
        <w:ind w:left="357" w:hanging="357"/>
        <w:jc w:val="both"/>
        <w:rPr>
          <w:rFonts w:ascii="Arial" w:hAnsi="Arial" w:eastAsia="宋体" w:cs="Arial"/>
          <w:sz w:val="24"/>
          <w:szCs w:val="24"/>
          <w:lang w:eastAsia="zh-CN"/>
        </w:rPr>
      </w:pPr>
      <w:r>
        <w:rPr>
          <w:rFonts w:ascii="Arial" w:hAnsi="Arial" w:eastAsia="宋体" w:cs="Arial"/>
          <w:sz w:val="24"/>
          <w:u w:val="single"/>
          <w:lang w:eastAsia="zh-CN"/>
        </w:rPr>
        <w:t>低水平消毒</w:t>
      </w:r>
      <w:r>
        <w:rPr>
          <w:rFonts w:ascii="Arial" w:hAnsi="Arial" w:eastAsia="宋体" w:cs="Arial"/>
          <w:sz w:val="24"/>
          <w:lang w:eastAsia="zh-CN"/>
        </w:rPr>
        <w:t>：利用可杀死细菌、一些真菌和脂质病毒繁殖体的药剂的致死过程。</w:t>
      </w:r>
    </w:p>
    <w:p w14:paraId="2B397B19">
      <w:pPr>
        <w:snapToGrid w:val="0"/>
        <w:spacing w:line="288" w:lineRule="auto"/>
        <w:jc w:val="both"/>
        <w:rPr>
          <w:rFonts w:ascii="Arial" w:hAnsi="Arial" w:eastAsia="宋体" w:cs="Arial"/>
          <w:sz w:val="20"/>
          <w:szCs w:val="20"/>
          <w:lang w:eastAsia="zh-CN"/>
        </w:rPr>
      </w:pPr>
    </w:p>
    <w:p w14:paraId="07473D09">
      <w:pPr>
        <w:pStyle w:val="6"/>
        <w:snapToGrid w:val="0"/>
        <w:spacing w:line="288" w:lineRule="auto"/>
        <w:ind w:left="0"/>
        <w:jc w:val="both"/>
        <w:rPr>
          <w:rFonts w:ascii="Arial" w:hAnsi="Arial" w:eastAsia="宋体" w:cs="Arial"/>
          <w:lang w:eastAsia="zh-CN"/>
        </w:rPr>
      </w:pPr>
      <w:r>
        <w:rPr>
          <w:rFonts w:ascii="Arial" w:hAnsi="Arial" w:eastAsia="宋体" w:cs="Arial"/>
          <w:u w:val="single"/>
          <w:lang w:eastAsia="zh-CN"/>
        </w:rPr>
        <w:t>灭菌剂/杀微生物剂</w:t>
      </w:r>
      <w:r>
        <w:rPr>
          <w:rFonts w:ascii="Arial" w:hAnsi="Arial" w:eastAsia="宋体" w:cs="Arial"/>
          <w:lang w:eastAsia="zh-CN"/>
        </w:rPr>
        <w:t>：杀死微生物，特别是病原生物的药剂。具有后缀-</w:t>
      </w:r>
      <w:r>
        <w:rPr>
          <w:rFonts w:ascii="Arial" w:hAnsi="Arial" w:eastAsia="宋体" w:cs="Arial"/>
          <w:i/>
          <w:lang w:eastAsia="zh-CN"/>
        </w:rPr>
        <w:t>cide</w:t>
      </w:r>
      <w:r>
        <w:rPr>
          <w:rFonts w:ascii="Arial" w:hAnsi="Arial" w:eastAsia="宋体" w:cs="Arial"/>
          <w:lang w:eastAsia="zh-CN"/>
        </w:rPr>
        <w:t>（例如杀病毒剂、杀真菌剂、灭菌剂、杀孢子剂、杀结核杆菌剂）的其它术语表示一种可破坏由该前缀标识的微生物的试剂。</w:t>
      </w:r>
    </w:p>
    <w:p w14:paraId="788958C1">
      <w:pPr>
        <w:pStyle w:val="6"/>
        <w:snapToGrid w:val="0"/>
        <w:spacing w:line="288" w:lineRule="auto"/>
        <w:ind w:left="0"/>
        <w:jc w:val="both"/>
        <w:rPr>
          <w:rFonts w:ascii="Arial" w:hAnsi="Arial" w:eastAsia="宋体" w:cs="Arial"/>
          <w:lang w:eastAsia="zh-CN"/>
        </w:rPr>
      </w:pPr>
    </w:p>
    <w:p w14:paraId="0E345E2E">
      <w:pPr>
        <w:pStyle w:val="6"/>
        <w:snapToGrid w:val="0"/>
        <w:spacing w:line="288" w:lineRule="auto"/>
        <w:ind w:left="0"/>
        <w:jc w:val="both"/>
        <w:rPr>
          <w:rFonts w:ascii="Arial" w:hAnsi="Arial" w:eastAsia="宋体" w:cs="Arial"/>
          <w:lang w:eastAsia="zh-CN"/>
        </w:rPr>
      </w:pPr>
      <w:r>
        <w:rPr>
          <w:rFonts w:ascii="Arial" w:hAnsi="Arial" w:eastAsia="宋体" w:cs="Arial"/>
          <w:u w:val="single"/>
          <w:lang w:eastAsia="zh-CN"/>
        </w:rPr>
        <w:t>物理/化学灭菌过程指标</w:t>
      </w:r>
      <w:r>
        <w:rPr>
          <w:rFonts w:ascii="Arial" w:hAnsi="Arial" w:eastAsia="宋体" w:cs="Arial"/>
          <w:lang w:eastAsia="zh-CN"/>
        </w:rPr>
        <w:t>：物理/化学灭菌过程指标是一种旨在由医疗服务人员使用的器械，与通过灭菌程序灭菌的产品一起使用，并监测灭菌过程的一个或多个参数。通过这些参数测量的灭菌条件的适当性可由器械中的可见变化表示。（21 CFR 880.2800（b））</w:t>
      </w:r>
    </w:p>
    <w:p w14:paraId="14712279">
      <w:pPr>
        <w:snapToGrid w:val="0"/>
        <w:spacing w:line="288" w:lineRule="auto"/>
        <w:jc w:val="both"/>
        <w:rPr>
          <w:rFonts w:ascii="Arial" w:hAnsi="Arial" w:eastAsia="宋体" w:cs="Arial"/>
          <w:sz w:val="20"/>
          <w:szCs w:val="20"/>
          <w:lang w:eastAsia="zh-CN"/>
        </w:rPr>
      </w:pPr>
    </w:p>
    <w:p w14:paraId="01E49B9B">
      <w:pPr>
        <w:pStyle w:val="6"/>
        <w:snapToGrid w:val="0"/>
        <w:spacing w:line="288" w:lineRule="auto"/>
        <w:ind w:left="0"/>
        <w:jc w:val="both"/>
        <w:rPr>
          <w:rFonts w:ascii="Arial" w:hAnsi="Arial" w:eastAsia="宋体" w:cs="Arial"/>
          <w:lang w:eastAsia="zh-CN"/>
        </w:rPr>
      </w:pPr>
      <w:r>
        <w:rPr>
          <w:rFonts w:ascii="Arial" w:hAnsi="Arial" w:eastAsia="宋体" w:cs="Arial"/>
          <w:u w:val="single"/>
          <w:lang w:eastAsia="zh-CN"/>
        </w:rPr>
        <w:t>过程确认</w:t>
      </w:r>
      <w:r>
        <w:rPr>
          <w:rFonts w:ascii="Arial" w:hAnsi="Arial" w:eastAsia="宋体" w:cs="Arial"/>
          <w:lang w:eastAsia="zh-CN"/>
        </w:rPr>
        <w:t>：通过客观证据确定过程可始终产生满足其预定规格的结果或产品。</w:t>
      </w:r>
    </w:p>
    <w:p w14:paraId="4028671A">
      <w:pPr>
        <w:pStyle w:val="6"/>
        <w:snapToGrid w:val="0"/>
        <w:spacing w:line="288" w:lineRule="auto"/>
        <w:ind w:left="0"/>
        <w:jc w:val="both"/>
        <w:rPr>
          <w:rFonts w:ascii="Arial" w:hAnsi="Arial" w:eastAsia="宋体" w:cs="Arial"/>
          <w:lang w:eastAsia="zh-CN"/>
        </w:rPr>
      </w:pPr>
    </w:p>
    <w:p w14:paraId="523E4CAF">
      <w:pPr>
        <w:pStyle w:val="6"/>
        <w:snapToGrid w:val="0"/>
        <w:spacing w:line="288" w:lineRule="auto"/>
        <w:ind w:left="0"/>
        <w:jc w:val="both"/>
        <w:rPr>
          <w:rFonts w:ascii="Arial" w:hAnsi="Arial" w:eastAsia="宋体" w:cs="Arial"/>
          <w:lang w:eastAsia="zh-CN"/>
        </w:rPr>
      </w:pPr>
      <w:r>
        <w:rPr>
          <w:rFonts w:ascii="Arial" w:hAnsi="Arial" w:eastAsia="宋体" w:cs="Arial"/>
          <w:u w:val="single"/>
          <w:lang w:eastAsia="zh-CN"/>
        </w:rPr>
        <w:t>再加工</w:t>
      </w:r>
      <w:r>
        <w:rPr>
          <w:rFonts w:ascii="Arial" w:hAnsi="Arial" w:eastAsia="宋体" w:cs="Arial"/>
          <w:lang w:eastAsia="zh-CN"/>
        </w:rPr>
        <w:t>：用于以前已使用或污染但适用于后续单次使用的医疗器械的经确认过程。这些过程旨在通过清洁来去除污物和污染物以及通过消毒或灭菌来灭活微生物。</w:t>
      </w:r>
    </w:p>
    <w:p w14:paraId="774149C8">
      <w:pPr>
        <w:pStyle w:val="6"/>
        <w:snapToGrid w:val="0"/>
        <w:spacing w:line="288" w:lineRule="auto"/>
        <w:ind w:left="0"/>
        <w:jc w:val="both"/>
        <w:rPr>
          <w:rFonts w:ascii="Arial" w:hAnsi="Arial" w:eastAsia="宋体" w:cs="Arial"/>
          <w:lang w:eastAsia="zh-CN"/>
        </w:rPr>
      </w:pPr>
    </w:p>
    <w:p w14:paraId="46241809">
      <w:pPr>
        <w:pStyle w:val="6"/>
        <w:snapToGrid w:val="0"/>
        <w:spacing w:line="288" w:lineRule="auto"/>
        <w:ind w:left="0"/>
        <w:jc w:val="both"/>
        <w:rPr>
          <w:rFonts w:ascii="Arial" w:hAnsi="Arial" w:eastAsia="宋体" w:cs="Arial"/>
          <w:lang w:eastAsia="zh-CN"/>
        </w:rPr>
      </w:pPr>
      <w:r>
        <w:rPr>
          <w:rFonts w:ascii="Arial" w:hAnsi="Arial" w:eastAsia="宋体" w:cs="Arial"/>
          <w:u w:val="single"/>
          <w:lang w:eastAsia="zh-CN"/>
        </w:rPr>
        <w:t>可重复使用医疗器械</w:t>
      </w:r>
      <w:r>
        <w:rPr>
          <w:rFonts w:ascii="Arial" w:hAnsi="Arial" w:eastAsia="宋体" w:cs="Arial"/>
          <w:lang w:eastAsia="zh-CN"/>
        </w:rPr>
        <w:t>：用于在相同或不同患者上重复使用的器械，其中，在使用间应进行适当的清洁和其他再加工。</w:t>
      </w:r>
    </w:p>
    <w:p w14:paraId="6D5B01A9">
      <w:pPr>
        <w:pStyle w:val="6"/>
        <w:snapToGrid w:val="0"/>
        <w:spacing w:line="288" w:lineRule="auto"/>
        <w:ind w:left="0"/>
        <w:jc w:val="both"/>
        <w:rPr>
          <w:rFonts w:ascii="Arial" w:hAnsi="Arial" w:eastAsia="宋体" w:cs="Arial"/>
          <w:lang w:eastAsia="zh-CN"/>
        </w:rPr>
      </w:pPr>
    </w:p>
    <w:p w14:paraId="5E667822">
      <w:pPr>
        <w:pStyle w:val="6"/>
        <w:snapToGrid w:val="0"/>
        <w:spacing w:line="288" w:lineRule="auto"/>
        <w:ind w:left="0"/>
        <w:jc w:val="both"/>
        <w:rPr>
          <w:rFonts w:ascii="Arial" w:hAnsi="Arial" w:eastAsia="宋体" w:cs="Arial"/>
          <w:lang w:eastAsia="zh-CN"/>
        </w:rPr>
      </w:pPr>
      <w:r>
        <w:rPr>
          <w:rFonts w:ascii="Arial" w:hAnsi="Arial" w:eastAsia="宋体" w:cs="Arial"/>
          <w:u w:val="single"/>
          <w:lang w:eastAsia="zh-CN"/>
        </w:rPr>
        <w:t>一次性使用器械（SUD）</w:t>
      </w:r>
      <w:r>
        <w:rPr>
          <w:rFonts w:ascii="Arial" w:hAnsi="Arial" w:eastAsia="宋体" w:cs="Arial"/>
          <w:lang w:eastAsia="zh-CN"/>
        </w:rPr>
        <w:t>：SUD是一种仅供单次使用，或在单个手术期间用于单个患者的器械。</w:t>
      </w:r>
      <w:r>
        <w:rPr>
          <w:rFonts w:ascii="Arial" w:hAnsi="Arial" w:eastAsia="宋体" w:cs="Arial"/>
          <w:vertAlign w:val="superscript"/>
          <w:lang w:eastAsia="zh-CN"/>
        </w:rPr>
        <w:t>14</w:t>
      </w:r>
    </w:p>
    <w:p w14:paraId="07665A92">
      <w:pPr>
        <w:pStyle w:val="6"/>
        <w:snapToGrid w:val="0"/>
        <w:spacing w:line="288" w:lineRule="auto"/>
        <w:ind w:left="0"/>
        <w:jc w:val="both"/>
        <w:rPr>
          <w:rFonts w:ascii="Arial" w:hAnsi="Arial" w:eastAsia="宋体" w:cs="Arial"/>
          <w:u w:val="single" w:color="000000"/>
          <w:lang w:eastAsia="zh-CN"/>
        </w:rPr>
      </w:pPr>
    </w:p>
    <w:p w14:paraId="12B852D6">
      <w:pPr>
        <w:pStyle w:val="6"/>
        <w:snapToGrid w:val="0"/>
        <w:spacing w:line="288" w:lineRule="auto"/>
        <w:ind w:left="0"/>
        <w:jc w:val="both"/>
        <w:rPr>
          <w:rFonts w:ascii="Arial" w:hAnsi="Arial" w:eastAsia="宋体" w:cs="Arial"/>
          <w:lang w:eastAsia="zh-CN"/>
        </w:rPr>
      </w:pPr>
      <w:r>
        <w:rPr>
          <w:rFonts w:ascii="Arial" w:hAnsi="Arial" w:eastAsia="宋体" w:cs="Arial"/>
          <w:u w:val="single"/>
          <w:lang w:eastAsia="zh-CN"/>
        </w:rPr>
        <w:t>孢子（或内生孢子）</w:t>
      </w:r>
      <w:r>
        <w:rPr>
          <w:rFonts w:ascii="Arial" w:hAnsi="Arial" w:eastAsia="宋体" w:cs="Arial"/>
          <w:lang w:eastAsia="zh-CN"/>
        </w:rPr>
        <w:t>：微生物（通常是细菌或真菌）的休眠状态，其表现为生物合成活性、降低呼吸活性等的缺乏，并具有对热、辐射、干燥和各种化学试剂的抗性。</w:t>
      </w:r>
    </w:p>
    <w:p w14:paraId="6D520D3D">
      <w:pPr>
        <w:pStyle w:val="6"/>
        <w:snapToGrid w:val="0"/>
        <w:spacing w:line="288" w:lineRule="auto"/>
        <w:ind w:left="0"/>
        <w:jc w:val="both"/>
        <w:rPr>
          <w:rFonts w:ascii="Arial" w:hAnsi="Arial" w:eastAsia="宋体" w:cs="Arial"/>
          <w:lang w:eastAsia="zh-CN"/>
        </w:rPr>
      </w:pPr>
    </w:p>
    <w:p w14:paraId="3E50B4F1">
      <w:pPr>
        <w:pStyle w:val="6"/>
        <w:snapToGrid w:val="0"/>
        <w:spacing w:line="288" w:lineRule="auto"/>
        <w:ind w:left="0"/>
        <w:jc w:val="both"/>
        <w:rPr>
          <w:rFonts w:ascii="Arial" w:hAnsi="Arial" w:eastAsia="宋体" w:cs="Arial"/>
          <w:lang w:eastAsia="zh-CN"/>
        </w:rPr>
      </w:pPr>
      <w:r>
        <w:rPr>
          <w:rFonts w:ascii="Arial" w:hAnsi="Arial" w:eastAsia="宋体" w:cs="Arial"/>
          <w:u w:val="single"/>
          <w:lang w:eastAsia="zh-CN"/>
        </w:rPr>
        <w:t>灭菌剂</w:t>
      </w:r>
      <w:r>
        <w:rPr>
          <w:rFonts w:ascii="Arial" w:hAnsi="Arial" w:eastAsia="宋体" w:cs="Arial"/>
          <w:lang w:eastAsia="zh-CN"/>
        </w:rPr>
        <w:t>：一种破坏微生物的所有活性形式的药剂。</w:t>
      </w:r>
    </w:p>
    <w:p w14:paraId="6C37E630">
      <w:pPr>
        <w:pStyle w:val="6"/>
        <w:snapToGrid w:val="0"/>
        <w:spacing w:line="288" w:lineRule="auto"/>
        <w:ind w:left="0"/>
        <w:jc w:val="both"/>
        <w:rPr>
          <w:rFonts w:ascii="Arial" w:hAnsi="Arial" w:eastAsia="宋体" w:cs="Arial"/>
          <w:lang w:eastAsia="zh-CN"/>
        </w:rPr>
      </w:pPr>
    </w:p>
    <w:p w14:paraId="39138088">
      <w:pPr>
        <w:pStyle w:val="6"/>
        <w:snapToGrid w:val="0"/>
        <w:spacing w:line="288" w:lineRule="auto"/>
        <w:ind w:left="0"/>
        <w:jc w:val="both"/>
        <w:rPr>
          <w:rFonts w:ascii="Arial" w:hAnsi="Arial" w:eastAsia="宋体" w:cs="Arial"/>
          <w:lang w:eastAsia="zh-CN"/>
        </w:rPr>
      </w:pPr>
      <w:r>
        <w:rPr>
          <w:rFonts w:ascii="Arial" w:hAnsi="Arial" w:eastAsia="宋体" w:cs="Arial"/>
          <w:u w:val="single"/>
          <w:lang w:eastAsia="zh-CN"/>
        </w:rPr>
        <w:t>无菌</w:t>
      </w:r>
      <w:r>
        <w:rPr>
          <w:rFonts w:ascii="Arial" w:hAnsi="Arial" w:eastAsia="宋体" w:cs="Arial"/>
          <w:lang w:eastAsia="zh-CN"/>
        </w:rPr>
        <w:t>：不含活性微生物的状态。</w:t>
      </w:r>
    </w:p>
    <w:p w14:paraId="5D2CE8E8">
      <w:pPr>
        <w:pStyle w:val="6"/>
        <w:snapToGrid w:val="0"/>
        <w:spacing w:line="288" w:lineRule="auto"/>
        <w:ind w:left="0"/>
        <w:jc w:val="both"/>
        <w:rPr>
          <w:rFonts w:ascii="Arial" w:hAnsi="Arial" w:eastAsia="宋体" w:cs="Arial"/>
          <w:lang w:eastAsia="zh-CN"/>
        </w:rPr>
      </w:pPr>
    </w:p>
    <w:p w14:paraId="5E53C52F">
      <w:pPr>
        <w:pStyle w:val="6"/>
        <w:snapToGrid w:val="0"/>
        <w:spacing w:line="288" w:lineRule="auto"/>
        <w:ind w:left="0"/>
        <w:jc w:val="both"/>
        <w:rPr>
          <w:rFonts w:ascii="Arial" w:hAnsi="Arial" w:eastAsia="宋体" w:cs="Arial"/>
          <w:lang w:eastAsia="zh-CN"/>
        </w:rPr>
      </w:pPr>
      <w:r>
        <w:rPr>
          <w:rFonts w:ascii="Arial" w:hAnsi="Arial" w:eastAsia="宋体" w:cs="Arial"/>
          <w:u w:val="single"/>
          <w:lang w:eastAsia="zh-CN"/>
        </w:rPr>
        <w:t>无菌保证水平（SAL）</w:t>
      </w:r>
      <w:r>
        <w:rPr>
          <w:rFonts w:ascii="Arial" w:hAnsi="Arial" w:eastAsia="宋体" w:cs="Arial"/>
          <w:lang w:eastAsia="zh-CN"/>
        </w:rPr>
        <w:t>：SAL是灭菌后单个活性微生物出现在某一物品上的概率。</w:t>
      </w:r>
    </w:p>
    <w:p w14:paraId="02CE8293">
      <w:pPr>
        <w:snapToGrid w:val="0"/>
        <w:spacing w:line="288" w:lineRule="auto"/>
        <w:jc w:val="both"/>
        <w:rPr>
          <w:rFonts w:ascii="Arial" w:hAnsi="Arial" w:eastAsia="宋体" w:cs="Arial"/>
          <w:sz w:val="20"/>
          <w:szCs w:val="20"/>
          <w:lang w:eastAsia="zh-CN"/>
        </w:rPr>
      </w:pPr>
    </w:p>
    <w:p w14:paraId="641DD0C8">
      <w:pPr>
        <w:pStyle w:val="6"/>
        <w:snapToGrid w:val="0"/>
        <w:spacing w:line="288" w:lineRule="auto"/>
        <w:ind w:left="0"/>
        <w:jc w:val="both"/>
        <w:rPr>
          <w:rFonts w:ascii="Arial" w:hAnsi="Arial" w:eastAsia="宋体" w:cs="Arial"/>
          <w:lang w:eastAsia="zh-CN"/>
        </w:rPr>
      </w:pPr>
      <w:r>
        <w:rPr>
          <w:rFonts w:ascii="Arial" w:hAnsi="Arial" w:eastAsia="宋体" w:cs="Arial"/>
          <w:u w:val="single"/>
          <w:lang w:eastAsia="zh-CN"/>
        </w:rPr>
        <w:t>灭菌</w:t>
      </w:r>
      <w:r>
        <w:rPr>
          <w:rFonts w:ascii="Arial" w:hAnsi="Arial" w:eastAsia="宋体" w:cs="Arial"/>
          <w:lang w:eastAsia="zh-CN"/>
        </w:rPr>
        <w:t>：用于使产品不含有活性微生物的经确认过程。</w:t>
      </w:r>
    </w:p>
    <w:p w14:paraId="00846864">
      <w:pPr>
        <w:snapToGrid w:val="0"/>
        <w:spacing w:line="288" w:lineRule="auto"/>
        <w:jc w:val="both"/>
        <w:rPr>
          <w:rFonts w:ascii="Arial" w:hAnsi="Arial" w:eastAsia="宋体" w:cs="Arial"/>
          <w:sz w:val="14"/>
          <w:szCs w:val="14"/>
          <w:lang w:eastAsia="zh-CN"/>
        </w:rPr>
      </w:pPr>
    </w:p>
    <w:p w14:paraId="605B0655">
      <w:pPr>
        <w:pStyle w:val="6"/>
        <w:snapToGrid w:val="0"/>
        <w:spacing w:line="288" w:lineRule="auto"/>
        <w:ind w:left="0"/>
        <w:jc w:val="both"/>
        <w:rPr>
          <w:rFonts w:ascii="Arial" w:hAnsi="Arial" w:eastAsia="宋体" w:cs="Arial"/>
          <w:lang w:eastAsia="zh-CN"/>
        </w:rPr>
      </w:pPr>
      <w:r>
        <w:rPr>
          <w:rFonts w:ascii="Arial" w:hAnsi="Arial" w:eastAsia="宋体" w:cs="Arial"/>
          <w:lang w:eastAsia="zh-CN"/>
        </w:rPr>
        <w:t>注意：在灭菌过程中，微生物灭活的性质被描述为指数型，因此，个别物品上微生物的存活率可以用概率来表示。虽然这个概率可以降低到非常低的量，但是其永远不会减少到零。</w:t>
      </w:r>
    </w:p>
    <w:p w14:paraId="154C5A42">
      <w:pPr>
        <w:snapToGrid w:val="0"/>
        <w:spacing w:line="288" w:lineRule="auto"/>
        <w:jc w:val="both"/>
        <w:rPr>
          <w:rFonts w:ascii="Arial" w:hAnsi="Arial" w:eastAsia="宋体" w:cs="Arial"/>
          <w:sz w:val="18"/>
          <w:szCs w:val="18"/>
          <w:lang w:eastAsia="zh-CN"/>
        </w:rPr>
      </w:pPr>
    </w:p>
    <w:p w14:paraId="6DD3659B">
      <w:pPr>
        <w:snapToGrid w:val="0"/>
        <w:spacing w:line="288"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16" name="Group 8"/>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17" name="Group 9"/>
                        <wpg:cNvGrpSpPr/>
                        <wpg:grpSpPr>
                          <a:xfrm>
                            <a:off x="6" y="6"/>
                            <a:ext cx="2880" cy="2"/>
                            <a:chOff x="6" y="6"/>
                            <a:chExt cx="2880" cy="2"/>
                          </a:xfrm>
                        </wpg:grpSpPr>
                        <wps:wsp>
                          <wps:cNvPr id="18" name="Freeform 10"/>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8"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gP6EhdQAAAADAQAADwAAAAAAAAABACAAAAAiAAAAZHJzL2Rvd25yZXYueG1s&#10;UEsBAhQAFAAAAAgAh07iQPt8YHoZAwAA/AcAAA4AAAAAAAAAAQAgAAAAIwEAAGRycy9lMm9Eb2Mu&#10;eG1sUEsFBgAAAAAGAAYAWQEAAK4GAAAAAA==&#10;">
                <o:lock v:ext="edit" aspectratio="f"/>
                <v:group id="Group 9" o:spid="_x0000_s1026" o:spt="203" style="position:absolute;left:6;top:6;height:2;width:2880;" coordorigin="6,6" coordsize="2880,2"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Freeform 10" o:spid="_x0000_s1026" o:spt="100" style="position:absolute;left:6;top:6;height:2;width:2880;" filled="f" stroked="t" coordsize="2880,1" o:gfxdata="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CZM7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5CE19BF4">
      <w:pPr>
        <w:snapToGrid w:val="0"/>
        <w:spacing w:line="288" w:lineRule="auto"/>
        <w:rPr>
          <w:rFonts w:ascii="Arial" w:hAnsi="Arial" w:eastAsia="宋体" w:cs="Arial"/>
          <w:sz w:val="20"/>
          <w:szCs w:val="20"/>
        </w:rPr>
      </w:pPr>
      <w:r>
        <w:rPr>
          <w:rFonts w:ascii="Arial" w:hAnsi="Arial" w:eastAsia="宋体" w:cs="Arial"/>
          <w:position w:val="9"/>
          <w:sz w:val="13"/>
        </w:rPr>
        <w:t>14</w:t>
      </w:r>
      <w:r>
        <w:rPr>
          <w:rFonts w:ascii="Arial" w:hAnsi="Arial" w:eastAsia="宋体" w:cs="Arial"/>
          <w:sz w:val="20"/>
          <w:szCs w:val="20"/>
        </w:rPr>
        <w:t>食品药品监督管理局（FDA），</w:t>
      </w:r>
      <w:r>
        <w:rPr>
          <w:rFonts w:ascii="Arial" w:hAnsi="Arial" w:eastAsia="宋体" w:cs="Arial"/>
          <w:sz w:val="20"/>
          <w:szCs w:val="20"/>
          <w:lang w:eastAsia="zh-CN"/>
        </w:rPr>
        <w:t>一次性</w:t>
      </w:r>
      <w:r>
        <w:rPr>
          <w:rFonts w:ascii="Arial" w:hAnsi="Arial" w:eastAsia="宋体" w:cs="Arial"/>
          <w:sz w:val="20"/>
          <w:szCs w:val="20"/>
        </w:rPr>
        <w:t>使用器械的再加工，定义，</w:t>
      </w:r>
      <w:r>
        <w:fldChar w:fldCharType="begin"/>
      </w:r>
      <w:r>
        <w:instrText xml:space="preserve"> HYPERLINK "http://www.fda.gov/MedicalDevices/DeviceRegulationandGuidance/ReprocessingofSingle-UseDevices/ucm121090.htm" \h </w:instrText>
      </w:r>
      <w:r>
        <w:fldChar w:fldCharType="separate"/>
      </w:r>
      <w:r>
        <w:rPr>
          <w:rFonts w:ascii="Arial" w:hAnsi="Arial" w:eastAsia="宋体" w:cs="Arial"/>
          <w:color w:val="0000FF"/>
          <w:spacing w:val="-1"/>
          <w:sz w:val="20"/>
          <w:u w:val="single" w:color="0000FF"/>
        </w:rPr>
        <w:t>http：//www.fda.gov/MedicalDevices/DeviceRegulationandGuidance/ReprocessingofSingle</w:t>
      </w:r>
      <w:r>
        <w:rPr>
          <w:rFonts w:ascii="Arial" w:hAnsi="Arial" w:eastAsia="宋体" w:cs="Arial"/>
          <w:color w:val="0000FF"/>
          <w:spacing w:val="-1"/>
          <w:sz w:val="20"/>
          <w:u w:val="single" w:color="0000FF"/>
        </w:rPr>
        <w:fldChar w:fldCharType="end"/>
      </w:r>
      <w:r>
        <w:rPr>
          <w:rFonts w:ascii="Arial" w:hAnsi="Arial" w:eastAsia="宋体" w:cs="Arial"/>
          <w:color w:val="0000FF"/>
          <w:spacing w:val="-1"/>
          <w:sz w:val="20"/>
          <w:u w:val="single" w:color="0000FF"/>
        </w:rPr>
        <w:t>-</w:t>
      </w:r>
      <w:r>
        <w:rPr>
          <w:rFonts w:ascii="Arial" w:hAnsi="Arial" w:eastAsia="宋体" w:cs="Arial"/>
          <w:color w:val="0000FF"/>
          <w:spacing w:val="-12"/>
          <w:sz w:val="20"/>
          <w:u w:val="single" w:color="0000FF"/>
        </w:rPr>
        <w:t xml:space="preserve"> </w:t>
      </w:r>
      <w:r>
        <w:fldChar w:fldCharType="begin"/>
      </w:r>
      <w:r>
        <w:instrText xml:space="preserve"> HYPERLINK "http://www.fda.gov/MedicalDevices/DeviceRegulationandGuidance/ReprocessingofSingle-UseDevices/ucm121090.htm" \h </w:instrText>
      </w:r>
      <w:r>
        <w:fldChar w:fldCharType="separate"/>
      </w:r>
      <w:r>
        <w:rPr>
          <w:rFonts w:ascii="Arial" w:hAnsi="Arial" w:eastAsia="宋体" w:cs="Arial"/>
          <w:color w:val="0000FF"/>
          <w:sz w:val="20"/>
          <w:u w:val="single" w:color="0000FF"/>
        </w:rPr>
        <w:t xml:space="preserve">UseDevices/ucm121090.htm </w:t>
      </w:r>
      <w:r>
        <w:rPr>
          <w:rFonts w:ascii="Arial" w:hAnsi="Arial" w:eastAsia="宋体" w:cs="Arial"/>
          <w:color w:val="0000FF"/>
          <w:sz w:val="20"/>
          <w:u w:val="single" w:color="0000FF"/>
        </w:rPr>
        <w:fldChar w:fldCharType="end"/>
      </w:r>
      <w:r>
        <w:rPr>
          <w:rFonts w:ascii="Arial" w:hAnsi="Arial" w:eastAsia="宋体" w:cs="Arial"/>
          <w:sz w:val="20"/>
          <w:szCs w:val="20"/>
        </w:rPr>
        <w:t>（2009年6月18日）。</w:t>
      </w:r>
    </w:p>
    <w:p w14:paraId="32C9391E">
      <w:pPr>
        <w:pStyle w:val="6"/>
        <w:snapToGrid w:val="0"/>
        <w:spacing w:before="214" w:line="300" w:lineRule="auto"/>
        <w:ind w:left="0"/>
        <w:jc w:val="both"/>
        <w:rPr>
          <w:rFonts w:ascii="Arial" w:hAnsi="Arial" w:eastAsia="宋体" w:cs="Arial"/>
          <w:lang w:eastAsia="zh-CN"/>
        </w:rPr>
      </w:pPr>
      <w:r>
        <w:rPr>
          <w:rFonts w:ascii="Arial" w:hAnsi="Arial" w:eastAsia="宋体" w:cs="Arial"/>
          <w:u w:val="single"/>
          <w:lang w:eastAsia="zh-CN"/>
        </w:rPr>
        <w:t>灭菌包装：</w:t>
      </w:r>
      <w:r>
        <w:rPr>
          <w:rFonts w:ascii="Arial" w:hAnsi="Arial" w:eastAsia="宋体" w:cs="Arial"/>
          <w:lang w:eastAsia="zh-CN"/>
        </w:rPr>
        <w:t>灭菌包装（包装、灭菌包装、袋子或附件）是一种旨在用于封装由医疗服务人员进行灭菌的其他医疗器械的器械。其旨在允许对封装医疗器械进行灭菌，并且维持封装器械的无菌性，直到使用为止。（21 CFR 880.6850）</w:t>
      </w:r>
    </w:p>
    <w:p w14:paraId="7E3EDEEB">
      <w:pPr>
        <w:snapToGrid w:val="0"/>
        <w:spacing w:before="71" w:line="300" w:lineRule="auto"/>
        <w:ind w:left="119"/>
        <w:jc w:val="both"/>
        <w:rPr>
          <w:rFonts w:ascii="Arial" w:hAnsi="Arial" w:eastAsia="宋体" w:cs="Arial"/>
          <w:sz w:val="20"/>
          <w:szCs w:val="20"/>
          <w:lang w:eastAsia="zh-CN"/>
        </w:rPr>
      </w:pPr>
    </w:p>
    <w:p w14:paraId="4C956E9E">
      <w:pPr>
        <w:snapToGrid w:val="0"/>
        <w:spacing w:line="300" w:lineRule="auto"/>
        <w:jc w:val="both"/>
        <w:rPr>
          <w:rFonts w:ascii="Arial" w:hAnsi="Arial" w:eastAsia="宋体" w:cs="Arial"/>
          <w:sz w:val="20"/>
          <w:szCs w:val="20"/>
          <w:lang w:eastAsia="zh-CN"/>
        </w:rPr>
        <w:sectPr>
          <w:pgSz w:w="12260" w:h="15840"/>
          <w:pgMar w:top="1134" w:right="1134" w:bottom="1134" w:left="1134" w:header="748" w:footer="773" w:gutter="0"/>
          <w:cols w:space="720" w:num="1"/>
          <w:docGrid w:linePitch="299" w:charSpace="0"/>
        </w:sectPr>
      </w:pPr>
    </w:p>
    <w:p w14:paraId="0CA30758">
      <w:pPr>
        <w:pStyle w:val="3"/>
        <w:snapToGrid w:val="0"/>
        <w:spacing w:before="220" w:line="300" w:lineRule="auto"/>
        <w:ind w:left="720"/>
        <w:jc w:val="both"/>
        <w:rPr>
          <w:rFonts w:ascii="Arial" w:hAnsi="Arial" w:eastAsia="宋体" w:cs="Arial"/>
          <w:b w:val="0"/>
          <w:bCs w:val="0"/>
          <w:lang w:eastAsia="zh-CN"/>
        </w:rPr>
      </w:pPr>
      <w:bookmarkStart w:id="89" w:name="APPENDIX_B.__Overview_of_Reusable_Medica"/>
      <w:bookmarkEnd w:id="89"/>
      <w:bookmarkStart w:id="90" w:name="_Toc481569216"/>
      <w:r>
        <w:rPr>
          <w:rFonts w:ascii="Arial" w:hAnsi="Arial" w:eastAsia="宋体" w:cs="Arial"/>
          <w:lang w:eastAsia="zh-CN"/>
        </w:rPr>
        <w:t>附录B. 可重复使用医疗器械再加工概述</w:t>
      </w:r>
      <w:bookmarkEnd w:id="90"/>
    </w:p>
    <w:p w14:paraId="36FD57CC">
      <w:pPr>
        <w:snapToGrid w:val="0"/>
        <w:spacing w:before="6" w:line="300" w:lineRule="auto"/>
        <w:jc w:val="both"/>
        <w:rPr>
          <w:rFonts w:ascii="Arial" w:hAnsi="Arial" w:eastAsia="宋体" w:cs="Arial"/>
          <w:b/>
          <w:bCs/>
          <w:sz w:val="14"/>
          <w:szCs w:val="14"/>
          <w:lang w:eastAsia="zh-CN"/>
        </w:rPr>
      </w:pPr>
    </w:p>
    <w:p w14:paraId="425FBC20">
      <w:pPr>
        <w:pStyle w:val="6"/>
        <w:snapToGrid w:val="0"/>
        <w:spacing w:before="201" w:line="300" w:lineRule="auto"/>
        <w:ind w:left="0"/>
        <w:jc w:val="both"/>
        <w:rPr>
          <w:rFonts w:ascii="Arial" w:hAnsi="Arial" w:eastAsia="宋体" w:cs="Arial"/>
          <w:lang w:eastAsia="zh-CN"/>
        </w:rPr>
      </w:pPr>
      <w:r>
        <w:rPr>
          <w:rFonts w:ascii="Arial" w:hAnsi="Arial" w:eastAsia="宋体" w:cs="Arial"/>
          <w:lang w:eastAsia="zh-CN"/>
        </w:rPr>
        <w:t>由于负责再加工可重复使用器械的医疗员工难以评估要再加工的器械上的微生物污染的量和抗性，产品标签、专业实践和机构感染控制程序将有助于指导负责再加工的人员。</w:t>
      </w:r>
    </w:p>
    <w:p w14:paraId="638803CF">
      <w:pPr>
        <w:pStyle w:val="6"/>
        <w:snapToGrid w:val="0"/>
        <w:spacing w:before="201" w:line="300" w:lineRule="auto"/>
        <w:ind w:left="0"/>
        <w:jc w:val="both"/>
        <w:rPr>
          <w:rFonts w:ascii="Arial" w:hAnsi="Arial" w:eastAsia="宋体" w:cs="Arial"/>
          <w:lang w:eastAsia="zh-CN"/>
        </w:rPr>
      </w:pPr>
      <w:r>
        <w:rPr>
          <w:rFonts w:ascii="Arial" w:hAnsi="Arial" w:eastAsia="宋体" w:cs="Arial"/>
          <w:lang w:eastAsia="zh-CN"/>
        </w:rPr>
        <w:t>通过仔细遵守以下详细概述（如图2所示）中所述的一般再加工步骤，对可重复使用医疗器械进行适当的加工和再加工以供下一患者使用。</w:t>
      </w:r>
    </w:p>
    <w:p w14:paraId="364BA7FA">
      <w:pPr>
        <w:pStyle w:val="5"/>
        <w:snapToGrid w:val="0"/>
        <w:spacing w:before="206" w:line="300" w:lineRule="auto"/>
        <w:ind w:left="0" w:firstLine="0"/>
        <w:jc w:val="both"/>
        <w:rPr>
          <w:rFonts w:ascii="Arial" w:hAnsi="Arial" w:eastAsia="宋体" w:cs="Arial"/>
          <w:b w:val="0"/>
          <w:bCs w:val="0"/>
        </w:rPr>
      </w:pPr>
      <w:r>
        <w:rPr>
          <w:rFonts w:ascii="Arial" w:hAnsi="Arial" w:eastAsia="宋体" w:cs="Arial"/>
        </w:rPr>
        <w:t>图2.过程概述</w:t>
      </w:r>
    </w:p>
    <w:p w14:paraId="6A1F1A82">
      <w:pPr>
        <w:snapToGrid w:val="0"/>
        <w:spacing w:line="300" w:lineRule="auto"/>
        <w:jc w:val="both"/>
        <w:rPr>
          <w:rFonts w:ascii="Arial" w:hAnsi="Arial" w:eastAsia="宋体" w:cs="Arial"/>
          <w:b/>
          <w:bCs/>
          <w:sz w:val="18"/>
          <w:szCs w:val="18"/>
        </w:rPr>
      </w:pPr>
      <w:r>
        <w:rPr>
          <w:rFonts w:ascii="Arial" w:hAnsi="Arial" w:eastAsia="宋体" w:cs="Arial"/>
          <w:position w:val="-111"/>
          <w:sz w:val="20"/>
          <w:szCs w:val="20"/>
          <w:lang w:eastAsia="zh-CN"/>
        </w:rPr>
        <mc:AlternateContent>
          <mc:Choice Requires="wps">
            <w:drawing>
              <wp:anchor distT="0" distB="0" distL="114300" distR="114300" simplePos="0" relativeHeight="251662336" behindDoc="0" locked="0" layoutInCell="1" allowOverlap="1">
                <wp:simplePos x="0" y="0"/>
                <wp:positionH relativeFrom="column">
                  <wp:posOffset>69215</wp:posOffset>
                </wp:positionH>
                <wp:positionV relativeFrom="paragraph">
                  <wp:posOffset>165100</wp:posOffset>
                </wp:positionV>
                <wp:extent cx="5447665" cy="414655"/>
                <wp:effectExtent l="12065" t="12700" r="7620" b="10795"/>
                <wp:wrapNone/>
                <wp:docPr id="15" name="Text Box 60"/>
                <wp:cNvGraphicFramePr/>
                <a:graphic xmlns:a="http://schemas.openxmlformats.org/drawingml/2006/main">
                  <a:graphicData uri="http://schemas.microsoft.com/office/word/2010/wordprocessingShape">
                    <wps:wsp>
                      <wps:cNvSpPr txBox="1">
                        <a:spLocks noChangeArrowheads="1"/>
                      </wps:cNvSpPr>
                      <wps:spPr bwMode="auto">
                        <a:xfrm>
                          <a:off x="0" y="0"/>
                          <a:ext cx="5447665" cy="414655"/>
                        </a:xfrm>
                        <a:prstGeom prst="rect">
                          <a:avLst/>
                        </a:prstGeom>
                        <a:solidFill>
                          <a:srgbClr val="FFFFFF"/>
                        </a:solidFill>
                        <a:ln w="9525">
                          <a:solidFill>
                            <a:srgbClr val="000000"/>
                          </a:solidFill>
                          <a:miter lim="800000"/>
                        </a:ln>
                      </wps:spPr>
                      <wps:txbx>
                        <w:txbxContent>
                          <w:p w14:paraId="448B0C6D">
                            <w:pPr>
                              <w:pStyle w:val="6"/>
                              <w:numPr>
                                <w:ilvl w:val="0"/>
                                <w:numId w:val="14"/>
                              </w:numPr>
                              <w:snapToGrid w:val="0"/>
                              <w:spacing w:line="300" w:lineRule="auto"/>
                              <w:jc w:val="both"/>
                              <w:rPr>
                                <w:rFonts w:ascii="Arial" w:hAnsi="Arial" w:eastAsia="宋体" w:cs="Arial"/>
                                <w:sz w:val="15"/>
                                <w:szCs w:val="15"/>
                                <w:lang w:eastAsia="zh-CN"/>
                              </w:rPr>
                            </w:pPr>
                            <w:r>
                              <w:rPr>
                                <w:rFonts w:hint="eastAsia" w:ascii="Arial" w:hAnsi="Arial" w:eastAsia="宋体" w:cs="Arial"/>
                                <w:b/>
                                <w:sz w:val="15"/>
                                <w:szCs w:val="15"/>
                                <w:u w:val="single"/>
                                <w:lang w:eastAsia="zh-CN"/>
                              </w:rPr>
                              <w:t>再加工应在使用点开始。</w:t>
                            </w:r>
                            <w:r>
                              <w:rPr>
                                <w:rFonts w:ascii="Arial" w:hAnsi="Arial" w:eastAsia="宋体" w:cs="Arial"/>
                                <w:sz w:val="15"/>
                                <w:szCs w:val="15"/>
                                <w:lang w:eastAsia="zh-CN"/>
                              </w:rPr>
                              <w:t>去除保护性护盖。将可重复使用器械与废品分开。器械通常须扫除可见污物，保持湿润，正确包装并运输至专用清洁工作区域。</w:t>
                            </w:r>
                          </w:p>
                          <w:p w14:paraId="01FF119D">
                            <w:pPr>
                              <w:rPr>
                                <w:lang w:eastAsia="zh-CN"/>
                              </w:rPr>
                            </w:pPr>
                          </w:p>
                        </w:txbxContent>
                      </wps:txbx>
                      <wps:bodyPr rot="0" vert="horz" wrap="square" lIns="91440" tIns="45720" rIns="91440" bIns="45720" anchor="t" anchorCtr="0" upright="1">
                        <a:noAutofit/>
                      </wps:bodyPr>
                    </wps:wsp>
                  </a:graphicData>
                </a:graphic>
              </wp:anchor>
            </w:drawing>
          </mc:Choice>
          <mc:Fallback>
            <w:pict>
              <v:shape id="Text Box 60" o:spid="_x0000_s1026" o:spt="202" type="#_x0000_t202" style="position:absolute;left:0pt;margin-left:5.45pt;margin-top:13pt;height:32.65pt;width:428.95pt;z-index:251662336;mso-width-relative:page;mso-height-relative:page;" fillcolor="#FFFFFF" filled="t" stroked="t" coordsize="21600,21600" o:gfxdata="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b6chJ1gAAAAgBAAAPAAAAAAAAAAEAIAAAACIAAABkcnMvZG93bnJldi54bWxQ&#10;SwECFAAUAAAACACHTuJAXPuyaTICAACIBAAADgAAAAAAAAABACAAAAAlAQAAZHJzL2Uyb0RvYy54&#10;bWxQSwUGAAAAAAYABgBZAQAAyQUAAAAA&#10;">
                <v:fill on="t" focussize="0,0"/>
                <v:stroke color="#000000" miterlimit="8" joinstyle="miter"/>
                <v:imagedata o:title=""/>
                <o:lock v:ext="edit" aspectratio="f"/>
                <v:textbox>
                  <w:txbxContent>
                    <w:p w14:paraId="448B0C6D">
                      <w:pPr>
                        <w:pStyle w:val="6"/>
                        <w:numPr>
                          <w:ilvl w:val="0"/>
                          <w:numId w:val="14"/>
                        </w:numPr>
                        <w:snapToGrid w:val="0"/>
                        <w:spacing w:line="300" w:lineRule="auto"/>
                        <w:jc w:val="both"/>
                        <w:rPr>
                          <w:rFonts w:ascii="Arial" w:hAnsi="Arial" w:eastAsia="宋体" w:cs="Arial"/>
                          <w:sz w:val="15"/>
                          <w:szCs w:val="15"/>
                          <w:lang w:eastAsia="zh-CN"/>
                        </w:rPr>
                      </w:pPr>
                      <w:r>
                        <w:rPr>
                          <w:rFonts w:hint="eastAsia" w:ascii="Arial" w:hAnsi="Arial" w:eastAsia="宋体" w:cs="Arial"/>
                          <w:b/>
                          <w:sz w:val="15"/>
                          <w:szCs w:val="15"/>
                          <w:u w:val="single"/>
                          <w:lang w:eastAsia="zh-CN"/>
                        </w:rPr>
                        <w:t>再加工应在使用点开始。</w:t>
                      </w:r>
                      <w:r>
                        <w:rPr>
                          <w:rFonts w:ascii="Arial" w:hAnsi="Arial" w:eastAsia="宋体" w:cs="Arial"/>
                          <w:sz w:val="15"/>
                          <w:szCs w:val="15"/>
                          <w:lang w:eastAsia="zh-CN"/>
                        </w:rPr>
                        <w:t>去除保护性护盖。将可重复使用器械与废品分开。器械通常须扫除可见污物，保持湿润，正确包装并运输至专用清洁工作区域。</w:t>
                      </w:r>
                    </w:p>
                    <w:p w14:paraId="01FF119D">
                      <w:pPr>
                        <w:rPr>
                          <w:lang w:eastAsia="zh-CN"/>
                        </w:rPr>
                      </w:pPr>
                    </w:p>
                  </w:txbxContent>
                </v:textbox>
              </v:shape>
            </w:pict>
          </mc:Fallback>
        </mc:AlternateContent>
      </w:r>
    </w:p>
    <w:p w14:paraId="5F7C436D">
      <w:pPr>
        <w:snapToGrid w:val="0"/>
        <w:spacing w:line="300" w:lineRule="auto"/>
        <w:ind w:left="120"/>
        <w:jc w:val="both"/>
        <w:rPr>
          <w:rFonts w:ascii="Arial" w:hAnsi="Arial" w:eastAsia="宋体" w:cs="Arial"/>
          <w:sz w:val="20"/>
          <w:szCs w:val="20"/>
        </w:rPr>
      </w:pPr>
      <w:r>
        <w:rPr>
          <w:rFonts w:ascii="Arial" w:hAnsi="Arial" w:eastAsia="宋体" w:cs="Arial"/>
          <w:position w:val="-111"/>
          <w:sz w:val="20"/>
          <w:szCs w:val="20"/>
          <w:lang w:eastAsia="zh-CN"/>
        </w:rPr>
        <mc:AlternateContent>
          <mc:Choice Requires="wps">
            <w:drawing>
              <wp:anchor distT="0" distB="0" distL="114300" distR="114300" simplePos="0" relativeHeight="251665408" behindDoc="0" locked="0" layoutInCell="1" allowOverlap="1">
                <wp:simplePos x="0" y="0"/>
                <wp:positionH relativeFrom="column">
                  <wp:posOffset>80010</wp:posOffset>
                </wp:positionH>
                <wp:positionV relativeFrom="paragraph">
                  <wp:posOffset>1789430</wp:posOffset>
                </wp:positionV>
                <wp:extent cx="5436870" cy="518160"/>
                <wp:effectExtent l="13335" t="8255" r="7620" b="6985"/>
                <wp:wrapNone/>
                <wp:docPr id="14" name="Text Box 63"/>
                <wp:cNvGraphicFramePr/>
                <a:graphic xmlns:a="http://schemas.openxmlformats.org/drawingml/2006/main">
                  <a:graphicData uri="http://schemas.microsoft.com/office/word/2010/wordprocessingShape">
                    <wps:wsp>
                      <wps:cNvSpPr txBox="1">
                        <a:spLocks noChangeArrowheads="1"/>
                      </wps:cNvSpPr>
                      <wps:spPr bwMode="auto">
                        <a:xfrm>
                          <a:off x="0" y="0"/>
                          <a:ext cx="5436870" cy="518160"/>
                        </a:xfrm>
                        <a:prstGeom prst="rect">
                          <a:avLst/>
                        </a:prstGeom>
                        <a:solidFill>
                          <a:srgbClr val="FFFFFF"/>
                        </a:solidFill>
                        <a:ln w="9525">
                          <a:solidFill>
                            <a:srgbClr val="000000"/>
                          </a:solidFill>
                          <a:miter lim="800000"/>
                        </a:ln>
                      </wps:spPr>
                      <wps:txbx>
                        <w:txbxContent>
                          <w:p w14:paraId="43DDEADB">
                            <w:pPr>
                              <w:pStyle w:val="6"/>
                              <w:numPr>
                                <w:ilvl w:val="0"/>
                                <w:numId w:val="14"/>
                              </w:numPr>
                              <w:snapToGrid w:val="0"/>
                              <w:spacing w:line="300" w:lineRule="auto"/>
                              <w:jc w:val="both"/>
                              <w:rPr>
                                <w:lang w:eastAsia="zh-CN"/>
                              </w:rPr>
                            </w:pPr>
                            <w:r>
                              <w:rPr>
                                <w:rFonts w:hint="eastAsia" w:ascii="Arial" w:hAnsi="Arial" w:eastAsia="宋体" w:cs="Arial"/>
                                <w:b/>
                                <w:sz w:val="15"/>
                                <w:szCs w:val="15"/>
                                <w:u w:val="single"/>
                                <w:lang w:eastAsia="zh-CN"/>
                              </w:rPr>
                              <w:t>最终再加工</w:t>
                            </w:r>
                            <w:r>
                              <w:rPr>
                                <w:rFonts w:ascii="Arial" w:hAnsi="Arial" w:eastAsia="宋体" w:cs="Arial"/>
                                <w:b/>
                                <w:sz w:val="15"/>
                                <w:szCs w:val="15"/>
                                <w:u w:val="single"/>
                                <w:lang w:eastAsia="zh-CN"/>
                              </w:rPr>
                              <w:t>/规划：</w:t>
                            </w:r>
                            <w:r>
                              <w:rPr>
                                <w:rFonts w:ascii="Arial" w:hAnsi="Arial" w:eastAsia="宋体" w:cs="Arial"/>
                                <w:sz w:val="15"/>
                                <w:szCs w:val="15"/>
                                <w:lang w:eastAsia="zh-CN"/>
                              </w:rPr>
                              <w:t>已彻底清洁但未直接投入使用的器械应接受规划以进行最终灭菌工程（即，消毒/灭菌）。清洁后，可以进行其他灭菌步骤。基于器械的预期用途，纳入消毒或灭菌过程以确认其可安全用于下一患者使用</w:t>
                            </w:r>
                          </w:p>
                        </w:txbxContent>
                      </wps:txbx>
                      <wps:bodyPr rot="0" vert="horz" wrap="square" lIns="91440" tIns="45720" rIns="91440" bIns="45720" anchor="t" anchorCtr="0" upright="1">
                        <a:noAutofit/>
                      </wps:bodyPr>
                    </wps:wsp>
                  </a:graphicData>
                </a:graphic>
              </wp:anchor>
            </w:drawing>
          </mc:Choice>
          <mc:Fallback>
            <w:pict>
              <v:shape id="Text Box 63" o:spid="_x0000_s1026" o:spt="202" type="#_x0000_t202" style="position:absolute;left:0pt;margin-left:6.3pt;margin-top:140.9pt;height:40.8pt;width:428.1pt;z-index:251665408;mso-width-relative:page;mso-height-relative:page;" fillcolor="#FFFFFF" filled="t" stroked="t" coordsize="21600,21600" o:gfxdata="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HWHaTYAAAACgEAAA8AAAAAAAAAAQAgAAAAIgAAAGRycy9kb3ducmV2Lnht&#10;bFBLAQIUABQAAAAIAIdO4kC3/C7sMgIAAIgEAAAOAAAAAAAAAAEAIAAAACcBAABkcnMvZTJvRG9j&#10;LnhtbFBLBQYAAAAABgAGAFkBAADLBQAAAAA=&#10;">
                <v:fill on="t" focussize="0,0"/>
                <v:stroke color="#000000" miterlimit="8" joinstyle="miter"/>
                <v:imagedata o:title=""/>
                <o:lock v:ext="edit" aspectratio="f"/>
                <v:textbox>
                  <w:txbxContent>
                    <w:p w14:paraId="43DDEADB">
                      <w:pPr>
                        <w:pStyle w:val="6"/>
                        <w:numPr>
                          <w:ilvl w:val="0"/>
                          <w:numId w:val="14"/>
                        </w:numPr>
                        <w:snapToGrid w:val="0"/>
                        <w:spacing w:line="300" w:lineRule="auto"/>
                        <w:jc w:val="both"/>
                        <w:rPr>
                          <w:lang w:eastAsia="zh-CN"/>
                        </w:rPr>
                      </w:pPr>
                      <w:r>
                        <w:rPr>
                          <w:rFonts w:hint="eastAsia" w:ascii="Arial" w:hAnsi="Arial" w:eastAsia="宋体" w:cs="Arial"/>
                          <w:b/>
                          <w:sz w:val="15"/>
                          <w:szCs w:val="15"/>
                          <w:u w:val="single"/>
                          <w:lang w:eastAsia="zh-CN"/>
                        </w:rPr>
                        <w:t>最终再加工</w:t>
                      </w:r>
                      <w:r>
                        <w:rPr>
                          <w:rFonts w:ascii="Arial" w:hAnsi="Arial" w:eastAsia="宋体" w:cs="Arial"/>
                          <w:b/>
                          <w:sz w:val="15"/>
                          <w:szCs w:val="15"/>
                          <w:u w:val="single"/>
                          <w:lang w:eastAsia="zh-CN"/>
                        </w:rPr>
                        <w:t>/规划：</w:t>
                      </w:r>
                      <w:r>
                        <w:rPr>
                          <w:rFonts w:ascii="Arial" w:hAnsi="Arial" w:eastAsia="宋体" w:cs="Arial"/>
                          <w:sz w:val="15"/>
                          <w:szCs w:val="15"/>
                          <w:lang w:eastAsia="zh-CN"/>
                        </w:rPr>
                        <w:t>已彻底清洁但未直接投入使用的器械应接受规划以进行最终灭菌工程（即，消毒/灭菌）。清洁后，可以进行其他灭菌步骤。基于器械的预期用途，纳入消毒或灭菌过程以确认其可安全用于下一患者使用</w:t>
                      </w:r>
                    </w:p>
                  </w:txbxContent>
                </v:textbox>
              </v:shape>
            </w:pict>
          </mc:Fallback>
        </mc:AlternateContent>
      </w:r>
      <w:r>
        <w:rPr>
          <w:rFonts w:ascii="Arial" w:hAnsi="Arial" w:eastAsia="宋体" w:cs="Arial"/>
          <w:position w:val="-111"/>
          <w:sz w:val="20"/>
          <w:szCs w:val="20"/>
          <w:lang w:eastAsia="zh-CN"/>
        </w:rPr>
        <mc:AlternateContent>
          <mc:Choice Requires="wps">
            <w:drawing>
              <wp:anchor distT="0" distB="0" distL="114300" distR="114300" simplePos="0" relativeHeight="251668480" behindDoc="0" locked="0" layoutInCell="1" allowOverlap="1">
                <wp:simplePos x="0" y="0"/>
                <wp:positionH relativeFrom="column">
                  <wp:posOffset>4039870</wp:posOffset>
                </wp:positionH>
                <wp:positionV relativeFrom="paragraph">
                  <wp:posOffset>2495550</wp:posOffset>
                </wp:positionV>
                <wp:extent cx="1477010" cy="1069340"/>
                <wp:effectExtent l="10795" t="9525" r="7620" b="6985"/>
                <wp:wrapNone/>
                <wp:docPr id="13" name="Text Box 66"/>
                <wp:cNvGraphicFramePr/>
                <a:graphic xmlns:a="http://schemas.openxmlformats.org/drawingml/2006/main">
                  <a:graphicData uri="http://schemas.microsoft.com/office/word/2010/wordprocessingShape">
                    <wps:wsp>
                      <wps:cNvSpPr txBox="1">
                        <a:spLocks noChangeArrowheads="1"/>
                      </wps:cNvSpPr>
                      <wps:spPr bwMode="auto">
                        <a:xfrm>
                          <a:off x="0" y="0"/>
                          <a:ext cx="1477010" cy="1069340"/>
                        </a:xfrm>
                        <a:prstGeom prst="rect">
                          <a:avLst/>
                        </a:prstGeom>
                        <a:solidFill>
                          <a:srgbClr val="FFFFFF"/>
                        </a:solidFill>
                        <a:ln w="9525">
                          <a:solidFill>
                            <a:srgbClr val="000000"/>
                          </a:solidFill>
                          <a:miter lim="800000"/>
                        </a:ln>
                      </wps:spPr>
                      <wps:txbx>
                        <w:txbxContent>
                          <w:p w14:paraId="7F0635E1">
                            <w:pPr>
                              <w:pStyle w:val="6"/>
                              <w:snapToGrid w:val="0"/>
                              <w:spacing w:line="300" w:lineRule="auto"/>
                              <w:ind w:left="1" w:leftChars="-1" w:hanging="3" w:hangingChars="2"/>
                              <w:jc w:val="both"/>
                              <w:rPr>
                                <w:rFonts w:ascii="Arial" w:hAnsi="Arial" w:eastAsia="宋体" w:cs="Arial"/>
                                <w:sz w:val="15"/>
                                <w:szCs w:val="15"/>
                                <w:lang w:eastAsia="zh-CN"/>
                              </w:rPr>
                            </w:pPr>
                            <w:r>
                              <w:rPr>
                                <w:rFonts w:ascii="Arial" w:hAnsi="Arial" w:eastAsia="宋体" w:cs="Arial"/>
                                <w:sz w:val="15"/>
                                <w:szCs w:val="15"/>
                                <w:lang w:eastAsia="zh-CN"/>
                              </w:rPr>
                              <w:t>对于</w:t>
                            </w:r>
                            <w:r>
                              <w:rPr>
                                <w:rFonts w:hint="eastAsia" w:ascii="Arial" w:hAnsi="Arial" w:eastAsia="宋体" w:cs="Arial"/>
                                <w:b/>
                                <w:sz w:val="15"/>
                                <w:szCs w:val="15"/>
                                <w:lang w:eastAsia="zh-CN"/>
                              </w:rPr>
                              <w:t>最终灭菌</w:t>
                            </w:r>
                            <w:r>
                              <w:rPr>
                                <w:rFonts w:ascii="Arial" w:hAnsi="Arial" w:eastAsia="宋体" w:cs="Arial"/>
                                <w:sz w:val="15"/>
                                <w:szCs w:val="15"/>
                                <w:lang w:eastAsia="zh-CN"/>
                              </w:rPr>
                              <w:t>。应遵守经确认的灭菌说明。在完成最终工程之后，器械可投入使用。</w:t>
                            </w:r>
                          </w:p>
                          <w:p w14:paraId="025FD22E">
                            <w:pPr>
                              <w:rPr>
                                <w:lang w:eastAsia="zh-CN"/>
                              </w:rPr>
                            </w:pPr>
                          </w:p>
                        </w:txbxContent>
                      </wps:txbx>
                      <wps:bodyPr rot="0" vert="horz" wrap="square" lIns="91440" tIns="45720" rIns="91440" bIns="45720" anchor="t" anchorCtr="0" upright="1">
                        <a:noAutofit/>
                      </wps:bodyPr>
                    </wps:wsp>
                  </a:graphicData>
                </a:graphic>
              </wp:anchor>
            </w:drawing>
          </mc:Choice>
          <mc:Fallback>
            <w:pict>
              <v:shape id="Text Box 66" o:spid="_x0000_s1026" o:spt="202" type="#_x0000_t202" style="position:absolute;left:0pt;margin-left:318.1pt;margin-top:196.5pt;height:84.2pt;width:116.3pt;z-index:251668480;mso-width-relative:page;mso-height-relative:page;" fillcolor="#FFFFFF" filled="t" stroked="t" coordsize="21600,21600" o:gfxdata="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nqC3doAAAALAQAADwAAAAAAAAABACAAAAAiAAAAZHJzL2Rvd25yZXYu&#10;eG1sUEsBAhQAFAAAAAgAh07iQF2WFiQyAgAAiQQAAA4AAAAAAAAAAQAgAAAAKQEAAGRycy9lMm9E&#10;b2MueG1sUEsFBgAAAAAGAAYAWQEAAM0FAAAAAA==&#10;">
                <v:fill on="t" focussize="0,0"/>
                <v:stroke color="#000000" miterlimit="8" joinstyle="miter"/>
                <v:imagedata o:title=""/>
                <o:lock v:ext="edit" aspectratio="f"/>
                <v:textbox>
                  <w:txbxContent>
                    <w:p w14:paraId="7F0635E1">
                      <w:pPr>
                        <w:pStyle w:val="6"/>
                        <w:snapToGrid w:val="0"/>
                        <w:spacing w:line="300" w:lineRule="auto"/>
                        <w:ind w:left="1" w:leftChars="-1" w:hanging="3" w:hangingChars="2"/>
                        <w:jc w:val="both"/>
                        <w:rPr>
                          <w:rFonts w:ascii="Arial" w:hAnsi="Arial" w:eastAsia="宋体" w:cs="Arial"/>
                          <w:sz w:val="15"/>
                          <w:szCs w:val="15"/>
                          <w:lang w:eastAsia="zh-CN"/>
                        </w:rPr>
                      </w:pPr>
                      <w:r>
                        <w:rPr>
                          <w:rFonts w:ascii="Arial" w:hAnsi="Arial" w:eastAsia="宋体" w:cs="Arial"/>
                          <w:sz w:val="15"/>
                          <w:szCs w:val="15"/>
                          <w:lang w:eastAsia="zh-CN"/>
                        </w:rPr>
                        <w:t>对于</w:t>
                      </w:r>
                      <w:r>
                        <w:rPr>
                          <w:rFonts w:hint="eastAsia" w:ascii="Arial" w:hAnsi="Arial" w:eastAsia="宋体" w:cs="Arial"/>
                          <w:b/>
                          <w:sz w:val="15"/>
                          <w:szCs w:val="15"/>
                          <w:lang w:eastAsia="zh-CN"/>
                        </w:rPr>
                        <w:t>最终灭菌</w:t>
                      </w:r>
                      <w:r>
                        <w:rPr>
                          <w:rFonts w:ascii="Arial" w:hAnsi="Arial" w:eastAsia="宋体" w:cs="Arial"/>
                          <w:sz w:val="15"/>
                          <w:szCs w:val="15"/>
                          <w:lang w:eastAsia="zh-CN"/>
                        </w:rPr>
                        <w:t>。应遵守经确认的灭菌说明。在完成最终工程之后，器械可投入使用。</w:t>
                      </w:r>
                    </w:p>
                    <w:p w14:paraId="025FD22E">
                      <w:pPr>
                        <w:rPr>
                          <w:lang w:eastAsia="zh-CN"/>
                        </w:rPr>
                      </w:pPr>
                    </w:p>
                  </w:txbxContent>
                </v:textbox>
              </v:shape>
            </w:pict>
          </mc:Fallback>
        </mc:AlternateContent>
      </w:r>
      <w:r>
        <w:rPr>
          <w:rFonts w:ascii="Arial" w:hAnsi="Arial" w:eastAsia="宋体" w:cs="Arial"/>
          <w:position w:val="-111"/>
          <w:sz w:val="20"/>
          <w:szCs w:val="20"/>
          <w:lang w:eastAsia="zh-CN"/>
        </w:rPr>
        <mc:AlternateContent>
          <mc:Choice Requires="wps">
            <w:drawing>
              <wp:anchor distT="0" distB="0" distL="114300" distR="114300" simplePos="0" relativeHeight="251667456" behindDoc="0" locked="0" layoutInCell="1" allowOverlap="1">
                <wp:simplePos x="0" y="0"/>
                <wp:positionH relativeFrom="column">
                  <wp:posOffset>2392680</wp:posOffset>
                </wp:positionH>
                <wp:positionV relativeFrom="paragraph">
                  <wp:posOffset>2495550</wp:posOffset>
                </wp:positionV>
                <wp:extent cx="1452245" cy="1055370"/>
                <wp:effectExtent l="11430" t="9525" r="12700" b="11430"/>
                <wp:wrapNone/>
                <wp:docPr id="12" name="Text Box 65"/>
                <wp:cNvGraphicFramePr/>
                <a:graphic xmlns:a="http://schemas.openxmlformats.org/drawingml/2006/main">
                  <a:graphicData uri="http://schemas.microsoft.com/office/word/2010/wordprocessingShape">
                    <wps:wsp>
                      <wps:cNvSpPr txBox="1">
                        <a:spLocks noChangeArrowheads="1"/>
                      </wps:cNvSpPr>
                      <wps:spPr bwMode="auto">
                        <a:xfrm>
                          <a:off x="0" y="0"/>
                          <a:ext cx="1452245" cy="1055370"/>
                        </a:xfrm>
                        <a:prstGeom prst="rect">
                          <a:avLst/>
                        </a:prstGeom>
                        <a:solidFill>
                          <a:srgbClr val="FFFFFF"/>
                        </a:solidFill>
                        <a:ln w="9525">
                          <a:solidFill>
                            <a:srgbClr val="000000"/>
                          </a:solidFill>
                          <a:miter lim="800000"/>
                        </a:ln>
                      </wps:spPr>
                      <wps:txbx>
                        <w:txbxContent>
                          <w:p w14:paraId="537BF54C">
                            <w:pPr>
                              <w:pStyle w:val="6"/>
                              <w:snapToGrid w:val="0"/>
                              <w:spacing w:line="300" w:lineRule="auto"/>
                              <w:ind w:left="1" w:leftChars="-1" w:hanging="3" w:hangingChars="2"/>
                              <w:jc w:val="both"/>
                              <w:rPr>
                                <w:rFonts w:ascii="Arial" w:hAnsi="Arial" w:eastAsia="宋体" w:cs="Arial"/>
                                <w:sz w:val="15"/>
                                <w:szCs w:val="15"/>
                                <w:lang w:eastAsia="zh-CN"/>
                              </w:rPr>
                            </w:pPr>
                            <w:r>
                              <w:rPr>
                                <w:rFonts w:ascii="Arial" w:hAnsi="Arial" w:eastAsia="宋体" w:cs="Arial"/>
                                <w:sz w:val="15"/>
                                <w:szCs w:val="15"/>
                                <w:lang w:eastAsia="zh-CN"/>
                              </w:rPr>
                              <w:t>对于</w:t>
                            </w:r>
                            <w:r>
                              <w:rPr>
                                <w:rFonts w:hint="eastAsia" w:ascii="Arial" w:hAnsi="Arial" w:eastAsia="宋体" w:cs="Arial"/>
                                <w:b/>
                                <w:sz w:val="15"/>
                                <w:szCs w:val="15"/>
                                <w:lang w:eastAsia="zh-CN"/>
                              </w:rPr>
                              <w:t>高水平消毒</w:t>
                            </w:r>
                            <w:r>
                              <w:rPr>
                                <w:rFonts w:ascii="Arial" w:hAnsi="Arial" w:eastAsia="宋体" w:cs="Arial"/>
                                <w:sz w:val="15"/>
                                <w:szCs w:val="15"/>
                                <w:lang w:eastAsia="zh-CN"/>
                              </w:rPr>
                              <w:t>。应使用经确认的高水平消毒方法对器械进行处理，且该方法应具有器械特异性。然后应对器械进行冲洗以去除残留物，在存储之前应进行干燥。</w:t>
                            </w:r>
                          </w:p>
                          <w:p w14:paraId="556AD6DF">
                            <w:pPr>
                              <w:rPr>
                                <w:lang w:eastAsia="zh-CN"/>
                              </w:rPr>
                            </w:pPr>
                          </w:p>
                        </w:txbxContent>
                      </wps:txbx>
                      <wps:bodyPr rot="0" vert="horz" wrap="square" lIns="91440" tIns="45720" rIns="91440" bIns="45720" anchor="t" anchorCtr="0" upright="1">
                        <a:noAutofit/>
                      </wps:bodyPr>
                    </wps:wsp>
                  </a:graphicData>
                </a:graphic>
              </wp:anchor>
            </w:drawing>
          </mc:Choice>
          <mc:Fallback>
            <w:pict>
              <v:shape id="Text Box 65" o:spid="_x0000_s1026" o:spt="202" type="#_x0000_t202" style="position:absolute;left:0pt;margin-left:188.4pt;margin-top:196.5pt;height:83.1pt;width:114.35pt;z-index:251667456;mso-width-relative:page;mso-height-relative:page;" fillcolor="#FFFFFF" filled="t" stroked="t" coordsize="21600,21600" o:gfxdata="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AJn3DbAAAACwEAAA8AAAAAAAAAAQAgAAAAIgAAAGRycy9kb3ducmV2&#10;LnhtbFBLAQIUABQAAAAIAIdO4kAHuq68MgIAAIkEAAAOAAAAAAAAAAEAIAAAACoBAABkcnMvZTJv&#10;RG9jLnhtbFBLBQYAAAAABgAGAFkBAADOBQAAAAA=&#10;">
                <v:fill on="t" focussize="0,0"/>
                <v:stroke color="#000000" miterlimit="8" joinstyle="miter"/>
                <v:imagedata o:title=""/>
                <o:lock v:ext="edit" aspectratio="f"/>
                <v:textbox>
                  <w:txbxContent>
                    <w:p w14:paraId="537BF54C">
                      <w:pPr>
                        <w:pStyle w:val="6"/>
                        <w:snapToGrid w:val="0"/>
                        <w:spacing w:line="300" w:lineRule="auto"/>
                        <w:ind w:left="1" w:leftChars="-1" w:hanging="3" w:hangingChars="2"/>
                        <w:jc w:val="both"/>
                        <w:rPr>
                          <w:rFonts w:ascii="Arial" w:hAnsi="Arial" w:eastAsia="宋体" w:cs="Arial"/>
                          <w:sz w:val="15"/>
                          <w:szCs w:val="15"/>
                          <w:lang w:eastAsia="zh-CN"/>
                        </w:rPr>
                      </w:pPr>
                      <w:r>
                        <w:rPr>
                          <w:rFonts w:ascii="Arial" w:hAnsi="Arial" w:eastAsia="宋体" w:cs="Arial"/>
                          <w:sz w:val="15"/>
                          <w:szCs w:val="15"/>
                          <w:lang w:eastAsia="zh-CN"/>
                        </w:rPr>
                        <w:t>对于</w:t>
                      </w:r>
                      <w:r>
                        <w:rPr>
                          <w:rFonts w:hint="eastAsia" w:ascii="Arial" w:hAnsi="Arial" w:eastAsia="宋体" w:cs="Arial"/>
                          <w:b/>
                          <w:sz w:val="15"/>
                          <w:szCs w:val="15"/>
                          <w:lang w:eastAsia="zh-CN"/>
                        </w:rPr>
                        <w:t>高水平消毒</w:t>
                      </w:r>
                      <w:r>
                        <w:rPr>
                          <w:rFonts w:ascii="Arial" w:hAnsi="Arial" w:eastAsia="宋体" w:cs="Arial"/>
                          <w:sz w:val="15"/>
                          <w:szCs w:val="15"/>
                          <w:lang w:eastAsia="zh-CN"/>
                        </w:rPr>
                        <w:t>。应使用经确认的高水平消毒方法对器械进行处理，且该方法应具有器械特异性。然后应对器械进行冲洗以去除残留物，在存储之前应进行干燥。</w:t>
                      </w:r>
                    </w:p>
                    <w:p w14:paraId="556AD6DF">
                      <w:pPr>
                        <w:rPr>
                          <w:lang w:eastAsia="zh-CN"/>
                        </w:rPr>
                      </w:pPr>
                    </w:p>
                  </w:txbxContent>
                </v:textbox>
              </v:shape>
            </w:pict>
          </mc:Fallback>
        </mc:AlternateContent>
      </w:r>
      <w:r>
        <w:rPr>
          <w:rFonts w:ascii="Arial" w:hAnsi="Arial" w:eastAsia="宋体" w:cs="Arial"/>
          <w:position w:val="-111"/>
          <w:sz w:val="20"/>
          <w:szCs w:val="20"/>
          <w:lang w:eastAsia="zh-CN"/>
        </w:rPr>
        <mc:AlternateContent>
          <mc:Choice Requires="wps">
            <w:drawing>
              <wp:anchor distT="0" distB="0" distL="114300" distR="114300" simplePos="0" relativeHeight="251666432" behindDoc="0" locked="0" layoutInCell="1" allowOverlap="1">
                <wp:simplePos x="0" y="0"/>
                <wp:positionH relativeFrom="column">
                  <wp:posOffset>335280</wp:posOffset>
                </wp:positionH>
                <wp:positionV relativeFrom="paragraph">
                  <wp:posOffset>2495550</wp:posOffset>
                </wp:positionV>
                <wp:extent cx="1916430" cy="1062355"/>
                <wp:effectExtent l="11430" t="9525" r="5715" b="13970"/>
                <wp:wrapNone/>
                <wp:docPr id="11" name="Text Box 64"/>
                <wp:cNvGraphicFramePr/>
                <a:graphic xmlns:a="http://schemas.openxmlformats.org/drawingml/2006/main">
                  <a:graphicData uri="http://schemas.microsoft.com/office/word/2010/wordprocessingShape">
                    <wps:wsp>
                      <wps:cNvSpPr txBox="1">
                        <a:spLocks noChangeArrowheads="1"/>
                      </wps:cNvSpPr>
                      <wps:spPr bwMode="auto">
                        <a:xfrm>
                          <a:off x="0" y="0"/>
                          <a:ext cx="1916430" cy="1062355"/>
                        </a:xfrm>
                        <a:prstGeom prst="rect">
                          <a:avLst/>
                        </a:prstGeom>
                        <a:solidFill>
                          <a:srgbClr val="FFFFFF"/>
                        </a:solidFill>
                        <a:ln w="9525">
                          <a:solidFill>
                            <a:srgbClr val="000000"/>
                          </a:solidFill>
                          <a:miter lim="800000"/>
                        </a:ln>
                      </wps:spPr>
                      <wps:txbx>
                        <w:txbxContent>
                          <w:p w14:paraId="5D0C7C44">
                            <w:pPr>
                              <w:pStyle w:val="6"/>
                              <w:snapToGrid w:val="0"/>
                              <w:spacing w:line="300" w:lineRule="auto"/>
                              <w:ind w:left="1" w:leftChars="-1" w:hanging="3" w:hangingChars="2"/>
                              <w:jc w:val="both"/>
                              <w:rPr>
                                <w:rFonts w:ascii="Arial" w:hAnsi="Arial" w:eastAsia="宋体" w:cs="Arial"/>
                                <w:sz w:val="15"/>
                                <w:szCs w:val="15"/>
                                <w:lang w:eastAsia="zh-CN"/>
                              </w:rPr>
                            </w:pPr>
                            <w:r>
                              <w:rPr>
                                <w:rFonts w:ascii="Arial" w:hAnsi="Arial" w:eastAsia="宋体" w:cs="Arial"/>
                                <w:sz w:val="15"/>
                                <w:szCs w:val="15"/>
                                <w:lang w:eastAsia="zh-CN"/>
                              </w:rPr>
                              <w:t>对于</w:t>
                            </w:r>
                            <w:r>
                              <w:rPr>
                                <w:rFonts w:hint="eastAsia" w:ascii="Arial" w:hAnsi="Arial" w:eastAsia="宋体" w:cs="Arial"/>
                                <w:b/>
                                <w:sz w:val="15"/>
                                <w:szCs w:val="15"/>
                                <w:lang w:eastAsia="zh-CN"/>
                              </w:rPr>
                              <w:t>低水平或中等水平消毒</w:t>
                            </w:r>
                            <w:r>
                              <w:rPr>
                                <w:rFonts w:ascii="Arial" w:hAnsi="Arial" w:eastAsia="宋体" w:cs="Arial"/>
                                <w:sz w:val="15"/>
                                <w:szCs w:val="15"/>
                                <w:lang w:eastAsia="zh-CN"/>
                              </w:rPr>
                              <w:t>。非关键可重复使用器械的说明应描述如何有效并安全地将消毒剂应用于器械之上并须提供EPA标签建议的接触时间（需传达：应准确遵守消毒剂说明，尤其是接触时间）。</w:t>
                            </w:r>
                          </w:p>
                          <w:p w14:paraId="2F347817">
                            <w:pPr>
                              <w:ind w:left="2" w:leftChars="-1" w:hanging="4" w:hangingChars="2"/>
                              <w:rPr>
                                <w:lang w:eastAsia="zh-CN"/>
                              </w:rPr>
                            </w:pPr>
                          </w:p>
                        </w:txbxContent>
                      </wps:txbx>
                      <wps:bodyPr rot="0" vert="horz" wrap="square" lIns="91440" tIns="45720" rIns="91440" bIns="45720" anchor="t" anchorCtr="0" upright="1">
                        <a:noAutofit/>
                      </wps:bodyPr>
                    </wps:wsp>
                  </a:graphicData>
                </a:graphic>
              </wp:anchor>
            </w:drawing>
          </mc:Choice>
          <mc:Fallback>
            <w:pict>
              <v:shape id="Text Box 64" o:spid="_x0000_s1026" o:spt="202" type="#_x0000_t202" style="position:absolute;left:0pt;margin-left:26.4pt;margin-top:196.5pt;height:83.65pt;width:150.9pt;z-index:251666432;mso-width-relative:page;mso-height-relative:page;" fillcolor="#FFFFFF" filled="t" stroked="t" coordsize="21600,21600" o:gfxdata="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SpMp62QAAAAoBAAAPAAAAAAAAAAEAIAAAACIAAABkcnMvZG93bnJldi54&#10;bWxQSwECFAAUAAAACACHTuJAmAicGTICAACJBAAADgAAAAAAAAABACAAAAAoAQAAZHJzL2Uyb0Rv&#10;Yy54bWxQSwUGAAAAAAYABgBZAQAAzAUAAAAA&#10;">
                <v:fill on="t" focussize="0,0"/>
                <v:stroke color="#000000" miterlimit="8" joinstyle="miter"/>
                <v:imagedata o:title=""/>
                <o:lock v:ext="edit" aspectratio="f"/>
                <v:textbox>
                  <w:txbxContent>
                    <w:p w14:paraId="5D0C7C44">
                      <w:pPr>
                        <w:pStyle w:val="6"/>
                        <w:snapToGrid w:val="0"/>
                        <w:spacing w:line="300" w:lineRule="auto"/>
                        <w:ind w:left="1" w:leftChars="-1" w:hanging="3" w:hangingChars="2"/>
                        <w:jc w:val="both"/>
                        <w:rPr>
                          <w:rFonts w:ascii="Arial" w:hAnsi="Arial" w:eastAsia="宋体" w:cs="Arial"/>
                          <w:sz w:val="15"/>
                          <w:szCs w:val="15"/>
                          <w:lang w:eastAsia="zh-CN"/>
                        </w:rPr>
                      </w:pPr>
                      <w:r>
                        <w:rPr>
                          <w:rFonts w:ascii="Arial" w:hAnsi="Arial" w:eastAsia="宋体" w:cs="Arial"/>
                          <w:sz w:val="15"/>
                          <w:szCs w:val="15"/>
                          <w:lang w:eastAsia="zh-CN"/>
                        </w:rPr>
                        <w:t>对于</w:t>
                      </w:r>
                      <w:r>
                        <w:rPr>
                          <w:rFonts w:hint="eastAsia" w:ascii="Arial" w:hAnsi="Arial" w:eastAsia="宋体" w:cs="Arial"/>
                          <w:b/>
                          <w:sz w:val="15"/>
                          <w:szCs w:val="15"/>
                          <w:lang w:eastAsia="zh-CN"/>
                        </w:rPr>
                        <w:t>低水平或中等水平消毒</w:t>
                      </w:r>
                      <w:r>
                        <w:rPr>
                          <w:rFonts w:ascii="Arial" w:hAnsi="Arial" w:eastAsia="宋体" w:cs="Arial"/>
                          <w:sz w:val="15"/>
                          <w:szCs w:val="15"/>
                          <w:lang w:eastAsia="zh-CN"/>
                        </w:rPr>
                        <w:t>。非关键可重复使用器械的说明应描述如何有效并安全地将消毒剂应用于器械之上并须提供EPA标签建议的接触时间（需传达：应准确遵守消毒剂说明，尤其是接触时间）。</w:t>
                      </w:r>
                    </w:p>
                    <w:p w14:paraId="2F347817">
                      <w:pPr>
                        <w:ind w:left="2" w:leftChars="-1" w:hanging="4" w:hangingChars="2"/>
                        <w:rPr>
                          <w:lang w:eastAsia="zh-CN"/>
                        </w:rPr>
                      </w:pPr>
                    </w:p>
                  </w:txbxContent>
                </v:textbox>
              </v:shape>
            </w:pict>
          </mc:Fallback>
        </mc:AlternateContent>
      </w:r>
      <w:r>
        <w:rPr>
          <w:rFonts w:ascii="Arial" w:hAnsi="Arial" w:eastAsia="宋体" w:cs="Arial"/>
          <w:position w:val="-111"/>
          <w:sz w:val="20"/>
          <w:szCs w:val="20"/>
          <w:lang w:eastAsia="zh-CN"/>
        </w:rPr>
        <mc:AlternateContent>
          <mc:Choice Requires="wps">
            <w:drawing>
              <wp:anchor distT="0" distB="0" distL="114300" distR="114300" simplePos="0" relativeHeight="251664384" behindDoc="0" locked="0" layoutInCell="1" allowOverlap="1">
                <wp:simplePos x="0" y="0"/>
                <wp:positionH relativeFrom="column">
                  <wp:posOffset>3703955</wp:posOffset>
                </wp:positionH>
                <wp:positionV relativeFrom="paragraph">
                  <wp:posOffset>1197610</wp:posOffset>
                </wp:positionV>
                <wp:extent cx="1768475" cy="477520"/>
                <wp:effectExtent l="8255" t="6985" r="13970" b="10795"/>
                <wp:wrapNone/>
                <wp:docPr id="10" name="Text Box 62"/>
                <wp:cNvGraphicFramePr/>
                <a:graphic xmlns:a="http://schemas.openxmlformats.org/drawingml/2006/main">
                  <a:graphicData uri="http://schemas.microsoft.com/office/word/2010/wordprocessingShape">
                    <wps:wsp>
                      <wps:cNvSpPr txBox="1">
                        <a:spLocks noChangeArrowheads="1"/>
                      </wps:cNvSpPr>
                      <wps:spPr bwMode="auto">
                        <a:xfrm>
                          <a:off x="0" y="0"/>
                          <a:ext cx="1768475" cy="477520"/>
                        </a:xfrm>
                        <a:prstGeom prst="rect">
                          <a:avLst/>
                        </a:prstGeom>
                        <a:solidFill>
                          <a:srgbClr val="FFFFFF"/>
                        </a:solidFill>
                        <a:ln w="9525">
                          <a:solidFill>
                            <a:srgbClr val="000000"/>
                          </a:solidFill>
                          <a:miter lim="800000"/>
                        </a:ln>
                      </wps:spPr>
                      <wps:txbx>
                        <w:txbxContent>
                          <w:p w14:paraId="055217FD">
                            <w:pPr>
                              <w:pStyle w:val="6"/>
                              <w:snapToGrid w:val="0"/>
                              <w:spacing w:line="200" w:lineRule="exact"/>
                              <w:ind w:left="-2" w:leftChars="-1"/>
                              <w:jc w:val="both"/>
                              <w:rPr>
                                <w:rFonts w:ascii="Arial" w:hAnsi="Arial" w:eastAsia="宋体" w:cs="Arial"/>
                                <w:sz w:val="15"/>
                                <w:szCs w:val="15"/>
                                <w:lang w:eastAsia="zh-CN"/>
                              </w:rPr>
                            </w:pPr>
                            <w:r>
                              <w:rPr>
                                <w:rFonts w:ascii="Arial" w:hAnsi="Arial" w:eastAsia="宋体" w:cs="Arial"/>
                                <w:sz w:val="15"/>
                                <w:szCs w:val="15"/>
                                <w:lang w:eastAsia="zh-CN"/>
                              </w:rPr>
                              <w:t>如果彻底清洁充分（非关键器械不可能是交叉传播的来源或不可能被体液污染），则可将其投入使用</w:t>
                            </w:r>
                          </w:p>
                          <w:p w14:paraId="7F7C20BD">
                            <w:pPr>
                              <w:rPr>
                                <w:lang w:eastAsia="zh-CN"/>
                              </w:rPr>
                            </w:pPr>
                          </w:p>
                        </w:txbxContent>
                      </wps:txbx>
                      <wps:bodyPr rot="0" vert="horz" wrap="square" lIns="91440" tIns="45720" rIns="91440" bIns="45720" anchor="t" anchorCtr="0" upright="1">
                        <a:noAutofit/>
                      </wps:bodyPr>
                    </wps:wsp>
                  </a:graphicData>
                </a:graphic>
              </wp:anchor>
            </w:drawing>
          </mc:Choice>
          <mc:Fallback>
            <w:pict>
              <v:shape id="Text Box 62" o:spid="_x0000_s1026" o:spt="202" type="#_x0000_t202" style="position:absolute;left:0pt;margin-left:291.65pt;margin-top:94.3pt;height:37.6pt;width:139.25pt;z-index:251664384;mso-width-relative:page;mso-height-relative:page;" fillcolor="#FFFFFF" filled="t" stroked="t" coordsize="21600,21600" o:gfxdata="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IKLYjZAAAACwEAAA8AAAAAAAAAAQAgAAAAIgAAAGRycy9kb3ducmV2Lnht&#10;bFBLAQIUABQAAAAIAIdO4kAWm73OMQIAAIgEAAAOAAAAAAAAAAEAIAAAACgBAABkcnMvZTJvRG9j&#10;LnhtbFBLBQYAAAAABgAGAFkBAADLBQAAAAA=&#10;">
                <v:fill on="t" focussize="0,0"/>
                <v:stroke color="#000000" miterlimit="8" joinstyle="miter"/>
                <v:imagedata o:title=""/>
                <o:lock v:ext="edit" aspectratio="f"/>
                <v:textbox>
                  <w:txbxContent>
                    <w:p w14:paraId="055217FD">
                      <w:pPr>
                        <w:pStyle w:val="6"/>
                        <w:snapToGrid w:val="0"/>
                        <w:spacing w:line="200" w:lineRule="exact"/>
                        <w:ind w:left="-2" w:leftChars="-1"/>
                        <w:jc w:val="both"/>
                        <w:rPr>
                          <w:rFonts w:ascii="Arial" w:hAnsi="Arial" w:eastAsia="宋体" w:cs="Arial"/>
                          <w:sz w:val="15"/>
                          <w:szCs w:val="15"/>
                          <w:lang w:eastAsia="zh-CN"/>
                        </w:rPr>
                      </w:pPr>
                      <w:r>
                        <w:rPr>
                          <w:rFonts w:ascii="Arial" w:hAnsi="Arial" w:eastAsia="宋体" w:cs="Arial"/>
                          <w:sz w:val="15"/>
                          <w:szCs w:val="15"/>
                          <w:lang w:eastAsia="zh-CN"/>
                        </w:rPr>
                        <w:t>如果彻底清洁充分（非关键器械不可能是交叉传播的来源或不可能被体液污染），则可将其投入使用</w:t>
                      </w:r>
                    </w:p>
                    <w:p w14:paraId="7F7C20BD">
                      <w:pPr>
                        <w:rPr>
                          <w:lang w:eastAsia="zh-CN"/>
                        </w:rPr>
                      </w:pPr>
                    </w:p>
                  </w:txbxContent>
                </v:textbox>
              </v:shape>
            </w:pict>
          </mc:Fallback>
        </mc:AlternateContent>
      </w:r>
      <w:r>
        <w:rPr>
          <w:rFonts w:ascii="Arial" w:hAnsi="Arial" w:eastAsia="宋体" w:cs="Arial"/>
          <w:position w:val="-111"/>
          <w:sz w:val="20"/>
          <w:szCs w:val="20"/>
          <w:lang w:eastAsia="zh-CN"/>
        </w:rPr>
        <mc:AlternateContent>
          <mc:Choice Requires="wps">
            <w:drawing>
              <wp:anchor distT="0" distB="0" distL="114300" distR="114300" simplePos="0" relativeHeight="251663360" behindDoc="0" locked="0" layoutInCell="1" allowOverlap="1">
                <wp:simplePos x="0" y="0"/>
                <wp:positionH relativeFrom="column">
                  <wp:posOffset>59690</wp:posOffset>
                </wp:positionH>
                <wp:positionV relativeFrom="paragraph">
                  <wp:posOffset>606425</wp:posOffset>
                </wp:positionV>
                <wp:extent cx="3415665" cy="1008380"/>
                <wp:effectExtent l="12065" t="6350" r="10795" b="13970"/>
                <wp:wrapNone/>
                <wp:docPr id="9" name="Text Box 61"/>
                <wp:cNvGraphicFramePr/>
                <a:graphic xmlns:a="http://schemas.openxmlformats.org/drawingml/2006/main">
                  <a:graphicData uri="http://schemas.microsoft.com/office/word/2010/wordprocessingShape">
                    <wps:wsp>
                      <wps:cNvSpPr txBox="1">
                        <a:spLocks noChangeArrowheads="1"/>
                      </wps:cNvSpPr>
                      <wps:spPr bwMode="auto">
                        <a:xfrm>
                          <a:off x="0" y="0"/>
                          <a:ext cx="3415665" cy="1008380"/>
                        </a:xfrm>
                        <a:prstGeom prst="rect">
                          <a:avLst/>
                        </a:prstGeom>
                        <a:solidFill>
                          <a:srgbClr val="FFFFFF"/>
                        </a:solidFill>
                        <a:ln w="9525">
                          <a:solidFill>
                            <a:srgbClr val="000000"/>
                          </a:solidFill>
                          <a:miter lim="800000"/>
                        </a:ln>
                      </wps:spPr>
                      <wps:txbx>
                        <w:txbxContent>
                          <w:p w14:paraId="4E986771">
                            <w:pPr>
                              <w:pStyle w:val="6"/>
                              <w:numPr>
                                <w:ilvl w:val="0"/>
                                <w:numId w:val="14"/>
                              </w:numPr>
                              <w:snapToGrid w:val="0"/>
                              <w:spacing w:line="300" w:lineRule="auto"/>
                              <w:jc w:val="both"/>
                              <w:rPr>
                                <w:rFonts w:ascii="Arial" w:hAnsi="Arial" w:eastAsia="宋体" w:cs="Arial"/>
                                <w:sz w:val="15"/>
                                <w:szCs w:val="15"/>
                                <w:lang w:eastAsia="zh-CN"/>
                              </w:rPr>
                            </w:pPr>
                            <w:r>
                              <w:rPr>
                                <w:rFonts w:hint="eastAsia" w:ascii="Arial" w:hAnsi="Arial" w:eastAsia="宋体" w:cs="Arial"/>
                                <w:b/>
                                <w:sz w:val="15"/>
                                <w:szCs w:val="15"/>
                                <w:u w:val="single"/>
                                <w:lang w:eastAsia="zh-CN"/>
                              </w:rPr>
                              <w:t>彻底清洁。</w:t>
                            </w:r>
                            <w:r>
                              <w:rPr>
                                <w:rFonts w:ascii="Arial" w:hAnsi="Arial" w:eastAsia="宋体" w:cs="Arial"/>
                                <w:sz w:val="15"/>
                                <w:szCs w:val="15"/>
                                <w:lang w:eastAsia="zh-CN"/>
                              </w:rPr>
                              <w:t>旨在使器械可安全用于由医疗员工进行的处理，并使其适于后续再加工步骤，但不一定可使器械适用于患者使用。</w:t>
                            </w:r>
                          </w:p>
                          <w:p w14:paraId="7A3414B3">
                            <w:pPr>
                              <w:pStyle w:val="6"/>
                              <w:numPr>
                                <w:ilvl w:val="0"/>
                                <w:numId w:val="15"/>
                              </w:numPr>
                              <w:snapToGrid w:val="0"/>
                              <w:spacing w:line="300" w:lineRule="auto"/>
                              <w:ind w:left="728" w:hanging="252"/>
                              <w:jc w:val="both"/>
                              <w:rPr>
                                <w:rFonts w:ascii="Arial" w:hAnsi="Arial" w:eastAsia="宋体" w:cs="Arial"/>
                                <w:sz w:val="15"/>
                                <w:szCs w:val="15"/>
                                <w:lang w:eastAsia="zh-CN"/>
                              </w:rPr>
                            </w:pPr>
                            <w:r>
                              <w:rPr>
                                <w:rFonts w:ascii="Arial" w:hAnsi="Arial" w:eastAsia="宋体" w:cs="Arial"/>
                                <w:sz w:val="15"/>
                                <w:szCs w:val="15"/>
                                <w:lang w:eastAsia="zh-CN"/>
                              </w:rPr>
                              <w:t>拆卸以方便清洁以及后续灭菌步骤</w:t>
                            </w:r>
                          </w:p>
                          <w:p w14:paraId="64F3E8C6">
                            <w:pPr>
                              <w:pStyle w:val="6"/>
                              <w:numPr>
                                <w:ilvl w:val="0"/>
                                <w:numId w:val="15"/>
                              </w:numPr>
                              <w:snapToGrid w:val="0"/>
                              <w:spacing w:line="300" w:lineRule="auto"/>
                              <w:ind w:left="728" w:hanging="252"/>
                              <w:jc w:val="both"/>
                              <w:rPr>
                                <w:rFonts w:ascii="Arial" w:hAnsi="Arial" w:eastAsia="宋体" w:cs="Arial"/>
                                <w:sz w:val="15"/>
                                <w:szCs w:val="15"/>
                                <w:lang w:eastAsia="zh-CN"/>
                              </w:rPr>
                            </w:pPr>
                            <w:r>
                              <w:rPr>
                                <w:rFonts w:ascii="Arial" w:hAnsi="Arial" w:eastAsia="宋体" w:cs="Arial"/>
                                <w:sz w:val="15"/>
                                <w:szCs w:val="15"/>
                                <w:lang w:eastAsia="zh-CN"/>
                              </w:rPr>
                              <w:t>使用相容清洁剂进行彻底清洁并进行冲洗以去除不安全的残留物。可使用酶清洁器，超声波浴和刷子</w:t>
                            </w:r>
                          </w:p>
                          <w:p w14:paraId="4650228B">
                            <w:pPr>
                              <w:rPr>
                                <w:lang w:eastAsia="zh-CN"/>
                              </w:rPr>
                            </w:pPr>
                          </w:p>
                        </w:txbxContent>
                      </wps:txbx>
                      <wps:bodyPr rot="0" vert="horz" wrap="square" lIns="91440" tIns="45720" rIns="91440" bIns="45720" anchor="t" anchorCtr="0" upright="1">
                        <a:noAutofit/>
                      </wps:bodyPr>
                    </wps:wsp>
                  </a:graphicData>
                </a:graphic>
              </wp:anchor>
            </w:drawing>
          </mc:Choice>
          <mc:Fallback>
            <w:pict>
              <v:shape id="Text Box 61" o:spid="_x0000_s1026" o:spt="202" type="#_x0000_t202" style="position:absolute;left:0pt;margin-left:4.7pt;margin-top:47.75pt;height:79.4pt;width:268.95pt;z-index:251663360;mso-width-relative:page;mso-height-relative:page;" fillcolor="#FFFFFF" filled="t" stroked="t" coordsize="21600,21600" o:gfxdata="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nXC/k2QAAAAgBAAAPAAAAAAAAAAEAIAAAACIAAABkcnMvZG93bnJl&#10;di54bWxQSwECFAAUAAAACACHTuJATqtBhjUCAACIBAAADgAAAAAAAAABACAAAAAoAQAAZHJzL2Uy&#10;b0RvYy54bWxQSwUGAAAAAAYABgBZAQAAzwUAAAAA&#10;">
                <v:fill on="t" focussize="0,0"/>
                <v:stroke color="#000000" miterlimit="8" joinstyle="miter"/>
                <v:imagedata o:title=""/>
                <o:lock v:ext="edit" aspectratio="f"/>
                <v:textbox>
                  <w:txbxContent>
                    <w:p w14:paraId="4E986771">
                      <w:pPr>
                        <w:pStyle w:val="6"/>
                        <w:numPr>
                          <w:ilvl w:val="0"/>
                          <w:numId w:val="14"/>
                        </w:numPr>
                        <w:snapToGrid w:val="0"/>
                        <w:spacing w:line="300" w:lineRule="auto"/>
                        <w:jc w:val="both"/>
                        <w:rPr>
                          <w:rFonts w:ascii="Arial" w:hAnsi="Arial" w:eastAsia="宋体" w:cs="Arial"/>
                          <w:sz w:val="15"/>
                          <w:szCs w:val="15"/>
                          <w:lang w:eastAsia="zh-CN"/>
                        </w:rPr>
                      </w:pPr>
                      <w:r>
                        <w:rPr>
                          <w:rFonts w:hint="eastAsia" w:ascii="Arial" w:hAnsi="Arial" w:eastAsia="宋体" w:cs="Arial"/>
                          <w:b/>
                          <w:sz w:val="15"/>
                          <w:szCs w:val="15"/>
                          <w:u w:val="single"/>
                          <w:lang w:eastAsia="zh-CN"/>
                        </w:rPr>
                        <w:t>彻底清洁。</w:t>
                      </w:r>
                      <w:r>
                        <w:rPr>
                          <w:rFonts w:ascii="Arial" w:hAnsi="Arial" w:eastAsia="宋体" w:cs="Arial"/>
                          <w:sz w:val="15"/>
                          <w:szCs w:val="15"/>
                          <w:lang w:eastAsia="zh-CN"/>
                        </w:rPr>
                        <w:t>旨在使器械可安全用于由医疗员工进行的处理，并使其适于后续再加工步骤，但不一定可使器械适用于患者使用。</w:t>
                      </w:r>
                    </w:p>
                    <w:p w14:paraId="7A3414B3">
                      <w:pPr>
                        <w:pStyle w:val="6"/>
                        <w:numPr>
                          <w:ilvl w:val="0"/>
                          <w:numId w:val="15"/>
                        </w:numPr>
                        <w:snapToGrid w:val="0"/>
                        <w:spacing w:line="300" w:lineRule="auto"/>
                        <w:ind w:left="728" w:hanging="252"/>
                        <w:jc w:val="both"/>
                        <w:rPr>
                          <w:rFonts w:ascii="Arial" w:hAnsi="Arial" w:eastAsia="宋体" w:cs="Arial"/>
                          <w:sz w:val="15"/>
                          <w:szCs w:val="15"/>
                          <w:lang w:eastAsia="zh-CN"/>
                        </w:rPr>
                      </w:pPr>
                      <w:r>
                        <w:rPr>
                          <w:rFonts w:ascii="Arial" w:hAnsi="Arial" w:eastAsia="宋体" w:cs="Arial"/>
                          <w:sz w:val="15"/>
                          <w:szCs w:val="15"/>
                          <w:lang w:eastAsia="zh-CN"/>
                        </w:rPr>
                        <w:t>拆卸以方便清洁以及后续灭菌步骤</w:t>
                      </w:r>
                    </w:p>
                    <w:p w14:paraId="64F3E8C6">
                      <w:pPr>
                        <w:pStyle w:val="6"/>
                        <w:numPr>
                          <w:ilvl w:val="0"/>
                          <w:numId w:val="15"/>
                        </w:numPr>
                        <w:snapToGrid w:val="0"/>
                        <w:spacing w:line="300" w:lineRule="auto"/>
                        <w:ind w:left="728" w:hanging="252"/>
                        <w:jc w:val="both"/>
                        <w:rPr>
                          <w:rFonts w:ascii="Arial" w:hAnsi="Arial" w:eastAsia="宋体" w:cs="Arial"/>
                          <w:sz w:val="15"/>
                          <w:szCs w:val="15"/>
                          <w:lang w:eastAsia="zh-CN"/>
                        </w:rPr>
                      </w:pPr>
                      <w:r>
                        <w:rPr>
                          <w:rFonts w:ascii="Arial" w:hAnsi="Arial" w:eastAsia="宋体" w:cs="Arial"/>
                          <w:sz w:val="15"/>
                          <w:szCs w:val="15"/>
                          <w:lang w:eastAsia="zh-CN"/>
                        </w:rPr>
                        <w:t>使用相容清洁剂进行彻底清洁并进行冲洗以去除不安全的残留物。可使用酶清洁器，超声波浴和刷子</w:t>
                      </w:r>
                    </w:p>
                    <w:p w14:paraId="4650228B">
                      <w:pPr>
                        <w:rPr>
                          <w:lang w:eastAsia="zh-CN"/>
                        </w:rPr>
                      </w:pPr>
                    </w:p>
                  </w:txbxContent>
                </v:textbox>
              </v:shape>
            </w:pict>
          </mc:Fallback>
        </mc:AlternateContent>
      </w:r>
      <w:r>
        <w:rPr>
          <w:rFonts w:ascii="Arial" w:hAnsi="Arial" w:eastAsia="宋体" w:cs="Arial"/>
          <w:position w:val="-111"/>
          <w:sz w:val="20"/>
          <w:szCs w:val="20"/>
          <w:lang w:eastAsia="zh-CN"/>
        </w:rPr>
        <w:drawing>
          <wp:inline distT="0" distB="0" distL="0" distR="0">
            <wp:extent cx="5407025" cy="3563620"/>
            <wp:effectExtent l="0" t="0" r="0" b="0"/>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jpeg"/>
                    <pic:cNvPicPr>
                      <a:picLocks noChangeAspect="1"/>
                    </pic:cNvPicPr>
                  </pic:nvPicPr>
                  <pic:blipFill>
                    <a:blip r:embed="rId9" cstate="print"/>
                    <a:stretch>
                      <a:fillRect/>
                    </a:stretch>
                  </pic:blipFill>
                  <pic:spPr>
                    <a:xfrm>
                      <a:off x="0" y="0"/>
                      <a:ext cx="5407206" cy="3563969"/>
                    </a:xfrm>
                    <a:prstGeom prst="rect">
                      <a:avLst/>
                    </a:prstGeom>
                  </pic:spPr>
                </pic:pic>
              </a:graphicData>
            </a:graphic>
          </wp:inline>
        </w:drawing>
      </w:r>
    </w:p>
    <w:p w14:paraId="091A7687">
      <w:pPr>
        <w:snapToGrid w:val="0"/>
        <w:spacing w:before="5" w:line="300" w:lineRule="auto"/>
        <w:jc w:val="both"/>
        <w:rPr>
          <w:rFonts w:ascii="Arial" w:hAnsi="Arial" w:eastAsia="宋体" w:cs="Arial"/>
          <w:b/>
          <w:bCs/>
          <w:sz w:val="27"/>
          <w:szCs w:val="27"/>
          <w:lang w:eastAsia="zh-CN"/>
        </w:rPr>
      </w:pPr>
    </w:p>
    <w:p w14:paraId="3B250C18">
      <w:pPr>
        <w:pStyle w:val="6"/>
        <w:snapToGrid w:val="0"/>
        <w:spacing w:line="300" w:lineRule="auto"/>
        <w:ind w:left="120"/>
        <w:jc w:val="both"/>
        <w:rPr>
          <w:rFonts w:ascii="Arial" w:hAnsi="Arial" w:eastAsia="宋体" w:cs="Arial"/>
          <w:lang w:eastAsia="zh-CN"/>
        </w:rPr>
      </w:pPr>
      <w:r>
        <w:rPr>
          <w:rFonts w:ascii="Arial" w:hAnsi="Arial" w:eastAsia="宋体" w:cs="Arial"/>
          <w:lang w:eastAsia="zh-CN"/>
        </w:rPr>
        <w:t>我们建议所有可重复使用医疗器械的设计和构造应允许进行充分清洁，因为如果器械无法充分清洁，任何后续消毒或灭菌过程可能无效。</w:t>
      </w:r>
    </w:p>
    <w:p w14:paraId="644F7F87">
      <w:pPr>
        <w:pStyle w:val="6"/>
        <w:snapToGrid w:val="0"/>
        <w:spacing w:line="300" w:lineRule="auto"/>
        <w:ind w:left="120"/>
        <w:jc w:val="both"/>
        <w:rPr>
          <w:rFonts w:ascii="Arial" w:hAnsi="Arial" w:eastAsia="宋体" w:cs="Arial"/>
          <w:lang w:eastAsia="zh-CN"/>
        </w:rPr>
      </w:pPr>
    </w:p>
    <w:p w14:paraId="2EBF110B">
      <w:pPr>
        <w:pStyle w:val="6"/>
        <w:snapToGrid w:val="0"/>
        <w:spacing w:line="300" w:lineRule="auto"/>
        <w:ind w:left="120"/>
        <w:jc w:val="both"/>
        <w:rPr>
          <w:rFonts w:ascii="Arial" w:hAnsi="Arial" w:eastAsia="宋体" w:cs="Arial"/>
          <w:lang w:eastAsia="zh-CN"/>
        </w:rPr>
      </w:pPr>
      <w:r>
        <w:rPr>
          <w:rFonts w:ascii="Arial" w:hAnsi="Arial" w:eastAsia="宋体" w:cs="Arial"/>
          <w:lang w:eastAsia="zh-CN"/>
        </w:rPr>
        <w:t>有关某些特定器械类型（例如内窥镜和超声波换能器）的再加工的其他信息可从FDA获得，具体可访问我们的指导性文件数据库中</w:t>
      </w:r>
      <w:r>
        <w:rPr>
          <w:rFonts w:ascii="Arial" w:hAnsi="Arial" w:eastAsia="宋体" w:cs="Arial"/>
          <w:vertAlign w:val="superscript"/>
          <w:lang w:eastAsia="zh-CN"/>
        </w:rPr>
        <w:t>15</w:t>
      </w:r>
      <w:r>
        <w:rPr>
          <w:rFonts w:ascii="Arial" w:hAnsi="Arial" w:eastAsia="宋体" w:cs="Arial"/>
          <w:lang w:eastAsia="zh-CN"/>
        </w:rPr>
        <w:t>以及咨询具体的审查部门。</w:t>
      </w:r>
    </w:p>
    <w:p w14:paraId="629BE614">
      <w:pPr>
        <w:snapToGrid w:val="0"/>
        <w:spacing w:line="300" w:lineRule="auto"/>
        <w:jc w:val="both"/>
        <w:rPr>
          <w:rFonts w:ascii="Arial" w:hAnsi="Arial" w:eastAsia="宋体" w:cs="Arial"/>
          <w:sz w:val="20"/>
          <w:szCs w:val="20"/>
          <w:lang w:eastAsia="zh-CN"/>
        </w:rPr>
      </w:pPr>
    </w:p>
    <w:p w14:paraId="6C98F68C">
      <w:pPr>
        <w:snapToGrid w:val="0"/>
        <w:spacing w:before="2" w:line="300" w:lineRule="auto"/>
        <w:jc w:val="both"/>
        <w:rPr>
          <w:rFonts w:ascii="Arial" w:hAnsi="Arial" w:eastAsia="宋体" w:cs="Arial"/>
          <w:sz w:val="15"/>
          <w:szCs w:val="15"/>
          <w:lang w:eastAsia="zh-CN"/>
        </w:rPr>
      </w:pPr>
    </w:p>
    <w:p w14:paraId="78EB125F">
      <w:pPr>
        <w:snapToGrid w:val="0"/>
        <w:spacing w:line="300" w:lineRule="auto"/>
        <w:ind w:left="11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6" name="Group 5"/>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7" name="Group 6"/>
                        <wpg:cNvGrpSpPr/>
                        <wpg:grpSpPr>
                          <a:xfrm>
                            <a:off x="6" y="6"/>
                            <a:ext cx="2880" cy="2"/>
                            <a:chOff x="6" y="6"/>
                            <a:chExt cx="2880" cy="2"/>
                          </a:xfrm>
                        </wpg:grpSpPr>
                        <wps:wsp>
                          <wps:cNvPr id="8" name="Freeform 7"/>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CA/oSF1AAAAAMBAAAPAAAAAAAAAAEAIAAAACIAAABkcnMvZG93bnJldi54bWxQ&#10;SwECFAAUAAAACACHTuJA9bF5RxgDAAD4BwAADgAAAAAAAAABACAAAAAjAQAAZHJzL2Uyb0RvYy54&#10;bWxQSwUGAAAAAAYABgBZAQAArQYAAAAA&#10;">
                <o:lock v:ext="edit" aspectratio="f"/>
                <v:group id="Group 6" o:spid="_x0000_s1026" o:spt="203" style="position:absolute;left:6;top:6;height:2;width:2880;" coordorigin="6,6" coordsize="2880,2"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Freeform 7" o:spid="_x0000_s1026" o:spt="100" style="position:absolute;left:6;top:6;height:2;width:2880;" filled="f" stroked="t" coordsize="2880,1" o:gfxdata="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wC/pugAAANoA&#10;AAAPAAAAAAAAAAEAIAAAACIAAABkcnMvZG93bnJldi54bWxQSwECFAAUAAAACACHTuJAMy8FnjsA&#10;AAA5AAAAEAAAAAAAAAABACAAAAAJAQAAZHJzL3NoYXBleG1sLnhtbFBLBQYAAAAABgAGAFsBAACz&#10;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4C221DB6">
      <w:pPr>
        <w:snapToGrid w:val="0"/>
        <w:spacing w:before="71" w:line="300" w:lineRule="auto"/>
        <w:ind w:left="120"/>
        <w:rPr>
          <w:rFonts w:ascii="Arial" w:hAnsi="Arial" w:eastAsia="宋体" w:cs="Arial"/>
          <w:sz w:val="20"/>
          <w:szCs w:val="20"/>
          <w:lang w:eastAsia="zh-CN"/>
        </w:rPr>
      </w:pPr>
      <w:r>
        <w:rPr>
          <w:rFonts w:ascii="Arial" w:hAnsi="Arial" w:eastAsia="宋体" w:cs="Arial"/>
          <w:position w:val="9"/>
          <w:sz w:val="20"/>
          <w:szCs w:val="20"/>
          <w:vertAlign w:val="superscript"/>
          <w:lang w:eastAsia="zh-CN"/>
        </w:rPr>
        <w:t>15</w:t>
      </w:r>
      <w:r>
        <w:rPr>
          <w:rFonts w:ascii="Arial" w:hAnsi="Arial" w:eastAsia="宋体" w:cs="Arial"/>
          <w:sz w:val="20"/>
          <w:szCs w:val="20"/>
          <w:lang w:eastAsia="zh-CN"/>
        </w:rPr>
        <w:t>请参见</w:t>
      </w:r>
      <w:r>
        <w:rPr>
          <w:rFonts w:ascii="Arial" w:hAnsi="Arial" w:eastAsia="宋体" w:cs="Arial"/>
          <w:spacing w:val="-33"/>
          <w:sz w:val="20"/>
          <w:szCs w:val="20"/>
          <w:lang w:eastAsia="zh-CN"/>
        </w:rPr>
        <w:t xml:space="preserve"> </w:t>
      </w:r>
      <w:r>
        <w:fldChar w:fldCharType="begin"/>
      </w:r>
      <w:r>
        <w:instrText xml:space="preserve"> HYPERLINK "http://www.fda.gov/MedicalDevices/DeviceRegulationandGuidance/GuidanceDocuments/default.htm" \h </w:instrText>
      </w:r>
      <w:r>
        <w:fldChar w:fldCharType="separate"/>
      </w:r>
      <w:r>
        <w:rPr>
          <w:rFonts w:ascii="Arial" w:hAnsi="Arial" w:eastAsia="宋体" w:cs="Arial"/>
          <w:color w:val="0000FF"/>
          <w:sz w:val="20"/>
          <w:szCs w:val="20"/>
          <w:u w:val="single" w:color="0000FF"/>
          <w:lang w:eastAsia="zh-CN"/>
        </w:rPr>
        <w:t>http：//www.fda.gov/MedicalDevices/DeviceRegulationandGuidance/GuidanceDocuments/default.htm</w:t>
      </w:r>
      <w:r>
        <w:rPr>
          <w:rFonts w:ascii="Arial" w:hAnsi="Arial" w:eastAsia="宋体" w:cs="Arial"/>
          <w:sz w:val="20"/>
          <w:szCs w:val="20"/>
          <w:lang w:eastAsia="zh-CN"/>
        </w:rPr>
        <w:t>.</w:t>
      </w:r>
      <w:r>
        <w:rPr>
          <w:rFonts w:ascii="Arial" w:hAnsi="Arial" w:eastAsia="宋体" w:cs="Arial"/>
          <w:sz w:val="20"/>
          <w:szCs w:val="20"/>
          <w:lang w:eastAsia="zh-CN"/>
        </w:rPr>
        <w:fldChar w:fldCharType="end"/>
      </w:r>
    </w:p>
    <w:p w14:paraId="0E8CE494">
      <w:pPr>
        <w:snapToGrid w:val="0"/>
        <w:spacing w:line="300" w:lineRule="auto"/>
        <w:jc w:val="both"/>
        <w:rPr>
          <w:rFonts w:ascii="Arial" w:hAnsi="Arial" w:eastAsia="宋体" w:cs="Arial"/>
          <w:sz w:val="20"/>
          <w:szCs w:val="20"/>
          <w:lang w:eastAsia="zh-CN"/>
        </w:rPr>
        <w:sectPr>
          <w:pgSz w:w="12260" w:h="15840"/>
          <w:pgMar w:top="1134" w:right="1134" w:bottom="1134" w:left="1134" w:header="748" w:footer="773" w:gutter="0"/>
          <w:cols w:space="720" w:num="1"/>
          <w:docGrid w:linePitch="299" w:charSpace="0"/>
        </w:sectPr>
      </w:pPr>
    </w:p>
    <w:p w14:paraId="0B0CC402">
      <w:pPr>
        <w:pStyle w:val="3"/>
        <w:snapToGrid w:val="0"/>
        <w:spacing w:before="220" w:line="300" w:lineRule="auto"/>
        <w:ind w:left="0" w:firstLine="0"/>
        <w:jc w:val="both"/>
        <w:rPr>
          <w:rFonts w:ascii="Arial" w:hAnsi="Arial" w:eastAsia="宋体" w:cs="Arial"/>
          <w:lang w:eastAsia="zh-CN"/>
        </w:rPr>
      </w:pPr>
      <w:bookmarkStart w:id="91" w:name="APPENDIX_C.__Examples_of_Sterilization_C"/>
      <w:bookmarkEnd w:id="91"/>
      <w:bookmarkStart w:id="92" w:name="_Toc481569217"/>
      <w:r>
        <w:rPr>
          <w:rFonts w:ascii="Arial" w:hAnsi="Arial" w:eastAsia="宋体" w:cs="Arial"/>
          <w:lang w:eastAsia="zh-CN"/>
        </w:rPr>
        <w:t>附录C. 医疗机构中使用的灭菌循环示例</w:t>
      </w:r>
      <w:bookmarkEnd w:id="92"/>
    </w:p>
    <w:p w14:paraId="712AE4C8">
      <w:pPr>
        <w:pStyle w:val="5"/>
        <w:snapToGrid w:val="0"/>
        <w:spacing w:before="259" w:line="300" w:lineRule="auto"/>
        <w:ind w:left="0" w:firstLine="0"/>
        <w:jc w:val="both"/>
        <w:rPr>
          <w:rFonts w:ascii="Arial" w:hAnsi="Arial" w:eastAsia="宋体" w:cs="Arial"/>
          <w:b w:val="0"/>
          <w:bCs w:val="0"/>
          <w:lang w:eastAsia="zh-CN"/>
        </w:rPr>
      </w:pPr>
      <w:r>
        <w:rPr>
          <w:rFonts w:ascii="Arial" w:hAnsi="Arial" w:eastAsia="宋体" w:cs="Arial"/>
          <w:u w:val="thick" w:color="000000"/>
          <w:lang w:eastAsia="zh-CN"/>
        </w:rPr>
        <w:t>蒸汽灭菌循环</w:t>
      </w:r>
    </w:p>
    <w:p w14:paraId="51FD67D6">
      <w:pPr>
        <w:snapToGrid w:val="0"/>
        <w:spacing w:before="8" w:line="300" w:lineRule="auto"/>
        <w:jc w:val="both"/>
        <w:rPr>
          <w:rFonts w:ascii="Arial" w:hAnsi="Arial" w:eastAsia="宋体" w:cs="Arial"/>
          <w:b/>
          <w:bCs/>
          <w:sz w:val="17"/>
          <w:szCs w:val="17"/>
          <w:lang w:eastAsia="zh-CN"/>
        </w:rPr>
      </w:pPr>
    </w:p>
    <w:p w14:paraId="71FDE497">
      <w:pPr>
        <w:snapToGrid w:val="0"/>
        <w:spacing w:before="74" w:line="300" w:lineRule="auto"/>
        <w:ind w:left="120"/>
        <w:jc w:val="both"/>
        <w:rPr>
          <w:rFonts w:ascii="Arial" w:hAnsi="Arial" w:eastAsia="宋体" w:cs="Arial"/>
          <w:sz w:val="20"/>
          <w:szCs w:val="20"/>
          <w:lang w:eastAsia="zh-CN"/>
        </w:rPr>
      </w:pPr>
      <w:r>
        <w:rPr>
          <w:rFonts w:ascii="Arial" w:hAnsi="Arial" w:eastAsia="宋体" w:cs="Arial"/>
          <w:b/>
          <w:sz w:val="20"/>
          <w:lang w:eastAsia="zh-CN"/>
        </w:rPr>
        <w:t>表1.重力位移蒸汽灭菌循环的循环时间</w:t>
      </w:r>
    </w:p>
    <w:tbl>
      <w:tblPr>
        <w:tblStyle w:val="16"/>
        <w:tblW w:w="0" w:type="auto"/>
        <w:tblInd w:w="115" w:type="dxa"/>
        <w:tblLayout w:type="fixed"/>
        <w:tblCellMar>
          <w:top w:w="0" w:type="dxa"/>
          <w:left w:w="0" w:type="dxa"/>
          <w:bottom w:w="0" w:type="dxa"/>
          <w:right w:w="0" w:type="dxa"/>
        </w:tblCellMar>
      </w:tblPr>
      <w:tblGrid>
        <w:gridCol w:w="2244"/>
        <w:gridCol w:w="1627"/>
        <w:gridCol w:w="1625"/>
        <w:gridCol w:w="1627"/>
        <w:gridCol w:w="1625"/>
      </w:tblGrid>
      <w:tr w14:paraId="6BD5A395">
        <w:tblPrEx>
          <w:tblCellMar>
            <w:top w:w="0" w:type="dxa"/>
            <w:left w:w="0" w:type="dxa"/>
            <w:bottom w:w="0" w:type="dxa"/>
            <w:right w:w="0" w:type="dxa"/>
          </w:tblCellMar>
        </w:tblPrEx>
        <w:trPr>
          <w:trHeight w:val="605" w:hRule="exact"/>
        </w:trPr>
        <w:tc>
          <w:tcPr>
            <w:tcW w:w="2244" w:type="dxa"/>
            <w:tcBorders>
              <w:top w:val="single" w:color="000000" w:sz="4" w:space="0"/>
              <w:left w:val="single" w:color="000000" w:sz="4" w:space="0"/>
              <w:bottom w:val="single" w:color="000000" w:sz="4" w:space="0"/>
              <w:right w:val="single" w:color="000000" w:sz="4" w:space="0"/>
            </w:tcBorders>
          </w:tcPr>
          <w:p w14:paraId="47156457">
            <w:pPr>
              <w:pStyle w:val="18"/>
              <w:snapToGrid w:val="0"/>
              <w:spacing w:before="120" w:line="300" w:lineRule="auto"/>
              <w:jc w:val="center"/>
              <w:rPr>
                <w:rFonts w:ascii="Arial" w:hAnsi="Arial" w:eastAsia="宋体" w:cs="Arial"/>
                <w:b/>
                <w:sz w:val="18"/>
                <w:szCs w:val="18"/>
              </w:rPr>
            </w:pPr>
            <w:r>
              <w:rPr>
                <w:rFonts w:ascii="Arial" w:hAnsi="Arial" w:eastAsia="宋体" w:cs="Arial"/>
                <w:b/>
                <w:sz w:val="18"/>
                <w:szCs w:val="18"/>
                <w:lang w:eastAsia="zh-CN"/>
              </w:rPr>
              <w:t>物品</w:t>
            </w:r>
          </w:p>
        </w:tc>
        <w:tc>
          <w:tcPr>
            <w:tcW w:w="1627" w:type="dxa"/>
            <w:tcBorders>
              <w:top w:val="single" w:color="000000" w:sz="4" w:space="0"/>
              <w:left w:val="single" w:color="000000" w:sz="4" w:space="0"/>
              <w:bottom w:val="single" w:color="000000" w:sz="4" w:space="0"/>
              <w:right w:val="single" w:color="000000" w:sz="4" w:space="0"/>
            </w:tcBorders>
          </w:tcPr>
          <w:p w14:paraId="68DEAA36">
            <w:pPr>
              <w:pStyle w:val="18"/>
              <w:snapToGrid w:val="0"/>
              <w:spacing w:before="38" w:line="300" w:lineRule="auto"/>
              <w:ind w:left="276" w:hanging="152"/>
              <w:jc w:val="center"/>
              <w:rPr>
                <w:rFonts w:ascii="Arial" w:hAnsi="Arial" w:eastAsia="宋体" w:cs="Arial"/>
                <w:b/>
                <w:sz w:val="18"/>
                <w:szCs w:val="18"/>
                <w:lang w:eastAsia="zh-CN"/>
              </w:rPr>
            </w:pPr>
            <w:r>
              <w:rPr>
                <w:rFonts w:ascii="Arial" w:hAnsi="Arial" w:eastAsia="宋体" w:cs="Arial"/>
                <w:b/>
                <w:sz w:val="18"/>
                <w:lang w:eastAsia="zh-CN"/>
              </w:rPr>
              <w:t>在121ºC（250ºF）下的暴露时间</w:t>
            </w:r>
          </w:p>
        </w:tc>
        <w:tc>
          <w:tcPr>
            <w:tcW w:w="1625" w:type="dxa"/>
            <w:tcBorders>
              <w:top w:val="single" w:color="000000" w:sz="4" w:space="0"/>
              <w:left w:val="single" w:color="000000" w:sz="4" w:space="0"/>
              <w:bottom w:val="single" w:color="000000" w:sz="4" w:space="0"/>
              <w:right w:val="single" w:color="000000" w:sz="4" w:space="0"/>
            </w:tcBorders>
          </w:tcPr>
          <w:p w14:paraId="7865EBEC">
            <w:pPr>
              <w:pStyle w:val="18"/>
              <w:snapToGrid w:val="0"/>
              <w:spacing w:before="38" w:line="300" w:lineRule="auto"/>
              <w:ind w:left="273" w:hanging="152"/>
              <w:jc w:val="center"/>
              <w:rPr>
                <w:rFonts w:ascii="Arial" w:hAnsi="Arial" w:eastAsia="宋体" w:cs="Arial"/>
                <w:b/>
                <w:sz w:val="18"/>
                <w:szCs w:val="18"/>
                <w:lang w:eastAsia="zh-CN"/>
              </w:rPr>
            </w:pPr>
            <w:r>
              <w:rPr>
                <w:rFonts w:ascii="Arial" w:hAnsi="Arial" w:eastAsia="宋体" w:cs="Arial"/>
                <w:b/>
                <w:sz w:val="18"/>
                <w:lang w:eastAsia="zh-CN"/>
              </w:rPr>
              <w:t>在132ºC（270ºF）下的暴露时间</w:t>
            </w:r>
          </w:p>
        </w:tc>
        <w:tc>
          <w:tcPr>
            <w:tcW w:w="1627" w:type="dxa"/>
            <w:tcBorders>
              <w:top w:val="single" w:color="000000" w:sz="4" w:space="0"/>
              <w:left w:val="single" w:color="000000" w:sz="4" w:space="0"/>
              <w:bottom w:val="single" w:color="000000" w:sz="4" w:space="0"/>
              <w:right w:val="single" w:color="000000" w:sz="4" w:space="0"/>
            </w:tcBorders>
          </w:tcPr>
          <w:p w14:paraId="0CD28857">
            <w:pPr>
              <w:pStyle w:val="18"/>
              <w:snapToGrid w:val="0"/>
              <w:spacing w:before="38" w:line="300" w:lineRule="auto"/>
              <w:ind w:left="275" w:hanging="152"/>
              <w:jc w:val="center"/>
              <w:rPr>
                <w:rFonts w:ascii="Arial" w:hAnsi="Arial" w:eastAsia="宋体" w:cs="Arial"/>
                <w:b/>
                <w:sz w:val="18"/>
                <w:szCs w:val="18"/>
                <w:lang w:eastAsia="zh-CN"/>
              </w:rPr>
            </w:pPr>
            <w:r>
              <w:rPr>
                <w:rFonts w:ascii="Arial" w:hAnsi="Arial" w:eastAsia="宋体" w:cs="Arial"/>
                <w:b/>
                <w:sz w:val="18"/>
                <w:lang w:eastAsia="zh-CN"/>
              </w:rPr>
              <w:t>在135ºC（275ºF）下的暴露时间</w:t>
            </w:r>
          </w:p>
        </w:tc>
        <w:tc>
          <w:tcPr>
            <w:tcW w:w="1625" w:type="dxa"/>
            <w:tcBorders>
              <w:top w:val="single" w:color="000000" w:sz="4" w:space="0"/>
              <w:left w:val="single" w:color="000000" w:sz="4" w:space="0"/>
              <w:bottom w:val="single" w:color="000000" w:sz="4" w:space="0"/>
              <w:right w:val="single" w:color="000000" w:sz="4" w:space="0"/>
            </w:tcBorders>
          </w:tcPr>
          <w:p w14:paraId="32B5B1C5">
            <w:pPr>
              <w:pStyle w:val="18"/>
              <w:snapToGrid w:val="0"/>
              <w:spacing w:before="120" w:line="300" w:lineRule="auto"/>
              <w:ind w:left="573" w:hanging="442"/>
              <w:jc w:val="center"/>
              <w:rPr>
                <w:rFonts w:ascii="Arial" w:hAnsi="Arial" w:eastAsia="宋体" w:cs="Arial"/>
                <w:b/>
                <w:sz w:val="18"/>
                <w:szCs w:val="18"/>
              </w:rPr>
            </w:pPr>
            <w:r>
              <w:rPr>
                <w:rFonts w:ascii="Arial" w:hAnsi="Arial" w:eastAsia="宋体" w:cs="Arial"/>
                <w:b/>
                <w:sz w:val="18"/>
              </w:rPr>
              <w:t>最短干燥时间</w:t>
            </w:r>
          </w:p>
        </w:tc>
      </w:tr>
      <w:tr w14:paraId="63C01D3A">
        <w:tblPrEx>
          <w:tblCellMar>
            <w:top w:w="0" w:type="dxa"/>
            <w:left w:w="0" w:type="dxa"/>
            <w:bottom w:w="0" w:type="dxa"/>
            <w:right w:w="0" w:type="dxa"/>
          </w:tblCellMar>
        </w:tblPrEx>
        <w:trPr>
          <w:trHeight w:val="293" w:hRule="exact"/>
        </w:trPr>
        <w:tc>
          <w:tcPr>
            <w:tcW w:w="2244" w:type="dxa"/>
            <w:tcBorders>
              <w:top w:val="single" w:color="000000" w:sz="4" w:space="0"/>
              <w:left w:val="single" w:color="000000" w:sz="4" w:space="0"/>
              <w:bottom w:val="single" w:color="000000" w:sz="4" w:space="0"/>
              <w:right w:val="single" w:color="000000" w:sz="4" w:space="0"/>
            </w:tcBorders>
          </w:tcPr>
          <w:p w14:paraId="3177F6AE">
            <w:pPr>
              <w:pStyle w:val="18"/>
              <w:snapToGrid w:val="0"/>
              <w:spacing w:before="35" w:line="300" w:lineRule="auto"/>
              <w:ind w:left="103"/>
              <w:jc w:val="both"/>
              <w:rPr>
                <w:rFonts w:ascii="Arial" w:hAnsi="Arial" w:eastAsia="宋体" w:cs="Arial"/>
                <w:sz w:val="16"/>
                <w:szCs w:val="16"/>
              </w:rPr>
            </w:pPr>
            <w:r>
              <w:rPr>
                <w:rFonts w:ascii="Arial" w:hAnsi="Arial" w:eastAsia="宋体" w:cs="Arial"/>
                <w:sz w:val="16"/>
                <w:szCs w:val="16"/>
                <w:lang w:eastAsia="zh-CN"/>
              </w:rPr>
              <w:t>包装工具</w:t>
            </w:r>
          </w:p>
        </w:tc>
        <w:tc>
          <w:tcPr>
            <w:tcW w:w="1627" w:type="dxa"/>
            <w:tcBorders>
              <w:top w:val="single" w:color="000000" w:sz="4" w:space="0"/>
              <w:left w:val="single" w:color="000000" w:sz="4" w:space="0"/>
              <w:bottom w:val="single" w:color="000000" w:sz="4" w:space="0"/>
              <w:right w:val="single" w:color="000000" w:sz="4" w:space="0"/>
            </w:tcBorders>
          </w:tcPr>
          <w:p w14:paraId="3C6FF1AE">
            <w:pPr>
              <w:pStyle w:val="18"/>
              <w:snapToGrid w:val="0"/>
              <w:spacing w:before="35" w:line="300" w:lineRule="auto"/>
              <w:jc w:val="center"/>
              <w:rPr>
                <w:rFonts w:ascii="Arial" w:hAnsi="Arial" w:eastAsia="宋体" w:cs="Arial"/>
                <w:sz w:val="16"/>
                <w:szCs w:val="16"/>
              </w:rPr>
            </w:pPr>
            <w:r>
              <w:rPr>
                <w:rFonts w:ascii="Arial" w:hAnsi="Arial" w:eastAsia="宋体" w:cs="Arial"/>
                <w:sz w:val="16"/>
              </w:rPr>
              <w:t>30</w:t>
            </w:r>
            <w:r>
              <w:rPr>
                <w:rFonts w:ascii="Arial" w:hAnsi="Arial" w:eastAsia="宋体" w:cs="Arial"/>
                <w:spacing w:val="-2"/>
                <w:sz w:val="16"/>
              </w:rPr>
              <w:t xml:space="preserve"> </w:t>
            </w:r>
            <w:r>
              <w:rPr>
                <w:rFonts w:ascii="Arial" w:hAnsi="Arial" w:eastAsia="宋体" w:cs="Arial"/>
                <w:sz w:val="16"/>
              </w:rPr>
              <w:t>分钟</w:t>
            </w:r>
          </w:p>
        </w:tc>
        <w:tc>
          <w:tcPr>
            <w:tcW w:w="1625" w:type="dxa"/>
            <w:tcBorders>
              <w:top w:val="single" w:color="000000" w:sz="4" w:space="0"/>
              <w:left w:val="single" w:color="000000" w:sz="4" w:space="0"/>
              <w:bottom w:val="single" w:color="000000" w:sz="4" w:space="0"/>
              <w:right w:val="single" w:color="000000" w:sz="4" w:space="0"/>
            </w:tcBorders>
          </w:tcPr>
          <w:p w14:paraId="0E5A1C28">
            <w:pPr>
              <w:pStyle w:val="18"/>
              <w:snapToGrid w:val="0"/>
              <w:spacing w:before="35" w:line="300" w:lineRule="auto"/>
              <w:ind w:left="453"/>
              <w:jc w:val="center"/>
              <w:rPr>
                <w:rFonts w:ascii="Arial" w:hAnsi="Arial" w:eastAsia="宋体" w:cs="Arial"/>
                <w:sz w:val="16"/>
                <w:szCs w:val="16"/>
              </w:rPr>
            </w:pPr>
            <w:r>
              <w:rPr>
                <w:rFonts w:ascii="Arial" w:hAnsi="Arial" w:eastAsia="宋体" w:cs="Arial"/>
                <w:sz w:val="16"/>
              </w:rPr>
              <w:t>15</w:t>
            </w:r>
            <w:r>
              <w:rPr>
                <w:rFonts w:ascii="Arial" w:hAnsi="Arial" w:eastAsia="宋体" w:cs="Arial"/>
                <w:spacing w:val="-2"/>
                <w:sz w:val="16"/>
              </w:rPr>
              <w:t xml:space="preserve"> </w:t>
            </w:r>
            <w:r>
              <w:rPr>
                <w:rFonts w:ascii="Arial" w:hAnsi="Arial" w:eastAsia="宋体" w:cs="Arial"/>
                <w:sz w:val="16"/>
              </w:rPr>
              <w:t>分钟</w:t>
            </w:r>
          </w:p>
        </w:tc>
        <w:tc>
          <w:tcPr>
            <w:tcW w:w="1627" w:type="dxa"/>
            <w:tcBorders>
              <w:top w:val="single" w:color="000000" w:sz="4" w:space="0"/>
              <w:left w:val="single" w:color="000000" w:sz="4" w:space="0"/>
              <w:bottom w:val="single" w:color="000000" w:sz="4" w:space="0"/>
              <w:right w:val="single" w:color="000000" w:sz="4" w:space="0"/>
            </w:tcBorders>
          </w:tcPr>
          <w:p w14:paraId="5C25AD2A">
            <w:pPr>
              <w:snapToGrid w:val="0"/>
              <w:spacing w:line="300" w:lineRule="auto"/>
              <w:jc w:val="center"/>
              <w:rPr>
                <w:rFonts w:ascii="Arial" w:hAnsi="Arial" w:eastAsia="宋体" w:cs="Arial"/>
              </w:rPr>
            </w:pPr>
          </w:p>
        </w:tc>
        <w:tc>
          <w:tcPr>
            <w:tcW w:w="1625" w:type="dxa"/>
            <w:tcBorders>
              <w:top w:val="single" w:color="000000" w:sz="4" w:space="0"/>
              <w:left w:val="single" w:color="000000" w:sz="4" w:space="0"/>
              <w:bottom w:val="single" w:color="000000" w:sz="4" w:space="0"/>
              <w:right w:val="single" w:color="000000" w:sz="4" w:space="0"/>
            </w:tcBorders>
          </w:tcPr>
          <w:p w14:paraId="6F097B16">
            <w:pPr>
              <w:pStyle w:val="18"/>
              <w:snapToGrid w:val="0"/>
              <w:spacing w:before="35" w:line="300" w:lineRule="auto"/>
              <w:jc w:val="center"/>
              <w:rPr>
                <w:rFonts w:ascii="Arial" w:hAnsi="Arial" w:eastAsia="宋体" w:cs="Arial"/>
                <w:sz w:val="16"/>
                <w:szCs w:val="16"/>
              </w:rPr>
            </w:pPr>
            <w:r>
              <w:rPr>
                <w:rFonts w:ascii="Arial" w:hAnsi="Arial" w:eastAsia="宋体" w:cs="Arial"/>
                <w:sz w:val="16"/>
              </w:rPr>
              <w:t>15-30</w:t>
            </w:r>
            <w:r>
              <w:rPr>
                <w:rFonts w:ascii="Arial" w:hAnsi="Arial" w:eastAsia="宋体" w:cs="Arial"/>
                <w:spacing w:val="-4"/>
                <w:sz w:val="16"/>
              </w:rPr>
              <w:t xml:space="preserve"> </w:t>
            </w:r>
            <w:r>
              <w:rPr>
                <w:rFonts w:ascii="Arial" w:hAnsi="Arial" w:eastAsia="宋体" w:cs="Arial"/>
                <w:sz w:val="16"/>
              </w:rPr>
              <w:t>分钟</w:t>
            </w:r>
          </w:p>
        </w:tc>
      </w:tr>
      <w:tr w14:paraId="12F82058">
        <w:tblPrEx>
          <w:tblCellMar>
            <w:top w:w="0" w:type="dxa"/>
            <w:left w:w="0" w:type="dxa"/>
            <w:bottom w:w="0" w:type="dxa"/>
            <w:right w:w="0" w:type="dxa"/>
          </w:tblCellMar>
        </w:tblPrEx>
        <w:trPr>
          <w:trHeight w:val="295" w:hRule="exact"/>
        </w:trPr>
        <w:tc>
          <w:tcPr>
            <w:tcW w:w="2244" w:type="dxa"/>
            <w:tcBorders>
              <w:top w:val="single" w:color="000000" w:sz="4" w:space="0"/>
              <w:left w:val="single" w:color="000000" w:sz="4" w:space="0"/>
              <w:bottom w:val="single" w:color="000000" w:sz="4" w:space="0"/>
              <w:right w:val="single" w:color="000000" w:sz="4" w:space="0"/>
            </w:tcBorders>
          </w:tcPr>
          <w:p w14:paraId="551D27B3">
            <w:pPr>
              <w:snapToGrid w:val="0"/>
              <w:spacing w:line="300" w:lineRule="auto"/>
              <w:jc w:val="both"/>
              <w:rPr>
                <w:rFonts w:ascii="Arial" w:hAnsi="Arial" w:eastAsia="宋体" w:cs="Arial"/>
              </w:rPr>
            </w:pPr>
          </w:p>
        </w:tc>
        <w:tc>
          <w:tcPr>
            <w:tcW w:w="1627" w:type="dxa"/>
            <w:tcBorders>
              <w:top w:val="single" w:color="000000" w:sz="4" w:space="0"/>
              <w:left w:val="single" w:color="000000" w:sz="4" w:space="0"/>
              <w:bottom w:val="single" w:color="000000" w:sz="4" w:space="0"/>
              <w:right w:val="single" w:color="000000" w:sz="4" w:space="0"/>
            </w:tcBorders>
          </w:tcPr>
          <w:p w14:paraId="5448ECD0">
            <w:pPr>
              <w:snapToGrid w:val="0"/>
              <w:spacing w:line="300" w:lineRule="auto"/>
              <w:jc w:val="center"/>
              <w:rPr>
                <w:rFonts w:ascii="Arial" w:hAnsi="Arial" w:eastAsia="宋体" w:cs="Arial"/>
              </w:rPr>
            </w:pPr>
          </w:p>
        </w:tc>
        <w:tc>
          <w:tcPr>
            <w:tcW w:w="1625" w:type="dxa"/>
            <w:tcBorders>
              <w:top w:val="single" w:color="000000" w:sz="4" w:space="0"/>
              <w:left w:val="single" w:color="000000" w:sz="4" w:space="0"/>
              <w:bottom w:val="single" w:color="000000" w:sz="4" w:space="0"/>
              <w:right w:val="single" w:color="000000" w:sz="4" w:space="0"/>
            </w:tcBorders>
          </w:tcPr>
          <w:p w14:paraId="600E2E1C">
            <w:pPr>
              <w:snapToGrid w:val="0"/>
              <w:spacing w:line="300" w:lineRule="auto"/>
              <w:jc w:val="center"/>
              <w:rPr>
                <w:rFonts w:ascii="Arial" w:hAnsi="Arial" w:eastAsia="宋体" w:cs="Arial"/>
              </w:rPr>
            </w:pPr>
          </w:p>
        </w:tc>
        <w:tc>
          <w:tcPr>
            <w:tcW w:w="1627" w:type="dxa"/>
            <w:tcBorders>
              <w:top w:val="single" w:color="000000" w:sz="4" w:space="0"/>
              <w:left w:val="single" w:color="000000" w:sz="4" w:space="0"/>
              <w:bottom w:val="single" w:color="000000" w:sz="4" w:space="0"/>
              <w:right w:val="single" w:color="000000" w:sz="4" w:space="0"/>
            </w:tcBorders>
          </w:tcPr>
          <w:p w14:paraId="00A9DD8C">
            <w:pPr>
              <w:pStyle w:val="18"/>
              <w:snapToGrid w:val="0"/>
              <w:spacing w:before="35" w:line="300" w:lineRule="auto"/>
              <w:ind w:left="455"/>
              <w:jc w:val="center"/>
              <w:rPr>
                <w:rFonts w:ascii="Arial" w:hAnsi="Arial" w:eastAsia="宋体" w:cs="Arial"/>
                <w:sz w:val="16"/>
                <w:szCs w:val="16"/>
              </w:rPr>
            </w:pPr>
            <w:r>
              <w:rPr>
                <w:rFonts w:ascii="Arial" w:hAnsi="Arial" w:eastAsia="宋体" w:cs="Arial"/>
                <w:sz w:val="16"/>
              </w:rPr>
              <w:t>10</w:t>
            </w:r>
            <w:r>
              <w:rPr>
                <w:rFonts w:ascii="Arial" w:hAnsi="Arial" w:eastAsia="宋体" w:cs="Arial"/>
                <w:spacing w:val="-2"/>
                <w:sz w:val="16"/>
              </w:rPr>
              <w:t xml:space="preserve"> </w:t>
            </w:r>
            <w:r>
              <w:rPr>
                <w:rFonts w:ascii="Arial" w:hAnsi="Arial" w:eastAsia="宋体" w:cs="Arial"/>
                <w:sz w:val="16"/>
              </w:rPr>
              <w:t>分钟</w:t>
            </w:r>
          </w:p>
        </w:tc>
        <w:tc>
          <w:tcPr>
            <w:tcW w:w="1625" w:type="dxa"/>
            <w:tcBorders>
              <w:top w:val="single" w:color="000000" w:sz="4" w:space="0"/>
              <w:left w:val="single" w:color="000000" w:sz="4" w:space="0"/>
              <w:bottom w:val="single" w:color="000000" w:sz="4" w:space="0"/>
              <w:right w:val="single" w:color="000000" w:sz="4" w:space="0"/>
            </w:tcBorders>
          </w:tcPr>
          <w:p w14:paraId="39340EE7">
            <w:pPr>
              <w:pStyle w:val="18"/>
              <w:snapToGrid w:val="0"/>
              <w:spacing w:before="35" w:line="300" w:lineRule="auto"/>
              <w:ind w:left="4"/>
              <w:jc w:val="center"/>
              <w:rPr>
                <w:rFonts w:ascii="Arial" w:hAnsi="Arial" w:eastAsia="宋体" w:cs="Arial"/>
                <w:sz w:val="16"/>
                <w:szCs w:val="16"/>
              </w:rPr>
            </w:pPr>
            <w:r>
              <w:rPr>
                <w:rFonts w:ascii="Arial" w:hAnsi="Arial" w:eastAsia="宋体" w:cs="Arial"/>
                <w:sz w:val="16"/>
              </w:rPr>
              <w:t>30</w:t>
            </w:r>
            <w:r>
              <w:rPr>
                <w:rFonts w:ascii="Arial" w:hAnsi="Arial" w:eastAsia="宋体" w:cs="Arial"/>
                <w:spacing w:val="-2"/>
                <w:sz w:val="16"/>
              </w:rPr>
              <w:t xml:space="preserve"> </w:t>
            </w:r>
            <w:r>
              <w:rPr>
                <w:rFonts w:ascii="Arial" w:hAnsi="Arial" w:eastAsia="宋体" w:cs="Arial"/>
                <w:sz w:val="16"/>
              </w:rPr>
              <w:t>分钟</w:t>
            </w:r>
          </w:p>
        </w:tc>
      </w:tr>
      <w:tr w14:paraId="63D62AE2">
        <w:tblPrEx>
          <w:tblCellMar>
            <w:top w:w="0" w:type="dxa"/>
            <w:left w:w="0" w:type="dxa"/>
            <w:bottom w:w="0" w:type="dxa"/>
            <w:right w:w="0" w:type="dxa"/>
          </w:tblCellMar>
        </w:tblPrEx>
        <w:trPr>
          <w:trHeight w:val="293" w:hRule="exact"/>
        </w:trPr>
        <w:tc>
          <w:tcPr>
            <w:tcW w:w="2244" w:type="dxa"/>
            <w:tcBorders>
              <w:top w:val="single" w:color="000000" w:sz="4" w:space="0"/>
              <w:left w:val="single" w:color="000000" w:sz="4" w:space="0"/>
              <w:bottom w:val="single" w:color="000000" w:sz="4" w:space="0"/>
              <w:right w:val="single" w:color="000000" w:sz="4" w:space="0"/>
            </w:tcBorders>
          </w:tcPr>
          <w:p w14:paraId="3A36F57D">
            <w:pPr>
              <w:pStyle w:val="18"/>
              <w:snapToGrid w:val="0"/>
              <w:spacing w:before="35" w:line="300" w:lineRule="auto"/>
              <w:ind w:left="103"/>
              <w:jc w:val="both"/>
              <w:rPr>
                <w:rFonts w:ascii="Arial" w:hAnsi="Arial" w:eastAsia="宋体" w:cs="Arial"/>
                <w:sz w:val="16"/>
                <w:szCs w:val="16"/>
              </w:rPr>
            </w:pPr>
            <w:r>
              <w:rPr>
                <w:rFonts w:ascii="Arial" w:hAnsi="Arial" w:eastAsia="宋体" w:cs="Arial"/>
                <w:sz w:val="16"/>
              </w:rPr>
              <w:t>纺织包装</w:t>
            </w:r>
          </w:p>
        </w:tc>
        <w:tc>
          <w:tcPr>
            <w:tcW w:w="1627" w:type="dxa"/>
            <w:tcBorders>
              <w:top w:val="single" w:color="000000" w:sz="4" w:space="0"/>
              <w:left w:val="single" w:color="000000" w:sz="4" w:space="0"/>
              <w:bottom w:val="single" w:color="000000" w:sz="4" w:space="0"/>
              <w:right w:val="single" w:color="000000" w:sz="4" w:space="0"/>
            </w:tcBorders>
          </w:tcPr>
          <w:p w14:paraId="4E05A99C">
            <w:pPr>
              <w:pStyle w:val="18"/>
              <w:snapToGrid w:val="0"/>
              <w:spacing w:before="35" w:line="300" w:lineRule="auto"/>
              <w:jc w:val="center"/>
              <w:rPr>
                <w:rFonts w:ascii="Arial" w:hAnsi="Arial" w:eastAsia="宋体" w:cs="Arial"/>
                <w:sz w:val="16"/>
                <w:szCs w:val="16"/>
              </w:rPr>
            </w:pPr>
            <w:r>
              <w:rPr>
                <w:rFonts w:ascii="Arial" w:hAnsi="Arial" w:eastAsia="宋体" w:cs="Arial"/>
                <w:sz w:val="16"/>
              </w:rPr>
              <w:t>30</w:t>
            </w:r>
            <w:r>
              <w:rPr>
                <w:rFonts w:ascii="Arial" w:hAnsi="Arial" w:eastAsia="宋体" w:cs="Arial"/>
                <w:spacing w:val="-2"/>
                <w:sz w:val="16"/>
              </w:rPr>
              <w:t xml:space="preserve"> </w:t>
            </w:r>
            <w:r>
              <w:rPr>
                <w:rFonts w:ascii="Arial" w:hAnsi="Arial" w:eastAsia="宋体" w:cs="Arial"/>
                <w:sz w:val="16"/>
              </w:rPr>
              <w:t>分钟</w:t>
            </w:r>
          </w:p>
        </w:tc>
        <w:tc>
          <w:tcPr>
            <w:tcW w:w="1625" w:type="dxa"/>
            <w:tcBorders>
              <w:top w:val="single" w:color="000000" w:sz="4" w:space="0"/>
              <w:left w:val="single" w:color="000000" w:sz="4" w:space="0"/>
              <w:bottom w:val="single" w:color="000000" w:sz="4" w:space="0"/>
              <w:right w:val="single" w:color="000000" w:sz="4" w:space="0"/>
            </w:tcBorders>
          </w:tcPr>
          <w:p w14:paraId="01F38E94">
            <w:pPr>
              <w:pStyle w:val="18"/>
              <w:snapToGrid w:val="0"/>
              <w:spacing w:before="35" w:line="300" w:lineRule="auto"/>
              <w:ind w:left="453"/>
              <w:jc w:val="center"/>
              <w:rPr>
                <w:rFonts w:ascii="Arial" w:hAnsi="Arial" w:eastAsia="宋体" w:cs="Arial"/>
                <w:sz w:val="16"/>
                <w:szCs w:val="16"/>
              </w:rPr>
            </w:pPr>
            <w:r>
              <w:rPr>
                <w:rFonts w:ascii="Arial" w:hAnsi="Arial" w:eastAsia="宋体" w:cs="Arial"/>
                <w:sz w:val="16"/>
              </w:rPr>
              <w:t>25</w:t>
            </w:r>
            <w:r>
              <w:rPr>
                <w:rFonts w:ascii="Arial" w:hAnsi="Arial" w:eastAsia="宋体" w:cs="Arial"/>
                <w:spacing w:val="-2"/>
                <w:sz w:val="16"/>
              </w:rPr>
              <w:t xml:space="preserve"> </w:t>
            </w:r>
            <w:r>
              <w:rPr>
                <w:rFonts w:ascii="Arial" w:hAnsi="Arial" w:eastAsia="宋体" w:cs="Arial"/>
                <w:sz w:val="16"/>
              </w:rPr>
              <w:t>分钟</w:t>
            </w:r>
          </w:p>
        </w:tc>
        <w:tc>
          <w:tcPr>
            <w:tcW w:w="1627" w:type="dxa"/>
            <w:tcBorders>
              <w:top w:val="single" w:color="000000" w:sz="4" w:space="0"/>
              <w:left w:val="single" w:color="000000" w:sz="4" w:space="0"/>
              <w:bottom w:val="single" w:color="000000" w:sz="4" w:space="0"/>
              <w:right w:val="single" w:color="000000" w:sz="4" w:space="0"/>
            </w:tcBorders>
          </w:tcPr>
          <w:p w14:paraId="1C902824">
            <w:pPr>
              <w:snapToGrid w:val="0"/>
              <w:spacing w:line="300" w:lineRule="auto"/>
              <w:jc w:val="center"/>
              <w:rPr>
                <w:rFonts w:ascii="Arial" w:hAnsi="Arial" w:eastAsia="宋体" w:cs="Arial"/>
              </w:rPr>
            </w:pPr>
          </w:p>
        </w:tc>
        <w:tc>
          <w:tcPr>
            <w:tcW w:w="1625" w:type="dxa"/>
            <w:tcBorders>
              <w:top w:val="single" w:color="000000" w:sz="4" w:space="0"/>
              <w:left w:val="single" w:color="000000" w:sz="4" w:space="0"/>
              <w:bottom w:val="single" w:color="000000" w:sz="4" w:space="0"/>
              <w:right w:val="single" w:color="000000" w:sz="4" w:space="0"/>
            </w:tcBorders>
          </w:tcPr>
          <w:p w14:paraId="1D5FAB82">
            <w:pPr>
              <w:pStyle w:val="18"/>
              <w:snapToGrid w:val="0"/>
              <w:spacing w:before="35" w:line="300" w:lineRule="auto"/>
              <w:ind w:left="4"/>
              <w:jc w:val="center"/>
              <w:rPr>
                <w:rFonts w:ascii="Arial" w:hAnsi="Arial" w:eastAsia="宋体" w:cs="Arial"/>
                <w:sz w:val="16"/>
                <w:szCs w:val="16"/>
              </w:rPr>
            </w:pPr>
            <w:r>
              <w:rPr>
                <w:rFonts w:ascii="Arial" w:hAnsi="Arial" w:eastAsia="宋体" w:cs="Arial"/>
                <w:sz w:val="16"/>
              </w:rPr>
              <w:t>15</w:t>
            </w:r>
            <w:r>
              <w:rPr>
                <w:rFonts w:ascii="Arial" w:hAnsi="Arial" w:eastAsia="宋体" w:cs="Arial"/>
                <w:spacing w:val="-2"/>
                <w:sz w:val="16"/>
              </w:rPr>
              <w:t xml:space="preserve"> </w:t>
            </w:r>
            <w:r>
              <w:rPr>
                <w:rFonts w:ascii="Arial" w:hAnsi="Arial" w:eastAsia="宋体" w:cs="Arial"/>
                <w:sz w:val="16"/>
              </w:rPr>
              <w:t>分钟</w:t>
            </w:r>
          </w:p>
        </w:tc>
      </w:tr>
      <w:tr w14:paraId="7F46A49E">
        <w:tblPrEx>
          <w:tblCellMar>
            <w:top w:w="0" w:type="dxa"/>
            <w:left w:w="0" w:type="dxa"/>
            <w:bottom w:w="0" w:type="dxa"/>
            <w:right w:w="0" w:type="dxa"/>
          </w:tblCellMar>
        </w:tblPrEx>
        <w:trPr>
          <w:trHeight w:val="295" w:hRule="exact"/>
        </w:trPr>
        <w:tc>
          <w:tcPr>
            <w:tcW w:w="2244" w:type="dxa"/>
            <w:tcBorders>
              <w:top w:val="single" w:color="000000" w:sz="4" w:space="0"/>
              <w:left w:val="single" w:color="000000" w:sz="4" w:space="0"/>
              <w:bottom w:val="single" w:color="000000" w:sz="4" w:space="0"/>
              <w:right w:val="single" w:color="000000" w:sz="4" w:space="0"/>
            </w:tcBorders>
          </w:tcPr>
          <w:p w14:paraId="16229D51">
            <w:pPr>
              <w:snapToGrid w:val="0"/>
              <w:spacing w:line="300" w:lineRule="auto"/>
              <w:jc w:val="both"/>
              <w:rPr>
                <w:rFonts w:ascii="Arial" w:hAnsi="Arial" w:eastAsia="宋体" w:cs="Arial"/>
              </w:rPr>
            </w:pPr>
          </w:p>
        </w:tc>
        <w:tc>
          <w:tcPr>
            <w:tcW w:w="1627" w:type="dxa"/>
            <w:tcBorders>
              <w:top w:val="single" w:color="000000" w:sz="4" w:space="0"/>
              <w:left w:val="single" w:color="000000" w:sz="4" w:space="0"/>
              <w:bottom w:val="single" w:color="000000" w:sz="4" w:space="0"/>
              <w:right w:val="single" w:color="000000" w:sz="4" w:space="0"/>
            </w:tcBorders>
          </w:tcPr>
          <w:p w14:paraId="12A01DA3">
            <w:pPr>
              <w:snapToGrid w:val="0"/>
              <w:spacing w:line="300" w:lineRule="auto"/>
              <w:jc w:val="center"/>
              <w:rPr>
                <w:rFonts w:ascii="Arial" w:hAnsi="Arial" w:eastAsia="宋体" w:cs="Arial"/>
              </w:rPr>
            </w:pPr>
          </w:p>
        </w:tc>
        <w:tc>
          <w:tcPr>
            <w:tcW w:w="1625" w:type="dxa"/>
            <w:tcBorders>
              <w:top w:val="single" w:color="000000" w:sz="4" w:space="0"/>
              <w:left w:val="single" w:color="000000" w:sz="4" w:space="0"/>
              <w:bottom w:val="single" w:color="000000" w:sz="4" w:space="0"/>
              <w:right w:val="single" w:color="000000" w:sz="4" w:space="0"/>
            </w:tcBorders>
          </w:tcPr>
          <w:p w14:paraId="7DC74573">
            <w:pPr>
              <w:snapToGrid w:val="0"/>
              <w:spacing w:line="300" w:lineRule="auto"/>
              <w:jc w:val="center"/>
              <w:rPr>
                <w:rFonts w:ascii="Arial" w:hAnsi="Arial" w:eastAsia="宋体" w:cs="Arial"/>
              </w:rPr>
            </w:pPr>
          </w:p>
        </w:tc>
        <w:tc>
          <w:tcPr>
            <w:tcW w:w="1627" w:type="dxa"/>
            <w:tcBorders>
              <w:top w:val="single" w:color="000000" w:sz="4" w:space="0"/>
              <w:left w:val="single" w:color="000000" w:sz="4" w:space="0"/>
              <w:bottom w:val="single" w:color="000000" w:sz="4" w:space="0"/>
              <w:right w:val="single" w:color="000000" w:sz="4" w:space="0"/>
            </w:tcBorders>
          </w:tcPr>
          <w:p w14:paraId="084AA0F5">
            <w:pPr>
              <w:pStyle w:val="18"/>
              <w:snapToGrid w:val="0"/>
              <w:spacing w:before="35" w:line="300" w:lineRule="auto"/>
              <w:ind w:left="455"/>
              <w:jc w:val="center"/>
              <w:rPr>
                <w:rFonts w:ascii="Arial" w:hAnsi="Arial" w:eastAsia="宋体" w:cs="Arial"/>
                <w:sz w:val="16"/>
                <w:szCs w:val="16"/>
              </w:rPr>
            </w:pPr>
            <w:r>
              <w:rPr>
                <w:rFonts w:ascii="Arial" w:hAnsi="Arial" w:eastAsia="宋体" w:cs="Arial"/>
                <w:sz w:val="16"/>
              </w:rPr>
              <w:t>10</w:t>
            </w:r>
            <w:r>
              <w:rPr>
                <w:rFonts w:ascii="Arial" w:hAnsi="Arial" w:eastAsia="宋体" w:cs="Arial"/>
                <w:spacing w:val="-2"/>
                <w:sz w:val="16"/>
              </w:rPr>
              <w:t xml:space="preserve"> </w:t>
            </w:r>
            <w:r>
              <w:rPr>
                <w:rFonts w:ascii="Arial" w:hAnsi="Arial" w:eastAsia="宋体" w:cs="Arial"/>
                <w:sz w:val="16"/>
              </w:rPr>
              <w:t>分钟</w:t>
            </w:r>
          </w:p>
        </w:tc>
        <w:tc>
          <w:tcPr>
            <w:tcW w:w="1625" w:type="dxa"/>
            <w:tcBorders>
              <w:top w:val="single" w:color="000000" w:sz="4" w:space="0"/>
              <w:left w:val="single" w:color="000000" w:sz="4" w:space="0"/>
              <w:bottom w:val="single" w:color="000000" w:sz="4" w:space="0"/>
              <w:right w:val="single" w:color="000000" w:sz="4" w:space="0"/>
            </w:tcBorders>
          </w:tcPr>
          <w:p w14:paraId="66DF5E80">
            <w:pPr>
              <w:pStyle w:val="18"/>
              <w:snapToGrid w:val="0"/>
              <w:spacing w:before="35" w:line="300" w:lineRule="auto"/>
              <w:ind w:left="4"/>
              <w:jc w:val="center"/>
              <w:rPr>
                <w:rFonts w:ascii="Arial" w:hAnsi="Arial" w:eastAsia="宋体" w:cs="Arial"/>
                <w:sz w:val="16"/>
                <w:szCs w:val="16"/>
              </w:rPr>
            </w:pPr>
            <w:r>
              <w:rPr>
                <w:rFonts w:ascii="Arial" w:hAnsi="Arial" w:eastAsia="宋体" w:cs="Arial"/>
                <w:sz w:val="16"/>
              </w:rPr>
              <w:t>30</w:t>
            </w:r>
            <w:r>
              <w:rPr>
                <w:rFonts w:ascii="Arial" w:hAnsi="Arial" w:eastAsia="宋体" w:cs="Arial"/>
                <w:spacing w:val="-2"/>
                <w:sz w:val="16"/>
              </w:rPr>
              <w:t xml:space="preserve"> </w:t>
            </w:r>
            <w:r>
              <w:rPr>
                <w:rFonts w:ascii="Arial" w:hAnsi="Arial" w:eastAsia="宋体" w:cs="Arial"/>
                <w:sz w:val="16"/>
              </w:rPr>
              <w:t>分钟</w:t>
            </w:r>
          </w:p>
        </w:tc>
      </w:tr>
      <w:tr w14:paraId="24B31137">
        <w:tblPrEx>
          <w:tblCellMar>
            <w:top w:w="0" w:type="dxa"/>
            <w:left w:w="0" w:type="dxa"/>
            <w:bottom w:w="0" w:type="dxa"/>
            <w:right w:w="0" w:type="dxa"/>
          </w:tblCellMar>
        </w:tblPrEx>
        <w:trPr>
          <w:trHeight w:val="293" w:hRule="exact"/>
        </w:trPr>
        <w:tc>
          <w:tcPr>
            <w:tcW w:w="2244" w:type="dxa"/>
            <w:tcBorders>
              <w:top w:val="single" w:color="000000" w:sz="4" w:space="0"/>
              <w:left w:val="single" w:color="000000" w:sz="4" w:space="0"/>
              <w:bottom w:val="single" w:color="000000" w:sz="4" w:space="0"/>
              <w:right w:val="single" w:color="000000" w:sz="4" w:space="0"/>
            </w:tcBorders>
          </w:tcPr>
          <w:p w14:paraId="67D08D0E">
            <w:pPr>
              <w:pStyle w:val="18"/>
              <w:snapToGrid w:val="0"/>
              <w:spacing w:before="35" w:line="300" w:lineRule="auto"/>
              <w:ind w:left="103"/>
              <w:jc w:val="both"/>
              <w:rPr>
                <w:rFonts w:ascii="Arial" w:hAnsi="Arial" w:eastAsia="宋体" w:cs="Arial"/>
                <w:sz w:val="16"/>
                <w:szCs w:val="16"/>
              </w:rPr>
            </w:pPr>
            <w:r>
              <w:rPr>
                <w:rFonts w:ascii="Arial" w:hAnsi="Arial" w:eastAsia="宋体" w:cs="Arial"/>
                <w:sz w:val="16"/>
                <w:szCs w:val="16"/>
                <w:lang w:eastAsia="zh-CN"/>
              </w:rPr>
              <w:t>包装器具</w:t>
            </w:r>
          </w:p>
        </w:tc>
        <w:tc>
          <w:tcPr>
            <w:tcW w:w="1627" w:type="dxa"/>
            <w:tcBorders>
              <w:top w:val="single" w:color="000000" w:sz="4" w:space="0"/>
              <w:left w:val="single" w:color="000000" w:sz="4" w:space="0"/>
              <w:bottom w:val="single" w:color="000000" w:sz="4" w:space="0"/>
              <w:right w:val="single" w:color="000000" w:sz="4" w:space="0"/>
            </w:tcBorders>
          </w:tcPr>
          <w:p w14:paraId="224A431E">
            <w:pPr>
              <w:pStyle w:val="18"/>
              <w:snapToGrid w:val="0"/>
              <w:spacing w:before="35" w:line="300" w:lineRule="auto"/>
              <w:jc w:val="center"/>
              <w:rPr>
                <w:rFonts w:ascii="Arial" w:hAnsi="Arial" w:eastAsia="宋体" w:cs="Arial"/>
                <w:sz w:val="16"/>
                <w:szCs w:val="16"/>
              </w:rPr>
            </w:pPr>
            <w:r>
              <w:rPr>
                <w:rFonts w:ascii="Arial" w:hAnsi="Arial" w:eastAsia="宋体" w:cs="Arial"/>
                <w:sz w:val="16"/>
              </w:rPr>
              <w:t>30</w:t>
            </w:r>
            <w:r>
              <w:rPr>
                <w:rFonts w:ascii="Arial" w:hAnsi="Arial" w:eastAsia="宋体" w:cs="Arial"/>
                <w:spacing w:val="-2"/>
                <w:sz w:val="16"/>
              </w:rPr>
              <w:t xml:space="preserve"> </w:t>
            </w:r>
            <w:r>
              <w:rPr>
                <w:rFonts w:ascii="Arial" w:hAnsi="Arial" w:eastAsia="宋体" w:cs="Arial"/>
                <w:sz w:val="16"/>
              </w:rPr>
              <w:t>分钟</w:t>
            </w:r>
          </w:p>
        </w:tc>
        <w:tc>
          <w:tcPr>
            <w:tcW w:w="1625" w:type="dxa"/>
            <w:tcBorders>
              <w:top w:val="single" w:color="000000" w:sz="4" w:space="0"/>
              <w:left w:val="single" w:color="000000" w:sz="4" w:space="0"/>
              <w:bottom w:val="single" w:color="000000" w:sz="4" w:space="0"/>
              <w:right w:val="single" w:color="000000" w:sz="4" w:space="0"/>
            </w:tcBorders>
          </w:tcPr>
          <w:p w14:paraId="6093F09E">
            <w:pPr>
              <w:pStyle w:val="18"/>
              <w:snapToGrid w:val="0"/>
              <w:spacing w:before="35" w:line="300" w:lineRule="auto"/>
              <w:ind w:left="453"/>
              <w:jc w:val="center"/>
              <w:rPr>
                <w:rFonts w:ascii="Arial" w:hAnsi="Arial" w:eastAsia="宋体" w:cs="Arial"/>
                <w:sz w:val="16"/>
                <w:szCs w:val="16"/>
              </w:rPr>
            </w:pPr>
            <w:r>
              <w:rPr>
                <w:rFonts w:ascii="Arial" w:hAnsi="Arial" w:eastAsia="宋体" w:cs="Arial"/>
                <w:sz w:val="16"/>
              </w:rPr>
              <w:t>15</w:t>
            </w:r>
            <w:r>
              <w:rPr>
                <w:rFonts w:ascii="Arial" w:hAnsi="Arial" w:eastAsia="宋体" w:cs="Arial"/>
                <w:spacing w:val="-2"/>
                <w:sz w:val="16"/>
              </w:rPr>
              <w:t xml:space="preserve"> </w:t>
            </w:r>
            <w:r>
              <w:rPr>
                <w:rFonts w:ascii="Arial" w:hAnsi="Arial" w:eastAsia="宋体" w:cs="Arial"/>
                <w:sz w:val="16"/>
              </w:rPr>
              <w:t>分钟</w:t>
            </w:r>
          </w:p>
        </w:tc>
        <w:tc>
          <w:tcPr>
            <w:tcW w:w="1627" w:type="dxa"/>
            <w:tcBorders>
              <w:top w:val="single" w:color="000000" w:sz="4" w:space="0"/>
              <w:left w:val="single" w:color="000000" w:sz="4" w:space="0"/>
              <w:bottom w:val="single" w:color="000000" w:sz="4" w:space="0"/>
              <w:right w:val="single" w:color="000000" w:sz="4" w:space="0"/>
            </w:tcBorders>
          </w:tcPr>
          <w:p w14:paraId="29583E4B">
            <w:pPr>
              <w:snapToGrid w:val="0"/>
              <w:spacing w:line="300" w:lineRule="auto"/>
              <w:jc w:val="center"/>
              <w:rPr>
                <w:rFonts w:ascii="Arial" w:hAnsi="Arial" w:eastAsia="宋体" w:cs="Arial"/>
              </w:rPr>
            </w:pPr>
          </w:p>
        </w:tc>
        <w:tc>
          <w:tcPr>
            <w:tcW w:w="1625" w:type="dxa"/>
            <w:tcBorders>
              <w:top w:val="single" w:color="000000" w:sz="4" w:space="0"/>
              <w:left w:val="single" w:color="000000" w:sz="4" w:space="0"/>
              <w:bottom w:val="single" w:color="000000" w:sz="4" w:space="0"/>
              <w:right w:val="single" w:color="000000" w:sz="4" w:space="0"/>
            </w:tcBorders>
          </w:tcPr>
          <w:p w14:paraId="1136792F">
            <w:pPr>
              <w:pStyle w:val="18"/>
              <w:snapToGrid w:val="0"/>
              <w:spacing w:before="35" w:line="300" w:lineRule="auto"/>
              <w:jc w:val="center"/>
              <w:rPr>
                <w:rFonts w:ascii="Arial" w:hAnsi="Arial" w:eastAsia="宋体" w:cs="Arial"/>
                <w:sz w:val="16"/>
                <w:szCs w:val="16"/>
              </w:rPr>
            </w:pPr>
            <w:r>
              <w:rPr>
                <w:rFonts w:ascii="Arial" w:hAnsi="Arial" w:eastAsia="宋体" w:cs="Arial"/>
                <w:sz w:val="16"/>
              </w:rPr>
              <w:t>15-30</w:t>
            </w:r>
            <w:r>
              <w:rPr>
                <w:rFonts w:ascii="Arial" w:hAnsi="Arial" w:eastAsia="宋体" w:cs="Arial"/>
                <w:spacing w:val="-4"/>
                <w:sz w:val="16"/>
              </w:rPr>
              <w:t xml:space="preserve"> </w:t>
            </w:r>
            <w:r>
              <w:rPr>
                <w:rFonts w:ascii="Arial" w:hAnsi="Arial" w:eastAsia="宋体" w:cs="Arial"/>
                <w:sz w:val="16"/>
              </w:rPr>
              <w:t>分钟</w:t>
            </w:r>
          </w:p>
        </w:tc>
      </w:tr>
      <w:tr w14:paraId="4836FC36">
        <w:tblPrEx>
          <w:tblCellMar>
            <w:top w:w="0" w:type="dxa"/>
            <w:left w:w="0" w:type="dxa"/>
            <w:bottom w:w="0" w:type="dxa"/>
            <w:right w:w="0" w:type="dxa"/>
          </w:tblCellMar>
        </w:tblPrEx>
        <w:trPr>
          <w:trHeight w:val="295" w:hRule="exact"/>
        </w:trPr>
        <w:tc>
          <w:tcPr>
            <w:tcW w:w="2244" w:type="dxa"/>
            <w:tcBorders>
              <w:top w:val="single" w:color="000000" w:sz="4" w:space="0"/>
              <w:left w:val="single" w:color="000000" w:sz="4" w:space="0"/>
              <w:bottom w:val="single" w:color="000000" w:sz="4" w:space="0"/>
              <w:right w:val="single" w:color="000000" w:sz="4" w:space="0"/>
            </w:tcBorders>
          </w:tcPr>
          <w:p w14:paraId="0013861E">
            <w:pPr>
              <w:snapToGrid w:val="0"/>
              <w:spacing w:line="300" w:lineRule="auto"/>
              <w:jc w:val="both"/>
              <w:rPr>
                <w:rFonts w:ascii="Arial" w:hAnsi="Arial" w:eastAsia="宋体" w:cs="Arial"/>
              </w:rPr>
            </w:pPr>
          </w:p>
        </w:tc>
        <w:tc>
          <w:tcPr>
            <w:tcW w:w="1627" w:type="dxa"/>
            <w:tcBorders>
              <w:top w:val="single" w:color="000000" w:sz="4" w:space="0"/>
              <w:left w:val="single" w:color="000000" w:sz="4" w:space="0"/>
              <w:bottom w:val="single" w:color="000000" w:sz="4" w:space="0"/>
              <w:right w:val="single" w:color="000000" w:sz="4" w:space="0"/>
            </w:tcBorders>
          </w:tcPr>
          <w:p w14:paraId="3FD9955F">
            <w:pPr>
              <w:snapToGrid w:val="0"/>
              <w:spacing w:line="300" w:lineRule="auto"/>
              <w:jc w:val="center"/>
              <w:rPr>
                <w:rFonts w:ascii="Arial" w:hAnsi="Arial" w:eastAsia="宋体" w:cs="Arial"/>
              </w:rPr>
            </w:pPr>
          </w:p>
        </w:tc>
        <w:tc>
          <w:tcPr>
            <w:tcW w:w="1625" w:type="dxa"/>
            <w:tcBorders>
              <w:top w:val="single" w:color="000000" w:sz="4" w:space="0"/>
              <w:left w:val="single" w:color="000000" w:sz="4" w:space="0"/>
              <w:bottom w:val="single" w:color="000000" w:sz="4" w:space="0"/>
              <w:right w:val="single" w:color="000000" w:sz="4" w:space="0"/>
            </w:tcBorders>
          </w:tcPr>
          <w:p w14:paraId="212EB4E4">
            <w:pPr>
              <w:snapToGrid w:val="0"/>
              <w:spacing w:line="300" w:lineRule="auto"/>
              <w:jc w:val="center"/>
              <w:rPr>
                <w:rFonts w:ascii="Arial" w:hAnsi="Arial" w:eastAsia="宋体" w:cs="Arial"/>
              </w:rPr>
            </w:pPr>
          </w:p>
        </w:tc>
        <w:tc>
          <w:tcPr>
            <w:tcW w:w="1627" w:type="dxa"/>
            <w:tcBorders>
              <w:top w:val="single" w:color="000000" w:sz="4" w:space="0"/>
              <w:left w:val="single" w:color="000000" w:sz="4" w:space="0"/>
              <w:bottom w:val="single" w:color="000000" w:sz="4" w:space="0"/>
              <w:right w:val="single" w:color="000000" w:sz="4" w:space="0"/>
            </w:tcBorders>
          </w:tcPr>
          <w:p w14:paraId="316CD075">
            <w:pPr>
              <w:pStyle w:val="18"/>
              <w:snapToGrid w:val="0"/>
              <w:spacing w:before="35" w:line="300" w:lineRule="auto"/>
              <w:ind w:left="455"/>
              <w:jc w:val="center"/>
              <w:rPr>
                <w:rFonts w:ascii="Arial" w:hAnsi="Arial" w:eastAsia="宋体" w:cs="Arial"/>
                <w:sz w:val="16"/>
                <w:szCs w:val="16"/>
              </w:rPr>
            </w:pPr>
            <w:r>
              <w:rPr>
                <w:rFonts w:ascii="Arial" w:hAnsi="Arial" w:eastAsia="宋体" w:cs="Arial"/>
                <w:sz w:val="16"/>
              </w:rPr>
              <w:t>10</w:t>
            </w:r>
            <w:r>
              <w:rPr>
                <w:rFonts w:ascii="Arial" w:hAnsi="Arial" w:eastAsia="宋体" w:cs="Arial"/>
                <w:spacing w:val="-2"/>
                <w:sz w:val="16"/>
              </w:rPr>
              <w:t xml:space="preserve"> </w:t>
            </w:r>
            <w:r>
              <w:rPr>
                <w:rFonts w:ascii="Arial" w:hAnsi="Arial" w:eastAsia="宋体" w:cs="Arial"/>
                <w:sz w:val="16"/>
              </w:rPr>
              <w:t>分钟</w:t>
            </w:r>
          </w:p>
        </w:tc>
        <w:tc>
          <w:tcPr>
            <w:tcW w:w="1625" w:type="dxa"/>
            <w:tcBorders>
              <w:top w:val="single" w:color="000000" w:sz="4" w:space="0"/>
              <w:left w:val="single" w:color="000000" w:sz="4" w:space="0"/>
              <w:bottom w:val="single" w:color="000000" w:sz="4" w:space="0"/>
              <w:right w:val="single" w:color="000000" w:sz="4" w:space="0"/>
            </w:tcBorders>
          </w:tcPr>
          <w:p w14:paraId="4C48DBC0">
            <w:pPr>
              <w:pStyle w:val="18"/>
              <w:snapToGrid w:val="0"/>
              <w:spacing w:before="35" w:line="300" w:lineRule="auto"/>
              <w:ind w:left="4"/>
              <w:jc w:val="center"/>
              <w:rPr>
                <w:rFonts w:ascii="Arial" w:hAnsi="Arial" w:eastAsia="宋体" w:cs="Arial"/>
                <w:sz w:val="16"/>
                <w:szCs w:val="16"/>
              </w:rPr>
            </w:pPr>
            <w:r>
              <w:rPr>
                <w:rFonts w:ascii="Arial" w:hAnsi="Arial" w:eastAsia="宋体" w:cs="Arial"/>
                <w:sz w:val="16"/>
              </w:rPr>
              <w:t>30</w:t>
            </w:r>
            <w:r>
              <w:rPr>
                <w:rFonts w:ascii="Arial" w:hAnsi="Arial" w:eastAsia="宋体" w:cs="Arial"/>
                <w:spacing w:val="-2"/>
                <w:sz w:val="16"/>
              </w:rPr>
              <w:t xml:space="preserve"> </w:t>
            </w:r>
            <w:r>
              <w:rPr>
                <w:rFonts w:ascii="Arial" w:hAnsi="Arial" w:eastAsia="宋体" w:cs="Arial"/>
                <w:sz w:val="16"/>
              </w:rPr>
              <w:t>分钟</w:t>
            </w:r>
          </w:p>
        </w:tc>
      </w:tr>
      <w:tr w14:paraId="1D56CBF1">
        <w:tblPrEx>
          <w:tblCellMar>
            <w:top w:w="0" w:type="dxa"/>
            <w:left w:w="0" w:type="dxa"/>
            <w:bottom w:w="0" w:type="dxa"/>
            <w:right w:w="0" w:type="dxa"/>
          </w:tblCellMar>
        </w:tblPrEx>
        <w:trPr>
          <w:trHeight w:val="478" w:hRule="exact"/>
        </w:trPr>
        <w:tc>
          <w:tcPr>
            <w:tcW w:w="2244" w:type="dxa"/>
            <w:tcBorders>
              <w:top w:val="single" w:color="000000" w:sz="4" w:space="0"/>
              <w:left w:val="single" w:color="000000" w:sz="4" w:space="0"/>
              <w:bottom w:val="single" w:color="000000" w:sz="4" w:space="0"/>
              <w:right w:val="single" w:color="000000" w:sz="4" w:space="0"/>
            </w:tcBorders>
          </w:tcPr>
          <w:p w14:paraId="18321B92">
            <w:pPr>
              <w:pStyle w:val="18"/>
              <w:snapToGrid w:val="0"/>
              <w:spacing w:before="35" w:line="300" w:lineRule="auto"/>
              <w:ind w:left="103"/>
              <w:jc w:val="both"/>
              <w:rPr>
                <w:rFonts w:ascii="Arial" w:hAnsi="Arial" w:eastAsia="宋体" w:cs="Arial"/>
                <w:sz w:val="16"/>
                <w:szCs w:val="16"/>
                <w:lang w:eastAsia="zh-CN"/>
              </w:rPr>
            </w:pPr>
            <w:r>
              <w:rPr>
                <w:rFonts w:ascii="Arial" w:hAnsi="Arial" w:eastAsia="宋体" w:cs="Arial"/>
                <w:sz w:val="16"/>
                <w:lang w:eastAsia="zh-CN"/>
              </w:rPr>
              <w:t>无孔物品（例如，</w:t>
            </w:r>
            <w:r>
              <w:rPr>
                <w:rFonts w:ascii="Arial" w:hAnsi="Arial" w:eastAsia="宋体" w:cs="Arial"/>
                <w:sz w:val="16"/>
                <w:szCs w:val="16"/>
                <w:lang w:eastAsia="zh-CN"/>
              </w:rPr>
              <w:t>工具</w:t>
            </w:r>
            <w:r>
              <w:rPr>
                <w:rFonts w:ascii="Arial" w:hAnsi="Arial" w:eastAsia="宋体" w:cs="Arial"/>
                <w:sz w:val="16"/>
                <w:lang w:eastAsia="zh-CN"/>
              </w:rPr>
              <w:t>）</w:t>
            </w:r>
          </w:p>
        </w:tc>
        <w:tc>
          <w:tcPr>
            <w:tcW w:w="1627" w:type="dxa"/>
            <w:tcBorders>
              <w:top w:val="single" w:color="000000" w:sz="4" w:space="0"/>
              <w:left w:val="single" w:color="000000" w:sz="4" w:space="0"/>
              <w:bottom w:val="single" w:color="000000" w:sz="4" w:space="0"/>
              <w:right w:val="single" w:color="000000" w:sz="4" w:space="0"/>
            </w:tcBorders>
          </w:tcPr>
          <w:p w14:paraId="3265D3F5">
            <w:pPr>
              <w:snapToGrid w:val="0"/>
              <w:spacing w:line="300" w:lineRule="auto"/>
              <w:jc w:val="center"/>
              <w:rPr>
                <w:rFonts w:ascii="Arial" w:hAnsi="Arial" w:eastAsia="宋体" w:cs="Arial"/>
                <w:lang w:eastAsia="zh-CN"/>
              </w:rPr>
            </w:pPr>
          </w:p>
        </w:tc>
        <w:tc>
          <w:tcPr>
            <w:tcW w:w="1625" w:type="dxa"/>
            <w:tcBorders>
              <w:top w:val="single" w:color="000000" w:sz="4" w:space="0"/>
              <w:left w:val="single" w:color="000000" w:sz="4" w:space="0"/>
              <w:bottom w:val="single" w:color="000000" w:sz="4" w:space="0"/>
              <w:right w:val="single" w:color="000000" w:sz="4" w:space="0"/>
            </w:tcBorders>
          </w:tcPr>
          <w:p w14:paraId="1D1D8B35">
            <w:pPr>
              <w:pStyle w:val="18"/>
              <w:snapToGrid w:val="0"/>
              <w:spacing w:before="35" w:line="300" w:lineRule="auto"/>
              <w:ind w:left="491"/>
              <w:jc w:val="center"/>
              <w:rPr>
                <w:rFonts w:ascii="Arial" w:hAnsi="Arial" w:eastAsia="宋体" w:cs="Arial"/>
                <w:sz w:val="16"/>
                <w:szCs w:val="16"/>
              </w:rPr>
            </w:pPr>
            <w:r>
              <w:rPr>
                <w:rFonts w:ascii="Arial" w:hAnsi="Arial" w:eastAsia="宋体" w:cs="Arial"/>
                <w:sz w:val="16"/>
              </w:rPr>
              <w:t>3 分钟</w:t>
            </w:r>
          </w:p>
        </w:tc>
        <w:tc>
          <w:tcPr>
            <w:tcW w:w="1627" w:type="dxa"/>
            <w:tcBorders>
              <w:top w:val="single" w:color="000000" w:sz="4" w:space="0"/>
              <w:left w:val="single" w:color="000000" w:sz="4" w:space="0"/>
              <w:bottom w:val="single" w:color="000000" w:sz="4" w:space="0"/>
              <w:right w:val="single" w:color="000000" w:sz="4" w:space="0"/>
            </w:tcBorders>
          </w:tcPr>
          <w:p w14:paraId="61431826">
            <w:pPr>
              <w:pStyle w:val="18"/>
              <w:snapToGrid w:val="0"/>
              <w:spacing w:before="35" w:line="300" w:lineRule="auto"/>
              <w:ind w:left="494"/>
              <w:jc w:val="center"/>
              <w:rPr>
                <w:rFonts w:ascii="Arial" w:hAnsi="Arial" w:eastAsia="宋体" w:cs="Arial"/>
                <w:sz w:val="16"/>
                <w:szCs w:val="16"/>
              </w:rPr>
            </w:pPr>
            <w:r>
              <w:rPr>
                <w:rFonts w:ascii="Arial" w:hAnsi="Arial" w:eastAsia="宋体" w:cs="Arial"/>
                <w:sz w:val="16"/>
              </w:rPr>
              <w:t>3 分钟</w:t>
            </w:r>
          </w:p>
        </w:tc>
        <w:tc>
          <w:tcPr>
            <w:tcW w:w="1625" w:type="dxa"/>
            <w:tcBorders>
              <w:top w:val="single" w:color="000000" w:sz="4" w:space="0"/>
              <w:left w:val="single" w:color="000000" w:sz="4" w:space="0"/>
              <w:bottom w:val="single" w:color="000000" w:sz="4" w:space="0"/>
              <w:right w:val="single" w:color="000000" w:sz="4" w:space="0"/>
            </w:tcBorders>
          </w:tcPr>
          <w:p w14:paraId="3244E4F4">
            <w:pPr>
              <w:pStyle w:val="18"/>
              <w:snapToGrid w:val="0"/>
              <w:spacing w:before="35" w:line="300" w:lineRule="auto"/>
              <w:ind w:left="2"/>
              <w:jc w:val="center"/>
              <w:rPr>
                <w:rFonts w:ascii="Arial" w:hAnsi="Arial" w:eastAsia="宋体" w:cs="Arial"/>
                <w:sz w:val="16"/>
                <w:szCs w:val="16"/>
              </w:rPr>
            </w:pPr>
            <w:r>
              <w:rPr>
                <w:rFonts w:ascii="Arial" w:hAnsi="Arial" w:eastAsia="宋体" w:cs="Arial"/>
                <w:sz w:val="16"/>
              </w:rPr>
              <w:t>0-1</w:t>
            </w:r>
            <w:r>
              <w:rPr>
                <w:rFonts w:ascii="Arial" w:hAnsi="Arial" w:eastAsia="宋体" w:cs="Arial"/>
                <w:spacing w:val="-3"/>
                <w:sz w:val="16"/>
              </w:rPr>
              <w:t xml:space="preserve"> </w:t>
            </w:r>
            <w:r>
              <w:rPr>
                <w:rFonts w:ascii="Arial" w:hAnsi="Arial" w:eastAsia="宋体" w:cs="Arial"/>
                <w:sz w:val="16"/>
              </w:rPr>
              <w:t>分钟</w:t>
            </w:r>
          </w:p>
        </w:tc>
      </w:tr>
      <w:tr w14:paraId="1E68E148">
        <w:tblPrEx>
          <w:tblCellMar>
            <w:top w:w="0" w:type="dxa"/>
            <w:left w:w="0" w:type="dxa"/>
            <w:bottom w:w="0" w:type="dxa"/>
            <w:right w:w="0" w:type="dxa"/>
          </w:tblCellMar>
        </w:tblPrEx>
        <w:trPr>
          <w:trHeight w:val="478" w:hRule="exact"/>
        </w:trPr>
        <w:tc>
          <w:tcPr>
            <w:tcW w:w="2244" w:type="dxa"/>
            <w:tcBorders>
              <w:top w:val="single" w:color="000000" w:sz="4" w:space="0"/>
              <w:left w:val="single" w:color="000000" w:sz="4" w:space="0"/>
              <w:bottom w:val="single" w:color="000000" w:sz="4" w:space="0"/>
              <w:right w:val="single" w:color="000000" w:sz="4" w:space="0"/>
            </w:tcBorders>
          </w:tcPr>
          <w:p w14:paraId="4A429434">
            <w:pPr>
              <w:pStyle w:val="18"/>
              <w:snapToGrid w:val="0"/>
              <w:spacing w:before="35" w:line="300" w:lineRule="auto"/>
              <w:ind w:left="103"/>
              <w:jc w:val="both"/>
              <w:rPr>
                <w:rFonts w:ascii="Arial" w:hAnsi="Arial" w:eastAsia="宋体" w:cs="Arial"/>
                <w:sz w:val="16"/>
                <w:szCs w:val="16"/>
                <w:lang w:eastAsia="zh-CN"/>
              </w:rPr>
            </w:pPr>
            <w:r>
              <w:rPr>
                <w:rFonts w:ascii="Arial" w:hAnsi="Arial" w:eastAsia="宋体" w:cs="Arial"/>
                <w:sz w:val="16"/>
                <w:lang w:eastAsia="zh-CN"/>
              </w:rPr>
              <w:t>混合负载中的无孔和多孔物品</w:t>
            </w:r>
          </w:p>
        </w:tc>
        <w:tc>
          <w:tcPr>
            <w:tcW w:w="1627" w:type="dxa"/>
            <w:tcBorders>
              <w:top w:val="single" w:color="000000" w:sz="4" w:space="0"/>
              <w:left w:val="single" w:color="000000" w:sz="4" w:space="0"/>
              <w:bottom w:val="single" w:color="000000" w:sz="4" w:space="0"/>
              <w:right w:val="single" w:color="000000" w:sz="4" w:space="0"/>
            </w:tcBorders>
          </w:tcPr>
          <w:p w14:paraId="4DA4920B">
            <w:pPr>
              <w:snapToGrid w:val="0"/>
              <w:spacing w:line="300" w:lineRule="auto"/>
              <w:jc w:val="center"/>
              <w:rPr>
                <w:rFonts w:ascii="Arial" w:hAnsi="Arial" w:eastAsia="宋体" w:cs="Arial"/>
                <w:lang w:eastAsia="zh-CN"/>
              </w:rPr>
            </w:pPr>
          </w:p>
        </w:tc>
        <w:tc>
          <w:tcPr>
            <w:tcW w:w="1625" w:type="dxa"/>
            <w:tcBorders>
              <w:top w:val="single" w:color="000000" w:sz="4" w:space="0"/>
              <w:left w:val="single" w:color="000000" w:sz="4" w:space="0"/>
              <w:bottom w:val="single" w:color="000000" w:sz="4" w:space="0"/>
              <w:right w:val="single" w:color="000000" w:sz="4" w:space="0"/>
            </w:tcBorders>
          </w:tcPr>
          <w:p w14:paraId="2EEA2859">
            <w:pPr>
              <w:pStyle w:val="18"/>
              <w:snapToGrid w:val="0"/>
              <w:spacing w:before="35" w:line="300" w:lineRule="auto"/>
              <w:ind w:left="453"/>
              <w:jc w:val="center"/>
              <w:rPr>
                <w:rFonts w:ascii="Arial" w:hAnsi="Arial" w:eastAsia="宋体" w:cs="Arial"/>
                <w:sz w:val="16"/>
                <w:szCs w:val="16"/>
              </w:rPr>
            </w:pPr>
            <w:r>
              <w:rPr>
                <w:rFonts w:ascii="Arial" w:hAnsi="Arial" w:eastAsia="宋体" w:cs="Arial"/>
                <w:sz w:val="16"/>
              </w:rPr>
              <w:t>10</w:t>
            </w:r>
            <w:r>
              <w:rPr>
                <w:rFonts w:ascii="Arial" w:hAnsi="Arial" w:eastAsia="宋体" w:cs="Arial"/>
                <w:spacing w:val="-2"/>
                <w:sz w:val="16"/>
              </w:rPr>
              <w:t xml:space="preserve"> </w:t>
            </w:r>
            <w:r>
              <w:rPr>
                <w:rFonts w:ascii="Arial" w:hAnsi="Arial" w:eastAsia="宋体" w:cs="Arial"/>
                <w:sz w:val="16"/>
              </w:rPr>
              <w:t>分钟</w:t>
            </w:r>
          </w:p>
        </w:tc>
        <w:tc>
          <w:tcPr>
            <w:tcW w:w="1627" w:type="dxa"/>
            <w:tcBorders>
              <w:top w:val="single" w:color="000000" w:sz="4" w:space="0"/>
              <w:left w:val="single" w:color="000000" w:sz="4" w:space="0"/>
              <w:bottom w:val="single" w:color="000000" w:sz="4" w:space="0"/>
              <w:right w:val="single" w:color="000000" w:sz="4" w:space="0"/>
            </w:tcBorders>
          </w:tcPr>
          <w:p w14:paraId="0DA687C7">
            <w:pPr>
              <w:pStyle w:val="18"/>
              <w:snapToGrid w:val="0"/>
              <w:spacing w:before="35" w:line="300" w:lineRule="auto"/>
              <w:ind w:left="455"/>
              <w:jc w:val="center"/>
              <w:rPr>
                <w:rFonts w:ascii="Arial" w:hAnsi="Arial" w:eastAsia="宋体" w:cs="Arial"/>
                <w:sz w:val="16"/>
                <w:szCs w:val="16"/>
              </w:rPr>
            </w:pPr>
            <w:r>
              <w:rPr>
                <w:rFonts w:ascii="Arial" w:hAnsi="Arial" w:eastAsia="宋体" w:cs="Arial"/>
                <w:sz w:val="16"/>
              </w:rPr>
              <w:t>10</w:t>
            </w:r>
            <w:r>
              <w:rPr>
                <w:rFonts w:ascii="Arial" w:hAnsi="Arial" w:eastAsia="宋体" w:cs="Arial"/>
                <w:spacing w:val="-2"/>
                <w:sz w:val="16"/>
              </w:rPr>
              <w:t xml:space="preserve"> </w:t>
            </w:r>
            <w:r>
              <w:rPr>
                <w:rFonts w:ascii="Arial" w:hAnsi="Arial" w:eastAsia="宋体" w:cs="Arial"/>
                <w:sz w:val="16"/>
              </w:rPr>
              <w:t>分钟</w:t>
            </w:r>
          </w:p>
        </w:tc>
        <w:tc>
          <w:tcPr>
            <w:tcW w:w="1625" w:type="dxa"/>
            <w:tcBorders>
              <w:top w:val="single" w:color="000000" w:sz="4" w:space="0"/>
              <w:left w:val="single" w:color="000000" w:sz="4" w:space="0"/>
              <w:bottom w:val="single" w:color="000000" w:sz="4" w:space="0"/>
              <w:right w:val="single" w:color="000000" w:sz="4" w:space="0"/>
            </w:tcBorders>
          </w:tcPr>
          <w:p w14:paraId="46868061">
            <w:pPr>
              <w:pStyle w:val="18"/>
              <w:snapToGrid w:val="0"/>
              <w:spacing w:before="35" w:line="300" w:lineRule="auto"/>
              <w:ind w:left="4"/>
              <w:jc w:val="center"/>
              <w:rPr>
                <w:rFonts w:ascii="Arial" w:hAnsi="Arial" w:eastAsia="宋体" w:cs="Arial"/>
                <w:sz w:val="16"/>
                <w:szCs w:val="16"/>
              </w:rPr>
            </w:pPr>
            <w:r>
              <w:rPr>
                <w:rFonts w:ascii="Arial" w:hAnsi="Arial" w:eastAsia="宋体" w:cs="Arial"/>
                <w:sz w:val="16"/>
              </w:rPr>
              <w:t>0-1分钟</w:t>
            </w:r>
          </w:p>
        </w:tc>
      </w:tr>
    </w:tbl>
    <w:p w14:paraId="16569E2F">
      <w:pPr>
        <w:snapToGrid w:val="0"/>
        <w:spacing w:before="10" w:line="300" w:lineRule="auto"/>
        <w:jc w:val="both"/>
        <w:rPr>
          <w:rFonts w:ascii="Arial" w:hAnsi="Arial" w:eastAsia="宋体" w:cs="Arial"/>
          <w:b/>
          <w:bCs/>
          <w:sz w:val="18"/>
          <w:szCs w:val="18"/>
        </w:rPr>
      </w:pPr>
    </w:p>
    <w:p w14:paraId="66029338">
      <w:pPr>
        <w:snapToGrid w:val="0"/>
        <w:spacing w:before="74" w:line="300" w:lineRule="auto"/>
        <w:ind w:left="120"/>
        <w:jc w:val="both"/>
        <w:rPr>
          <w:rFonts w:ascii="Arial" w:hAnsi="Arial" w:eastAsia="宋体" w:cs="Arial"/>
          <w:sz w:val="20"/>
          <w:szCs w:val="20"/>
          <w:lang w:eastAsia="zh-CN"/>
        </w:rPr>
      </w:pPr>
      <w:r>
        <w:rPr>
          <w:rFonts w:ascii="Arial" w:hAnsi="Arial" w:eastAsia="宋体" w:cs="Arial"/>
          <w:b/>
          <w:sz w:val="20"/>
          <w:lang w:eastAsia="zh-CN"/>
        </w:rPr>
        <w:t>表2.动态除气蒸汽灭菌循环的循环时间</w:t>
      </w:r>
    </w:p>
    <w:p w14:paraId="66CD61E7">
      <w:pPr>
        <w:snapToGrid w:val="0"/>
        <w:spacing w:before="5" w:line="300" w:lineRule="auto"/>
        <w:jc w:val="both"/>
        <w:rPr>
          <w:rFonts w:ascii="Arial" w:hAnsi="Arial" w:eastAsia="宋体" w:cs="Arial"/>
          <w:b/>
          <w:bCs/>
          <w:sz w:val="5"/>
          <w:szCs w:val="5"/>
          <w:lang w:eastAsia="zh-CN"/>
        </w:rPr>
      </w:pPr>
    </w:p>
    <w:tbl>
      <w:tblPr>
        <w:tblStyle w:val="16"/>
        <w:tblW w:w="0" w:type="auto"/>
        <w:tblInd w:w="115" w:type="dxa"/>
        <w:tblLayout w:type="fixed"/>
        <w:tblCellMar>
          <w:top w:w="0" w:type="dxa"/>
          <w:left w:w="0" w:type="dxa"/>
          <w:bottom w:w="0" w:type="dxa"/>
          <w:right w:w="0" w:type="dxa"/>
        </w:tblCellMar>
      </w:tblPr>
      <w:tblGrid>
        <w:gridCol w:w="2806"/>
        <w:gridCol w:w="1994"/>
        <w:gridCol w:w="1994"/>
        <w:gridCol w:w="1994"/>
      </w:tblGrid>
      <w:tr w14:paraId="5A3539D5">
        <w:tblPrEx>
          <w:tblCellMar>
            <w:top w:w="0" w:type="dxa"/>
            <w:left w:w="0" w:type="dxa"/>
            <w:bottom w:w="0" w:type="dxa"/>
            <w:right w:w="0" w:type="dxa"/>
          </w:tblCellMar>
        </w:tblPrEx>
        <w:trPr>
          <w:trHeight w:val="605" w:hRule="exact"/>
        </w:trPr>
        <w:tc>
          <w:tcPr>
            <w:tcW w:w="2806" w:type="dxa"/>
            <w:tcBorders>
              <w:top w:val="single" w:color="000000" w:sz="4" w:space="0"/>
              <w:left w:val="single" w:color="000000" w:sz="4" w:space="0"/>
              <w:bottom w:val="single" w:color="000000" w:sz="4" w:space="0"/>
              <w:right w:val="single" w:color="000000" w:sz="4" w:space="0"/>
            </w:tcBorders>
          </w:tcPr>
          <w:p w14:paraId="34630573">
            <w:pPr>
              <w:pStyle w:val="18"/>
              <w:snapToGrid w:val="0"/>
              <w:spacing w:before="120" w:line="300" w:lineRule="auto"/>
              <w:jc w:val="center"/>
              <w:rPr>
                <w:rFonts w:ascii="Arial" w:hAnsi="Arial" w:eastAsia="宋体" w:cs="Arial"/>
                <w:b/>
                <w:sz w:val="18"/>
                <w:szCs w:val="18"/>
              </w:rPr>
            </w:pPr>
            <w:r>
              <w:rPr>
                <w:rFonts w:ascii="Arial" w:hAnsi="Arial" w:eastAsia="宋体" w:cs="Arial"/>
                <w:b/>
                <w:sz w:val="18"/>
                <w:szCs w:val="18"/>
                <w:lang w:eastAsia="zh-CN"/>
              </w:rPr>
              <w:t>物品</w:t>
            </w:r>
          </w:p>
        </w:tc>
        <w:tc>
          <w:tcPr>
            <w:tcW w:w="1994" w:type="dxa"/>
            <w:tcBorders>
              <w:top w:val="single" w:color="000000" w:sz="4" w:space="0"/>
              <w:left w:val="single" w:color="000000" w:sz="4" w:space="0"/>
              <w:bottom w:val="single" w:color="000000" w:sz="4" w:space="0"/>
              <w:right w:val="single" w:color="000000" w:sz="4" w:space="0"/>
            </w:tcBorders>
          </w:tcPr>
          <w:p w14:paraId="37A567EB">
            <w:pPr>
              <w:pStyle w:val="18"/>
              <w:snapToGrid w:val="0"/>
              <w:spacing w:before="38" w:line="300" w:lineRule="auto"/>
              <w:ind w:left="273" w:hanging="152"/>
              <w:jc w:val="center"/>
              <w:rPr>
                <w:rFonts w:ascii="Arial" w:hAnsi="Arial" w:eastAsia="宋体" w:cs="Arial"/>
                <w:sz w:val="18"/>
                <w:szCs w:val="18"/>
                <w:lang w:eastAsia="zh-CN"/>
              </w:rPr>
            </w:pPr>
            <w:r>
              <w:rPr>
                <w:rFonts w:ascii="Arial" w:hAnsi="Arial" w:eastAsia="宋体" w:cs="Arial"/>
                <w:b/>
                <w:sz w:val="18"/>
                <w:lang w:eastAsia="zh-CN"/>
              </w:rPr>
              <w:t>在132ºC（270ºF）下的暴露时间</w:t>
            </w:r>
          </w:p>
        </w:tc>
        <w:tc>
          <w:tcPr>
            <w:tcW w:w="1994" w:type="dxa"/>
            <w:tcBorders>
              <w:top w:val="single" w:color="000000" w:sz="4" w:space="0"/>
              <w:left w:val="single" w:color="000000" w:sz="4" w:space="0"/>
              <w:bottom w:val="single" w:color="000000" w:sz="4" w:space="0"/>
              <w:right w:val="single" w:color="000000" w:sz="4" w:space="0"/>
            </w:tcBorders>
          </w:tcPr>
          <w:p w14:paraId="5B68D430">
            <w:pPr>
              <w:pStyle w:val="18"/>
              <w:snapToGrid w:val="0"/>
              <w:spacing w:before="38" w:line="300" w:lineRule="auto"/>
              <w:ind w:left="275" w:hanging="152"/>
              <w:jc w:val="center"/>
              <w:rPr>
                <w:rFonts w:ascii="Arial" w:hAnsi="Arial" w:eastAsia="宋体" w:cs="Arial"/>
                <w:sz w:val="18"/>
                <w:szCs w:val="18"/>
                <w:lang w:eastAsia="zh-CN"/>
              </w:rPr>
            </w:pPr>
            <w:r>
              <w:rPr>
                <w:rFonts w:ascii="Arial" w:hAnsi="Arial" w:eastAsia="宋体" w:cs="Arial"/>
                <w:b/>
                <w:sz w:val="18"/>
                <w:lang w:eastAsia="zh-CN"/>
              </w:rPr>
              <w:t>在135ºC（275ºF）下的暴露时间</w:t>
            </w:r>
          </w:p>
        </w:tc>
        <w:tc>
          <w:tcPr>
            <w:tcW w:w="1994" w:type="dxa"/>
            <w:tcBorders>
              <w:top w:val="single" w:color="000000" w:sz="4" w:space="0"/>
              <w:left w:val="single" w:color="000000" w:sz="4" w:space="0"/>
              <w:bottom w:val="single" w:color="000000" w:sz="4" w:space="0"/>
              <w:right w:val="single" w:color="000000" w:sz="4" w:space="0"/>
            </w:tcBorders>
          </w:tcPr>
          <w:p w14:paraId="4853827A">
            <w:pPr>
              <w:pStyle w:val="18"/>
              <w:snapToGrid w:val="0"/>
              <w:spacing w:before="120" w:line="300" w:lineRule="auto"/>
              <w:ind w:left="573" w:hanging="442"/>
              <w:jc w:val="center"/>
              <w:rPr>
                <w:rFonts w:ascii="Arial" w:hAnsi="Arial" w:eastAsia="宋体" w:cs="Arial"/>
                <w:sz w:val="18"/>
                <w:szCs w:val="18"/>
              </w:rPr>
            </w:pPr>
            <w:r>
              <w:rPr>
                <w:rFonts w:ascii="Arial" w:hAnsi="Arial" w:eastAsia="宋体" w:cs="Arial"/>
                <w:b/>
                <w:sz w:val="18"/>
              </w:rPr>
              <w:t>最短干燥时间</w:t>
            </w:r>
          </w:p>
        </w:tc>
      </w:tr>
      <w:tr w14:paraId="67931BBE">
        <w:tblPrEx>
          <w:tblCellMar>
            <w:top w:w="0" w:type="dxa"/>
            <w:left w:w="0" w:type="dxa"/>
            <w:bottom w:w="0" w:type="dxa"/>
            <w:right w:w="0" w:type="dxa"/>
          </w:tblCellMar>
        </w:tblPrEx>
        <w:trPr>
          <w:trHeight w:val="293" w:hRule="exact"/>
        </w:trPr>
        <w:tc>
          <w:tcPr>
            <w:tcW w:w="2806" w:type="dxa"/>
            <w:tcBorders>
              <w:top w:val="single" w:color="000000" w:sz="4" w:space="0"/>
              <w:left w:val="single" w:color="000000" w:sz="4" w:space="0"/>
              <w:bottom w:val="single" w:color="000000" w:sz="4" w:space="0"/>
              <w:right w:val="single" w:color="000000" w:sz="4" w:space="0"/>
            </w:tcBorders>
          </w:tcPr>
          <w:p w14:paraId="34226AE5">
            <w:pPr>
              <w:pStyle w:val="18"/>
              <w:snapToGrid w:val="0"/>
              <w:spacing w:before="35" w:line="300" w:lineRule="auto"/>
              <w:ind w:left="103"/>
              <w:jc w:val="both"/>
              <w:rPr>
                <w:rFonts w:ascii="Arial" w:hAnsi="Arial" w:eastAsia="宋体" w:cs="Arial"/>
                <w:sz w:val="16"/>
                <w:szCs w:val="16"/>
              </w:rPr>
            </w:pPr>
            <w:r>
              <w:rPr>
                <w:rFonts w:ascii="Arial" w:hAnsi="Arial" w:eastAsia="宋体" w:cs="Arial"/>
                <w:sz w:val="16"/>
                <w:szCs w:val="16"/>
                <w:lang w:eastAsia="zh-CN"/>
              </w:rPr>
              <w:t>包装工具</w:t>
            </w:r>
          </w:p>
        </w:tc>
        <w:tc>
          <w:tcPr>
            <w:tcW w:w="1994" w:type="dxa"/>
            <w:tcBorders>
              <w:top w:val="single" w:color="000000" w:sz="4" w:space="0"/>
              <w:left w:val="single" w:color="000000" w:sz="4" w:space="0"/>
              <w:bottom w:val="single" w:color="000000" w:sz="4" w:space="0"/>
              <w:right w:val="single" w:color="000000" w:sz="4" w:space="0"/>
            </w:tcBorders>
          </w:tcPr>
          <w:p w14:paraId="339013E2">
            <w:pPr>
              <w:pStyle w:val="18"/>
              <w:snapToGrid w:val="0"/>
              <w:spacing w:before="35" w:line="300" w:lineRule="auto"/>
              <w:ind w:left="2"/>
              <w:jc w:val="center"/>
              <w:rPr>
                <w:rFonts w:ascii="Arial" w:hAnsi="Arial" w:eastAsia="宋体" w:cs="Arial"/>
                <w:sz w:val="16"/>
                <w:szCs w:val="16"/>
              </w:rPr>
            </w:pPr>
            <w:r>
              <w:rPr>
                <w:rFonts w:ascii="Arial" w:hAnsi="Arial" w:eastAsia="宋体" w:cs="Arial"/>
                <w:sz w:val="16"/>
              </w:rPr>
              <w:t>4 分钟</w:t>
            </w:r>
          </w:p>
        </w:tc>
        <w:tc>
          <w:tcPr>
            <w:tcW w:w="1994" w:type="dxa"/>
            <w:tcBorders>
              <w:top w:val="single" w:color="000000" w:sz="4" w:space="0"/>
              <w:left w:val="single" w:color="000000" w:sz="4" w:space="0"/>
              <w:bottom w:val="single" w:color="000000" w:sz="4" w:space="0"/>
              <w:right w:val="single" w:color="000000" w:sz="4" w:space="0"/>
            </w:tcBorders>
          </w:tcPr>
          <w:p w14:paraId="3D109715">
            <w:pPr>
              <w:snapToGrid w:val="0"/>
              <w:spacing w:line="300" w:lineRule="auto"/>
              <w:jc w:val="center"/>
              <w:rPr>
                <w:rFonts w:ascii="Arial" w:hAnsi="Arial" w:eastAsia="宋体" w:cs="Arial"/>
              </w:rPr>
            </w:pPr>
          </w:p>
        </w:tc>
        <w:tc>
          <w:tcPr>
            <w:tcW w:w="1994" w:type="dxa"/>
            <w:tcBorders>
              <w:top w:val="single" w:color="000000" w:sz="4" w:space="0"/>
              <w:left w:val="single" w:color="000000" w:sz="4" w:space="0"/>
              <w:bottom w:val="single" w:color="000000" w:sz="4" w:space="0"/>
              <w:right w:val="single" w:color="000000" w:sz="4" w:space="0"/>
            </w:tcBorders>
          </w:tcPr>
          <w:p w14:paraId="4AF94174">
            <w:pPr>
              <w:pStyle w:val="18"/>
              <w:snapToGrid w:val="0"/>
              <w:spacing w:before="35" w:line="300" w:lineRule="auto"/>
              <w:jc w:val="center"/>
              <w:rPr>
                <w:rFonts w:ascii="Arial" w:hAnsi="Arial" w:eastAsia="宋体" w:cs="Arial"/>
                <w:sz w:val="16"/>
                <w:szCs w:val="16"/>
              </w:rPr>
            </w:pPr>
            <w:r>
              <w:rPr>
                <w:rFonts w:ascii="Arial" w:hAnsi="Arial" w:eastAsia="宋体" w:cs="Arial"/>
                <w:sz w:val="16"/>
              </w:rPr>
              <w:t>20-30</w:t>
            </w:r>
            <w:r>
              <w:rPr>
                <w:rFonts w:ascii="Arial" w:hAnsi="Arial" w:eastAsia="宋体" w:cs="Arial"/>
                <w:spacing w:val="-4"/>
                <w:sz w:val="16"/>
              </w:rPr>
              <w:t xml:space="preserve"> </w:t>
            </w:r>
            <w:r>
              <w:rPr>
                <w:rFonts w:ascii="Arial" w:hAnsi="Arial" w:eastAsia="宋体" w:cs="Arial"/>
                <w:sz w:val="16"/>
              </w:rPr>
              <w:t>分钟</w:t>
            </w:r>
          </w:p>
        </w:tc>
      </w:tr>
      <w:tr w14:paraId="51FCE5A3">
        <w:tblPrEx>
          <w:tblCellMar>
            <w:top w:w="0" w:type="dxa"/>
            <w:left w:w="0" w:type="dxa"/>
            <w:bottom w:w="0" w:type="dxa"/>
            <w:right w:w="0" w:type="dxa"/>
          </w:tblCellMar>
        </w:tblPrEx>
        <w:trPr>
          <w:trHeight w:val="295" w:hRule="exact"/>
        </w:trPr>
        <w:tc>
          <w:tcPr>
            <w:tcW w:w="2806" w:type="dxa"/>
            <w:tcBorders>
              <w:top w:val="single" w:color="000000" w:sz="4" w:space="0"/>
              <w:left w:val="single" w:color="000000" w:sz="4" w:space="0"/>
              <w:bottom w:val="single" w:color="000000" w:sz="4" w:space="0"/>
              <w:right w:val="single" w:color="000000" w:sz="4" w:space="0"/>
            </w:tcBorders>
          </w:tcPr>
          <w:p w14:paraId="45A1A4AF">
            <w:pPr>
              <w:snapToGrid w:val="0"/>
              <w:spacing w:line="300" w:lineRule="auto"/>
              <w:jc w:val="both"/>
              <w:rPr>
                <w:rFonts w:ascii="Arial" w:hAnsi="Arial" w:eastAsia="宋体" w:cs="Arial"/>
              </w:rPr>
            </w:pPr>
          </w:p>
        </w:tc>
        <w:tc>
          <w:tcPr>
            <w:tcW w:w="1994" w:type="dxa"/>
            <w:tcBorders>
              <w:top w:val="single" w:color="000000" w:sz="4" w:space="0"/>
              <w:left w:val="single" w:color="000000" w:sz="4" w:space="0"/>
              <w:bottom w:val="single" w:color="000000" w:sz="4" w:space="0"/>
              <w:right w:val="single" w:color="000000" w:sz="4" w:space="0"/>
            </w:tcBorders>
          </w:tcPr>
          <w:p w14:paraId="248B2355">
            <w:pPr>
              <w:snapToGrid w:val="0"/>
              <w:spacing w:line="300" w:lineRule="auto"/>
              <w:jc w:val="center"/>
              <w:rPr>
                <w:rFonts w:ascii="Arial" w:hAnsi="Arial" w:eastAsia="宋体" w:cs="Arial"/>
              </w:rPr>
            </w:pPr>
          </w:p>
        </w:tc>
        <w:tc>
          <w:tcPr>
            <w:tcW w:w="1994" w:type="dxa"/>
            <w:tcBorders>
              <w:top w:val="single" w:color="000000" w:sz="4" w:space="0"/>
              <w:left w:val="single" w:color="000000" w:sz="4" w:space="0"/>
              <w:bottom w:val="single" w:color="000000" w:sz="4" w:space="0"/>
              <w:right w:val="single" w:color="000000" w:sz="4" w:space="0"/>
            </w:tcBorders>
          </w:tcPr>
          <w:p w14:paraId="302A7C90">
            <w:pPr>
              <w:pStyle w:val="18"/>
              <w:snapToGrid w:val="0"/>
              <w:spacing w:before="35" w:line="300" w:lineRule="auto"/>
              <w:ind w:left="2"/>
              <w:jc w:val="center"/>
              <w:rPr>
                <w:rFonts w:ascii="Arial" w:hAnsi="Arial" w:eastAsia="宋体" w:cs="Arial"/>
                <w:sz w:val="16"/>
                <w:szCs w:val="16"/>
              </w:rPr>
            </w:pPr>
            <w:r>
              <w:rPr>
                <w:rFonts w:ascii="Arial" w:hAnsi="Arial" w:eastAsia="宋体" w:cs="Arial"/>
                <w:sz w:val="16"/>
              </w:rPr>
              <w:t>3 分钟</w:t>
            </w:r>
          </w:p>
        </w:tc>
        <w:tc>
          <w:tcPr>
            <w:tcW w:w="1994" w:type="dxa"/>
            <w:tcBorders>
              <w:top w:val="single" w:color="000000" w:sz="4" w:space="0"/>
              <w:left w:val="single" w:color="000000" w:sz="4" w:space="0"/>
              <w:bottom w:val="single" w:color="000000" w:sz="4" w:space="0"/>
              <w:right w:val="single" w:color="000000" w:sz="4" w:space="0"/>
            </w:tcBorders>
          </w:tcPr>
          <w:p w14:paraId="205FF099">
            <w:pPr>
              <w:pStyle w:val="18"/>
              <w:snapToGrid w:val="0"/>
              <w:spacing w:before="35" w:line="300" w:lineRule="auto"/>
              <w:jc w:val="center"/>
              <w:rPr>
                <w:rFonts w:ascii="Arial" w:hAnsi="Arial" w:eastAsia="宋体" w:cs="Arial"/>
                <w:sz w:val="16"/>
                <w:szCs w:val="16"/>
              </w:rPr>
            </w:pPr>
            <w:r>
              <w:rPr>
                <w:rFonts w:ascii="Arial" w:hAnsi="Arial" w:eastAsia="宋体" w:cs="Arial"/>
                <w:sz w:val="16"/>
              </w:rPr>
              <w:t>16</w:t>
            </w:r>
            <w:r>
              <w:rPr>
                <w:rFonts w:ascii="Arial" w:hAnsi="Arial" w:eastAsia="宋体" w:cs="Arial"/>
                <w:spacing w:val="-2"/>
                <w:sz w:val="16"/>
              </w:rPr>
              <w:t xml:space="preserve"> </w:t>
            </w:r>
            <w:r>
              <w:rPr>
                <w:rFonts w:ascii="Arial" w:hAnsi="Arial" w:eastAsia="宋体" w:cs="Arial"/>
                <w:sz w:val="16"/>
              </w:rPr>
              <w:t>分钟</w:t>
            </w:r>
          </w:p>
        </w:tc>
      </w:tr>
      <w:tr w14:paraId="752F4850">
        <w:tblPrEx>
          <w:tblCellMar>
            <w:top w:w="0" w:type="dxa"/>
            <w:left w:w="0" w:type="dxa"/>
            <w:bottom w:w="0" w:type="dxa"/>
            <w:right w:w="0" w:type="dxa"/>
          </w:tblCellMar>
        </w:tblPrEx>
        <w:trPr>
          <w:trHeight w:val="293" w:hRule="exact"/>
        </w:trPr>
        <w:tc>
          <w:tcPr>
            <w:tcW w:w="2806" w:type="dxa"/>
            <w:tcBorders>
              <w:top w:val="single" w:color="000000" w:sz="4" w:space="0"/>
              <w:left w:val="single" w:color="000000" w:sz="4" w:space="0"/>
              <w:bottom w:val="single" w:color="000000" w:sz="4" w:space="0"/>
              <w:right w:val="single" w:color="000000" w:sz="4" w:space="0"/>
            </w:tcBorders>
          </w:tcPr>
          <w:p w14:paraId="3C9C8C62">
            <w:pPr>
              <w:pStyle w:val="18"/>
              <w:snapToGrid w:val="0"/>
              <w:spacing w:before="35" w:line="300" w:lineRule="auto"/>
              <w:ind w:left="103"/>
              <w:jc w:val="both"/>
              <w:rPr>
                <w:rFonts w:ascii="Arial" w:hAnsi="Arial" w:eastAsia="宋体" w:cs="Arial"/>
                <w:sz w:val="16"/>
                <w:szCs w:val="16"/>
              </w:rPr>
            </w:pPr>
            <w:r>
              <w:rPr>
                <w:rFonts w:ascii="Arial" w:hAnsi="Arial" w:eastAsia="宋体" w:cs="Arial"/>
                <w:sz w:val="16"/>
              </w:rPr>
              <w:t>纺织包装</w:t>
            </w:r>
          </w:p>
        </w:tc>
        <w:tc>
          <w:tcPr>
            <w:tcW w:w="1994" w:type="dxa"/>
            <w:tcBorders>
              <w:top w:val="single" w:color="000000" w:sz="4" w:space="0"/>
              <w:left w:val="single" w:color="000000" w:sz="4" w:space="0"/>
              <w:bottom w:val="single" w:color="000000" w:sz="4" w:space="0"/>
              <w:right w:val="single" w:color="000000" w:sz="4" w:space="0"/>
            </w:tcBorders>
          </w:tcPr>
          <w:p w14:paraId="07787520">
            <w:pPr>
              <w:pStyle w:val="18"/>
              <w:snapToGrid w:val="0"/>
              <w:spacing w:before="35" w:line="300" w:lineRule="auto"/>
              <w:ind w:left="2"/>
              <w:jc w:val="center"/>
              <w:rPr>
                <w:rFonts w:ascii="Arial" w:hAnsi="Arial" w:eastAsia="宋体" w:cs="Arial"/>
                <w:sz w:val="16"/>
                <w:szCs w:val="16"/>
              </w:rPr>
            </w:pPr>
            <w:r>
              <w:rPr>
                <w:rFonts w:ascii="Arial" w:hAnsi="Arial" w:eastAsia="宋体" w:cs="Arial"/>
                <w:sz w:val="16"/>
              </w:rPr>
              <w:t>4 分钟</w:t>
            </w:r>
          </w:p>
        </w:tc>
        <w:tc>
          <w:tcPr>
            <w:tcW w:w="1994" w:type="dxa"/>
            <w:tcBorders>
              <w:top w:val="single" w:color="000000" w:sz="4" w:space="0"/>
              <w:left w:val="single" w:color="000000" w:sz="4" w:space="0"/>
              <w:bottom w:val="single" w:color="000000" w:sz="4" w:space="0"/>
              <w:right w:val="single" w:color="000000" w:sz="4" w:space="0"/>
            </w:tcBorders>
          </w:tcPr>
          <w:p w14:paraId="3AC82849">
            <w:pPr>
              <w:snapToGrid w:val="0"/>
              <w:spacing w:line="300" w:lineRule="auto"/>
              <w:jc w:val="center"/>
              <w:rPr>
                <w:rFonts w:ascii="Arial" w:hAnsi="Arial" w:eastAsia="宋体" w:cs="Arial"/>
              </w:rPr>
            </w:pPr>
          </w:p>
        </w:tc>
        <w:tc>
          <w:tcPr>
            <w:tcW w:w="1994" w:type="dxa"/>
            <w:tcBorders>
              <w:top w:val="single" w:color="000000" w:sz="4" w:space="0"/>
              <w:left w:val="single" w:color="000000" w:sz="4" w:space="0"/>
              <w:bottom w:val="single" w:color="000000" w:sz="4" w:space="0"/>
              <w:right w:val="single" w:color="000000" w:sz="4" w:space="0"/>
            </w:tcBorders>
          </w:tcPr>
          <w:p w14:paraId="2A46E4AF">
            <w:pPr>
              <w:pStyle w:val="18"/>
              <w:snapToGrid w:val="0"/>
              <w:spacing w:before="35" w:line="300" w:lineRule="auto"/>
              <w:ind w:left="2"/>
              <w:jc w:val="center"/>
              <w:rPr>
                <w:rFonts w:ascii="Arial" w:hAnsi="Arial" w:eastAsia="宋体" w:cs="Arial"/>
                <w:sz w:val="16"/>
                <w:szCs w:val="16"/>
              </w:rPr>
            </w:pPr>
            <w:r>
              <w:rPr>
                <w:rFonts w:ascii="Arial" w:hAnsi="Arial" w:eastAsia="宋体" w:cs="Arial"/>
                <w:sz w:val="16"/>
              </w:rPr>
              <w:t>5-20</w:t>
            </w:r>
            <w:r>
              <w:rPr>
                <w:rFonts w:ascii="Arial" w:hAnsi="Arial" w:eastAsia="宋体" w:cs="Arial"/>
                <w:spacing w:val="-3"/>
                <w:sz w:val="16"/>
              </w:rPr>
              <w:t xml:space="preserve"> </w:t>
            </w:r>
            <w:r>
              <w:rPr>
                <w:rFonts w:ascii="Arial" w:hAnsi="Arial" w:eastAsia="宋体" w:cs="Arial"/>
                <w:sz w:val="16"/>
              </w:rPr>
              <w:t>分钟</w:t>
            </w:r>
          </w:p>
        </w:tc>
      </w:tr>
      <w:tr w14:paraId="0AFC4686">
        <w:tblPrEx>
          <w:tblCellMar>
            <w:top w:w="0" w:type="dxa"/>
            <w:left w:w="0" w:type="dxa"/>
            <w:bottom w:w="0" w:type="dxa"/>
            <w:right w:w="0" w:type="dxa"/>
          </w:tblCellMar>
        </w:tblPrEx>
        <w:trPr>
          <w:trHeight w:val="295" w:hRule="exact"/>
        </w:trPr>
        <w:tc>
          <w:tcPr>
            <w:tcW w:w="2806" w:type="dxa"/>
            <w:tcBorders>
              <w:top w:val="single" w:color="000000" w:sz="4" w:space="0"/>
              <w:left w:val="single" w:color="000000" w:sz="4" w:space="0"/>
              <w:bottom w:val="single" w:color="000000" w:sz="4" w:space="0"/>
              <w:right w:val="single" w:color="000000" w:sz="4" w:space="0"/>
            </w:tcBorders>
          </w:tcPr>
          <w:p w14:paraId="33038BE3">
            <w:pPr>
              <w:snapToGrid w:val="0"/>
              <w:spacing w:line="300" w:lineRule="auto"/>
              <w:jc w:val="both"/>
              <w:rPr>
                <w:rFonts w:ascii="Arial" w:hAnsi="Arial" w:eastAsia="宋体" w:cs="Arial"/>
              </w:rPr>
            </w:pPr>
          </w:p>
        </w:tc>
        <w:tc>
          <w:tcPr>
            <w:tcW w:w="1994" w:type="dxa"/>
            <w:tcBorders>
              <w:top w:val="single" w:color="000000" w:sz="4" w:space="0"/>
              <w:left w:val="single" w:color="000000" w:sz="4" w:space="0"/>
              <w:bottom w:val="single" w:color="000000" w:sz="4" w:space="0"/>
              <w:right w:val="single" w:color="000000" w:sz="4" w:space="0"/>
            </w:tcBorders>
          </w:tcPr>
          <w:p w14:paraId="1814B558">
            <w:pPr>
              <w:snapToGrid w:val="0"/>
              <w:spacing w:line="300" w:lineRule="auto"/>
              <w:jc w:val="center"/>
              <w:rPr>
                <w:rFonts w:ascii="Arial" w:hAnsi="Arial" w:eastAsia="宋体" w:cs="Arial"/>
              </w:rPr>
            </w:pPr>
          </w:p>
        </w:tc>
        <w:tc>
          <w:tcPr>
            <w:tcW w:w="1994" w:type="dxa"/>
            <w:tcBorders>
              <w:top w:val="single" w:color="000000" w:sz="4" w:space="0"/>
              <w:left w:val="single" w:color="000000" w:sz="4" w:space="0"/>
              <w:bottom w:val="single" w:color="000000" w:sz="4" w:space="0"/>
              <w:right w:val="single" w:color="000000" w:sz="4" w:space="0"/>
            </w:tcBorders>
          </w:tcPr>
          <w:p w14:paraId="57D0B1AF">
            <w:pPr>
              <w:pStyle w:val="18"/>
              <w:snapToGrid w:val="0"/>
              <w:spacing w:before="35" w:line="300" w:lineRule="auto"/>
              <w:ind w:left="2"/>
              <w:jc w:val="center"/>
              <w:rPr>
                <w:rFonts w:ascii="Arial" w:hAnsi="Arial" w:eastAsia="宋体" w:cs="Arial"/>
                <w:sz w:val="16"/>
                <w:szCs w:val="16"/>
              </w:rPr>
            </w:pPr>
            <w:r>
              <w:rPr>
                <w:rFonts w:ascii="Arial" w:hAnsi="Arial" w:eastAsia="宋体" w:cs="Arial"/>
                <w:sz w:val="16"/>
              </w:rPr>
              <w:t>3 分钟</w:t>
            </w:r>
          </w:p>
        </w:tc>
        <w:tc>
          <w:tcPr>
            <w:tcW w:w="1994" w:type="dxa"/>
            <w:tcBorders>
              <w:top w:val="single" w:color="000000" w:sz="4" w:space="0"/>
              <w:left w:val="single" w:color="000000" w:sz="4" w:space="0"/>
              <w:bottom w:val="single" w:color="000000" w:sz="4" w:space="0"/>
              <w:right w:val="single" w:color="000000" w:sz="4" w:space="0"/>
            </w:tcBorders>
          </w:tcPr>
          <w:p w14:paraId="3531222C">
            <w:pPr>
              <w:pStyle w:val="18"/>
              <w:snapToGrid w:val="0"/>
              <w:spacing w:before="35" w:line="300" w:lineRule="auto"/>
              <w:ind w:left="2"/>
              <w:jc w:val="center"/>
              <w:rPr>
                <w:rFonts w:ascii="Arial" w:hAnsi="Arial" w:eastAsia="宋体" w:cs="Arial"/>
                <w:sz w:val="16"/>
                <w:szCs w:val="16"/>
              </w:rPr>
            </w:pPr>
            <w:r>
              <w:rPr>
                <w:rFonts w:ascii="Arial" w:hAnsi="Arial" w:eastAsia="宋体" w:cs="Arial"/>
                <w:sz w:val="16"/>
              </w:rPr>
              <w:t>3 分钟</w:t>
            </w:r>
          </w:p>
        </w:tc>
      </w:tr>
      <w:tr w14:paraId="72D6A203">
        <w:tblPrEx>
          <w:tblCellMar>
            <w:top w:w="0" w:type="dxa"/>
            <w:left w:w="0" w:type="dxa"/>
            <w:bottom w:w="0" w:type="dxa"/>
            <w:right w:w="0" w:type="dxa"/>
          </w:tblCellMar>
        </w:tblPrEx>
        <w:trPr>
          <w:trHeight w:val="293" w:hRule="exact"/>
        </w:trPr>
        <w:tc>
          <w:tcPr>
            <w:tcW w:w="2806" w:type="dxa"/>
            <w:tcBorders>
              <w:top w:val="single" w:color="000000" w:sz="4" w:space="0"/>
              <w:left w:val="single" w:color="000000" w:sz="4" w:space="0"/>
              <w:bottom w:val="single" w:color="000000" w:sz="4" w:space="0"/>
              <w:right w:val="single" w:color="000000" w:sz="4" w:space="0"/>
            </w:tcBorders>
          </w:tcPr>
          <w:p w14:paraId="43076EB5">
            <w:pPr>
              <w:pStyle w:val="18"/>
              <w:snapToGrid w:val="0"/>
              <w:spacing w:before="35" w:line="300" w:lineRule="auto"/>
              <w:ind w:left="103"/>
              <w:jc w:val="both"/>
              <w:rPr>
                <w:rFonts w:ascii="Arial" w:hAnsi="Arial" w:eastAsia="宋体" w:cs="Arial"/>
                <w:sz w:val="16"/>
                <w:szCs w:val="16"/>
              </w:rPr>
            </w:pPr>
            <w:r>
              <w:rPr>
                <w:rFonts w:ascii="Arial" w:hAnsi="Arial" w:eastAsia="宋体" w:cs="Arial"/>
                <w:sz w:val="16"/>
                <w:szCs w:val="16"/>
                <w:lang w:eastAsia="zh-CN"/>
              </w:rPr>
              <w:t>包装器具</w:t>
            </w:r>
          </w:p>
        </w:tc>
        <w:tc>
          <w:tcPr>
            <w:tcW w:w="1994" w:type="dxa"/>
            <w:tcBorders>
              <w:top w:val="single" w:color="000000" w:sz="4" w:space="0"/>
              <w:left w:val="single" w:color="000000" w:sz="4" w:space="0"/>
              <w:bottom w:val="single" w:color="000000" w:sz="4" w:space="0"/>
              <w:right w:val="single" w:color="000000" w:sz="4" w:space="0"/>
            </w:tcBorders>
          </w:tcPr>
          <w:p w14:paraId="4F1625F8">
            <w:pPr>
              <w:pStyle w:val="18"/>
              <w:snapToGrid w:val="0"/>
              <w:spacing w:before="35" w:line="300" w:lineRule="auto"/>
              <w:ind w:left="2"/>
              <w:jc w:val="center"/>
              <w:rPr>
                <w:rFonts w:ascii="Arial" w:hAnsi="Arial" w:eastAsia="宋体" w:cs="Arial"/>
                <w:sz w:val="16"/>
                <w:szCs w:val="16"/>
              </w:rPr>
            </w:pPr>
            <w:r>
              <w:rPr>
                <w:rFonts w:ascii="Arial" w:hAnsi="Arial" w:eastAsia="宋体" w:cs="Arial"/>
                <w:sz w:val="16"/>
              </w:rPr>
              <w:t>4 分钟</w:t>
            </w:r>
          </w:p>
        </w:tc>
        <w:tc>
          <w:tcPr>
            <w:tcW w:w="1994" w:type="dxa"/>
            <w:tcBorders>
              <w:top w:val="single" w:color="000000" w:sz="4" w:space="0"/>
              <w:left w:val="single" w:color="000000" w:sz="4" w:space="0"/>
              <w:bottom w:val="single" w:color="000000" w:sz="4" w:space="0"/>
              <w:right w:val="single" w:color="000000" w:sz="4" w:space="0"/>
            </w:tcBorders>
          </w:tcPr>
          <w:p w14:paraId="6A27398F">
            <w:pPr>
              <w:snapToGrid w:val="0"/>
              <w:spacing w:line="300" w:lineRule="auto"/>
              <w:jc w:val="center"/>
              <w:rPr>
                <w:rFonts w:ascii="Arial" w:hAnsi="Arial" w:eastAsia="宋体" w:cs="Arial"/>
              </w:rPr>
            </w:pPr>
          </w:p>
        </w:tc>
        <w:tc>
          <w:tcPr>
            <w:tcW w:w="1994" w:type="dxa"/>
            <w:tcBorders>
              <w:top w:val="single" w:color="000000" w:sz="4" w:space="0"/>
              <w:left w:val="single" w:color="000000" w:sz="4" w:space="0"/>
              <w:bottom w:val="single" w:color="000000" w:sz="4" w:space="0"/>
              <w:right w:val="single" w:color="000000" w:sz="4" w:space="0"/>
            </w:tcBorders>
          </w:tcPr>
          <w:p w14:paraId="5BFF1235">
            <w:pPr>
              <w:pStyle w:val="18"/>
              <w:snapToGrid w:val="0"/>
              <w:spacing w:before="35" w:line="300" w:lineRule="auto"/>
              <w:jc w:val="center"/>
              <w:rPr>
                <w:rFonts w:ascii="Arial" w:hAnsi="Arial" w:eastAsia="宋体" w:cs="Arial"/>
                <w:sz w:val="16"/>
                <w:szCs w:val="16"/>
              </w:rPr>
            </w:pPr>
            <w:r>
              <w:rPr>
                <w:rFonts w:ascii="Arial" w:hAnsi="Arial" w:eastAsia="宋体" w:cs="Arial"/>
                <w:sz w:val="16"/>
              </w:rPr>
              <w:t>20</w:t>
            </w:r>
            <w:r>
              <w:rPr>
                <w:rFonts w:ascii="Arial" w:hAnsi="Arial" w:eastAsia="宋体" w:cs="Arial"/>
                <w:spacing w:val="-2"/>
                <w:sz w:val="16"/>
              </w:rPr>
              <w:t xml:space="preserve"> </w:t>
            </w:r>
            <w:r>
              <w:rPr>
                <w:rFonts w:ascii="Arial" w:hAnsi="Arial" w:eastAsia="宋体" w:cs="Arial"/>
                <w:sz w:val="16"/>
              </w:rPr>
              <w:t>分钟</w:t>
            </w:r>
          </w:p>
        </w:tc>
      </w:tr>
      <w:tr w14:paraId="0CE82125">
        <w:tblPrEx>
          <w:tblCellMar>
            <w:top w:w="0" w:type="dxa"/>
            <w:left w:w="0" w:type="dxa"/>
            <w:bottom w:w="0" w:type="dxa"/>
            <w:right w:w="0" w:type="dxa"/>
          </w:tblCellMar>
        </w:tblPrEx>
        <w:trPr>
          <w:trHeight w:val="295" w:hRule="exact"/>
        </w:trPr>
        <w:tc>
          <w:tcPr>
            <w:tcW w:w="2806" w:type="dxa"/>
            <w:tcBorders>
              <w:top w:val="single" w:color="000000" w:sz="4" w:space="0"/>
              <w:left w:val="single" w:color="000000" w:sz="4" w:space="0"/>
              <w:bottom w:val="single" w:color="000000" w:sz="4" w:space="0"/>
              <w:right w:val="single" w:color="000000" w:sz="4" w:space="0"/>
            </w:tcBorders>
          </w:tcPr>
          <w:p w14:paraId="79A0EF47">
            <w:pPr>
              <w:snapToGrid w:val="0"/>
              <w:spacing w:line="300" w:lineRule="auto"/>
              <w:jc w:val="both"/>
              <w:rPr>
                <w:rFonts w:ascii="Arial" w:hAnsi="Arial" w:eastAsia="宋体" w:cs="Arial"/>
              </w:rPr>
            </w:pPr>
          </w:p>
        </w:tc>
        <w:tc>
          <w:tcPr>
            <w:tcW w:w="1994" w:type="dxa"/>
            <w:tcBorders>
              <w:top w:val="single" w:color="000000" w:sz="4" w:space="0"/>
              <w:left w:val="single" w:color="000000" w:sz="4" w:space="0"/>
              <w:bottom w:val="single" w:color="000000" w:sz="4" w:space="0"/>
              <w:right w:val="single" w:color="000000" w:sz="4" w:space="0"/>
            </w:tcBorders>
          </w:tcPr>
          <w:p w14:paraId="4558B311">
            <w:pPr>
              <w:snapToGrid w:val="0"/>
              <w:spacing w:line="300" w:lineRule="auto"/>
              <w:jc w:val="center"/>
              <w:rPr>
                <w:rFonts w:ascii="Arial" w:hAnsi="Arial" w:eastAsia="宋体" w:cs="Arial"/>
              </w:rPr>
            </w:pPr>
          </w:p>
        </w:tc>
        <w:tc>
          <w:tcPr>
            <w:tcW w:w="1994" w:type="dxa"/>
            <w:tcBorders>
              <w:top w:val="single" w:color="000000" w:sz="4" w:space="0"/>
              <w:left w:val="single" w:color="000000" w:sz="4" w:space="0"/>
              <w:bottom w:val="single" w:color="000000" w:sz="4" w:space="0"/>
              <w:right w:val="single" w:color="000000" w:sz="4" w:space="0"/>
            </w:tcBorders>
          </w:tcPr>
          <w:p w14:paraId="6475DB40">
            <w:pPr>
              <w:pStyle w:val="18"/>
              <w:snapToGrid w:val="0"/>
              <w:spacing w:before="35" w:line="300" w:lineRule="auto"/>
              <w:ind w:left="2"/>
              <w:jc w:val="center"/>
              <w:rPr>
                <w:rFonts w:ascii="Arial" w:hAnsi="Arial" w:eastAsia="宋体" w:cs="Arial"/>
                <w:sz w:val="16"/>
                <w:szCs w:val="16"/>
              </w:rPr>
            </w:pPr>
            <w:r>
              <w:rPr>
                <w:rFonts w:ascii="Arial" w:hAnsi="Arial" w:eastAsia="宋体" w:cs="Arial"/>
                <w:sz w:val="16"/>
              </w:rPr>
              <w:t>3 分钟</w:t>
            </w:r>
          </w:p>
        </w:tc>
        <w:tc>
          <w:tcPr>
            <w:tcW w:w="1994" w:type="dxa"/>
            <w:tcBorders>
              <w:top w:val="single" w:color="000000" w:sz="4" w:space="0"/>
              <w:left w:val="single" w:color="000000" w:sz="4" w:space="0"/>
              <w:bottom w:val="single" w:color="000000" w:sz="4" w:space="0"/>
              <w:right w:val="single" w:color="000000" w:sz="4" w:space="0"/>
            </w:tcBorders>
          </w:tcPr>
          <w:p w14:paraId="63F2DACD">
            <w:pPr>
              <w:pStyle w:val="18"/>
              <w:snapToGrid w:val="0"/>
              <w:spacing w:before="35" w:line="300" w:lineRule="auto"/>
              <w:jc w:val="center"/>
              <w:rPr>
                <w:rFonts w:ascii="Arial" w:hAnsi="Arial" w:eastAsia="宋体" w:cs="Arial"/>
                <w:sz w:val="16"/>
                <w:szCs w:val="16"/>
              </w:rPr>
            </w:pPr>
            <w:r>
              <w:rPr>
                <w:rFonts w:ascii="Arial" w:hAnsi="Arial" w:eastAsia="宋体" w:cs="Arial"/>
                <w:sz w:val="16"/>
              </w:rPr>
              <w:t>16</w:t>
            </w:r>
            <w:r>
              <w:rPr>
                <w:rFonts w:ascii="Arial" w:hAnsi="Arial" w:eastAsia="宋体" w:cs="Arial"/>
                <w:spacing w:val="-2"/>
                <w:sz w:val="16"/>
              </w:rPr>
              <w:t xml:space="preserve"> </w:t>
            </w:r>
            <w:r>
              <w:rPr>
                <w:rFonts w:ascii="Arial" w:hAnsi="Arial" w:eastAsia="宋体" w:cs="Arial"/>
                <w:sz w:val="16"/>
              </w:rPr>
              <w:t>分钟</w:t>
            </w:r>
          </w:p>
        </w:tc>
      </w:tr>
      <w:tr w14:paraId="7C7BAE1D">
        <w:tblPrEx>
          <w:tblCellMar>
            <w:top w:w="0" w:type="dxa"/>
            <w:left w:w="0" w:type="dxa"/>
            <w:bottom w:w="0" w:type="dxa"/>
            <w:right w:w="0" w:type="dxa"/>
          </w:tblCellMar>
        </w:tblPrEx>
        <w:trPr>
          <w:trHeight w:val="293" w:hRule="exact"/>
        </w:trPr>
        <w:tc>
          <w:tcPr>
            <w:tcW w:w="2806" w:type="dxa"/>
            <w:tcBorders>
              <w:top w:val="single" w:color="000000" w:sz="4" w:space="0"/>
              <w:left w:val="single" w:color="000000" w:sz="4" w:space="0"/>
              <w:bottom w:val="single" w:color="000000" w:sz="4" w:space="0"/>
              <w:right w:val="single" w:color="000000" w:sz="4" w:space="0"/>
            </w:tcBorders>
          </w:tcPr>
          <w:p w14:paraId="7314305E">
            <w:pPr>
              <w:pStyle w:val="18"/>
              <w:snapToGrid w:val="0"/>
              <w:spacing w:before="35" w:line="300" w:lineRule="auto"/>
              <w:ind w:left="103"/>
              <w:jc w:val="both"/>
              <w:rPr>
                <w:rFonts w:ascii="Arial" w:hAnsi="Arial" w:eastAsia="宋体" w:cs="Arial"/>
                <w:sz w:val="16"/>
                <w:szCs w:val="16"/>
                <w:lang w:eastAsia="zh-CN"/>
              </w:rPr>
            </w:pPr>
            <w:r>
              <w:rPr>
                <w:rFonts w:ascii="Arial" w:hAnsi="Arial" w:eastAsia="宋体" w:cs="Arial"/>
                <w:sz w:val="16"/>
                <w:lang w:eastAsia="zh-CN"/>
              </w:rPr>
              <w:t>无孔物品（例如，</w:t>
            </w:r>
            <w:r>
              <w:rPr>
                <w:rFonts w:ascii="Arial" w:hAnsi="Arial" w:eastAsia="宋体" w:cs="Arial"/>
                <w:sz w:val="16"/>
                <w:szCs w:val="16"/>
                <w:lang w:eastAsia="zh-CN"/>
              </w:rPr>
              <w:t>工具</w:t>
            </w:r>
            <w:r>
              <w:rPr>
                <w:rFonts w:ascii="Arial" w:hAnsi="Arial" w:eastAsia="宋体" w:cs="Arial"/>
                <w:sz w:val="16"/>
                <w:lang w:eastAsia="zh-CN"/>
              </w:rPr>
              <w:t>）</w:t>
            </w:r>
          </w:p>
        </w:tc>
        <w:tc>
          <w:tcPr>
            <w:tcW w:w="1994" w:type="dxa"/>
            <w:tcBorders>
              <w:top w:val="single" w:color="000000" w:sz="4" w:space="0"/>
              <w:left w:val="single" w:color="000000" w:sz="4" w:space="0"/>
              <w:bottom w:val="single" w:color="000000" w:sz="4" w:space="0"/>
              <w:right w:val="single" w:color="000000" w:sz="4" w:space="0"/>
            </w:tcBorders>
          </w:tcPr>
          <w:p w14:paraId="3E0D267E">
            <w:pPr>
              <w:pStyle w:val="18"/>
              <w:snapToGrid w:val="0"/>
              <w:spacing w:before="35" w:line="300" w:lineRule="auto"/>
              <w:ind w:left="2"/>
              <w:jc w:val="center"/>
              <w:rPr>
                <w:rFonts w:ascii="Arial" w:hAnsi="Arial" w:eastAsia="宋体" w:cs="Arial"/>
                <w:sz w:val="16"/>
                <w:szCs w:val="16"/>
              </w:rPr>
            </w:pPr>
            <w:r>
              <w:rPr>
                <w:rFonts w:ascii="Arial" w:hAnsi="Arial" w:eastAsia="宋体" w:cs="Arial"/>
                <w:sz w:val="16"/>
              </w:rPr>
              <w:t>3 分钟</w:t>
            </w:r>
          </w:p>
        </w:tc>
        <w:tc>
          <w:tcPr>
            <w:tcW w:w="1994" w:type="dxa"/>
            <w:tcBorders>
              <w:top w:val="single" w:color="000000" w:sz="4" w:space="0"/>
              <w:left w:val="single" w:color="000000" w:sz="4" w:space="0"/>
              <w:bottom w:val="single" w:color="000000" w:sz="4" w:space="0"/>
              <w:right w:val="single" w:color="000000" w:sz="4" w:space="0"/>
            </w:tcBorders>
          </w:tcPr>
          <w:p w14:paraId="2506FDC4">
            <w:pPr>
              <w:pStyle w:val="18"/>
              <w:snapToGrid w:val="0"/>
              <w:spacing w:before="35" w:line="300" w:lineRule="auto"/>
              <w:ind w:left="2"/>
              <w:jc w:val="center"/>
              <w:rPr>
                <w:rFonts w:ascii="Arial" w:hAnsi="Arial" w:eastAsia="宋体" w:cs="Arial"/>
                <w:sz w:val="16"/>
                <w:szCs w:val="16"/>
              </w:rPr>
            </w:pPr>
            <w:r>
              <w:rPr>
                <w:rFonts w:ascii="Arial" w:hAnsi="Arial" w:eastAsia="宋体" w:cs="Arial"/>
                <w:sz w:val="16"/>
              </w:rPr>
              <w:t>3 分钟</w:t>
            </w:r>
          </w:p>
        </w:tc>
        <w:tc>
          <w:tcPr>
            <w:tcW w:w="1994" w:type="dxa"/>
            <w:tcBorders>
              <w:top w:val="single" w:color="000000" w:sz="4" w:space="0"/>
              <w:left w:val="single" w:color="000000" w:sz="4" w:space="0"/>
              <w:bottom w:val="single" w:color="000000" w:sz="4" w:space="0"/>
              <w:right w:val="single" w:color="000000" w:sz="4" w:space="0"/>
            </w:tcBorders>
          </w:tcPr>
          <w:p w14:paraId="2996B0F6">
            <w:pPr>
              <w:pStyle w:val="18"/>
              <w:snapToGrid w:val="0"/>
              <w:spacing w:before="35" w:line="300" w:lineRule="auto"/>
              <w:jc w:val="center"/>
              <w:rPr>
                <w:rFonts w:ascii="Arial" w:hAnsi="Arial" w:eastAsia="宋体" w:cs="Arial"/>
                <w:sz w:val="16"/>
                <w:szCs w:val="16"/>
              </w:rPr>
            </w:pPr>
            <w:r>
              <w:rPr>
                <w:rFonts w:ascii="Arial" w:hAnsi="Arial" w:eastAsia="宋体" w:cs="Arial"/>
                <w:sz w:val="16"/>
              </w:rPr>
              <w:t>不适用</w:t>
            </w:r>
          </w:p>
        </w:tc>
      </w:tr>
      <w:tr w14:paraId="6193E369">
        <w:tblPrEx>
          <w:tblCellMar>
            <w:top w:w="0" w:type="dxa"/>
            <w:left w:w="0" w:type="dxa"/>
            <w:bottom w:w="0" w:type="dxa"/>
            <w:right w:w="0" w:type="dxa"/>
          </w:tblCellMar>
        </w:tblPrEx>
        <w:trPr>
          <w:trHeight w:val="478" w:hRule="exact"/>
        </w:trPr>
        <w:tc>
          <w:tcPr>
            <w:tcW w:w="2806" w:type="dxa"/>
            <w:tcBorders>
              <w:top w:val="single" w:color="000000" w:sz="4" w:space="0"/>
              <w:left w:val="single" w:color="000000" w:sz="4" w:space="0"/>
              <w:bottom w:val="single" w:color="000000" w:sz="4" w:space="0"/>
              <w:right w:val="single" w:color="000000" w:sz="4" w:space="0"/>
            </w:tcBorders>
          </w:tcPr>
          <w:p w14:paraId="6A978585">
            <w:pPr>
              <w:pStyle w:val="18"/>
              <w:snapToGrid w:val="0"/>
              <w:spacing w:before="35" w:line="300" w:lineRule="auto"/>
              <w:ind w:left="103"/>
              <w:jc w:val="both"/>
              <w:rPr>
                <w:rFonts w:ascii="Arial" w:hAnsi="Arial" w:eastAsia="宋体" w:cs="Arial"/>
                <w:sz w:val="16"/>
                <w:szCs w:val="16"/>
                <w:lang w:eastAsia="zh-CN"/>
              </w:rPr>
            </w:pPr>
            <w:r>
              <w:rPr>
                <w:rFonts w:ascii="Arial" w:hAnsi="Arial" w:eastAsia="宋体" w:cs="Arial"/>
                <w:sz w:val="16"/>
                <w:lang w:eastAsia="zh-CN"/>
              </w:rPr>
              <w:t>混合负载中的无孔和多孔物品</w:t>
            </w:r>
          </w:p>
        </w:tc>
        <w:tc>
          <w:tcPr>
            <w:tcW w:w="1994" w:type="dxa"/>
            <w:tcBorders>
              <w:top w:val="single" w:color="000000" w:sz="4" w:space="0"/>
              <w:left w:val="single" w:color="000000" w:sz="4" w:space="0"/>
              <w:bottom w:val="single" w:color="000000" w:sz="4" w:space="0"/>
              <w:right w:val="single" w:color="000000" w:sz="4" w:space="0"/>
            </w:tcBorders>
          </w:tcPr>
          <w:p w14:paraId="758A3391">
            <w:pPr>
              <w:pStyle w:val="18"/>
              <w:snapToGrid w:val="0"/>
              <w:spacing w:before="35" w:line="300" w:lineRule="auto"/>
              <w:ind w:left="2"/>
              <w:jc w:val="center"/>
              <w:rPr>
                <w:rFonts w:ascii="Arial" w:hAnsi="Arial" w:eastAsia="宋体" w:cs="Arial"/>
                <w:sz w:val="16"/>
                <w:szCs w:val="16"/>
              </w:rPr>
            </w:pPr>
            <w:r>
              <w:rPr>
                <w:rFonts w:ascii="Arial" w:hAnsi="Arial" w:eastAsia="宋体" w:cs="Arial"/>
                <w:sz w:val="16"/>
              </w:rPr>
              <w:t>4 分钟</w:t>
            </w:r>
          </w:p>
        </w:tc>
        <w:tc>
          <w:tcPr>
            <w:tcW w:w="1994" w:type="dxa"/>
            <w:tcBorders>
              <w:top w:val="single" w:color="000000" w:sz="4" w:space="0"/>
              <w:left w:val="single" w:color="000000" w:sz="4" w:space="0"/>
              <w:bottom w:val="single" w:color="000000" w:sz="4" w:space="0"/>
              <w:right w:val="single" w:color="000000" w:sz="4" w:space="0"/>
            </w:tcBorders>
          </w:tcPr>
          <w:p w14:paraId="49E7EFAE">
            <w:pPr>
              <w:pStyle w:val="18"/>
              <w:snapToGrid w:val="0"/>
              <w:spacing w:before="35" w:line="300" w:lineRule="auto"/>
              <w:ind w:left="2"/>
              <w:jc w:val="center"/>
              <w:rPr>
                <w:rFonts w:ascii="Arial" w:hAnsi="Arial" w:eastAsia="宋体" w:cs="Arial"/>
                <w:sz w:val="16"/>
                <w:szCs w:val="16"/>
              </w:rPr>
            </w:pPr>
            <w:r>
              <w:rPr>
                <w:rFonts w:ascii="Arial" w:hAnsi="Arial" w:eastAsia="宋体" w:cs="Arial"/>
                <w:sz w:val="16"/>
              </w:rPr>
              <w:t>3 分钟</w:t>
            </w:r>
          </w:p>
        </w:tc>
        <w:tc>
          <w:tcPr>
            <w:tcW w:w="1994" w:type="dxa"/>
            <w:tcBorders>
              <w:top w:val="single" w:color="000000" w:sz="4" w:space="0"/>
              <w:left w:val="single" w:color="000000" w:sz="4" w:space="0"/>
              <w:bottom w:val="single" w:color="000000" w:sz="4" w:space="0"/>
              <w:right w:val="single" w:color="000000" w:sz="4" w:space="0"/>
            </w:tcBorders>
          </w:tcPr>
          <w:p w14:paraId="418AFD54">
            <w:pPr>
              <w:pStyle w:val="18"/>
              <w:snapToGrid w:val="0"/>
              <w:spacing w:before="35" w:line="300" w:lineRule="auto"/>
              <w:jc w:val="center"/>
              <w:rPr>
                <w:rFonts w:ascii="Arial" w:hAnsi="Arial" w:eastAsia="宋体" w:cs="Arial"/>
                <w:sz w:val="16"/>
                <w:szCs w:val="16"/>
              </w:rPr>
            </w:pPr>
            <w:r>
              <w:rPr>
                <w:rFonts w:ascii="Arial" w:hAnsi="Arial" w:eastAsia="宋体" w:cs="Arial"/>
                <w:sz w:val="16"/>
              </w:rPr>
              <w:t>不适用</w:t>
            </w:r>
          </w:p>
        </w:tc>
      </w:tr>
    </w:tbl>
    <w:p w14:paraId="400061B3">
      <w:pPr>
        <w:snapToGrid w:val="0"/>
        <w:spacing w:before="1" w:line="300" w:lineRule="auto"/>
        <w:jc w:val="both"/>
        <w:rPr>
          <w:rFonts w:ascii="Arial" w:hAnsi="Arial" w:eastAsia="宋体" w:cs="Arial"/>
          <w:b/>
          <w:bCs/>
          <w:sz w:val="11"/>
          <w:szCs w:val="11"/>
        </w:rPr>
      </w:pPr>
    </w:p>
    <w:p w14:paraId="07B929F3">
      <w:pPr>
        <w:snapToGrid w:val="0"/>
        <w:spacing w:before="76" w:line="300" w:lineRule="auto"/>
        <w:ind w:left="120"/>
        <w:jc w:val="both"/>
        <w:rPr>
          <w:rFonts w:ascii="Arial" w:hAnsi="Arial" w:eastAsia="宋体" w:cs="Arial"/>
          <w:sz w:val="18"/>
          <w:szCs w:val="18"/>
          <w:lang w:eastAsia="zh-CN"/>
        </w:rPr>
      </w:pPr>
      <w:r>
        <w:rPr>
          <w:rFonts w:ascii="Arial" w:hAnsi="Arial" w:eastAsia="宋体" w:cs="Arial"/>
          <w:sz w:val="18"/>
          <w:szCs w:val="18"/>
          <w:lang w:eastAsia="zh-CN"/>
        </w:rPr>
        <w:t xml:space="preserve">表1和表2经医疗机构蒸汽灭菌和无菌保证的ANSI/AAMI ST79：2010和A1：2010综合指南许可后修改和转载。其由医疗器械促进协会（AAMI）发布。（C）2012 AAMI </w:t>
      </w:r>
      <w:r>
        <w:rPr>
          <w:rFonts w:ascii="Arial" w:hAnsi="Arial" w:eastAsia="宋体" w:cs="Arial"/>
          <w:color w:val="0000FF"/>
          <w:sz w:val="18"/>
          <w:szCs w:val="18"/>
          <w:u w:val="single"/>
          <w:lang w:eastAsia="zh-CN"/>
        </w:rPr>
        <w:t>www.aami.org</w:t>
      </w:r>
      <w:r>
        <w:rPr>
          <w:rFonts w:ascii="Arial" w:hAnsi="Arial" w:eastAsia="宋体" w:cs="Arial"/>
          <w:sz w:val="18"/>
          <w:szCs w:val="18"/>
          <w:lang w:eastAsia="zh-CN"/>
        </w:rPr>
        <w:t>。</w:t>
      </w:r>
    </w:p>
    <w:p w14:paraId="38A8FB18">
      <w:pPr>
        <w:snapToGrid w:val="0"/>
        <w:spacing w:before="1" w:line="300" w:lineRule="auto"/>
        <w:jc w:val="both"/>
        <w:rPr>
          <w:rFonts w:ascii="Arial" w:hAnsi="Arial" w:eastAsia="宋体" w:cs="Arial"/>
          <w:sz w:val="18"/>
          <w:szCs w:val="18"/>
          <w:lang w:eastAsia="zh-CN"/>
        </w:rPr>
      </w:pPr>
    </w:p>
    <w:p w14:paraId="6B19DF2E">
      <w:pPr>
        <w:pStyle w:val="5"/>
        <w:snapToGrid w:val="0"/>
        <w:spacing w:before="69" w:line="300" w:lineRule="auto"/>
        <w:ind w:left="0" w:firstLine="0"/>
        <w:jc w:val="both"/>
        <w:rPr>
          <w:rFonts w:ascii="Arial" w:hAnsi="Arial" w:eastAsia="宋体" w:cs="Arial"/>
          <w:b w:val="0"/>
          <w:bCs w:val="0"/>
          <w:lang w:eastAsia="zh-CN"/>
        </w:rPr>
      </w:pPr>
      <w:r>
        <w:rPr>
          <w:rFonts w:ascii="Arial" w:hAnsi="Arial" w:eastAsia="宋体" w:cs="Arial"/>
          <w:u w:val="thick" w:color="000000"/>
          <w:lang w:eastAsia="zh-CN"/>
        </w:rPr>
        <w:t>EO灭菌循环</w:t>
      </w:r>
    </w:p>
    <w:p w14:paraId="0B727363">
      <w:pPr>
        <w:snapToGrid w:val="0"/>
        <w:spacing w:before="7" w:line="300" w:lineRule="auto"/>
        <w:jc w:val="both"/>
        <w:rPr>
          <w:rFonts w:ascii="Arial" w:hAnsi="Arial" w:eastAsia="宋体" w:cs="Arial"/>
          <w:b/>
          <w:bCs/>
          <w:sz w:val="17"/>
          <w:szCs w:val="17"/>
          <w:lang w:eastAsia="zh-CN"/>
        </w:rPr>
      </w:pPr>
    </w:p>
    <w:p w14:paraId="4EC65520">
      <w:pPr>
        <w:pStyle w:val="6"/>
        <w:snapToGrid w:val="0"/>
        <w:spacing w:before="69" w:line="300" w:lineRule="auto"/>
        <w:ind w:left="0"/>
        <w:jc w:val="both"/>
        <w:rPr>
          <w:rFonts w:ascii="Arial" w:hAnsi="Arial" w:eastAsia="宋体" w:cs="Arial"/>
          <w:lang w:eastAsia="zh-CN"/>
        </w:rPr>
      </w:pPr>
      <w:r>
        <w:rPr>
          <w:rFonts w:ascii="Arial" w:hAnsi="Arial" w:eastAsia="宋体" w:cs="Arial"/>
          <w:lang w:eastAsia="zh-CN"/>
        </w:rPr>
        <w:t>一般来说，最常见的参数是从450至1200毫克每升（mg/L）的EO浓度、37</w:t>
      </w:r>
      <w:r>
        <w:rPr>
          <w:rFonts w:hint="eastAsia" w:ascii="宋体" w:hAnsi="宋体" w:eastAsia="宋体" w:cs="宋体"/>
          <w:lang w:eastAsia="zh-CN"/>
        </w:rPr>
        <w:t>℃</w:t>
      </w:r>
      <w:r>
        <w:rPr>
          <w:rFonts w:ascii="Arial" w:hAnsi="Arial" w:eastAsia="宋体" w:cs="Arial"/>
          <w:lang w:eastAsia="zh-CN"/>
        </w:rPr>
        <w:t>至63</w:t>
      </w:r>
      <w:r>
        <w:rPr>
          <w:rFonts w:hint="eastAsia" w:ascii="宋体" w:hAnsi="宋体" w:eastAsia="宋体" w:cs="宋体"/>
          <w:lang w:eastAsia="zh-CN"/>
        </w:rPr>
        <w:t>℃</w:t>
      </w:r>
      <w:r>
        <w:rPr>
          <w:rFonts w:ascii="Arial" w:hAnsi="Arial" w:eastAsia="宋体" w:cs="Arial"/>
          <w:lang w:eastAsia="zh-CN"/>
        </w:rPr>
        <w:t>（99°F至145°F）的温度、60至360分钟的暴露时间以及从40％到80％的室内湿度（ANSI/AAMI ST41：2008医疗机构中的环氧乙烷灭菌：安全性和有效性）。如果在FDA许可的灭菌器上可用，可以使用其他循环参数。</w:t>
      </w:r>
    </w:p>
    <w:p w14:paraId="2AFFB0FA">
      <w:pPr>
        <w:snapToGrid w:val="0"/>
        <w:spacing w:line="300" w:lineRule="auto"/>
        <w:jc w:val="both"/>
        <w:rPr>
          <w:rFonts w:ascii="Arial" w:hAnsi="Arial" w:eastAsia="宋体" w:cs="Arial"/>
          <w:lang w:eastAsia="zh-CN"/>
        </w:rPr>
        <w:sectPr>
          <w:pgSz w:w="12260" w:h="15840"/>
          <w:pgMar w:top="1134" w:right="1134" w:bottom="1134" w:left="1134" w:header="748" w:footer="773" w:gutter="0"/>
          <w:cols w:space="720" w:num="1"/>
          <w:docGrid w:linePitch="299" w:charSpace="0"/>
        </w:sectPr>
      </w:pPr>
    </w:p>
    <w:p w14:paraId="1D455865">
      <w:pPr>
        <w:snapToGrid w:val="0"/>
        <w:spacing w:line="300" w:lineRule="auto"/>
        <w:jc w:val="both"/>
        <w:rPr>
          <w:rFonts w:ascii="Arial" w:hAnsi="Arial" w:eastAsia="宋体" w:cs="Arial"/>
          <w:sz w:val="20"/>
          <w:szCs w:val="20"/>
          <w:lang w:eastAsia="zh-CN"/>
        </w:rPr>
      </w:pPr>
    </w:p>
    <w:p w14:paraId="65BB115C">
      <w:pPr>
        <w:pStyle w:val="3"/>
        <w:snapToGrid w:val="0"/>
        <w:spacing w:before="220" w:line="300" w:lineRule="auto"/>
        <w:ind w:left="720"/>
        <w:jc w:val="both"/>
        <w:rPr>
          <w:rFonts w:ascii="Arial" w:hAnsi="Arial" w:eastAsia="宋体" w:cs="Arial"/>
          <w:b w:val="0"/>
          <w:bCs w:val="0"/>
          <w:lang w:eastAsia="zh-CN"/>
        </w:rPr>
      </w:pPr>
      <w:bookmarkStart w:id="93" w:name="APPENDIX_D.__Descending_Order_of_Resista"/>
      <w:bookmarkEnd w:id="93"/>
      <w:bookmarkStart w:id="94" w:name="_Toc481569218"/>
      <w:r>
        <w:rPr>
          <w:rFonts w:ascii="Arial" w:hAnsi="Arial" w:eastAsia="宋体" w:cs="Arial"/>
          <w:lang w:eastAsia="zh-CN"/>
        </w:rPr>
        <w:t>附录D. 微生物对灭菌化学品的抗性的降序排列</w:t>
      </w:r>
      <w:bookmarkEnd w:id="94"/>
    </w:p>
    <w:p w14:paraId="59F3130A">
      <w:pPr>
        <w:snapToGrid w:val="0"/>
        <w:spacing w:line="300" w:lineRule="auto"/>
        <w:jc w:val="both"/>
        <w:rPr>
          <w:rFonts w:ascii="Arial" w:hAnsi="Arial" w:eastAsia="宋体" w:cs="Arial"/>
          <w:b/>
          <w:bCs/>
          <w:sz w:val="20"/>
          <w:szCs w:val="20"/>
          <w:lang w:eastAsia="zh-CN"/>
        </w:rPr>
      </w:pPr>
    </w:p>
    <w:p w14:paraId="0E5495A9">
      <w:pPr>
        <w:snapToGrid w:val="0"/>
        <w:spacing w:line="300" w:lineRule="auto"/>
        <w:jc w:val="both"/>
        <w:rPr>
          <w:rFonts w:ascii="Arial" w:hAnsi="Arial" w:eastAsia="宋体" w:cs="Arial"/>
          <w:b/>
          <w:bCs/>
          <w:sz w:val="20"/>
          <w:szCs w:val="20"/>
          <w:lang w:eastAsia="zh-CN"/>
        </w:rPr>
      </w:pPr>
    </w:p>
    <w:p w14:paraId="13C2AA2B">
      <w:pPr>
        <w:snapToGrid w:val="0"/>
        <w:spacing w:line="300" w:lineRule="auto"/>
        <w:jc w:val="both"/>
        <w:rPr>
          <w:rFonts w:ascii="Arial" w:hAnsi="Arial" w:eastAsia="宋体" w:cs="Arial"/>
          <w:b/>
          <w:bCs/>
          <w:sz w:val="20"/>
          <w:szCs w:val="20"/>
          <w:lang w:eastAsia="zh-CN"/>
        </w:rPr>
      </w:pPr>
    </w:p>
    <w:p w14:paraId="3DEBA240">
      <w:pPr>
        <w:snapToGrid w:val="0"/>
        <w:spacing w:before="4" w:line="300" w:lineRule="auto"/>
        <w:jc w:val="both"/>
        <w:rPr>
          <w:rFonts w:ascii="Arial" w:hAnsi="Arial" w:eastAsia="宋体" w:cs="Arial"/>
          <w:b/>
          <w:bCs/>
          <w:sz w:val="16"/>
          <w:szCs w:val="16"/>
          <w:lang w:eastAsia="zh-CN"/>
        </w:rPr>
      </w:pPr>
    </w:p>
    <w:p w14:paraId="7B4E14C4">
      <w:pPr>
        <w:snapToGrid w:val="0"/>
        <w:spacing w:line="300" w:lineRule="auto"/>
        <w:jc w:val="both"/>
        <w:rPr>
          <w:rFonts w:ascii="Arial" w:hAnsi="Arial" w:eastAsia="宋体" w:cs="Arial"/>
          <w:sz w:val="16"/>
          <w:szCs w:val="16"/>
          <w:lang w:eastAsia="zh-CN"/>
        </w:rPr>
        <w:sectPr>
          <w:pgSz w:w="12260" w:h="15840"/>
          <w:pgMar w:top="1134" w:right="1134" w:bottom="1134" w:left="1134" w:header="748" w:footer="773" w:gutter="0"/>
          <w:cols w:space="720" w:num="1"/>
          <w:docGrid w:linePitch="299" w:charSpace="0"/>
        </w:sectPr>
      </w:pPr>
    </w:p>
    <w:p w14:paraId="7DBB90A0">
      <w:pPr>
        <w:pStyle w:val="5"/>
        <w:snapToGrid w:val="0"/>
        <w:spacing w:before="69" w:line="300" w:lineRule="auto"/>
        <w:ind w:left="1391" w:firstLine="33"/>
        <w:jc w:val="both"/>
        <w:rPr>
          <w:rFonts w:ascii="Arial" w:hAnsi="Arial" w:eastAsia="宋体" w:cs="Arial"/>
          <w:bCs w:val="0"/>
        </w:rPr>
      </w:pPr>
      <w:r>
        <w:rPr>
          <w:rFonts w:ascii="Arial" w:hAnsi="Arial" w:eastAsia="宋体" w:cs="Arial"/>
          <w:bCs w:val="0"/>
          <w:lang w:eastAsia="zh-CN"/>
        </w:rPr>
        <w:t>最高抗性</w:t>
      </w:r>
    </w:p>
    <w:p w14:paraId="16428FA2">
      <w:pPr>
        <w:snapToGrid w:val="0"/>
        <w:spacing w:before="3" w:line="300" w:lineRule="auto"/>
        <w:jc w:val="both"/>
        <w:rPr>
          <w:rFonts w:ascii="Arial" w:hAnsi="Arial" w:eastAsia="宋体" w:cs="Arial"/>
          <w:b/>
          <w:bCs/>
          <w:sz w:val="23"/>
          <w:szCs w:val="23"/>
        </w:rPr>
      </w:pPr>
    </w:p>
    <w:p w14:paraId="7608D04F">
      <w:pPr>
        <w:snapToGrid w:val="0"/>
        <w:spacing w:line="300" w:lineRule="auto"/>
        <w:ind w:left="1952"/>
        <w:jc w:val="both"/>
        <w:rPr>
          <w:rFonts w:ascii="Arial" w:hAnsi="Arial" w:eastAsia="宋体" w:cs="Arial"/>
          <w:sz w:val="20"/>
          <w:szCs w:val="20"/>
        </w:rPr>
      </w:pPr>
      <w:r>
        <w:rPr>
          <w:rFonts w:ascii="Arial" w:hAnsi="Arial" w:eastAsia="宋体" w:cs="Arial"/>
          <w:position w:val="-50"/>
          <w:sz w:val="20"/>
          <w:szCs w:val="20"/>
          <w:lang w:eastAsia="zh-CN"/>
        </w:rPr>
        <mc:AlternateContent>
          <mc:Choice Requires="wpg">
            <w:drawing>
              <wp:inline distT="0" distB="0" distL="0" distR="0">
                <wp:extent cx="372110" cy="1616075"/>
                <wp:effectExtent l="19050" t="0" r="18415" b="22225"/>
                <wp:docPr id="2" name="Group 2"/>
                <wp:cNvGraphicFramePr/>
                <a:graphic xmlns:a="http://schemas.openxmlformats.org/drawingml/2006/main">
                  <a:graphicData uri="http://schemas.microsoft.com/office/word/2010/wordprocessingGroup">
                    <wpg:wgp>
                      <wpg:cNvGrpSpPr/>
                      <wpg:grpSpPr>
                        <a:xfrm>
                          <a:off x="0" y="0"/>
                          <a:ext cx="372110" cy="1616075"/>
                          <a:chOff x="0" y="0"/>
                          <a:chExt cx="586" cy="2545"/>
                        </a:xfrm>
                      </wpg:grpSpPr>
                      <wpg:grpSp>
                        <wpg:cNvPr id="4" name="Group 3"/>
                        <wpg:cNvGrpSpPr/>
                        <wpg:grpSpPr>
                          <a:xfrm>
                            <a:off x="13" y="13"/>
                            <a:ext cx="561" cy="2520"/>
                            <a:chOff x="13" y="13"/>
                            <a:chExt cx="561" cy="2520"/>
                          </a:xfrm>
                        </wpg:grpSpPr>
                        <wps:wsp>
                          <wps:cNvPr id="5" name="Freeform 4"/>
                          <wps:cNvSpPr/>
                          <wps:spPr bwMode="auto">
                            <a:xfrm>
                              <a:off x="13" y="13"/>
                              <a:ext cx="561" cy="2520"/>
                            </a:xfrm>
                            <a:custGeom>
                              <a:avLst/>
                              <a:gdLst>
                                <a:gd name="T0" fmla="+- 0 13 13"/>
                                <a:gd name="T1" fmla="*/ T0 w 561"/>
                                <a:gd name="T2" fmla="+- 0 1903 13"/>
                                <a:gd name="T3" fmla="*/ 1903 h 2520"/>
                                <a:gd name="T4" fmla="+- 0 153 13"/>
                                <a:gd name="T5" fmla="*/ T4 w 561"/>
                                <a:gd name="T6" fmla="+- 0 1903 13"/>
                                <a:gd name="T7" fmla="*/ 1903 h 2520"/>
                                <a:gd name="T8" fmla="+- 0 153 13"/>
                                <a:gd name="T9" fmla="*/ T8 w 561"/>
                                <a:gd name="T10" fmla="+- 0 13 13"/>
                                <a:gd name="T11" fmla="*/ 13 h 2520"/>
                                <a:gd name="T12" fmla="+- 0 433 13"/>
                                <a:gd name="T13" fmla="*/ T12 w 561"/>
                                <a:gd name="T14" fmla="+- 0 13 13"/>
                                <a:gd name="T15" fmla="*/ 13 h 2520"/>
                                <a:gd name="T16" fmla="+- 0 433 13"/>
                                <a:gd name="T17" fmla="*/ T16 w 561"/>
                                <a:gd name="T18" fmla="+- 0 1903 13"/>
                                <a:gd name="T19" fmla="*/ 1903 h 2520"/>
                                <a:gd name="T20" fmla="+- 0 574 13"/>
                                <a:gd name="T21" fmla="*/ T20 w 561"/>
                                <a:gd name="T22" fmla="+- 0 1903 13"/>
                                <a:gd name="T23" fmla="*/ 1903 h 2520"/>
                                <a:gd name="T24" fmla="+- 0 293 13"/>
                                <a:gd name="T25" fmla="*/ T24 w 561"/>
                                <a:gd name="T26" fmla="+- 0 2533 13"/>
                                <a:gd name="T27" fmla="*/ 2533 h 2520"/>
                                <a:gd name="T28" fmla="+- 0 13 13"/>
                                <a:gd name="T29" fmla="*/ T28 w 561"/>
                                <a:gd name="T30" fmla="+- 0 1903 13"/>
                                <a:gd name="T31" fmla="*/ 1903 h 25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61" h="2520">
                                  <a:moveTo>
                                    <a:pt x="0" y="1890"/>
                                  </a:moveTo>
                                  <a:lnTo>
                                    <a:pt x="140" y="1890"/>
                                  </a:lnTo>
                                  <a:lnTo>
                                    <a:pt x="140" y="0"/>
                                  </a:lnTo>
                                  <a:lnTo>
                                    <a:pt x="420" y="0"/>
                                  </a:lnTo>
                                  <a:lnTo>
                                    <a:pt x="420" y="1890"/>
                                  </a:lnTo>
                                  <a:lnTo>
                                    <a:pt x="561" y="1890"/>
                                  </a:lnTo>
                                  <a:lnTo>
                                    <a:pt x="280" y="2520"/>
                                  </a:lnTo>
                                  <a:lnTo>
                                    <a:pt x="0" y="1890"/>
                                  </a:lnTo>
                                  <a:close/>
                                </a:path>
                              </a:pathLst>
                            </a:custGeom>
                            <a:noFill/>
                            <a:ln w="15875">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height:127.25pt;width:29.3pt;" coordsize="586,2545" o:gfxdata="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">
                <o:lock v:ext="edit" aspectratio="f"/>
                <v:group id="Group 3" o:spid="_x0000_s1026" o:spt="203" style="position:absolute;left:13;top:13;height:2520;width:561;" coordorigin="13,13" coordsize="561,2520"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Freeform 4" o:spid="_x0000_s1026" o:spt="100" style="position:absolute;left:13;top:13;height:2520;width:561;" filled="f" stroked="t" coordsize="561,2520" o:gfxdata="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wTN9vQAA&#10;ANoAAAAPAAAAAAAAAAEAIAAAACIAAABkcnMvZG93bnJldi54bWxQSwECFAAUAAAACACHTuJAMy8F&#10;njsAAAA5AAAAEAAAAAAAAAABACAAAAAMAQAAZHJzL3NoYXBleG1sLnhtbFBLBQYAAAAABgAGAFsB&#10;AAC2AwAAAAA=&#10;" path="m0,1890l140,1890,140,0,420,0,420,1890,561,1890,280,2520,0,1890xe">
                    <v:path o:connectlocs="0,1903;140,1903;140,13;420,13;420,1903;561,1903;280,2533;0,1903" o:connectangles="0,0,0,0,0,0,0,0"/>
                    <v:fill on="f" focussize="0,0"/>
                    <v:stroke weight="1.25pt" color="#000000" joinstyle="round"/>
                    <v:imagedata o:title=""/>
                    <o:lock v:ext="edit" aspectratio="f"/>
                  </v:shape>
                </v:group>
                <w10:wrap type="none"/>
                <w10:anchorlock/>
              </v:group>
            </w:pict>
          </mc:Fallback>
        </mc:AlternateContent>
      </w:r>
    </w:p>
    <w:p w14:paraId="2223E237">
      <w:pPr>
        <w:snapToGrid w:val="0"/>
        <w:spacing w:before="10" w:line="300" w:lineRule="auto"/>
        <w:jc w:val="both"/>
        <w:rPr>
          <w:rFonts w:ascii="Arial" w:hAnsi="Arial" w:eastAsia="宋体" w:cs="Arial"/>
          <w:b/>
          <w:bCs/>
          <w:sz w:val="29"/>
          <w:szCs w:val="29"/>
        </w:rPr>
      </w:pPr>
    </w:p>
    <w:p w14:paraId="74540412">
      <w:pPr>
        <w:snapToGrid w:val="0"/>
        <w:spacing w:line="300" w:lineRule="auto"/>
        <w:ind w:left="1391"/>
        <w:jc w:val="both"/>
        <w:rPr>
          <w:rFonts w:ascii="Arial" w:hAnsi="Arial" w:eastAsia="宋体" w:cs="Arial"/>
          <w:b/>
          <w:sz w:val="24"/>
          <w:szCs w:val="24"/>
          <w:lang w:eastAsia="zh-CN"/>
        </w:rPr>
      </w:pPr>
      <w:r>
        <w:rPr>
          <w:rFonts w:ascii="Arial" w:hAnsi="Arial" w:eastAsia="宋体" w:cs="Arial"/>
          <w:b/>
          <w:sz w:val="24"/>
          <w:szCs w:val="24"/>
          <w:lang w:eastAsia="zh-CN"/>
        </w:rPr>
        <w:t>最低抗性</w:t>
      </w:r>
    </w:p>
    <w:p w14:paraId="57B18DCD">
      <w:pPr>
        <w:snapToGrid w:val="0"/>
        <w:spacing w:before="129" w:after="240" w:afterLines="100" w:line="300" w:lineRule="auto"/>
        <w:ind w:left="1612"/>
        <w:jc w:val="center"/>
        <w:rPr>
          <w:rFonts w:ascii="Arial" w:hAnsi="Arial" w:eastAsia="宋体" w:cs="Arial"/>
          <w:b/>
          <w:lang w:eastAsia="zh-CN"/>
        </w:rPr>
      </w:pPr>
      <w:r>
        <w:rPr>
          <w:rFonts w:ascii="Arial" w:hAnsi="Arial" w:eastAsia="宋体" w:cs="Arial"/>
          <w:lang w:eastAsia="zh-CN"/>
        </w:rPr>
        <w:br w:type="column"/>
      </w:r>
      <w:r>
        <w:rPr>
          <w:rFonts w:ascii="Arial" w:hAnsi="Arial" w:eastAsia="宋体" w:cs="Arial"/>
          <w:b/>
          <w:lang w:eastAsia="zh-CN"/>
        </w:rPr>
        <w:t>细菌孢子</w:t>
      </w:r>
    </w:p>
    <w:p w14:paraId="1023B01B">
      <w:pPr>
        <w:snapToGrid w:val="0"/>
        <w:spacing w:before="129" w:after="240" w:afterLines="100" w:line="300" w:lineRule="auto"/>
        <w:ind w:left="1612"/>
        <w:jc w:val="center"/>
        <w:rPr>
          <w:rFonts w:ascii="Arial" w:hAnsi="Arial" w:eastAsia="宋体" w:cs="Arial"/>
          <w:sz w:val="24"/>
          <w:szCs w:val="24"/>
          <w:lang w:eastAsia="zh-CN"/>
        </w:rPr>
      </w:pPr>
      <w:r>
        <w:rPr>
          <w:rFonts w:ascii="Arial" w:hAnsi="Arial" w:eastAsia="宋体" w:cs="Arial"/>
          <w:b/>
          <w:sz w:val="24"/>
          <w:lang w:eastAsia="zh-CN"/>
        </w:rPr>
        <w:t>分枝杆菌</w:t>
      </w:r>
    </w:p>
    <w:p w14:paraId="4EFD1704">
      <w:pPr>
        <w:snapToGrid w:val="0"/>
        <w:spacing w:before="12" w:after="240" w:afterLines="100" w:line="300" w:lineRule="auto"/>
        <w:ind w:left="1612"/>
        <w:jc w:val="center"/>
        <w:rPr>
          <w:rFonts w:ascii="Arial" w:hAnsi="Arial" w:eastAsia="宋体" w:cs="Arial"/>
          <w:b/>
          <w:sz w:val="24"/>
          <w:lang w:eastAsia="zh-CN"/>
        </w:rPr>
      </w:pPr>
      <w:r>
        <w:rPr>
          <w:rFonts w:ascii="Arial" w:hAnsi="Arial" w:eastAsia="宋体" w:cs="Arial"/>
          <w:b/>
          <w:sz w:val="24"/>
          <w:lang w:eastAsia="zh-CN"/>
        </w:rPr>
        <w:t>非脂质或小型病毒</w:t>
      </w:r>
    </w:p>
    <w:p w14:paraId="5FE804DE">
      <w:pPr>
        <w:snapToGrid w:val="0"/>
        <w:spacing w:before="12" w:after="240" w:afterLines="100" w:line="300" w:lineRule="auto"/>
        <w:ind w:left="1612"/>
        <w:jc w:val="center"/>
        <w:rPr>
          <w:rFonts w:ascii="Arial" w:hAnsi="Arial" w:eastAsia="宋体" w:cs="Arial"/>
          <w:b/>
          <w:sz w:val="24"/>
          <w:szCs w:val="24"/>
          <w:lang w:eastAsia="zh-CN"/>
        </w:rPr>
      </w:pPr>
      <w:r>
        <w:rPr>
          <w:rFonts w:ascii="Arial" w:hAnsi="Arial" w:eastAsia="宋体" w:cs="Arial"/>
          <w:b/>
          <w:sz w:val="24"/>
          <w:szCs w:val="24"/>
          <w:lang w:eastAsia="zh-CN"/>
        </w:rPr>
        <w:t>真菌</w:t>
      </w:r>
    </w:p>
    <w:p w14:paraId="3ED56884">
      <w:pPr>
        <w:snapToGrid w:val="0"/>
        <w:spacing w:after="240" w:afterLines="100" w:line="300" w:lineRule="auto"/>
        <w:ind w:left="1391" w:firstLine="566"/>
        <w:jc w:val="center"/>
        <w:rPr>
          <w:rFonts w:ascii="Arial" w:hAnsi="Arial" w:eastAsia="宋体" w:cs="Arial"/>
          <w:b/>
          <w:sz w:val="24"/>
          <w:lang w:eastAsia="zh-CN"/>
        </w:rPr>
      </w:pPr>
      <w:r>
        <w:rPr>
          <w:rFonts w:ascii="Arial" w:hAnsi="Arial" w:eastAsia="宋体" w:cs="Arial"/>
          <w:b/>
          <w:sz w:val="24"/>
          <w:lang w:eastAsia="zh-CN"/>
        </w:rPr>
        <w:t>繁殖性细菌</w:t>
      </w:r>
    </w:p>
    <w:p w14:paraId="76547B99">
      <w:pPr>
        <w:snapToGrid w:val="0"/>
        <w:spacing w:after="240" w:afterLines="100" w:line="300" w:lineRule="auto"/>
        <w:ind w:left="1391" w:firstLine="566"/>
        <w:jc w:val="center"/>
        <w:rPr>
          <w:rFonts w:ascii="Arial" w:hAnsi="Arial" w:eastAsia="宋体" w:cs="Arial"/>
          <w:sz w:val="24"/>
          <w:szCs w:val="24"/>
          <w:lang w:eastAsia="zh-CN"/>
        </w:rPr>
        <w:sectPr>
          <w:type w:val="continuous"/>
          <w:pgSz w:w="12260" w:h="15840"/>
          <w:pgMar w:top="1134" w:right="1134" w:bottom="1134" w:left="1134" w:header="720" w:footer="720" w:gutter="0"/>
          <w:cols w:equalWidth="0" w:num="2">
            <w:col w:w="3354" w:space="1084"/>
            <w:col w:w="5554"/>
          </w:cols>
          <w:docGrid w:linePitch="299" w:charSpace="0"/>
        </w:sectPr>
      </w:pPr>
      <w:r>
        <w:rPr>
          <w:rFonts w:ascii="Arial" w:hAnsi="Arial" w:eastAsia="宋体" w:cs="Arial"/>
          <w:b/>
          <w:sz w:val="24"/>
          <w:lang w:eastAsia="zh-CN"/>
        </w:rPr>
        <w:t>脂质或中等尺寸的病毒</w:t>
      </w:r>
    </w:p>
    <w:p w14:paraId="6EF9A6CE">
      <w:pPr>
        <w:tabs>
          <w:tab w:val="left" w:pos="1866"/>
        </w:tabs>
        <w:snapToGrid w:val="0"/>
        <w:spacing w:line="300" w:lineRule="auto"/>
        <w:jc w:val="both"/>
        <w:rPr>
          <w:rFonts w:ascii="Arial" w:hAnsi="Arial" w:eastAsia="宋体" w:cs="Arial"/>
          <w:bCs/>
          <w:sz w:val="20"/>
          <w:szCs w:val="20"/>
          <w:lang w:eastAsia="zh-CN"/>
        </w:rPr>
      </w:pPr>
    </w:p>
    <w:p w14:paraId="26A67FA9">
      <w:pPr>
        <w:snapToGrid w:val="0"/>
        <w:spacing w:line="300" w:lineRule="auto"/>
        <w:jc w:val="both"/>
        <w:rPr>
          <w:rFonts w:ascii="Arial" w:hAnsi="Arial" w:eastAsia="宋体" w:cs="Arial"/>
          <w:b/>
          <w:bCs/>
          <w:sz w:val="20"/>
          <w:szCs w:val="20"/>
          <w:lang w:eastAsia="zh-CN"/>
        </w:rPr>
      </w:pPr>
    </w:p>
    <w:p w14:paraId="1635BFB7">
      <w:pPr>
        <w:snapToGrid w:val="0"/>
        <w:spacing w:line="300" w:lineRule="auto"/>
        <w:jc w:val="both"/>
        <w:rPr>
          <w:rFonts w:ascii="Arial" w:hAnsi="Arial" w:eastAsia="宋体" w:cs="Arial"/>
          <w:b/>
          <w:bCs/>
          <w:sz w:val="20"/>
          <w:szCs w:val="20"/>
          <w:lang w:eastAsia="zh-CN"/>
        </w:rPr>
      </w:pPr>
    </w:p>
    <w:p w14:paraId="314E7F2D">
      <w:pPr>
        <w:snapToGrid w:val="0"/>
        <w:spacing w:line="300" w:lineRule="auto"/>
        <w:jc w:val="both"/>
        <w:rPr>
          <w:rFonts w:ascii="Arial" w:hAnsi="Arial" w:eastAsia="宋体" w:cs="Arial"/>
          <w:b/>
          <w:bCs/>
          <w:sz w:val="20"/>
          <w:szCs w:val="20"/>
          <w:lang w:eastAsia="zh-CN"/>
        </w:rPr>
      </w:pPr>
    </w:p>
    <w:p w14:paraId="0C2E5CF6">
      <w:pPr>
        <w:snapToGrid w:val="0"/>
        <w:spacing w:before="5" w:line="300" w:lineRule="auto"/>
        <w:jc w:val="both"/>
        <w:rPr>
          <w:rFonts w:ascii="Arial" w:hAnsi="Arial" w:eastAsia="宋体" w:cs="Arial"/>
          <w:b/>
          <w:bCs/>
          <w:sz w:val="27"/>
          <w:szCs w:val="27"/>
          <w:lang w:eastAsia="zh-CN"/>
        </w:rPr>
      </w:pPr>
    </w:p>
    <w:p w14:paraId="54C223A7">
      <w:pPr>
        <w:pStyle w:val="6"/>
        <w:snapToGrid w:val="0"/>
        <w:spacing w:before="69" w:line="300" w:lineRule="auto"/>
        <w:ind w:left="0"/>
        <w:jc w:val="both"/>
        <w:rPr>
          <w:rFonts w:ascii="Arial" w:hAnsi="Arial" w:eastAsia="宋体" w:cs="Arial"/>
          <w:lang w:eastAsia="zh-CN"/>
        </w:rPr>
      </w:pPr>
      <w:r>
        <w:rPr>
          <w:rFonts w:ascii="Arial" w:hAnsi="Arial" w:eastAsia="宋体" w:cs="Arial"/>
          <w:lang w:eastAsia="zh-CN"/>
        </w:rPr>
        <w:t>改自Favero，M.S. 以及Bond，W.W.，医疗和手术材料的化学消毒。消毒、灭菌和保存，第五版，Phila：Lippincott Williams＆Wilkins ，2001年：881-917。</w:t>
      </w:r>
    </w:p>
    <w:p w14:paraId="5427CEC6">
      <w:pPr>
        <w:snapToGrid w:val="0"/>
        <w:spacing w:line="300" w:lineRule="auto"/>
        <w:jc w:val="both"/>
        <w:rPr>
          <w:rFonts w:ascii="Arial" w:hAnsi="Arial" w:eastAsia="宋体" w:cs="Arial"/>
          <w:lang w:eastAsia="zh-CN"/>
        </w:rPr>
        <w:sectPr>
          <w:type w:val="continuous"/>
          <w:pgSz w:w="12260" w:h="15840"/>
          <w:pgMar w:top="1134" w:right="1134" w:bottom="1134" w:left="1134" w:header="720" w:footer="720" w:gutter="0"/>
          <w:cols w:space="720" w:num="1"/>
          <w:docGrid w:linePitch="299" w:charSpace="0"/>
        </w:sectPr>
      </w:pPr>
    </w:p>
    <w:p w14:paraId="18C98D32">
      <w:pPr>
        <w:snapToGrid w:val="0"/>
        <w:spacing w:line="300" w:lineRule="auto"/>
        <w:jc w:val="both"/>
        <w:rPr>
          <w:rFonts w:ascii="Arial" w:hAnsi="Arial" w:eastAsia="宋体" w:cs="Arial"/>
          <w:sz w:val="20"/>
          <w:szCs w:val="20"/>
          <w:lang w:eastAsia="zh-CN"/>
        </w:rPr>
      </w:pPr>
    </w:p>
    <w:p w14:paraId="506C25F4">
      <w:pPr>
        <w:pStyle w:val="3"/>
        <w:snapToGrid w:val="0"/>
        <w:spacing w:before="220" w:line="300" w:lineRule="auto"/>
        <w:ind w:left="0" w:firstLine="0"/>
        <w:jc w:val="both"/>
        <w:rPr>
          <w:rFonts w:ascii="Arial" w:hAnsi="Arial" w:eastAsia="宋体" w:cs="Arial"/>
          <w:b w:val="0"/>
          <w:bCs w:val="0"/>
          <w:lang w:eastAsia="zh-CN"/>
        </w:rPr>
      </w:pPr>
      <w:bookmarkStart w:id="95" w:name="_Toc481569219"/>
      <w:r>
        <w:rPr>
          <w:rFonts w:ascii="Arial" w:hAnsi="Arial" w:eastAsia="宋体" w:cs="Arial"/>
          <w:lang w:eastAsia="zh-CN"/>
        </w:rPr>
        <w:t>附录E. 510（k）应提供数据以验证再加工说明的器械</w:t>
      </w:r>
      <w:bookmarkEnd w:id="95"/>
    </w:p>
    <w:p w14:paraId="18E7DF1B">
      <w:pPr>
        <w:snapToGrid w:val="0"/>
        <w:spacing w:before="7" w:line="300" w:lineRule="auto"/>
        <w:jc w:val="both"/>
        <w:rPr>
          <w:rFonts w:ascii="Arial" w:hAnsi="Arial" w:eastAsia="宋体" w:cs="Arial"/>
          <w:b/>
          <w:bCs/>
          <w:sz w:val="17"/>
          <w:szCs w:val="17"/>
          <w:lang w:eastAsia="zh-CN"/>
        </w:rPr>
      </w:pPr>
    </w:p>
    <w:p w14:paraId="641D4BB9">
      <w:pPr>
        <w:pStyle w:val="6"/>
        <w:snapToGrid w:val="0"/>
        <w:spacing w:line="300" w:lineRule="auto"/>
        <w:ind w:left="0"/>
        <w:jc w:val="both"/>
        <w:rPr>
          <w:rFonts w:ascii="Arial" w:hAnsi="Arial" w:eastAsia="宋体" w:cs="Arial"/>
          <w:lang w:eastAsia="zh-CN"/>
        </w:rPr>
      </w:pPr>
      <w:r>
        <w:rPr>
          <w:rFonts w:ascii="Arial" w:hAnsi="Arial" w:eastAsia="宋体" w:cs="Arial"/>
          <w:lang w:eastAsia="zh-CN"/>
        </w:rPr>
        <w:t>FDA已确定了一小部分医疗器械，其中，如果其没有被充分再加工，则微生物传播的可能性更大，并且呈现高度的感染风险（亚临床或临床）。这种确定是基于通过以下方式收集的知识：MDR；召回；文献或媒体报道的微生物传播或患者感染的定期爆发；疾病控制中心（CDC），退伍军人管理局（VA）和其他医疗机构提供的报告；以及制造商启动的监测研究。</w:t>
      </w:r>
    </w:p>
    <w:p w14:paraId="26A4BE5F">
      <w:pPr>
        <w:snapToGrid w:val="0"/>
        <w:spacing w:line="300" w:lineRule="auto"/>
        <w:jc w:val="both"/>
        <w:rPr>
          <w:rFonts w:ascii="Arial" w:hAnsi="Arial" w:eastAsia="宋体" w:cs="Arial"/>
          <w:sz w:val="24"/>
          <w:szCs w:val="24"/>
          <w:lang w:eastAsia="zh-CN"/>
        </w:rPr>
      </w:pPr>
    </w:p>
    <w:p w14:paraId="1F71723C">
      <w:pPr>
        <w:pStyle w:val="6"/>
        <w:snapToGrid w:val="0"/>
        <w:spacing w:line="300" w:lineRule="auto"/>
        <w:ind w:left="0"/>
        <w:jc w:val="both"/>
        <w:rPr>
          <w:rFonts w:ascii="Arial" w:hAnsi="Arial" w:eastAsia="宋体" w:cs="Arial"/>
          <w:lang w:eastAsia="zh-CN"/>
        </w:rPr>
      </w:pPr>
      <w:r>
        <w:rPr>
          <w:rFonts w:ascii="Arial" w:hAnsi="Arial" w:eastAsia="宋体" w:cs="Arial"/>
          <w:lang w:eastAsia="zh-CN"/>
        </w:rPr>
        <w:t>医疗器械的再加工说明应予以确认。然而，由于以下器械对公共卫生造成的风险较大，这些器械的510（k）提交材料应包括对再加工说明确认的方案和完整试验报告，以便FDA具有评价实质等同性所需的信息。这包括清洁说明以及消毒或灭菌说明的确认。再加工确认数据应证明拟定再加工说明加工主题器械的程度至少与比较器械的再加工说明一样。FDA确定位于该子集内的器械如下：</w:t>
      </w:r>
    </w:p>
    <w:p w14:paraId="56EE0228">
      <w:pPr>
        <w:snapToGrid w:val="0"/>
        <w:spacing w:before="5" w:line="300" w:lineRule="auto"/>
        <w:jc w:val="both"/>
        <w:rPr>
          <w:rFonts w:ascii="Arial" w:hAnsi="Arial" w:eastAsia="宋体" w:cs="Arial"/>
          <w:sz w:val="24"/>
          <w:szCs w:val="24"/>
          <w:lang w:eastAsia="zh-CN"/>
        </w:rPr>
      </w:pPr>
    </w:p>
    <w:p w14:paraId="6A57798D">
      <w:pPr>
        <w:pStyle w:val="5"/>
        <w:snapToGrid w:val="0"/>
        <w:spacing w:line="300" w:lineRule="auto"/>
        <w:ind w:left="100" w:firstLine="0"/>
        <w:jc w:val="both"/>
        <w:rPr>
          <w:rFonts w:ascii="Arial" w:hAnsi="Arial" w:eastAsia="宋体" w:cs="Arial"/>
          <w:b w:val="0"/>
          <w:bCs w:val="0"/>
          <w:lang w:eastAsia="zh-CN"/>
        </w:rPr>
      </w:pPr>
      <w:r>
        <w:rPr>
          <w:rFonts w:ascii="Arial" w:hAnsi="Arial" w:eastAsia="宋体" w:cs="Arial"/>
          <w:lang w:eastAsia="zh-CN"/>
        </w:rPr>
        <w:t>支气管镜（柔性或刚性）及附件</w:t>
      </w:r>
    </w:p>
    <w:tbl>
      <w:tblPr>
        <w:tblStyle w:val="16"/>
        <w:tblW w:w="0" w:type="auto"/>
        <w:tblInd w:w="100" w:type="dxa"/>
        <w:tblLayout w:type="fixed"/>
        <w:tblCellMar>
          <w:top w:w="0" w:type="dxa"/>
          <w:left w:w="0" w:type="dxa"/>
          <w:bottom w:w="0" w:type="dxa"/>
          <w:right w:w="0" w:type="dxa"/>
        </w:tblCellMar>
      </w:tblPr>
      <w:tblGrid>
        <w:gridCol w:w="962"/>
        <w:gridCol w:w="6028"/>
        <w:gridCol w:w="2591"/>
      </w:tblGrid>
      <w:tr w14:paraId="572C897C">
        <w:tblPrEx>
          <w:tblCellMar>
            <w:top w:w="0" w:type="dxa"/>
            <w:left w:w="0" w:type="dxa"/>
            <w:bottom w:w="0" w:type="dxa"/>
            <w:right w:w="0" w:type="dxa"/>
          </w:tblCellMar>
        </w:tblPrEx>
        <w:trPr>
          <w:trHeight w:val="571" w:hRule="exact"/>
        </w:trPr>
        <w:tc>
          <w:tcPr>
            <w:tcW w:w="962" w:type="dxa"/>
            <w:tcBorders>
              <w:top w:val="single" w:color="000000" w:sz="8" w:space="0"/>
              <w:left w:val="nil"/>
              <w:bottom w:val="single" w:color="000000" w:sz="8" w:space="0"/>
              <w:right w:val="nil"/>
            </w:tcBorders>
          </w:tcPr>
          <w:p w14:paraId="56E3F7C7">
            <w:pPr>
              <w:pStyle w:val="18"/>
              <w:snapToGrid w:val="0"/>
              <w:spacing w:line="300" w:lineRule="auto"/>
              <w:ind w:left="108"/>
              <w:jc w:val="both"/>
              <w:rPr>
                <w:rFonts w:ascii="Arial" w:hAnsi="Arial" w:eastAsia="宋体" w:cs="Arial"/>
                <w:sz w:val="24"/>
                <w:szCs w:val="24"/>
              </w:rPr>
            </w:pPr>
            <w:r>
              <w:rPr>
                <w:rFonts w:ascii="Arial" w:hAnsi="Arial" w:eastAsia="宋体" w:cs="Arial"/>
                <w:sz w:val="24"/>
                <w:szCs w:val="24"/>
                <w:lang w:eastAsia="zh-CN"/>
              </w:rPr>
              <w:t>产品代码</w:t>
            </w:r>
          </w:p>
        </w:tc>
        <w:tc>
          <w:tcPr>
            <w:tcW w:w="6028" w:type="dxa"/>
            <w:tcBorders>
              <w:top w:val="single" w:color="000000" w:sz="8" w:space="0"/>
              <w:left w:val="nil"/>
              <w:bottom w:val="single" w:color="000000" w:sz="8" w:space="0"/>
              <w:right w:val="nil"/>
            </w:tcBorders>
          </w:tcPr>
          <w:p w14:paraId="76398A3B">
            <w:pPr>
              <w:pStyle w:val="18"/>
              <w:snapToGrid w:val="0"/>
              <w:spacing w:line="300" w:lineRule="auto"/>
              <w:ind w:left="108"/>
              <w:jc w:val="both"/>
              <w:rPr>
                <w:rFonts w:ascii="Arial" w:hAnsi="Arial" w:eastAsia="宋体" w:cs="Arial"/>
                <w:sz w:val="24"/>
                <w:szCs w:val="24"/>
              </w:rPr>
            </w:pPr>
            <w:r>
              <w:rPr>
                <w:rFonts w:ascii="Arial" w:hAnsi="Arial" w:eastAsia="宋体" w:cs="Arial"/>
                <w:sz w:val="24"/>
                <w:szCs w:val="24"/>
                <w:lang w:eastAsia="zh-CN"/>
              </w:rPr>
              <w:t>器械名称</w:t>
            </w:r>
          </w:p>
        </w:tc>
        <w:tc>
          <w:tcPr>
            <w:tcW w:w="2591" w:type="dxa"/>
            <w:tcBorders>
              <w:top w:val="single" w:color="000000" w:sz="8" w:space="0"/>
              <w:left w:val="nil"/>
              <w:bottom w:val="single" w:color="000000" w:sz="8" w:space="0"/>
              <w:right w:val="nil"/>
            </w:tcBorders>
          </w:tcPr>
          <w:p w14:paraId="7E9D4DCE">
            <w:pPr>
              <w:pStyle w:val="18"/>
              <w:snapToGrid w:val="0"/>
              <w:spacing w:line="300" w:lineRule="auto"/>
              <w:ind w:left="318"/>
              <w:jc w:val="both"/>
              <w:rPr>
                <w:rFonts w:ascii="Arial" w:hAnsi="Arial" w:eastAsia="宋体" w:cs="Arial"/>
                <w:sz w:val="24"/>
                <w:szCs w:val="24"/>
              </w:rPr>
            </w:pPr>
            <w:r>
              <w:rPr>
                <w:rFonts w:ascii="Arial" w:hAnsi="Arial" w:eastAsia="宋体" w:cs="Arial"/>
                <w:sz w:val="24"/>
                <w:szCs w:val="24"/>
                <w:lang w:eastAsia="zh-CN"/>
              </w:rPr>
              <w:t>法规编号</w:t>
            </w:r>
          </w:p>
        </w:tc>
      </w:tr>
      <w:tr w14:paraId="2448BADC">
        <w:tblPrEx>
          <w:tblCellMar>
            <w:top w:w="0" w:type="dxa"/>
            <w:left w:w="0" w:type="dxa"/>
            <w:bottom w:w="0" w:type="dxa"/>
            <w:right w:w="0" w:type="dxa"/>
          </w:tblCellMar>
        </w:tblPrEx>
        <w:trPr>
          <w:trHeight w:val="290" w:hRule="exact"/>
        </w:trPr>
        <w:tc>
          <w:tcPr>
            <w:tcW w:w="962" w:type="dxa"/>
            <w:tcBorders>
              <w:top w:val="single" w:color="000000" w:sz="8" w:space="0"/>
              <w:left w:val="nil"/>
              <w:bottom w:val="nil"/>
              <w:right w:val="nil"/>
            </w:tcBorders>
          </w:tcPr>
          <w:p w14:paraId="2C04CCCD">
            <w:pPr>
              <w:pStyle w:val="18"/>
              <w:snapToGrid w:val="0"/>
              <w:spacing w:line="300" w:lineRule="auto"/>
              <w:ind w:left="108"/>
              <w:jc w:val="both"/>
              <w:rPr>
                <w:rFonts w:ascii="Arial" w:hAnsi="Arial" w:eastAsia="宋体" w:cs="Arial"/>
                <w:sz w:val="24"/>
                <w:szCs w:val="24"/>
              </w:rPr>
            </w:pPr>
            <w:r>
              <w:rPr>
                <w:rFonts w:ascii="Arial" w:hAnsi="Arial" w:eastAsia="宋体" w:cs="Arial"/>
                <w:sz w:val="24"/>
              </w:rPr>
              <w:t>EOQ</w:t>
            </w:r>
          </w:p>
        </w:tc>
        <w:tc>
          <w:tcPr>
            <w:tcW w:w="6028" w:type="dxa"/>
            <w:tcBorders>
              <w:top w:val="single" w:color="000000" w:sz="8" w:space="0"/>
              <w:left w:val="nil"/>
              <w:bottom w:val="nil"/>
              <w:right w:val="nil"/>
            </w:tcBorders>
          </w:tcPr>
          <w:p w14:paraId="033B869E">
            <w:pPr>
              <w:snapToGrid w:val="0"/>
              <w:spacing w:line="300" w:lineRule="auto"/>
              <w:jc w:val="both"/>
              <w:rPr>
                <w:rFonts w:ascii="Arial" w:hAnsi="Arial" w:eastAsia="宋体" w:cs="Arial"/>
                <w:lang w:eastAsia="zh-CN"/>
              </w:rPr>
            </w:pPr>
            <w:r>
              <w:rPr>
                <w:rFonts w:ascii="Arial" w:hAnsi="Arial" w:eastAsia="宋体" w:cs="Arial"/>
                <w:lang w:eastAsia="zh-CN"/>
              </w:rPr>
              <w:t>支气管镜（柔性或刚性）</w:t>
            </w:r>
          </w:p>
        </w:tc>
        <w:tc>
          <w:tcPr>
            <w:tcW w:w="2591" w:type="dxa"/>
            <w:tcBorders>
              <w:top w:val="single" w:color="000000" w:sz="8" w:space="0"/>
              <w:left w:val="nil"/>
              <w:bottom w:val="nil"/>
              <w:right w:val="nil"/>
            </w:tcBorders>
          </w:tcPr>
          <w:p w14:paraId="2A2A3C7D">
            <w:pPr>
              <w:pStyle w:val="18"/>
              <w:snapToGrid w:val="0"/>
              <w:spacing w:line="300" w:lineRule="auto"/>
              <w:ind w:left="318"/>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874.4680</w:t>
            </w:r>
          </w:p>
        </w:tc>
      </w:tr>
      <w:tr w14:paraId="3690F356">
        <w:tblPrEx>
          <w:tblCellMar>
            <w:top w:w="0" w:type="dxa"/>
            <w:left w:w="0" w:type="dxa"/>
            <w:bottom w:w="0" w:type="dxa"/>
            <w:right w:w="0" w:type="dxa"/>
          </w:tblCellMar>
        </w:tblPrEx>
        <w:trPr>
          <w:trHeight w:val="276" w:hRule="exact"/>
        </w:trPr>
        <w:tc>
          <w:tcPr>
            <w:tcW w:w="962" w:type="dxa"/>
            <w:tcBorders>
              <w:top w:val="nil"/>
              <w:left w:val="nil"/>
              <w:bottom w:val="nil"/>
              <w:right w:val="nil"/>
            </w:tcBorders>
          </w:tcPr>
          <w:p w14:paraId="5F822469">
            <w:pPr>
              <w:pStyle w:val="18"/>
              <w:snapToGrid w:val="0"/>
              <w:spacing w:line="300" w:lineRule="auto"/>
              <w:ind w:left="108"/>
              <w:jc w:val="both"/>
              <w:rPr>
                <w:rFonts w:ascii="Arial" w:hAnsi="Arial" w:eastAsia="宋体" w:cs="Arial"/>
                <w:sz w:val="24"/>
                <w:szCs w:val="24"/>
              </w:rPr>
            </w:pPr>
            <w:r>
              <w:rPr>
                <w:rFonts w:ascii="Arial" w:hAnsi="Arial" w:eastAsia="宋体" w:cs="Arial"/>
                <w:sz w:val="24"/>
              </w:rPr>
              <w:t>KTI</w:t>
            </w:r>
          </w:p>
        </w:tc>
        <w:tc>
          <w:tcPr>
            <w:tcW w:w="6028" w:type="dxa"/>
            <w:tcBorders>
              <w:top w:val="nil"/>
              <w:left w:val="nil"/>
              <w:bottom w:val="nil"/>
              <w:right w:val="nil"/>
            </w:tcBorders>
          </w:tcPr>
          <w:p w14:paraId="5E7F8771">
            <w:pPr>
              <w:snapToGrid w:val="0"/>
              <w:spacing w:line="300" w:lineRule="auto"/>
              <w:jc w:val="both"/>
              <w:rPr>
                <w:rFonts w:ascii="Arial" w:hAnsi="Arial" w:eastAsia="宋体" w:cs="Arial"/>
              </w:rPr>
            </w:pPr>
            <w:r>
              <w:rPr>
                <w:rFonts w:ascii="Arial" w:hAnsi="Arial" w:eastAsia="宋体" w:cs="Arial"/>
              </w:rPr>
              <w:t>支气管镜附件</w:t>
            </w:r>
          </w:p>
        </w:tc>
        <w:tc>
          <w:tcPr>
            <w:tcW w:w="2591" w:type="dxa"/>
            <w:tcBorders>
              <w:top w:val="nil"/>
              <w:left w:val="nil"/>
              <w:bottom w:val="nil"/>
              <w:right w:val="nil"/>
            </w:tcBorders>
          </w:tcPr>
          <w:p w14:paraId="7A2D38D7">
            <w:pPr>
              <w:pStyle w:val="18"/>
              <w:snapToGrid w:val="0"/>
              <w:spacing w:line="300" w:lineRule="auto"/>
              <w:ind w:left="318"/>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874.4680</w:t>
            </w:r>
          </w:p>
        </w:tc>
      </w:tr>
      <w:tr w14:paraId="11C967D6">
        <w:tblPrEx>
          <w:tblCellMar>
            <w:top w:w="0" w:type="dxa"/>
            <w:left w:w="0" w:type="dxa"/>
            <w:bottom w:w="0" w:type="dxa"/>
            <w:right w:w="0" w:type="dxa"/>
          </w:tblCellMar>
        </w:tblPrEx>
        <w:trPr>
          <w:trHeight w:val="276" w:hRule="exact"/>
        </w:trPr>
        <w:tc>
          <w:tcPr>
            <w:tcW w:w="962" w:type="dxa"/>
            <w:tcBorders>
              <w:top w:val="nil"/>
              <w:left w:val="nil"/>
              <w:bottom w:val="nil"/>
              <w:right w:val="nil"/>
            </w:tcBorders>
          </w:tcPr>
          <w:p w14:paraId="7C311DFC">
            <w:pPr>
              <w:pStyle w:val="18"/>
              <w:snapToGrid w:val="0"/>
              <w:spacing w:line="300" w:lineRule="auto"/>
              <w:ind w:left="108"/>
              <w:jc w:val="both"/>
              <w:rPr>
                <w:rFonts w:ascii="Arial" w:hAnsi="Arial" w:eastAsia="宋体" w:cs="Arial"/>
                <w:sz w:val="24"/>
                <w:szCs w:val="24"/>
              </w:rPr>
            </w:pPr>
            <w:r>
              <w:rPr>
                <w:rFonts w:ascii="Arial" w:hAnsi="Arial" w:eastAsia="宋体" w:cs="Arial"/>
                <w:sz w:val="24"/>
              </w:rPr>
              <w:t>BTG</w:t>
            </w:r>
          </w:p>
        </w:tc>
        <w:tc>
          <w:tcPr>
            <w:tcW w:w="6028" w:type="dxa"/>
            <w:tcBorders>
              <w:top w:val="nil"/>
              <w:left w:val="nil"/>
              <w:bottom w:val="nil"/>
              <w:right w:val="nil"/>
            </w:tcBorders>
          </w:tcPr>
          <w:p w14:paraId="6982FFDD">
            <w:pPr>
              <w:snapToGrid w:val="0"/>
              <w:spacing w:line="300" w:lineRule="auto"/>
              <w:jc w:val="both"/>
              <w:rPr>
                <w:rFonts w:ascii="Arial" w:hAnsi="Arial" w:eastAsia="宋体" w:cs="Arial"/>
                <w:lang w:eastAsia="zh-CN"/>
              </w:rPr>
            </w:pPr>
            <w:r>
              <w:rPr>
                <w:rFonts w:ascii="Arial" w:hAnsi="Arial" w:eastAsia="宋体" w:cs="Arial"/>
                <w:lang w:eastAsia="zh-CN"/>
              </w:rPr>
              <w:t>刷、活检、支气管镜（非刚性）</w:t>
            </w:r>
          </w:p>
        </w:tc>
        <w:tc>
          <w:tcPr>
            <w:tcW w:w="2591" w:type="dxa"/>
            <w:tcBorders>
              <w:top w:val="nil"/>
              <w:left w:val="nil"/>
              <w:bottom w:val="nil"/>
              <w:right w:val="nil"/>
            </w:tcBorders>
          </w:tcPr>
          <w:p w14:paraId="60D17272">
            <w:pPr>
              <w:pStyle w:val="18"/>
              <w:snapToGrid w:val="0"/>
              <w:spacing w:line="300" w:lineRule="auto"/>
              <w:ind w:left="318"/>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874.4680</w:t>
            </w:r>
          </w:p>
        </w:tc>
      </w:tr>
      <w:tr w14:paraId="65F96189">
        <w:tblPrEx>
          <w:tblCellMar>
            <w:top w:w="0" w:type="dxa"/>
            <w:left w:w="0" w:type="dxa"/>
            <w:bottom w:w="0" w:type="dxa"/>
            <w:right w:w="0" w:type="dxa"/>
          </w:tblCellMar>
        </w:tblPrEx>
        <w:trPr>
          <w:trHeight w:val="276" w:hRule="exact"/>
        </w:trPr>
        <w:tc>
          <w:tcPr>
            <w:tcW w:w="962" w:type="dxa"/>
            <w:tcBorders>
              <w:top w:val="nil"/>
              <w:left w:val="nil"/>
              <w:bottom w:val="nil"/>
              <w:right w:val="nil"/>
            </w:tcBorders>
          </w:tcPr>
          <w:p w14:paraId="258B4448">
            <w:pPr>
              <w:pStyle w:val="18"/>
              <w:snapToGrid w:val="0"/>
              <w:spacing w:line="300" w:lineRule="auto"/>
              <w:ind w:left="108"/>
              <w:jc w:val="both"/>
              <w:rPr>
                <w:rFonts w:ascii="Arial" w:hAnsi="Arial" w:eastAsia="宋体" w:cs="Arial"/>
                <w:sz w:val="24"/>
                <w:szCs w:val="24"/>
              </w:rPr>
            </w:pPr>
            <w:r>
              <w:rPr>
                <w:rFonts w:ascii="Arial" w:hAnsi="Arial" w:eastAsia="宋体" w:cs="Arial"/>
                <w:sz w:val="24"/>
              </w:rPr>
              <w:t>JEI</w:t>
            </w:r>
          </w:p>
        </w:tc>
        <w:tc>
          <w:tcPr>
            <w:tcW w:w="6028" w:type="dxa"/>
            <w:tcBorders>
              <w:top w:val="nil"/>
              <w:left w:val="nil"/>
              <w:bottom w:val="nil"/>
              <w:right w:val="nil"/>
            </w:tcBorders>
          </w:tcPr>
          <w:p w14:paraId="6014A2B0">
            <w:pPr>
              <w:snapToGrid w:val="0"/>
              <w:spacing w:line="300" w:lineRule="auto"/>
              <w:jc w:val="both"/>
              <w:rPr>
                <w:rFonts w:ascii="Arial" w:hAnsi="Arial" w:eastAsia="宋体" w:cs="Arial"/>
                <w:lang w:eastAsia="zh-CN"/>
              </w:rPr>
            </w:pPr>
            <w:r>
              <w:rPr>
                <w:rFonts w:ascii="Arial" w:hAnsi="Arial" w:eastAsia="宋体" w:cs="Arial"/>
                <w:lang w:eastAsia="zh-CN"/>
              </w:rPr>
              <w:t>钳、异物、支气管镜（非刚性）</w:t>
            </w:r>
          </w:p>
        </w:tc>
        <w:tc>
          <w:tcPr>
            <w:tcW w:w="2591" w:type="dxa"/>
            <w:tcBorders>
              <w:top w:val="nil"/>
              <w:left w:val="nil"/>
              <w:bottom w:val="nil"/>
              <w:right w:val="nil"/>
            </w:tcBorders>
          </w:tcPr>
          <w:p w14:paraId="1A20A8BA">
            <w:pPr>
              <w:pStyle w:val="18"/>
              <w:snapToGrid w:val="0"/>
              <w:spacing w:line="300" w:lineRule="auto"/>
              <w:ind w:left="318"/>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874.4680</w:t>
            </w:r>
          </w:p>
        </w:tc>
      </w:tr>
      <w:tr w14:paraId="53AA9CBD">
        <w:tblPrEx>
          <w:tblCellMar>
            <w:top w:w="0" w:type="dxa"/>
            <w:left w:w="0" w:type="dxa"/>
            <w:bottom w:w="0" w:type="dxa"/>
            <w:right w:w="0" w:type="dxa"/>
          </w:tblCellMar>
        </w:tblPrEx>
        <w:trPr>
          <w:trHeight w:val="276" w:hRule="exact"/>
        </w:trPr>
        <w:tc>
          <w:tcPr>
            <w:tcW w:w="962" w:type="dxa"/>
            <w:tcBorders>
              <w:top w:val="nil"/>
              <w:left w:val="nil"/>
              <w:bottom w:val="nil"/>
              <w:right w:val="nil"/>
            </w:tcBorders>
          </w:tcPr>
          <w:p w14:paraId="5FD3AAA5">
            <w:pPr>
              <w:pStyle w:val="18"/>
              <w:snapToGrid w:val="0"/>
              <w:spacing w:line="300" w:lineRule="auto"/>
              <w:ind w:left="108"/>
              <w:jc w:val="both"/>
              <w:rPr>
                <w:rFonts w:ascii="Arial" w:hAnsi="Arial" w:eastAsia="宋体" w:cs="Arial"/>
                <w:sz w:val="24"/>
                <w:szCs w:val="24"/>
              </w:rPr>
            </w:pPr>
            <w:r>
              <w:rPr>
                <w:rFonts w:ascii="Arial" w:hAnsi="Arial" w:eastAsia="宋体" w:cs="Arial"/>
                <w:sz w:val="24"/>
              </w:rPr>
              <w:t>JEL</w:t>
            </w:r>
          </w:p>
        </w:tc>
        <w:tc>
          <w:tcPr>
            <w:tcW w:w="6028" w:type="dxa"/>
            <w:tcBorders>
              <w:top w:val="nil"/>
              <w:left w:val="nil"/>
              <w:bottom w:val="nil"/>
              <w:right w:val="nil"/>
            </w:tcBorders>
          </w:tcPr>
          <w:p w14:paraId="3F6340FC">
            <w:pPr>
              <w:snapToGrid w:val="0"/>
              <w:spacing w:line="300" w:lineRule="auto"/>
              <w:jc w:val="both"/>
              <w:rPr>
                <w:rFonts w:ascii="Arial" w:hAnsi="Arial" w:eastAsia="宋体" w:cs="Arial"/>
                <w:lang w:eastAsia="zh-CN"/>
              </w:rPr>
            </w:pPr>
            <w:r>
              <w:rPr>
                <w:rFonts w:ascii="Arial" w:hAnsi="Arial" w:eastAsia="宋体" w:cs="Arial"/>
                <w:lang w:eastAsia="zh-CN"/>
              </w:rPr>
              <w:t>切片、活检、支气管镜（刚性）</w:t>
            </w:r>
          </w:p>
        </w:tc>
        <w:tc>
          <w:tcPr>
            <w:tcW w:w="2591" w:type="dxa"/>
            <w:tcBorders>
              <w:top w:val="nil"/>
              <w:left w:val="nil"/>
              <w:bottom w:val="nil"/>
              <w:right w:val="nil"/>
            </w:tcBorders>
          </w:tcPr>
          <w:p w14:paraId="14E46CE6">
            <w:pPr>
              <w:pStyle w:val="18"/>
              <w:snapToGrid w:val="0"/>
              <w:spacing w:line="300" w:lineRule="auto"/>
              <w:ind w:left="318"/>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874.4680</w:t>
            </w:r>
          </w:p>
        </w:tc>
      </w:tr>
      <w:tr w14:paraId="6E318C3B">
        <w:tblPrEx>
          <w:tblCellMar>
            <w:top w:w="0" w:type="dxa"/>
            <w:left w:w="0" w:type="dxa"/>
            <w:bottom w:w="0" w:type="dxa"/>
            <w:right w:w="0" w:type="dxa"/>
          </w:tblCellMar>
        </w:tblPrEx>
        <w:trPr>
          <w:trHeight w:val="276" w:hRule="exact"/>
        </w:trPr>
        <w:tc>
          <w:tcPr>
            <w:tcW w:w="962" w:type="dxa"/>
            <w:tcBorders>
              <w:top w:val="nil"/>
              <w:left w:val="nil"/>
              <w:bottom w:val="nil"/>
              <w:right w:val="nil"/>
            </w:tcBorders>
          </w:tcPr>
          <w:p w14:paraId="5DBA4D66">
            <w:pPr>
              <w:pStyle w:val="18"/>
              <w:snapToGrid w:val="0"/>
              <w:spacing w:line="300" w:lineRule="auto"/>
              <w:ind w:left="108"/>
              <w:jc w:val="both"/>
              <w:rPr>
                <w:rFonts w:ascii="Arial" w:hAnsi="Arial" w:eastAsia="宋体" w:cs="Arial"/>
                <w:sz w:val="24"/>
                <w:szCs w:val="24"/>
              </w:rPr>
            </w:pPr>
            <w:r>
              <w:rPr>
                <w:rFonts w:ascii="Arial" w:hAnsi="Arial" w:eastAsia="宋体" w:cs="Arial"/>
                <w:sz w:val="24"/>
              </w:rPr>
              <w:t>BST</w:t>
            </w:r>
          </w:p>
        </w:tc>
        <w:tc>
          <w:tcPr>
            <w:tcW w:w="6028" w:type="dxa"/>
            <w:tcBorders>
              <w:top w:val="nil"/>
              <w:left w:val="nil"/>
              <w:bottom w:val="nil"/>
              <w:right w:val="nil"/>
            </w:tcBorders>
          </w:tcPr>
          <w:p w14:paraId="52D7A4CC">
            <w:pPr>
              <w:snapToGrid w:val="0"/>
              <w:spacing w:line="300" w:lineRule="auto"/>
              <w:jc w:val="both"/>
              <w:rPr>
                <w:rFonts w:ascii="Arial" w:hAnsi="Arial" w:eastAsia="宋体" w:cs="Arial"/>
                <w:lang w:eastAsia="zh-CN"/>
              </w:rPr>
            </w:pPr>
            <w:r>
              <w:rPr>
                <w:rFonts w:ascii="Arial" w:hAnsi="Arial" w:eastAsia="宋体" w:cs="Arial"/>
                <w:lang w:eastAsia="zh-CN"/>
              </w:rPr>
              <w:t>切片、活检、支气管镜（非刚性）</w:t>
            </w:r>
          </w:p>
        </w:tc>
        <w:tc>
          <w:tcPr>
            <w:tcW w:w="2591" w:type="dxa"/>
            <w:tcBorders>
              <w:top w:val="nil"/>
              <w:left w:val="nil"/>
              <w:bottom w:val="nil"/>
              <w:right w:val="nil"/>
            </w:tcBorders>
          </w:tcPr>
          <w:p w14:paraId="7B0364B1">
            <w:pPr>
              <w:pStyle w:val="18"/>
              <w:snapToGrid w:val="0"/>
              <w:spacing w:line="300" w:lineRule="auto"/>
              <w:ind w:left="318"/>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874.4680</w:t>
            </w:r>
          </w:p>
        </w:tc>
      </w:tr>
      <w:tr w14:paraId="225C173A">
        <w:tblPrEx>
          <w:tblCellMar>
            <w:top w:w="0" w:type="dxa"/>
            <w:left w:w="0" w:type="dxa"/>
            <w:bottom w:w="0" w:type="dxa"/>
            <w:right w:w="0" w:type="dxa"/>
          </w:tblCellMar>
        </w:tblPrEx>
        <w:trPr>
          <w:trHeight w:val="276" w:hRule="exact"/>
        </w:trPr>
        <w:tc>
          <w:tcPr>
            <w:tcW w:w="962" w:type="dxa"/>
            <w:tcBorders>
              <w:top w:val="nil"/>
              <w:left w:val="nil"/>
              <w:bottom w:val="nil"/>
              <w:right w:val="nil"/>
            </w:tcBorders>
          </w:tcPr>
          <w:p w14:paraId="321FEE7F">
            <w:pPr>
              <w:pStyle w:val="18"/>
              <w:snapToGrid w:val="0"/>
              <w:spacing w:line="300" w:lineRule="auto"/>
              <w:ind w:left="108"/>
              <w:jc w:val="both"/>
              <w:rPr>
                <w:rFonts w:ascii="Arial" w:hAnsi="Arial" w:eastAsia="宋体" w:cs="Arial"/>
                <w:sz w:val="24"/>
                <w:szCs w:val="24"/>
              </w:rPr>
            </w:pPr>
            <w:r>
              <w:rPr>
                <w:rFonts w:ascii="Arial" w:hAnsi="Arial" w:eastAsia="宋体" w:cs="Arial"/>
                <w:sz w:val="24"/>
              </w:rPr>
              <w:t>BWH</w:t>
            </w:r>
          </w:p>
        </w:tc>
        <w:tc>
          <w:tcPr>
            <w:tcW w:w="6028" w:type="dxa"/>
            <w:tcBorders>
              <w:top w:val="nil"/>
              <w:left w:val="nil"/>
              <w:bottom w:val="nil"/>
              <w:right w:val="nil"/>
            </w:tcBorders>
          </w:tcPr>
          <w:p w14:paraId="43E6706D">
            <w:pPr>
              <w:snapToGrid w:val="0"/>
              <w:spacing w:line="300" w:lineRule="auto"/>
              <w:jc w:val="both"/>
              <w:rPr>
                <w:rFonts w:ascii="Arial" w:hAnsi="Arial" w:eastAsia="宋体" w:cs="Arial"/>
                <w:lang w:eastAsia="zh-CN"/>
              </w:rPr>
            </w:pPr>
            <w:r>
              <w:rPr>
                <w:rFonts w:ascii="Arial" w:hAnsi="Arial" w:eastAsia="宋体" w:cs="Arial"/>
                <w:lang w:eastAsia="zh-CN"/>
              </w:rPr>
              <w:t>镊子、活检、支气管镜（非刚性）</w:t>
            </w:r>
          </w:p>
        </w:tc>
        <w:tc>
          <w:tcPr>
            <w:tcW w:w="2591" w:type="dxa"/>
            <w:tcBorders>
              <w:top w:val="nil"/>
              <w:left w:val="nil"/>
              <w:bottom w:val="nil"/>
              <w:right w:val="nil"/>
            </w:tcBorders>
          </w:tcPr>
          <w:p w14:paraId="06ADA903">
            <w:pPr>
              <w:pStyle w:val="18"/>
              <w:snapToGrid w:val="0"/>
              <w:spacing w:line="300" w:lineRule="auto"/>
              <w:ind w:left="318"/>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874.4680</w:t>
            </w:r>
          </w:p>
        </w:tc>
      </w:tr>
      <w:tr w14:paraId="5136840D">
        <w:tblPrEx>
          <w:tblCellMar>
            <w:top w:w="0" w:type="dxa"/>
            <w:left w:w="0" w:type="dxa"/>
            <w:bottom w:w="0" w:type="dxa"/>
            <w:right w:w="0" w:type="dxa"/>
          </w:tblCellMar>
        </w:tblPrEx>
        <w:trPr>
          <w:trHeight w:val="276" w:hRule="exact"/>
        </w:trPr>
        <w:tc>
          <w:tcPr>
            <w:tcW w:w="962" w:type="dxa"/>
            <w:tcBorders>
              <w:top w:val="nil"/>
              <w:left w:val="nil"/>
              <w:bottom w:val="nil"/>
              <w:right w:val="nil"/>
            </w:tcBorders>
          </w:tcPr>
          <w:p w14:paraId="0FECFD64">
            <w:pPr>
              <w:pStyle w:val="18"/>
              <w:snapToGrid w:val="0"/>
              <w:spacing w:line="300" w:lineRule="auto"/>
              <w:ind w:left="108"/>
              <w:jc w:val="both"/>
              <w:rPr>
                <w:rFonts w:ascii="Arial" w:hAnsi="Arial" w:eastAsia="宋体" w:cs="Arial"/>
                <w:sz w:val="24"/>
                <w:szCs w:val="24"/>
              </w:rPr>
            </w:pPr>
            <w:r>
              <w:rPr>
                <w:rFonts w:ascii="Arial" w:hAnsi="Arial" w:eastAsia="宋体" w:cs="Arial"/>
                <w:sz w:val="24"/>
              </w:rPr>
              <w:t>JEK</w:t>
            </w:r>
          </w:p>
        </w:tc>
        <w:tc>
          <w:tcPr>
            <w:tcW w:w="6028" w:type="dxa"/>
            <w:tcBorders>
              <w:top w:val="nil"/>
              <w:left w:val="nil"/>
              <w:bottom w:val="nil"/>
              <w:right w:val="nil"/>
            </w:tcBorders>
          </w:tcPr>
          <w:p w14:paraId="423065AC">
            <w:pPr>
              <w:snapToGrid w:val="0"/>
              <w:spacing w:line="300" w:lineRule="auto"/>
              <w:jc w:val="both"/>
              <w:rPr>
                <w:rFonts w:ascii="Arial" w:hAnsi="Arial" w:eastAsia="宋体" w:cs="Arial"/>
                <w:lang w:eastAsia="zh-CN"/>
              </w:rPr>
            </w:pPr>
            <w:r>
              <w:rPr>
                <w:rFonts w:ascii="Arial" w:hAnsi="Arial" w:eastAsia="宋体" w:cs="Arial"/>
                <w:lang w:eastAsia="zh-CN"/>
              </w:rPr>
              <w:t>镊子、活检、支气管镜（刚性）</w:t>
            </w:r>
          </w:p>
        </w:tc>
        <w:tc>
          <w:tcPr>
            <w:tcW w:w="2591" w:type="dxa"/>
            <w:tcBorders>
              <w:top w:val="nil"/>
              <w:left w:val="nil"/>
              <w:bottom w:val="nil"/>
              <w:right w:val="nil"/>
            </w:tcBorders>
          </w:tcPr>
          <w:p w14:paraId="041B1E97">
            <w:pPr>
              <w:pStyle w:val="18"/>
              <w:snapToGrid w:val="0"/>
              <w:spacing w:line="300" w:lineRule="auto"/>
              <w:ind w:left="318"/>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874.4680</w:t>
            </w:r>
          </w:p>
        </w:tc>
      </w:tr>
      <w:tr w14:paraId="3475326C">
        <w:tblPrEx>
          <w:tblCellMar>
            <w:top w:w="0" w:type="dxa"/>
            <w:left w:w="0" w:type="dxa"/>
            <w:bottom w:w="0" w:type="dxa"/>
            <w:right w:w="0" w:type="dxa"/>
          </w:tblCellMar>
        </w:tblPrEx>
        <w:trPr>
          <w:trHeight w:val="276" w:hRule="exact"/>
        </w:trPr>
        <w:tc>
          <w:tcPr>
            <w:tcW w:w="962" w:type="dxa"/>
            <w:tcBorders>
              <w:top w:val="nil"/>
              <w:left w:val="nil"/>
              <w:bottom w:val="nil"/>
              <w:right w:val="nil"/>
            </w:tcBorders>
          </w:tcPr>
          <w:p w14:paraId="17F079E4">
            <w:pPr>
              <w:pStyle w:val="18"/>
              <w:snapToGrid w:val="0"/>
              <w:spacing w:line="300" w:lineRule="auto"/>
              <w:ind w:left="108"/>
              <w:jc w:val="both"/>
              <w:rPr>
                <w:rFonts w:ascii="Arial" w:hAnsi="Arial" w:eastAsia="宋体" w:cs="Arial"/>
                <w:sz w:val="24"/>
                <w:szCs w:val="24"/>
              </w:rPr>
            </w:pPr>
            <w:r>
              <w:rPr>
                <w:rFonts w:ascii="Arial" w:hAnsi="Arial" w:eastAsia="宋体" w:cs="Arial"/>
                <w:sz w:val="24"/>
              </w:rPr>
              <w:t>ENZ</w:t>
            </w:r>
          </w:p>
        </w:tc>
        <w:tc>
          <w:tcPr>
            <w:tcW w:w="6028" w:type="dxa"/>
            <w:tcBorders>
              <w:top w:val="nil"/>
              <w:left w:val="nil"/>
              <w:bottom w:val="nil"/>
              <w:right w:val="nil"/>
            </w:tcBorders>
          </w:tcPr>
          <w:p w14:paraId="6C444F67">
            <w:pPr>
              <w:snapToGrid w:val="0"/>
              <w:spacing w:line="300" w:lineRule="auto"/>
              <w:jc w:val="both"/>
              <w:rPr>
                <w:rFonts w:ascii="Arial" w:hAnsi="Arial" w:eastAsia="宋体" w:cs="Arial"/>
              </w:rPr>
            </w:pPr>
            <w:r>
              <w:rPr>
                <w:rFonts w:ascii="Arial" w:hAnsi="Arial" w:eastAsia="宋体" w:cs="Arial"/>
              </w:rPr>
              <w:t>望远镜、喉-支气管</w:t>
            </w:r>
          </w:p>
        </w:tc>
        <w:tc>
          <w:tcPr>
            <w:tcW w:w="2591" w:type="dxa"/>
            <w:tcBorders>
              <w:top w:val="nil"/>
              <w:left w:val="nil"/>
              <w:bottom w:val="nil"/>
              <w:right w:val="nil"/>
            </w:tcBorders>
          </w:tcPr>
          <w:p w14:paraId="735518E9">
            <w:pPr>
              <w:pStyle w:val="18"/>
              <w:snapToGrid w:val="0"/>
              <w:spacing w:line="300" w:lineRule="auto"/>
              <w:ind w:left="318"/>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874.4680</w:t>
            </w:r>
          </w:p>
        </w:tc>
      </w:tr>
      <w:tr w14:paraId="1B419040">
        <w:tblPrEx>
          <w:tblCellMar>
            <w:top w:w="0" w:type="dxa"/>
            <w:left w:w="0" w:type="dxa"/>
            <w:bottom w:w="0" w:type="dxa"/>
            <w:right w:w="0" w:type="dxa"/>
          </w:tblCellMar>
        </w:tblPrEx>
        <w:trPr>
          <w:trHeight w:val="276" w:hRule="exact"/>
        </w:trPr>
        <w:tc>
          <w:tcPr>
            <w:tcW w:w="962" w:type="dxa"/>
            <w:tcBorders>
              <w:top w:val="nil"/>
              <w:left w:val="nil"/>
              <w:bottom w:val="nil"/>
              <w:right w:val="nil"/>
            </w:tcBorders>
          </w:tcPr>
          <w:p w14:paraId="0D9EC60E">
            <w:pPr>
              <w:pStyle w:val="18"/>
              <w:snapToGrid w:val="0"/>
              <w:spacing w:line="300" w:lineRule="auto"/>
              <w:ind w:left="108"/>
              <w:jc w:val="both"/>
              <w:rPr>
                <w:rFonts w:ascii="Arial" w:hAnsi="Arial" w:eastAsia="宋体" w:cs="Arial"/>
                <w:sz w:val="24"/>
                <w:szCs w:val="24"/>
              </w:rPr>
            </w:pPr>
            <w:r>
              <w:rPr>
                <w:rFonts w:ascii="Arial" w:hAnsi="Arial" w:eastAsia="宋体" w:cs="Arial"/>
                <w:sz w:val="24"/>
              </w:rPr>
              <w:t>KTR</w:t>
            </w:r>
          </w:p>
        </w:tc>
        <w:tc>
          <w:tcPr>
            <w:tcW w:w="6028" w:type="dxa"/>
            <w:tcBorders>
              <w:top w:val="nil"/>
              <w:left w:val="nil"/>
              <w:bottom w:val="nil"/>
              <w:right w:val="nil"/>
            </w:tcBorders>
          </w:tcPr>
          <w:p w14:paraId="0040829D">
            <w:pPr>
              <w:snapToGrid w:val="0"/>
              <w:spacing w:line="300" w:lineRule="auto"/>
              <w:jc w:val="both"/>
              <w:rPr>
                <w:rFonts w:ascii="Arial" w:hAnsi="Arial" w:eastAsia="宋体" w:cs="Arial"/>
                <w:lang w:eastAsia="zh-CN"/>
              </w:rPr>
            </w:pPr>
            <w:r>
              <w:rPr>
                <w:rFonts w:ascii="Arial" w:hAnsi="Arial" w:eastAsia="宋体" w:cs="Arial"/>
                <w:lang w:eastAsia="zh-CN"/>
              </w:rPr>
              <w:t>导管、抽吸、支气管镜（刚性）</w:t>
            </w:r>
          </w:p>
        </w:tc>
        <w:tc>
          <w:tcPr>
            <w:tcW w:w="2591" w:type="dxa"/>
            <w:tcBorders>
              <w:top w:val="nil"/>
              <w:left w:val="nil"/>
              <w:bottom w:val="nil"/>
              <w:right w:val="nil"/>
            </w:tcBorders>
          </w:tcPr>
          <w:p w14:paraId="450C8645">
            <w:pPr>
              <w:pStyle w:val="18"/>
              <w:snapToGrid w:val="0"/>
              <w:spacing w:line="300" w:lineRule="auto"/>
              <w:ind w:left="318"/>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874.4680</w:t>
            </w:r>
          </w:p>
        </w:tc>
      </w:tr>
      <w:tr w14:paraId="48167006">
        <w:tblPrEx>
          <w:tblCellMar>
            <w:top w:w="0" w:type="dxa"/>
            <w:left w:w="0" w:type="dxa"/>
            <w:bottom w:w="0" w:type="dxa"/>
            <w:right w:w="0" w:type="dxa"/>
          </w:tblCellMar>
        </w:tblPrEx>
        <w:trPr>
          <w:trHeight w:val="559" w:hRule="exact"/>
        </w:trPr>
        <w:tc>
          <w:tcPr>
            <w:tcW w:w="962" w:type="dxa"/>
            <w:tcBorders>
              <w:top w:val="nil"/>
              <w:left w:val="nil"/>
              <w:bottom w:val="single" w:color="000000" w:sz="8" w:space="0"/>
              <w:right w:val="nil"/>
            </w:tcBorders>
          </w:tcPr>
          <w:p w14:paraId="6EA28B4B">
            <w:pPr>
              <w:pStyle w:val="18"/>
              <w:snapToGrid w:val="0"/>
              <w:spacing w:line="300" w:lineRule="auto"/>
              <w:ind w:left="108"/>
              <w:jc w:val="both"/>
              <w:rPr>
                <w:rFonts w:ascii="Arial" w:hAnsi="Arial" w:eastAsia="宋体" w:cs="Arial"/>
                <w:sz w:val="24"/>
                <w:szCs w:val="24"/>
              </w:rPr>
            </w:pPr>
            <w:r>
              <w:rPr>
                <w:rFonts w:ascii="Arial" w:hAnsi="Arial" w:eastAsia="宋体" w:cs="Arial"/>
                <w:sz w:val="24"/>
              </w:rPr>
              <w:t>JEJ</w:t>
            </w:r>
          </w:p>
        </w:tc>
        <w:tc>
          <w:tcPr>
            <w:tcW w:w="6028" w:type="dxa"/>
            <w:tcBorders>
              <w:top w:val="nil"/>
              <w:left w:val="nil"/>
              <w:bottom w:val="single" w:color="000000" w:sz="8" w:space="0"/>
              <w:right w:val="nil"/>
            </w:tcBorders>
          </w:tcPr>
          <w:p w14:paraId="0E49E62F">
            <w:pPr>
              <w:snapToGrid w:val="0"/>
              <w:spacing w:line="300" w:lineRule="auto"/>
              <w:jc w:val="both"/>
              <w:rPr>
                <w:rFonts w:ascii="Arial" w:hAnsi="Arial" w:eastAsia="宋体" w:cs="Arial"/>
                <w:lang w:eastAsia="zh-CN"/>
              </w:rPr>
            </w:pPr>
            <w:r>
              <w:rPr>
                <w:rFonts w:ascii="Arial" w:hAnsi="Arial" w:eastAsia="宋体" w:cs="Arial"/>
                <w:lang w:eastAsia="zh-CN"/>
              </w:rPr>
              <w:t>管道、仪器、支气管镜（刷鞘A/O抽吸）</w:t>
            </w:r>
          </w:p>
        </w:tc>
        <w:tc>
          <w:tcPr>
            <w:tcW w:w="2591" w:type="dxa"/>
            <w:tcBorders>
              <w:top w:val="nil"/>
              <w:left w:val="nil"/>
              <w:bottom w:val="single" w:color="000000" w:sz="8" w:space="0"/>
              <w:right w:val="nil"/>
            </w:tcBorders>
          </w:tcPr>
          <w:p w14:paraId="4E79B434">
            <w:pPr>
              <w:pStyle w:val="18"/>
              <w:snapToGrid w:val="0"/>
              <w:spacing w:line="300" w:lineRule="auto"/>
              <w:ind w:left="318"/>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874.4680</w:t>
            </w:r>
          </w:p>
        </w:tc>
      </w:tr>
    </w:tbl>
    <w:p w14:paraId="6B7B200F">
      <w:pPr>
        <w:snapToGrid w:val="0"/>
        <w:spacing w:before="11" w:line="300" w:lineRule="auto"/>
        <w:jc w:val="both"/>
        <w:rPr>
          <w:rFonts w:ascii="Arial" w:hAnsi="Arial" w:eastAsia="宋体" w:cs="Arial"/>
          <w:b/>
          <w:bCs/>
          <w:sz w:val="17"/>
          <w:szCs w:val="17"/>
        </w:rPr>
      </w:pPr>
    </w:p>
    <w:p w14:paraId="54C7B7DA">
      <w:pPr>
        <w:snapToGrid w:val="0"/>
        <w:spacing w:before="69" w:line="300" w:lineRule="auto"/>
        <w:ind w:left="100"/>
        <w:jc w:val="both"/>
        <w:rPr>
          <w:rFonts w:ascii="Arial" w:hAnsi="Arial" w:eastAsia="宋体" w:cs="Arial"/>
          <w:sz w:val="24"/>
          <w:szCs w:val="24"/>
          <w:lang w:eastAsia="zh-CN"/>
        </w:rPr>
      </w:pPr>
      <w:r>
        <w:rPr>
          <w:rFonts w:ascii="Arial" w:hAnsi="Arial" w:eastAsia="宋体" w:cs="Arial"/>
          <w:b/>
          <w:sz w:val="24"/>
          <w:lang w:eastAsia="zh-CN"/>
        </w:rPr>
        <w:t>耳鼻喉科（ENT）内窥镜及附件</w:t>
      </w:r>
    </w:p>
    <w:tbl>
      <w:tblPr>
        <w:tblStyle w:val="16"/>
        <w:tblW w:w="0" w:type="auto"/>
        <w:tblInd w:w="100" w:type="dxa"/>
        <w:tblLayout w:type="fixed"/>
        <w:tblCellMar>
          <w:top w:w="0" w:type="dxa"/>
          <w:left w:w="0" w:type="dxa"/>
          <w:bottom w:w="0" w:type="dxa"/>
          <w:right w:w="0" w:type="dxa"/>
        </w:tblCellMar>
      </w:tblPr>
      <w:tblGrid>
        <w:gridCol w:w="1529"/>
        <w:gridCol w:w="4327"/>
        <w:gridCol w:w="2021"/>
      </w:tblGrid>
      <w:tr w14:paraId="43ECB11F">
        <w:tblPrEx>
          <w:tblCellMar>
            <w:top w:w="0" w:type="dxa"/>
            <w:left w:w="0" w:type="dxa"/>
            <w:bottom w:w="0" w:type="dxa"/>
            <w:right w:w="0" w:type="dxa"/>
          </w:tblCellMar>
        </w:tblPrEx>
        <w:trPr>
          <w:trHeight w:val="571" w:hRule="exact"/>
        </w:trPr>
        <w:tc>
          <w:tcPr>
            <w:tcW w:w="1529" w:type="dxa"/>
            <w:tcBorders>
              <w:top w:val="single" w:color="000000" w:sz="8" w:space="0"/>
              <w:left w:val="nil"/>
              <w:bottom w:val="single" w:color="000000" w:sz="8" w:space="0"/>
              <w:right w:val="nil"/>
            </w:tcBorders>
          </w:tcPr>
          <w:p w14:paraId="07EA487E">
            <w:pPr>
              <w:pStyle w:val="18"/>
              <w:snapToGrid w:val="0"/>
              <w:spacing w:line="300" w:lineRule="auto"/>
              <w:ind w:left="108"/>
              <w:jc w:val="both"/>
              <w:rPr>
                <w:rFonts w:ascii="Arial" w:hAnsi="Arial" w:eastAsia="宋体" w:cs="Arial"/>
                <w:sz w:val="24"/>
                <w:szCs w:val="24"/>
              </w:rPr>
            </w:pPr>
            <w:r>
              <w:rPr>
                <w:rFonts w:ascii="Arial" w:hAnsi="Arial" w:eastAsia="宋体" w:cs="Arial"/>
                <w:sz w:val="24"/>
                <w:szCs w:val="24"/>
                <w:lang w:eastAsia="zh-CN"/>
              </w:rPr>
              <w:t>产品代码</w:t>
            </w:r>
          </w:p>
        </w:tc>
        <w:tc>
          <w:tcPr>
            <w:tcW w:w="4327" w:type="dxa"/>
            <w:tcBorders>
              <w:top w:val="single" w:color="000000" w:sz="8" w:space="0"/>
              <w:left w:val="nil"/>
              <w:bottom w:val="single" w:color="000000" w:sz="8" w:space="0"/>
              <w:right w:val="nil"/>
            </w:tcBorders>
          </w:tcPr>
          <w:p w14:paraId="7D213E2F">
            <w:pPr>
              <w:pStyle w:val="18"/>
              <w:snapToGrid w:val="0"/>
              <w:spacing w:line="300" w:lineRule="auto"/>
              <w:ind w:left="108"/>
              <w:jc w:val="both"/>
              <w:rPr>
                <w:rFonts w:ascii="Arial" w:hAnsi="Arial" w:eastAsia="宋体" w:cs="Arial"/>
                <w:sz w:val="24"/>
                <w:szCs w:val="24"/>
              </w:rPr>
            </w:pPr>
            <w:r>
              <w:rPr>
                <w:rFonts w:ascii="Arial" w:hAnsi="Arial" w:eastAsia="宋体" w:cs="Arial"/>
                <w:sz w:val="24"/>
                <w:szCs w:val="24"/>
                <w:lang w:eastAsia="zh-CN"/>
              </w:rPr>
              <w:t>器械名称</w:t>
            </w:r>
          </w:p>
        </w:tc>
        <w:tc>
          <w:tcPr>
            <w:tcW w:w="2021" w:type="dxa"/>
            <w:tcBorders>
              <w:top w:val="single" w:color="000000" w:sz="8" w:space="0"/>
              <w:left w:val="nil"/>
              <w:bottom w:val="single" w:color="000000" w:sz="8" w:space="0"/>
              <w:right w:val="nil"/>
            </w:tcBorders>
          </w:tcPr>
          <w:p w14:paraId="05C6AEA1">
            <w:pPr>
              <w:pStyle w:val="18"/>
              <w:snapToGrid w:val="0"/>
              <w:spacing w:line="300" w:lineRule="auto"/>
              <w:ind w:left="318"/>
              <w:jc w:val="both"/>
              <w:rPr>
                <w:rFonts w:ascii="Arial" w:hAnsi="Arial" w:eastAsia="宋体" w:cs="Arial"/>
                <w:sz w:val="24"/>
                <w:szCs w:val="24"/>
              </w:rPr>
            </w:pPr>
            <w:r>
              <w:rPr>
                <w:rFonts w:ascii="Arial" w:hAnsi="Arial" w:eastAsia="宋体" w:cs="Arial"/>
                <w:sz w:val="24"/>
                <w:szCs w:val="24"/>
                <w:lang w:eastAsia="zh-CN"/>
              </w:rPr>
              <w:t>法规编号</w:t>
            </w:r>
          </w:p>
        </w:tc>
      </w:tr>
      <w:tr w14:paraId="7EE06095">
        <w:tblPrEx>
          <w:tblCellMar>
            <w:top w:w="0" w:type="dxa"/>
            <w:left w:w="0" w:type="dxa"/>
            <w:bottom w:w="0" w:type="dxa"/>
            <w:right w:w="0" w:type="dxa"/>
          </w:tblCellMar>
        </w:tblPrEx>
        <w:trPr>
          <w:trHeight w:val="290" w:hRule="exact"/>
        </w:trPr>
        <w:tc>
          <w:tcPr>
            <w:tcW w:w="1529" w:type="dxa"/>
            <w:tcBorders>
              <w:top w:val="single" w:color="000000" w:sz="8" w:space="0"/>
              <w:left w:val="nil"/>
              <w:bottom w:val="nil"/>
              <w:right w:val="nil"/>
            </w:tcBorders>
          </w:tcPr>
          <w:p w14:paraId="68D034E4">
            <w:pPr>
              <w:pStyle w:val="18"/>
              <w:snapToGrid w:val="0"/>
              <w:spacing w:line="300" w:lineRule="auto"/>
              <w:ind w:left="108"/>
              <w:jc w:val="both"/>
              <w:rPr>
                <w:rFonts w:ascii="Arial" w:hAnsi="Arial" w:eastAsia="宋体" w:cs="Arial"/>
                <w:sz w:val="24"/>
                <w:szCs w:val="24"/>
              </w:rPr>
            </w:pPr>
            <w:r>
              <w:rPr>
                <w:rFonts w:ascii="Arial" w:hAnsi="Arial" w:eastAsia="宋体" w:cs="Arial"/>
                <w:sz w:val="24"/>
              </w:rPr>
              <w:t>EOX</w:t>
            </w:r>
          </w:p>
        </w:tc>
        <w:tc>
          <w:tcPr>
            <w:tcW w:w="4327" w:type="dxa"/>
            <w:tcBorders>
              <w:top w:val="single" w:color="000000" w:sz="8" w:space="0"/>
              <w:left w:val="nil"/>
              <w:bottom w:val="nil"/>
              <w:right w:val="nil"/>
            </w:tcBorders>
          </w:tcPr>
          <w:p w14:paraId="47094907">
            <w:pPr>
              <w:snapToGrid w:val="0"/>
              <w:spacing w:line="300" w:lineRule="auto"/>
              <w:jc w:val="both"/>
              <w:rPr>
                <w:rFonts w:ascii="Arial" w:hAnsi="Arial" w:eastAsia="宋体" w:cs="Arial"/>
                <w:lang w:eastAsia="zh-CN"/>
              </w:rPr>
            </w:pPr>
            <w:r>
              <w:rPr>
                <w:rFonts w:ascii="Arial" w:hAnsi="Arial" w:eastAsia="宋体" w:cs="Arial"/>
                <w:lang w:eastAsia="zh-CN"/>
              </w:rPr>
              <w:t>食管镜（柔性或刚性）</w:t>
            </w:r>
          </w:p>
        </w:tc>
        <w:tc>
          <w:tcPr>
            <w:tcW w:w="2021" w:type="dxa"/>
            <w:tcBorders>
              <w:top w:val="single" w:color="000000" w:sz="8" w:space="0"/>
              <w:left w:val="nil"/>
              <w:bottom w:val="nil"/>
              <w:right w:val="nil"/>
            </w:tcBorders>
          </w:tcPr>
          <w:p w14:paraId="5422F04F">
            <w:pPr>
              <w:pStyle w:val="18"/>
              <w:snapToGrid w:val="0"/>
              <w:spacing w:line="300" w:lineRule="auto"/>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874.4710</w:t>
            </w:r>
          </w:p>
        </w:tc>
      </w:tr>
      <w:tr w14:paraId="65C8BEEB">
        <w:tblPrEx>
          <w:tblCellMar>
            <w:top w:w="0" w:type="dxa"/>
            <w:left w:w="0" w:type="dxa"/>
            <w:bottom w:w="0" w:type="dxa"/>
            <w:right w:w="0" w:type="dxa"/>
          </w:tblCellMar>
        </w:tblPrEx>
        <w:trPr>
          <w:trHeight w:val="276" w:hRule="exact"/>
        </w:trPr>
        <w:tc>
          <w:tcPr>
            <w:tcW w:w="1529" w:type="dxa"/>
            <w:tcBorders>
              <w:top w:val="nil"/>
              <w:left w:val="nil"/>
              <w:bottom w:val="nil"/>
              <w:right w:val="nil"/>
            </w:tcBorders>
          </w:tcPr>
          <w:p w14:paraId="2A3E4CCB">
            <w:pPr>
              <w:pStyle w:val="18"/>
              <w:snapToGrid w:val="0"/>
              <w:spacing w:line="300" w:lineRule="auto"/>
              <w:ind w:left="108"/>
              <w:jc w:val="both"/>
              <w:rPr>
                <w:rFonts w:ascii="Arial" w:hAnsi="Arial" w:eastAsia="宋体" w:cs="Arial"/>
                <w:sz w:val="24"/>
                <w:szCs w:val="24"/>
              </w:rPr>
            </w:pPr>
            <w:r>
              <w:rPr>
                <w:rFonts w:ascii="Arial" w:hAnsi="Arial" w:eastAsia="宋体" w:cs="Arial"/>
                <w:sz w:val="24"/>
              </w:rPr>
              <w:t>GCL</w:t>
            </w:r>
          </w:p>
        </w:tc>
        <w:tc>
          <w:tcPr>
            <w:tcW w:w="4327" w:type="dxa"/>
            <w:tcBorders>
              <w:top w:val="nil"/>
              <w:left w:val="nil"/>
              <w:bottom w:val="nil"/>
              <w:right w:val="nil"/>
            </w:tcBorders>
          </w:tcPr>
          <w:p w14:paraId="5AB9E774">
            <w:pPr>
              <w:snapToGrid w:val="0"/>
              <w:spacing w:line="300" w:lineRule="auto"/>
              <w:jc w:val="both"/>
              <w:rPr>
                <w:rFonts w:ascii="Arial" w:hAnsi="Arial" w:eastAsia="宋体" w:cs="Arial"/>
                <w:lang w:eastAsia="zh-CN"/>
              </w:rPr>
            </w:pPr>
            <w:r>
              <w:rPr>
                <w:rFonts w:ascii="Arial" w:hAnsi="Arial" w:eastAsia="宋体" w:cs="Arial"/>
                <w:lang w:eastAsia="zh-CN"/>
              </w:rPr>
              <w:t>食管镜、一般和整形手术</w:t>
            </w:r>
          </w:p>
        </w:tc>
        <w:tc>
          <w:tcPr>
            <w:tcW w:w="2021" w:type="dxa"/>
            <w:tcBorders>
              <w:top w:val="nil"/>
              <w:left w:val="nil"/>
              <w:bottom w:val="nil"/>
              <w:right w:val="nil"/>
            </w:tcBorders>
          </w:tcPr>
          <w:p w14:paraId="25F7F43F">
            <w:pPr>
              <w:pStyle w:val="18"/>
              <w:snapToGrid w:val="0"/>
              <w:spacing w:line="300" w:lineRule="auto"/>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876.1500</w:t>
            </w:r>
          </w:p>
        </w:tc>
      </w:tr>
      <w:tr w14:paraId="5DBA6263">
        <w:tblPrEx>
          <w:tblCellMar>
            <w:top w:w="0" w:type="dxa"/>
            <w:left w:w="0" w:type="dxa"/>
            <w:bottom w:w="0" w:type="dxa"/>
            <w:right w:w="0" w:type="dxa"/>
          </w:tblCellMar>
        </w:tblPrEx>
        <w:trPr>
          <w:trHeight w:val="276" w:hRule="exact"/>
        </w:trPr>
        <w:tc>
          <w:tcPr>
            <w:tcW w:w="1529" w:type="dxa"/>
            <w:tcBorders>
              <w:top w:val="nil"/>
              <w:left w:val="nil"/>
              <w:bottom w:val="nil"/>
              <w:right w:val="nil"/>
            </w:tcBorders>
          </w:tcPr>
          <w:p w14:paraId="44B9174A">
            <w:pPr>
              <w:pStyle w:val="18"/>
              <w:snapToGrid w:val="0"/>
              <w:spacing w:line="300" w:lineRule="auto"/>
              <w:ind w:left="108"/>
              <w:jc w:val="both"/>
              <w:rPr>
                <w:rFonts w:ascii="Arial" w:hAnsi="Arial" w:eastAsia="宋体" w:cs="Arial"/>
                <w:sz w:val="24"/>
                <w:szCs w:val="24"/>
              </w:rPr>
            </w:pPr>
            <w:r>
              <w:rPr>
                <w:rFonts w:ascii="Arial" w:hAnsi="Arial" w:eastAsia="宋体" w:cs="Arial"/>
                <w:sz w:val="24"/>
              </w:rPr>
              <w:t>FDW</w:t>
            </w:r>
          </w:p>
        </w:tc>
        <w:tc>
          <w:tcPr>
            <w:tcW w:w="4327" w:type="dxa"/>
            <w:tcBorders>
              <w:top w:val="nil"/>
              <w:left w:val="nil"/>
              <w:bottom w:val="nil"/>
              <w:right w:val="nil"/>
            </w:tcBorders>
          </w:tcPr>
          <w:p w14:paraId="56485347">
            <w:pPr>
              <w:snapToGrid w:val="0"/>
              <w:spacing w:line="300" w:lineRule="auto"/>
              <w:jc w:val="both"/>
              <w:rPr>
                <w:rFonts w:ascii="Arial" w:hAnsi="Arial" w:eastAsia="宋体" w:cs="Arial"/>
                <w:lang w:eastAsia="zh-CN"/>
              </w:rPr>
            </w:pPr>
            <w:r>
              <w:rPr>
                <w:rFonts w:ascii="Arial" w:hAnsi="Arial" w:eastAsia="宋体" w:cs="Arial"/>
                <w:lang w:eastAsia="zh-CN"/>
              </w:rPr>
              <w:t>食道镜、刚性、胃泌尿科</w:t>
            </w:r>
          </w:p>
        </w:tc>
        <w:tc>
          <w:tcPr>
            <w:tcW w:w="2021" w:type="dxa"/>
            <w:tcBorders>
              <w:top w:val="nil"/>
              <w:left w:val="nil"/>
              <w:bottom w:val="nil"/>
              <w:right w:val="nil"/>
            </w:tcBorders>
          </w:tcPr>
          <w:p w14:paraId="71757ADF">
            <w:pPr>
              <w:pStyle w:val="18"/>
              <w:snapToGrid w:val="0"/>
              <w:spacing w:line="300" w:lineRule="auto"/>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876.1500</w:t>
            </w:r>
          </w:p>
        </w:tc>
      </w:tr>
      <w:tr w14:paraId="098C515C">
        <w:tblPrEx>
          <w:tblCellMar>
            <w:top w:w="0" w:type="dxa"/>
            <w:left w:w="0" w:type="dxa"/>
            <w:bottom w:w="0" w:type="dxa"/>
            <w:right w:w="0" w:type="dxa"/>
          </w:tblCellMar>
        </w:tblPrEx>
        <w:trPr>
          <w:trHeight w:val="295" w:hRule="exact"/>
        </w:trPr>
        <w:tc>
          <w:tcPr>
            <w:tcW w:w="1529" w:type="dxa"/>
            <w:tcBorders>
              <w:top w:val="nil"/>
              <w:left w:val="nil"/>
              <w:bottom w:val="nil"/>
              <w:right w:val="nil"/>
            </w:tcBorders>
          </w:tcPr>
          <w:p w14:paraId="25257A8D">
            <w:pPr>
              <w:pStyle w:val="18"/>
              <w:snapToGrid w:val="0"/>
              <w:spacing w:line="300" w:lineRule="auto"/>
              <w:ind w:left="108"/>
              <w:jc w:val="both"/>
              <w:rPr>
                <w:rFonts w:ascii="Arial" w:hAnsi="Arial" w:eastAsia="宋体" w:cs="Arial"/>
                <w:sz w:val="24"/>
                <w:szCs w:val="24"/>
              </w:rPr>
            </w:pPr>
            <w:r>
              <w:rPr>
                <w:rFonts w:ascii="Arial" w:hAnsi="Arial" w:eastAsia="宋体" w:cs="Arial"/>
                <w:sz w:val="24"/>
              </w:rPr>
              <w:t>EOB</w:t>
            </w:r>
          </w:p>
        </w:tc>
        <w:tc>
          <w:tcPr>
            <w:tcW w:w="4327" w:type="dxa"/>
            <w:tcBorders>
              <w:top w:val="nil"/>
              <w:left w:val="nil"/>
              <w:bottom w:val="nil"/>
              <w:right w:val="nil"/>
            </w:tcBorders>
          </w:tcPr>
          <w:p w14:paraId="4471A536">
            <w:pPr>
              <w:snapToGrid w:val="0"/>
              <w:spacing w:line="300" w:lineRule="auto"/>
              <w:jc w:val="both"/>
              <w:rPr>
                <w:rFonts w:ascii="Arial" w:hAnsi="Arial" w:eastAsia="宋体" w:cs="Arial"/>
                <w:lang w:eastAsia="zh-CN"/>
              </w:rPr>
            </w:pPr>
            <w:r>
              <w:rPr>
                <w:rFonts w:ascii="Arial" w:hAnsi="Arial" w:eastAsia="宋体" w:cs="Arial"/>
                <w:lang w:eastAsia="zh-CN"/>
              </w:rPr>
              <w:t>鼻咽镜（柔性或刚性）</w:t>
            </w:r>
          </w:p>
        </w:tc>
        <w:tc>
          <w:tcPr>
            <w:tcW w:w="2021" w:type="dxa"/>
            <w:tcBorders>
              <w:top w:val="nil"/>
              <w:left w:val="nil"/>
              <w:bottom w:val="nil"/>
              <w:right w:val="nil"/>
            </w:tcBorders>
          </w:tcPr>
          <w:p w14:paraId="780E66E4">
            <w:pPr>
              <w:pStyle w:val="18"/>
              <w:snapToGrid w:val="0"/>
              <w:spacing w:line="300" w:lineRule="auto"/>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874.4760</w:t>
            </w:r>
          </w:p>
        </w:tc>
      </w:tr>
      <w:tr w14:paraId="3FB8262C">
        <w:tblPrEx>
          <w:tblCellMar>
            <w:top w:w="0" w:type="dxa"/>
            <w:left w:w="0" w:type="dxa"/>
            <w:bottom w:w="0" w:type="dxa"/>
            <w:right w:w="0" w:type="dxa"/>
          </w:tblCellMar>
        </w:tblPrEx>
        <w:trPr>
          <w:trHeight w:val="295" w:hRule="exact"/>
        </w:trPr>
        <w:tc>
          <w:tcPr>
            <w:tcW w:w="1529" w:type="dxa"/>
            <w:tcBorders>
              <w:top w:val="nil"/>
              <w:left w:val="nil"/>
              <w:bottom w:val="nil"/>
              <w:right w:val="nil"/>
            </w:tcBorders>
          </w:tcPr>
          <w:p w14:paraId="6D51D581">
            <w:pPr>
              <w:pStyle w:val="18"/>
              <w:snapToGrid w:val="0"/>
              <w:spacing w:before="6" w:line="300" w:lineRule="auto"/>
              <w:ind w:left="108"/>
              <w:jc w:val="both"/>
              <w:rPr>
                <w:rFonts w:ascii="Arial" w:hAnsi="Arial" w:eastAsia="宋体" w:cs="Arial"/>
                <w:sz w:val="24"/>
                <w:szCs w:val="24"/>
              </w:rPr>
            </w:pPr>
            <w:r>
              <w:rPr>
                <w:rFonts w:ascii="Arial" w:hAnsi="Arial" w:eastAsia="宋体" w:cs="Arial"/>
                <w:sz w:val="24"/>
              </w:rPr>
              <w:t>EQN</w:t>
            </w:r>
          </w:p>
        </w:tc>
        <w:tc>
          <w:tcPr>
            <w:tcW w:w="4327" w:type="dxa"/>
            <w:tcBorders>
              <w:top w:val="nil"/>
              <w:left w:val="nil"/>
              <w:bottom w:val="nil"/>
              <w:right w:val="nil"/>
            </w:tcBorders>
          </w:tcPr>
          <w:p w14:paraId="7B5D70A8">
            <w:pPr>
              <w:snapToGrid w:val="0"/>
              <w:spacing w:line="300" w:lineRule="auto"/>
              <w:jc w:val="both"/>
              <w:rPr>
                <w:rFonts w:ascii="Arial" w:hAnsi="Arial" w:eastAsia="宋体" w:cs="Arial"/>
              </w:rPr>
            </w:pPr>
            <w:r>
              <w:rPr>
                <w:rFonts w:ascii="Arial" w:hAnsi="Arial" w:eastAsia="宋体" w:cs="Arial"/>
              </w:rPr>
              <w:t>喉镜、鼻咽镜</w:t>
            </w:r>
          </w:p>
        </w:tc>
        <w:tc>
          <w:tcPr>
            <w:tcW w:w="2021" w:type="dxa"/>
            <w:tcBorders>
              <w:top w:val="nil"/>
              <w:left w:val="nil"/>
              <w:bottom w:val="nil"/>
              <w:right w:val="nil"/>
            </w:tcBorders>
          </w:tcPr>
          <w:p w14:paraId="41481A5D">
            <w:pPr>
              <w:pStyle w:val="18"/>
              <w:snapToGrid w:val="0"/>
              <w:spacing w:before="6" w:line="300" w:lineRule="auto"/>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874.4760</w:t>
            </w:r>
          </w:p>
        </w:tc>
      </w:tr>
      <w:tr w14:paraId="32B86A04">
        <w:tblPrEx>
          <w:tblCellMar>
            <w:top w:w="0" w:type="dxa"/>
            <w:left w:w="0" w:type="dxa"/>
            <w:bottom w:w="0" w:type="dxa"/>
            <w:right w:w="0" w:type="dxa"/>
          </w:tblCellMar>
        </w:tblPrEx>
        <w:trPr>
          <w:trHeight w:val="278" w:hRule="exact"/>
        </w:trPr>
        <w:tc>
          <w:tcPr>
            <w:tcW w:w="1529" w:type="dxa"/>
            <w:tcBorders>
              <w:top w:val="nil"/>
              <w:left w:val="nil"/>
              <w:bottom w:val="single" w:color="000000" w:sz="4" w:space="0"/>
              <w:right w:val="nil"/>
            </w:tcBorders>
          </w:tcPr>
          <w:p w14:paraId="3D2D5B14">
            <w:pPr>
              <w:pStyle w:val="18"/>
              <w:snapToGrid w:val="0"/>
              <w:spacing w:line="300" w:lineRule="auto"/>
              <w:ind w:left="108"/>
              <w:jc w:val="both"/>
              <w:rPr>
                <w:rFonts w:ascii="Arial" w:hAnsi="Arial" w:eastAsia="宋体" w:cs="Arial"/>
                <w:sz w:val="24"/>
                <w:szCs w:val="24"/>
              </w:rPr>
            </w:pPr>
            <w:r>
              <w:rPr>
                <w:rFonts w:ascii="Arial" w:hAnsi="Arial" w:eastAsia="宋体" w:cs="Arial"/>
                <w:sz w:val="24"/>
              </w:rPr>
              <w:t>EWY</w:t>
            </w:r>
          </w:p>
        </w:tc>
        <w:tc>
          <w:tcPr>
            <w:tcW w:w="4327" w:type="dxa"/>
            <w:tcBorders>
              <w:top w:val="nil"/>
              <w:left w:val="nil"/>
              <w:bottom w:val="single" w:color="000000" w:sz="4" w:space="0"/>
              <w:right w:val="nil"/>
            </w:tcBorders>
          </w:tcPr>
          <w:p w14:paraId="0854C3CE">
            <w:pPr>
              <w:snapToGrid w:val="0"/>
              <w:spacing w:line="300" w:lineRule="auto"/>
              <w:jc w:val="both"/>
              <w:rPr>
                <w:rFonts w:ascii="Arial" w:hAnsi="Arial" w:eastAsia="宋体" w:cs="Arial"/>
              </w:rPr>
            </w:pPr>
            <w:r>
              <w:rPr>
                <w:rFonts w:ascii="Arial" w:hAnsi="Arial" w:eastAsia="宋体" w:cs="Arial"/>
              </w:rPr>
              <w:t>纵隔镜、手术及附件</w:t>
            </w:r>
          </w:p>
        </w:tc>
        <w:tc>
          <w:tcPr>
            <w:tcW w:w="2021" w:type="dxa"/>
            <w:tcBorders>
              <w:top w:val="nil"/>
              <w:left w:val="nil"/>
              <w:bottom w:val="single" w:color="000000" w:sz="4" w:space="0"/>
              <w:right w:val="nil"/>
            </w:tcBorders>
          </w:tcPr>
          <w:p w14:paraId="52A3E254">
            <w:pPr>
              <w:pStyle w:val="18"/>
              <w:snapToGrid w:val="0"/>
              <w:spacing w:line="300" w:lineRule="auto"/>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874.4720</w:t>
            </w:r>
          </w:p>
        </w:tc>
      </w:tr>
    </w:tbl>
    <w:p w14:paraId="6F748343">
      <w:pPr>
        <w:snapToGrid w:val="0"/>
        <w:spacing w:line="300" w:lineRule="auto"/>
        <w:jc w:val="both"/>
        <w:rPr>
          <w:rFonts w:ascii="Arial" w:hAnsi="Arial" w:eastAsia="宋体" w:cs="Arial"/>
          <w:sz w:val="24"/>
          <w:szCs w:val="24"/>
        </w:rPr>
        <w:sectPr>
          <w:pgSz w:w="12260" w:h="15840"/>
          <w:pgMar w:top="1134" w:right="1134" w:bottom="1134" w:left="1134" w:header="748" w:footer="773" w:gutter="0"/>
          <w:cols w:space="720" w:num="1"/>
          <w:docGrid w:linePitch="299" w:charSpace="0"/>
        </w:sectPr>
      </w:pPr>
    </w:p>
    <w:p w14:paraId="363DCB00">
      <w:pPr>
        <w:snapToGrid w:val="0"/>
        <w:spacing w:before="69" w:line="276" w:lineRule="auto"/>
        <w:ind w:left="100"/>
        <w:jc w:val="both"/>
        <w:rPr>
          <w:rFonts w:ascii="Arial" w:hAnsi="Arial" w:eastAsia="宋体" w:cs="Arial"/>
          <w:sz w:val="24"/>
          <w:szCs w:val="24"/>
          <w:lang w:eastAsia="zh-CN"/>
        </w:rPr>
      </w:pPr>
      <w:r>
        <w:rPr>
          <w:rFonts w:ascii="Arial" w:hAnsi="Arial" w:eastAsia="宋体" w:cs="Arial"/>
          <w:b/>
          <w:sz w:val="24"/>
          <w:lang w:eastAsia="zh-CN"/>
        </w:rPr>
        <w:t>带分离器通道（不含附件）【例如用于内窥镜逆行胰胆管造影（ERCP）的十二指肠镜）】的胃肠病学和泌尿学内窥镜</w:t>
      </w:r>
    </w:p>
    <w:tbl>
      <w:tblPr>
        <w:tblStyle w:val="16"/>
        <w:tblW w:w="0" w:type="auto"/>
        <w:tblInd w:w="100" w:type="dxa"/>
        <w:tblLayout w:type="fixed"/>
        <w:tblCellMar>
          <w:top w:w="0" w:type="dxa"/>
          <w:left w:w="0" w:type="dxa"/>
          <w:bottom w:w="0" w:type="dxa"/>
          <w:right w:w="0" w:type="dxa"/>
        </w:tblCellMar>
      </w:tblPr>
      <w:tblGrid>
        <w:gridCol w:w="1318"/>
        <w:gridCol w:w="4980"/>
        <w:gridCol w:w="2433"/>
      </w:tblGrid>
      <w:tr w14:paraId="642156EE">
        <w:tblPrEx>
          <w:tblCellMar>
            <w:top w:w="0" w:type="dxa"/>
            <w:left w:w="0" w:type="dxa"/>
            <w:bottom w:w="0" w:type="dxa"/>
            <w:right w:w="0" w:type="dxa"/>
          </w:tblCellMar>
        </w:tblPrEx>
        <w:trPr>
          <w:trHeight w:val="562" w:hRule="exact"/>
        </w:trPr>
        <w:tc>
          <w:tcPr>
            <w:tcW w:w="1318" w:type="dxa"/>
            <w:tcBorders>
              <w:top w:val="single" w:color="000000" w:sz="4" w:space="0"/>
              <w:left w:val="nil"/>
              <w:bottom w:val="nil"/>
              <w:right w:val="nil"/>
            </w:tcBorders>
          </w:tcPr>
          <w:p w14:paraId="27A3884A">
            <w:pPr>
              <w:pStyle w:val="18"/>
              <w:snapToGrid w:val="0"/>
              <w:spacing w:line="276" w:lineRule="auto"/>
              <w:ind w:left="108"/>
              <w:jc w:val="both"/>
              <w:rPr>
                <w:rFonts w:ascii="Arial" w:hAnsi="Arial" w:eastAsia="宋体" w:cs="Arial"/>
                <w:sz w:val="24"/>
                <w:szCs w:val="24"/>
              </w:rPr>
            </w:pPr>
            <w:r>
              <w:rPr>
                <w:rFonts w:ascii="Arial" w:hAnsi="Arial" w:eastAsia="宋体" w:cs="Arial"/>
                <w:sz w:val="24"/>
                <w:szCs w:val="24"/>
                <w:lang w:eastAsia="zh-CN"/>
              </w:rPr>
              <w:t>产品代码</w:t>
            </w:r>
          </w:p>
        </w:tc>
        <w:tc>
          <w:tcPr>
            <w:tcW w:w="4980" w:type="dxa"/>
            <w:tcBorders>
              <w:top w:val="single" w:color="000000" w:sz="4" w:space="0"/>
              <w:left w:val="nil"/>
              <w:bottom w:val="nil"/>
              <w:right w:val="nil"/>
            </w:tcBorders>
          </w:tcPr>
          <w:p w14:paraId="761E9EF2">
            <w:pPr>
              <w:pStyle w:val="18"/>
              <w:snapToGrid w:val="0"/>
              <w:spacing w:line="276" w:lineRule="auto"/>
              <w:ind w:left="108"/>
              <w:jc w:val="both"/>
              <w:rPr>
                <w:rFonts w:ascii="Arial" w:hAnsi="Arial" w:eastAsia="宋体" w:cs="Arial"/>
                <w:sz w:val="24"/>
                <w:szCs w:val="24"/>
              </w:rPr>
            </w:pPr>
            <w:r>
              <w:rPr>
                <w:rFonts w:ascii="Arial" w:hAnsi="Arial" w:eastAsia="宋体" w:cs="Arial"/>
                <w:sz w:val="24"/>
                <w:szCs w:val="24"/>
                <w:lang w:eastAsia="zh-CN"/>
              </w:rPr>
              <w:t>器械名称</w:t>
            </w:r>
          </w:p>
        </w:tc>
        <w:tc>
          <w:tcPr>
            <w:tcW w:w="2433" w:type="dxa"/>
            <w:tcBorders>
              <w:top w:val="single" w:color="000000" w:sz="4" w:space="0"/>
              <w:left w:val="nil"/>
              <w:bottom w:val="nil"/>
              <w:right w:val="nil"/>
            </w:tcBorders>
          </w:tcPr>
          <w:p w14:paraId="4104637F">
            <w:pPr>
              <w:pStyle w:val="18"/>
              <w:snapToGrid w:val="0"/>
              <w:spacing w:line="276" w:lineRule="auto"/>
              <w:ind w:left="318"/>
              <w:jc w:val="both"/>
              <w:rPr>
                <w:rFonts w:ascii="Arial" w:hAnsi="Arial" w:eastAsia="宋体" w:cs="Arial"/>
                <w:sz w:val="24"/>
                <w:szCs w:val="24"/>
              </w:rPr>
            </w:pPr>
            <w:r>
              <w:rPr>
                <w:rFonts w:ascii="Arial" w:hAnsi="Arial" w:eastAsia="宋体" w:cs="Arial"/>
                <w:sz w:val="24"/>
                <w:szCs w:val="24"/>
                <w:lang w:eastAsia="zh-CN"/>
              </w:rPr>
              <w:t>法规编号</w:t>
            </w:r>
          </w:p>
        </w:tc>
      </w:tr>
      <w:tr w14:paraId="3056FB46">
        <w:tblPrEx>
          <w:tblCellMar>
            <w:top w:w="0" w:type="dxa"/>
            <w:left w:w="0" w:type="dxa"/>
            <w:bottom w:w="0" w:type="dxa"/>
            <w:right w:w="0" w:type="dxa"/>
          </w:tblCellMar>
        </w:tblPrEx>
        <w:trPr>
          <w:trHeight w:val="276" w:hRule="exact"/>
        </w:trPr>
        <w:tc>
          <w:tcPr>
            <w:tcW w:w="1318" w:type="dxa"/>
            <w:tcBorders>
              <w:top w:val="nil"/>
              <w:left w:val="nil"/>
              <w:bottom w:val="nil"/>
              <w:right w:val="nil"/>
            </w:tcBorders>
          </w:tcPr>
          <w:p w14:paraId="4F785982">
            <w:pPr>
              <w:pStyle w:val="18"/>
              <w:snapToGrid w:val="0"/>
              <w:spacing w:line="276" w:lineRule="auto"/>
              <w:ind w:left="108"/>
              <w:jc w:val="both"/>
              <w:rPr>
                <w:rFonts w:ascii="Arial" w:hAnsi="Arial" w:eastAsia="宋体" w:cs="Arial"/>
                <w:sz w:val="24"/>
                <w:szCs w:val="24"/>
              </w:rPr>
            </w:pPr>
            <w:r>
              <w:rPr>
                <w:rFonts w:ascii="Arial" w:hAnsi="Arial" w:eastAsia="宋体" w:cs="Arial"/>
                <w:sz w:val="24"/>
              </w:rPr>
              <w:t>FDT</w:t>
            </w:r>
          </w:p>
        </w:tc>
        <w:tc>
          <w:tcPr>
            <w:tcW w:w="4980" w:type="dxa"/>
            <w:tcBorders>
              <w:top w:val="nil"/>
              <w:left w:val="nil"/>
              <w:bottom w:val="nil"/>
              <w:right w:val="nil"/>
            </w:tcBorders>
          </w:tcPr>
          <w:p w14:paraId="6F594E75">
            <w:pPr>
              <w:snapToGrid w:val="0"/>
              <w:spacing w:line="276" w:lineRule="auto"/>
              <w:jc w:val="both"/>
              <w:rPr>
                <w:rFonts w:ascii="Arial" w:hAnsi="Arial" w:eastAsia="宋体" w:cs="Arial"/>
                <w:lang w:eastAsia="zh-CN"/>
              </w:rPr>
            </w:pPr>
            <w:r>
              <w:rPr>
                <w:rFonts w:ascii="Arial" w:hAnsi="Arial" w:eastAsia="宋体" w:cs="Arial"/>
                <w:lang w:eastAsia="zh-CN"/>
              </w:rPr>
              <w:t>十二指肠镜及附件、柔性/刚性</w:t>
            </w:r>
          </w:p>
        </w:tc>
        <w:tc>
          <w:tcPr>
            <w:tcW w:w="2433" w:type="dxa"/>
            <w:tcBorders>
              <w:top w:val="nil"/>
              <w:left w:val="nil"/>
              <w:bottom w:val="nil"/>
              <w:right w:val="nil"/>
            </w:tcBorders>
          </w:tcPr>
          <w:p w14:paraId="6EAC1E75">
            <w:pPr>
              <w:pStyle w:val="18"/>
              <w:snapToGrid w:val="0"/>
              <w:spacing w:line="276" w:lineRule="auto"/>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876.1500</w:t>
            </w:r>
          </w:p>
        </w:tc>
      </w:tr>
      <w:tr w14:paraId="6E9E75D5">
        <w:tblPrEx>
          <w:tblCellMar>
            <w:top w:w="0" w:type="dxa"/>
            <w:left w:w="0" w:type="dxa"/>
            <w:bottom w:w="0" w:type="dxa"/>
            <w:right w:w="0" w:type="dxa"/>
          </w:tblCellMar>
        </w:tblPrEx>
        <w:trPr>
          <w:trHeight w:val="276" w:hRule="exact"/>
        </w:trPr>
        <w:tc>
          <w:tcPr>
            <w:tcW w:w="1318" w:type="dxa"/>
            <w:tcBorders>
              <w:top w:val="nil"/>
              <w:left w:val="nil"/>
              <w:bottom w:val="nil"/>
              <w:right w:val="nil"/>
            </w:tcBorders>
          </w:tcPr>
          <w:p w14:paraId="28124BD0">
            <w:pPr>
              <w:pStyle w:val="18"/>
              <w:snapToGrid w:val="0"/>
              <w:spacing w:line="276" w:lineRule="auto"/>
              <w:ind w:left="108"/>
              <w:jc w:val="both"/>
              <w:rPr>
                <w:rFonts w:ascii="Arial" w:hAnsi="Arial" w:eastAsia="宋体" w:cs="Arial"/>
                <w:sz w:val="24"/>
                <w:szCs w:val="24"/>
              </w:rPr>
            </w:pPr>
            <w:r>
              <w:rPr>
                <w:rFonts w:ascii="Arial" w:hAnsi="Arial" w:eastAsia="宋体" w:cs="Arial"/>
                <w:sz w:val="24"/>
              </w:rPr>
              <w:t>FAK</w:t>
            </w:r>
          </w:p>
        </w:tc>
        <w:tc>
          <w:tcPr>
            <w:tcW w:w="4980" w:type="dxa"/>
            <w:tcBorders>
              <w:top w:val="nil"/>
              <w:left w:val="nil"/>
              <w:bottom w:val="nil"/>
              <w:right w:val="nil"/>
            </w:tcBorders>
          </w:tcPr>
          <w:p w14:paraId="5F077D72">
            <w:pPr>
              <w:snapToGrid w:val="0"/>
              <w:spacing w:line="276" w:lineRule="auto"/>
              <w:jc w:val="both"/>
              <w:rPr>
                <w:rFonts w:ascii="Arial" w:hAnsi="Arial" w:eastAsia="宋体" w:cs="Arial"/>
                <w:lang w:eastAsia="zh-CN"/>
              </w:rPr>
            </w:pPr>
            <w:r>
              <w:rPr>
                <w:rFonts w:ascii="Arial" w:hAnsi="Arial" w:eastAsia="宋体" w:cs="Arial"/>
                <w:lang w:eastAsia="zh-CN"/>
              </w:rPr>
              <w:t>腹内镜（胃十二指肠镜）</w:t>
            </w:r>
          </w:p>
        </w:tc>
        <w:tc>
          <w:tcPr>
            <w:tcW w:w="2433" w:type="dxa"/>
            <w:tcBorders>
              <w:top w:val="nil"/>
              <w:left w:val="nil"/>
              <w:bottom w:val="nil"/>
              <w:right w:val="nil"/>
            </w:tcBorders>
          </w:tcPr>
          <w:p w14:paraId="56B081AB">
            <w:pPr>
              <w:pStyle w:val="18"/>
              <w:snapToGrid w:val="0"/>
              <w:spacing w:line="276" w:lineRule="auto"/>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876.1500</w:t>
            </w:r>
          </w:p>
        </w:tc>
      </w:tr>
      <w:tr w14:paraId="209B2B8A">
        <w:tblPrEx>
          <w:tblCellMar>
            <w:top w:w="0" w:type="dxa"/>
            <w:left w:w="0" w:type="dxa"/>
            <w:bottom w:w="0" w:type="dxa"/>
            <w:right w:w="0" w:type="dxa"/>
          </w:tblCellMar>
        </w:tblPrEx>
        <w:trPr>
          <w:trHeight w:val="276" w:hRule="exact"/>
        </w:trPr>
        <w:tc>
          <w:tcPr>
            <w:tcW w:w="1318" w:type="dxa"/>
            <w:tcBorders>
              <w:top w:val="nil"/>
              <w:left w:val="nil"/>
              <w:bottom w:val="nil"/>
              <w:right w:val="nil"/>
            </w:tcBorders>
          </w:tcPr>
          <w:p w14:paraId="35D71225">
            <w:pPr>
              <w:pStyle w:val="18"/>
              <w:snapToGrid w:val="0"/>
              <w:spacing w:line="276" w:lineRule="auto"/>
              <w:ind w:left="108"/>
              <w:jc w:val="both"/>
              <w:rPr>
                <w:rFonts w:ascii="Arial" w:hAnsi="Arial" w:eastAsia="宋体" w:cs="Arial"/>
                <w:sz w:val="24"/>
                <w:szCs w:val="24"/>
              </w:rPr>
            </w:pPr>
            <w:r>
              <w:rPr>
                <w:rFonts w:ascii="Arial" w:hAnsi="Arial" w:eastAsia="宋体" w:cs="Arial"/>
                <w:sz w:val="24"/>
              </w:rPr>
              <w:t>FTK</w:t>
            </w:r>
          </w:p>
        </w:tc>
        <w:tc>
          <w:tcPr>
            <w:tcW w:w="4980" w:type="dxa"/>
            <w:tcBorders>
              <w:top w:val="nil"/>
              <w:left w:val="nil"/>
              <w:bottom w:val="nil"/>
              <w:right w:val="nil"/>
            </w:tcBorders>
          </w:tcPr>
          <w:p w14:paraId="60DCD826">
            <w:pPr>
              <w:snapToGrid w:val="0"/>
              <w:spacing w:line="276" w:lineRule="auto"/>
              <w:jc w:val="both"/>
              <w:rPr>
                <w:rFonts w:ascii="Arial" w:hAnsi="Arial" w:eastAsia="宋体" w:cs="Arial"/>
                <w:lang w:eastAsia="zh-CN"/>
              </w:rPr>
            </w:pPr>
            <w:r>
              <w:rPr>
                <w:rFonts w:ascii="Arial" w:hAnsi="Arial" w:eastAsia="宋体" w:cs="Arial"/>
                <w:lang w:eastAsia="zh-CN"/>
              </w:rPr>
              <w:t>胰胆管、胆管</w:t>
            </w:r>
          </w:p>
        </w:tc>
        <w:tc>
          <w:tcPr>
            <w:tcW w:w="2433" w:type="dxa"/>
            <w:tcBorders>
              <w:top w:val="nil"/>
              <w:left w:val="nil"/>
              <w:bottom w:val="nil"/>
              <w:right w:val="nil"/>
            </w:tcBorders>
          </w:tcPr>
          <w:p w14:paraId="2494695B">
            <w:pPr>
              <w:pStyle w:val="18"/>
              <w:snapToGrid w:val="0"/>
              <w:spacing w:line="276" w:lineRule="auto"/>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876.1500</w:t>
            </w:r>
          </w:p>
        </w:tc>
      </w:tr>
      <w:tr w14:paraId="62B80E36">
        <w:tblPrEx>
          <w:tblCellMar>
            <w:top w:w="0" w:type="dxa"/>
            <w:left w:w="0" w:type="dxa"/>
            <w:bottom w:w="0" w:type="dxa"/>
            <w:right w:w="0" w:type="dxa"/>
          </w:tblCellMar>
        </w:tblPrEx>
        <w:trPr>
          <w:trHeight w:val="276" w:hRule="exact"/>
        </w:trPr>
        <w:tc>
          <w:tcPr>
            <w:tcW w:w="1318" w:type="dxa"/>
            <w:tcBorders>
              <w:top w:val="nil"/>
              <w:left w:val="nil"/>
              <w:bottom w:val="nil"/>
              <w:right w:val="nil"/>
            </w:tcBorders>
          </w:tcPr>
          <w:p w14:paraId="59B5D104">
            <w:pPr>
              <w:pStyle w:val="18"/>
              <w:snapToGrid w:val="0"/>
              <w:spacing w:line="276" w:lineRule="auto"/>
              <w:ind w:left="108"/>
              <w:jc w:val="both"/>
              <w:rPr>
                <w:rFonts w:ascii="Arial" w:hAnsi="Arial" w:eastAsia="宋体" w:cs="Arial"/>
                <w:sz w:val="24"/>
                <w:szCs w:val="24"/>
              </w:rPr>
            </w:pPr>
            <w:r>
              <w:rPr>
                <w:rFonts w:ascii="Arial" w:hAnsi="Arial" w:eastAsia="宋体" w:cs="Arial"/>
                <w:sz w:val="24"/>
              </w:rPr>
              <w:t>ODF</w:t>
            </w:r>
          </w:p>
        </w:tc>
        <w:tc>
          <w:tcPr>
            <w:tcW w:w="4980" w:type="dxa"/>
            <w:tcBorders>
              <w:top w:val="nil"/>
              <w:left w:val="nil"/>
              <w:bottom w:val="nil"/>
              <w:right w:val="nil"/>
            </w:tcBorders>
          </w:tcPr>
          <w:p w14:paraId="74880295">
            <w:pPr>
              <w:snapToGrid w:val="0"/>
              <w:spacing w:line="276" w:lineRule="auto"/>
              <w:jc w:val="both"/>
              <w:rPr>
                <w:rFonts w:ascii="Arial" w:hAnsi="Arial" w:eastAsia="宋体" w:cs="Arial"/>
                <w:lang w:eastAsia="zh-CN"/>
              </w:rPr>
            </w:pPr>
            <w:r>
              <w:rPr>
                <w:rFonts w:ascii="Arial" w:hAnsi="Arial" w:eastAsia="宋体" w:cs="Arial"/>
                <w:lang w:eastAsia="zh-CN"/>
              </w:rPr>
              <w:t>迷你内窥镜、胃肠病学泌尿学</w:t>
            </w:r>
          </w:p>
        </w:tc>
        <w:tc>
          <w:tcPr>
            <w:tcW w:w="2433" w:type="dxa"/>
            <w:tcBorders>
              <w:top w:val="nil"/>
              <w:left w:val="nil"/>
              <w:bottom w:val="nil"/>
              <w:right w:val="nil"/>
            </w:tcBorders>
          </w:tcPr>
          <w:p w14:paraId="0AB0CD80">
            <w:pPr>
              <w:pStyle w:val="18"/>
              <w:snapToGrid w:val="0"/>
              <w:spacing w:line="276" w:lineRule="auto"/>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876.1500</w:t>
            </w:r>
          </w:p>
        </w:tc>
      </w:tr>
      <w:tr w14:paraId="27618BD4">
        <w:tblPrEx>
          <w:tblCellMar>
            <w:top w:w="0" w:type="dxa"/>
            <w:left w:w="0" w:type="dxa"/>
            <w:bottom w:w="0" w:type="dxa"/>
            <w:right w:w="0" w:type="dxa"/>
          </w:tblCellMar>
        </w:tblPrEx>
        <w:trPr>
          <w:trHeight w:val="276" w:hRule="exact"/>
        </w:trPr>
        <w:tc>
          <w:tcPr>
            <w:tcW w:w="1318" w:type="dxa"/>
            <w:tcBorders>
              <w:top w:val="nil"/>
              <w:left w:val="nil"/>
              <w:right w:val="nil"/>
            </w:tcBorders>
          </w:tcPr>
          <w:p w14:paraId="4970A088">
            <w:pPr>
              <w:pStyle w:val="18"/>
              <w:snapToGrid w:val="0"/>
              <w:spacing w:line="276" w:lineRule="auto"/>
              <w:ind w:left="108"/>
              <w:jc w:val="both"/>
              <w:rPr>
                <w:rFonts w:ascii="Arial" w:hAnsi="Arial" w:eastAsia="宋体" w:cs="Arial"/>
                <w:sz w:val="24"/>
                <w:szCs w:val="24"/>
              </w:rPr>
            </w:pPr>
            <w:r>
              <w:rPr>
                <w:rFonts w:ascii="Arial" w:hAnsi="Arial" w:eastAsia="宋体" w:cs="Arial"/>
                <w:sz w:val="24"/>
              </w:rPr>
              <w:t>FBN</w:t>
            </w:r>
          </w:p>
        </w:tc>
        <w:tc>
          <w:tcPr>
            <w:tcW w:w="4980" w:type="dxa"/>
            <w:tcBorders>
              <w:top w:val="nil"/>
              <w:left w:val="nil"/>
              <w:right w:val="nil"/>
            </w:tcBorders>
          </w:tcPr>
          <w:p w14:paraId="4DCBFAE9">
            <w:pPr>
              <w:snapToGrid w:val="0"/>
              <w:spacing w:line="276" w:lineRule="auto"/>
              <w:jc w:val="both"/>
              <w:rPr>
                <w:rFonts w:ascii="Arial" w:hAnsi="Arial" w:eastAsia="宋体" w:cs="Arial"/>
                <w:lang w:eastAsia="zh-CN"/>
              </w:rPr>
            </w:pPr>
            <w:r>
              <w:rPr>
                <w:rFonts w:ascii="Arial" w:hAnsi="Arial" w:eastAsia="宋体" w:cs="Arial"/>
                <w:lang w:eastAsia="zh-CN"/>
              </w:rPr>
              <w:t>胆道镜及附件、柔性/刚性</w:t>
            </w:r>
          </w:p>
        </w:tc>
        <w:tc>
          <w:tcPr>
            <w:tcW w:w="2433" w:type="dxa"/>
            <w:tcBorders>
              <w:top w:val="nil"/>
              <w:left w:val="nil"/>
              <w:right w:val="nil"/>
            </w:tcBorders>
          </w:tcPr>
          <w:p w14:paraId="4EFAC147">
            <w:pPr>
              <w:pStyle w:val="18"/>
              <w:snapToGrid w:val="0"/>
              <w:spacing w:line="276" w:lineRule="auto"/>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876.1500</w:t>
            </w:r>
          </w:p>
        </w:tc>
      </w:tr>
      <w:tr w14:paraId="50B579AE">
        <w:tblPrEx>
          <w:tblCellMar>
            <w:top w:w="0" w:type="dxa"/>
            <w:left w:w="0" w:type="dxa"/>
            <w:bottom w:w="0" w:type="dxa"/>
            <w:right w:w="0" w:type="dxa"/>
          </w:tblCellMar>
        </w:tblPrEx>
        <w:trPr>
          <w:trHeight w:val="552" w:hRule="exact"/>
        </w:trPr>
        <w:tc>
          <w:tcPr>
            <w:tcW w:w="1318" w:type="dxa"/>
            <w:tcBorders>
              <w:top w:val="nil"/>
              <w:left w:val="nil"/>
              <w:right w:val="nil"/>
            </w:tcBorders>
          </w:tcPr>
          <w:p w14:paraId="1D7C2C83">
            <w:pPr>
              <w:pStyle w:val="18"/>
              <w:snapToGrid w:val="0"/>
              <w:spacing w:line="276" w:lineRule="auto"/>
              <w:ind w:left="108"/>
              <w:jc w:val="both"/>
              <w:rPr>
                <w:rFonts w:ascii="Arial" w:hAnsi="Arial" w:eastAsia="宋体" w:cs="Arial"/>
                <w:sz w:val="24"/>
                <w:szCs w:val="24"/>
              </w:rPr>
            </w:pPr>
            <w:r>
              <w:rPr>
                <w:rFonts w:ascii="Arial" w:hAnsi="Arial" w:eastAsia="宋体" w:cs="Arial"/>
                <w:sz w:val="24"/>
              </w:rPr>
              <w:t>ODG</w:t>
            </w:r>
          </w:p>
        </w:tc>
        <w:tc>
          <w:tcPr>
            <w:tcW w:w="4980" w:type="dxa"/>
            <w:tcBorders>
              <w:top w:val="nil"/>
              <w:left w:val="nil"/>
              <w:right w:val="nil"/>
            </w:tcBorders>
          </w:tcPr>
          <w:p w14:paraId="7E40E6EF">
            <w:pPr>
              <w:snapToGrid w:val="0"/>
              <w:spacing w:line="276" w:lineRule="auto"/>
              <w:jc w:val="both"/>
              <w:rPr>
                <w:rFonts w:ascii="Arial" w:hAnsi="Arial" w:eastAsia="宋体" w:cs="Arial"/>
                <w:lang w:eastAsia="zh-CN"/>
              </w:rPr>
            </w:pPr>
            <w:r>
              <w:rPr>
                <w:rFonts w:ascii="Arial" w:hAnsi="Arial" w:eastAsia="宋体" w:cs="Arial"/>
                <w:lang w:eastAsia="zh-CN"/>
              </w:rPr>
              <w:t>内镜超声系统、胃肠病学泌尿学</w:t>
            </w:r>
          </w:p>
        </w:tc>
        <w:tc>
          <w:tcPr>
            <w:tcW w:w="2433" w:type="dxa"/>
            <w:tcBorders>
              <w:top w:val="nil"/>
              <w:left w:val="nil"/>
              <w:right w:val="nil"/>
            </w:tcBorders>
          </w:tcPr>
          <w:p w14:paraId="39698034">
            <w:pPr>
              <w:pStyle w:val="18"/>
              <w:snapToGrid w:val="0"/>
              <w:spacing w:line="276" w:lineRule="auto"/>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876.1500</w:t>
            </w:r>
          </w:p>
        </w:tc>
      </w:tr>
    </w:tbl>
    <w:p w14:paraId="53B17458">
      <w:pPr>
        <w:snapToGrid w:val="0"/>
        <w:spacing w:line="276" w:lineRule="auto"/>
        <w:ind w:left="280" w:hanging="180"/>
        <w:jc w:val="both"/>
        <w:rPr>
          <w:rFonts w:ascii="Arial" w:hAnsi="Arial" w:eastAsia="宋体" w:cs="Arial"/>
          <w:sz w:val="20"/>
          <w:szCs w:val="20"/>
          <w:lang w:eastAsia="zh-CN"/>
        </w:rPr>
      </w:pPr>
      <w:r>
        <w:rPr>
          <w:rFonts w:ascii="Arial" w:hAnsi="Arial" w:eastAsia="宋体" w:cs="Arial"/>
          <w:sz w:val="20"/>
          <w:lang w:eastAsia="zh-CN"/>
        </w:rPr>
        <w:t>*对于属于上述产品代码的内窥镜，510（k）提交材料应包括设计有分离器通道的内窥镜的再加工确认数据。</w:t>
      </w:r>
    </w:p>
    <w:p w14:paraId="0BB70CE1">
      <w:pPr>
        <w:snapToGrid w:val="0"/>
        <w:spacing w:before="4" w:line="276" w:lineRule="auto"/>
        <w:jc w:val="both"/>
        <w:rPr>
          <w:rFonts w:ascii="Arial" w:hAnsi="Arial" w:eastAsia="宋体" w:cs="Arial"/>
          <w:sz w:val="24"/>
          <w:szCs w:val="24"/>
          <w:lang w:eastAsia="zh-CN"/>
        </w:rPr>
      </w:pPr>
    </w:p>
    <w:p w14:paraId="20F8FD6D">
      <w:pPr>
        <w:pStyle w:val="5"/>
        <w:snapToGrid w:val="0"/>
        <w:spacing w:line="276" w:lineRule="auto"/>
        <w:ind w:left="100" w:firstLine="0"/>
        <w:jc w:val="both"/>
        <w:rPr>
          <w:rFonts w:ascii="Arial" w:hAnsi="Arial" w:eastAsia="宋体" w:cs="Arial"/>
          <w:b w:val="0"/>
          <w:bCs w:val="0"/>
          <w:lang w:eastAsia="zh-CN"/>
        </w:rPr>
      </w:pPr>
      <w:r>
        <w:rPr>
          <w:rFonts w:ascii="Arial" w:hAnsi="Arial" w:eastAsia="宋体" w:cs="Arial"/>
          <w:lang w:eastAsia="zh-CN"/>
        </w:rPr>
        <w:t>自动内窥镜再加工器（AER）</w:t>
      </w:r>
    </w:p>
    <w:tbl>
      <w:tblPr>
        <w:tblStyle w:val="16"/>
        <w:tblW w:w="0" w:type="auto"/>
        <w:tblInd w:w="100" w:type="dxa"/>
        <w:tblLayout w:type="fixed"/>
        <w:tblCellMar>
          <w:top w:w="0" w:type="dxa"/>
          <w:left w:w="0" w:type="dxa"/>
          <w:bottom w:w="0" w:type="dxa"/>
          <w:right w:w="0" w:type="dxa"/>
        </w:tblCellMar>
      </w:tblPr>
      <w:tblGrid>
        <w:gridCol w:w="1176"/>
        <w:gridCol w:w="5205"/>
        <w:gridCol w:w="2350"/>
      </w:tblGrid>
      <w:tr w14:paraId="79590C22">
        <w:tblPrEx>
          <w:tblCellMar>
            <w:top w:w="0" w:type="dxa"/>
            <w:left w:w="0" w:type="dxa"/>
            <w:bottom w:w="0" w:type="dxa"/>
            <w:right w:w="0" w:type="dxa"/>
          </w:tblCellMar>
        </w:tblPrEx>
        <w:trPr>
          <w:trHeight w:val="562" w:hRule="exact"/>
        </w:trPr>
        <w:tc>
          <w:tcPr>
            <w:tcW w:w="1176" w:type="dxa"/>
            <w:tcBorders>
              <w:top w:val="single" w:color="000000" w:sz="4" w:space="0"/>
              <w:left w:val="nil"/>
              <w:bottom w:val="nil"/>
              <w:right w:val="nil"/>
            </w:tcBorders>
          </w:tcPr>
          <w:p w14:paraId="0C061978">
            <w:pPr>
              <w:pStyle w:val="18"/>
              <w:snapToGrid w:val="0"/>
              <w:spacing w:line="276" w:lineRule="auto"/>
              <w:ind w:left="108"/>
              <w:jc w:val="both"/>
              <w:rPr>
                <w:rFonts w:ascii="Arial" w:hAnsi="Arial" w:eastAsia="宋体" w:cs="Arial"/>
                <w:sz w:val="24"/>
                <w:szCs w:val="24"/>
              </w:rPr>
            </w:pPr>
            <w:r>
              <w:rPr>
                <w:rFonts w:ascii="Arial" w:hAnsi="Arial" w:eastAsia="宋体" w:cs="Arial"/>
                <w:sz w:val="24"/>
                <w:szCs w:val="24"/>
                <w:lang w:eastAsia="zh-CN"/>
              </w:rPr>
              <w:t>产品代码</w:t>
            </w:r>
          </w:p>
        </w:tc>
        <w:tc>
          <w:tcPr>
            <w:tcW w:w="5205" w:type="dxa"/>
            <w:tcBorders>
              <w:top w:val="single" w:color="000000" w:sz="4" w:space="0"/>
              <w:left w:val="nil"/>
              <w:bottom w:val="nil"/>
              <w:right w:val="nil"/>
            </w:tcBorders>
          </w:tcPr>
          <w:p w14:paraId="0250648E">
            <w:pPr>
              <w:pStyle w:val="18"/>
              <w:snapToGrid w:val="0"/>
              <w:spacing w:line="276" w:lineRule="auto"/>
              <w:ind w:left="108"/>
              <w:jc w:val="both"/>
              <w:rPr>
                <w:rFonts w:ascii="Arial" w:hAnsi="Arial" w:eastAsia="宋体" w:cs="Arial"/>
                <w:sz w:val="24"/>
                <w:szCs w:val="24"/>
              </w:rPr>
            </w:pPr>
            <w:r>
              <w:rPr>
                <w:rFonts w:ascii="Arial" w:hAnsi="Arial" w:eastAsia="宋体" w:cs="Arial"/>
                <w:sz w:val="24"/>
                <w:szCs w:val="24"/>
                <w:lang w:eastAsia="zh-CN"/>
              </w:rPr>
              <w:t>器械名称</w:t>
            </w:r>
          </w:p>
        </w:tc>
        <w:tc>
          <w:tcPr>
            <w:tcW w:w="2350" w:type="dxa"/>
            <w:tcBorders>
              <w:top w:val="single" w:color="000000" w:sz="4" w:space="0"/>
              <w:left w:val="nil"/>
              <w:bottom w:val="nil"/>
              <w:right w:val="nil"/>
            </w:tcBorders>
          </w:tcPr>
          <w:p w14:paraId="5D7C0E54">
            <w:pPr>
              <w:pStyle w:val="18"/>
              <w:snapToGrid w:val="0"/>
              <w:spacing w:line="276" w:lineRule="auto"/>
              <w:ind w:left="318"/>
              <w:jc w:val="both"/>
              <w:rPr>
                <w:rFonts w:ascii="Arial" w:hAnsi="Arial" w:eastAsia="宋体" w:cs="Arial"/>
                <w:sz w:val="24"/>
                <w:szCs w:val="24"/>
              </w:rPr>
            </w:pPr>
            <w:r>
              <w:rPr>
                <w:rFonts w:ascii="Arial" w:hAnsi="Arial" w:eastAsia="宋体" w:cs="Arial"/>
                <w:sz w:val="24"/>
                <w:szCs w:val="24"/>
                <w:lang w:eastAsia="zh-CN"/>
              </w:rPr>
              <w:t>法规编号</w:t>
            </w:r>
          </w:p>
        </w:tc>
      </w:tr>
      <w:tr w14:paraId="10D79486">
        <w:tblPrEx>
          <w:tblCellMar>
            <w:top w:w="0" w:type="dxa"/>
            <w:left w:w="0" w:type="dxa"/>
            <w:bottom w:w="0" w:type="dxa"/>
            <w:right w:w="0" w:type="dxa"/>
          </w:tblCellMar>
        </w:tblPrEx>
        <w:trPr>
          <w:trHeight w:val="276" w:hRule="exact"/>
        </w:trPr>
        <w:tc>
          <w:tcPr>
            <w:tcW w:w="1176" w:type="dxa"/>
            <w:tcBorders>
              <w:top w:val="nil"/>
              <w:left w:val="nil"/>
              <w:bottom w:val="nil"/>
              <w:right w:val="nil"/>
            </w:tcBorders>
          </w:tcPr>
          <w:p w14:paraId="2E99ED2F">
            <w:pPr>
              <w:pStyle w:val="18"/>
              <w:snapToGrid w:val="0"/>
              <w:spacing w:line="276" w:lineRule="auto"/>
              <w:ind w:left="108"/>
              <w:jc w:val="both"/>
              <w:rPr>
                <w:rFonts w:ascii="Arial" w:hAnsi="Arial" w:eastAsia="宋体" w:cs="Arial"/>
                <w:sz w:val="24"/>
                <w:szCs w:val="24"/>
              </w:rPr>
            </w:pPr>
            <w:r>
              <w:rPr>
                <w:rFonts w:ascii="Arial" w:hAnsi="Arial" w:eastAsia="宋体" w:cs="Arial"/>
                <w:sz w:val="24"/>
              </w:rPr>
              <w:t>FEB</w:t>
            </w:r>
          </w:p>
        </w:tc>
        <w:tc>
          <w:tcPr>
            <w:tcW w:w="5205" w:type="dxa"/>
            <w:tcBorders>
              <w:top w:val="nil"/>
              <w:left w:val="nil"/>
              <w:bottom w:val="nil"/>
              <w:right w:val="nil"/>
            </w:tcBorders>
          </w:tcPr>
          <w:p w14:paraId="72A18A58">
            <w:pPr>
              <w:snapToGrid w:val="0"/>
              <w:spacing w:line="276" w:lineRule="auto"/>
              <w:jc w:val="both"/>
              <w:rPr>
                <w:rFonts w:ascii="Arial" w:hAnsi="Arial" w:eastAsia="宋体" w:cs="Arial"/>
              </w:rPr>
            </w:pPr>
            <w:r>
              <w:rPr>
                <w:rFonts w:ascii="Arial" w:hAnsi="Arial" w:eastAsia="宋体" w:cs="Arial"/>
              </w:rPr>
              <w:t>附件、清洁、内窥镜</w:t>
            </w:r>
          </w:p>
        </w:tc>
        <w:tc>
          <w:tcPr>
            <w:tcW w:w="2350" w:type="dxa"/>
            <w:tcBorders>
              <w:top w:val="nil"/>
              <w:left w:val="nil"/>
              <w:bottom w:val="nil"/>
              <w:right w:val="nil"/>
            </w:tcBorders>
          </w:tcPr>
          <w:p w14:paraId="2CADB83B">
            <w:pPr>
              <w:pStyle w:val="18"/>
              <w:snapToGrid w:val="0"/>
              <w:spacing w:line="276" w:lineRule="auto"/>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876.1500</w:t>
            </w:r>
          </w:p>
        </w:tc>
      </w:tr>
      <w:tr w14:paraId="59603248">
        <w:tblPrEx>
          <w:tblCellMar>
            <w:top w:w="0" w:type="dxa"/>
            <w:left w:w="0" w:type="dxa"/>
            <w:bottom w:w="0" w:type="dxa"/>
            <w:right w:w="0" w:type="dxa"/>
          </w:tblCellMar>
        </w:tblPrEx>
        <w:trPr>
          <w:trHeight w:val="276" w:hRule="exact"/>
        </w:trPr>
        <w:tc>
          <w:tcPr>
            <w:tcW w:w="1176" w:type="dxa"/>
            <w:tcBorders>
              <w:top w:val="nil"/>
              <w:left w:val="nil"/>
              <w:bottom w:val="nil"/>
              <w:right w:val="nil"/>
            </w:tcBorders>
          </w:tcPr>
          <w:p w14:paraId="40867006">
            <w:pPr>
              <w:pStyle w:val="18"/>
              <w:snapToGrid w:val="0"/>
              <w:spacing w:line="276" w:lineRule="auto"/>
              <w:ind w:left="108"/>
              <w:jc w:val="both"/>
              <w:rPr>
                <w:rFonts w:ascii="Arial" w:hAnsi="Arial" w:eastAsia="宋体" w:cs="Arial"/>
                <w:sz w:val="24"/>
                <w:szCs w:val="24"/>
              </w:rPr>
            </w:pPr>
            <w:r>
              <w:rPr>
                <w:rFonts w:ascii="Arial" w:hAnsi="Arial" w:eastAsia="宋体" w:cs="Arial"/>
                <w:sz w:val="24"/>
              </w:rPr>
              <w:t>NZA</w:t>
            </w:r>
          </w:p>
        </w:tc>
        <w:tc>
          <w:tcPr>
            <w:tcW w:w="5205" w:type="dxa"/>
            <w:tcBorders>
              <w:top w:val="nil"/>
              <w:left w:val="nil"/>
              <w:bottom w:val="nil"/>
              <w:right w:val="nil"/>
            </w:tcBorders>
          </w:tcPr>
          <w:p w14:paraId="65F41CC2">
            <w:pPr>
              <w:snapToGrid w:val="0"/>
              <w:spacing w:line="276" w:lineRule="auto"/>
              <w:jc w:val="both"/>
              <w:rPr>
                <w:rFonts w:ascii="Arial" w:hAnsi="Arial" w:eastAsia="宋体" w:cs="Arial"/>
                <w:lang w:eastAsia="zh-CN"/>
              </w:rPr>
            </w:pPr>
            <w:r>
              <w:rPr>
                <w:rFonts w:ascii="Arial" w:hAnsi="Arial" w:eastAsia="宋体" w:cs="Arial"/>
                <w:lang w:eastAsia="zh-CN"/>
              </w:rPr>
              <w:t>附件、灭菌剂、清洁剂、内窥镜</w:t>
            </w:r>
          </w:p>
        </w:tc>
        <w:tc>
          <w:tcPr>
            <w:tcW w:w="2350" w:type="dxa"/>
            <w:tcBorders>
              <w:top w:val="nil"/>
              <w:left w:val="nil"/>
              <w:bottom w:val="nil"/>
              <w:right w:val="nil"/>
            </w:tcBorders>
          </w:tcPr>
          <w:p w14:paraId="194B1E3A">
            <w:pPr>
              <w:pStyle w:val="18"/>
              <w:snapToGrid w:val="0"/>
              <w:spacing w:line="276" w:lineRule="auto"/>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876.1500</w:t>
            </w:r>
          </w:p>
        </w:tc>
      </w:tr>
      <w:tr w14:paraId="76F0681E">
        <w:tblPrEx>
          <w:tblCellMar>
            <w:top w:w="0" w:type="dxa"/>
            <w:left w:w="0" w:type="dxa"/>
            <w:bottom w:w="0" w:type="dxa"/>
            <w:right w:w="0" w:type="dxa"/>
          </w:tblCellMar>
        </w:tblPrEx>
        <w:trPr>
          <w:trHeight w:val="276" w:hRule="exact"/>
        </w:trPr>
        <w:tc>
          <w:tcPr>
            <w:tcW w:w="1176" w:type="dxa"/>
            <w:tcBorders>
              <w:top w:val="nil"/>
              <w:left w:val="nil"/>
              <w:bottom w:val="nil"/>
              <w:right w:val="nil"/>
            </w:tcBorders>
          </w:tcPr>
          <w:p w14:paraId="6880C278">
            <w:pPr>
              <w:pStyle w:val="18"/>
              <w:snapToGrid w:val="0"/>
              <w:spacing w:line="276" w:lineRule="auto"/>
              <w:ind w:left="108"/>
              <w:jc w:val="both"/>
              <w:rPr>
                <w:rFonts w:ascii="Arial" w:hAnsi="Arial" w:eastAsia="宋体" w:cs="Arial"/>
                <w:sz w:val="24"/>
                <w:szCs w:val="24"/>
              </w:rPr>
            </w:pPr>
            <w:r>
              <w:rPr>
                <w:rFonts w:ascii="Arial" w:hAnsi="Arial" w:eastAsia="宋体" w:cs="Arial"/>
                <w:sz w:val="24"/>
              </w:rPr>
              <w:t>KOG</w:t>
            </w:r>
          </w:p>
        </w:tc>
        <w:tc>
          <w:tcPr>
            <w:tcW w:w="5205" w:type="dxa"/>
            <w:tcBorders>
              <w:top w:val="nil"/>
              <w:left w:val="nil"/>
              <w:bottom w:val="nil"/>
              <w:right w:val="nil"/>
            </w:tcBorders>
          </w:tcPr>
          <w:p w14:paraId="3AE62645">
            <w:pPr>
              <w:snapToGrid w:val="0"/>
              <w:spacing w:line="276" w:lineRule="auto"/>
              <w:jc w:val="both"/>
              <w:rPr>
                <w:rFonts w:ascii="Arial" w:hAnsi="Arial" w:eastAsia="宋体" w:cs="Arial"/>
              </w:rPr>
            </w:pPr>
            <w:r>
              <w:rPr>
                <w:rFonts w:ascii="Arial" w:hAnsi="Arial" w:eastAsia="宋体" w:cs="Arial"/>
              </w:rPr>
              <w:t>内窥镜和/或附件</w:t>
            </w:r>
          </w:p>
        </w:tc>
        <w:tc>
          <w:tcPr>
            <w:tcW w:w="2350" w:type="dxa"/>
            <w:tcBorders>
              <w:top w:val="nil"/>
              <w:left w:val="nil"/>
              <w:bottom w:val="nil"/>
              <w:right w:val="nil"/>
            </w:tcBorders>
          </w:tcPr>
          <w:p w14:paraId="1858AB02">
            <w:pPr>
              <w:pStyle w:val="18"/>
              <w:snapToGrid w:val="0"/>
              <w:spacing w:line="276" w:lineRule="auto"/>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876.1500</w:t>
            </w:r>
          </w:p>
        </w:tc>
      </w:tr>
      <w:tr w14:paraId="521E6E50">
        <w:tblPrEx>
          <w:tblCellMar>
            <w:top w:w="0" w:type="dxa"/>
            <w:left w:w="0" w:type="dxa"/>
            <w:bottom w:w="0" w:type="dxa"/>
            <w:right w:w="0" w:type="dxa"/>
          </w:tblCellMar>
        </w:tblPrEx>
        <w:trPr>
          <w:trHeight w:val="534" w:hRule="exact"/>
        </w:trPr>
        <w:tc>
          <w:tcPr>
            <w:tcW w:w="1176" w:type="dxa"/>
            <w:tcBorders>
              <w:top w:val="nil"/>
              <w:left w:val="nil"/>
              <w:bottom w:val="nil"/>
              <w:right w:val="nil"/>
            </w:tcBorders>
          </w:tcPr>
          <w:p w14:paraId="1EEEB1C8">
            <w:pPr>
              <w:pStyle w:val="18"/>
              <w:snapToGrid w:val="0"/>
              <w:spacing w:line="276" w:lineRule="auto"/>
              <w:ind w:left="108"/>
              <w:jc w:val="both"/>
              <w:rPr>
                <w:rFonts w:ascii="Arial" w:hAnsi="Arial" w:eastAsia="宋体" w:cs="Arial"/>
                <w:sz w:val="24"/>
                <w:szCs w:val="24"/>
              </w:rPr>
            </w:pPr>
            <w:r>
              <w:rPr>
                <w:rFonts w:ascii="Arial" w:hAnsi="Arial" w:eastAsia="宋体" w:cs="Arial"/>
                <w:sz w:val="24"/>
              </w:rPr>
              <w:t>OUJ</w:t>
            </w:r>
          </w:p>
        </w:tc>
        <w:tc>
          <w:tcPr>
            <w:tcW w:w="5205" w:type="dxa"/>
            <w:tcBorders>
              <w:top w:val="nil"/>
              <w:left w:val="nil"/>
              <w:bottom w:val="nil"/>
              <w:right w:val="nil"/>
            </w:tcBorders>
          </w:tcPr>
          <w:p w14:paraId="05617C5D">
            <w:pPr>
              <w:snapToGrid w:val="0"/>
              <w:spacing w:line="276" w:lineRule="auto"/>
              <w:jc w:val="both"/>
              <w:rPr>
                <w:rFonts w:ascii="Arial" w:hAnsi="Arial" w:eastAsia="宋体" w:cs="Arial"/>
                <w:lang w:eastAsia="zh-CN"/>
              </w:rPr>
            </w:pPr>
            <w:r>
              <w:rPr>
                <w:rFonts w:ascii="Arial" w:hAnsi="Arial" w:eastAsia="宋体" w:cs="Arial"/>
                <w:lang w:eastAsia="zh-CN"/>
              </w:rPr>
              <w:t>超声波换能器高水平消毒再加工工具</w:t>
            </w:r>
          </w:p>
        </w:tc>
        <w:tc>
          <w:tcPr>
            <w:tcW w:w="2350" w:type="dxa"/>
            <w:tcBorders>
              <w:top w:val="nil"/>
              <w:left w:val="nil"/>
              <w:bottom w:val="nil"/>
              <w:right w:val="nil"/>
            </w:tcBorders>
          </w:tcPr>
          <w:p w14:paraId="5310904F">
            <w:pPr>
              <w:pStyle w:val="18"/>
              <w:snapToGrid w:val="0"/>
              <w:spacing w:line="276" w:lineRule="auto"/>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892.1570</w:t>
            </w:r>
          </w:p>
        </w:tc>
      </w:tr>
    </w:tbl>
    <w:p w14:paraId="1C231708">
      <w:pPr>
        <w:snapToGrid w:val="0"/>
        <w:spacing w:before="69" w:line="276" w:lineRule="auto"/>
        <w:ind w:left="100"/>
        <w:jc w:val="both"/>
        <w:rPr>
          <w:rFonts w:ascii="Arial" w:hAnsi="Arial" w:eastAsia="宋体" w:cs="Arial"/>
          <w:b/>
          <w:sz w:val="24"/>
        </w:rPr>
      </w:pPr>
    </w:p>
    <w:p w14:paraId="02EB75C1">
      <w:pPr>
        <w:snapToGrid w:val="0"/>
        <w:spacing w:before="69" w:line="276" w:lineRule="auto"/>
        <w:ind w:left="100"/>
        <w:jc w:val="both"/>
        <w:rPr>
          <w:rFonts w:ascii="Arial" w:hAnsi="Arial" w:eastAsia="宋体" w:cs="Arial"/>
          <w:sz w:val="24"/>
          <w:szCs w:val="24"/>
        </w:rPr>
      </w:pPr>
      <w:r>
        <w:rPr>
          <w:rFonts w:ascii="Arial" w:hAnsi="Arial" w:eastAsia="宋体" w:cs="Arial"/>
          <w:b/>
          <w:sz w:val="24"/>
        </w:rPr>
        <w:t>结肠镜（不</w:t>
      </w:r>
      <w:r>
        <w:rPr>
          <w:rFonts w:ascii="Arial" w:hAnsi="Arial" w:eastAsia="宋体" w:cs="Arial"/>
          <w:b/>
          <w:sz w:val="24"/>
          <w:lang w:eastAsia="zh-CN"/>
        </w:rPr>
        <w:t>含</w:t>
      </w:r>
      <w:r>
        <w:rPr>
          <w:rFonts w:ascii="Arial" w:hAnsi="Arial" w:eastAsia="宋体" w:cs="Arial"/>
          <w:b/>
          <w:sz w:val="24"/>
        </w:rPr>
        <w:t>附件）</w:t>
      </w:r>
    </w:p>
    <w:tbl>
      <w:tblPr>
        <w:tblStyle w:val="16"/>
        <w:tblW w:w="0" w:type="auto"/>
        <w:tblInd w:w="100" w:type="dxa"/>
        <w:tblLayout w:type="fixed"/>
        <w:tblCellMar>
          <w:top w:w="0" w:type="dxa"/>
          <w:left w:w="0" w:type="dxa"/>
          <w:bottom w:w="0" w:type="dxa"/>
          <w:right w:w="0" w:type="dxa"/>
        </w:tblCellMar>
      </w:tblPr>
      <w:tblGrid>
        <w:gridCol w:w="1529"/>
        <w:gridCol w:w="4389"/>
        <w:gridCol w:w="2115"/>
      </w:tblGrid>
      <w:tr w14:paraId="0EADB1BC">
        <w:tblPrEx>
          <w:tblCellMar>
            <w:top w:w="0" w:type="dxa"/>
            <w:left w:w="0" w:type="dxa"/>
            <w:bottom w:w="0" w:type="dxa"/>
            <w:right w:w="0" w:type="dxa"/>
          </w:tblCellMar>
        </w:tblPrEx>
        <w:trPr>
          <w:trHeight w:val="571" w:hRule="exact"/>
        </w:trPr>
        <w:tc>
          <w:tcPr>
            <w:tcW w:w="1529" w:type="dxa"/>
            <w:tcBorders>
              <w:top w:val="single" w:color="000000" w:sz="8" w:space="0"/>
              <w:left w:val="nil"/>
              <w:bottom w:val="single" w:color="000000" w:sz="8" w:space="0"/>
              <w:right w:val="nil"/>
            </w:tcBorders>
          </w:tcPr>
          <w:p w14:paraId="52C4A258">
            <w:pPr>
              <w:pStyle w:val="18"/>
              <w:snapToGrid w:val="0"/>
              <w:spacing w:line="276" w:lineRule="auto"/>
              <w:ind w:left="108"/>
              <w:jc w:val="both"/>
              <w:rPr>
                <w:rFonts w:ascii="Arial" w:hAnsi="Arial" w:eastAsia="宋体" w:cs="Arial"/>
                <w:sz w:val="24"/>
                <w:szCs w:val="24"/>
              </w:rPr>
            </w:pPr>
            <w:r>
              <w:rPr>
                <w:rFonts w:ascii="Arial" w:hAnsi="Arial" w:eastAsia="宋体" w:cs="Arial"/>
                <w:sz w:val="24"/>
                <w:szCs w:val="24"/>
                <w:lang w:eastAsia="zh-CN"/>
              </w:rPr>
              <w:t>产品代码</w:t>
            </w:r>
          </w:p>
        </w:tc>
        <w:tc>
          <w:tcPr>
            <w:tcW w:w="4389" w:type="dxa"/>
            <w:tcBorders>
              <w:top w:val="single" w:color="000000" w:sz="8" w:space="0"/>
              <w:left w:val="nil"/>
              <w:bottom w:val="single" w:color="000000" w:sz="8" w:space="0"/>
              <w:right w:val="nil"/>
            </w:tcBorders>
          </w:tcPr>
          <w:p w14:paraId="00F62CB9">
            <w:pPr>
              <w:pStyle w:val="18"/>
              <w:snapToGrid w:val="0"/>
              <w:spacing w:line="276" w:lineRule="auto"/>
              <w:ind w:left="108"/>
              <w:jc w:val="both"/>
              <w:rPr>
                <w:rFonts w:ascii="Arial" w:hAnsi="Arial" w:eastAsia="宋体" w:cs="Arial"/>
                <w:sz w:val="24"/>
                <w:szCs w:val="24"/>
              </w:rPr>
            </w:pPr>
            <w:r>
              <w:rPr>
                <w:rFonts w:ascii="Arial" w:hAnsi="Arial" w:eastAsia="宋体" w:cs="Arial"/>
                <w:sz w:val="24"/>
                <w:szCs w:val="24"/>
                <w:lang w:eastAsia="zh-CN"/>
              </w:rPr>
              <w:t>器械名称</w:t>
            </w:r>
          </w:p>
        </w:tc>
        <w:tc>
          <w:tcPr>
            <w:tcW w:w="2115" w:type="dxa"/>
            <w:tcBorders>
              <w:top w:val="single" w:color="000000" w:sz="8" w:space="0"/>
              <w:left w:val="nil"/>
              <w:bottom w:val="single" w:color="000000" w:sz="8" w:space="0"/>
              <w:right w:val="nil"/>
            </w:tcBorders>
          </w:tcPr>
          <w:p w14:paraId="536ED279">
            <w:pPr>
              <w:pStyle w:val="18"/>
              <w:snapToGrid w:val="0"/>
              <w:spacing w:line="276" w:lineRule="auto"/>
              <w:ind w:left="318"/>
              <w:jc w:val="both"/>
              <w:rPr>
                <w:rFonts w:ascii="Arial" w:hAnsi="Arial" w:eastAsia="宋体" w:cs="Arial"/>
                <w:sz w:val="24"/>
                <w:szCs w:val="24"/>
              </w:rPr>
            </w:pPr>
            <w:r>
              <w:rPr>
                <w:rFonts w:ascii="Arial" w:hAnsi="Arial" w:eastAsia="宋体" w:cs="Arial"/>
                <w:sz w:val="24"/>
                <w:szCs w:val="24"/>
                <w:lang w:eastAsia="zh-CN"/>
              </w:rPr>
              <w:t>法规编号</w:t>
            </w:r>
          </w:p>
        </w:tc>
      </w:tr>
      <w:tr w14:paraId="2EDC7759">
        <w:tblPrEx>
          <w:tblCellMar>
            <w:top w:w="0" w:type="dxa"/>
            <w:left w:w="0" w:type="dxa"/>
            <w:bottom w:w="0" w:type="dxa"/>
            <w:right w:w="0" w:type="dxa"/>
          </w:tblCellMar>
        </w:tblPrEx>
        <w:trPr>
          <w:trHeight w:val="293" w:hRule="exact"/>
        </w:trPr>
        <w:tc>
          <w:tcPr>
            <w:tcW w:w="1529" w:type="dxa"/>
            <w:tcBorders>
              <w:top w:val="single" w:color="000000" w:sz="8" w:space="0"/>
              <w:left w:val="nil"/>
              <w:bottom w:val="nil"/>
              <w:right w:val="nil"/>
            </w:tcBorders>
          </w:tcPr>
          <w:p w14:paraId="3F7AEADD">
            <w:pPr>
              <w:pStyle w:val="18"/>
              <w:snapToGrid w:val="0"/>
              <w:spacing w:line="276" w:lineRule="auto"/>
              <w:ind w:left="108"/>
              <w:jc w:val="both"/>
              <w:rPr>
                <w:rFonts w:ascii="Arial" w:hAnsi="Arial" w:eastAsia="宋体" w:cs="Arial"/>
                <w:sz w:val="24"/>
                <w:szCs w:val="24"/>
              </w:rPr>
            </w:pPr>
            <w:r>
              <w:rPr>
                <w:rFonts w:ascii="Arial" w:hAnsi="Arial" w:eastAsia="宋体" w:cs="Arial"/>
                <w:sz w:val="24"/>
              </w:rPr>
              <w:t>FDF</w:t>
            </w:r>
          </w:p>
        </w:tc>
        <w:tc>
          <w:tcPr>
            <w:tcW w:w="4389" w:type="dxa"/>
            <w:tcBorders>
              <w:top w:val="single" w:color="000000" w:sz="8" w:space="0"/>
              <w:left w:val="nil"/>
              <w:bottom w:val="nil"/>
              <w:right w:val="nil"/>
            </w:tcBorders>
          </w:tcPr>
          <w:p w14:paraId="4E50FBFD">
            <w:pPr>
              <w:snapToGrid w:val="0"/>
              <w:spacing w:line="276" w:lineRule="auto"/>
              <w:jc w:val="both"/>
              <w:rPr>
                <w:rFonts w:ascii="Arial" w:hAnsi="Arial" w:eastAsia="宋体" w:cs="Arial"/>
                <w:lang w:eastAsia="zh-CN"/>
              </w:rPr>
            </w:pPr>
            <w:r>
              <w:rPr>
                <w:rFonts w:ascii="Arial" w:hAnsi="Arial" w:eastAsia="宋体" w:cs="Arial"/>
                <w:lang w:eastAsia="zh-CN"/>
              </w:rPr>
              <w:t>结肠镜和附件，柔性/刚性</w:t>
            </w:r>
          </w:p>
        </w:tc>
        <w:tc>
          <w:tcPr>
            <w:tcW w:w="2115" w:type="dxa"/>
            <w:tcBorders>
              <w:top w:val="single" w:color="000000" w:sz="8" w:space="0"/>
              <w:left w:val="nil"/>
              <w:bottom w:val="nil"/>
              <w:right w:val="nil"/>
            </w:tcBorders>
          </w:tcPr>
          <w:p w14:paraId="3137DCFA">
            <w:pPr>
              <w:pStyle w:val="18"/>
              <w:snapToGrid w:val="0"/>
              <w:spacing w:line="276" w:lineRule="auto"/>
              <w:ind w:left="108"/>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876.1500</w:t>
            </w:r>
          </w:p>
        </w:tc>
      </w:tr>
      <w:tr w14:paraId="1F8A5750">
        <w:tblPrEx>
          <w:tblCellMar>
            <w:top w:w="0" w:type="dxa"/>
            <w:left w:w="0" w:type="dxa"/>
            <w:bottom w:w="0" w:type="dxa"/>
            <w:right w:w="0" w:type="dxa"/>
          </w:tblCellMar>
        </w:tblPrEx>
        <w:trPr>
          <w:trHeight w:val="276" w:hRule="exact"/>
        </w:trPr>
        <w:tc>
          <w:tcPr>
            <w:tcW w:w="1529" w:type="dxa"/>
            <w:tcBorders>
              <w:top w:val="nil"/>
              <w:left w:val="nil"/>
              <w:bottom w:val="single" w:color="000000" w:sz="4" w:space="0"/>
              <w:right w:val="nil"/>
            </w:tcBorders>
          </w:tcPr>
          <w:p w14:paraId="58B1058B">
            <w:pPr>
              <w:pStyle w:val="18"/>
              <w:snapToGrid w:val="0"/>
              <w:spacing w:line="276" w:lineRule="auto"/>
              <w:ind w:left="108"/>
              <w:jc w:val="both"/>
              <w:rPr>
                <w:rFonts w:ascii="Arial" w:hAnsi="Arial" w:eastAsia="宋体" w:cs="Arial"/>
                <w:sz w:val="24"/>
                <w:szCs w:val="24"/>
              </w:rPr>
            </w:pPr>
            <w:r>
              <w:rPr>
                <w:rFonts w:ascii="Arial" w:hAnsi="Arial" w:eastAsia="宋体" w:cs="Arial"/>
                <w:sz w:val="24"/>
              </w:rPr>
              <w:t>FDA</w:t>
            </w:r>
          </w:p>
        </w:tc>
        <w:tc>
          <w:tcPr>
            <w:tcW w:w="4389" w:type="dxa"/>
            <w:tcBorders>
              <w:top w:val="nil"/>
              <w:left w:val="nil"/>
              <w:bottom w:val="single" w:color="000000" w:sz="4" w:space="0"/>
              <w:right w:val="nil"/>
            </w:tcBorders>
          </w:tcPr>
          <w:p w14:paraId="2826998D">
            <w:pPr>
              <w:snapToGrid w:val="0"/>
              <w:spacing w:line="276" w:lineRule="auto"/>
              <w:jc w:val="both"/>
              <w:rPr>
                <w:rFonts w:ascii="Arial" w:hAnsi="Arial" w:eastAsia="宋体" w:cs="Arial"/>
              </w:rPr>
            </w:pPr>
            <w:r>
              <w:rPr>
                <w:rFonts w:ascii="Arial" w:hAnsi="Arial" w:eastAsia="宋体" w:cs="Arial"/>
              </w:rPr>
              <w:t>肠镜和附件</w:t>
            </w:r>
          </w:p>
        </w:tc>
        <w:tc>
          <w:tcPr>
            <w:tcW w:w="2115" w:type="dxa"/>
            <w:tcBorders>
              <w:top w:val="nil"/>
              <w:left w:val="nil"/>
              <w:bottom w:val="single" w:color="000000" w:sz="4" w:space="0"/>
              <w:right w:val="nil"/>
            </w:tcBorders>
          </w:tcPr>
          <w:p w14:paraId="3AA55298">
            <w:pPr>
              <w:pStyle w:val="18"/>
              <w:snapToGrid w:val="0"/>
              <w:spacing w:line="276" w:lineRule="auto"/>
              <w:ind w:left="108"/>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876.1500</w:t>
            </w:r>
          </w:p>
        </w:tc>
      </w:tr>
    </w:tbl>
    <w:p w14:paraId="6D93D777">
      <w:pPr>
        <w:snapToGrid w:val="0"/>
        <w:spacing w:before="11" w:line="276" w:lineRule="auto"/>
        <w:jc w:val="both"/>
        <w:rPr>
          <w:rFonts w:ascii="Arial" w:hAnsi="Arial" w:eastAsia="宋体" w:cs="Arial"/>
          <w:b/>
          <w:bCs/>
          <w:sz w:val="17"/>
          <w:szCs w:val="17"/>
        </w:rPr>
      </w:pPr>
    </w:p>
    <w:p w14:paraId="234D7173">
      <w:pPr>
        <w:snapToGrid w:val="0"/>
        <w:spacing w:before="69" w:line="276" w:lineRule="auto"/>
        <w:ind w:left="100"/>
        <w:jc w:val="both"/>
        <w:rPr>
          <w:rFonts w:ascii="Arial" w:hAnsi="Arial" w:eastAsia="宋体" w:cs="Arial"/>
          <w:sz w:val="24"/>
          <w:szCs w:val="24"/>
          <w:lang w:eastAsia="zh-CN"/>
        </w:rPr>
      </w:pPr>
      <w:r>
        <w:rPr>
          <w:rFonts w:ascii="Arial" w:hAnsi="Arial" w:eastAsia="宋体" w:cs="Arial"/>
          <w:b/>
          <w:sz w:val="24"/>
          <w:lang w:eastAsia="zh-CN"/>
        </w:rPr>
        <w:t>神经内窥镜（不含附件）</w:t>
      </w:r>
    </w:p>
    <w:tbl>
      <w:tblPr>
        <w:tblStyle w:val="16"/>
        <w:tblW w:w="0" w:type="auto"/>
        <w:tblInd w:w="100" w:type="dxa"/>
        <w:tblLayout w:type="fixed"/>
        <w:tblCellMar>
          <w:top w:w="0" w:type="dxa"/>
          <w:left w:w="0" w:type="dxa"/>
          <w:bottom w:w="0" w:type="dxa"/>
          <w:right w:w="0" w:type="dxa"/>
        </w:tblCellMar>
      </w:tblPr>
      <w:tblGrid>
        <w:gridCol w:w="1524"/>
        <w:gridCol w:w="2578"/>
        <w:gridCol w:w="2107"/>
      </w:tblGrid>
      <w:tr w14:paraId="3F4021A4">
        <w:tblPrEx>
          <w:tblCellMar>
            <w:top w:w="0" w:type="dxa"/>
            <w:left w:w="0" w:type="dxa"/>
            <w:bottom w:w="0" w:type="dxa"/>
            <w:right w:w="0" w:type="dxa"/>
          </w:tblCellMar>
        </w:tblPrEx>
        <w:trPr>
          <w:trHeight w:val="586" w:hRule="exact"/>
        </w:trPr>
        <w:tc>
          <w:tcPr>
            <w:tcW w:w="1524" w:type="dxa"/>
            <w:tcBorders>
              <w:top w:val="single" w:color="000000" w:sz="8" w:space="0"/>
              <w:left w:val="nil"/>
              <w:bottom w:val="nil"/>
              <w:right w:val="nil"/>
            </w:tcBorders>
          </w:tcPr>
          <w:p w14:paraId="264FC9A5">
            <w:pPr>
              <w:pStyle w:val="18"/>
              <w:snapToGrid w:val="0"/>
              <w:spacing w:line="276" w:lineRule="auto"/>
              <w:ind w:left="108"/>
              <w:jc w:val="both"/>
              <w:rPr>
                <w:rFonts w:ascii="Arial" w:hAnsi="Arial" w:eastAsia="宋体" w:cs="Arial"/>
                <w:sz w:val="24"/>
                <w:szCs w:val="24"/>
              </w:rPr>
            </w:pPr>
            <w:r>
              <w:rPr>
                <w:rFonts w:ascii="Arial" w:hAnsi="Arial" w:eastAsia="宋体" w:cs="Arial"/>
                <w:sz w:val="24"/>
                <w:szCs w:val="24"/>
                <w:lang w:eastAsia="zh-CN"/>
              </w:rPr>
              <w:t>产品代码</w:t>
            </w:r>
          </w:p>
        </w:tc>
        <w:tc>
          <w:tcPr>
            <w:tcW w:w="2578" w:type="dxa"/>
            <w:tcBorders>
              <w:top w:val="single" w:color="000000" w:sz="8" w:space="0"/>
              <w:left w:val="nil"/>
              <w:bottom w:val="nil"/>
              <w:right w:val="nil"/>
            </w:tcBorders>
          </w:tcPr>
          <w:p w14:paraId="1F62BAEB">
            <w:pPr>
              <w:pStyle w:val="18"/>
              <w:snapToGrid w:val="0"/>
              <w:spacing w:line="276" w:lineRule="auto"/>
              <w:ind w:left="108"/>
              <w:jc w:val="both"/>
              <w:rPr>
                <w:rFonts w:ascii="Arial" w:hAnsi="Arial" w:eastAsia="宋体" w:cs="Arial"/>
                <w:sz w:val="24"/>
                <w:szCs w:val="24"/>
              </w:rPr>
            </w:pPr>
            <w:r>
              <w:rPr>
                <w:rFonts w:ascii="Arial" w:hAnsi="Arial" w:eastAsia="宋体" w:cs="Arial"/>
                <w:sz w:val="24"/>
                <w:szCs w:val="24"/>
                <w:lang w:eastAsia="zh-CN"/>
              </w:rPr>
              <w:t>器械名称</w:t>
            </w:r>
          </w:p>
        </w:tc>
        <w:tc>
          <w:tcPr>
            <w:tcW w:w="2107" w:type="dxa"/>
            <w:tcBorders>
              <w:top w:val="single" w:color="000000" w:sz="8" w:space="0"/>
              <w:left w:val="nil"/>
              <w:bottom w:val="nil"/>
              <w:right w:val="nil"/>
            </w:tcBorders>
          </w:tcPr>
          <w:p w14:paraId="2F563F30">
            <w:pPr>
              <w:pStyle w:val="18"/>
              <w:snapToGrid w:val="0"/>
              <w:spacing w:line="276" w:lineRule="auto"/>
              <w:ind w:left="318"/>
              <w:jc w:val="both"/>
              <w:rPr>
                <w:rFonts w:ascii="Arial" w:hAnsi="Arial" w:eastAsia="宋体" w:cs="Arial"/>
                <w:sz w:val="24"/>
                <w:szCs w:val="24"/>
              </w:rPr>
            </w:pPr>
            <w:r>
              <w:rPr>
                <w:rFonts w:ascii="Arial" w:hAnsi="Arial" w:eastAsia="宋体" w:cs="Arial"/>
                <w:sz w:val="24"/>
                <w:szCs w:val="24"/>
                <w:lang w:eastAsia="zh-CN"/>
              </w:rPr>
              <w:t>法规编号</w:t>
            </w:r>
          </w:p>
        </w:tc>
      </w:tr>
      <w:tr w14:paraId="730D7665">
        <w:tblPrEx>
          <w:tblCellMar>
            <w:top w:w="0" w:type="dxa"/>
            <w:left w:w="0" w:type="dxa"/>
            <w:bottom w:w="0" w:type="dxa"/>
            <w:right w:w="0" w:type="dxa"/>
          </w:tblCellMar>
        </w:tblPrEx>
        <w:trPr>
          <w:trHeight w:val="551" w:hRule="exact"/>
        </w:trPr>
        <w:tc>
          <w:tcPr>
            <w:tcW w:w="1524" w:type="dxa"/>
            <w:tcBorders>
              <w:top w:val="nil"/>
              <w:left w:val="nil"/>
              <w:bottom w:val="single" w:color="000000" w:sz="4" w:space="0"/>
              <w:right w:val="nil"/>
            </w:tcBorders>
          </w:tcPr>
          <w:p w14:paraId="20365B48">
            <w:pPr>
              <w:pStyle w:val="18"/>
              <w:snapToGrid w:val="0"/>
              <w:spacing w:line="276" w:lineRule="auto"/>
              <w:ind w:left="108"/>
              <w:jc w:val="both"/>
              <w:rPr>
                <w:rFonts w:ascii="Arial" w:hAnsi="Arial" w:eastAsia="宋体" w:cs="Arial"/>
                <w:sz w:val="24"/>
                <w:szCs w:val="24"/>
              </w:rPr>
            </w:pPr>
            <w:r>
              <w:rPr>
                <w:rFonts w:ascii="Arial" w:hAnsi="Arial" w:eastAsia="宋体" w:cs="Arial"/>
                <w:sz w:val="24"/>
              </w:rPr>
              <w:t>GWG</w:t>
            </w:r>
          </w:p>
        </w:tc>
        <w:tc>
          <w:tcPr>
            <w:tcW w:w="2578" w:type="dxa"/>
            <w:tcBorders>
              <w:top w:val="nil"/>
              <w:left w:val="nil"/>
              <w:bottom w:val="single" w:color="000000" w:sz="4" w:space="0"/>
              <w:right w:val="nil"/>
            </w:tcBorders>
          </w:tcPr>
          <w:p w14:paraId="61CE5D88">
            <w:pPr>
              <w:pStyle w:val="18"/>
              <w:snapToGrid w:val="0"/>
              <w:spacing w:line="276" w:lineRule="auto"/>
              <w:ind w:left="107"/>
              <w:jc w:val="both"/>
              <w:rPr>
                <w:rFonts w:ascii="Arial" w:hAnsi="Arial" w:eastAsia="宋体" w:cs="Arial"/>
                <w:sz w:val="24"/>
                <w:szCs w:val="24"/>
              </w:rPr>
            </w:pPr>
            <w:r>
              <w:rPr>
                <w:rFonts w:ascii="Arial" w:hAnsi="Arial" w:eastAsia="宋体" w:cs="Arial"/>
                <w:sz w:val="24"/>
                <w:lang w:eastAsia="zh-CN"/>
              </w:rPr>
              <w:t>内窥镜、</w:t>
            </w:r>
            <w:r>
              <w:rPr>
                <w:rFonts w:ascii="Arial" w:hAnsi="Arial" w:eastAsia="宋体" w:cs="Arial"/>
                <w:sz w:val="24"/>
              </w:rPr>
              <w:t>神经病学</w:t>
            </w:r>
          </w:p>
        </w:tc>
        <w:tc>
          <w:tcPr>
            <w:tcW w:w="2107" w:type="dxa"/>
            <w:tcBorders>
              <w:top w:val="nil"/>
              <w:left w:val="nil"/>
              <w:bottom w:val="single" w:color="000000" w:sz="4" w:space="0"/>
              <w:right w:val="nil"/>
            </w:tcBorders>
          </w:tcPr>
          <w:p w14:paraId="1D995F1D">
            <w:pPr>
              <w:pStyle w:val="18"/>
              <w:snapToGrid w:val="0"/>
              <w:spacing w:line="276" w:lineRule="auto"/>
              <w:ind w:left="110"/>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882.1480</w:t>
            </w:r>
          </w:p>
        </w:tc>
      </w:tr>
    </w:tbl>
    <w:p w14:paraId="62139A92">
      <w:pPr>
        <w:snapToGrid w:val="0"/>
        <w:spacing w:before="11" w:line="276" w:lineRule="auto"/>
        <w:jc w:val="both"/>
        <w:rPr>
          <w:rFonts w:ascii="Arial" w:hAnsi="Arial" w:eastAsia="宋体" w:cs="Arial"/>
          <w:b/>
          <w:bCs/>
          <w:sz w:val="17"/>
          <w:szCs w:val="17"/>
        </w:rPr>
      </w:pPr>
    </w:p>
    <w:p w14:paraId="49AF909D">
      <w:pPr>
        <w:snapToGrid w:val="0"/>
        <w:spacing w:before="69" w:line="276" w:lineRule="auto"/>
        <w:ind w:left="100"/>
        <w:jc w:val="both"/>
        <w:rPr>
          <w:rFonts w:ascii="Arial" w:hAnsi="Arial" w:eastAsia="宋体" w:cs="Arial"/>
          <w:sz w:val="24"/>
          <w:szCs w:val="24"/>
        </w:rPr>
      </w:pPr>
      <w:r>
        <w:rPr>
          <w:rFonts w:ascii="Arial" w:hAnsi="Arial" w:eastAsia="宋体" w:cs="Arial"/>
          <w:b/>
          <w:sz w:val="24"/>
        </w:rPr>
        <w:t>关节镜及附件</w:t>
      </w:r>
    </w:p>
    <w:tbl>
      <w:tblPr>
        <w:tblStyle w:val="16"/>
        <w:tblW w:w="0" w:type="auto"/>
        <w:tblInd w:w="100" w:type="dxa"/>
        <w:tblLayout w:type="fixed"/>
        <w:tblCellMar>
          <w:top w:w="0" w:type="dxa"/>
          <w:left w:w="0" w:type="dxa"/>
          <w:bottom w:w="0" w:type="dxa"/>
          <w:right w:w="0" w:type="dxa"/>
        </w:tblCellMar>
      </w:tblPr>
      <w:tblGrid>
        <w:gridCol w:w="1529"/>
        <w:gridCol w:w="1946"/>
        <w:gridCol w:w="2372"/>
      </w:tblGrid>
      <w:tr w14:paraId="58E62020">
        <w:tblPrEx>
          <w:tblCellMar>
            <w:top w:w="0" w:type="dxa"/>
            <w:left w:w="0" w:type="dxa"/>
            <w:bottom w:w="0" w:type="dxa"/>
            <w:right w:w="0" w:type="dxa"/>
          </w:tblCellMar>
        </w:tblPrEx>
        <w:trPr>
          <w:trHeight w:val="569" w:hRule="exact"/>
        </w:trPr>
        <w:tc>
          <w:tcPr>
            <w:tcW w:w="1529" w:type="dxa"/>
            <w:tcBorders>
              <w:top w:val="single" w:color="000000" w:sz="8" w:space="0"/>
              <w:left w:val="nil"/>
              <w:bottom w:val="nil"/>
              <w:right w:val="nil"/>
            </w:tcBorders>
          </w:tcPr>
          <w:p w14:paraId="04687B95">
            <w:pPr>
              <w:pStyle w:val="18"/>
              <w:snapToGrid w:val="0"/>
              <w:spacing w:line="276" w:lineRule="auto"/>
              <w:ind w:left="108"/>
              <w:jc w:val="both"/>
              <w:rPr>
                <w:rFonts w:ascii="Arial" w:hAnsi="Arial" w:eastAsia="宋体" w:cs="Arial"/>
                <w:sz w:val="24"/>
                <w:szCs w:val="24"/>
              </w:rPr>
            </w:pPr>
            <w:r>
              <w:rPr>
                <w:rFonts w:ascii="Arial" w:hAnsi="Arial" w:eastAsia="宋体" w:cs="Arial"/>
                <w:sz w:val="24"/>
                <w:szCs w:val="24"/>
                <w:lang w:eastAsia="zh-CN"/>
              </w:rPr>
              <w:t>产品代码</w:t>
            </w:r>
          </w:p>
        </w:tc>
        <w:tc>
          <w:tcPr>
            <w:tcW w:w="1946" w:type="dxa"/>
            <w:tcBorders>
              <w:top w:val="single" w:color="000000" w:sz="8" w:space="0"/>
              <w:left w:val="nil"/>
              <w:bottom w:val="nil"/>
              <w:right w:val="nil"/>
            </w:tcBorders>
          </w:tcPr>
          <w:p w14:paraId="09BC0894">
            <w:pPr>
              <w:pStyle w:val="18"/>
              <w:snapToGrid w:val="0"/>
              <w:spacing w:line="276" w:lineRule="auto"/>
              <w:ind w:left="108"/>
              <w:jc w:val="both"/>
              <w:rPr>
                <w:rFonts w:ascii="Arial" w:hAnsi="Arial" w:eastAsia="宋体" w:cs="Arial"/>
                <w:sz w:val="24"/>
                <w:szCs w:val="24"/>
              </w:rPr>
            </w:pPr>
            <w:r>
              <w:rPr>
                <w:rFonts w:ascii="Arial" w:hAnsi="Arial" w:eastAsia="宋体" w:cs="Arial"/>
                <w:sz w:val="24"/>
                <w:szCs w:val="24"/>
                <w:lang w:eastAsia="zh-CN"/>
              </w:rPr>
              <w:t>器械名称</w:t>
            </w:r>
          </w:p>
        </w:tc>
        <w:tc>
          <w:tcPr>
            <w:tcW w:w="2372" w:type="dxa"/>
            <w:tcBorders>
              <w:top w:val="single" w:color="000000" w:sz="8" w:space="0"/>
              <w:left w:val="nil"/>
              <w:bottom w:val="nil"/>
              <w:right w:val="nil"/>
            </w:tcBorders>
          </w:tcPr>
          <w:p w14:paraId="6305951B">
            <w:pPr>
              <w:pStyle w:val="18"/>
              <w:snapToGrid w:val="0"/>
              <w:spacing w:line="276" w:lineRule="auto"/>
              <w:ind w:left="318"/>
              <w:jc w:val="both"/>
              <w:rPr>
                <w:rFonts w:ascii="Arial" w:hAnsi="Arial" w:eastAsia="宋体" w:cs="Arial"/>
                <w:sz w:val="24"/>
                <w:szCs w:val="24"/>
              </w:rPr>
            </w:pPr>
            <w:r>
              <w:rPr>
                <w:rFonts w:ascii="Arial" w:hAnsi="Arial" w:eastAsia="宋体" w:cs="Arial"/>
                <w:sz w:val="24"/>
                <w:szCs w:val="24"/>
                <w:lang w:eastAsia="zh-CN"/>
              </w:rPr>
              <w:t>法规编号</w:t>
            </w:r>
          </w:p>
        </w:tc>
      </w:tr>
      <w:tr w14:paraId="4356A135">
        <w:tblPrEx>
          <w:tblCellMar>
            <w:top w:w="0" w:type="dxa"/>
            <w:left w:w="0" w:type="dxa"/>
            <w:bottom w:w="0" w:type="dxa"/>
            <w:right w:w="0" w:type="dxa"/>
          </w:tblCellMar>
        </w:tblPrEx>
        <w:trPr>
          <w:trHeight w:val="258" w:hRule="exact"/>
        </w:trPr>
        <w:tc>
          <w:tcPr>
            <w:tcW w:w="1529" w:type="dxa"/>
            <w:tcBorders>
              <w:top w:val="nil"/>
              <w:left w:val="nil"/>
              <w:bottom w:val="nil"/>
              <w:right w:val="nil"/>
            </w:tcBorders>
          </w:tcPr>
          <w:p w14:paraId="2AE7EC11">
            <w:pPr>
              <w:pStyle w:val="18"/>
              <w:tabs>
                <w:tab w:val="left" w:pos="1636"/>
              </w:tabs>
              <w:snapToGrid w:val="0"/>
              <w:spacing w:line="276" w:lineRule="auto"/>
              <w:ind w:left="-15"/>
              <w:jc w:val="both"/>
              <w:rPr>
                <w:rFonts w:ascii="Arial" w:hAnsi="Arial" w:eastAsia="宋体" w:cs="Arial"/>
                <w:sz w:val="24"/>
                <w:szCs w:val="24"/>
              </w:rPr>
            </w:pPr>
            <w:r>
              <w:rPr>
                <w:rFonts w:ascii="Arial" w:hAnsi="Arial" w:eastAsia="宋体" w:cs="Arial"/>
                <w:sz w:val="24"/>
              </w:rPr>
              <w:t>HRX</w:t>
            </w:r>
            <w:r>
              <w:rPr>
                <w:rFonts w:ascii="Arial" w:hAnsi="Arial" w:eastAsia="宋体" w:cs="Arial"/>
                <w:sz w:val="24"/>
              </w:rPr>
              <w:tab/>
            </w:r>
          </w:p>
        </w:tc>
        <w:tc>
          <w:tcPr>
            <w:tcW w:w="1946" w:type="dxa"/>
            <w:tcBorders>
              <w:top w:val="nil"/>
              <w:left w:val="nil"/>
              <w:bottom w:val="nil"/>
              <w:right w:val="nil"/>
            </w:tcBorders>
          </w:tcPr>
          <w:p w14:paraId="6BE5F69C">
            <w:pPr>
              <w:pStyle w:val="18"/>
              <w:tabs>
                <w:tab w:val="left" w:pos="2471"/>
              </w:tabs>
              <w:snapToGrid w:val="0"/>
              <w:spacing w:line="276" w:lineRule="auto"/>
              <w:ind w:left="107"/>
              <w:jc w:val="both"/>
              <w:rPr>
                <w:rFonts w:ascii="Arial" w:hAnsi="Arial" w:eastAsia="宋体" w:cs="Arial"/>
                <w:sz w:val="24"/>
                <w:szCs w:val="24"/>
              </w:rPr>
            </w:pPr>
            <w:r>
              <w:rPr>
                <w:rFonts w:ascii="Arial" w:hAnsi="Arial" w:eastAsia="宋体" w:cs="Arial"/>
                <w:sz w:val="24"/>
              </w:rPr>
              <w:t>关节镜</w:t>
            </w:r>
            <w:r>
              <w:rPr>
                <w:rFonts w:ascii="Arial" w:hAnsi="Arial" w:eastAsia="宋体" w:cs="Arial"/>
                <w:sz w:val="24"/>
              </w:rPr>
              <w:tab/>
            </w:r>
          </w:p>
        </w:tc>
        <w:tc>
          <w:tcPr>
            <w:tcW w:w="2372" w:type="dxa"/>
            <w:tcBorders>
              <w:top w:val="nil"/>
              <w:left w:val="nil"/>
              <w:bottom w:val="nil"/>
              <w:right w:val="nil"/>
            </w:tcBorders>
          </w:tcPr>
          <w:p w14:paraId="03FDABD7">
            <w:pPr>
              <w:pStyle w:val="18"/>
              <w:tabs>
                <w:tab w:val="left" w:pos="2371"/>
              </w:tabs>
              <w:snapToGrid w:val="0"/>
              <w:spacing w:line="276" w:lineRule="auto"/>
              <w:ind w:left="526"/>
              <w:jc w:val="both"/>
              <w:rPr>
                <w:rFonts w:ascii="Arial" w:hAnsi="Arial" w:eastAsia="宋体" w:cs="Arial"/>
                <w:sz w:val="24"/>
                <w:szCs w:val="24"/>
              </w:rPr>
            </w:pPr>
            <w:r>
              <w:rPr>
                <w:rFonts w:ascii="Arial" w:hAnsi="Arial" w:eastAsia="宋体" w:cs="Arial"/>
                <w:sz w:val="24"/>
              </w:rPr>
              <w:t>21CFR</w:t>
            </w:r>
            <w:r>
              <w:rPr>
                <w:rFonts w:ascii="Arial" w:hAnsi="Arial" w:eastAsia="宋体" w:cs="Arial"/>
                <w:spacing w:val="-2"/>
                <w:sz w:val="24"/>
              </w:rPr>
              <w:t xml:space="preserve"> </w:t>
            </w:r>
            <w:r>
              <w:rPr>
                <w:rFonts w:ascii="Arial" w:hAnsi="Arial" w:eastAsia="宋体" w:cs="Arial"/>
                <w:sz w:val="24"/>
              </w:rPr>
              <w:t>888.1100</w:t>
            </w:r>
            <w:r>
              <w:rPr>
                <w:rFonts w:ascii="Arial" w:hAnsi="Arial" w:eastAsia="宋体" w:cs="Arial"/>
                <w:sz w:val="24"/>
              </w:rPr>
              <w:tab/>
            </w:r>
          </w:p>
        </w:tc>
      </w:tr>
    </w:tbl>
    <w:p w14:paraId="427A72C2">
      <w:pPr>
        <w:snapToGrid w:val="0"/>
        <w:spacing w:before="11" w:line="276" w:lineRule="auto"/>
        <w:jc w:val="both"/>
        <w:rPr>
          <w:rFonts w:ascii="Arial" w:hAnsi="Arial" w:eastAsia="宋体" w:cs="Arial"/>
          <w:b/>
          <w:bCs/>
          <w:sz w:val="19"/>
          <w:szCs w:val="19"/>
        </w:rPr>
      </w:pPr>
    </w:p>
    <w:p w14:paraId="2B884BB4">
      <w:pPr>
        <w:snapToGrid w:val="0"/>
        <w:spacing w:before="69" w:line="276" w:lineRule="auto"/>
        <w:ind w:left="100"/>
        <w:jc w:val="both"/>
        <w:rPr>
          <w:rFonts w:ascii="Arial" w:hAnsi="Arial" w:eastAsia="宋体" w:cs="Arial"/>
          <w:sz w:val="24"/>
          <w:szCs w:val="24"/>
        </w:rPr>
      </w:pPr>
      <w:r>
        <w:rPr>
          <w:rFonts w:ascii="Arial" w:hAnsi="Arial" w:eastAsia="宋体" w:cs="Arial"/>
          <w:b/>
          <w:sz w:val="24"/>
        </w:rPr>
        <w:t>腹腔镜</w:t>
      </w:r>
      <w:r>
        <w:rPr>
          <w:rFonts w:ascii="Arial" w:hAnsi="Arial" w:eastAsia="宋体" w:cs="Arial"/>
          <w:b/>
          <w:sz w:val="24"/>
          <w:lang w:eastAsia="zh-CN"/>
        </w:rPr>
        <w:t>工具</w:t>
      </w:r>
      <w:r>
        <w:rPr>
          <w:rFonts w:ascii="Arial" w:hAnsi="Arial" w:eastAsia="宋体" w:cs="Arial"/>
          <w:b/>
          <w:sz w:val="24"/>
        </w:rPr>
        <w:t>及附件**</w:t>
      </w:r>
    </w:p>
    <w:tbl>
      <w:tblPr>
        <w:tblStyle w:val="16"/>
        <w:tblW w:w="0" w:type="auto"/>
        <w:tblInd w:w="100" w:type="dxa"/>
        <w:tblLayout w:type="fixed"/>
        <w:tblCellMar>
          <w:top w:w="0" w:type="dxa"/>
          <w:left w:w="0" w:type="dxa"/>
          <w:bottom w:w="0" w:type="dxa"/>
          <w:right w:w="0" w:type="dxa"/>
        </w:tblCellMar>
      </w:tblPr>
      <w:tblGrid>
        <w:gridCol w:w="1529"/>
        <w:gridCol w:w="5268"/>
        <w:gridCol w:w="2100"/>
      </w:tblGrid>
      <w:tr w14:paraId="701873F8">
        <w:tblPrEx>
          <w:tblCellMar>
            <w:top w:w="0" w:type="dxa"/>
            <w:left w:w="0" w:type="dxa"/>
            <w:bottom w:w="0" w:type="dxa"/>
            <w:right w:w="0" w:type="dxa"/>
          </w:tblCellMar>
        </w:tblPrEx>
        <w:trPr>
          <w:trHeight w:val="571" w:hRule="exact"/>
        </w:trPr>
        <w:tc>
          <w:tcPr>
            <w:tcW w:w="1529" w:type="dxa"/>
            <w:tcBorders>
              <w:top w:val="single" w:color="000000" w:sz="8" w:space="0"/>
              <w:left w:val="nil"/>
              <w:bottom w:val="single" w:color="000000" w:sz="8" w:space="0"/>
              <w:right w:val="nil"/>
            </w:tcBorders>
          </w:tcPr>
          <w:p w14:paraId="48290C9D">
            <w:pPr>
              <w:pStyle w:val="18"/>
              <w:snapToGrid w:val="0"/>
              <w:spacing w:line="276" w:lineRule="auto"/>
              <w:ind w:left="108"/>
              <w:jc w:val="both"/>
              <w:rPr>
                <w:rFonts w:ascii="Arial" w:hAnsi="Arial" w:eastAsia="宋体" w:cs="Arial"/>
                <w:sz w:val="24"/>
                <w:szCs w:val="24"/>
              </w:rPr>
            </w:pPr>
            <w:r>
              <w:rPr>
                <w:rFonts w:ascii="Arial" w:hAnsi="Arial" w:eastAsia="宋体" w:cs="Arial"/>
                <w:sz w:val="24"/>
                <w:szCs w:val="24"/>
                <w:lang w:eastAsia="zh-CN"/>
              </w:rPr>
              <w:t>产品代码</w:t>
            </w:r>
          </w:p>
        </w:tc>
        <w:tc>
          <w:tcPr>
            <w:tcW w:w="5268" w:type="dxa"/>
            <w:tcBorders>
              <w:top w:val="single" w:color="000000" w:sz="8" w:space="0"/>
              <w:left w:val="nil"/>
              <w:bottom w:val="single" w:color="000000" w:sz="8" w:space="0"/>
              <w:right w:val="nil"/>
            </w:tcBorders>
          </w:tcPr>
          <w:p w14:paraId="30EE9AC6">
            <w:pPr>
              <w:pStyle w:val="18"/>
              <w:snapToGrid w:val="0"/>
              <w:spacing w:line="276" w:lineRule="auto"/>
              <w:ind w:left="108"/>
              <w:jc w:val="both"/>
              <w:rPr>
                <w:rFonts w:ascii="Arial" w:hAnsi="Arial" w:eastAsia="宋体" w:cs="Arial"/>
                <w:sz w:val="24"/>
                <w:szCs w:val="24"/>
              </w:rPr>
            </w:pPr>
            <w:r>
              <w:rPr>
                <w:rFonts w:ascii="Arial" w:hAnsi="Arial" w:eastAsia="宋体" w:cs="Arial"/>
                <w:sz w:val="24"/>
                <w:szCs w:val="24"/>
                <w:lang w:eastAsia="zh-CN"/>
              </w:rPr>
              <w:t>器械名称</w:t>
            </w:r>
          </w:p>
        </w:tc>
        <w:tc>
          <w:tcPr>
            <w:tcW w:w="2100" w:type="dxa"/>
            <w:tcBorders>
              <w:top w:val="single" w:color="000000" w:sz="8" w:space="0"/>
              <w:left w:val="nil"/>
              <w:bottom w:val="single" w:color="000000" w:sz="8" w:space="0"/>
              <w:right w:val="nil"/>
            </w:tcBorders>
          </w:tcPr>
          <w:p w14:paraId="13DB1555">
            <w:pPr>
              <w:pStyle w:val="18"/>
              <w:snapToGrid w:val="0"/>
              <w:spacing w:line="276" w:lineRule="auto"/>
              <w:ind w:left="318"/>
              <w:jc w:val="both"/>
              <w:rPr>
                <w:rFonts w:ascii="Arial" w:hAnsi="Arial" w:eastAsia="宋体" w:cs="Arial"/>
                <w:sz w:val="24"/>
                <w:szCs w:val="24"/>
              </w:rPr>
            </w:pPr>
            <w:r>
              <w:rPr>
                <w:rFonts w:ascii="Arial" w:hAnsi="Arial" w:eastAsia="宋体" w:cs="Arial"/>
                <w:sz w:val="24"/>
                <w:szCs w:val="24"/>
                <w:lang w:eastAsia="zh-CN"/>
              </w:rPr>
              <w:t>法规编号</w:t>
            </w:r>
          </w:p>
        </w:tc>
      </w:tr>
      <w:tr w14:paraId="24AA51E1">
        <w:tblPrEx>
          <w:tblCellMar>
            <w:top w:w="0" w:type="dxa"/>
            <w:left w:w="0" w:type="dxa"/>
            <w:bottom w:w="0" w:type="dxa"/>
            <w:right w:w="0" w:type="dxa"/>
          </w:tblCellMar>
        </w:tblPrEx>
        <w:trPr>
          <w:trHeight w:val="290" w:hRule="exact"/>
        </w:trPr>
        <w:tc>
          <w:tcPr>
            <w:tcW w:w="1529" w:type="dxa"/>
            <w:tcBorders>
              <w:top w:val="single" w:color="000000" w:sz="8" w:space="0"/>
              <w:left w:val="nil"/>
              <w:bottom w:val="nil"/>
              <w:right w:val="nil"/>
            </w:tcBorders>
          </w:tcPr>
          <w:p w14:paraId="23385B69">
            <w:pPr>
              <w:pStyle w:val="18"/>
              <w:snapToGrid w:val="0"/>
              <w:spacing w:line="276" w:lineRule="auto"/>
              <w:ind w:left="108"/>
              <w:jc w:val="both"/>
              <w:rPr>
                <w:rFonts w:ascii="Arial" w:hAnsi="Arial" w:eastAsia="宋体" w:cs="Arial"/>
                <w:sz w:val="24"/>
                <w:szCs w:val="24"/>
              </w:rPr>
            </w:pPr>
            <w:r>
              <w:rPr>
                <w:rFonts w:ascii="Arial" w:hAnsi="Arial" w:eastAsia="宋体" w:cs="Arial"/>
                <w:sz w:val="24"/>
              </w:rPr>
              <w:t>GCJ</w:t>
            </w:r>
          </w:p>
        </w:tc>
        <w:tc>
          <w:tcPr>
            <w:tcW w:w="5268" w:type="dxa"/>
            <w:tcBorders>
              <w:top w:val="single" w:color="000000" w:sz="8" w:space="0"/>
              <w:left w:val="nil"/>
              <w:bottom w:val="nil"/>
              <w:right w:val="nil"/>
            </w:tcBorders>
          </w:tcPr>
          <w:p w14:paraId="1E71B09E">
            <w:pPr>
              <w:snapToGrid w:val="0"/>
              <w:spacing w:line="276" w:lineRule="auto"/>
              <w:jc w:val="both"/>
              <w:rPr>
                <w:rFonts w:ascii="Arial" w:hAnsi="Arial" w:eastAsia="宋体" w:cs="Arial"/>
                <w:lang w:eastAsia="zh-CN"/>
              </w:rPr>
            </w:pPr>
            <w:r>
              <w:rPr>
                <w:rFonts w:ascii="Arial" w:hAnsi="Arial" w:eastAsia="宋体" w:cs="Arial"/>
                <w:lang w:eastAsia="zh-CN"/>
              </w:rPr>
              <w:t>腹腔镜、一般整形手术</w:t>
            </w:r>
          </w:p>
        </w:tc>
        <w:tc>
          <w:tcPr>
            <w:tcW w:w="2100" w:type="dxa"/>
            <w:tcBorders>
              <w:top w:val="single" w:color="000000" w:sz="8" w:space="0"/>
              <w:left w:val="nil"/>
              <w:bottom w:val="nil"/>
              <w:right w:val="nil"/>
            </w:tcBorders>
          </w:tcPr>
          <w:p w14:paraId="50B4BEFE">
            <w:pPr>
              <w:pStyle w:val="18"/>
              <w:snapToGrid w:val="0"/>
              <w:spacing w:line="276" w:lineRule="auto"/>
              <w:ind w:left="107"/>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876.1500</w:t>
            </w:r>
          </w:p>
        </w:tc>
      </w:tr>
      <w:tr w14:paraId="2A85CAB9">
        <w:tblPrEx>
          <w:tblCellMar>
            <w:top w:w="0" w:type="dxa"/>
            <w:left w:w="0" w:type="dxa"/>
            <w:bottom w:w="0" w:type="dxa"/>
            <w:right w:w="0" w:type="dxa"/>
          </w:tblCellMar>
        </w:tblPrEx>
        <w:trPr>
          <w:trHeight w:val="278" w:hRule="exact"/>
        </w:trPr>
        <w:tc>
          <w:tcPr>
            <w:tcW w:w="1529" w:type="dxa"/>
            <w:tcBorders>
              <w:top w:val="nil"/>
              <w:left w:val="nil"/>
              <w:bottom w:val="single" w:color="000000" w:sz="4" w:space="0"/>
              <w:right w:val="nil"/>
            </w:tcBorders>
          </w:tcPr>
          <w:p w14:paraId="3F5F4FE9">
            <w:pPr>
              <w:pStyle w:val="18"/>
              <w:snapToGrid w:val="0"/>
              <w:spacing w:line="276" w:lineRule="auto"/>
              <w:ind w:left="108"/>
              <w:jc w:val="both"/>
              <w:rPr>
                <w:rFonts w:ascii="Arial" w:hAnsi="Arial" w:eastAsia="宋体" w:cs="Arial"/>
                <w:sz w:val="24"/>
                <w:szCs w:val="24"/>
              </w:rPr>
            </w:pPr>
            <w:r>
              <w:rPr>
                <w:rFonts w:ascii="Arial" w:hAnsi="Arial" w:eastAsia="宋体" w:cs="Arial"/>
                <w:sz w:val="24"/>
              </w:rPr>
              <w:t>GEI</w:t>
            </w:r>
          </w:p>
        </w:tc>
        <w:tc>
          <w:tcPr>
            <w:tcW w:w="5268" w:type="dxa"/>
            <w:tcBorders>
              <w:top w:val="nil"/>
              <w:left w:val="nil"/>
              <w:bottom w:val="single" w:color="000000" w:sz="4" w:space="0"/>
              <w:right w:val="nil"/>
            </w:tcBorders>
          </w:tcPr>
          <w:p w14:paraId="52EAFB55">
            <w:pPr>
              <w:snapToGrid w:val="0"/>
              <w:spacing w:line="276" w:lineRule="auto"/>
              <w:jc w:val="both"/>
              <w:rPr>
                <w:rFonts w:ascii="Arial" w:hAnsi="Arial" w:eastAsia="宋体" w:cs="Arial"/>
                <w:lang w:eastAsia="zh-CN"/>
              </w:rPr>
            </w:pPr>
            <w:r>
              <w:rPr>
                <w:rFonts w:ascii="Arial" w:hAnsi="Arial" w:eastAsia="宋体" w:cs="Arial"/>
                <w:lang w:eastAsia="zh-CN"/>
              </w:rPr>
              <w:t>电外科、切割和电凝及附件</w:t>
            </w:r>
          </w:p>
        </w:tc>
        <w:tc>
          <w:tcPr>
            <w:tcW w:w="2100" w:type="dxa"/>
            <w:tcBorders>
              <w:top w:val="nil"/>
              <w:left w:val="nil"/>
              <w:bottom w:val="single" w:color="000000" w:sz="4" w:space="0"/>
              <w:right w:val="nil"/>
            </w:tcBorders>
          </w:tcPr>
          <w:p w14:paraId="7323C4C7">
            <w:pPr>
              <w:pStyle w:val="18"/>
              <w:snapToGrid w:val="0"/>
              <w:spacing w:line="276" w:lineRule="auto"/>
              <w:ind w:left="107"/>
              <w:jc w:val="both"/>
              <w:rPr>
                <w:rFonts w:ascii="Arial" w:hAnsi="Arial" w:eastAsia="宋体" w:cs="Arial"/>
                <w:sz w:val="24"/>
                <w:szCs w:val="24"/>
              </w:rPr>
            </w:pPr>
            <w:r>
              <w:rPr>
                <w:rFonts w:ascii="Arial" w:hAnsi="Arial" w:eastAsia="宋体" w:cs="Arial"/>
                <w:sz w:val="24"/>
              </w:rPr>
              <w:t>21 CFR</w:t>
            </w:r>
            <w:r>
              <w:rPr>
                <w:rFonts w:ascii="Arial" w:hAnsi="Arial" w:eastAsia="宋体" w:cs="Arial"/>
                <w:spacing w:val="-2"/>
                <w:sz w:val="24"/>
              </w:rPr>
              <w:t xml:space="preserve"> </w:t>
            </w:r>
            <w:r>
              <w:rPr>
                <w:rFonts w:ascii="Arial" w:hAnsi="Arial" w:eastAsia="宋体" w:cs="Arial"/>
                <w:sz w:val="24"/>
              </w:rPr>
              <w:t>878.4400</w:t>
            </w:r>
          </w:p>
        </w:tc>
      </w:tr>
    </w:tbl>
    <w:p w14:paraId="056218E9">
      <w:pPr>
        <w:snapToGrid w:val="0"/>
        <w:spacing w:line="300" w:lineRule="auto"/>
        <w:jc w:val="both"/>
        <w:rPr>
          <w:rFonts w:ascii="Arial" w:hAnsi="Arial" w:eastAsia="宋体" w:cs="Arial"/>
          <w:sz w:val="24"/>
          <w:szCs w:val="24"/>
        </w:rPr>
        <w:sectPr>
          <w:pgSz w:w="12260" w:h="15840"/>
          <w:pgMar w:top="1134" w:right="1134" w:bottom="1134" w:left="1134" w:header="748" w:footer="773" w:gutter="0"/>
          <w:cols w:space="720" w:num="1"/>
          <w:docGrid w:linePitch="299" w:charSpace="0"/>
        </w:sectPr>
      </w:pPr>
    </w:p>
    <w:p w14:paraId="71CC70EA">
      <w:pPr>
        <w:snapToGrid w:val="0"/>
        <w:spacing w:line="300" w:lineRule="auto"/>
        <w:jc w:val="both"/>
        <w:rPr>
          <w:rFonts w:ascii="Arial" w:hAnsi="Arial" w:eastAsia="宋体" w:cs="Arial"/>
          <w:sz w:val="20"/>
          <w:szCs w:val="20"/>
          <w:lang w:eastAsia="zh-CN"/>
        </w:rPr>
      </w:pPr>
      <w:r>
        <w:rPr>
          <w:rFonts w:ascii="Arial" w:hAnsi="Arial" w:eastAsia="宋体" w:cs="Arial"/>
          <w:sz w:val="20"/>
          <w:lang w:eastAsia="zh-CN"/>
        </w:rPr>
        <w:t>**对于属于上述产品代码的腹腔镜工具和附件，510（k）提交材料应提供具有下表1中列出的任何设计特征的腹腔镜工具和附件的再加工确认数据。</w:t>
      </w:r>
    </w:p>
    <w:p w14:paraId="22245891">
      <w:pPr>
        <w:snapToGrid w:val="0"/>
        <w:spacing w:before="4" w:line="300" w:lineRule="auto"/>
        <w:jc w:val="both"/>
        <w:rPr>
          <w:rFonts w:ascii="Arial" w:hAnsi="Arial" w:eastAsia="宋体" w:cs="Arial"/>
          <w:sz w:val="27"/>
          <w:szCs w:val="27"/>
          <w:lang w:eastAsia="zh-CN"/>
        </w:rPr>
      </w:pPr>
    </w:p>
    <w:tbl>
      <w:tblPr>
        <w:tblStyle w:val="16"/>
        <w:tblW w:w="10009" w:type="dxa"/>
        <w:tblInd w:w="19" w:type="dxa"/>
        <w:tblLayout w:type="fixed"/>
        <w:tblCellMar>
          <w:top w:w="0" w:type="dxa"/>
          <w:left w:w="0" w:type="dxa"/>
          <w:bottom w:w="0" w:type="dxa"/>
          <w:right w:w="0" w:type="dxa"/>
        </w:tblCellMar>
      </w:tblPr>
      <w:tblGrid>
        <w:gridCol w:w="10009"/>
      </w:tblGrid>
      <w:tr w14:paraId="13EB3A12">
        <w:tblPrEx>
          <w:tblCellMar>
            <w:top w:w="0" w:type="dxa"/>
            <w:left w:w="0" w:type="dxa"/>
            <w:bottom w:w="0" w:type="dxa"/>
            <w:right w:w="0" w:type="dxa"/>
          </w:tblCellMar>
        </w:tblPrEx>
        <w:tc>
          <w:tcPr>
            <w:tcW w:w="10009" w:type="dxa"/>
            <w:tcBorders>
              <w:top w:val="single" w:color="000000" w:sz="4" w:space="0"/>
              <w:left w:val="single" w:color="000000" w:sz="4" w:space="0"/>
              <w:bottom w:val="single" w:color="000000" w:sz="4" w:space="0"/>
              <w:right w:val="single" w:color="000000" w:sz="4" w:space="0"/>
            </w:tcBorders>
          </w:tcPr>
          <w:p w14:paraId="59F2C282">
            <w:pPr>
              <w:pStyle w:val="18"/>
              <w:snapToGrid w:val="0"/>
              <w:spacing w:before="12" w:line="300" w:lineRule="auto"/>
              <w:jc w:val="center"/>
              <w:rPr>
                <w:rFonts w:ascii="Arial" w:hAnsi="Arial" w:eastAsia="宋体" w:cs="Arial"/>
                <w:sz w:val="20"/>
                <w:szCs w:val="20"/>
                <w:lang w:eastAsia="zh-CN"/>
              </w:rPr>
            </w:pPr>
            <w:r>
              <w:rPr>
                <w:rFonts w:ascii="Arial" w:hAnsi="Arial" w:eastAsia="宋体" w:cs="Arial"/>
                <w:b/>
                <w:spacing w:val="-4"/>
                <w:sz w:val="20"/>
                <w:lang w:eastAsia="zh-CN"/>
              </w:rPr>
              <w:t xml:space="preserve">表 </w:t>
            </w:r>
            <w:r>
              <w:rPr>
                <w:rFonts w:ascii="Arial" w:hAnsi="Arial" w:eastAsia="宋体" w:cs="Arial"/>
                <w:b/>
                <w:sz w:val="20"/>
                <w:lang w:eastAsia="zh-CN"/>
              </w:rPr>
              <w:t>1</w:t>
            </w:r>
          </w:p>
          <w:p w14:paraId="5F86E8EB">
            <w:pPr>
              <w:pStyle w:val="18"/>
              <w:snapToGrid w:val="0"/>
              <w:spacing w:line="300" w:lineRule="auto"/>
              <w:ind w:firstLine="741"/>
              <w:jc w:val="center"/>
              <w:rPr>
                <w:rFonts w:ascii="Arial" w:hAnsi="Arial" w:eastAsia="宋体" w:cs="Arial"/>
                <w:sz w:val="20"/>
                <w:szCs w:val="20"/>
                <w:lang w:eastAsia="zh-CN"/>
              </w:rPr>
            </w:pPr>
            <w:r>
              <w:rPr>
                <w:rFonts w:ascii="Arial" w:hAnsi="Arial" w:eastAsia="宋体" w:cs="Arial"/>
                <w:b/>
                <w:sz w:val="20"/>
                <w:lang w:eastAsia="zh-CN"/>
              </w:rPr>
              <w:t>510（k）提交材料应提供具有以下设计特征的腹腔镜工具和附件的再加工确认数据</w:t>
            </w:r>
          </w:p>
        </w:tc>
      </w:tr>
      <w:tr w14:paraId="3E0B8738">
        <w:tblPrEx>
          <w:tblCellMar>
            <w:top w:w="0" w:type="dxa"/>
            <w:left w:w="0" w:type="dxa"/>
            <w:bottom w:w="0" w:type="dxa"/>
            <w:right w:w="0" w:type="dxa"/>
          </w:tblCellMar>
        </w:tblPrEx>
        <w:tc>
          <w:tcPr>
            <w:tcW w:w="10009" w:type="dxa"/>
            <w:tcBorders>
              <w:top w:val="single" w:color="000000" w:sz="4" w:space="0"/>
              <w:left w:val="single" w:color="000000" w:sz="4" w:space="0"/>
              <w:bottom w:val="nil"/>
              <w:right w:val="single" w:color="000000" w:sz="4" w:space="0"/>
            </w:tcBorders>
          </w:tcPr>
          <w:p w14:paraId="760F4133">
            <w:pPr>
              <w:snapToGrid w:val="0"/>
              <w:spacing w:line="300" w:lineRule="auto"/>
              <w:jc w:val="both"/>
              <w:rPr>
                <w:rFonts w:ascii="Arial" w:hAnsi="Arial" w:eastAsia="宋体" w:cs="Arial"/>
                <w:lang w:eastAsia="zh-CN"/>
              </w:rPr>
            </w:pPr>
            <w:r>
              <w:rPr>
                <w:rFonts w:ascii="Arial" w:hAnsi="Arial" w:eastAsia="宋体" w:cs="Arial"/>
                <w:lang w:eastAsia="zh-CN"/>
              </w:rPr>
              <w:t>管腔（具有不平滑的内表面，具有内部脊或锐角，或太小而刷子不能通过）</w:t>
            </w:r>
          </w:p>
        </w:tc>
      </w:tr>
      <w:tr w14:paraId="69275D29">
        <w:tblPrEx>
          <w:tblCellMar>
            <w:top w:w="0" w:type="dxa"/>
            <w:left w:w="0" w:type="dxa"/>
            <w:bottom w:w="0" w:type="dxa"/>
            <w:right w:w="0" w:type="dxa"/>
          </w:tblCellMar>
        </w:tblPrEx>
        <w:tc>
          <w:tcPr>
            <w:tcW w:w="10009" w:type="dxa"/>
            <w:tcBorders>
              <w:top w:val="nil"/>
              <w:left w:val="single" w:color="000000" w:sz="4" w:space="0"/>
              <w:bottom w:val="nil"/>
              <w:right w:val="single" w:color="000000" w:sz="4" w:space="0"/>
            </w:tcBorders>
          </w:tcPr>
          <w:p w14:paraId="71192001">
            <w:pPr>
              <w:snapToGrid w:val="0"/>
              <w:spacing w:line="300" w:lineRule="auto"/>
              <w:jc w:val="both"/>
              <w:rPr>
                <w:rFonts w:ascii="Arial" w:hAnsi="Arial" w:eastAsia="宋体" w:cs="Arial"/>
              </w:rPr>
            </w:pPr>
            <w:r>
              <w:rPr>
                <w:rFonts w:ascii="Arial" w:hAnsi="Arial" w:eastAsia="宋体" w:cs="Arial"/>
              </w:rPr>
              <w:t>铰链</w:t>
            </w:r>
          </w:p>
        </w:tc>
      </w:tr>
      <w:tr w14:paraId="56C53A28">
        <w:tblPrEx>
          <w:tblCellMar>
            <w:top w:w="0" w:type="dxa"/>
            <w:left w:w="0" w:type="dxa"/>
            <w:bottom w:w="0" w:type="dxa"/>
            <w:right w:w="0" w:type="dxa"/>
          </w:tblCellMar>
        </w:tblPrEx>
        <w:tc>
          <w:tcPr>
            <w:tcW w:w="10009" w:type="dxa"/>
            <w:tcBorders>
              <w:top w:val="nil"/>
              <w:left w:val="single" w:color="000000" w:sz="4" w:space="0"/>
              <w:bottom w:val="nil"/>
              <w:right w:val="single" w:color="000000" w:sz="4" w:space="0"/>
            </w:tcBorders>
          </w:tcPr>
          <w:p w14:paraId="54EB36A3">
            <w:pPr>
              <w:snapToGrid w:val="0"/>
              <w:spacing w:line="300" w:lineRule="auto"/>
              <w:jc w:val="both"/>
              <w:rPr>
                <w:rFonts w:ascii="Arial" w:hAnsi="Arial" w:eastAsia="宋体" w:cs="Arial"/>
              </w:rPr>
            </w:pPr>
            <w:r>
              <w:rPr>
                <w:rFonts w:ascii="Arial" w:hAnsi="Arial" w:eastAsia="宋体" w:cs="Arial"/>
              </w:rPr>
              <w:t>室内</w:t>
            </w:r>
            <w:r>
              <w:rPr>
                <w:rFonts w:ascii="Arial" w:hAnsi="Arial" w:eastAsia="宋体" w:cs="Arial"/>
                <w:lang w:eastAsia="zh-CN"/>
              </w:rPr>
              <w:t>器械</w:t>
            </w:r>
            <w:r>
              <w:rPr>
                <w:rFonts w:ascii="Arial" w:hAnsi="Arial" w:eastAsia="宋体" w:cs="Arial"/>
              </w:rPr>
              <w:t>通道</w:t>
            </w:r>
          </w:p>
        </w:tc>
      </w:tr>
      <w:tr w14:paraId="5316EA9A">
        <w:tblPrEx>
          <w:tblCellMar>
            <w:top w:w="0" w:type="dxa"/>
            <w:left w:w="0" w:type="dxa"/>
            <w:bottom w:w="0" w:type="dxa"/>
            <w:right w:w="0" w:type="dxa"/>
          </w:tblCellMar>
        </w:tblPrEx>
        <w:tc>
          <w:tcPr>
            <w:tcW w:w="10009" w:type="dxa"/>
            <w:tcBorders>
              <w:top w:val="nil"/>
              <w:left w:val="single" w:color="000000" w:sz="4" w:space="0"/>
              <w:bottom w:val="nil"/>
              <w:right w:val="single" w:color="000000" w:sz="4" w:space="0"/>
            </w:tcBorders>
          </w:tcPr>
          <w:p w14:paraId="5B07A592">
            <w:pPr>
              <w:snapToGrid w:val="0"/>
              <w:spacing w:line="300" w:lineRule="auto"/>
              <w:jc w:val="both"/>
              <w:rPr>
                <w:rFonts w:ascii="Arial" w:hAnsi="Arial" w:eastAsia="宋体" w:cs="Arial"/>
                <w:lang w:eastAsia="zh-CN"/>
              </w:rPr>
            </w:pPr>
            <w:r>
              <w:rPr>
                <w:rFonts w:ascii="Arial" w:hAnsi="Arial" w:eastAsia="宋体" w:cs="Arial"/>
                <w:lang w:eastAsia="zh-CN"/>
              </w:rPr>
              <w:t>杆、刀片、激活器、插入件等周围的套管</w:t>
            </w:r>
          </w:p>
        </w:tc>
      </w:tr>
      <w:tr w14:paraId="37EDB4B5">
        <w:tblPrEx>
          <w:tblCellMar>
            <w:top w:w="0" w:type="dxa"/>
            <w:left w:w="0" w:type="dxa"/>
            <w:bottom w:w="0" w:type="dxa"/>
            <w:right w:w="0" w:type="dxa"/>
          </w:tblCellMar>
        </w:tblPrEx>
        <w:tc>
          <w:tcPr>
            <w:tcW w:w="10009" w:type="dxa"/>
            <w:tcBorders>
              <w:top w:val="nil"/>
              <w:left w:val="single" w:color="000000" w:sz="4" w:space="0"/>
              <w:bottom w:val="nil"/>
              <w:right w:val="single" w:color="000000" w:sz="4" w:space="0"/>
            </w:tcBorders>
          </w:tcPr>
          <w:p w14:paraId="1C2E6399">
            <w:pPr>
              <w:snapToGrid w:val="0"/>
              <w:spacing w:line="300" w:lineRule="auto"/>
              <w:jc w:val="both"/>
              <w:rPr>
                <w:rFonts w:ascii="Arial" w:hAnsi="Arial" w:eastAsia="宋体" w:cs="Arial"/>
                <w:lang w:eastAsia="zh-CN"/>
              </w:rPr>
            </w:pPr>
            <w:r>
              <w:rPr>
                <w:rFonts w:ascii="Arial" w:hAnsi="Arial" w:eastAsia="宋体" w:cs="Arial"/>
                <w:lang w:eastAsia="zh-CN"/>
              </w:rPr>
              <w:t>相邻的器械表面，其中，碎屑在使用过程中可能被压迫或被捕获</w:t>
            </w:r>
          </w:p>
        </w:tc>
      </w:tr>
      <w:tr w14:paraId="71F3ED99">
        <w:tblPrEx>
          <w:tblCellMar>
            <w:top w:w="0" w:type="dxa"/>
            <w:left w:w="0" w:type="dxa"/>
            <w:bottom w:w="0" w:type="dxa"/>
            <w:right w:w="0" w:type="dxa"/>
          </w:tblCellMar>
        </w:tblPrEx>
        <w:tc>
          <w:tcPr>
            <w:tcW w:w="10009" w:type="dxa"/>
            <w:tcBorders>
              <w:top w:val="nil"/>
              <w:left w:val="single" w:color="000000" w:sz="4" w:space="0"/>
              <w:bottom w:val="nil"/>
              <w:right w:val="single" w:color="000000" w:sz="4" w:space="0"/>
            </w:tcBorders>
          </w:tcPr>
          <w:p w14:paraId="7C4A441E">
            <w:pPr>
              <w:snapToGrid w:val="0"/>
              <w:spacing w:line="300" w:lineRule="auto"/>
              <w:jc w:val="both"/>
              <w:rPr>
                <w:rFonts w:ascii="Arial" w:hAnsi="Arial" w:eastAsia="宋体" w:cs="Arial"/>
              </w:rPr>
            </w:pPr>
            <w:r>
              <w:rPr>
                <w:rFonts w:ascii="Arial" w:hAnsi="Arial" w:eastAsia="宋体" w:cs="Arial"/>
              </w:rPr>
              <w:t>O型</w:t>
            </w:r>
            <w:r>
              <w:rPr>
                <w:rFonts w:ascii="Arial" w:hAnsi="Arial" w:eastAsia="宋体" w:cs="Arial"/>
                <w:lang w:eastAsia="zh-CN"/>
              </w:rPr>
              <w:t>环</w:t>
            </w:r>
          </w:p>
        </w:tc>
      </w:tr>
      <w:tr w14:paraId="5D3B34C0">
        <w:tblPrEx>
          <w:tblCellMar>
            <w:top w:w="0" w:type="dxa"/>
            <w:left w:w="0" w:type="dxa"/>
            <w:bottom w:w="0" w:type="dxa"/>
            <w:right w:w="0" w:type="dxa"/>
          </w:tblCellMar>
        </w:tblPrEx>
        <w:tc>
          <w:tcPr>
            <w:tcW w:w="10009" w:type="dxa"/>
            <w:tcBorders>
              <w:top w:val="nil"/>
              <w:left w:val="single" w:color="000000" w:sz="4" w:space="0"/>
              <w:bottom w:val="nil"/>
              <w:right w:val="single" w:color="000000" w:sz="4" w:space="0"/>
            </w:tcBorders>
          </w:tcPr>
          <w:p w14:paraId="52060AE8">
            <w:pPr>
              <w:snapToGrid w:val="0"/>
              <w:spacing w:line="300" w:lineRule="auto"/>
              <w:jc w:val="both"/>
              <w:rPr>
                <w:rFonts w:ascii="Arial" w:hAnsi="Arial" w:eastAsia="宋体" w:cs="Arial"/>
                <w:lang w:eastAsia="zh-CN"/>
              </w:rPr>
            </w:pPr>
            <w:r>
              <w:rPr>
                <w:rFonts w:ascii="Arial" w:hAnsi="Arial" w:eastAsia="宋体" w:cs="Arial"/>
                <w:lang w:eastAsia="zh-CN"/>
              </w:rPr>
              <w:t>具有无法拆卸以进行再加工的此类或其他设计特征的器械</w:t>
            </w:r>
          </w:p>
        </w:tc>
      </w:tr>
      <w:tr w14:paraId="24441366">
        <w:tblPrEx>
          <w:tblCellMar>
            <w:top w:w="0" w:type="dxa"/>
            <w:left w:w="0" w:type="dxa"/>
            <w:bottom w:w="0" w:type="dxa"/>
            <w:right w:w="0" w:type="dxa"/>
          </w:tblCellMar>
        </w:tblPrEx>
        <w:tc>
          <w:tcPr>
            <w:tcW w:w="10009" w:type="dxa"/>
            <w:tcBorders>
              <w:top w:val="nil"/>
              <w:left w:val="single" w:color="000000" w:sz="4" w:space="0"/>
              <w:bottom w:val="single" w:color="000000" w:sz="4" w:space="0"/>
              <w:right w:val="single" w:color="000000" w:sz="4" w:space="0"/>
            </w:tcBorders>
          </w:tcPr>
          <w:p w14:paraId="7632869D">
            <w:pPr>
              <w:snapToGrid w:val="0"/>
              <w:spacing w:line="300" w:lineRule="auto"/>
              <w:jc w:val="both"/>
              <w:rPr>
                <w:rFonts w:ascii="Arial" w:hAnsi="Arial" w:eastAsia="宋体" w:cs="Arial"/>
              </w:rPr>
            </w:pPr>
            <w:r>
              <w:rPr>
                <w:rFonts w:ascii="Arial" w:hAnsi="Arial" w:eastAsia="宋体" w:cs="Arial"/>
                <w:lang w:eastAsia="zh-CN"/>
              </w:rPr>
              <w:t>活塞</w:t>
            </w:r>
          </w:p>
        </w:tc>
      </w:tr>
    </w:tbl>
    <w:p w14:paraId="2B4F824F">
      <w:pPr>
        <w:snapToGrid w:val="0"/>
        <w:spacing w:before="10" w:line="300" w:lineRule="auto"/>
        <w:jc w:val="both"/>
        <w:rPr>
          <w:rFonts w:ascii="Arial" w:hAnsi="Arial" w:eastAsia="宋体" w:cs="Arial"/>
          <w:sz w:val="16"/>
          <w:szCs w:val="16"/>
        </w:rPr>
      </w:pPr>
    </w:p>
    <w:p w14:paraId="68201904">
      <w:pPr>
        <w:pStyle w:val="6"/>
        <w:snapToGrid w:val="0"/>
        <w:spacing w:before="69" w:line="300" w:lineRule="auto"/>
        <w:ind w:left="0"/>
        <w:jc w:val="both"/>
        <w:rPr>
          <w:rFonts w:ascii="Arial" w:hAnsi="Arial" w:eastAsia="宋体" w:cs="Arial"/>
          <w:lang w:eastAsia="zh-CN"/>
        </w:rPr>
      </w:pPr>
      <w:r>
        <w:rPr>
          <w:rFonts w:ascii="Arial" w:hAnsi="Arial" w:eastAsia="宋体" w:cs="Arial"/>
          <w:lang w:eastAsia="zh-CN"/>
        </w:rPr>
        <w:t>将来，随着有关再加工医疗器械的附加信息逐渐可用，本列表可能更新。</w:t>
      </w:r>
    </w:p>
    <w:p w14:paraId="71676E12">
      <w:pPr>
        <w:snapToGrid w:val="0"/>
        <w:spacing w:line="300" w:lineRule="auto"/>
        <w:jc w:val="center"/>
        <w:rPr>
          <w:rFonts w:hint="eastAsia" w:eastAsia="宋体"/>
          <w:lang w:eastAsia="zh-CN"/>
        </w:rPr>
      </w:pPr>
    </w:p>
    <w:p w14:paraId="00EC35D8">
      <w:pPr>
        <w:snapToGrid w:val="0"/>
        <w:spacing w:line="300" w:lineRule="auto"/>
        <w:jc w:val="center"/>
        <w:rPr>
          <w:rFonts w:hint="eastAsia" w:eastAsia="宋体"/>
          <w:lang w:eastAsia="zh-CN"/>
        </w:rPr>
      </w:pPr>
    </w:p>
    <w:p w14:paraId="27CEBB07">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56" name="图片 56" descr="2"/>
            <wp:cNvGraphicFramePr/>
            <a:graphic xmlns:a="http://schemas.openxmlformats.org/drawingml/2006/main">
              <a:graphicData uri="http://schemas.openxmlformats.org/drawingml/2006/picture">
                <pic:pic xmlns:pic="http://schemas.openxmlformats.org/drawingml/2006/picture">
                  <pic:nvPicPr>
                    <pic:cNvPr id="56" name="图片 56" descr="2"/>
                    <pic:cNvPicPr/>
                  </pic:nvPicPr>
                  <pic:blipFill>
                    <a:blip r:embed="rId10"/>
                    <a:stretch>
                      <a:fillRect/>
                    </a:stretch>
                  </pic:blipFill>
                  <pic:spPr>
                    <a:xfrm>
                      <a:off x="0" y="0"/>
                      <a:ext cx="5210175" cy="7343775"/>
                    </a:xfrm>
                    <a:prstGeom prst="rect">
                      <a:avLst/>
                    </a:prstGeom>
                  </pic:spPr>
                </pic:pic>
              </a:graphicData>
            </a:graphic>
          </wp:inline>
        </w:drawing>
      </w:r>
    </w:p>
    <w:sectPr>
      <w:pgSz w:w="12260" w:h="15840"/>
      <w:pgMar w:top="1134" w:right="1134" w:bottom="1134" w:left="1134" w:header="748" w:footer="773"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827362588"/>
      <w:docPartObj>
        <w:docPartGallery w:val="AutoText"/>
      </w:docPartObj>
    </w:sdtPr>
    <w:sdtEndPr>
      <w:rPr>
        <w:rFonts w:ascii="Arial" w:hAnsi="Arial" w:cs="Arial"/>
        <w:sz w:val="21"/>
        <w:szCs w:val="21"/>
      </w:rPr>
    </w:sdtEndPr>
    <w:sdtContent>
      <w:p w14:paraId="457ADD09">
        <w:pPr>
          <w:pStyle w:val="9"/>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eastAsia="zh-CN"/>
          </w:rPr>
          <w:t>7</w:t>
        </w:r>
        <w:r>
          <w:rPr>
            <w:rFonts w:ascii="Arial" w:hAnsi="Arial" w:cs="Arial"/>
            <w:sz w:val="21"/>
            <w:szCs w:val="21"/>
          </w:rPr>
          <w:fldChar w:fldCharType="end"/>
        </w:r>
      </w:p>
    </w:sdtContent>
  </w:sdt>
  <w:p w14:paraId="33E402D9">
    <w:pPr>
      <w:spacing w:line="14" w:lineRule="auto"/>
      <w:rPr>
        <w:rFonts w:ascii="Arial" w:hAnsi="Arial" w:cs="Arial"/>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98DF5">
    <w:pPr>
      <w:spacing w:line="265" w:lineRule="exact"/>
      <w:ind w:left="20"/>
      <w:jc w:val="center"/>
      <w:rPr>
        <w:rFonts w:ascii="Times New Roman" w:hAnsi="Times New Roman" w:eastAsia="Times New Roman" w:cs="Times New Roman"/>
        <w:i/>
        <w:sz w:val="24"/>
        <w:szCs w:val="24"/>
      </w:rPr>
    </w:pPr>
    <w:r>
      <w:rPr>
        <w:rFonts w:hint="eastAsia" w:cs="Times New Roman" w:asciiTheme="minorEastAsia" w:hAnsiTheme="minorEastAsia"/>
        <w:i/>
        <w:sz w:val="24"/>
        <w:szCs w:val="24"/>
        <w:lang w:eastAsia="zh-CN"/>
      </w:rPr>
      <w:t>含有非约束性建议</w:t>
    </w:r>
  </w:p>
  <w:p w14:paraId="71D86FBA">
    <w:pPr>
      <w:pStyle w:val="10"/>
      <w:pBdr>
        <w:bottom w:val="none" w:color="auto" w:sz="0" w:space="0"/>
      </w:pBdr>
    </w:pPr>
  </w:p>
  <w:p w14:paraId="1FFC0A11">
    <w:pPr>
      <w:tabs>
        <w:tab w:val="left" w:pos="5678"/>
      </w:tabs>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4691F"/>
    <w:multiLevelType w:val="multilevel"/>
    <w:tmpl w:val="0794691F"/>
    <w:lvl w:ilvl="0" w:tentative="0">
      <w:start w:val="1"/>
      <w:numFmt w:val="upperLetter"/>
      <w:lvlText w:val="%1."/>
      <w:lvlJc w:val="left"/>
      <w:pPr>
        <w:ind w:left="1560" w:hanging="720"/>
      </w:pPr>
      <w:rPr>
        <w:rFonts w:hint="default" w:ascii="Arial" w:hAnsi="Arial" w:eastAsia="Times New Roman" w:cs="Arial"/>
        <w:b/>
        <w:bCs/>
        <w:spacing w:val="-2"/>
        <w:w w:val="100"/>
        <w:sz w:val="28"/>
        <w:szCs w:val="28"/>
      </w:rPr>
    </w:lvl>
    <w:lvl w:ilvl="1" w:tentative="0">
      <w:start w:val="1"/>
      <w:numFmt w:val="bullet"/>
      <w:lvlText w:val="•"/>
      <w:lvlJc w:val="left"/>
      <w:pPr>
        <w:ind w:left="2364" w:hanging="720"/>
      </w:pPr>
      <w:rPr>
        <w:rFonts w:hint="default"/>
      </w:rPr>
    </w:lvl>
    <w:lvl w:ilvl="2" w:tentative="0">
      <w:start w:val="1"/>
      <w:numFmt w:val="bullet"/>
      <w:lvlText w:val="•"/>
      <w:lvlJc w:val="left"/>
      <w:pPr>
        <w:ind w:left="3168" w:hanging="720"/>
      </w:pPr>
      <w:rPr>
        <w:rFonts w:hint="default"/>
      </w:rPr>
    </w:lvl>
    <w:lvl w:ilvl="3" w:tentative="0">
      <w:start w:val="1"/>
      <w:numFmt w:val="bullet"/>
      <w:lvlText w:val="•"/>
      <w:lvlJc w:val="left"/>
      <w:pPr>
        <w:ind w:left="3972" w:hanging="720"/>
      </w:pPr>
      <w:rPr>
        <w:rFonts w:hint="default"/>
      </w:rPr>
    </w:lvl>
    <w:lvl w:ilvl="4" w:tentative="0">
      <w:start w:val="1"/>
      <w:numFmt w:val="bullet"/>
      <w:lvlText w:val="•"/>
      <w:lvlJc w:val="left"/>
      <w:pPr>
        <w:ind w:left="4776" w:hanging="720"/>
      </w:pPr>
      <w:rPr>
        <w:rFonts w:hint="default"/>
      </w:rPr>
    </w:lvl>
    <w:lvl w:ilvl="5" w:tentative="0">
      <w:start w:val="1"/>
      <w:numFmt w:val="bullet"/>
      <w:lvlText w:val="•"/>
      <w:lvlJc w:val="left"/>
      <w:pPr>
        <w:ind w:left="5580" w:hanging="720"/>
      </w:pPr>
      <w:rPr>
        <w:rFonts w:hint="default"/>
      </w:rPr>
    </w:lvl>
    <w:lvl w:ilvl="6" w:tentative="0">
      <w:start w:val="1"/>
      <w:numFmt w:val="bullet"/>
      <w:lvlText w:val="•"/>
      <w:lvlJc w:val="left"/>
      <w:pPr>
        <w:ind w:left="6384" w:hanging="720"/>
      </w:pPr>
      <w:rPr>
        <w:rFonts w:hint="default"/>
      </w:rPr>
    </w:lvl>
    <w:lvl w:ilvl="7" w:tentative="0">
      <w:start w:val="1"/>
      <w:numFmt w:val="bullet"/>
      <w:lvlText w:val="•"/>
      <w:lvlJc w:val="left"/>
      <w:pPr>
        <w:ind w:left="7188" w:hanging="720"/>
      </w:pPr>
      <w:rPr>
        <w:rFonts w:hint="default"/>
      </w:rPr>
    </w:lvl>
    <w:lvl w:ilvl="8" w:tentative="0">
      <w:start w:val="1"/>
      <w:numFmt w:val="bullet"/>
      <w:lvlText w:val="•"/>
      <w:lvlJc w:val="left"/>
      <w:pPr>
        <w:ind w:left="7992" w:hanging="720"/>
      </w:pPr>
      <w:rPr>
        <w:rFonts w:hint="default"/>
      </w:rPr>
    </w:lvl>
  </w:abstractNum>
  <w:abstractNum w:abstractNumId="1">
    <w:nsid w:val="0BAE318E"/>
    <w:multiLevelType w:val="multilevel"/>
    <w:tmpl w:val="0BAE318E"/>
    <w:lvl w:ilvl="0" w:tentative="0">
      <w:start w:val="1"/>
      <w:numFmt w:val="upperLetter"/>
      <w:lvlText w:val="%1."/>
      <w:lvlJc w:val="left"/>
      <w:pPr>
        <w:ind w:left="1560" w:hanging="360"/>
      </w:pPr>
      <w:rPr>
        <w:rFonts w:hint="default" w:ascii="Arial" w:hAnsi="Arial" w:eastAsia="Times New Roman" w:cs="Arial"/>
        <w:b/>
        <w:bCs/>
        <w:spacing w:val="-1"/>
        <w:w w:val="100"/>
        <w:sz w:val="24"/>
        <w:szCs w:val="24"/>
      </w:rPr>
    </w:lvl>
    <w:lvl w:ilvl="1" w:tentative="0">
      <w:start w:val="1"/>
      <w:numFmt w:val="bullet"/>
      <w:lvlText w:val="•"/>
      <w:lvlJc w:val="left"/>
      <w:pPr>
        <w:ind w:left="2364" w:hanging="360"/>
      </w:pPr>
      <w:rPr>
        <w:rFonts w:hint="default"/>
      </w:rPr>
    </w:lvl>
    <w:lvl w:ilvl="2" w:tentative="0">
      <w:start w:val="1"/>
      <w:numFmt w:val="bullet"/>
      <w:lvlText w:val="•"/>
      <w:lvlJc w:val="left"/>
      <w:pPr>
        <w:ind w:left="3168" w:hanging="360"/>
      </w:pPr>
      <w:rPr>
        <w:rFonts w:hint="default"/>
      </w:rPr>
    </w:lvl>
    <w:lvl w:ilvl="3" w:tentative="0">
      <w:start w:val="1"/>
      <w:numFmt w:val="bullet"/>
      <w:lvlText w:val="•"/>
      <w:lvlJc w:val="left"/>
      <w:pPr>
        <w:ind w:left="3972" w:hanging="360"/>
      </w:pPr>
      <w:rPr>
        <w:rFonts w:hint="default"/>
      </w:rPr>
    </w:lvl>
    <w:lvl w:ilvl="4" w:tentative="0">
      <w:start w:val="1"/>
      <w:numFmt w:val="bullet"/>
      <w:lvlText w:val="•"/>
      <w:lvlJc w:val="left"/>
      <w:pPr>
        <w:ind w:left="4776" w:hanging="360"/>
      </w:pPr>
      <w:rPr>
        <w:rFonts w:hint="default"/>
      </w:rPr>
    </w:lvl>
    <w:lvl w:ilvl="5" w:tentative="0">
      <w:start w:val="1"/>
      <w:numFmt w:val="bullet"/>
      <w:lvlText w:val="•"/>
      <w:lvlJc w:val="left"/>
      <w:pPr>
        <w:ind w:left="5580" w:hanging="360"/>
      </w:pPr>
      <w:rPr>
        <w:rFonts w:hint="default"/>
      </w:rPr>
    </w:lvl>
    <w:lvl w:ilvl="6" w:tentative="0">
      <w:start w:val="1"/>
      <w:numFmt w:val="bullet"/>
      <w:lvlText w:val="•"/>
      <w:lvlJc w:val="left"/>
      <w:pPr>
        <w:ind w:left="6384" w:hanging="360"/>
      </w:pPr>
      <w:rPr>
        <w:rFonts w:hint="default"/>
      </w:rPr>
    </w:lvl>
    <w:lvl w:ilvl="7" w:tentative="0">
      <w:start w:val="1"/>
      <w:numFmt w:val="bullet"/>
      <w:lvlText w:val="•"/>
      <w:lvlJc w:val="left"/>
      <w:pPr>
        <w:ind w:left="7188" w:hanging="360"/>
      </w:pPr>
      <w:rPr>
        <w:rFonts w:hint="default"/>
      </w:rPr>
    </w:lvl>
    <w:lvl w:ilvl="8" w:tentative="0">
      <w:start w:val="1"/>
      <w:numFmt w:val="bullet"/>
      <w:lvlText w:val="•"/>
      <w:lvlJc w:val="left"/>
      <w:pPr>
        <w:ind w:left="7992" w:hanging="360"/>
      </w:pPr>
      <w:rPr>
        <w:rFonts w:hint="default"/>
      </w:rPr>
    </w:lvl>
  </w:abstractNum>
  <w:abstractNum w:abstractNumId="2">
    <w:nsid w:val="12324CD2"/>
    <w:multiLevelType w:val="multilevel"/>
    <w:tmpl w:val="12324CD2"/>
    <w:lvl w:ilvl="0" w:tentative="0">
      <w:start w:val="1"/>
      <w:numFmt w:val="upperLetter"/>
      <w:lvlText w:val="%1."/>
      <w:lvlJc w:val="left"/>
      <w:pPr>
        <w:ind w:left="1560" w:hanging="720"/>
      </w:pPr>
      <w:rPr>
        <w:rFonts w:hint="default" w:ascii="Arial" w:hAnsi="Arial" w:eastAsia="Times New Roman" w:cs="Arial"/>
        <w:b/>
        <w:bCs/>
        <w:spacing w:val="-2"/>
        <w:w w:val="100"/>
        <w:sz w:val="28"/>
        <w:szCs w:val="28"/>
      </w:rPr>
    </w:lvl>
    <w:lvl w:ilvl="1" w:tentative="0">
      <w:start w:val="1"/>
      <w:numFmt w:val="bullet"/>
      <w:lvlText w:val="•"/>
      <w:lvlJc w:val="left"/>
      <w:pPr>
        <w:ind w:left="2364" w:hanging="720"/>
      </w:pPr>
      <w:rPr>
        <w:rFonts w:hint="default"/>
      </w:rPr>
    </w:lvl>
    <w:lvl w:ilvl="2" w:tentative="0">
      <w:start w:val="1"/>
      <w:numFmt w:val="bullet"/>
      <w:lvlText w:val="•"/>
      <w:lvlJc w:val="left"/>
      <w:pPr>
        <w:ind w:left="3168" w:hanging="720"/>
      </w:pPr>
      <w:rPr>
        <w:rFonts w:hint="default"/>
      </w:rPr>
    </w:lvl>
    <w:lvl w:ilvl="3" w:tentative="0">
      <w:start w:val="1"/>
      <w:numFmt w:val="bullet"/>
      <w:lvlText w:val="•"/>
      <w:lvlJc w:val="left"/>
      <w:pPr>
        <w:ind w:left="3972" w:hanging="720"/>
      </w:pPr>
      <w:rPr>
        <w:rFonts w:hint="default"/>
      </w:rPr>
    </w:lvl>
    <w:lvl w:ilvl="4" w:tentative="0">
      <w:start w:val="1"/>
      <w:numFmt w:val="bullet"/>
      <w:lvlText w:val="•"/>
      <w:lvlJc w:val="left"/>
      <w:pPr>
        <w:ind w:left="4776" w:hanging="720"/>
      </w:pPr>
      <w:rPr>
        <w:rFonts w:hint="default"/>
      </w:rPr>
    </w:lvl>
    <w:lvl w:ilvl="5" w:tentative="0">
      <w:start w:val="1"/>
      <w:numFmt w:val="bullet"/>
      <w:lvlText w:val="•"/>
      <w:lvlJc w:val="left"/>
      <w:pPr>
        <w:ind w:left="5580" w:hanging="720"/>
      </w:pPr>
      <w:rPr>
        <w:rFonts w:hint="default"/>
      </w:rPr>
    </w:lvl>
    <w:lvl w:ilvl="6" w:tentative="0">
      <w:start w:val="1"/>
      <w:numFmt w:val="bullet"/>
      <w:lvlText w:val="•"/>
      <w:lvlJc w:val="left"/>
      <w:pPr>
        <w:ind w:left="6384" w:hanging="720"/>
      </w:pPr>
      <w:rPr>
        <w:rFonts w:hint="default"/>
      </w:rPr>
    </w:lvl>
    <w:lvl w:ilvl="7" w:tentative="0">
      <w:start w:val="1"/>
      <w:numFmt w:val="bullet"/>
      <w:lvlText w:val="•"/>
      <w:lvlJc w:val="left"/>
      <w:pPr>
        <w:ind w:left="7188" w:hanging="720"/>
      </w:pPr>
      <w:rPr>
        <w:rFonts w:hint="default"/>
      </w:rPr>
    </w:lvl>
    <w:lvl w:ilvl="8" w:tentative="0">
      <w:start w:val="1"/>
      <w:numFmt w:val="bullet"/>
      <w:lvlText w:val="•"/>
      <w:lvlJc w:val="left"/>
      <w:pPr>
        <w:ind w:left="7992" w:hanging="720"/>
      </w:pPr>
      <w:rPr>
        <w:rFonts w:hint="default"/>
      </w:rPr>
    </w:lvl>
  </w:abstractNum>
  <w:abstractNum w:abstractNumId="3">
    <w:nsid w:val="1386237F"/>
    <w:multiLevelType w:val="multilevel"/>
    <w:tmpl w:val="1386237F"/>
    <w:lvl w:ilvl="0" w:tentative="0">
      <w:start w:val="1"/>
      <w:numFmt w:val="upperLetter"/>
      <w:lvlText w:val="%1."/>
      <w:lvlJc w:val="left"/>
      <w:pPr>
        <w:ind w:left="1560" w:hanging="720"/>
      </w:pPr>
      <w:rPr>
        <w:rFonts w:hint="default" w:ascii="Arial" w:hAnsi="Arial" w:eastAsia="Times New Roman" w:cs="Arial"/>
        <w:b/>
        <w:bCs/>
        <w:spacing w:val="-5"/>
        <w:w w:val="100"/>
        <w:sz w:val="28"/>
        <w:szCs w:val="28"/>
      </w:rPr>
    </w:lvl>
    <w:lvl w:ilvl="1" w:tentative="0">
      <w:start w:val="1"/>
      <w:numFmt w:val="bullet"/>
      <w:lvlText w:val="•"/>
      <w:lvlJc w:val="left"/>
      <w:pPr>
        <w:ind w:left="2364" w:hanging="720"/>
      </w:pPr>
      <w:rPr>
        <w:rFonts w:hint="default"/>
      </w:rPr>
    </w:lvl>
    <w:lvl w:ilvl="2" w:tentative="0">
      <w:start w:val="1"/>
      <w:numFmt w:val="bullet"/>
      <w:lvlText w:val="•"/>
      <w:lvlJc w:val="left"/>
      <w:pPr>
        <w:ind w:left="3168" w:hanging="720"/>
      </w:pPr>
      <w:rPr>
        <w:rFonts w:hint="default"/>
      </w:rPr>
    </w:lvl>
    <w:lvl w:ilvl="3" w:tentative="0">
      <w:start w:val="1"/>
      <w:numFmt w:val="bullet"/>
      <w:lvlText w:val="•"/>
      <w:lvlJc w:val="left"/>
      <w:pPr>
        <w:ind w:left="3972" w:hanging="720"/>
      </w:pPr>
      <w:rPr>
        <w:rFonts w:hint="default"/>
      </w:rPr>
    </w:lvl>
    <w:lvl w:ilvl="4" w:tentative="0">
      <w:start w:val="1"/>
      <w:numFmt w:val="bullet"/>
      <w:lvlText w:val="•"/>
      <w:lvlJc w:val="left"/>
      <w:pPr>
        <w:ind w:left="4776" w:hanging="720"/>
      </w:pPr>
      <w:rPr>
        <w:rFonts w:hint="default"/>
      </w:rPr>
    </w:lvl>
    <w:lvl w:ilvl="5" w:tentative="0">
      <w:start w:val="1"/>
      <w:numFmt w:val="bullet"/>
      <w:lvlText w:val="•"/>
      <w:lvlJc w:val="left"/>
      <w:pPr>
        <w:ind w:left="5580" w:hanging="720"/>
      </w:pPr>
      <w:rPr>
        <w:rFonts w:hint="default"/>
      </w:rPr>
    </w:lvl>
    <w:lvl w:ilvl="6" w:tentative="0">
      <w:start w:val="1"/>
      <w:numFmt w:val="bullet"/>
      <w:lvlText w:val="•"/>
      <w:lvlJc w:val="left"/>
      <w:pPr>
        <w:ind w:left="6384" w:hanging="720"/>
      </w:pPr>
      <w:rPr>
        <w:rFonts w:hint="default"/>
      </w:rPr>
    </w:lvl>
    <w:lvl w:ilvl="7" w:tentative="0">
      <w:start w:val="1"/>
      <w:numFmt w:val="bullet"/>
      <w:lvlText w:val="•"/>
      <w:lvlJc w:val="left"/>
      <w:pPr>
        <w:ind w:left="7188" w:hanging="720"/>
      </w:pPr>
      <w:rPr>
        <w:rFonts w:hint="default"/>
      </w:rPr>
    </w:lvl>
    <w:lvl w:ilvl="8" w:tentative="0">
      <w:start w:val="1"/>
      <w:numFmt w:val="bullet"/>
      <w:lvlText w:val="•"/>
      <w:lvlJc w:val="left"/>
      <w:pPr>
        <w:ind w:left="7992" w:hanging="720"/>
      </w:pPr>
      <w:rPr>
        <w:rFonts w:hint="default"/>
      </w:rPr>
    </w:lvl>
  </w:abstractNum>
  <w:abstractNum w:abstractNumId="4">
    <w:nsid w:val="14943755"/>
    <w:multiLevelType w:val="multilevel"/>
    <w:tmpl w:val="14943755"/>
    <w:lvl w:ilvl="0" w:tentative="0">
      <w:start w:val="1"/>
      <w:numFmt w:val="lowerLetter"/>
      <w:lvlText w:val="%1."/>
      <w:lvlJc w:val="left"/>
      <w:pPr>
        <w:ind w:left="840" w:hanging="360"/>
      </w:pPr>
      <w:rPr>
        <w:rFonts w:hint="default" w:ascii="Arial" w:hAnsi="Arial" w:eastAsia="Times New Roman" w:cs="Arial"/>
        <w:spacing w:val="-3"/>
        <w:w w:val="100"/>
        <w:sz w:val="24"/>
        <w:szCs w:val="24"/>
      </w:rPr>
    </w:lvl>
    <w:lvl w:ilvl="1" w:tentative="0">
      <w:start w:val="1"/>
      <w:numFmt w:val="bullet"/>
      <w:lvlText w:val="•"/>
      <w:lvlJc w:val="left"/>
      <w:pPr>
        <w:ind w:left="1716" w:hanging="360"/>
      </w:pPr>
      <w:rPr>
        <w:rFonts w:hint="default"/>
      </w:rPr>
    </w:lvl>
    <w:lvl w:ilvl="2" w:tentative="0">
      <w:start w:val="1"/>
      <w:numFmt w:val="bullet"/>
      <w:lvlText w:val="•"/>
      <w:lvlJc w:val="left"/>
      <w:pPr>
        <w:ind w:left="2592" w:hanging="360"/>
      </w:pPr>
      <w:rPr>
        <w:rFonts w:hint="default"/>
      </w:rPr>
    </w:lvl>
    <w:lvl w:ilvl="3" w:tentative="0">
      <w:start w:val="1"/>
      <w:numFmt w:val="bullet"/>
      <w:lvlText w:val="•"/>
      <w:lvlJc w:val="left"/>
      <w:pPr>
        <w:ind w:left="3468" w:hanging="360"/>
      </w:pPr>
      <w:rPr>
        <w:rFonts w:hint="default"/>
      </w:rPr>
    </w:lvl>
    <w:lvl w:ilvl="4" w:tentative="0">
      <w:start w:val="1"/>
      <w:numFmt w:val="bullet"/>
      <w:lvlText w:val="•"/>
      <w:lvlJc w:val="left"/>
      <w:pPr>
        <w:ind w:left="4344" w:hanging="360"/>
      </w:pPr>
      <w:rPr>
        <w:rFonts w:hint="default"/>
      </w:rPr>
    </w:lvl>
    <w:lvl w:ilvl="5" w:tentative="0">
      <w:start w:val="1"/>
      <w:numFmt w:val="bullet"/>
      <w:lvlText w:val="•"/>
      <w:lvlJc w:val="left"/>
      <w:pPr>
        <w:ind w:left="5220" w:hanging="360"/>
      </w:pPr>
      <w:rPr>
        <w:rFonts w:hint="default"/>
      </w:rPr>
    </w:lvl>
    <w:lvl w:ilvl="6" w:tentative="0">
      <w:start w:val="1"/>
      <w:numFmt w:val="bullet"/>
      <w:lvlText w:val="•"/>
      <w:lvlJc w:val="left"/>
      <w:pPr>
        <w:ind w:left="6096" w:hanging="360"/>
      </w:pPr>
      <w:rPr>
        <w:rFonts w:hint="default"/>
      </w:rPr>
    </w:lvl>
    <w:lvl w:ilvl="7" w:tentative="0">
      <w:start w:val="1"/>
      <w:numFmt w:val="bullet"/>
      <w:lvlText w:val="•"/>
      <w:lvlJc w:val="left"/>
      <w:pPr>
        <w:ind w:left="6972" w:hanging="360"/>
      </w:pPr>
      <w:rPr>
        <w:rFonts w:hint="default"/>
      </w:rPr>
    </w:lvl>
    <w:lvl w:ilvl="8" w:tentative="0">
      <w:start w:val="1"/>
      <w:numFmt w:val="bullet"/>
      <w:lvlText w:val="•"/>
      <w:lvlJc w:val="left"/>
      <w:pPr>
        <w:ind w:left="7848" w:hanging="360"/>
      </w:pPr>
      <w:rPr>
        <w:rFonts w:hint="default"/>
      </w:rPr>
    </w:lvl>
  </w:abstractNum>
  <w:abstractNum w:abstractNumId="5">
    <w:nsid w:val="24493636"/>
    <w:multiLevelType w:val="multilevel"/>
    <w:tmpl w:val="24493636"/>
    <w:lvl w:ilvl="0" w:tentative="0">
      <w:start w:val="1"/>
      <w:numFmt w:val="bullet"/>
      <w:lvlText w:val=""/>
      <w:lvlJc w:val="left"/>
      <w:pPr>
        <w:ind w:left="840" w:hanging="360"/>
      </w:pPr>
      <w:rPr>
        <w:rFonts w:hint="default" w:ascii="Wingdings" w:hAnsi="Wingdings" w:eastAsia="Wingdings"/>
        <w:w w:val="99"/>
        <w:sz w:val="24"/>
        <w:szCs w:val="24"/>
      </w:rPr>
    </w:lvl>
    <w:lvl w:ilvl="1" w:tentative="0">
      <w:start w:val="1"/>
      <w:numFmt w:val="bullet"/>
      <w:lvlText w:val="•"/>
      <w:lvlJc w:val="left"/>
      <w:pPr>
        <w:ind w:left="1716" w:hanging="360"/>
      </w:pPr>
      <w:rPr>
        <w:rFonts w:hint="default"/>
      </w:rPr>
    </w:lvl>
    <w:lvl w:ilvl="2" w:tentative="0">
      <w:start w:val="1"/>
      <w:numFmt w:val="bullet"/>
      <w:lvlText w:val="•"/>
      <w:lvlJc w:val="left"/>
      <w:pPr>
        <w:ind w:left="2592" w:hanging="360"/>
      </w:pPr>
      <w:rPr>
        <w:rFonts w:hint="default"/>
      </w:rPr>
    </w:lvl>
    <w:lvl w:ilvl="3" w:tentative="0">
      <w:start w:val="1"/>
      <w:numFmt w:val="bullet"/>
      <w:lvlText w:val="•"/>
      <w:lvlJc w:val="left"/>
      <w:pPr>
        <w:ind w:left="3468" w:hanging="360"/>
      </w:pPr>
      <w:rPr>
        <w:rFonts w:hint="default"/>
      </w:rPr>
    </w:lvl>
    <w:lvl w:ilvl="4" w:tentative="0">
      <w:start w:val="1"/>
      <w:numFmt w:val="bullet"/>
      <w:lvlText w:val="•"/>
      <w:lvlJc w:val="left"/>
      <w:pPr>
        <w:ind w:left="4344" w:hanging="360"/>
      </w:pPr>
      <w:rPr>
        <w:rFonts w:hint="default"/>
      </w:rPr>
    </w:lvl>
    <w:lvl w:ilvl="5" w:tentative="0">
      <w:start w:val="1"/>
      <w:numFmt w:val="bullet"/>
      <w:lvlText w:val="•"/>
      <w:lvlJc w:val="left"/>
      <w:pPr>
        <w:ind w:left="5220" w:hanging="360"/>
      </w:pPr>
      <w:rPr>
        <w:rFonts w:hint="default"/>
      </w:rPr>
    </w:lvl>
    <w:lvl w:ilvl="6" w:tentative="0">
      <w:start w:val="1"/>
      <w:numFmt w:val="bullet"/>
      <w:lvlText w:val="•"/>
      <w:lvlJc w:val="left"/>
      <w:pPr>
        <w:ind w:left="6096" w:hanging="360"/>
      </w:pPr>
      <w:rPr>
        <w:rFonts w:hint="default"/>
      </w:rPr>
    </w:lvl>
    <w:lvl w:ilvl="7" w:tentative="0">
      <w:start w:val="1"/>
      <w:numFmt w:val="bullet"/>
      <w:lvlText w:val="•"/>
      <w:lvlJc w:val="left"/>
      <w:pPr>
        <w:ind w:left="6972" w:hanging="360"/>
      </w:pPr>
      <w:rPr>
        <w:rFonts w:hint="default"/>
      </w:rPr>
    </w:lvl>
    <w:lvl w:ilvl="8" w:tentative="0">
      <w:start w:val="1"/>
      <w:numFmt w:val="bullet"/>
      <w:lvlText w:val="•"/>
      <w:lvlJc w:val="left"/>
      <w:pPr>
        <w:ind w:left="7848" w:hanging="360"/>
      </w:pPr>
      <w:rPr>
        <w:rFonts w:hint="default"/>
      </w:rPr>
    </w:lvl>
  </w:abstractNum>
  <w:abstractNum w:abstractNumId="6">
    <w:nsid w:val="2A164DE2"/>
    <w:multiLevelType w:val="multilevel"/>
    <w:tmpl w:val="2A164DE2"/>
    <w:lvl w:ilvl="0" w:tentative="0">
      <w:start w:val="1"/>
      <w:numFmt w:val="bullet"/>
      <w:lvlText w:val=""/>
      <w:lvlJc w:val="left"/>
      <w:pPr>
        <w:ind w:left="1160" w:hanging="360"/>
      </w:pPr>
      <w:rPr>
        <w:rFonts w:hint="default" w:ascii="Wingdings" w:hAnsi="Wingdings" w:eastAsia="Wingdings"/>
        <w:w w:val="99"/>
        <w:sz w:val="24"/>
        <w:szCs w:val="24"/>
      </w:rPr>
    </w:lvl>
    <w:lvl w:ilvl="1" w:tentative="0">
      <w:start w:val="1"/>
      <w:numFmt w:val="bullet"/>
      <w:lvlText w:val="•"/>
      <w:lvlJc w:val="left"/>
      <w:pPr>
        <w:ind w:left="1964" w:hanging="360"/>
      </w:pPr>
      <w:rPr>
        <w:rFonts w:hint="default"/>
      </w:rPr>
    </w:lvl>
    <w:lvl w:ilvl="2" w:tentative="0">
      <w:start w:val="1"/>
      <w:numFmt w:val="bullet"/>
      <w:lvlText w:val="•"/>
      <w:lvlJc w:val="left"/>
      <w:pPr>
        <w:ind w:left="2768" w:hanging="360"/>
      </w:pPr>
      <w:rPr>
        <w:rFonts w:hint="default"/>
      </w:rPr>
    </w:lvl>
    <w:lvl w:ilvl="3" w:tentative="0">
      <w:start w:val="1"/>
      <w:numFmt w:val="bullet"/>
      <w:lvlText w:val="•"/>
      <w:lvlJc w:val="left"/>
      <w:pPr>
        <w:ind w:left="3572" w:hanging="360"/>
      </w:pPr>
      <w:rPr>
        <w:rFonts w:hint="default"/>
      </w:rPr>
    </w:lvl>
    <w:lvl w:ilvl="4" w:tentative="0">
      <w:start w:val="1"/>
      <w:numFmt w:val="bullet"/>
      <w:lvlText w:val="•"/>
      <w:lvlJc w:val="left"/>
      <w:pPr>
        <w:ind w:left="4376" w:hanging="360"/>
      </w:pPr>
      <w:rPr>
        <w:rFonts w:hint="default"/>
      </w:rPr>
    </w:lvl>
    <w:lvl w:ilvl="5" w:tentative="0">
      <w:start w:val="1"/>
      <w:numFmt w:val="bullet"/>
      <w:lvlText w:val="•"/>
      <w:lvlJc w:val="left"/>
      <w:pPr>
        <w:ind w:left="5180" w:hanging="360"/>
      </w:pPr>
      <w:rPr>
        <w:rFonts w:hint="default"/>
      </w:rPr>
    </w:lvl>
    <w:lvl w:ilvl="6" w:tentative="0">
      <w:start w:val="1"/>
      <w:numFmt w:val="bullet"/>
      <w:lvlText w:val="•"/>
      <w:lvlJc w:val="left"/>
      <w:pPr>
        <w:ind w:left="5984" w:hanging="360"/>
      </w:pPr>
      <w:rPr>
        <w:rFonts w:hint="default"/>
      </w:rPr>
    </w:lvl>
    <w:lvl w:ilvl="7" w:tentative="0">
      <w:start w:val="1"/>
      <w:numFmt w:val="bullet"/>
      <w:lvlText w:val="•"/>
      <w:lvlJc w:val="left"/>
      <w:pPr>
        <w:ind w:left="6788" w:hanging="360"/>
      </w:pPr>
      <w:rPr>
        <w:rFonts w:hint="default"/>
      </w:rPr>
    </w:lvl>
    <w:lvl w:ilvl="8" w:tentative="0">
      <w:start w:val="1"/>
      <w:numFmt w:val="bullet"/>
      <w:lvlText w:val="•"/>
      <w:lvlJc w:val="left"/>
      <w:pPr>
        <w:ind w:left="7592" w:hanging="360"/>
      </w:pPr>
      <w:rPr>
        <w:rFonts w:hint="default"/>
      </w:rPr>
    </w:lvl>
  </w:abstractNum>
  <w:abstractNum w:abstractNumId="7">
    <w:nsid w:val="34B306AA"/>
    <w:multiLevelType w:val="multilevel"/>
    <w:tmpl w:val="34B306AA"/>
    <w:lvl w:ilvl="0" w:tentative="0">
      <w:start w:val="1"/>
      <w:numFmt w:val="bullet"/>
      <w:lvlText w:val=""/>
      <w:lvlJc w:val="left"/>
      <w:pPr>
        <w:ind w:left="1540" w:hanging="360"/>
      </w:pPr>
      <w:rPr>
        <w:rFonts w:hint="default" w:ascii="Wingdings" w:hAnsi="Wingdings" w:eastAsia="Wingdings"/>
        <w:w w:val="99"/>
        <w:sz w:val="24"/>
        <w:szCs w:val="24"/>
      </w:rPr>
    </w:lvl>
    <w:lvl w:ilvl="1" w:tentative="0">
      <w:start w:val="1"/>
      <w:numFmt w:val="bullet"/>
      <w:lvlText w:val="•"/>
      <w:lvlJc w:val="left"/>
      <w:pPr>
        <w:ind w:left="2344" w:hanging="360"/>
      </w:pPr>
      <w:rPr>
        <w:rFonts w:hint="default"/>
      </w:rPr>
    </w:lvl>
    <w:lvl w:ilvl="2" w:tentative="0">
      <w:start w:val="1"/>
      <w:numFmt w:val="bullet"/>
      <w:lvlText w:val="•"/>
      <w:lvlJc w:val="left"/>
      <w:pPr>
        <w:ind w:left="3148" w:hanging="360"/>
      </w:pPr>
      <w:rPr>
        <w:rFonts w:hint="default"/>
      </w:rPr>
    </w:lvl>
    <w:lvl w:ilvl="3" w:tentative="0">
      <w:start w:val="1"/>
      <w:numFmt w:val="bullet"/>
      <w:lvlText w:val="•"/>
      <w:lvlJc w:val="left"/>
      <w:pPr>
        <w:ind w:left="3952" w:hanging="360"/>
      </w:pPr>
      <w:rPr>
        <w:rFonts w:hint="default"/>
      </w:rPr>
    </w:lvl>
    <w:lvl w:ilvl="4" w:tentative="0">
      <w:start w:val="1"/>
      <w:numFmt w:val="bullet"/>
      <w:lvlText w:val="•"/>
      <w:lvlJc w:val="left"/>
      <w:pPr>
        <w:ind w:left="4756" w:hanging="360"/>
      </w:pPr>
      <w:rPr>
        <w:rFonts w:hint="default"/>
      </w:rPr>
    </w:lvl>
    <w:lvl w:ilvl="5" w:tentative="0">
      <w:start w:val="1"/>
      <w:numFmt w:val="bullet"/>
      <w:lvlText w:val="•"/>
      <w:lvlJc w:val="left"/>
      <w:pPr>
        <w:ind w:left="5560" w:hanging="360"/>
      </w:pPr>
      <w:rPr>
        <w:rFonts w:hint="default"/>
      </w:rPr>
    </w:lvl>
    <w:lvl w:ilvl="6" w:tentative="0">
      <w:start w:val="1"/>
      <w:numFmt w:val="bullet"/>
      <w:lvlText w:val="•"/>
      <w:lvlJc w:val="left"/>
      <w:pPr>
        <w:ind w:left="6364" w:hanging="360"/>
      </w:pPr>
      <w:rPr>
        <w:rFonts w:hint="default"/>
      </w:rPr>
    </w:lvl>
    <w:lvl w:ilvl="7" w:tentative="0">
      <w:start w:val="1"/>
      <w:numFmt w:val="bullet"/>
      <w:lvlText w:val="•"/>
      <w:lvlJc w:val="left"/>
      <w:pPr>
        <w:ind w:left="7168" w:hanging="360"/>
      </w:pPr>
      <w:rPr>
        <w:rFonts w:hint="default"/>
      </w:rPr>
    </w:lvl>
    <w:lvl w:ilvl="8" w:tentative="0">
      <w:start w:val="1"/>
      <w:numFmt w:val="bullet"/>
      <w:lvlText w:val="•"/>
      <w:lvlJc w:val="left"/>
      <w:pPr>
        <w:ind w:left="7972" w:hanging="360"/>
      </w:pPr>
      <w:rPr>
        <w:rFonts w:hint="default"/>
      </w:rPr>
    </w:lvl>
  </w:abstractNum>
  <w:abstractNum w:abstractNumId="8">
    <w:nsid w:val="52FF4DBF"/>
    <w:multiLevelType w:val="multilevel"/>
    <w:tmpl w:val="52FF4DBF"/>
    <w:lvl w:ilvl="0" w:tentative="0">
      <w:start w:val="1"/>
      <w:numFmt w:val="decimal"/>
      <w:lvlText w:val="%1."/>
      <w:lvlJc w:val="left"/>
      <w:pPr>
        <w:ind w:left="480" w:hanging="360"/>
      </w:pPr>
      <w:rPr>
        <w:rFonts w:hint="default" w:ascii="Arial" w:hAnsi="Arial" w:cs="Arial"/>
        <w:sz w:val="15"/>
        <w:szCs w:val="15"/>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9">
    <w:nsid w:val="57286F2C"/>
    <w:multiLevelType w:val="multilevel"/>
    <w:tmpl w:val="57286F2C"/>
    <w:lvl w:ilvl="0" w:tentative="0">
      <w:start w:val="1"/>
      <w:numFmt w:val="bullet"/>
      <w:lvlText w:val=""/>
      <w:lvlJc w:val="left"/>
      <w:pPr>
        <w:ind w:left="1520" w:hanging="360"/>
      </w:pPr>
      <w:rPr>
        <w:rFonts w:hint="default" w:ascii="Wingdings" w:hAnsi="Wingdings" w:eastAsia="Wingdings"/>
        <w:w w:val="99"/>
        <w:sz w:val="24"/>
        <w:szCs w:val="24"/>
      </w:rPr>
    </w:lvl>
    <w:lvl w:ilvl="1" w:tentative="0">
      <w:start w:val="1"/>
      <w:numFmt w:val="bullet"/>
      <w:lvlText w:val="•"/>
      <w:lvlJc w:val="left"/>
      <w:pPr>
        <w:ind w:left="2288" w:hanging="360"/>
      </w:pPr>
      <w:rPr>
        <w:rFonts w:hint="default"/>
      </w:rPr>
    </w:lvl>
    <w:lvl w:ilvl="2" w:tentative="0">
      <w:start w:val="1"/>
      <w:numFmt w:val="bullet"/>
      <w:lvlText w:val="•"/>
      <w:lvlJc w:val="left"/>
      <w:pPr>
        <w:ind w:left="3056" w:hanging="360"/>
      </w:pPr>
      <w:rPr>
        <w:rFonts w:hint="default"/>
      </w:rPr>
    </w:lvl>
    <w:lvl w:ilvl="3" w:tentative="0">
      <w:start w:val="1"/>
      <w:numFmt w:val="bullet"/>
      <w:lvlText w:val="•"/>
      <w:lvlJc w:val="left"/>
      <w:pPr>
        <w:ind w:left="3824" w:hanging="360"/>
      </w:pPr>
      <w:rPr>
        <w:rFonts w:hint="default"/>
      </w:rPr>
    </w:lvl>
    <w:lvl w:ilvl="4" w:tentative="0">
      <w:start w:val="1"/>
      <w:numFmt w:val="bullet"/>
      <w:lvlText w:val="•"/>
      <w:lvlJc w:val="left"/>
      <w:pPr>
        <w:ind w:left="4592" w:hanging="360"/>
      </w:pPr>
      <w:rPr>
        <w:rFonts w:hint="default"/>
      </w:rPr>
    </w:lvl>
    <w:lvl w:ilvl="5" w:tentative="0">
      <w:start w:val="1"/>
      <w:numFmt w:val="bullet"/>
      <w:lvlText w:val="•"/>
      <w:lvlJc w:val="left"/>
      <w:pPr>
        <w:ind w:left="5360" w:hanging="360"/>
      </w:pPr>
      <w:rPr>
        <w:rFonts w:hint="default"/>
      </w:rPr>
    </w:lvl>
    <w:lvl w:ilvl="6" w:tentative="0">
      <w:start w:val="1"/>
      <w:numFmt w:val="bullet"/>
      <w:lvlText w:val="•"/>
      <w:lvlJc w:val="left"/>
      <w:pPr>
        <w:ind w:left="6128" w:hanging="360"/>
      </w:pPr>
      <w:rPr>
        <w:rFonts w:hint="default"/>
      </w:rPr>
    </w:lvl>
    <w:lvl w:ilvl="7" w:tentative="0">
      <w:start w:val="1"/>
      <w:numFmt w:val="bullet"/>
      <w:lvlText w:val="•"/>
      <w:lvlJc w:val="left"/>
      <w:pPr>
        <w:ind w:left="6896" w:hanging="360"/>
      </w:pPr>
      <w:rPr>
        <w:rFonts w:hint="default"/>
      </w:rPr>
    </w:lvl>
    <w:lvl w:ilvl="8" w:tentative="0">
      <w:start w:val="1"/>
      <w:numFmt w:val="bullet"/>
      <w:lvlText w:val="•"/>
      <w:lvlJc w:val="left"/>
      <w:pPr>
        <w:ind w:left="7664" w:hanging="360"/>
      </w:pPr>
      <w:rPr>
        <w:rFonts w:hint="default"/>
      </w:rPr>
    </w:lvl>
  </w:abstractNum>
  <w:abstractNum w:abstractNumId="10">
    <w:nsid w:val="595254DC"/>
    <w:multiLevelType w:val="multilevel"/>
    <w:tmpl w:val="595254DC"/>
    <w:lvl w:ilvl="0" w:tentative="0">
      <w:start w:val="1"/>
      <w:numFmt w:val="upperLetter"/>
      <w:lvlText w:val="%1."/>
      <w:lvlJc w:val="left"/>
      <w:pPr>
        <w:ind w:left="1160" w:hanging="720"/>
      </w:pPr>
      <w:rPr>
        <w:rFonts w:hint="default" w:ascii="Arial" w:hAnsi="Arial" w:eastAsia="Times New Roman" w:cs="Arial"/>
        <w:b/>
        <w:bCs/>
        <w:spacing w:val="-3"/>
        <w:w w:val="100"/>
        <w:sz w:val="28"/>
        <w:szCs w:val="28"/>
      </w:rPr>
    </w:lvl>
    <w:lvl w:ilvl="1" w:tentative="0">
      <w:start w:val="1"/>
      <w:numFmt w:val="decimal"/>
      <w:lvlText w:val="%2."/>
      <w:lvlJc w:val="left"/>
      <w:pPr>
        <w:ind w:left="1160" w:hanging="360"/>
      </w:pPr>
      <w:rPr>
        <w:rFonts w:hint="default" w:ascii="Arial" w:hAnsi="Arial" w:eastAsia="Times New Roman" w:cs="Arial"/>
        <w:spacing w:val="-8"/>
        <w:w w:val="100"/>
        <w:sz w:val="24"/>
        <w:szCs w:val="24"/>
      </w:rPr>
    </w:lvl>
    <w:lvl w:ilvl="2" w:tentative="0">
      <w:start w:val="1"/>
      <w:numFmt w:val="lowerLetter"/>
      <w:lvlText w:val="%3."/>
      <w:lvlJc w:val="left"/>
      <w:pPr>
        <w:ind w:left="1520" w:hanging="360"/>
      </w:pPr>
      <w:rPr>
        <w:rFonts w:hint="default" w:ascii="Arial" w:hAnsi="Arial" w:eastAsia="Times New Roman" w:cs="Arial"/>
        <w:spacing w:val="-3"/>
        <w:w w:val="100"/>
        <w:sz w:val="24"/>
        <w:szCs w:val="24"/>
      </w:rPr>
    </w:lvl>
    <w:lvl w:ilvl="3" w:tentative="0">
      <w:start w:val="1"/>
      <w:numFmt w:val="bullet"/>
      <w:lvlText w:val="•"/>
      <w:lvlJc w:val="left"/>
      <w:pPr>
        <w:ind w:left="2812" w:hanging="360"/>
      </w:pPr>
      <w:rPr>
        <w:rFonts w:hint="default"/>
      </w:rPr>
    </w:lvl>
    <w:lvl w:ilvl="4" w:tentative="0">
      <w:start w:val="1"/>
      <w:numFmt w:val="bullet"/>
      <w:lvlText w:val="•"/>
      <w:lvlJc w:val="left"/>
      <w:pPr>
        <w:ind w:left="3725" w:hanging="360"/>
      </w:pPr>
      <w:rPr>
        <w:rFonts w:hint="default"/>
      </w:rPr>
    </w:lvl>
    <w:lvl w:ilvl="5" w:tentative="0">
      <w:start w:val="1"/>
      <w:numFmt w:val="bullet"/>
      <w:lvlText w:val="•"/>
      <w:lvlJc w:val="left"/>
      <w:pPr>
        <w:ind w:left="4637" w:hanging="360"/>
      </w:pPr>
      <w:rPr>
        <w:rFonts w:hint="default"/>
      </w:rPr>
    </w:lvl>
    <w:lvl w:ilvl="6" w:tentative="0">
      <w:start w:val="1"/>
      <w:numFmt w:val="bullet"/>
      <w:lvlText w:val="•"/>
      <w:lvlJc w:val="left"/>
      <w:pPr>
        <w:ind w:left="5550" w:hanging="360"/>
      </w:pPr>
      <w:rPr>
        <w:rFonts w:hint="default"/>
      </w:rPr>
    </w:lvl>
    <w:lvl w:ilvl="7" w:tentative="0">
      <w:start w:val="1"/>
      <w:numFmt w:val="bullet"/>
      <w:lvlText w:val="•"/>
      <w:lvlJc w:val="left"/>
      <w:pPr>
        <w:ind w:left="6462" w:hanging="360"/>
      </w:pPr>
      <w:rPr>
        <w:rFonts w:hint="default"/>
      </w:rPr>
    </w:lvl>
    <w:lvl w:ilvl="8" w:tentative="0">
      <w:start w:val="1"/>
      <w:numFmt w:val="bullet"/>
      <w:lvlText w:val="•"/>
      <w:lvlJc w:val="left"/>
      <w:pPr>
        <w:ind w:left="7375" w:hanging="360"/>
      </w:pPr>
      <w:rPr>
        <w:rFonts w:hint="default"/>
      </w:rPr>
    </w:lvl>
  </w:abstractNum>
  <w:abstractNum w:abstractNumId="11">
    <w:nsid w:val="59A00D7C"/>
    <w:multiLevelType w:val="multilevel"/>
    <w:tmpl w:val="59A00D7C"/>
    <w:lvl w:ilvl="0" w:tentative="0">
      <w:start w:val="1"/>
      <w:numFmt w:val="upperLetter"/>
      <w:lvlText w:val="%1."/>
      <w:lvlJc w:val="left"/>
      <w:pPr>
        <w:ind w:left="1160" w:hanging="360"/>
      </w:pPr>
      <w:rPr>
        <w:rFonts w:hint="default" w:ascii="Arial" w:hAnsi="Arial" w:eastAsia="Times New Roman" w:cs="Arial"/>
        <w:b/>
        <w:bCs/>
        <w:spacing w:val="-1"/>
        <w:w w:val="100"/>
        <w:sz w:val="24"/>
        <w:szCs w:val="24"/>
      </w:rPr>
    </w:lvl>
    <w:lvl w:ilvl="1" w:tentative="0">
      <w:start w:val="1"/>
      <w:numFmt w:val="bullet"/>
      <w:lvlText w:val=""/>
      <w:lvlJc w:val="left"/>
      <w:pPr>
        <w:ind w:left="1520" w:hanging="360"/>
      </w:pPr>
      <w:rPr>
        <w:rFonts w:hint="default" w:ascii="Wingdings" w:hAnsi="Wingdings" w:eastAsia="Wingdings"/>
        <w:w w:val="99"/>
        <w:sz w:val="24"/>
        <w:szCs w:val="24"/>
      </w:rPr>
    </w:lvl>
    <w:lvl w:ilvl="2" w:tentative="0">
      <w:start w:val="1"/>
      <w:numFmt w:val="bullet"/>
      <w:lvlText w:val="•"/>
      <w:lvlJc w:val="left"/>
      <w:pPr>
        <w:ind w:left="2373" w:hanging="360"/>
      </w:pPr>
      <w:rPr>
        <w:rFonts w:hint="default"/>
      </w:rPr>
    </w:lvl>
    <w:lvl w:ilvl="3" w:tentative="0">
      <w:start w:val="1"/>
      <w:numFmt w:val="bullet"/>
      <w:lvlText w:val="•"/>
      <w:lvlJc w:val="left"/>
      <w:pPr>
        <w:ind w:left="3226" w:hanging="360"/>
      </w:pPr>
      <w:rPr>
        <w:rFonts w:hint="default"/>
      </w:rPr>
    </w:lvl>
    <w:lvl w:ilvl="4" w:tentative="0">
      <w:start w:val="1"/>
      <w:numFmt w:val="bullet"/>
      <w:lvlText w:val="•"/>
      <w:lvlJc w:val="left"/>
      <w:pPr>
        <w:ind w:left="4080" w:hanging="360"/>
      </w:pPr>
      <w:rPr>
        <w:rFonts w:hint="default"/>
      </w:rPr>
    </w:lvl>
    <w:lvl w:ilvl="5" w:tentative="0">
      <w:start w:val="1"/>
      <w:numFmt w:val="bullet"/>
      <w:lvlText w:val="•"/>
      <w:lvlJc w:val="left"/>
      <w:pPr>
        <w:ind w:left="4933" w:hanging="360"/>
      </w:pPr>
      <w:rPr>
        <w:rFonts w:hint="default"/>
      </w:rPr>
    </w:lvl>
    <w:lvl w:ilvl="6" w:tentative="0">
      <w:start w:val="1"/>
      <w:numFmt w:val="bullet"/>
      <w:lvlText w:val="•"/>
      <w:lvlJc w:val="left"/>
      <w:pPr>
        <w:ind w:left="5786" w:hanging="360"/>
      </w:pPr>
      <w:rPr>
        <w:rFonts w:hint="default"/>
      </w:rPr>
    </w:lvl>
    <w:lvl w:ilvl="7" w:tentative="0">
      <w:start w:val="1"/>
      <w:numFmt w:val="bullet"/>
      <w:lvlText w:val="•"/>
      <w:lvlJc w:val="left"/>
      <w:pPr>
        <w:ind w:left="6640" w:hanging="360"/>
      </w:pPr>
      <w:rPr>
        <w:rFonts w:hint="default"/>
      </w:rPr>
    </w:lvl>
    <w:lvl w:ilvl="8" w:tentative="0">
      <w:start w:val="1"/>
      <w:numFmt w:val="bullet"/>
      <w:lvlText w:val="•"/>
      <w:lvlJc w:val="left"/>
      <w:pPr>
        <w:ind w:left="7493" w:hanging="360"/>
      </w:pPr>
      <w:rPr>
        <w:rFonts w:hint="default"/>
      </w:rPr>
    </w:lvl>
  </w:abstractNum>
  <w:abstractNum w:abstractNumId="12">
    <w:nsid w:val="5CF31270"/>
    <w:multiLevelType w:val="multilevel"/>
    <w:tmpl w:val="5CF31270"/>
    <w:lvl w:ilvl="0" w:tentative="0">
      <w:start w:val="1"/>
      <w:numFmt w:val="lowerLetter"/>
      <w:lvlText w:val="%1."/>
      <w:lvlJc w:val="left"/>
      <w:pPr>
        <w:ind w:left="480" w:hanging="360"/>
      </w:pPr>
      <w:rPr>
        <w:rFonts w:hint="eastAsia"/>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13">
    <w:nsid w:val="70AB1C69"/>
    <w:multiLevelType w:val="multilevel"/>
    <w:tmpl w:val="70AB1C69"/>
    <w:lvl w:ilvl="0" w:tentative="0">
      <w:start w:val="1"/>
      <w:numFmt w:val="upperRoman"/>
      <w:lvlText w:val="%1."/>
      <w:lvlJc w:val="left"/>
      <w:pPr>
        <w:ind w:left="840" w:hanging="720"/>
        <w:jc w:val="right"/>
      </w:pPr>
      <w:rPr>
        <w:rFonts w:hint="default" w:ascii="Arial" w:hAnsi="Arial" w:eastAsia="Times New Roman" w:cs="Arial"/>
        <w:b/>
        <w:bCs/>
        <w:spacing w:val="-6"/>
        <w:w w:val="99"/>
        <w:sz w:val="36"/>
        <w:szCs w:val="36"/>
      </w:rPr>
    </w:lvl>
    <w:lvl w:ilvl="1" w:tentative="0">
      <w:start w:val="1"/>
      <w:numFmt w:val="decimal"/>
      <w:lvlText w:val="%2."/>
      <w:lvlJc w:val="left"/>
      <w:pPr>
        <w:ind w:left="854" w:hanging="360"/>
      </w:pPr>
      <w:rPr>
        <w:rFonts w:hint="default" w:ascii="Arial" w:hAnsi="Arial" w:eastAsia="Times New Roman" w:cs="Arial"/>
        <w:spacing w:val="-8"/>
        <w:w w:val="100"/>
        <w:sz w:val="24"/>
        <w:szCs w:val="24"/>
      </w:rPr>
    </w:lvl>
    <w:lvl w:ilvl="2" w:tentative="0">
      <w:start w:val="1"/>
      <w:numFmt w:val="decimal"/>
      <w:lvlText w:val="%3."/>
      <w:lvlJc w:val="left"/>
      <w:pPr>
        <w:ind w:left="1560" w:hanging="360"/>
      </w:pPr>
      <w:rPr>
        <w:rFonts w:hint="default" w:ascii="Arial" w:hAnsi="Arial" w:eastAsia="Times New Roman" w:cs="Arial"/>
        <w:spacing w:val="-4"/>
        <w:w w:val="100"/>
        <w:sz w:val="24"/>
        <w:szCs w:val="24"/>
      </w:rPr>
    </w:lvl>
    <w:lvl w:ilvl="3" w:tentative="0">
      <w:start w:val="1"/>
      <w:numFmt w:val="bullet"/>
      <w:lvlText w:val="•"/>
      <w:lvlJc w:val="left"/>
      <w:pPr>
        <w:ind w:left="2565" w:hanging="360"/>
      </w:pPr>
      <w:rPr>
        <w:rFonts w:hint="default"/>
      </w:rPr>
    </w:lvl>
    <w:lvl w:ilvl="4" w:tentative="0">
      <w:start w:val="1"/>
      <w:numFmt w:val="bullet"/>
      <w:lvlText w:val="•"/>
      <w:lvlJc w:val="left"/>
      <w:pPr>
        <w:ind w:left="3570" w:hanging="360"/>
      </w:pPr>
      <w:rPr>
        <w:rFonts w:hint="default"/>
      </w:rPr>
    </w:lvl>
    <w:lvl w:ilvl="5" w:tentative="0">
      <w:start w:val="1"/>
      <w:numFmt w:val="bullet"/>
      <w:lvlText w:val="•"/>
      <w:lvlJc w:val="left"/>
      <w:pPr>
        <w:ind w:left="4575" w:hanging="360"/>
      </w:pPr>
      <w:rPr>
        <w:rFonts w:hint="default"/>
      </w:rPr>
    </w:lvl>
    <w:lvl w:ilvl="6" w:tentative="0">
      <w:start w:val="1"/>
      <w:numFmt w:val="bullet"/>
      <w:lvlText w:val="•"/>
      <w:lvlJc w:val="left"/>
      <w:pPr>
        <w:ind w:left="5580" w:hanging="360"/>
      </w:pPr>
      <w:rPr>
        <w:rFonts w:hint="default"/>
      </w:rPr>
    </w:lvl>
    <w:lvl w:ilvl="7" w:tentative="0">
      <w:start w:val="1"/>
      <w:numFmt w:val="bullet"/>
      <w:lvlText w:val="•"/>
      <w:lvlJc w:val="left"/>
      <w:pPr>
        <w:ind w:left="6585" w:hanging="360"/>
      </w:pPr>
      <w:rPr>
        <w:rFonts w:hint="default"/>
      </w:rPr>
    </w:lvl>
    <w:lvl w:ilvl="8" w:tentative="0">
      <w:start w:val="1"/>
      <w:numFmt w:val="bullet"/>
      <w:lvlText w:val="•"/>
      <w:lvlJc w:val="left"/>
      <w:pPr>
        <w:ind w:left="7590" w:hanging="360"/>
      </w:pPr>
      <w:rPr>
        <w:rFonts w:hint="default"/>
      </w:rPr>
    </w:lvl>
  </w:abstractNum>
  <w:abstractNum w:abstractNumId="14">
    <w:nsid w:val="72D93B95"/>
    <w:multiLevelType w:val="multilevel"/>
    <w:tmpl w:val="72D93B95"/>
    <w:lvl w:ilvl="0" w:tentative="0">
      <w:start w:val="1"/>
      <w:numFmt w:val="upperLetter"/>
      <w:lvlText w:val="%1."/>
      <w:lvlJc w:val="left"/>
      <w:pPr>
        <w:ind w:left="1560" w:hanging="720"/>
        <w:jc w:val="right"/>
      </w:pPr>
      <w:rPr>
        <w:rFonts w:hint="default" w:ascii="Arial" w:hAnsi="Arial" w:eastAsia="Times New Roman" w:cs="Arial"/>
        <w:b/>
        <w:bCs/>
        <w:spacing w:val="-3"/>
        <w:w w:val="100"/>
        <w:sz w:val="28"/>
        <w:szCs w:val="28"/>
      </w:rPr>
    </w:lvl>
    <w:lvl w:ilvl="1" w:tentative="0">
      <w:start w:val="1"/>
      <w:numFmt w:val="decimal"/>
      <w:lvlText w:val="%2."/>
      <w:lvlJc w:val="left"/>
      <w:pPr>
        <w:ind w:left="1160" w:hanging="360"/>
        <w:jc w:val="right"/>
      </w:pPr>
      <w:rPr>
        <w:rFonts w:hint="default" w:ascii="Arial" w:hAnsi="Arial" w:eastAsia="Times New Roman" w:cs="Arial"/>
        <w:b/>
        <w:bCs/>
        <w:spacing w:val="-4"/>
        <w:w w:val="100"/>
        <w:sz w:val="24"/>
        <w:szCs w:val="24"/>
      </w:rPr>
    </w:lvl>
    <w:lvl w:ilvl="2" w:tentative="0">
      <w:start w:val="1"/>
      <w:numFmt w:val="lowerLetter"/>
      <w:lvlText w:val="%3."/>
      <w:lvlJc w:val="left"/>
      <w:pPr>
        <w:ind w:left="1920" w:hanging="360"/>
        <w:jc w:val="right"/>
      </w:pPr>
      <w:rPr>
        <w:rFonts w:hint="default" w:ascii="Arial" w:hAnsi="Arial" w:eastAsia="Times New Roman" w:cs="Arial"/>
        <w:b/>
        <w:bCs/>
        <w:spacing w:val="-1"/>
        <w:w w:val="100"/>
        <w:sz w:val="24"/>
        <w:szCs w:val="24"/>
      </w:rPr>
    </w:lvl>
    <w:lvl w:ilvl="3" w:tentative="0">
      <w:start w:val="1"/>
      <w:numFmt w:val="bullet"/>
      <w:lvlText w:val=""/>
      <w:lvlJc w:val="left"/>
      <w:pPr>
        <w:ind w:left="1880" w:hanging="360"/>
      </w:pPr>
      <w:rPr>
        <w:rFonts w:hint="default" w:ascii="Wingdings" w:hAnsi="Wingdings" w:eastAsia="Wingdings"/>
        <w:w w:val="99"/>
        <w:sz w:val="22"/>
        <w:szCs w:val="22"/>
      </w:rPr>
    </w:lvl>
    <w:lvl w:ilvl="4" w:tentative="0">
      <w:start w:val="1"/>
      <w:numFmt w:val="bullet"/>
      <w:lvlText w:val="•"/>
      <w:lvlJc w:val="left"/>
      <w:pPr>
        <w:ind w:left="1920" w:hanging="360"/>
      </w:pPr>
      <w:rPr>
        <w:rFonts w:hint="default"/>
      </w:rPr>
    </w:lvl>
    <w:lvl w:ilvl="5" w:tentative="0">
      <w:start w:val="1"/>
      <w:numFmt w:val="bullet"/>
      <w:lvlText w:val="•"/>
      <w:lvlJc w:val="left"/>
      <w:pPr>
        <w:ind w:left="3133" w:hanging="360"/>
      </w:pPr>
      <w:rPr>
        <w:rFonts w:hint="default"/>
      </w:rPr>
    </w:lvl>
    <w:lvl w:ilvl="6" w:tentative="0">
      <w:start w:val="1"/>
      <w:numFmt w:val="bullet"/>
      <w:lvlText w:val="•"/>
      <w:lvlJc w:val="left"/>
      <w:pPr>
        <w:ind w:left="4346" w:hanging="360"/>
      </w:pPr>
      <w:rPr>
        <w:rFonts w:hint="default"/>
      </w:rPr>
    </w:lvl>
    <w:lvl w:ilvl="7" w:tentative="0">
      <w:start w:val="1"/>
      <w:numFmt w:val="bullet"/>
      <w:lvlText w:val="•"/>
      <w:lvlJc w:val="left"/>
      <w:pPr>
        <w:ind w:left="5560" w:hanging="360"/>
      </w:pPr>
      <w:rPr>
        <w:rFonts w:hint="default"/>
      </w:rPr>
    </w:lvl>
    <w:lvl w:ilvl="8" w:tentative="0">
      <w:start w:val="1"/>
      <w:numFmt w:val="bullet"/>
      <w:lvlText w:val="•"/>
      <w:lvlJc w:val="left"/>
      <w:pPr>
        <w:ind w:left="6773" w:hanging="360"/>
      </w:pPr>
      <w:rPr>
        <w:rFonts w:hint="default"/>
      </w:rPr>
    </w:lvl>
  </w:abstractNum>
  <w:num w:numId="1">
    <w:abstractNumId w:val="13"/>
  </w:num>
  <w:num w:numId="2">
    <w:abstractNumId w:val="5"/>
  </w:num>
  <w:num w:numId="3">
    <w:abstractNumId w:val="0"/>
  </w:num>
  <w:num w:numId="4">
    <w:abstractNumId w:val="10"/>
  </w:num>
  <w:num w:numId="5">
    <w:abstractNumId w:val="6"/>
  </w:num>
  <w:num w:numId="6">
    <w:abstractNumId w:val="7"/>
  </w:num>
  <w:num w:numId="7">
    <w:abstractNumId w:val="1"/>
  </w:num>
  <w:num w:numId="8">
    <w:abstractNumId w:val="11"/>
  </w:num>
  <w:num w:numId="9">
    <w:abstractNumId w:val="14"/>
  </w:num>
  <w:num w:numId="10">
    <w:abstractNumId w:val="9"/>
  </w:num>
  <w:num w:numId="11">
    <w:abstractNumId w:val="2"/>
  </w:num>
  <w:num w:numId="12">
    <w:abstractNumId w:val="3"/>
  </w:num>
  <w:num w:numId="13">
    <w:abstractNumId w:val="4"/>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00F"/>
    <w:rsid w:val="00017694"/>
    <w:rsid w:val="000227D4"/>
    <w:rsid w:val="00047620"/>
    <w:rsid w:val="00065AE1"/>
    <w:rsid w:val="00065BAD"/>
    <w:rsid w:val="00066660"/>
    <w:rsid w:val="00071C64"/>
    <w:rsid w:val="00095B1B"/>
    <w:rsid w:val="00095BEB"/>
    <w:rsid w:val="00097D8F"/>
    <w:rsid w:val="000B3423"/>
    <w:rsid w:val="000C1B09"/>
    <w:rsid w:val="000C689F"/>
    <w:rsid w:val="000C75ED"/>
    <w:rsid w:val="000D27D0"/>
    <w:rsid w:val="000D6AAD"/>
    <w:rsid w:val="000E5319"/>
    <w:rsid w:val="00102C40"/>
    <w:rsid w:val="00111CB5"/>
    <w:rsid w:val="00133C68"/>
    <w:rsid w:val="00136393"/>
    <w:rsid w:val="00145AC5"/>
    <w:rsid w:val="00154DBE"/>
    <w:rsid w:val="00167967"/>
    <w:rsid w:val="0019716A"/>
    <w:rsid w:val="001A4F87"/>
    <w:rsid w:val="001A6D97"/>
    <w:rsid w:val="001A7AB8"/>
    <w:rsid w:val="001B3F8B"/>
    <w:rsid w:val="001B6577"/>
    <w:rsid w:val="001E3351"/>
    <w:rsid w:val="001F1431"/>
    <w:rsid w:val="001F5088"/>
    <w:rsid w:val="002156EF"/>
    <w:rsid w:val="00216F6E"/>
    <w:rsid w:val="0023700F"/>
    <w:rsid w:val="002676E9"/>
    <w:rsid w:val="002708C8"/>
    <w:rsid w:val="00284FDB"/>
    <w:rsid w:val="002858B5"/>
    <w:rsid w:val="002A6652"/>
    <w:rsid w:val="002B04CF"/>
    <w:rsid w:val="002B67AB"/>
    <w:rsid w:val="002C4846"/>
    <w:rsid w:val="002E44B0"/>
    <w:rsid w:val="00313053"/>
    <w:rsid w:val="00316A10"/>
    <w:rsid w:val="00344F3E"/>
    <w:rsid w:val="00345A48"/>
    <w:rsid w:val="0035242E"/>
    <w:rsid w:val="00357B1E"/>
    <w:rsid w:val="00371A62"/>
    <w:rsid w:val="00382EFF"/>
    <w:rsid w:val="003A5AAC"/>
    <w:rsid w:val="003B59DA"/>
    <w:rsid w:val="003C4A9A"/>
    <w:rsid w:val="003C659D"/>
    <w:rsid w:val="003C7ECC"/>
    <w:rsid w:val="003D2310"/>
    <w:rsid w:val="003D2EC6"/>
    <w:rsid w:val="003E20A3"/>
    <w:rsid w:val="00412407"/>
    <w:rsid w:val="00421E9C"/>
    <w:rsid w:val="004342EE"/>
    <w:rsid w:val="00442BE0"/>
    <w:rsid w:val="00456B25"/>
    <w:rsid w:val="00457E44"/>
    <w:rsid w:val="00471A10"/>
    <w:rsid w:val="004772DC"/>
    <w:rsid w:val="00483AFC"/>
    <w:rsid w:val="004A5BED"/>
    <w:rsid w:val="004B7097"/>
    <w:rsid w:val="004C6FF0"/>
    <w:rsid w:val="004D0AC1"/>
    <w:rsid w:val="004D103E"/>
    <w:rsid w:val="004D6AC1"/>
    <w:rsid w:val="004F3644"/>
    <w:rsid w:val="00507640"/>
    <w:rsid w:val="0051698D"/>
    <w:rsid w:val="00522695"/>
    <w:rsid w:val="0052563B"/>
    <w:rsid w:val="00533A3D"/>
    <w:rsid w:val="005535FD"/>
    <w:rsid w:val="00563980"/>
    <w:rsid w:val="005646CA"/>
    <w:rsid w:val="00574108"/>
    <w:rsid w:val="00591055"/>
    <w:rsid w:val="005949CF"/>
    <w:rsid w:val="005D2CE7"/>
    <w:rsid w:val="005D4227"/>
    <w:rsid w:val="005D6444"/>
    <w:rsid w:val="005D7335"/>
    <w:rsid w:val="005E7D1C"/>
    <w:rsid w:val="005F6ED6"/>
    <w:rsid w:val="0060340E"/>
    <w:rsid w:val="00606C44"/>
    <w:rsid w:val="0062028B"/>
    <w:rsid w:val="00622E30"/>
    <w:rsid w:val="00626E72"/>
    <w:rsid w:val="00633C38"/>
    <w:rsid w:val="00642F97"/>
    <w:rsid w:val="00654448"/>
    <w:rsid w:val="00654F62"/>
    <w:rsid w:val="00656F59"/>
    <w:rsid w:val="00663746"/>
    <w:rsid w:val="006637F6"/>
    <w:rsid w:val="00666350"/>
    <w:rsid w:val="00670EF2"/>
    <w:rsid w:val="006722E0"/>
    <w:rsid w:val="00677894"/>
    <w:rsid w:val="00695D34"/>
    <w:rsid w:val="006964B3"/>
    <w:rsid w:val="00697AFD"/>
    <w:rsid w:val="006A7041"/>
    <w:rsid w:val="006E3F46"/>
    <w:rsid w:val="006F7FC3"/>
    <w:rsid w:val="007313B7"/>
    <w:rsid w:val="00733588"/>
    <w:rsid w:val="00747823"/>
    <w:rsid w:val="00766140"/>
    <w:rsid w:val="00772486"/>
    <w:rsid w:val="00781F89"/>
    <w:rsid w:val="0078449E"/>
    <w:rsid w:val="007C157C"/>
    <w:rsid w:val="007C5E33"/>
    <w:rsid w:val="007D68C6"/>
    <w:rsid w:val="007E672A"/>
    <w:rsid w:val="007F2452"/>
    <w:rsid w:val="007F7537"/>
    <w:rsid w:val="007F7933"/>
    <w:rsid w:val="008005CA"/>
    <w:rsid w:val="0080445E"/>
    <w:rsid w:val="00814641"/>
    <w:rsid w:val="0082248E"/>
    <w:rsid w:val="0084371A"/>
    <w:rsid w:val="0085451C"/>
    <w:rsid w:val="0085604C"/>
    <w:rsid w:val="0086033F"/>
    <w:rsid w:val="008854C1"/>
    <w:rsid w:val="008A439E"/>
    <w:rsid w:val="008D1821"/>
    <w:rsid w:val="008D3F5E"/>
    <w:rsid w:val="008D4BED"/>
    <w:rsid w:val="009008B8"/>
    <w:rsid w:val="00900F9F"/>
    <w:rsid w:val="00904682"/>
    <w:rsid w:val="00920B2D"/>
    <w:rsid w:val="009251DB"/>
    <w:rsid w:val="00926706"/>
    <w:rsid w:val="0093487A"/>
    <w:rsid w:val="00935948"/>
    <w:rsid w:val="00954B1A"/>
    <w:rsid w:val="00967165"/>
    <w:rsid w:val="009754E1"/>
    <w:rsid w:val="00990B57"/>
    <w:rsid w:val="00996E99"/>
    <w:rsid w:val="009B23FC"/>
    <w:rsid w:val="009C0C3C"/>
    <w:rsid w:val="009F30C1"/>
    <w:rsid w:val="009F3A87"/>
    <w:rsid w:val="00A02E9E"/>
    <w:rsid w:val="00A03366"/>
    <w:rsid w:val="00A3448C"/>
    <w:rsid w:val="00A37735"/>
    <w:rsid w:val="00A41B98"/>
    <w:rsid w:val="00A45437"/>
    <w:rsid w:val="00A74A87"/>
    <w:rsid w:val="00AA18E0"/>
    <w:rsid w:val="00AA2F73"/>
    <w:rsid w:val="00AA6388"/>
    <w:rsid w:val="00AB6D5D"/>
    <w:rsid w:val="00AB70CF"/>
    <w:rsid w:val="00AC485B"/>
    <w:rsid w:val="00AF56EB"/>
    <w:rsid w:val="00AF7504"/>
    <w:rsid w:val="00AF7581"/>
    <w:rsid w:val="00B16316"/>
    <w:rsid w:val="00B27DFD"/>
    <w:rsid w:val="00B307BF"/>
    <w:rsid w:val="00B326B4"/>
    <w:rsid w:val="00B34A4B"/>
    <w:rsid w:val="00B54A27"/>
    <w:rsid w:val="00B5777D"/>
    <w:rsid w:val="00B71265"/>
    <w:rsid w:val="00B72488"/>
    <w:rsid w:val="00B81EB4"/>
    <w:rsid w:val="00B8382E"/>
    <w:rsid w:val="00B838F5"/>
    <w:rsid w:val="00B83B28"/>
    <w:rsid w:val="00B86399"/>
    <w:rsid w:val="00BE1E12"/>
    <w:rsid w:val="00BF2810"/>
    <w:rsid w:val="00BF5509"/>
    <w:rsid w:val="00C022A3"/>
    <w:rsid w:val="00C259E7"/>
    <w:rsid w:val="00C33DDF"/>
    <w:rsid w:val="00C4404A"/>
    <w:rsid w:val="00C47180"/>
    <w:rsid w:val="00C507E3"/>
    <w:rsid w:val="00C665C8"/>
    <w:rsid w:val="00C7144D"/>
    <w:rsid w:val="00C86287"/>
    <w:rsid w:val="00C91CF1"/>
    <w:rsid w:val="00C93BBB"/>
    <w:rsid w:val="00C94244"/>
    <w:rsid w:val="00C943B4"/>
    <w:rsid w:val="00CB62AE"/>
    <w:rsid w:val="00CE614F"/>
    <w:rsid w:val="00D06CD0"/>
    <w:rsid w:val="00D11D58"/>
    <w:rsid w:val="00D16025"/>
    <w:rsid w:val="00D21A7A"/>
    <w:rsid w:val="00D2465B"/>
    <w:rsid w:val="00D2621A"/>
    <w:rsid w:val="00D4655B"/>
    <w:rsid w:val="00D47879"/>
    <w:rsid w:val="00D65F70"/>
    <w:rsid w:val="00D662EF"/>
    <w:rsid w:val="00D80A6A"/>
    <w:rsid w:val="00D8677B"/>
    <w:rsid w:val="00D919CC"/>
    <w:rsid w:val="00D91AD3"/>
    <w:rsid w:val="00DB5B0C"/>
    <w:rsid w:val="00DC0B2A"/>
    <w:rsid w:val="00DD4D22"/>
    <w:rsid w:val="00DD6D34"/>
    <w:rsid w:val="00DE2E00"/>
    <w:rsid w:val="00DF6468"/>
    <w:rsid w:val="00E03CA8"/>
    <w:rsid w:val="00E25805"/>
    <w:rsid w:val="00E348E4"/>
    <w:rsid w:val="00E3698C"/>
    <w:rsid w:val="00E51297"/>
    <w:rsid w:val="00E5453C"/>
    <w:rsid w:val="00E575CC"/>
    <w:rsid w:val="00E6162C"/>
    <w:rsid w:val="00E62990"/>
    <w:rsid w:val="00E860D7"/>
    <w:rsid w:val="00EB06AD"/>
    <w:rsid w:val="00EB3838"/>
    <w:rsid w:val="00EB4B20"/>
    <w:rsid w:val="00EC3BD4"/>
    <w:rsid w:val="00EE07AD"/>
    <w:rsid w:val="00EE0F43"/>
    <w:rsid w:val="00EE21A0"/>
    <w:rsid w:val="00EF2D1C"/>
    <w:rsid w:val="00EF490A"/>
    <w:rsid w:val="00F1581F"/>
    <w:rsid w:val="00F36FAA"/>
    <w:rsid w:val="00F50D16"/>
    <w:rsid w:val="00F5173F"/>
    <w:rsid w:val="00F52CC4"/>
    <w:rsid w:val="00F67481"/>
    <w:rsid w:val="00F9140A"/>
    <w:rsid w:val="00F94773"/>
    <w:rsid w:val="00FC70A8"/>
    <w:rsid w:val="00FE65C4"/>
    <w:rsid w:val="00FF70E8"/>
    <w:rsid w:val="3195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spacing w:before="38"/>
      <w:ind w:left="100"/>
      <w:outlineLvl w:val="0"/>
    </w:pPr>
    <w:rPr>
      <w:rFonts w:ascii="Times New Roman" w:hAnsi="Times New Roman" w:eastAsia="Times New Roman"/>
      <w:b/>
      <w:bCs/>
      <w:sz w:val="48"/>
      <w:szCs w:val="48"/>
    </w:rPr>
  </w:style>
  <w:style w:type="paragraph" w:styleId="3">
    <w:name w:val="heading 2"/>
    <w:basedOn w:val="1"/>
    <w:qFormat/>
    <w:uiPriority w:val="1"/>
    <w:pPr>
      <w:ind w:left="840" w:hanging="720"/>
      <w:outlineLvl w:val="1"/>
    </w:pPr>
    <w:rPr>
      <w:rFonts w:ascii="Times New Roman" w:hAnsi="Times New Roman" w:eastAsia="Times New Roman"/>
      <w:b/>
      <w:bCs/>
      <w:sz w:val="36"/>
      <w:szCs w:val="36"/>
    </w:rPr>
  </w:style>
  <w:style w:type="paragraph" w:styleId="4">
    <w:name w:val="heading 3"/>
    <w:basedOn w:val="1"/>
    <w:qFormat/>
    <w:uiPriority w:val="1"/>
    <w:pPr>
      <w:ind w:left="1560" w:hanging="720"/>
      <w:outlineLvl w:val="2"/>
    </w:pPr>
    <w:rPr>
      <w:rFonts w:ascii="Times New Roman" w:hAnsi="Times New Roman" w:eastAsia="Times New Roman"/>
      <w:b/>
      <w:bCs/>
      <w:sz w:val="28"/>
      <w:szCs w:val="28"/>
    </w:rPr>
  </w:style>
  <w:style w:type="paragraph" w:styleId="5">
    <w:name w:val="heading 4"/>
    <w:basedOn w:val="1"/>
    <w:qFormat/>
    <w:uiPriority w:val="1"/>
    <w:pPr>
      <w:ind w:left="1160" w:hanging="360"/>
      <w:outlineLvl w:val="3"/>
    </w:pPr>
    <w:rPr>
      <w:rFonts w:ascii="Times New Roman" w:hAnsi="Times New Roman" w:eastAsia="Times New Roman"/>
      <w:b/>
      <w:bCs/>
      <w:sz w:val="24"/>
      <w:szCs w:val="24"/>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pPr>
      <w:ind w:left="800"/>
    </w:pPr>
    <w:rPr>
      <w:rFonts w:ascii="Times New Roman" w:hAnsi="Times New Roman" w:eastAsia="Times New Roman"/>
      <w:sz w:val="24"/>
      <w:szCs w:val="24"/>
    </w:rPr>
  </w:style>
  <w:style w:type="paragraph" w:styleId="7">
    <w:name w:val="toc 3"/>
    <w:basedOn w:val="1"/>
    <w:next w:val="1"/>
    <w:autoRedefine/>
    <w:unhideWhenUsed/>
    <w:qFormat/>
    <w:uiPriority w:val="39"/>
    <w:pPr>
      <w:ind w:left="840" w:leftChars="400"/>
    </w:pPr>
  </w:style>
  <w:style w:type="paragraph" w:styleId="8">
    <w:name w:val="Balloon Text"/>
    <w:basedOn w:val="1"/>
    <w:link w:val="23"/>
    <w:semiHidden/>
    <w:unhideWhenUsed/>
    <w:qFormat/>
    <w:uiPriority w:val="99"/>
    <w:rPr>
      <w:sz w:val="18"/>
      <w:szCs w:val="18"/>
    </w:rPr>
  </w:style>
  <w:style w:type="paragraph" w:styleId="9">
    <w:name w:val="footer"/>
    <w:basedOn w:val="1"/>
    <w:link w:val="20"/>
    <w:unhideWhenUsed/>
    <w:uiPriority w:val="99"/>
    <w:pPr>
      <w:tabs>
        <w:tab w:val="center" w:pos="4153"/>
        <w:tab w:val="right" w:pos="8306"/>
      </w:tabs>
      <w:snapToGrid w:val="0"/>
    </w:pPr>
    <w:rPr>
      <w:sz w:val="18"/>
      <w:szCs w:val="18"/>
    </w:rPr>
  </w:style>
  <w:style w:type="paragraph" w:styleId="10">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qFormat/>
    <w:uiPriority w:val="39"/>
    <w:pPr>
      <w:spacing w:before="60"/>
      <w:ind w:left="120"/>
    </w:pPr>
    <w:rPr>
      <w:rFonts w:ascii="Times New Roman" w:hAnsi="Times New Roman" w:eastAsia="Times New Roman"/>
      <w:b/>
      <w:bCs/>
      <w:sz w:val="24"/>
      <w:szCs w:val="24"/>
    </w:rPr>
  </w:style>
  <w:style w:type="paragraph" w:styleId="12">
    <w:name w:val="toc 2"/>
    <w:basedOn w:val="1"/>
    <w:qFormat/>
    <w:uiPriority w:val="39"/>
    <w:pPr>
      <w:ind w:left="1320" w:hanging="480"/>
    </w:pPr>
    <w:rPr>
      <w:rFonts w:ascii="Times New Roman" w:hAnsi="Times New Roman" w:eastAsia="Times New Roman"/>
      <w:b/>
      <w:sz w:val="24"/>
      <w:szCs w:val="24"/>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页眉 Char"/>
    <w:basedOn w:val="14"/>
    <w:link w:val="10"/>
    <w:qFormat/>
    <w:uiPriority w:val="99"/>
    <w:rPr>
      <w:sz w:val="18"/>
      <w:szCs w:val="18"/>
    </w:rPr>
  </w:style>
  <w:style w:type="character" w:customStyle="1" w:styleId="20">
    <w:name w:val="页脚 Char"/>
    <w:basedOn w:val="14"/>
    <w:link w:val="9"/>
    <w:qFormat/>
    <w:uiPriority w:val="99"/>
    <w:rPr>
      <w:sz w:val="18"/>
      <w:szCs w:val="18"/>
    </w:rPr>
  </w:style>
  <w:style w:type="character" w:customStyle="1" w:styleId="21">
    <w:name w:val="web-item2"/>
    <w:basedOn w:val="14"/>
    <w:qFormat/>
    <w:uiPriority w:val="0"/>
    <w:rPr>
      <w:sz w:val="18"/>
      <w:szCs w:val="18"/>
    </w:rPr>
  </w:style>
  <w:style w:type="paragraph" w:customStyle="1" w:styleId="22">
    <w:name w:val="TOC Heading"/>
    <w:basedOn w:val="2"/>
    <w:next w:val="1"/>
    <w:unhideWhenUsed/>
    <w:qFormat/>
    <w:uiPriority w:val="39"/>
    <w:pPr>
      <w:keepNext/>
      <w:keepLines/>
      <w:widowControl/>
      <w:spacing w:before="240" w:line="259" w:lineRule="auto"/>
      <w:ind w:left="0"/>
      <w:outlineLvl w:val="9"/>
    </w:pPr>
    <w:rPr>
      <w:rFonts w:asciiTheme="majorHAnsi" w:hAnsiTheme="majorHAnsi" w:eastAsiaTheme="majorEastAsia" w:cstheme="majorBidi"/>
      <w:b w:val="0"/>
      <w:bCs w:val="0"/>
      <w:color w:val="376092" w:themeColor="accent1" w:themeShade="BF"/>
      <w:sz w:val="32"/>
      <w:szCs w:val="32"/>
      <w:lang w:eastAsia="zh-CN"/>
    </w:rPr>
  </w:style>
  <w:style w:type="character" w:customStyle="1" w:styleId="23">
    <w:name w:val="批注框文本 Char"/>
    <w:basedOn w:val="14"/>
    <w:link w:val="8"/>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6B9AC6-7588-4ABD-AD3C-FA1FF460517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24553</Words>
  <Characters>27857</Characters>
  <Lines>235</Lines>
  <Paragraphs>66</Paragraphs>
  <TotalTime>0</TotalTime>
  <ScaleCrop>false</ScaleCrop>
  <LinksUpToDate>false</LinksUpToDate>
  <CharactersWithSpaces>28209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2017-06-08T11:01:00Z</dcterms:created>
  <dc:creator>cathy-wen</dc:creator>
  <cp:lastModifiedBy>太极箫客</cp:lastModifiedBy>
  <dcterms:modified xsi:type="dcterms:W3CDTF">2025-08-14T06:36:31Z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2015-03-11T00:00:00Z</vt:filetime>
  </property>
  <property fmtid="{D5CDD505-2E9C-101B-9397-08002B2CF9AE}" pid="3" name="LastSaved">
    <vt:filetime>2017-03-18T00:00:00Z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A1E1CC2E370542878E29C1F123891968_12</vt:lpwstr>
  </property>
</Properties>
</file>