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68004">
      <w:pPr>
        <w:pBdr>
          <w:bottom w:val="single" w:color="auto" w:sz="4" w:space="0"/>
        </w:pBdr>
        <w:autoSpaceDE/>
        <w:autoSpaceDN/>
        <w:snapToGrid/>
        <w:spacing w:before="0" w:beforeLines="0" w:line="240" w:lineRule="auto"/>
        <w:jc w:val="center"/>
        <w:rPr>
          <w:b/>
          <w:sz w:val="44"/>
          <w:szCs w:val="44"/>
          <w:lang w:eastAsia="zh-CN"/>
        </w:rPr>
      </w:pPr>
      <w:bookmarkStart w:id="10" w:name="_GoBack"/>
      <w:bookmarkEnd w:id="10"/>
      <w:r>
        <w:rPr>
          <w:b/>
          <w:color w:val="000000"/>
          <w:sz w:val="44"/>
          <w:szCs w:val="44"/>
          <w:lang w:eastAsia="zh-CN"/>
        </w:rPr>
        <w:t>制造场所变更补充申请：内容和提交</w:t>
      </w:r>
    </w:p>
    <w:p w14:paraId="3109D15A">
      <w:pPr>
        <w:autoSpaceDE/>
        <w:autoSpaceDN/>
        <w:snapToGrid/>
        <w:spacing w:before="0" w:beforeLines="0" w:line="240" w:lineRule="auto"/>
        <w:jc w:val="center"/>
        <w:rPr>
          <w:b/>
          <w:color w:val="000000"/>
          <w:sz w:val="44"/>
          <w:szCs w:val="44"/>
          <w:lang w:eastAsia="zh-CN"/>
        </w:rPr>
      </w:pPr>
      <w:r>
        <w:rPr>
          <w:b/>
          <w:color w:val="000000"/>
          <w:sz w:val="44"/>
          <w:szCs w:val="44"/>
          <w:lang w:eastAsia="zh-CN"/>
        </w:rPr>
        <w:t>行业和美国食品药品监督管理局工作人员指南</w:t>
      </w:r>
    </w:p>
    <w:p w14:paraId="60B13080">
      <w:pPr>
        <w:snapToGrid/>
        <w:spacing w:before="0" w:beforeLines="0" w:line="240" w:lineRule="auto"/>
        <w:jc w:val="center"/>
        <w:rPr>
          <w:b/>
          <w:szCs w:val="24"/>
          <w:lang w:eastAsia="zh-CN"/>
        </w:rPr>
      </w:pPr>
    </w:p>
    <w:p w14:paraId="089E914B">
      <w:pPr>
        <w:snapToGrid/>
        <w:spacing w:before="0" w:beforeLines="0" w:line="240" w:lineRule="auto"/>
        <w:jc w:val="center"/>
        <w:rPr>
          <w:b/>
          <w:szCs w:val="24"/>
          <w:lang w:eastAsia="zh-CN"/>
        </w:rPr>
      </w:pPr>
      <w:r>
        <w:rPr>
          <w:b/>
          <w:szCs w:val="24"/>
          <w:lang w:eastAsia="zh-CN"/>
        </w:rPr>
        <w:t>文件发布日期：2018年12月17日</w:t>
      </w:r>
    </w:p>
    <w:p w14:paraId="0B6690A0">
      <w:pPr>
        <w:snapToGrid/>
        <w:spacing w:before="0" w:beforeLines="0" w:line="240" w:lineRule="auto"/>
        <w:jc w:val="center"/>
        <w:rPr>
          <w:b/>
          <w:szCs w:val="24"/>
          <w:lang w:eastAsia="zh-CN"/>
        </w:rPr>
      </w:pPr>
    </w:p>
    <w:p w14:paraId="4638A836">
      <w:pPr>
        <w:snapToGrid/>
        <w:spacing w:before="0" w:beforeLines="0" w:line="240" w:lineRule="auto"/>
        <w:jc w:val="center"/>
        <w:rPr>
          <w:b/>
          <w:szCs w:val="24"/>
          <w:lang w:eastAsia="zh-CN"/>
        </w:rPr>
      </w:pPr>
      <w:r>
        <w:rPr>
          <w:b/>
          <w:szCs w:val="24"/>
          <w:lang w:eastAsia="zh-CN"/>
        </w:rPr>
        <w:t>文件草案发布日期：2015年10月21日</w:t>
      </w:r>
    </w:p>
    <w:p w14:paraId="5AF5FB5B">
      <w:pPr>
        <w:snapToGrid/>
        <w:spacing w:before="0" w:beforeLines="0" w:line="240" w:lineRule="auto"/>
        <w:jc w:val="center"/>
        <w:rPr>
          <w:b/>
          <w:szCs w:val="24"/>
          <w:lang w:eastAsia="zh-CN"/>
        </w:rPr>
      </w:pPr>
    </w:p>
    <w:p w14:paraId="5D42E0D2">
      <w:pPr>
        <w:snapToGrid/>
        <w:spacing w:before="0" w:beforeLines="0" w:line="240" w:lineRule="auto"/>
        <w:ind w:firstLine="480" w:firstLineChars="200"/>
        <w:rPr>
          <w:szCs w:val="24"/>
          <w:lang w:eastAsia="zh-CN"/>
        </w:rPr>
      </w:pPr>
      <w:r>
        <w:rPr>
          <w:szCs w:val="24"/>
          <w:lang w:eastAsia="zh-CN"/>
        </w:rPr>
        <w:t>如对本文件有关CDRH监管器械的内容有任何疑问，请联系上市前批准人员，电话：301-796-5640。</w:t>
      </w:r>
    </w:p>
    <w:p w14:paraId="29B8AD9F">
      <w:pPr>
        <w:snapToGrid/>
        <w:spacing w:before="0" w:beforeLines="0" w:line="240" w:lineRule="auto"/>
        <w:ind w:firstLine="480" w:firstLineChars="200"/>
        <w:rPr>
          <w:szCs w:val="24"/>
          <w:lang w:eastAsia="zh-CN"/>
        </w:rPr>
      </w:pPr>
    </w:p>
    <w:p w14:paraId="69B7B499">
      <w:pPr>
        <w:snapToGrid/>
        <w:spacing w:before="0" w:beforeLines="0" w:line="240" w:lineRule="auto"/>
        <w:ind w:firstLine="480" w:firstLineChars="200"/>
        <w:rPr>
          <w:szCs w:val="24"/>
          <w:lang w:eastAsia="zh-CN"/>
        </w:rPr>
      </w:pPr>
      <w:r>
        <w:rPr>
          <w:szCs w:val="24"/>
          <w:lang w:eastAsia="zh-CN"/>
        </w:rPr>
        <w:t>如对本文件有关CBER监管器械的内容有任何疑问，请联系</w:t>
      </w:r>
      <w:r>
        <w:rPr>
          <w:rFonts w:hint="eastAsia" w:ascii="宋体" w:hAnsi="宋体" w:cs="宋体"/>
          <w:color w:val="000000" w:themeColor="text1"/>
          <w:szCs w:val="24"/>
          <w:lang w:eastAsia="zh-CN"/>
          <w14:textFill>
            <w14:solidFill>
              <w14:schemeClr w14:val="tx1"/>
            </w14:solidFill>
          </w14:textFill>
        </w:rPr>
        <w:t>交流</w:t>
      </w:r>
      <w:r>
        <w:rPr>
          <w:rFonts w:hint="eastAsia" w:ascii="宋体" w:hAnsi="宋体" w:cs="宋体"/>
          <w:color w:val="000000"/>
          <w:szCs w:val="24"/>
          <w:lang w:eastAsia="zh-CN"/>
        </w:rPr>
        <w:t>、外联和发展办公室</w:t>
      </w:r>
      <w:r>
        <w:rPr>
          <w:szCs w:val="24"/>
          <w:lang w:eastAsia="zh-CN"/>
        </w:rPr>
        <w:t>（OCOD），电话：1-800-835-4709或240-402-8010。</w:t>
      </w:r>
    </w:p>
    <w:p w14:paraId="47984964">
      <w:pPr>
        <w:snapToGrid/>
        <w:spacing w:before="0" w:beforeLines="0" w:line="240" w:lineRule="auto"/>
        <w:rPr>
          <w:szCs w:val="24"/>
          <w:lang w:eastAsia="zh-CN"/>
        </w:rPr>
      </w:pPr>
    </w:p>
    <w:tbl>
      <w:tblPr>
        <w:tblStyle w:val="15"/>
        <w:tblW w:w="0" w:type="auto"/>
        <w:tblInd w:w="0" w:type="dxa"/>
        <w:tblLayout w:type="autofit"/>
        <w:tblCellMar>
          <w:top w:w="0" w:type="dxa"/>
          <w:left w:w="108" w:type="dxa"/>
          <w:bottom w:w="0" w:type="dxa"/>
          <w:right w:w="108" w:type="dxa"/>
        </w:tblCellMar>
      </w:tblPr>
      <w:tblGrid>
        <w:gridCol w:w="4111"/>
        <w:gridCol w:w="4959"/>
      </w:tblGrid>
      <w:tr w14:paraId="3C7F43BA">
        <w:tblPrEx>
          <w:tblCellMar>
            <w:top w:w="0" w:type="dxa"/>
            <w:left w:w="108" w:type="dxa"/>
            <w:bottom w:w="0" w:type="dxa"/>
            <w:right w:w="108" w:type="dxa"/>
          </w:tblCellMar>
        </w:tblPrEx>
        <w:tc>
          <w:tcPr>
            <w:tcW w:w="4111" w:type="dxa"/>
          </w:tcPr>
          <w:p w14:paraId="38446C2D">
            <w:pPr>
              <w:snapToGrid/>
              <w:spacing w:before="0" w:beforeLines="0" w:line="240" w:lineRule="auto"/>
              <w:jc w:val="both"/>
              <w:rPr>
                <w:b/>
                <w:bCs/>
                <w:sz w:val="21"/>
                <w:szCs w:val="21"/>
                <w:lang w:eastAsia="zh-CN"/>
              </w:rPr>
            </w:pPr>
            <w:r>
              <w:rPr>
                <w:sz w:val="21"/>
                <w:szCs w:val="21"/>
                <w:lang w:eastAsia="zh-CN" w:bidi="ar-SA"/>
              </w:rPr>
              <w:drawing>
                <wp:anchor distT="0" distB="0" distL="0" distR="0" simplePos="0" relativeHeight="251659264" behindDoc="0" locked="0" layoutInCell="1" allowOverlap="1">
                  <wp:simplePos x="0" y="0"/>
                  <wp:positionH relativeFrom="page">
                    <wp:posOffset>64135</wp:posOffset>
                  </wp:positionH>
                  <wp:positionV relativeFrom="paragraph">
                    <wp:posOffset>6350</wp:posOffset>
                  </wp:positionV>
                  <wp:extent cx="2369820" cy="495300"/>
                  <wp:effectExtent l="0" t="0" r="0" b="0"/>
                  <wp:wrapNone/>
                  <wp:docPr id="1" name="image1.png"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Food and Drug Administration logo"/>
                          <pic:cNvPicPr>
                            <a:picLocks noChangeAspect="1"/>
                          </pic:cNvPicPr>
                        </pic:nvPicPr>
                        <pic:blipFill>
                          <a:blip r:embed="rId13" cstate="print"/>
                          <a:stretch>
                            <a:fillRect/>
                          </a:stretch>
                        </pic:blipFill>
                        <pic:spPr>
                          <a:xfrm>
                            <a:off x="0" y="0"/>
                            <a:ext cx="2369819" cy="495299"/>
                          </a:xfrm>
                          <a:prstGeom prst="rect">
                            <a:avLst/>
                          </a:prstGeom>
                        </pic:spPr>
                      </pic:pic>
                    </a:graphicData>
                  </a:graphic>
                </wp:anchor>
              </w:drawing>
            </w:r>
          </w:p>
        </w:tc>
        <w:tc>
          <w:tcPr>
            <w:tcW w:w="4959" w:type="dxa"/>
          </w:tcPr>
          <w:p w14:paraId="33F6D4F0">
            <w:pPr>
              <w:snapToGrid/>
              <w:spacing w:before="0" w:beforeLines="0" w:line="240" w:lineRule="auto"/>
              <w:jc w:val="right"/>
              <w:rPr>
                <w:b/>
                <w:bCs/>
                <w:sz w:val="21"/>
                <w:szCs w:val="21"/>
                <w:lang w:eastAsia="zh-CN"/>
              </w:rPr>
            </w:pPr>
            <w:r>
              <w:rPr>
                <w:b/>
                <w:sz w:val="21"/>
                <w:szCs w:val="21"/>
                <w:lang w:eastAsia="zh-CN"/>
              </w:rPr>
              <w:t>美国卫生与公共服务部</w:t>
            </w:r>
          </w:p>
          <w:p w14:paraId="1F53C5D2">
            <w:pPr>
              <w:snapToGrid/>
              <w:spacing w:before="0" w:beforeLines="0" w:line="240" w:lineRule="auto"/>
              <w:jc w:val="right"/>
              <w:rPr>
                <w:b/>
                <w:bCs/>
                <w:sz w:val="21"/>
                <w:szCs w:val="21"/>
                <w:lang w:eastAsia="zh-CN"/>
              </w:rPr>
            </w:pPr>
            <w:r>
              <w:rPr>
                <w:b/>
                <w:sz w:val="21"/>
                <w:szCs w:val="21"/>
                <w:lang w:eastAsia="zh-CN"/>
              </w:rPr>
              <w:t>美国食品药品监督管理局</w:t>
            </w:r>
          </w:p>
          <w:p w14:paraId="6BD8B977">
            <w:pPr>
              <w:snapToGrid/>
              <w:spacing w:before="0" w:beforeLines="0" w:line="240" w:lineRule="auto"/>
              <w:jc w:val="right"/>
              <w:rPr>
                <w:b/>
                <w:bCs/>
                <w:sz w:val="21"/>
                <w:szCs w:val="21"/>
                <w:lang w:eastAsia="zh-CN"/>
              </w:rPr>
            </w:pPr>
            <w:r>
              <w:rPr>
                <w:b/>
                <w:sz w:val="21"/>
                <w:szCs w:val="21"/>
                <w:lang w:eastAsia="zh-CN"/>
              </w:rPr>
              <w:t>医疗器械和辐射健康中心</w:t>
            </w:r>
          </w:p>
          <w:p w14:paraId="74500290">
            <w:pPr>
              <w:snapToGrid/>
              <w:spacing w:before="0" w:beforeLines="0" w:line="240" w:lineRule="auto"/>
              <w:jc w:val="right"/>
              <w:rPr>
                <w:b/>
                <w:bCs/>
                <w:sz w:val="21"/>
                <w:szCs w:val="21"/>
                <w:lang w:eastAsia="zh-CN"/>
              </w:rPr>
            </w:pPr>
            <w:r>
              <w:rPr>
                <w:b/>
                <w:sz w:val="21"/>
                <w:szCs w:val="21"/>
                <w:lang w:eastAsia="zh-CN"/>
              </w:rPr>
              <w:t>生物制品评价与研究中心</w:t>
            </w:r>
          </w:p>
        </w:tc>
      </w:tr>
    </w:tbl>
    <w:p w14:paraId="79560252">
      <w:pPr>
        <w:snapToGrid/>
        <w:spacing w:before="0" w:beforeLines="0" w:line="240" w:lineRule="auto"/>
        <w:rPr>
          <w:szCs w:val="24"/>
          <w:lang w:eastAsia="zh-CN"/>
        </w:rPr>
      </w:pPr>
    </w:p>
    <w:p w14:paraId="73A3F620">
      <w:pPr>
        <w:snapToGrid/>
        <w:spacing w:before="0" w:beforeLines="0" w:line="240" w:lineRule="auto"/>
        <w:rPr>
          <w:szCs w:val="24"/>
          <w:lang w:eastAsia="zh-CN"/>
        </w:rPr>
      </w:pPr>
      <w:r>
        <w:rPr>
          <w:szCs w:val="24"/>
          <w:lang w:eastAsia="zh-CN"/>
        </w:rPr>
        <w:br w:type="page"/>
      </w:r>
    </w:p>
    <w:p w14:paraId="74263104">
      <w:pPr>
        <w:autoSpaceDE/>
        <w:autoSpaceDN/>
        <w:snapToGrid/>
        <w:spacing w:before="0" w:beforeLines="0" w:line="240" w:lineRule="auto"/>
        <w:jc w:val="center"/>
        <w:rPr>
          <w:b/>
          <w:bCs/>
          <w:color w:val="000000"/>
          <w:sz w:val="36"/>
          <w:szCs w:val="36"/>
        </w:rPr>
      </w:pPr>
      <w:r>
        <w:rPr>
          <w:b/>
          <w:color w:val="000000"/>
          <w:sz w:val="36"/>
          <w:szCs w:val="36"/>
        </w:rPr>
        <w:t>前言</w:t>
      </w:r>
    </w:p>
    <w:p w14:paraId="78336F58">
      <w:pPr>
        <w:autoSpaceDE/>
        <w:autoSpaceDN/>
        <w:snapToGrid/>
        <w:spacing w:before="0" w:beforeLines="0" w:line="240" w:lineRule="auto"/>
        <w:jc w:val="both"/>
        <w:rPr>
          <w:b/>
          <w:bCs/>
          <w:color w:val="000000"/>
          <w:sz w:val="32"/>
          <w:szCs w:val="32"/>
        </w:rPr>
      </w:pPr>
      <w:r>
        <w:rPr>
          <w:b/>
          <w:color w:val="000000"/>
          <w:sz w:val="32"/>
          <w:szCs w:val="32"/>
        </w:rPr>
        <w:t>公众意见</w:t>
      </w:r>
    </w:p>
    <w:p w14:paraId="003D0A0C">
      <w:pPr>
        <w:snapToGrid/>
        <w:spacing w:before="0" w:beforeLines="0" w:line="240" w:lineRule="auto"/>
        <w:ind w:firstLine="480" w:firstLineChars="200"/>
        <w:jc w:val="both"/>
        <w:rPr>
          <w:szCs w:val="24"/>
          <w:lang w:eastAsia="zh-CN"/>
        </w:rPr>
      </w:pPr>
      <w:r>
        <w:rPr>
          <w:szCs w:val="24"/>
        </w:rPr>
        <w:t>电子版意见和建议可随时提交至</w:t>
      </w:r>
      <w:r>
        <w:fldChar w:fldCharType="begin"/>
      </w:r>
      <w:r>
        <w:instrText xml:space="preserve"> HYPERLINK "http://www.regulations.gov" </w:instrText>
      </w:r>
      <w:r>
        <w:fldChar w:fldCharType="separate"/>
      </w:r>
      <w:r>
        <w:rPr>
          <w:rStyle w:val="18"/>
          <w:b w:val="0"/>
          <w:bCs/>
          <w:szCs w:val="24"/>
        </w:rPr>
        <w:t>http://www.regulations.gov</w:t>
      </w:r>
      <w:r>
        <w:rPr>
          <w:rStyle w:val="18"/>
          <w:b w:val="0"/>
          <w:bCs/>
          <w:szCs w:val="24"/>
        </w:rPr>
        <w:fldChar w:fldCharType="end"/>
      </w:r>
      <w:r>
        <w:rPr>
          <w:szCs w:val="24"/>
        </w:rPr>
        <w:t>，供FDA审议。</w:t>
      </w:r>
      <w:r>
        <w:rPr>
          <w:szCs w:val="24"/>
          <w:lang w:eastAsia="zh-CN"/>
        </w:rPr>
        <w:t>可将书面意见提交至：美国食品药品监督管理局备案文件管理部</w:t>
      </w:r>
      <w:r>
        <w:rPr>
          <w:rFonts w:hint="eastAsia"/>
          <w:szCs w:val="24"/>
          <w:lang w:eastAsia="zh-CN"/>
        </w:rPr>
        <w:t>，地址为</w:t>
      </w:r>
      <w:r>
        <w:rPr>
          <w:szCs w:val="24"/>
          <w:lang w:eastAsia="zh-CN"/>
        </w:rPr>
        <w:t>5630 Fishers Lane, Room 1061, (HFA-305)</w:t>
      </w:r>
      <w:r>
        <w:rPr>
          <w:rFonts w:hint="eastAsia"/>
          <w:szCs w:val="24"/>
          <w:lang w:eastAsia="zh-CN"/>
        </w:rPr>
        <w:t xml:space="preserve">, </w:t>
      </w:r>
      <w:r>
        <w:rPr>
          <w:szCs w:val="24"/>
          <w:lang w:eastAsia="zh-CN"/>
        </w:rPr>
        <w:t>Rockville, MD 20852。所有意见或建议均应注明备案文件编号FDA-201</w:t>
      </w:r>
      <w:r>
        <w:rPr>
          <w:rFonts w:hint="eastAsia"/>
          <w:szCs w:val="24"/>
          <w:lang w:eastAsia="zh-CN"/>
        </w:rPr>
        <w:t>5</w:t>
      </w:r>
      <w:r>
        <w:rPr>
          <w:szCs w:val="24"/>
          <w:lang w:eastAsia="zh-CN"/>
        </w:rPr>
        <w:t>-</w:t>
      </w:r>
      <w:r>
        <w:rPr>
          <w:rFonts w:hint="eastAsia"/>
          <w:szCs w:val="24"/>
          <w:lang w:eastAsia="zh-CN"/>
        </w:rPr>
        <w:t>N</w:t>
      </w:r>
      <w:r>
        <w:rPr>
          <w:szCs w:val="24"/>
          <w:lang w:eastAsia="zh-CN"/>
        </w:rPr>
        <w:t>-</w:t>
      </w:r>
      <w:r>
        <w:rPr>
          <w:rFonts w:hint="eastAsia"/>
          <w:szCs w:val="24"/>
          <w:lang w:eastAsia="zh-CN"/>
        </w:rPr>
        <w:t>3454</w:t>
      </w:r>
      <w:r>
        <w:rPr>
          <w:szCs w:val="24"/>
          <w:lang w:eastAsia="zh-CN"/>
        </w:rPr>
        <w:t>。下次修订或更新本文件时，FDA将考虑实施该意见。</w:t>
      </w:r>
    </w:p>
    <w:p w14:paraId="2CE98541">
      <w:pPr>
        <w:snapToGrid/>
        <w:spacing w:before="0" w:beforeLines="0" w:line="240" w:lineRule="auto"/>
        <w:ind w:firstLine="480" w:firstLineChars="200"/>
        <w:jc w:val="both"/>
        <w:rPr>
          <w:szCs w:val="24"/>
          <w:lang w:eastAsia="zh-CN"/>
        </w:rPr>
      </w:pPr>
    </w:p>
    <w:p w14:paraId="40B71E2A">
      <w:pPr>
        <w:autoSpaceDE/>
        <w:autoSpaceDN/>
        <w:snapToGrid/>
        <w:spacing w:before="0" w:beforeLines="0" w:line="240" w:lineRule="auto"/>
        <w:jc w:val="both"/>
        <w:rPr>
          <w:b/>
          <w:bCs/>
          <w:color w:val="000000"/>
          <w:sz w:val="32"/>
          <w:szCs w:val="32"/>
          <w:lang w:eastAsia="zh-CN"/>
        </w:rPr>
      </w:pPr>
      <w:r>
        <w:rPr>
          <w:b/>
          <w:color w:val="000000"/>
          <w:sz w:val="32"/>
          <w:szCs w:val="32"/>
          <w:lang w:eastAsia="zh-CN"/>
        </w:rPr>
        <w:t>更多副本</w:t>
      </w:r>
    </w:p>
    <w:p w14:paraId="15A9D5F3">
      <w:pPr>
        <w:autoSpaceDE/>
        <w:autoSpaceDN/>
        <w:snapToGrid/>
        <w:spacing w:before="0" w:beforeLines="0" w:line="240" w:lineRule="auto"/>
        <w:jc w:val="both"/>
        <w:rPr>
          <w:b/>
          <w:color w:val="000000"/>
          <w:szCs w:val="24"/>
          <w:lang w:eastAsia="zh-CN"/>
        </w:rPr>
      </w:pPr>
    </w:p>
    <w:p w14:paraId="4C0D06C1">
      <w:pPr>
        <w:autoSpaceDE/>
        <w:autoSpaceDN/>
        <w:snapToGrid/>
        <w:spacing w:before="0" w:beforeLines="0" w:line="240" w:lineRule="auto"/>
        <w:jc w:val="both"/>
        <w:rPr>
          <w:b/>
          <w:bCs/>
          <w:color w:val="000000"/>
          <w:szCs w:val="24"/>
          <w:lang w:eastAsia="zh-CN"/>
        </w:rPr>
      </w:pPr>
      <w:r>
        <w:rPr>
          <w:b/>
          <w:color w:val="000000"/>
          <w:szCs w:val="24"/>
          <w:lang w:eastAsia="zh-CN"/>
        </w:rPr>
        <w:t>CDRH</w:t>
      </w:r>
    </w:p>
    <w:p w14:paraId="2AC8E5A5">
      <w:pPr>
        <w:snapToGrid/>
        <w:spacing w:before="0" w:beforeLines="0" w:line="240" w:lineRule="auto"/>
        <w:ind w:firstLine="480" w:firstLineChars="200"/>
        <w:jc w:val="both"/>
        <w:rPr>
          <w:szCs w:val="24"/>
          <w:lang w:eastAsia="zh-CN"/>
        </w:rPr>
      </w:pPr>
      <w:r>
        <w:rPr>
          <w:szCs w:val="24"/>
          <w:lang w:eastAsia="zh-CN"/>
        </w:rPr>
        <w:t>更多副本可通过互联网获取。您也可以通过电子邮件发送请求至</w:t>
      </w:r>
      <w:r>
        <w:fldChar w:fldCharType="begin"/>
      </w:r>
      <w:r>
        <w:instrText xml:space="preserve"> HYPERLINK "mailto:dsmica@fda.hhs.gov" \h </w:instrText>
      </w:r>
      <w:r>
        <w:fldChar w:fldCharType="separate"/>
      </w:r>
      <w:r>
        <w:rPr>
          <w:color w:val="0000FF"/>
          <w:szCs w:val="24"/>
          <w:u w:val="single" w:color="0000FF"/>
          <w:lang w:eastAsia="zh-CN"/>
        </w:rPr>
        <w:t>CDRH-Guidance@fda.hhs.gov</w:t>
      </w:r>
      <w:r>
        <w:rPr>
          <w:color w:val="0000FF"/>
          <w:szCs w:val="24"/>
          <w:u w:val="single" w:color="0000FF"/>
          <w:lang w:eastAsia="zh-CN"/>
        </w:rPr>
        <w:fldChar w:fldCharType="end"/>
      </w:r>
      <w:r>
        <w:rPr>
          <w:szCs w:val="24"/>
          <w:lang w:eastAsia="zh-CN"/>
        </w:rPr>
        <w:t>获取本指南的副本。请使用文件编号</w:t>
      </w:r>
      <w:r>
        <w:rPr>
          <w:b/>
          <w:szCs w:val="24"/>
          <w:lang w:eastAsia="zh-CN"/>
        </w:rPr>
        <w:t>1269</w:t>
      </w:r>
      <w:r>
        <w:rPr>
          <w:szCs w:val="24"/>
          <w:lang w:eastAsia="zh-CN"/>
        </w:rPr>
        <w:t>，注明您所要求获取的指南。</w:t>
      </w:r>
    </w:p>
    <w:p w14:paraId="781EA203">
      <w:pPr>
        <w:snapToGrid/>
        <w:spacing w:before="0" w:beforeLines="0" w:line="240" w:lineRule="auto"/>
        <w:jc w:val="both"/>
        <w:rPr>
          <w:szCs w:val="24"/>
          <w:lang w:eastAsia="zh-CN"/>
        </w:rPr>
      </w:pPr>
    </w:p>
    <w:p w14:paraId="4A3A3A56">
      <w:pPr>
        <w:autoSpaceDE/>
        <w:autoSpaceDN/>
        <w:snapToGrid/>
        <w:spacing w:before="0" w:beforeLines="0" w:line="240" w:lineRule="auto"/>
        <w:jc w:val="both"/>
        <w:rPr>
          <w:b/>
          <w:bCs/>
          <w:color w:val="000000"/>
          <w:szCs w:val="24"/>
          <w:lang w:eastAsia="zh-CN"/>
        </w:rPr>
      </w:pPr>
      <w:r>
        <w:rPr>
          <w:b/>
          <w:color w:val="000000"/>
          <w:szCs w:val="24"/>
          <w:lang w:eastAsia="zh-CN"/>
        </w:rPr>
        <w:t>CBER</w:t>
      </w:r>
    </w:p>
    <w:p w14:paraId="36DCC8CA">
      <w:pPr>
        <w:snapToGrid/>
        <w:spacing w:before="0" w:beforeLines="0" w:line="240" w:lineRule="auto"/>
        <w:ind w:firstLine="480" w:firstLineChars="200"/>
        <w:jc w:val="both"/>
        <w:rPr>
          <w:szCs w:val="24"/>
        </w:rPr>
      </w:pPr>
      <w:r>
        <w:rPr>
          <w:rFonts w:hint="eastAsia"/>
          <w:szCs w:val="24"/>
          <w:lang w:eastAsia="zh-CN"/>
        </w:rPr>
        <w:t>更多</w:t>
      </w:r>
      <w:r>
        <w:rPr>
          <w:szCs w:val="24"/>
          <w:lang w:eastAsia="zh-CN"/>
        </w:rPr>
        <w:t>副本可通过以下途径获取</w:t>
      </w:r>
      <w:r>
        <w:rPr>
          <w:szCs w:val="24"/>
        </w:rPr>
        <w:t>：寄送信函至生物制品评价与研究中心（CBER），交流、外联和发展办公室（OCOD）（HFM-40），10903 New Hampshire Ave., Bldg. 71, rm.</w:t>
      </w:r>
      <w:r>
        <w:rPr>
          <w:rFonts w:hint="eastAsia"/>
          <w:szCs w:val="24"/>
          <w:lang w:eastAsia="zh-CN"/>
        </w:rPr>
        <w:t xml:space="preserve"> </w:t>
      </w:r>
      <w:r>
        <w:rPr>
          <w:szCs w:val="24"/>
        </w:rPr>
        <w:t>3128</w:t>
      </w:r>
      <w:r>
        <w:rPr>
          <w:rFonts w:hint="eastAsia"/>
          <w:szCs w:val="24"/>
          <w:lang w:eastAsia="zh-CN"/>
        </w:rPr>
        <w:t>,</w:t>
      </w:r>
      <w:r>
        <w:rPr>
          <w:szCs w:val="24"/>
        </w:rPr>
        <w:t xml:space="preserve"> Silver Spring, MD 20993-0002，或</w:t>
      </w:r>
      <w:r>
        <w:rPr>
          <w:rFonts w:hint="eastAsia"/>
          <w:szCs w:val="24"/>
          <w:lang w:eastAsia="zh-CN"/>
        </w:rPr>
        <w:t>致电</w:t>
      </w:r>
      <w:r>
        <w:rPr>
          <w:szCs w:val="24"/>
        </w:rPr>
        <w:t>1-800-835-4709或240-402-8010；或发送电子邮件至：</w:t>
      </w:r>
      <w:r>
        <w:fldChar w:fldCharType="begin"/>
      </w:r>
      <w:r>
        <w:instrText xml:space="preserve"> HYPERLINK "mailto:ocod@fda.hhs.gov" \h </w:instrText>
      </w:r>
      <w:r>
        <w:fldChar w:fldCharType="separate"/>
      </w:r>
      <w:r>
        <w:rPr>
          <w:color w:val="0000FF"/>
          <w:szCs w:val="24"/>
          <w:u w:val="single" w:color="0000FF"/>
        </w:rPr>
        <w:t>ocod@fda.hhs.gov</w:t>
      </w:r>
      <w:r>
        <w:rPr>
          <w:color w:val="0000FF"/>
          <w:szCs w:val="24"/>
          <w:u w:val="single" w:color="0000FF"/>
        </w:rPr>
        <w:fldChar w:fldCharType="end"/>
      </w:r>
      <w:r>
        <w:rPr>
          <w:szCs w:val="24"/>
        </w:rPr>
        <w:t>，或登录网</w:t>
      </w:r>
      <w:r>
        <w:rPr>
          <w:rFonts w:hint="eastAsia"/>
          <w:szCs w:val="24"/>
          <w:lang w:eastAsia="zh-CN"/>
        </w:rPr>
        <w:t>址</w:t>
      </w:r>
      <w:r>
        <w:rPr>
          <w:szCs w:val="24"/>
        </w:rPr>
        <w:t>：</w:t>
      </w:r>
      <w:r>
        <w:fldChar w:fldCharType="begin"/>
      </w:r>
      <w:r>
        <w:instrText xml:space="preserve"> HYPERLINK "http://www.fda.gov/BiologicsBloodVaccines/GuidanceComplianceRegulatoryInformation/Guidances/default.htm" \h </w:instrText>
      </w:r>
      <w:r>
        <w:fldChar w:fldCharType="separate"/>
      </w:r>
      <w:r>
        <w:rPr>
          <w:color w:val="0000FF"/>
          <w:szCs w:val="24"/>
          <w:u w:val="single" w:color="0000FF"/>
        </w:rPr>
        <w:t>http://www.fda.gov/BiologicsBloodVaccines/</w:t>
      </w:r>
      <w:r>
        <w:rPr>
          <w:rFonts w:hint="eastAsia"/>
          <w:color w:val="0000FF"/>
          <w:szCs w:val="24"/>
          <w:u w:val="single" w:color="0000FF"/>
          <w:lang w:eastAsia="zh-CN"/>
        </w:rPr>
        <w:t xml:space="preserve"> </w:t>
      </w:r>
      <w:r>
        <w:rPr>
          <w:color w:val="0000FF"/>
          <w:szCs w:val="24"/>
          <w:u w:val="single" w:color="0000FF"/>
        </w:rPr>
        <w:t>GuidanceComplianceRegulatoryInformation/default.htm</w:t>
      </w:r>
      <w:r>
        <w:rPr>
          <w:color w:val="0000FF"/>
          <w:szCs w:val="24"/>
          <w:u w:val="single" w:color="0000FF"/>
        </w:rPr>
        <w:fldChar w:fldCharType="end"/>
      </w:r>
      <w:r>
        <w:rPr>
          <w:szCs w:val="24"/>
        </w:rPr>
        <w:t>。</w:t>
      </w:r>
    </w:p>
    <w:p w14:paraId="4F0FB52A">
      <w:pPr>
        <w:snapToGrid/>
        <w:spacing w:before="0" w:beforeLines="0" w:line="240" w:lineRule="auto"/>
        <w:rPr>
          <w:szCs w:val="24"/>
        </w:rPr>
      </w:pPr>
      <w:r>
        <w:rPr>
          <w:szCs w:val="24"/>
        </w:rPr>
        <w:br w:type="page"/>
      </w:r>
    </w:p>
    <w:p w14:paraId="28A5E68C">
      <w:pPr>
        <w:autoSpaceDE/>
        <w:autoSpaceDN/>
        <w:snapToGrid/>
        <w:spacing w:before="0" w:beforeLines="0" w:line="240" w:lineRule="auto"/>
        <w:jc w:val="center"/>
        <w:rPr>
          <w:b/>
          <w:bCs/>
          <w:color w:val="000000"/>
          <w:sz w:val="32"/>
          <w:szCs w:val="32"/>
        </w:rPr>
      </w:pPr>
      <w:r>
        <w:rPr>
          <w:b/>
          <w:color w:val="000000"/>
          <w:sz w:val="32"/>
          <w:szCs w:val="32"/>
        </w:rPr>
        <w:t>目录</w:t>
      </w:r>
    </w:p>
    <w:p w14:paraId="41B71B6C">
      <w:pPr>
        <w:pStyle w:val="11"/>
        <w:rPr>
          <w:rFonts w:asciiTheme="minorHAnsi" w:hAnsiTheme="minorHAnsi" w:eastAsiaTheme="minorEastAsia" w:cstheme="minorBidi"/>
          <w:b w:val="0"/>
          <w:kern w:val="2"/>
          <w:sz w:val="21"/>
          <w:lang w:eastAsia="zh-CN" w:bidi="he-IL"/>
        </w:rPr>
      </w:pPr>
      <w:r>
        <w:rPr>
          <w:bCs/>
          <w:color w:val="000000"/>
          <w:szCs w:val="24"/>
        </w:rPr>
        <w:fldChar w:fldCharType="begin"/>
      </w:r>
      <w:r>
        <w:rPr>
          <w:bCs/>
          <w:color w:val="000000"/>
          <w:szCs w:val="24"/>
        </w:rPr>
        <w:instrText xml:space="preserve"> TOC \o "1-3" \h \z \u </w:instrText>
      </w:r>
      <w:r>
        <w:rPr>
          <w:bCs/>
          <w:color w:val="000000"/>
          <w:szCs w:val="24"/>
        </w:rPr>
        <w:fldChar w:fldCharType="separate"/>
      </w:r>
      <w:r>
        <w:fldChar w:fldCharType="begin"/>
      </w:r>
      <w:r>
        <w:instrText xml:space="preserve"> HYPERLINK \l "_Toc97374578" </w:instrText>
      </w:r>
      <w:r>
        <w:fldChar w:fldCharType="separate"/>
      </w:r>
      <w:r>
        <w:rPr>
          <w:rStyle w:val="18"/>
          <w:b/>
        </w:rPr>
        <w:t>I.</w:t>
      </w:r>
      <w:r>
        <w:rPr>
          <w:rFonts w:asciiTheme="minorHAnsi" w:hAnsiTheme="minorHAnsi" w:eastAsiaTheme="minorEastAsia" w:cstheme="minorBidi"/>
          <w:b w:val="0"/>
          <w:kern w:val="2"/>
          <w:sz w:val="21"/>
          <w:lang w:eastAsia="zh-CN" w:bidi="he-IL"/>
        </w:rPr>
        <w:tab/>
      </w:r>
      <w:r>
        <w:rPr>
          <w:rStyle w:val="18"/>
          <w:rFonts w:hint="eastAsia"/>
          <w:b/>
        </w:rPr>
        <w:t>引言</w:t>
      </w:r>
      <w:r>
        <w:tab/>
      </w:r>
      <w:r>
        <w:fldChar w:fldCharType="begin"/>
      </w:r>
      <w:r>
        <w:instrText xml:space="preserve"> PAGEREF _Toc97374578 \h </w:instrText>
      </w:r>
      <w:r>
        <w:fldChar w:fldCharType="separate"/>
      </w:r>
      <w:r>
        <w:t>1</w:t>
      </w:r>
      <w:r>
        <w:fldChar w:fldCharType="end"/>
      </w:r>
      <w:r>
        <w:fldChar w:fldCharType="end"/>
      </w:r>
    </w:p>
    <w:p w14:paraId="28A3D800">
      <w:pPr>
        <w:pStyle w:val="11"/>
        <w:rPr>
          <w:rFonts w:asciiTheme="minorHAnsi" w:hAnsiTheme="minorHAnsi" w:eastAsiaTheme="minorEastAsia" w:cstheme="minorBidi"/>
          <w:b w:val="0"/>
          <w:kern w:val="2"/>
          <w:sz w:val="21"/>
          <w:lang w:eastAsia="zh-CN" w:bidi="he-IL"/>
        </w:rPr>
      </w:pPr>
      <w:r>
        <w:fldChar w:fldCharType="begin"/>
      </w:r>
      <w:r>
        <w:instrText xml:space="preserve"> HYPERLINK \l "_Toc97374579" </w:instrText>
      </w:r>
      <w:r>
        <w:fldChar w:fldCharType="separate"/>
      </w:r>
      <w:r>
        <w:rPr>
          <w:rStyle w:val="18"/>
          <w:b/>
        </w:rPr>
        <w:t>II.</w:t>
      </w:r>
      <w:r>
        <w:rPr>
          <w:rFonts w:asciiTheme="minorHAnsi" w:hAnsiTheme="minorHAnsi" w:eastAsiaTheme="minorEastAsia" w:cstheme="minorBidi"/>
          <w:b w:val="0"/>
          <w:kern w:val="2"/>
          <w:sz w:val="21"/>
          <w:lang w:eastAsia="zh-CN" w:bidi="he-IL"/>
        </w:rPr>
        <w:tab/>
      </w:r>
      <w:r>
        <w:rPr>
          <w:rStyle w:val="18"/>
          <w:rFonts w:hint="eastAsia"/>
          <w:b/>
        </w:rPr>
        <w:t>背景</w:t>
      </w:r>
      <w:r>
        <w:tab/>
      </w:r>
      <w:r>
        <w:fldChar w:fldCharType="begin"/>
      </w:r>
      <w:r>
        <w:instrText xml:space="preserve"> PAGEREF _Toc97374579 \h </w:instrText>
      </w:r>
      <w:r>
        <w:fldChar w:fldCharType="separate"/>
      </w:r>
      <w:r>
        <w:t>1</w:t>
      </w:r>
      <w:r>
        <w:fldChar w:fldCharType="end"/>
      </w:r>
      <w:r>
        <w:fldChar w:fldCharType="end"/>
      </w:r>
    </w:p>
    <w:p w14:paraId="30A242B4">
      <w:pPr>
        <w:pStyle w:val="11"/>
        <w:rPr>
          <w:rFonts w:asciiTheme="minorHAnsi" w:hAnsiTheme="minorHAnsi" w:eastAsiaTheme="minorEastAsia" w:cstheme="minorBidi"/>
          <w:b w:val="0"/>
          <w:kern w:val="2"/>
          <w:sz w:val="21"/>
          <w:lang w:eastAsia="zh-CN" w:bidi="he-IL"/>
        </w:rPr>
      </w:pPr>
      <w:r>
        <w:fldChar w:fldCharType="begin"/>
      </w:r>
      <w:r>
        <w:instrText xml:space="preserve"> HYPERLINK \l "_Toc97374580" </w:instrText>
      </w:r>
      <w:r>
        <w:fldChar w:fldCharType="separate"/>
      </w:r>
      <w:r>
        <w:rPr>
          <w:rStyle w:val="18"/>
          <w:b/>
        </w:rPr>
        <w:t>III.</w:t>
      </w:r>
      <w:r>
        <w:rPr>
          <w:rFonts w:asciiTheme="minorHAnsi" w:hAnsiTheme="minorHAnsi" w:eastAsiaTheme="minorEastAsia" w:cstheme="minorBidi"/>
          <w:b w:val="0"/>
          <w:kern w:val="2"/>
          <w:sz w:val="21"/>
          <w:lang w:eastAsia="zh-CN" w:bidi="he-IL"/>
        </w:rPr>
        <w:tab/>
      </w:r>
      <w:r>
        <w:rPr>
          <w:rStyle w:val="18"/>
          <w:rFonts w:hint="eastAsia"/>
          <w:b/>
        </w:rPr>
        <w:t>范围</w:t>
      </w:r>
      <w:r>
        <w:tab/>
      </w:r>
      <w:r>
        <w:fldChar w:fldCharType="begin"/>
      </w:r>
      <w:r>
        <w:instrText xml:space="preserve"> PAGEREF _Toc97374580 \h </w:instrText>
      </w:r>
      <w:r>
        <w:fldChar w:fldCharType="separate"/>
      </w:r>
      <w:r>
        <w:t>3</w:t>
      </w:r>
      <w:r>
        <w:fldChar w:fldCharType="end"/>
      </w:r>
      <w:r>
        <w:fldChar w:fldCharType="end"/>
      </w:r>
    </w:p>
    <w:p w14:paraId="5BE5D0E6">
      <w:pPr>
        <w:pStyle w:val="11"/>
        <w:rPr>
          <w:rFonts w:asciiTheme="minorHAnsi" w:hAnsiTheme="minorHAnsi" w:eastAsiaTheme="minorEastAsia" w:cstheme="minorBidi"/>
          <w:b w:val="0"/>
          <w:kern w:val="2"/>
          <w:sz w:val="21"/>
          <w:lang w:eastAsia="zh-CN" w:bidi="he-IL"/>
        </w:rPr>
      </w:pPr>
      <w:r>
        <w:fldChar w:fldCharType="begin"/>
      </w:r>
      <w:r>
        <w:instrText xml:space="preserve"> HYPERLINK \l "_Toc97374581" </w:instrText>
      </w:r>
      <w:r>
        <w:fldChar w:fldCharType="separate"/>
      </w:r>
      <w:r>
        <w:rPr>
          <w:rStyle w:val="18"/>
          <w:b/>
        </w:rPr>
        <w:t>IV.</w:t>
      </w:r>
      <w:r>
        <w:rPr>
          <w:rFonts w:asciiTheme="minorHAnsi" w:hAnsiTheme="minorHAnsi" w:eastAsiaTheme="minorEastAsia" w:cstheme="minorBidi"/>
          <w:b w:val="0"/>
          <w:kern w:val="2"/>
          <w:sz w:val="21"/>
          <w:lang w:eastAsia="zh-CN" w:bidi="he-IL"/>
        </w:rPr>
        <w:tab/>
      </w:r>
      <w:r>
        <w:rPr>
          <w:rStyle w:val="18"/>
          <w:rFonts w:hint="eastAsia"/>
          <w:b/>
        </w:rPr>
        <w:t>定义</w:t>
      </w:r>
      <w:r>
        <w:tab/>
      </w:r>
      <w:r>
        <w:fldChar w:fldCharType="begin"/>
      </w:r>
      <w:r>
        <w:instrText xml:space="preserve"> PAGEREF _Toc97374581 \h </w:instrText>
      </w:r>
      <w:r>
        <w:fldChar w:fldCharType="separate"/>
      </w:r>
      <w:r>
        <w:t>4</w:t>
      </w:r>
      <w:r>
        <w:fldChar w:fldCharType="end"/>
      </w:r>
      <w:r>
        <w:fldChar w:fldCharType="end"/>
      </w:r>
    </w:p>
    <w:p w14:paraId="1A8BFBC5">
      <w:pPr>
        <w:pStyle w:val="11"/>
        <w:rPr>
          <w:rFonts w:asciiTheme="minorHAnsi" w:hAnsiTheme="minorHAnsi" w:eastAsiaTheme="minorEastAsia" w:cstheme="minorBidi"/>
          <w:b w:val="0"/>
          <w:kern w:val="2"/>
          <w:sz w:val="21"/>
          <w:lang w:eastAsia="zh-CN" w:bidi="he-IL"/>
        </w:rPr>
      </w:pPr>
      <w:r>
        <w:fldChar w:fldCharType="begin"/>
      </w:r>
      <w:r>
        <w:instrText xml:space="preserve"> HYPERLINK \l "_Toc97374582" </w:instrText>
      </w:r>
      <w:r>
        <w:fldChar w:fldCharType="separate"/>
      </w:r>
      <w:r>
        <w:rPr>
          <w:rStyle w:val="18"/>
          <w:b/>
        </w:rPr>
        <w:t>V.</w:t>
      </w:r>
      <w:r>
        <w:rPr>
          <w:rFonts w:asciiTheme="minorHAnsi" w:hAnsiTheme="minorHAnsi" w:eastAsiaTheme="minorEastAsia" w:cstheme="minorBidi"/>
          <w:b w:val="0"/>
          <w:kern w:val="2"/>
          <w:sz w:val="21"/>
          <w:lang w:eastAsia="zh-CN" w:bidi="he-IL"/>
        </w:rPr>
        <w:tab/>
      </w:r>
      <w:r>
        <w:rPr>
          <w:rStyle w:val="18"/>
          <w:rFonts w:hint="eastAsia"/>
          <w:b/>
        </w:rPr>
        <w:t>制造场所变更申请</w:t>
      </w:r>
      <w:r>
        <w:tab/>
      </w:r>
      <w:r>
        <w:fldChar w:fldCharType="begin"/>
      </w:r>
      <w:r>
        <w:instrText xml:space="preserve"> PAGEREF _Toc97374582 \h </w:instrText>
      </w:r>
      <w:r>
        <w:fldChar w:fldCharType="separate"/>
      </w:r>
      <w:r>
        <w:t>6</w:t>
      </w:r>
      <w:r>
        <w:fldChar w:fldCharType="end"/>
      </w:r>
      <w:r>
        <w:fldChar w:fldCharType="end"/>
      </w:r>
    </w:p>
    <w:p w14:paraId="074683D8">
      <w:pPr>
        <w:pStyle w:val="13"/>
        <w:rPr>
          <w:rFonts w:asciiTheme="minorHAnsi" w:hAnsiTheme="minorHAnsi" w:eastAsiaTheme="minorEastAsia" w:cstheme="minorBidi"/>
          <w:bCs w:val="0"/>
          <w:kern w:val="2"/>
          <w:sz w:val="21"/>
          <w:lang w:eastAsia="zh-CN" w:bidi="he-IL"/>
        </w:rPr>
      </w:pPr>
      <w:r>
        <w:fldChar w:fldCharType="begin"/>
      </w:r>
      <w:r>
        <w:instrText xml:space="preserve"> HYPERLINK \l "_Toc97374583" </w:instrText>
      </w:r>
      <w:r>
        <w:fldChar w:fldCharType="separate"/>
      </w:r>
      <w:r>
        <w:rPr>
          <w:rStyle w:val="18"/>
        </w:rPr>
        <w:t>A.</w:t>
      </w:r>
      <w:r>
        <w:rPr>
          <w:rFonts w:asciiTheme="minorHAnsi" w:hAnsiTheme="minorHAnsi" w:eastAsiaTheme="minorEastAsia" w:cstheme="minorBidi"/>
          <w:bCs w:val="0"/>
          <w:kern w:val="2"/>
          <w:sz w:val="21"/>
          <w:lang w:eastAsia="zh-CN" w:bidi="he-IL"/>
        </w:rPr>
        <w:tab/>
      </w:r>
      <w:r>
        <w:rPr>
          <w:rStyle w:val="18"/>
          <w:rFonts w:hint="eastAsia" w:eastAsia="宋体"/>
          <w:lang w:eastAsia="zh-CN"/>
        </w:rPr>
        <w:t>相对于</w:t>
      </w:r>
      <w:r>
        <w:rPr>
          <w:rStyle w:val="18"/>
          <w:rFonts w:eastAsia="宋体"/>
          <w:lang w:eastAsia="zh-CN"/>
        </w:rPr>
        <w:t>30</w:t>
      </w:r>
      <w:r>
        <w:rPr>
          <w:rStyle w:val="18"/>
          <w:rFonts w:hint="eastAsia" w:eastAsia="宋体"/>
          <w:lang w:eastAsia="zh-CN"/>
        </w:rPr>
        <w:t>天通知，什么是制造场所变更，何时应提交场所变更补充申请？</w:t>
      </w:r>
      <w:r>
        <w:tab/>
      </w:r>
      <w:r>
        <w:fldChar w:fldCharType="begin"/>
      </w:r>
      <w:r>
        <w:instrText xml:space="preserve"> PAGEREF _Toc97374583 \h </w:instrText>
      </w:r>
      <w:r>
        <w:fldChar w:fldCharType="separate"/>
      </w:r>
      <w:r>
        <w:t>6</w:t>
      </w:r>
      <w:r>
        <w:fldChar w:fldCharType="end"/>
      </w:r>
      <w:r>
        <w:fldChar w:fldCharType="end"/>
      </w:r>
    </w:p>
    <w:p w14:paraId="373CAFB0">
      <w:pPr>
        <w:pStyle w:val="13"/>
        <w:rPr>
          <w:rFonts w:asciiTheme="minorHAnsi" w:hAnsiTheme="minorHAnsi" w:eastAsiaTheme="minorEastAsia" w:cstheme="minorBidi"/>
          <w:bCs w:val="0"/>
          <w:kern w:val="2"/>
          <w:sz w:val="21"/>
          <w:lang w:eastAsia="zh-CN" w:bidi="he-IL"/>
        </w:rPr>
      </w:pPr>
      <w:r>
        <w:fldChar w:fldCharType="begin"/>
      </w:r>
      <w:r>
        <w:instrText xml:space="preserve"> HYPERLINK \l "_Toc97374584" </w:instrText>
      </w:r>
      <w:r>
        <w:fldChar w:fldCharType="separate"/>
      </w:r>
      <w:r>
        <w:rPr>
          <w:rStyle w:val="18"/>
        </w:rPr>
        <w:t>B.</w:t>
      </w:r>
      <w:r>
        <w:rPr>
          <w:rFonts w:asciiTheme="minorHAnsi" w:hAnsiTheme="minorHAnsi" w:eastAsiaTheme="minorEastAsia" w:cstheme="minorBidi"/>
          <w:bCs w:val="0"/>
          <w:kern w:val="2"/>
          <w:sz w:val="21"/>
          <w:lang w:eastAsia="zh-CN" w:bidi="he-IL"/>
        </w:rPr>
        <w:tab/>
      </w:r>
      <w:r>
        <w:rPr>
          <w:rStyle w:val="18"/>
          <w:rFonts w:hint="eastAsia" w:eastAsia="宋体"/>
          <w:lang w:eastAsia="zh-CN"/>
        </w:rPr>
        <w:t>应在场所变更补充申请中提交哪些文件？</w:t>
      </w:r>
      <w:r>
        <w:tab/>
      </w:r>
      <w:r>
        <w:fldChar w:fldCharType="begin"/>
      </w:r>
      <w:r>
        <w:instrText xml:space="preserve"> PAGEREF _Toc97374584 \h </w:instrText>
      </w:r>
      <w:r>
        <w:fldChar w:fldCharType="separate"/>
      </w:r>
      <w:r>
        <w:t>11</w:t>
      </w:r>
      <w:r>
        <w:fldChar w:fldCharType="end"/>
      </w:r>
      <w:r>
        <w:fldChar w:fldCharType="end"/>
      </w:r>
    </w:p>
    <w:p w14:paraId="2E2CD1F3">
      <w:pPr>
        <w:pStyle w:val="13"/>
        <w:rPr>
          <w:rFonts w:asciiTheme="minorHAnsi" w:hAnsiTheme="minorHAnsi" w:eastAsiaTheme="minorEastAsia" w:cstheme="minorBidi"/>
          <w:bCs w:val="0"/>
          <w:kern w:val="2"/>
          <w:sz w:val="21"/>
          <w:lang w:eastAsia="zh-CN" w:bidi="he-IL"/>
        </w:rPr>
      </w:pPr>
      <w:r>
        <w:fldChar w:fldCharType="begin"/>
      </w:r>
      <w:r>
        <w:instrText xml:space="preserve"> HYPERLINK \l "_Toc97374585" </w:instrText>
      </w:r>
      <w:r>
        <w:fldChar w:fldCharType="separate"/>
      </w:r>
      <w:r>
        <w:rPr>
          <w:rStyle w:val="18"/>
        </w:rPr>
        <w:t>C.</w:t>
      </w:r>
      <w:r>
        <w:rPr>
          <w:rFonts w:asciiTheme="minorHAnsi" w:hAnsiTheme="minorHAnsi" w:eastAsiaTheme="minorEastAsia" w:cstheme="minorBidi"/>
          <w:bCs w:val="0"/>
          <w:kern w:val="2"/>
          <w:sz w:val="21"/>
          <w:lang w:eastAsia="zh-CN" w:bidi="he-IL"/>
        </w:rPr>
        <w:tab/>
      </w:r>
      <w:r>
        <w:rPr>
          <w:rStyle w:val="18"/>
          <w:rFonts w:hint="eastAsia" w:eastAsia="宋体"/>
          <w:lang w:eastAsia="zh-CN"/>
        </w:rPr>
        <w:t>确定是否可能需要检查。</w:t>
      </w:r>
      <w:r>
        <w:tab/>
      </w:r>
      <w:r>
        <w:fldChar w:fldCharType="begin"/>
      </w:r>
      <w:r>
        <w:instrText xml:space="preserve"> PAGEREF _Toc97374585 \h </w:instrText>
      </w:r>
      <w:r>
        <w:fldChar w:fldCharType="separate"/>
      </w:r>
      <w:r>
        <w:t>14</w:t>
      </w:r>
      <w:r>
        <w:fldChar w:fldCharType="end"/>
      </w:r>
      <w:r>
        <w:fldChar w:fldCharType="end"/>
      </w:r>
    </w:p>
    <w:p w14:paraId="087F170C">
      <w:pPr>
        <w:pStyle w:val="11"/>
        <w:rPr>
          <w:rFonts w:asciiTheme="minorHAnsi" w:hAnsiTheme="minorHAnsi" w:eastAsiaTheme="minorEastAsia" w:cstheme="minorBidi"/>
          <w:b w:val="0"/>
          <w:kern w:val="2"/>
          <w:sz w:val="21"/>
          <w:lang w:eastAsia="zh-CN" w:bidi="he-IL"/>
        </w:rPr>
      </w:pPr>
      <w:r>
        <w:fldChar w:fldCharType="begin"/>
      </w:r>
      <w:r>
        <w:instrText xml:space="preserve"> HYPERLINK \l "_Toc97374586" </w:instrText>
      </w:r>
      <w:r>
        <w:fldChar w:fldCharType="separate"/>
      </w:r>
      <w:r>
        <w:rPr>
          <w:rStyle w:val="18"/>
          <w:b/>
        </w:rPr>
        <w:t>VI.</w:t>
      </w:r>
      <w:r>
        <w:rPr>
          <w:rFonts w:asciiTheme="minorHAnsi" w:hAnsiTheme="minorHAnsi" w:eastAsiaTheme="minorEastAsia" w:cstheme="minorBidi"/>
          <w:b w:val="0"/>
          <w:kern w:val="2"/>
          <w:sz w:val="21"/>
          <w:lang w:eastAsia="zh-CN" w:bidi="he-IL"/>
        </w:rPr>
        <w:tab/>
      </w:r>
      <w:r>
        <w:rPr>
          <w:rStyle w:val="18"/>
          <w:rFonts w:hint="eastAsia"/>
          <w:b/>
        </w:rPr>
        <w:t>资源</w:t>
      </w:r>
      <w:r>
        <w:tab/>
      </w:r>
      <w:r>
        <w:fldChar w:fldCharType="begin"/>
      </w:r>
      <w:r>
        <w:instrText xml:space="preserve"> PAGEREF _Toc97374586 \h </w:instrText>
      </w:r>
      <w:r>
        <w:fldChar w:fldCharType="separate"/>
      </w:r>
      <w:r>
        <w:t>15</w:t>
      </w:r>
      <w:r>
        <w:fldChar w:fldCharType="end"/>
      </w:r>
      <w:r>
        <w:fldChar w:fldCharType="end"/>
      </w:r>
    </w:p>
    <w:p w14:paraId="3148E935">
      <w:pPr>
        <w:autoSpaceDE/>
        <w:autoSpaceDN/>
        <w:snapToGrid/>
        <w:spacing w:before="0" w:beforeLines="0" w:line="240" w:lineRule="auto"/>
        <w:rPr>
          <w:b/>
          <w:bCs/>
          <w:color w:val="000000"/>
          <w:szCs w:val="24"/>
        </w:rPr>
      </w:pPr>
      <w:r>
        <w:rPr>
          <w:b/>
          <w:bCs/>
          <w:color w:val="000000"/>
          <w:szCs w:val="24"/>
        </w:rPr>
        <w:fldChar w:fldCharType="end"/>
      </w:r>
    </w:p>
    <w:p w14:paraId="55275A96">
      <w:pPr>
        <w:snapToGrid/>
        <w:spacing w:before="0" w:beforeLines="0" w:line="240" w:lineRule="auto"/>
        <w:rPr>
          <w:b/>
          <w:bCs/>
          <w:color w:val="000000"/>
          <w:szCs w:val="24"/>
          <w:lang w:eastAsia="zh-CN"/>
        </w:rPr>
      </w:pPr>
    </w:p>
    <w:p w14:paraId="4C273CB0">
      <w:pPr>
        <w:snapToGrid/>
        <w:spacing w:before="0" w:beforeLines="0" w:line="240" w:lineRule="auto"/>
        <w:rPr>
          <w:b/>
          <w:bCs/>
          <w:color w:val="000000"/>
          <w:szCs w:val="24"/>
          <w:lang w:eastAsia="zh-CN"/>
        </w:rPr>
      </w:pPr>
    </w:p>
    <w:p w14:paraId="184FF96B">
      <w:pPr>
        <w:snapToGrid/>
        <w:spacing w:before="0" w:beforeLines="0" w:line="240" w:lineRule="auto"/>
        <w:rPr>
          <w:b/>
          <w:bCs/>
          <w:color w:val="000000"/>
          <w:szCs w:val="24"/>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134" w:right="1134" w:bottom="1134" w:left="1418" w:header="567" w:footer="567" w:gutter="0"/>
          <w:cols w:space="720" w:num="1"/>
          <w:docGrid w:type="lines" w:linePitch="364" w:charSpace="0"/>
        </w:sectPr>
      </w:pPr>
    </w:p>
    <w:p w14:paraId="61CB1F81">
      <w:pPr>
        <w:pBdr>
          <w:bottom w:val="single" w:color="auto" w:sz="4" w:space="0"/>
        </w:pBdr>
        <w:autoSpaceDE/>
        <w:autoSpaceDN/>
        <w:snapToGrid/>
        <w:spacing w:before="0" w:beforeLines="0" w:line="240" w:lineRule="auto"/>
        <w:jc w:val="center"/>
        <w:rPr>
          <w:b/>
          <w:bCs/>
          <w:color w:val="000000"/>
          <w:sz w:val="44"/>
          <w:szCs w:val="44"/>
          <w:lang w:eastAsia="zh-CN"/>
        </w:rPr>
      </w:pPr>
      <w:r>
        <w:rPr>
          <w:b/>
          <w:color w:val="000000"/>
          <w:sz w:val="44"/>
          <w:szCs w:val="44"/>
          <w:lang w:eastAsia="zh-CN"/>
        </w:rPr>
        <w:t>制造场所变更补充申请：内容和提交</w:t>
      </w:r>
    </w:p>
    <w:p w14:paraId="48849119">
      <w:pPr>
        <w:autoSpaceDE/>
        <w:autoSpaceDN/>
        <w:snapToGrid/>
        <w:spacing w:before="0" w:beforeLines="0" w:line="240" w:lineRule="auto"/>
        <w:jc w:val="center"/>
        <w:rPr>
          <w:b/>
          <w:bCs/>
          <w:color w:val="000000"/>
          <w:sz w:val="44"/>
          <w:szCs w:val="44"/>
          <w:lang w:eastAsia="zh-CN"/>
        </w:rPr>
      </w:pPr>
      <w:r>
        <w:rPr>
          <w:b/>
          <w:color w:val="000000"/>
          <w:sz w:val="44"/>
          <w:szCs w:val="44"/>
          <w:lang w:eastAsia="zh-CN"/>
        </w:rPr>
        <w:t>行业和美国食品药品监督管理局工作人员指南</w:t>
      </w:r>
    </w:p>
    <w:p w14:paraId="5B666AF3">
      <w:pPr>
        <w:spacing w:before="182"/>
        <w:rPr>
          <w:lang w:eastAsia="zh-CN"/>
        </w:rPr>
      </w:pPr>
    </w:p>
    <w:tbl>
      <w:tblPr>
        <w:tblStyle w:val="15"/>
        <w:tblW w:w="5000" w:type="pct"/>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57" w:type="dxa"/>
          <w:bottom w:w="0" w:type="dxa"/>
          <w:right w:w="57" w:type="dxa"/>
        </w:tblCellMar>
      </w:tblPr>
      <w:tblGrid>
        <w:gridCol w:w="9468"/>
      </w:tblGrid>
      <w:tr w14:paraId="644F0763">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57" w:type="dxa"/>
            <w:bottom w:w="0" w:type="dxa"/>
            <w:right w:w="57" w:type="dxa"/>
          </w:tblCellMar>
        </w:tblPrEx>
        <w:tc>
          <w:tcPr>
            <w:tcW w:w="5000" w:type="pct"/>
            <w:tcBorders>
              <w:top w:val="thinThickThinSmallGap" w:color="auto" w:sz="18" w:space="0"/>
              <w:left w:val="thinThickThinSmallGap" w:color="auto" w:sz="18" w:space="0"/>
              <w:bottom w:val="thinThickThinSmallGap" w:color="auto" w:sz="18" w:space="0"/>
              <w:right w:val="thinThickThinSmallGap" w:color="auto" w:sz="18" w:space="0"/>
            </w:tcBorders>
          </w:tcPr>
          <w:p w14:paraId="20BF41E1">
            <w:pPr>
              <w:snapToGrid/>
              <w:spacing w:before="0" w:beforeLines="0" w:line="240" w:lineRule="auto"/>
              <w:ind w:left="12" w:leftChars="5" w:right="86" w:rightChars="36" w:firstLine="482" w:firstLineChars="200"/>
              <w:jc w:val="both"/>
              <w:rPr>
                <w:szCs w:val="24"/>
                <w:lang w:eastAsia="zh-CN"/>
              </w:rPr>
            </w:pPr>
            <w:r>
              <w:rPr>
                <w:b/>
                <w:i/>
                <w:szCs w:val="24"/>
                <w:lang w:eastAsia="zh-CN"/>
              </w:rPr>
              <w:t>本指南代表美国食品药品监督管理局（FDA或本机构）目前关于该主题的思考。其不会为任何人创造或赋予任何权利，也不会对FDA或公众产生约束。如果替代方法满足适用的法律法规要求，则可以使用该方法。如需讨论替代方法，请联系标题页负责实施本指南文件的FDA工作人员或办公室。</w:t>
            </w:r>
          </w:p>
        </w:tc>
      </w:tr>
    </w:tbl>
    <w:p w14:paraId="1BE71405">
      <w:pPr>
        <w:snapToGrid/>
        <w:spacing w:before="0" w:beforeLines="0" w:line="240" w:lineRule="auto"/>
        <w:jc w:val="both"/>
        <w:rPr>
          <w:szCs w:val="24"/>
          <w:lang w:eastAsia="zh-CN"/>
        </w:rPr>
      </w:pPr>
    </w:p>
    <w:p w14:paraId="46DB5913">
      <w:pPr>
        <w:pStyle w:val="23"/>
        <w:numPr>
          <w:ilvl w:val="0"/>
          <w:numId w:val="1"/>
        </w:numPr>
        <w:tabs>
          <w:tab w:val="left" w:pos="1240"/>
        </w:tabs>
        <w:ind w:left="643" w:hanging="643" w:hangingChars="200"/>
        <w:jc w:val="both"/>
        <w:outlineLvl w:val="0"/>
        <w:rPr>
          <w:rFonts w:ascii="Times New Roman" w:hAnsi="Times New Roman" w:eastAsia="宋体" w:cs="Times New Roman"/>
          <w:b/>
          <w:sz w:val="32"/>
          <w:szCs w:val="32"/>
        </w:rPr>
      </w:pPr>
      <w:bookmarkStart w:id="0" w:name="_Toc97374578"/>
      <w:r>
        <w:rPr>
          <w:rFonts w:ascii="Times New Roman" w:hAnsi="Times New Roman" w:eastAsia="宋体" w:cs="Times New Roman"/>
          <w:b/>
          <w:sz w:val="32"/>
          <w:szCs w:val="32"/>
        </w:rPr>
        <w:t>引言</w:t>
      </w:r>
      <w:bookmarkEnd w:id="0"/>
    </w:p>
    <w:p w14:paraId="67F50E42">
      <w:pPr>
        <w:snapToGrid/>
        <w:spacing w:before="0" w:beforeLines="0" w:line="240" w:lineRule="auto"/>
        <w:ind w:firstLine="480" w:firstLineChars="200"/>
        <w:jc w:val="both"/>
        <w:rPr>
          <w:szCs w:val="24"/>
          <w:lang w:eastAsia="zh-CN"/>
        </w:rPr>
      </w:pPr>
      <w:r>
        <w:rPr>
          <w:szCs w:val="24"/>
          <w:lang w:eastAsia="zh-CN"/>
        </w:rPr>
        <w:t>本指南解释了FDA目前对以下方面的观点：</w:t>
      </w:r>
    </w:p>
    <w:p w14:paraId="4C35229B">
      <w:pPr>
        <w:tabs>
          <w:tab w:val="left" w:pos="1140"/>
        </w:tabs>
        <w:snapToGrid/>
        <w:spacing w:before="0" w:beforeLines="0" w:line="240" w:lineRule="auto"/>
        <w:ind w:left="1020"/>
        <w:jc w:val="both"/>
        <w:rPr>
          <w:szCs w:val="24"/>
          <w:lang w:eastAsia="zh-CN"/>
        </w:rPr>
      </w:pPr>
    </w:p>
    <w:p w14:paraId="3F30EA72">
      <w:pPr>
        <w:numPr>
          <w:ilvl w:val="1"/>
          <w:numId w:val="2"/>
        </w:numPr>
        <w:tabs>
          <w:tab w:val="left" w:pos="1140"/>
        </w:tabs>
        <w:snapToGrid/>
        <w:spacing w:before="0" w:beforeLines="0" w:line="240" w:lineRule="auto"/>
        <w:ind w:left="1020" w:hanging="510"/>
        <w:jc w:val="both"/>
        <w:rPr>
          <w:szCs w:val="24"/>
          <w:lang w:eastAsia="zh-CN"/>
        </w:rPr>
      </w:pPr>
      <w:r>
        <w:rPr>
          <w:szCs w:val="24"/>
          <w:lang w:eastAsia="zh-CN"/>
        </w:rPr>
        <w:t>构成制造场所变更的因素，以及何时应提交场所变更的PMA补充申请；</w:t>
      </w:r>
    </w:p>
    <w:p w14:paraId="2D7D6682">
      <w:pPr>
        <w:tabs>
          <w:tab w:val="left" w:pos="1140"/>
        </w:tabs>
        <w:snapToGrid/>
        <w:spacing w:before="0" w:beforeLines="0" w:line="240" w:lineRule="auto"/>
        <w:ind w:left="1020"/>
        <w:jc w:val="both"/>
        <w:rPr>
          <w:szCs w:val="24"/>
          <w:lang w:eastAsia="zh-CN"/>
        </w:rPr>
      </w:pPr>
    </w:p>
    <w:p w14:paraId="529EE38A">
      <w:pPr>
        <w:numPr>
          <w:ilvl w:val="1"/>
          <w:numId w:val="2"/>
        </w:numPr>
        <w:tabs>
          <w:tab w:val="left" w:pos="1140"/>
        </w:tabs>
        <w:snapToGrid/>
        <w:spacing w:before="0" w:beforeLines="0" w:line="240" w:lineRule="auto"/>
        <w:ind w:left="1020" w:hanging="510"/>
        <w:jc w:val="both"/>
        <w:rPr>
          <w:szCs w:val="24"/>
          <w:lang w:eastAsia="zh-CN"/>
        </w:rPr>
      </w:pPr>
      <w:r>
        <w:rPr>
          <w:szCs w:val="24"/>
          <w:lang w:eastAsia="zh-CN"/>
        </w:rPr>
        <w:t>应在场所变更补充申请中提交哪些文件；以及</w:t>
      </w:r>
    </w:p>
    <w:p w14:paraId="3ED246AB">
      <w:pPr>
        <w:tabs>
          <w:tab w:val="left" w:pos="1140"/>
        </w:tabs>
        <w:snapToGrid/>
        <w:spacing w:before="0" w:beforeLines="0" w:line="240" w:lineRule="auto"/>
        <w:ind w:left="1020"/>
        <w:jc w:val="both"/>
        <w:rPr>
          <w:szCs w:val="24"/>
          <w:lang w:eastAsia="zh-CN"/>
        </w:rPr>
      </w:pPr>
    </w:p>
    <w:p w14:paraId="348C13F4">
      <w:pPr>
        <w:numPr>
          <w:ilvl w:val="1"/>
          <w:numId w:val="2"/>
        </w:numPr>
        <w:tabs>
          <w:tab w:val="left" w:pos="1140"/>
        </w:tabs>
        <w:snapToGrid/>
        <w:spacing w:before="0" w:beforeLines="0" w:line="240" w:lineRule="auto"/>
        <w:ind w:left="1020" w:hanging="510"/>
        <w:jc w:val="both"/>
        <w:rPr>
          <w:szCs w:val="24"/>
          <w:lang w:eastAsia="zh-CN"/>
        </w:rPr>
      </w:pPr>
      <w:r>
        <w:rPr>
          <w:szCs w:val="24"/>
          <w:lang w:eastAsia="zh-CN"/>
        </w:rPr>
        <w:t>在决定是否在批准场所变更补充申请之前进行机构检查时，FDA预期考虑</w:t>
      </w:r>
      <w:r>
        <w:rPr>
          <w:rFonts w:hint="eastAsia"/>
          <w:szCs w:val="24"/>
          <w:lang w:eastAsia="zh-CN"/>
        </w:rPr>
        <w:t xml:space="preserve">  </w:t>
      </w:r>
      <w:r>
        <w:rPr>
          <w:szCs w:val="24"/>
          <w:lang w:eastAsia="zh-CN"/>
        </w:rPr>
        <w:t>的一般因素。</w:t>
      </w:r>
    </w:p>
    <w:p w14:paraId="23EDE5DD">
      <w:pPr>
        <w:snapToGrid/>
        <w:spacing w:before="0" w:beforeLines="0" w:line="240" w:lineRule="auto"/>
        <w:ind w:firstLine="480" w:firstLineChars="200"/>
        <w:jc w:val="both"/>
        <w:rPr>
          <w:szCs w:val="24"/>
          <w:lang w:eastAsia="zh-CN"/>
        </w:rPr>
      </w:pPr>
    </w:p>
    <w:p w14:paraId="7CE643EA">
      <w:pPr>
        <w:snapToGrid/>
        <w:spacing w:before="0" w:beforeLines="0" w:line="240" w:lineRule="auto"/>
        <w:ind w:firstLine="480" w:firstLineChars="200"/>
        <w:jc w:val="both"/>
        <w:rPr>
          <w:szCs w:val="24"/>
          <w:lang w:eastAsia="zh-CN"/>
        </w:rPr>
      </w:pPr>
      <w:r>
        <w:rPr>
          <w:szCs w:val="24"/>
          <w:lang w:eastAsia="zh-CN"/>
        </w:rPr>
        <w:t>FDA指导性文件，包括本指南在内，不具有法律强制责任。相反，指南表明了该机构目前关于该主题的思考，除非引用具体的法规或法律要求，否则只应视为建议。在本机构指南中使用词语</w:t>
      </w:r>
      <w:r>
        <w:rPr>
          <w:rFonts w:ascii="宋体" w:hAnsi="宋体"/>
          <w:szCs w:val="24"/>
          <w:lang w:eastAsia="zh-CN"/>
        </w:rPr>
        <w:t>“</w:t>
      </w:r>
      <w:r>
        <w:rPr>
          <w:i/>
          <w:iCs/>
          <w:szCs w:val="24"/>
          <w:lang w:eastAsia="zh-CN"/>
        </w:rPr>
        <w:t>应</w:t>
      </w:r>
      <w:r>
        <w:rPr>
          <w:rFonts w:ascii="宋体" w:hAnsi="宋体"/>
          <w:szCs w:val="24"/>
          <w:lang w:eastAsia="zh-CN"/>
        </w:rPr>
        <w:t>”</w:t>
      </w:r>
      <w:r>
        <w:rPr>
          <w:szCs w:val="24"/>
          <w:lang w:eastAsia="zh-CN"/>
        </w:rPr>
        <w:t>是指建议或推荐进行某一事项，并非强制要求。</w:t>
      </w:r>
    </w:p>
    <w:p w14:paraId="46888092">
      <w:pPr>
        <w:snapToGrid/>
        <w:spacing w:before="0" w:beforeLines="0" w:line="240" w:lineRule="auto"/>
        <w:ind w:firstLine="480" w:firstLineChars="200"/>
        <w:jc w:val="both"/>
        <w:rPr>
          <w:szCs w:val="24"/>
          <w:lang w:eastAsia="zh-CN"/>
        </w:rPr>
      </w:pPr>
    </w:p>
    <w:p w14:paraId="28C864C4">
      <w:pPr>
        <w:pStyle w:val="23"/>
        <w:numPr>
          <w:ilvl w:val="0"/>
          <w:numId w:val="1"/>
        </w:numPr>
        <w:tabs>
          <w:tab w:val="left" w:pos="1240"/>
        </w:tabs>
        <w:ind w:left="643" w:hanging="643" w:hangingChars="200"/>
        <w:jc w:val="both"/>
        <w:outlineLvl w:val="0"/>
        <w:rPr>
          <w:rFonts w:ascii="Times New Roman" w:hAnsi="Times New Roman" w:eastAsia="宋体" w:cs="Times New Roman"/>
          <w:b/>
          <w:sz w:val="32"/>
          <w:szCs w:val="32"/>
        </w:rPr>
      </w:pPr>
      <w:bookmarkStart w:id="1" w:name="_Toc97374579"/>
      <w:r>
        <w:rPr>
          <w:rFonts w:ascii="Times New Roman" w:hAnsi="Times New Roman" w:eastAsia="宋体" w:cs="Times New Roman"/>
          <w:b/>
          <w:sz w:val="32"/>
          <w:szCs w:val="32"/>
        </w:rPr>
        <w:t>背景</w:t>
      </w:r>
      <w:bookmarkEnd w:id="1"/>
    </w:p>
    <w:p w14:paraId="2ACE7751">
      <w:pPr>
        <w:snapToGrid/>
        <w:spacing w:before="0" w:beforeLines="0" w:line="240" w:lineRule="auto"/>
        <w:ind w:firstLine="480" w:firstLineChars="200"/>
        <w:jc w:val="both"/>
        <w:rPr>
          <w:szCs w:val="24"/>
          <w:lang w:eastAsia="zh-CN"/>
        </w:rPr>
      </w:pPr>
      <w:r>
        <w:rPr>
          <w:szCs w:val="24"/>
          <w:lang w:eastAsia="zh-CN"/>
        </w:rPr>
        <w:t>根据《联邦食品、药品和化妆品法案》（《FD&amp;C法案》）第515(d)(5)节（21 U.S.C.§ 360e(d)(5)），对已获批PMA的补充申请（PMA补充申请）必须在做出影响器械安全性或有效性的变更之前提交FDA审查和批准，除非此类变更是对制造程序或制造方法的修改，该情况符合30天通知条件。PMA法规在21 CFR 814.39中规定了一般标准，以确定PMA持有人（以下简称</w:t>
      </w:r>
      <w:r>
        <w:rPr>
          <w:rFonts w:ascii="宋体" w:hAnsi="宋体"/>
          <w:szCs w:val="24"/>
          <w:lang w:eastAsia="zh-CN"/>
        </w:rPr>
        <w:t>“</w:t>
      </w:r>
      <w:r>
        <w:rPr>
          <w:szCs w:val="24"/>
          <w:lang w:eastAsia="zh-CN"/>
        </w:rPr>
        <w:t>申请人</w:t>
      </w:r>
      <w:r>
        <w:rPr>
          <w:rFonts w:ascii="宋体" w:hAnsi="宋体"/>
          <w:szCs w:val="24"/>
          <w:lang w:eastAsia="zh-CN"/>
        </w:rPr>
        <w:t>”</w:t>
      </w:r>
      <w:r>
        <w:rPr>
          <w:szCs w:val="24"/>
          <w:lang w:eastAsia="zh-CN"/>
        </w:rPr>
        <w:t>）何时需要提交PMA补充申请或有资格提交30天通知。根据21 CFR 814.39(a)(3)的规定，当PMA持有人</w:t>
      </w:r>
      <w:r>
        <w:rPr>
          <w:rFonts w:ascii="宋体" w:hAnsi="宋体"/>
          <w:szCs w:val="24"/>
          <w:lang w:eastAsia="zh-CN"/>
        </w:rPr>
        <w:t>“</w:t>
      </w:r>
      <w:r>
        <w:rPr>
          <w:szCs w:val="24"/>
          <w:lang w:eastAsia="zh-CN"/>
        </w:rPr>
        <w:t>使用不同设施或机构制造、加工或包装器械</w:t>
      </w:r>
      <w:r>
        <w:rPr>
          <w:rFonts w:ascii="宋体" w:hAnsi="宋体"/>
          <w:szCs w:val="24"/>
          <w:lang w:eastAsia="zh-CN"/>
        </w:rPr>
        <w:t>”</w:t>
      </w:r>
      <w:r>
        <w:rPr>
          <w:szCs w:val="24"/>
          <w:lang w:eastAsia="zh-CN"/>
        </w:rPr>
        <w:t>且该变更影响器械的安全性或有效性时，必须提交PMA补充申请。</w:t>
      </w:r>
    </w:p>
    <w:p w14:paraId="4DC4162C">
      <w:pPr>
        <w:snapToGrid/>
        <w:spacing w:before="0" w:beforeLines="0" w:line="240" w:lineRule="auto"/>
        <w:rPr>
          <w:szCs w:val="24"/>
          <w:lang w:eastAsia="zh-CN"/>
        </w:rPr>
      </w:pPr>
      <w:r>
        <w:rPr>
          <w:szCs w:val="24"/>
          <w:lang w:eastAsia="zh-CN"/>
        </w:rPr>
        <w:br w:type="page"/>
      </w:r>
    </w:p>
    <w:p w14:paraId="76937537">
      <w:pPr>
        <w:snapToGrid/>
        <w:spacing w:before="0" w:beforeLines="0" w:line="240" w:lineRule="auto"/>
        <w:ind w:firstLine="480" w:firstLineChars="200"/>
        <w:jc w:val="both"/>
        <w:rPr>
          <w:szCs w:val="24"/>
          <w:lang w:eastAsia="zh-CN"/>
        </w:rPr>
      </w:pPr>
      <w:r>
        <w:rPr>
          <w:szCs w:val="24"/>
          <w:lang w:eastAsia="zh-CN"/>
        </w:rPr>
        <w:t>关于机构检查，《FD&amp;C法案》第510(h)节（21 U.S.C.§ 360(h)）要求每个已注册机构根据《FD&amp;C法案》第704节（21 U.S.C.§ 374）接受检查，每个从事制造、传播、配制或加工一种或多种器械的机构将根据基于风险的时间表接受检查。</w:t>
      </w:r>
    </w:p>
    <w:p w14:paraId="78981DA8">
      <w:pPr>
        <w:snapToGrid/>
        <w:spacing w:before="0" w:beforeLines="0" w:line="240" w:lineRule="auto"/>
        <w:ind w:firstLine="480" w:firstLineChars="200"/>
        <w:jc w:val="both"/>
        <w:rPr>
          <w:szCs w:val="24"/>
          <w:lang w:eastAsia="zh-CN"/>
        </w:rPr>
      </w:pPr>
    </w:p>
    <w:p w14:paraId="1204BA04">
      <w:pPr>
        <w:snapToGrid/>
        <w:spacing w:before="0" w:beforeLines="0" w:line="240" w:lineRule="auto"/>
        <w:ind w:firstLine="480" w:firstLineChars="200"/>
        <w:jc w:val="both"/>
        <w:rPr>
          <w:szCs w:val="24"/>
          <w:lang w:eastAsia="zh-CN"/>
        </w:rPr>
      </w:pPr>
      <w:r>
        <w:rPr>
          <w:szCs w:val="24"/>
          <w:lang w:eastAsia="zh-CN"/>
        </w:rPr>
        <w:t>1996年3月，CDRH向医疗器械行业发出一封信函，宣布进行为期一年的试点，以改善对制造场所变更的PMA补充申请的处理。该信函讨论了提高制造场所变更补充申请的CDRH审查和批准速度和效率的必要性，并指出CDRH不要求对所有制造场所变更进行批准前检查。该信函描述了在哪些条件下通常会对制造场所进行检查或不进行检查。CDRH后期制定了指南草案《修改须经上市前批准的器械时进行设施检查的可能性》，并于1999年8月5日发布。该指南未获最终确定。</w:t>
      </w:r>
    </w:p>
    <w:p w14:paraId="7EB6B615">
      <w:pPr>
        <w:snapToGrid/>
        <w:spacing w:before="0" w:beforeLines="0" w:line="240" w:lineRule="auto"/>
        <w:ind w:firstLine="480" w:firstLineChars="200"/>
        <w:jc w:val="both"/>
        <w:rPr>
          <w:szCs w:val="24"/>
          <w:lang w:eastAsia="zh-CN"/>
        </w:rPr>
      </w:pPr>
    </w:p>
    <w:p w14:paraId="5A60E8D1">
      <w:pPr>
        <w:snapToGrid/>
        <w:spacing w:before="0" w:beforeLines="0" w:line="240" w:lineRule="auto"/>
        <w:ind w:firstLine="480" w:firstLineChars="200"/>
        <w:jc w:val="both"/>
        <w:rPr>
          <w:szCs w:val="24"/>
          <w:lang w:eastAsia="zh-CN"/>
        </w:rPr>
      </w:pPr>
      <w:r>
        <w:rPr>
          <w:szCs w:val="24"/>
          <w:lang w:eastAsia="zh-CN"/>
        </w:rPr>
        <w:t>1996年3月信函和1999年指南草案中所述的PMA补充申请被称为</w:t>
      </w:r>
      <w:r>
        <w:rPr>
          <w:rFonts w:ascii="宋体" w:hAnsi="宋体"/>
          <w:szCs w:val="24"/>
          <w:lang w:eastAsia="zh-CN"/>
        </w:rPr>
        <w:t>“</w:t>
      </w:r>
      <w:r>
        <w:rPr>
          <w:szCs w:val="24"/>
          <w:lang w:eastAsia="zh-CN"/>
        </w:rPr>
        <w:t>场所变更补充申请</w:t>
      </w:r>
      <w:r>
        <w:rPr>
          <w:rFonts w:ascii="宋体" w:hAnsi="宋体"/>
          <w:szCs w:val="24"/>
          <w:lang w:eastAsia="zh-CN"/>
        </w:rPr>
        <w:t>”</w:t>
      </w:r>
      <w:r>
        <w:rPr>
          <w:szCs w:val="24"/>
          <w:lang w:eastAsia="zh-CN"/>
        </w:rPr>
        <w:t>，或者如果无需批准前检查，则被称为</w:t>
      </w:r>
      <w:r>
        <w:rPr>
          <w:rFonts w:ascii="宋体" w:hAnsi="宋体"/>
          <w:szCs w:val="24"/>
          <w:lang w:eastAsia="zh-CN"/>
        </w:rPr>
        <w:t>“</w:t>
      </w:r>
      <w:r>
        <w:rPr>
          <w:szCs w:val="24"/>
          <w:lang w:eastAsia="zh-CN"/>
        </w:rPr>
        <w:t>明示补充申请</w:t>
      </w:r>
      <w:r>
        <w:rPr>
          <w:rFonts w:ascii="宋体" w:hAnsi="宋体"/>
          <w:szCs w:val="24"/>
          <w:lang w:eastAsia="zh-CN"/>
        </w:rPr>
        <w:t>”</w:t>
      </w:r>
      <w:r>
        <w:rPr>
          <w:szCs w:val="24"/>
          <w:lang w:eastAsia="zh-CN"/>
        </w:rPr>
        <w:t>。现在，FDA将所有此类申请确定为</w:t>
      </w:r>
      <w:r>
        <w:rPr>
          <w:rFonts w:ascii="宋体" w:hAnsi="宋体"/>
          <w:szCs w:val="24"/>
          <w:lang w:eastAsia="zh-CN"/>
        </w:rPr>
        <w:t>“</w:t>
      </w:r>
      <w:r>
        <w:rPr>
          <w:szCs w:val="24"/>
          <w:lang w:eastAsia="zh-CN"/>
        </w:rPr>
        <w:t>场所变更补充申请</w:t>
      </w:r>
      <w:r>
        <w:rPr>
          <w:rFonts w:ascii="宋体" w:hAnsi="宋体"/>
          <w:szCs w:val="24"/>
          <w:lang w:eastAsia="zh-CN"/>
        </w:rPr>
        <w:t>”</w:t>
      </w:r>
      <w:r>
        <w:rPr>
          <w:szCs w:val="24"/>
          <w:lang w:eastAsia="zh-CN"/>
        </w:rPr>
        <w:t>，并指定在实施变更前是否需要检查。根据行业反馈和FDA的多年经验，FDA对1999年指南草案进行了大量修订和更新，本指南《制造场所变更补充申请：内容和提交》将取代该指南。</w:t>
      </w:r>
    </w:p>
    <w:p w14:paraId="42742DCD">
      <w:pPr>
        <w:snapToGrid/>
        <w:spacing w:before="0" w:beforeLines="0" w:line="240" w:lineRule="auto"/>
        <w:ind w:firstLine="480" w:firstLineChars="200"/>
        <w:jc w:val="both"/>
        <w:rPr>
          <w:szCs w:val="24"/>
          <w:lang w:eastAsia="zh-CN"/>
        </w:rPr>
      </w:pPr>
    </w:p>
    <w:p w14:paraId="52D09110">
      <w:pPr>
        <w:snapToGrid/>
        <w:spacing w:before="0" w:beforeLines="0" w:line="240" w:lineRule="auto"/>
        <w:ind w:firstLine="480" w:firstLineChars="200"/>
        <w:jc w:val="both"/>
        <w:rPr>
          <w:szCs w:val="24"/>
          <w:lang w:eastAsia="zh-CN"/>
        </w:rPr>
      </w:pPr>
      <w:r>
        <w:rPr>
          <w:szCs w:val="24"/>
          <w:lang w:eastAsia="zh-CN"/>
        </w:rPr>
        <w:t>本指南旨在帮助行业决定何时应在PMA场所变更补充申请中提交制造场所变更。该指南还旨在帮助行业预测何时可能需要进行与制造场所变更的PMA补充申请有关的批准前检查，以评价公司对质量体系（QS）法规要求（21 CFR</w:t>
      </w:r>
      <w:r>
        <w:rPr>
          <w:rFonts w:hint="eastAsia"/>
          <w:szCs w:val="24"/>
          <w:lang w:eastAsia="zh-CN"/>
        </w:rPr>
        <w:t xml:space="preserve"> </w:t>
      </w:r>
      <w:r>
        <w:rPr>
          <w:szCs w:val="24"/>
          <w:lang w:eastAsia="zh-CN"/>
        </w:rPr>
        <w:t>820）的执行情况。因此，本指南应帮助企业管理与实施制造场所变更以及任何过程、方法、程序、资格和确认有关的时间范围。无论FDA是否会进行批准前检查，或是否应提交PMA补充申请，III类成品器械的制造商必须遵守适用于其操作的QS法规要求，这些要求参见21 CFR</w:t>
      </w:r>
      <w:r>
        <w:rPr>
          <w:rFonts w:hint="eastAsia"/>
          <w:szCs w:val="24"/>
          <w:lang w:eastAsia="zh-CN"/>
        </w:rPr>
        <w:t xml:space="preserve"> </w:t>
      </w:r>
      <w:r>
        <w:rPr>
          <w:szCs w:val="24"/>
          <w:lang w:eastAsia="zh-CN"/>
        </w:rPr>
        <w:t>820。在使用不同设施或机构制造、加工或包装器械时，通过制定和实施QS流程可以最大限度地减少与制造有关的问题。</w:t>
      </w:r>
    </w:p>
    <w:p w14:paraId="7E0DFA25">
      <w:pPr>
        <w:snapToGrid/>
        <w:spacing w:before="0" w:beforeLines="0" w:line="240" w:lineRule="auto"/>
        <w:ind w:firstLine="480" w:firstLineChars="200"/>
        <w:jc w:val="both"/>
        <w:rPr>
          <w:szCs w:val="24"/>
          <w:lang w:eastAsia="zh-CN"/>
        </w:rPr>
      </w:pPr>
    </w:p>
    <w:p w14:paraId="61BEE103">
      <w:pPr>
        <w:snapToGrid/>
        <w:spacing w:before="0" w:beforeLines="0" w:line="240" w:lineRule="auto"/>
        <w:ind w:firstLine="480" w:firstLineChars="200"/>
        <w:jc w:val="both"/>
        <w:rPr>
          <w:szCs w:val="24"/>
          <w:lang w:eastAsia="zh-CN"/>
        </w:rPr>
      </w:pPr>
      <w:r>
        <w:rPr>
          <w:szCs w:val="24"/>
          <w:lang w:eastAsia="zh-CN"/>
        </w:rPr>
        <w:t>FDA还发布了关于PMA补充申请和30天通知的其他一般指南。在</w:t>
      </w:r>
      <w:r>
        <w:rPr>
          <w:color w:val="0000FF"/>
          <w:szCs w:val="24"/>
          <w:u w:val="single" w:color="0000FF"/>
          <w:lang w:eastAsia="zh-CN"/>
        </w:rPr>
        <w:t>指南《修改须经上市前批准的器械（PMA） - PMA补充申请决策过程-行业和FDA工作人员指南》</w:t>
      </w:r>
      <w:r>
        <w:rPr>
          <w:rStyle w:val="20"/>
          <w:szCs w:val="24"/>
          <w:u w:val="single" w:color="0000FF"/>
          <w:lang w:eastAsia="zh-CN"/>
        </w:rPr>
        <w:footnoteReference w:id="0"/>
      </w:r>
      <w:r>
        <w:rPr>
          <w:szCs w:val="24"/>
          <w:lang w:eastAsia="zh-CN"/>
        </w:rPr>
        <w:t>中，FDA在第G节</w:t>
      </w:r>
      <w:r>
        <w:rPr>
          <w:rFonts w:ascii="宋体" w:hAnsi="宋体"/>
          <w:szCs w:val="24"/>
          <w:lang w:eastAsia="zh-CN"/>
        </w:rPr>
        <w:t>“</w:t>
      </w:r>
      <w:r>
        <w:rPr>
          <w:szCs w:val="24"/>
          <w:lang w:eastAsia="zh-CN"/>
        </w:rPr>
        <w:t>何时提交制造场所变更补充申请</w:t>
      </w:r>
      <w:r>
        <w:rPr>
          <w:rFonts w:ascii="宋体" w:hAnsi="宋体"/>
          <w:szCs w:val="24"/>
          <w:lang w:eastAsia="zh-CN"/>
        </w:rPr>
        <w:t>”</w:t>
      </w:r>
      <w:r>
        <w:rPr>
          <w:szCs w:val="24"/>
          <w:lang w:eastAsia="zh-CN"/>
        </w:rPr>
        <w:t>中讨论到，它计划就制造场所变更补充申请和何时可能发生检查发布单独指南。这份《制造场所变更补充申请：内容和提交》指南是单独指南。</w:t>
      </w:r>
    </w:p>
    <w:p w14:paraId="71C8D298">
      <w:pPr>
        <w:snapToGrid/>
        <w:spacing w:before="0" w:beforeLines="0" w:line="240" w:lineRule="auto"/>
        <w:rPr>
          <w:szCs w:val="24"/>
          <w:lang w:eastAsia="zh-CN"/>
        </w:rPr>
      </w:pPr>
      <w:r>
        <w:rPr>
          <w:szCs w:val="24"/>
          <w:lang w:eastAsia="zh-CN"/>
        </w:rPr>
        <w:br w:type="page"/>
      </w:r>
    </w:p>
    <w:p w14:paraId="4043F912">
      <w:pPr>
        <w:snapToGrid/>
        <w:spacing w:before="0" w:beforeLines="0" w:line="240" w:lineRule="auto"/>
        <w:ind w:firstLine="480" w:firstLineChars="200"/>
        <w:jc w:val="both"/>
        <w:rPr>
          <w:szCs w:val="24"/>
          <w:lang w:eastAsia="zh-CN"/>
        </w:rPr>
      </w:pPr>
      <w:r>
        <w:rPr>
          <w:szCs w:val="24"/>
          <w:lang w:eastAsia="zh-CN"/>
        </w:rPr>
        <w:t>FDA就</w:t>
      </w:r>
      <w:r>
        <w:rPr>
          <w:rFonts w:ascii="宋体" w:hAnsi="宋体"/>
          <w:szCs w:val="24"/>
          <w:lang w:eastAsia="zh-CN"/>
        </w:rPr>
        <w:t>“</w:t>
      </w:r>
      <w:r>
        <w:rPr>
          <w:szCs w:val="24"/>
          <w:lang w:eastAsia="zh-CN"/>
        </w:rPr>
        <w:t>FDA认为可能符合30天通知的变更和通常不符合规定的变更</w:t>
      </w:r>
      <w:r>
        <w:rPr>
          <w:rFonts w:ascii="宋体" w:hAnsi="宋体"/>
          <w:szCs w:val="24"/>
          <w:lang w:eastAsia="zh-CN"/>
        </w:rPr>
        <w:t>”</w:t>
      </w:r>
      <w:r>
        <w:rPr>
          <w:szCs w:val="24"/>
          <w:lang w:eastAsia="zh-CN"/>
        </w:rPr>
        <w:t>发布了</w:t>
      </w:r>
      <w:r>
        <w:rPr>
          <w:color w:val="0000FF"/>
          <w:szCs w:val="24"/>
          <w:u w:val="single" w:color="0000FF"/>
          <w:lang w:eastAsia="zh-CN"/>
        </w:rPr>
        <w:t>《制造方法或过程变更的30天通知、135天上市前批准（PMA）补充申请和75天人道主义器械豁免（HDE）补充申请 - 行业和FDA工作人员指南》</w:t>
      </w:r>
      <w:r>
        <w:rPr>
          <w:rStyle w:val="20"/>
          <w:szCs w:val="24"/>
          <w:u w:val="single" w:color="0000FF"/>
          <w:lang w:eastAsia="zh-CN"/>
        </w:rPr>
        <w:footnoteReference w:id="1"/>
      </w:r>
      <w:r>
        <w:rPr>
          <w:szCs w:val="24"/>
          <w:lang w:eastAsia="zh-CN"/>
        </w:rPr>
        <w:t>。指南包括一个制造程序变更或制造方法变更的说明性清单，当这些变更影响到器械的安全性和有效性时，很可能符合30天通知条件，如</w:t>
      </w:r>
      <w:r>
        <w:rPr>
          <w:rFonts w:ascii="宋体" w:hAnsi="宋体"/>
          <w:szCs w:val="24"/>
          <w:lang w:eastAsia="zh-CN"/>
        </w:rPr>
        <w:t>“</w:t>
      </w:r>
      <w:r>
        <w:rPr>
          <w:szCs w:val="24"/>
          <w:lang w:eastAsia="zh-CN"/>
        </w:rPr>
        <w:t>在现有制造空间中增加一个新洁净室的变更</w:t>
      </w:r>
      <w:r>
        <w:rPr>
          <w:rFonts w:ascii="宋体" w:hAnsi="宋体"/>
          <w:szCs w:val="24"/>
          <w:lang w:eastAsia="zh-CN"/>
        </w:rPr>
        <w:t>”</w:t>
      </w:r>
      <w:r>
        <w:rPr>
          <w:szCs w:val="24"/>
          <w:lang w:eastAsia="zh-CN"/>
        </w:rPr>
        <w:t>。该清单还表明30天通知可能适用于制造设施内的配方室转移。该指南解释称：</w:t>
      </w:r>
      <w:r>
        <w:rPr>
          <w:rFonts w:ascii="宋体" w:hAnsi="宋体"/>
          <w:szCs w:val="24"/>
          <w:lang w:eastAsia="zh-CN"/>
        </w:rPr>
        <w:t>“</w:t>
      </w:r>
      <w:r>
        <w:rPr>
          <w:szCs w:val="24"/>
          <w:lang w:eastAsia="zh-CN"/>
        </w:rPr>
        <w:t>现有制造空间可包括新建空间或建筑物</w:t>
      </w:r>
      <w:r>
        <w:rPr>
          <w:rFonts w:ascii="宋体" w:hAnsi="宋体"/>
          <w:szCs w:val="24"/>
          <w:lang w:eastAsia="zh-CN"/>
        </w:rPr>
        <w:t>”</w:t>
      </w:r>
      <w:r>
        <w:rPr>
          <w:szCs w:val="24"/>
          <w:lang w:eastAsia="zh-CN"/>
        </w:rPr>
        <w:t>，只要将它们纳入一个</w:t>
      </w:r>
      <w:r>
        <w:rPr>
          <w:rFonts w:hint="eastAsia"/>
          <w:szCs w:val="24"/>
          <w:lang w:eastAsia="zh-CN"/>
        </w:rPr>
        <w:t>公司机构标识符（</w:t>
      </w:r>
      <w:r>
        <w:rPr>
          <w:szCs w:val="24"/>
          <w:lang w:eastAsia="zh-CN"/>
        </w:rPr>
        <w:t>FEI</w:t>
      </w:r>
      <w:r>
        <w:rPr>
          <w:rFonts w:hint="eastAsia"/>
          <w:szCs w:val="24"/>
          <w:lang w:eastAsia="zh-CN"/>
        </w:rPr>
        <w:t>）</w:t>
      </w:r>
      <w:r>
        <w:rPr>
          <w:szCs w:val="24"/>
          <w:lang w:eastAsia="zh-CN"/>
        </w:rPr>
        <w:t>中。该指南还包括FDA认为不符合作为30天通知提交申请的变更示例，如</w:t>
      </w:r>
      <w:r>
        <w:rPr>
          <w:rFonts w:ascii="宋体" w:hAnsi="宋体"/>
          <w:szCs w:val="24"/>
          <w:lang w:eastAsia="zh-CN"/>
        </w:rPr>
        <w:t>“</w:t>
      </w:r>
      <w:r>
        <w:rPr>
          <w:szCs w:val="24"/>
          <w:lang w:eastAsia="zh-CN"/>
        </w:rPr>
        <w:t>变更成品器械……制造/灭菌场所。</w:t>
      </w:r>
      <w:r>
        <w:rPr>
          <w:rFonts w:ascii="宋体" w:hAnsi="宋体"/>
          <w:szCs w:val="24"/>
        </w:rPr>
        <w:t>”</w:t>
      </w:r>
    </w:p>
    <w:p w14:paraId="7DB93841">
      <w:pPr>
        <w:snapToGrid/>
        <w:spacing w:before="0" w:beforeLines="0" w:line="240" w:lineRule="auto"/>
        <w:ind w:firstLine="480" w:firstLineChars="200"/>
        <w:jc w:val="both"/>
        <w:rPr>
          <w:szCs w:val="24"/>
          <w:lang w:eastAsia="zh-CN"/>
        </w:rPr>
      </w:pPr>
    </w:p>
    <w:p w14:paraId="0AB6F817">
      <w:pPr>
        <w:pStyle w:val="23"/>
        <w:numPr>
          <w:ilvl w:val="0"/>
          <w:numId w:val="1"/>
        </w:numPr>
        <w:tabs>
          <w:tab w:val="left" w:pos="1240"/>
        </w:tabs>
        <w:ind w:left="643" w:hanging="643" w:hangingChars="200"/>
        <w:jc w:val="both"/>
        <w:outlineLvl w:val="0"/>
        <w:rPr>
          <w:rFonts w:ascii="Times New Roman" w:hAnsi="Times New Roman" w:eastAsia="宋体" w:cs="Times New Roman"/>
          <w:b/>
          <w:sz w:val="32"/>
          <w:szCs w:val="32"/>
        </w:rPr>
      </w:pPr>
      <w:bookmarkStart w:id="2" w:name="_Toc97374580"/>
      <w:r>
        <w:rPr>
          <w:rFonts w:ascii="Times New Roman" w:hAnsi="Times New Roman" w:eastAsia="宋体" w:cs="Times New Roman"/>
          <w:b/>
          <w:sz w:val="32"/>
          <w:szCs w:val="32"/>
        </w:rPr>
        <w:t>范围</w:t>
      </w:r>
      <w:bookmarkEnd w:id="2"/>
    </w:p>
    <w:p w14:paraId="285847F3">
      <w:pPr>
        <w:snapToGrid/>
        <w:spacing w:before="0" w:beforeLines="0" w:line="240" w:lineRule="auto"/>
        <w:ind w:firstLine="480" w:firstLineChars="200"/>
        <w:jc w:val="both"/>
        <w:rPr>
          <w:szCs w:val="24"/>
          <w:lang w:eastAsia="zh-CN"/>
        </w:rPr>
      </w:pPr>
      <w:r>
        <w:rPr>
          <w:szCs w:val="24"/>
          <w:lang w:eastAsia="zh-CN"/>
        </w:rPr>
        <w:t>本指南文件描述了建议遵循的决策步骤，以确定当预期变更已获批PMA的合法上市器械的制造场所（包括处理变更、包装变更或灭菌场所变更）时，是否应提交PMA补充申请。本指南还讨论了FDA预期考虑的一般因素，以确定在批准PMA补充申请之前是否有必要进行批准前检查。</w:t>
      </w:r>
    </w:p>
    <w:p w14:paraId="00A2450B">
      <w:pPr>
        <w:snapToGrid/>
        <w:spacing w:before="0" w:beforeLines="0" w:line="240" w:lineRule="auto"/>
        <w:ind w:firstLine="480" w:firstLineChars="200"/>
        <w:jc w:val="both"/>
        <w:rPr>
          <w:szCs w:val="24"/>
          <w:lang w:eastAsia="zh-CN"/>
        </w:rPr>
      </w:pPr>
    </w:p>
    <w:p w14:paraId="5DCCF497">
      <w:pPr>
        <w:snapToGrid/>
        <w:spacing w:before="0" w:beforeLines="0" w:line="240" w:lineRule="auto"/>
        <w:ind w:firstLine="480" w:firstLineChars="200"/>
        <w:jc w:val="both"/>
        <w:rPr>
          <w:szCs w:val="24"/>
          <w:lang w:eastAsia="zh-CN"/>
        </w:rPr>
      </w:pPr>
      <w:r>
        <w:rPr>
          <w:szCs w:val="24"/>
          <w:lang w:eastAsia="zh-CN"/>
        </w:rPr>
        <w:t>本指南文件描述了应在PMA制造场所变更补充申请中提交制造场所变更的情况。关于哪些变更适合通过其他类型的PMA申请进行报告的指南，请参见第VI节</w:t>
      </w:r>
      <w:r>
        <w:rPr>
          <w:rFonts w:ascii="宋体" w:hAnsi="宋体"/>
          <w:szCs w:val="24"/>
          <w:lang w:eastAsia="zh-CN"/>
        </w:rPr>
        <w:t>“</w:t>
      </w:r>
      <w:r>
        <w:rPr>
          <w:szCs w:val="24"/>
          <w:lang w:eastAsia="zh-CN"/>
        </w:rPr>
        <w:t>资源</w:t>
      </w:r>
      <w:r>
        <w:rPr>
          <w:rFonts w:ascii="宋体" w:hAnsi="宋体"/>
          <w:szCs w:val="24"/>
          <w:lang w:eastAsia="zh-CN"/>
        </w:rPr>
        <w:t>”</w:t>
      </w:r>
      <w:r>
        <w:rPr>
          <w:szCs w:val="24"/>
          <w:lang w:eastAsia="zh-CN"/>
        </w:rPr>
        <w:t>中列出的具体指南文件。</w:t>
      </w:r>
    </w:p>
    <w:p w14:paraId="6C3F5C62">
      <w:pPr>
        <w:snapToGrid/>
        <w:spacing w:before="0" w:beforeLines="0" w:line="240" w:lineRule="auto"/>
        <w:ind w:firstLine="480" w:firstLineChars="200"/>
        <w:jc w:val="both"/>
        <w:rPr>
          <w:szCs w:val="24"/>
          <w:lang w:eastAsia="zh-CN"/>
        </w:rPr>
      </w:pPr>
    </w:p>
    <w:p w14:paraId="1AD0315B">
      <w:pPr>
        <w:snapToGrid/>
        <w:spacing w:before="0" w:beforeLines="0" w:line="240" w:lineRule="auto"/>
        <w:ind w:firstLine="480" w:firstLineChars="200"/>
        <w:jc w:val="both"/>
        <w:rPr>
          <w:szCs w:val="24"/>
          <w:lang w:eastAsia="zh-CN"/>
        </w:rPr>
      </w:pPr>
      <w:r>
        <w:rPr>
          <w:szCs w:val="24"/>
          <w:lang w:eastAsia="zh-CN"/>
        </w:rPr>
        <w:t>请注意，本指南仅适用于拥有已获批PMA、产品开发方案或人道主义器械豁免（HDE）的器械制造商。本指南不涉及根据上市前通知（510(k)）申请批准的器械、通过重新分类途径获得上市前许可的器械、或作为试验用器械豁免（IDE）的一部分批准和分销的器械的制造场所变更。</w:t>
      </w:r>
    </w:p>
    <w:p w14:paraId="40022422">
      <w:pPr>
        <w:snapToGrid/>
        <w:spacing w:before="0" w:beforeLines="0" w:line="240" w:lineRule="auto"/>
        <w:jc w:val="both"/>
        <w:rPr>
          <w:szCs w:val="24"/>
          <w:lang w:eastAsia="zh-CN"/>
        </w:rPr>
      </w:pPr>
    </w:p>
    <w:p w14:paraId="2D310F69">
      <w:pPr>
        <w:snapToGrid/>
        <w:spacing w:before="0" w:beforeLines="0" w:line="240" w:lineRule="auto"/>
        <w:jc w:val="both"/>
        <w:rPr>
          <w:szCs w:val="24"/>
          <w:lang w:eastAsia="zh-CN"/>
        </w:rPr>
      </w:pPr>
    </w:p>
    <w:p w14:paraId="4E28E791">
      <w:pPr>
        <w:snapToGrid/>
        <w:spacing w:before="0" w:beforeLines="0" w:line="240" w:lineRule="auto"/>
        <w:jc w:val="both"/>
        <w:rPr>
          <w:szCs w:val="24"/>
          <w:lang w:eastAsia="zh-CN"/>
        </w:rPr>
      </w:pPr>
    </w:p>
    <w:p w14:paraId="23BAD1DD">
      <w:pPr>
        <w:snapToGrid/>
        <w:spacing w:before="0" w:beforeLines="0" w:line="240" w:lineRule="auto"/>
        <w:jc w:val="both"/>
        <w:rPr>
          <w:szCs w:val="24"/>
          <w:lang w:eastAsia="zh-CN"/>
        </w:rPr>
      </w:pPr>
    </w:p>
    <w:p w14:paraId="69D9B3A5">
      <w:pPr>
        <w:snapToGrid/>
        <w:spacing w:before="0" w:beforeLines="0" w:line="240" w:lineRule="auto"/>
        <w:rPr>
          <w:szCs w:val="24"/>
          <w:lang w:eastAsia="zh-CN"/>
        </w:rPr>
      </w:pPr>
      <w:r>
        <w:rPr>
          <w:szCs w:val="24"/>
          <w:lang w:eastAsia="zh-CN"/>
        </w:rPr>
        <w:br w:type="page"/>
      </w:r>
    </w:p>
    <w:p w14:paraId="5FCDA019">
      <w:pPr>
        <w:snapToGrid/>
        <w:spacing w:before="0" w:beforeLines="0" w:line="240" w:lineRule="auto"/>
        <w:ind w:firstLine="480" w:firstLineChars="200"/>
        <w:jc w:val="both"/>
        <w:rPr>
          <w:szCs w:val="24"/>
          <w:lang w:eastAsia="zh-CN"/>
        </w:rPr>
      </w:pPr>
      <w:r>
        <w:rPr>
          <w:szCs w:val="24"/>
          <w:lang w:eastAsia="zh-CN"/>
        </w:rPr>
        <w:t>本指南使用术语</w:t>
      </w:r>
      <w:r>
        <w:rPr>
          <w:rFonts w:ascii="宋体" w:hAnsi="宋体"/>
          <w:szCs w:val="24"/>
          <w:lang w:eastAsia="zh-CN"/>
        </w:rPr>
        <w:t>“</w:t>
      </w:r>
      <w:r>
        <w:rPr>
          <w:szCs w:val="24"/>
          <w:lang w:eastAsia="zh-CN"/>
        </w:rPr>
        <w:t>场所</w:t>
      </w:r>
      <w:r>
        <w:rPr>
          <w:rFonts w:ascii="宋体" w:hAnsi="宋体"/>
          <w:szCs w:val="24"/>
          <w:lang w:eastAsia="zh-CN"/>
        </w:rPr>
        <w:t>”</w:t>
      </w:r>
      <w:r>
        <w:rPr>
          <w:szCs w:val="24"/>
          <w:lang w:eastAsia="zh-CN"/>
        </w:rPr>
        <w:t>以涵盖机构和设施。21 CFR</w:t>
      </w:r>
      <w:r>
        <w:rPr>
          <w:rFonts w:hint="eastAsia"/>
          <w:szCs w:val="24"/>
          <w:lang w:eastAsia="zh-CN"/>
        </w:rPr>
        <w:t xml:space="preserve"> </w:t>
      </w:r>
      <w:r>
        <w:rPr>
          <w:szCs w:val="24"/>
          <w:lang w:eastAsia="zh-CN"/>
        </w:rPr>
        <w:t>814中未定义</w:t>
      </w:r>
      <w:r>
        <w:rPr>
          <w:rFonts w:ascii="宋体" w:hAnsi="宋体"/>
          <w:szCs w:val="24"/>
          <w:lang w:eastAsia="zh-CN"/>
        </w:rPr>
        <w:t>“</w:t>
      </w:r>
      <w:r>
        <w:rPr>
          <w:szCs w:val="24"/>
          <w:lang w:eastAsia="zh-CN"/>
        </w:rPr>
        <w:t>机构</w:t>
      </w:r>
      <w:r>
        <w:rPr>
          <w:rFonts w:ascii="宋体" w:hAnsi="宋体"/>
          <w:szCs w:val="24"/>
          <w:lang w:eastAsia="zh-CN"/>
        </w:rPr>
        <w:t>”</w:t>
      </w:r>
      <w:r>
        <w:rPr>
          <w:szCs w:val="24"/>
          <w:lang w:eastAsia="zh-CN"/>
        </w:rPr>
        <w:t>和</w:t>
      </w:r>
      <w:r>
        <w:rPr>
          <w:rFonts w:ascii="宋体" w:hAnsi="宋体"/>
          <w:szCs w:val="24"/>
          <w:lang w:eastAsia="zh-CN"/>
        </w:rPr>
        <w:t>“</w:t>
      </w:r>
      <w:r>
        <w:rPr>
          <w:szCs w:val="24"/>
          <w:lang w:eastAsia="zh-CN"/>
        </w:rPr>
        <w:t>设施</w:t>
      </w:r>
      <w:r>
        <w:rPr>
          <w:rFonts w:ascii="宋体" w:hAnsi="宋体"/>
          <w:szCs w:val="24"/>
          <w:lang w:eastAsia="zh-CN"/>
        </w:rPr>
        <w:t>”</w:t>
      </w:r>
      <w:r>
        <w:rPr>
          <w:szCs w:val="24"/>
          <w:lang w:eastAsia="zh-CN"/>
        </w:rPr>
        <w:t>。在本指南中，FDA使用21 CFR 807.3(c)中定义的术语</w:t>
      </w:r>
      <w:r>
        <w:rPr>
          <w:rFonts w:ascii="宋体" w:hAnsi="宋体"/>
          <w:szCs w:val="24"/>
          <w:lang w:eastAsia="zh-CN"/>
        </w:rPr>
        <w:t>“</w:t>
      </w:r>
      <w:r>
        <w:rPr>
          <w:szCs w:val="24"/>
          <w:lang w:eastAsia="zh-CN"/>
        </w:rPr>
        <w:t>机构</w:t>
      </w:r>
      <w:r>
        <w:rPr>
          <w:rFonts w:ascii="宋体" w:hAnsi="宋体"/>
          <w:szCs w:val="24"/>
          <w:lang w:eastAsia="zh-CN"/>
        </w:rPr>
        <w:t>”</w:t>
      </w:r>
      <w:r>
        <w:rPr>
          <w:szCs w:val="24"/>
          <w:lang w:eastAsia="zh-CN"/>
        </w:rPr>
        <w:t>，即位于单一地理位置并在统一管理之下进行医疗器械制造、组装或其他处理的业务地点。在本指南中，FDA将术语</w:t>
      </w:r>
      <w:r>
        <w:rPr>
          <w:rFonts w:ascii="宋体" w:hAnsi="宋体"/>
          <w:szCs w:val="24"/>
          <w:lang w:eastAsia="zh-CN"/>
        </w:rPr>
        <w:t>“</w:t>
      </w:r>
      <w:r>
        <w:rPr>
          <w:szCs w:val="24"/>
          <w:lang w:eastAsia="zh-CN"/>
        </w:rPr>
        <w:t>设施</w:t>
      </w:r>
      <w:r>
        <w:rPr>
          <w:rFonts w:ascii="宋体" w:hAnsi="宋体"/>
          <w:szCs w:val="24"/>
          <w:lang w:eastAsia="zh-CN"/>
        </w:rPr>
        <w:t>”</w:t>
      </w:r>
      <w:r>
        <w:rPr>
          <w:szCs w:val="24"/>
          <w:lang w:eastAsia="zh-CN"/>
        </w:rPr>
        <w:t>定义为</w:t>
      </w:r>
      <w:r>
        <w:rPr>
          <w:rFonts w:ascii="宋体" w:hAnsi="宋体"/>
          <w:szCs w:val="24"/>
          <w:lang w:eastAsia="zh-CN"/>
        </w:rPr>
        <w:t>“</w:t>
      </w:r>
      <w:r>
        <w:rPr>
          <w:szCs w:val="24"/>
          <w:lang w:eastAsia="zh-CN"/>
        </w:rPr>
        <w:t>机构</w:t>
      </w:r>
      <w:r>
        <w:rPr>
          <w:rFonts w:ascii="宋体" w:hAnsi="宋体"/>
          <w:szCs w:val="24"/>
          <w:lang w:eastAsia="zh-CN"/>
        </w:rPr>
        <w:t>”</w:t>
      </w:r>
      <w:r>
        <w:rPr>
          <w:szCs w:val="24"/>
          <w:lang w:eastAsia="zh-CN"/>
        </w:rPr>
        <w:t>内的物理结构或建筑物。</w:t>
      </w:r>
    </w:p>
    <w:p w14:paraId="0BFA6A70">
      <w:pPr>
        <w:snapToGrid/>
        <w:spacing w:before="0" w:beforeLines="0" w:line="240" w:lineRule="auto"/>
        <w:ind w:firstLine="480" w:firstLineChars="200"/>
        <w:jc w:val="both"/>
        <w:rPr>
          <w:szCs w:val="24"/>
          <w:lang w:eastAsia="zh-CN"/>
        </w:rPr>
      </w:pPr>
    </w:p>
    <w:p w14:paraId="6E83D325">
      <w:pPr>
        <w:pStyle w:val="23"/>
        <w:numPr>
          <w:ilvl w:val="0"/>
          <w:numId w:val="1"/>
        </w:numPr>
        <w:tabs>
          <w:tab w:val="left" w:pos="1240"/>
        </w:tabs>
        <w:ind w:left="643" w:hanging="643" w:hangingChars="200"/>
        <w:jc w:val="both"/>
        <w:outlineLvl w:val="0"/>
        <w:rPr>
          <w:rFonts w:ascii="Times New Roman" w:hAnsi="Times New Roman" w:eastAsia="宋体" w:cs="Times New Roman"/>
          <w:b/>
          <w:sz w:val="32"/>
          <w:szCs w:val="32"/>
        </w:rPr>
      </w:pPr>
      <w:bookmarkStart w:id="3" w:name="_Toc97374581"/>
      <w:r>
        <w:rPr>
          <w:rFonts w:ascii="Times New Roman" w:hAnsi="Times New Roman" w:eastAsia="宋体" w:cs="Times New Roman"/>
          <w:b/>
          <w:sz w:val="32"/>
          <w:szCs w:val="32"/>
        </w:rPr>
        <w:t>定义</w:t>
      </w:r>
      <w:bookmarkEnd w:id="3"/>
    </w:p>
    <w:p w14:paraId="52481A24">
      <w:pPr>
        <w:snapToGrid/>
        <w:spacing w:before="0" w:beforeLines="0" w:line="240" w:lineRule="auto"/>
        <w:ind w:firstLine="480" w:firstLineChars="200"/>
        <w:jc w:val="both"/>
        <w:rPr>
          <w:szCs w:val="24"/>
          <w:lang w:eastAsia="zh-CN"/>
        </w:rPr>
      </w:pPr>
      <w:r>
        <w:rPr>
          <w:szCs w:val="24"/>
          <w:lang w:eastAsia="zh-CN"/>
        </w:rPr>
        <w:t>除非另有说明，否则以下术语仅在本指南中定义如下。</w:t>
      </w:r>
    </w:p>
    <w:p w14:paraId="55C80DF1">
      <w:pPr>
        <w:tabs>
          <w:tab w:val="left" w:pos="959"/>
          <w:tab w:val="left" w:pos="960"/>
        </w:tabs>
        <w:snapToGrid/>
        <w:spacing w:before="0" w:beforeLines="0" w:line="240" w:lineRule="auto"/>
        <w:ind w:left="714"/>
        <w:jc w:val="both"/>
        <w:rPr>
          <w:szCs w:val="24"/>
          <w:lang w:eastAsia="zh-CN"/>
        </w:rPr>
      </w:pPr>
    </w:p>
    <w:p w14:paraId="331FBFE7">
      <w:pPr>
        <w:numPr>
          <w:ilvl w:val="0"/>
          <w:numId w:val="3"/>
        </w:numPr>
        <w:tabs>
          <w:tab w:val="left" w:pos="959"/>
          <w:tab w:val="left" w:pos="960"/>
        </w:tabs>
        <w:snapToGrid/>
        <w:spacing w:before="0" w:beforeLines="0" w:line="240" w:lineRule="auto"/>
        <w:ind w:left="714" w:hanging="357"/>
        <w:jc w:val="both"/>
        <w:rPr>
          <w:szCs w:val="24"/>
          <w:lang w:eastAsia="zh-CN"/>
        </w:rPr>
      </w:pPr>
      <w:r>
        <w:rPr>
          <w:b/>
          <w:szCs w:val="24"/>
          <w:lang w:eastAsia="zh-CN"/>
        </w:rPr>
        <w:t>组件</w:t>
      </w:r>
      <w:r>
        <w:rPr>
          <w:szCs w:val="24"/>
          <w:lang w:eastAsia="zh-CN"/>
        </w:rPr>
        <w:t>：医疗器械组件是预期纳入</w:t>
      </w:r>
      <w:r>
        <w:rPr>
          <w:rFonts w:hint="eastAsia"/>
          <w:szCs w:val="24"/>
          <w:lang w:eastAsia="zh-CN"/>
        </w:rPr>
        <w:t>经</w:t>
      </w:r>
      <w:r>
        <w:rPr>
          <w:szCs w:val="24"/>
          <w:lang w:eastAsia="zh-CN"/>
        </w:rPr>
        <w:t>包装并贴标的成品器械的一部分的任何原材料、物质、</w:t>
      </w:r>
      <w:r>
        <w:rPr>
          <w:rFonts w:hint="eastAsia"/>
          <w:szCs w:val="24"/>
          <w:lang w:eastAsia="zh-CN"/>
        </w:rPr>
        <w:t>零件</w:t>
      </w:r>
      <w:r>
        <w:rPr>
          <w:szCs w:val="24"/>
          <w:lang w:eastAsia="zh-CN"/>
        </w:rPr>
        <w:t>、</w:t>
      </w:r>
      <w:r>
        <w:rPr>
          <w:rFonts w:hint="eastAsia"/>
          <w:szCs w:val="24"/>
          <w:lang w:eastAsia="zh-CN"/>
        </w:rPr>
        <w:t>部件</w:t>
      </w:r>
      <w:r>
        <w:rPr>
          <w:szCs w:val="24"/>
          <w:lang w:eastAsia="zh-CN"/>
        </w:rPr>
        <w:t>、软件、固件、标签或装配件。（21 CFR 820.3(c)）医疗器械组件视为成品医疗器械的不完整部分。此外，组件不单独分销（即不单独出售或提供）给消费者/终端用户，仅出售给制造商以纳入成品医疗器械中。</w:t>
      </w:r>
    </w:p>
    <w:p w14:paraId="76CBC2F8">
      <w:pPr>
        <w:tabs>
          <w:tab w:val="left" w:pos="959"/>
          <w:tab w:val="left" w:pos="960"/>
        </w:tabs>
        <w:snapToGrid/>
        <w:spacing w:before="0" w:beforeLines="0" w:line="240" w:lineRule="auto"/>
        <w:ind w:left="714"/>
        <w:jc w:val="both"/>
        <w:rPr>
          <w:szCs w:val="24"/>
          <w:lang w:eastAsia="zh-CN"/>
        </w:rPr>
      </w:pPr>
    </w:p>
    <w:p w14:paraId="6411DF2D">
      <w:pPr>
        <w:numPr>
          <w:ilvl w:val="0"/>
          <w:numId w:val="3"/>
        </w:numPr>
        <w:tabs>
          <w:tab w:val="left" w:pos="959"/>
          <w:tab w:val="left" w:pos="960"/>
        </w:tabs>
        <w:snapToGrid/>
        <w:spacing w:before="0" w:beforeLines="0" w:line="240" w:lineRule="auto"/>
        <w:ind w:left="714" w:hanging="357"/>
        <w:jc w:val="both"/>
        <w:rPr>
          <w:szCs w:val="24"/>
          <w:lang w:eastAsia="zh-CN"/>
        </w:rPr>
      </w:pPr>
      <w:r>
        <w:rPr>
          <w:b/>
          <w:szCs w:val="24"/>
          <w:lang w:eastAsia="zh-CN"/>
        </w:rPr>
        <w:t>机构</w:t>
      </w:r>
      <w:r>
        <w:rPr>
          <w:szCs w:val="24"/>
          <w:lang w:eastAsia="zh-CN"/>
        </w:rPr>
        <w:t>：位于单一地理位置并在统一管理之下进行医疗器械制造、组装或其他处理的业务地点（21 CFR 807.3(c)）。</w:t>
      </w:r>
    </w:p>
    <w:p w14:paraId="02039DEE">
      <w:pPr>
        <w:tabs>
          <w:tab w:val="left" w:pos="959"/>
          <w:tab w:val="left" w:pos="960"/>
        </w:tabs>
        <w:snapToGrid/>
        <w:spacing w:before="0" w:beforeLines="0" w:line="240" w:lineRule="auto"/>
        <w:ind w:left="714"/>
        <w:jc w:val="both"/>
        <w:rPr>
          <w:szCs w:val="24"/>
          <w:lang w:eastAsia="zh-CN"/>
        </w:rPr>
      </w:pPr>
    </w:p>
    <w:p w14:paraId="1CABAE85">
      <w:pPr>
        <w:numPr>
          <w:ilvl w:val="0"/>
          <w:numId w:val="3"/>
        </w:numPr>
        <w:tabs>
          <w:tab w:val="left" w:pos="959"/>
          <w:tab w:val="left" w:pos="960"/>
        </w:tabs>
        <w:snapToGrid/>
        <w:spacing w:before="0" w:beforeLines="0" w:line="240" w:lineRule="auto"/>
        <w:ind w:left="714" w:hanging="357"/>
        <w:jc w:val="both"/>
        <w:rPr>
          <w:szCs w:val="24"/>
          <w:lang w:eastAsia="zh-CN"/>
        </w:rPr>
      </w:pPr>
      <w:r>
        <w:rPr>
          <w:b/>
          <w:szCs w:val="24"/>
          <w:lang w:eastAsia="zh-CN"/>
        </w:rPr>
        <w:t>设施</w:t>
      </w:r>
      <w:r>
        <w:rPr>
          <w:szCs w:val="24"/>
          <w:lang w:eastAsia="zh-CN"/>
        </w:rPr>
        <w:t>：单个机构内的物理结构或建筑物。</w:t>
      </w:r>
    </w:p>
    <w:p w14:paraId="5FCE746C">
      <w:pPr>
        <w:tabs>
          <w:tab w:val="left" w:pos="959"/>
          <w:tab w:val="left" w:pos="960"/>
        </w:tabs>
        <w:snapToGrid/>
        <w:spacing w:before="0" w:beforeLines="0" w:line="240" w:lineRule="auto"/>
        <w:ind w:left="714"/>
        <w:jc w:val="both"/>
        <w:rPr>
          <w:szCs w:val="24"/>
          <w:lang w:eastAsia="zh-CN"/>
        </w:rPr>
      </w:pPr>
    </w:p>
    <w:p w14:paraId="0152F0BF">
      <w:pPr>
        <w:numPr>
          <w:ilvl w:val="0"/>
          <w:numId w:val="3"/>
        </w:numPr>
        <w:tabs>
          <w:tab w:val="left" w:pos="959"/>
          <w:tab w:val="left" w:pos="960"/>
        </w:tabs>
        <w:snapToGrid/>
        <w:spacing w:before="0" w:beforeLines="0" w:line="240" w:lineRule="auto"/>
        <w:ind w:left="714" w:hanging="357"/>
        <w:jc w:val="both"/>
        <w:rPr>
          <w:szCs w:val="24"/>
          <w:lang w:eastAsia="zh-CN"/>
        </w:rPr>
      </w:pPr>
      <w:r>
        <w:rPr>
          <w:b/>
          <w:szCs w:val="24"/>
          <w:lang w:eastAsia="zh-CN"/>
        </w:rPr>
        <w:t>FDA机构标识符（FEI）：</w:t>
      </w:r>
      <w:r>
        <w:rPr>
          <w:rStyle w:val="20"/>
          <w:b/>
          <w:szCs w:val="24"/>
          <w:lang w:eastAsia="zh-CN"/>
        </w:rPr>
        <w:footnoteReference w:id="2"/>
      </w:r>
      <w:r>
        <w:rPr>
          <w:szCs w:val="24"/>
          <w:lang w:eastAsia="zh-CN"/>
        </w:rPr>
        <w:t>FDA用于识别注册机构的号码。每个从事受FDA管辖活动的企业或实体通常被分配一个唯一FEI。自2000年起，FEI的发布量已达10位数。</w:t>
      </w:r>
    </w:p>
    <w:p w14:paraId="0E553F96">
      <w:pPr>
        <w:tabs>
          <w:tab w:val="left" w:pos="959"/>
          <w:tab w:val="left" w:pos="960"/>
        </w:tabs>
        <w:snapToGrid/>
        <w:spacing w:before="0" w:beforeLines="0" w:line="240" w:lineRule="auto"/>
        <w:ind w:left="714"/>
        <w:jc w:val="both"/>
        <w:rPr>
          <w:szCs w:val="24"/>
          <w:lang w:eastAsia="zh-CN"/>
        </w:rPr>
      </w:pPr>
    </w:p>
    <w:p w14:paraId="65EA8D5A">
      <w:pPr>
        <w:numPr>
          <w:ilvl w:val="0"/>
          <w:numId w:val="3"/>
        </w:numPr>
        <w:tabs>
          <w:tab w:val="left" w:pos="959"/>
          <w:tab w:val="left" w:pos="960"/>
        </w:tabs>
        <w:snapToGrid/>
        <w:spacing w:before="0" w:beforeLines="0" w:line="240" w:lineRule="auto"/>
        <w:ind w:left="714" w:hanging="357"/>
        <w:jc w:val="both"/>
        <w:rPr>
          <w:szCs w:val="24"/>
          <w:lang w:eastAsia="zh-CN"/>
        </w:rPr>
      </w:pPr>
      <w:r>
        <w:rPr>
          <w:b/>
          <w:szCs w:val="24"/>
          <w:lang w:eastAsia="zh-CN"/>
        </w:rPr>
        <w:t>成品器械</w:t>
      </w:r>
      <w:r>
        <w:rPr>
          <w:szCs w:val="24"/>
          <w:lang w:eastAsia="zh-CN"/>
        </w:rPr>
        <w:t>：不论是否经包装、贴标或灭菌，能够进行使用或运作的任何器械或任何器械附件。（21 CFR 820.3(</w:t>
      </w:r>
      <w:r>
        <w:rPr>
          <w:rFonts w:hint="eastAsia"/>
          <w:szCs w:val="24"/>
          <w:lang w:eastAsia="zh-CN"/>
        </w:rPr>
        <w:t>1</w:t>
      </w:r>
      <w:r>
        <w:rPr>
          <w:szCs w:val="24"/>
          <w:lang w:eastAsia="zh-CN"/>
        </w:rPr>
        <w:t>)）有关附件的其他信息，可参见指南</w:t>
      </w:r>
      <w:r>
        <w:fldChar w:fldCharType="begin"/>
      </w:r>
      <w:r>
        <w:instrText xml:space="preserve"> HYPERLINK "https://www.fda.gov/MedicalDevices/DeviceRegulationandGuidance/GuidanceDocuments/UCM429672" \h </w:instrText>
      </w:r>
      <w:r>
        <w:fldChar w:fldCharType="separate"/>
      </w:r>
      <w:r>
        <w:rPr>
          <w:color w:val="0000FF"/>
          <w:szCs w:val="24"/>
          <w:u w:val="single" w:color="0000FF"/>
          <w:lang w:eastAsia="zh-CN"/>
        </w:rPr>
        <w:t>《医疗器械附件-描述附件和分类途径》</w:t>
      </w:r>
      <w:r>
        <w:rPr>
          <w:color w:val="0000FF"/>
          <w:szCs w:val="24"/>
          <w:u w:val="single" w:color="0000FF"/>
          <w:lang w:eastAsia="zh-CN"/>
        </w:rPr>
        <w:fldChar w:fldCharType="end"/>
      </w:r>
      <w:r>
        <w:rPr>
          <w:rStyle w:val="20"/>
          <w:color w:val="303030"/>
          <w:szCs w:val="24"/>
          <w:lang w:eastAsia="zh-CN"/>
        </w:rPr>
        <w:footnoteReference w:id="3"/>
      </w:r>
      <w:r>
        <w:rPr>
          <w:color w:val="303030"/>
          <w:szCs w:val="24"/>
          <w:lang w:eastAsia="zh-CN"/>
        </w:rPr>
        <w:t>。</w:t>
      </w:r>
    </w:p>
    <w:p w14:paraId="77751AA1">
      <w:pPr>
        <w:tabs>
          <w:tab w:val="left" w:pos="959"/>
          <w:tab w:val="left" w:pos="960"/>
        </w:tabs>
        <w:snapToGrid/>
        <w:spacing w:before="0" w:beforeLines="0" w:line="240" w:lineRule="auto"/>
        <w:ind w:left="714"/>
        <w:jc w:val="both"/>
        <w:rPr>
          <w:szCs w:val="24"/>
          <w:lang w:eastAsia="zh-CN"/>
        </w:rPr>
      </w:pPr>
    </w:p>
    <w:p w14:paraId="723D97DA">
      <w:pPr>
        <w:numPr>
          <w:ilvl w:val="0"/>
          <w:numId w:val="3"/>
        </w:numPr>
        <w:tabs>
          <w:tab w:val="left" w:pos="959"/>
          <w:tab w:val="left" w:pos="960"/>
        </w:tabs>
        <w:snapToGrid/>
        <w:spacing w:before="0" w:beforeLines="0" w:line="240" w:lineRule="auto"/>
        <w:ind w:left="714" w:hanging="357"/>
        <w:jc w:val="both"/>
        <w:rPr>
          <w:szCs w:val="24"/>
          <w:lang w:eastAsia="zh-CN"/>
        </w:rPr>
      </w:pPr>
      <w:r>
        <w:rPr>
          <w:b/>
          <w:szCs w:val="24"/>
          <w:lang w:eastAsia="zh-CN"/>
        </w:rPr>
        <w:t>制造场所</w:t>
      </w:r>
      <w:r>
        <w:rPr>
          <w:szCs w:val="24"/>
          <w:lang w:eastAsia="zh-CN"/>
        </w:rPr>
        <w:t>：用于制造、处理或包装成品器械（包括任何成品器械的附件）的设施或机构。</w:t>
      </w:r>
    </w:p>
    <w:p w14:paraId="628B9B15">
      <w:pPr>
        <w:tabs>
          <w:tab w:val="left" w:pos="959"/>
          <w:tab w:val="left" w:pos="960"/>
        </w:tabs>
        <w:snapToGrid/>
        <w:spacing w:before="0" w:beforeLines="0" w:line="240" w:lineRule="auto"/>
        <w:ind w:left="714"/>
        <w:jc w:val="both"/>
        <w:rPr>
          <w:szCs w:val="24"/>
          <w:lang w:eastAsia="zh-CN"/>
        </w:rPr>
      </w:pPr>
    </w:p>
    <w:p w14:paraId="07FC1C42">
      <w:pPr>
        <w:numPr>
          <w:ilvl w:val="0"/>
          <w:numId w:val="3"/>
        </w:numPr>
        <w:tabs>
          <w:tab w:val="left" w:pos="959"/>
          <w:tab w:val="left" w:pos="960"/>
        </w:tabs>
        <w:snapToGrid/>
        <w:spacing w:before="0" w:beforeLines="0" w:line="240" w:lineRule="auto"/>
        <w:ind w:left="714" w:hanging="357"/>
        <w:jc w:val="both"/>
        <w:rPr>
          <w:szCs w:val="24"/>
          <w:lang w:eastAsia="zh-CN"/>
        </w:rPr>
      </w:pPr>
      <w:r>
        <w:rPr>
          <w:b/>
          <w:szCs w:val="24"/>
          <w:lang w:eastAsia="zh-CN"/>
        </w:rPr>
        <w:t>无须采取措施（NAI）</w:t>
      </w:r>
      <w:r>
        <w:rPr>
          <w:szCs w:val="24"/>
          <w:lang w:eastAsia="zh-CN"/>
        </w:rPr>
        <w:t>：表示无质量体系缺陷，或数量或类型的质量体系缺陷表明根据观察到的质量体系缺陷和所涉及的特定器械和制造过程之间的关系，该机构将生产不合格或缺陷性成品器械的可能性极小；该术语通常与情况II检查同义，在该情况下，FDA通知该机构任何可疑发现，但一般不启动行政或监管措施。情况II检查的定义参见FDA的</w:t>
      </w:r>
      <w:r>
        <w:fldChar w:fldCharType="begin"/>
      </w:r>
      <w:r>
        <w:instrText xml:space="preserve"> HYPERLINK "https://www.fda.gov/downloads/MedicalDevices/DeviceRegulationandGuidance/GuidanceDocuments/UCM244277.pdf" \h </w:instrText>
      </w:r>
      <w:r>
        <w:fldChar w:fldCharType="separate"/>
      </w:r>
      <w:r>
        <w:rPr>
          <w:color w:val="0000FF"/>
          <w:szCs w:val="24"/>
          <w:u w:val="single" w:color="0000FF"/>
          <w:lang w:eastAsia="zh-CN"/>
        </w:rPr>
        <w:t>合规项目7382.845的第V部分</w:t>
      </w:r>
      <w:r>
        <w:rPr>
          <w:rFonts w:ascii="宋体" w:hAnsi="宋体"/>
          <w:color w:val="0000FF"/>
          <w:szCs w:val="24"/>
          <w:u w:val="single" w:color="0000FF"/>
          <w:lang w:eastAsia="zh-CN"/>
        </w:rPr>
        <w:t>“</w:t>
      </w:r>
      <w:r>
        <w:rPr>
          <w:color w:val="0000FF"/>
          <w:szCs w:val="24"/>
          <w:u w:val="single" w:color="0000FF"/>
          <w:lang w:eastAsia="zh-CN"/>
        </w:rPr>
        <w:t>医疗器械制造商检查</w:t>
      </w:r>
      <w:r>
        <w:rPr>
          <w:rFonts w:ascii="宋体" w:hAnsi="宋体"/>
          <w:color w:val="0000FF"/>
          <w:szCs w:val="24"/>
          <w:u w:val="single" w:color="0000FF"/>
          <w:lang w:eastAsia="zh-CN"/>
        </w:rPr>
        <w:t>”</w:t>
      </w:r>
      <w:r>
        <w:rPr>
          <w:rFonts w:ascii="宋体" w:hAnsi="宋体"/>
          <w:color w:val="0000FF"/>
          <w:szCs w:val="24"/>
          <w:u w:val="single" w:color="0000FF"/>
          <w:lang w:eastAsia="zh-CN"/>
        </w:rPr>
        <w:fldChar w:fldCharType="end"/>
      </w:r>
      <w:r>
        <w:rPr>
          <w:rStyle w:val="20"/>
          <w:szCs w:val="24"/>
        </w:rPr>
        <w:footnoteReference w:id="4"/>
      </w:r>
      <w:r>
        <w:fldChar w:fldCharType="begin"/>
      </w:r>
      <w:r>
        <w:instrText xml:space="preserve"> HYPERLINK "https://www.fda.gov/downloads/MedicalDevices/DeviceRegulationandGuidance/GuidanceDocuments/UCM244277.pdf" \h </w:instrText>
      </w:r>
      <w:r>
        <w:fldChar w:fldCharType="separate"/>
      </w:r>
      <w:r>
        <w:rPr>
          <w:color w:val="0000FF"/>
          <w:szCs w:val="24"/>
          <w:lang w:eastAsia="zh-CN"/>
        </w:rPr>
        <w:t>。</w:t>
      </w:r>
      <w:r>
        <w:rPr>
          <w:color w:val="0000FF"/>
          <w:szCs w:val="24"/>
          <w:lang w:eastAsia="zh-CN"/>
        </w:rPr>
        <w:fldChar w:fldCharType="end"/>
      </w:r>
    </w:p>
    <w:p w14:paraId="0B6C9915">
      <w:pPr>
        <w:tabs>
          <w:tab w:val="left" w:pos="959"/>
          <w:tab w:val="left" w:pos="960"/>
        </w:tabs>
        <w:snapToGrid/>
        <w:spacing w:before="0" w:beforeLines="0" w:line="240" w:lineRule="auto"/>
        <w:ind w:left="714"/>
        <w:jc w:val="both"/>
        <w:rPr>
          <w:b/>
          <w:szCs w:val="24"/>
          <w:lang w:eastAsia="zh-CN"/>
        </w:rPr>
      </w:pPr>
    </w:p>
    <w:p w14:paraId="6DD4CD0A">
      <w:pPr>
        <w:numPr>
          <w:ilvl w:val="0"/>
          <w:numId w:val="3"/>
        </w:numPr>
        <w:tabs>
          <w:tab w:val="left" w:pos="959"/>
          <w:tab w:val="left" w:pos="960"/>
        </w:tabs>
        <w:snapToGrid/>
        <w:spacing w:before="0" w:beforeLines="0" w:line="240" w:lineRule="auto"/>
        <w:ind w:left="714" w:hanging="357"/>
        <w:jc w:val="both"/>
        <w:rPr>
          <w:szCs w:val="24"/>
          <w:lang w:eastAsia="zh-CN"/>
        </w:rPr>
      </w:pPr>
      <w:r>
        <w:rPr>
          <w:b/>
          <w:szCs w:val="24"/>
          <w:lang w:eastAsia="zh-CN"/>
        </w:rPr>
        <w:t>须采取正式措施（OAI）</w:t>
      </w:r>
      <w:r>
        <w:rPr>
          <w:szCs w:val="24"/>
          <w:lang w:eastAsia="zh-CN"/>
        </w:rPr>
        <w:t>：表明质量体系法规存在一个或多个重大缺陷，以至于FDA准备采取行政和/或监管措施，包括但不限于发出警告信、禁令、拘留、扣押、民事罚款或起诉；该术语与情况I检查的定义同义。情况I检查的定义参见FDA的</w:t>
      </w:r>
      <w:r>
        <w:fldChar w:fldCharType="begin"/>
      </w:r>
      <w:r>
        <w:instrText xml:space="preserve"> HYPERLINK "https://www.fda.gov/downloads/MedicalDevices/DeviceRegulationandGuidance/GuidanceDocuments/UCM244277.pdf" \h </w:instrText>
      </w:r>
      <w:r>
        <w:fldChar w:fldCharType="separate"/>
      </w:r>
      <w:r>
        <w:rPr>
          <w:color w:val="0000FF"/>
          <w:szCs w:val="24"/>
          <w:u w:val="single" w:color="0000FF"/>
          <w:lang w:eastAsia="zh-CN"/>
        </w:rPr>
        <w:t>合规项目7382.845的第V部分</w:t>
      </w:r>
      <w:r>
        <w:rPr>
          <w:rFonts w:ascii="宋体" w:hAnsi="宋体"/>
          <w:color w:val="0000FF"/>
          <w:szCs w:val="24"/>
          <w:u w:val="single" w:color="0000FF"/>
          <w:lang w:eastAsia="zh-CN"/>
        </w:rPr>
        <w:t>“</w:t>
      </w:r>
      <w:r>
        <w:rPr>
          <w:color w:val="0000FF"/>
          <w:szCs w:val="24"/>
          <w:u w:val="single" w:color="0000FF"/>
          <w:lang w:eastAsia="zh-CN"/>
        </w:rPr>
        <w:t>医疗器械制造商检查</w:t>
      </w:r>
      <w:r>
        <w:rPr>
          <w:rFonts w:ascii="宋体" w:hAnsi="宋体"/>
          <w:color w:val="0000FF"/>
          <w:szCs w:val="24"/>
          <w:u w:val="single" w:color="0000FF"/>
          <w:lang w:eastAsia="zh-CN"/>
        </w:rPr>
        <w:t>”</w:t>
      </w:r>
      <w:r>
        <w:rPr>
          <w:rStyle w:val="20"/>
          <w:szCs w:val="24"/>
          <w:u w:val="single" w:color="0000FF"/>
          <w:lang w:eastAsia="zh-CN"/>
        </w:rPr>
        <w:footnoteReference w:id="5"/>
      </w:r>
      <w:r>
        <w:rPr>
          <w:color w:val="0000FF"/>
          <w:szCs w:val="24"/>
          <w:u w:val="single" w:color="0000FF"/>
          <w:lang w:eastAsia="zh-CN"/>
        </w:rPr>
        <w:t>。</w:t>
      </w:r>
      <w:r>
        <w:rPr>
          <w:color w:val="0000FF"/>
          <w:szCs w:val="24"/>
          <w:u w:val="single" w:color="0000FF"/>
          <w:lang w:eastAsia="zh-CN"/>
        </w:rPr>
        <w:fldChar w:fldCharType="end"/>
      </w:r>
    </w:p>
    <w:p w14:paraId="66979A78">
      <w:pPr>
        <w:tabs>
          <w:tab w:val="left" w:pos="959"/>
          <w:tab w:val="left" w:pos="960"/>
        </w:tabs>
        <w:snapToGrid/>
        <w:spacing w:before="0" w:beforeLines="0" w:line="240" w:lineRule="auto"/>
        <w:ind w:left="714"/>
        <w:jc w:val="both"/>
        <w:rPr>
          <w:szCs w:val="24"/>
          <w:lang w:eastAsia="zh-CN"/>
        </w:rPr>
      </w:pPr>
    </w:p>
    <w:p w14:paraId="17CAFA43">
      <w:pPr>
        <w:numPr>
          <w:ilvl w:val="0"/>
          <w:numId w:val="3"/>
        </w:numPr>
        <w:tabs>
          <w:tab w:val="left" w:pos="959"/>
          <w:tab w:val="left" w:pos="960"/>
        </w:tabs>
        <w:snapToGrid/>
        <w:spacing w:before="0" w:beforeLines="0" w:line="240" w:lineRule="auto"/>
        <w:ind w:left="714" w:hanging="357"/>
        <w:jc w:val="both"/>
        <w:rPr>
          <w:szCs w:val="24"/>
          <w:lang w:eastAsia="zh-CN"/>
        </w:rPr>
      </w:pPr>
      <w:r>
        <w:rPr>
          <w:b/>
          <w:szCs w:val="24"/>
          <w:lang w:eastAsia="zh-CN"/>
        </w:rPr>
        <w:t>PMA补充申请（21 CFR 814.39(a)）</w:t>
      </w:r>
      <w:r>
        <w:rPr>
          <w:szCs w:val="24"/>
          <w:lang w:eastAsia="zh-CN"/>
        </w:rPr>
        <w:t>：在FDA批准PMA后，申请人应先提交PMA补充申请供FDA审查和批准，然后再进行影响申请人已获批PMA器械的安全性或有效性的变更。该要求的唯一例外情况是，如果该变更是影响安全性或有效性的制造程序或制造方法修改，则无需提交PMA补充申请，并符合30天通知条件。虽然确定是否需要补充申请的责任主要由PMA持有人承担，但如果变更会影响器械的安全性或有效性，申请人应提交PMA补充申请的变更包括但不限于以下类型的变更：</w:t>
      </w:r>
    </w:p>
    <w:p w14:paraId="60EF991B">
      <w:pPr>
        <w:numPr>
          <w:ilvl w:val="0"/>
          <w:numId w:val="4"/>
        </w:numPr>
        <w:tabs>
          <w:tab w:val="left" w:pos="1299"/>
        </w:tabs>
        <w:snapToGrid/>
        <w:spacing w:before="0" w:beforeLines="0" w:line="240" w:lineRule="auto"/>
        <w:ind w:left="1060" w:hanging="340"/>
        <w:jc w:val="both"/>
        <w:rPr>
          <w:szCs w:val="24"/>
        </w:rPr>
      </w:pPr>
      <w:r>
        <w:rPr>
          <w:szCs w:val="24"/>
        </w:rPr>
        <w:t>器械的新使用适应症。</w:t>
      </w:r>
    </w:p>
    <w:p w14:paraId="62D1868F">
      <w:pPr>
        <w:numPr>
          <w:ilvl w:val="0"/>
          <w:numId w:val="4"/>
        </w:numPr>
        <w:tabs>
          <w:tab w:val="left" w:pos="1301"/>
        </w:tabs>
        <w:snapToGrid/>
        <w:spacing w:before="0" w:beforeLines="0" w:line="240" w:lineRule="auto"/>
        <w:ind w:left="1060" w:hanging="340"/>
        <w:jc w:val="both"/>
        <w:rPr>
          <w:szCs w:val="24"/>
        </w:rPr>
      </w:pPr>
      <w:r>
        <w:rPr>
          <w:szCs w:val="24"/>
        </w:rPr>
        <w:t>标签变更。</w:t>
      </w:r>
    </w:p>
    <w:p w14:paraId="1B240F6B">
      <w:pPr>
        <w:numPr>
          <w:ilvl w:val="0"/>
          <w:numId w:val="4"/>
        </w:numPr>
        <w:tabs>
          <w:tab w:val="left" w:pos="1299"/>
        </w:tabs>
        <w:snapToGrid/>
        <w:spacing w:before="0" w:beforeLines="0" w:line="240" w:lineRule="auto"/>
        <w:ind w:left="1060" w:hanging="340"/>
        <w:jc w:val="both"/>
        <w:rPr>
          <w:szCs w:val="24"/>
          <w:lang w:eastAsia="zh-CN"/>
        </w:rPr>
      </w:pPr>
      <w:r>
        <w:rPr>
          <w:szCs w:val="24"/>
          <w:lang w:eastAsia="zh-CN"/>
        </w:rPr>
        <w:t>使用不同的设施或机构对器械进行制造、加工或包装。</w:t>
      </w:r>
    </w:p>
    <w:p w14:paraId="51702BD3">
      <w:pPr>
        <w:numPr>
          <w:ilvl w:val="0"/>
          <w:numId w:val="4"/>
        </w:numPr>
        <w:tabs>
          <w:tab w:val="left" w:pos="1299"/>
        </w:tabs>
        <w:snapToGrid/>
        <w:spacing w:before="0" w:beforeLines="0" w:line="240" w:lineRule="auto"/>
        <w:ind w:left="1060" w:hanging="340"/>
        <w:jc w:val="both"/>
        <w:rPr>
          <w:szCs w:val="24"/>
        </w:rPr>
      </w:pPr>
      <w:r>
        <w:rPr>
          <w:szCs w:val="24"/>
        </w:rPr>
        <w:t>灭菌程序变更。</w:t>
      </w:r>
    </w:p>
    <w:p w14:paraId="574E2115">
      <w:pPr>
        <w:numPr>
          <w:ilvl w:val="0"/>
          <w:numId w:val="4"/>
        </w:numPr>
        <w:tabs>
          <w:tab w:val="left" w:pos="1299"/>
        </w:tabs>
        <w:snapToGrid/>
        <w:spacing w:before="0" w:beforeLines="0" w:line="240" w:lineRule="auto"/>
        <w:ind w:left="1060" w:hanging="340"/>
        <w:jc w:val="both"/>
        <w:rPr>
          <w:szCs w:val="24"/>
        </w:rPr>
      </w:pPr>
      <w:r>
        <w:rPr>
          <w:szCs w:val="24"/>
        </w:rPr>
        <w:t>包装变更。</w:t>
      </w:r>
    </w:p>
    <w:p w14:paraId="6B57FDE4">
      <w:pPr>
        <w:numPr>
          <w:ilvl w:val="0"/>
          <w:numId w:val="4"/>
        </w:numPr>
        <w:tabs>
          <w:tab w:val="left" w:pos="1299"/>
        </w:tabs>
        <w:snapToGrid/>
        <w:spacing w:before="0" w:beforeLines="0" w:line="240" w:lineRule="auto"/>
        <w:ind w:left="1060" w:hanging="340"/>
        <w:jc w:val="both"/>
        <w:rPr>
          <w:szCs w:val="24"/>
          <w:lang w:eastAsia="zh-CN"/>
        </w:rPr>
      </w:pPr>
      <w:r>
        <w:rPr>
          <w:szCs w:val="24"/>
          <w:lang w:eastAsia="zh-CN"/>
        </w:rPr>
        <w:t>器械的性能或设计规格、电路、组件、组成部分、工作原理或物理布局发生变更。</w:t>
      </w:r>
    </w:p>
    <w:p w14:paraId="29B3F6CF">
      <w:pPr>
        <w:numPr>
          <w:ilvl w:val="0"/>
          <w:numId w:val="4"/>
        </w:numPr>
        <w:tabs>
          <w:tab w:val="left" w:pos="1299"/>
        </w:tabs>
        <w:snapToGrid/>
        <w:spacing w:before="0" w:beforeLines="0" w:line="240" w:lineRule="auto"/>
        <w:ind w:left="1060" w:hanging="340"/>
        <w:jc w:val="both"/>
        <w:rPr>
          <w:szCs w:val="24"/>
          <w:lang w:eastAsia="zh-CN"/>
        </w:rPr>
      </w:pPr>
      <w:r>
        <w:rPr>
          <w:szCs w:val="24"/>
          <w:lang w:eastAsia="zh-CN"/>
        </w:rPr>
        <w:t>基于在尚未获得FDA批准的新的或者经过修订的稳定性或者无菌性试验方案下获得的数据延长器械的有效期。</w:t>
      </w:r>
    </w:p>
    <w:p w14:paraId="610DE1A8">
      <w:pPr>
        <w:tabs>
          <w:tab w:val="left" w:pos="959"/>
          <w:tab w:val="left" w:pos="960"/>
        </w:tabs>
        <w:snapToGrid/>
        <w:spacing w:before="0" w:beforeLines="0" w:line="240" w:lineRule="auto"/>
        <w:ind w:left="714"/>
        <w:jc w:val="both"/>
        <w:rPr>
          <w:szCs w:val="24"/>
          <w:lang w:eastAsia="zh-CN"/>
        </w:rPr>
      </w:pPr>
    </w:p>
    <w:p w14:paraId="78103B16">
      <w:pPr>
        <w:numPr>
          <w:ilvl w:val="0"/>
          <w:numId w:val="3"/>
        </w:numPr>
        <w:tabs>
          <w:tab w:val="left" w:pos="959"/>
          <w:tab w:val="left" w:pos="960"/>
        </w:tabs>
        <w:snapToGrid/>
        <w:spacing w:before="0" w:beforeLines="0" w:line="240" w:lineRule="auto"/>
        <w:ind w:left="714" w:hanging="357"/>
        <w:jc w:val="both"/>
        <w:rPr>
          <w:szCs w:val="24"/>
          <w:lang w:eastAsia="zh-CN"/>
        </w:rPr>
      </w:pPr>
      <w:r>
        <w:rPr>
          <w:b/>
          <w:szCs w:val="24"/>
          <w:lang w:eastAsia="zh-CN"/>
        </w:rPr>
        <w:t>场所变更补充申请</w:t>
      </w:r>
      <w:r>
        <w:rPr>
          <w:szCs w:val="24"/>
          <w:lang w:eastAsia="zh-CN"/>
        </w:rPr>
        <w:t>：与使用不同设施或机构制造、处理或包装器械有关的PMA补充申请。场所变更补充申请无需支付用户费用；关于用户费用的更多信息，请参见指南</w:t>
      </w:r>
      <w:r>
        <w:fldChar w:fldCharType="begin"/>
      </w:r>
      <w:r>
        <w:instrText xml:space="preserve"> HYPERLINK "https://www.fda.gov/downloads/MedicalDevices/DeviceRegulationandGuidance/GuidanceDocuments/UCM345633.pdf" \h </w:instrText>
      </w:r>
      <w:r>
        <w:fldChar w:fldCharType="separate"/>
      </w:r>
      <w:r>
        <w:rPr>
          <w:color w:val="0000FF"/>
          <w:szCs w:val="24"/>
          <w:u w:val="single" w:color="0000FF"/>
          <w:lang w:eastAsia="zh-CN"/>
        </w:rPr>
        <w:t>《上市前批准申请和器械生物制品许可申请的用户费用和退款》</w:t>
      </w:r>
      <w:r>
        <w:rPr>
          <w:color w:val="0000FF"/>
          <w:szCs w:val="24"/>
          <w:u w:val="single" w:color="0000FF"/>
          <w:lang w:eastAsia="zh-CN"/>
        </w:rPr>
        <w:fldChar w:fldCharType="end"/>
      </w:r>
      <w:r>
        <w:rPr>
          <w:rStyle w:val="20"/>
          <w:szCs w:val="24"/>
          <w:u w:val="single" w:color="0000FF"/>
          <w:lang w:eastAsia="zh-CN"/>
        </w:rPr>
        <w:footnoteReference w:id="6"/>
      </w:r>
      <w:r>
        <w:rPr>
          <w:szCs w:val="24"/>
          <w:lang w:eastAsia="zh-CN"/>
        </w:rPr>
        <w:t>。</w:t>
      </w:r>
    </w:p>
    <w:p w14:paraId="6C96D1BB">
      <w:pPr>
        <w:tabs>
          <w:tab w:val="left" w:pos="959"/>
          <w:tab w:val="left" w:pos="960"/>
        </w:tabs>
        <w:snapToGrid/>
        <w:spacing w:before="0" w:beforeLines="0" w:line="240" w:lineRule="auto"/>
        <w:ind w:left="714"/>
        <w:jc w:val="both"/>
        <w:rPr>
          <w:szCs w:val="24"/>
          <w:lang w:eastAsia="zh-CN"/>
        </w:rPr>
      </w:pPr>
    </w:p>
    <w:p w14:paraId="21B7BDAB">
      <w:pPr>
        <w:numPr>
          <w:ilvl w:val="0"/>
          <w:numId w:val="3"/>
        </w:numPr>
        <w:tabs>
          <w:tab w:val="left" w:pos="959"/>
          <w:tab w:val="left" w:pos="960"/>
        </w:tabs>
        <w:snapToGrid/>
        <w:spacing w:before="0" w:beforeLines="0" w:line="240" w:lineRule="auto"/>
        <w:ind w:left="714" w:hanging="357"/>
        <w:jc w:val="both"/>
        <w:rPr>
          <w:szCs w:val="24"/>
          <w:lang w:eastAsia="zh-CN"/>
        </w:rPr>
      </w:pPr>
      <w:r>
        <w:rPr>
          <w:b/>
          <w:szCs w:val="24"/>
          <w:lang w:eastAsia="zh-CN"/>
        </w:rPr>
        <w:t>自愿采取措施（VAI）</w:t>
      </w:r>
      <w:r>
        <w:rPr>
          <w:szCs w:val="24"/>
          <w:lang w:eastAsia="zh-CN"/>
        </w:rPr>
        <w:t>：表示数量或类型的质量体系缺陷，表明根据观察到的质量体系缺陷和所涉及的特定器械和制造过程之间的关系，该机构将生产不合格或缺陷性成品器械的可能性极小；该术语通常与情况II检查同义，在该情况下，FDA通知该机构任何可疑发现，但一般不启动行政或监管措施。</w:t>
      </w:r>
    </w:p>
    <w:p w14:paraId="45179A35">
      <w:pPr>
        <w:snapToGrid/>
        <w:spacing w:before="0" w:beforeLines="0" w:line="240" w:lineRule="auto"/>
        <w:rPr>
          <w:szCs w:val="24"/>
          <w:lang w:eastAsia="zh-CN"/>
        </w:rPr>
      </w:pPr>
      <w:bookmarkStart w:id="4" w:name="_bookmark9"/>
      <w:bookmarkEnd w:id="4"/>
      <w:r>
        <w:rPr>
          <w:szCs w:val="24"/>
          <w:lang w:eastAsia="zh-CN"/>
        </w:rPr>
        <w:br w:type="page"/>
      </w:r>
    </w:p>
    <w:p w14:paraId="3583B53A">
      <w:pPr>
        <w:numPr>
          <w:ilvl w:val="0"/>
          <w:numId w:val="3"/>
        </w:numPr>
        <w:tabs>
          <w:tab w:val="left" w:pos="959"/>
          <w:tab w:val="left" w:pos="960"/>
        </w:tabs>
        <w:snapToGrid/>
        <w:spacing w:before="0" w:beforeLines="0" w:line="240" w:lineRule="auto"/>
        <w:ind w:left="714" w:hanging="357"/>
        <w:jc w:val="both"/>
        <w:rPr>
          <w:szCs w:val="24"/>
        </w:rPr>
      </w:pPr>
      <w:r>
        <w:rPr>
          <w:b/>
          <w:szCs w:val="24"/>
          <w:lang w:eastAsia="zh-CN"/>
        </w:rPr>
        <w:t>30天通知</w:t>
      </w:r>
      <w:r>
        <w:rPr>
          <w:szCs w:val="24"/>
          <w:lang w:eastAsia="zh-CN"/>
        </w:rPr>
        <w:t>：提交给FDA的变更申请视为对PMA已获批器械的制造程序或制造方法的修改。</w:t>
      </w:r>
      <w:r>
        <w:rPr>
          <w:szCs w:val="24"/>
        </w:rPr>
        <w:t>（《FD&amp;C法案》第515(d)(5)(A)节；21 CFR 814.39(f)）。</w:t>
      </w:r>
    </w:p>
    <w:p w14:paraId="34E66D8C">
      <w:pPr>
        <w:tabs>
          <w:tab w:val="left" w:pos="959"/>
          <w:tab w:val="left" w:pos="960"/>
        </w:tabs>
        <w:snapToGrid/>
        <w:spacing w:before="0" w:beforeLines="0" w:line="240" w:lineRule="auto"/>
        <w:ind w:left="714"/>
        <w:jc w:val="both"/>
        <w:rPr>
          <w:szCs w:val="24"/>
        </w:rPr>
      </w:pPr>
    </w:p>
    <w:p w14:paraId="18CC40F9">
      <w:pPr>
        <w:pStyle w:val="23"/>
        <w:numPr>
          <w:ilvl w:val="0"/>
          <w:numId w:val="1"/>
        </w:numPr>
        <w:tabs>
          <w:tab w:val="left" w:pos="1240"/>
        </w:tabs>
        <w:ind w:left="643" w:hanging="643" w:hangingChars="200"/>
        <w:jc w:val="both"/>
        <w:outlineLvl w:val="0"/>
        <w:rPr>
          <w:rFonts w:ascii="Times New Roman" w:hAnsi="Times New Roman" w:eastAsia="宋体" w:cs="Times New Roman"/>
          <w:b/>
          <w:sz w:val="32"/>
          <w:szCs w:val="32"/>
        </w:rPr>
      </w:pPr>
      <w:bookmarkStart w:id="5" w:name="_Toc97374582"/>
      <w:r>
        <w:rPr>
          <w:rFonts w:ascii="Times New Roman" w:hAnsi="Times New Roman" w:eastAsia="宋体" w:cs="Times New Roman"/>
          <w:b/>
          <w:sz w:val="32"/>
          <w:szCs w:val="32"/>
        </w:rPr>
        <w:t>制造场所变更申请</w:t>
      </w:r>
      <w:bookmarkEnd w:id="5"/>
    </w:p>
    <w:p w14:paraId="6EE54E32">
      <w:pPr>
        <w:pStyle w:val="23"/>
        <w:numPr>
          <w:ilvl w:val="0"/>
          <w:numId w:val="5"/>
        </w:numPr>
        <w:tabs>
          <w:tab w:val="left" w:pos="1276"/>
        </w:tabs>
        <w:ind w:left="0" w:firstLine="686" w:firstLineChars="0"/>
        <w:jc w:val="both"/>
        <w:outlineLvl w:val="1"/>
        <w:rPr>
          <w:rFonts w:ascii="Times New Roman" w:hAnsi="Times New Roman" w:eastAsia="宋体" w:cs="Times New Roman"/>
          <w:b/>
          <w:sz w:val="28"/>
          <w:szCs w:val="28"/>
          <w:lang w:eastAsia="zh-CN"/>
        </w:rPr>
      </w:pPr>
      <w:bookmarkStart w:id="6" w:name="_Toc97374583"/>
      <w:r>
        <w:rPr>
          <w:rFonts w:ascii="Times New Roman" w:hAnsi="Times New Roman" w:eastAsia="宋体" w:cs="Times New Roman"/>
          <w:b/>
          <w:sz w:val="28"/>
          <w:szCs w:val="28"/>
          <w:lang w:eastAsia="zh-CN"/>
        </w:rPr>
        <w:t>相对于30天通知，什么是制造场所变更，何时应提交场所变更补充申请？</w:t>
      </w:r>
      <w:bookmarkEnd w:id="6"/>
    </w:p>
    <w:p w14:paraId="70F8DBC1">
      <w:pPr>
        <w:snapToGrid/>
        <w:spacing w:before="0" w:beforeLines="0" w:line="240" w:lineRule="auto"/>
        <w:ind w:firstLine="480" w:firstLineChars="200"/>
        <w:jc w:val="both"/>
        <w:rPr>
          <w:szCs w:val="24"/>
          <w:lang w:eastAsia="zh-CN"/>
        </w:rPr>
      </w:pPr>
    </w:p>
    <w:p w14:paraId="6DF5C7C7">
      <w:pPr>
        <w:snapToGrid/>
        <w:spacing w:before="0" w:beforeLines="0" w:line="240" w:lineRule="auto"/>
        <w:ind w:firstLine="480" w:firstLineChars="200"/>
        <w:jc w:val="both"/>
        <w:rPr>
          <w:szCs w:val="24"/>
          <w:lang w:eastAsia="zh-CN"/>
        </w:rPr>
      </w:pPr>
      <w:r>
        <w:rPr>
          <w:szCs w:val="24"/>
          <w:lang w:eastAsia="zh-CN"/>
        </w:rPr>
        <w:t>FDA已收到关于可能构成使用不同场所制造、处理或包装21 CFR 814.39(a)(3)规定器械的各种情况的问题。一个典型情况是转移发生制造活动的场所。其他情况包括扩大现有场所、建立新设施或机构，或在设施内转移设备。本指南中的表1旨在解决可能属于这些情况的各种制造场所的变更。该表描述了某一特定情况何时视为</w:t>
      </w:r>
      <w:r>
        <w:rPr>
          <w:rFonts w:ascii="宋体" w:hAnsi="宋体"/>
          <w:szCs w:val="24"/>
          <w:lang w:eastAsia="zh-CN"/>
        </w:rPr>
        <w:t>“</w:t>
      </w:r>
      <w:r>
        <w:rPr>
          <w:szCs w:val="24"/>
          <w:lang w:eastAsia="zh-CN"/>
        </w:rPr>
        <w:t>使用不同设施或机构</w:t>
      </w:r>
      <w:r>
        <w:rPr>
          <w:rFonts w:ascii="宋体" w:hAnsi="宋体"/>
          <w:szCs w:val="24"/>
          <w:lang w:eastAsia="zh-CN"/>
        </w:rPr>
        <w:t>”</w:t>
      </w:r>
      <w:r>
        <w:rPr>
          <w:szCs w:val="24"/>
          <w:lang w:eastAsia="zh-CN"/>
        </w:rPr>
        <w:t>，在该情况下制造商应提交PMA场所变更补充申请，或某一情况何时视为</w:t>
      </w:r>
      <w:r>
        <w:rPr>
          <w:rFonts w:ascii="宋体" w:hAnsi="宋体"/>
          <w:szCs w:val="24"/>
          <w:lang w:eastAsia="zh-CN"/>
        </w:rPr>
        <w:t>“</w:t>
      </w:r>
      <w:r>
        <w:rPr>
          <w:szCs w:val="24"/>
          <w:lang w:eastAsia="zh-CN"/>
        </w:rPr>
        <w:t>制造程序或制造方法的修改</w:t>
      </w:r>
      <w:r>
        <w:rPr>
          <w:rFonts w:ascii="宋体" w:hAnsi="宋体"/>
          <w:szCs w:val="24"/>
          <w:lang w:eastAsia="zh-CN"/>
        </w:rPr>
        <w:t>”</w:t>
      </w:r>
      <w:r>
        <w:rPr>
          <w:szCs w:val="24"/>
          <w:lang w:eastAsia="zh-CN"/>
        </w:rPr>
        <w:t>，在该情况下制造商有资格提交30天通知。</w:t>
      </w:r>
    </w:p>
    <w:p w14:paraId="16137FD0">
      <w:pPr>
        <w:snapToGrid/>
        <w:spacing w:before="0" w:beforeLines="0" w:line="240" w:lineRule="auto"/>
        <w:ind w:firstLine="480" w:firstLineChars="200"/>
        <w:jc w:val="both"/>
        <w:rPr>
          <w:szCs w:val="24"/>
          <w:lang w:eastAsia="zh-CN"/>
        </w:rPr>
      </w:pPr>
    </w:p>
    <w:p w14:paraId="08FE01A0">
      <w:pPr>
        <w:snapToGrid/>
        <w:spacing w:before="0" w:beforeLines="0" w:line="240" w:lineRule="auto"/>
        <w:ind w:firstLine="480" w:firstLineChars="200"/>
        <w:jc w:val="both"/>
        <w:rPr>
          <w:szCs w:val="24"/>
          <w:lang w:eastAsia="zh-CN"/>
        </w:rPr>
      </w:pPr>
      <w:r>
        <w:rPr>
          <w:rFonts w:hint="eastAsia"/>
          <w:szCs w:val="24"/>
          <w:lang w:eastAsia="zh-CN"/>
        </w:rPr>
        <w:t>在</w:t>
      </w:r>
      <w:r>
        <w:rPr>
          <w:szCs w:val="24"/>
          <w:lang w:eastAsia="zh-CN"/>
        </w:rPr>
        <w:t>本指南</w:t>
      </w:r>
      <w:r>
        <w:rPr>
          <w:rFonts w:hint="eastAsia"/>
          <w:szCs w:val="24"/>
          <w:lang w:eastAsia="zh-CN"/>
        </w:rPr>
        <w:t>中</w:t>
      </w:r>
      <w:r>
        <w:rPr>
          <w:szCs w:val="24"/>
          <w:lang w:eastAsia="zh-CN"/>
        </w:rPr>
        <w:t>，FDA预期将应提交场所变更补充申请的不同场所视为包括：1）该场所未作为原始PMA或PMA补充申请的一部分获得批准；或2）该场所作为原始PMA或PMA补充申请的一部分获得批准，但仅为了进行不同制造活动。在这些情况下，不同场所在制造相同或类似器械的过程或技术或类似过程或技术方面均无经验，FDA没有机会评价该变更，因为该变更不会在PMA申请中以任何方式得到评价。在这种情况下，我们将认为该变更构成21 CFR 814.39(a)(3)所规定的</w:t>
      </w:r>
      <w:r>
        <w:rPr>
          <w:rFonts w:ascii="宋体" w:hAnsi="宋体"/>
          <w:szCs w:val="24"/>
          <w:lang w:eastAsia="zh-CN"/>
        </w:rPr>
        <w:t>“</w:t>
      </w:r>
      <w:r>
        <w:rPr>
          <w:szCs w:val="24"/>
          <w:lang w:eastAsia="zh-CN"/>
        </w:rPr>
        <w:t>使用不同设施或机构</w:t>
      </w:r>
      <w:r>
        <w:rPr>
          <w:rFonts w:ascii="宋体" w:hAnsi="宋体"/>
          <w:szCs w:val="24"/>
          <w:lang w:eastAsia="zh-CN"/>
        </w:rPr>
        <w:t>”</w:t>
      </w:r>
      <w:r>
        <w:rPr>
          <w:szCs w:val="24"/>
          <w:lang w:eastAsia="zh-CN"/>
        </w:rPr>
        <w:t>，如果该变更影响器械的安全性或有效性，制造商应提交180天PMA补充申请（《FD&amp;C法案》第515(d)(5)(A)(i)节）。FDA意识到，制造场所变更很少涉及公司无经验的全新制造技术，或者在新制造场所生产不同器械，但为了完整地定义构成不同制造场所的基本原则，FDA必须考虑制造场所对制造技术的熟悉程度以及与场所制造的器械的相似性。</w:t>
      </w:r>
    </w:p>
    <w:p w14:paraId="051B1C6B">
      <w:pPr>
        <w:snapToGrid/>
        <w:spacing w:before="0" w:beforeLines="0" w:line="240" w:lineRule="auto"/>
        <w:ind w:firstLine="480" w:firstLineChars="200"/>
        <w:jc w:val="both"/>
        <w:rPr>
          <w:szCs w:val="24"/>
          <w:lang w:eastAsia="zh-CN"/>
        </w:rPr>
      </w:pPr>
    </w:p>
    <w:p w14:paraId="139112FF">
      <w:pPr>
        <w:snapToGrid/>
        <w:spacing w:before="0" w:beforeLines="0" w:line="240" w:lineRule="auto"/>
        <w:ind w:firstLine="480" w:firstLineChars="200"/>
        <w:jc w:val="both"/>
        <w:rPr>
          <w:szCs w:val="24"/>
          <w:lang w:eastAsia="zh-CN"/>
        </w:rPr>
      </w:pPr>
      <w:r>
        <w:rPr>
          <w:szCs w:val="24"/>
          <w:lang w:eastAsia="zh-CN"/>
        </w:rPr>
        <w:t>申请人应提交一份180天PMA补充申请，用于使用上述不同场所并影响器械安全性或有效性的变更，这也被称为场所变更补充申请，FDA在收到申请后180天内进行审查。参见21 CFR 814.39(a)(3)、814.39(c)和814.40。同样，根据21 CFR 814.108和814.114的规定，HDE持有人需要提交75天补充申请。场所变更补充申请应明确指出任何制造场所变更以及因场所变更导致的任何相关制造变更（例如，新设施需要变更制造用水过滤）。与设施转移无直接关系的制造过程变更应单独提交（例如，根据现有法规和指南提交30天通知或PMA年度报告），并且不视为制造场所变更补充申请的一部分。有关场所变更补充申请中应提交的内容的更多信息，请参见第B子节。在实施任何制造场所变更和相关变更之前，需要批准180天PMA补充申请。</w:t>
      </w:r>
    </w:p>
    <w:p w14:paraId="3F927922">
      <w:pPr>
        <w:snapToGrid/>
        <w:spacing w:before="0" w:beforeLines="0" w:line="240" w:lineRule="auto"/>
        <w:rPr>
          <w:szCs w:val="24"/>
          <w:lang w:eastAsia="zh-CN"/>
        </w:rPr>
      </w:pPr>
      <w:r>
        <w:rPr>
          <w:szCs w:val="24"/>
          <w:lang w:eastAsia="zh-CN"/>
        </w:rPr>
        <w:br w:type="page"/>
      </w:r>
    </w:p>
    <w:p w14:paraId="713DE58A">
      <w:pPr>
        <w:snapToGrid/>
        <w:spacing w:before="0" w:beforeLines="0" w:line="240" w:lineRule="auto"/>
        <w:ind w:firstLine="480" w:firstLineChars="200"/>
        <w:jc w:val="both"/>
        <w:rPr>
          <w:szCs w:val="24"/>
          <w:lang w:eastAsia="zh-CN"/>
        </w:rPr>
      </w:pPr>
      <w:r>
        <w:rPr>
          <w:szCs w:val="24"/>
          <w:lang w:eastAsia="zh-CN"/>
        </w:rPr>
        <w:t>如果制造场所的某些变更处于PMA已获批场所中，并且是为了进行与PMA已获批场所相同或类似的制造活动以及为了相同或类似器械，则可以作为30天通知提交。如果之前已获批场所及其人员使用类似技术和过程制造类似器械，并具有这方面的经验，则根据21 CFR 814.39(a)(3)的规定，新制造场所将不视为</w:t>
      </w:r>
      <w:r>
        <w:rPr>
          <w:rFonts w:ascii="宋体" w:hAnsi="宋体"/>
          <w:szCs w:val="24"/>
          <w:lang w:eastAsia="zh-CN"/>
        </w:rPr>
        <w:t>“</w:t>
      </w:r>
      <w:r>
        <w:rPr>
          <w:szCs w:val="24"/>
          <w:lang w:eastAsia="zh-CN"/>
        </w:rPr>
        <w:t>不同场所</w:t>
      </w:r>
      <w:r>
        <w:rPr>
          <w:rFonts w:ascii="宋体" w:hAnsi="宋体"/>
          <w:szCs w:val="24"/>
          <w:lang w:eastAsia="zh-CN"/>
        </w:rPr>
        <w:t>”</w:t>
      </w:r>
      <w:r>
        <w:rPr>
          <w:szCs w:val="24"/>
          <w:lang w:eastAsia="zh-CN"/>
        </w:rPr>
        <w:t>。根据21 CFR 814.39(f)的规定，此类变更将视为对现有制造程序或制造方法的</w:t>
      </w:r>
      <w:r>
        <w:rPr>
          <w:rFonts w:ascii="宋体" w:hAnsi="宋体"/>
          <w:szCs w:val="24"/>
          <w:lang w:eastAsia="zh-CN"/>
        </w:rPr>
        <w:t>“</w:t>
      </w:r>
      <w:r>
        <w:rPr>
          <w:szCs w:val="24"/>
          <w:lang w:eastAsia="zh-CN"/>
        </w:rPr>
        <w:t>修改</w:t>
      </w:r>
      <w:r>
        <w:rPr>
          <w:rFonts w:ascii="宋体" w:hAnsi="宋体"/>
          <w:szCs w:val="24"/>
          <w:lang w:eastAsia="zh-CN"/>
        </w:rPr>
        <w:t>”</w:t>
      </w:r>
      <w:r>
        <w:rPr>
          <w:szCs w:val="24"/>
          <w:lang w:eastAsia="zh-CN"/>
        </w:rPr>
        <w:t>，如果制造场所变更影响器械的安全性或有效性，申请人将有资格提交30天通知。</w:t>
      </w:r>
    </w:p>
    <w:p w14:paraId="7C1DDDC7">
      <w:pPr>
        <w:snapToGrid/>
        <w:spacing w:before="0" w:beforeLines="0" w:line="240" w:lineRule="auto"/>
        <w:ind w:firstLine="480" w:firstLineChars="200"/>
        <w:jc w:val="both"/>
        <w:rPr>
          <w:szCs w:val="24"/>
          <w:lang w:eastAsia="zh-CN"/>
        </w:rPr>
      </w:pPr>
    </w:p>
    <w:p w14:paraId="6E9BD751">
      <w:pPr>
        <w:snapToGrid/>
        <w:spacing w:before="0" w:beforeLines="0" w:line="240" w:lineRule="auto"/>
        <w:ind w:firstLine="480" w:firstLineChars="200"/>
        <w:jc w:val="both"/>
        <w:rPr>
          <w:szCs w:val="24"/>
          <w:lang w:eastAsia="zh-CN"/>
        </w:rPr>
      </w:pPr>
      <w:r>
        <w:rPr>
          <w:szCs w:val="24"/>
          <w:lang w:eastAsia="zh-CN"/>
        </w:rPr>
        <w:t>FDA认为使用新设施或机构制造、处理或包装成品器械的组件无需提交PMA补充申请。</w:t>
      </w:r>
      <w:r>
        <w:rPr>
          <w:rStyle w:val="20"/>
          <w:szCs w:val="24"/>
          <w:lang w:eastAsia="zh-CN"/>
        </w:rPr>
        <w:footnoteReference w:id="7"/>
      </w:r>
      <w:r>
        <w:rPr>
          <w:szCs w:val="24"/>
          <w:lang w:eastAsia="zh-CN"/>
        </w:rPr>
        <w:t>根据21 CFR 820.1(a)的规定，制造组件但不制造成品器械的公司不受QS法规要求的约束，但鼓励这些制造商使用21 CFR</w:t>
      </w:r>
      <w:r>
        <w:rPr>
          <w:rFonts w:hint="eastAsia"/>
          <w:szCs w:val="24"/>
          <w:lang w:eastAsia="zh-CN"/>
        </w:rPr>
        <w:t xml:space="preserve"> </w:t>
      </w:r>
      <w:r>
        <w:rPr>
          <w:szCs w:val="24"/>
          <w:lang w:eastAsia="zh-CN"/>
        </w:rPr>
        <w:t>820的适当条款作为指导。成品器械制造商通过应用采购控制（21 CFR 820.50）和验收标准（21 CFR 820.80）来确保所有采购或收到的组件符合QS要求。因此，申请人应根据21 CFR 814.39(f)的规定提交30天通知，以使用那些对成品器械的功能、操作或规范至关重要的组件的新供应商，因为此类制造程序或方法修改会影响成品器械的安全性或有效性。对器械的功能、操作或规范并不重要的组件的制造变更无需企业提交场所变更补充申请或30天通知；但是，必须在年度报告中报告这些变更。</w:t>
      </w:r>
      <w:r>
        <w:rPr>
          <w:rStyle w:val="20"/>
          <w:szCs w:val="24"/>
          <w:lang w:eastAsia="zh-CN"/>
        </w:rPr>
        <w:footnoteReference w:id="8"/>
      </w:r>
    </w:p>
    <w:p w14:paraId="20D2223E">
      <w:pPr>
        <w:snapToGrid/>
        <w:spacing w:before="0" w:beforeLines="0" w:line="240" w:lineRule="auto"/>
        <w:ind w:firstLine="480" w:firstLineChars="200"/>
        <w:jc w:val="both"/>
        <w:rPr>
          <w:szCs w:val="24"/>
          <w:lang w:eastAsia="zh-CN"/>
        </w:rPr>
      </w:pPr>
    </w:p>
    <w:p w14:paraId="6BA025C0">
      <w:pPr>
        <w:snapToGrid/>
        <w:spacing w:before="0" w:beforeLines="0" w:line="240" w:lineRule="auto"/>
        <w:ind w:firstLine="480" w:firstLineChars="200"/>
        <w:jc w:val="both"/>
        <w:rPr>
          <w:szCs w:val="24"/>
          <w:lang w:eastAsia="zh-CN"/>
        </w:rPr>
      </w:pPr>
      <w:r>
        <w:rPr>
          <w:szCs w:val="24"/>
          <w:lang w:eastAsia="zh-CN"/>
        </w:rPr>
        <w:t>表1概述了FDA认为影响器械安全性或有效性的制造场所变更类型，以及应提交给FDA的申请类型。无论是否提交PMA补充申请，制造商均有责任在必要情况下根据QS法规确认变更。</w:t>
      </w:r>
    </w:p>
    <w:p w14:paraId="79D5232B">
      <w:pPr>
        <w:snapToGrid/>
        <w:spacing w:before="0" w:beforeLines="0" w:line="240" w:lineRule="auto"/>
        <w:jc w:val="both"/>
        <w:rPr>
          <w:szCs w:val="24"/>
          <w:lang w:eastAsia="zh-CN"/>
        </w:rPr>
      </w:pPr>
    </w:p>
    <w:p w14:paraId="030C4ABD">
      <w:pPr>
        <w:snapToGrid/>
        <w:spacing w:before="0" w:beforeLines="0" w:line="240" w:lineRule="auto"/>
        <w:jc w:val="both"/>
        <w:rPr>
          <w:szCs w:val="24"/>
          <w:lang w:eastAsia="zh-CN"/>
        </w:rPr>
      </w:pPr>
    </w:p>
    <w:p w14:paraId="099BEA16">
      <w:pPr>
        <w:snapToGrid/>
        <w:spacing w:before="0" w:beforeLines="0" w:line="240" w:lineRule="auto"/>
        <w:jc w:val="both"/>
        <w:rPr>
          <w:szCs w:val="24"/>
          <w:lang w:eastAsia="zh-CN"/>
        </w:rPr>
      </w:pPr>
    </w:p>
    <w:p w14:paraId="67C53509">
      <w:pPr>
        <w:snapToGrid/>
        <w:spacing w:before="0" w:beforeLines="0" w:line="240" w:lineRule="auto"/>
        <w:jc w:val="both"/>
        <w:rPr>
          <w:szCs w:val="24"/>
          <w:lang w:eastAsia="zh-CN"/>
        </w:rPr>
      </w:pPr>
      <w:r>
        <w:rPr>
          <w:szCs w:val="24"/>
          <w:lang w:eastAsia="zh-CN"/>
        </w:rPr>
        <w:br w:type="page"/>
      </w:r>
    </w:p>
    <w:p w14:paraId="2D0AB4DB">
      <w:pPr>
        <w:snapToGrid/>
        <w:spacing w:before="0" w:beforeLines="0" w:line="240" w:lineRule="auto"/>
        <w:jc w:val="center"/>
        <w:rPr>
          <w:b/>
          <w:szCs w:val="24"/>
          <w:lang w:eastAsia="zh-CN"/>
        </w:rPr>
      </w:pPr>
      <w:r>
        <w:rPr>
          <w:b/>
          <w:szCs w:val="24"/>
          <w:lang w:eastAsia="zh-CN"/>
        </w:rPr>
        <w:t>表1</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5783"/>
        <w:gridCol w:w="2022"/>
        <w:gridCol w:w="1663"/>
      </w:tblGrid>
      <w:tr w14:paraId="6AF0B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3054" w:type="pct"/>
            <w:shd w:val="clear" w:color="auto" w:fill="CDCDCD"/>
            <w:vAlign w:val="center"/>
          </w:tcPr>
          <w:p w14:paraId="2D2F8961">
            <w:pPr>
              <w:snapToGrid/>
              <w:spacing w:before="0" w:beforeLines="0" w:line="240" w:lineRule="auto"/>
              <w:jc w:val="both"/>
              <w:rPr>
                <w:b/>
                <w:sz w:val="21"/>
                <w:szCs w:val="21"/>
                <w:lang w:eastAsia="zh-CN"/>
              </w:rPr>
            </w:pPr>
            <w:r>
              <w:rPr>
                <w:b/>
                <w:sz w:val="21"/>
                <w:szCs w:val="21"/>
                <w:lang w:eastAsia="zh-CN"/>
              </w:rPr>
              <w:t>影响器械安全性或有效性的制造场所变更类型</w:t>
            </w:r>
          </w:p>
        </w:tc>
        <w:tc>
          <w:tcPr>
            <w:tcW w:w="1068" w:type="pct"/>
            <w:shd w:val="clear" w:color="auto" w:fill="CDCDCD"/>
            <w:vAlign w:val="center"/>
          </w:tcPr>
          <w:p w14:paraId="13B62C0D">
            <w:pPr>
              <w:snapToGrid/>
              <w:spacing w:before="0" w:beforeLines="0" w:line="240" w:lineRule="auto"/>
              <w:jc w:val="both"/>
              <w:rPr>
                <w:b/>
                <w:sz w:val="21"/>
                <w:szCs w:val="21"/>
              </w:rPr>
            </w:pPr>
            <w:r>
              <w:rPr>
                <w:b/>
                <w:sz w:val="21"/>
                <w:szCs w:val="21"/>
              </w:rPr>
              <w:t>场所变更补充申请</w:t>
            </w:r>
          </w:p>
        </w:tc>
        <w:tc>
          <w:tcPr>
            <w:tcW w:w="878" w:type="pct"/>
            <w:shd w:val="clear" w:color="auto" w:fill="CDCDCD"/>
            <w:vAlign w:val="center"/>
          </w:tcPr>
          <w:p w14:paraId="4EC4B215">
            <w:pPr>
              <w:snapToGrid/>
              <w:spacing w:before="0" w:beforeLines="0" w:line="240" w:lineRule="auto"/>
              <w:jc w:val="both"/>
              <w:rPr>
                <w:b/>
                <w:sz w:val="21"/>
                <w:szCs w:val="21"/>
                <w:lang w:eastAsia="zh-CN"/>
              </w:rPr>
            </w:pPr>
            <w:r>
              <w:rPr>
                <w:b/>
                <w:sz w:val="21"/>
                <w:szCs w:val="21"/>
              </w:rPr>
              <w:t>30天通知</w:t>
            </w:r>
            <w:r>
              <w:rPr>
                <w:rStyle w:val="20"/>
                <w:b/>
                <w:sz w:val="21"/>
                <w:szCs w:val="21"/>
              </w:rPr>
              <w:footnoteReference w:id="9"/>
            </w:r>
          </w:p>
        </w:tc>
      </w:tr>
      <w:tr w14:paraId="31347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3054" w:type="pct"/>
            <w:vAlign w:val="center"/>
          </w:tcPr>
          <w:p w14:paraId="2F543EBD">
            <w:pPr>
              <w:snapToGrid/>
              <w:spacing w:before="0" w:beforeLines="0" w:line="240" w:lineRule="auto"/>
              <w:ind w:left="357" w:hanging="357"/>
              <w:jc w:val="both"/>
              <w:rPr>
                <w:sz w:val="21"/>
                <w:szCs w:val="21"/>
                <w:lang w:eastAsia="zh-CN"/>
              </w:rPr>
            </w:pPr>
            <w:r>
              <w:rPr>
                <w:sz w:val="21"/>
                <w:szCs w:val="21"/>
                <w:lang w:eastAsia="zh-CN"/>
              </w:rPr>
              <w:t>1.</w:t>
            </w:r>
            <w:r>
              <w:rPr>
                <w:sz w:val="21"/>
                <w:szCs w:val="21"/>
                <w:lang w:eastAsia="zh-CN"/>
              </w:rPr>
              <w:tab/>
            </w:r>
            <w:r>
              <w:rPr>
                <w:sz w:val="21"/>
                <w:szCs w:val="21"/>
                <w:lang w:eastAsia="zh-CN"/>
              </w:rPr>
              <w:t>将成品器械的制造、处理或包装活动从一个场所转移至一个新制造场所，这两个场所均作为目标器械的PMA申请或PMA补充申请的组成部分获得批准。</w:t>
            </w:r>
          </w:p>
        </w:tc>
        <w:tc>
          <w:tcPr>
            <w:tcW w:w="1946" w:type="pct"/>
            <w:gridSpan w:val="2"/>
            <w:vAlign w:val="center"/>
          </w:tcPr>
          <w:p w14:paraId="4DF7A9A8">
            <w:pPr>
              <w:snapToGrid/>
              <w:spacing w:before="0" w:beforeLines="0" w:line="240" w:lineRule="auto"/>
              <w:jc w:val="both"/>
              <w:rPr>
                <w:sz w:val="21"/>
                <w:szCs w:val="21"/>
                <w:lang w:eastAsia="zh-CN"/>
              </w:rPr>
            </w:pPr>
          </w:p>
        </w:tc>
      </w:tr>
      <w:tr w14:paraId="669F5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3054" w:type="pct"/>
            <w:vAlign w:val="center"/>
          </w:tcPr>
          <w:p w14:paraId="45236447">
            <w:pPr>
              <w:snapToGrid/>
              <w:spacing w:before="0" w:beforeLines="0" w:line="240" w:lineRule="auto"/>
              <w:ind w:left="717" w:hanging="360"/>
              <w:jc w:val="both"/>
              <w:rPr>
                <w:sz w:val="21"/>
                <w:szCs w:val="21"/>
                <w:lang w:eastAsia="zh-CN"/>
              </w:rPr>
            </w:pPr>
            <w:r>
              <w:rPr>
                <w:sz w:val="21"/>
                <w:szCs w:val="21"/>
                <w:lang w:eastAsia="zh-CN"/>
              </w:rPr>
              <w:t>a.</w:t>
            </w:r>
            <w:r>
              <w:rPr>
                <w:sz w:val="21"/>
                <w:szCs w:val="21"/>
                <w:lang w:eastAsia="zh-CN"/>
              </w:rPr>
              <w:tab/>
            </w:r>
            <w:r>
              <w:rPr>
                <w:sz w:val="21"/>
                <w:szCs w:val="21"/>
                <w:lang w:eastAsia="zh-CN"/>
              </w:rPr>
              <w:t>如果转移活动已在新制造场所进行。</w:t>
            </w:r>
          </w:p>
        </w:tc>
        <w:tc>
          <w:tcPr>
            <w:tcW w:w="1068" w:type="pct"/>
            <w:vAlign w:val="center"/>
          </w:tcPr>
          <w:p w14:paraId="79CAC02C">
            <w:pPr>
              <w:snapToGrid/>
              <w:spacing w:before="0" w:beforeLines="0" w:line="240" w:lineRule="auto"/>
              <w:jc w:val="center"/>
              <w:rPr>
                <w:vanish/>
                <w:sz w:val="21"/>
                <w:szCs w:val="21"/>
                <w:lang w:eastAsia="zh-CN"/>
              </w:rPr>
            </w:pPr>
          </w:p>
        </w:tc>
        <w:tc>
          <w:tcPr>
            <w:tcW w:w="878" w:type="pct"/>
            <w:vAlign w:val="center"/>
          </w:tcPr>
          <w:p w14:paraId="723B43A7">
            <w:pPr>
              <w:snapToGrid/>
              <w:spacing w:before="0" w:beforeLines="0" w:line="240" w:lineRule="auto"/>
              <w:jc w:val="center"/>
              <w:rPr>
                <w:b/>
                <w:sz w:val="21"/>
                <w:szCs w:val="21"/>
              </w:rPr>
            </w:pPr>
            <w:r>
              <w:rPr>
                <w:b/>
                <w:sz w:val="21"/>
                <w:szCs w:val="21"/>
              </w:rPr>
              <w:t>√</w:t>
            </w:r>
          </w:p>
        </w:tc>
      </w:tr>
      <w:tr w14:paraId="60296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3054" w:type="pct"/>
            <w:vAlign w:val="center"/>
          </w:tcPr>
          <w:p w14:paraId="0AFDC478">
            <w:pPr>
              <w:snapToGrid/>
              <w:spacing w:before="0" w:beforeLines="0" w:line="240" w:lineRule="auto"/>
              <w:ind w:left="717" w:hanging="360"/>
              <w:jc w:val="both"/>
              <w:rPr>
                <w:sz w:val="21"/>
                <w:szCs w:val="21"/>
                <w:lang w:eastAsia="zh-CN"/>
              </w:rPr>
            </w:pPr>
            <w:r>
              <w:rPr>
                <w:sz w:val="21"/>
                <w:szCs w:val="21"/>
                <w:lang w:eastAsia="zh-CN"/>
              </w:rPr>
              <w:t>b.</w:t>
            </w:r>
            <w:r>
              <w:rPr>
                <w:sz w:val="21"/>
                <w:szCs w:val="21"/>
                <w:lang w:eastAsia="zh-CN"/>
              </w:rPr>
              <w:tab/>
            </w:r>
            <w:r>
              <w:rPr>
                <w:sz w:val="21"/>
                <w:szCs w:val="21"/>
                <w:lang w:eastAsia="zh-CN"/>
              </w:rPr>
              <w:t>如果转移活动尚未在新制造场所进行</w:t>
            </w:r>
          </w:p>
        </w:tc>
        <w:tc>
          <w:tcPr>
            <w:tcW w:w="1068" w:type="pct"/>
            <w:vAlign w:val="center"/>
          </w:tcPr>
          <w:p w14:paraId="4466E6BE">
            <w:pPr>
              <w:snapToGrid/>
              <w:spacing w:before="0" w:beforeLines="0" w:line="240" w:lineRule="auto"/>
              <w:jc w:val="center"/>
              <w:rPr>
                <w:b/>
                <w:vanish/>
                <w:sz w:val="21"/>
                <w:szCs w:val="21"/>
              </w:rPr>
            </w:pPr>
            <w:r>
              <w:rPr>
                <w:b/>
                <w:sz w:val="21"/>
                <w:szCs w:val="21"/>
              </w:rPr>
              <w:t>√</w:t>
            </w:r>
          </w:p>
        </w:tc>
        <w:tc>
          <w:tcPr>
            <w:tcW w:w="878" w:type="pct"/>
            <w:vAlign w:val="center"/>
          </w:tcPr>
          <w:p w14:paraId="3AAED4E0">
            <w:pPr>
              <w:snapToGrid/>
              <w:spacing w:before="0" w:beforeLines="0" w:line="240" w:lineRule="auto"/>
              <w:jc w:val="center"/>
              <w:rPr>
                <w:sz w:val="21"/>
                <w:szCs w:val="21"/>
              </w:rPr>
            </w:pPr>
          </w:p>
        </w:tc>
      </w:tr>
      <w:tr w14:paraId="51B09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3054" w:type="pct"/>
            <w:vAlign w:val="center"/>
          </w:tcPr>
          <w:p w14:paraId="2F0714E3">
            <w:pPr>
              <w:snapToGrid/>
              <w:spacing w:before="0" w:beforeLines="0" w:line="240" w:lineRule="auto"/>
              <w:ind w:left="357" w:hanging="357"/>
              <w:jc w:val="both"/>
              <w:rPr>
                <w:sz w:val="21"/>
                <w:szCs w:val="21"/>
                <w:lang w:eastAsia="zh-CN"/>
              </w:rPr>
            </w:pPr>
            <w:r>
              <w:rPr>
                <w:sz w:val="21"/>
                <w:szCs w:val="21"/>
                <w:lang w:eastAsia="zh-CN"/>
              </w:rPr>
              <w:t>2.</w:t>
            </w:r>
            <w:r>
              <w:rPr>
                <w:sz w:val="21"/>
                <w:szCs w:val="21"/>
                <w:lang w:eastAsia="zh-CN"/>
              </w:rPr>
              <w:tab/>
            </w:r>
            <w:r>
              <w:rPr>
                <w:sz w:val="21"/>
                <w:szCs w:val="21"/>
                <w:lang w:eastAsia="zh-CN"/>
              </w:rPr>
              <w:t>将成品器械的制造、处理或包装活动转移至不属于目标器械的PMA申请或PMA补充申请的新制造场所。</w:t>
            </w:r>
          </w:p>
        </w:tc>
        <w:tc>
          <w:tcPr>
            <w:tcW w:w="1068" w:type="pct"/>
            <w:vAlign w:val="center"/>
          </w:tcPr>
          <w:p w14:paraId="3DB92779">
            <w:pPr>
              <w:snapToGrid/>
              <w:spacing w:before="0" w:beforeLines="0" w:line="240" w:lineRule="auto"/>
              <w:jc w:val="center"/>
              <w:rPr>
                <w:b/>
                <w:vanish/>
                <w:sz w:val="21"/>
                <w:szCs w:val="21"/>
              </w:rPr>
            </w:pPr>
            <w:r>
              <w:rPr>
                <w:b/>
                <w:sz w:val="21"/>
                <w:szCs w:val="21"/>
              </w:rPr>
              <w:t>√</w:t>
            </w:r>
          </w:p>
        </w:tc>
        <w:tc>
          <w:tcPr>
            <w:tcW w:w="878" w:type="pct"/>
            <w:vAlign w:val="center"/>
          </w:tcPr>
          <w:p w14:paraId="032C3317">
            <w:pPr>
              <w:snapToGrid/>
              <w:spacing w:before="0" w:beforeLines="0" w:line="240" w:lineRule="auto"/>
              <w:jc w:val="center"/>
              <w:rPr>
                <w:sz w:val="21"/>
                <w:szCs w:val="21"/>
              </w:rPr>
            </w:pPr>
          </w:p>
        </w:tc>
      </w:tr>
      <w:tr w14:paraId="1CF88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3054" w:type="pct"/>
            <w:vAlign w:val="center"/>
          </w:tcPr>
          <w:p w14:paraId="7F73751D">
            <w:pPr>
              <w:snapToGrid/>
              <w:spacing w:before="0" w:beforeLines="0" w:line="240" w:lineRule="auto"/>
              <w:ind w:left="357" w:hanging="357"/>
              <w:jc w:val="both"/>
              <w:rPr>
                <w:sz w:val="21"/>
                <w:szCs w:val="21"/>
                <w:lang w:eastAsia="zh-CN"/>
              </w:rPr>
            </w:pPr>
            <w:r>
              <w:rPr>
                <w:sz w:val="21"/>
                <w:szCs w:val="21"/>
                <w:lang w:eastAsia="zh-CN"/>
              </w:rPr>
              <w:t>3.</w:t>
            </w:r>
            <w:r>
              <w:rPr>
                <w:sz w:val="21"/>
                <w:szCs w:val="21"/>
                <w:lang w:eastAsia="zh-CN"/>
              </w:rPr>
              <w:tab/>
            </w:r>
            <w:r>
              <w:rPr>
                <w:sz w:val="21"/>
                <w:szCs w:val="21"/>
                <w:lang w:eastAsia="zh-CN"/>
              </w:rPr>
              <w:t>将成品器械的制造、处理或包装活动从PMA申请或PMA补充申请中包括的合同制造商转移至PMA申请或PMA补充申请中之前已获批的内部设施：</w:t>
            </w:r>
          </w:p>
        </w:tc>
        <w:tc>
          <w:tcPr>
            <w:tcW w:w="1946" w:type="pct"/>
            <w:gridSpan w:val="2"/>
            <w:vAlign w:val="center"/>
          </w:tcPr>
          <w:p w14:paraId="0B60D5D8">
            <w:pPr>
              <w:snapToGrid/>
              <w:spacing w:before="0" w:beforeLines="0" w:line="240" w:lineRule="auto"/>
              <w:jc w:val="center"/>
              <w:rPr>
                <w:sz w:val="21"/>
                <w:szCs w:val="21"/>
                <w:lang w:eastAsia="zh-CN"/>
              </w:rPr>
            </w:pPr>
          </w:p>
        </w:tc>
      </w:tr>
      <w:tr w14:paraId="533D9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3054" w:type="pct"/>
            <w:vAlign w:val="center"/>
          </w:tcPr>
          <w:p w14:paraId="045868D4">
            <w:pPr>
              <w:snapToGrid/>
              <w:spacing w:before="0" w:beforeLines="0" w:line="240" w:lineRule="auto"/>
              <w:ind w:left="717" w:hanging="360"/>
              <w:jc w:val="both"/>
              <w:rPr>
                <w:sz w:val="21"/>
                <w:szCs w:val="21"/>
                <w:lang w:eastAsia="zh-CN"/>
              </w:rPr>
            </w:pPr>
            <w:r>
              <w:rPr>
                <w:sz w:val="21"/>
                <w:szCs w:val="21"/>
                <w:lang w:eastAsia="zh-CN"/>
              </w:rPr>
              <w:t>a.</w:t>
            </w:r>
            <w:r>
              <w:rPr>
                <w:sz w:val="21"/>
                <w:szCs w:val="21"/>
                <w:lang w:eastAsia="zh-CN"/>
              </w:rPr>
              <w:tab/>
            </w:r>
            <w:r>
              <w:rPr>
                <w:sz w:val="21"/>
                <w:szCs w:val="21"/>
                <w:lang w:eastAsia="zh-CN"/>
              </w:rPr>
              <w:t>对于内部已进行的成品器械活动。</w:t>
            </w:r>
          </w:p>
        </w:tc>
        <w:tc>
          <w:tcPr>
            <w:tcW w:w="1068" w:type="pct"/>
            <w:vAlign w:val="center"/>
          </w:tcPr>
          <w:p w14:paraId="4EBA43A3">
            <w:pPr>
              <w:snapToGrid/>
              <w:spacing w:before="0" w:beforeLines="0" w:line="240" w:lineRule="auto"/>
              <w:jc w:val="center"/>
              <w:rPr>
                <w:vanish/>
                <w:sz w:val="21"/>
                <w:szCs w:val="21"/>
                <w:lang w:eastAsia="zh-CN"/>
              </w:rPr>
            </w:pPr>
          </w:p>
        </w:tc>
        <w:tc>
          <w:tcPr>
            <w:tcW w:w="878" w:type="pct"/>
            <w:vAlign w:val="center"/>
          </w:tcPr>
          <w:p w14:paraId="5AC1AE03">
            <w:pPr>
              <w:snapToGrid/>
              <w:spacing w:before="0" w:beforeLines="0" w:line="240" w:lineRule="auto"/>
              <w:jc w:val="center"/>
              <w:rPr>
                <w:b/>
                <w:sz w:val="21"/>
                <w:szCs w:val="21"/>
              </w:rPr>
            </w:pPr>
            <w:r>
              <w:rPr>
                <w:b/>
                <w:sz w:val="21"/>
                <w:szCs w:val="21"/>
              </w:rPr>
              <w:t>√</w:t>
            </w:r>
          </w:p>
        </w:tc>
      </w:tr>
      <w:tr w14:paraId="4B4A1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3054" w:type="pct"/>
            <w:vAlign w:val="center"/>
          </w:tcPr>
          <w:p w14:paraId="7C921693">
            <w:pPr>
              <w:snapToGrid/>
              <w:spacing w:before="0" w:beforeLines="0" w:line="240" w:lineRule="auto"/>
              <w:ind w:left="717" w:hanging="360"/>
              <w:jc w:val="both"/>
              <w:rPr>
                <w:sz w:val="21"/>
                <w:szCs w:val="21"/>
                <w:lang w:eastAsia="zh-CN"/>
              </w:rPr>
            </w:pPr>
            <w:r>
              <w:rPr>
                <w:sz w:val="21"/>
                <w:szCs w:val="21"/>
                <w:lang w:eastAsia="zh-CN"/>
              </w:rPr>
              <w:t>b.</w:t>
            </w:r>
            <w:r>
              <w:rPr>
                <w:sz w:val="21"/>
                <w:szCs w:val="21"/>
                <w:lang w:eastAsia="zh-CN"/>
              </w:rPr>
              <w:tab/>
            </w:r>
            <w:r>
              <w:rPr>
                <w:sz w:val="21"/>
                <w:szCs w:val="21"/>
                <w:lang w:eastAsia="zh-CN"/>
              </w:rPr>
              <w:t>对于尚未在内部进行的成品器械活动。</w:t>
            </w:r>
          </w:p>
        </w:tc>
        <w:tc>
          <w:tcPr>
            <w:tcW w:w="1068" w:type="pct"/>
            <w:vAlign w:val="center"/>
          </w:tcPr>
          <w:p w14:paraId="0B78FD11">
            <w:pPr>
              <w:snapToGrid/>
              <w:spacing w:before="0" w:beforeLines="0" w:line="240" w:lineRule="auto"/>
              <w:jc w:val="center"/>
              <w:rPr>
                <w:b/>
                <w:vanish/>
                <w:sz w:val="21"/>
                <w:szCs w:val="21"/>
              </w:rPr>
            </w:pPr>
            <w:r>
              <w:rPr>
                <w:b/>
                <w:sz w:val="21"/>
                <w:szCs w:val="21"/>
              </w:rPr>
              <w:t>√</w:t>
            </w:r>
          </w:p>
        </w:tc>
        <w:tc>
          <w:tcPr>
            <w:tcW w:w="878" w:type="pct"/>
            <w:vAlign w:val="center"/>
          </w:tcPr>
          <w:p w14:paraId="3B912BCD">
            <w:pPr>
              <w:snapToGrid/>
              <w:spacing w:before="0" w:beforeLines="0" w:line="240" w:lineRule="auto"/>
              <w:jc w:val="center"/>
              <w:rPr>
                <w:sz w:val="21"/>
                <w:szCs w:val="21"/>
              </w:rPr>
            </w:pPr>
          </w:p>
        </w:tc>
      </w:tr>
      <w:tr w14:paraId="05E7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3054" w:type="pct"/>
            <w:vAlign w:val="center"/>
          </w:tcPr>
          <w:p w14:paraId="74F72266">
            <w:pPr>
              <w:snapToGrid/>
              <w:spacing w:before="0" w:beforeLines="0" w:line="240" w:lineRule="auto"/>
              <w:ind w:left="357" w:hanging="357"/>
              <w:jc w:val="both"/>
              <w:rPr>
                <w:sz w:val="21"/>
                <w:szCs w:val="21"/>
                <w:lang w:eastAsia="zh-CN"/>
              </w:rPr>
            </w:pPr>
            <w:r>
              <w:rPr>
                <w:sz w:val="21"/>
                <w:szCs w:val="21"/>
                <w:lang w:eastAsia="zh-CN"/>
              </w:rPr>
              <w:t>4.</w:t>
            </w:r>
            <w:r>
              <w:rPr>
                <w:sz w:val="21"/>
                <w:szCs w:val="21"/>
                <w:lang w:eastAsia="zh-CN"/>
              </w:rPr>
              <w:tab/>
            </w:r>
            <w:r>
              <w:rPr>
                <w:sz w:val="21"/>
                <w:szCs w:val="21"/>
                <w:lang w:eastAsia="zh-CN"/>
              </w:rPr>
              <w:t>将成品器械的制造、处理或包装活动从一个设施转移至相同机构内具有相同FEI的另一个机构。</w:t>
            </w:r>
          </w:p>
        </w:tc>
        <w:tc>
          <w:tcPr>
            <w:tcW w:w="1068" w:type="pct"/>
            <w:vAlign w:val="center"/>
          </w:tcPr>
          <w:p w14:paraId="47EFA761">
            <w:pPr>
              <w:snapToGrid/>
              <w:spacing w:before="0" w:beforeLines="0" w:line="240" w:lineRule="auto"/>
              <w:jc w:val="center"/>
              <w:rPr>
                <w:vanish/>
                <w:sz w:val="21"/>
                <w:szCs w:val="21"/>
                <w:lang w:eastAsia="zh-CN"/>
              </w:rPr>
            </w:pPr>
          </w:p>
        </w:tc>
        <w:tc>
          <w:tcPr>
            <w:tcW w:w="878" w:type="pct"/>
            <w:vAlign w:val="center"/>
          </w:tcPr>
          <w:p w14:paraId="4FF505AF">
            <w:pPr>
              <w:snapToGrid/>
              <w:spacing w:before="0" w:beforeLines="0" w:line="240" w:lineRule="auto"/>
              <w:jc w:val="center"/>
              <w:rPr>
                <w:b/>
                <w:sz w:val="21"/>
                <w:szCs w:val="21"/>
              </w:rPr>
            </w:pPr>
            <w:r>
              <w:rPr>
                <w:b/>
                <w:sz w:val="21"/>
                <w:szCs w:val="21"/>
              </w:rPr>
              <w:t>√</w:t>
            </w:r>
          </w:p>
        </w:tc>
      </w:tr>
      <w:tr w14:paraId="526B6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3054" w:type="pct"/>
            <w:vAlign w:val="center"/>
          </w:tcPr>
          <w:p w14:paraId="2EBF0AD3">
            <w:pPr>
              <w:snapToGrid/>
              <w:spacing w:before="0" w:beforeLines="0" w:line="240" w:lineRule="auto"/>
              <w:ind w:left="357" w:hanging="357"/>
              <w:jc w:val="both"/>
              <w:rPr>
                <w:sz w:val="21"/>
                <w:szCs w:val="21"/>
                <w:lang w:eastAsia="zh-CN"/>
              </w:rPr>
            </w:pPr>
            <w:r>
              <w:rPr>
                <w:sz w:val="21"/>
                <w:szCs w:val="21"/>
                <w:lang w:eastAsia="zh-CN"/>
              </w:rPr>
              <w:t>5.</w:t>
            </w:r>
            <w:r>
              <w:rPr>
                <w:sz w:val="21"/>
                <w:szCs w:val="21"/>
                <w:lang w:eastAsia="zh-CN"/>
              </w:rPr>
              <w:tab/>
            </w:r>
            <w:r>
              <w:rPr>
                <w:sz w:val="21"/>
                <w:szCs w:val="21"/>
                <w:lang w:eastAsia="zh-CN"/>
              </w:rPr>
              <w:t>将成品器械的制造、处理或包装活动转移至附近的建筑物（如办公园区），且新建筑物的FEI不同。</w:t>
            </w:r>
          </w:p>
        </w:tc>
        <w:tc>
          <w:tcPr>
            <w:tcW w:w="1068" w:type="pct"/>
            <w:vAlign w:val="center"/>
          </w:tcPr>
          <w:p w14:paraId="720F0B47">
            <w:pPr>
              <w:snapToGrid/>
              <w:spacing w:before="0" w:beforeLines="0" w:line="240" w:lineRule="auto"/>
              <w:jc w:val="center"/>
              <w:rPr>
                <w:b/>
                <w:vanish/>
                <w:sz w:val="21"/>
                <w:szCs w:val="21"/>
              </w:rPr>
            </w:pPr>
            <w:r>
              <w:rPr>
                <w:b/>
                <w:sz w:val="21"/>
                <w:szCs w:val="21"/>
              </w:rPr>
              <w:t>√</w:t>
            </w:r>
          </w:p>
        </w:tc>
        <w:tc>
          <w:tcPr>
            <w:tcW w:w="878" w:type="pct"/>
            <w:vAlign w:val="center"/>
          </w:tcPr>
          <w:p w14:paraId="46309FB3">
            <w:pPr>
              <w:snapToGrid/>
              <w:spacing w:before="0" w:beforeLines="0" w:line="240" w:lineRule="auto"/>
              <w:jc w:val="center"/>
              <w:rPr>
                <w:sz w:val="21"/>
                <w:szCs w:val="21"/>
              </w:rPr>
            </w:pPr>
          </w:p>
        </w:tc>
      </w:tr>
      <w:tr w14:paraId="2D785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3054" w:type="pct"/>
            <w:vAlign w:val="center"/>
          </w:tcPr>
          <w:p w14:paraId="7D8476C4">
            <w:pPr>
              <w:snapToGrid/>
              <w:spacing w:before="0" w:beforeLines="0" w:line="240" w:lineRule="auto"/>
              <w:ind w:left="357" w:hanging="357"/>
              <w:jc w:val="both"/>
              <w:rPr>
                <w:sz w:val="21"/>
                <w:szCs w:val="21"/>
                <w:lang w:eastAsia="zh-CN"/>
              </w:rPr>
            </w:pPr>
            <w:r>
              <w:rPr>
                <w:sz w:val="21"/>
                <w:szCs w:val="21"/>
                <w:lang w:eastAsia="zh-CN"/>
              </w:rPr>
              <w:t>6.</w:t>
            </w:r>
            <w:r>
              <w:rPr>
                <w:sz w:val="21"/>
                <w:szCs w:val="21"/>
                <w:lang w:eastAsia="zh-CN"/>
              </w:rPr>
              <w:tab/>
            </w:r>
            <w:r>
              <w:rPr>
                <w:sz w:val="21"/>
                <w:szCs w:val="21"/>
                <w:lang w:eastAsia="zh-CN"/>
              </w:rPr>
              <w:t>将成品器械的制造、处理或包装活动转移至未获批准作为PMA或PMA补充申请的合同制造商。</w:t>
            </w:r>
          </w:p>
        </w:tc>
        <w:tc>
          <w:tcPr>
            <w:tcW w:w="1068" w:type="pct"/>
            <w:vAlign w:val="center"/>
          </w:tcPr>
          <w:p w14:paraId="5DCD438C">
            <w:pPr>
              <w:snapToGrid/>
              <w:spacing w:before="0" w:beforeLines="0" w:line="240" w:lineRule="auto"/>
              <w:jc w:val="center"/>
              <w:rPr>
                <w:b/>
                <w:vanish/>
                <w:sz w:val="21"/>
                <w:szCs w:val="21"/>
              </w:rPr>
            </w:pPr>
            <w:r>
              <w:rPr>
                <w:b/>
                <w:sz w:val="21"/>
                <w:szCs w:val="21"/>
              </w:rPr>
              <w:t>√</w:t>
            </w:r>
          </w:p>
        </w:tc>
        <w:tc>
          <w:tcPr>
            <w:tcW w:w="878" w:type="pct"/>
            <w:vAlign w:val="center"/>
          </w:tcPr>
          <w:p w14:paraId="26A545ED">
            <w:pPr>
              <w:snapToGrid/>
              <w:spacing w:before="0" w:beforeLines="0" w:line="240" w:lineRule="auto"/>
              <w:jc w:val="center"/>
              <w:rPr>
                <w:sz w:val="21"/>
                <w:szCs w:val="21"/>
              </w:rPr>
            </w:pPr>
          </w:p>
        </w:tc>
      </w:tr>
      <w:tr w14:paraId="53FB3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51" w:hRule="atLeast"/>
          <w:jc w:val="center"/>
        </w:trPr>
        <w:tc>
          <w:tcPr>
            <w:tcW w:w="3054" w:type="pct"/>
            <w:vAlign w:val="center"/>
          </w:tcPr>
          <w:p w14:paraId="71291D1F">
            <w:pPr>
              <w:snapToGrid/>
              <w:spacing w:before="0" w:beforeLines="0" w:line="240" w:lineRule="auto"/>
              <w:ind w:left="357" w:hanging="357"/>
              <w:jc w:val="both"/>
              <w:rPr>
                <w:sz w:val="21"/>
                <w:szCs w:val="21"/>
                <w:lang w:eastAsia="zh-CN"/>
              </w:rPr>
            </w:pPr>
            <w:r>
              <w:rPr>
                <w:sz w:val="21"/>
                <w:szCs w:val="21"/>
                <w:lang w:eastAsia="zh-CN"/>
              </w:rPr>
              <w:t>7.</w:t>
            </w:r>
            <w:r>
              <w:rPr>
                <w:sz w:val="21"/>
                <w:szCs w:val="21"/>
                <w:lang w:eastAsia="zh-CN"/>
              </w:rPr>
              <w:tab/>
            </w:r>
            <w:r>
              <w:rPr>
                <w:sz w:val="21"/>
                <w:szCs w:val="21"/>
                <w:lang w:eastAsia="zh-CN"/>
              </w:rPr>
              <w:t>转移对成品器械的功能、操作或规范至关重要的组件的制造或处理。</w:t>
            </w:r>
          </w:p>
        </w:tc>
        <w:tc>
          <w:tcPr>
            <w:tcW w:w="1068" w:type="pct"/>
            <w:vAlign w:val="center"/>
          </w:tcPr>
          <w:p w14:paraId="514F1330">
            <w:pPr>
              <w:snapToGrid/>
              <w:spacing w:before="0" w:beforeLines="0" w:line="240" w:lineRule="auto"/>
              <w:jc w:val="center"/>
              <w:rPr>
                <w:vanish/>
                <w:sz w:val="21"/>
                <w:szCs w:val="21"/>
                <w:lang w:eastAsia="zh-CN"/>
              </w:rPr>
            </w:pPr>
          </w:p>
        </w:tc>
        <w:tc>
          <w:tcPr>
            <w:tcW w:w="878" w:type="pct"/>
            <w:vAlign w:val="center"/>
          </w:tcPr>
          <w:p w14:paraId="61A00C0D">
            <w:pPr>
              <w:snapToGrid/>
              <w:spacing w:before="0" w:beforeLines="0" w:line="240" w:lineRule="auto"/>
              <w:jc w:val="center"/>
              <w:rPr>
                <w:b/>
                <w:sz w:val="21"/>
                <w:szCs w:val="21"/>
              </w:rPr>
            </w:pPr>
            <w:r>
              <w:rPr>
                <w:b/>
                <w:sz w:val="21"/>
                <w:szCs w:val="21"/>
              </w:rPr>
              <w:t>√</w:t>
            </w:r>
          </w:p>
        </w:tc>
      </w:tr>
    </w:tbl>
    <w:p w14:paraId="34CAEA51">
      <w:pPr>
        <w:snapToGrid/>
        <w:spacing w:before="0" w:beforeLines="0" w:line="240" w:lineRule="auto"/>
        <w:jc w:val="both"/>
        <w:rPr>
          <w:b/>
          <w:szCs w:val="24"/>
          <w:lang w:eastAsia="zh-CN"/>
        </w:rPr>
      </w:pPr>
      <w:r>
        <w:rPr>
          <w:b/>
          <w:szCs w:val="24"/>
          <w:lang w:eastAsia="zh-CN"/>
        </w:rPr>
        <w:br w:type="page"/>
      </w:r>
    </w:p>
    <w:p w14:paraId="66DF7C02">
      <w:pPr>
        <w:snapToGrid/>
        <w:spacing w:before="0" w:beforeLines="0" w:line="240" w:lineRule="auto"/>
        <w:jc w:val="both"/>
        <w:rPr>
          <w:b/>
          <w:szCs w:val="24"/>
          <w:lang w:eastAsia="zh-CN"/>
        </w:rPr>
      </w:pPr>
      <w:r>
        <w:rPr>
          <w:b/>
          <w:szCs w:val="24"/>
          <w:lang w:eastAsia="zh-CN"/>
        </w:rPr>
        <w:t>与表1中确定的每种情况相对应的说明示例如下所示。</w:t>
      </w:r>
    </w:p>
    <w:p w14:paraId="38785D3F">
      <w:pPr>
        <w:snapToGrid/>
        <w:spacing w:before="0" w:beforeLines="0" w:line="240" w:lineRule="auto"/>
        <w:jc w:val="both"/>
        <w:rPr>
          <w:b/>
          <w:szCs w:val="24"/>
          <w:lang w:eastAsia="zh-CN"/>
        </w:rPr>
      </w:pPr>
    </w:p>
    <w:p w14:paraId="26A534BE">
      <w:pPr>
        <w:numPr>
          <w:ilvl w:val="0"/>
          <w:numId w:val="6"/>
        </w:numPr>
        <w:tabs>
          <w:tab w:val="left" w:pos="600"/>
        </w:tabs>
        <w:snapToGrid/>
        <w:spacing w:before="0" w:beforeLines="0" w:line="240" w:lineRule="auto"/>
        <w:ind w:left="357" w:hanging="357"/>
        <w:jc w:val="both"/>
        <w:rPr>
          <w:b/>
          <w:szCs w:val="24"/>
          <w:lang w:eastAsia="zh-CN"/>
        </w:rPr>
      </w:pPr>
      <w:r>
        <w:rPr>
          <w:szCs w:val="24"/>
          <w:lang w:eastAsia="zh-CN"/>
        </w:rPr>
        <w:t>将成品器械的制造、处理或包装活动从一个场所转移至一个新制造场所，这两个场所均作为目标器械的PMA申请或PMA补充申请的组成部分获得批准：</w:t>
      </w:r>
    </w:p>
    <w:p w14:paraId="7C9E009E">
      <w:pPr>
        <w:tabs>
          <w:tab w:val="left" w:pos="960"/>
        </w:tabs>
        <w:snapToGrid/>
        <w:spacing w:before="0" w:beforeLines="0" w:line="240" w:lineRule="auto"/>
        <w:ind w:left="714"/>
        <w:jc w:val="both"/>
        <w:rPr>
          <w:szCs w:val="24"/>
          <w:lang w:eastAsia="zh-CN"/>
        </w:rPr>
      </w:pPr>
    </w:p>
    <w:p w14:paraId="2AE51299">
      <w:pPr>
        <w:numPr>
          <w:ilvl w:val="1"/>
          <w:numId w:val="6"/>
        </w:numPr>
        <w:tabs>
          <w:tab w:val="left" w:pos="960"/>
        </w:tabs>
        <w:snapToGrid/>
        <w:spacing w:before="0" w:beforeLines="0" w:line="240" w:lineRule="auto"/>
        <w:ind w:left="714" w:hanging="357"/>
        <w:jc w:val="both"/>
        <w:rPr>
          <w:szCs w:val="24"/>
          <w:lang w:eastAsia="zh-CN"/>
        </w:rPr>
      </w:pPr>
      <w:r>
        <w:rPr>
          <w:szCs w:val="24"/>
          <w:lang w:eastAsia="zh-CN"/>
        </w:rPr>
        <w:t>如果转移活动已在器械的新制造场所进行：</w:t>
      </w:r>
    </w:p>
    <w:p w14:paraId="6424E1DE">
      <w:pPr>
        <w:snapToGrid/>
        <w:spacing w:before="0" w:beforeLines="0" w:line="240" w:lineRule="auto"/>
        <w:ind w:left="1440" w:firstLine="480" w:firstLineChars="200"/>
        <w:jc w:val="both"/>
        <w:rPr>
          <w:szCs w:val="24"/>
          <w:lang w:eastAsia="zh-CN"/>
        </w:rPr>
      </w:pPr>
    </w:p>
    <w:p w14:paraId="31074C8D">
      <w:pPr>
        <w:snapToGrid/>
        <w:spacing w:before="0" w:beforeLines="0" w:line="240" w:lineRule="auto"/>
        <w:ind w:left="1440" w:firstLine="480" w:firstLineChars="200"/>
        <w:jc w:val="both"/>
        <w:rPr>
          <w:szCs w:val="24"/>
          <w:lang w:eastAsia="zh-CN"/>
        </w:rPr>
      </w:pPr>
      <w:r>
        <w:rPr>
          <w:szCs w:val="24"/>
          <w:lang w:eastAsia="zh-CN"/>
        </w:rPr>
        <w:t>例如，申请人ABC在原始PMA中有两个场所获批准。这两个场所均制造心血管导管。ABC计划将两条心血管导管制造线转移并合并到两个获批场所中的一个，这可能会影响器械的安全性或有效性。应提交30天通知。</w:t>
      </w:r>
    </w:p>
    <w:p w14:paraId="548A9938">
      <w:pPr>
        <w:tabs>
          <w:tab w:val="left" w:pos="960"/>
        </w:tabs>
        <w:snapToGrid/>
        <w:spacing w:before="0" w:beforeLines="0" w:line="240" w:lineRule="auto"/>
        <w:ind w:left="714"/>
        <w:jc w:val="both"/>
        <w:rPr>
          <w:szCs w:val="24"/>
          <w:lang w:eastAsia="zh-CN"/>
        </w:rPr>
      </w:pPr>
    </w:p>
    <w:p w14:paraId="00109651">
      <w:pPr>
        <w:numPr>
          <w:ilvl w:val="1"/>
          <w:numId w:val="6"/>
        </w:numPr>
        <w:tabs>
          <w:tab w:val="left" w:pos="960"/>
        </w:tabs>
        <w:snapToGrid/>
        <w:spacing w:before="0" w:beforeLines="0" w:line="240" w:lineRule="auto"/>
        <w:ind w:left="714" w:hanging="357"/>
        <w:jc w:val="both"/>
        <w:rPr>
          <w:szCs w:val="24"/>
          <w:lang w:eastAsia="zh-CN"/>
        </w:rPr>
      </w:pPr>
      <w:r>
        <w:rPr>
          <w:szCs w:val="24"/>
          <w:lang w:eastAsia="zh-CN"/>
        </w:rPr>
        <w:t>如果转移活动尚未在新制造场所进行：</w:t>
      </w:r>
    </w:p>
    <w:p w14:paraId="75F9EA65">
      <w:pPr>
        <w:snapToGrid/>
        <w:spacing w:before="0" w:beforeLines="0" w:line="240" w:lineRule="auto"/>
        <w:ind w:left="1440" w:firstLine="480" w:firstLineChars="200"/>
        <w:jc w:val="both"/>
        <w:rPr>
          <w:szCs w:val="24"/>
          <w:lang w:eastAsia="zh-CN"/>
        </w:rPr>
      </w:pPr>
    </w:p>
    <w:p w14:paraId="176353C8">
      <w:pPr>
        <w:snapToGrid/>
        <w:spacing w:before="0" w:beforeLines="0" w:line="240" w:lineRule="auto"/>
        <w:ind w:left="1440" w:firstLine="480" w:firstLineChars="200"/>
        <w:jc w:val="both"/>
        <w:rPr>
          <w:szCs w:val="24"/>
        </w:rPr>
      </w:pPr>
      <w:r>
        <w:rPr>
          <w:szCs w:val="24"/>
          <w:lang w:eastAsia="zh-CN"/>
        </w:rPr>
        <w:t>例如，申请人ABC的PMA申请获得批准，其中包括在该公司的纽约州某镇制造心血管导管，在该公司的加州某地场所进行灭菌。ABC目前计划将灭菌过程转移至制造导管的纽约州某镇设施。然而，这个纽约州某镇设施之前对该器械没有任何灭菌经验，这种转移可能会影响器械的安全性或有效性。</w:t>
      </w:r>
      <w:r>
        <w:rPr>
          <w:szCs w:val="24"/>
        </w:rPr>
        <w:t>应提交场所变更补充申请。</w:t>
      </w:r>
    </w:p>
    <w:p w14:paraId="0FA22259">
      <w:pPr>
        <w:tabs>
          <w:tab w:val="left" w:pos="600"/>
        </w:tabs>
        <w:snapToGrid/>
        <w:spacing w:before="0" w:beforeLines="0" w:line="240" w:lineRule="auto"/>
        <w:ind w:left="357"/>
        <w:jc w:val="both"/>
        <w:rPr>
          <w:szCs w:val="24"/>
          <w:lang w:eastAsia="zh-CN"/>
        </w:rPr>
      </w:pPr>
    </w:p>
    <w:p w14:paraId="5891D588">
      <w:pPr>
        <w:numPr>
          <w:ilvl w:val="0"/>
          <w:numId w:val="6"/>
        </w:numPr>
        <w:tabs>
          <w:tab w:val="left" w:pos="600"/>
        </w:tabs>
        <w:snapToGrid/>
        <w:spacing w:before="0" w:beforeLines="0" w:line="240" w:lineRule="auto"/>
        <w:ind w:left="357" w:hanging="357"/>
        <w:jc w:val="both"/>
        <w:rPr>
          <w:szCs w:val="24"/>
          <w:lang w:eastAsia="zh-CN"/>
        </w:rPr>
      </w:pPr>
      <w:r>
        <w:rPr>
          <w:szCs w:val="24"/>
          <w:lang w:eastAsia="zh-CN"/>
        </w:rPr>
        <w:t>将成品器械的制造、处理或包装活动转移至不属于目标器械的PMA申请或PMA补充申请的场所：</w:t>
      </w:r>
    </w:p>
    <w:p w14:paraId="5A0C7B56">
      <w:pPr>
        <w:snapToGrid/>
        <w:spacing w:before="0" w:beforeLines="0" w:line="240" w:lineRule="auto"/>
        <w:ind w:left="1440" w:firstLine="480" w:firstLineChars="200"/>
        <w:jc w:val="both"/>
        <w:rPr>
          <w:szCs w:val="24"/>
          <w:lang w:eastAsia="zh-CN"/>
        </w:rPr>
      </w:pPr>
    </w:p>
    <w:p w14:paraId="6DB99A8A">
      <w:pPr>
        <w:snapToGrid/>
        <w:spacing w:before="0" w:beforeLines="0" w:line="240" w:lineRule="auto"/>
        <w:ind w:left="1440" w:firstLine="480" w:firstLineChars="200"/>
        <w:jc w:val="both"/>
        <w:rPr>
          <w:szCs w:val="24"/>
        </w:rPr>
      </w:pPr>
      <w:r>
        <w:rPr>
          <w:szCs w:val="24"/>
          <w:lang w:eastAsia="zh-CN"/>
        </w:rPr>
        <w:t>例如，申请人DEF获得批准在其位于纽约州某地的场所制造椎间盘置换装置。DEF目前计划在加州某地另一个场所制造该器械。加州某地场所未包括在该器械的PMA申请中。</w:t>
      </w:r>
      <w:r>
        <w:rPr>
          <w:szCs w:val="24"/>
        </w:rPr>
        <w:t>应提交场所变更补充申请。</w:t>
      </w:r>
    </w:p>
    <w:p w14:paraId="2BE46544">
      <w:pPr>
        <w:tabs>
          <w:tab w:val="left" w:pos="600"/>
        </w:tabs>
        <w:snapToGrid/>
        <w:spacing w:before="0" w:beforeLines="0" w:line="240" w:lineRule="auto"/>
        <w:ind w:left="357"/>
        <w:jc w:val="both"/>
        <w:rPr>
          <w:szCs w:val="24"/>
          <w:lang w:eastAsia="zh-CN"/>
        </w:rPr>
      </w:pPr>
    </w:p>
    <w:p w14:paraId="046A897C">
      <w:pPr>
        <w:numPr>
          <w:ilvl w:val="0"/>
          <w:numId w:val="6"/>
        </w:numPr>
        <w:tabs>
          <w:tab w:val="left" w:pos="600"/>
        </w:tabs>
        <w:snapToGrid/>
        <w:spacing w:before="0" w:beforeLines="0" w:line="240" w:lineRule="auto"/>
        <w:ind w:left="357" w:hanging="357"/>
        <w:jc w:val="both"/>
        <w:rPr>
          <w:szCs w:val="24"/>
          <w:lang w:eastAsia="zh-CN"/>
        </w:rPr>
      </w:pPr>
      <w:r>
        <w:rPr>
          <w:szCs w:val="24"/>
          <w:lang w:eastAsia="zh-CN"/>
        </w:rPr>
        <w:t>将成品器械的内部制造、处理或包装活动从PMA申请或PMA补充申请中包括的合同制造商转移至目标器械的PMA申请或PMA补充申请中之前已获批的设施：</w:t>
      </w:r>
    </w:p>
    <w:p w14:paraId="06291C83">
      <w:pPr>
        <w:snapToGrid/>
        <w:spacing w:before="0" w:beforeLines="0" w:line="240" w:lineRule="auto"/>
        <w:rPr>
          <w:szCs w:val="24"/>
          <w:lang w:eastAsia="zh-CN"/>
        </w:rPr>
      </w:pPr>
      <w:r>
        <w:rPr>
          <w:szCs w:val="24"/>
          <w:lang w:eastAsia="zh-CN"/>
        </w:rPr>
        <w:br w:type="page"/>
      </w:r>
    </w:p>
    <w:p w14:paraId="7237857C">
      <w:pPr>
        <w:numPr>
          <w:ilvl w:val="1"/>
          <w:numId w:val="6"/>
        </w:numPr>
        <w:tabs>
          <w:tab w:val="left" w:pos="960"/>
        </w:tabs>
        <w:snapToGrid/>
        <w:spacing w:before="0" w:beforeLines="0" w:line="240" w:lineRule="auto"/>
        <w:ind w:left="714" w:hanging="357"/>
        <w:jc w:val="both"/>
        <w:rPr>
          <w:szCs w:val="24"/>
          <w:lang w:eastAsia="zh-CN"/>
        </w:rPr>
      </w:pPr>
      <w:r>
        <w:rPr>
          <w:szCs w:val="24"/>
          <w:lang w:eastAsia="zh-CN"/>
        </w:rPr>
        <w:t>从已进行内部成品器械活动作为PMA申请或PMA补充申请一部分纳入的合同制造商内部转移：</w:t>
      </w:r>
    </w:p>
    <w:p w14:paraId="740D9F11">
      <w:pPr>
        <w:snapToGrid/>
        <w:spacing w:before="0" w:beforeLines="0" w:line="240" w:lineRule="auto"/>
        <w:ind w:left="1440" w:firstLine="480" w:firstLineChars="200"/>
        <w:jc w:val="both"/>
        <w:rPr>
          <w:szCs w:val="24"/>
          <w:lang w:eastAsia="zh-CN"/>
        </w:rPr>
      </w:pPr>
    </w:p>
    <w:p w14:paraId="5708D337">
      <w:pPr>
        <w:snapToGrid/>
        <w:spacing w:before="0" w:beforeLines="0" w:line="240" w:lineRule="auto"/>
        <w:ind w:left="1440" w:firstLine="480" w:firstLineChars="200"/>
        <w:jc w:val="both"/>
        <w:rPr>
          <w:szCs w:val="24"/>
          <w:lang w:eastAsia="zh-CN"/>
        </w:rPr>
      </w:pPr>
      <w:r>
        <w:rPr>
          <w:szCs w:val="24"/>
          <w:lang w:eastAsia="zh-CN"/>
        </w:rPr>
        <w:t>例如，申请人DEF</w:t>
      </w:r>
      <w:r>
        <w:rPr>
          <w:rFonts w:hint="eastAsia"/>
          <w:szCs w:val="24"/>
          <w:lang w:eastAsia="zh-CN"/>
        </w:rPr>
        <w:t>通过</w:t>
      </w:r>
      <w:r>
        <w:rPr>
          <w:szCs w:val="24"/>
          <w:lang w:eastAsia="zh-CN"/>
        </w:rPr>
        <w:t>合同制造商ABC为DEF的心脏支架系统进行灭菌活动，该系统是在DEF的纽约州某地设施处制造。DEF也在纽约州某地设施处为旧版心脏支架系统进行内部灭菌活动，该系统在相同PMA申请中获得批准。DEF计划终止与ABC的合同，并在纽约州某地设施处为心脏支架系统进行内部灭菌活动。</w:t>
      </w:r>
      <w:r>
        <w:rPr>
          <w:szCs w:val="24"/>
        </w:rPr>
        <w:t>应就该变更提交30天通知。</w:t>
      </w:r>
    </w:p>
    <w:p w14:paraId="499C4650">
      <w:pPr>
        <w:tabs>
          <w:tab w:val="left" w:pos="960"/>
        </w:tabs>
        <w:snapToGrid/>
        <w:spacing w:before="0" w:beforeLines="0" w:line="240" w:lineRule="auto"/>
        <w:ind w:left="714"/>
        <w:jc w:val="both"/>
        <w:rPr>
          <w:szCs w:val="24"/>
          <w:lang w:eastAsia="zh-CN"/>
        </w:rPr>
      </w:pPr>
    </w:p>
    <w:p w14:paraId="089BD7D9">
      <w:pPr>
        <w:numPr>
          <w:ilvl w:val="1"/>
          <w:numId w:val="6"/>
        </w:numPr>
        <w:tabs>
          <w:tab w:val="left" w:pos="960"/>
        </w:tabs>
        <w:snapToGrid/>
        <w:spacing w:before="0" w:beforeLines="0" w:line="240" w:lineRule="auto"/>
        <w:ind w:left="714" w:hanging="357"/>
        <w:jc w:val="both"/>
        <w:rPr>
          <w:szCs w:val="24"/>
          <w:lang w:eastAsia="zh-CN"/>
        </w:rPr>
      </w:pPr>
      <w:r>
        <w:rPr>
          <w:szCs w:val="24"/>
          <w:lang w:eastAsia="zh-CN"/>
        </w:rPr>
        <w:t>从尚未进行内部成品器械活动作为PMA申请或PMA补充申请一部分纳入的合同制造商内部转移：</w:t>
      </w:r>
    </w:p>
    <w:p w14:paraId="0B423DB6">
      <w:pPr>
        <w:snapToGrid/>
        <w:spacing w:before="0" w:beforeLines="0" w:line="240" w:lineRule="auto"/>
        <w:ind w:left="1440" w:firstLine="480" w:firstLineChars="200"/>
        <w:jc w:val="both"/>
        <w:rPr>
          <w:szCs w:val="24"/>
          <w:lang w:eastAsia="zh-CN"/>
        </w:rPr>
      </w:pPr>
    </w:p>
    <w:p w14:paraId="5DB464C4">
      <w:pPr>
        <w:snapToGrid/>
        <w:spacing w:before="0" w:beforeLines="0" w:line="240" w:lineRule="auto"/>
        <w:ind w:left="1440" w:firstLine="480" w:firstLineChars="200"/>
        <w:jc w:val="both"/>
        <w:rPr>
          <w:szCs w:val="24"/>
          <w:lang w:eastAsia="zh-CN"/>
        </w:rPr>
      </w:pPr>
      <w:r>
        <w:rPr>
          <w:szCs w:val="24"/>
          <w:lang w:eastAsia="zh-CN"/>
        </w:rPr>
        <w:t>例如，申请人XYZ</w:t>
      </w:r>
      <w:r>
        <w:rPr>
          <w:rFonts w:hint="eastAsia"/>
          <w:szCs w:val="24"/>
          <w:lang w:eastAsia="zh-CN"/>
        </w:rPr>
        <w:t>通过</w:t>
      </w:r>
      <w:r>
        <w:rPr>
          <w:szCs w:val="24"/>
          <w:lang w:eastAsia="zh-CN"/>
        </w:rPr>
        <w:t>合同制造商ABC来执行XYZ的髋关节植入物的一些制造步骤。XYZ计划将这些制造步骤转移至内部。该变更将要求XYZ公司为PMA器械执行一个或多个其目前不在内部进行的制造步骤。</w:t>
      </w:r>
      <w:r>
        <w:rPr>
          <w:szCs w:val="24"/>
        </w:rPr>
        <w:t>应提交场所变更补充申请。</w:t>
      </w:r>
    </w:p>
    <w:p w14:paraId="07463002">
      <w:pPr>
        <w:tabs>
          <w:tab w:val="left" w:pos="600"/>
        </w:tabs>
        <w:snapToGrid/>
        <w:spacing w:before="0" w:beforeLines="0" w:line="240" w:lineRule="auto"/>
        <w:ind w:left="357"/>
        <w:jc w:val="both"/>
        <w:rPr>
          <w:szCs w:val="24"/>
          <w:lang w:eastAsia="zh-CN"/>
        </w:rPr>
      </w:pPr>
    </w:p>
    <w:p w14:paraId="6C8A913C">
      <w:pPr>
        <w:numPr>
          <w:ilvl w:val="0"/>
          <w:numId w:val="6"/>
        </w:numPr>
        <w:tabs>
          <w:tab w:val="left" w:pos="600"/>
        </w:tabs>
        <w:snapToGrid/>
        <w:spacing w:before="0" w:beforeLines="0" w:line="240" w:lineRule="auto"/>
        <w:ind w:left="357" w:hanging="357"/>
        <w:jc w:val="both"/>
        <w:rPr>
          <w:szCs w:val="24"/>
          <w:lang w:eastAsia="zh-CN"/>
        </w:rPr>
      </w:pPr>
      <w:r>
        <w:rPr>
          <w:szCs w:val="24"/>
          <w:lang w:eastAsia="zh-CN"/>
        </w:rPr>
        <w:t>将成品器械的制造、处理或包装活动从一个设施转移至相同机构内（相同FEI）的另一个设施：</w:t>
      </w:r>
    </w:p>
    <w:p w14:paraId="2AAC7BBE">
      <w:pPr>
        <w:snapToGrid/>
        <w:spacing w:before="0" w:beforeLines="0" w:line="240" w:lineRule="auto"/>
        <w:ind w:left="1418" w:firstLine="480" w:firstLineChars="200"/>
        <w:jc w:val="both"/>
        <w:rPr>
          <w:szCs w:val="24"/>
          <w:lang w:eastAsia="zh-CN"/>
        </w:rPr>
      </w:pPr>
    </w:p>
    <w:p w14:paraId="1AF2A96E">
      <w:pPr>
        <w:snapToGrid/>
        <w:spacing w:before="0" w:beforeLines="0" w:line="240" w:lineRule="auto"/>
        <w:ind w:left="1418" w:firstLine="480" w:firstLineChars="200"/>
        <w:jc w:val="both"/>
        <w:rPr>
          <w:szCs w:val="24"/>
          <w:lang w:eastAsia="zh-CN"/>
        </w:rPr>
      </w:pPr>
      <w:r>
        <w:rPr>
          <w:szCs w:val="24"/>
          <w:lang w:eastAsia="zh-CN"/>
        </w:rPr>
        <w:t>例如，申请人ABC目前在建筑物A的受控环境（100级洁净室）中执行制造步骤。ABC计划在目前已获批的相同机构内（即相同FEI编号）将该生产步骤和洁净室从建筑物A转移至建筑物B。应提交30天通知。</w:t>
      </w:r>
    </w:p>
    <w:p w14:paraId="3613F8A6">
      <w:pPr>
        <w:tabs>
          <w:tab w:val="left" w:pos="599"/>
          <w:tab w:val="left" w:pos="600"/>
        </w:tabs>
        <w:snapToGrid/>
        <w:spacing w:before="0" w:beforeLines="0" w:line="240" w:lineRule="auto"/>
        <w:ind w:left="357"/>
        <w:jc w:val="both"/>
        <w:rPr>
          <w:szCs w:val="24"/>
          <w:lang w:eastAsia="zh-CN"/>
        </w:rPr>
      </w:pPr>
    </w:p>
    <w:p w14:paraId="6A5A9389">
      <w:pPr>
        <w:numPr>
          <w:ilvl w:val="0"/>
          <w:numId w:val="6"/>
        </w:numPr>
        <w:tabs>
          <w:tab w:val="left" w:pos="599"/>
          <w:tab w:val="left" w:pos="600"/>
        </w:tabs>
        <w:snapToGrid/>
        <w:spacing w:before="0" w:beforeLines="0" w:line="240" w:lineRule="auto"/>
        <w:ind w:left="357" w:hanging="357"/>
        <w:jc w:val="both"/>
        <w:rPr>
          <w:szCs w:val="24"/>
          <w:lang w:eastAsia="zh-CN"/>
        </w:rPr>
      </w:pPr>
      <w:r>
        <w:rPr>
          <w:szCs w:val="24"/>
          <w:lang w:eastAsia="zh-CN"/>
        </w:rPr>
        <w:t>将成品器械的制造、处理或包装活动转移至附近的建筑物（如办公园区），且新建筑物的FEI不同：</w:t>
      </w:r>
    </w:p>
    <w:p w14:paraId="3736BCDD">
      <w:pPr>
        <w:snapToGrid/>
        <w:spacing w:before="0" w:beforeLines="0" w:line="240" w:lineRule="auto"/>
        <w:ind w:left="1418" w:firstLine="480" w:firstLineChars="200"/>
        <w:jc w:val="both"/>
        <w:rPr>
          <w:szCs w:val="24"/>
          <w:lang w:eastAsia="zh-CN"/>
        </w:rPr>
      </w:pPr>
    </w:p>
    <w:p w14:paraId="2FDADFEA">
      <w:pPr>
        <w:snapToGrid/>
        <w:spacing w:before="0" w:beforeLines="0" w:line="240" w:lineRule="auto"/>
        <w:ind w:left="1418" w:firstLine="480" w:firstLineChars="200"/>
        <w:jc w:val="both"/>
        <w:rPr>
          <w:szCs w:val="24"/>
          <w:lang w:eastAsia="zh-CN"/>
        </w:rPr>
      </w:pPr>
      <w:r>
        <w:rPr>
          <w:szCs w:val="24"/>
          <w:lang w:eastAsia="zh-CN"/>
        </w:rPr>
        <w:t>例如，申请人ABC制造一种乳腺癌辅助诊断试剂盒。ABC计划将乳腺癌辅助诊断试剂盒的制造转移至一个新建筑物中。新建筑物将位于不同的地点并且有不同的FEI号。</w:t>
      </w:r>
      <w:r>
        <w:rPr>
          <w:szCs w:val="24"/>
        </w:rPr>
        <w:t>应提交场所变更补充申请。</w:t>
      </w:r>
    </w:p>
    <w:p w14:paraId="49F84BD7">
      <w:pPr>
        <w:tabs>
          <w:tab w:val="left" w:pos="600"/>
        </w:tabs>
        <w:snapToGrid/>
        <w:spacing w:before="0" w:beforeLines="0" w:line="240" w:lineRule="auto"/>
        <w:ind w:left="357"/>
        <w:jc w:val="both"/>
        <w:rPr>
          <w:szCs w:val="24"/>
          <w:lang w:eastAsia="zh-CN"/>
        </w:rPr>
      </w:pPr>
    </w:p>
    <w:p w14:paraId="7ACCD21F">
      <w:pPr>
        <w:numPr>
          <w:ilvl w:val="0"/>
          <w:numId w:val="6"/>
        </w:numPr>
        <w:tabs>
          <w:tab w:val="left" w:pos="600"/>
        </w:tabs>
        <w:snapToGrid/>
        <w:spacing w:before="0" w:beforeLines="0" w:line="240" w:lineRule="auto"/>
        <w:ind w:left="357" w:hanging="357"/>
        <w:jc w:val="both"/>
        <w:rPr>
          <w:szCs w:val="24"/>
          <w:lang w:eastAsia="zh-CN"/>
        </w:rPr>
      </w:pPr>
      <w:r>
        <w:rPr>
          <w:szCs w:val="24"/>
          <w:lang w:eastAsia="zh-CN"/>
        </w:rPr>
        <w:t>将成品器械的制造、处理或包装活动转移至目标器械的未获批准作为PMA申请或PMA补充申请的合同制造商：</w:t>
      </w:r>
    </w:p>
    <w:p w14:paraId="558263FA">
      <w:pPr>
        <w:snapToGrid/>
        <w:spacing w:before="0" w:beforeLines="0" w:line="240" w:lineRule="auto"/>
        <w:ind w:left="1418" w:firstLine="480" w:firstLineChars="200"/>
        <w:jc w:val="both"/>
        <w:rPr>
          <w:szCs w:val="24"/>
          <w:lang w:eastAsia="zh-CN"/>
        </w:rPr>
      </w:pPr>
    </w:p>
    <w:p w14:paraId="1EA5DF5B">
      <w:pPr>
        <w:snapToGrid/>
        <w:spacing w:before="0" w:beforeLines="0" w:line="240" w:lineRule="auto"/>
        <w:ind w:left="1418" w:firstLine="480" w:firstLineChars="200"/>
        <w:jc w:val="both"/>
        <w:rPr>
          <w:szCs w:val="24"/>
        </w:rPr>
      </w:pPr>
      <w:r>
        <w:rPr>
          <w:szCs w:val="24"/>
          <w:lang w:eastAsia="zh-CN"/>
        </w:rPr>
        <w:t>例如，申请人ABC制造一种长戴型接触镜。ABC将原材料纽扣运至合同制造商处进行抛光和包装的PMA已获批准。长戴型接触镜由合同制造商XYZ，Inc.制造。ABC计划将长戴型接触镜的制造转移至不属于PMA申请或PMA补充申请的另一个合同制造商。</w:t>
      </w:r>
      <w:r>
        <w:rPr>
          <w:szCs w:val="24"/>
        </w:rPr>
        <w:t>应提交场所变更补充申请。</w:t>
      </w:r>
    </w:p>
    <w:p w14:paraId="0032E538">
      <w:pPr>
        <w:tabs>
          <w:tab w:val="left" w:pos="600"/>
        </w:tabs>
        <w:adjustRightInd w:val="0"/>
        <w:spacing w:before="0" w:beforeLines="0" w:line="240" w:lineRule="auto"/>
        <w:ind w:left="357"/>
        <w:jc w:val="both"/>
        <w:rPr>
          <w:szCs w:val="24"/>
          <w:lang w:eastAsia="zh-CN"/>
        </w:rPr>
      </w:pPr>
      <w:r>
        <w:rPr>
          <w:szCs w:val="24"/>
          <w:lang w:eastAsia="zh-CN"/>
        </w:rPr>
        <w:br w:type="page"/>
      </w:r>
    </w:p>
    <w:p w14:paraId="478E7DD1">
      <w:pPr>
        <w:numPr>
          <w:ilvl w:val="0"/>
          <w:numId w:val="6"/>
        </w:numPr>
        <w:tabs>
          <w:tab w:val="left" w:pos="600"/>
        </w:tabs>
        <w:snapToGrid/>
        <w:spacing w:before="0" w:beforeLines="0" w:line="240" w:lineRule="auto"/>
        <w:ind w:left="357" w:hanging="357"/>
        <w:jc w:val="both"/>
        <w:rPr>
          <w:szCs w:val="24"/>
          <w:lang w:eastAsia="zh-CN"/>
        </w:rPr>
      </w:pPr>
      <w:r>
        <w:rPr>
          <w:szCs w:val="24"/>
          <w:lang w:eastAsia="zh-CN"/>
        </w:rPr>
        <w:t>转移对成品器械的功能、操作或规范至关重要的组件的制造或处理：</w:t>
      </w:r>
    </w:p>
    <w:p w14:paraId="064244BE">
      <w:pPr>
        <w:snapToGrid/>
        <w:spacing w:before="0" w:beforeLines="0" w:line="240" w:lineRule="auto"/>
        <w:ind w:left="1418" w:firstLine="480" w:firstLineChars="200"/>
        <w:jc w:val="both"/>
        <w:rPr>
          <w:szCs w:val="24"/>
          <w:lang w:eastAsia="zh-CN"/>
        </w:rPr>
      </w:pPr>
    </w:p>
    <w:p w14:paraId="407D8554">
      <w:pPr>
        <w:snapToGrid/>
        <w:spacing w:before="0" w:beforeLines="0" w:line="240" w:lineRule="auto"/>
        <w:ind w:left="1418" w:firstLine="480" w:firstLineChars="200"/>
        <w:jc w:val="both"/>
        <w:rPr>
          <w:szCs w:val="24"/>
          <w:lang w:eastAsia="zh-CN"/>
        </w:rPr>
      </w:pPr>
      <w:r>
        <w:rPr>
          <w:szCs w:val="24"/>
          <w:lang w:eastAsia="zh-CN"/>
        </w:rPr>
        <w:t>例如，申请人ABC目前制造一种玻片制备器械的过滤器组件。ABC计划将这些过滤器的制造转移至另一家公司XYZ。XYZ并不属于ABC的器械原始PMA批准。由于该组件视为关键组件且该修改影响器械的安全性或有效性，应提交30天通知。请注意，如果组件制造从另一个供应商转移至一个供应商，或者组件制造从一个供应商转移至内部，该示例的结果将相同。</w:t>
      </w:r>
    </w:p>
    <w:p w14:paraId="3753D51C">
      <w:pPr>
        <w:snapToGrid/>
        <w:spacing w:before="0" w:beforeLines="0" w:line="240" w:lineRule="auto"/>
        <w:ind w:left="1440" w:firstLine="480" w:firstLineChars="200"/>
        <w:jc w:val="both"/>
        <w:rPr>
          <w:szCs w:val="24"/>
          <w:lang w:eastAsia="zh-CN"/>
        </w:rPr>
      </w:pPr>
    </w:p>
    <w:p w14:paraId="2A70CF85">
      <w:pPr>
        <w:snapToGrid/>
        <w:spacing w:before="0" w:beforeLines="0" w:line="240" w:lineRule="auto"/>
        <w:ind w:left="1440" w:firstLine="480" w:firstLineChars="200"/>
        <w:jc w:val="both"/>
        <w:rPr>
          <w:szCs w:val="24"/>
          <w:lang w:eastAsia="zh-CN"/>
        </w:rPr>
      </w:pPr>
      <w:r>
        <w:rPr>
          <w:szCs w:val="24"/>
          <w:lang w:eastAsia="zh-CN"/>
        </w:rPr>
        <w:t>例如，申请人ABC</w:t>
      </w:r>
      <w:r>
        <w:rPr>
          <w:rFonts w:hint="eastAsia"/>
          <w:szCs w:val="24"/>
          <w:lang w:eastAsia="zh-CN"/>
        </w:rPr>
        <w:t>通过</w:t>
      </w:r>
      <w:r>
        <w:rPr>
          <w:szCs w:val="24"/>
          <w:lang w:eastAsia="zh-CN"/>
        </w:rPr>
        <w:t>合同制造商DEF来制造晶体振荡器，该晶体振荡器是ABC的植入式除颤器的一个组件。ABC目前想增加一家新公司GHI作为晶体振荡器的第二个供应源。由于该组件为关键组件且该修改影响器械的安全性或有效性，应提交30天通知。</w:t>
      </w:r>
    </w:p>
    <w:p w14:paraId="262373D5">
      <w:pPr>
        <w:snapToGrid/>
        <w:spacing w:before="0" w:beforeLines="0" w:line="240" w:lineRule="auto"/>
        <w:ind w:left="1440" w:firstLine="480" w:firstLineChars="200"/>
        <w:jc w:val="both"/>
        <w:rPr>
          <w:szCs w:val="24"/>
          <w:lang w:eastAsia="zh-CN"/>
        </w:rPr>
      </w:pPr>
    </w:p>
    <w:p w14:paraId="44D5D94A">
      <w:pPr>
        <w:pStyle w:val="23"/>
        <w:numPr>
          <w:ilvl w:val="0"/>
          <w:numId w:val="5"/>
        </w:numPr>
        <w:tabs>
          <w:tab w:val="left" w:pos="1276"/>
        </w:tabs>
        <w:ind w:left="0" w:firstLine="686" w:firstLineChars="0"/>
        <w:jc w:val="both"/>
        <w:outlineLvl w:val="1"/>
        <w:rPr>
          <w:rFonts w:ascii="Times New Roman" w:hAnsi="Times New Roman" w:eastAsia="宋体" w:cs="Times New Roman"/>
          <w:b/>
          <w:sz w:val="28"/>
          <w:szCs w:val="28"/>
          <w:lang w:eastAsia="zh-CN"/>
        </w:rPr>
      </w:pPr>
      <w:bookmarkStart w:id="7" w:name="_Toc97374584"/>
      <w:r>
        <w:rPr>
          <w:rFonts w:ascii="Times New Roman" w:hAnsi="Times New Roman" w:eastAsia="宋体" w:cs="Times New Roman"/>
          <w:b/>
          <w:sz w:val="28"/>
          <w:szCs w:val="28"/>
          <w:lang w:eastAsia="zh-CN"/>
        </w:rPr>
        <w:t>应在场所变更补充申请中提交哪些文件？</w:t>
      </w:r>
      <w:bookmarkEnd w:id="7"/>
    </w:p>
    <w:p w14:paraId="391F71FE">
      <w:pPr>
        <w:snapToGrid/>
        <w:spacing w:before="0" w:beforeLines="0" w:line="240" w:lineRule="auto"/>
        <w:ind w:firstLine="480" w:firstLineChars="200"/>
        <w:jc w:val="both"/>
        <w:rPr>
          <w:szCs w:val="24"/>
          <w:lang w:eastAsia="zh-CN"/>
        </w:rPr>
      </w:pPr>
    </w:p>
    <w:p w14:paraId="5AFDB9A8">
      <w:pPr>
        <w:snapToGrid/>
        <w:spacing w:before="0" w:beforeLines="0" w:line="240" w:lineRule="auto"/>
        <w:ind w:firstLine="480" w:firstLineChars="200"/>
        <w:jc w:val="both"/>
        <w:rPr>
          <w:szCs w:val="24"/>
          <w:vertAlign w:val="superscript"/>
          <w:lang w:eastAsia="zh-CN"/>
        </w:rPr>
      </w:pPr>
      <w:r>
        <w:rPr>
          <w:szCs w:val="24"/>
          <w:lang w:eastAsia="zh-CN"/>
        </w:rPr>
        <w:t>根据21 CFR 814.39(c)的规定，PMA补充申请必须包含支持使用不同设施或机构制造、处理或包装该器械所需的信息。为了批准场所变更补充申请，所提交的信息必须表明不同场所用于制造、处理以及在相关情况下包装和安装该器械的方法和设施或控制均符合QS法规（21 CFR</w:t>
      </w:r>
      <w:r>
        <w:rPr>
          <w:rFonts w:hint="eastAsia"/>
          <w:szCs w:val="24"/>
          <w:lang w:eastAsia="zh-CN"/>
        </w:rPr>
        <w:t xml:space="preserve"> </w:t>
      </w:r>
      <w:r>
        <w:rPr>
          <w:szCs w:val="24"/>
          <w:lang w:eastAsia="zh-CN"/>
        </w:rPr>
        <w:t>820）的要求。参见《FD&amp;C法案》第515(c)(1)(C)、515(d)(2)(C)和520(f)节</w:t>
      </w:r>
      <w:r>
        <w:rPr>
          <w:rFonts w:hint="eastAsia"/>
          <w:szCs w:val="24"/>
          <w:lang w:eastAsia="zh-CN"/>
        </w:rPr>
        <w:t>（</w:t>
      </w:r>
      <w:r>
        <w:rPr>
          <w:szCs w:val="24"/>
          <w:lang w:eastAsia="zh-CN"/>
        </w:rPr>
        <w:t>21 U.S.C.§§ 360e(c)(1)(C)、360e(d)(2)(C)和360j(f)</w:t>
      </w:r>
      <w:r>
        <w:rPr>
          <w:rFonts w:hint="eastAsia"/>
          <w:szCs w:val="24"/>
          <w:lang w:eastAsia="zh-CN"/>
        </w:rPr>
        <w:t>）</w:t>
      </w:r>
      <w:r>
        <w:rPr>
          <w:szCs w:val="24"/>
          <w:lang w:eastAsia="zh-CN"/>
        </w:rPr>
        <w:t>。FDA建议以下信息应酌情包括在场所变更补充申请中：</w:t>
      </w:r>
      <w:r>
        <w:rPr>
          <w:rStyle w:val="20"/>
          <w:szCs w:val="24"/>
          <w:lang w:eastAsia="zh-CN"/>
        </w:rPr>
        <w:footnoteReference w:id="10"/>
      </w:r>
      <w:r>
        <w:rPr>
          <w:rFonts w:hint="eastAsia"/>
          <w:szCs w:val="24"/>
          <w:vertAlign w:val="superscript"/>
          <w:lang w:eastAsia="zh-CN"/>
        </w:rPr>
        <w:t xml:space="preserve"> </w:t>
      </w:r>
    </w:p>
    <w:p w14:paraId="0664FF49">
      <w:pPr>
        <w:tabs>
          <w:tab w:val="left" w:pos="960"/>
        </w:tabs>
        <w:snapToGrid/>
        <w:spacing w:before="0" w:beforeLines="0" w:line="240" w:lineRule="auto"/>
        <w:ind w:left="717"/>
        <w:jc w:val="both"/>
        <w:rPr>
          <w:szCs w:val="24"/>
          <w:lang w:eastAsia="zh-CN"/>
        </w:rPr>
      </w:pPr>
    </w:p>
    <w:p w14:paraId="52C850B3">
      <w:pPr>
        <w:numPr>
          <w:ilvl w:val="0"/>
          <w:numId w:val="7"/>
        </w:numPr>
        <w:tabs>
          <w:tab w:val="left" w:pos="960"/>
        </w:tabs>
        <w:snapToGrid/>
        <w:spacing w:before="0" w:beforeLines="0" w:line="240" w:lineRule="auto"/>
        <w:ind w:left="717"/>
        <w:jc w:val="both"/>
        <w:rPr>
          <w:szCs w:val="24"/>
          <w:lang w:eastAsia="zh-CN"/>
        </w:rPr>
      </w:pPr>
      <w:r>
        <w:rPr>
          <w:szCs w:val="24"/>
          <w:lang w:eastAsia="zh-CN"/>
        </w:rPr>
        <w:t>器械的描述、预期用途以及场所变更的性质和目的，包括描述将在拟定场所执行的制造功能（例如，组装或来料验收）。</w:t>
      </w:r>
    </w:p>
    <w:p w14:paraId="6BA2371C">
      <w:pPr>
        <w:tabs>
          <w:tab w:val="left" w:pos="960"/>
        </w:tabs>
        <w:snapToGrid/>
        <w:spacing w:before="0" w:beforeLines="0" w:line="240" w:lineRule="auto"/>
        <w:ind w:left="717"/>
        <w:jc w:val="both"/>
        <w:rPr>
          <w:szCs w:val="24"/>
          <w:lang w:eastAsia="zh-CN"/>
        </w:rPr>
      </w:pPr>
    </w:p>
    <w:p w14:paraId="69CCC7BB">
      <w:pPr>
        <w:numPr>
          <w:ilvl w:val="0"/>
          <w:numId w:val="7"/>
        </w:numPr>
        <w:tabs>
          <w:tab w:val="left" w:pos="960"/>
        </w:tabs>
        <w:snapToGrid/>
        <w:spacing w:before="0" w:beforeLines="0" w:line="240" w:lineRule="auto"/>
        <w:ind w:left="717"/>
        <w:jc w:val="both"/>
        <w:rPr>
          <w:szCs w:val="24"/>
          <w:lang w:eastAsia="zh-CN"/>
        </w:rPr>
      </w:pPr>
      <w:r>
        <w:rPr>
          <w:szCs w:val="24"/>
          <w:lang w:eastAsia="zh-CN"/>
        </w:rPr>
        <w:t>拟定新制造、处理、包装或分销场所的示意图。</w:t>
      </w:r>
    </w:p>
    <w:p w14:paraId="492911BA">
      <w:pPr>
        <w:tabs>
          <w:tab w:val="left" w:pos="960"/>
        </w:tabs>
        <w:snapToGrid/>
        <w:spacing w:before="0" w:beforeLines="0" w:line="240" w:lineRule="auto"/>
        <w:ind w:left="717"/>
        <w:jc w:val="both"/>
        <w:rPr>
          <w:szCs w:val="24"/>
          <w:lang w:eastAsia="zh-CN"/>
        </w:rPr>
      </w:pPr>
    </w:p>
    <w:p w14:paraId="70172F91">
      <w:pPr>
        <w:numPr>
          <w:ilvl w:val="0"/>
          <w:numId w:val="7"/>
        </w:numPr>
        <w:tabs>
          <w:tab w:val="left" w:pos="960"/>
        </w:tabs>
        <w:snapToGrid/>
        <w:spacing w:before="0" w:beforeLines="0" w:line="240" w:lineRule="auto"/>
        <w:ind w:left="717"/>
        <w:jc w:val="both"/>
        <w:rPr>
          <w:szCs w:val="24"/>
          <w:lang w:eastAsia="zh-CN"/>
        </w:rPr>
      </w:pPr>
      <w:r>
        <w:rPr>
          <w:szCs w:val="24"/>
          <w:lang w:eastAsia="zh-CN"/>
        </w:rPr>
        <w:t>确定在拟定场所制造、处理、包装或分销受审器械所涉步骤的流程图。</w:t>
      </w:r>
    </w:p>
    <w:p w14:paraId="0E07F46F">
      <w:pPr>
        <w:snapToGrid/>
        <w:spacing w:before="0" w:beforeLines="0" w:line="240" w:lineRule="auto"/>
        <w:jc w:val="both"/>
        <w:rPr>
          <w:szCs w:val="24"/>
          <w:lang w:eastAsia="zh-CN"/>
        </w:rPr>
      </w:pPr>
      <w:r>
        <w:rPr>
          <w:szCs w:val="24"/>
          <w:lang w:eastAsia="zh-CN"/>
        </w:rPr>
        <w:br w:type="page"/>
      </w:r>
    </w:p>
    <w:p w14:paraId="6238FE85">
      <w:pPr>
        <w:numPr>
          <w:ilvl w:val="0"/>
          <w:numId w:val="7"/>
        </w:numPr>
        <w:tabs>
          <w:tab w:val="left" w:pos="960"/>
        </w:tabs>
        <w:snapToGrid/>
        <w:spacing w:before="0" w:beforeLines="0" w:line="240" w:lineRule="auto"/>
        <w:ind w:left="717"/>
        <w:jc w:val="both"/>
        <w:rPr>
          <w:szCs w:val="24"/>
          <w:lang w:eastAsia="zh-CN"/>
        </w:rPr>
      </w:pPr>
      <w:r>
        <w:rPr>
          <w:szCs w:val="24"/>
          <w:lang w:eastAsia="zh-CN"/>
        </w:rPr>
        <w:t>对将受到场所变更影响的设备和过程的描述。</w:t>
      </w:r>
    </w:p>
    <w:p w14:paraId="4799DD6B">
      <w:pPr>
        <w:tabs>
          <w:tab w:val="left" w:pos="960"/>
        </w:tabs>
        <w:snapToGrid/>
        <w:spacing w:before="0" w:beforeLines="0" w:line="240" w:lineRule="auto"/>
        <w:ind w:left="717"/>
        <w:jc w:val="both"/>
        <w:rPr>
          <w:szCs w:val="24"/>
          <w:lang w:eastAsia="zh-CN"/>
        </w:rPr>
      </w:pPr>
    </w:p>
    <w:p w14:paraId="3F8916FF">
      <w:pPr>
        <w:numPr>
          <w:ilvl w:val="0"/>
          <w:numId w:val="7"/>
        </w:numPr>
        <w:tabs>
          <w:tab w:val="left" w:pos="960"/>
        </w:tabs>
        <w:snapToGrid/>
        <w:spacing w:before="0" w:beforeLines="0" w:line="240" w:lineRule="auto"/>
        <w:ind w:left="717"/>
        <w:jc w:val="both"/>
        <w:rPr>
          <w:szCs w:val="24"/>
          <w:lang w:eastAsia="zh-CN"/>
        </w:rPr>
      </w:pPr>
      <w:r>
        <w:rPr>
          <w:szCs w:val="24"/>
          <w:lang w:eastAsia="zh-CN"/>
        </w:rPr>
        <w:t>在新制造过程中所用任何标准的清单（如适用）。</w:t>
      </w:r>
    </w:p>
    <w:p w14:paraId="74D02B55">
      <w:pPr>
        <w:tabs>
          <w:tab w:val="left" w:pos="960"/>
        </w:tabs>
        <w:snapToGrid/>
        <w:spacing w:before="0" w:beforeLines="0" w:line="240" w:lineRule="auto"/>
        <w:ind w:left="717"/>
        <w:jc w:val="both"/>
        <w:rPr>
          <w:szCs w:val="24"/>
          <w:lang w:eastAsia="zh-CN"/>
        </w:rPr>
      </w:pPr>
    </w:p>
    <w:p w14:paraId="094416F2">
      <w:pPr>
        <w:numPr>
          <w:ilvl w:val="0"/>
          <w:numId w:val="7"/>
        </w:numPr>
        <w:tabs>
          <w:tab w:val="left" w:pos="960"/>
        </w:tabs>
        <w:snapToGrid/>
        <w:spacing w:before="0" w:beforeLines="0" w:line="240" w:lineRule="auto"/>
        <w:ind w:left="717"/>
        <w:jc w:val="both"/>
        <w:rPr>
          <w:szCs w:val="24"/>
          <w:lang w:eastAsia="zh-CN"/>
        </w:rPr>
      </w:pPr>
      <w:r>
        <w:rPr>
          <w:szCs w:val="24"/>
          <w:lang w:eastAsia="zh-CN"/>
        </w:rPr>
        <w:t>场所的过程确认或再确认总计划（如适用）（包括用作生产或质量体系组成部分的软件的验证，参见21 CFR 820.70(i)）。</w:t>
      </w:r>
    </w:p>
    <w:p w14:paraId="711B576F">
      <w:pPr>
        <w:tabs>
          <w:tab w:val="left" w:pos="960"/>
        </w:tabs>
        <w:snapToGrid/>
        <w:spacing w:before="0" w:beforeLines="0" w:line="240" w:lineRule="auto"/>
        <w:ind w:left="717"/>
        <w:jc w:val="both"/>
        <w:rPr>
          <w:szCs w:val="24"/>
          <w:lang w:eastAsia="zh-CN"/>
        </w:rPr>
      </w:pPr>
    </w:p>
    <w:p w14:paraId="14310162">
      <w:pPr>
        <w:numPr>
          <w:ilvl w:val="0"/>
          <w:numId w:val="7"/>
        </w:numPr>
        <w:tabs>
          <w:tab w:val="left" w:pos="960"/>
        </w:tabs>
        <w:snapToGrid/>
        <w:spacing w:before="0" w:beforeLines="0" w:line="240" w:lineRule="auto"/>
        <w:ind w:left="717"/>
        <w:jc w:val="both"/>
        <w:rPr>
          <w:szCs w:val="24"/>
          <w:lang w:eastAsia="zh-CN"/>
        </w:rPr>
      </w:pPr>
      <w:r>
        <w:rPr>
          <w:szCs w:val="24"/>
          <w:lang w:eastAsia="zh-CN"/>
        </w:rPr>
        <w:t>尚未计划确认但将通过检查和测试来验证的新场所的过程清单。</w:t>
      </w:r>
    </w:p>
    <w:p w14:paraId="40F62B65">
      <w:pPr>
        <w:tabs>
          <w:tab w:val="left" w:pos="960"/>
        </w:tabs>
        <w:snapToGrid/>
        <w:spacing w:before="0" w:beforeLines="0" w:line="240" w:lineRule="auto"/>
        <w:ind w:left="717"/>
        <w:jc w:val="both"/>
        <w:rPr>
          <w:szCs w:val="24"/>
          <w:lang w:eastAsia="zh-CN"/>
        </w:rPr>
      </w:pPr>
    </w:p>
    <w:p w14:paraId="370EBA4F">
      <w:pPr>
        <w:numPr>
          <w:ilvl w:val="0"/>
          <w:numId w:val="7"/>
        </w:numPr>
        <w:tabs>
          <w:tab w:val="left" w:pos="960"/>
        </w:tabs>
        <w:snapToGrid/>
        <w:spacing w:before="0" w:beforeLines="0" w:line="240" w:lineRule="auto"/>
        <w:ind w:left="717"/>
        <w:jc w:val="both"/>
        <w:rPr>
          <w:szCs w:val="24"/>
          <w:lang w:eastAsia="zh-CN"/>
        </w:rPr>
      </w:pPr>
      <w:r>
        <w:rPr>
          <w:szCs w:val="24"/>
          <w:lang w:eastAsia="zh-CN"/>
        </w:rPr>
        <w:t>过程确认或再确认程序（以及报告，如适用）：</w:t>
      </w:r>
    </w:p>
    <w:p w14:paraId="3EEB9516">
      <w:pPr>
        <w:tabs>
          <w:tab w:val="left" w:pos="1320"/>
        </w:tabs>
        <w:snapToGrid/>
        <w:spacing w:before="0" w:beforeLines="0" w:line="240" w:lineRule="auto"/>
        <w:ind w:left="1080"/>
        <w:jc w:val="both"/>
        <w:rPr>
          <w:szCs w:val="24"/>
          <w:lang w:eastAsia="zh-CN"/>
        </w:rPr>
      </w:pPr>
    </w:p>
    <w:p w14:paraId="4B0E3AE5">
      <w:pPr>
        <w:numPr>
          <w:ilvl w:val="1"/>
          <w:numId w:val="7"/>
        </w:numPr>
        <w:tabs>
          <w:tab w:val="left" w:pos="1320"/>
        </w:tabs>
        <w:snapToGrid/>
        <w:spacing w:before="0" w:beforeLines="0" w:line="240" w:lineRule="auto"/>
        <w:ind w:left="1080"/>
        <w:jc w:val="both"/>
        <w:rPr>
          <w:szCs w:val="24"/>
          <w:lang w:eastAsia="zh-CN"/>
        </w:rPr>
      </w:pPr>
      <w:r>
        <w:rPr>
          <w:szCs w:val="24"/>
          <w:lang w:eastAsia="zh-CN"/>
        </w:rPr>
        <w:t>对于FDA可能会根据以下第C节所述信息进行批准前检查的场所变更补充申请，建议提供需要确认的过程确认或再确认方案。如果已决定仅需要完成过程确认活动的一个子集，则应提供该决定的理由及支持数据。关于过程确认的其他信息，请参见《质量管理体系-过程确认指南》</w:t>
      </w:r>
      <w:r>
        <w:rPr>
          <w:rStyle w:val="20"/>
          <w:szCs w:val="24"/>
          <w:lang w:eastAsia="zh-CN"/>
        </w:rPr>
        <w:footnoteReference w:id="11"/>
      </w:r>
      <w:r>
        <w:rPr>
          <w:szCs w:val="24"/>
          <w:lang w:eastAsia="zh-CN"/>
        </w:rPr>
        <w:t>。应在可行情况下提供一份任何已完成确认报告的副本</w:t>
      </w:r>
      <w:r>
        <w:rPr>
          <w:rStyle w:val="20"/>
          <w:szCs w:val="24"/>
          <w:lang w:eastAsia="zh-CN"/>
        </w:rPr>
        <w:footnoteReference w:id="12"/>
      </w:r>
      <w:r>
        <w:rPr>
          <w:szCs w:val="24"/>
          <w:lang w:eastAsia="zh-CN"/>
        </w:rPr>
        <w:t>。所有确认活动应在安排检查前完成。因此，应提供确认活动将完成的日期，并且准备好接受检查。</w:t>
      </w:r>
    </w:p>
    <w:p w14:paraId="6EC34D33">
      <w:pPr>
        <w:tabs>
          <w:tab w:val="left" w:pos="1320"/>
        </w:tabs>
        <w:snapToGrid/>
        <w:spacing w:before="0" w:beforeLines="0" w:line="240" w:lineRule="auto"/>
        <w:ind w:left="1080"/>
        <w:jc w:val="both"/>
        <w:rPr>
          <w:szCs w:val="24"/>
          <w:lang w:eastAsia="zh-CN"/>
        </w:rPr>
      </w:pPr>
    </w:p>
    <w:p w14:paraId="7BF646FE">
      <w:pPr>
        <w:numPr>
          <w:ilvl w:val="1"/>
          <w:numId w:val="7"/>
        </w:numPr>
        <w:tabs>
          <w:tab w:val="left" w:pos="1320"/>
        </w:tabs>
        <w:snapToGrid/>
        <w:spacing w:before="0" w:beforeLines="0" w:line="240" w:lineRule="auto"/>
        <w:ind w:left="1080"/>
        <w:jc w:val="both"/>
        <w:rPr>
          <w:szCs w:val="24"/>
          <w:lang w:eastAsia="zh-CN"/>
        </w:rPr>
      </w:pPr>
      <w:r>
        <w:rPr>
          <w:szCs w:val="24"/>
          <w:lang w:eastAsia="zh-CN"/>
        </w:rPr>
        <w:t>如果FDA根据以下第C节中所述信息决定不进行批准前检查，我们可能会建议申请人提供所有需要确认的过程确认或再确认方案及完成报告。</w:t>
      </w:r>
    </w:p>
    <w:p w14:paraId="5575800F">
      <w:pPr>
        <w:tabs>
          <w:tab w:val="left" w:pos="960"/>
        </w:tabs>
        <w:snapToGrid/>
        <w:spacing w:before="0" w:beforeLines="0" w:line="240" w:lineRule="auto"/>
        <w:ind w:left="717"/>
        <w:jc w:val="both"/>
        <w:rPr>
          <w:szCs w:val="24"/>
          <w:lang w:eastAsia="zh-CN"/>
        </w:rPr>
      </w:pPr>
    </w:p>
    <w:p w14:paraId="320E7C61">
      <w:pPr>
        <w:numPr>
          <w:ilvl w:val="0"/>
          <w:numId w:val="7"/>
        </w:numPr>
        <w:tabs>
          <w:tab w:val="left" w:pos="960"/>
        </w:tabs>
        <w:snapToGrid/>
        <w:spacing w:before="0" w:beforeLines="0" w:line="240" w:lineRule="auto"/>
        <w:ind w:left="717"/>
        <w:jc w:val="both"/>
        <w:rPr>
          <w:szCs w:val="24"/>
          <w:lang w:eastAsia="zh-CN"/>
        </w:rPr>
      </w:pPr>
      <w:r>
        <w:rPr>
          <w:szCs w:val="24"/>
          <w:lang w:eastAsia="zh-CN"/>
        </w:rPr>
        <w:t>环境和污染控制程序，如果此类条件可能对器械产生不利影响（21 CFR 820.70）。如果这涉及到大量程序，对最相关程序进行抽查足以符合要求。</w:t>
      </w:r>
    </w:p>
    <w:p w14:paraId="17BE93E5">
      <w:pPr>
        <w:tabs>
          <w:tab w:val="left" w:pos="960"/>
        </w:tabs>
        <w:snapToGrid/>
        <w:spacing w:before="0" w:beforeLines="0" w:line="240" w:lineRule="auto"/>
        <w:ind w:left="717"/>
        <w:jc w:val="both"/>
        <w:rPr>
          <w:szCs w:val="24"/>
          <w:lang w:eastAsia="zh-CN"/>
        </w:rPr>
      </w:pPr>
    </w:p>
    <w:p w14:paraId="70C663B0">
      <w:pPr>
        <w:numPr>
          <w:ilvl w:val="0"/>
          <w:numId w:val="7"/>
        </w:numPr>
        <w:tabs>
          <w:tab w:val="left" w:pos="960"/>
        </w:tabs>
        <w:snapToGrid/>
        <w:spacing w:before="0" w:beforeLines="0" w:line="240" w:lineRule="auto"/>
        <w:ind w:left="717"/>
        <w:jc w:val="both"/>
        <w:rPr>
          <w:szCs w:val="24"/>
          <w:lang w:eastAsia="zh-CN"/>
        </w:rPr>
      </w:pPr>
      <w:r>
        <w:rPr>
          <w:szCs w:val="24"/>
          <w:lang w:eastAsia="zh-CN"/>
        </w:rPr>
        <w:t>如果与原始PMA不同，任何解释检查、测量和试验设备如何进行常规校准、检查、检验和维护的程序（21 CFR 820.72）。如果这涉及到大量程序，对最相关程序进行抽查足以符合要求。如果程序与原始PMA中所包含和批准的程序相同，应提供一份说明该内容的声明。</w:t>
      </w:r>
    </w:p>
    <w:p w14:paraId="13FC4F8D">
      <w:pPr>
        <w:snapToGrid/>
        <w:spacing w:before="0" w:beforeLines="0" w:line="240" w:lineRule="auto"/>
        <w:rPr>
          <w:sz w:val="21"/>
          <w:szCs w:val="21"/>
          <w:lang w:eastAsia="zh-CN"/>
        </w:rPr>
      </w:pPr>
      <w:r>
        <w:rPr>
          <w:sz w:val="21"/>
          <w:szCs w:val="21"/>
          <w:lang w:eastAsia="zh-CN"/>
        </w:rPr>
        <w:br w:type="page"/>
      </w:r>
    </w:p>
    <w:p w14:paraId="51848F0A">
      <w:pPr>
        <w:numPr>
          <w:ilvl w:val="0"/>
          <w:numId w:val="7"/>
        </w:numPr>
        <w:tabs>
          <w:tab w:val="left" w:pos="960"/>
        </w:tabs>
        <w:snapToGrid/>
        <w:spacing w:before="0" w:beforeLines="0" w:line="240" w:lineRule="auto"/>
        <w:ind w:left="717"/>
        <w:jc w:val="both"/>
        <w:rPr>
          <w:szCs w:val="24"/>
          <w:lang w:eastAsia="zh-CN"/>
        </w:rPr>
      </w:pPr>
      <w:r>
        <w:rPr>
          <w:szCs w:val="24"/>
          <w:lang w:eastAsia="zh-CN"/>
        </w:rPr>
        <w:t>如果制造场所变更导致使用不同供应商或合同制造商：</w:t>
      </w:r>
    </w:p>
    <w:p w14:paraId="053C86DF">
      <w:pPr>
        <w:tabs>
          <w:tab w:val="left" w:pos="1320"/>
        </w:tabs>
        <w:snapToGrid/>
        <w:spacing w:before="0" w:beforeLines="0" w:line="240" w:lineRule="auto"/>
        <w:ind w:left="1080"/>
        <w:jc w:val="both"/>
        <w:rPr>
          <w:szCs w:val="24"/>
          <w:lang w:eastAsia="zh-CN"/>
        </w:rPr>
      </w:pPr>
    </w:p>
    <w:p w14:paraId="65706306">
      <w:pPr>
        <w:numPr>
          <w:ilvl w:val="1"/>
          <w:numId w:val="7"/>
        </w:numPr>
        <w:tabs>
          <w:tab w:val="left" w:pos="1320"/>
        </w:tabs>
        <w:snapToGrid/>
        <w:spacing w:before="0" w:beforeLines="0" w:line="240" w:lineRule="auto"/>
        <w:ind w:left="1080"/>
        <w:jc w:val="both"/>
        <w:rPr>
          <w:szCs w:val="24"/>
          <w:lang w:eastAsia="zh-CN"/>
        </w:rPr>
      </w:pPr>
      <w:r>
        <w:rPr>
          <w:szCs w:val="24"/>
          <w:lang w:eastAsia="zh-CN"/>
        </w:rPr>
        <w:t>提供或参考现行采购控制程序，详细说明供应商评价过程，并说明将如何确定对供应商进行控制的类型和程度。该程序应涉及：</w:t>
      </w:r>
    </w:p>
    <w:p w14:paraId="7E0EC1D8">
      <w:pPr>
        <w:tabs>
          <w:tab w:val="left" w:pos="2040"/>
        </w:tabs>
        <w:snapToGrid/>
        <w:spacing w:before="0" w:beforeLines="0" w:line="240" w:lineRule="auto"/>
        <w:ind w:left="1437"/>
        <w:jc w:val="both"/>
        <w:rPr>
          <w:szCs w:val="24"/>
          <w:lang w:eastAsia="zh-CN"/>
        </w:rPr>
      </w:pPr>
    </w:p>
    <w:p w14:paraId="2393C8B4">
      <w:pPr>
        <w:numPr>
          <w:ilvl w:val="2"/>
          <w:numId w:val="7"/>
        </w:numPr>
        <w:tabs>
          <w:tab w:val="left" w:pos="2040"/>
        </w:tabs>
        <w:snapToGrid/>
        <w:spacing w:before="0" w:beforeLines="0" w:line="240" w:lineRule="auto"/>
        <w:ind w:left="1437"/>
        <w:jc w:val="both"/>
        <w:rPr>
          <w:szCs w:val="24"/>
          <w:lang w:eastAsia="zh-CN"/>
        </w:rPr>
      </w:pPr>
      <w:r>
        <w:rPr>
          <w:szCs w:val="24"/>
          <w:lang w:eastAsia="zh-CN"/>
        </w:rPr>
        <w:t>为供应商建立的质量控制，如何评价这些质量控制，以及如何监控质量控制。</w:t>
      </w:r>
    </w:p>
    <w:p w14:paraId="172F7B73">
      <w:pPr>
        <w:tabs>
          <w:tab w:val="left" w:pos="2040"/>
        </w:tabs>
        <w:snapToGrid/>
        <w:spacing w:before="0" w:beforeLines="0" w:line="240" w:lineRule="auto"/>
        <w:ind w:left="1437"/>
        <w:jc w:val="both"/>
        <w:rPr>
          <w:szCs w:val="24"/>
          <w:lang w:eastAsia="zh-CN"/>
        </w:rPr>
      </w:pPr>
    </w:p>
    <w:p w14:paraId="77876DF7">
      <w:pPr>
        <w:numPr>
          <w:ilvl w:val="2"/>
          <w:numId w:val="7"/>
        </w:numPr>
        <w:tabs>
          <w:tab w:val="left" w:pos="2040"/>
        </w:tabs>
        <w:snapToGrid/>
        <w:spacing w:before="0" w:beforeLines="0" w:line="240" w:lineRule="auto"/>
        <w:ind w:left="1437"/>
        <w:jc w:val="both"/>
        <w:rPr>
          <w:szCs w:val="24"/>
          <w:lang w:eastAsia="zh-CN"/>
        </w:rPr>
      </w:pPr>
      <w:r>
        <w:rPr>
          <w:szCs w:val="24"/>
          <w:lang w:eastAsia="zh-CN"/>
        </w:rPr>
        <w:t>确保您和供应商完全理解适用于供应商的所有控制措施的沟通方法。</w:t>
      </w:r>
    </w:p>
    <w:p w14:paraId="139FA78C">
      <w:pPr>
        <w:tabs>
          <w:tab w:val="left" w:pos="2040"/>
        </w:tabs>
        <w:snapToGrid/>
        <w:spacing w:before="0" w:beforeLines="0" w:line="240" w:lineRule="auto"/>
        <w:ind w:left="1437"/>
        <w:jc w:val="both"/>
        <w:rPr>
          <w:szCs w:val="24"/>
          <w:lang w:eastAsia="zh-CN"/>
        </w:rPr>
      </w:pPr>
    </w:p>
    <w:p w14:paraId="21928F00">
      <w:pPr>
        <w:numPr>
          <w:ilvl w:val="2"/>
          <w:numId w:val="7"/>
        </w:numPr>
        <w:tabs>
          <w:tab w:val="left" w:pos="2040"/>
        </w:tabs>
        <w:snapToGrid/>
        <w:spacing w:before="0" w:beforeLines="0" w:line="240" w:lineRule="auto"/>
        <w:ind w:left="1437"/>
        <w:jc w:val="both"/>
        <w:rPr>
          <w:szCs w:val="24"/>
          <w:lang w:eastAsia="zh-CN"/>
        </w:rPr>
      </w:pPr>
      <w:r>
        <w:rPr>
          <w:szCs w:val="24"/>
          <w:lang w:eastAsia="zh-CN"/>
        </w:rPr>
        <w:t>为确保充分控制您和供应商所做设计和过程相关变更而采用的变更控制机制。</w:t>
      </w:r>
    </w:p>
    <w:p w14:paraId="6EEB653F">
      <w:pPr>
        <w:tabs>
          <w:tab w:val="left" w:pos="2040"/>
        </w:tabs>
        <w:snapToGrid/>
        <w:spacing w:before="0" w:beforeLines="0" w:line="240" w:lineRule="auto"/>
        <w:ind w:left="1437"/>
        <w:jc w:val="both"/>
        <w:rPr>
          <w:szCs w:val="24"/>
          <w:lang w:eastAsia="zh-CN"/>
        </w:rPr>
      </w:pPr>
    </w:p>
    <w:p w14:paraId="0E84A6A1">
      <w:pPr>
        <w:numPr>
          <w:ilvl w:val="2"/>
          <w:numId w:val="7"/>
        </w:numPr>
        <w:tabs>
          <w:tab w:val="left" w:pos="2040"/>
        </w:tabs>
        <w:snapToGrid/>
        <w:spacing w:before="0" w:beforeLines="0" w:line="240" w:lineRule="auto"/>
        <w:ind w:left="1437"/>
        <w:jc w:val="both"/>
        <w:rPr>
          <w:szCs w:val="24"/>
          <w:lang w:eastAsia="zh-CN"/>
        </w:rPr>
      </w:pPr>
      <w:r>
        <w:rPr>
          <w:szCs w:val="24"/>
          <w:lang w:eastAsia="zh-CN"/>
        </w:rPr>
        <w:t>如何保持可接受供应商的记录以及如何处理采购数据的批准程序。</w:t>
      </w:r>
    </w:p>
    <w:p w14:paraId="5798155A">
      <w:pPr>
        <w:tabs>
          <w:tab w:val="left" w:pos="2040"/>
        </w:tabs>
        <w:snapToGrid/>
        <w:spacing w:before="0" w:beforeLines="0" w:line="240" w:lineRule="auto"/>
        <w:ind w:left="1437"/>
        <w:jc w:val="both"/>
        <w:rPr>
          <w:szCs w:val="24"/>
          <w:lang w:eastAsia="zh-CN"/>
        </w:rPr>
      </w:pPr>
    </w:p>
    <w:p w14:paraId="11F927BD">
      <w:pPr>
        <w:numPr>
          <w:ilvl w:val="2"/>
          <w:numId w:val="7"/>
        </w:numPr>
        <w:tabs>
          <w:tab w:val="left" w:pos="2040"/>
        </w:tabs>
        <w:snapToGrid/>
        <w:spacing w:before="0" w:beforeLines="0" w:line="240" w:lineRule="auto"/>
        <w:ind w:left="1437"/>
        <w:jc w:val="both"/>
        <w:rPr>
          <w:szCs w:val="24"/>
          <w:lang w:eastAsia="zh-CN"/>
        </w:rPr>
      </w:pPr>
      <w:r>
        <w:rPr>
          <w:szCs w:val="24"/>
          <w:lang w:eastAsia="zh-CN"/>
        </w:rPr>
        <w:t>如何平衡采购评估和接收验收，以确保产品符合规定的要求。</w:t>
      </w:r>
    </w:p>
    <w:p w14:paraId="0077F418">
      <w:pPr>
        <w:tabs>
          <w:tab w:val="left" w:pos="1320"/>
        </w:tabs>
        <w:snapToGrid/>
        <w:spacing w:before="0" w:beforeLines="0" w:line="240" w:lineRule="auto"/>
        <w:ind w:left="1080"/>
        <w:jc w:val="both"/>
        <w:rPr>
          <w:szCs w:val="24"/>
          <w:lang w:eastAsia="zh-CN"/>
        </w:rPr>
      </w:pPr>
    </w:p>
    <w:p w14:paraId="1E762872">
      <w:pPr>
        <w:numPr>
          <w:ilvl w:val="1"/>
          <w:numId w:val="7"/>
        </w:numPr>
        <w:tabs>
          <w:tab w:val="left" w:pos="1320"/>
        </w:tabs>
        <w:snapToGrid/>
        <w:spacing w:before="0" w:beforeLines="0" w:line="240" w:lineRule="auto"/>
        <w:ind w:left="1080"/>
        <w:jc w:val="both"/>
        <w:rPr>
          <w:szCs w:val="24"/>
          <w:lang w:eastAsia="zh-CN"/>
        </w:rPr>
      </w:pPr>
      <w:r>
        <w:rPr>
          <w:szCs w:val="24"/>
          <w:lang w:eastAsia="zh-CN"/>
        </w:rPr>
        <w:t>提供有关任何供应商、供货商或合同制造商的具体文件，证明您如何应用采购控制（21 CFR 820.50）和验收活动要求（21 CFR 820.80），以确保采购或接收的具体产品和服务符合规定的要求。</w:t>
      </w:r>
      <w:r>
        <w:rPr>
          <w:rStyle w:val="20"/>
          <w:szCs w:val="24"/>
          <w:lang w:eastAsia="zh-CN"/>
        </w:rPr>
        <w:footnoteReference w:id="13"/>
      </w:r>
    </w:p>
    <w:p w14:paraId="14DBDA65">
      <w:pPr>
        <w:tabs>
          <w:tab w:val="left" w:pos="960"/>
        </w:tabs>
        <w:snapToGrid/>
        <w:spacing w:before="0" w:beforeLines="0" w:line="240" w:lineRule="auto"/>
        <w:ind w:left="717"/>
        <w:jc w:val="both"/>
        <w:rPr>
          <w:szCs w:val="24"/>
          <w:lang w:eastAsia="zh-CN"/>
        </w:rPr>
      </w:pPr>
    </w:p>
    <w:p w14:paraId="35FA6C64">
      <w:pPr>
        <w:numPr>
          <w:ilvl w:val="0"/>
          <w:numId w:val="7"/>
        </w:numPr>
        <w:tabs>
          <w:tab w:val="left" w:pos="960"/>
        </w:tabs>
        <w:snapToGrid/>
        <w:spacing w:before="0" w:beforeLines="0" w:line="240" w:lineRule="auto"/>
        <w:ind w:left="717"/>
        <w:jc w:val="both"/>
        <w:rPr>
          <w:szCs w:val="24"/>
          <w:lang w:eastAsia="zh-CN"/>
        </w:rPr>
      </w:pPr>
      <w:r>
        <w:rPr>
          <w:szCs w:val="24"/>
          <w:lang w:eastAsia="zh-CN"/>
        </w:rPr>
        <w:t>如果与原始PMA中包含和批准的程序不同，在目标制造场所进行来料验收活动的程序。如果程序与原始PMA中所包含和批准的程序相同，应提供一份说明该内容的声明。</w:t>
      </w:r>
    </w:p>
    <w:p w14:paraId="51560578">
      <w:pPr>
        <w:tabs>
          <w:tab w:val="left" w:pos="960"/>
        </w:tabs>
        <w:snapToGrid/>
        <w:spacing w:before="0" w:beforeLines="0" w:line="240" w:lineRule="auto"/>
        <w:ind w:left="717"/>
        <w:jc w:val="both"/>
        <w:rPr>
          <w:szCs w:val="24"/>
          <w:lang w:eastAsia="zh-CN"/>
        </w:rPr>
      </w:pPr>
    </w:p>
    <w:p w14:paraId="631CFD09">
      <w:pPr>
        <w:numPr>
          <w:ilvl w:val="0"/>
          <w:numId w:val="7"/>
        </w:numPr>
        <w:tabs>
          <w:tab w:val="left" w:pos="960"/>
        </w:tabs>
        <w:snapToGrid/>
        <w:spacing w:before="0" w:beforeLines="0" w:line="240" w:lineRule="auto"/>
        <w:ind w:left="717"/>
        <w:jc w:val="both"/>
        <w:rPr>
          <w:szCs w:val="24"/>
          <w:lang w:eastAsia="zh-CN"/>
        </w:rPr>
      </w:pPr>
      <w:r>
        <w:rPr>
          <w:szCs w:val="24"/>
          <w:lang w:eastAsia="zh-CN"/>
        </w:rPr>
        <w:t>如适用并且与原始PMA中包含和批准的程序不同，在目标制造场所进行最终验收活动的程序。如果程序与原始PMA中所包含和批准的程序相同，应提供一份说明该内容的声明。</w:t>
      </w:r>
    </w:p>
    <w:p w14:paraId="6A2431C3">
      <w:pPr>
        <w:tabs>
          <w:tab w:val="left" w:pos="960"/>
        </w:tabs>
        <w:snapToGrid/>
        <w:spacing w:before="0" w:beforeLines="0" w:line="240" w:lineRule="auto"/>
        <w:jc w:val="both"/>
        <w:rPr>
          <w:szCs w:val="24"/>
          <w:lang w:eastAsia="zh-CN"/>
        </w:rPr>
      </w:pPr>
    </w:p>
    <w:p w14:paraId="0995EA79">
      <w:pPr>
        <w:tabs>
          <w:tab w:val="left" w:pos="960"/>
        </w:tabs>
        <w:snapToGrid/>
        <w:spacing w:before="0" w:beforeLines="0" w:line="240" w:lineRule="auto"/>
        <w:jc w:val="both"/>
        <w:rPr>
          <w:szCs w:val="24"/>
          <w:lang w:eastAsia="zh-CN"/>
        </w:rPr>
      </w:pPr>
    </w:p>
    <w:p w14:paraId="3F59E77F">
      <w:pPr>
        <w:snapToGrid/>
        <w:spacing w:before="0" w:beforeLines="0" w:line="240" w:lineRule="auto"/>
        <w:jc w:val="both"/>
        <w:rPr>
          <w:szCs w:val="24"/>
          <w:lang w:eastAsia="zh-CN"/>
        </w:rPr>
      </w:pPr>
      <w:r>
        <w:rPr>
          <w:szCs w:val="24"/>
          <w:lang w:eastAsia="zh-CN"/>
        </w:rPr>
        <w:br w:type="page"/>
      </w:r>
    </w:p>
    <w:p w14:paraId="7712D404">
      <w:pPr>
        <w:pStyle w:val="23"/>
        <w:numPr>
          <w:ilvl w:val="0"/>
          <w:numId w:val="5"/>
        </w:numPr>
        <w:tabs>
          <w:tab w:val="left" w:pos="1276"/>
        </w:tabs>
        <w:ind w:left="0" w:firstLine="686" w:firstLineChars="0"/>
        <w:jc w:val="both"/>
        <w:outlineLvl w:val="1"/>
        <w:rPr>
          <w:rFonts w:ascii="Times New Roman" w:hAnsi="Times New Roman" w:eastAsia="宋体" w:cs="Times New Roman"/>
          <w:b/>
          <w:sz w:val="28"/>
          <w:szCs w:val="28"/>
          <w:lang w:eastAsia="zh-CN"/>
        </w:rPr>
      </w:pPr>
      <w:bookmarkStart w:id="8" w:name="_Toc97374585"/>
      <w:r>
        <w:rPr>
          <w:rFonts w:ascii="Times New Roman" w:hAnsi="Times New Roman" w:eastAsia="宋体" w:cs="Times New Roman"/>
          <w:b/>
          <w:sz w:val="28"/>
          <w:szCs w:val="28"/>
          <w:lang w:eastAsia="zh-CN"/>
        </w:rPr>
        <w:t>确定是否可能需要检查。</w:t>
      </w:r>
      <w:bookmarkEnd w:id="8"/>
    </w:p>
    <w:p w14:paraId="6C1CBB73">
      <w:pPr>
        <w:snapToGrid/>
        <w:spacing w:before="0" w:beforeLines="0" w:line="240" w:lineRule="auto"/>
        <w:ind w:firstLine="480" w:firstLineChars="200"/>
        <w:jc w:val="both"/>
        <w:rPr>
          <w:szCs w:val="24"/>
          <w:lang w:eastAsia="zh-CN"/>
        </w:rPr>
      </w:pPr>
    </w:p>
    <w:p w14:paraId="285C9856">
      <w:pPr>
        <w:snapToGrid/>
        <w:spacing w:before="0" w:beforeLines="0" w:line="240" w:lineRule="auto"/>
        <w:ind w:firstLine="480" w:firstLineChars="200"/>
        <w:jc w:val="both"/>
        <w:rPr>
          <w:szCs w:val="24"/>
          <w:lang w:eastAsia="zh-CN"/>
        </w:rPr>
      </w:pPr>
      <w:r>
        <w:rPr>
          <w:szCs w:val="24"/>
          <w:lang w:eastAsia="zh-CN"/>
        </w:rPr>
        <w:t>与上市前批准申请一样，如果补充上市前批准申请符合适用的法律和法规要求，则可予以批准。其中一项要求规定用于制造、处理、包装、储存或安装器械的方法或设施或控制措施应符合《FD&amp;C法案》第520(f)节的要求。可能必须进行场所变更补充申请的批准前检查，以使FDA</w:t>
      </w:r>
      <w:r>
        <w:rPr>
          <w:rFonts w:hint="eastAsia"/>
          <w:szCs w:val="24"/>
          <w:lang w:eastAsia="zh-CN"/>
        </w:rPr>
        <w:t>审查</w:t>
      </w:r>
      <w:r>
        <w:rPr>
          <w:szCs w:val="24"/>
          <w:lang w:eastAsia="zh-CN"/>
        </w:rPr>
        <w:t>器械的制造、处理、包装、储存或安装所用方法或设施或控制是否符合QS法规（21 CFR</w:t>
      </w:r>
      <w:r>
        <w:rPr>
          <w:rFonts w:hint="eastAsia"/>
          <w:szCs w:val="24"/>
          <w:lang w:eastAsia="zh-CN"/>
        </w:rPr>
        <w:t xml:space="preserve"> </w:t>
      </w:r>
      <w:r>
        <w:rPr>
          <w:szCs w:val="24"/>
          <w:lang w:eastAsia="zh-CN"/>
        </w:rPr>
        <w:t>820）的要求。参见《FD&amp;C法案》第515(c)(1)(C)、515(d)(2)(C)和520(f)节</w:t>
      </w:r>
      <w:r>
        <w:rPr>
          <w:rFonts w:hint="eastAsia"/>
          <w:szCs w:val="24"/>
          <w:lang w:eastAsia="zh-CN"/>
        </w:rPr>
        <w:t>（</w:t>
      </w:r>
      <w:r>
        <w:rPr>
          <w:szCs w:val="24"/>
          <w:lang w:eastAsia="zh-CN"/>
        </w:rPr>
        <w:t>21 U.S.C.§§ 360e(c)(1)(C)、360e(d)(2)(C)和360j(f)</w:t>
      </w:r>
      <w:r>
        <w:rPr>
          <w:rFonts w:hint="eastAsia"/>
          <w:szCs w:val="24"/>
          <w:lang w:eastAsia="zh-CN"/>
        </w:rPr>
        <w:t>）</w:t>
      </w:r>
      <w:r>
        <w:rPr>
          <w:szCs w:val="24"/>
          <w:lang w:eastAsia="zh-CN"/>
        </w:rPr>
        <w:t>。</w:t>
      </w:r>
    </w:p>
    <w:p w14:paraId="25500DAF">
      <w:pPr>
        <w:snapToGrid/>
        <w:spacing w:before="0" w:beforeLines="0" w:line="240" w:lineRule="auto"/>
        <w:ind w:firstLine="480" w:firstLineChars="200"/>
        <w:jc w:val="both"/>
        <w:rPr>
          <w:szCs w:val="24"/>
          <w:lang w:eastAsia="zh-CN"/>
        </w:rPr>
      </w:pPr>
    </w:p>
    <w:p w14:paraId="034CF0E4">
      <w:pPr>
        <w:snapToGrid/>
        <w:spacing w:before="0" w:beforeLines="0" w:line="240" w:lineRule="auto"/>
        <w:ind w:firstLine="480" w:firstLineChars="200"/>
        <w:jc w:val="both"/>
        <w:rPr>
          <w:szCs w:val="24"/>
          <w:lang w:eastAsia="zh-CN"/>
        </w:rPr>
      </w:pPr>
      <w:r>
        <w:rPr>
          <w:szCs w:val="24"/>
          <w:lang w:eastAsia="zh-CN"/>
        </w:rPr>
        <w:t>CDRH和CBER通常根据以下因素决定是否对与场所变更补充申请有关的新场所进行检查：</w:t>
      </w:r>
    </w:p>
    <w:p w14:paraId="39C1FF8B">
      <w:pPr>
        <w:numPr>
          <w:ilvl w:val="0"/>
          <w:numId w:val="8"/>
        </w:numPr>
        <w:tabs>
          <w:tab w:val="left" w:pos="959"/>
          <w:tab w:val="left" w:pos="960"/>
        </w:tabs>
        <w:snapToGrid/>
        <w:spacing w:before="0" w:beforeLines="0" w:line="240" w:lineRule="auto"/>
        <w:ind w:left="718" w:hanging="361"/>
        <w:jc w:val="both"/>
        <w:rPr>
          <w:szCs w:val="24"/>
          <w:lang w:eastAsia="zh-CN"/>
        </w:rPr>
      </w:pPr>
      <w:r>
        <w:rPr>
          <w:szCs w:val="24"/>
          <w:lang w:eastAsia="zh-CN"/>
        </w:rPr>
        <w:t>对现行场所和新场所的末次检查日期；</w:t>
      </w:r>
    </w:p>
    <w:p w14:paraId="6275517C">
      <w:pPr>
        <w:numPr>
          <w:ilvl w:val="0"/>
          <w:numId w:val="8"/>
        </w:numPr>
        <w:tabs>
          <w:tab w:val="left" w:pos="959"/>
          <w:tab w:val="left" w:pos="960"/>
        </w:tabs>
        <w:snapToGrid/>
        <w:spacing w:before="0" w:beforeLines="0" w:line="240" w:lineRule="auto"/>
        <w:ind w:left="718" w:hanging="361"/>
        <w:jc w:val="both"/>
        <w:rPr>
          <w:szCs w:val="24"/>
          <w:lang w:eastAsia="zh-CN"/>
        </w:rPr>
      </w:pPr>
      <w:r>
        <w:rPr>
          <w:szCs w:val="24"/>
          <w:lang w:eastAsia="zh-CN"/>
        </w:rPr>
        <w:t>对现行场所和新场所的末次检查分类；</w:t>
      </w:r>
    </w:p>
    <w:p w14:paraId="49C3F8A8">
      <w:pPr>
        <w:numPr>
          <w:ilvl w:val="0"/>
          <w:numId w:val="8"/>
        </w:numPr>
        <w:tabs>
          <w:tab w:val="left" w:pos="959"/>
          <w:tab w:val="left" w:pos="960"/>
        </w:tabs>
        <w:snapToGrid/>
        <w:spacing w:before="0" w:beforeLines="0" w:line="240" w:lineRule="auto"/>
        <w:ind w:left="718" w:hanging="361"/>
        <w:jc w:val="both"/>
        <w:rPr>
          <w:szCs w:val="24"/>
          <w:lang w:eastAsia="zh-CN"/>
        </w:rPr>
      </w:pPr>
      <w:r>
        <w:rPr>
          <w:szCs w:val="24"/>
          <w:lang w:eastAsia="zh-CN"/>
        </w:rPr>
        <w:t>末次QS法规检查与已转移的制造、处理或包装活动的相关性（例如，是否已检查类似产品或过程）；</w:t>
      </w:r>
    </w:p>
    <w:p w14:paraId="7E273379">
      <w:pPr>
        <w:numPr>
          <w:ilvl w:val="0"/>
          <w:numId w:val="8"/>
        </w:numPr>
        <w:tabs>
          <w:tab w:val="left" w:pos="959"/>
          <w:tab w:val="left" w:pos="960"/>
        </w:tabs>
        <w:snapToGrid/>
        <w:spacing w:before="0" w:beforeLines="0" w:line="240" w:lineRule="auto"/>
        <w:ind w:left="718" w:hanging="361"/>
        <w:jc w:val="both"/>
        <w:rPr>
          <w:szCs w:val="24"/>
          <w:lang w:eastAsia="zh-CN"/>
        </w:rPr>
      </w:pPr>
      <w:r>
        <w:rPr>
          <w:szCs w:val="24"/>
          <w:lang w:eastAsia="zh-CN"/>
        </w:rPr>
        <w:t>对与在该场所制造、处理或包装</w:t>
      </w:r>
      <w:r>
        <w:rPr>
          <w:rFonts w:hint="eastAsia"/>
          <w:szCs w:val="24"/>
          <w:lang w:eastAsia="zh-CN"/>
        </w:rPr>
        <w:t>的</w:t>
      </w:r>
      <w:r>
        <w:rPr>
          <w:szCs w:val="24"/>
          <w:lang w:eastAsia="zh-CN"/>
        </w:rPr>
        <w:t>器械的制造过程有关的召回和不良事件的审查；以及</w:t>
      </w:r>
    </w:p>
    <w:p w14:paraId="40EE9F1F">
      <w:pPr>
        <w:numPr>
          <w:ilvl w:val="0"/>
          <w:numId w:val="8"/>
        </w:numPr>
        <w:tabs>
          <w:tab w:val="left" w:pos="959"/>
          <w:tab w:val="left" w:pos="960"/>
        </w:tabs>
        <w:snapToGrid/>
        <w:spacing w:before="0" w:beforeLines="0" w:line="240" w:lineRule="auto"/>
        <w:ind w:left="718" w:hanging="361"/>
        <w:jc w:val="both"/>
        <w:rPr>
          <w:szCs w:val="24"/>
          <w:lang w:eastAsia="zh-CN"/>
        </w:rPr>
      </w:pPr>
      <w:r>
        <w:rPr>
          <w:szCs w:val="24"/>
          <w:lang w:eastAsia="zh-CN"/>
        </w:rPr>
        <w:t>与在新场所进行的制造活动有关的器械安全性或有效性的风险。</w:t>
      </w:r>
    </w:p>
    <w:p w14:paraId="0B29C36D">
      <w:pPr>
        <w:snapToGrid/>
        <w:spacing w:before="0" w:beforeLines="0" w:line="240" w:lineRule="auto"/>
        <w:ind w:firstLine="480" w:firstLineChars="200"/>
        <w:jc w:val="both"/>
        <w:rPr>
          <w:szCs w:val="24"/>
          <w:lang w:eastAsia="zh-CN"/>
        </w:rPr>
      </w:pPr>
    </w:p>
    <w:p w14:paraId="1D5B2CF9">
      <w:pPr>
        <w:snapToGrid/>
        <w:spacing w:before="0" w:beforeLines="0" w:line="240" w:lineRule="auto"/>
        <w:ind w:firstLine="480" w:firstLineChars="200"/>
        <w:jc w:val="both"/>
        <w:rPr>
          <w:szCs w:val="24"/>
          <w:lang w:eastAsia="zh-CN"/>
        </w:rPr>
      </w:pPr>
      <w:r>
        <w:rPr>
          <w:szCs w:val="24"/>
          <w:lang w:eastAsia="zh-CN"/>
        </w:rPr>
        <w:t>CDRH和CBER审查检查记录以确定之前检查的分类。检查可分为须采取正式措施（OAI）、自愿采取措施（VAI）或无须采取措施（NAI）。OAI与FDA合规项目7382.845第V部分</w:t>
      </w:r>
      <w:r>
        <w:rPr>
          <w:rFonts w:ascii="宋体" w:hAnsi="宋体"/>
          <w:szCs w:val="24"/>
          <w:lang w:eastAsia="zh-CN"/>
        </w:rPr>
        <w:t>“</w:t>
      </w:r>
      <w:r>
        <w:rPr>
          <w:szCs w:val="24"/>
          <w:lang w:eastAsia="zh-CN"/>
        </w:rPr>
        <w:t>医疗器械制造商检查</w:t>
      </w:r>
      <w:r>
        <w:rPr>
          <w:rFonts w:ascii="宋体" w:hAnsi="宋体"/>
          <w:szCs w:val="24"/>
          <w:lang w:eastAsia="zh-CN"/>
        </w:rPr>
        <w:t>”</w:t>
      </w:r>
      <w:r>
        <w:rPr>
          <w:szCs w:val="24"/>
          <w:lang w:eastAsia="zh-CN"/>
        </w:rPr>
        <w:t>中定义的情况I检查同义。</w:t>
      </w:r>
      <w:r>
        <w:rPr>
          <w:rStyle w:val="20"/>
          <w:szCs w:val="24"/>
          <w:lang w:eastAsia="zh-CN"/>
        </w:rPr>
        <w:footnoteReference w:id="14"/>
      </w:r>
      <w:r>
        <w:rPr>
          <w:szCs w:val="24"/>
          <w:lang w:eastAsia="zh-CN"/>
        </w:rPr>
        <w:t>情况I表明质量体系法规存在一个或多个重大缺陷，以至于FDA准备采取行政和/或监管措施，包括但不限于发出警告信、禁令、拘留、扣押、民事罚款或起诉。NAI和VAI分类通常与情况II检查同义，表明数量或类型的质量体系缺陷</w:t>
      </w:r>
      <w:r>
        <w:rPr>
          <w:rFonts w:hint="eastAsia"/>
          <w:szCs w:val="24"/>
          <w:lang w:eastAsia="zh-CN"/>
        </w:rPr>
        <w:t>，</w:t>
      </w:r>
      <w:r>
        <w:rPr>
          <w:szCs w:val="24"/>
          <w:lang w:eastAsia="zh-CN"/>
        </w:rPr>
        <w:t>根据观察到的质量体系缺陷和所涉及的特定器械和制造过程之间的关系，</w:t>
      </w:r>
      <w:r>
        <w:rPr>
          <w:rFonts w:hint="eastAsia"/>
          <w:szCs w:val="24"/>
          <w:lang w:eastAsia="zh-CN"/>
        </w:rPr>
        <w:t>推断</w:t>
      </w:r>
      <w:r>
        <w:rPr>
          <w:szCs w:val="24"/>
          <w:lang w:eastAsia="zh-CN"/>
        </w:rPr>
        <w:t>该机构将生产不合格或缺陷性成品器械的可能性极小。在情况II中，FDA通知该机构任何可疑发现，但一般不启动行政或监管措施。</w:t>
      </w:r>
    </w:p>
    <w:p w14:paraId="738E2338">
      <w:pPr>
        <w:snapToGrid/>
        <w:spacing w:before="0" w:beforeLines="0" w:line="240" w:lineRule="auto"/>
        <w:jc w:val="both"/>
        <w:rPr>
          <w:szCs w:val="24"/>
          <w:lang w:eastAsia="zh-CN"/>
        </w:rPr>
      </w:pPr>
    </w:p>
    <w:p w14:paraId="2EEA23CA">
      <w:pPr>
        <w:snapToGrid/>
        <w:spacing w:before="0" w:beforeLines="0" w:line="240" w:lineRule="auto"/>
        <w:ind w:firstLine="480" w:firstLineChars="200"/>
        <w:rPr>
          <w:szCs w:val="24"/>
          <w:lang w:eastAsia="zh-CN"/>
        </w:rPr>
      </w:pPr>
      <w:r>
        <w:rPr>
          <w:szCs w:val="24"/>
          <w:lang w:eastAsia="zh-CN"/>
        </w:rPr>
        <w:t>CDRH和CBER预期在审查时考虑上述因素，以决定是否需要检查。例如，当新场所尚未接受检查，或者现行场所或新场所的末次检查归为OAI，如果CDRH或CBER审查场所变更补充申请并认为在进行非暴力（情况II）检查之前可以批准，则FDA预期对新场所进行检查。制造商可与适当办公室联系，讨论是否可能需要进行批准前检查；可酌情利用预先提交申请过程进行这些联系。</w:t>
      </w:r>
      <w:r>
        <w:rPr>
          <w:rStyle w:val="20"/>
          <w:szCs w:val="24"/>
          <w:lang w:eastAsia="zh-CN"/>
        </w:rPr>
        <w:footnoteReference w:id="15"/>
      </w:r>
    </w:p>
    <w:p w14:paraId="4AAE7CA6">
      <w:pPr>
        <w:snapToGrid/>
        <w:spacing w:before="0" w:beforeLines="0" w:line="240" w:lineRule="auto"/>
        <w:ind w:firstLine="480" w:firstLineChars="200"/>
        <w:rPr>
          <w:szCs w:val="24"/>
          <w:lang w:eastAsia="zh-CN"/>
        </w:rPr>
      </w:pPr>
    </w:p>
    <w:p w14:paraId="676BCD61">
      <w:pPr>
        <w:pStyle w:val="23"/>
        <w:numPr>
          <w:ilvl w:val="0"/>
          <w:numId w:val="1"/>
        </w:numPr>
        <w:tabs>
          <w:tab w:val="left" w:pos="1240"/>
        </w:tabs>
        <w:ind w:left="643" w:hanging="643" w:hangingChars="200"/>
        <w:jc w:val="both"/>
        <w:outlineLvl w:val="0"/>
        <w:rPr>
          <w:rFonts w:ascii="Times New Roman" w:hAnsi="Times New Roman" w:eastAsia="宋体" w:cs="Times New Roman"/>
          <w:b/>
          <w:sz w:val="32"/>
          <w:szCs w:val="32"/>
        </w:rPr>
      </w:pPr>
      <w:bookmarkStart w:id="9" w:name="_Toc97374586"/>
      <w:r>
        <w:rPr>
          <w:rFonts w:ascii="Times New Roman" w:hAnsi="Times New Roman" w:eastAsia="宋体" w:cs="Times New Roman"/>
          <w:b/>
          <w:sz w:val="32"/>
          <w:szCs w:val="32"/>
        </w:rPr>
        <w:t>资源</w:t>
      </w:r>
      <w:bookmarkEnd w:id="9"/>
    </w:p>
    <w:p w14:paraId="2DB2E9A4">
      <w:pPr>
        <w:snapToGrid/>
        <w:spacing w:before="0" w:beforeLines="0" w:line="240" w:lineRule="auto"/>
        <w:ind w:firstLine="480" w:firstLineChars="200"/>
        <w:jc w:val="both"/>
        <w:rPr>
          <w:szCs w:val="24"/>
          <w:lang w:eastAsia="zh-CN"/>
        </w:rPr>
      </w:pPr>
      <w:r>
        <w:rPr>
          <w:szCs w:val="24"/>
          <w:lang w:eastAsia="zh-CN"/>
        </w:rPr>
        <w:t>为检查做准备或进行过程确认时，以下资源可能有助于制定您的场所变更补充申请或30天通知的内容：</w:t>
      </w:r>
    </w:p>
    <w:p w14:paraId="5C3ADFB3">
      <w:pPr>
        <w:snapToGrid/>
        <w:spacing w:before="0" w:beforeLines="0" w:line="240" w:lineRule="auto"/>
        <w:ind w:firstLine="480" w:firstLineChars="200"/>
        <w:jc w:val="both"/>
        <w:rPr>
          <w:szCs w:val="24"/>
          <w:lang w:eastAsia="zh-CN"/>
        </w:rPr>
      </w:pPr>
    </w:p>
    <w:p w14:paraId="43BA0588">
      <w:pPr>
        <w:numPr>
          <w:ilvl w:val="0"/>
          <w:numId w:val="9"/>
        </w:numPr>
        <w:tabs>
          <w:tab w:val="left" w:pos="960"/>
        </w:tabs>
        <w:snapToGrid/>
        <w:spacing w:before="0" w:beforeLines="0" w:line="240" w:lineRule="auto"/>
        <w:ind w:left="714" w:hanging="357"/>
        <w:jc w:val="both"/>
        <w:rPr>
          <w:szCs w:val="24"/>
        </w:rPr>
      </w:pPr>
      <w:r>
        <w:rPr>
          <w:szCs w:val="24"/>
        </w:rPr>
        <w:t>《特定上市前申请审查的质量体系信息；行业和FDA工作人员指南》</w:t>
      </w:r>
      <w:r>
        <w:rPr>
          <w:szCs w:val="24"/>
          <w:lang w:eastAsia="zh-CN"/>
        </w:rPr>
        <w:t>，</w:t>
      </w:r>
      <w:r>
        <w:rPr>
          <w:szCs w:val="24"/>
        </w:rPr>
        <w:t>可登录以下网址查阅：https://</w:t>
      </w:r>
      <w:r>
        <w:fldChar w:fldCharType="begin"/>
      </w:r>
      <w:r>
        <w:instrText xml:space="preserve"> HYPERLINK "http://www.fda.gov/ucm/groups/fdagov-" \h </w:instrText>
      </w:r>
      <w:r>
        <w:fldChar w:fldCharType="separate"/>
      </w:r>
      <w:r>
        <w:rPr>
          <w:szCs w:val="24"/>
        </w:rPr>
        <w:t>www.fda.gov/ucm/groups/fdagov-</w:t>
      </w:r>
      <w:r>
        <w:rPr>
          <w:szCs w:val="24"/>
        </w:rPr>
        <w:fldChar w:fldCharType="end"/>
      </w:r>
      <w:r>
        <w:rPr>
          <w:szCs w:val="24"/>
        </w:rPr>
        <w:t xml:space="preserve"> public/@fdagov-meddev-gen/documents/document/ucm070899.pdf</w:t>
      </w:r>
      <w:r>
        <w:rPr>
          <w:color w:val="0000FF"/>
          <w:szCs w:val="24"/>
          <w:u w:val="single"/>
        </w:rPr>
        <w:t xml:space="preserve"> https://</w:t>
      </w:r>
      <w:r>
        <w:fldChar w:fldCharType="begin"/>
      </w:r>
      <w:r>
        <w:instrText xml:space="preserve"> HYPERLINK "http://www.fda.gov/MedicalDevices/DeviceRegulationandGuidance/GuidanceDocumen" \h </w:instrText>
      </w:r>
      <w:r>
        <w:fldChar w:fldCharType="separate"/>
      </w:r>
      <w:r>
        <w:rPr>
          <w:color w:val="0000FF"/>
          <w:szCs w:val="24"/>
          <w:u w:val="single" w:color="0000FF"/>
        </w:rPr>
        <w:t>www.fda.gov/MedicalDevices/DeviceRegulationandGuidance/GuidanceDocumen</w:t>
      </w:r>
      <w:r>
        <w:rPr>
          <w:color w:val="0000FF"/>
          <w:szCs w:val="24"/>
          <w:u w:val="single" w:color="0000FF"/>
        </w:rPr>
        <w:fldChar w:fldCharType="end"/>
      </w:r>
      <w:r>
        <w:rPr>
          <w:color w:val="0000FF"/>
          <w:szCs w:val="24"/>
          <w:u w:val="single"/>
        </w:rPr>
        <w:t xml:space="preserve"> ts/UCM070899</w:t>
      </w:r>
    </w:p>
    <w:p w14:paraId="59A4AB38">
      <w:pPr>
        <w:tabs>
          <w:tab w:val="left" w:pos="960"/>
        </w:tabs>
        <w:snapToGrid/>
        <w:spacing w:before="0" w:beforeLines="0" w:line="240" w:lineRule="auto"/>
        <w:ind w:left="714"/>
        <w:jc w:val="both"/>
        <w:rPr>
          <w:szCs w:val="24"/>
          <w:lang w:eastAsia="zh-CN"/>
        </w:rPr>
      </w:pPr>
    </w:p>
    <w:p w14:paraId="5272FAC9">
      <w:pPr>
        <w:numPr>
          <w:ilvl w:val="0"/>
          <w:numId w:val="9"/>
        </w:numPr>
        <w:tabs>
          <w:tab w:val="left" w:pos="960"/>
        </w:tabs>
        <w:snapToGrid/>
        <w:spacing w:before="0" w:beforeLines="0" w:line="240" w:lineRule="auto"/>
        <w:ind w:left="714" w:hanging="357"/>
        <w:jc w:val="both"/>
        <w:rPr>
          <w:szCs w:val="24"/>
          <w:lang w:eastAsia="zh-CN"/>
        </w:rPr>
      </w:pPr>
      <w:r>
        <w:rPr>
          <w:szCs w:val="24"/>
          <w:lang w:eastAsia="zh-CN"/>
        </w:rPr>
        <w:t>《行业和FDA工作人员指南；上市前批准申请制造信息和操作的审查和检查》，可登录以下网址查阅：</w:t>
      </w:r>
      <w:r>
        <w:fldChar w:fldCharType="begin"/>
      </w:r>
      <w:r>
        <w:instrText xml:space="preserve"> HYPERLINK "https://www.fda.gov/ucm/groups/fdagov-public/%40fdagov-meddev-gen/documents/document/ucm077795.pdf" \h </w:instrText>
      </w:r>
      <w:r>
        <w:fldChar w:fldCharType="separate"/>
      </w:r>
      <w:r>
        <w:rPr>
          <w:color w:val="0000FF"/>
          <w:szCs w:val="24"/>
          <w:u w:val="single" w:color="0000FF"/>
          <w:lang w:eastAsia="zh-CN"/>
        </w:rPr>
        <w:t>https://www.fda.gov/ucm/groups/fdagov-public/@fdagov-meddev-</w:t>
      </w:r>
      <w:r>
        <w:rPr>
          <w:color w:val="0000FF"/>
          <w:szCs w:val="24"/>
          <w:u w:val="single" w:color="0000FF"/>
          <w:lang w:eastAsia="zh-CN"/>
        </w:rPr>
        <w:fldChar w:fldCharType="end"/>
      </w:r>
      <w:r>
        <w:fldChar w:fldCharType="begin"/>
      </w:r>
      <w:r>
        <w:instrText xml:space="preserve"> HYPERLINK "https://www.fda.gov/ucm/groups/fdagov-public/%40fdagov-meddev-gen/documents/document/ucm077795.pdf" \h </w:instrText>
      </w:r>
      <w:r>
        <w:fldChar w:fldCharType="separate"/>
      </w:r>
      <w:r>
        <w:rPr>
          <w:color w:val="0000FF"/>
          <w:szCs w:val="24"/>
          <w:u w:val="single" w:color="0000FF"/>
          <w:lang w:eastAsia="zh-CN"/>
        </w:rPr>
        <w:t>gen/documents/document/ucm077795.pdf</w:t>
      </w:r>
      <w:r>
        <w:rPr>
          <w:color w:val="0000FF"/>
          <w:szCs w:val="24"/>
          <w:u w:val="single" w:color="0000FF"/>
          <w:lang w:eastAsia="zh-CN"/>
        </w:rPr>
        <w:fldChar w:fldCharType="end"/>
      </w:r>
    </w:p>
    <w:p w14:paraId="1D497157">
      <w:pPr>
        <w:tabs>
          <w:tab w:val="left" w:pos="960"/>
        </w:tabs>
        <w:snapToGrid/>
        <w:spacing w:before="0" w:beforeLines="0" w:line="240" w:lineRule="auto"/>
        <w:ind w:left="714"/>
        <w:jc w:val="both"/>
        <w:rPr>
          <w:szCs w:val="24"/>
          <w:lang w:eastAsia="zh-CN"/>
        </w:rPr>
      </w:pPr>
    </w:p>
    <w:p w14:paraId="200BDCB2">
      <w:pPr>
        <w:numPr>
          <w:ilvl w:val="0"/>
          <w:numId w:val="9"/>
        </w:numPr>
        <w:tabs>
          <w:tab w:val="left" w:pos="960"/>
        </w:tabs>
        <w:snapToGrid/>
        <w:spacing w:before="0" w:beforeLines="0" w:line="240" w:lineRule="auto"/>
        <w:ind w:left="714" w:hanging="357"/>
        <w:jc w:val="both"/>
        <w:rPr>
          <w:szCs w:val="24"/>
          <w:lang w:eastAsia="zh-CN"/>
        </w:rPr>
      </w:pPr>
      <w:r>
        <w:rPr>
          <w:szCs w:val="24"/>
          <w:lang w:eastAsia="zh-CN"/>
        </w:rPr>
        <w:t>《行业指南；过程确认：一般原则和做法》，可登录以下网址查阅：</w:t>
      </w:r>
      <w:r>
        <w:fldChar w:fldCharType="begin"/>
      </w:r>
      <w:r>
        <w:instrText xml:space="preserve"> HYPERLINK "http://www.fda.gov/downloads/Drugs/.../Guidances/UCM070336.pdf" \h </w:instrText>
      </w:r>
      <w:r>
        <w:fldChar w:fldCharType="separate"/>
      </w:r>
      <w:r>
        <w:rPr>
          <w:color w:val="0000FF"/>
          <w:szCs w:val="24"/>
          <w:u w:val="single" w:color="0000FF"/>
          <w:lang w:eastAsia="zh-CN"/>
        </w:rPr>
        <w:t>http://www.fda.gov/downloads/Drugs/.../Guidances/UCM070336.pdf.</w:t>
      </w:r>
      <w:r>
        <w:rPr>
          <w:color w:val="0000FF"/>
          <w:szCs w:val="24"/>
          <w:u w:val="single" w:color="0000FF"/>
          <w:lang w:eastAsia="zh-CN"/>
        </w:rPr>
        <w:fldChar w:fldCharType="end"/>
      </w:r>
    </w:p>
    <w:p w14:paraId="258DE2F6">
      <w:pPr>
        <w:tabs>
          <w:tab w:val="left" w:pos="960"/>
        </w:tabs>
        <w:snapToGrid/>
        <w:spacing w:before="0" w:beforeLines="0" w:line="240" w:lineRule="auto"/>
        <w:ind w:left="714"/>
        <w:rPr>
          <w:szCs w:val="24"/>
          <w:lang w:eastAsia="zh-CN"/>
        </w:rPr>
      </w:pPr>
    </w:p>
    <w:p w14:paraId="021E4CD1">
      <w:pPr>
        <w:numPr>
          <w:ilvl w:val="0"/>
          <w:numId w:val="9"/>
        </w:numPr>
        <w:tabs>
          <w:tab w:val="left" w:pos="960"/>
        </w:tabs>
        <w:snapToGrid/>
        <w:spacing w:before="0" w:beforeLines="0" w:line="240" w:lineRule="auto"/>
        <w:ind w:left="714" w:hanging="357"/>
        <w:rPr>
          <w:szCs w:val="24"/>
          <w:lang w:eastAsia="zh-CN"/>
        </w:rPr>
      </w:pPr>
      <w:r>
        <w:rPr>
          <w:szCs w:val="24"/>
          <w:lang w:eastAsia="zh-CN"/>
        </w:rPr>
        <w:t>《医疗器械；现行医疗器械生产质量管理规范（CGMP）最终规则；质量体系法规》（61 FR 52602，1996年10月7日），可登录以下网址查阅：</w:t>
      </w:r>
      <w:r>
        <w:fldChar w:fldCharType="begin"/>
      </w:r>
      <w:r>
        <w:instrText xml:space="preserve"> HYPERLINK "http://www.fda.gov/MedicalDevices/DeviceRegulationandGuidance/PostmarketRequirements/QualitySystemsRegulations/ucm230127.htm" \h </w:instrText>
      </w:r>
      <w:r>
        <w:fldChar w:fldCharType="separate"/>
      </w:r>
      <w:r>
        <w:rPr>
          <w:color w:val="0000FF"/>
          <w:szCs w:val="24"/>
          <w:u w:val="single" w:color="0000FF"/>
          <w:lang w:eastAsia="zh-CN"/>
        </w:rPr>
        <w:t>http://www.fda.gov/MedicalDevices/DeviceRegulationandGuidance/PostmarketRequire</w:t>
      </w:r>
      <w:r>
        <w:rPr>
          <w:color w:val="0000FF"/>
          <w:szCs w:val="24"/>
          <w:u w:val="single" w:color="0000FF"/>
          <w:lang w:eastAsia="zh-CN"/>
        </w:rPr>
        <w:fldChar w:fldCharType="end"/>
      </w:r>
      <w:r>
        <w:fldChar w:fldCharType="begin"/>
      </w:r>
      <w:r>
        <w:instrText xml:space="preserve"> HYPERLINK "http://www.fda.gov/MedicalDevices/DeviceRegulationandGuidance/PostmarketRequirements/QualitySystemsRegulations/ucm230127.htm" \h </w:instrText>
      </w:r>
      <w:r>
        <w:fldChar w:fldCharType="separate"/>
      </w:r>
      <w:r>
        <w:rPr>
          <w:color w:val="0000FF"/>
          <w:szCs w:val="24"/>
          <w:u w:val="single" w:color="0000FF"/>
          <w:lang w:eastAsia="zh-CN"/>
        </w:rPr>
        <w:t>ments/QualitySystemsRegulations/ucm230127.htm.</w:t>
      </w:r>
      <w:r>
        <w:rPr>
          <w:color w:val="0000FF"/>
          <w:szCs w:val="24"/>
          <w:u w:val="single" w:color="0000FF"/>
          <w:lang w:eastAsia="zh-CN"/>
        </w:rPr>
        <w:fldChar w:fldCharType="end"/>
      </w:r>
    </w:p>
    <w:p w14:paraId="4F48AE5D">
      <w:pPr>
        <w:tabs>
          <w:tab w:val="left" w:pos="960"/>
        </w:tabs>
        <w:snapToGrid/>
        <w:spacing w:before="0" w:beforeLines="0" w:line="240" w:lineRule="auto"/>
        <w:ind w:left="714"/>
        <w:rPr>
          <w:szCs w:val="24"/>
          <w:lang w:eastAsia="zh-CN"/>
        </w:rPr>
      </w:pPr>
    </w:p>
    <w:p w14:paraId="5F75B196">
      <w:pPr>
        <w:numPr>
          <w:ilvl w:val="0"/>
          <w:numId w:val="9"/>
        </w:numPr>
        <w:tabs>
          <w:tab w:val="left" w:pos="960"/>
        </w:tabs>
        <w:snapToGrid/>
        <w:spacing w:before="0" w:beforeLines="0" w:line="240" w:lineRule="auto"/>
        <w:ind w:left="714" w:hanging="357"/>
        <w:rPr>
          <w:szCs w:val="24"/>
          <w:lang w:eastAsia="zh-CN"/>
        </w:rPr>
      </w:pPr>
      <w:r>
        <w:rPr>
          <w:szCs w:val="24"/>
          <w:lang w:eastAsia="zh-CN"/>
        </w:rPr>
        <w:t>《行业和FDA工作人员指南：制造方法或过程变更的30天通知、135天上市前批准（PMA）补充申请以及75天人道主义器械豁免（HDE）补充申请》，可登录以下网址查阅：</w:t>
      </w:r>
      <w:r>
        <w:fldChar w:fldCharType="begin"/>
      </w:r>
      <w:r>
        <w:instrText xml:space="preserve"> HYPERLINK "https://www.fda.gov/downloads/MedicalDevices/DeviceRegulationandGuidance/GuidanceDocuments/UCM080194.pdf" \h </w:instrText>
      </w:r>
      <w:r>
        <w:fldChar w:fldCharType="separate"/>
      </w:r>
      <w:r>
        <w:rPr>
          <w:color w:val="0000FF"/>
          <w:szCs w:val="24"/>
          <w:u w:val="single" w:color="0000FF"/>
          <w:lang w:eastAsia="zh-CN"/>
        </w:rPr>
        <w:t>https://www.fda.gov/downloads/MedicalDevices/DeviceRegulationandGuidance/Guidan</w:t>
      </w:r>
      <w:r>
        <w:rPr>
          <w:color w:val="0000FF"/>
          <w:szCs w:val="24"/>
          <w:u w:val="single" w:color="0000FF"/>
          <w:lang w:eastAsia="zh-CN"/>
        </w:rPr>
        <w:fldChar w:fldCharType="end"/>
      </w:r>
      <w:r>
        <w:fldChar w:fldCharType="begin"/>
      </w:r>
      <w:r>
        <w:instrText xml:space="preserve"> HYPERLINK "https://www.fda.gov/downloads/MedicalDevices/DeviceRegulationandGuidance/GuidanceDocuments/UCM080194.pdf" \h </w:instrText>
      </w:r>
      <w:r>
        <w:fldChar w:fldCharType="separate"/>
      </w:r>
      <w:r>
        <w:rPr>
          <w:color w:val="0000FF"/>
          <w:szCs w:val="24"/>
          <w:u w:val="single" w:color="0000FF"/>
          <w:lang w:eastAsia="zh-CN"/>
        </w:rPr>
        <w:t>ceDocuments/UCM080194.pdf</w:t>
      </w:r>
      <w:r>
        <w:rPr>
          <w:color w:val="0000FF"/>
          <w:szCs w:val="24"/>
          <w:u w:val="single" w:color="0000FF"/>
          <w:lang w:eastAsia="zh-CN"/>
        </w:rPr>
        <w:fldChar w:fldCharType="end"/>
      </w:r>
    </w:p>
    <w:p w14:paraId="32560C10">
      <w:pPr>
        <w:tabs>
          <w:tab w:val="left" w:pos="960"/>
        </w:tabs>
        <w:snapToGrid/>
        <w:spacing w:before="0" w:beforeLines="0" w:line="240" w:lineRule="auto"/>
        <w:ind w:left="714"/>
        <w:jc w:val="both"/>
        <w:rPr>
          <w:szCs w:val="24"/>
          <w:lang w:eastAsia="zh-CN"/>
        </w:rPr>
      </w:pPr>
    </w:p>
    <w:p w14:paraId="412AA228">
      <w:pPr>
        <w:numPr>
          <w:ilvl w:val="0"/>
          <w:numId w:val="9"/>
        </w:numPr>
        <w:tabs>
          <w:tab w:val="left" w:pos="960"/>
        </w:tabs>
        <w:snapToGrid/>
        <w:spacing w:before="0" w:beforeLines="0" w:line="240" w:lineRule="auto"/>
        <w:ind w:left="714" w:hanging="357"/>
        <w:jc w:val="both"/>
        <w:rPr>
          <w:szCs w:val="24"/>
          <w:lang w:eastAsia="zh-CN"/>
        </w:rPr>
      </w:pPr>
      <w:r>
        <w:rPr>
          <w:szCs w:val="24"/>
          <w:lang w:eastAsia="zh-CN"/>
        </w:rPr>
        <w:t>OEI（官方机构清单）开发和维护程序，可登录以下网址查阅：</w:t>
      </w:r>
      <w:r>
        <w:fldChar w:fldCharType="begin"/>
      </w:r>
      <w:r>
        <w:instrText xml:space="preserve"> HYPERLINK "http://www.fda.gov/ICECI/Inspections/FieldManagementDirectives/ucm096034.htm" \h </w:instrText>
      </w:r>
      <w:r>
        <w:fldChar w:fldCharType="separate"/>
      </w:r>
      <w:r>
        <w:rPr>
          <w:color w:val="0000FF"/>
          <w:szCs w:val="24"/>
          <w:u w:val="single" w:color="0000FF"/>
          <w:lang w:eastAsia="zh-CN"/>
        </w:rPr>
        <w:t>http://www.fda.gov/ICECI/Inspections/FieldManagementDirectives/ucm096034.htm</w:t>
      </w:r>
      <w:r>
        <w:rPr>
          <w:color w:val="0000FF"/>
          <w:szCs w:val="24"/>
          <w:u w:val="single" w:color="0000FF"/>
          <w:lang w:eastAsia="zh-CN"/>
        </w:rPr>
        <w:fldChar w:fldCharType="end"/>
      </w:r>
      <w:r>
        <w:rPr>
          <w:szCs w:val="24"/>
          <w:lang w:eastAsia="zh-CN"/>
        </w:rPr>
        <w:t>.</w:t>
      </w:r>
    </w:p>
    <w:p w14:paraId="2A199955">
      <w:pPr>
        <w:tabs>
          <w:tab w:val="left" w:pos="960"/>
        </w:tabs>
        <w:snapToGrid/>
        <w:spacing w:before="0" w:beforeLines="0" w:line="240" w:lineRule="auto"/>
        <w:ind w:left="714"/>
        <w:rPr>
          <w:szCs w:val="24"/>
        </w:rPr>
      </w:pPr>
    </w:p>
    <w:p w14:paraId="1B9BC122">
      <w:pPr>
        <w:numPr>
          <w:ilvl w:val="0"/>
          <w:numId w:val="9"/>
        </w:numPr>
        <w:tabs>
          <w:tab w:val="left" w:pos="960"/>
        </w:tabs>
        <w:snapToGrid/>
        <w:spacing w:before="0" w:beforeLines="0" w:line="240" w:lineRule="auto"/>
        <w:ind w:left="714" w:hanging="357"/>
        <w:rPr>
          <w:szCs w:val="24"/>
        </w:rPr>
      </w:pPr>
      <w:r>
        <w:rPr>
          <w:szCs w:val="24"/>
          <w:lang w:eastAsia="zh-CN"/>
        </w:rPr>
        <w:t>《合规项目指南手册，医疗器械制造商检查》。</w:t>
      </w:r>
      <w:r>
        <w:rPr>
          <w:szCs w:val="24"/>
        </w:rPr>
        <w:t>项目7382.845，可登录以下网址查阅：</w:t>
      </w:r>
      <w:r>
        <w:fldChar w:fldCharType="begin"/>
      </w:r>
      <w:r>
        <w:instrText xml:space="preserve"> HYPERLINK "http://www.fda.gov/downloads/MedicalDevices/DeviceRegulationandGuidance/GuidanceDocuments/UCM244277.pdf" \h </w:instrText>
      </w:r>
      <w:r>
        <w:fldChar w:fldCharType="separate"/>
      </w:r>
      <w:r>
        <w:rPr>
          <w:color w:val="0000FF"/>
          <w:szCs w:val="24"/>
          <w:u w:val="single" w:color="0000FF"/>
        </w:rPr>
        <w:t>http://www.fda.gov/downloads/MedicalDevices/DeviceRegulationandGuidance/Guidanc</w:t>
      </w:r>
      <w:r>
        <w:rPr>
          <w:color w:val="0000FF"/>
          <w:szCs w:val="24"/>
          <w:u w:val="single" w:color="0000FF"/>
        </w:rPr>
        <w:fldChar w:fldCharType="end"/>
      </w:r>
      <w:r>
        <w:rPr>
          <w:color w:val="0000FF"/>
          <w:szCs w:val="24"/>
        </w:rPr>
        <w:t xml:space="preserve"> </w:t>
      </w:r>
      <w:r>
        <w:fldChar w:fldCharType="begin"/>
      </w:r>
      <w:r>
        <w:instrText xml:space="preserve"> HYPERLINK "http://www.fda.gov/downloads/MedicalDevices/DeviceRegulationandGuidance/GuidanceDocuments/UCM244277.pdf" \h </w:instrText>
      </w:r>
      <w:r>
        <w:fldChar w:fldCharType="separate"/>
      </w:r>
      <w:r>
        <w:rPr>
          <w:color w:val="0000FF"/>
          <w:szCs w:val="24"/>
          <w:u w:val="single" w:color="0000FF"/>
        </w:rPr>
        <w:t>eDocuments/UCM244277.pdf</w:t>
      </w:r>
      <w:r>
        <w:rPr>
          <w:color w:val="0000FF"/>
          <w:szCs w:val="24"/>
          <w:u w:val="single" w:color="0000FF"/>
        </w:rPr>
        <w:fldChar w:fldCharType="end"/>
      </w:r>
      <w:r>
        <w:rPr>
          <w:szCs w:val="24"/>
        </w:rPr>
        <w:t>.</w:t>
      </w:r>
    </w:p>
    <w:p w14:paraId="41D438ED">
      <w:pPr>
        <w:snapToGrid/>
        <w:spacing w:before="0" w:beforeLines="0" w:line="240" w:lineRule="auto"/>
        <w:jc w:val="both"/>
        <w:rPr>
          <w:szCs w:val="24"/>
          <w:lang w:val="de-DE"/>
        </w:rPr>
      </w:pPr>
    </w:p>
    <w:p w14:paraId="26A43243">
      <w:pPr>
        <w:tabs>
          <w:tab w:val="left" w:pos="960"/>
        </w:tabs>
        <w:snapToGrid/>
        <w:spacing w:before="0" w:beforeLines="0" w:line="240" w:lineRule="auto"/>
        <w:jc w:val="both"/>
        <w:rPr>
          <w:szCs w:val="24"/>
          <w:lang w:eastAsia="zh-CN"/>
        </w:rPr>
      </w:pPr>
      <w:r>
        <w:rPr>
          <w:szCs w:val="24"/>
          <w:lang w:eastAsia="zh-CN"/>
        </w:rPr>
        <w:br w:type="page"/>
      </w:r>
    </w:p>
    <w:p w14:paraId="0598A768">
      <w:pPr>
        <w:numPr>
          <w:ilvl w:val="0"/>
          <w:numId w:val="9"/>
        </w:numPr>
        <w:tabs>
          <w:tab w:val="left" w:pos="960"/>
        </w:tabs>
        <w:snapToGrid/>
        <w:spacing w:before="0" w:beforeLines="0" w:line="240" w:lineRule="auto"/>
        <w:ind w:left="714" w:hanging="357"/>
        <w:jc w:val="both"/>
        <w:rPr>
          <w:szCs w:val="24"/>
          <w:lang w:eastAsia="zh-CN"/>
        </w:rPr>
      </w:pPr>
      <w:r>
        <w:rPr>
          <w:szCs w:val="24"/>
          <w:lang w:eastAsia="zh-CN"/>
        </w:rPr>
        <w:t>《行业和FDA工作人员指南：对</w:t>
      </w:r>
      <w:r>
        <w:rPr>
          <w:rFonts w:hint="eastAsia"/>
          <w:szCs w:val="24"/>
          <w:lang w:eastAsia="zh-CN"/>
        </w:rPr>
        <w:t>需</w:t>
      </w:r>
      <w:r>
        <w:rPr>
          <w:szCs w:val="24"/>
          <w:lang w:eastAsia="zh-CN"/>
        </w:rPr>
        <w:t>上市前批准（PMA）器械的修改-PMA补充申请决策过程（2008年）》，可登录以下网址查阅：</w:t>
      </w:r>
      <w:r>
        <w:fldChar w:fldCharType="begin"/>
      </w:r>
      <w:r>
        <w:instrText xml:space="preserve"> HYPERLINK "https://www.fda.gov/ucm/groups/fdagov-public/%40fdagov-meddev-gen/documents/document/ucm270606.pdf" \h </w:instrText>
      </w:r>
      <w:r>
        <w:fldChar w:fldCharType="separate"/>
      </w:r>
      <w:r>
        <w:rPr>
          <w:color w:val="0000FF"/>
          <w:szCs w:val="24"/>
          <w:u w:val="single" w:color="0000FF"/>
          <w:lang w:eastAsia="zh-CN"/>
        </w:rPr>
        <w:t>https://www.fda.gov/ucm/groups/fdagov-public/@fdagov-meddev-</w:t>
      </w:r>
      <w:r>
        <w:rPr>
          <w:color w:val="0000FF"/>
          <w:szCs w:val="24"/>
          <w:u w:val="single" w:color="0000FF"/>
          <w:lang w:eastAsia="zh-CN"/>
        </w:rPr>
        <w:fldChar w:fldCharType="end"/>
      </w:r>
      <w:r>
        <w:fldChar w:fldCharType="begin"/>
      </w:r>
      <w:r>
        <w:instrText xml:space="preserve"> HYPERLINK "https://www.fda.gov/ucm/groups/fdagov-public/%40fdagov-meddev-gen/documents/document/ucm270606.pdf" \h </w:instrText>
      </w:r>
      <w:r>
        <w:fldChar w:fldCharType="separate"/>
      </w:r>
      <w:r>
        <w:rPr>
          <w:color w:val="0000FF"/>
          <w:szCs w:val="24"/>
          <w:u w:val="single" w:color="0000FF"/>
          <w:lang w:eastAsia="zh-CN"/>
        </w:rPr>
        <w:t>gen/documents/document/ucm270606.pdf</w:t>
      </w:r>
      <w:r>
        <w:rPr>
          <w:color w:val="0000FF"/>
          <w:szCs w:val="24"/>
          <w:u w:val="single" w:color="0000FF"/>
          <w:lang w:eastAsia="zh-CN"/>
        </w:rPr>
        <w:fldChar w:fldCharType="end"/>
      </w:r>
    </w:p>
    <w:p w14:paraId="55EC3B62">
      <w:pPr>
        <w:tabs>
          <w:tab w:val="left" w:pos="960"/>
        </w:tabs>
        <w:snapToGrid/>
        <w:spacing w:before="0" w:beforeLines="0" w:line="240" w:lineRule="auto"/>
        <w:ind w:left="714"/>
        <w:jc w:val="both"/>
        <w:rPr>
          <w:szCs w:val="24"/>
          <w:lang w:eastAsia="zh-CN"/>
        </w:rPr>
      </w:pPr>
    </w:p>
    <w:p w14:paraId="4C5AE2F3">
      <w:pPr>
        <w:numPr>
          <w:ilvl w:val="0"/>
          <w:numId w:val="9"/>
        </w:numPr>
        <w:tabs>
          <w:tab w:val="left" w:pos="960"/>
        </w:tabs>
        <w:snapToGrid/>
        <w:spacing w:before="0" w:beforeLines="0" w:line="240" w:lineRule="auto"/>
        <w:ind w:left="714" w:hanging="357"/>
        <w:jc w:val="both"/>
        <w:rPr>
          <w:szCs w:val="24"/>
          <w:lang w:eastAsia="zh-CN"/>
        </w:rPr>
      </w:pPr>
      <w:r>
        <w:rPr>
          <w:szCs w:val="24"/>
          <w:lang w:eastAsia="zh-CN"/>
        </w:rPr>
        <w:t>已获批上市前批准申请的年度报告（PMA）-</w:t>
      </w:r>
      <w:r>
        <w:rPr>
          <w:rFonts w:hint="eastAsia"/>
          <w:szCs w:val="24"/>
          <w:lang w:val="de-DE" w:eastAsia="zh-CN"/>
        </w:rPr>
        <w:t>《</w:t>
      </w:r>
      <w:r>
        <w:rPr>
          <w:szCs w:val="24"/>
          <w:lang w:eastAsia="zh-CN"/>
        </w:rPr>
        <w:t>行业和美国食品药品监督管理局工作人员指南》，可登录以下网址查阅：</w:t>
      </w:r>
      <w:r>
        <w:fldChar w:fldCharType="begin"/>
      </w:r>
      <w:r>
        <w:instrText xml:space="preserve"> HYPERLINK "https://www.fda.gov/ucm/groups/fdagov-public/%40fdagov-meddev-gen/documents/document/ucm089398.pdf" \h </w:instrText>
      </w:r>
      <w:r>
        <w:fldChar w:fldCharType="separate"/>
      </w:r>
      <w:r>
        <w:rPr>
          <w:color w:val="0000FF"/>
          <w:szCs w:val="24"/>
          <w:u w:val="single" w:color="0000FF"/>
          <w:lang w:eastAsia="zh-CN"/>
        </w:rPr>
        <w:t>https://www.fda.gov/ucm/groups/fdagov-public/@fdagov-meddev-</w:t>
      </w:r>
      <w:r>
        <w:rPr>
          <w:color w:val="0000FF"/>
          <w:szCs w:val="24"/>
          <w:u w:val="single" w:color="0000FF"/>
          <w:lang w:eastAsia="zh-CN"/>
        </w:rPr>
        <w:fldChar w:fldCharType="end"/>
      </w:r>
      <w:r>
        <w:fldChar w:fldCharType="begin"/>
      </w:r>
      <w:r>
        <w:instrText xml:space="preserve"> HYPERLINK "https://www.fda.gov/ucm/groups/fdagov-public/%40fdagov-meddev-gen/documents/document/ucm089398.pdf" \h </w:instrText>
      </w:r>
      <w:r>
        <w:fldChar w:fldCharType="separate"/>
      </w:r>
      <w:r>
        <w:rPr>
          <w:color w:val="0000FF"/>
          <w:szCs w:val="24"/>
          <w:u w:val="single" w:color="0000FF"/>
          <w:lang w:eastAsia="zh-CN"/>
        </w:rPr>
        <w:t>gen/documents/document/ucm089398.pdf</w:t>
      </w:r>
      <w:r>
        <w:rPr>
          <w:color w:val="0000FF"/>
          <w:szCs w:val="24"/>
          <w:u w:val="single" w:color="0000FF"/>
          <w:lang w:eastAsia="zh-CN"/>
        </w:rPr>
        <w:fldChar w:fldCharType="end"/>
      </w:r>
    </w:p>
    <w:p w14:paraId="62AF0793">
      <w:pPr>
        <w:tabs>
          <w:tab w:val="left" w:pos="960"/>
        </w:tabs>
        <w:snapToGrid/>
        <w:spacing w:before="0" w:beforeLines="0" w:line="240" w:lineRule="auto"/>
        <w:ind w:left="714"/>
        <w:jc w:val="both"/>
        <w:rPr>
          <w:szCs w:val="24"/>
          <w:lang w:eastAsia="zh-CN"/>
        </w:rPr>
      </w:pPr>
    </w:p>
    <w:p w14:paraId="55C15786">
      <w:pPr>
        <w:numPr>
          <w:ilvl w:val="0"/>
          <w:numId w:val="9"/>
        </w:numPr>
        <w:tabs>
          <w:tab w:val="left" w:pos="960"/>
        </w:tabs>
        <w:snapToGrid/>
        <w:spacing w:before="0" w:beforeLines="0" w:line="240" w:lineRule="auto"/>
        <w:ind w:left="714" w:hanging="357"/>
        <w:jc w:val="both"/>
        <w:rPr>
          <w:szCs w:val="24"/>
          <w:lang w:eastAsia="zh-CN"/>
        </w:rPr>
      </w:pPr>
      <w:r>
        <w:fldChar w:fldCharType="begin"/>
      </w:r>
      <w:r>
        <w:instrText xml:space="preserve"> HYPERLINK "https://www.fda.gov/ucm/groups/fdagov-public/%40fdagov-meddev-gen/documents/document/ucm345633.pdf" \h </w:instrText>
      </w:r>
      <w:r>
        <w:fldChar w:fldCharType="separate"/>
      </w:r>
      <w:r>
        <w:rPr>
          <w:color w:val="0000FF"/>
          <w:szCs w:val="24"/>
          <w:lang w:eastAsia="zh-CN"/>
        </w:rPr>
        <w:t>《上市前批准申请和器械生物制品许可证申请的用户费用和退款》</w:t>
      </w:r>
      <w:r>
        <w:rPr>
          <w:color w:val="0000FF"/>
          <w:szCs w:val="24"/>
          <w:lang w:eastAsia="zh-CN"/>
        </w:rPr>
        <w:fldChar w:fldCharType="end"/>
      </w:r>
      <w:r>
        <w:rPr>
          <w:szCs w:val="24"/>
          <w:lang w:eastAsia="zh-CN"/>
        </w:rPr>
        <w:t>，可登录以下网址查阅：</w:t>
      </w:r>
      <w:r>
        <w:fldChar w:fldCharType="begin"/>
      </w:r>
      <w:r>
        <w:instrText xml:space="preserve"> HYPERLINK "https://www.fda.gov/ucm/groups/fdagov-public/%40fdagov-meddev-gen/documents/document/ucm345633.pdf" \h </w:instrText>
      </w:r>
      <w:r>
        <w:fldChar w:fldCharType="separate"/>
      </w:r>
      <w:r>
        <w:rPr>
          <w:color w:val="0000FF"/>
          <w:szCs w:val="24"/>
          <w:u w:val="single"/>
          <w:lang w:eastAsia="zh-CN"/>
        </w:rPr>
        <w:t>https://www.fda.gov/ucm/groups/fdagov-</w:t>
      </w:r>
      <w:r>
        <w:rPr>
          <w:color w:val="0000FF"/>
          <w:szCs w:val="24"/>
          <w:u w:val="single"/>
          <w:lang w:eastAsia="zh-CN"/>
        </w:rPr>
        <w:fldChar w:fldCharType="end"/>
      </w:r>
      <w:r>
        <w:fldChar w:fldCharType="begin"/>
      </w:r>
      <w:r>
        <w:instrText xml:space="preserve"> HYPERLINK "https://www.fda.gov/ucm/groups/fdagov-public/%40fdagov-meddev-gen/documents/document/ucm345633.pdf" \h </w:instrText>
      </w:r>
      <w:r>
        <w:fldChar w:fldCharType="separate"/>
      </w:r>
      <w:r>
        <w:rPr>
          <w:color w:val="0000FF"/>
          <w:szCs w:val="24"/>
          <w:u w:val="single"/>
          <w:lang w:eastAsia="zh-CN"/>
        </w:rPr>
        <w:t>public/@fdagov-meddev-gen/documents/document/ucm345633.pdf</w:t>
      </w:r>
      <w:r>
        <w:rPr>
          <w:color w:val="0000FF"/>
          <w:szCs w:val="24"/>
          <w:u w:val="single"/>
          <w:lang w:eastAsia="zh-CN"/>
        </w:rPr>
        <w:fldChar w:fldCharType="end"/>
      </w:r>
    </w:p>
    <w:p w14:paraId="02FBCD45">
      <w:pPr>
        <w:pBdr>
          <w:bottom w:val="single" w:color="auto" w:sz="4" w:space="0"/>
        </w:pBdr>
        <w:autoSpaceDE/>
        <w:autoSpaceDN/>
        <w:snapToGrid/>
        <w:spacing w:before="0" w:beforeLines="0" w:line="240" w:lineRule="auto"/>
        <w:jc w:val="center"/>
        <w:rPr>
          <w:rFonts w:hint="eastAsia" w:eastAsia="宋体"/>
          <w:lang w:eastAsia="zh-CN"/>
        </w:rPr>
      </w:pPr>
    </w:p>
    <w:p w14:paraId="46836981">
      <w:pPr>
        <w:pBdr>
          <w:bottom w:val="single" w:color="auto" w:sz="4" w:space="0"/>
        </w:pBdr>
        <w:autoSpaceDE/>
        <w:autoSpaceDN/>
        <w:snapToGrid/>
        <w:spacing w:before="0" w:beforeLines="0" w:line="240" w:lineRule="auto"/>
        <w:jc w:val="center"/>
        <w:rPr>
          <w:rFonts w:hint="eastAsia" w:eastAsia="宋体"/>
          <w:lang w:eastAsia="zh-CN"/>
        </w:rPr>
      </w:pPr>
    </w:p>
    <w:p w14:paraId="5E389C97">
      <w:pPr>
        <w:pBdr>
          <w:bottom w:val="single" w:color="auto" w:sz="4" w:space="0"/>
        </w:pBdr>
        <w:autoSpaceDE/>
        <w:autoSpaceDN/>
        <w:snapToGrid/>
        <w:spacing w:before="0" w:beforeLines="0" w:line="24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4"/>
                    <a:stretch>
                      <a:fillRect/>
                    </a:stretch>
                  </pic:blipFill>
                  <pic:spPr>
                    <a:xfrm>
                      <a:off x="0" y="0"/>
                      <a:ext cx="5210175" cy="7343775"/>
                    </a:xfrm>
                    <a:prstGeom prst="rect">
                      <a:avLst/>
                    </a:prstGeom>
                  </pic:spPr>
                </pic:pic>
              </a:graphicData>
            </a:graphic>
          </wp:inline>
        </w:drawing>
      </w:r>
    </w:p>
    <w:sectPr>
      <w:footerReference r:id="rId11" w:type="default"/>
      <w:pgSz w:w="11906" w:h="16838"/>
      <w:pgMar w:top="1134" w:right="1134" w:bottom="1134" w:left="1418" w:header="567" w:footer="567" w:gutter="0"/>
      <w:pgNumType w:start="1"/>
      <w:cols w:space="720" w:num="1"/>
      <w:docGrid w:type="lines" w:linePitch="36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05A92">
    <w:pPr>
      <w:pStyle w:val="9"/>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47135">
    <w:pPr>
      <w:pStyle w:val="9"/>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D7760">
    <w:pPr>
      <w:pStyle w:val="9"/>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FDB3">
    <w:pPr>
      <w:spacing w:before="36" w:beforeLines="15" w:line="276" w:lineRule="auto"/>
      <w:jc w:val="right"/>
      <w:rPr>
        <w:sz w:val="21"/>
      </w:rPr>
    </w:pPr>
    <w:r>
      <w:rPr>
        <w:sz w:val="21"/>
      </w:rPr>
      <w:fldChar w:fldCharType="begin"/>
    </w:r>
    <w:r>
      <w:rPr>
        <w:sz w:val="21"/>
      </w:rPr>
      <w:instrText xml:space="preserve"> PAGE  \* Arabic  \* MERGEFORMAT </w:instrText>
    </w:r>
    <w:r>
      <w:rPr>
        <w:sz w:val="21"/>
      </w:rPr>
      <w:fldChar w:fldCharType="separate"/>
    </w:r>
    <w:r>
      <w:rPr>
        <w:sz w:val="21"/>
      </w:rPr>
      <w:t>16</w:t>
    </w:r>
    <w:r>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2">
    <w:p>
      <w:pPr>
        <w:spacing w:before="0" w:after="0" w:line="300" w:lineRule="auto"/>
      </w:pPr>
      <w:r>
        <w:separator/>
      </w:r>
    </w:p>
  </w:footnote>
  <w:footnote w:type="continuationSeparator" w:id="33">
    <w:p>
      <w:pPr>
        <w:spacing w:before="0" w:after="0" w:line="300" w:lineRule="auto"/>
      </w:pPr>
      <w:r>
        <w:continuationSeparator/>
      </w:r>
    </w:p>
  </w:footnote>
  <w:footnote w:id="0">
    <w:p w14:paraId="40BB5A4E">
      <w:pPr>
        <w:widowControl/>
        <w:spacing w:before="0" w:beforeLines="0" w:line="240" w:lineRule="auto"/>
        <w:jc w:val="both"/>
        <w:rPr>
          <w:sz w:val="21"/>
          <w:szCs w:val="21"/>
          <w:lang w:eastAsia="zh-CN"/>
        </w:rPr>
      </w:pPr>
      <w:r>
        <w:rPr>
          <w:rStyle w:val="20"/>
          <w:sz w:val="21"/>
          <w:szCs w:val="21"/>
        </w:rPr>
        <w:footnoteRef/>
      </w:r>
      <w:r>
        <w:rPr>
          <w:sz w:val="21"/>
          <w:szCs w:val="21"/>
        </w:rPr>
        <w:t>有关PMA补充决策过程的更多信息，请参见本指南，可登录以下网址查阅：</w:t>
      </w:r>
      <w:r>
        <w:fldChar w:fldCharType="begin"/>
      </w:r>
      <w:r>
        <w:instrText xml:space="preserve"> HYPERLINK "http://www.fda.gov/downloads/MedicalDevices/DeviceRegulationandGuidance/GuidanceDocuments/UCM089360.pdf" \h </w:instrText>
      </w:r>
      <w:r>
        <w:fldChar w:fldCharType="separate"/>
      </w:r>
      <w:r>
        <w:rPr>
          <w:color w:val="0000FF"/>
          <w:sz w:val="21"/>
          <w:szCs w:val="21"/>
          <w:u w:val="single" w:color="0000FF"/>
        </w:rPr>
        <w:t>http://www.fda.gov/downloads/MedicalDevices/DeviceRegulationandGuidance/GuidanceDocuments/UCM089360.</w:t>
      </w:r>
      <w:r>
        <w:rPr>
          <w:color w:val="0000FF"/>
          <w:sz w:val="21"/>
          <w:szCs w:val="21"/>
          <w:u w:val="single" w:color="0000FF"/>
        </w:rPr>
        <w:fldChar w:fldCharType="end"/>
      </w:r>
      <w:r>
        <w:fldChar w:fldCharType="begin"/>
      </w:r>
      <w:r>
        <w:instrText xml:space="preserve"> HYPERLINK "http://www.fda.gov/downloads/MedicalDevices/DeviceRegulationandGuidance/GuidanceDocuments/UCM089360.pdf" \h </w:instrText>
      </w:r>
      <w:r>
        <w:fldChar w:fldCharType="separate"/>
      </w:r>
      <w:r>
        <w:rPr>
          <w:color w:val="0000FF"/>
          <w:sz w:val="21"/>
          <w:szCs w:val="21"/>
          <w:u w:val="single" w:color="0000FF"/>
          <w:lang w:eastAsia="zh-CN"/>
        </w:rPr>
        <w:t>pdf.</w:t>
      </w:r>
      <w:r>
        <w:rPr>
          <w:color w:val="0000FF"/>
          <w:sz w:val="21"/>
          <w:szCs w:val="21"/>
          <w:u w:val="single" w:color="0000FF"/>
          <w:lang w:eastAsia="zh-CN"/>
        </w:rPr>
        <w:fldChar w:fldCharType="end"/>
      </w:r>
    </w:p>
  </w:footnote>
  <w:footnote w:id="1">
    <w:p w14:paraId="739EE7BE">
      <w:pPr>
        <w:widowControl/>
        <w:spacing w:before="0" w:beforeLines="0" w:line="240" w:lineRule="auto"/>
        <w:rPr>
          <w:sz w:val="21"/>
          <w:szCs w:val="21"/>
          <w:lang w:eastAsia="zh-CN"/>
        </w:rPr>
      </w:pPr>
      <w:r>
        <w:rPr>
          <w:rStyle w:val="20"/>
          <w:sz w:val="21"/>
          <w:szCs w:val="21"/>
        </w:rPr>
        <w:footnoteRef/>
      </w:r>
      <w:r>
        <w:rPr>
          <w:sz w:val="21"/>
          <w:szCs w:val="21"/>
        </w:rPr>
        <w:t>有关制造或过程变更的30天通知、135天PMA补充申请和75天HDE补充申请的更多信息，请参见该指南，可登录以下网址查阅：</w:t>
      </w:r>
      <w:r>
        <w:rPr>
          <w:sz w:val="21"/>
          <w:szCs w:val="21"/>
          <w:lang w:eastAsia="zh-CN"/>
        </w:rPr>
        <w:br w:type="textWrapping"/>
      </w:r>
      <w:r>
        <w:fldChar w:fldCharType="begin"/>
      </w:r>
      <w:r>
        <w:instrText xml:space="preserve"> HYPERLINK "https://www.fda.gov/downloads/MedicalDevices/DeviceRegulationandGuidance/GuidanceDocuments/UCM080194.pdf" \h </w:instrText>
      </w:r>
      <w:r>
        <w:fldChar w:fldCharType="separate"/>
      </w:r>
      <w:r>
        <w:rPr>
          <w:color w:val="0000FF"/>
          <w:sz w:val="21"/>
          <w:szCs w:val="21"/>
          <w:u w:val="single" w:color="0000FF"/>
        </w:rPr>
        <w:t>https://www.fda.gov/downloads/MedicalDevices/DeviceRegulationandGuidance/GuidanceDocuments/UCM080194</w:t>
      </w:r>
      <w:r>
        <w:rPr>
          <w:color w:val="0000FF"/>
          <w:sz w:val="21"/>
          <w:szCs w:val="21"/>
          <w:u w:val="single" w:color="0000FF"/>
        </w:rPr>
        <w:fldChar w:fldCharType="end"/>
      </w:r>
      <w:r>
        <w:fldChar w:fldCharType="begin"/>
      </w:r>
      <w:r>
        <w:instrText xml:space="preserve"> HYPERLINK "https://www.fda.gov/downloads/MedicalDevices/DeviceRegulationandGuidance/GuidanceDocuments/UCM080194.pdf" \h </w:instrText>
      </w:r>
      <w:r>
        <w:fldChar w:fldCharType="separate"/>
      </w:r>
      <w:r>
        <w:rPr>
          <w:color w:val="0000FF"/>
          <w:sz w:val="21"/>
          <w:szCs w:val="21"/>
          <w:u w:val="single" w:color="0000FF"/>
        </w:rPr>
        <w:t>.pdf</w:t>
      </w:r>
      <w:r>
        <w:rPr>
          <w:color w:val="0000FF"/>
          <w:sz w:val="21"/>
          <w:szCs w:val="21"/>
          <w:u w:val="single" w:color="0000FF"/>
        </w:rPr>
        <w:fldChar w:fldCharType="end"/>
      </w:r>
    </w:p>
  </w:footnote>
  <w:footnote w:id="2">
    <w:p w14:paraId="46FD9069">
      <w:pPr>
        <w:widowControl/>
        <w:spacing w:before="0" w:beforeLines="0" w:line="240" w:lineRule="auto"/>
        <w:ind w:hanging="1"/>
        <w:jc w:val="both"/>
        <w:rPr>
          <w:sz w:val="21"/>
          <w:szCs w:val="21"/>
          <w:lang w:eastAsia="zh-CN"/>
        </w:rPr>
      </w:pPr>
      <w:r>
        <w:rPr>
          <w:rStyle w:val="20"/>
          <w:sz w:val="21"/>
          <w:szCs w:val="21"/>
        </w:rPr>
        <w:footnoteRef/>
      </w:r>
      <w:r>
        <w:rPr>
          <w:sz w:val="21"/>
          <w:szCs w:val="21"/>
        </w:rPr>
        <w:t>有关FDA如何分配FEI号的更多信息，请参见FDA的《现场管理指令》，可登录以下网址查阅：</w:t>
      </w:r>
      <w:r>
        <w:fldChar w:fldCharType="begin"/>
      </w:r>
      <w:r>
        <w:instrText xml:space="preserve"> HYPERLINK "http://www.fda.gov/ICECI/Inspections/FieldManagementDirectives/" \h </w:instrText>
      </w:r>
      <w:r>
        <w:fldChar w:fldCharType="separate"/>
      </w:r>
      <w:r>
        <w:rPr>
          <w:color w:val="0000FF"/>
          <w:sz w:val="21"/>
          <w:szCs w:val="21"/>
          <w:u w:val="single" w:color="0000FF"/>
        </w:rPr>
        <w:t>http://www.fda.gov/ICECI/Inspections/FieldManagementDirectives/.</w:t>
      </w:r>
      <w:r>
        <w:rPr>
          <w:color w:val="0000FF"/>
          <w:sz w:val="21"/>
          <w:szCs w:val="21"/>
          <w:u w:val="single" w:color="0000FF"/>
        </w:rPr>
        <w:fldChar w:fldCharType="end"/>
      </w:r>
    </w:p>
  </w:footnote>
  <w:footnote w:id="3">
    <w:p w14:paraId="72DC8E89">
      <w:pPr>
        <w:pStyle w:val="12"/>
        <w:spacing w:before="0" w:beforeLines="0"/>
        <w:rPr>
          <w:b/>
          <w:bCs/>
          <w:sz w:val="21"/>
          <w:szCs w:val="21"/>
          <w:lang w:eastAsia="zh-CN"/>
        </w:rPr>
      </w:pPr>
      <w:r>
        <w:rPr>
          <w:rStyle w:val="20"/>
          <w:sz w:val="21"/>
          <w:szCs w:val="21"/>
        </w:rPr>
        <w:footnoteRef/>
      </w:r>
      <w:r>
        <w:fldChar w:fldCharType="begin"/>
      </w:r>
      <w:r>
        <w:instrText xml:space="preserve"> HYPERLINK "https://www.fda.gov/ucm/groups/fdagov-public/@fdagov-meddev-gen/documents/document/ucm429672.pdf" </w:instrText>
      </w:r>
      <w:r>
        <w:fldChar w:fldCharType="separate"/>
      </w:r>
      <w:r>
        <w:rPr>
          <w:rStyle w:val="18"/>
          <w:b w:val="0"/>
          <w:bCs/>
          <w:sz w:val="21"/>
          <w:szCs w:val="21"/>
          <w:u w:color="0000FF"/>
        </w:rPr>
        <w:t>https://www.fda.gov/ucm/groups/fdagov-public/@fdagov-meddev-gen/documents/document/ucm429672.pdf</w:t>
      </w:r>
      <w:r>
        <w:rPr>
          <w:rStyle w:val="18"/>
          <w:b w:val="0"/>
          <w:bCs/>
          <w:sz w:val="21"/>
          <w:szCs w:val="21"/>
          <w:u w:color="0000FF"/>
        </w:rPr>
        <w:fldChar w:fldCharType="end"/>
      </w:r>
    </w:p>
  </w:footnote>
  <w:footnote w:id="4">
    <w:p w14:paraId="31A2216E">
      <w:pPr>
        <w:widowControl/>
        <w:spacing w:before="0" w:beforeLines="0" w:line="240" w:lineRule="auto"/>
        <w:rPr>
          <w:sz w:val="21"/>
          <w:szCs w:val="21"/>
          <w:lang w:eastAsia="zh-CN"/>
        </w:rPr>
      </w:pPr>
      <w:r>
        <w:rPr>
          <w:rStyle w:val="20"/>
          <w:sz w:val="21"/>
          <w:szCs w:val="21"/>
        </w:rPr>
        <w:footnoteRef/>
      </w:r>
      <w:r>
        <w:rPr>
          <w:sz w:val="21"/>
          <w:szCs w:val="21"/>
        </w:rPr>
        <w:t>有关项目7382.845的《合规</w:t>
      </w:r>
      <w:r>
        <w:rPr>
          <w:sz w:val="21"/>
          <w:szCs w:val="21"/>
          <w:lang w:eastAsia="zh-CN"/>
        </w:rPr>
        <w:t>项目</w:t>
      </w:r>
      <w:r>
        <w:rPr>
          <w:sz w:val="21"/>
          <w:szCs w:val="21"/>
        </w:rPr>
        <w:t>指南手册》，可登录以下网址查阅：</w:t>
      </w:r>
      <w:r>
        <w:fldChar w:fldCharType="begin"/>
      </w:r>
      <w:r>
        <w:instrText xml:space="preserve"> HYPERLINK "https://www.fda.gov/downloads/MedicalDevices/DeviceRegulationandGuidance/GuidanceDocuments/UCM244277.pdf" \h </w:instrText>
      </w:r>
      <w:r>
        <w:fldChar w:fldCharType="separate"/>
      </w:r>
      <w:r>
        <w:rPr>
          <w:color w:val="0000FF"/>
          <w:sz w:val="21"/>
          <w:szCs w:val="21"/>
          <w:u w:val="single" w:color="0000FF"/>
        </w:rPr>
        <w:t>https://www.fda.gov/downloads/MedicalDevices/DeviceRegulationandGuidance/GuidanceDocuments/UCM244277</w:t>
      </w:r>
      <w:r>
        <w:rPr>
          <w:color w:val="0000FF"/>
          <w:sz w:val="21"/>
          <w:szCs w:val="21"/>
          <w:u w:val="single" w:color="0000FF"/>
        </w:rPr>
        <w:fldChar w:fldCharType="end"/>
      </w:r>
      <w:r>
        <w:fldChar w:fldCharType="begin"/>
      </w:r>
      <w:r>
        <w:instrText xml:space="preserve"> HYPERLINK "https://www.fda.gov/downloads/MedicalDevices/DeviceRegulationandGuidance/GuidanceDocuments/UCM244277.pdf" \h </w:instrText>
      </w:r>
      <w:r>
        <w:fldChar w:fldCharType="separate"/>
      </w:r>
      <w:r>
        <w:rPr>
          <w:color w:val="0000FF"/>
          <w:sz w:val="21"/>
          <w:szCs w:val="21"/>
          <w:u w:val="single" w:color="0000FF"/>
        </w:rPr>
        <w:t>.pdf</w:t>
      </w:r>
      <w:r>
        <w:rPr>
          <w:color w:val="0000FF"/>
          <w:sz w:val="21"/>
          <w:szCs w:val="21"/>
          <w:u w:val="single" w:color="0000FF"/>
        </w:rPr>
        <w:fldChar w:fldCharType="end"/>
      </w:r>
    </w:p>
  </w:footnote>
  <w:footnote w:id="5">
    <w:p w14:paraId="15441DE5">
      <w:pPr>
        <w:widowControl/>
        <w:spacing w:before="0" w:beforeLines="0" w:line="240" w:lineRule="auto"/>
        <w:jc w:val="both"/>
        <w:rPr>
          <w:sz w:val="21"/>
          <w:szCs w:val="21"/>
          <w:lang w:eastAsia="zh-CN"/>
        </w:rPr>
      </w:pPr>
      <w:r>
        <w:rPr>
          <w:rStyle w:val="20"/>
          <w:sz w:val="21"/>
          <w:szCs w:val="21"/>
        </w:rPr>
        <w:footnoteRef/>
      </w:r>
      <w:r>
        <w:rPr>
          <w:i/>
          <w:iCs/>
          <w:sz w:val="21"/>
          <w:szCs w:val="21"/>
          <w:lang w:eastAsia="zh-CN"/>
        </w:rPr>
        <w:t>参见</w:t>
      </w:r>
      <w:r>
        <w:rPr>
          <w:sz w:val="21"/>
          <w:szCs w:val="21"/>
          <w:lang w:eastAsia="zh-CN"/>
        </w:rPr>
        <w:t>上文第6段。</w:t>
      </w:r>
    </w:p>
  </w:footnote>
  <w:footnote w:id="6">
    <w:p w14:paraId="1477AD2A">
      <w:pPr>
        <w:widowControl/>
        <w:spacing w:before="0" w:beforeLines="0" w:line="240" w:lineRule="auto"/>
        <w:jc w:val="both"/>
        <w:rPr>
          <w:sz w:val="21"/>
          <w:szCs w:val="21"/>
          <w:lang w:eastAsia="zh-CN"/>
        </w:rPr>
      </w:pPr>
      <w:r>
        <w:rPr>
          <w:rStyle w:val="20"/>
          <w:sz w:val="21"/>
          <w:szCs w:val="21"/>
        </w:rPr>
        <w:footnoteRef/>
      </w:r>
      <w:r>
        <w:fldChar w:fldCharType="begin"/>
      </w:r>
      <w:r>
        <w:instrText xml:space="preserve"> HYPERLINK "https://www.fda.gov/downloads/MedicalDevices/DeviceRegulationandGuidance/GuidanceDocuments/UCM34563" </w:instrText>
      </w:r>
      <w:r>
        <w:fldChar w:fldCharType="separate"/>
      </w:r>
      <w:r>
        <w:rPr>
          <w:rStyle w:val="18"/>
          <w:b w:val="0"/>
          <w:sz w:val="21"/>
          <w:szCs w:val="21"/>
          <w:lang w:eastAsia="zh-CN"/>
        </w:rPr>
        <w:t>https://www.fda.gov/downloads/MedicalDevices/DeviceRegulationandGuidance/GuidanceDocuments/UCM34563</w:t>
      </w:r>
      <w:r>
        <w:rPr>
          <w:rStyle w:val="18"/>
          <w:b w:val="0"/>
          <w:sz w:val="21"/>
          <w:szCs w:val="21"/>
          <w:lang w:eastAsia="zh-CN"/>
        </w:rPr>
        <w:fldChar w:fldCharType="end"/>
      </w:r>
      <w:r>
        <w:rPr>
          <w:bCs/>
          <w:color w:val="0000FF"/>
          <w:sz w:val="21"/>
          <w:szCs w:val="21"/>
          <w:u w:val="single" w:color="0000FF"/>
          <w:lang w:eastAsia="zh-CN"/>
        </w:rPr>
        <w:t>3.</w:t>
      </w:r>
      <w:r>
        <w:fldChar w:fldCharType="begin"/>
      </w:r>
      <w:r>
        <w:instrText xml:space="preserve"> HYPERLINK "https://www.fda.gov/downloads/MedicalDevices/DeviceRegulationandGuidance/GuidanceDocuments/UCM345633.pdf" \h </w:instrText>
      </w:r>
      <w:r>
        <w:fldChar w:fldCharType="separate"/>
      </w:r>
      <w:r>
        <w:rPr>
          <w:bCs/>
          <w:color w:val="0000FF"/>
          <w:sz w:val="21"/>
          <w:szCs w:val="21"/>
          <w:u w:val="single" w:color="0000FF"/>
          <w:lang w:eastAsia="zh-CN"/>
        </w:rPr>
        <w:t>pdf</w:t>
      </w:r>
      <w:r>
        <w:rPr>
          <w:bCs/>
          <w:color w:val="0000FF"/>
          <w:sz w:val="21"/>
          <w:szCs w:val="21"/>
          <w:u w:val="single" w:color="0000FF"/>
          <w:lang w:eastAsia="zh-CN"/>
        </w:rPr>
        <w:fldChar w:fldCharType="end"/>
      </w:r>
    </w:p>
  </w:footnote>
  <w:footnote w:id="7">
    <w:p w14:paraId="29496F6C">
      <w:pPr>
        <w:widowControl/>
        <w:spacing w:before="0" w:beforeLines="0" w:line="240" w:lineRule="auto"/>
        <w:jc w:val="both"/>
        <w:rPr>
          <w:sz w:val="21"/>
          <w:szCs w:val="21"/>
          <w:lang w:eastAsia="zh-CN"/>
        </w:rPr>
      </w:pPr>
      <w:r>
        <w:rPr>
          <w:rStyle w:val="20"/>
          <w:sz w:val="21"/>
          <w:szCs w:val="21"/>
        </w:rPr>
        <w:footnoteRef/>
      </w:r>
      <w:r>
        <w:rPr>
          <w:sz w:val="21"/>
          <w:szCs w:val="21"/>
          <w:lang w:eastAsia="zh-CN"/>
        </w:rPr>
        <w:t>请注意，成品器械的定义包括附件。</w:t>
      </w:r>
    </w:p>
  </w:footnote>
  <w:footnote w:id="8">
    <w:p w14:paraId="34AB214B">
      <w:pPr>
        <w:widowControl/>
        <w:spacing w:before="0" w:beforeLines="0" w:line="240" w:lineRule="auto"/>
        <w:jc w:val="both"/>
        <w:rPr>
          <w:sz w:val="21"/>
          <w:szCs w:val="21"/>
          <w:lang w:eastAsia="zh-CN"/>
        </w:rPr>
      </w:pPr>
      <w:r>
        <w:rPr>
          <w:rStyle w:val="20"/>
          <w:sz w:val="21"/>
          <w:szCs w:val="21"/>
        </w:rPr>
        <w:footnoteRef/>
      </w:r>
      <w:r>
        <w:rPr>
          <w:i/>
          <w:iCs/>
          <w:sz w:val="21"/>
          <w:szCs w:val="21"/>
          <w:lang w:eastAsia="zh-CN"/>
        </w:rPr>
        <w:t>参见</w:t>
      </w:r>
      <w:r>
        <w:rPr>
          <w:sz w:val="21"/>
          <w:szCs w:val="21"/>
          <w:lang w:eastAsia="zh-CN"/>
        </w:rPr>
        <w:t>21 CFR 814.39(b)和814.84(b)(1)。</w:t>
      </w:r>
    </w:p>
  </w:footnote>
  <w:footnote w:id="9">
    <w:p w14:paraId="4D833A4E">
      <w:pPr>
        <w:widowControl/>
        <w:spacing w:before="0" w:beforeLines="0" w:line="240" w:lineRule="auto"/>
        <w:rPr>
          <w:sz w:val="21"/>
          <w:szCs w:val="21"/>
          <w:lang w:eastAsia="zh-CN"/>
        </w:rPr>
      </w:pPr>
      <w:r>
        <w:rPr>
          <w:rStyle w:val="20"/>
          <w:sz w:val="21"/>
          <w:szCs w:val="21"/>
        </w:rPr>
        <w:footnoteRef/>
      </w:r>
      <w:r>
        <w:rPr>
          <w:sz w:val="21"/>
          <w:szCs w:val="21"/>
          <w:lang w:eastAsia="zh-CN"/>
        </w:rPr>
        <w:t xml:space="preserve"> 有关制造方法或过程变更的30天通知、135天PMA补充申请和75天HDE补充申请的更多信息，请参见该指南，可登录以下网址查阅：</w:t>
      </w:r>
      <w:r>
        <w:fldChar w:fldCharType="begin"/>
      </w:r>
      <w:r>
        <w:instrText xml:space="preserve"> HYPERLINK "https://www.fda.gov/downloads/MedicalDevices/DeviceRegulationandGuidance/GuidanceDocuments/UCM080194.pdf" \h </w:instrText>
      </w:r>
      <w:r>
        <w:fldChar w:fldCharType="separate"/>
      </w:r>
      <w:r>
        <w:rPr>
          <w:color w:val="0000FF"/>
          <w:sz w:val="21"/>
          <w:szCs w:val="21"/>
          <w:u w:val="single" w:color="0000FF"/>
          <w:lang w:eastAsia="zh-CN"/>
        </w:rPr>
        <w:t>https://www.fda.gov/downloads/MedicalDevices/DeviceRegulationandGuidance/GuidanceDocuments/UCM080194</w:t>
      </w:r>
      <w:r>
        <w:rPr>
          <w:color w:val="0000FF"/>
          <w:sz w:val="21"/>
          <w:szCs w:val="21"/>
          <w:u w:val="single" w:color="0000FF"/>
          <w:lang w:eastAsia="zh-CN"/>
        </w:rPr>
        <w:fldChar w:fldCharType="end"/>
      </w:r>
      <w:r>
        <w:fldChar w:fldCharType="begin"/>
      </w:r>
      <w:r>
        <w:instrText xml:space="preserve"> HYPERLINK "https://www.fda.gov/downloads/MedicalDevices/DeviceRegulationandGuidance/GuidanceDocuments/UCM080194.pdf" \h </w:instrText>
      </w:r>
      <w:r>
        <w:fldChar w:fldCharType="separate"/>
      </w:r>
      <w:r>
        <w:rPr>
          <w:color w:val="0000FF"/>
          <w:sz w:val="21"/>
          <w:szCs w:val="21"/>
          <w:u w:val="single" w:color="0000FF"/>
          <w:lang w:eastAsia="zh-CN"/>
        </w:rPr>
        <w:t>.pdf</w:t>
      </w:r>
      <w:r>
        <w:rPr>
          <w:color w:val="0000FF"/>
          <w:sz w:val="21"/>
          <w:szCs w:val="21"/>
          <w:u w:val="single" w:color="0000FF"/>
          <w:lang w:eastAsia="zh-CN"/>
        </w:rPr>
        <w:fldChar w:fldCharType="end"/>
      </w:r>
    </w:p>
  </w:footnote>
  <w:footnote w:id="10">
    <w:p w14:paraId="4FE56C2A">
      <w:pPr>
        <w:widowControl/>
        <w:spacing w:before="0" w:beforeLines="0" w:line="240" w:lineRule="auto"/>
        <w:jc w:val="both"/>
        <w:rPr>
          <w:sz w:val="21"/>
          <w:szCs w:val="21"/>
          <w:lang w:eastAsia="zh-CN"/>
        </w:rPr>
      </w:pPr>
      <w:r>
        <w:rPr>
          <w:rStyle w:val="20"/>
          <w:sz w:val="21"/>
          <w:szCs w:val="21"/>
        </w:rPr>
        <w:footnoteRef/>
      </w:r>
      <w:r>
        <w:rPr>
          <w:sz w:val="21"/>
          <w:szCs w:val="21"/>
          <w:lang w:eastAsia="zh-CN"/>
        </w:rPr>
        <w:t xml:space="preserve"> 有关可能符合30天通知条件的制造变更的更多信息，请参见FDA的最终指南《制造方法或过程变更的30天通知、135天上市前批准（PMA）补充申请和75天人道主义器械豁免（HDE）补充申请》</w:t>
      </w:r>
      <w:r>
        <w:fldChar w:fldCharType="begin"/>
      </w:r>
      <w:r>
        <w:instrText xml:space="preserve"> HYPERLINK "https://www.fda.gov/downloads/MedicalDevices/DeviceRegulationandGuidance/GuidanceDocuments/UCM080194.pdf" \h </w:instrText>
      </w:r>
      <w:r>
        <w:fldChar w:fldCharType="separate"/>
      </w:r>
      <w:r>
        <w:rPr>
          <w:color w:val="0000FF"/>
          <w:sz w:val="21"/>
          <w:szCs w:val="21"/>
          <w:u w:val="single" w:color="0000FF"/>
          <w:lang w:eastAsia="zh-CN"/>
        </w:rPr>
        <w:t>https://www.fda.gov/downloads/MedicalDevices/DeviceRegulationandGuidance/GuidanceDocuments/UCM080194</w:t>
      </w:r>
      <w:r>
        <w:rPr>
          <w:color w:val="0000FF"/>
          <w:sz w:val="21"/>
          <w:szCs w:val="21"/>
          <w:u w:val="single" w:color="0000FF"/>
          <w:lang w:eastAsia="zh-CN"/>
        </w:rPr>
        <w:fldChar w:fldCharType="end"/>
      </w:r>
      <w:r>
        <w:fldChar w:fldCharType="begin"/>
      </w:r>
      <w:r>
        <w:instrText xml:space="preserve"> HYPERLINK "https://www.fda.gov/downloads/MedicalDevices/DeviceRegulationandGuidance/GuidanceDocuments/UCM080194.pdf" \h </w:instrText>
      </w:r>
      <w:r>
        <w:fldChar w:fldCharType="separate"/>
      </w:r>
      <w:r>
        <w:rPr>
          <w:color w:val="0000FF"/>
          <w:sz w:val="21"/>
          <w:szCs w:val="21"/>
          <w:u w:val="single" w:color="0000FF"/>
          <w:lang w:eastAsia="zh-CN"/>
        </w:rPr>
        <w:t>.pdf</w:t>
      </w:r>
      <w:r>
        <w:rPr>
          <w:color w:val="0000FF"/>
          <w:sz w:val="21"/>
          <w:szCs w:val="21"/>
          <w:u w:val="single" w:color="0000FF"/>
          <w:lang w:eastAsia="zh-CN"/>
        </w:rPr>
        <w:fldChar w:fldCharType="end"/>
      </w:r>
    </w:p>
  </w:footnote>
  <w:footnote w:id="11">
    <w:p w14:paraId="704EACA3">
      <w:pPr>
        <w:pStyle w:val="12"/>
        <w:spacing w:before="0" w:beforeLines="0"/>
        <w:rPr>
          <w:sz w:val="21"/>
          <w:szCs w:val="21"/>
          <w:lang w:eastAsia="zh-CN"/>
        </w:rPr>
      </w:pPr>
      <w:r>
        <w:rPr>
          <w:rStyle w:val="20"/>
          <w:sz w:val="21"/>
          <w:szCs w:val="21"/>
        </w:rPr>
        <w:footnoteRef/>
      </w:r>
      <w:r>
        <w:rPr>
          <w:sz w:val="21"/>
          <w:szCs w:val="21"/>
        </w:rPr>
        <w:t xml:space="preserve"> </w:t>
      </w:r>
      <w:r>
        <w:rPr>
          <w:sz w:val="21"/>
          <w:szCs w:val="21"/>
          <w:lang w:eastAsia="zh-CN"/>
        </w:rPr>
        <w:t>此前由全球协调工作组（GHTF）发布的该过程确认指南目前发布在国际医疗器械监管机构论坛（IMDRF）网站上，可登录以下网址查阅：</w:t>
      </w:r>
      <w:r>
        <w:fldChar w:fldCharType="begin"/>
      </w:r>
      <w:r>
        <w:instrText xml:space="preserve"> HYPERLINK "http://www.imdrf.org/docs/ghtf/final/sg3/technical-docs/ghtf-sg3-n99-10-2004-qms-process-guidance-04010.pdf" \h </w:instrText>
      </w:r>
      <w:r>
        <w:fldChar w:fldCharType="separate"/>
      </w:r>
      <w:r>
        <w:rPr>
          <w:color w:val="0000FF"/>
          <w:sz w:val="21"/>
          <w:szCs w:val="21"/>
          <w:u w:val="single" w:color="0000FF"/>
          <w:lang w:eastAsia="zh-CN"/>
        </w:rPr>
        <w:t>http://www.imdrf.org/docs/ghtf/final/sg3/technical-docs/ghtf-sg3-n99-10-2004-qms-process-guidance-04010.pdf.</w:t>
      </w:r>
      <w:r>
        <w:rPr>
          <w:color w:val="0000FF"/>
          <w:sz w:val="21"/>
          <w:szCs w:val="21"/>
          <w:u w:val="single" w:color="0000FF"/>
          <w:lang w:eastAsia="zh-CN"/>
        </w:rPr>
        <w:fldChar w:fldCharType="end"/>
      </w:r>
    </w:p>
  </w:footnote>
  <w:footnote w:id="12">
    <w:p w14:paraId="4B471F62">
      <w:pPr>
        <w:widowControl/>
        <w:spacing w:before="0" w:beforeLines="0" w:line="240" w:lineRule="auto"/>
        <w:rPr>
          <w:sz w:val="21"/>
          <w:szCs w:val="21"/>
          <w:lang w:eastAsia="zh-CN"/>
        </w:rPr>
      </w:pPr>
      <w:r>
        <w:rPr>
          <w:rStyle w:val="20"/>
          <w:sz w:val="21"/>
          <w:szCs w:val="21"/>
        </w:rPr>
        <w:footnoteRef/>
      </w:r>
      <w:r>
        <w:rPr>
          <w:sz w:val="21"/>
          <w:szCs w:val="21"/>
          <w:lang w:eastAsia="zh-CN"/>
        </w:rPr>
        <w:t xml:space="preserve"> 有关过程确认活动文件的更多信息，请参见《特定上市前申请审查的质量体系信息；行业和FDA工作人员指南》 （</w:t>
      </w:r>
      <w:r>
        <w:fldChar w:fldCharType="begin"/>
      </w:r>
      <w:r>
        <w:instrText xml:space="preserve"> HYPERLINK "https://www.fda.gov/downloads/MedicalDevices/DeviceRegulationandGuidance/GuidanceDocuments/ucm070899.pdf" \h </w:instrText>
      </w:r>
      <w:r>
        <w:fldChar w:fldCharType="separate"/>
      </w:r>
      <w:r>
        <w:rPr>
          <w:color w:val="0000FF"/>
          <w:sz w:val="21"/>
          <w:szCs w:val="21"/>
          <w:u w:val="single" w:color="0000FF"/>
          <w:lang w:eastAsia="zh-CN"/>
        </w:rPr>
        <w:t>https://www.fda.gov/downloads/MedicalDevices/DeviceRegulationandGuidance/GuidanceDocuments/ucm070899.</w:t>
      </w:r>
      <w:r>
        <w:rPr>
          <w:color w:val="0000FF"/>
          <w:sz w:val="21"/>
          <w:szCs w:val="21"/>
          <w:u w:val="single" w:color="0000FF"/>
          <w:lang w:eastAsia="zh-CN"/>
        </w:rPr>
        <w:fldChar w:fldCharType="end"/>
      </w:r>
      <w:r>
        <w:fldChar w:fldCharType="begin"/>
      </w:r>
      <w:r>
        <w:instrText xml:space="preserve"> HYPERLINK "https://www.fda.gov/downloads/MedicalDevices/DeviceRegulationandGuidance/GuidanceDocuments/ucm070899.pdf" \h </w:instrText>
      </w:r>
      <w:r>
        <w:fldChar w:fldCharType="separate"/>
      </w:r>
      <w:r>
        <w:rPr>
          <w:color w:val="0000FF"/>
          <w:sz w:val="21"/>
          <w:szCs w:val="21"/>
          <w:u w:val="single" w:color="0000FF"/>
          <w:lang w:eastAsia="zh-CN"/>
        </w:rPr>
        <w:t>pdf</w:t>
      </w:r>
      <w:r>
        <w:rPr>
          <w:color w:val="0000FF"/>
          <w:sz w:val="21"/>
          <w:szCs w:val="21"/>
          <w:u w:val="single" w:color="0000FF"/>
          <w:lang w:eastAsia="zh-CN"/>
        </w:rPr>
        <w:fldChar w:fldCharType="end"/>
      </w:r>
      <w:r>
        <w:rPr>
          <w:sz w:val="21"/>
          <w:szCs w:val="21"/>
          <w:lang w:eastAsia="zh-CN"/>
        </w:rPr>
        <w:t>）。</w:t>
      </w:r>
    </w:p>
  </w:footnote>
  <w:footnote w:id="13">
    <w:p w14:paraId="46D77573">
      <w:pPr>
        <w:widowControl/>
        <w:tabs>
          <w:tab w:val="left" w:pos="571"/>
        </w:tabs>
        <w:spacing w:before="0" w:beforeLines="0" w:line="240" w:lineRule="auto"/>
        <w:ind w:left="313" w:hanging="312" w:hangingChars="149"/>
        <w:rPr>
          <w:sz w:val="21"/>
          <w:szCs w:val="21"/>
          <w:lang w:eastAsia="zh-CN"/>
        </w:rPr>
      </w:pPr>
      <w:r>
        <w:rPr>
          <w:rStyle w:val="20"/>
          <w:sz w:val="21"/>
          <w:szCs w:val="21"/>
        </w:rPr>
        <w:footnoteRef/>
      </w:r>
      <w:r>
        <w:rPr>
          <w:sz w:val="21"/>
          <w:szCs w:val="21"/>
          <w:lang w:eastAsia="zh-CN"/>
        </w:rPr>
        <w:t xml:space="preserve"> </w:t>
      </w:r>
      <w:r>
        <w:rPr>
          <w:sz w:val="21"/>
          <w:szCs w:val="21"/>
          <w:vertAlign w:val="superscript"/>
          <w:lang w:eastAsia="zh-CN"/>
        </w:rPr>
        <w:tab/>
      </w:r>
      <w:r>
        <w:rPr>
          <w:sz w:val="21"/>
          <w:szCs w:val="21"/>
          <w:lang w:eastAsia="zh-CN"/>
        </w:rPr>
        <w:t>参见《质量体系法规》（61 FR 52602）序言中第99、106和109条意见，以获得关于（1）平衡采购控制和验收活动，（2）平衡供应商和制造商的质量控制和保证措施，以及（3）术语</w:t>
      </w:r>
      <w:r>
        <w:rPr>
          <w:rFonts w:ascii="宋体" w:hAnsi="宋体"/>
          <w:sz w:val="21"/>
          <w:szCs w:val="21"/>
          <w:lang w:eastAsia="zh-CN"/>
        </w:rPr>
        <w:t>“</w:t>
      </w:r>
      <w:r>
        <w:rPr>
          <w:sz w:val="21"/>
          <w:szCs w:val="21"/>
          <w:lang w:eastAsia="zh-CN"/>
        </w:rPr>
        <w:t>质量要求</w:t>
      </w:r>
      <w:r>
        <w:rPr>
          <w:rFonts w:ascii="宋体" w:hAnsi="宋体"/>
          <w:sz w:val="21"/>
          <w:szCs w:val="21"/>
          <w:lang w:eastAsia="zh-CN"/>
        </w:rPr>
        <w:t>”</w:t>
      </w:r>
      <w:r>
        <w:rPr>
          <w:sz w:val="21"/>
          <w:szCs w:val="21"/>
          <w:lang w:eastAsia="zh-CN"/>
        </w:rPr>
        <w:t>的额外指导。</w:t>
      </w:r>
      <w:r>
        <w:rPr>
          <w:sz w:val="21"/>
          <w:szCs w:val="21"/>
          <w:lang w:eastAsia="zh-CN"/>
        </w:rPr>
        <w:br w:type="textWrapping"/>
      </w:r>
      <w:r>
        <w:fldChar w:fldCharType="begin"/>
      </w:r>
      <w:r>
        <w:instrText xml:space="preserve"> HYPERLINK "http://frwebgate.access.gpo.gov/cgi-bin/getpage.cgi?position=all&amp;amp;page=52624&amp;amp;dbname=1996_register" \h </w:instrText>
      </w:r>
      <w:r>
        <w:fldChar w:fldCharType="separate"/>
      </w:r>
      <w:r>
        <w:rPr>
          <w:color w:val="0000FF"/>
          <w:sz w:val="21"/>
          <w:szCs w:val="21"/>
          <w:u w:val="single" w:color="0000FF"/>
        </w:rPr>
        <w:t>http://frwebgate.access.gpo.gov/cgi-bin/getpage.cgi?position=all&amp;page=52624&amp;dbname=1996_register</w:t>
      </w:r>
      <w:r>
        <w:rPr>
          <w:color w:val="0000FF"/>
          <w:sz w:val="21"/>
          <w:szCs w:val="21"/>
          <w:u w:val="single" w:color="0000FF"/>
        </w:rPr>
        <w:fldChar w:fldCharType="end"/>
      </w:r>
    </w:p>
  </w:footnote>
  <w:footnote w:id="14">
    <w:p w14:paraId="03828EF4">
      <w:pPr>
        <w:spacing w:before="0" w:beforeLines="0" w:line="240" w:lineRule="auto"/>
        <w:jc w:val="both"/>
        <w:rPr>
          <w:sz w:val="21"/>
          <w:szCs w:val="21"/>
          <w:lang w:eastAsia="zh-CN"/>
        </w:rPr>
      </w:pPr>
      <w:r>
        <w:rPr>
          <w:rStyle w:val="20"/>
          <w:sz w:val="21"/>
          <w:szCs w:val="21"/>
        </w:rPr>
        <w:footnoteRef/>
      </w:r>
      <w:r>
        <w:rPr>
          <w:i/>
          <w:iCs/>
          <w:sz w:val="21"/>
          <w:szCs w:val="21"/>
          <w:lang w:eastAsia="zh-CN"/>
        </w:rPr>
        <w:t>参见</w:t>
      </w:r>
      <w:r>
        <w:rPr>
          <w:sz w:val="21"/>
          <w:szCs w:val="21"/>
          <w:lang w:eastAsia="zh-CN"/>
        </w:rPr>
        <w:t>上文第6段。</w:t>
      </w:r>
    </w:p>
  </w:footnote>
  <w:footnote w:id="15">
    <w:p w14:paraId="6FCDE8FA">
      <w:pPr>
        <w:spacing w:before="0" w:beforeLines="0" w:line="240" w:lineRule="auto"/>
        <w:rPr>
          <w:sz w:val="21"/>
          <w:szCs w:val="21"/>
          <w:lang w:eastAsia="zh-CN"/>
        </w:rPr>
      </w:pPr>
      <w:r>
        <w:rPr>
          <w:rStyle w:val="20"/>
          <w:sz w:val="21"/>
          <w:szCs w:val="21"/>
        </w:rPr>
        <w:footnoteRef/>
      </w:r>
      <w:r>
        <w:rPr>
          <w:sz w:val="21"/>
          <w:szCs w:val="21"/>
          <w:lang w:eastAsia="zh-CN"/>
        </w:rPr>
        <w:t>有关请求获取医疗器械申请的反馈意见的更多信息，请参见FDA的最终指南《请求获取医疗器械申请的反馈意见：预先提交申请项目及与美国食品药品监督管理局工作人员</w:t>
      </w:r>
      <w:r>
        <w:rPr>
          <w:rFonts w:hint="eastAsia"/>
          <w:sz w:val="21"/>
          <w:szCs w:val="21"/>
          <w:lang w:eastAsia="zh-CN"/>
        </w:rPr>
        <w:t>的</w:t>
      </w:r>
      <w:r>
        <w:rPr>
          <w:sz w:val="21"/>
          <w:szCs w:val="21"/>
          <w:lang w:eastAsia="zh-CN"/>
        </w:rPr>
        <w:t>会议》，可登录以下网址查阅：</w:t>
      </w:r>
      <w:r>
        <w:fldChar w:fldCharType="begin"/>
      </w:r>
      <w:r>
        <w:instrText xml:space="preserve"> HYPERLINK "https://www.fda.gov/ucm/groups/fdagov-public/%40fdagov-meddev-gen/documents/document/ucm311176.pdf" \h </w:instrText>
      </w:r>
      <w:r>
        <w:fldChar w:fldCharType="separate"/>
      </w:r>
      <w:r>
        <w:rPr>
          <w:color w:val="0000FF"/>
          <w:sz w:val="21"/>
          <w:szCs w:val="21"/>
          <w:u w:val="single" w:color="0000FF"/>
          <w:lang w:eastAsia="zh-CN"/>
        </w:rPr>
        <w:t>https://www.fda.gov/ucm/groups/fdagov-public/@fdagov-</w:t>
      </w:r>
      <w:r>
        <w:rPr>
          <w:color w:val="0000FF"/>
          <w:sz w:val="21"/>
          <w:szCs w:val="21"/>
          <w:u w:val="single" w:color="0000FF"/>
          <w:lang w:eastAsia="zh-CN"/>
        </w:rPr>
        <w:fldChar w:fldCharType="end"/>
      </w:r>
      <w:r>
        <w:fldChar w:fldCharType="begin"/>
      </w:r>
      <w:r>
        <w:instrText xml:space="preserve"> HYPERLINK "https://www.fda.gov/ucm/groups/fdagov-public/%40fdagov-meddev-gen/documents/document/ucm311176.pdf" \h </w:instrText>
      </w:r>
      <w:r>
        <w:fldChar w:fldCharType="separate"/>
      </w:r>
      <w:r>
        <w:rPr>
          <w:color w:val="0000FF"/>
          <w:sz w:val="21"/>
          <w:szCs w:val="21"/>
          <w:u w:val="single" w:color="0000FF"/>
          <w:lang w:eastAsia="zh-CN"/>
        </w:rPr>
        <w:t>meddev-gen/documents/document/ucm311176.pdf</w:t>
      </w:r>
      <w:r>
        <w:rPr>
          <w:color w:val="0000FF"/>
          <w:sz w:val="21"/>
          <w:szCs w:val="21"/>
          <w:u w:val="single" w:color="0000FF"/>
          <w:lang w:eastAsia="zh-CN"/>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19966">
    <w:pPr>
      <w:spacing w:before="48" w:beforeLines="20"/>
      <w:jc w:val="center"/>
      <w:rPr>
        <w:b/>
        <w:i/>
        <w:sz w:val="21"/>
      </w:rPr>
    </w:pPr>
    <w:r>
      <w:rPr>
        <w:b/>
        <w:i/>
        <w:sz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6B991">
    <w:pPr>
      <w:pStyle w:val="10"/>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09E4E">
    <w:pPr>
      <w:pStyle w:val="10"/>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E10CD"/>
    <w:multiLevelType w:val="multilevel"/>
    <w:tmpl w:val="01FE10CD"/>
    <w:lvl w:ilvl="0" w:tentative="0">
      <w:start w:val="1"/>
      <w:numFmt w:val="decimal"/>
      <w:lvlText w:val="（%1）"/>
      <w:lvlJc w:val="left"/>
      <w:pPr>
        <w:ind w:left="1298" w:hanging="339"/>
      </w:pPr>
      <w:rPr>
        <w:rFonts w:hint="default" w:ascii="Times New Roman" w:hAnsi="Times New Roman" w:eastAsia="宋体" w:cs="Times New Roman"/>
        <w:spacing w:val="0"/>
        <w:w w:val="100"/>
        <w:sz w:val="24"/>
        <w:szCs w:val="24"/>
        <w:lang w:val="en-US" w:eastAsia="en-US" w:bidi="en-US"/>
      </w:rPr>
    </w:lvl>
    <w:lvl w:ilvl="1" w:tentative="0">
      <w:start w:val="0"/>
      <w:numFmt w:val="bullet"/>
      <w:lvlText w:val="•"/>
      <w:lvlJc w:val="left"/>
      <w:pPr>
        <w:ind w:left="2154" w:hanging="339"/>
      </w:pPr>
      <w:rPr>
        <w:rFonts w:hint="default"/>
        <w:lang w:val="en-US" w:eastAsia="en-US" w:bidi="en-US"/>
      </w:rPr>
    </w:lvl>
    <w:lvl w:ilvl="2" w:tentative="0">
      <w:start w:val="0"/>
      <w:numFmt w:val="bullet"/>
      <w:lvlText w:val="•"/>
      <w:lvlJc w:val="left"/>
      <w:pPr>
        <w:ind w:left="3008" w:hanging="339"/>
      </w:pPr>
      <w:rPr>
        <w:rFonts w:hint="default"/>
        <w:lang w:val="en-US" w:eastAsia="en-US" w:bidi="en-US"/>
      </w:rPr>
    </w:lvl>
    <w:lvl w:ilvl="3" w:tentative="0">
      <w:start w:val="0"/>
      <w:numFmt w:val="bullet"/>
      <w:lvlText w:val="•"/>
      <w:lvlJc w:val="left"/>
      <w:pPr>
        <w:ind w:left="3862" w:hanging="339"/>
      </w:pPr>
      <w:rPr>
        <w:rFonts w:hint="default"/>
        <w:lang w:val="en-US" w:eastAsia="en-US" w:bidi="en-US"/>
      </w:rPr>
    </w:lvl>
    <w:lvl w:ilvl="4" w:tentative="0">
      <w:start w:val="0"/>
      <w:numFmt w:val="bullet"/>
      <w:lvlText w:val="•"/>
      <w:lvlJc w:val="left"/>
      <w:pPr>
        <w:ind w:left="4716" w:hanging="339"/>
      </w:pPr>
      <w:rPr>
        <w:rFonts w:hint="default"/>
        <w:lang w:val="en-US" w:eastAsia="en-US" w:bidi="en-US"/>
      </w:rPr>
    </w:lvl>
    <w:lvl w:ilvl="5" w:tentative="0">
      <w:start w:val="0"/>
      <w:numFmt w:val="bullet"/>
      <w:lvlText w:val="•"/>
      <w:lvlJc w:val="left"/>
      <w:pPr>
        <w:ind w:left="5570" w:hanging="339"/>
      </w:pPr>
      <w:rPr>
        <w:rFonts w:hint="default"/>
        <w:lang w:val="en-US" w:eastAsia="en-US" w:bidi="en-US"/>
      </w:rPr>
    </w:lvl>
    <w:lvl w:ilvl="6" w:tentative="0">
      <w:start w:val="0"/>
      <w:numFmt w:val="bullet"/>
      <w:lvlText w:val="•"/>
      <w:lvlJc w:val="left"/>
      <w:pPr>
        <w:ind w:left="6424" w:hanging="339"/>
      </w:pPr>
      <w:rPr>
        <w:rFonts w:hint="default"/>
        <w:lang w:val="en-US" w:eastAsia="en-US" w:bidi="en-US"/>
      </w:rPr>
    </w:lvl>
    <w:lvl w:ilvl="7" w:tentative="0">
      <w:start w:val="0"/>
      <w:numFmt w:val="bullet"/>
      <w:lvlText w:val="•"/>
      <w:lvlJc w:val="left"/>
      <w:pPr>
        <w:ind w:left="7278" w:hanging="339"/>
      </w:pPr>
      <w:rPr>
        <w:rFonts w:hint="default"/>
        <w:lang w:val="en-US" w:eastAsia="en-US" w:bidi="en-US"/>
      </w:rPr>
    </w:lvl>
    <w:lvl w:ilvl="8" w:tentative="0">
      <w:start w:val="0"/>
      <w:numFmt w:val="bullet"/>
      <w:lvlText w:val="•"/>
      <w:lvlJc w:val="left"/>
      <w:pPr>
        <w:ind w:left="8132" w:hanging="339"/>
      </w:pPr>
      <w:rPr>
        <w:rFonts w:hint="default"/>
        <w:lang w:val="en-US" w:eastAsia="en-US" w:bidi="en-US"/>
      </w:rPr>
    </w:lvl>
  </w:abstractNum>
  <w:abstractNum w:abstractNumId="1">
    <w:nsid w:val="0D482AC4"/>
    <w:multiLevelType w:val="multilevel"/>
    <w:tmpl w:val="0D482AC4"/>
    <w:lvl w:ilvl="0" w:tentative="0">
      <w:start w:val="0"/>
      <w:numFmt w:val="bullet"/>
      <w:lvlText w:val=""/>
      <w:lvlJc w:val="left"/>
      <w:pPr>
        <w:ind w:left="960" w:hanging="360"/>
      </w:pPr>
      <w:rPr>
        <w:rFonts w:hint="default" w:ascii="Symbol" w:hAnsi="Symbol" w:eastAsia="Symbol" w:cs="Symbol"/>
        <w:w w:val="100"/>
        <w:sz w:val="24"/>
        <w:szCs w:val="24"/>
        <w:lang w:val="en-US" w:eastAsia="en-US" w:bidi="en-US"/>
      </w:rPr>
    </w:lvl>
    <w:lvl w:ilvl="1" w:tentative="0">
      <w:start w:val="0"/>
      <w:numFmt w:val="bullet"/>
      <w:lvlText w:val="•"/>
      <w:lvlJc w:val="left"/>
      <w:pPr>
        <w:ind w:left="1848" w:hanging="360"/>
      </w:pPr>
      <w:rPr>
        <w:rFonts w:hint="default"/>
        <w:lang w:val="en-US" w:eastAsia="en-US" w:bidi="en-US"/>
      </w:rPr>
    </w:lvl>
    <w:lvl w:ilvl="2" w:tentative="0">
      <w:start w:val="0"/>
      <w:numFmt w:val="bullet"/>
      <w:lvlText w:val="•"/>
      <w:lvlJc w:val="left"/>
      <w:pPr>
        <w:ind w:left="2736" w:hanging="360"/>
      </w:pPr>
      <w:rPr>
        <w:rFonts w:hint="default"/>
        <w:lang w:val="en-US" w:eastAsia="en-US" w:bidi="en-US"/>
      </w:rPr>
    </w:lvl>
    <w:lvl w:ilvl="3" w:tentative="0">
      <w:start w:val="0"/>
      <w:numFmt w:val="bullet"/>
      <w:lvlText w:val="•"/>
      <w:lvlJc w:val="left"/>
      <w:pPr>
        <w:ind w:left="3624" w:hanging="360"/>
      </w:pPr>
      <w:rPr>
        <w:rFonts w:hint="default"/>
        <w:lang w:val="en-US" w:eastAsia="en-US" w:bidi="en-US"/>
      </w:rPr>
    </w:lvl>
    <w:lvl w:ilvl="4" w:tentative="0">
      <w:start w:val="0"/>
      <w:numFmt w:val="bullet"/>
      <w:lvlText w:val="•"/>
      <w:lvlJc w:val="left"/>
      <w:pPr>
        <w:ind w:left="4512" w:hanging="360"/>
      </w:pPr>
      <w:rPr>
        <w:rFonts w:hint="default"/>
        <w:lang w:val="en-US" w:eastAsia="en-US" w:bidi="en-US"/>
      </w:rPr>
    </w:lvl>
    <w:lvl w:ilvl="5" w:tentative="0">
      <w:start w:val="0"/>
      <w:numFmt w:val="bullet"/>
      <w:lvlText w:val="•"/>
      <w:lvlJc w:val="left"/>
      <w:pPr>
        <w:ind w:left="5400" w:hanging="360"/>
      </w:pPr>
      <w:rPr>
        <w:rFonts w:hint="default"/>
        <w:lang w:val="en-US" w:eastAsia="en-US" w:bidi="en-US"/>
      </w:rPr>
    </w:lvl>
    <w:lvl w:ilvl="6" w:tentative="0">
      <w:start w:val="0"/>
      <w:numFmt w:val="bullet"/>
      <w:lvlText w:val="•"/>
      <w:lvlJc w:val="left"/>
      <w:pPr>
        <w:ind w:left="6288" w:hanging="360"/>
      </w:pPr>
      <w:rPr>
        <w:rFonts w:hint="default"/>
        <w:lang w:val="en-US" w:eastAsia="en-US" w:bidi="en-US"/>
      </w:rPr>
    </w:lvl>
    <w:lvl w:ilvl="7" w:tentative="0">
      <w:start w:val="0"/>
      <w:numFmt w:val="bullet"/>
      <w:lvlText w:val="•"/>
      <w:lvlJc w:val="left"/>
      <w:pPr>
        <w:ind w:left="7176" w:hanging="360"/>
      </w:pPr>
      <w:rPr>
        <w:rFonts w:hint="default"/>
        <w:lang w:val="en-US" w:eastAsia="en-US" w:bidi="en-US"/>
      </w:rPr>
    </w:lvl>
    <w:lvl w:ilvl="8" w:tentative="0">
      <w:start w:val="0"/>
      <w:numFmt w:val="bullet"/>
      <w:lvlText w:val="•"/>
      <w:lvlJc w:val="left"/>
      <w:pPr>
        <w:ind w:left="8064" w:hanging="360"/>
      </w:pPr>
      <w:rPr>
        <w:rFonts w:hint="default"/>
        <w:lang w:val="en-US" w:eastAsia="en-US" w:bidi="en-US"/>
      </w:rPr>
    </w:lvl>
  </w:abstractNum>
  <w:abstractNum w:abstractNumId="2">
    <w:nsid w:val="0E340C2B"/>
    <w:multiLevelType w:val="multilevel"/>
    <w:tmpl w:val="0E340C2B"/>
    <w:lvl w:ilvl="0" w:tentative="0">
      <w:start w:val="1"/>
      <w:numFmt w:val="upperLetter"/>
      <w:lvlText w:val="%1."/>
      <w:lvlJc w:val="left"/>
      <w:pPr>
        <w:ind w:left="240" w:hanging="721"/>
      </w:pPr>
      <w:rPr>
        <w:rFonts w:hint="default" w:ascii="Times New Roman" w:hAnsi="Times New Roman" w:eastAsia="Times New Roman" w:cs="Times New Roman"/>
        <w:b/>
        <w:bCs/>
        <w:spacing w:val="0"/>
        <w:w w:val="100"/>
        <w:sz w:val="28"/>
        <w:szCs w:val="28"/>
        <w:lang w:val="en-US" w:eastAsia="en-US" w:bidi="en-US"/>
      </w:rPr>
    </w:lvl>
    <w:lvl w:ilvl="1" w:tentative="0">
      <w:start w:val="0"/>
      <w:numFmt w:val="bullet"/>
      <w:lvlText w:val="•"/>
      <w:lvlJc w:val="left"/>
      <w:pPr>
        <w:ind w:left="1200" w:hanging="721"/>
      </w:pPr>
      <w:rPr>
        <w:rFonts w:hint="default"/>
        <w:lang w:val="en-US" w:eastAsia="en-US" w:bidi="en-US"/>
      </w:rPr>
    </w:lvl>
    <w:lvl w:ilvl="2" w:tentative="0">
      <w:start w:val="0"/>
      <w:numFmt w:val="bullet"/>
      <w:lvlText w:val="•"/>
      <w:lvlJc w:val="left"/>
      <w:pPr>
        <w:ind w:left="2160" w:hanging="721"/>
      </w:pPr>
      <w:rPr>
        <w:rFonts w:hint="default"/>
        <w:lang w:val="en-US" w:eastAsia="en-US" w:bidi="en-US"/>
      </w:rPr>
    </w:lvl>
    <w:lvl w:ilvl="3" w:tentative="0">
      <w:start w:val="0"/>
      <w:numFmt w:val="bullet"/>
      <w:lvlText w:val="•"/>
      <w:lvlJc w:val="left"/>
      <w:pPr>
        <w:ind w:left="3120" w:hanging="721"/>
      </w:pPr>
      <w:rPr>
        <w:rFonts w:hint="default"/>
        <w:lang w:val="en-US" w:eastAsia="en-US" w:bidi="en-US"/>
      </w:rPr>
    </w:lvl>
    <w:lvl w:ilvl="4" w:tentative="0">
      <w:start w:val="0"/>
      <w:numFmt w:val="bullet"/>
      <w:lvlText w:val="•"/>
      <w:lvlJc w:val="left"/>
      <w:pPr>
        <w:ind w:left="4080" w:hanging="721"/>
      </w:pPr>
      <w:rPr>
        <w:rFonts w:hint="default"/>
        <w:lang w:val="en-US" w:eastAsia="en-US" w:bidi="en-US"/>
      </w:rPr>
    </w:lvl>
    <w:lvl w:ilvl="5" w:tentative="0">
      <w:start w:val="0"/>
      <w:numFmt w:val="bullet"/>
      <w:lvlText w:val="•"/>
      <w:lvlJc w:val="left"/>
      <w:pPr>
        <w:ind w:left="5040" w:hanging="721"/>
      </w:pPr>
      <w:rPr>
        <w:rFonts w:hint="default"/>
        <w:lang w:val="en-US" w:eastAsia="en-US" w:bidi="en-US"/>
      </w:rPr>
    </w:lvl>
    <w:lvl w:ilvl="6" w:tentative="0">
      <w:start w:val="0"/>
      <w:numFmt w:val="bullet"/>
      <w:lvlText w:val="•"/>
      <w:lvlJc w:val="left"/>
      <w:pPr>
        <w:ind w:left="6000" w:hanging="721"/>
      </w:pPr>
      <w:rPr>
        <w:rFonts w:hint="default"/>
        <w:lang w:val="en-US" w:eastAsia="en-US" w:bidi="en-US"/>
      </w:rPr>
    </w:lvl>
    <w:lvl w:ilvl="7" w:tentative="0">
      <w:start w:val="0"/>
      <w:numFmt w:val="bullet"/>
      <w:lvlText w:val="•"/>
      <w:lvlJc w:val="left"/>
      <w:pPr>
        <w:ind w:left="6960" w:hanging="721"/>
      </w:pPr>
      <w:rPr>
        <w:rFonts w:hint="default"/>
        <w:lang w:val="en-US" w:eastAsia="en-US" w:bidi="en-US"/>
      </w:rPr>
    </w:lvl>
    <w:lvl w:ilvl="8" w:tentative="0">
      <w:start w:val="0"/>
      <w:numFmt w:val="bullet"/>
      <w:lvlText w:val="•"/>
      <w:lvlJc w:val="left"/>
      <w:pPr>
        <w:ind w:left="7920" w:hanging="721"/>
      </w:pPr>
      <w:rPr>
        <w:rFonts w:hint="default"/>
        <w:lang w:val="en-US" w:eastAsia="en-US" w:bidi="en-US"/>
      </w:rPr>
    </w:lvl>
  </w:abstractNum>
  <w:abstractNum w:abstractNumId="3">
    <w:nsid w:val="11DE23AD"/>
    <w:multiLevelType w:val="multilevel"/>
    <w:tmpl w:val="11DE23AD"/>
    <w:lvl w:ilvl="0" w:tentative="0">
      <w:start w:val="1"/>
      <w:numFmt w:val="decimal"/>
      <w:lvlText w:val="%1."/>
      <w:lvlJc w:val="left"/>
      <w:pPr>
        <w:ind w:left="960" w:hanging="360"/>
      </w:pPr>
      <w:rPr>
        <w:rFonts w:hint="default" w:ascii="Times New Roman" w:hAnsi="Times New Roman" w:eastAsia="Times New Roman" w:cs="Times New Roman"/>
        <w:spacing w:val="0"/>
        <w:w w:val="100"/>
        <w:sz w:val="24"/>
        <w:szCs w:val="24"/>
        <w:lang w:val="en-US" w:eastAsia="en-US" w:bidi="en-US"/>
      </w:rPr>
    </w:lvl>
    <w:lvl w:ilvl="1" w:tentative="0">
      <w:start w:val="0"/>
      <w:numFmt w:val="bullet"/>
      <w:lvlText w:val="•"/>
      <w:lvlJc w:val="left"/>
      <w:pPr>
        <w:ind w:left="1848" w:hanging="360"/>
      </w:pPr>
      <w:rPr>
        <w:rFonts w:hint="default"/>
        <w:lang w:val="en-US" w:eastAsia="en-US" w:bidi="en-US"/>
      </w:rPr>
    </w:lvl>
    <w:lvl w:ilvl="2" w:tentative="0">
      <w:start w:val="0"/>
      <w:numFmt w:val="bullet"/>
      <w:lvlText w:val="•"/>
      <w:lvlJc w:val="left"/>
      <w:pPr>
        <w:ind w:left="2736" w:hanging="360"/>
      </w:pPr>
      <w:rPr>
        <w:rFonts w:hint="default"/>
        <w:lang w:val="en-US" w:eastAsia="en-US" w:bidi="en-US"/>
      </w:rPr>
    </w:lvl>
    <w:lvl w:ilvl="3" w:tentative="0">
      <w:start w:val="0"/>
      <w:numFmt w:val="bullet"/>
      <w:lvlText w:val="•"/>
      <w:lvlJc w:val="left"/>
      <w:pPr>
        <w:ind w:left="3624" w:hanging="360"/>
      </w:pPr>
      <w:rPr>
        <w:rFonts w:hint="default"/>
        <w:lang w:val="en-US" w:eastAsia="en-US" w:bidi="en-US"/>
      </w:rPr>
    </w:lvl>
    <w:lvl w:ilvl="4" w:tentative="0">
      <w:start w:val="0"/>
      <w:numFmt w:val="bullet"/>
      <w:lvlText w:val="•"/>
      <w:lvlJc w:val="left"/>
      <w:pPr>
        <w:ind w:left="4512" w:hanging="360"/>
      </w:pPr>
      <w:rPr>
        <w:rFonts w:hint="default"/>
        <w:lang w:val="en-US" w:eastAsia="en-US" w:bidi="en-US"/>
      </w:rPr>
    </w:lvl>
    <w:lvl w:ilvl="5" w:tentative="0">
      <w:start w:val="0"/>
      <w:numFmt w:val="bullet"/>
      <w:lvlText w:val="•"/>
      <w:lvlJc w:val="left"/>
      <w:pPr>
        <w:ind w:left="5400" w:hanging="360"/>
      </w:pPr>
      <w:rPr>
        <w:rFonts w:hint="default"/>
        <w:lang w:val="en-US" w:eastAsia="en-US" w:bidi="en-US"/>
      </w:rPr>
    </w:lvl>
    <w:lvl w:ilvl="6" w:tentative="0">
      <w:start w:val="0"/>
      <w:numFmt w:val="bullet"/>
      <w:lvlText w:val="•"/>
      <w:lvlJc w:val="left"/>
      <w:pPr>
        <w:ind w:left="6288" w:hanging="360"/>
      </w:pPr>
      <w:rPr>
        <w:rFonts w:hint="default"/>
        <w:lang w:val="en-US" w:eastAsia="en-US" w:bidi="en-US"/>
      </w:rPr>
    </w:lvl>
    <w:lvl w:ilvl="7" w:tentative="0">
      <w:start w:val="0"/>
      <w:numFmt w:val="bullet"/>
      <w:lvlText w:val="•"/>
      <w:lvlJc w:val="left"/>
      <w:pPr>
        <w:ind w:left="7176" w:hanging="360"/>
      </w:pPr>
      <w:rPr>
        <w:rFonts w:hint="default"/>
        <w:lang w:val="en-US" w:eastAsia="en-US" w:bidi="en-US"/>
      </w:rPr>
    </w:lvl>
    <w:lvl w:ilvl="8" w:tentative="0">
      <w:start w:val="0"/>
      <w:numFmt w:val="bullet"/>
      <w:lvlText w:val="•"/>
      <w:lvlJc w:val="left"/>
      <w:pPr>
        <w:ind w:left="8064" w:hanging="360"/>
      </w:pPr>
      <w:rPr>
        <w:rFonts w:hint="default"/>
        <w:lang w:val="en-US" w:eastAsia="en-US" w:bidi="en-US"/>
      </w:rPr>
    </w:lvl>
  </w:abstractNum>
  <w:abstractNum w:abstractNumId="4">
    <w:nsid w:val="4FB478E2"/>
    <w:multiLevelType w:val="multilevel"/>
    <w:tmpl w:val="4FB478E2"/>
    <w:lvl w:ilvl="0" w:tentative="0">
      <w:start w:val="1"/>
      <w:numFmt w:val="decimal"/>
      <w:lvlText w:val="%1."/>
      <w:lvlJc w:val="left"/>
      <w:pPr>
        <w:ind w:left="960" w:hanging="360"/>
      </w:pPr>
      <w:rPr>
        <w:rFonts w:hint="default" w:ascii="Times New Roman" w:hAnsi="Times New Roman" w:eastAsia="Times New Roman" w:cs="Times New Roman"/>
        <w:spacing w:val="0"/>
        <w:w w:val="100"/>
        <w:sz w:val="24"/>
        <w:szCs w:val="24"/>
        <w:lang w:val="en-US" w:eastAsia="en-US" w:bidi="en-US"/>
      </w:rPr>
    </w:lvl>
    <w:lvl w:ilvl="1" w:tentative="0">
      <w:start w:val="1"/>
      <w:numFmt w:val="lowerLetter"/>
      <w:lvlText w:val="%2."/>
      <w:lvlJc w:val="left"/>
      <w:pPr>
        <w:ind w:left="1320" w:hanging="360"/>
      </w:pPr>
      <w:rPr>
        <w:rFonts w:hint="default" w:ascii="Times New Roman" w:hAnsi="Times New Roman" w:eastAsia="Times New Roman" w:cs="Times New Roman"/>
        <w:spacing w:val="0"/>
        <w:w w:val="100"/>
        <w:sz w:val="24"/>
        <w:szCs w:val="24"/>
        <w:lang w:val="en-US" w:eastAsia="en-US" w:bidi="en-US"/>
      </w:rPr>
    </w:lvl>
    <w:lvl w:ilvl="2" w:tentative="0">
      <w:start w:val="1"/>
      <w:numFmt w:val="decimal"/>
      <w:lvlText w:val="（%3）"/>
      <w:lvlJc w:val="left"/>
      <w:pPr>
        <w:ind w:left="2040" w:hanging="360"/>
      </w:pPr>
      <w:rPr>
        <w:rFonts w:hint="default" w:ascii="Times New Roman" w:hAnsi="Times New Roman" w:eastAsia="宋体" w:cs="Times New Roman"/>
        <w:spacing w:val="0"/>
        <w:w w:val="100"/>
        <w:sz w:val="24"/>
        <w:szCs w:val="24"/>
        <w:lang w:val="en-US" w:eastAsia="en-US" w:bidi="en-US"/>
      </w:rPr>
    </w:lvl>
    <w:lvl w:ilvl="3" w:tentative="0">
      <w:start w:val="0"/>
      <w:numFmt w:val="bullet"/>
      <w:lvlText w:val="•"/>
      <w:lvlJc w:val="left"/>
      <w:pPr>
        <w:ind w:left="2040" w:hanging="360"/>
      </w:pPr>
      <w:rPr>
        <w:rFonts w:hint="default"/>
        <w:lang w:val="en-US" w:eastAsia="en-US" w:bidi="en-US"/>
      </w:rPr>
    </w:lvl>
    <w:lvl w:ilvl="4" w:tentative="0">
      <w:start w:val="0"/>
      <w:numFmt w:val="bullet"/>
      <w:lvlText w:val="•"/>
      <w:lvlJc w:val="left"/>
      <w:pPr>
        <w:ind w:left="3154" w:hanging="360"/>
      </w:pPr>
      <w:rPr>
        <w:rFonts w:hint="default"/>
        <w:lang w:val="en-US" w:eastAsia="en-US" w:bidi="en-US"/>
      </w:rPr>
    </w:lvl>
    <w:lvl w:ilvl="5" w:tentative="0">
      <w:start w:val="0"/>
      <w:numFmt w:val="bullet"/>
      <w:lvlText w:val="•"/>
      <w:lvlJc w:val="left"/>
      <w:pPr>
        <w:ind w:left="4268" w:hanging="360"/>
      </w:pPr>
      <w:rPr>
        <w:rFonts w:hint="default"/>
        <w:lang w:val="en-US" w:eastAsia="en-US" w:bidi="en-US"/>
      </w:rPr>
    </w:lvl>
    <w:lvl w:ilvl="6" w:tentative="0">
      <w:start w:val="0"/>
      <w:numFmt w:val="bullet"/>
      <w:lvlText w:val="•"/>
      <w:lvlJc w:val="left"/>
      <w:pPr>
        <w:ind w:left="5382" w:hanging="360"/>
      </w:pPr>
      <w:rPr>
        <w:rFonts w:hint="default"/>
        <w:lang w:val="en-US" w:eastAsia="en-US" w:bidi="en-US"/>
      </w:rPr>
    </w:lvl>
    <w:lvl w:ilvl="7" w:tentative="0">
      <w:start w:val="0"/>
      <w:numFmt w:val="bullet"/>
      <w:lvlText w:val="•"/>
      <w:lvlJc w:val="left"/>
      <w:pPr>
        <w:ind w:left="6497" w:hanging="360"/>
      </w:pPr>
      <w:rPr>
        <w:rFonts w:hint="default"/>
        <w:lang w:val="en-US" w:eastAsia="en-US" w:bidi="en-US"/>
      </w:rPr>
    </w:lvl>
    <w:lvl w:ilvl="8" w:tentative="0">
      <w:start w:val="0"/>
      <w:numFmt w:val="bullet"/>
      <w:lvlText w:val="•"/>
      <w:lvlJc w:val="left"/>
      <w:pPr>
        <w:ind w:left="7611" w:hanging="360"/>
      </w:pPr>
      <w:rPr>
        <w:rFonts w:hint="default"/>
        <w:lang w:val="en-US" w:eastAsia="en-US" w:bidi="en-US"/>
      </w:rPr>
    </w:lvl>
  </w:abstractNum>
  <w:abstractNum w:abstractNumId="5">
    <w:nsid w:val="65635F1E"/>
    <w:multiLevelType w:val="multilevel"/>
    <w:tmpl w:val="65635F1E"/>
    <w:lvl w:ilvl="0" w:tentative="0">
      <w:start w:val="0"/>
      <w:numFmt w:val="bullet"/>
      <w:lvlText w:val=""/>
      <w:lvlJc w:val="left"/>
      <w:pPr>
        <w:ind w:left="960" w:hanging="360"/>
      </w:pPr>
      <w:rPr>
        <w:rFonts w:hint="default" w:ascii="Symbol" w:hAnsi="Symbol" w:eastAsia="Symbol" w:cs="Symbol"/>
        <w:w w:val="100"/>
        <w:sz w:val="24"/>
        <w:szCs w:val="24"/>
        <w:lang w:val="en-US" w:eastAsia="en-US" w:bidi="en-US"/>
      </w:rPr>
    </w:lvl>
    <w:lvl w:ilvl="1" w:tentative="0">
      <w:start w:val="0"/>
      <w:numFmt w:val="bullet"/>
      <w:lvlText w:val="•"/>
      <w:lvlJc w:val="left"/>
      <w:pPr>
        <w:ind w:left="1848" w:hanging="360"/>
      </w:pPr>
      <w:rPr>
        <w:rFonts w:hint="default"/>
        <w:lang w:val="en-US" w:eastAsia="en-US" w:bidi="en-US"/>
      </w:rPr>
    </w:lvl>
    <w:lvl w:ilvl="2" w:tentative="0">
      <w:start w:val="0"/>
      <w:numFmt w:val="bullet"/>
      <w:lvlText w:val="•"/>
      <w:lvlJc w:val="left"/>
      <w:pPr>
        <w:ind w:left="2736" w:hanging="360"/>
      </w:pPr>
      <w:rPr>
        <w:rFonts w:hint="default"/>
        <w:lang w:val="en-US" w:eastAsia="en-US" w:bidi="en-US"/>
      </w:rPr>
    </w:lvl>
    <w:lvl w:ilvl="3" w:tentative="0">
      <w:start w:val="0"/>
      <w:numFmt w:val="bullet"/>
      <w:lvlText w:val="•"/>
      <w:lvlJc w:val="left"/>
      <w:pPr>
        <w:ind w:left="3624" w:hanging="360"/>
      </w:pPr>
      <w:rPr>
        <w:rFonts w:hint="default"/>
        <w:lang w:val="en-US" w:eastAsia="en-US" w:bidi="en-US"/>
      </w:rPr>
    </w:lvl>
    <w:lvl w:ilvl="4" w:tentative="0">
      <w:start w:val="0"/>
      <w:numFmt w:val="bullet"/>
      <w:lvlText w:val="•"/>
      <w:lvlJc w:val="left"/>
      <w:pPr>
        <w:ind w:left="4512" w:hanging="360"/>
      </w:pPr>
      <w:rPr>
        <w:rFonts w:hint="default"/>
        <w:lang w:val="en-US" w:eastAsia="en-US" w:bidi="en-US"/>
      </w:rPr>
    </w:lvl>
    <w:lvl w:ilvl="5" w:tentative="0">
      <w:start w:val="0"/>
      <w:numFmt w:val="bullet"/>
      <w:lvlText w:val="•"/>
      <w:lvlJc w:val="left"/>
      <w:pPr>
        <w:ind w:left="5400" w:hanging="360"/>
      </w:pPr>
      <w:rPr>
        <w:rFonts w:hint="default"/>
        <w:lang w:val="en-US" w:eastAsia="en-US" w:bidi="en-US"/>
      </w:rPr>
    </w:lvl>
    <w:lvl w:ilvl="6" w:tentative="0">
      <w:start w:val="0"/>
      <w:numFmt w:val="bullet"/>
      <w:lvlText w:val="•"/>
      <w:lvlJc w:val="left"/>
      <w:pPr>
        <w:ind w:left="6288" w:hanging="360"/>
      </w:pPr>
      <w:rPr>
        <w:rFonts w:hint="default"/>
        <w:lang w:val="en-US" w:eastAsia="en-US" w:bidi="en-US"/>
      </w:rPr>
    </w:lvl>
    <w:lvl w:ilvl="7" w:tentative="0">
      <w:start w:val="0"/>
      <w:numFmt w:val="bullet"/>
      <w:lvlText w:val="•"/>
      <w:lvlJc w:val="left"/>
      <w:pPr>
        <w:ind w:left="7176" w:hanging="360"/>
      </w:pPr>
      <w:rPr>
        <w:rFonts w:hint="default"/>
        <w:lang w:val="en-US" w:eastAsia="en-US" w:bidi="en-US"/>
      </w:rPr>
    </w:lvl>
    <w:lvl w:ilvl="8" w:tentative="0">
      <w:start w:val="0"/>
      <w:numFmt w:val="bullet"/>
      <w:lvlText w:val="•"/>
      <w:lvlJc w:val="left"/>
      <w:pPr>
        <w:ind w:left="8064" w:hanging="360"/>
      </w:pPr>
      <w:rPr>
        <w:rFonts w:hint="default"/>
        <w:lang w:val="en-US" w:eastAsia="en-US" w:bidi="en-US"/>
      </w:rPr>
    </w:lvl>
  </w:abstractNum>
  <w:abstractNum w:abstractNumId="6">
    <w:nsid w:val="6CFF4D84"/>
    <w:multiLevelType w:val="multilevel"/>
    <w:tmpl w:val="6CFF4D84"/>
    <w:lvl w:ilvl="0" w:tentative="0">
      <w:start w:val="1"/>
      <w:numFmt w:val="upperRoman"/>
      <w:lvlText w:val="%1."/>
      <w:lvlJc w:val="left"/>
      <w:pPr>
        <w:ind w:left="652" w:hanging="413"/>
      </w:pPr>
      <w:rPr>
        <w:rFonts w:hint="default" w:ascii="Times New Roman" w:hAnsi="Times New Roman" w:eastAsia="Times New Roman" w:cs="Times New Roman"/>
        <w:b/>
        <w:bCs/>
        <w:spacing w:val="-7"/>
        <w:w w:val="99"/>
        <w:sz w:val="36"/>
        <w:szCs w:val="36"/>
        <w:lang w:val="en-US" w:eastAsia="en-US" w:bidi="en-US"/>
      </w:rPr>
    </w:lvl>
    <w:lvl w:ilvl="1" w:tentative="0">
      <w:start w:val="1"/>
      <w:numFmt w:val="upperLetter"/>
      <w:lvlText w:val="（%2）"/>
      <w:lvlJc w:val="left"/>
      <w:pPr>
        <w:ind w:left="1140" w:hanging="509"/>
      </w:pPr>
      <w:rPr>
        <w:rFonts w:hint="default" w:ascii="Times New Roman" w:hAnsi="Times New Roman" w:eastAsia="宋体" w:cs="Times New Roman"/>
        <w:spacing w:val="0"/>
        <w:w w:val="100"/>
        <w:sz w:val="24"/>
        <w:szCs w:val="24"/>
        <w:lang w:val="en-US" w:eastAsia="en-US" w:bidi="en-US"/>
      </w:rPr>
    </w:lvl>
    <w:lvl w:ilvl="2" w:tentative="0">
      <w:start w:val="0"/>
      <w:numFmt w:val="bullet"/>
      <w:lvlText w:val="•"/>
      <w:lvlJc w:val="left"/>
      <w:pPr>
        <w:ind w:left="2106" w:hanging="509"/>
      </w:pPr>
      <w:rPr>
        <w:rFonts w:hint="default"/>
        <w:lang w:val="en-US" w:eastAsia="en-US" w:bidi="en-US"/>
      </w:rPr>
    </w:lvl>
    <w:lvl w:ilvl="3" w:tentative="0">
      <w:start w:val="0"/>
      <w:numFmt w:val="bullet"/>
      <w:lvlText w:val="•"/>
      <w:lvlJc w:val="left"/>
      <w:pPr>
        <w:ind w:left="3073" w:hanging="509"/>
      </w:pPr>
      <w:rPr>
        <w:rFonts w:hint="default"/>
        <w:lang w:val="en-US" w:eastAsia="en-US" w:bidi="en-US"/>
      </w:rPr>
    </w:lvl>
    <w:lvl w:ilvl="4" w:tentative="0">
      <w:start w:val="0"/>
      <w:numFmt w:val="bullet"/>
      <w:lvlText w:val="•"/>
      <w:lvlJc w:val="left"/>
      <w:pPr>
        <w:ind w:left="4040" w:hanging="509"/>
      </w:pPr>
      <w:rPr>
        <w:rFonts w:hint="default"/>
        <w:lang w:val="en-US" w:eastAsia="en-US" w:bidi="en-US"/>
      </w:rPr>
    </w:lvl>
    <w:lvl w:ilvl="5" w:tentative="0">
      <w:start w:val="0"/>
      <w:numFmt w:val="bullet"/>
      <w:lvlText w:val="•"/>
      <w:lvlJc w:val="left"/>
      <w:pPr>
        <w:ind w:left="5006" w:hanging="509"/>
      </w:pPr>
      <w:rPr>
        <w:rFonts w:hint="default"/>
        <w:lang w:val="en-US" w:eastAsia="en-US" w:bidi="en-US"/>
      </w:rPr>
    </w:lvl>
    <w:lvl w:ilvl="6" w:tentative="0">
      <w:start w:val="0"/>
      <w:numFmt w:val="bullet"/>
      <w:lvlText w:val="•"/>
      <w:lvlJc w:val="left"/>
      <w:pPr>
        <w:ind w:left="5973" w:hanging="509"/>
      </w:pPr>
      <w:rPr>
        <w:rFonts w:hint="default"/>
        <w:lang w:val="en-US" w:eastAsia="en-US" w:bidi="en-US"/>
      </w:rPr>
    </w:lvl>
    <w:lvl w:ilvl="7" w:tentative="0">
      <w:start w:val="0"/>
      <w:numFmt w:val="bullet"/>
      <w:lvlText w:val="•"/>
      <w:lvlJc w:val="left"/>
      <w:pPr>
        <w:ind w:left="6940" w:hanging="509"/>
      </w:pPr>
      <w:rPr>
        <w:rFonts w:hint="default"/>
        <w:lang w:val="en-US" w:eastAsia="en-US" w:bidi="en-US"/>
      </w:rPr>
    </w:lvl>
    <w:lvl w:ilvl="8" w:tentative="0">
      <w:start w:val="0"/>
      <w:numFmt w:val="bullet"/>
      <w:lvlText w:val="•"/>
      <w:lvlJc w:val="left"/>
      <w:pPr>
        <w:ind w:left="7906" w:hanging="509"/>
      </w:pPr>
      <w:rPr>
        <w:rFonts w:hint="default"/>
        <w:lang w:val="en-US" w:eastAsia="en-US" w:bidi="en-US"/>
      </w:rPr>
    </w:lvl>
  </w:abstractNum>
  <w:abstractNum w:abstractNumId="7">
    <w:nsid w:val="77792F99"/>
    <w:multiLevelType w:val="multilevel"/>
    <w:tmpl w:val="77792F99"/>
    <w:lvl w:ilvl="0" w:tentative="0">
      <w:start w:val="1"/>
      <w:numFmt w:val="decimal"/>
      <w:lvlText w:val="%1."/>
      <w:lvlJc w:val="left"/>
      <w:pPr>
        <w:ind w:left="600" w:hanging="360"/>
      </w:pPr>
      <w:rPr>
        <w:rFonts w:hint="default"/>
        <w:b w:val="0"/>
        <w:spacing w:val="0"/>
        <w:w w:val="100"/>
        <w:lang w:val="en-US" w:eastAsia="en-US" w:bidi="en-US"/>
      </w:rPr>
    </w:lvl>
    <w:lvl w:ilvl="1" w:tentative="0">
      <w:start w:val="1"/>
      <w:numFmt w:val="lowerLetter"/>
      <w:lvlText w:val="%2."/>
      <w:lvlJc w:val="left"/>
      <w:pPr>
        <w:ind w:left="960" w:hanging="360"/>
      </w:pPr>
      <w:rPr>
        <w:rFonts w:hint="default" w:ascii="Times New Roman" w:hAnsi="Times New Roman" w:eastAsia="Times New Roman" w:cs="Times New Roman"/>
        <w:spacing w:val="0"/>
        <w:w w:val="100"/>
        <w:sz w:val="24"/>
        <w:szCs w:val="24"/>
        <w:lang w:val="en-US" w:eastAsia="en-US" w:bidi="en-US"/>
      </w:rPr>
    </w:lvl>
    <w:lvl w:ilvl="2" w:tentative="0">
      <w:start w:val="0"/>
      <w:numFmt w:val="bullet"/>
      <w:lvlText w:val="•"/>
      <w:lvlJc w:val="left"/>
      <w:pPr>
        <w:ind w:left="1946" w:hanging="360"/>
      </w:pPr>
      <w:rPr>
        <w:rFonts w:hint="default"/>
        <w:lang w:val="en-US" w:eastAsia="en-US" w:bidi="en-US"/>
      </w:rPr>
    </w:lvl>
    <w:lvl w:ilvl="3" w:tentative="0">
      <w:start w:val="0"/>
      <w:numFmt w:val="bullet"/>
      <w:lvlText w:val="•"/>
      <w:lvlJc w:val="left"/>
      <w:pPr>
        <w:ind w:left="2933" w:hanging="360"/>
      </w:pPr>
      <w:rPr>
        <w:rFonts w:hint="default"/>
        <w:lang w:val="en-US" w:eastAsia="en-US" w:bidi="en-US"/>
      </w:rPr>
    </w:lvl>
    <w:lvl w:ilvl="4" w:tentative="0">
      <w:start w:val="0"/>
      <w:numFmt w:val="bullet"/>
      <w:lvlText w:val="•"/>
      <w:lvlJc w:val="left"/>
      <w:pPr>
        <w:ind w:left="3920" w:hanging="360"/>
      </w:pPr>
      <w:rPr>
        <w:rFonts w:hint="default"/>
        <w:lang w:val="en-US" w:eastAsia="en-US" w:bidi="en-US"/>
      </w:rPr>
    </w:lvl>
    <w:lvl w:ilvl="5" w:tentative="0">
      <w:start w:val="0"/>
      <w:numFmt w:val="bullet"/>
      <w:lvlText w:val="•"/>
      <w:lvlJc w:val="left"/>
      <w:pPr>
        <w:ind w:left="4906" w:hanging="360"/>
      </w:pPr>
      <w:rPr>
        <w:rFonts w:hint="default"/>
        <w:lang w:val="en-US" w:eastAsia="en-US" w:bidi="en-US"/>
      </w:rPr>
    </w:lvl>
    <w:lvl w:ilvl="6" w:tentative="0">
      <w:start w:val="0"/>
      <w:numFmt w:val="bullet"/>
      <w:lvlText w:val="•"/>
      <w:lvlJc w:val="left"/>
      <w:pPr>
        <w:ind w:left="5893" w:hanging="360"/>
      </w:pPr>
      <w:rPr>
        <w:rFonts w:hint="default"/>
        <w:lang w:val="en-US" w:eastAsia="en-US" w:bidi="en-US"/>
      </w:rPr>
    </w:lvl>
    <w:lvl w:ilvl="7" w:tentative="0">
      <w:start w:val="0"/>
      <w:numFmt w:val="bullet"/>
      <w:lvlText w:val="•"/>
      <w:lvlJc w:val="left"/>
      <w:pPr>
        <w:ind w:left="6880" w:hanging="360"/>
      </w:pPr>
      <w:rPr>
        <w:rFonts w:hint="default"/>
        <w:lang w:val="en-US" w:eastAsia="en-US" w:bidi="en-US"/>
      </w:rPr>
    </w:lvl>
    <w:lvl w:ilvl="8" w:tentative="0">
      <w:start w:val="0"/>
      <w:numFmt w:val="bullet"/>
      <w:lvlText w:val="•"/>
      <w:lvlJc w:val="left"/>
      <w:pPr>
        <w:ind w:left="7866" w:hanging="360"/>
      </w:pPr>
      <w:rPr>
        <w:rFonts w:hint="default"/>
        <w:lang w:val="en-US" w:eastAsia="en-US" w:bidi="en-US"/>
      </w:rPr>
    </w:lvl>
  </w:abstractNum>
  <w:abstractNum w:abstractNumId="8">
    <w:nsid w:val="78010D1C"/>
    <w:multiLevelType w:val="multilevel"/>
    <w:tmpl w:val="78010D1C"/>
    <w:lvl w:ilvl="0" w:tentative="0">
      <w:start w:val="1"/>
      <w:numFmt w:val="upp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6"/>
  </w:num>
  <w:num w:numId="3">
    <w:abstractNumId w:val="5"/>
  </w:num>
  <w:num w:numId="4">
    <w:abstractNumId w:val="0"/>
  </w:num>
  <w:num w:numId="5">
    <w:abstractNumId w:val="2"/>
  </w:num>
  <w:num w:numId="6">
    <w:abstractNumId w:val="7"/>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20"/>
  <w:drawingGridVerticalSpacing w:val="182"/>
  <w:displayHorizontalDrawingGridEvery w:val="2"/>
  <w:displayVerticalDrawingGridEvery w:val="2"/>
  <w:characterSpacingControl w:val="doNotCompress"/>
  <w:footnotePr>
    <w:footnote w:id="32"/>
    <w:footnote w:id="33"/>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73"/>
    <w:rsid w:val="00017D43"/>
    <w:rsid w:val="000204A1"/>
    <w:rsid w:val="00035563"/>
    <w:rsid w:val="000430B7"/>
    <w:rsid w:val="00065523"/>
    <w:rsid w:val="00067591"/>
    <w:rsid w:val="000900B2"/>
    <w:rsid w:val="00096025"/>
    <w:rsid w:val="000A30AF"/>
    <w:rsid w:val="000B22FD"/>
    <w:rsid w:val="000B58A7"/>
    <w:rsid w:val="000D1573"/>
    <w:rsid w:val="000E00C0"/>
    <w:rsid w:val="000E4C5E"/>
    <w:rsid w:val="000E725B"/>
    <w:rsid w:val="00111852"/>
    <w:rsid w:val="0011570A"/>
    <w:rsid w:val="00122E37"/>
    <w:rsid w:val="001532C1"/>
    <w:rsid w:val="00172183"/>
    <w:rsid w:val="00182412"/>
    <w:rsid w:val="001A50F9"/>
    <w:rsid w:val="001D2F2B"/>
    <w:rsid w:val="001E2198"/>
    <w:rsid w:val="001E5C77"/>
    <w:rsid w:val="001F3C68"/>
    <w:rsid w:val="00202D21"/>
    <w:rsid w:val="0021071B"/>
    <w:rsid w:val="00211162"/>
    <w:rsid w:val="002246F7"/>
    <w:rsid w:val="00280EE6"/>
    <w:rsid w:val="0029660E"/>
    <w:rsid w:val="002B3170"/>
    <w:rsid w:val="002E3CCC"/>
    <w:rsid w:val="002E51BA"/>
    <w:rsid w:val="00323BA3"/>
    <w:rsid w:val="00333C05"/>
    <w:rsid w:val="00342FCE"/>
    <w:rsid w:val="00352D0B"/>
    <w:rsid w:val="00371D28"/>
    <w:rsid w:val="00380438"/>
    <w:rsid w:val="003B3610"/>
    <w:rsid w:val="003B6D03"/>
    <w:rsid w:val="003F1BA7"/>
    <w:rsid w:val="0040474B"/>
    <w:rsid w:val="00410B8C"/>
    <w:rsid w:val="00433FB0"/>
    <w:rsid w:val="0044153F"/>
    <w:rsid w:val="00452639"/>
    <w:rsid w:val="00460364"/>
    <w:rsid w:val="00463585"/>
    <w:rsid w:val="00480D87"/>
    <w:rsid w:val="004948C7"/>
    <w:rsid w:val="004A15C8"/>
    <w:rsid w:val="004A20EE"/>
    <w:rsid w:val="004A366D"/>
    <w:rsid w:val="004D441D"/>
    <w:rsid w:val="004D7319"/>
    <w:rsid w:val="004E0BE2"/>
    <w:rsid w:val="004F4764"/>
    <w:rsid w:val="004F5758"/>
    <w:rsid w:val="004F6271"/>
    <w:rsid w:val="004F65DC"/>
    <w:rsid w:val="004F6C54"/>
    <w:rsid w:val="00520D58"/>
    <w:rsid w:val="00521EEB"/>
    <w:rsid w:val="00542CF1"/>
    <w:rsid w:val="00543C7D"/>
    <w:rsid w:val="00554FDE"/>
    <w:rsid w:val="00577E65"/>
    <w:rsid w:val="0058269E"/>
    <w:rsid w:val="005C56C1"/>
    <w:rsid w:val="005D01D4"/>
    <w:rsid w:val="005D1ADC"/>
    <w:rsid w:val="005D1B8B"/>
    <w:rsid w:val="005D27AA"/>
    <w:rsid w:val="00611124"/>
    <w:rsid w:val="006232D4"/>
    <w:rsid w:val="006401E3"/>
    <w:rsid w:val="00640FEA"/>
    <w:rsid w:val="00656D24"/>
    <w:rsid w:val="006953A0"/>
    <w:rsid w:val="006A1032"/>
    <w:rsid w:val="006B33E5"/>
    <w:rsid w:val="006C05E3"/>
    <w:rsid w:val="006C3100"/>
    <w:rsid w:val="006F2765"/>
    <w:rsid w:val="00701315"/>
    <w:rsid w:val="00706AE0"/>
    <w:rsid w:val="00715654"/>
    <w:rsid w:val="0073170B"/>
    <w:rsid w:val="00742181"/>
    <w:rsid w:val="0074308C"/>
    <w:rsid w:val="00772943"/>
    <w:rsid w:val="00774511"/>
    <w:rsid w:val="00774DF9"/>
    <w:rsid w:val="0077536D"/>
    <w:rsid w:val="00775EEF"/>
    <w:rsid w:val="007968A1"/>
    <w:rsid w:val="007A2626"/>
    <w:rsid w:val="007A69C2"/>
    <w:rsid w:val="007E1717"/>
    <w:rsid w:val="007E2CDB"/>
    <w:rsid w:val="007F5C1D"/>
    <w:rsid w:val="00810469"/>
    <w:rsid w:val="00846D3E"/>
    <w:rsid w:val="00850D96"/>
    <w:rsid w:val="00867754"/>
    <w:rsid w:val="00895F81"/>
    <w:rsid w:val="008A6D87"/>
    <w:rsid w:val="008B214E"/>
    <w:rsid w:val="008B2A25"/>
    <w:rsid w:val="008E5453"/>
    <w:rsid w:val="008F73E8"/>
    <w:rsid w:val="00907A79"/>
    <w:rsid w:val="00914829"/>
    <w:rsid w:val="0092177D"/>
    <w:rsid w:val="00923EB8"/>
    <w:rsid w:val="00926E8E"/>
    <w:rsid w:val="009408C9"/>
    <w:rsid w:val="009429EA"/>
    <w:rsid w:val="009A4285"/>
    <w:rsid w:val="009C5649"/>
    <w:rsid w:val="009E1D76"/>
    <w:rsid w:val="00A54DA3"/>
    <w:rsid w:val="00A80355"/>
    <w:rsid w:val="00A814A0"/>
    <w:rsid w:val="00A863A4"/>
    <w:rsid w:val="00AB0DFF"/>
    <w:rsid w:val="00AC7F54"/>
    <w:rsid w:val="00AE3335"/>
    <w:rsid w:val="00B17730"/>
    <w:rsid w:val="00B432B0"/>
    <w:rsid w:val="00B5395F"/>
    <w:rsid w:val="00B63EAA"/>
    <w:rsid w:val="00B6723B"/>
    <w:rsid w:val="00B75AA8"/>
    <w:rsid w:val="00B80BCF"/>
    <w:rsid w:val="00B95F3C"/>
    <w:rsid w:val="00BA50EA"/>
    <w:rsid w:val="00BC7D0B"/>
    <w:rsid w:val="00BE3351"/>
    <w:rsid w:val="00BF4FD2"/>
    <w:rsid w:val="00C23C0F"/>
    <w:rsid w:val="00C241DD"/>
    <w:rsid w:val="00C428D8"/>
    <w:rsid w:val="00C62F92"/>
    <w:rsid w:val="00CA3681"/>
    <w:rsid w:val="00CA7528"/>
    <w:rsid w:val="00CD0521"/>
    <w:rsid w:val="00CE7008"/>
    <w:rsid w:val="00D14CCF"/>
    <w:rsid w:val="00D16BD1"/>
    <w:rsid w:val="00D17E22"/>
    <w:rsid w:val="00D23B3C"/>
    <w:rsid w:val="00D356B1"/>
    <w:rsid w:val="00D44CD3"/>
    <w:rsid w:val="00D4672E"/>
    <w:rsid w:val="00D7254C"/>
    <w:rsid w:val="00D97E85"/>
    <w:rsid w:val="00DA0982"/>
    <w:rsid w:val="00DB0A93"/>
    <w:rsid w:val="00DB23DF"/>
    <w:rsid w:val="00DC3B76"/>
    <w:rsid w:val="00DE3BB9"/>
    <w:rsid w:val="00E004AD"/>
    <w:rsid w:val="00E20E67"/>
    <w:rsid w:val="00E27241"/>
    <w:rsid w:val="00E317F7"/>
    <w:rsid w:val="00E53AE7"/>
    <w:rsid w:val="00E8717B"/>
    <w:rsid w:val="00E97157"/>
    <w:rsid w:val="00EB4748"/>
    <w:rsid w:val="00EB5EDA"/>
    <w:rsid w:val="00EC05B5"/>
    <w:rsid w:val="00EC3BD3"/>
    <w:rsid w:val="00ED7043"/>
    <w:rsid w:val="00EE3F74"/>
    <w:rsid w:val="00EF1979"/>
    <w:rsid w:val="00EF3848"/>
    <w:rsid w:val="00F004A6"/>
    <w:rsid w:val="00F34FDA"/>
    <w:rsid w:val="00F51775"/>
    <w:rsid w:val="00F574C2"/>
    <w:rsid w:val="00F607FB"/>
    <w:rsid w:val="00F85F9A"/>
    <w:rsid w:val="00F972FC"/>
    <w:rsid w:val="00FA4C4E"/>
    <w:rsid w:val="00FC4A9C"/>
    <w:rsid w:val="00FC604C"/>
    <w:rsid w:val="00FD68B9"/>
    <w:rsid w:val="446C693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before="50" w:beforeLines="50" w:line="300" w:lineRule="auto"/>
    </w:pPr>
    <w:rPr>
      <w:rFonts w:ascii="Times New Roman" w:hAnsi="Times New Roman" w:eastAsia="宋体" w:cs="Times New Roman"/>
      <w:sz w:val="24"/>
      <w:szCs w:val="22"/>
      <w:lang w:val="en-US" w:eastAsia="en-US" w:bidi="en-US"/>
    </w:rPr>
  </w:style>
  <w:style w:type="paragraph" w:styleId="2">
    <w:name w:val="heading 1"/>
    <w:basedOn w:val="1"/>
    <w:qFormat/>
    <w:uiPriority w:val="9"/>
    <w:pPr>
      <w:spacing w:before="85"/>
      <w:ind w:left="600"/>
      <w:outlineLvl w:val="0"/>
    </w:pPr>
    <w:rPr>
      <w:rFonts w:eastAsia="Times New Roman"/>
      <w:b/>
      <w:bCs/>
      <w:sz w:val="36"/>
      <w:szCs w:val="36"/>
    </w:rPr>
  </w:style>
  <w:style w:type="paragraph" w:styleId="3">
    <w:name w:val="heading 2"/>
    <w:basedOn w:val="1"/>
    <w:unhideWhenUsed/>
    <w:qFormat/>
    <w:uiPriority w:val="9"/>
    <w:pPr>
      <w:spacing w:before="86"/>
      <w:ind w:left="240" w:hanging="721"/>
      <w:outlineLvl w:val="1"/>
    </w:pPr>
    <w:rPr>
      <w:rFonts w:eastAsia="Times New Roman"/>
      <w:b/>
      <w:bCs/>
      <w:sz w:val="32"/>
      <w:szCs w:val="32"/>
    </w:rPr>
  </w:style>
  <w:style w:type="paragraph" w:styleId="4">
    <w:name w:val="heading 3"/>
    <w:basedOn w:val="1"/>
    <w:unhideWhenUsed/>
    <w:qFormat/>
    <w:uiPriority w:val="9"/>
    <w:pPr>
      <w:spacing w:before="1"/>
      <w:ind w:left="542"/>
      <w:jc w:val="center"/>
      <w:outlineLvl w:val="2"/>
    </w:pPr>
    <w:rPr>
      <w:rFonts w:eastAsia="Times New Roman"/>
      <w:b/>
      <w:bCs/>
      <w:sz w:val="28"/>
      <w:szCs w:val="28"/>
    </w:rPr>
  </w:style>
  <w:style w:type="paragraph" w:styleId="5">
    <w:name w:val="heading 4"/>
    <w:basedOn w:val="1"/>
    <w:unhideWhenUsed/>
    <w:qFormat/>
    <w:uiPriority w:val="9"/>
    <w:pPr>
      <w:outlineLvl w:val="3"/>
    </w:pPr>
    <w:rPr>
      <w:rFonts w:eastAsia="Times New Roman"/>
      <w:b/>
      <w:bCs/>
      <w:szCs w:val="24"/>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8"/>
    <w:semiHidden/>
    <w:unhideWhenUsed/>
    <w:uiPriority w:val="99"/>
  </w:style>
  <w:style w:type="paragraph" w:styleId="7">
    <w:name w:val="endnote text"/>
    <w:basedOn w:val="1"/>
    <w:link w:val="31"/>
    <w:semiHidden/>
    <w:unhideWhenUsed/>
    <w:qFormat/>
    <w:uiPriority w:val="99"/>
  </w:style>
  <w:style w:type="paragraph" w:styleId="8">
    <w:name w:val="Balloon Text"/>
    <w:basedOn w:val="1"/>
    <w:link w:val="27"/>
    <w:semiHidden/>
    <w:unhideWhenUsed/>
    <w:uiPriority w:val="99"/>
    <w:pPr>
      <w:spacing w:before="0" w:line="240" w:lineRule="auto"/>
    </w:pPr>
    <w:rPr>
      <w:sz w:val="18"/>
      <w:szCs w:val="18"/>
    </w:rPr>
  </w:style>
  <w:style w:type="paragraph" w:styleId="9">
    <w:name w:val="footer"/>
    <w:basedOn w:val="1"/>
    <w:link w:val="22"/>
    <w:unhideWhenUsed/>
    <w:uiPriority w:val="99"/>
    <w:pPr>
      <w:tabs>
        <w:tab w:val="center" w:pos="4153"/>
        <w:tab w:val="right" w:pos="8306"/>
      </w:tabs>
      <w:spacing w:line="240" w:lineRule="auto"/>
    </w:pPr>
    <w:rPr>
      <w:sz w:val="18"/>
      <w:szCs w:val="18"/>
    </w:rPr>
  </w:style>
  <w:style w:type="paragraph" w:styleId="10">
    <w:name w:val="header"/>
    <w:basedOn w:val="1"/>
    <w:link w:val="21"/>
    <w:unhideWhenUsed/>
    <w:uiPriority w:val="99"/>
    <w:pPr>
      <w:pBdr>
        <w:bottom w:val="single" w:color="auto" w:sz="6" w:space="1"/>
      </w:pBdr>
      <w:tabs>
        <w:tab w:val="center" w:pos="4153"/>
        <w:tab w:val="right" w:pos="8306"/>
      </w:tabs>
      <w:spacing w:line="240" w:lineRule="auto"/>
      <w:jc w:val="center"/>
    </w:pPr>
    <w:rPr>
      <w:sz w:val="18"/>
      <w:szCs w:val="18"/>
    </w:rPr>
  </w:style>
  <w:style w:type="paragraph" w:styleId="11">
    <w:name w:val="toc 1"/>
    <w:basedOn w:val="1"/>
    <w:next w:val="1"/>
    <w:autoRedefine/>
    <w:unhideWhenUsed/>
    <w:uiPriority w:val="39"/>
    <w:pPr>
      <w:tabs>
        <w:tab w:val="left" w:pos="480"/>
        <w:tab w:val="right" w:leader="dot" w:pos="9344"/>
      </w:tabs>
      <w:snapToGrid/>
      <w:spacing w:before="0" w:beforeLines="0" w:line="240" w:lineRule="auto"/>
    </w:pPr>
    <w:rPr>
      <w:b/>
    </w:rPr>
  </w:style>
  <w:style w:type="paragraph" w:styleId="12">
    <w:name w:val="footnote text"/>
    <w:basedOn w:val="1"/>
    <w:link w:val="30"/>
    <w:semiHidden/>
    <w:unhideWhenUsed/>
    <w:qFormat/>
    <w:uiPriority w:val="99"/>
    <w:rPr>
      <w:sz w:val="18"/>
      <w:szCs w:val="18"/>
    </w:rPr>
  </w:style>
  <w:style w:type="paragraph" w:styleId="13">
    <w:name w:val="toc 2"/>
    <w:basedOn w:val="1"/>
    <w:next w:val="1"/>
    <w:autoRedefine/>
    <w:unhideWhenUsed/>
    <w:uiPriority w:val="39"/>
    <w:pPr>
      <w:tabs>
        <w:tab w:val="left" w:pos="1050"/>
        <w:tab w:val="right" w:leader="dot" w:pos="9356"/>
      </w:tabs>
      <w:snapToGrid/>
      <w:spacing w:before="0" w:beforeLines="0" w:line="240" w:lineRule="auto"/>
      <w:ind w:left="480" w:leftChars="200"/>
    </w:pPr>
    <w:rPr>
      <w:rFonts w:eastAsia="Times New Roman"/>
      <w:bCs/>
    </w:rPr>
  </w:style>
  <w:style w:type="paragraph" w:styleId="14">
    <w:name w:val="annotation subject"/>
    <w:basedOn w:val="6"/>
    <w:next w:val="6"/>
    <w:link w:val="29"/>
    <w:semiHidden/>
    <w:unhideWhenUsed/>
    <w:qFormat/>
    <w:uiPriority w:val="99"/>
    <w:rPr>
      <w:b/>
      <w:bCs/>
    </w:rPr>
  </w:style>
  <w:style w:type="character" w:styleId="17">
    <w:name w:val="endnote reference"/>
    <w:basedOn w:val="16"/>
    <w:semiHidden/>
    <w:unhideWhenUsed/>
    <w:uiPriority w:val="99"/>
    <w:rPr>
      <w:vertAlign w:val="superscript"/>
    </w:rPr>
  </w:style>
  <w:style w:type="character" w:styleId="18">
    <w:name w:val="Hyperlink"/>
    <w:basedOn w:val="16"/>
    <w:unhideWhenUsed/>
    <w:uiPriority w:val="99"/>
    <w:rPr>
      <w:b/>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styleId="20">
    <w:name w:val="footnote reference"/>
    <w:basedOn w:val="16"/>
    <w:semiHidden/>
    <w:unhideWhenUsed/>
    <w:qFormat/>
    <w:uiPriority w:val="99"/>
    <w:rPr>
      <w:vertAlign w:val="superscript"/>
    </w:rPr>
  </w:style>
  <w:style w:type="character" w:customStyle="1" w:styleId="21">
    <w:name w:val="页眉 Char"/>
    <w:basedOn w:val="16"/>
    <w:link w:val="10"/>
    <w:uiPriority w:val="99"/>
    <w:rPr>
      <w:rFonts w:ascii="Times New Roman" w:hAnsi="Times New Roman" w:eastAsia="宋体" w:cs="Times New Roman"/>
      <w:sz w:val="18"/>
      <w:szCs w:val="18"/>
      <w:lang w:bidi="en-US"/>
    </w:rPr>
  </w:style>
  <w:style w:type="character" w:customStyle="1" w:styleId="22">
    <w:name w:val="页脚 Char"/>
    <w:basedOn w:val="16"/>
    <w:link w:val="9"/>
    <w:uiPriority w:val="99"/>
    <w:rPr>
      <w:rFonts w:ascii="Times New Roman" w:hAnsi="Times New Roman" w:eastAsia="宋体" w:cs="Times New Roman"/>
      <w:sz w:val="18"/>
      <w:szCs w:val="18"/>
      <w:lang w:bidi="en-US"/>
    </w:rPr>
  </w:style>
  <w:style w:type="paragraph" w:styleId="23">
    <w:name w:val="List Paragraph"/>
    <w:basedOn w:val="1"/>
    <w:qFormat/>
    <w:uiPriority w:val="34"/>
    <w:pPr>
      <w:autoSpaceDE/>
      <w:autoSpaceDN/>
      <w:snapToGrid/>
      <w:spacing w:before="0" w:beforeLines="0" w:line="240" w:lineRule="auto"/>
      <w:ind w:firstLine="420" w:firstLineChars="200"/>
    </w:pPr>
    <w:rPr>
      <w:rFonts w:ascii="等线" w:hAnsi="等线" w:eastAsia="等线" w:cs="等线"/>
      <w:color w:val="000000"/>
      <w:szCs w:val="24"/>
    </w:rPr>
  </w:style>
  <w:style w:type="character" w:customStyle="1" w:styleId="24">
    <w:name w:val="未处理的提及1"/>
    <w:basedOn w:val="16"/>
    <w:semiHidden/>
    <w:unhideWhenUsed/>
    <w:uiPriority w:val="99"/>
    <w:rPr>
      <w:color w:val="605E5C"/>
      <w:shd w:val="clear" w:color="auto" w:fill="E1DFDD"/>
    </w:rPr>
  </w:style>
  <w:style w:type="character" w:customStyle="1" w:styleId="25">
    <w:name w:val="未处理的提及2"/>
    <w:basedOn w:val="16"/>
    <w:semiHidden/>
    <w:unhideWhenUsed/>
    <w:uiPriority w:val="99"/>
    <w:rPr>
      <w:color w:val="605E5C"/>
      <w:shd w:val="clear" w:color="auto" w:fill="E1DFDD"/>
    </w:rPr>
  </w:style>
  <w:style w:type="paragraph" w:customStyle="1" w:styleId="26">
    <w:name w:val="Revision"/>
    <w:hidden/>
    <w:semiHidden/>
    <w:uiPriority w:val="99"/>
    <w:pPr>
      <w:widowControl/>
      <w:autoSpaceDE/>
      <w:autoSpaceDN/>
    </w:pPr>
    <w:rPr>
      <w:rFonts w:ascii="Times New Roman" w:hAnsi="Times New Roman" w:eastAsia="宋体" w:cs="Times New Roman"/>
      <w:sz w:val="24"/>
      <w:szCs w:val="22"/>
      <w:lang w:val="en-US" w:eastAsia="en-US" w:bidi="en-US"/>
    </w:rPr>
  </w:style>
  <w:style w:type="character" w:customStyle="1" w:styleId="27">
    <w:name w:val="批注框文本 Char"/>
    <w:basedOn w:val="16"/>
    <w:link w:val="8"/>
    <w:semiHidden/>
    <w:uiPriority w:val="99"/>
    <w:rPr>
      <w:rFonts w:ascii="Times New Roman" w:hAnsi="Times New Roman" w:eastAsia="宋体" w:cs="Times New Roman"/>
      <w:sz w:val="18"/>
      <w:szCs w:val="18"/>
      <w:lang w:bidi="en-US"/>
    </w:rPr>
  </w:style>
  <w:style w:type="character" w:customStyle="1" w:styleId="28">
    <w:name w:val="批注文字 Char"/>
    <w:basedOn w:val="16"/>
    <w:link w:val="6"/>
    <w:semiHidden/>
    <w:uiPriority w:val="99"/>
    <w:rPr>
      <w:rFonts w:ascii="Times New Roman" w:hAnsi="Times New Roman" w:eastAsia="宋体" w:cs="Times New Roman"/>
      <w:sz w:val="24"/>
      <w:lang w:bidi="en-US"/>
    </w:rPr>
  </w:style>
  <w:style w:type="character" w:customStyle="1" w:styleId="29">
    <w:name w:val="批注主题 Char"/>
    <w:basedOn w:val="28"/>
    <w:link w:val="14"/>
    <w:semiHidden/>
    <w:uiPriority w:val="99"/>
    <w:rPr>
      <w:rFonts w:ascii="Times New Roman" w:hAnsi="Times New Roman" w:eastAsia="宋体" w:cs="Times New Roman"/>
      <w:b/>
      <w:bCs/>
      <w:sz w:val="24"/>
      <w:lang w:bidi="en-US"/>
    </w:rPr>
  </w:style>
  <w:style w:type="character" w:customStyle="1" w:styleId="30">
    <w:name w:val="脚注文本 Char"/>
    <w:basedOn w:val="16"/>
    <w:link w:val="12"/>
    <w:semiHidden/>
    <w:uiPriority w:val="99"/>
    <w:rPr>
      <w:rFonts w:ascii="Times New Roman" w:hAnsi="Times New Roman" w:eastAsia="宋体" w:cs="Times New Roman"/>
      <w:sz w:val="18"/>
      <w:szCs w:val="18"/>
      <w:lang w:bidi="en-US"/>
    </w:rPr>
  </w:style>
  <w:style w:type="character" w:customStyle="1" w:styleId="31">
    <w:name w:val="尾注文本 Char"/>
    <w:basedOn w:val="16"/>
    <w:link w:val="7"/>
    <w:semiHidden/>
    <w:qFormat/>
    <w:uiPriority w:val="99"/>
    <w:rPr>
      <w:rFonts w:ascii="Times New Roman" w:hAnsi="Times New Roman" w:eastAsia="宋体" w:cs="Times New Roman"/>
      <w:sz w:val="24"/>
      <w:lang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70310-902D-4291-8445-38329A321B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10218</Words>
  <Characters>12924</Characters>
  <Lines>119</Lines>
  <Paragraphs>33</Paragraphs>
  <TotalTime>203</TotalTime>
  <ScaleCrop>false</ScaleCrop>
  <LinksUpToDate>false</LinksUpToDate>
  <CharactersWithSpaces>13056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2022-03-11T05:36:00Z</dcterms:created>
  <dc:creator>clf</dc:creator>
  <cp:lastModifiedBy>太极箫客</cp:lastModifiedBy>
  <dcterms:modified xsi:type="dcterms:W3CDTF">2025-08-14T06:36:25Z</dcterms:modified>
  <dc:title>Draft Guidance for Industry and FDA Staff</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2018-12-14T00:00:00Z</vt:filetime>
  </property>
  <property fmtid="{D5CDD505-2E9C-101B-9397-08002B2CF9AE}" pid="3" name="Creator">
    <vt:lpwstr>Acrobat PDFMaker 17 for Word</vt:lpwstr>
  </property>
  <property fmtid="{D5CDD505-2E9C-101B-9397-08002B2CF9AE}" pid="4" name="LastSaved">
    <vt:filetime>2021-11-08T00:00:00Z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13DB71F7B38C467AA77914ED0E624BDF_12</vt:lpwstr>
  </property>
</Properties>
</file>