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D4E99">
      <w:pPr>
        <w:topLinePunct/>
        <w:spacing w:before="187"/>
        <w:rPr>
          <w:rFonts w:cs="Arial"/>
          <w:snapToGrid w:val="0"/>
          <w:color w:val="000000"/>
          <w:kern w:val="0"/>
          <w:szCs w:val="18"/>
        </w:rPr>
      </w:pPr>
      <w:bookmarkStart w:id="18" w:name="_GoBack"/>
      <w:bookmarkEnd w:id="18"/>
      <w:bookmarkStart w:id="0" w:name="OLE_LINK18"/>
      <w:bookmarkStart w:id="1" w:name="OLE_LINK19"/>
    </w:p>
    <w:p w14:paraId="0E8F2A4B">
      <w:pPr>
        <w:topLinePunct/>
        <w:spacing w:before="187"/>
        <w:rPr>
          <w:rFonts w:cs="Arial"/>
          <w:snapToGrid w:val="0"/>
          <w:color w:val="000000"/>
          <w:kern w:val="0"/>
          <w:szCs w:val="18"/>
        </w:rPr>
      </w:pPr>
    </w:p>
    <w:p w14:paraId="329A070F">
      <w:pPr>
        <w:topLinePunct/>
        <w:spacing w:before="187"/>
        <w:rPr>
          <w:rFonts w:cs="Arial"/>
          <w:snapToGrid w:val="0"/>
          <w:color w:val="000000"/>
          <w:kern w:val="0"/>
          <w:szCs w:val="18"/>
        </w:rPr>
      </w:pPr>
    </w:p>
    <w:p w14:paraId="46B76A41">
      <w:pPr>
        <w:topLinePunct/>
        <w:spacing w:before="187"/>
        <w:rPr>
          <w:rFonts w:cs="Arial"/>
          <w:snapToGrid w:val="0"/>
          <w:color w:val="000000"/>
          <w:kern w:val="0"/>
          <w:szCs w:val="18"/>
        </w:rPr>
      </w:pPr>
    </w:p>
    <w:p w14:paraId="1D3A654B">
      <w:pPr>
        <w:topLinePunct/>
        <w:spacing w:before="187"/>
        <w:rPr>
          <w:rFonts w:cs="Arial"/>
          <w:snapToGrid w:val="0"/>
          <w:color w:val="000000"/>
          <w:kern w:val="0"/>
          <w:szCs w:val="18"/>
        </w:rPr>
      </w:pPr>
    </w:p>
    <w:p w14:paraId="5BC31126">
      <w:pPr>
        <w:topLinePunct/>
        <w:spacing w:before="187"/>
        <w:rPr>
          <w:rFonts w:cs="Arial"/>
          <w:snapToGrid w:val="0"/>
          <w:color w:val="000000"/>
          <w:kern w:val="0"/>
          <w:szCs w:val="18"/>
        </w:rPr>
      </w:pPr>
    </w:p>
    <w:p w14:paraId="5AE56F36">
      <w:pPr>
        <w:topLinePunct/>
        <w:spacing w:before="187"/>
        <w:jc w:val="center"/>
        <w:rPr>
          <w:rFonts w:cs="Arial"/>
          <w:snapToGrid w:val="0"/>
          <w:kern w:val="0"/>
          <w:szCs w:val="21"/>
        </w:rPr>
      </w:pPr>
      <w:r>
        <w:rPr>
          <w:rFonts w:hint="eastAsia" w:cs="Arial"/>
          <w:snapToGrid w:val="0"/>
          <w:color w:val="000000"/>
          <w:kern w:val="0"/>
          <w:szCs w:val="18"/>
        </w:rPr>
        <w:t>本指南编写于</w:t>
      </w:r>
      <w:r>
        <w:rPr>
          <w:rFonts w:cs="Arial"/>
          <w:snapToGrid w:val="0"/>
          <w:color w:val="000000"/>
          <w:kern w:val="0"/>
          <w:szCs w:val="18"/>
        </w:rPr>
        <w:t>1997</w:t>
      </w:r>
      <w:r>
        <w:rPr>
          <w:rFonts w:hint="eastAsia" w:cs="Arial"/>
          <w:snapToGrid w:val="0"/>
          <w:color w:val="000000"/>
          <w:kern w:val="0"/>
          <w:szCs w:val="18"/>
        </w:rPr>
        <w:t>年</w:t>
      </w:r>
      <w:r>
        <w:rPr>
          <w:rFonts w:cs="Arial"/>
          <w:snapToGrid w:val="0"/>
          <w:color w:val="000000"/>
          <w:kern w:val="0"/>
          <w:szCs w:val="18"/>
        </w:rPr>
        <w:t>2</w:t>
      </w:r>
      <w:r>
        <w:rPr>
          <w:rFonts w:hint="eastAsia" w:cs="Arial"/>
          <w:snapToGrid w:val="0"/>
          <w:color w:val="000000"/>
          <w:kern w:val="0"/>
          <w:szCs w:val="18"/>
        </w:rPr>
        <w:t>月</w:t>
      </w:r>
      <w:r>
        <w:rPr>
          <w:rFonts w:cs="Arial"/>
          <w:snapToGrid w:val="0"/>
          <w:color w:val="000000"/>
          <w:kern w:val="0"/>
          <w:szCs w:val="18"/>
        </w:rPr>
        <w:t>27</w:t>
      </w:r>
      <w:r>
        <w:rPr>
          <w:rFonts w:hint="eastAsia" w:cs="Arial"/>
          <w:snapToGrid w:val="0"/>
          <w:color w:val="000000"/>
          <w:kern w:val="0"/>
          <w:szCs w:val="18"/>
        </w:rPr>
        <w:t>日实施</w:t>
      </w:r>
      <w:r>
        <w:rPr>
          <w:rFonts w:cs="Arial"/>
          <w:snapToGrid w:val="0"/>
          <w:color w:val="000000"/>
          <w:kern w:val="0"/>
          <w:szCs w:val="18"/>
        </w:rPr>
        <w:t>FDA</w:t>
      </w:r>
      <w:r>
        <w:rPr>
          <w:rFonts w:hint="eastAsia" w:cs="Arial"/>
          <w:snapToGrid w:val="0"/>
          <w:color w:val="000000"/>
          <w:kern w:val="0"/>
          <w:szCs w:val="18"/>
        </w:rPr>
        <w:t>的良好指导规范（</w:t>
      </w:r>
      <w:r>
        <w:rPr>
          <w:rFonts w:cs="Arial"/>
          <w:snapToGrid w:val="0"/>
          <w:color w:val="000000"/>
          <w:kern w:val="0"/>
          <w:szCs w:val="18"/>
        </w:rPr>
        <w:t>GGP</w:t>
      </w:r>
      <w:r>
        <w:rPr>
          <w:rFonts w:hint="eastAsia" w:cs="Arial"/>
          <w:snapToGrid w:val="0"/>
          <w:color w:val="000000"/>
          <w:kern w:val="0"/>
          <w:szCs w:val="18"/>
        </w:rPr>
        <w:t>）之前。其不会为任何人创造或赋予任何权利，也不对</w:t>
      </w:r>
      <w:r>
        <w:rPr>
          <w:rFonts w:cs="Arial"/>
          <w:snapToGrid w:val="0"/>
          <w:color w:val="000000"/>
          <w:kern w:val="0"/>
          <w:szCs w:val="18"/>
        </w:rPr>
        <w:t>FDA</w:t>
      </w:r>
      <w:r>
        <w:rPr>
          <w:rFonts w:hint="eastAsia" w:cs="Arial"/>
          <w:snapToGrid w:val="0"/>
          <w:color w:val="000000"/>
          <w:kern w:val="0"/>
          <w:szCs w:val="18"/>
        </w:rPr>
        <w:t>或公众具有约束力。如果替代方法满足适用的法律、法规或其两者的要求，可以使用替代方法。本指南将在下一版本中更新，以纳入</w:t>
      </w:r>
      <w:r>
        <w:rPr>
          <w:rFonts w:cs="Arial"/>
          <w:snapToGrid w:val="0"/>
          <w:color w:val="000000"/>
          <w:kern w:val="0"/>
          <w:szCs w:val="18"/>
        </w:rPr>
        <w:t>GGP</w:t>
      </w:r>
      <w:r>
        <w:rPr>
          <w:rFonts w:hint="eastAsia" w:cs="Arial"/>
          <w:snapToGrid w:val="0"/>
          <w:color w:val="000000"/>
          <w:kern w:val="0"/>
          <w:szCs w:val="18"/>
        </w:rPr>
        <w:t>的标准部分。</w:t>
      </w:r>
    </w:p>
    <w:p w14:paraId="479ECF5A">
      <w:pPr>
        <w:topLinePunct/>
        <w:spacing w:before="187"/>
        <w:rPr>
          <w:rFonts w:cs="Arial"/>
          <w:snapToGrid w:val="0"/>
          <w:kern w:val="0"/>
        </w:rPr>
      </w:pPr>
    </w:p>
    <w:p w14:paraId="504D52E9">
      <w:pPr>
        <w:topLinePunct/>
        <w:spacing w:before="187"/>
        <w:rPr>
          <w:rFonts w:cs="Arial"/>
          <w:snapToGrid w:val="0"/>
          <w:kern w:val="0"/>
        </w:rPr>
      </w:pPr>
    </w:p>
    <w:p w14:paraId="2F120D27">
      <w:pPr>
        <w:topLinePunct/>
        <w:spacing w:before="187"/>
        <w:rPr>
          <w:rFonts w:cs="Arial"/>
          <w:snapToGrid w:val="0"/>
          <w:kern w:val="0"/>
        </w:rPr>
        <w:sectPr>
          <w:headerReference r:id="rId7" w:type="first"/>
          <w:footerReference r:id="rId10" w:type="first"/>
          <w:headerReference r:id="rId5" w:type="default"/>
          <w:footerReference r:id="rId8" w:type="default"/>
          <w:headerReference r:id="rId6" w:type="even"/>
          <w:footerReference r:id="rId9" w:type="even"/>
          <w:pgSz w:w="11906" w:h="16838"/>
          <w:pgMar w:top="1418" w:right="1418" w:bottom="1418" w:left="1418" w:header="720" w:footer="720" w:gutter="0"/>
          <w:cols w:space="425" w:num="1"/>
          <w:docGrid w:type="lines" w:linePitch="312" w:charSpace="0"/>
        </w:sectPr>
      </w:pPr>
    </w:p>
    <w:p w14:paraId="24F30956">
      <w:pPr>
        <w:tabs>
          <w:tab w:val="left" w:pos="0"/>
        </w:tabs>
        <w:topLinePunct/>
        <w:spacing w:before="187"/>
        <w:ind w:left="1200" w:hanging="1200" w:hangingChars="500"/>
        <w:rPr>
          <w:rFonts w:cs="Arial"/>
          <w:snapToGrid w:val="0"/>
          <w:kern w:val="0"/>
        </w:rPr>
      </w:pPr>
      <w:r>
        <w:rPr>
          <w:rFonts w:cs="Arial"/>
          <w:snapToGrid w:val="0"/>
          <w:kern w:val="0"/>
        </w:rPr>
        <w:t>日期：</w:t>
      </w:r>
      <w:r>
        <w:rPr>
          <w:rFonts w:hint="eastAsia" w:cs="Arial"/>
          <w:snapToGrid w:val="0"/>
          <w:kern w:val="0"/>
        </w:rPr>
        <w:tab/>
      </w:r>
      <w:r>
        <w:rPr>
          <w:rFonts w:cs="Arial"/>
          <w:snapToGrid w:val="0"/>
          <w:kern w:val="0"/>
        </w:rPr>
        <w:t>1994年7月15日</w:t>
      </w:r>
    </w:p>
    <w:p w14:paraId="0989079B">
      <w:pPr>
        <w:tabs>
          <w:tab w:val="left" w:pos="0"/>
        </w:tabs>
        <w:topLinePunct/>
        <w:spacing w:before="187"/>
        <w:ind w:left="1200" w:hanging="1200" w:hangingChars="500"/>
        <w:rPr>
          <w:rFonts w:cs="Arial"/>
          <w:snapToGrid w:val="0"/>
          <w:kern w:val="0"/>
        </w:rPr>
      </w:pPr>
      <w:r>
        <w:rPr>
          <w:rFonts w:hint="eastAsia" w:cs="Arial"/>
          <w:snapToGrid w:val="0"/>
          <w:kern w:val="0"/>
        </w:rPr>
        <w:t>发件人</w:t>
      </w:r>
      <w:r>
        <w:rPr>
          <w:rFonts w:cs="Arial"/>
          <w:snapToGrid w:val="0"/>
          <w:kern w:val="0"/>
        </w:rPr>
        <w:t>：</w:t>
      </w:r>
      <w:r>
        <w:rPr>
          <w:rFonts w:hint="eastAsia" w:cs="Arial"/>
          <w:snapToGrid w:val="0"/>
          <w:kern w:val="0"/>
        </w:rPr>
        <w:tab/>
      </w:r>
      <w:r>
        <w:rPr>
          <w:rFonts w:cs="Arial"/>
          <w:snapToGrid w:val="0"/>
          <w:kern w:val="0"/>
        </w:rPr>
        <w:t>主任，免疫学分部，临床实验室器械部，器械评估办公室，</w:t>
      </w:r>
      <w:r>
        <w:rPr>
          <w:rFonts w:hint="eastAsia" w:cs="Arial"/>
          <w:snapToGrid w:val="0"/>
          <w:kern w:val="0"/>
        </w:rPr>
        <w:t>器械与放射健康中心</w:t>
      </w:r>
    </w:p>
    <w:p w14:paraId="29FC2DE1">
      <w:pPr>
        <w:tabs>
          <w:tab w:val="left" w:pos="0"/>
        </w:tabs>
        <w:topLinePunct/>
        <w:spacing w:before="187"/>
        <w:ind w:left="1200" w:hanging="1200" w:hangingChars="500"/>
        <w:rPr>
          <w:rFonts w:cs="Arial"/>
          <w:snapToGrid w:val="0"/>
          <w:kern w:val="0"/>
        </w:rPr>
      </w:pPr>
      <w:r>
        <w:rPr>
          <w:rFonts w:cs="Arial"/>
          <w:snapToGrid w:val="0"/>
          <w:kern w:val="0"/>
        </w:rPr>
        <w:t>主题：</w:t>
      </w:r>
      <w:bookmarkStart w:id="2" w:name="OLE_LINK48"/>
      <w:bookmarkStart w:id="3" w:name="OLE_LINK49"/>
      <w:r>
        <w:rPr>
          <w:rFonts w:hint="eastAsia" w:cs="Arial"/>
          <w:snapToGrid w:val="0"/>
          <w:kern w:val="0"/>
        </w:rPr>
        <w:tab/>
      </w:r>
      <w:r>
        <w:rPr>
          <w:rFonts w:cs="Arial"/>
          <w:snapToGrid w:val="0"/>
          <w:kern w:val="0"/>
        </w:rPr>
        <w:t>利用免疫试验方法且适用于胎儿神经开放性神经管缺陷的α-胎甲球蛋白（AFP）体外诊断器械</w:t>
      </w:r>
      <w:r>
        <w:rPr>
          <w:rFonts w:hint="eastAsia" w:cs="Arial"/>
          <w:snapToGrid w:val="0"/>
          <w:kern w:val="0"/>
        </w:rPr>
        <w:t>评定</w:t>
      </w:r>
      <w:r>
        <w:rPr>
          <w:rFonts w:cs="Arial"/>
          <w:snapToGrid w:val="0"/>
          <w:kern w:val="0"/>
        </w:rPr>
        <w:t>的审查标准</w:t>
      </w:r>
      <w:bookmarkEnd w:id="2"/>
      <w:bookmarkEnd w:id="3"/>
    </w:p>
    <w:p w14:paraId="64DBF2C8">
      <w:pPr>
        <w:tabs>
          <w:tab w:val="left" w:pos="0"/>
        </w:tabs>
        <w:topLinePunct/>
        <w:spacing w:before="187"/>
        <w:ind w:left="1200" w:hanging="1200" w:hangingChars="500"/>
        <w:rPr>
          <w:rFonts w:cs="Arial"/>
          <w:snapToGrid w:val="0"/>
          <w:kern w:val="0"/>
        </w:rPr>
      </w:pPr>
      <w:r>
        <w:rPr>
          <w:rFonts w:hint="eastAsia" w:cs="Arial"/>
          <w:snapToGrid w:val="0"/>
          <w:kern w:val="0"/>
        </w:rPr>
        <w:t>收件人</w:t>
      </w:r>
      <w:r>
        <w:rPr>
          <w:rFonts w:cs="Arial"/>
          <w:snapToGrid w:val="0"/>
          <w:kern w:val="0"/>
        </w:rPr>
        <w:t>：</w:t>
      </w:r>
      <w:r>
        <w:rPr>
          <w:rFonts w:hint="eastAsia" w:cs="Arial"/>
          <w:snapToGrid w:val="0"/>
          <w:kern w:val="0"/>
        </w:rPr>
        <w:tab/>
      </w:r>
      <w:r>
        <w:rPr>
          <w:rFonts w:cs="Arial"/>
          <w:snapToGrid w:val="0"/>
          <w:kern w:val="0"/>
        </w:rPr>
        <w:t>感兴趣的制造商</w:t>
      </w:r>
    </w:p>
    <w:p w14:paraId="72F0E9D3">
      <w:pPr>
        <w:topLinePunct/>
        <w:spacing w:before="187"/>
        <w:rPr>
          <w:rFonts w:cs="Arial"/>
          <w:snapToGrid w:val="0"/>
          <w:kern w:val="0"/>
        </w:rPr>
      </w:pPr>
    </w:p>
    <w:p w14:paraId="7E9FEA99">
      <w:pPr>
        <w:topLinePunct/>
        <w:spacing w:before="187"/>
        <w:ind w:left="1200" w:leftChars="500"/>
        <w:rPr>
          <w:rFonts w:cs="Arial"/>
          <w:snapToGrid w:val="0"/>
          <w:kern w:val="0"/>
        </w:rPr>
      </w:pPr>
      <w:r>
        <w:rPr>
          <w:rFonts w:cs="Arial"/>
          <w:snapToGrid w:val="0"/>
          <w:kern w:val="0"/>
        </w:rPr>
        <w:t>我们已起草了标题为</w:t>
      </w:r>
      <w:r>
        <w:rPr>
          <w:rFonts w:ascii="宋体" w:hAnsi="宋体" w:cs="Arial"/>
          <w:snapToGrid w:val="0"/>
          <w:kern w:val="0"/>
        </w:rPr>
        <w:t>“</w:t>
      </w:r>
      <w:r>
        <w:rPr>
          <w:rFonts w:cs="Arial"/>
          <w:snapToGrid w:val="0"/>
          <w:kern w:val="0"/>
        </w:rPr>
        <w:t>利用免疫试验方法且适用于胎儿神经开放性神经管缺陷的α-胎甲球蛋白（AFP）体外诊断器械</w:t>
      </w:r>
      <w:r>
        <w:rPr>
          <w:rFonts w:hint="eastAsia" w:cs="Arial"/>
          <w:snapToGrid w:val="0"/>
          <w:kern w:val="0"/>
        </w:rPr>
        <w:t>评定</w:t>
      </w:r>
      <w:r>
        <w:rPr>
          <w:rFonts w:cs="Arial"/>
          <w:snapToGrid w:val="0"/>
          <w:kern w:val="0"/>
        </w:rPr>
        <w:t>的审查标准</w:t>
      </w:r>
      <w:r>
        <w:rPr>
          <w:rFonts w:ascii="宋体" w:hAnsi="宋体" w:cs="Arial"/>
          <w:snapToGrid w:val="0"/>
          <w:kern w:val="0"/>
        </w:rPr>
        <w:t>”</w:t>
      </w:r>
      <w:r>
        <w:rPr>
          <w:rFonts w:cs="Arial"/>
          <w:snapToGrid w:val="0"/>
          <w:kern w:val="0"/>
        </w:rPr>
        <w:t>的文件。</w:t>
      </w:r>
      <w:r>
        <w:rPr>
          <w:rFonts w:hint="eastAsia" w:cs="Arial"/>
          <w:snapToGrid w:val="0"/>
          <w:kern w:val="0"/>
          <w:sz w:val="21"/>
        </w:rPr>
        <w:t>本文档列出了我们将审查的项目，旨在帮助制造商准备这些器械类型的上市</w:t>
      </w:r>
      <w:r>
        <w:rPr>
          <w:rFonts w:hint="eastAsia" w:cs="Arial"/>
          <w:snapToGrid w:val="0"/>
          <w:kern w:val="0"/>
        </w:rPr>
        <w:t>提交资料</w:t>
      </w:r>
      <w:r>
        <w:rPr>
          <w:rFonts w:hint="eastAsia" w:cs="Arial"/>
          <w:snapToGrid w:val="0"/>
          <w:kern w:val="0"/>
          <w:sz w:val="21"/>
        </w:rPr>
        <w:t>。</w:t>
      </w:r>
      <w:r>
        <w:rPr>
          <w:rFonts w:cs="Arial"/>
          <w:snapToGrid w:val="0"/>
          <w:kern w:val="0"/>
        </w:rPr>
        <w:t>同样，也可通过小制造商辅助部（DSMA），电话800-638-2041来获得本文件。</w:t>
      </w:r>
    </w:p>
    <w:p w14:paraId="2A23F585">
      <w:pPr>
        <w:topLinePunct/>
        <w:spacing w:before="187"/>
        <w:ind w:left="1200" w:leftChars="500"/>
        <w:rPr>
          <w:rFonts w:cs="Arial"/>
          <w:snapToGrid w:val="0"/>
          <w:kern w:val="0"/>
        </w:rPr>
      </w:pPr>
      <w:r>
        <w:rPr>
          <w:rFonts w:hint="eastAsia" w:cs="Arial"/>
          <w:snapToGrid w:val="0"/>
          <w:kern w:val="0"/>
          <w:sz w:val="21"/>
        </w:rPr>
        <w:t>我们征求贵公司关于所附评查标准的想法、建议和评论。我们将非常感谢贵公司提供评论，以便我们可以在修订中纳入尽可能多的改进。</w:t>
      </w:r>
      <w:r>
        <w:rPr>
          <w:rFonts w:cs="Arial"/>
          <w:snapToGrid w:val="0"/>
          <w:kern w:val="0"/>
        </w:rPr>
        <w:t>请将</w:t>
      </w:r>
      <w:r>
        <w:rPr>
          <w:rFonts w:hint="eastAsia" w:cs="Arial"/>
          <w:snapToGrid w:val="0"/>
          <w:kern w:val="0"/>
        </w:rPr>
        <w:t>评论发送</w:t>
      </w:r>
      <w:r>
        <w:rPr>
          <w:rFonts w:cs="Arial"/>
          <w:snapToGrid w:val="0"/>
          <w:kern w:val="0"/>
        </w:rPr>
        <w:t>至下述地址：</w:t>
      </w:r>
    </w:p>
    <w:p w14:paraId="49A7BDFA">
      <w:pPr>
        <w:topLinePunct/>
        <w:spacing w:before="187"/>
        <w:ind w:left="1200" w:leftChars="500"/>
        <w:rPr>
          <w:rFonts w:cs="Arial"/>
          <w:snapToGrid w:val="0"/>
          <w:kern w:val="0"/>
        </w:rPr>
      </w:pPr>
      <w:r>
        <w:rPr>
          <w:rFonts w:cs="Arial"/>
          <w:snapToGrid w:val="0"/>
          <w:kern w:val="0"/>
        </w:rPr>
        <w:t>Peter E. Maxim，博士，</w:t>
      </w:r>
    </w:p>
    <w:p w14:paraId="1397A348">
      <w:pPr>
        <w:topLinePunct/>
        <w:spacing w:before="187"/>
        <w:ind w:left="1920" w:leftChars="800"/>
        <w:rPr>
          <w:rFonts w:cs="Arial"/>
          <w:snapToGrid w:val="0"/>
          <w:kern w:val="0"/>
        </w:rPr>
      </w:pPr>
      <w:r>
        <w:rPr>
          <w:rFonts w:cs="Arial"/>
          <w:snapToGrid w:val="0"/>
          <w:kern w:val="0"/>
        </w:rPr>
        <w:t>主任，免疫学分部，</w:t>
      </w:r>
      <w:r>
        <w:rPr>
          <w:rFonts w:hint="eastAsia" w:cs="Arial"/>
          <w:snapToGrid w:val="0"/>
          <w:kern w:val="0"/>
        </w:rPr>
        <w:br w:type="textWrapping"/>
      </w:r>
      <w:r>
        <w:rPr>
          <w:rFonts w:cs="Arial"/>
          <w:snapToGrid w:val="0"/>
          <w:kern w:val="0"/>
        </w:rPr>
        <w:t>临床实验室器械部（HFZ 440）</w:t>
      </w:r>
      <w:r>
        <w:rPr>
          <w:rFonts w:hint="eastAsia" w:cs="Arial"/>
          <w:snapToGrid w:val="0"/>
          <w:kern w:val="0"/>
        </w:rPr>
        <w:br w:type="textWrapping"/>
      </w:r>
      <w:r>
        <w:rPr>
          <w:rFonts w:cs="Arial"/>
          <w:snapToGrid w:val="0"/>
          <w:kern w:val="0"/>
        </w:rPr>
        <w:t>器械评估办公室</w:t>
      </w:r>
      <w:r>
        <w:rPr>
          <w:rFonts w:hint="eastAsia" w:cs="Arial"/>
          <w:snapToGrid w:val="0"/>
          <w:kern w:val="0"/>
        </w:rPr>
        <w:br w:type="textWrapping"/>
      </w:r>
      <w:r>
        <w:rPr>
          <w:rFonts w:cs="Arial"/>
          <w:snapToGrid w:val="0"/>
          <w:kern w:val="0"/>
        </w:rPr>
        <w:t>器械和放射卫生中心</w:t>
      </w:r>
      <w:r>
        <w:rPr>
          <w:rFonts w:hint="eastAsia" w:cs="Arial"/>
          <w:snapToGrid w:val="0"/>
          <w:kern w:val="0"/>
        </w:rPr>
        <w:br w:type="textWrapping"/>
      </w:r>
      <w:r>
        <w:rPr>
          <w:rFonts w:cs="Arial"/>
          <w:snapToGrid w:val="0"/>
          <w:kern w:val="0"/>
        </w:rPr>
        <w:t>2098 Gaither Road</w:t>
      </w:r>
      <w:r>
        <w:rPr>
          <w:rFonts w:hint="eastAsia" w:cs="Arial"/>
          <w:snapToGrid w:val="0"/>
          <w:kern w:val="0"/>
        </w:rPr>
        <w:br w:type="textWrapping"/>
      </w:r>
      <w:r>
        <w:rPr>
          <w:rFonts w:cs="Arial"/>
          <w:snapToGrid w:val="0"/>
          <w:kern w:val="0"/>
        </w:rPr>
        <w:t>Rockville, MD 20850</w:t>
      </w:r>
      <w:r>
        <w:rPr>
          <w:rFonts w:hint="eastAsia" w:cs="Arial"/>
          <w:snapToGrid w:val="0"/>
          <w:kern w:val="0"/>
        </w:rPr>
        <w:br w:type="textWrapping"/>
      </w:r>
      <w:r>
        <w:rPr>
          <w:rFonts w:cs="Arial"/>
          <w:snapToGrid w:val="0"/>
          <w:kern w:val="0"/>
        </w:rPr>
        <w:t>Peter E. Maxim，博士</w:t>
      </w:r>
    </w:p>
    <w:p w14:paraId="46514439">
      <w:pPr>
        <w:topLinePunct/>
        <w:spacing w:before="187"/>
        <w:ind w:left="4800" w:leftChars="2000"/>
        <w:rPr>
          <w:rFonts w:cs="Arial"/>
          <w:snapToGrid w:val="0"/>
          <w:kern w:val="0"/>
        </w:rPr>
      </w:pPr>
      <w:r>
        <w:drawing>
          <wp:inline distT="0" distB="0" distL="0" distR="0">
            <wp:extent cx="2026920" cy="67119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2026637" cy="671513"/>
                    </a:xfrm>
                    <a:prstGeom prst="rect">
                      <a:avLst/>
                    </a:prstGeom>
                  </pic:spPr>
                </pic:pic>
              </a:graphicData>
            </a:graphic>
          </wp:inline>
        </w:drawing>
      </w:r>
    </w:p>
    <w:p w14:paraId="5CB2E2E5">
      <w:pPr>
        <w:topLinePunct/>
        <w:spacing w:before="187"/>
        <w:rPr>
          <w:rFonts w:cs="Arial"/>
          <w:snapToGrid w:val="0"/>
          <w:kern w:val="0"/>
        </w:rPr>
      </w:pPr>
    </w:p>
    <w:p w14:paraId="4DE8B0F1">
      <w:pPr>
        <w:topLinePunct/>
        <w:spacing w:before="187"/>
        <w:rPr>
          <w:rFonts w:cs="Arial"/>
          <w:snapToGrid w:val="0"/>
          <w:kern w:val="0"/>
        </w:rPr>
      </w:pPr>
      <w:r>
        <w:rPr>
          <w:rFonts w:cs="Arial"/>
          <w:snapToGrid w:val="0"/>
          <w:kern w:val="0"/>
        </w:rPr>
        <w:t>附件</w:t>
      </w:r>
    </w:p>
    <w:p w14:paraId="3C589962">
      <w:pPr>
        <w:topLinePunct/>
        <w:spacing w:before="187"/>
        <w:rPr>
          <w:rFonts w:cs="Arial"/>
          <w:snapToGrid w:val="0"/>
          <w:kern w:val="0"/>
        </w:rPr>
        <w:sectPr>
          <w:headerReference r:id="rId11" w:type="default"/>
          <w:pgSz w:w="11906" w:h="16838"/>
          <w:pgMar w:top="1418" w:right="1418" w:bottom="1418" w:left="1418" w:header="720" w:footer="720" w:gutter="0"/>
          <w:cols w:space="425" w:num="1"/>
          <w:docGrid w:type="lines" w:linePitch="312" w:charSpace="0"/>
        </w:sectPr>
      </w:pPr>
    </w:p>
    <w:p w14:paraId="2912E487">
      <w:pPr>
        <w:topLinePunct/>
        <w:spacing w:before="187"/>
        <w:rPr>
          <w:rFonts w:cs="Arial"/>
          <w:snapToGrid w:val="0"/>
          <w:kern w:val="0"/>
        </w:rPr>
      </w:pPr>
      <w:r>
        <w:rPr>
          <w:rFonts w:hint="eastAsia" w:cs="Arial"/>
          <w:snapToGrid w:val="0"/>
          <w:kern w:val="0"/>
        </w:rPr>
        <w:t>原始版本，1994年7月</w:t>
      </w:r>
    </w:p>
    <w:p w14:paraId="02D20FD4">
      <w:pPr>
        <w:topLinePunct/>
        <w:spacing w:before="187"/>
        <w:rPr>
          <w:rFonts w:cs="Arial"/>
          <w:snapToGrid w:val="0"/>
          <w:kern w:val="0"/>
        </w:rPr>
      </w:pPr>
    </w:p>
    <w:p w14:paraId="6E753317">
      <w:pPr>
        <w:topLinePunct/>
        <w:spacing w:before="187"/>
        <w:rPr>
          <w:rFonts w:cs="Arial"/>
          <w:snapToGrid w:val="0"/>
          <w:kern w:val="0"/>
        </w:rPr>
      </w:pPr>
      <w:r>
        <w:rPr>
          <w:rFonts w:cs="Arial"/>
          <w:snapToGrid w:val="0"/>
          <w:kern w:val="0"/>
        </w:rPr>
        <w:t>利用免疫试验方法且适用于胎儿神经开放性神经管缺陷的α-胎甲球蛋白（AFP）体外诊断器械</w:t>
      </w:r>
      <w:r>
        <w:rPr>
          <w:rFonts w:hint="eastAsia" w:cs="Arial"/>
          <w:snapToGrid w:val="0"/>
          <w:kern w:val="0"/>
        </w:rPr>
        <w:t>评定</w:t>
      </w:r>
      <w:r>
        <w:rPr>
          <w:rFonts w:cs="Arial"/>
          <w:snapToGrid w:val="0"/>
          <w:kern w:val="0"/>
        </w:rPr>
        <w:t>的审查标准</w:t>
      </w:r>
    </w:p>
    <w:p w14:paraId="77787ED5">
      <w:pPr>
        <w:topLinePunct/>
        <w:spacing w:before="187"/>
        <w:rPr>
          <w:rFonts w:cs="Arial"/>
          <w:snapToGrid w:val="0"/>
          <w:kern w:val="0"/>
        </w:rPr>
      </w:pPr>
      <w:r>
        <w:rPr>
          <w:rFonts w:cs="Arial"/>
          <w:snapToGrid w:val="0"/>
          <w:kern w:val="0"/>
        </w:rPr>
        <w:t>本指南是一份具有灵活性的文件，其代表了目前针对α-胎甲球蛋白（AFP）体外诊断器械辅助用于检测开放性神经管缺陷（ONTD）的主要关注</w:t>
      </w:r>
      <w:r>
        <w:rPr>
          <w:rFonts w:hint="eastAsia" w:cs="Arial"/>
          <w:snapToGrid w:val="0"/>
          <w:kern w:val="0"/>
        </w:rPr>
        <w:t>问题</w:t>
      </w:r>
      <w:r>
        <w:rPr>
          <w:rFonts w:cs="Arial"/>
          <w:snapToGrid w:val="0"/>
          <w:kern w:val="0"/>
        </w:rPr>
        <w:t>和建议。在本指南中</w:t>
      </w:r>
      <w:r>
        <w:rPr>
          <w:rFonts w:hint="eastAsia" w:cs="Arial"/>
          <w:snapToGrid w:val="0"/>
          <w:kern w:val="0"/>
        </w:rPr>
        <w:t>提到</w:t>
      </w:r>
      <w:r>
        <w:rPr>
          <w:rFonts w:cs="Arial"/>
          <w:snapToGrid w:val="0"/>
          <w:kern w:val="0"/>
        </w:rPr>
        <w:t>的器械是这些使用免疫</w:t>
      </w:r>
      <w:r>
        <w:rPr>
          <w:rFonts w:hint="eastAsia" w:cs="Arial"/>
          <w:snapToGrid w:val="0"/>
          <w:kern w:val="0"/>
        </w:rPr>
        <w:t>试验</w:t>
      </w:r>
      <w:r>
        <w:rPr>
          <w:rFonts w:cs="Arial"/>
          <w:snapToGrid w:val="0"/>
          <w:kern w:val="0"/>
        </w:rPr>
        <w:t>方法学的器械。其依据1）现行基础医学，2）临床经验，以及3）1990年的医疗器械安全方案以及美国联邦法规（CFR）FDA法规。随着</w:t>
      </w:r>
      <w:r>
        <w:rPr>
          <w:rFonts w:hint="eastAsia" w:cs="Arial"/>
          <w:snapToGrid w:val="0"/>
          <w:kern w:val="0"/>
        </w:rPr>
        <w:t>科学</w:t>
      </w:r>
      <w:r>
        <w:rPr>
          <w:rFonts w:cs="Arial"/>
          <w:snapToGrid w:val="0"/>
          <w:kern w:val="0"/>
        </w:rPr>
        <w:t>和医学中取得的进步，以及国会立法过程的改进，</w:t>
      </w:r>
      <w:r>
        <w:rPr>
          <w:rFonts w:hint="eastAsia" w:cs="Arial"/>
          <w:snapToGrid w:val="0"/>
          <w:kern w:val="0"/>
        </w:rPr>
        <w:t>审查</w:t>
      </w:r>
      <w:r>
        <w:rPr>
          <w:rFonts w:cs="Arial"/>
          <w:snapToGrid w:val="0"/>
          <w:kern w:val="0"/>
        </w:rPr>
        <w:t>标准将进行</w:t>
      </w:r>
      <w:r>
        <w:rPr>
          <w:rFonts w:hint="eastAsia" w:cs="Arial"/>
          <w:snapToGrid w:val="0"/>
          <w:kern w:val="0"/>
        </w:rPr>
        <w:t>重新</w:t>
      </w:r>
      <w:r>
        <w:rPr>
          <w:rFonts w:cs="Arial"/>
          <w:snapToGrid w:val="0"/>
          <w:kern w:val="0"/>
        </w:rPr>
        <w:t>评估，并且在必要时进行修订。</w:t>
      </w:r>
    </w:p>
    <w:p w14:paraId="7989CCD4">
      <w:pPr>
        <w:topLinePunct/>
        <w:spacing w:before="187"/>
        <w:rPr>
          <w:rFonts w:cs="Arial"/>
          <w:snapToGrid w:val="0"/>
          <w:kern w:val="0"/>
          <w:u w:val="single"/>
        </w:rPr>
      </w:pPr>
      <w:r>
        <w:rPr>
          <w:rFonts w:cs="Arial"/>
          <w:snapToGrid w:val="0"/>
          <w:kern w:val="0"/>
          <w:u w:val="single"/>
        </w:rPr>
        <w:t>目的</w:t>
      </w:r>
    </w:p>
    <w:p w14:paraId="7619CFBD">
      <w:pPr>
        <w:topLinePunct/>
        <w:spacing w:before="187"/>
        <w:rPr>
          <w:rFonts w:cs="Arial"/>
          <w:snapToGrid w:val="0"/>
          <w:kern w:val="0"/>
        </w:rPr>
      </w:pPr>
      <w:r>
        <w:rPr>
          <w:rFonts w:cs="Arial"/>
          <w:snapToGrid w:val="0"/>
          <w:kern w:val="0"/>
        </w:rPr>
        <w:t>在食品药品监督管理局（FDA）存档并受理上市前批准申请（PM）之前，本指南就必要信息提供了指南和阐述。尽管本指南不会替代美国联邦法规（CFR），在FDA能够为销售这类器械而颁布批准令之前，本指南就必要信息提供了额外指南和阐述。</w:t>
      </w:r>
    </w:p>
    <w:p w14:paraId="180CCF9D">
      <w:pPr>
        <w:topLinePunct/>
        <w:spacing w:before="187"/>
        <w:rPr>
          <w:rFonts w:cs="Arial"/>
          <w:snapToGrid w:val="0"/>
          <w:kern w:val="0"/>
        </w:rPr>
      </w:pPr>
      <w:r>
        <w:rPr>
          <w:rFonts w:cs="Arial"/>
          <w:snapToGrid w:val="0"/>
          <w:kern w:val="0"/>
        </w:rPr>
        <w:t>PMA提交必须</w:t>
      </w:r>
      <w:r>
        <w:rPr>
          <w:rFonts w:hint="eastAsia" w:cs="Arial"/>
          <w:snapToGrid w:val="0"/>
          <w:kern w:val="0"/>
        </w:rPr>
        <w:t>表明</w:t>
      </w:r>
      <w:r>
        <w:rPr>
          <w:rFonts w:cs="Arial"/>
          <w:snapToGrid w:val="0"/>
          <w:kern w:val="0"/>
        </w:rPr>
        <w:t>器械具有临床实用性，并且能</w:t>
      </w:r>
      <w:bookmarkStart w:id="4" w:name="OLE_LINK51"/>
      <w:bookmarkStart w:id="5" w:name="OLE_LINK50"/>
      <w:r>
        <w:rPr>
          <w:rFonts w:cs="Arial"/>
          <w:snapToGrid w:val="0"/>
          <w:kern w:val="0"/>
        </w:rPr>
        <w:t>够合理确保</w:t>
      </w:r>
      <w:bookmarkEnd w:id="4"/>
      <w:bookmarkEnd w:id="5"/>
      <w:r>
        <w:rPr>
          <w:rFonts w:cs="Arial"/>
          <w:snapToGrid w:val="0"/>
          <w:kern w:val="0"/>
        </w:rPr>
        <w:t>其安全性和有效性。必须由适用于胎儿开放性神经管缺陷（ONTD）的AFP器械的全部申办方来提交PMA。PMA必须提供证据来表明将器械用于预期用途时</w:t>
      </w:r>
      <w:r>
        <w:rPr>
          <w:rFonts w:hint="eastAsia" w:cs="Arial"/>
          <w:snapToGrid w:val="0"/>
          <w:kern w:val="0"/>
        </w:rPr>
        <w:t>的</w:t>
      </w:r>
      <w:r>
        <w:rPr>
          <w:rFonts w:cs="Arial"/>
          <w:snapToGrid w:val="0"/>
          <w:kern w:val="0"/>
        </w:rPr>
        <w:t>正确性、安全性和有效性。安全性和有效性信息指PMA提交中的信息，包括与适用于</w:t>
      </w:r>
      <w:r>
        <w:rPr>
          <w:rFonts w:hint="eastAsia" w:cs="Arial"/>
          <w:snapToGrid w:val="0"/>
          <w:kern w:val="0"/>
        </w:rPr>
        <w:t>孕妇</w:t>
      </w:r>
      <w:r>
        <w:rPr>
          <w:rFonts w:cs="Arial"/>
          <w:snapToGrid w:val="0"/>
          <w:kern w:val="0"/>
        </w:rPr>
        <w:t>目标人群器械的性能特征评估相关的不良信息。</w:t>
      </w:r>
    </w:p>
    <w:p w14:paraId="59CA5E89">
      <w:pPr>
        <w:topLinePunct/>
        <w:spacing w:before="187"/>
        <w:rPr>
          <w:rFonts w:cs="Arial"/>
          <w:snapToGrid w:val="0"/>
          <w:kern w:val="0"/>
        </w:rPr>
      </w:pPr>
      <w:r>
        <w:rPr>
          <w:rFonts w:cs="Arial"/>
          <w:snapToGrid w:val="0"/>
          <w:kern w:val="0"/>
        </w:rPr>
        <w:t>通过FDA批准后，向公众公布安全性和有效性文件总结（SS&amp;E）。这是一项强制性要求，并且应单独提交。SS&amp;E不应包含申办方认为</w:t>
      </w:r>
      <w:r>
        <w:rPr>
          <w:rFonts w:hint="eastAsia" w:cs="Arial"/>
          <w:snapToGrid w:val="0"/>
          <w:kern w:val="0"/>
        </w:rPr>
        <w:t>的</w:t>
      </w:r>
      <w:r>
        <w:rPr>
          <w:rFonts w:cs="Arial"/>
          <w:snapToGrid w:val="0"/>
          <w:kern w:val="0"/>
        </w:rPr>
        <w:t>机密信息或所有权信息</w:t>
      </w:r>
      <w:r>
        <w:rPr>
          <w:rFonts w:hint="eastAsia" w:cs="Arial"/>
          <w:snapToGrid w:val="0"/>
          <w:kern w:val="0"/>
        </w:rPr>
        <w:t>等</w:t>
      </w:r>
      <w:r>
        <w:rPr>
          <w:rFonts w:cs="Arial"/>
          <w:snapToGrid w:val="0"/>
          <w:kern w:val="0"/>
        </w:rPr>
        <w:t>特定信息。联邦注册声明应声明要求人员支持FDA决策（器械</w:t>
      </w:r>
      <w:r>
        <w:rPr>
          <w:rFonts w:hint="eastAsia" w:cs="Arial"/>
          <w:snapToGrid w:val="0"/>
          <w:kern w:val="0"/>
        </w:rPr>
        <w:t>所述</w:t>
      </w:r>
      <w:r>
        <w:rPr>
          <w:rFonts w:cs="Arial"/>
          <w:snapToGrid w:val="0"/>
          <w:kern w:val="0"/>
        </w:rPr>
        <w:t>预期用途</w:t>
      </w:r>
      <w:r>
        <w:rPr>
          <w:rFonts w:hint="eastAsia" w:cs="Arial"/>
          <w:snapToGrid w:val="0"/>
          <w:kern w:val="0"/>
        </w:rPr>
        <w:t>具有</w:t>
      </w:r>
      <w:r>
        <w:rPr>
          <w:rFonts w:cs="Arial"/>
          <w:snapToGrid w:val="0"/>
          <w:kern w:val="0"/>
        </w:rPr>
        <w:t>安全性和有效性）的SS&amp;E信息的可用性。</w:t>
      </w:r>
    </w:p>
    <w:p w14:paraId="6F4EC889">
      <w:pPr>
        <w:topLinePunct/>
        <w:spacing w:before="187"/>
        <w:rPr>
          <w:rFonts w:cs="Arial"/>
          <w:snapToGrid w:val="0"/>
          <w:kern w:val="0"/>
        </w:rPr>
      </w:pPr>
      <w:r>
        <w:rPr>
          <w:rFonts w:cs="Arial"/>
          <w:snapToGrid w:val="0"/>
          <w:kern w:val="0"/>
        </w:rPr>
        <w:t>在下述各部分中确立PMAs的一般内容要求：515（c）（1）（A) - (G），513 (a)（3），21 CFR 814.20和21CFR 860.7。为解决法案21 CFR 814.20中的基本内容要求，可从小制造商辅助部（800-638-2041）获得PMA手册和PMA补充文件副本。我们相信这些手册以</w:t>
      </w:r>
      <w:bookmarkStart w:id="6" w:name="OLE_LINK53"/>
      <w:bookmarkStart w:id="7" w:name="OLE_LINK52"/>
      <w:r>
        <w:rPr>
          <w:rFonts w:cs="Arial"/>
          <w:snapToGrid w:val="0"/>
          <w:kern w:val="0"/>
        </w:rPr>
        <w:t>及本指</w:t>
      </w:r>
      <w:bookmarkEnd w:id="6"/>
      <w:bookmarkEnd w:id="7"/>
      <w:r>
        <w:rPr>
          <w:rFonts w:cs="Arial"/>
          <w:snapToGrid w:val="0"/>
          <w:kern w:val="0"/>
        </w:rPr>
        <w:t>南文件将能够使申办方提交完整和结构清晰的提交资料。</w:t>
      </w:r>
    </w:p>
    <w:p w14:paraId="0B5DFF7F">
      <w:pPr>
        <w:topLinePunct/>
        <w:spacing w:before="187"/>
        <w:rPr>
          <w:rFonts w:cs="Arial"/>
          <w:snapToGrid w:val="0"/>
          <w:kern w:val="0"/>
        </w:rPr>
      </w:pPr>
      <w:r>
        <w:rPr>
          <w:rFonts w:cs="Arial"/>
          <w:snapToGrid w:val="0"/>
          <w:kern w:val="0"/>
        </w:rPr>
        <w:br w:type="page"/>
      </w:r>
    </w:p>
    <w:p w14:paraId="4CD4D7EE">
      <w:pPr>
        <w:topLinePunct/>
        <w:spacing w:before="187"/>
        <w:rPr>
          <w:rFonts w:cs="Arial"/>
          <w:snapToGrid w:val="0"/>
          <w:kern w:val="0"/>
          <w:u w:val="single"/>
        </w:rPr>
      </w:pPr>
      <w:r>
        <w:rPr>
          <w:rFonts w:cs="Arial"/>
          <w:snapToGrid w:val="0"/>
          <w:kern w:val="0"/>
          <w:u w:val="single"/>
        </w:rPr>
        <w:t>定义</w:t>
      </w:r>
      <w:bookmarkEnd w:id="0"/>
      <w:bookmarkEnd w:id="1"/>
      <w:r>
        <w:rPr>
          <w:rFonts w:hint="eastAsia" w:cs="Arial"/>
          <w:snapToGrid w:val="0"/>
          <w:kern w:val="0"/>
          <w:u w:val="single"/>
        </w:rPr>
        <w:t>：</w:t>
      </w:r>
    </w:p>
    <w:p w14:paraId="15A5A694">
      <w:pPr>
        <w:topLinePunct/>
        <w:spacing w:before="187"/>
        <w:rPr>
          <w:rFonts w:cs="Arial"/>
          <w:snapToGrid w:val="0"/>
          <w:kern w:val="0"/>
        </w:rPr>
      </w:pPr>
      <w:r>
        <w:rPr>
          <w:rFonts w:cs="Arial"/>
          <w:snapToGrid w:val="0"/>
          <w:kern w:val="0"/>
        </w:rPr>
        <w:t>这种通用型器械适用于临床实验室，</w:t>
      </w:r>
      <w:r>
        <w:rPr>
          <w:rFonts w:hint="eastAsia" w:cs="Arial"/>
          <w:snapToGrid w:val="0"/>
          <w:kern w:val="0"/>
        </w:rPr>
        <w:t>就</w:t>
      </w:r>
      <w:r>
        <w:rPr>
          <w:rFonts w:cs="Arial"/>
          <w:snapToGrid w:val="0"/>
          <w:kern w:val="0"/>
        </w:rPr>
        <w:t>医生处方辅助检测胎儿开放性神经管缺陷（ONTD），利用各种免疫检测方法，如放射性免疫测定、酶免疫测定和荧光免疫测定，通过对AFP进行定量体外诊断，确定AFP在</w:t>
      </w:r>
      <w:r>
        <w:rPr>
          <w:rFonts w:hint="eastAsia" w:cs="Arial"/>
          <w:snapToGrid w:val="0"/>
          <w:kern w:val="0"/>
        </w:rPr>
        <w:t>孕妇</w:t>
      </w:r>
      <w:r>
        <w:rPr>
          <w:rFonts w:cs="Arial"/>
          <w:snapToGrid w:val="0"/>
          <w:kern w:val="0"/>
        </w:rPr>
        <w:t>血清和羊水样品中的水平。</w:t>
      </w:r>
      <w:r>
        <w:rPr>
          <w:rFonts w:cs="Arial"/>
          <w:snapToGrid w:val="0"/>
          <w:kern w:val="0"/>
          <w:vertAlign w:val="superscript"/>
        </w:rPr>
        <w:t>36</w:t>
      </w:r>
    </w:p>
    <w:p w14:paraId="54B3490F">
      <w:pPr>
        <w:topLinePunct/>
        <w:spacing w:before="187"/>
        <w:rPr>
          <w:rFonts w:cs="Arial"/>
          <w:snapToGrid w:val="0"/>
          <w:kern w:val="0"/>
        </w:rPr>
      </w:pPr>
      <w:r>
        <w:rPr>
          <w:rFonts w:cs="Arial"/>
          <w:snapToGrid w:val="0"/>
          <w:kern w:val="0"/>
          <w:u w:val="single"/>
        </w:rPr>
        <w:t>产品代码：</w:t>
      </w:r>
      <w:r>
        <w:rPr>
          <w:rFonts w:cs="Arial"/>
          <w:snapToGrid w:val="0"/>
          <w:kern w:val="0"/>
        </w:rPr>
        <w:t>S2-LOK</w:t>
      </w:r>
    </w:p>
    <w:p w14:paraId="442E9F2F">
      <w:pPr>
        <w:topLinePunct/>
        <w:spacing w:before="187"/>
        <w:rPr>
          <w:rFonts w:cs="Arial"/>
          <w:snapToGrid w:val="0"/>
          <w:kern w:val="0"/>
        </w:rPr>
      </w:pPr>
      <w:r>
        <w:rPr>
          <w:rFonts w:hint="eastAsia" w:cs="Arial"/>
          <w:snapToGrid w:val="0"/>
          <w:kern w:val="0"/>
          <w:u w:val="single"/>
        </w:rPr>
        <w:t>小组</w:t>
      </w:r>
      <w:r>
        <w:rPr>
          <w:rFonts w:cs="Arial"/>
          <w:snapToGrid w:val="0"/>
          <w:kern w:val="0"/>
          <w:u w:val="single"/>
        </w:rPr>
        <w:t>：</w:t>
      </w:r>
      <w:r>
        <w:rPr>
          <w:rFonts w:cs="Arial"/>
          <w:snapToGrid w:val="0"/>
          <w:kern w:val="0"/>
        </w:rPr>
        <w:t>免疫学器械组</w:t>
      </w:r>
    </w:p>
    <w:p w14:paraId="5830B3C1">
      <w:pPr>
        <w:topLinePunct/>
        <w:spacing w:before="187"/>
        <w:rPr>
          <w:rFonts w:cs="Arial"/>
          <w:snapToGrid w:val="0"/>
          <w:kern w:val="0"/>
        </w:rPr>
      </w:pPr>
      <w:r>
        <w:rPr>
          <w:rFonts w:hint="eastAsia" w:cs="Arial"/>
          <w:snapToGrid w:val="0"/>
          <w:kern w:val="0"/>
          <w:u w:val="single"/>
        </w:rPr>
        <w:t>所需</w:t>
      </w:r>
      <w:r>
        <w:rPr>
          <w:rFonts w:cs="Arial"/>
          <w:snapToGrid w:val="0"/>
          <w:kern w:val="0"/>
          <w:u w:val="single"/>
        </w:rPr>
        <w:t>审查：</w:t>
      </w:r>
      <w:r>
        <w:rPr>
          <w:rFonts w:cs="Arial"/>
          <w:snapToGrid w:val="0"/>
          <w:kern w:val="0"/>
        </w:rPr>
        <w:t>PMA</w:t>
      </w:r>
    </w:p>
    <w:p w14:paraId="520B739B">
      <w:pPr>
        <w:tabs>
          <w:tab w:val="left" w:pos="480"/>
        </w:tabs>
        <w:topLinePunct/>
        <w:spacing w:before="187"/>
        <w:rPr>
          <w:rFonts w:cs="Arial"/>
          <w:b/>
          <w:snapToGrid w:val="0"/>
          <w:kern w:val="0"/>
          <w:u w:val="single"/>
        </w:rPr>
      </w:pPr>
      <w:r>
        <w:rPr>
          <w:rFonts w:cs="Arial"/>
          <w:b/>
          <w:snapToGrid w:val="0"/>
          <w:kern w:val="0"/>
          <w:u w:val="single"/>
        </w:rPr>
        <w:t>I.</w:t>
      </w:r>
      <w:r>
        <w:rPr>
          <w:rFonts w:hint="eastAsia" w:cs="Arial"/>
          <w:b/>
          <w:snapToGrid w:val="0"/>
          <w:kern w:val="0"/>
          <w:u w:val="single"/>
        </w:rPr>
        <w:tab/>
      </w:r>
      <w:r>
        <w:rPr>
          <w:rFonts w:cs="Arial"/>
          <w:b/>
          <w:snapToGrid w:val="0"/>
          <w:kern w:val="0"/>
          <w:u w:val="single"/>
        </w:rPr>
        <w:t>背景：</w:t>
      </w:r>
    </w:p>
    <w:p w14:paraId="1CDA2B4F">
      <w:pPr>
        <w:topLinePunct/>
        <w:spacing w:before="187"/>
        <w:rPr>
          <w:rFonts w:cs="Arial"/>
          <w:snapToGrid w:val="0"/>
          <w:kern w:val="0"/>
        </w:rPr>
      </w:pPr>
      <w:r>
        <w:rPr>
          <w:rFonts w:cs="Arial"/>
          <w:snapToGrid w:val="0"/>
          <w:kern w:val="0"/>
        </w:rPr>
        <w:t>目前尚无适用于检测ONTD的AFP器械法规；但是，FDA有权根据21 CFR中第515（c）（1）（A) - (G）部分、法案中的第513 (a)（3）部分，也根据21 CFR 814.20和21 CFR 860.7来管理这些器械。</w:t>
      </w:r>
    </w:p>
    <w:p w14:paraId="6B97C450">
      <w:pPr>
        <w:topLinePunct/>
        <w:spacing w:before="187"/>
        <w:rPr>
          <w:rFonts w:cs="Arial"/>
          <w:snapToGrid w:val="0"/>
          <w:kern w:val="0"/>
        </w:rPr>
      </w:pPr>
      <w:r>
        <w:rPr>
          <w:rFonts w:cs="Arial"/>
          <w:snapToGrid w:val="0"/>
          <w:kern w:val="0"/>
        </w:rPr>
        <w:t>AFP试剂盒是由利用免疫化学技术定量测定AFP在母体血清、血浆和羊水中浓度的试剂组成的器械。测定母体样品中AFP可辅助检测胎儿ONTD。</w:t>
      </w:r>
    </w:p>
    <w:p w14:paraId="411CEEDB">
      <w:pPr>
        <w:topLinePunct/>
        <w:spacing w:before="187"/>
        <w:rPr>
          <w:rFonts w:cs="Arial"/>
          <w:snapToGrid w:val="0"/>
          <w:kern w:val="0"/>
        </w:rPr>
      </w:pPr>
      <w:r>
        <w:rPr>
          <w:rFonts w:cs="Arial"/>
          <w:snapToGrid w:val="0"/>
          <w:kern w:val="0"/>
        </w:rPr>
        <w:t>水平增加或降低的意义以及医学和社会问题：</w:t>
      </w:r>
    </w:p>
    <w:p w14:paraId="0D88B2C8">
      <w:pPr>
        <w:topLinePunct/>
        <w:spacing w:before="187"/>
        <w:rPr>
          <w:rFonts w:cs="Arial"/>
          <w:snapToGrid w:val="0"/>
          <w:kern w:val="0"/>
        </w:rPr>
      </w:pPr>
      <w:r>
        <w:rPr>
          <w:rFonts w:cs="Arial"/>
          <w:snapToGrid w:val="0"/>
          <w:kern w:val="0"/>
        </w:rPr>
        <w:t>1980年7月，关于产妇血清中α-胎甲球蛋白（MSAFP）的全国性会议在华盛顿召开13, 14，讨论用MSAFP来检测产前ONTD相关的科学、医学、伦理、法律和经济问题。全部孕妇</w:t>
      </w:r>
      <w:r>
        <w:rPr>
          <w:rFonts w:hint="eastAsia" w:cs="Arial"/>
          <w:snapToGrid w:val="0"/>
          <w:kern w:val="0"/>
        </w:rPr>
        <w:t>可利用</w:t>
      </w:r>
      <w:r>
        <w:rPr>
          <w:rFonts w:cs="Arial"/>
          <w:snapToGrid w:val="0"/>
          <w:kern w:val="0"/>
        </w:rPr>
        <w:t>此项血液检测</w:t>
      </w:r>
      <w:r>
        <w:rPr>
          <w:rFonts w:hint="eastAsia" w:cs="Arial"/>
          <w:snapToGrid w:val="0"/>
          <w:kern w:val="0"/>
        </w:rPr>
        <w:t>来</w:t>
      </w:r>
      <w:r>
        <w:rPr>
          <w:rFonts w:cs="Arial"/>
          <w:snapToGrid w:val="0"/>
          <w:kern w:val="0"/>
        </w:rPr>
        <w:t>测定胎儿ONTD</w:t>
      </w:r>
      <w:r>
        <w:rPr>
          <w:rFonts w:hint="eastAsia" w:cs="Arial"/>
          <w:snapToGrid w:val="0"/>
          <w:kern w:val="0"/>
        </w:rPr>
        <w:t>。孕妇</w:t>
      </w:r>
      <w:r>
        <w:rPr>
          <w:rFonts w:cs="Arial"/>
          <w:snapToGrid w:val="0"/>
          <w:kern w:val="0"/>
        </w:rPr>
        <w:t>向医生进行遗传咨询并获得明确知情同意</w:t>
      </w:r>
      <w:r>
        <w:rPr>
          <w:rFonts w:hint="eastAsia" w:cs="Arial"/>
          <w:snapToGrid w:val="0"/>
          <w:kern w:val="0"/>
        </w:rPr>
        <w:t>后，可</w:t>
      </w:r>
      <w:r>
        <w:rPr>
          <w:rFonts w:cs="Arial"/>
          <w:snapToGrid w:val="0"/>
          <w:kern w:val="0"/>
        </w:rPr>
        <w:t>进行超声诊断和羊水AFP检测。尽管一些出现开放性脊柱裂的患者能够进行生育并过上幸福生活，但是，这种疾病是一种最常见的严重先天性畸形：在美国，每年有超过2000名胎儿出现这种症状（另外2000名胎儿患有先天无脑畸形）。全部ONTD病例中，孕妇生育不受影响的情况超过95%。全部患有先天无脑畸形的胎儿会在出生后</w:t>
      </w:r>
      <w:r>
        <w:rPr>
          <w:rFonts w:hint="eastAsia" w:cs="Arial"/>
          <w:snapToGrid w:val="0"/>
          <w:kern w:val="0"/>
        </w:rPr>
        <w:t>立即</w:t>
      </w:r>
      <w:r>
        <w:rPr>
          <w:rFonts w:cs="Arial"/>
          <w:snapToGrid w:val="0"/>
          <w:kern w:val="0"/>
        </w:rPr>
        <w:t>死亡或在出</w:t>
      </w:r>
      <w:bookmarkStart w:id="8" w:name="OLE_LINK56"/>
      <w:bookmarkStart w:id="9" w:name="OLE_LINK57"/>
      <w:r>
        <w:rPr>
          <w:rFonts w:cs="Arial"/>
          <w:snapToGrid w:val="0"/>
          <w:kern w:val="0"/>
        </w:rPr>
        <w:t>生后不久死亡</w:t>
      </w:r>
      <w:bookmarkEnd w:id="8"/>
      <w:bookmarkEnd w:id="9"/>
      <w:r>
        <w:rPr>
          <w:rFonts w:cs="Arial"/>
          <w:snapToGrid w:val="0"/>
          <w:kern w:val="0"/>
        </w:rPr>
        <w:t>。1400</w:t>
      </w:r>
      <w:r>
        <w:rPr>
          <w:rFonts w:hint="eastAsia" w:cs="Arial"/>
          <w:snapToGrid w:val="0"/>
          <w:kern w:val="0"/>
        </w:rPr>
        <w:t>例</w:t>
      </w:r>
      <w:r>
        <w:rPr>
          <w:rFonts w:cs="Arial"/>
          <w:snapToGrid w:val="0"/>
          <w:kern w:val="0"/>
        </w:rPr>
        <w:t>患有开放性脊柱裂的新生儿的预期寿命至少为5年。大多数胎儿存在明显的身体和精神障碍。开放性脊柱裂</w:t>
      </w:r>
      <w:r>
        <w:rPr>
          <w:rFonts w:hint="eastAsia" w:cs="Arial"/>
          <w:snapToGrid w:val="0"/>
          <w:kern w:val="0"/>
        </w:rPr>
        <w:t>的</w:t>
      </w:r>
      <w:r>
        <w:rPr>
          <w:rFonts w:cs="Arial"/>
          <w:snapToGrid w:val="0"/>
          <w:kern w:val="0"/>
        </w:rPr>
        <w:t>产前鉴别能够使家庭选择终止妊娠或继续妊娠。如果选择继续妊娠，家庭和医生可以为受影响胎儿出生做</w:t>
      </w:r>
      <w:r>
        <w:rPr>
          <w:rFonts w:hint="eastAsia" w:cs="Arial"/>
          <w:snapToGrid w:val="0"/>
          <w:kern w:val="0"/>
        </w:rPr>
        <w:t>足</w:t>
      </w:r>
      <w:r>
        <w:rPr>
          <w:rFonts w:cs="Arial"/>
          <w:snapToGrid w:val="0"/>
          <w:kern w:val="0"/>
        </w:rPr>
        <w:t>准备。这种预先通知能够使孕妇在能够提供外科手术、医学和其他所需护理的医疗中心进行生产，以最小化胎儿</w:t>
      </w:r>
      <w:r>
        <w:rPr>
          <w:rFonts w:hint="eastAsia" w:cs="Arial"/>
          <w:snapToGrid w:val="0"/>
          <w:kern w:val="0"/>
        </w:rPr>
        <w:t>残疾</w:t>
      </w:r>
      <w:r>
        <w:rPr>
          <w:rFonts w:cs="Arial"/>
          <w:snapToGrid w:val="0"/>
          <w:kern w:val="0"/>
        </w:rPr>
        <w:t>。如果鉴别出先天无脑畸形，几乎所有家庭会选择终止妊娠。此外，MSAFP水平升高可能有助于识别出具有更高围产期并发症风险</w:t>
      </w:r>
      <w:bookmarkStart w:id="10" w:name="OLE_LINK55"/>
      <w:bookmarkStart w:id="11" w:name="OLE_LINK54"/>
      <w:r>
        <w:rPr>
          <w:rFonts w:cs="Arial"/>
          <w:snapToGrid w:val="0"/>
          <w:kern w:val="0"/>
        </w:rPr>
        <w:t>的妊娠</w:t>
      </w:r>
      <w:r>
        <w:rPr>
          <w:rFonts w:cs="Arial"/>
          <w:snapToGrid w:val="0"/>
          <w:kern w:val="0"/>
          <w:vertAlign w:val="superscript"/>
        </w:rPr>
        <w:t>15-17</w:t>
      </w:r>
      <w:r>
        <w:rPr>
          <w:rFonts w:cs="Arial"/>
          <w:snapToGrid w:val="0"/>
          <w:kern w:val="0"/>
        </w:rPr>
        <w:t>，以</w:t>
      </w:r>
      <w:bookmarkEnd w:id="10"/>
      <w:bookmarkEnd w:id="11"/>
      <w:r>
        <w:rPr>
          <w:rFonts w:cs="Arial"/>
          <w:snapToGrid w:val="0"/>
          <w:kern w:val="0"/>
        </w:rPr>
        <w:t>及接近50%的双胞胎或更多胎妊娠的概率。</w:t>
      </w:r>
      <w:r>
        <w:rPr>
          <w:rFonts w:cs="Arial"/>
          <w:snapToGrid w:val="0"/>
          <w:kern w:val="0"/>
          <w:vertAlign w:val="superscript"/>
        </w:rPr>
        <w:t>18, 19, 72</w:t>
      </w:r>
    </w:p>
    <w:p w14:paraId="7FCCA228">
      <w:pPr>
        <w:topLinePunct/>
        <w:spacing w:before="187"/>
        <w:rPr>
          <w:rFonts w:cs="Arial"/>
          <w:snapToGrid w:val="0"/>
          <w:kern w:val="0"/>
        </w:rPr>
      </w:pPr>
      <w:r>
        <w:rPr>
          <w:rFonts w:cs="Arial"/>
          <w:snapToGrid w:val="0"/>
          <w:kern w:val="0"/>
        </w:rPr>
        <w:br w:type="page"/>
      </w:r>
    </w:p>
    <w:p w14:paraId="25D08605">
      <w:pPr>
        <w:pStyle w:val="11"/>
        <w:numPr>
          <w:ilvl w:val="0"/>
          <w:numId w:val="1"/>
        </w:numPr>
        <w:topLinePunct/>
        <w:spacing w:before="187"/>
        <w:ind w:left="480" w:hanging="480" w:hangingChars="200"/>
        <w:rPr>
          <w:rFonts w:cs="Arial"/>
          <w:snapToGrid w:val="0"/>
          <w:kern w:val="0"/>
        </w:rPr>
      </w:pPr>
      <w:r>
        <w:rPr>
          <w:rFonts w:cs="Arial"/>
          <w:snapToGrid w:val="0"/>
          <w:kern w:val="0"/>
        </w:rPr>
        <w:t>介绍：</w:t>
      </w:r>
    </w:p>
    <w:p w14:paraId="0B1B6389">
      <w:pPr>
        <w:pStyle w:val="11"/>
        <w:numPr>
          <w:ilvl w:val="1"/>
          <w:numId w:val="2"/>
        </w:numPr>
        <w:topLinePunct/>
        <w:spacing w:before="187"/>
        <w:ind w:left="480" w:hanging="480" w:hangingChars="200"/>
        <w:rPr>
          <w:rFonts w:cs="Arial"/>
          <w:snapToGrid w:val="0"/>
          <w:kern w:val="0"/>
        </w:rPr>
      </w:pPr>
      <w:r>
        <w:rPr>
          <w:rFonts w:cs="Arial"/>
          <w:snapToGrid w:val="0"/>
          <w:kern w:val="0"/>
        </w:rPr>
        <w:t>预期用途的临床适应症和临床意义：</w:t>
      </w:r>
    </w:p>
    <w:p w14:paraId="043ABBEF">
      <w:pPr>
        <w:topLinePunct/>
        <w:spacing w:before="187"/>
        <w:rPr>
          <w:rFonts w:cs="Arial"/>
          <w:snapToGrid w:val="0"/>
          <w:kern w:val="0"/>
        </w:rPr>
      </w:pPr>
      <w:r>
        <w:rPr>
          <w:rFonts w:cs="Arial"/>
          <w:snapToGrid w:val="0"/>
          <w:kern w:val="0"/>
        </w:rPr>
        <w:t>两种主要类型的胎儿ONTD分别是先天无脑畸形和开放式脊柱裂。1972年，Brock和Sutcliffe1 1（证明在ONTD情况下，羊水AFP水平增加）在报告中首次建议在针对ONTD的产前诊断中检测AFP的数值。在确认这一发现后，</w:t>
      </w:r>
      <w:r>
        <w:rPr>
          <w:rFonts w:hint="eastAsia" w:cs="Arial"/>
          <w:snapToGrid w:val="0"/>
          <w:kern w:val="0"/>
        </w:rPr>
        <w:t>羊水</w:t>
      </w:r>
      <w:r>
        <w:rPr>
          <w:rFonts w:cs="Arial"/>
          <w:snapToGrid w:val="0"/>
          <w:kern w:val="0"/>
        </w:rPr>
        <w:t>AFP水平检测迅速成为第二种每三个月进行一次的</w:t>
      </w:r>
      <w:r>
        <w:rPr>
          <w:rFonts w:hint="eastAsia" w:cs="Arial"/>
          <w:snapToGrid w:val="0"/>
          <w:kern w:val="0"/>
        </w:rPr>
        <w:t>部分</w:t>
      </w:r>
      <w:r>
        <w:rPr>
          <w:rFonts w:cs="Arial"/>
          <w:snapToGrid w:val="0"/>
          <w:kern w:val="0"/>
        </w:rPr>
        <w:t>孕妇产前护理</w:t>
      </w:r>
      <w:r>
        <w:rPr>
          <w:rFonts w:hint="eastAsia" w:cs="Arial"/>
          <w:snapToGrid w:val="0"/>
          <w:kern w:val="0"/>
        </w:rPr>
        <w:t>项目</w:t>
      </w:r>
      <w:r>
        <w:rPr>
          <w:rFonts w:cs="Arial"/>
          <w:snapToGrid w:val="0"/>
          <w:kern w:val="0"/>
        </w:rPr>
        <w:t>。当时已生出患有神经管缺陷儿童的妇女</w:t>
      </w:r>
      <w:r>
        <w:rPr>
          <w:rFonts w:hint="eastAsia" w:cs="Arial"/>
          <w:snapToGrid w:val="0"/>
          <w:kern w:val="0"/>
        </w:rPr>
        <w:t>保留</w:t>
      </w:r>
      <w:r>
        <w:rPr>
          <w:rFonts w:cs="Arial"/>
          <w:snapToGrid w:val="0"/>
          <w:kern w:val="0"/>
        </w:rPr>
        <w:t>这一检测，</w:t>
      </w:r>
      <w:r>
        <w:rPr>
          <w:rFonts w:hint="eastAsia" w:cs="Arial"/>
          <w:snapToGrid w:val="0"/>
          <w:kern w:val="0"/>
        </w:rPr>
        <w:t>因为</w:t>
      </w:r>
      <w:r>
        <w:rPr>
          <w:rFonts w:cs="Arial"/>
          <w:snapToGrid w:val="0"/>
          <w:kern w:val="0"/>
        </w:rPr>
        <w:t>这些女性再次妊娠时风险会增加。不久后，开始为最初</w:t>
      </w:r>
      <w:r>
        <w:rPr>
          <w:rFonts w:hint="eastAsia" w:cs="Arial"/>
          <w:snapToGrid w:val="0"/>
          <w:kern w:val="0"/>
        </w:rPr>
        <w:t>进行</w:t>
      </w:r>
      <w:r>
        <w:rPr>
          <w:rFonts w:cs="Arial"/>
          <w:snapToGrid w:val="0"/>
          <w:kern w:val="0"/>
        </w:rPr>
        <w:t>其它诊断处理的羊水样品进行AFP分析（例如，用于染色体分析的细胞培养物）</w:t>
      </w:r>
      <w:r>
        <w:rPr>
          <w:rFonts w:cs="Arial"/>
          <w:snapToGrid w:val="0"/>
          <w:kern w:val="0"/>
          <w:vertAlign w:val="superscript"/>
        </w:rPr>
        <w:t>6, 7</w:t>
      </w:r>
      <w:r>
        <w:rPr>
          <w:rFonts w:cs="Arial"/>
          <w:snapToGrid w:val="0"/>
          <w:kern w:val="0"/>
        </w:rPr>
        <w:t>。尽管</w:t>
      </w:r>
      <w:r>
        <w:rPr>
          <w:rFonts w:hint="eastAsia" w:cs="Arial"/>
          <w:snapToGrid w:val="0"/>
          <w:kern w:val="0"/>
        </w:rPr>
        <w:t>在临床上已证明</w:t>
      </w:r>
      <w:r>
        <w:rPr>
          <w:rFonts w:cs="Arial"/>
          <w:snapToGrid w:val="0"/>
          <w:kern w:val="0"/>
        </w:rPr>
        <w:t>利用羊水AFP检测来预测是否进行遗传咨询是有帮助的，</w:t>
      </w:r>
      <w:r>
        <w:rPr>
          <w:rFonts w:hint="eastAsia" w:cs="Arial"/>
          <w:snapToGrid w:val="0"/>
          <w:kern w:val="0"/>
        </w:rPr>
        <w:t>但是</w:t>
      </w:r>
      <w:r>
        <w:rPr>
          <w:rFonts w:cs="Arial"/>
          <w:snapToGrid w:val="0"/>
          <w:kern w:val="0"/>
        </w:rPr>
        <w:t>可能需要再次评估偶然出现的假阳性结果，包括在某些情况下重复进行羊膜穿刺。这些假阳性结果的最常见解释是羊水样品</w:t>
      </w:r>
      <w:r>
        <w:rPr>
          <w:rFonts w:hint="eastAsia" w:cs="Arial"/>
          <w:snapToGrid w:val="0"/>
          <w:kern w:val="0"/>
        </w:rPr>
        <w:t>发生</w:t>
      </w:r>
      <w:r>
        <w:rPr>
          <w:rFonts w:cs="Arial"/>
          <w:snapToGrid w:val="0"/>
          <w:kern w:val="0"/>
        </w:rPr>
        <w:t>胎血污染。发现</w:t>
      </w:r>
      <w:r>
        <w:rPr>
          <w:rFonts w:hint="eastAsia" w:cs="Arial"/>
          <w:snapToGrid w:val="0"/>
          <w:kern w:val="0"/>
        </w:rPr>
        <w:t>的</w:t>
      </w:r>
      <w:r>
        <w:rPr>
          <w:rFonts w:cs="Arial"/>
          <w:snapToGrid w:val="0"/>
          <w:kern w:val="0"/>
        </w:rPr>
        <w:t>其它胎儿病灶（例如，开放腹侧壁缺损和芬兰型先天性肾病）</w:t>
      </w:r>
      <w:r>
        <w:rPr>
          <w:rFonts w:hint="eastAsia" w:cs="Arial"/>
          <w:snapToGrid w:val="0"/>
          <w:kern w:val="0"/>
        </w:rPr>
        <w:t>也</w:t>
      </w:r>
      <w:r>
        <w:rPr>
          <w:rFonts w:cs="Arial"/>
          <w:snapToGrid w:val="0"/>
          <w:kern w:val="0"/>
        </w:rPr>
        <w:t>与羊水AFP浓度升高相关，羊水AFP浓度升高</w:t>
      </w:r>
      <w:r>
        <w:rPr>
          <w:rFonts w:hint="eastAsia" w:cs="Arial"/>
          <w:snapToGrid w:val="0"/>
          <w:kern w:val="0"/>
        </w:rPr>
        <w:t>降低</w:t>
      </w:r>
      <w:r>
        <w:rPr>
          <w:rFonts w:cs="Arial"/>
          <w:snapToGrid w:val="0"/>
          <w:kern w:val="0"/>
        </w:rPr>
        <w:t>了检验诊断的专一性，但是增加了可识别胎儿问题的范围。</w:t>
      </w:r>
      <w:r>
        <w:rPr>
          <w:rFonts w:cs="Arial"/>
          <w:snapToGrid w:val="0"/>
          <w:kern w:val="0"/>
          <w:vertAlign w:val="superscript"/>
        </w:rPr>
        <w:t xml:space="preserve">6 </w:t>
      </w:r>
      <w:r>
        <w:rPr>
          <w:rFonts w:cs="Arial"/>
          <w:snapToGrid w:val="0"/>
          <w:kern w:val="0"/>
        </w:rPr>
        <w:t>及时采集（孕周）和处理</w:t>
      </w:r>
      <w:r>
        <w:rPr>
          <w:rFonts w:hint="eastAsia" w:cs="Arial"/>
          <w:snapToGrid w:val="0"/>
          <w:kern w:val="0"/>
        </w:rPr>
        <w:t>样本以及方法论</w:t>
      </w:r>
      <w:r>
        <w:rPr>
          <w:rFonts w:cs="Arial"/>
          <w:snapToGrid w:val="0"/>
          <w:kern w:val="0"/>
        </w:rPr>
        <w:t>的要求是</w:t>
      </w:r>
      <w:r>
        <w:rPr>
          <w:rFonts w:hint="eastAsia" w:cs="Arial"/>
          <w:snapToGrid w:val="0"/>
          <w:kern w:val="0"/>
        </w:rPr>
        <w:t>，</w:t>
      </w:r>
      <w:r>
        <w:rPr>
          <w:rFonts w:cs="Arial"/>
          <w:snapToGrid w:val="0"/>
          <w:kern w:val="0"/>
        </w:rPr>
        <w:t>目前在美国能够实现的产前诊断便于预约孕妇的超声波检查和后续的羊水AFP检测。</w:t>
      </w:r>
      <w:r>
        <w:rPr>
          <w:rFonts w:cs="Arial"/>
          <w:snapToGrid w:val="0"/>
          <w:kern w:val="0"/>
          <w:vertAlign w:val="superscript"/>
        </w:rPr>
        <w:t>37</w:t>
      </w:r>
    </w:p>
    <w:p w14:paraId="2024675E">
      <w:pPr>
        <w:topLinePunct/>
        <w:spacing w:before="187"/>
        <w:rPr>
          <w:rFonts w:cs="Arial"/>
          <w:snapToGrid w:val="0"/>
          <w:kern w:val="0"/>
        </w:rPr>
      </w:pPr>
      <w:r>
        <w:rPr>
          <w:rFonts w:cs="Arial"/>
          <w:snapToGrid w:val="0"/>
          <w:kern w:val="0"/>
        </w:rPr>
        <w:br w:type="page"/>
      </w:r>
    </w:p>
    <w:p w14:paraId="7FCB16CA">
      <w:pPr>
        <w:pStyle w:val="11"/>
        <w:numPr>
          <w:ilvl w:val="1"/>
          <w:numId w:val="2"/>
        </w:numPr>
        <w:topLinePunct/>
        <w:spacing w:before="187"/>
        <w:ind w:left="480" w:hanging="480" w:hangingChars="200"/>
        <w:rPr>
          <w:rFonts w:cs="Arial"/>
          <w:snapToGrid w:val="0"/>
          <w:kern w:val="0"/>
        </w:rPr>
      </w:pPr>
      <w:r>
        <w:rPr>
          <w:rFonts w:cs="Arial"/>
          <w:snapToGrid w:val="0"/>
          <w:kern w:val="0"/>
        </w:rPr>
        <w:t>在正常妊娠中的作用：</w:t>
      </w:r>
    </w:p>
    <w:p w14:paraId="418B265C">
      <w:pPr>
        <w:topLinePunct/>
        <w:spacing w:before="187"/>
        <w:rPr>
          <w:rFonts w:cs="Arial"/>
          <w:snapToGrid w:val="0"/>
          <w:kern w:val="0"/>
        </w:rPr>
      </w:pPr>
      <w:r>
        <w:rPr>
          <w:rFonts w:cs="Arial"/>
          <w:snapToGrid w:val="0"/>
          <w:kern w:val="0"/>
        </w:rPr>
        <w:t>目前尚不清楚区分不同人群和地理区域中ONTD流行性的生物学基础；</w:t>
      </w:r>
      <w:r>
        <w:rPr>
          <w:rFonts w:hint="eastAsia" w:cs="Arial"/>
          <w:snapToGrid w:val="0"/>
          <w:kern w:val="0"/>
        </w:rPr>
        <w:t>但是，作为ONTD的PMA申办方，必须向每名临床研究者作出解释，即在正确解释MSAFP的结果时，必须考虑这些因素。</w:t>
      </w:r>
      <w:r>
        <w:rPr>
          <w:rFonts w:cs="Arial"/>
          <w:snapToGrid w:val="0"/>
          <w:kern w:val="0"/>
        </w:rPr>
        <w:t>指导医生和临床试验人员正确解释MSAFP（根据推荐的检测方案</w:t>
      </w:r>
      <w:r>
        <w:rPr>
          <w:rFonts w:cs="Arial"/>
          <w:snapToGrid w:val="0"/>
          <w:kern w:val="0"/>
          <w:vertAlign w:val="superscript"/>
        </w:rPr>
        <w:t>36</w:t>
      </w:r>
      <w:r>
        <w:rPr>
          <w:rFonts w:cs="Arial"/>
          <w:snapToGrid w:val="0"/>
          <w:kern w:val="0"/>
        </w:rPr>
        <w:t>），AFP检测</w:t>
      </w:r>
      <w:r>
        <w:rPr>
          <w:rFonts w:hint="eastAsia" w:cs="Arial"/>
          <w:snapToGrid w:val="0"/>
          <w:kern w:val="0"/>
        </w:rPr>
        <w:t>与</w:t>
      </w:r>
      <w:r>
        <w:rPr>
          <w:rFonts w:cs="Arial"/>
          <w:snapToGrid w:val="0"/>
          <w:kern w:val="0"/>
        </w:rPr>
        <w:t>任何其它旨在改善孕产期保健质量的临床实验室程序并无区别。</w:t>
      </w:r>
    </w:p>
    <w:p w14:paraId="1AD4D75D">
      <w:pPr>
        <w:pStyle w:val="11"/>
        <w:numPr>
          <w:ilvl w:val="1"/>
          <w:numId w:val="2"/>
        </w:numPr>
        <w:topLinePunct/>
        <w:spacing w:before="187"/>
        <w:ind w:left="480" w:hanging="480" w:hangingChars="200"/>
        <w:rPr>
          <w:rFonts w:cs="Arial"/>
          <w:snapToGrid w:val="0"/>
          <w:kern w:val="0"/>
        </w:rPr>
      </w:pPr>
      <w:r>
        <w:rPr>
          <w:rFonts w:cs="Arial"/>
          <w:snapToGrid w:val="0"/>
          <w:kern w:val="0"/>
        </w:rPr>
        <w:t>背景说明：</w:t>
      </w:r>
    </w:p>
    <w:p w14:paraId="0A212B11">
      <w:pPr>
        <w:topLinePunct/>
        <w:spacing w:before="187"/>
        <w:rPr>
          <w:rFonts w:cs="Arial"/>
          <w:snapToGrid w:val="0"/>
          <w:kern w:val="0"/>
        </w:rPr>
      </w:pPr>
      <w:r>
        <w:rPr>
          <w:rFonts w:cs="Arial"/>
          <w:snapToGrid w:val="0"/>
          <w:kern w:val="0"/>
        </w:rPr>
        <w:t>提供疾病的背景概述，包括诸如生物化学、生理学、维生素缺乏症、病理生理学和药理学等基础科学。</w:t>
      </w:r>
    </w:p>
    <w:p w14:paraId="19D6A342">
      <w:pPr>
        <w:pStyle w:val="11"/>
        <w:numPr>
          <w:ilvl w:val="1"/>
          <w:numId w:val="2"/>
        </w:numPr>
        <w:topLinePunct/>
        <w:spacing w:before="187"/>
        <w:ind w:left="480" w:hanging="480" w:hangingChars="200"/>
        <w:rPr>
          <w:rFonts w:cs="Arial"/>
          <w:snapToGrid w:val="0"/>
          <w:kern w:val="0"/>
        </w:rPr>
      </w:pPr>
      <w:r>
        <w:rPr>
          <w:rFonts w:cs="Arial"/>
          <w:snapToGrid w:val="0"/>
          <w:kern w:val="0"/>
        </w:rPr>
        <w:t>疾病的病因学：</w:t>
      </w:r>
    </w:p>
    <w:p w14:paraId="6929FCC9">
      <w:pPr>
        <w:topLinePunct/>
        <w:spacing w:before="187"/>
        <w:rPr>
          <w:rFonts w:cs="Arial"/>
          <w:snapToGrid w:val="0"/>
          <w:kern w:val="0"/>
        </w:rPr>
      </w:pPr>
      <w:r>
        <w:rPr>
          <w:rFonts w:cs="Arial"/>
          <w:snapToGrid w:val="0"/>
          <w:kern w:val="0"/>
        </w:rPr>
        <w:t>描述胎儿ONTD的病因学，例如：</w:t>
      </w:r>
    </w:p>
    <w:p w14:paraId="6B974A24">
      <w:pPr>
        <w:topLinePunct/>
        <w:spacing w:before="187"/>
        <w:rPr>
          <w:rFonts w:cs="Arial"/>
          <w:snapToGrid w:val="0"/>
          <w:kern w:val="0"/>
        </w:rPr>
      </w:pPr>
      <w:r>
        <w:rPr>
          <w:rFonts w:hint="eastAsia" w:cs="Arial"/>
          <w:snapToGrid w:val="0"/>
          <w:kern w:val="0"/>
        </w:rPr>
        <w:t>有</w:t>
      </w:r>
      <w:r>
        <w:rPr>
          <w:rFonts w:cs="Arial"/>
          <w:snapToGrid w:val="0"/>
          <w:kern w:val="0"/>
        </w:rPr>
        <w:t>明显证据表明，围产期补充多种维他命</w:t>
      </w:r>
      <w:r>
        <w:rPr>
          <w:rFonts w:cs="Arial"/>
          <w:snapToGrid w:val="0"/>
          <w:kern w:val="0"/>
          <w:vertAlign w:val="superscript"/>
        </w:rPr>
        <w:t>72</w:t>
      </w:r>
      <w:r>
        <w:rPr>
          <w:rFonts w:hint="eastAsia" w:cs="Arial"/>
          <w:snapToGrid w:val="0"/>
          <w:kern w:val="0"/>
          <w:vertAlign w:val="superscript"/>
        </w:rPr>
        <w:t>，</w:t>
      </w:r>
      <w:r>
        <w:rPr>
          <w:rFonts w:cs="Arial"/>
          <w:snapToGrid w:val="0"/>
          <w:kern w:val="0"/>
          <w:vertAlign w:val="superscript"/>
        </w:rPr>
        <w:t>73</w:t>
      </w:r>
      <w:r>
        <w:rPr>
          <w:rFonts w:cs="Arial"/>
          <w:snapToGrid w:val="0"/>
          <w:kern w:val="0"/>
        </w:rPr>
        <w:t>或仅补充叶酸</w:t>
      </w:r>
      <w:r>
        <w:rPr>
          <w:rFonts w:cs="Arial"/>
          <w:snapToGrid w:val="0"/>
          <w:kern w:val="0"/>
          <w:vertAlign w:val="superscript"/>
        </w:rPr>
        <w:t>74</w:t>
      </w:r>
      <w:r>
        <w:rPr>
          <w:rFonts w:cs="Arial"/>
          <w:snapToGrid w:val="0"/>
          <w:kern w:val="0"/>
        </w:rPr>
        <w:t xml:space="preserve">能够预防神经管缺陷的复发。但是，95%生出患有神经管缺陷胎儿的母亲之前未生出过患有这些缺陷的胎儿。由Czeizel和Dudas </w:t>
      </w:r>
      <w:r>
        <w:rPr>
          <w:rFonts w:cs="Arial"/>
          <w:snapToGrid w:val="0"/>
          <w:kern w:val="0"/>
          <w:vertAlign w:val="superscript"/>
        </w:rPr>
        <w:t>75</w:t>
      </w:r>
      <w:r>
        <w:rPr>
          <w:rFonts w:cs="Arial"/>
          <w:snapToGrid w:val="0"/>
          <w:kern w:val="0"/>
        </w:rPr>
        <w:t>目前提供的报告证明在围产期给予维生素会降低神经管缺陷的首次发生概率。制造商或申办方应利用获得的最新研究</w:t>
      </w:r>
      <w:r>
        <w:rPr>
          <w:rFonts w:hint="eastAsia" w:cs="Arial"/>
          <w:snapToGrid w:val="0"/>
          <w:kern w:val="0"/>
        </w:rPr>
        <w:t>结果</w:t>
      </w:r>
      <w:r>
        <w:rPr>
          <w:rFonts w:cs="Arial"/>
          <w:snapToGrid w:val="0"/>
          <w:kern w:val="0"/>
        </w:rPr>
        <w:t>来更新文献回顾</w:t>
      </w:r>
      <w:r>
        <w:rPr>
          <w:rFonts w:hint="eastAsia" w:cs="Arial"/>
          <w:snapToGrid w:val="0"/>
          <w:kern w:val="0"/>
        </w:rPr>
        <w:t>信息</w:t>
      </w:r>
      <w:r>
        <w:rPr>
          <w:rFonts w:cs="Arial"/>
          <w:snapToGrid w:val="0"/>
          <w:kern w:val="0"/>
        </w:rPr>
        <w:t>。</w:t>
      </w:r>
    </w:p>
    <w:p w14:paraId="123BF202">
      <w:pPr>
        <w:topLinePunct/>
        <w:spacing w:before="187"/>
        <w:rPr>
          <w:rFonts w:cs="Arial"/>
          <w:snapToGrid w:val="0"/>
          <w:kern w:val="0"/>
        </w:rPr>
      </w:pPr>
      <w:r>
        <w:rPr>
          <w:rFonts w:cs="Arial"/>
          <w:snapToGrid w:val="0"/>
          <w:kern w:val="0"/>
        </w:rPr>
        <w:t>历史上，Leek，Ruoss, Kitau，Chard</w:t>
      </w:r>
      <w:r>
        <w:rPr>
          <w:rFonts w:cs="Arial"/>
          <w:snapToGrid w:val="0"/>
          <w:kern w:val="0"/>
          <w:vertAlign w:val="superscript"/>
        </w:rPr>
        <w:t>2</w:t>
      </w:r>
      <w:r>
        <w:rPr>
          <w:rFonts w:cs="Arial"/>
          <w:snapToGrid w:val="0"/>
          <w:kern w:val="0"/>
        </w:rPr>
        <w:t>和Brock，Bolton和Monaghan</w:t>
      </w:r>
      <w:r>
        <w:rPr>
          <w:rFonts w:cs="Arial"/>
          <w:snapToGrid w:val="0"/>
          <w:kern w:val="0"/>
          <w:vertAlign w:val="superscript"/>
        </w:rPr>
        <w:t>3</w:t>
      </w:r>
      <w:r>
        <w:rPr>
          <w:rFonts w:cs="Arial"/>
          <w:snapToGrid w:val="0"/>
          <w:kern w:val="0"/>
        </w:rPr>
        <w:t>独立证明在存在胎儿先天无脑畸形的情况下，产妇血清AFP（MSAFP）水平会升高。1974年，Wald，Brock和Bonnar4以及Brock和Scrimgeour</w:t>
      </w:r>
      <w:r>
        <w:rPr>
          <w:rFonts w:cs="Arial"/>
          <w:snapToGrid w:val="0"/>
          <w:kern w:val="0"/>
          <w:vertAlign w:val="superscript"/>
        </w:rPr>
        <w:t>5</w:t>
      </w:r>
      <w:r>
        <w:rPr>
          <w:rFonts w:cs="Arial"/>
          <w:snapToGrid w:val="0"/>
          <w:kern w:val="0"/>
        </w:rPr>
        <w:t>提供的数据表明，</w:t>
      </w:r>
      <w:r>
        <w:rPr>
          <w:rFonts w:hint="eastAsia" w:cs="Arial"/>
          <w:snapToGrid w:val="0"/>
          <w:kern w:val="0"/>
        </w:rPr>
        <w:t>对于</w:t>
      </w:r>
      <w:r>
        <w:rPr>
          <w:rFonts w:cs="Arial"/>
          <w:snapToGrid w:val="0"/>
          <w:kern w:val="0"/>
        </w:rPr>
        <w:t>患有开放式脊柱裂的胎儿，MSAFP水平同样会升高。几年内，多家中心对检测方案的优势和局限性进行了调查并解决了相关问题</w:t>
      </w:r>
      <w:r>
        <w:rPr>
          <w:rFonts w:hint="eastAsia" w:cs="Arial"/>
          <w:snapToGrid w:val="0"/>
          <w:kern w:val="0"/>
        </w:rPr>
        <w:t>。大家开始发现</w:t>
      </w:r>
      <w:r>
        <w:rPr>
          <w:rFonts w:cs="Arial"/>
          <w:snapToGrid w:val="0"/>
          <w:kern w:val="0"/>
        </w:rPr>
        <w:t>，MSAFP检测可作为一种日常技术来改善孕产期保健。</w:t>
      </w:r>
      <w:r>
        <w:rPr>
          <w:rFonts w:cs="Arial"/>
          <w:snapToGrid w:val="0"/>
          <w:kern w:val="0"/>
          <w:vertAlign w:val="superscript"/>
        </w:rPr>
        <w:t>12, 69, 70</w:t>
      </w:r>
      <w:r>
        <w:rPr>
          <w:rFonts w:cs="Arial"/>
          <w:snapToGrid w:val="0"/>
          <w:kern w:val="0"/>
        </w:rPr>
        <w:t xml:space="preserve"> 2项主要的协作研究（1项于1977年完成，解决了MSAFP检测问题，另一项于1979年完成，涉及检测AFP在羊水中的水平）确立了两种分析过程的整体可靠性，并为能估</w:t>
      </w:r>
      <w:r>
        <w:rPr>
          <w:rFonts w:hint="eastAsia" w:cs="Arial"/>
          <w:snapToGrid w:val="0"/>
          <w:kern w:val="0"/>
        </w:rPr>
        <w:t>出</w:t>
      </w:r>
      <w:r>
        <w:rPr>
          <w:rFonts w:cs="Arial"/>
          <w:snapToGrid w:val="0"/>
          <w:kern w:val="0"/>
        </w:rPr>
        <w:t>美国产妇人群中检测率和假阳性率的检测方法提供了整体基础</w:t>
      </w:r>
      <w:r>
        <w:rPr>
          <w:rFonts w:cs="Arial"/>
          <w:snapToGrid w:val="0"/>
          <w:kern w:val="0"/>
          <w:vertAlign w:val="superscript"/>
        </w:rPr>
        <w:t>7, 66, 67, 68</w:t>
      </w:r>
      <w:r>
        <w:rPr>
          <w:rFonts w:cs="Arial"/>
          <w:snapToGrid w:val="0"/>
          <w:kern w:val="0"/>
        </w:rPr>
        <w:t>。由对孕妇样本中AFP水平进行定量检测的几名器械制造商对通过测定AFP来检测ONTD的方式进行了彻底评估。根据FDA</w:t>
      </w:r>
      <w:r>
        <w:rPr>
          <w:rFonts w:cs="Arial"/>
          <w:snapToGrid w:val="0"/>
          <w:kern w:val="0"/>
          <w:vertAlign w:val="superscript"/>
        </w:rPr>
        <w:t>42</w:t>
      </w:r>
      <w:r>
        <w:rPr>
          <w:rFonts w:cs="Arial"/>
          <w:snapToGrid w:val="0"/>
          <w:kern w:val="0"/>
        </w:rPr>
        <w:t>规定的检测方案，对孕妇血清和羊水样品中的AFP进行检测，有助于测定胎儿ONTD。</w:t>
      </w:r>
      <w:r>
        <w:rPr>
          <w:rFonts w:cs="Arial"/>
          <w:snapToGrid w:val="0"/>
          <w:kern w:val="0"/>
          <w:vertAlign w:val="superscript"/>
        </w:rPr>
        <w:t>65, 55, 36</w:t>
      </w:r>
    </w:p>
    <w:p w14:paraId="41A90E6B">
      <w:pPr>
        <w:topLinePunct/>
        <w:spacing w:before="187"/>
        <w:rPr>
          <w:rFonts w:cs="Arial"/>
          <w:snapToGrid w:val="0"/>
          <w:kern w:val="0"/>
        </w:rPr>
      </w:pPr>
      <w:r>
        <w:rPr>
          <w:rFonts w:cs="Arial"/>
          <w:snapToGrid w:val="0"/>
          <w:kern w:val="0"/>
        </w:rPr>
        <w:br w:type="page"/>
      </w:r>
    </w:p>
    <w:p w14:paraId="15E01375">
      <w:pPr>
        <w:topLinePunct/>
        <w:spacing w:before="187"/>
        <w:rPr>
          <w:rFonts w:cs="Arial"/>
          <w:snapToGrid w:val="0"/>
          <w:kern w:val="0"/>
        </w:rPr>
      </w:pPr>
      <w:r>
        <w:rPr>
          <w:rFonts w:cs="Arial"/>
          <w:snapToGrid w:val="0"/>
          <w:kern w:val="0"/>
        </w:rPr>
        <w:t>表1对经FDA批准用于胎儿ONTD的器械进行了概述。为在美国引进MSAFP检测，斯卡伯勒（缅因州）召开了3次国际会议（1977年、1978年和1980年），同时，FDA对适用于MSAFP检测的体外器械进行了评估。Haddow和Macri</w:t>
      </w:r>
      <w:r>
        <w:rPr>
          <w:rFonts w:cs="Arial"/>
          <w:snapToGrid w:val="0"/>
          <w:kern w:val="0"/>
          <w:vertAlign w:val="superscript"/>
        </w:rPr>
        <w:t>11</w:t>
      </w:r>
      <w:r>
        <w:rPr>
          <w:rFonts w:cs="Arial"/>
          <w:snapToGrid w:val="0"/>
          <w:kern w:val="0"/>
        </w:rPr>
        <w:t>以及Wald和Cuckle</w:t>
      </w:r>
      <w:r>
        <w:rPr>
          <w:rFonts w:cs="Arial"/>
          <w:snapToGrid w:val="0"/>
          <w:kern w:val="0"/>
          <w:vertAlign w:val="superscript"/>
        </w:rPr>
        <w:t>12</w:t>
      </w:r>
      <w:r>
        <w:rPr>
          <w:rFonts w:cs="Arial"/>
          <w:snapToGrid w:val="0"/>
          <w:kern w:val="0"/>
        </w:rPr>
        <w:t>也对</w:t>
      </w:r>
      <w:r>
        <w:rPr>
          <w:rFonts w:hint="eastAsia" w:cs="Arial"/>
          <w:snapToGrid w:val="0"/>
          <w:kern w:val="0"/>
        </w:rPr>
        <w:t>目前</w:t>
      </w:r>
      <w:r>
        <w:rPr>
          <w:rFonts w:cs="Arial"/>
          <w:snapToGrid w:val="0"/>
          <w:kern w:val="0"/>
        </w:rPr>
        <w:t>实际使用MSAFP检测的知识水平进行回顾。</w:t>
      </w:r>
    </w:p>
    <w:p w14:paraId="7FE051B3">
      <w:pPr>
        <w:topLinePunct/>
        <w:spacing w:before="187"/>
        <w:rPr>
          <w:rFonts w:cs="Arial"/>
          <w:snapToGrid w:val="0"/>
          <w:kern w:val="0"/>
        </w:rPr>
      </w:pPr>
    </w:p>
    <w:p w14:paraId="70EE39DE">
      <w:pPr>
        <w:topLinePunct/>
        <w:spacing w:before="187"/>
        <w:rPr>
          <w:rFonts w:cs="Arial"/>
          <w:snapToGrid w:val="0"/>
          <w:kern w:val="0"/>
        </w:rPr>
      </w:pPr>
      <w:r>
        <w:rPr>
          <w:rFonts w:cs="Arial"/>
          <w:snapToGrid w:val="0"/>
          <w:kern w:val="0"/>
        </w:rPr>
        <w:t>表1，</w:t>
      </w:r>
      <w:r>
        <w:rPr>
          <w:rFonts w:hint="eastAsia" w:cs="Arial"/>
          <w:snapToGrid w:val="0"/>
          <w:kern w:val="0"/>
        </w:rPr>
        <w:t>目前获批</w:t>
      </w:r>
      <w:r>
        <w:rPr>
          <w:rFonts w:cs="Arial"/>
          <w:snapToGrid w:val="0"/>
          <w:kern w:val="0"/>
        </w:rPr>
        <w:t>辅助检测胎儿开放式神经管缺陷的PMA的α-胎甲球蛋白器械</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0"/>
        <w:gridCol w:w="4335"/>
        <w:gridCol w:w="1268"/>
        <w:gridCol w:w="1364"/>
        <w:gridCol w:w="1249"/>
      </w:tblGrid>
      <w:tr w14:paraId="3E541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0" w:type="dxa"/>
          </w:tcPr>
          <w:p w14:paraId="68D008D3">
            <w:pPr>
              <w:topLinePunct/>
              <w:spacing w:before="93" w:beforeLines="30" w:after="93" w:afterLines="30" w:line="280" w:lineRule="exact"/>
              <w:rPr>
                <w:rFonts w:cs="Arial"/>
                <w:snapToGrid w:val="0"/>
                <w:kern w:val="0"/>
                <w:sz w:val="21"/>
                <w:szCs w:val="21"/>
              </w:rPr>
            </w:pPr>
            <w:r>
              <w:rPr>
                <w:rFonts w:cs="Arial"/>
                <w:snapToGrid w:val="0"/>
                <w:kern w:val="0"/>
                <w:sz w:val="21"/>
                <w:szCs w:val="21"/>
              </w:rPr>
              <w:t>血清标记物</w:t>
            </w:r>
          </w:p>
        </w:tc>
        <w:tc>
          <w:tcPr>
            <w:tcW w:w="4335" w:type="dxa"/>
          </w:tcPr>
          <w:p w14:paraId="15136958">
            <w:pPr>
              <w:topLinePunct/>
              <w:spacing w:before="93" w:beforeLines="30" w:after="93" w:afterLines="30" w:line="280" w:lineRule="exact"/>
              <w:rPr>
                <w:rFonts w:cs="Arial"/>
                <w:snapToGrid w:val="0"/>
                <w:kern w:val="0"/>
                <w:sz w:val="21"/>
                <w:szCs w:val="21"/>
              </w:rPr>
            </w:pPr>
            <w:r>
              <w:rPr>
                <w:rFonts w:cs="Arial"/>
                <w:snapToGrid w:val="0"/>
                <w:kern w:val="0"/>
                <w:sz w:val="21"/>
                <w:szCs w:val="21"/>
              </w:rPr>
              <w:t>制造商／器械</w:t>
            </w:r>
          </w:p>
        </w:tc>
        <w:tc>
          <w:tcPr>
            <w:tcW w:w="1268" w:type="dxa"/>
          </w:tcPr>
          <w:p w14:paraId="37CB9A85">
            <w:pPr>
              <w:topLinePunct/>
              <w:spacing w:before="93" w:beforeLines="30" w:after="93" w:afterLines="30" w:line="280" w:lineRule="exact"/>
              <w:rPr>
                <w:rFonts w:cs="Arial"/>
                <w:snapToGrid w:val="0"/>
                <w:kern w:val="0"/>
                <w:sz w:val="21"/>
                <w:szCs w:val="21"/>
              </w:rPr>
            </w:pPr>
            <w:r>
              <w:rPr>
                <w:rFonts w:cs="Arial"/>
                <w:snapToGrid w:val="0"/>
                <w:kern w:val="0"/>
                <w:sz w:val="21"/>
                <w:szCs w:val="21"/>
              </w:rPr>
              <w:t>类型</w:t>
            </w:r>
          </w:p>
        </w:tc>
        <w:tc>
          <w:tcPr>
            <w:tcW w:w="1364" w:type="dxa"/>
          </w:tcPr>
          <w:p w14:paraId="1E723B86">
            <w:pPr>
              <w:topLinePunct/>
              <w:spacing w:before="93" w:beforeLines="30" w:after="93" w:afterLines="30" w:line="280" w:lineRule="exact"/>
              <w:rPr>
                <w:rFonts w:cs="Arial"/>
                <w:snapToGrid w:val="0"/>
                <w:kern w:val="0"/>
                <w:sz w:val="21"/>
                <w:szCs w:val="21"/>
              </w:rPr>
            </w:pPr>
            <w:r>
              <w:rPr>
                <w:rFonts w:cs="Arial"/>
                <w:snapToGrid w:val="0"/>
                <w:kern w:val="0"/>
                <w:sz w:val="21"/>
                <w:szCs w:val="21"/>
              </w:rPr>
              <w:t>FDA批准</w:t>
            </w:r>
          </w:p>
        </w:tc>
        <w:tc>
          <w:tcPr>
            <w:tcW w:w="1249" w:type="dxa"/>
          </w:tcPr>
          <w:p w14:paraId="6E8D18F5">
            <w:pPr>
              <w:topLinePunct/>
              <w:spacing w:before="93" w:beforeLines="30" w:after="93" w:afterLines="30" w:line="280" w:lineRule="exact"/>
              <w:rPr>
                <w:rFonts w:cs="Arial"/>
                <w:snapToGrid w:val="0"/>
                <w:kern w:val="0"/>
                <w:sz w:val="21"/>
                <w:szCs w:val="21"/>
              </w:rPr>
            </w:pPr>
            <w:r>
              <w:rPr>
                <w:rFonts w:cs="Arial"/>
                <w:snapToGrid w:val="0"/>
                <w:kern w:val="0"/>
                <w:sz w:val="21"/>
                <w:szCs w:val="21"/>
              </w:rPr>
              <w:t>PMA编号</w:t>
            </w:r>
          </w:p>
        </w:tc>
      </w:tr>
      <w:tr w14:paraId="07D54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0" w:type="dxa"/>
          </w:tcPr>
          <w:p w14:paraId="028C35EE">
            <w:pPr>
              <w:topLinePunct/>
              <w:spacing w:before="93" w:beforeLines="30" w:after="93" w:afterLines="30" w:line="280" w:lineRule="exact"/>
              <w:rPr>
                <w:rFonts w:cs="Arial"/>
                <w:snapToGrid w:val="0"/>
                <w:kern w:val="0"/>
                <w:sz w:val="21"/>
                <w:szCs w:val="21"/>
              </w:rPr>
            </w:pPr>
            <w:r>
              <w:rPr>
                <w:rFonts w:cs="Arial"/>
                <w:snapToGrid w:val="0"/>
                <w:kern w:val="0"/>
                <w:sz w:val="21"/>
                <w:szCs w:val="21"/>
              </w:rPr>
              <w:t>AFP</w:t>
            </w:r>
          </w:p>
        </w:tc>
        <w:tc>
          <w:tcPr>
            <w:tcW w:w="4335" w:type="dxa"/>
          </w:tcPr>
          <w:p w14:paraId="1B525CF7">
            <w:pPr>
              <w:topLinePunct/>
              <w:spacing w:before="93" w:beforeLines="30" w:after="93" w:afterLines="30" w:line="280" w:lineRule="exact"/>
              <w:rPr>
                <w:rFonts w:cs="Arial"/>
                <w:snapToGrid w:val="0"/>
                <w:kern w:val="0"/>
                <w:sz w:val="21"/>
                <w:szCs w:val="21"/>
              </w:rPr>
            </w:pPr>
            <w:r>
              <w:rPr>
                <w:rFonts w:cs="Arial"/>
                <w:snapToGrid w:val="0"/>
                <w:kern w:val="0"/>
                <w:sz w:val="21"/>
                <w:szCs w:val="21"/>
              </w:rPr>
              <w:t>ABBOTT/DAIN-ABOTT</w:t>
            </w:r>
          </w:p>
        </w:tc>
        <w:tc>
          <w:tcPr>
            <w:tcW w:w="1268" w:type="dxa"/>
          </w:tcPr>
          <w:p w14:paraId="0430B291">
            <w:pPr>
              <w:topLinePunct/>
              <w:spacing w:before="93" w:beforeLines="30" w:after="93" w:afterLines="30" w:line="280" w:lineRule="exact"/>
              <w:rPr>
                <w:rFonts w:cs="Arial"/>
                <w:snapToGrid w:val="0"/>
                <w:kern w:val="0"/>
                <w:sz w:val="21"/>
                <w:szCs w:val="21"/>
              </w:rPr>
            </w:pPr>
            <w:r>
              <w:rPr>
                <w:rFonts w:cs="Arial"/>
                <w:snapToGrid w:val="0"/>
                <w:kern w:val="0"/>
                <w:sz w:val="21"/>
                <w:szCs w:val="21"/>
              </w:rPr>
              <w:t>RIA</w:t>
            </w:r>
          </w:p>
        </w:tc>
        <w:tc>
          <w:tcPr>
            <w:tcW w:w="1364" w:type="dxa"/>
          </w:tcPr>
          <w:p w14:paraId="6D648880">
            <w:pPr>
              <w:topLinePunct/>
              <w:spacing w:before="93" w:beforeLines="30" w:after="93" w:afterLines="30" w:line="280" w:lineRule="exact"/>
              <w:rPr>
                <w:rFonts w:cs="Arial"/>
                <w:snapToGrid w:val="0"/>
                <w:kern w:val="0"/>
                <w:sz w:val="21"/>
                <w:szCs w:val="21"/>
              </w:rPr>
            </w:pPr>
            <w:r>
              <w:rPr>
                <w:rFonts w:cs="Arial"/>
                <w:snapToGrid w:val="0"/>
                <w:kern w:val="0"/>
                <w:sz w:val="21"/>
                <w:szCs w:val="21"/>
              </w:rPr>
              <w:t>1984年6月25日</w:t>
            </w:r>
          </w:p>
        </w:tc>
        <w:tc>
          <w:tcPr>
            <w:tcW w:w="1249" w:type="dxa"/>
          </w:tcPr>
          <w:p w14:paraId="7F9FD49C">
            <w:pPr>
              <w:topLinePunct/>
              <w:spacing w:before="93" w:beforeLines="30" w:after="93" w:afterLines="30" w:line="280" w:lineRule="exact"/>
              <w:rPr>
                <w:rFonts w:cs="Arial"/>
                <w:snapToGrid w:val="0"/>
                <w:kern w:val="0"/>
                <w:sz w:val="21"/>
                <w:szCs w:val="21"/>
              </w:rPr>
            </w:pPr>
            <w:r>
              <w:rPr>
                <w:rFonts w:cs="Arial"/>
                <w:snapToGrid w:val="0"/>
                <w:kern w:val="0"/>
                <w:sz w:val="21"/>
                <w:szCs w:val="21"/>
              </w:rPr>
              <w:t>P820060</w:t>
            </w:r>
          </w:p>
        </w:tc>
      </w:tr>
      <w:tr w14:paraId="702C9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0" w:type="dxa"/>
          </w:tcPr>
          <w:p w14:paraId="00A41EAA">
            <w:pPr>
              <w:topLinePunct/>
              <w:spacing w:before="93" w:beforeLines="30" w:after="93" w:afterLines="30" w:line="280" w:lineRule="exact"/>
              <w:rPr>
                <w:rFonts w:cs="Arial"/>
                <w:snapToGrid w:val="0"/>
                <w:kern w:val="0"/>
                <w:sz w:val="21"/>
                <w:szCs w:val="21"/>
              </w:rPr>
            </w:pPr>
            <w:r>
              <w:rPr>
                <w:rFonts w:cs="Arial"/>
                <w:snapToGrid w:val="0"/>
                <w:kern w:val="0"/>
                <w:sz w:val="21"/>
                <w:szCs w:val="21"/>
              </w:rPr>
              <w:t>AFP</w:t>
            </w:r>
          </w:p>
        </w:tc>
        <w:tc>
          <w:tcPr>
            <w:tcW w:w="4335" w:type="dxa"/>
          </w:tcPr>
          <w:p w14:paraId="28195B4B">
            <w:pPr>
              <w:topLinePunct/>
              <w:spacing w:before="93" w:beforeLines="30" w:after="93" w:afterLines="30" w:line="280" w:lineRule="exact"/>
              <w:rPr>
                <w:rFonts w:cs="Arial"/>
                <w:snapToGrid w:val="0"/>
                <w:kern w:val="0"/>
                <w:sz w:val="21"/>
                <w:szCs w:val="21"/>
              </w:rPr>
            </w:pPr>
            <w:r>
              <w:rPr>
                <w:rFonts w:cs="Arial"/>
                <w:snapToGrid w:val="0"/>
                <w:kern w:val="0"/>
                <w:sz w:val="21"/>
                <w:szCs w:val="21"/>
              </w:rPr>
              <w:t>WAMPOLE/AFP-TEST TM</w:t>
            </w:r>
          </w:p>
        </w:tc>
        <w:tc>
          <w:tcPr>
            <w:tcW w:w="1268" w:type="dxa"/>
          </w:tcPr>
          <w:p w14:paraId="6E5109BD">
            <w:pPr>
              <w:topLinePunct/>
              <w:spacing w:before="93" w:beforeLines="30" w:after="93" w:afterLines="30" w:line="280" w:lineRule="exact"/>
              <w:rPr>
                <w:rFonts w:cs="Arial"/>
                <w:snapToGrid w:val="0"/>
                <w:kern w:val="0"/>
                <w:sz w:val="21"/>
                <w:szCs w:val="21"/>
              </w:rPr>
            </w:pPr>
            <w:r>
              <w:rPr>
                <w:rFonts w:cs="Arial"/>
                <w:snapToGrid w:val="0"/>
                <w:kern w:val="0"/>
                <w:sz w:val="21"/>
                <w:szCs w:val="21"/>
              </w:rPr>
              <w:t>放射免疫技术</w:t>
            </w:r>
          </w:p>
        </w:tc>
        <w:tc>
          <w:tcPr>
            <w:tcW w:w="1364" w:type="dxa"/>
          </w:tcPr>
          <w:p w14:paraId="00BE7884">
            <w:pPr>
              <w:topLinePunct/>
              <w:spacing w:before="93" w:beforeLines="30" w:after="93" w:afterLines="30" w:line="280" w:lineRule="exact"/>
              <w:rPr>
                <w:rFonts w:cs="Arial"/>
                <w:snapToGrid w:val="0"/>
                <w:kern w:val="0"/>
                <w:sz w:val="21"/>
                <w:szCs w:val="21"/>
              </w:rPr>
            </w:pPr>
            <w:r>
              <w:rPr>
                <w:rFonts w:cs="Arial"/>
                <w:snapToGrid w:val="0"/>
                <w:kern w:val="0"/>
                <w:sz w:val="21"/>
                <w:szCs w:val="21"/>
              </w:rPr>
              <w:t>1984年1月13日</w:t>
            </w:r>
          </w:p>
        </w:tc>
        <w:tc>
          <w:tcPr>
            <w:tcW w:w="1249" w:type="dxa"/>
          </w:tcPr>
          <w:p w14:paraId="17F2A509">
            <w:pPr>
              <w:topLinePunct/>
              <w:spacing w:before="93" w:beforeLines="30" w:after="93" w:afterLines="30" w:line="280" w:lineRule="exact"/>
              <w:rPr>
                <w:rFonts w:cs="Arial"/>
                <w:snapToGrid w:val="0"/>
                <w:kern w:val="0"/>
                <w:sz w:val="21"/>
                <w:szCs w:val="21"/>
              </w:rPr>
            </w:pPr>
            <w:r>
              <w:rPr>
                <w:rFonts w:cs="Arial"/>
                <w:snapToGrid w:val="0"/>
                <w:kern w:val="0"/>
                <w:sz w:val="21"/>
                <w:szCs w:val="21"/>
              </w:rPr>
              <w:t>P760001</w:t>
            </w:r>
          </w:p>
        </w:tc>
      </w:tr>
      <w:tr w14:paraId="11375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0" w:type="dxa"/>
          </w:tcPr>
          <w:p w14:paraId="6A02B713">
            <w:pPr>
              <w:topLinePunct/>
              <w:spacing w:before="93" w:beforeLines="30" w:after="93" w:afterLines="30" w:line="280" w:lineRule="exact"/>
              <w:rPr>
                <w:rFonts w:cs="Arial"/>
                <w:snapToGrid w:val="0"/>
                <w:kern w:val="0"/>
                <w:sz w:val="21"/>
                <w:szCs w:val="21"/>
              </w:rPr>
            </w:pPr>
            <w:r>
              <w:rPr>
                <w:rFonts w:cs="Arial"/>
                <w:snapToGrid w:val="0"/>
                <w:kern w:val="0"/>
                <w:sz w:val="21"/>
                <w:szCs w:val="21"/>
              </w:rPr>
              <w:t>AFP</w:t>
            </w:r>
          </w:p>
        </w:tc>
        <w:tc>
          <w:tcPr>
            <w:tcW w:w="4335" w:type="dxa"/>
          </w:tcPr>
          <w:p w14:paraId="046889AC">
            <w:pPr>
              <w:topLinePunct/>
              <w:spacing w:before="93" w:beforeLines="30" w:after="93" w:afterLines="30" w:line="280" w:lineRule="exact"/>
              <w:rPr>
                <w:rFonts w:cs="Arial"/>
                <w:snapToGrid w:val="0"/>
                <w:kern w:val="0"/>
                <w:sz w:val="21"/>
                <w:szCs w:val="21"/>
              </w:rPr>
            </w:pPr>
            <w:r>
              <w:rPr>
                <w:rFonts w:cs="Arial"/>
                <w:snapToGrid w:val="0"/>
                <w:kern w:val="0"/>
                <w:sz w:val="21"/>
                <w:szCs w:val="21"/>
              </w:rPr>
              <w:t>KALLESTAD/QUANTITOPE TM</w:t>
            </w:r>
            <w:r>
              <w:rPr>
                <w:rFonts w:cs="Arial"/>
                <w:snapToGrid w:val="0"/>
                <w:kern w:val="0"/>
                <w:sz w:val="21"/>
                <w:szCs w:val="21"/>
              </w:rPr>
              <w:cr/>
            </w:r>
            <w:r>
              <w:rPr>
                <w:rFonts w:cs="Arial"/>
                <w:snapToGrid w:val="0"/>
                <w:kern w:val="0"/>
                <w:sz w:val="21"/>
                <w:szCs w:val="21"/>
              </w:rPr>
              <w:t>(125 I-AFP)</w:t>
            </w:r>
            <w:r>
              <w:rPr>
                <w:rFonts w:cs="Arial"/>
                <w:snapToGrid w:val="0"/>
                <w:kern w:val="0"/>
                <w:sz w:val="21"/>
                <w:szCs w:val="21"/>
              </w:rPr>
              <w:cr/>
            </w:r>
            <w:r>
              <w:rPr>
                <w:rFonts w:cs="Arial"/>
                <w:snapToGrid w:val="0"/>
                <w:kern w:val="0"/>
                <w:sz w:val="21"/>
                <w:szCs w:val="21"/>
              </w:rPr>
              <w:t xml:space="preserve"> (Sanofi Diagnostics Pasteur)</w:t>
            </w:r>
          </w:p>
        </w:tc>
        <w:tc>
          <w:tcPr>
            <w:tcW w:w="1268" w:type="dxa"/>
          </w:tcPr>
          <w:p w14:paraId="19E88B0D">
            <w:pPr>
              <w:topLinePunct/>
              <w:spacing w:before="93" w:beforeLines="30" w:after="93" w:afterLines="30" w:line="280" w:lineRule="exact"/>
              <w:rPr>
                <w:rFonts w:cs="Arial"/>
                <w:snapToGrid w:val="0"/>
                <w:kern w:val="0"/>
                <w:sz w:val="21"/>
                <w:szCs w:val="21"/>
              </w:rPr>
            </w:pPr>
            <w:r>
              <w:rPr>
                <w:rFonts w:cs="Arial"/>
                <w:snapToGrid w:val="0"/>
                <w:kern w:val="0"/>
                <w:sz w:val="21"/>
                <w:szCs w:val="21"/>
              </w:rPr>
              <w:t>RIA</w:t>
            </w:r>
          </w:p>
        </w:tc>
        <w:tc>
          <w:tcPr>
            <w:tcW w:w="1364" w:type="dxa"/>
          </w:tcPr>
          <w:p w14:paraId="4B245754">
            <w:pPr>
              <w:topLinePunct/>
              <w:spacing w:before="93" w:beforeLines="30" w:after="93" w:afterLines="30" w:line="280" w:lineRule="exact"/>
              <w:rPr>
                <w:rFonts w:cs="Arial"/>
                <w:snapToGrid w:val="0"/>
                <w:kern w:val="0"/>
                <w:sz w:val="21"/>
                <w:szCs w:val="21"/>
              </w:rPr>
            </w:pPr>
            <w:r>
              <w:rPr>
                <w:rFonts w:cs="Arial"/>
                <w:snapToGrid w:val="0"/>
                <w:kern w:val="0"/>
                <w:sz w:val="21"/>
                <w:szCs w:val="21"/>
              </w:rPr>
              <w:t>1984年1月13</w:t>
            </w:r>
          </w:p>
        </w:tc>
        <w:tc>
          <w:tcPr>
            <w:tcW w:w="1249" w:type="dxa"/>
          </w:tcPr>
          <w:p w14:paraId="5A778C95">
            <w:pPr>
              <w:topLinePunct/>
              <w:spacing w:before="93" w:beforeLines="30" w:after="93" w:afterLines="30" w:line="280" w:lineRule="exact"/>
              <w:rPr>
                <w:rFonts w:cs="Arial"/>
                <w:snapToGrid w:val="0"/>
                <w:kern w:val="0"/>
                <w:sz w:val="21"/>
                <w:szCs w:val="21"/>
              </w:rPr>
            </w:pPr>
            <w:r>
              <w:rPr>
                <w:rFonts w:cs="Arial"/>
                <w:snapToGrid w:val="0"/>
                <w:kern w:val="0"/>
                <w:sz w:val="21"/>
                <w:szCs w:val="21"/>
              </w:rPr>
              <w:t>P800025</w:t>
            </w:r>
          </w:p>
        </w:tc>
      </w:tr>
      <w:tr w14:paraId="42751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0" w:type="dxa"/>
          </w:tcPr>
          <w:p w14:paraId="20C4F8C8">
            <w:pPr>
              <w:topLinePunct/>
              <w:spacing w:before="93" w:beforeLines="30" w:after="93" w:afterLines="30" w:line="280" w:lineRule="exact"/>
              <w:rPr>
                <w:rFonts w:cs="Arial"/>
                <w:snapToGrid w:val="0"/>
                <w:kern w:val="0"/>
                <w:sz w:val="21"/>
                <w:szCs w:val="21"/>
              </w:rPr>
            </w:pPr>
            <w:r>
              <w:rPr>
                <w:rFonts w:cs="Arial"/>
                <w:snapToGrid w:val="0"/>
                <w:kern w:val="0"/>
                <w:sz w:val="21"/>
                <w:szCs w:val="21"/>
              </w:rPr>
              <w:t>AFP</w:t>
            </w:r>
          </w:p>
        </w:tc>
        <w:tc>
          <w:tcPr>
            <w:tcW w:w="4335" w:type="dxa"/>
          </w:tcPr>
          <w:p w14:paraId="0B841ECC">
            <w:pPr>
              <w:topLinePunct/>
              <w:spacing w:before="93" w:beforeLines="30" w:after="93" w:afterLines="30" w:line="280" w:lineRule="exact"/>
              <w:rPr>
                <w:rFonts w:cs="Arial"/>
                <w:snapToGrid w:val="0"/>
                <w:kern w:val="0"/>
                <w:sz w:val="21"/>
                <w:szCs w:val="21"/>
              </w:rPr>
            </w:pPr>
            <w:r>
              <w:rPr>
                <w:rFonts w:cs="Arial"/>
                <w:snapToGrid w:val="0"/>
                <w:kern w:val="0"/>
                <w:sz w:val="21"/>
                <w:szCs w:val="21"/>
              </w:rPr>
              <w:t>TRAVRNOL-GENENTECH/GAMMADABTM (125I-AFP)</w:t>
            </w:r>
          </w:p>
        </w:tc>
        <w:tc>
          <w:tcPr>
            <w:tcW w:w="1268" w:type="dxa"/>
          </w:tcPr>
          <w:p w14:paraId="5B942C7B">
            <w:pPr>
              <w:topLinePunct/>
              <w:spacing w:before="93" w:beforeLines="30" w:after="93" w:afterLines="30" w:line="280" w:lineRule="exact"/>
              <w:rPr>
                <w:rFonts w:cs="Arial"/>
                <w:snapToGrid w:val="0"/>
                <w:kern w:val="0"/>
                <w:sz w:val="21"/>
                <w:szCs w:val="21"/>
              </w:rPr>
            </w:pPr>
            <w:r>
              <w:rPr>
                <w:rFonts w:cs="Arial"/>
                <w:snapToGrid w:val="0"/>
                <w:kern w:val="0"/>
                <w:sz w:val="21"/>
                <w:szCs w:val="21"/>
              </w:rPr>
              <w:t>RIA</w:t>
            </w:r>
          </w:p>
        </w:tc>
        <w:tc>
          <w:tcPr>
            <w:tcW w:w="1364" w:type="dxa"/>
          </w:tcPr>
          <w:p w14:paraId="22CD4CDB">
            <w:pPr>
              <w:topLinePunct/>
              <w:spacing w:before="93" w:beforeLines="30" w:after="93" w:afterLines="30" w:line="280" w:lineRule="exact"/>
              <w:rPr>
                <w:rFonts w:cs="Arial"/>
                <w:snapToGrid w:val="0"/>
                <w:kern w:val="0"/>
                <w:sz w:val="21"/>
                <w:szCs w:val="21"/>
              </w:rPr>
            </w:pPr>
            <w:r>
              <w:rPr>
                <w:rFonts w:cs="Arial"/>
                <w:snapToGrid w:val="0"/>
                <w:kern w:val="0"/>
                <w:sz w:val="21"/>
                <w:szCs w:val="21"/>
              </w:rPr>
              <w:t>1986年4月30日</w:t>
            </w:r>
          </w:p>
        </w:tc>
        <w:tc>
          <w:tcPr>
            <w:tcW w:w="1249" w:type="dxa"/>
          </w:tcPr>
          <w:p w14:paraId="19E6824B">
            <w:pPr>
              <w:topLinePunct/>
              <w:spacing w:before="93" w:beforeLines="30" w:after="93" w:afterLines="30" w:line="280" w:lineRule="exact"/>
              <w:rPr>
                <w:rFonts w:cs="Arial"/>
                <w:snapToGrid w:val="0"/>
                <w:kern w:val="0"/>
                <w:sz w:val="21"/>
                <w:szCs w:val="21"/>
              </w:rPr>
            </w:pPr>
            <w:r>
              <w:rPr>
                <w:rFonts w:cs="Arial"/>
                <w:snapToGrid w:val="0"/>
                <w:kern w:val="0"/>
                <w:sz w:val="21"/>
                <w:szCs w:val="21"/>
              </w:rPr>
              <w:t>P790032</w:t>
            </w:r>
          </w:p>
        </w:tc>
      </w:tr>
      <w:tr w14:paraId="202F1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0" w:type="dxa"/>
          </w:tcPr>
          <w:p w14:paraId="55E8268E">
            <w:pPr>
              <w:topLinePunct/>
              <w:spacing w:before="93" w:beforeLines="30" w:after="93" w:afterLines="30" w:line="280" w:lineRule="exact"/>
              <w:rPr>
                <w:rFonts w:cs="Arial"/>
                <w:snapToGrid w:val="0"/>
                <w:kern w:val="0"/>
                <w:sz w:val="21"/>
                <w:szCs w:val="21"/>
              </w:rPr>
            </w:pPr>
            <w:r>
              <w:rPr>
                <w:rFonts w:cs="Arial"/>
                <w:snapToGrid w:val="0"/>
                <w:kern w:val="0"/>
                <w:sz w:val="21"/>
                <w:szCs w:val="21"/>
              </w:rPr>
              <w:t>AFP</w:t>
            </w:r>
          </w:p>
        </w:tc>
        <w:tc>
          <w:tcPr>
            <w:tcW w:w="4335" w:type="dxa"/>
          </w:tcPr>
          <w:p w14:paraId="5F4EAE4F">
            <w:pPr>
              <w:topLinePunct/>
              <w:spacing w:before="93" w:beforeLines="30" w:after="93" w:afterLines="30" w:line="280" w:lineRule="exact"/>
              <w:rPr>
                <w:rFonts w:cs="Arial"/>
                <w:snapToGrid w:val="0"/>
                <w:kern w:val="0"/>
                <w:sz w:val="21"/>
                <w:szCs w:val="21"/>
              </w:rPr>
            </w:pPr>
            <w:r>
              <w:rPr>
                <w:rFonts w:cs="Arial"/>
                <w:snapToGrid w:val="0"/>
                <w:kern w:val="0"/>
                <w:sz w:val="21"/>
                <w:szCs w:val="21"/>
              </w:rPr>
              <w:t>HYBRITECH/TANDEM-E AFP</w:t>
            </w:r>
          </w:p>
        </w:tc>
        <w:tc>
          <w:tcPr>
            <w:tcW w:w="1268" w:type="dxa"/>
          </w:tcPr>
          <w:p w14:paraId="7899927C">
            <w:pPr>
              <w:topLinePunct/>
              <w:spacing w:before="93" w:beforeLines="30" w:after="93" w:afterLines="30" w:line="280" w:lineRule="exact"/>
              <w:rPr>
                <w:rFonts w:cs="Arial"/>
                <w:snapToGrid w:val="0"/>
                <w:kern w:val="0"/>
                <w:sz w:val="21"/>
                <w:szCs w:val="21"/>
              </w:rPr>
            </w:pPr>
            <w:r>
              <w:rPr>
                <w:rFonts w:cs="Arial"/>
                <w:snapToGrid w:val="0"/>
                <w:kern w:val="0"/>
                <w:sz w:val="21"/>
                <w:szCs w:val="21"/>
              </w:rPr>
              <w:t>免疫酶测定</w:t>
            </w:r>
          </w:p>
        </w:tc>
        <w:tc>
          <w:tcPr>
            <w:tcW w:w="1364" w:type="dxa"/>
          </w:tcPr>
          <w:p w14:paraId="79987E70">
            <w:pPr>
              <w:topLinePunct/>
              <w:spacing w:before="93" w:beforeLines="30" w:after="93" w:afterLines="30" w:line="280" w:lineRule="exact"/>
              <w:rPr>
                <w:rFonts w:cs="Arial"/>
                <w:snapToGrid w:val="0"/>
                <w:kern w:val="0"/>
                <w:sz w:val="21"/>
                <w:szCs w:val="21"/>
              </w:rPr>
            </w:pPr>
            <w:r>
              <w:rPr>
                <w:rFonts w:cs="Arial"/>
                <w:snapToGrid w:val="0"/>
                <w:kern w:val="0"/>
                <w:sz w:val="21"/>
                <w:szCs w:val="21"/>
              </w:rPr>
              <w:t>1986年4月29日</w:t>
            </w:r>
          </w:p>
        </w:tc>
        <w:tc>
          <w:tcPr>
            <w:tcW w:w="1249" w:type="dxa"/>
          </w:tcPr>
          <w:p w14:paraId="14FB8BC7">
            <w:pPr>
              <w:topLinePunct/>
              <w:spacing w:before="93" w:beforeLines="30" w:after="93" w:afterLines="30" w:line="280" w:lineRule="exact"/>
              <w:rPr>
                <w:rFonts w:cs="Arial"/>
                <w:snapToGrid w:val="0"/>
                <w:kern w:val="0"/>
                <w:sz w:val="21"/>
                <w:szCs w:val="21"/>
              </w:rPr>
            </w:pPr>
            <w:r>
              <w:rPr>
                <w:rFonts w:cs="Arial"/>
                <w:snapToGrid w:val="0"/>
                <w:kern w:val="0"/>
                <w:sz w:val="21"/>
                <w:szCs w:val="21"/>
              </w:rPr>
              <w:t>P840035</w:t>
            </w:r>
          </w:p>
        </w:tc>
      </w:tr>
      <w:tr w14:paraId="6BC19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0" w:type="dxa"/>
          </w:tcPr>
          <w:p w14:paraId="16A88521">
            <w:pPr>
              <w:topLinePunct/>
              <w:spacing w:before="93" w:beforeLines="30" w:after="93" w:afterLines="30" w:line="280" w:lineRule="exact"/>
              <w:rPr>
                <w:rFonts w:cs="Arial"/>
                <w:snapToGrid w:val="0"/>
                <w:kern w:val="0"/>
                <w:sz w:val="21"/>
                <w:szCs w:val="21"/>
              </w:rPr>
            </w:pPr>
            <w:r>
              <w:rPr>
                <w:rFonts w:cs="Arial"/>
                <w:snapToGrid w:val="0"/>
                <w:kern w:val="0"/>
                <w:sz w:val="21"/>
                <w:szCs w:val="21"/>
              </w:rPr>
              <w:t>AFP</w:t>
            </w:r>
          </w:p>
        </w:tc>
        <w:tc>
          <w:tcPr>
            <w:tcW w:w="4335" w:type="dxa"/>
          </w:tcPr>
          <w:p w14:paraId="38E13A1B">
            <w:pPr>
              <w:topLinePunct/>
              <w:spacing w:before="93" w:beforeLines="30" w:after="93" w:afterLines="30" w:line="280" w:lineRule="exact"/>
              <w:rPr>
                <w:rFonts w:cs="Arial"/>
                <w:snapToGrid w:val="0"/>
                <w:kern w:val="0"/>
                <w:sz w:val="21"/>
                <w:szCs w:val="21"/>
              </w:rPr>
            </w:pPr>
            <w:r>
              <w:rPr>
                <w:rFonts w:cs="Arial"/>
                <w:snapToGrid w:val="0"/>
                <w:kern w:val="0"/>
                <w:sz w:val="21"/>
                <w:szCs w:val="21"/>
              </w:rPr>
              <w:t>AMERSHAM/AMERLEX (EASTMAN-KODAK, USA)</w:t>
            </w:r>
          </w:p>
        </w:tc>
        <w:tc>
          <w:tcPr>
            <w:tcW w:w="1268" w:type="dxa"/>
          </w:tcPr>
          <w:p w14:paraId="53528CF7">
            <w:pPr>
              <w:topLinePunct/>
              <w:spacing w:before="93" w:beforeLines="30" w:after="93" w:afterLines="30" w:line="280" w:lineRule="exact"/>
              <w:rPr>
                <w:rFonts w:cs="Arial"/>
                <w:snapToGrid w:val="0"/>
                <w:kern w:val="0"/>
                <w:sz w:val="21"/>
                <w:szCs w:val="21"/>
              </w:rPr>
            </w:pPr>
            <w:r>
              <w:rPr>
                <w:rFonts w:cs="Arial"/>
                <w:snapToGrid w:val="0"/>
                <w:kern w:val="0"/>
                <w:sz w:val="21"/>
                <w:szCs w:val="21"/>
              </w:rPr>
              <w:t>RIA</w:t>
            </w:r>
          </w:p>
        </w:tc>
        <w:tc>
          <w:tcPr>
            <w:tcW w:w="1364" w:type="dxa"/>
          </w:tcPr>
          <w:p w14:paraId="6A38C9EB">
            <w:pPr>
              <w:topLinePunct/>
              <w:spacing w:before="93" w:beforeLines="30" w:after="93" w:afterLines="30" w:line="280" w:lineRule="exact"/>
              <w:rPr>
                <w:rFonts w:cs="Arial"/>
                <w:snapToGrid w:val="0"/>
                <w:kern w:val="0"/>
                <w:sz w:val="21"/>
                <w:szCs w:val="21"/>
              </w:rPr>
            </w:pPr>
            <w:r>
              <w:rPr>
                <w:rFonts w:cs="Arial"/>
                <w:snapToGrid w:val="0"/>
                <w:kern w:val="0"/>
                <w:sz w:val="21"/>
                <w:szCs w:val="21"/>
              </w:rPr>
              <w:t>1986年4月7日</w:t>
            </w:r>
          </w:p>
        </w:tc>
        <w:tc>
          <w:tcPr>
            <w:tcW w:w="1249" w:type="dxa"/>
          </w:tcPr>
          <w:p w14:paraId="662D1733">
            <w:pPr>
              <w:topLinePunct/>
              <w:spacing w:before="93" w:beforeLines="30" w:after="93" w:afterLines="30" w:line="280" w:lineRule="exact"/>
              <w:rPr>
                <w:rFonts w:cs="Arial"/>
                <w:snapToGrid w:val="0"/>
                <w:kern w:val="0"/>
                <w:sz w:val="21"/>
                <w:szCs w:val="21"/>
              </w:rPr>
            </w:pPr>
            <w:r>
              <w:rPr>
                <w:rFonts w:cs="Arial"/>
                <w:snapToGrid w:val="0"/>
                <w:kern w:val="0"/>
                <w:sz w:val="21"/>
                <w:szCs w:val="21"/>
              </w:rPr>
              <w:t>P780006</w:t>
            </w:r>
          </w:p>
        </w:tc>
      </w:tr>
    </w:tbl>
    <w:p w14:paraId="3A8B172F">
      <w:pPr>
        <w:topLinePunct/>
        <w:spacing w:before="187"/>
        <w:rPr>
          <w:rFonts w:cs="Arial"/>
          <w:snapToGrid w:val="0"/>
          <w:kern w:val="0"/>
        </w:rPr>
      </w:pPr>
    </w:p>
    <w:p w14:paraId="665ABF1F">
      <w:pPr>
        <w:pStyle w:val="11"/>
        <w:numPr>
          <w:ilvl w:val="1"/>
          <w:numId w:val="2"/>
        </w:numPr>
        <w:topLinePunct/>
        <w:spacing w:before="187"/>
        <w:ind w:left="480" w:hanging="480" w:hangingChars="200"/>
        <w:rPr>
          <w:rFonts w:cs="Arial"/>
          <w:snapToGrid w:val="0"/>
          <w:kern w:val="0"/>
        </w:rPr>
      </w:pPr>
      <w:r>
        <w:rPr>
          <w:rFonts w:cs="Arial"/>
          <w:snapToGrid w:val="0"/>
          <w:kern w:val="0"/>
        </w:rPr>
        <w:t>假阳性和假阴性结果的意义：</w:t>
      </w:r>
    </w:p>
    <w:p w14:paraId="056F10CA">
      <w:pPr>
        <w:topLinePunct/>
        <w:spacing w:before="187"/>
        <w:rPr>
          <w:rFonts w:cs="Arial"/>
          <w:snapToGrid w:val="0"/>
          <w:kern w:val="0"/>
        </w:rPr>
      </w:pPr>
      <w:r>
        <w:rPr>
          <w:rFonts w:cs="Arial"/>
          <w:snapToGrid w:val="0"/>
          <w:kern w:val="0"/>
        </w:rPr>
        <w:t>当制造商启动临床研究以支持旨在辅助检测胎儿ONTD器械的PMA时，应根据FDA发布的指南来执行MSAFP检测项目。FDA的观点是必须在</w:t>
      </w:r>
      <w:r>
        <w:rPr>
          <w:rFonts w:hint="eastAsia" w:cs="Arial"/>
          <w:snapToGrid w:val="0"/>
          <w:kern w:val="0"/>
        </w:rPr>
        <w:t>一开始就</w:t>
      </w:r>
      <w:r>
        <w:rPr>
          <w:rFonts w:cs="Arial"/>
          <w:snapToGrid w:val="0"/>
          <w:kern w:val="0"/>
        </w:rPr>
        <w:t>用贴有解释实验室结果</w:t>
      </w:r>
      <w:r>
        <w:rPr>
          <w:rFonts w:hint="eastAsia" w:cs="Arial"/>
          <w:snapToGrid w:val="0"/>
          <w:kern w:val="0"/>
        </w:rPr>
        <w:t>的</w:t>
      </w:r>
      <w:r>
        <w:rPr>
          <w:rFonts w:cs="Arial"/>
          <w:snapToGrid w:val="0"/>
          <w:kern w:val="0"/>
        </w:rPr>
        <w:t>手册和器械标签来辅助教育医生、遗传咨询师、护士、实验室人员和孕龄人群。FDA相信，不应</w:t>
      </w:r>
      <w:r>
        <w:rPr>
          <w:rFonts w:hint="eastAsia" w:cs="Arial"/>
          <w:snapToGrid w:val="0"/>
          <w:kern w:val="0"/>
        </w:rPr>
        <w:t>利用</w:t>
      </w:r>
      <w:r>
        <w:rPr>
          <w:rFonts w:cs="Arial"/>
          <w:snapToGrid w:val="0"/>
          <w:kern w:val="0"/>
        </w:rPr>
        <w:t>孕妇胎儿ONTD检测</w:t>
      </w:r>
      <w:r>
        <w:rPr>
          <w:rFonts w:hint="eastAsia" w:cs="Arial"/>
          <w:snapToGrid w:val="0"/>
          <w:kern w:val="0"/>
        </w:rPr>
        <w:t>来</w:t>
      </w:r>
      <w:r>
        <w:rPr>
          <w:rFonts w:ascii="宋体" w:hAnsi="宋体" w:cs="Arial"/>
          <w:snapToGrid w:val="0"/>
          <w:kern w:val="0"/>
        </w:rPr>
        <w:t>“</w:t>
      </w:r>
      <w:r>
        <w:rPr>
          <w:rFonts w:cs="Arial"/>
          <w:snapToGrid w:val="0"/>
          <w:kern w:val="0"/>
        </w:rPr>
        <w:t>筛查</w:t>
      </w:r>
      <w:r>
        <w:rPr>
          <w:rFonts w:ascii="宋体" w:hAnsi="宋体" w:cs="Arial"/>
          <w:snapToGrid w:val="0"/>
          <w:kern w:val="0"/>
        </w:rPr>
        <w:t>”</w:t>
      </w:r>
      <w:r>
        <w:rPr>
          <w:rFonts w:cs="Arial"/>
          <w:snapToGrid w:val="0"/>
          <w:kern w:val="0"/>
        </w:rPr>
        <w:t>胎儿ONTD。筛查意味着全部孕妇应进行AFP检测，而这不是FDA的立场。</w:t>
      </w:r>
    </w:p>
    <w:p w14:paraId="1793A95A">
      <w:pPr>
        <w:topLinePunct/>
        <w:spacing w:before="187"/>
        <w:rPr>
          <w:rFonts w:cs="Arial"/>
          <w:snapToGrid w:val="0"/>
          <w:kern w:val="0"/>
        </w:rPr>
      </w:pPr>
      <w:r>
        <w:rPr>
          <w:rFonts w:cs="Arial"/>
          <w:snapToGrid w:val="0"/>
          <w:kern w:val="0"/>
        </w:rPr>
        <w:br w:type="page"/>
      </w:r>
    </w:p>
    <w:p w14:paraId="1065DE7F">
      <w:pPr>
        <w:tabs>
          <w:tab w:val="left" w:pos="480"/>
        </w:tabs>
        <w:topLinePunct/>
        <w:spacing w:before="187"/>
        <w:rPr>
          <w:rFonts w:cs="Arial"/>
          <w:b/>
          <w:snapToGrid w:val="0"/>
          <w:kern w:val="0"/>
        </w:rPr>
      </w:pPr>
      <w:r>
        <w:rPr>
          <w:rFonts w:cs="Arial"/>
          <w:b/>
          <w:snapToGrid w:val="0"/>
          <w:kern w:val="0"/>
        </w:rPr>
        <w:t>II.</w:t>
      </w:r>
      <w:r>
        <w:rPr>
          <w:rFonts w:hint="eastAsia" w:cs="Arial"/>
          <w:b/>
          <w:snapToGrid w:val="0"/>
          <w:kern w:val="0"/>
        </w:rPr>
        <w:tab/>
      </w:r>
      <w:r>
        <w:rPr>
          <w:rFonts w:cs="Arial"/>
          <w:b/>
          <w:snapToGrid w:val="0"/>
          <w:kern w:val="0"/>
        </w:rPr>
        <w:t>器械描述：</w:t>
      </w:r>
    </w:p>
    <w:p w14:paraId="1980BEF3">
      <w:pPr>
        <w:topLinePunct/>
        <w:spacing w:before="187"/>
        <w:rPr>
          <w:rFonts w:cs="Arial"/>
          <w:snapToGrid w:val="0"/>
          <w:kern w:val="0"/>
        </w:rPr>
      </w:pPr>
      <w:r>
        <w:rPr>
          <w:rFonts w:cs="Arial"/>
          <w:snapToGrid w:val="0"/>
          <w:kern w:val="0"/>
        </w:rPr>
        <w:t>审查新AFP器械所遇到的关键问题是</w:t>
      </w:r>
      <w:r>
        <w:rPr>
          <w:rFonts w:hint="eastAsia" w:cs="Arial"/>
          <w:snapToGrid w:val="0"/>
          <w:kern w:val="0"/>
        </w:rPr>
        <w:t>特定</w:t>
      </w:r>
      <w:r>
        <w:rPr>
          <w:rFonts w:cs="Arial"/>
          <w:snapToGrid w:val="0"/>
          <w:kern w:val="0"/>
        </w:rPr>
        <w:t>预期用途、供试品来源以及所采用的技术。必须提交下述描述性信息以充分描述用于检测临床样品中AFP的新</w:t>
      </w:r>
      <w:r>
        <w:rPr>
          <w:rFonts w:hint="eastAsia" w:cs="Arial"/>
          <w:snapToGrid w:val="0"/>
          <w:kern w:val="0"/>
        </w:rPr>
        <w:t>型</w:t>
      </w:r>
      <w:r>
        <w:rPr>
          <w:rFonts w:cs="Arial"/>
          <w:snapToGrid w:val="0"/>
          <w:kern w:val="0"/>
        </w:rPr>
        <w:t>体外器械。除下述要求的描述性信息外，必须提交与器械技术相关的合理同行评审文献，充分</w:t>
      </w:r>
      <w:bookmarkStart w:id="12" w:name="OLE_LINK3"/>
      <w:bookmarkStart w:id="13" w:name="OLE_LINK4"/>
      <w:r>
        <w:rPr>
          <w:rFonts w:cs="Arial"/>
          <w:snapToGrid w:val="0"/>
          <w:kern w:val="0"/>
        </w:rPr>
        <w:t>描述</w:t>
      </w:r>
      <w:bookmarkEnd w:id="12"/>
      <w:bookmarkEnd w:id="13"/>
      <w:r>
        <w:rPr>
          <w:rFonts w:cs="Arial"/>
          <w:snapToGrid w:val="0"/>
          <w:kern w:val="0"/>
        </w:rPr>
        <w:t>新型体外器械。</w:t>
      </w:r>
    </w:p>
    <w:p w14:paraId="65A53A0B">
      <w:pPr>
        <w:pStyle w:val="11"/>
        <w:numPr>
          <w:ilvl w:val="0"/>
          <w:numId w:val="3"/>
        </w:numPr>
        <w:topLinePunct/>
        <w:spacing w:before="187"/>
        <w:ind w:left="480" w:hanging="480" w:hangingChars="200"/>
        <w:rPr>
          <w:rFonts w:cs="Arial"/>
          <w:snapToGrid w:val="0"/>
          <w:kern w:val="0"/>
        </w:rPr>
      </w:pPr>
      <w:r>
        <w:rPr>
          <w:rFonts w:cs="Arial"/>
          <w:snapToGrid w:val="0"/>
          <w:kern w:val="0"/>
        </w:rPr>
        <w:t>预期用途</w:t>
      </w:r>
    </w:p>
    <w:p w14:paraId="28AB54DD">
      <w:pPr>
        <w:topLinePunct/>
        <w:spacing w:before="187"/>
        <w:rPr>
          <w:rFonts w:cs="Arial"/>
          <w:snapToGrid w:val="0"/>
          <w:kern w:val="0"/>
        </w:rPr>
      </w:pPr>
      <w:r>
        <w:rPr>
          <w:rFonts w:cs="Arial"/>
          <w:snapToGrid w:val="0"/>
          <w:kern w:val="0"/>
        </w:rPr>
        <w:t>AFP检测系统是由利用免疫化学技术来测定产妇血清和羊水样品中AFP的试剂组成的器械。根据FDA规定的检测方案，对产妇血清和羊水样品中的AFP进行测定，可辅助检测胎儿ONTD</w:t>
      </w:r>
      <w:r>
        <w:rPr>
          <w:rFonts w:cs="Arial"/>
          <w:snapToGrid w:val="0"/>
          <w:kern w:val="0"/>
          <w:vertAlign w:val="superscript"/>
        </w:rPr>
        <w:t>36</w:t>
      </w:r>
      <w:r>
        <w:rPr>
          <w:rFonts w:cs="Arial"/>
          <w:snapToGrid w:val="0"/>
          <w:kern w:val="0"/>
        </w:rPr>
        <w:t>。</w:t>
      </w:r>
    </w:p>
    <w:p w14:paraId="7B653938">
      <w:pPr>
        <w:pStyle w:val="11"/>
        <w:numPr>
          <w:ilvl w:val="0"/>
          <w:numId w:val="3"/>
        </w:numPr>
        <w:topLinePunct/>
        <w:spacing w:before="187"/>
        <w:ind w:left="480" w:hanging="480" w:hangingChars="200"/>
        <w:rPr>
          <w:rFonts w:cs="Arial"/>
          <w:snapToGrid w:val="0"/>
          <w:kern w:val="0"/>
        </w:rPr>
      </w:pPr>
      <w:r>
        <w:rPr>
          <w:rFonts w:cs="Arial"/>
          <w:snapToGrid w:val="0"/>
          <w:kern w:val="0"/>
        </w:rPr>
        <w:t>操作原理</w:t>
      </w:r>
    </w:p>
    <w:p w14:paraId="007E9005">
      <w:pPr>
        <w:topLinePunct/>
        <w:spacing w:before="187"/>
        <w:rPr>
          <w:rFonts w:cs="Arial"/>
          <w:snapToGrid w:val="0"/>
          <w:kern w:val="0"/>
        </w:rPr>
      </w:pPr>
      <w:r>
        <w:rPr>
          <w:rFonts w:cs="Arial"/>
          <w:snapToGrid w:val="0"/>
          <w:kern w:val="0"/>
        </w:rPr>
        <w:t>AFP免疫学检测系统可</w:t>
      </w:r>
      <w:r>
        <w:rPr>
          <w:rFonts w:hint="eastAsia" w:cs="Arial"/>
          <w:snapToGrid w:val="0"/>
          <w:kern w:val="0"/>
        </w:rPr>
        <w:t>采用</w:t>
      </w:r>
      <w:r>
        <w:rPr>
          <w:rFonts w:cs="Arial"/>
          <w:snapToGrid w:val="0"/>
          <w:kern w:val="0"/>
        </w:rPr>
        <w:t>下述一般原理，这些原理因所采用的方法不同可能存在</w:t>
      </w:r>
      <w:r>
        <w:rPr>
          <w:rFonts w:hint="eastAsia" w:cs="Arial"/>
          <w:snapToGrid w:val="0"/>
          <w:kern w:val="0"/>
        </w:rPr>
        <w:t>差异</w:t>
      </w:r>
      <w:r>
        <w:rPr>
          <w:rFonts w:cs="Arial"/>
          <w:snapToGrid w:val="0"/>
          <w:kern w:val="0"/>
        </w:rPr>
        <w:t>。要求对检测方法的原理进行充分讨论。本文件</w:t>
      </w:r>
      <w:r>
        <w:rPr>
          <w:rFonts w:hint="eastAsia" w:cs="Arial"/>
          <w:snapToGrid w:val="0"/>
          <w:kern w:val="0"/>
        </w:rPr>
        <w:t>通过评估</w:t>
      </w:r>
      <w:r>
        <w:rPr>
          <w:rFonts w:cs="Arial"/>
          <w:snapToGrid w:val="0"/>
          <w:kern w:val="0"/>
        </w:rPr>
        <w:t>检测系统，解决了一些</w:t>
      </w:r>
      <w:r>
        <w:rPr>
          <w:rFonts w:hint="eastAsia" w:cs="Arial"/>
          <w:snapToGrid w:val="0"/>
          <w:kern w:val="0"/>
        </w:rPr>
        <w:t>难题</w:t>
      </w:r>
      <w:r>
        <w:rPr>
          <w:rFonts w:cs="Arial"/>
          <w:snapToGrid w:val="0"/>
          <w:kern w:val="0"/>
        </w:rPr>
        <w:t>，如确保试剂对AFP</w:t>
      </w:r>
      <w:r>
        <w:rPr>
          <w:rFonts w:hint="eastAsia" w:cs="Arial"/>
          <w:snapToGrid w:val="0"/>
          <w:kern w:val="0"/>
        </w:rPr>
        <w:t>具有</w:t>
      </w:r>
      <w:r>
        <w:rPr>
          <w:rFonts w:cs="Arial"/>
          <w:snapToGrid w:val="0"/>
          <w:kern w:val="0"/>
        </w:rPr>
        <w:t>免疫化学专一性。鉴于分子的稳定性，始终通过免疫分析来测定AFP。早期研究利用电泳免疫扩散（火箭电泳，这是一种利用在凝胶中固</w:t>
      </w:r>
      <w:r>
        <w:rPr>
          <w:rFonts w:hint="eastAsia" w:cs="Arial"/>
          <w:snapToGrid w:val="0"/>
          <w:kern w:val="0"/>
        </w:rPr>
        <w:t>化</w:t>
      </w:r>
      <w:r>
        <w:rPr>
          <w:rFonts w:cs="Arial"/>
          <w:snapToGrid w:val="0"/>
          <w:kern w:val="0"/>
        </w:rPr>
        <w:t>的AFP特异性抗体进行沉淀免疫检测</w:t>
      </w:r>
      <w:r>
        <w:rPr>
          <w:rFonts w:hint="eastAsia" w:cs="Arial"/>
          <w:snapToGrid w:val="0"/>
          <w:kern w:val="0"/>
        </w:rPr>
        <w:t>的方法</w:t>
      </w:r>
      <w:r>
        <w:rPr>
          <w:rFonts w:cs="Arial"/>
          <w:snapToGrid w:val="0"/>
          <w:kern w:val="0"/>
        </w:rPr>
        <w:t>）对羊水中AFP进行定量。目前，仍偶尔使用火箭电泳来检测羊水中的AFP。该技术的灵敏度不足以测定产妇血清中AFP的下限。大多数实验室目前使用放射性免疫测定（RIA）或酶免疫测定（EIA）。几种放射性免疫测定（RIA）和酶联免疫吸附测定（ELISA）器械和试剂已获得批准，并且，食品药品监督管理局（FDA）对其生产进行了监督。这些方法能够对产妇血清和羊水中的AFP进行定量。实际上，利用试剂盒测定的AFP数值必须位于10IU/ml和150IU/ml之间。</w:t>
      </w:r>
    </w:p>
    <w:p w14:paraId="124E6E2C">
      <w:pPr>
        <w:topLinePunct/>
        <w:spacing w:before="187"/>
        <w:rPr>
          <w:rFonts w:cs="Arial"/>
          <w:snapToGrid w:val="0"/>
          <w:kern w:val="0"/>
        </w:rPr>
      </w:pPr>
      <w:r>
        <w:rPr>
          <w:rFonts w:cs="Arial"/>
          <w:snapToGrid w:val="0"/>
          <w:kern w:val="0"/>
        </w:rPr>
        <w:t>将抗原-抗体结合系统分为两类：竞争性和非竞争性测定。在竞争性检测中，在单特异性抗AFP试剂和一定量的标记品（例如，放射性碘化AFP标准品）之间建立一种化学计量关系。将含有未知AFP水平的样品与标记</w:t>
      </w:r>
      <w:r>
        <w:rPr>
          <w:rFonts w:hint="eastAsia" w:cs="Arial"/>
          <w:snapToGrid w:val="0"/>
          <w:kern w:val="0"/>
        </w:rPr>
        <w:t>品</w:t>
      </w:r>
      <w:r>
        <w:rPr>
          <w:rFonts w:cs="Arial"/>
          <w:snapToGrid w:val="0"/>
          <w:kern w:val="0"/>
        </w:rPr>
        <w:t>的AFP竞争的程度进行比较，并从标准曲线上读出AFP的浓度。这种类型的竞争性结合程序的成功取决于结合物的分离以及自由标记的AFP。通常</w:t>
      </w:r>
      <w:r>
        <w:rPr>
          <w:rFonts w:hint="eastAsia" w:cs="Arial"/>
          <w:snapToGrid w:val="0"/>
          <w:kern w:val="0"/>
        </w:rPr>
        <w:t>采用</w:t>
      </w:r>
      <w:r>
        <w:rPr>
          <w:rFonts w:cs="Arial"/>
          <w:snapToGrid w:val="0"/>
          <w:kern w:val="0"/>
        </w:rPr>
        <w:t>添加能够沉淀免疫球蛋白的第二种单一特异性抗球蛋白试剂</w:t>
      </w:r>
      <w:r>
        <w:rPr>
          <w:rFonts w:hint="eastAsia" w:cs="Arial"/>
          <w:snapToGrid w:val="0"/>
          <w:kern w:val="0"/>
        </w:rPr>
        <w:t>来</w:t>
      </w:r>
      <w:r>
        <w:rPr>
          <w:rFonts w:cs="Arial"/>
          <w:snapToGrid w:val="0"/>
          <w:kern w:val="0"/>
        </w:rPr>
        <w:t>完成这一过程：单一特异性抗球蛋白试剂复合物（双抗体放射性免疫测定）。随后，在本指南文件中解决了本技术的其它方面</w:t>
      </w:r>
      <w:r>
        <w:rPr>
          <w:rFonts w:hint="eastAsia" w:cs="Arial"/>
          <w:snapToGrid w:val="0"/>
          <w:kern w:val="0"/>
        </w:rPr>
        <w:t>问题</w:t>
      </w:r>
      <w:r>
        <w:rPr>
          <w:rFonts w:cs="Arial"/>
          <w:snapToGrid w:val="0"/>
          <w:kern w:val="0"/>
        </w:rPr>
        <w:t>：例如，纯度、专一性和抗体的亲和结合、抗原纯度、反应混合物的pH、蛋白质浓度。</w:t>
      </w:r>
    </w:p>
    <w:p w14:paraId="66EDE2ED">
      <w:pPr>
        <w:topLinePunct/>
        <w:spacing w:before="187"/>
        <w:rPr>
          <w:rFonts w:cs="Arial"/>
          <w:snapToGrid w:val="0"/>
          <w:kern w:val="0"/>
        </w:rPr>
      </w:pPr>
      <w:r>
        <w:rPr>
          <w:rFonts w:cs="Arial"/>
          <w:snapToGrid w:val="0"/>
          <w:kern w:val="0"/>
        </w:rPr>
        <w:br w:type="page"/>
      </w:r>
    </w:p>
    <w:p w14:paraId="200B6E87">
      <w:pPr>
        <w:topLinePunct/>
        <w:spacing w:before="187"/>
        <w:rPr>
          <w:rFonts w:cs="Arial"/>
          <w:snapToGrid w:val="0"/>
          <w:kern w:val="0"/>
        </w:rPr>
      </w:pPr>
      <w:r>
        <w:rPr>
          <w:rFonts w:cs="Arial"/>
          <w:snapToGrid w:val="0"/>
          <w:kern w:val="0"/>
        </w:rPr>
        <w:t>已将单克隆抗体的竞争性分析（和化学发光）与固相系统（免疫放射测定（IRMA））配套使用。检测系统中的AFP与一定量的、经放射性同位素标记的（发光试剂）AFP竞争结合</w:t>
      </w:r>
      <w:r>
        <w:rPr>
          <w:rFonts w:hint="eastAsia" w:cs="Arial"/>
          <w:snapToGrid w:val="0"/>
          <w:kern w:val="0"/>
        </w:rPr>
        <w:t>后</w:t>
      </w:r>
      <w:r>
        <w:rPr>
          <w:rFonts w:cs="Arial"/>
          <w:snapToGrid w:val="0"/>
          <w:kern w:val="0"/>
        </w:rPr>
        <w:t>含有抗AFP试剂的固化支持物上有限数量的结合位点。</w:t>
      </w:r>
    </w:p>
    <w:p w14:paraId="52389C41">
      <w:pPr>
        <w:topLinePunct/>
        <w:spacing w:before="187"/>
        <w:rPr>
          <w:rFonts w:cs="Arial"/>
          <w:snapToGrid w:val="0"/>
          <w:kern w:val="0"/>
        </w:rPr>
      </w:pPr>
      <w:r>
        <w:rPr>
          <w:rFonts w:cs="Arial"/>
          <w:snapToGrid w:val="0"/>
          <w:kern w:val="0"/>
        </w:rPr>
        <w:t>当竞争性结合测定采用放射性同位素时，将其归类为放射性免疫测定；但是，其也可能替代利用荧光染料标记的抗免疫球蛋白试剂（荧光免疫测定）或源于与抗免疫球蛋白试剂共轭酶的杂交瘤细胞。加入合理基质，并利用合理分光光度计（酶免疫分析）进行检测时，这些试剂通过监控比色反应可估计分析物的浓度。在这些测定条件下，通过放射标记（放射免疫测定）或酶联试剂（酶免疫分析法）放大的结合系统提供了所需的灵敏度。必须对AFP器械中所使用的基质／指示剂进行说明，包括pH值（例如，荧光底物和其它）。</w:t>
      </w:r>
    </w:p>
    <w:p w14:paraId="7A9CD070">
      <w:pPr>
        <w:topLinePunct/>
        <w:spacing w:before="187"/>
        <w:rPr>
          <w:rFonts w:cs="Arial"/>
          <w:snapToGrid w:val="0"/>
          <w:kern w:val="0"/>
        </w:rPr>
      </w:pPr>
      <w:r>
        <w:rPr>
          <w:rFonts w:cs="Arial"/>
          <w:snapToGrid w:val="0"/>
          <w:kern w:val="0"/>
        </w:rPr>
        <w:t>对用于定量测定血清和羊水中人源AFP的方法进行综述，发现由于改进仪器、标准、单克隆糖体试剂和对干扰物质的了解，这些技术逐渐更加灵敏和准确。用于定量和鉴定人源AFP的免疫化学、生物发光和化学发光方法正迅速成为自动医疗器械的方法选择。这些方法创新提高了估计AFP MOM数值的精密度和整体可靠性。应对与更新和创新方法相关的局限性进行探索和描述，并与较旧的方法进行比较。</w:t>
      </w:r>
    </w:p>
    <w:p w14:paraId="507CF6B8">
      <w:pPr>
        <w:tabs>
          <w:tab w:val="left" w:pos="480"/>
        </w:tabs>
        <w:topLinePunct/>
        <w:spacing w:before="187"/>
        <w:rPr>
          <w:rFonts w:cs="Arial"/>
          <w:b/>
          <w:snapToGrid w:val="0"/>
          <w:kern w:val="0"/>
        </w:rPr>
      </w:pPr>
      <w:r>
        <w:rPr>
          <w:rFonts w:cs="Arial"/>
          <w:b/>
          <w:snapToGrid w:val="0"/>
          <w:kern w:val="0"/>
        </w:rPr>
        <w:t>III.</w:t>
      </w:r>
      <w:r>
        <w:rPr>
          <w:rFonts w:hint="eastAsia" w:cs="Arial"/>
          <w:b/>
          <w:snapToGrid w:val="0"/>
          <w:kern w:val="0"/>
        </w:rPr>
        <w:tab/>
      </w:r>
      <w:r>
        <w:rPr>
          <w:rFonts w:cs="Arial"/>
          <w:b/>
          <w:snapToGrid w:val="0"/>
          <w:kern w:val="0"/>
        </w:rPr>
        <w:t>非临床实验室研究：具体性能特征：</w:t>
      </w:r>
    </w:p>
    <w:p w14:paraId="5C864097">
      <w:pPr>
        <w:topLinePunct/>
        <w:spacing w:before="187"/>
        <w:rPr>
          <w:rFonts w:cs="Arial"/>
          <w:snapToGrid w:val="0"/>
          <w:kern w:val="0"/>
        </w:rPr>
      </w:pPr>
    </w:p>
    <w:p w14:paraId="7F33E736">
      <w:pPr>
        <w:topLinePunct/>
        <w:spacing w:before="187"/>
        <w:rPr>
          <w:rFonts w:cs="Arial"/>
          <w:snapToGrid w:val="0"/>
          <w:kern w:val="0"/>
        </w:rPr>
      </w:pPr>
      <w:r>
        <w:rPr>
          <w:rFonts w:cs="Arial"/>
          <w:snapToGrid w:val="0"/>
          <w:kern w:val="0"/>
        </w:rPr>
        <w:br w:type="page"/>
      </w:r>
    </w:p>
    <w:p w14:paraId="7DD9CE25">
      <w:pPr>
        <w:topLinePunct/>
        <w:spacing w:before="187"/>
        <w:rPr>
          <w:rFonts w:cs="Arial"/>
          <w:snapToGrid w:val="0"/>
          <w:kern w:val="0"/>
        </w:rPr>
      </w:pPr>
      <w:r>
        <w:rPr>
          <w:rFonts w:cs="Arial"/>
          <w:snapToGrid w:val="0"/>
          <w:kern w:val="0"/>
        </w:rPr>
        <w:t>FDA要求在PMA申请中提交不同类型和数量的数据和统计学分析结果，以申请III类批准（上市前审批</w:t>
      </w:r>
      <w:r>
        <w:rPr>
          <w:rFonts w:hint="eastAsia" w:cs="Arial"/>
          <w:snapToGrid w:val="0"/>
          <w:kern w:val="0"/>
        </w:rPr>
        <w:t>应用</w:t>
      </w:r>
      <w:r>
        <w:rPr>
          <w:rFonts w:cs="Arial"/>
          <w:snapToGrid w:val="0"/>
          <w:kern w:val="0"/>
        </w:rPr>
        <w:t>）。提交数据的数量和类型取决于：1）供试分析物，2）预期用途（确定提交是否为PMA）以及3）器械的技术特征。</w:t>
      </w:r>
    </w:p>
    <w:p w14:paraId="2138A500">
      <w:pPr>
        <w:pStyle w:val="11"/>
        <w:numPr>
          <w:ilvl w:val="0"/>
          <w:numId w:val="4"/>
        </w:numPr>
        <w:topLinePunct/>
        <w:spacing w:before="187"/>
        <w:ind w:left="480" w:hanging="480" w:hangingChars="200"/>
        <w:rPr>
          <w:rFonts w:cs="Arial"/>
          <w:snapToGrid w:val="0"/>
          <w:kern w:val="0"/>
        </w:rPr>
      </w:pPr>
      <w:r>
        <w:rPr>
          <w:rFonts w:cs="Arial"/>
          <w:snapToGrid w:val="0"/>
          <w:kern w:val="0"/>
        </w:rPr>
        <w:t>样品和数据采集设计</w:t>
      </w:r>
    </w:p>
    <w:p w14:paraId="4DE9E4B4">
      <w:pPr>
        <w:topLinePunct/>
        <w:spacing w:before="187"/>
        <w:rPr>
          <w:rFonts w:cs="Arial"/>
          <w:snapToGrid w:val="0"/>
          <w:kern w:val="0"/>
        </w:rPr>
      </w:pPr>
      <w:r>
        <w:rPr>
          <w:rFonts w:cs="Arial"/>
          <w:snapToGrid w:val="0"/>
          <w:kern w:val="0"/>
        </w:rPr>
        <w:t>在妊娠过程中影响AFP测定的因素包括：</w:t>
      </w:r>
    </w:p>
    <w:p w14:paraId="2559216B">
      <w:pPr>
        <w:topLinePunct/>
        <w:spacing w:before="187"/>
        <w:rPr>
          <w:rFonts w:cs="Arial"/>
          <w:snapToGrid w:val="0"/>
          <w:kern w:val="0"/>
        </w:rPr>
      </w:pPr>
      <w:r>
        <w:rPr>
          <w:rFonts w:cs="Arial"/>
          <w:snapToGrid w:val="0"/>
          <w:kern w:val="0"/>
        </w:rPr>
        <w:t>AFP器械的制造商或</w:t>
      </w:r>
      <w:r>
        <w:rPr>
          <w:rFonts w:hint="eastAsia" w:cs="Arial"/>
          <w:snapToGrid w:val="0"/>
          <w:kern w:val="0"/>
        </w:rPr>
        <w:t>申办方</w:t>
      </w:r>
      <w:r>
        <w:rPr>
          <w:rFonts w:cs="Arial"/>
          <w:snapToGrid w:val="0"/>
          <w:kern w:val="0"/>
        </w:rPr>
        <w:t>应提供患者信息、实验室数据以及AFP结果的统计学评估，其原因是在整个妊娠过程中产妇血清和羊水中的平均AFP浓度存在</w:t>
      </w:r>
      <w:r>
        <w:rPr>
          <w:rFonts w:hint="eastAsia" w:cs="Arial"/>
          <w:snapToGrid w:val="0"/>
          <w:kern w:val="0"/>
        </w:rPr>
        <w:t>差异</w:t>
      </w:r>
      <w:r>
        <w:rPr>
          <w:rFonts w:cs="Arial"/>
          <w:snapToGrid w:val="0"/>
          <w:kern w:val="0"/>
        </w:rPr>
        <w:t>。</w:t>
      </w:r>
    </w:p>
    <w:p w14:paraId="27EE2303">
      <w:pPr>
        <w:topLinePunct/>
        <w:spacing w:before="187"/>
        <w:rPr>
          <w:rFonts w:cs="Arial"/>
          <w:snapToGrid w:val="0"/>
          <w:kern w:val="0"/>
        </w:rPr>
      </w:pPr>
      <w:r>
        <w:rPr>
          <w:rFonts w:cs="Arial"/>
          <w:snapToGrid w:val="0"/>
          <w:kern w:val="0"/>
        </w:rPr>
        <w:t>在每个孕周，AFP浓度在不受影响的妊娠和受ONTD影响的妊娠之间的分布存在重叠。特别是针对产妇血清，以及在较小程度上，适用于羊水。因此，在选择AFP截止点时，该截止点应包含明确的假阳性率和检出率。</w:t>
      </w:r>
    </w:p>
    <w:p w14:paraId="726F712B">
      <w:pPr>
        <w:topLinePunct/>
        <w:spacing w:before="187"/>
        <w:rPr>
          <w:rFonts w:cs="Arial"/>
          <w:snapToGrid w:val="0"/>
          <w:kern w:val="0"/>
        </w:rPr>
      </w:pPr>
      <w:r>
        <w:rPr>
          <w:rFonts w:cs="Arial"/>
          <w:snapToGrid w:val="0"/>
          <w:kern w:val="0"/>
        </w:rPr>
        <w:t>1.孕妇体重（而不是羊水）影响MSAFP浓度。其原因是随着血量增加所产生的稀释效应。黑人妇女的MSAFP检测结果较孕妇人群中的其他人种和族群高出10-15%。这种差异不取决于体重或其它已知变量。孕妇的胰岛素依赖型糖尿病与低水平MSAFP相关（约20%）。FDA建议在生成用于解释MSAFP检测结果（通过调整AFP数值）的数据表时，考虑全部这些因素。按孕周制表时，可通过将患者AFP数值与多种未受影响</w:t>
      </w:r>
      <w:r>
        <w:rPr>
          <w:rFonts w:hint="eastAsia" w:cs="Arial"/>
          <w:snapToGrid w:val="0"/>
          <w:kern w:val="0"/>
        </w:rPr>
        <w:t>且按</w:t>
      </w:r>
      <w:r>
        <w:rPr>
          <w:rFonts w:cs="Arial"/>
          <w:snapToGrid w:val="0"/>
          <w:kern w:val="0"/>
        </w:rPr>
        <w:t>规定孕龄</w:t>
      </w:r>
      <w:r>
        <w:rPr>
          <w:rFonts w:hint="eastAsia" w:cs="Arial"/>
          <w:snapToGrid w:val="0"/>
          <w:kern w:val="0"/>
        </w:rPr>
        <w:t>分类的</w:t>
      </w:r>
      <w:r>
        <w:rPr>
          <w:rFonts w:cs="Arial"/>
          <w:snapToGrid w:val="0"/>
          <w:kern w:val="0"/>
        </w:rPr>
        <w:t>人群中位数数值进行比较，以解释MSAFP检测结果的中位数数值。FDA期望AFP试剂盒的</w:t>
      </w:r>
      <w:r>
        <w:rPr>
          <w:rFonts w:hint="eastAsia" w:cs="Arial"/>
          <w:snapToGrid w:val="0"/>
          <w:kern w:val="0"/>
        </w:rPr>
        <w:t>申办方</w:t>
      </w:r>
      <w:r>
        <w:rPr>
          <w:rFonts w:cs="Arial"/>
          <w:snapToGrid w:val="0"/>
          <w:kern w:val="0"/>
        </w:rPr>
        <w:t>可通过文件来指导医生和遗传咨询师理解并解释MSAFP数值。</w:t>
      </w:r>
    </w:p>
    <w:p w14:paraId="45D3E5B3">
      <w:pPr>
        <w:topLinePunct/>
        <w:spacing w:before="187"/>
        <w:rPr>
          <w:rFonts w:cs="Arial"/>
          <w:snapToGrid w:val="0"/>
          <w:kern w:val="0"/>
        </w:rPr>
      </w:pPr>
      <w:r>
        <w:rPr>
          <w:rFonts w:cs="Arial"/>
          <w:snapToGrid w:val="0"/>
          <w:kern w:val="0"/>
        </w:rPr>
        <w:t>2.孕妇年龄、产次、地理因素和与季节变化相关的因素</w:t>
      </w:r>
      <w:r>
        <w:rPr>
          <w:rFonts w:hint="eastAsia" w:cs="Arial"/>
          <w:snapToGrid w:val="0"/>
          <w:kern w:val="0"/>
        </w:rPr>
        <w:t>与</w:t>
      </w:r>
      <w:r>
        <w:rPr>
          <w:rFonts w:cs="Arial"/>
          <w:snapToGrid w:val="0"/>
          <w:kern w:val="0"/>
        </w:rPr>
        <w:t>对受累妊娠中的血清和羊水样品中的AFP水平分布造成影响的季节变化相关；但是，已知这些变化不会影响未受累妊娠中血清或羊水AFP测定值的分布。</w:t>
      </w:r>
    </w:p>
    <w:p w14:paraId="50F7E97E">
      <w:pPr>
        <w:topLinePunct/>
        <w:spacing w:before="187"/>
        <w:rPr>
          <w:rFonts w:cs="Arial"/>
          <w:snapToGrid w:val="0"/>
          <w:kern w:val="0"/>
        </w:rPr>
      </w:pPr>
      <w:r>
        <w:rPr>
          <w:rFonts w:cs="Arial"/>
          <w:snapToGrid w:val="0"/>
          <w:kern w:val="0"/>
        </w:rPr>
        <w:t>3.预约孕龄的方法：AFP器械的申办方应知道可采用两种惯例来定义</w:t>
      </w:r>
      <w:r>
        <w:rPr>
          <w:rFonts w:hint="eastAsia" w:cs="Arial"/>
          <w:snapToGrid w:val="0"/>
          <w:kern w:val="0"/>
        </w:rPr>
        <w:t>应</w:t>
      </w:r>
      <w:r>
        <w:rPr>
          <w:rFonts w:cs="Arial"/>
          <w:snapToGrid w:val="0"/>
          <w:kern w:val="0"/>
        </w:rPr>
        <w:t>在哪个孕周</w:t>
      </w:r>
      <w:r>
        <w:rPr>
          <w:rFonts w:hint="eastAsia" w:cs="Arial"/>
          <w:snapToGrid w:val="0"/>
          <w:kern w:val="0"/>
        </w:rPr>
        <w:t>发送</w:t>
      </w:r>
      <w:r>
        <w:rPr>
          <w:rFonts w:cs="Arial"/>
          <w:snapToGrid w:val="0"/>
          <w:kern w:val="0"/>
        </w:rPr>
        <w:t>血清样品</w:t>
      </w:r>
      <w:r>
        <w:rPr>
          <w:rFonts w:hint="eastAsia" w:cs="Arial"/>
          <w:snapToGrid w:val="0"/>
          <w:kern w:val="0"/>
        </w:rPr>
        <w:t>进行</w:t>
      </w:r>
      <w:r>
        <w:rPr>
          <w:rFonts w:cs="Arial"/>
          <w:snapToGrid w:val="0"/>
          <w:kern w:val="0"/>
        </w:rPr>
        <w:t>MSAFP检测。首先，完整的孕周决定了孕龄的分布（例如，17周+4天=17周）。其次，孕龄近似于最近的孕周（例如，17周+4天=18周）。FDA强制进行上市后研究</w:t>
      </w:r>
      <w:r>
        <w:rPr>
          <w:rFonts w:hint="eastAsia" w:cs="Arial"/>
          <w:snapToGrid w:val="0"/>
          <w:kern w:val="0"/>
        </w:rPr>
        <w:t>的</w:t>
      </w:r>
      <w:r>
        <w:rPr>
          <w:rFonts w:cs="Arial"/>
          <w:snapToGrid w:val="0"/>
          <w:kern w:val="0"/>
        </w:rPr>
        <w:t>结果和美国技术检查项目结果表明几乎全部实验室使用了完整孕周。FDA未正式建议在特定检测实验室中使用哪种方法，而是让大家了解在解释MSAFP AFP水平时，可利用完整孕周来</w:t>
      </w:r>
      <w:r>
        <w:rPr>
          <w:rFonts w:hint="eastAsia" w:cs="Arial"/>
          <w:snapToGrid w:val="0"/>
          <w:kern w:val="0"/>
        </w:rPr>
        <w:t>获得</w:t>
      </w:r>
      <w:r>
        <w:rPr>
          <w:rFonts w:cs="Arial"/>
          <w:snapToGrid w:val="0"/>
          <w:kern w:val="0"/>
        </w:rPr>
        <w:t>一致性。</w:t>
      </w:r>
    </w:p>
    <w:p w14:paraId="5BB79685">
      <w:pPr>
        <w:topLinePunct/>
        <w:spacing w:before="187"/>
        <w:rPr>
          <w:rFonts w:cs="Arial"/>
          <w:snapToGrid w:val="0"/>
          <w:kern w:val="0"/>
        </w:rPr>
      </w:pPr>
      <w:r>
        <w:rPr>
          <w:rFonts w:cs="Arial"/>
          <w:snapToGrid w:val="0"/>
          <w:kern w:val="0"/>
        </w:rPr>
        <w:br w:type="page"/>
      </w:r>
    </w:p>
    <w:p w14:paraId="1AA54DEA">
      <w:pPr>
        <w:topLinePunct/>
        <w:spacing w:before="187"/>
        <w:rPr>
          <w:rFonts w:cs="Arial"/>
          <w:snapToGrid w:val="0"/>
          <w:kern w:val="0"/>
        </w:rPr>
      </w:pPr>
      <w:r>
        <w:rPr>
          <w:rFonts w:cs="Arial"/>
          <w:snapToGrid w:val="0"/>
          <w:kern w:val="0"/>
        </w:rPr>
        <w:t>通常，</w:t>
      </w:r>
      <w:r>
        <w:rPr>
          <w:rFonts w:hint="eastAsia" w:cs="Arial"/>
          <w:snapToGrid w:val="0"/>
          <w:kern w:val="0"/>
        </w:rPr>
        <w:t>利用</w:t>
      </w:r>
      <w:r>
        <w:rPr>
          <w:rFonts w:cs="Arial"/>
          <w:snapToGrid w:val="0"/>
          <w:kern w:val="0"/>
        </w:rPr>
        <w:t>从末次月经日期的第一天</w:t>
      </w:r>
      <w:r>
        <w:rPr>
          <w:rFonts w:hint="eastAsia" w:cs="Arial"/>
          <w:snapToGrid w:val="0"/>
          <w:kern w:val="0"/>
        </w:rPr>
        <w:t>进行</w:t>
      </w:r>
      <w:r>
        <w:rPr>
          <w:rFonts w:cs="Arial"/>
          <w:snapToGrid w:val="0"/>
          <w:kern w:val="0"/>
        </w:rPr>
        <w:t>计数，</w:t>
      </w:r>
      <w:r>
        <w:rPr>
          <w:rFonts w:hint="eastAsia" w:cs="Arial"/>
          <w:snapToGrid w:val="0"/>
          <w:kern w:val="0"/>
        </w:rPr>
        <w:t>可</w:t>
      </w:r>
      <w:r>
        <w:rPr>
          <w:rFonts w:cs="Arial"/>
          <w:snapToGrid w:val="0"/>
          <w:kern w:val="0"/>
        </w:rPr>
        <w:t>估计孕龄。约40%经初步评估发现MSAFP水平升高的样品在经超声预约检查后发现低估了孕龄</w:t>
      </w:r>
      <w:r>
        <w:rPr>
          <w:rFonts w:hint="eastAsia" w:cs="Arial"/>
          <w:snapToGrid w:val="0"/>
          <w:kern w:val="0"/>
        </w:rPr>
        <w:t>。</w:t>
      </w:r>
      <w:r>
        <w:rPr>
          <w:rFonts w:cs="Arial"/>
          <w:snapToGrid w:val="0"/>
          <w:kern w:val="0"/>
        </w:rPr>
        <w:t>已知在使用LMP方法时</w:t>
      </w:r>
      <w:r>
        <w:rPr>
          <w:rFonts w:hint="eastAsia" w:cs="Arial"/>
          <w:snapToGrid w:val="0"/>
          <w:kern w:val="0"/>
        </w:rPr>
        <w:t>，</w:t>
      </w:r>
      <w:r>
        <w:rPr>
          <w:rFonts w:cs="Arial"/>
          <w:snapToGrid w:val="0"/>
          <w:kern w:val="0"/>
        </w:rPr>
        <w:t>高估了一定比例的妊娠日期</w:t>
      </w:r>
      <w:r>
        <w:rPr>
          <w:rFonts w:hint="eastAsia" w:cs="Arial"/>
          <w:snapToGrid w:val="0"/>
          <w:kern w:val="0"/>
        </w:rPr>
        <w:t>。</w:t>
      </w:r>
      <w:r>
        <w:rPr>
          <w:rFonts w:cs="Arial"/>
          <w:snapToGrid w:val="0"/>
          <w:kern w:val="0"/>
        </w:rPr>
        <w:t>这会造成假阴性检查结果</w:t>
      </w:r>
      <w:r>
        <w:rPr>
          <w:rFonts w:hint="eastAsia" w:cs="Arial"/>
          <w:snapToGrid w:val="0"/>
          <w:kern w:val="0"/>
        </w:rPr>
        <w:t>。</w:t>
      </w:r>
      <w:r>
        <w:rPr>
          <w:rFonts w:cs="Arial"/>
          <w:snapToGrid w:val="0"/>
          <w:kern w:val="0"/>
        </w:rPr>
        <w:t>FDA推荐将超声波检查</w:t>
      </w:r>
      <w:r>
        <w:rPr>
          <w:rFonts w:hint="eastAsia" w:cs="Arial"/>
          <w:snapToGrid w:val="0"/>
          <w:kern w:val="0"/>
        </w:rPr>
        <w:t>是</w:t>
      </w:r>
      <w:r>
        <w:rPr>
          <w:rFonts w:cs="Arial"/>
          <w:snapToGrid w:val="0"/>
          <w:kern w:val="0"/>
        </w:rPr>
        <w:t>检测方案的下一步</w:t>
      </w:r>
      <w:r>
        <w:rPr>
          <w:rFonts w:hint="eastAsia" w:cs="Arial"/>
          <w:snapToGrid w:val="0"/>
          <w:kern w:val="0"/>
        </w:rPr>
        <w:t>，（a）证实孕期、（b）证明时双胞胎、（c）评估胚胎活性、以及（d）检测潜在胚胎先天无脑畸形。如果仍无法对升高的MSAFP数值做出解释，进行2级或灰度超声波检查以查找其它胚胎畸形、最显著的开放式脊柱裂和开放式腹壁缺陷。向孕妇医生进行遗传咨询后，通常进行用于检测羊水AFP的羊膜穿刺术。</w:t>
      </w:r>
    </w:p>
    <w:p w14:paraId="6A62449D">
      <w:pPr>
        <w:topLinePunct/>
        <w:spacing w:before="187"/>
        <w:rPr>
          <w:rFonts w:cs="Arial"/>
          <w:snapToGrid w:val="0"/>
          <w:kern w:val="0"/>
        </w:rPr>
      </w:pPr>
      <w:r>
        <w:rPr>
          <w:rFonts w:hint="eastAsia" w:cs="Arial"/>
          <w:snapToGrid w:val="0"/>
          <w:kern w:val="0"/>
        </w:rPr>
        <w:t>4.报告的及时性：制造商临床试验协调员应指导检测现场研究者及时报告检测结果。由于检测结果升高会提示医生必须遵循在较短时间段内完成诊断程序的检测方案，因此，需要及时报告全部AFP检测。如果正确估计孕期，可通过MOM来计算神经管缺陷或腹壁缺陷的特定风险，而不是依靠MOM的特定截止值，如2.5或2.0乘以MOM。这种方法或范例采用了ONTD在人群中的已知流行性、受累和未受累妊娠中MSAFP的浓度以及Baye原理</w:t>
      </w:r>
      <w:r>
        <w:rPr>
          <w:rFonts w:cs="Arial"/>
          <w:snapToGrid w:val="0"/>
          <w:kern w:val="0"/>
          <w:vertAlign w:val="superscript"/>
        </w:rPr>
        <w:t>61</w:t>
      </w:r>
      <w:r>
        <w:rPr>
          <w:rFonts w:hint="eastAsia" w:cs="Arial"/>
          <w:snapToGrid w:val="0"/>
          <w:kern w:val="0"/>
        </w:rPr>
        <w:t>。无论采用MOM截止值或特定风险计算，必须为母体体重（分布体积）、人种（计算可获得标准数据的每个族群组因素，乘以MOM）</w:t>
      </w:r>
      <w:r>
        <w:rPr>
          <w:rFonts w:cs="Arial"/>
          <w:snapToGrid w:val="0"/>
          <w:kern w:val="0"/>
          <w:vertAlign w:val="superscript"/>
        </w:rPr>
        <w:t>62</w:t>
      </w:r>
      <w:r>
        <w:rPr>
          <w:rFonts w:hint="eastAsia" w:cs="Arial"/>
          <w:snapToGrid w:val="0"/>
          <w:kern w:val="0"/>
          <w:vertAlign w:val="superscript"/>
        </w:rPr>
        <w:t xml:space="preserve">, </w:t>
      </w:r>
      <w:r>
        <w:rPr>
          <w:rFonts w:cs="Arial"/>
          <w:snapToGrid w:val="0"/>
          <w:kern w:val="0"/>
          <w:vertAlign w:val="superscript"/>
        </w:rPr>
        <w:t>63</w:t>
      </w:r>
      <w:r>
        <w:rPr>
          <w:rFonts w:hint="eastAsia" w:cs="Arial"/>
          <w:snapToGrid w:val="0"/>
          <w:kern w:val="0"/>
        </w:rPr>
        <w:t>和糖尿病（MOM除以利用源于人群特异性AFP数值的因素）来调整MOM。利用由Adams</w:t>
      </w:r>
      <w:r>
        <w:rPr>
          <w:rFonts w:cs="Arial"/>
          <w:snapToGrid w:val="0"/>
          <w:kern w:val="0"/>
          <w:vertAlign w:val="superscript"/>
        </w:rPr>
        <w:t>62</w:t>
      </w:r>
      <w:r>
        <w:rPr>
          <w:rFonts w:hint="eastAsia" w:cs="Arial"/>
          <w:snapToGrid w:val="0"/>
          <w:kern w:val="0"/>
        </w:rPr>
        <w:t>组提出的基于特定风险的方法，可通过MOM来计算未诊断出双胞胎和腹壁缺损（VWD）的风险。随后，可将风险进行整合，以及引用任意VMD或ONTD组合的整体风险。最近，Bishop</w:t>
      </w:r>
      <w:r>
        <w:rPr>
          <w:rFonts w:cs="Arial"/>
          <w:snapToGrid w:val="0"/>
          <w:kern w:val="0"/>
          <w:vertAlign w:val="superscript"/>
        </w:rPr>
        <w:t>76</w:t>
      </w:r>
      <w:r>
        <w:rPr>
          <w:rFonts w:hint="eastAsia" w:cs="Arial"/>
          <w:snapToGrid w:val="0"/>
          <w:kern w:val="0"/>
        </w:rPr>
        <w:t>对这种范例的可靠性提出质疑，因此，必须在每个地理位置分散的检测中心，通过前瞻性方法开发数据（根据器械的建议，每个孕周对100例患者进行检测）对其进行确认。必须以相似方式对计算机生成的风险因素进行确认。关于预测数值和实验室医疗诊断临床效率的一般讨论，也可参见Galen和Gambino的研究</w:t>
      </w:r>
      <w:r>
        <w:rPr>
          <w:rFonts w:cs="Arial"/>
          <w:snapToGrid w:val="0"/>
          <w:kern w:val="0"/>
          <w:vertAlign w:val="superscript"/>
        </w:rPr>
        <w:t>25</w:t>
      </w:r>
      <w:r>
        <w:rPr>
          <w:rFonts w:hint="eastAsia" w:cs="Arial"/>
          <w:snapToGrid w:val="0"/>
          <w:kern w:val="0"/>
        </w:rPr>
        <w:t>。</w:t>
      </w:r>
    </w:p>
    <w:p w14:paraId="6F2889FD">
      <w:pPr>
        <w:topLinePunct/>
        <w:spacing w:before="187"/>
        <w:rPr>
          <w:rFonts w:cs="Arial"/>
          <w:snapToGrid w:val="0"/>
          <w:kern w:val="0"/>
        </w:rPr>
      </w:pPr>
      <w:r>
        <w:rPr>
          <w:rFonts w:cs="Arial"/>
          <w:snapToGrid w:val="0"/>
          <w:kern w:val="0"/>
        </w:rPr>
        <w:br w:type="page"/>
      </w:r>
    </w:p>
    <w:p w14:paraId="48AFA41B">
      <w:pPr>
        <w:topLinePunct/>
        <w:spacing w:before="187"/>
        <w:rPr>
          <w:rFonts w:cs="Arial"/>
          <w:snapToGrid w:val="0"/>
          <w:kern w:val="0"/>
        </w:rPr>
      </w:pPr>
      <w:r>
        <w:rPr>
          <w:rFonts w:hint="eastAsia" w:cs="Arial"/>
          <w:snapToGrid w:val="0"/>
          <w:kern w:val="0"/>
        </w:rPr>
        <w:t>5.规范性数据：AFP器械的每个制造商或申办方应指导其临床研究协调员利用源于简单妊娠且生出一个婴儿的健康女性数据计算出的中位数MSAFP，在第二妊娠期中，每个孕周增加约15%。</w:t>
      </w:r>
      <w:r>
        <w:rPr>
          <w:rFonts w:cs="Arial"/>
          <w:snapToGrid w:val="0"/>
          <w:kern w:val="0"/>
          <w:vertAlign w:val="superscript"/>
        </w:rPr>
        <w:t>51</w:t>
      </w:r>
      <w:r>
        <w:rPr>
          <w:rFonts w:hint="eastAsia" w:cs="Arial"/>
          <w:snapToGrid w:val="0"/>
          <w:kern w:val="0"/>
          <w:vertAlign w:val="superscript"/>
        </w:rPr>
        <w:t xml:space="preserve">, </w:t>
      </w:r>
      <w:r>
        <w:rPr>
          <w:rFonts w:cs="Arial"/>
          <w:snapToGrid w:val="0"/>
          <w:kern w:val="0"/>
          <w:vertAlign w:val="superscript"/>
        </w:rPr>
        <w:t>52</w:t>
      </w:r>
      <w:r>
        <w:rPr>
          <w:rFonts w:hint="eastAsia" w:cs="Arial"/>
          <w:snapToGrid w:val="0"/>
          <w:kern w:val="0"/>
          <w:vertAlign w:val="superscript"/>
        </w:rPr>
        <w:t xml:space="preserve">, </w:t>
      </w:r>
      <w:r>
        <w:rPr>
          <w:rFonts w:cs="Arial"/>
          <w:snapToGrid w:val="0"/>
          <w:kern w:val="0"/>
          <w:vertAlign w:val="superscript"/>
        </w:rPr>
        <w:t>64</w:t>
      </w:r>
      <w:r>
        <w:rPr>
          <w:rFonts w:hint="eastAsia" w:cs="Arial"/>
          <w:snapToGrid w:val="0"/>
          <w:kern w:val="0"/>
        </w:rPr>
        <w:t>通过临床信息和AFP测定结果，在进行数据采集和验证后，应在数据分析过程中对其进行确认。</w:t>
      </w:r>
    </w:p>
    <w:p w14:paraId="314D1474">
      <w:pPr>
        <w:topLinePunct/>
        <w:spacing w:before="187"/>
        <w:rPr>
          <w:rFonts w:cs="Arial"/>
          <w:snapToGrid w:val="0"/>
          <w:kern w:val="0"/>
        </w:rPr>
      </w:pPr>
      <w:r>
        <w:rPr>
          <w:rFonts w:hint="eastAsia" w:cs="Arial"/>
          <w:snapToGrid w:val="0"/>
          <w:kern w:val="0"/>
        </w:rPr>
        <w:t>在规定孕周内，在未受影响的单胎妊娠血清中，90%血清的AFP值为中位数值的一半到其2倍不等（到完整孕周时，约为35 IU/ml）。当利用算数方法绘制AFP数值曲线且</w:t>
      </w:r>
      <w:r>
        <w:rPr>
          <w:rFonts w:hint="eastAsia" w:ascii="宋体" w:hAnsi="宋体" w:cs="Arial"/>
          <w:snapToGrid w:val="0"/>
          <w:kern w:val="0"/>
        </w:rPr>
        <w:t>“</w:t>
      </w:r>
      <w:r>
        <w:rPr>
          <w:rFonts w:hint="eastAsia" w:cs="Arial"/>
          <w:snapToGrid w:val="0"/>
          <w:kern w:val="0"/>
        </w:rPr>
        <w:t>离群值</w:t>
      </w:r>
      <w:r>
        <w:rPr>
          <w:rFonts w:hint="eastAsia" w:ascii="宋体" w:hAnsi="宋体" w:cs="Arial"/>
          <w:snapToGrid w:val="0"/>
          <w:kern w:val="0"/>
        </w:rPr>
        <w:t>”</w:t>
      </w:r>
      <w:r>
        <w:rPr>
          <w:rFonts w:hint="eastAsia" w:cs="Arial"/>
          <w:snapToGrid w:val="0"/>
          <w:kern w:val="0"/>
        </w:rPr>
        <w:t>的有效数字超出钟形曲线的上限时，MSAFP值在每个孕周中的分布会引起数据偏差。发现，所观察到的分布近似于对数正态分布。</w:t>
      </w:r>
    </w:p>
    <w:p w14:paraId="73B84014">
      <w:pPr>
        <w:topLinePunct/>
        <w:spacing w:before="187"/>
        <w:rPr>
          <w:rFonts w:cs="Arial"/>
          <w:snapToGrid w:val="0"/>
          <w:kern w:val="0"/>
        </w:rPr>
      </w:pPr>
      <w:r>
        <w:rPr>
          <w:rFonts w:hint="eastAsia" w:cs="Arial"/>
          <w:snapToGrid w:val="0"/>
          <w:kern w:val="0"/>
        </w:rPr>
        <w:t>6.质量控制：必须对试剂（校验剂和对照）进行鉴别，且应将使用说明纳入到标签的单独部分中。AFP检测系统的标准化受三个主要因素影响：1）用与校准的AFP制备，2）抗AFP试剂，以及3）规定测定程序的局限性。杂种细胞来源以及细菌基因拼接来源的单克隆抗体已克服了参考品标准化过程中的一些难题。然而，单克隆抗体不会沉淀在凝胶中，使得专一性的证明变得更为困难，并且，许多人发现特定参考品中并非全部AFP蛋白质均存在特异性AFP表位</w:t>
      </w:r>
      <w:r>
        <w:rPr>
          <w:rFonts w:cs="Arial"/>
          <w:snapToGrid w:val="0"/>
          <w:kern w:val="0"/>
          <w:vertAlign w:val="superscript"/>
        </w:rPr>
        <w:t>76</w:t>
      </w:r>
      <w:r>
        <w:rPr>
          <w:rFonts w:hint="eastAsia" w:cs="Arial"/>
          <w:snapToGrid w:val="0"/>
          <w:kern w:val="0"/>
        </w:rPr>
        <w:t>。当通过沉淀抗血清，通过放射免疫扩散法在凝胶中测定AFPs时，检测到一组特定表位。因此，不同AFP测定方法测定出AFP分子的不同表位，使得AFP在孕妇样品中具有不同的MOM数值。利用放射性免疫测定法以及固相经放射性标记和酶联免疫测定（ELISA）方法，可利用一些标准品来校准AFPs。应对全部校准剂和对照血清进行平行试验，以最小化随机误差。</w:t>
      </w:r>
    </w:p>
    <w:p w14:paraId="33BA7455">
      <w:pPr>
        <w:topLinePunct/>
        <w:spacing w:before="187"/>
        <w:rPr>
          <w:rFonts w:cs="Arial"/>
          <w:snapToGrid w:val="0"/>
          <w:kern w:val="0"/>
        </w:rPr>
      </w:pPr>
      <w:r>
        <w:rPr>
          <w:rFonts w:cs="Arial"/>
          <w:snapToGrid w:val="0"/>
          <w:kern w:val="0"/>
        </w:rPr>
        <w:br w:type="page"/>
      </w:r>
    </w:p>
    <w:p w14:paraId="251C1802">
      <w:pPr>
        <w:topLinePunct/>
        <w:spacing w:before="187"/>
        <w:jc w:val="center"/>
        <w:rPr>
          <w:rFonts w:cs="Arial"/>
          <w:b/>
          <w:snapToGrid w:val="0"/>
          <w:kern w:val="0"/>
        </w:rPr>
      </w:pPr>
      <w:r>
        <w:rPr>
          <w:rFonts w:hint="eastAsia" w:cs="Arial"/>
          <w:b/>
          <w:snapToGrid w:val="0"/>
          <w:kern w:val="0"/>
        </w:rPr>
        <w:t>英国标准品</w:t>
      </w:r>
    </w:p>
    <w:p w14:paraId="08411B37">
      <w:pPr>
        <w:topLinePunct/>
        <w:spacing w:before="187"/>
        <w:rPr>
          <w:rFonts w:cs="Arial"/>
          <w:snapToGrid w:val="0"/>
          <w:kern w:val="0"/>
        </w:rPr>
      </w:pPr>
      <w:r>
        <w:rPr>
          <w:rFonts w:hint="eastAsia" w:cs="Arial"/>
          <w:snapToGrid w:val="0"/>
          <w:kern w:val="0"/>
        </w:rPr>
        <w:t>利用与WHO材料同批的脐带血清制备了针对人类脐带血清的第一种英国标准品（72/227）。根据WHO标准品对英国</w:t>
      </w:r>
      <w:bookmarkStart w:id="14" w:name="OLE_LINK6"/>
      <w:bookmarkStart w:id="15" w:name="OLE_LINK5"/>
      <w:r>
        <w:rPr>
          <w:rFonts w:hint="eastAsia" w:cs="Arial"/>
          <w:snapToGrid w:val="0"/>
          <w:kern w:val="0"/>
        </w:rPr>
        <w:t>参考品进行标定</w:t>
      </w:r>
      <w:bookmarkEnd w:id="14"/>
      <w:bookmarkEnd w:id="15"/>
      <w:r>
        <w:rPr>
          <w:rFonts w:hint="eastAsia" w:cs="Arial"/>
          <w:snapToGrid w:val="0"/>
          <w:kern w:val="0"/>
        </w:rPr>
        <w:t>（72/225）。</w:t>
      </w:r>
    </w:p>
    <w:p w14:paraId="49171F5B">
      <w:pPr>
        <w:topLinePunct/>
        <w:spacing w:before="187"/>
        <w:jc w:val="center"/>
        <w:rPr>
          <w:rFonts w:cs="Arial"/>
          <w:b/>
          <w:snapToGrid w:val="0"/>
          <w:kern w:val="0"/>
        </w:rPr>
      </w:pPr>
      <w:r>
        <w:rPr>
          <w:rFonts w:hint="eastAsia" w:cs="Arial"/>
          <w:b/>
          <w:snapToGrid w:val="0"/>
          <w:kern w:val="0"/>
        </w:rPr>
        <w:t>WHO标准品</w:t>
      </w:r>
    </w:p>
    <w:p w14:paraId="24B86D7D">
      <w:pPr>
        <w:topLinePunct/>
        <w:spacing w:before="187"/>
        <w:rPr>
          <w:rFonts w:cs="Arial"/>
          <w:snapToGrid w:val="0"/>
          <w:kern w:val="0"/>
        </w:rPr>
      </w:pPr>
      <w:r>
        <w:rPr>
          <w:rFonts w:hint="eastAsia" w:cs="Arial"/>
          <w:snapToGrid w:val="0"/>
          <w:kern w:val="0"/>
        </w:rPr>
        <w:t>世界卫生组织（WHO）的人源AFP标准品（72/225）是一种用途有限的冻干脐带血清。联合对该标准品的国际单位（IU）进行了标定。</w:t>
      </w:r>
    </w:p>
    <w:p w14:paraId="021274C3">
      <w:pPr>
        <w:topLinePunct/>
        <w:spacing w:before="187"/>
        <w:jc w:val="center"/>
        <w:rPr>
          <w:rFonts w:cs="Arial"/>
          <w:b/>
          <w:snapToGrid w:val="0"/>
          <w:kern w:val="0"/>
        </w:rPr>
      </w:pPr>
      <w:r>
        <w:rPr>
          <w:rFonts w:hint="eastAsia" w:cs="Arial"/>
          <w:b/>
          <w:snapToGrid w:val="0"/>
          <w:kern w:val="0"/>
        </w:rPr>
        <w:t>美国参考品</w:t>
      </w:r>
    </w:p>
    <w:p w14:paraId="6F730326">
      <w:pPr>
        <w:topLinePunct/>
        <w:spacing w:before="187"/>
        <w:jc w:val="center"/>
        <w:rPr>
          <w:rFonts w:cs="Arial"/>
          <w:snapToGrid w:val="0"/>
          <w:kern w:val="0"/>
        </w:rPr>
      </w:pPr>
      <w:r>
        <w:rPr>
          <w:rFonts w:hint="eastAsia" w:cs="Arial"/>
          <w:snapToGrid w:val="0"/>
          <w:kern w:val="0"/>
        </w:rPr>
        <w:t>美国中期妊娠产妇血清AFP国家参考品是一种无肝正常成人血清与脐带血清的混合物，AFP的含量是392.8 IU/ml。将这种经无菌过滤、冻干的血清混合物包装在10000×0.5ml疫苗瓶中。根据检测计划，每6个月可免费获得6瓶参考品，可对至少50例患者样品／每周进行检测。</w:t>
      </w:r>
    </w:p>
    <w:p w14:paraId="525B7D0B">
      <w:pPr>
        <w:topLinePunct/>
        <w:spacing w:before="187"/>
        <w:jc w:val="center"/>
        <w:rPr>
          <w:rFonts w:cs="Arial"/>
          <w:snapToGrid w:val="0"/>
          <w:kern w:val="0"/>
        </w:rPr>
      </w:pPr>
      <w:r>
        <w:rPr>
          <w:rFonts w:hint="eastAsia" w:cs="Arial"/>
          <w:snapToGrid w:val="0"/>
          <w:kern w:val="0"/>
        </w:rPr>
        <w:t>拟定美国国家参考品中的成分</w:t>
      </w:r>
    </w:p>
    <w:p w14:paraId="62F94BF3">
      <w:pPr>
        <w:topLinePunct/>
        <w:spacing w:before="187"/>
        <w:rPr>
          <w:rFonts w:cs="Arial"/>
          <w:snapToGrid w:val="0"/>
          <w:kern w:val="0"/>
        </w:rPr>
      </w:pPr>
      <w:r>
        <w:rPr>
          <w:rFonts w:hint="eastAsia" w:cs="Arial"/>
          <w:snapToGrid w:val="0"/>
          <w:kern w:val="0"/>
        </w:rPr>
        <w:t>对于AFP器械的制造商或申办方，应在妊娠期内对两种体液（产妇血清和羊水）AFP含量进行分析。理想的情况是，刺激由这些体液成分定义的分析条件稳定校准剂能够追溯到WHO（72/225）标准品。</w:t>
      </w:r>
    </w:p>
    <w:p w14:paraId="6C7CF296">
      <w:pPr>
        <w:topLinePunct/>
        <w:spacing w:before="187"/>
        <w:rPr>
          <w:rFonts w:cs="Arial"/>
          <w:snapToGrid w:val="0"/>
          <w:kern w:val="0"/>
        </w:rPr>
      </w:pPr>
      <w:r>
        <w:rPr>
          <w:rFonts w:hint="eastAsia" w:cs="Arial"/>
          <w:snapToGrid w:val="0"/>
          <w:kern w:val="0"/>
        </w:rPr>
        <w:t>7.稀释液：通常利用旨在测定产妇血清中更低AFP水平的高灵敏度试验对羊水用品中的AFP水平进行测定。这要求对羊水样品进行初步稀释（1/100到1/200）。大多数制造商在供应器械时也供应稀释液，或单独销售稀释液。</w:t>
      </w:r>
    </w:p>
    <w:p w14:paraId="160E1B5D">
      <w:pPr>
        <w:topLinePunct/>
        <w:spacing w:before="187"/>
        <w:rPr>
          <w:rFonts w:cs="Arial"/>
          <w:snapToGrid w:val="0"/>
          <w:kern w:val="0"/>
        </w:rPr>
      </w:pPr>
      <w:r>
        <w:rPr>
          <w:rFonts w:hint="eastAsia" w:cs="Arial"/>
          <w:snapToGrid w:val="0"/>
          <w:kern w:val="0"/>
        </w:rPr>
        <w:t>如果使用并非由制造商推荐或供应的稀释液，实验室必须通过直接比较来证明替代稀释液的适用性。</w:t>
      </w:r>
    </w:p>
    <w:p w14:paraId="64D5EB59">
      <w:pPr>
        <w:topLinePunct/>
        <w:spacing w:before="187"/>
        <w:rPr>
          <w:rFonts w:cs="Arial"/>
          <w:snapToGrid w:val="0"/>
          <w:kern w:val="0"/>
        </w:rPr>
      </w:pPr>
      <w:r>
        <w:rPr>
          <w:rFonts w:hint="eastAsia" w:cs="Arial"/>
          <w:snapToGrid w:val="0"/>
          <w:kern w:val="0"/>
        </w:rPr>
        <w:t>注意：AFP器械的制造商或申办方应防止发生无意间造成的索赔（针对额外预期用途和其他相关检测程序）。通过彻底编辑器械叙述性说明的叙述文本、评估标签和产品说明书可避免前述情况。FDA可能要求制造商改良或完全删除临床上不适用的额外预期用途声明或构建隐含声明（参见21 CFR 801.4）。</w:t>
      </w:r>
    </w:p>
    <w:p w14:paraId="725B5FCC">
      <w:pPr>
        <w:topLinePunct/>
        <w:spacing w:before="187"/>
        <w:rPr>
          <w:rFonts w:cs="Arial"/>
          <w:snapToGrid w:val="0"/>
          <w:kern w:val="0"/>
        </w:rPr>
      </w:pPr>
      <w:r>
        <w:rPr>
          <w:rFonts w:cs="Arial"/>
          <w:snapToGrid w:val="0"/>
          <w:kern w:val="0"/>
        </w:rPr>
        <w:br w:type="page"/>
      </w:r>
    </w:p>
    <w:p w14:paraId="00D84186">
      <w:pPr>
        <w:pStyle w:val="11"/>
        <w:numPr>
          <w:ilvl w:val="0"/>
          <w:numId w:val="4"/>
        </w:numPr>
        <w:topLinePunct/>
        <w:spacing w:before="187"/>
        <w:ind w:left="480" w:hanging="480" w:hangingChars="200"/>
        <w:rPr>
          <w:rFonts w:cs="Arial"/>
          <w:snapToGrid w:val="0"/>
          <w:kern w:val="0"/>
        </w:rPr>
      </w:pPr>
      <w:r>
        <w:rPr>
          <w:rFonts w:hint="eastAsia" w:cs="Arial"/>
          <w:snapToGrid w:val="0"/>
          <w:kern w:val="0"/>
        </w:rPr>
        <w:t>分析／实验室体外研究</w:t>
      </w:r>
    </w:p>
    <w:p w14:paraId="53A753AF">
      <w:pPr>
        <w:pStyle w:val="11"/>
        <w:numPr>
          <w:ilvl w:val="0"/>
          <w:numId w:val="5"/>
        </w:numPr>
        <w:topLinePunct/>
        <w:spacing w:before="187"/>
        <w:ind w:left="480" w:hanging="480" w:hangingChars="200"/>
        <w:rPr>
          <w:rFonts w:cs="Arial"/>
          <w:snapToGrid w:val="0"/>
          <w:kern w:val="0"/>
        </w:rPr>
      </w:pPr>
      <w:r>
        <w:rPr>
          <w:rFonts w:hint="eastAsia" w:cs="Arial"/>
          <w:snapToGrid w:val="0"/>
          <w:kern w:val="0"/>
        </w:rPr>
        <w:t>向FDA提交试剂盒的临床性能</w:t>
      </w:r>
    </w:p>
    <w:p w14:paraId="56AAD47D">
      <w:pPr>
        <w:pStyle w:val="11"/>
        <w:numPr>
          <w:ilvl w:val="1"/>
          <w:numId w:val="6"/>
        </w:numPr>
        <w:topLinePunct/>
        <w:spacing w:before="187"/>
        <w:ind w:left="960" w:leftChars="200" w:hanging="480" w:hangingChars="200"/>
        <w:rPr>
          <w:rFonts w:cs="Arial"/>
          <w:snapToGrid w:val="0"/>
          <w:kern w:val="0"/>
        </w:rPr>
      </w:pPr>
      <w:r>
        <w:rPr>
          <w:rFonts w:hint="eastAsia" w:cs="Arial"/>
          <w:snapToGrid w:val="0"/>
          <w:kern w:val="0"/>
        </w:rPr>
        <w:t>AFP抗原的纯度和同源性</w:t>
      </w:r>
    </w:p>
    <w:p w14:paraId="0D6D0394">
      <w:pPr>
        <w:topLinePunct/>
        <w:spacing w:before="187"/>
        <w:ind w:left="960" w:leftChars="400"/>
        <w:rPr>
          <w:rFonts w:cs="Arial"/>
          <w:snapToGrid w:val="0"/>
          <w:kern w:val="0"/>
        </w:rPr>
      </w:pPr>
      <w:r>
        <w:rPr>
          <w:rFonts w:hint="eastAsia" w:cs="Arial"/>
          <w:snapToGrid w:val="0"/>
          <w:kern w:val="0"/>
        </w:rPr>
        <w:t>免疫源的制备代表了抗血清制备的第一步。仅利用人源AFP作为免疫原。从羊水AFP中分离出的AFP是优先来源（而不是从因AFP造成肝癌的患者血清中分离出的AFP）。制造商应证明抗原纯度或描述任何存在杂质的特征，并证明其不对试验造成干扰的理由。</w:t>
      </w:r>
    </w:p>
    <w:p w14:paraId="1F94A5F8">
      <w:pPr>
        <w:pStyle w:val="11"/>
        <w:numPr>
          <w:ilvl w:val="1"/>
          <w:numId w:val="6"/>
        </w:numPr>
        <w:topLinePunct/>
        <w:spacing w:before="187"/>
        <w:ind w:left="960" w:leftChars="200" w:hanging="480" w:hangingChars="200"/>
        <w:rPr>
          <w:rFonts w:cs="Arial"/>
          <w:snapToGrid w:val="0"/>
          <w:kern w:val="0"/>
        </w:rPr>
      </w:pPr>
      <w:r>
        <w:rPr>
          <w:rFonts w:hint="eastAsia" w:cs="Arial"/>
          <w:snapToGrid w:val="0"/>
          <w:kern w:val="0"/>
        </w:rPr>
        <w:t>AFP抗血清的纯度和特异性</w:t>
      </w:r>
    </w:p>
    <w:p w14:paraId="0396D14D">
      <w:pPr>
        <w:topLinePunct/>
        <w:spacing w:before="187"/>
        <w:ind w:left="960" w:leftChars="400"/>
        <w:rPr>
          <w:rFonts w:cs="Arial"/>
          <w:snapToGrid w:val="0"/>
          <w:kern w:val="0"/>
        </w:rPr>
      </w:pPr>
      <w:r>
        <w:rPr>
          <w:rFonts w:hint="eastAsia" w:cs="Arial"/>
          <w:snapToGrid w:val="0"/>
          <w:kern w:val="0"/>
        </w:rPr>
        <w:t>应利用灵敏方法，如交叉二维免疫电泳39或免疫印迹，对多克隆抗血清的特异性进行评估。采用灵敏度不足和精密度不当的方法，如免疫电泳和免疫扩散，是不可接受的。</w:t>
      </w:r>
    </w:p>
    <w:p w14:paraId="56055696">
      <w:pPr>
        <w:topLinePunct/>
        <w:spacing w:before="187"/>
        <w:ind w:left="960" w:leftChars="400"/>
        <w:rPr>
          <w:rFonts w:cs="Arial"/>
          <w:snapToGrid w:val="0"/>
          <w:kern w:val="0"/>
        </w:rPr>
      </w:pPr>
      <w:r>
        <w:rPr>
          <w:rFonts w:hint="eastAsia" w:cs="Arial"/>
          <w:snapToGrid w:val="0"/>
          <w:kern w:val="0"/>
        </w:rPr>
        <w:t>构成这些器械的试剂越来越多地源于杂交瘤细胞。如果在器械中采用抗AFP杂交瘤抗体，制造商必须提交包含下述信息的特征概述：</w:t>
      </w:r>
    </w:p>
    <w:p w14:paraId="426684CB">
      <w:pPr>
        <w:pStyle w:val="11"/>
        <w:numPr>
          <w:ilvl w:val="1"/>
          <w:numId w:val="7"/>
        </w:numPr>
        <w:topLinePunct/>
        <w:spacing w:before="187"/>
        <w:ind w:left="1440" w:leftChars="400" w:hanging="480" w:hangingChars="200"/>
        <w:rPr>
          <w:rFonts w:cs="Arial"/>
          <w:snapToGrid w:val="0"/>
          <w:kern w:val="0"/>
        </w:rPr>
      </w:pPr>
      <w:r>
        <w:rPr>
          <w:rFonts w:hint="eastAsia" w:cs="Arial"/>
          <w:snapToGrid w:val="0"/>
          <w:kern w:val="0"/>
        </w:rPr>
        <w:t>亲本骨髓瘤细胞来源的鉴别。</w:t>
      </w:r>
    </w:p>
    <w:p w14:paraId="1D96FB8D">
      <w:pPr>
        <w:pStyle w:val="11"/>
        <w:numPr>
          <w:ilvl w:val="1"/>
          <w:numId w:val="7"/>
        </w:numPr>
        <w:topLinePunct/>
        <w:spacing w:before="187"/>
        <w:ind w:left="1440" w:leftChars="400" w:hanging="480" w:hangingChars="200"/>
        <w:rPr>
          <w:rFonts w:cs="Arial"/>
          <w:snapToGrid w:val="0"/>
          <w:kern w:val="0"/>
        </w:rPr>
      </w:pPr>
      <w:r>
        <w:rPr>
          <w:rFonts w:hint="eastAsia" w:cs="Arial"/>
          <w:snapToGrid w:val="0"/>
          <w:kern w:val="0"/>
        </w:rPr>
        <w:t>抗体来源（小鼠等）</w:t>
      </w:r>
    </w:p>
    <w:p w14:paraId="18BE3E20">
      <w:pPr>
        <w:pStyle w:val="11"/>
        <w:numPr>
          <w:ilvl w:val="1"/>
          <w:numId w:val="7"/>
        </w:numPr>
        <w:topLinePunct/>
        <w:spacing w:before="187"/>
        <w:ind w:left="1440" w:leftChars="400" w:hanging="480" w:hangingChars="200"/>
        <w:rPr>
          <w:rFonts w:cs="Arial"/>
          <w:snapToGrid w:val="0"/>
          <w:kern w:val="0"/>
        </w:rPr>
      </w:pPr>
      <w:r>
        <w:rPr>
          <w:rFonts w:hint="eastAsia" w:cs="Arial"/>
          <w:snapToGrid w:val="0"/>
          <w:kern w:val="0"/>
        </w:rPr>
        <w:t>抗体特征</w:t>
      </w:r>
    </w:p>
    <w:p w14:paraId="0768BDB3">
      <w:pPr>
        <w:pStyle w:val="11"/>
        <w:numPr>
          <w:ilvl w:val="1"/>
          <w:numId w:val="7"/>
        </w:numPr>
        <w:topLinePunct/>
        <w:spacing w:before="187"/>
        <w:ind w:left="1440" w:leftChars="400" w:hanging="480" w:hangingChars="200"/>
        <w:rPr>
          <w:rFonts w:cs="Arial"/>
          <w:snapToGrid w:val="0"/>
          <w:kern w:val="0"/>
        </w:rPr>
      </w:pPr>
      <w:r>
        <w:rPr>
          <w:rFonts w:hint="eastAsia" w:cs="Arial"/>
          <w:snapToGrid w:val="0"/>
          <w:kern w:val="0"/>
        </w:rPr>
        <w:t>用于选择的克隆和标准描述</w:t>
      </w:r>
    </w:p>
    <w:p w14:paraId="6EC4FAA7">
      <w:pPr>
        <w:pStyle w:val="11"/>
        <w:numPr>
          <w:ilvl w:val="1"/>
          <w:numId w:val="7"/>
        </w:numPr>
        <w:topLinePunct/>
        <w:spacing w:before="187"/>
        <w:ind w:left="1440" w:leftChars="400" w:hanging="480" w:hangingChars="200"/>
        <w:rPr>
          <w:rFonts w:cs="Arial"/>
          <w:snapToGrid w:val="0"/>
          <w:kern w:val="0"/>
        </w:rPr>
      </w:pPr>
      <w:r>
        <w:rPr>
          <w:rFonts w:hint="eastAsia" w:cs="Arial"/>
          <w:snapToGrid w:val="0"/>
          <w:kern w:val="0"/>
        </w:rPr>
        <w:t>稳定性数据（实时研究）</w:t>
      </w:r>
    </w:p>
    <w:p w14:paraId="1B1652A9">
      <w:pPr>
        <w:pStyle w:val="11"/>
        <w:numPr>
          <w:ilvl w:val="1"/>
          <w:numId w:val="7"/>
        </w:numPr>
        <w:topLinePunct/>
        <w:spacing w:before="187"/>
        <w:ind w:left="1440" w:leftChars="400" w:hanging="480" w:hangingChars="200"/>
        <w:rPr>
          <w:rFonts w:cs="Arial"/>
          <w:snapToGrid w:val="0"/>
          <w:kern w:val="0"/>
        </w:rPr>
      </w:pPr>
      <w:r>
        <w:rPr>
          <w:rFonts w:hint="eastAsia" w:cs="Arial"/>
          <w:snapToGrid w:val="0"/>
          <w:kern w:val="0"/>
        </w:rPr>
        <w:t>精密度、准确性、可重复性和线性数据</w:t>
      </w:r>
    </w:p>
    <w:p w14:paraId="362217EF">
      <w:pPr>
        <w:pStyle w:val="11"/>
        <w:numPr>
          <w:ilvl w:val="1"/>
          <w:numId w:val="7"/>
        </w:numPr>
        <w:topLinePunct/>
        <w:spacing w:before="187"/>
        <w:ind w:left="1440" w:leftChars="400" w:hanging="480" w:hangingChars="200"/>
        <w:rPr>
          <w:rFonts w:cs="Arial"/>
          <w:snapToGrid w:val="0"/>
          <w:kern w:val="0"/>
        </w:rPr>
      </w:pPr>
      <w:r>
        <w:rPr>
          <w:rFonts w:hint="eastAsia" w:cs="Arial"/>
          <w:snapToGrid w:val="0"/>
          <w:kern w:val="0"/>
        </w:rPr>
        <w:t>证明批次间一致性的数据汇总（3批）</w:t>
      </w:r>
    </w:p>
    <w:p w14:paraId="03DE33E1">
      <w:pPr>
        <w:pStyle w:val="11"/>
        <w:numPr>
          <w:ilvl w:val="1"/>
          <w:numId w:val="7"/>
        </w:numPr>
        <w:topLinePunct/>
        <w:spacing w:before="187"/>
        <w:ind w:left="1440" w:leftChars="400" w:hanging="480" w:hangingChars="200"/>
        <w:rPr>
          <w:rFonts w:cs="Arial"/>
          <w:snapToGrid w:val="0"/>
          <w:kern w:val="0"/>
        </w:rPr>
      </w:pPr>
      <w:r>
        <w:rPr>
          <w:rFonts w:hint="eastAsia" w:cs="Arial"/>
          <w:snapToGrid w:val="0"/>
          <w:kern w:val="0"/>
        </w:rPr>
        <w:t>灵敏度、特异性、交叉反应性和干扰性</w:t>
      </w:r>
    </w:p>
    <w:p w14:paraId="7B0BCE99">
      <w:pPr>
        <w:topLinePunct/>
        <w:spacing w:before="187"/>
        <w:rPr>
          <w:rFonts w:cs="Arial"/>
          <w:snapToGrid w:val="0"/>
          <w:kern w:val="0"/>
        </w:rPr>
      </w:pPr>
    </w:p>
    <w:p w14:paraId="7AE7B640">
      <w:pPr>
        <w:topLinePunct/>
        <w:spacing w:before="187"/>
        <w:rPr>
          <w:rFonts w:cs="Arial"/>
          <w:snapToGrid w:val="0"/>
          <w:kern w:val="0"/>
        </w:rPr>
      </w:pPr>
      <w:r>
        <w:rPr>
          <w:rFonts w:cs="Arial"/>
          <w:snapToGrid w:val="0"/>
          <w:kern w:val="0"/>
        </w:rPr>
        <w:br w:type="page"/>
      </w:r>
    </w:p>
    <w:p w14:paraId="10537B00">
      <w:pPr>
        <w:pStyle w:val="11"/>
        <w:numPr>
          <w:ilvl w:val="1"/>
          <w:numId w:val="7"/>
        </w:numPr>
        <w:topLinePunct/>
        <w:spacing w:before="187"/>
        <w:ind w:left="1440" w:leftChars="400" w:hanging="480" w:hangingChars="200"/>
        <w:rPr>
          <w:rFonts w:cs="Arial"/>
          <w:snapToGrid w:val="0"/>
          <w:kern w:val="0"/>
        </w:rPr>
      </w:pPr>
      <w:r>
        <w:rPr>
          <w:rFonts w:hint="eastAsia" w:cs="Arial"/>
          <w:snapToGrid w:val="0"/>
          <w:kern w:val="0"/>
        </w:rPr>
        <w:t>比较[利用与提交器械灵敏度具有可比性的试验来证明抗血清的特异性]</w:t>
      </w:r>
    </w:p>
    <w:p w14:paraId="7BB297E7">
      <w:pPr>
        <w:pStyle w:val="11"/>
        <w:numPr>
          <w:ilvl w:val="1"/>
          <w:numId w:val="7"/>
        </w:numPr>
        <w:topLinePunct/>
        <w:spacing w:before="187"/>
        <w:ind w:left="1440" w:leftChars="400" w:hanging="480" w:hangingChars="200"/>
        <w:rPr>
          <w:rFonts w:cs="Arial"/>
          <w:snapToGrid w:val="0"/>
          <w:kern w:val="0"/>
        </w:rPr>
      </w:pPr>
      <w:r>
        <w:rPr>
          <w:rFonts w:hint="eastAsia" w:cs="Arial"/>
          <w:snapToGrid w:val="0"/>
          <w:kern w:val="0"/>
        </w:rPr>
        <w:t>交叉反应性[检测抗血清可能与其它正常存在的、与妊娠相关的蛋白质之间的交叉反应性]</w:t>
      </w:r>
    </w:p>
    <w:p w14:paraId="02D9564C">
      <w:pPr>
        <w:pStyle w:val="11"/>
        <w:numPr>
          <w:ilvl w:val="1"/>
          <w:numId w:val="7"/>
        </w:numPr>
        <w:topLinePunct/>
        <w:spacing w:before="187"/>
        <w:ind w:left="1440" w:leftChars="400" w:hanging="480" w:hangingChars="200"/>
        <w:rPr>
          <w:rFonts w:cs="Arial"/>
          <w:snapToGrid w:val="0"/>
          <w:kern w:val="0"/>
        </w:rPr>
      </w:pPr>
      <w:r>
        <w:rPr>
          <w:rFonts w:hint="eastAsia" w:cs="Arial"/>
          <w:snapToGrid w:val="0"/>
          <w:kern w:val="0"/>
        </w:rPr>
        <w:t>强度（亲和结合常数）[为适当的抗血清提供滴度或亲和结合常数]</w:t>
      </w:r>
    </w:p>
    <w:p w14:paraId="1C6F8D22">
      <w:pPr>
        <w:topLinePunct/>
        <w:spacing w:before="187"/>
        <w:rPr>
          <w:rFonts w:cs="Arial"/>
          <w:snapToGrid w:val="0"/>
          <w:kern w:val="0"/>
        </w:rPr>
      </w:pPr>
      <w:r>
        <w:rPr>
          <w:rFonts w:hint="eastAsia" w:cs="Arial"/>
          <w:snapToGrid w:val="0"/>
          <w:kern w:val="0"/>
        </w:rPr>
        <w:t>试验试剂和试验器械设置</w:t>
      </w:r>
    </w:p>
    <w:p w14:paraId="3D8F26BF">
      <w:pPr>
        <w:topLinePunct/>
        <w:spacing w:before="187"/>
        <w:rPr>
          <w:rFonts w:cs="Arial"/>
          <w:snapToGrid w:val="0"/>
          <w:kern w:val="0"/>
        </w:rPr>
      </w:pPr>
      <w:r>
        <w:rPr>
          <w:rFonts w:hint="eastAsia" w:cs="Arial"/>
          <w:snapToGrid w:val="0"/>
          <w:kern w:val="0"/>
        </w:rPr>
        <w:t>申办方必须提交（多克隆或源于杂交瘤细胞的）抗血清来源，以及与抗血清稀释相关的信息、所采用的过滤方法和通过每批用于检测AFP的抗血清产生的标准曲线。</w:t>
      </w:r>
    </w:p>
    <w:p w14:paraId="096EA4AC">
      <w:pPr>
        <w:topLinePunct/>
        <w:spacing w:before="187"/>
        <w:rPr>
          <w:rFonts w:cs="Arial"/>
          <w:snapToGrid w:val="0"/>
          <w:kern w:val="0"/>
        </w:rPr>
      </w:pPr>
      <w:r>
        <w:rPr>
          <w:rFonts w:hint="eastAsia" w:cs="Arial"/>
          <w:snapToGrid w:val="0"/>
          <w:kern w:val="0"/>
        </w:rPr>
        <w:t>应声明为每种描述仪器制备标准品曲线的频率（例如，每40个样品使用一个标准品）。应由申办方提供合并血清质量控制样品的描述并提供适用频率（例如，每10个样品检测一次）。应在完整的检测系列中对空白对照或无血清样品进行检测。应讨论的参数包括完整的试剂构成、冲洗程序、所使用的稀释液以及免疫球蛋白浓度测定所用血清样品的最终稀释度。同样，查找活性和无反应性成分（载体）说明。应识别用于每批AFP的参考品（例如，疾控中心的美国AFP国家参考品）、应描述标准曲线的构成以及将试验点拟合到说明性图表中的程序（例如，利用三阶多项式曲线拟合程序来计算结果）。</w:t>
      </w:r>
    </w:p>
    <w:p w14:paraId="6FD9A2FC">
      <w:pPr>
        <w:pStyle w:val="11"/>
        <w:numPr>
          <w:ilvl w:val="0"/>
          <w:numId w:val="5"/>
        </w:numPr>
        <w:topLinePunct/>
        <w:spacing w:before="187"/>
        <w:ind w:left="480" w:hanging="480" w:hangingChars="200"/>
        <w:rPr>
          <w:rFonts w:cs="Arial"/>
          <w:snapToGrid w:val="0"/>
          <w:kern w:val="0"/>
        </w:rPr>
      </w:pPr>
      <w:r>
        <w:rPr>
          <w:rFonts w:hint="eastAsia" w:cs="Arial"/>
          <w:snapToGrid w:val="0"/>
          <w:kern w:val="0"/>
        </w:rPr>
        <w:t>器械的性能特征</w:t>
      </w:r>
    </w:p>
    <w:p w14:paraId="515933B3">
      <w:pPr>
        <w:pStyle w:val="11"/>
        <w:numPr>
          <w:ilvl w:val="0"/>
          <w:numId w:val="8"/>
        </w:numPr>
        <w:topLinePunct/>
        <w:spacing w:before="187"/>
        <w:ind w:left="960" w:leftChars="200" w:hanging="480" w:hangingChars="200"/>
        <w:rPr>
          <w:rFonts w:cs="Arial"/>
          <w:snapToGrid w:val="0"/>
          <w:kern w:val="0"/>
        </w:rPr>
      </w:pPr>
      <w:r>
        <w:rPr>
          <w:rFonts w:hint="eastAsia" w:cs="Arial"/>
          <w:snapToGrid w:val="0"/>
          <w:kern w:val="0"/>
        </w:rPr>
        <w:t>分析灵敏度（检测限）</w:t>
      </w:r>
    </w:p>
    <w:p w14:paraId="0A568637">
      <w:pPr>
        <w:topLinePunct/>
        <w:spacing w:before="187"/>
        <w:ind w:left="960" w:leftChars="400"/>
        <w:rPr>
          <w:rFonts w:cs="Arial"/>
          <w:snapToGrid w:val="0"/>
          <w:kern w:val="0"/>
        </w:rPr>
      </w:pPr>
      <w:r>
        <w:rPr>
          <w:rFonts w:hint="eastAsia" w:cs="Arial"/>
          <w:snapToGrid w:val="0"/>
          <w:kern w:val="0"/>
        </w:rPr>
        <w:t>针对免疫试验（放射性免疫测定、酶免疫测定等）：</w:t>
      </w:r>
    </w:p>
    <w:p w14:paraId="53AE59A7">
      <w:pPr>
        <w:topLinePunct/>
        <w:spacing w:before="187"/>
        <w:ind w:left="960" w:leftChars="400"/>
        <w:rPr>
          <w:rFonts w:cs="Arial"/>
          <w:snapToGrid w:val="0"/>
          <w:kern w:val="0"/>
        </w:rPr>
      </w:pPr>
      <w:r>
        <w:rPr>
          <w:rFonts w:hint="eastAsia" w:cs="Arial"/>
          <w:snapToGrid w:val="0"/>
          <w:kern w:val="0"/>
        </w:rPr>
        <w:t>将分析灵敏度定义为可与零区分的最低值（通常使用95%置信区间或2个标准偏差）</w:t>
      </w:r>
      <w:r>
        <w:rPr>
          <w:rFonts w:cs="Arial"/>
          <w:snapToGrid w:val="0"/>
          <w:kern w:val="0"/>
          <w:vertAlign w:val="superscript"/>
        </w:rPr>
        <w:t>53</w:t>
      </w:r>
      <w:r>
        <w:rPr>
          <w:rFonts w:hint="eastAsia" w:cs="Arial"/>
          <w:snapToGrid w:val="0"/>
          <w:kern w:val="0"/>
          <w:vertAlign w:val="superscript"/>
        </w:rPr>
        <w:t xml:space="preserve">, </w:t>
      </w:r>
      <w:r>
        <w:rPr>
          <w:rFonts w:cs="Arial"/>
          <w:snapToGrid w:val="0"/>
          <w:kern w:val="0"/>
          <w:vertAlign w:val="superscript"/>
        </w:rPr>
        <w:t>54</w:t>
      </w:r>
      <w:r>
        <w:rPr>
          <w:rFonts w:hint="eastAsia" w:cs="Arial"/>
          <w:snapToGrid w:val="0"/>
          <w:kern w:val="0"/>
        </w:rPr>
        <w:t>。在同一检测过程中，至少调零25次（稀释液调零），并计算调零标准品的平均值以及平均值（计数、光密度等）两个标准偏差（SD）的平均值。</w:t>
      </w:r>
    </w:p>
    <w:p w14:paraId="4B4CB356">
      <w:pPr>
        <w:topLinePunct/>
        <w:spacing w:before="187"/>
        <w:rPr>
          <w:rFonts w:cs="Arial"/>
          <w:snapToGrid w:val="0"/>
          <w:kern w:val="0"/>
        </w:rPr>
      </w:pPr>
      <w:r>
        <w:rPr>
          <w:rFonts w:cs="Arial"/>
          <w:snapToGrid w:val="0"/>
          <w:kern w:val="0"/>
        </w:rPr>
        <w:br w:type="page"/>
      </w:r>
    </w:p>
    <w:p w14:paraId="57E49F98">
      <w:pPr>
        <w:pStyle w:val="11"/>
        <w:numPr>
          <w:ilvl w:val="0"/>
          <w:numId w:val="8"/>
        </w:numPr>
        <w:topLinePunct/>
        <w:spacing w:before="187"/>
        <w:ind w:left="960" w:leftChars="200" w:hanging="480" w:hangingChars="200"/>
        <w:rPr>
          <w:rFonts w:cs="Arial"/>
          <w:snapToGrid w:val="0"/>
          <w:kern w:val="0"/>
        </w:rPr>
      </w:pPr>
      <w:r>
        <w:rPr>
          <w:rFonts w:hint="eastAsia" w:cs="Arial"/>
          <w:snapToGrid w:val="0"/>
          <w:kern w:val="0"/>
        </w:rPr>
        <w:t>线性范围：</w:t>
      </w:r>
    </w:p>
    <w:p w14:paraId="16FFF786">
      <w:pPr>
        <w:topLinePunct/>
        <w:spacing w:before="187"/>
        <w:ind w:left="960" w:leftChars="400"/>
        <w:rPr>
          <w:rFonts w:cs="Arial"/>
          <w:snapToGrid w:val="0"/>
          <w:kern w:val="0"/>
        </w:rPr>
      </w:pPr>
      <w:r>
        <w:rPr>
          <w:rFonts w:hint="eastAsia" w:cs="Arial"/>
          <w:snapToGrid w:val="0"/>
          <w:kern w:val="0"/>
        </w:rPr>
        <w:t>利用覆盖标准曲线整个范围的正常和异常样品来确认试验的线性范围。</w:t>
      </w:r>
      <w:r>
        <w:rPr>
          <w:rFonts w:hint="eastAsia" w:cs="Arial"/>
          <w:snapToGrid w:val="0"/>
          <w:kern w:val="0"/>
          <w:vertAlign w:val="superscript"/>
        </w:rPr>
        <w:t>55</w:t>
      </w:r>
    </w:p>
    <w:p w14:paraId="28940DE8">
      <w:pPr>
        <w:pStyle w:val="11"/>
        <w:numPr>
          <w:ilvl w:val="0"/>
          <w:numId w:val="8"/>
        </w:numPr>
        <w:topLinePunct/>
        <w:spacing w:before="187"/>
        <w:ind w:left="960" w:leftChars="200" w:hanging="480" w:hangingChars="200"/>
        <w:rPr>
          <w:rFonts w:cs="Arial"/>
          <w:snapToGrid w:val="0"/>
          <w:kern w:val="0"/>
        </w:rPr>
      </w:pPr>
      <w:r>
        <w:rPr>
          <w:rFonts w:hint="eastAsia" w:cs="Arial"/>
          <w:snapToGrid w:val="0"/>
          <w:kern w:val="0"/>
        </w:rPr>
        <w:t>准确度／回收率研究：</w:t>
      </w:r>
    </w:p>
    <w:p w14:paraId="6D1EEDB1">
      <w:pPr>
        <w:topLinePunct/>
        <w:spacing w:before="187"/>
        <w:ind w:left="960" w:leftChars="400"/>
        <w:rPr>
          <w:rFonts w:cs="Arial"/>
          <w:snapToGrid w:val="0"/>
          <w:kern w:val="0"/>
        </w:rPr>
      </w:pPr>
      <w:r>
        <w:rPr>
          <w:rFonts w:hint="eastAsia" w:cs="Arial"/>
          <w:snapToGrid w:val="0"/>
          <w:kern w:val="0"/>
        </w:rPr>
        <w:t>定义AFP含量已知的加标回收率</w:t>
      </w:r>
      <w:r>
        <w:rPr>
          <w:rFonts w:cs="Arial"/>
          <w:snapToGrid w:val="0"/>
          <w:kern w:val="0"/>
          <w:vertAlign w:val="superscript"/>
        </w:rPr>
        <w:t>53</w:t>
      </w:r>
      <w:r>
        <w:rPr>
          <w:rFonts w:hint="eastAsia" w:cs="Arial"/>
          <w:snapToGrid w:val="0"/>
          <w:kern w:val="0"/>
          <w:vertAlign w:val="superscript"/>
        </w:rPr>
        <w:t xml:space="preserve">, </w:t>
      </w:r>
      <w:r>
        <w:rPr>
          <w:rFonts w:cs="Arial"/>
          <w:snapToGrid w:val="0"/>
          <w:kern w:val="0"/>
          <w:vertAlign w:val="superscript"/>
        </w:rPr>
        <w:t>54</w:t>
      </w:r>
      <w:r>
        <w:rPr>
          <w:rFonts w:hint="eastAsia" w:cs="Arial"/>
          <w:snapToGrid w:val="0"/>
          <w:kern w:val="0"/>
          <w:vertAlign w:val="superscript"/>
        </w:rPr>
        <w:t xml:space="preserve">, </w:t>
      </w:r>
      <w:r>
        <w:rPr>
          <w:rFonts w:cs="Arial"/>
          <w:snapToGrid w:val="0"/>
          <w:kern w:val="0"/>
          <w:vertAlign w:val="superscript"/>
        </w:rPr>
        <w:t>56</w:t>
      </w:r>
      <w:r>
        <w:rPr>
          <w:rFonts w:hint="eastAsia" w:cs="Arial"/>
          <w:snapToGrid w:val="0"/>
          <w:kern w:val="0"/>
          <w:vertAlign w:val="superscript"/>
        </w:rPr>
        <w:t xml:space="preserve">, </w:t>
      </w:r>
      <w:r>
        <w:rPr>
          <w:rFonts w:cs="Arial"/>
          <w:snapToGrid w:val="0"/>
          <w:kern w:val="0"/>
          <w:vertAlign w:val="superscript"/>
        </w:rPr>
        <w:t>57</w:t>
      </w:r>
      <w:r>
        <w:rPr>
          <w:rFonts w:hint="eastAsia" w:cs="Arial"/>
          <w:snapToGrid w:val="0"/>
          <w:kern w:val="0"/>
        </w:rPr>
        <w:t>。回收率分析研究涉及将已知含量的AFP添加到待测定羊水中之后进行的分析。包括源于异常和病理状态下的患者样品以及源于健康个体的正常样品。通过公式来计算回收率百分数：增加含量-现有含量／增加含量×100。</w:t>
      </w:r>
      <w:r>
        <w:rPr>
          <w:rFonts w:cs="Arial"/>
          <w:snapToGrid w:val="0"/>
          <w:kern w:val="0"/>
          <w:vertAlign w:val="superscript"/>
        </w:rPr>
        <w:t>58</w:t>
      </w:r>
    </w:p>
    <w:p w14:paraId="0B8241ED">
      <w:pPr>
        <w:pStyle w:val="11"/>
        <w:numPr>
          <w:ilvl w:val="0"/>
          <w:numId w:val="8"/>
        </w:numPr>
        <w:topLinePunct/>
        <w:spacing w:before="187"/>
        <w:ind w:left="960" w:leftChars="200" w:hanging="480" w:hangingChars="200"/>
        <w:rPr>
          <w:rFonts w:cs="Arial"/>
          <w:snapToGrid w:val="0"/>
          <w:kern w:val="0"/>
        </w:rPr>
      </w:pPr>
      <w:r>
        <w:rPr>
          <w:rFonts w:hint="eastAsia" w:cs="Arial"/>
          <w:snapToGrid w:val="0"/>
          <w:kern w:val="0"/>
        </w:rPr>
        <w:t>稀释／平行性研究：</w:t>
      </w:r>
    </w:p>
    <w:p w14:paraId="5FAB9662">
      <w:pPr>
        <w:topLinePunct/>
        <w:spacing w:before="187"/>
        <w:ind w:left="960" w:leftChars="400"/>
        <w:rPr>
          <w:rFonts w:cs="Arial"/>
          <w:snapToGrid w:val="0"/>
          <w:kern w:val="0"/>
        </w:rPr>
      </w:pPr>
      <w:r>
        <w:rPr>
          <w:rFonts w:hint="eastAsia" w:cs="Arial"/>
          <w:snapToGrid w:val="0"/>
          <w:kern w:val="0"/>
        </w:rPr>
        <w:t>在特定体外试验中，不同抗原制备物或样品类型可能产生不同的剂量-反应曲线。将校准曲线斜率与含有AFP的患者样品（全部声明样品类型的分析物水平升高）进行统计学比较。这些孕妇患者应体现各族群来源。此外，在说明书的局限性部分中增加一个声明，称器械未进行交叉反应性检测或一种或多种物质的干扰检测。</w:t>
      </w:r>
    </w:p>
    <w:p w14:paraId="6C34FCC7">
      <w:pPr>
        <w:topLinePunct/>
        <w:spacing w:before="187"/>
        <w:ind w:left="960" w:leftChars="400"/>
        <w:rPr>
          <w:rFonts w:cs="Arial"/>
          <w:snapToGrid w:val="0"/>
          <w:kern w:val="0"/>
        </w:rPr>
      </w:pPr>
      <w:r>
        <w:rPr>
          <w:rFonts w:hint="eastAsia" w:cs="Arial"/>
          <w:snapToGrid w:val="0"/>
          <w:kern w:val="0"/>
        </w:rPr>
        <w:t>对于杂交瘤来源的单克隆抗体，应利用竞争抑制技术，采用放射性免疫测定和ELISA或通过免疫印迹，进行特异性检测。应充分描述所选抗体的结合特性以确保在全部血清和羊膜样品规定类型的全部微粒中表达在特定试验中产生反应的表位。</w:t>
      </w:r>
    </w:p>
    <w:p w14:paraId="2B734918">
      <w:pPr>
        <w:pStyle w:val="11"/>
        <w:numPr>
          <w:ilvl w:val="0"/>
          <w:numId w:val="5"/>
        </w:numPr>
        <w:topLinePunct/>
        <w:spacing w:before="187"/>
        <w:ind w:left="480" w:hanging="480" w:hangingChars="200"/>
        <w:rPr>
          <w:rFonts w:cs="Arial"/>
          <w:snapToGrid w:val="0"/>
          <w:kern w:val="0"/>
        </w:rPr>
      </w:pPr>
      <w:r>
        <w:rPr>
          <w:rFonts w:hint="eastAsia" w:cs="Arial"/>
          <w:snapToGrid w:val="0"/>
          <w:kern w:val="0"/>
        </w:rPr>
        <w:t>特异性／交叉反应性／干扰研究：</w:t>
      </w:r>
    </w:p>
    <w:p w14:paraId="2ADDE897">
      <w:pPr>
        <w:topLinePunct/>
        <w:spacing w:before="187"/>
        <w:ind w:left="960" w:leftChars="400"/>
        <w:rPr>
          <w:rFonts w:cs="Arial"/>
          <w:snapToGrid w:val="0"/>
          <w:kern w:val="0"/>
        </w:rPr>
      </w:pPr>
      <w:r>
        <w:rPr>
          <w:rFonts w:hint="eastAsia" w:cs="Arial"/>
          <w:snapToGrid w:val="0"/>
          <w:kern w:val="0"/>
        </w:rPr>
        <w:t>检测方案应描述用于定量其它造成试验干扰的血清蛋白质、抗凝血剂、其它药物或化学制剂或试验温度差异、试验孵育时间、反应物冲洗、分析物测定的洗脱时间和增加用于终止试验程序溶液的时间所采用的方法。</w:t>
      </w:r>
    </w:p>
    <w:p w14:paraId="16001EB9">
      <w:pPr>
        <w:topLinePunct/>
        <w:spacing w:before="187"/>
        <w:rPr>
          <w:rFonts w:cs="Arial"/>
          <w:snapToGrid w:val="0"/>
          <w:kern w:val="0"/>
        </w:rPr>
      </w:pPr>
    </w:p>
    <w:p w14:paraId="6980304E">
      <w:pPr>
        <w:topLinePunct/>
        <w:spacing w:before="187"/>
        <w:rPr>
          <w:rFonts w:cs="Arial"/>
          <w:snapToGrid w:val="0"/>
          <w:kern w:val="0"/>
        </w:rPr>
      </w:pPr>
      <w:r>
        <w:rPr>
          <w:rFonts w:cs="Arial"/>
          <w:snapToGrid w:val="0"/>
          <w:kern w:val="0"/>
        </w:rPr>
        <w:br w:type="page"/>
      </w:r>
    </w:p>
    <w:p w14:paraId="1241BCD2">
      <w:pPr>
        <w:pStyle w:val="11"/>
        <w:numPr>
          <w:ilvl w:val="1"/>
          <w:numId w:val="9"/>
        </w:numPr>
        <w:topLinePunct/>
        <w:spacing w:before="187"/>
        <w:ind w:left="960" w:leftChars="200" w:hanging="480" w:hangingChars="200"/>
        <w:rPr>
          <w:rFonts w:cs="Arial"/>
          <w:snapToGrid w:val="0"/>
          <w:kern w:val="0"/>
        </w:rPr>
      </w:pPr>
      <w:r>
        <w:rPr>
          <w:rFonts w:hint="eastAsia" w:cs="Arial"/>
          <w:snapToGrid w:val="0"/>
          <w:kern w:val="0"/>
        </w:rPr>
        <w:t>评估供试患者可能通常使用的药物及其代谢物对AFP定量测定系统的干扰情况。</w:t>
      </w:r>
    </w:p>
    <w:p w14:paraId="13E3C479">
      <w:pPr>
        <w:topLinePunct/>
        <w:spacing w:before="187"/>
        <w:ind w:left="960"/>
        <w:rPr>
          <w:rFonts w:cs="Arial"/>
          <w:snapToGrid w:val="0"/>
          <w:kern w:val="0"/>
        </w:rPr>
      </w:pPr>
      <w:r>
        <w:rPr>
          <w:rFonts w:hint="eastAsia" w:cs="Arial"/>
          <w:snapToGrid w:val="0"/>
          <w:kern w:val="0"/>
        </w:rPr>
        <w:t>或者，在说明书中的局限性部分中增加一项声明，即，未对器械进行交叉反应性或干扰性测试。</w:t>
      </w:r>
    </w:p>
    <w:p w14:paraId="3DC4D02D">
      <w:pPr>
        <w:pStyle w:val="11"/>
        <w:numPr>
          <w:ilvl w:val="1"/>
          <w:numId w:val="9"/>
        </w:numPr>
        <w:topLinePunct/>
        <w:spacing w:before="187"/>
        <w:ind w:left="960" w:leftChars="200" w:hanging="480" w:hangingChars="200"/>
        <w:rPr>
          <w:rFonts w:cs="Arial"/>
          <w:snapToGrid w:val="0"/>
          <w:kern w:val="0"/>
        </w:rPr>
      </w:pPr>
      <w:r>
        <w:rPr>
          <w:rFonts w:hint="eastAsia" w:cs="Arial"/>
          <w:snapToGrid w:val="0"/>
          <w:kern w:val="0"/>
        </w:rPr>
        <w:t>其它内源性物质：</w:t>
      </w:r>
    </w:p>
    <w:p w14:paraId="4DCBFFB5">
      <w:pPr>
        <w:topLinePunct/>
        <w:spacing w:before="187"/>
        <w:ind w:left="960" w:leftChars="400"/>
        <w:rPr>
          <w:rFonts w:cs="Arial"/>
          <w:snapToGrid w:val="0"/>
          <w:kern w:val="0"/>
        </w:rPr>
      </w:pPr>
      <w:r>
        <w:rPr>
          <w:rFonts w:hint="eastAsia" w:cs="Arial"/>
          <w:snapToGrid w:val="0"/>
          <w:kern w:val="0"/>
        </w:rPr>
        <w:t>在较高浓度条件下，对可能发生交叉反应的内源性物质进行评估，包括常见血清成分，如脂类、血红蛋白、胆红素等。</w:t>
      </w:r>
      <w:r>
        <w:rPr>
          <w:rFonts w:cs="Arial"/>
          <w:snapToGrid w:val="0"/>
          <w:kern w:val="0"/>
          <w:vertAlign w:val="superscript"/>
        </w:rPr>
        <w:t>53</w:t>
      </w:r>
      <w:r>
        <w:rPr>
          <w:rFonts w:hint="eastAsia" w:cs="Arial"/>
          <w:snapToGrid w:val="0"/>
          <w:kern w:val="0"/>
          <w:vertAlign w:val="superscript"/>
        </w:rPr>
        <w:t xml:space="preserve">, </w:t>
      </w:r>
      <w:r>
        <w:rPr>
          <w:rFonts w:cs="Arial"/>
          <w:snapToGrid w:val="0"/>
          <w:kern w:val="0"/>
          <w:vertAlign w:val="superscript"/>
        </w:rPr>
        <w:t>54</w:t>
      </w:r>
      <w:r>
        <w:rPr>
          <w:rFonts w:hint="eastAsia" w:cs="Arial"/>
          <w:snapToGrid w:val="0"/>
          <w:kern w:val="0"/>
          <w:vertAlign w:val="superscript"/>
        </w:rPr>
        <w:t xml:space="preserve">, </w:t>
      </w:r>
      <w:r>
        <w:rPr>
          <w:rFonts w:cs="Arial"/>
          <w:snapToGrid w:val="0"/>
          <w:kern w:val="0"/>
          <w:vertAlign w:val="superscript"/>
        </w:rPr>
        <w:t>56</w:t>
      </w:r>
      <w:r>
        <w:rPr>
          <w:rFonts w:hint="eastAsia" w:cs="Arial"/>
          <w:snapToGrid w:val="0"/>
          <w:kern w:val="0"/>
          <w:vertAlign w:val="superscript"/>
        </w:rPr>
        <w:t xml:space="preserve">, </w:t>
      </w:r>
      <w:r>
        <w:rPr>
          <w:rFonts w:cs="Arial"/>
          <w:snapToGrid w:val="0"/>
          <w:kern w:val="0"/>
          <w:vertAlign w:val="superscript"/>
        </w:rPr>
        <w:t>58</w:t>
      </w:r>
    </w:p>
    <w:p w14:paraId="59927816">
      <w:pPr>
        <w:pStyle w:val="11"/>
        <w:numPr>
          <w:ilvl w:val="0"/>
          <w:numId w:val="5"/>
        </w:numPr>
        <w:topLinePunct/>
        <w:spacing w:before="187"/>
        <w:ind w:left="480" w:hanging="480" w:hangingChars="200"/>
        <w:rPr>
          <w:rFonts w:cs="Arial"/>
          <w:snapToGrid w:val="0"/>
          <w:kern w:val="0"/>
        </w:rPr>
      </w:pPr>
      <w:r>
        <w:rPr>
          <w:rFonts w:hint="eastAsia" w:cs="Arial"/>
          <w:snapToGrid w:val="0"/>
          <w:kern w:val="0"/>
        </w:rPr>
        <w:t>重复性和重现性</w:t>
      </w:r>
      <w:r>
        <w:rPr>
          <w:rFonts w:cs="Arial"/>
          <w:snapToGrid w:val="0"/>
          <w:kern w:val="0"/>
          <w:vertAlign w:val="superscript"/>
        </w:rPr>
        <w:t>53</w:t>
      </w:r>
      <w:r>
        <w:rPr>
          <w:rFonts w:hint="eastAsia" w:cs="Arial"/>
          <w:snapToGrid w:val="0"/>
          <w:kern w:val="0"/>
          <w:vertAlign w:val="superscript"/>
        </w:rPr>
        <w:t xml:space="preserve">, </w:t>
      </w:r>
      <w:r>
        <w:rPr>
          <w:rFonts w:cs="Arial"/>
          <w:snapToGrid w:val="0"/>
          <w:kern w:val="0"/>
          <w:vertAlign w:val="superscript"/>
        </w:rPr>
        <w:t>54</w:t>
      </w:r>
      <w:r>
        <w:rPr>
          <w:rFonts w:hint="eastAsia" w:cs="Arial"/>
          <w:snapToGrid w:val="0"/>
          <w:kern w:val="0"/>
          <w:vertAlign w:val="superscript"/>
        </w:rPr>
        <w:t xml:space="preserve">, </w:t>
      </w:r>
      <w:r>
        <w:rPr>
          <w:rFonts w:cs="Arial"/>
          <w:snapToGrid w:val="0"/>
          <w:kern w:val="0"/>
          <w:vertAlign w:val="superscript"/>
        </w:rPr>
        <w:t>56</w:t>
      </w:r>
      <w:r>
        <w:rPr>
          <w:rFonts w:hint="eastAsia" w:cs="Arial"/>
          <w:snapToGrid w:val="0"/>
          <w:kern w:val="0"/>
          <w:vertAlign w:val="superscript"/>
        </w:rPr>
        <w:t xml:space="preserve">, </w:t>
      </w:r>
      <w:r>
        <w:rPr>
          <w:rFonts w:cs="Arial"/>
          <w:snapToGrid w:val="0"/>
          <w:kern w:val="0"/>
          <w:vertAlign w:val="superscript"/>
        </w:rPr>
        <w:t>57</w:t>
      </w:r>
      <w:r>
        <w:rPr>
          <w:rFonts w:hint="eastAsia" w:cs="Arial"/>
          <w:snapToGrid w:val="0"/>
          <w:kern w:val="0"/>
          <w:vertAlign w:val="superscript"/>
        </w:rPr>
        <w:t xml:space="preserve">, </w:t>
      </w:r>
      <w:r>
        <w:rPr>
          <w:rFonts w:cs="Arial"/>
          <w:snapToGrid w:val="0"/>
          <w:kern w:val="0"/>
          <w:vertAlign w:val="superscript"/>
        </w:rPr>
        <w:t>59</w:t>
      </w:r>
      <w:r>
        <w:rPr>
          <w:rFonts w:hint="eastAsia" w:cs="Arial"/>
          <w:snapToGrid w:val="0"/>
          <w:kern w:val="0"/>
          <w:vertAlign w:val="superscript"/>
        </w:rPr>
        <w:t xml:space="preserve">, </w:t>
      </w:r>
      <w:r>
        <w:rPr>
          <w:rFonts w:cs="Arial"/>
          <w:snapToGrid w:val="0"/>
          <w:kern w:val="0"/>
          <w:vertAlign w:val="superscript"/>
        </w:rPr>
        <w:t>60</w:t>
      </w:r>
    </w:p>
    <w:p w14:paraId="0DA70DE3">
      <w:pPr>
        <w:pStyle w:val="11"/>
        <w:numPr>
          <w:ilvl w:val="0"/>
          <w:numId w:val="10"/>
        </w:numPr>
        <w:topLinePunct/>
        <w:spacing w:before="187"/>
        <w:ind w:left="960" w:leftChars="200" w:hanging="480" w:hangingChars="200"/>
        <w:rPr>
          <w:rFonts w:cs="Arial"/>
          <w:snapToGrid w:val="0"/>
          <w:kern w:val="0"/>
        </w:rPr>
      </w:pPr>
      <w:r>
        <w:rPr>
          <w:rFonts w:hint="eastAsia" w:cs="Arial"/>
          <w:snapToGrid w:val="0"/>
          <w:kern w:val="0"/>
        </w:rPr>
        <w:t>实验室应用</w:t>
      </w:r>
    </w:p>
    <w:p w14:paraId="2EBC14E6">
      <w:pPr>
        <w:topLinePunct/>
        <w:spacing w:before="187"/>
        <w:ind w:left="960" w:leftChars="400"/>
        <w:rPr>
          <w:rFonts w:cs="Arial"/>
          <w:snapToGrid w:val="0"/>
          <w:kern w:val="0"/>
        </w:rPr>
      </w:pPr>
      <w:r>
        <w:rPr>
          <w:rFonts w:hint="eastAsia" w:cs="Arial"/>
          <w:snapToGrid w:val="0"/>
          <w:kern w:val="0"/>
        </w:rPr>
        <w:t>美国国家临床实验室标准化委员会（NCCLS）推荐采用一种方差检验分析方法，对本例中分析物两种接近医疗决定限的显著水平进行检测（次常规、常规或增加）。在同一次测定以及在2次不同测定中，利用对照来模拟患者样品或实际患者样品或模拟2次实际患者样品，持续进行20天测试。通过这种方法能够分别估计各天之间、批间和同一天内的标准偏差（SD）以及批间和整体SD。同样，所引用的文献对仅每天进行一次测定的可接受替代品进行了讨论</w:t>
      </w:r>
      <w:r>
        <w:rPr>
          <w:rFonts w:cs="Arial"/>
          <w:snapToGrid w:val="0"/>
          <w:kern w:val="0"/>
          <w:vertAlign w:val="superscript"/>
        </w:rPr>
        <w:t>59</w:t>
      </w:r>
      <w:r>
        <w:rPr>
          <w:rFonts w:hint="eastAsia" w:cs="Arial"/>
          <w:snapToGrid w:val="0"/>
          <w:kern w:val="0"/>
        </w:rPr>
        <w:t>。需要证明方差分析的三种重要假设（误差变量齐性、加和性以及正态性）。</w:t>
      </w:r>
    </w:p>
    <w:p w14:paraId="14492FFD">
      <w:pPr>
        <w:pStyle w:val="11"/>
        <w:numPr>
          <w:ilvl w:val="1"/>
          <w:numId w:val="11"/>
        </w:numPr>
        <w:topLinePunct/>
        <w:spacing w:before="187"/>
        <w:ind w:left="1440" w:leftChars="400" w:hanging="480" w:hangingChars="200"/>
        <w:rPr>
          <w:rFonts w:cs="Arial"/>
          <w:snapToGrid w:val="0"/>
          <w:kern w:val="0"/>
        </w:rPr>
      </w:pPr>
      <w:r>
        <w:rPr>
          <w:rFonts w:hint="eastAsia" w:cs="Arial"/>
          <w:snapToGrid w:val="0"/>
          <w:kern w:val="0"/>
        </w:rPr>
        <w:t>定量测定</w:t>
      </w:r>
    </w:p>
    <w:p w14:paraId="4F570BAF">
      <w:pPr>
        <w:topLinePunct/>
        <w:spacing w:before="187"/>
        <w:ind w:left="1440" w:leftChars="600"/>
        <w:rPr>
          <w:rFonts w:cs="Arial"/>
          <w:snapToGrid w:val="0"/>
          <w:kern w:val="0"/>
        </w:rPr>
      </w:pPr>
      <w:r>
        <w:rPr>
          <w:rFonts w:hint="eastAsia" w:cs="Arial"/>
          <w:snapToGrid w:val="0"/>
          <w:kern w:val="0"/>
        </w:rPr>
        <w:t>计算整体、各天之间和同一天内、以及批间和同一天之间、以及批间和批内平均值和每组数值不精确性的变异系数</w:t>
      </w:r>
      <w:r>
        <w:rPr>
          <w:rFonts w:cs="Arial"/>
          <w:snapToGrid w:val="0"/>
          <w:kern w:val="0"/>
          <w:vertAlign w:val="superscript"/>
        </w:rPr>
        <w:t>60</w:t>
      </w:r>
      <w:r>
        <w:rPr>
          <w:rFonts w:hint="eastAsia" w:cs="Arial"/>
          <w:snapToGrid w:val="0"/>
          <w:kern w:val="0"/>
        </w:rPr>
        <w:t>。</w:t>
      </w:r>
    </w:p>
    <w:p w14:paraId="3AA6A5FE">
      <w:pPr>
        <w:topLinePunct/>
        <w:spacing w:before="187"/>
        <w:ind w:left="1440" w:leftChars="600"/>
        <w:rPr>
          <w:rFonts w:cs="Arial"/>
          <w:snapToGrid w:val="0"/>
          <w:kern w:val="0"/>
        </w:rPr>
      </w:pPr>
      <w:r>
        <w:rPr>
          <w:rFonts w:hint="eastAsia" w:cs="Arial"/>
          <w:snapToGrid w:val="0"/>
          <w:kern w:val="0"/>
        </w:rPr>
        <w:t>根据样品重复检测次数，在说明书性能特征部分中报告适当平均值、SD和／或带有置信区间的变异系数。报告每日检测数量。</w:t>
      </w:r>
    </w:p>
    <w:p w14:paraId="1703CA0B">
      <w:pPr>
        <w:topLinePunct/>
        <w:spacing w:before="187"/>
        <w:rPr>
          <w:rFonts w:cs="Arial"/>
          <w:snapToGrid w:val="0"/>
          <w:kern w:val="0"/>
        </w:rPr>
      </w:pPr>
    </w:p>
    <w:p w14:paraId="56418737">
      <w:pPr>
        <w:topLinePunct/>
        <w:spacing w:before="187"/>
        <w:rPr>
          <w:rFonts w:cs="Arial"/>
          <w:snapToGrid w:val="0"/>
          <w:kern w:val="0"/>
        </w:rPr>
      </w:pPr>
      <w:r>
        <w:rPr>
          <w:rFonts w:cs="Arial"/>
          <w:snapToGrid w:val="0"/>
          <w:kern w:val="0"/>
        </w:rPr>
        <w:br w:type="page"/>
      </w:r>
    </w:p>
    <w:p w14:paraId="3D2E3C1B">
      <w:pPr>
        <w:pStyle w:val="11"/>
        <w:numPr>
          <w:ilvl w:val="1"/>
          <w:numId w:val="12"/>
        </w:numPr>
        <w:topLinePunct/>
        <w:spacing w:before="187"/>
        <w:ind w:left="1920" w:leftChars="600" w:hanging="480" w:hangingChars="200"/>
        <w:rPr>
          <w:rFonts w:cs="Arial"/>
          <w:snapToGrid w:val="0"/>
          <w:kern w:val="0"/>
        </w:rPr>
      </w:pPr>
      <w:r>
        <w:rPr>
          <w:rFonts w:hint="eastAsia" w:cs="Arial"/>
          <w:snapToGrid w:val="0"/>
          <w:kern w:val="0"/>
        </w:rPr>
        <w:t>提供三个实验室之间的试验差异。</w:t>
      </w:r>
    </w:p>
    <w:p w14:paraId="2852DB5A">
      <w:pPr>
        <w:pStyle w:val="11"/>
        <w:numPr>
          <w:ilvl w:val="1"/>
          <w:numId w:val="12"/>
        </w:numPr>
        <w:topLinePunct/>
        <w:spacing w:before="187"/>
        <w:ind w:left="1920" w:leftChars="600" w:hanging="480" w:hangingChars="200"/>
        <w:rPr>
          <w:rFonts w:cs="Arial"/>
          <w:snapToGrid w:val="0"/>
          <w:kern w:val="0"/>
        </w:rPr>
      </w:pPr>
      <w:r>
        <w:rPr>
          <w:rFonts w:hint="eastAsia" w:cs="Arial"/>
          <w:snapToGrid w:val="0"/>
          <w:kern w:val="0"/>
        </w:rPr>
        <w:t>提供批间试验差异。</w:t>
      </w:r>
    </w:p>
    <w:p w14:paraId="23474759">
      <w:pPr>
        <w:pStyle w:val="11"/>
        <w:numPr>
          <w:ilvl w:val="0"/>
          <w:numId w:val="5"/>
        </w:numPr>
        <w:topLinePunct/>
        <w:spacing w:before="187"/>
        <w:ind w:left="480" w:hanging="480" w:hangingChars="200"/>
        <w:rPr>
          <w:rFonts w:cs="Arial"/>
          <w:snapToGrid w:val="0"/>
          <w:kern w:val="0"/>
        </w:rPr>
      </w:pPr>
      <w:r>
        <w:rPr>
          <w:rFonts w:hint="eastAsia" w:cs="Arial"/>
          <w:snapToGrid w:val="0"/>
          <w:kern w:val="0"/>
        </w:rPr>
        <w:t>描述全部检测方案</w:t>
      </w:r>
    </w:p>
    <w:p w14:paraId="13FE66BB">
      <w:pPr>
        <w:pStyle w:val="11"/>
        <w:numPr>
          <w:ilvl w:val="0"/>
          <w:numId w:val="13"/>
        </w:numPr>
        <w:topLinePunct/>
        <w:spacing w:before="187"/>
        <w:ind w:left="960" w:leftChars="200" w:hanging="480" w:hangingChars="200"/>
        <w:rPr>
          <w:rFonts w:cs="Arial"/>
          <w:snapToGrid w:val="0"/>
          <w:kern w:val="0"/>
        </w:rPr>
      </w:pPr>
      <w:r>
        <w:rPr>
          <w:rFonts w:hint="eastAsia" w:cs="Arial"/>
          <w:snapToGrid w:val="0"/>
          <w:kern w:val="0"/>
        </w:rPr>
        <w:t>表达MSAFP结果的统计学方法</w:t>
      </w:r>
    </w:p>
    <w:p w14:paraId="565C3985">
      <w:pPr>
        <w:pStyle w:val="11"/>
        <w:numPr>
          <w:ilvl w:val="0"/>
          <w:numId w:val="14"/>
        </w:numPr>
        <w:topLinePunct/>
        <w:spacing w:before="187"/>
        <w:ind w:left="1440" w:leftChars="400" w:hanging="480" w:hangingChars="200"/>
        <w:rPr>
          <w:rFonts w:cs="Arial"/>
          <w:snapToGrid w:val="0"/>
          <w:kern w:val="0"/>
        </w:rPr>
      </w:pPr>
      <w:r>
        <w:rPr>
          <w:rFonts w:hint="eastAsia" w:cs="Arial"/>
          <w:snapToGrid w:val="0"/>
          <w:kern w:val="0"/>
        </w:rPr>
        <w:t>中位数的倍数（MOM）：</w:t>
      </w:r>
    </w:p>
    <w:p w14:paraId="7723F11F">
      <w:pPr>
        <w:topLinePunct/>
        <w:spacing w:before="187"/>
        <w:ind w:left="960" w:leftChars="400"/>
        <w:rPr>
          <w:rFonts w:cs="Arial"/>
          <w:snapToGrid w:val="0"/>
          <w:kern w:val="0"/>
        </w:rPr>
      </w:pPr>
      <w:r>
        <w:rPr>
          <w:rFonts w:hint="eastAsia"/>
        </w:rPr>
        <w:t>英国协作研究</w:t>
      </w:r>
      <w:r>
        <w:rPr>
          <w:vertAlign w:val="superscript"/>
        </w:rPr>
        <w:t>6</w:t>
      </w:r>
      <w:r>
        <w:rPr>
          <w:rFonts w:hint="eastAsia"/>
          <w:vertAlign w:val="superscript"/>
        </w:rPr>
        <w:t xml:space="preserve">, </w:t>
      </w:r>
      <w:r>
        <w:rPr>
          <w:vertAlign w:val="superscript"/>
        </w:rPr>
        <w:t>7</w:t>
      </w:r>
      <w:r>
        <w:rPr>
          <w:rFonts w:hint="eastAsia"/>
        </w:rPr>
        <w:t>将通过相同孕周中未受累妊娠样品计算的个体AFP数值表示为MOM AFP数值。AFP器械的制造商和申办方应以叙述方式向临床研究者及其临床试验协调员作出解释，即最初开发这种惯例旨在作为对源于检测中心的、在AFP标准品方面存在差异的数据进行标准化处理（其原因是缺少常规校准剂）。随后，这种情况变得显著，即MOM自动补偿了MSAFP中与孕龄和羊水AFP数值相关的变化，因此，为解释检测结果提供了一种统一方法。也可对MOM数值做出调整以解释其它影响AFP结果（例如，孕妇体重、胰岛素依赖型糖尿病、人种）解释的差异。也可利用MOM数值来计算个体患者特异性风险。美国大学病理学家实验室针对AFP产前筛查的认证程序需要下</w:t>
      </w:r>
      <w:r>
        <w:rPr>
          <w:rFonts w:hint="eastAsia" w:cs="Arial"/>
          <w:snapToGrid w:val="0"/>
          <w:kern w:val="0"/>
        </w:rPr>
        <w:t>述与MOM相关的各项：</w:t>
      </w:r>
      <w:r>
        <w:rPr>
          <w:rFonts w:hint="eastAsia" w:ascii="宋体" w:hAnsi="宋体" w:cs="Arial"/>
          <w:snapToGrid w:val="0"/>
          <w:kern w:val="0"/>
        </w:rPr>
        <w:t>“</w:t>
      </w:r>
      <w:r>
        <w:rPr>
          <w:rFonts w:hint="eastAsia" w:cs="Arial"/>
          <w:snapToGrid w:val="0"/>
          <w:kern w:val="0"/>
        </w:rPr>
        <w:t>申办方的临床试验协调员应证明实验室确立了其本身的正常AFP中位数数值，并确认至少每年对制造商说明书或供试人群的其它来源资料进行升级。</w:t>
      </w:r>
      <w:r>
        <w:rPr>
          <w:rFonts w:hint="eastAsia" w:ascii="宋体" w:hAnsi="宋体" w:cs="Arial"/>
          <w:snapToGrid w:val="0"/>
          <w:kern w:val="0"/>
        </w:rPr>
        <w:t>”</w:t>
      </w:r>
    </w:p>
    <w:p w14:paraId="07B46ACB">
      <w:pPr>
        <w:pStyle w:val="11"/>
        <w:numPr>
          <w:ilvl w:val="0"/>
          <w:numId w:val="14"/>
        </w:numPr>
        <w:topLinePunct/>
        <w:spacing w:before="187"/>
        <w:ind w:left="1440" w:leftChars="400" w:hanging="480" w:hangingChars="200"/>
        <w:rPr>
          <w:rFonts w:cs="Arial"/>
          <w:snapToGrid w:val="0"/>
          <w:kern w:val="0"/>
        </w:rPr>
      </w:pPr>
      <w:r>
        <w:rPr>
          <w:rFonts w:hint="eastAsia" w:cs="Arial"/>
          <w:snapToGrid w:val="0"/>
          <w:kern w:val="0"/>
        </w:rPr>
        <w:t>计算单位</w:t>
      </w:r>
    </w:p>
    <w:p w14:paraId="2A36F764">
      <w:pPr>
        <w:topLinePunct/>
        <w:spacing w:before="187"/>
        <w:ind w:left="960" w:leftChars="400"/>
        <w:rPr>
          <w:rFonts w:cs="Arial"/>
          <w:snapToGrid w:val="0"/>
          <w:kern w:val="0"/>
        </w:rPr>
      </w:pPr>
      <w:r>
        <w:rPr>
          <w:rFonts w:hint="eastAsia" w:cs="Arial"/>
          <w:snapToGrid w:val="0"/>
          <w:kern w:val="0"/>
        </w:rPr>
        <w:t>用于对AFP检测结果进行标准化的其它方法（诸如平均值或标准偏差或百分数）不够稳健，不建议使用这些方法，其原因是在定义正常值占总体人群的百分数时，应特别注意AFP数值的偏斜分布。</w:t>
      </w:r>
    </w:p>
    <w:p w14:paraId="227C6E1B">
      <w:pPr>
        <w:topLinePunct/>
        <w:spacing w:before="187"/>
        <w:rPr>
          <w:rFonts w:cs="Arial"/>
          <w:snapToGrid w:val="0"/>
          <w:kern w:val="0"/>
        </w:rPr>
      </w:pPr>
      <w:r>
        <w:rPr>
          <w:rFonts w:cs="Arial"/>
          <w:snapToGrid w:val="0"/>
          <w:kern w:val="0"/>
        </w:rPr>
        <w:br w:type="page"/>
      </w:r>
    </w:p>
    <w:p w14:paraId="1DB7D54F">
      <w:pPr>
        <w:pStyle w:val="11"/>
        <w:numPr>
          <w:ilvl w:val="0"/>
          <w:numId w:val="13"/>
        </w:numPr>
        <w:topLinePunct/>
        <w:spacing w:before="187"/>
        <w:ind w:left="960" w:leftChars="200" w:hanging="480" w:hangingChars="200"/>
        <w:rPr>
          <w:rFonts w:cs="Arial"/>
          <w:snapToGrid w:val="0"/>
          <w:kern w:val="0"/>
        </w:rPr>
      </w:pPr>
      <w:r>
        <w:rPr>
          <w:rFonts w:hint="eastAsia" w:cs="Arial"/>
          <w:snapToGrid w:val="0"/>
          <w:kern w:val="0"/>
        </w:rPr>
        <w:t>统计学数据：</w:t>
      </w:r>
    </w:p>
    <w:p w14:paraId="7E7ED99B">
      <w:pPr>
        <w:topLinePunct/>
        <w:spacing w:before="187"/>
        <w:ind w:left="960" w:leftChars="400"/>
        <w:rPr>
          <w:rFonts w:cs="Arial"/>
          <w:snapToGrid w:val="0"/>
          <w:kern w:val="0"/>
        </w:rPr>
      </w:pPr>
      <w:r>
        <w:rPr>
          <w:rFonts w:hint="eastAsia" w:cs="Arial"/>
          <w:snapToGrid w:val="0"/>
          <w:kern w:val="0"/>
        </w:rPr>
        <w:t>通过器械来提供数据和经确定的统计学分析以支持针对器械操作以及对于器械操作较为重要的性能参数（例如，重现性）。</w:t>
      </w:r>
    </w:p>
    <w:p w14:paraId="1B3D6CA8">
      <w:pPr>
        <w:pStyle w:val="11"/>
        <w:numPr>
          <w:ilvl w:val="0"/>
          <w:numId w:val="13"/>
        </w:numPr>
        <w:topLinePunct/>
        <w:spacing w:before="187"/>
        <w:ind w:left="960" w:leftChars="200" w:hanging="480" w:hangingChars="200"/>
        <w:rPr>
          <w:rFonts w:cs="Arial"/>
          <w:snapToGrid w:val="0"/>
          <w:kern w:val="0"/>
        </w:rPr>
      </w:pPr>
      <w:r>
        <w:rPr>
          <w:rFonts w:hint="eastAsia" w:cs="Arial"/>
          <w:snapToGrid w:val="0"/>
          <w:kern w:val="0"/>
        </w:rPr>
        <w:t>统计学方法选择理由：</w:t>
      </w:r>
    </w:p>
    <w:p w14:paraId="0045D14D">
      <w:pPr>
        <w:topLinePunct/>
        <w:spacing w:before="187"/>
        <w:ind w:left="960" w:leftChars="400"/>
        <w:rPr>
          <w:rFonts w:cs="Arial"/>
          <w:snapToGrid w:val="0"/>
          <w:kern w:val="0"/>
        </w:rPr>
      </w:pPr>
      <w:r>
        <w:rPr>
          <w:rFonts w:hint="eastAsia" w:cs="Arial"/>
          <w:snapToGrid w:val="0"/>
          <w:kern w:val="0"/>
        </w:rPr>
        <w:t>避免仅依赖于无法提供重要定量信息的统计学假设检验（如使用p值）。提供工作数据，所采用的统计学方法以及经过证明的假设、检验统计学结果和相应p值。必须对特定统计学方法的使用进行充分证明（例如，参数型与非参数性）。</w:t>
      </w:r>
    </w:p>
    <w:p w14:paraId="2DAF1FAE">
      <w:pPr>
        <w:pStyle w:val="11"/>
        <w:numPr>
          <w:ilvl w:val="0"/>
          <w:numId w:val="13"/>
        </w:numPr>
        <w:topLinePunct/>
        <w:spacing w:before="187"/>
        <w:ind w:left="960" w:leftChars="200" w:hanging="480" w:hangingChars="200"/>
        <w:rPr>
          <w:rFonts w:cs="Arial"/>
          <w:snapToGrid w:val="0"/>
          <w:kern w:val="0"/>
        </w:rPr>
      </w:pPr>
      <w:r>
        <w:rPr>
          <w:rFonts w:hint="eastAsia" w:cs="Arial"/>
          <w:snapToGrid w:val="0"/>
          <w:kern w:val="0"/>
        </w:rPr>
        <w:t>统计学方法：</w:t>
      </w:r>
    </w:p>
    <w:p w14:paraId="33303BAC">
      <w:pPr>
        <w:topLinePunct/>
        <w:spacing w:before="187"/>
        <w:ind w:left="960" w:leftChars="400"/>
        <w:rPr>
          <w:rFonts w:cs="Arial"/>
          <w:snapToGrid w:val="0"/>
          <w:kern w:val="0"/>
        </w:rPr>
      </w:pPr>
      <w:r>
        <w:rPr>
          <w:rFonts w:hint="eastAsia" w:cs="Arial"/>
          <w:snapToGrid w:val="0"/>
          <w:kern w:val="0"/>
        </w:rPr>
        <w:t>针对所提交的数据类型（例如，定量连续数据、定性离散数据等）和数据分布（正态与非正态（配对与独立）），对统计学方法进行讨论。</w:t>
      </w:r>
    </w:p>
    <w:p w14:paraId="52FE91B3">
      <w:pPr>
        <w:pStyle w:val="11"/>
        <w:numPr>
          <w:ilvl w:val="0"/>
          <w:numId w:val="13"/>
        </w:numPr>
        <w:topLinePunct/>
        <w:spacing w:before="187"/>
        <w:ind w:left="960" w:leftChars="200" w:hanging="480" w:hangingChars="200"/>
        <w:rPr>
          <w:rFonts w:cs="Arial"/>
          <w:snapToGrid w:val="0"/>
          <w:kern w:val="0"/>
        </w:rPr>
      </w:pPr>
      <w:r>
        <w:rPr>
          <w:rFonts w:hint="eastAsia" w:cs="Arial"/>
          <w:snapToGrid w:val="0"/>
          <w:kern w:val="0"/>
        </w:rPr>
        <w:t>统计学参考资料</w:t>
      </w:r>
    </w:p>
    <w:p w14:paraId="3738DEC4">
      <w:pPr>
        <w:topLinePunct/>
        <w:spacing w:before="187"/>
        <w:ind w:left="960" w:leftChars="400"/>
        <w:rPr>
          <w:rFonts w:cs="Arial"/>
          <w:snapToGrid w:val="0"/>
          <w:kern w:val="0"/>
        </w:rPr>
      </w:pPr>
      <w:r>
        <w:rPr>
          <w:rFonts w:hint="eastAsia" w:cs="Arial"/>
          <w:snapToGrid w:val="0"/>
          <w:kern w:val="0"/>
        </w:rPr>
        <w:t>为源于标准文本和／或经认证的生物医学杂志的研究设计和统计学方法提供参考资料。</w:t>
      </w:r>
    </w:p>
    <w:p w14:paraId="181BC9EE">
      <w:pPr>
        <w:pStyle w:val="11"/>
        <w:numPr>
          <w:ilvl w:val="0"/>
          <w:numId w:val="13"/>
        </w:numPr>
        <w:topLinePunct/>
        <w:spacing w:before="187"/>
        <w:ind w:left="960" w:leftChars="200" w:hanging="480" w:hangingChars="200"/>
        <w:rPr>
          <w:rFonts w:cs="Arial"/>
          <w:snapToGrid w:val="0"/>
          <w:kern w:val="0"/>
        </w:rPr>
      </w:pPr>
      <w:r>
        <w:rPr>
          <w:rFonts w:hint="eastAsia" w:cs="Arial"/>
          <w:snapToGrid w:val="0"/>
          <w:kern w:val="0"/>
        </w:rPr>
        <w:t>检验数据</w:t>
      </w:r>
    </w:p>
    <w:p w14:paraId="387EE87B">
      <w:pPr>
        <w:topLinePunct/>
        <w:spacing w:before="187"/>
        <w:ind w:left="960" w:leftChars="400"/>
        <w:rPr>
          <w:rFonts w:cs="Arial"/>
          <w:snapToGrid w:val="0"/>
          <w:kern w:val="0"/>
        </w:rPr>
      </w:pPr>
      <w:r>
        <w:rPr>
          <w:rFonts w:hint="eastAsia" w:cs="Arial"/>
          <w:snapToGrid w:val="0"/>
          <w:kern w:val="0"/>
        </w:rPr>
        <w:t>提供检验数据以及误差估计、估计参数和置信区间、推理分析和结论。</w:t>
      </w:r>
    </w:p>
    <w:p w14:paraId="0FB732B5">
      <w:pPr>
        <w:pStyle w:val="11"/>
        <w:numPr>
          <w:ilvl w:val="0"/>
          <w:numId w:val="13"/>
        </w:numPr>
        <w:topLinePunct/>
        <w:spacing w:before="187"/>
        <w:ind w:left="960" w:leftChars="200" w:hanging="480" w:hangingChars="200"/>
        <w:rPr>
          <w:rFonts w:cs="Arial"/>
          <w:snapToGrid w:val="0"/>
          <w:kern w:val="0"/>
        </w:rPr>
      </w:pPr>
      <w:r>
        <w:rPr>
          <w:rFonts w:hint="eastAsia" w:cs="Arial"/>
          <w:snapToGrid w:val="0"/>
          <w:kern w:val="0"/>
        </w:rPr>
        <w:t>电子媒介（软盘）</w:t>
      </w:r>
    </w:p>
    <w:p w14:paraId="686DAC7C">
      <w:pPr>
        <w:topLinePunct/>
        <w:spacing w:before="187"/>
        <w:ind w:left="960" w:leftChars="400"/>
        <w:rPr>
          <w:rFonts w:cs="Arial"/>
          <w:snapToGrid w:val="0"/>
          <w:kern w:val="0"/>
        </w:rPr>
      </w:pPr>
      <w:r>
        <w:rPr>
          <w:rFonts w:hint="eastAsia" w:cs="Arial"/>
          <w:snapToGrid w:val="0"/>
          <w:kern w:val="0"/>
        </w:rPr>
        <w:t>如果可能，提供原始数据以及按规定格式储存在电子媒介上的拟定数据</w:t>
      </w:r>
      <w:r>
        <w:rPr>
          <w:rFonts w:hint="eastAsia" w:ascii="宋体" w:hAnsi="宋体" w:cs="Arial"/>
          <w:snapToGrid w:val="0"/>
          <w:kern w:val="0"/>
        </w:rPr>
        <w:t>“</w:t>
      </w:r>
      <w:r>
        <w:rPr>
          <w:rFonts w:hint="eastAsia" w:cs="Arial"/>
          <w:snapToGrid w:val="0"/>
          <w:kern w:val="0"/>
        </w:rPr>
        <w:t>布局</w:t>
      </w:r>
      <w:r>
        <w:rPr>
          <w:rFonts w:hint="eastAsia" w:ascii="宋体" w:hAnsi="宋体" w:cs="Arial"/>
          <w:snapToGrid w:val="0"/>
          <w:kern w:val="0"/>
        </w:rPr>
        <w:t>”</w:t>
      </w:r>
      <w:r>
        <w:rPr>
          <w:rFonts w:hint="eastAsia" w:cs="Arial"/>
          <w:snapToGrid w:val="0"/>
          <w:kern w:val="0"/>
        </w:rPr>
        <w:t>和中间临床信息以及临床数据（软盘）。将利用不带右侧边缘调整的Microsoft</w:t>
      </w:r>
      <w:r>
        <w:rPr>
          <w:rFonts w:cs="Arial"/>
          <w:snapToGrid w:val="0"/>
          <w:kern w:val="0"/>
        </w:rPr>
        <w:t>’</w:t>
      </w:r>
      <w:r>
        <w:rPr>
          <w:rFonts w:hint="eastAsia" w:cs="Arial"/>
          <w:snapToGrid w:val="0"/>
          <w:kern w:val="0"/>
        </w:rPr>
        <w:t>s WordPerfect</w:t>
      </w:r>
      <w:r>
        <w:rPr>
          <w:rFonts w:hint="eastAsia" w:cs="Arial"/>
          <w:snapToGrid w:val="0"/>
          <w:kern w:val="0"/>
          <w:vertAlign w:val="superscript"/>
        </w:rPr>
        <w:t>TM</w:t>
      </w:r>
      <w:r>
        <w:rPr>
          <w:rFonts w:hint="eastAsia" w:cs="Arial"/>
          <w:snapToGrid w:val="0"/>
          <w:kern w:val="0"/>
        </w:rPr>
        <w:t>版本5.1对安全性和有效性文件的总结信息进行处理。为获得额外信息，联系信息系统办公室（OIS），电话（301-594-4550）。</w:t>
      </w:r>
    </w:p>
    <w:p w14:paraId="74174B22">
      <w:pPr>
        <w:topLinePunct/>
        <w:spacing w:before="187"/>
        <w:rPr>
          <w:rFonts w:cs="Arial"/>
          <w:snapToGrid w:val="0"/>
          <w:kern w:val="0"/>
        </w:rPr>
      </w:pPr>
      <w:r>
        <w:rPr>
          <w:rFonts w:hint="eastAsia" w:cs="Arial"/>
          <w:snapToGrid w:val="0"/>
          <w:kern w:val="0"/>
        </w:rPr>
        <w:t>如果进行患者临床分类或微处理机控制的诊断解释（患者信息数据库），并以所选择的（通过数学方法对AFP MOM数值进行调整，以容纳不同孕妇体重、具有特定地理分布特征的种族分布）或不同的图表和数值报告形式向患者提供这些数据，需要提供额外的性能特征。在这些提交中，制造商必须遵循针对计算机控制医疗器械510 (k)审查的审查员指南中高关注水平所列出的要求。可通过FDA小型制造商</w:t>
      </w:r>
      <w:r>
        <w:rPr>
          <w:rFonts w:cs="Arial"/>
          <w:snapToGrid w:val="0"/>
          <w:kern w:val="0"/>
        </w:rPr>
        <w:t>辅助部</w:t>
      </w:r>
      <w:r>
        <w:rPr>
          <w:rFonts w:hint="eastAsia" w:cs="Arial"/>
          <w:snapToGrid w:val="0"/>
          <w:kern w:val="0"/>
        </w:rPr>
        <w:t>，1-800-639-2041来获得本指南。</w:t>
      </w:r>
    </w:p>
    <w:p w14:paraId="52B70604">
      <w:pPr>
        <w:topLinePunct/>
        <w:spacing w:before="187"/>
        <w:rPr>
          <w:rFonts w:cs="Arial"/>
          <w:snapToGrid w:val="0"/>
          <w:kern w:val="0"/>
        </w:rPr>
      </w:pPr>
      <w:r>
        <w:rPr>
          <w:rFonts w:cs="Arial"/>
          <w:snapToGrid w:val="0"/>
          <w:kern w:val="0"/>
        </w:rPr>
        <w:br w:type="page"/>
      </w:r>
    </w:p>
    <w:p w14:paraId="00EFE44C">
      <w:pPr>
        <w:topLinePunct/>
        <w:spacing w:before="187"/>
        <w:rPr>
          <w:rFonts w:cs="Arial"/>
          <w:snapToGrid w:val="0"/>
          <w:kern w:val="0"/>
        </w:rPr>
      </w:pPr>
      <w:r>
        <w:rPr>
          <w:rFonts w:hint="eastAsia" w:cs="Arial"/>
          <w:snapToGrid w:val="0"/>
          <w:kern w:val="0"/>
        </w:rPr>
        <w:t>如果供试患者方面涉及对患者构成风险（例如，进行羊膜穿刺以获得羊水样品），应讨论医院或人员调查机构委员会对研究时间造成的影响。</w:t>
      </w:r>
    </w:p>
    <w:p w14:paraId="51B9FDE5">
      <w:pPr>
        <w:topLinePunct/>
        <w:spacing w:before="187"/>
        <w:rPr>
          <w:rFonts w:cs="Arial"/>
          <w:snapToGrid w:val="0"/>
          <w:kern w:val="0"/>
        </w:rPr>
      </w:pPr>
      <w:r>
        <w:rPr>
          <w:rFonts w:hint="eastAsia" w:cs="Arial"/>
          <w:snapToGrid w:val="0"/>
          <w:kern w:val="0"/>
        </w:rPr>
        <w:t>可报告动态范围</w:t>
      </w:r>
      <w:r>
        <w:rPr>
          <w:rFonts w:cs="Arial"/>
          <w:snapToGrid w:val="0"/>
          <w:kern w:val="0"/>
          <w:vertAlign w:val="superscript"/>
        </w:rPr>
        <w:t>3</w:t>
      </w:r>
      <w:r>
        <w:rPr>
          <w:rFonts w:hint="eastAsia" w:cs="Arial"/>
          <w:snapToGrid w:val="0"/>
          <w:kern w:val="0"/>
          <w:vertAlign w:val="superscript"/>
        </w:rPr>
        <w:t xml:space="preserve">, </w:t>
      </w:r>
      <w:r>
        <w:rPr>
          <w:rFonts w:cs="Arial"/>
          <w:snapToGrid w:val="0"/>
          <w:kern w:val="0"/>
          <w:vertAlign w:val="superscript"/>
        </w:rPr>
        <w:t>4,6</w:t>
      </w:r>
      <w:r>
        <w:rPr>
          <w:rFonts w:hint="eastAsia" w:cs="Arial"/>
          <w:snapToGrid w:val="0"/>
          <w:kern w:val="0"/>
          <w:vertAlign w:val="superscript"/>
        </w:rPr>
        <w:t xml:space="preserve">, </w:t>
      </w:r>
      <w:r>
        <w:rPr>
          <w:rFonts w:cs="Arial"/>
          <w:snapToGrid w:val="0"/>
          <w:kern w:val="0"/>
          <w:vertAlign w:val="superscript"/>
        </w:rPr>
        <w:t>7,9</w:t>
      </w:r>
      <w:r>
        <w:rPr>
          <w:rFonts w:hint="eastAsia" w:cs="Arial"/>
          <w:snapToGrid w:val="0"/>
          <w:kern w:val="0"/>
        </w:rPr>
        <w:t>：试验优化：进行检测时，AFP免疫试验的工作标准曲线应足以包括位于妊娠时间点的最正常样本和病理学样本[FDA建议为15-20个孕周]。实际上，这要求曲线范围跨度达到未受累妊娠中位数0.5到0.8倍，相当于10-200IU/ml。因此，在整个范围内，试验应呈线性。对于浓度超出上限范围的样品，可在稀释后，再次进行试验。</w:t>
      </w:r>
    </w:p>
    <w:p w14:paraId="3DEFF545">
      <w:pPr>
        <w:topLinePunct/>
        <w:spacing w:before="187"/>
        <w:rPr>
          <w:rFonts w:cs="Arial"/>
          <w:snapToGrid w:val="0"/>
          <w:kern w:val="0"/>
        </w:rPr>
      </w:pPr>
      <w:r>
        <w:rPr>
          <w:rFonts w:hint="eastAsia" w:cs="Arial"/>
          <w:snapToGrid w:val="0"/>
          <w:kern w:val="0"/>
        </w:rPr>
        <w:t>对试验间变异系数（CV）为20%、10%、5%和3%的试验不精确性造成影响的整体AFP人群差异所占的比例分别是24%、6%、1.5%和0.54%。当试验间CVs是10%或在位于和接近临床重要决策点数值范围内处于下限时（2.0到2.5MOM），不精密度是MSAFP检测变异的较小来源。</w:t>
      </w:r>
    </w:p>
    <w:p w14:paraId="513D5969">
      <w:pPr>
        <w:topLinePunct/>
        <w:spacing w:before="187"/>
        <w:rPr>
          <w:rFonts w:cs="Arial"/>
          <w:snapToGrid w:val="0"/>
          <w:kern w:val="0"/>
        </w:rPr>
      </w:pPr>
      <w:r>
        <w:rPr>
          <w:rFonts w:hint="eastAsia" w:cs="Arial"/>
          <w:snapToGrid w:val="0"/>
          <w:kern w:val="0"/>
        </w:rPr>
        <w:t>6.质量控制：全部工作曲线（校验）、质量控制和患者样品通常进行两次平行检测。在每次试验中，应包含三个处理方式与患者样品处理方式相同的随机质量控制样品。这三个质量控制样品的浓度应接近17个孕周时的正常中位数，也应位于正常中位数的1倍到2.5倍范围内。应记录工作曲线参数和质量控制样品的控制线（通常为平均值+、-2倍标准偏差），如果标准品和对照品的统计学计算结果和图表结果落在可接受限度之外，应重新对个别患者样品进行检测。</w:t>
      </w:r>
    </w:p>
    <w:p w14:paraId="36DC124F">
      <w:pPr>
        <w:topLinePunct/>
        <w:spacing w:before="187"/>
        <w:rPr>
          <w:rFonts w:cs="Arial"/>
          <w:snapToGrid w:val="0"/>
          <w:kern w:val="0"/>
        </w:rPr>
      </w:pPr>
      <w:r>
        <w:rPr>
          <w:rFonts w:cs="Arial"/>
          <w:snapToGrid w:val="0"/>
          <w:kern w:val="0"/>
        </w:rPr>
        <w:br w:type="page"/>
      </w:r>
    </w:p>
    <w:p w14:paraId="23E115FC">
      <w:pPr>
        <w:tabs>
          <w:tab w:val="left" w:pos="480"/>
        </w:tabs>
        <w:topLinePunct/>
        <w:spacing w:before="187"/>
        <w:rPr>
          <w:rFonts w:cs="Arial"/>
          <w:b/>
          <w:snapToGrid w:val="0"/>
          <w:kern w:val="0"/>
        </w:rPr>
      </w:pPr>
      <w:r>
        <w:rPr>
          <w:rFonts w:hint="eastAsia" w:cs="Arial"/>
          <w:b/>
          <w:snapToGrid w:val="0"/>
          <w:kern w:val="0"/>
        </w:rPr>
        <w:t>IV.</w:t>
      </w:r>
      <w:r>
        <w:rPr>
          <w:rFonts w:cs="Arial"/>
          <w:b/>
          <w:snapToGrid w:val="0"/>
          <w:kern w:val="0"/>
        </w:rPr>
        <w:tab/>
      </w:r>
      <w:r>
        <w:rPr>
          <w:rFonts w:hint="eastAsia" w:cs="Arial"/>
          <w:b/>
          <w:snapToGrid w:val="0"/>
          <w:kern w:val="0"/>
        </w:rPr>
        <w:t>临床研究：特殊要求</w:t>
      </w:r>
    </w:p>
    <w:p w14:paraId="669D0313">
      <w:pPr>
        <w:pStyle w:val="11"/>
        <w:numPr>
          <w:ilvl w:val="0"/>
          <w:numId w:val="15"/>
        </w:numPr>
        <w:topLinePunct/>
        <w:spacing w:before="187"/>
        <w:ind w:left="960" w:leftChars="200" w:hanging="480" w:hangingChars="200"/>
        <w:rPr>
          <w:rFonts w:cs="Arial"/>
          <w:snapToGrid w:val="0"/>
          <w:kern w:val="0"/>
        </w:rPr>
      </w:pPr>
      <w:r>
        <w:rPr>
          <w:rFonts w:hint="eastAsia" w:cs="Arial"/>
          <w:snapToGrid w:val="0"/>
          <w:kern w:val="0"/>
        </w:rPr>
        <w:t>证明临床实用性和安全性以及有效性的临床研究计划</w:t>
      </w:r>
    </w:p>
    <w:p w14:paraId="4E347B58">
      <w:pPr>
        <w:pStyle w:val="11"/>
        <w:numPr>
          <w:ilvl w:val="1"/>
          <w:numId w:val="16"/>
        </w:numPr>
        <w:topLinePunct/>
        <w:spacing w:before="187"/>
        <w:ind w:left="1440" w:leftChars="400" w:hanging="480" w:hangingChars="200"/>
        <w:rPr>
          <w:rFonts w:cs="Arial"/>
          <w:snapToGrid w:val="0"/>
          <w:kern w:val="0"/>
        </w:rPr>
      </w:pPr>
      <w:r>
        <w:rPr>
          <w:rFonts w:hint="eastAsia" w:cs="Arial"/>
          <w:snapToGrid w:val="0"/>
          <w:kern w:val="0"/>
        </w:rPr>
        <w:t>对器械临床实用性较为重要的全部声明和特定参数进行证明</w:t>
      </w:r>
    </w:p>
    <w:p w14:paraId="388DC1B9">
      <w:pPr>
        <w:pStyle w:val="11"/>
        <w:numPr>
          <w:ilvl w:val="1"/>
          <w:numId w:val="16"/>
        </w:numPr>
        <w:topLinePunct/>
        <w:spacing w:before="187"/>
        <w:ind w:left="1440" w:leftChars="400" w:hanging="480" w:hangingChars="200"/>
        <w:rPr>
          <w:rFonts w:cs="Arial"/>
          <w:snapToGrid w:val="0"/>
          <w:kern w:val="0"/>
        </w:rPr>
      </w:pPr>
      <w:r>
        <w:rPr>
          <w:rFonts w:hint="eastAsia" w:cs="Arial"/>
          <w:snapToGrid w:val="0"/>
          <w:kern w:val="0"/>
        </w:rPr>
        <w:t>每名制造商必须拥有三个检测中心，并且，告知研究者使用不正确参考数据的危险。这是医生和实验室工作人员对MSAFP测定结果进行不正确解释的常见原因。至关重要的是，制造商监控其检测中心，确定检测中心本身的参考数据并／或证明通过其他检测实验室获得的参考数据对于供试人群是有效的。MASFP检测中的参考数据由一系列合并实验室MSAFP试验数值利用器械优先在人群中为每个孕周进行计算的中位数数值组成（三个检测中心的合并结果）。可将个体MSAFP检测结果表示为将每个个体MSAFP数值除以相关孕周中位数所获得的未受累人群中位数（MOM）的倍数。在为产妇血清和羊水构建中位数数值的下方概述策略。</w:t>
      </w:r>
    </w:p>
    <w:p w14:paraId="4CD46762">
      <w:pPr>
        <w:pStyle w:val="11"/>
        <w:numPr>
          <w:ilvl w:val="1"/>
          <w:numId w:val="16"/>
        </w:numPr>
        <w:topLinePunct/>
        <w:spacing w:before="187"/>
        <w:ind w:left="1440" w:leftChars="400" w:hanging="480" w:hangingChars="200"/>
        <w:rPr>
          <w:rFonts w:cs="Arial"/>
          <w:snapToGrid w:val="0"/>
          <w:kern w:val="0"/>
        </w:rPr>
      </w:pPr>
      <w:r>
        <w:rPr>
          <w:rFonts w:hint="eastAsia" w:cs="Arial"/>
          <w:snapToGrid w:val="0"/>
          <w:kern w:val="0"/>
        </w:rPr>
        <w:t>研究者人数：</w:t>
      </w:r>
    </w:p>
    <w:p w14:paraId="21FC94B5">
      <w:pPr>
        <w:topLinePunct/>
        <w:spacing w:before="187"/>
        <w:ind w:left="1440" w:leftChars="600"/>
        <w:rPr>
          <w:rFonts w:cs="Arial"/>
          <w:snapToGrid w:val="0"/>
          <w:kern w:val="0"/>
        </w:rPr>
      </w:pPr>
      <w:r>
        <w:rPr>
          <w:rFonts w:hint="eastAsia" w:cs="Arial"/>
          <w:snapToGrid w:val="0"/>
          <w:kern w:val="0"/>
        </w:rPr>
        <w:t>在单独（地理上单独分布）中心至少采用3个独立研究者和至少1个美国中心。</w:t>
      </w:r>
    </w:p>
    <w:p w14:paraId="5AFAA161">
      <w:pPr>
        <w:pStyle w:val="11"/>
        <w:numPr>
          <w:ilvl w:val="1"/>
          <w:numId w:val="16"/>
        </w:numPr>
        <w:topLinePunct/>
        <w:spacing w:before="187"/>
        <w:ind w:left="1440" w:leftChars="400" w:hanging="480" w:hangingChars="200"/>
        <w:rPr>
          <w:rFonts w:cs="Arial"/>
          <w:snapToGrid w:val="0"/>
          <w:kern w:val="0"/>
        </w:rPr>
      </w:pPr>
      <w:r>
        <w:rPr>
          <w:rFonts w:hint="eastAsia" w:cs="Arial"/>
          <w:snapToGrid w:val="0"/>
          <w:kern w:val="0"/>
        </w:rPr>
        <w:t>样本量：</w:t>
      </w:r>
    </w:p>
    <w:p w14:paraId="0E88FFF7">
      <w:pPr>
        <w:topLinePunct/>
        <w:spacing w:before="187"/>
        <w:ind w:left="1440" w:leftChars="600"/>
        <w:rPr>
          <w:rFonts w:cs="Arial"/>
          <w:snapToGrid w:val="0"/>
          <w:kern w:val="0"/>
        </w:rPr>
      </w:pPr>
      <w:r>
        <w:rPr>
          <w:rFonts w:hint="eastAsia" w:cs="Arial"/>
          <w:snapToGrid w:val="0"/>
          <w:kern w:val="0"/>
        </w:rPr>
        <w:t>设定样本量，该样本量需在统计学上足以确定器械在进行临床试验之前是否安全和有效。</w:t>
      </w:r>
    </w:p>
    <w:p w14:paraId="5E0F09EB">
      <w:pPr>
        <w:pStyle w:val="11"/>
        <w:numPr>
          <w:ilvl w:val="1"/>
          <w:numId w:val="16"/>
        </w:numPr>
        <w:topLinePunct/>
        <w:spacing w:before="187"/>
        <w:ind w:left="1440" w:leftChars="400" w:hanging="480" w:hangingChars="200"/>
        <w:rPr>
          <w:rFonts w:cs="Arial"/>
          <w:snapToGrid w:val="0"/>
          <w:kern w:val="0"/>
        </w:rPr>
      </w:pPr>
      <w:r>
        <w:rPr>
          <w:rFonts w:hint="eastAsia" w:cs="Arial"/>
          <w:snapToGrid w:val="0"/>
          <w:kern w:val="0"/>
        </w:rPr>
        <w:t>样本类型：</w:t>
      </w:r>
    </w:p>
    <w:p w14:paraId="19639502">
      <w:pPr>
        <w:topLinePunct/>
        <w:spacing w:before="187"/>
        <w:ind w:left="1440" w:leftChars="600"/>
        <w:rPr>
          <w:rFonts w:cs="Arial"/>
          <w:snapToGrid w:val="0"/>
          <w:kern w:val="0"/>
        </w:rPr>
      </w:pPr>
      <w:r>
        <w:rPr>
          <w:rFonts w:hint="eastAsia" w:cs="Arial"/>
          <w:snapToGrid w:val="0"/>
          <w:kern w:val="0"/>
        </w:rPr>
        <w:t>包括数据，支持结合全部声明的样品基质来进行测试（临床和分析）。由于抗凝血剂对试验有干扰，不建议将血浆作为推荐样品。</w:t>
      </w:r>
    </w:p>
    <w:p w14:paraId="682AB20C">
      <w:pPr>
        <w:topLinePunct/>
        <w:spacing w:before="187"/>
        <w:rPr>
          <w:rFonts w:cs="Arial"/>
          <w:snapToGrid w:val="0"/>
          <w:kern w:val="0"/>
        </w:rPr>
      </w:pPr>
    </w:p>
    <w:p w14:paraId="3290F8B1">
      <w:pPr>
        <w:topLinePunct/>
        <w:spacing w:before="187"/>
        <w:rPr>
          <w:rFonts w:cs="Arial"/>
          <w:snapToGrid w:val="0"/>
          <w:kern w:val="0"/>
        </w:rPr>
      </w:pPr>
      <w:r>
        <w:rPr>
          <w:rFonts w:cs="Arial"/>
          <w:snapToGrid w:val="0"/>
          <w:kern w:val="0"/>
        </w:rPr>
        <w:br w:type="page"/>
      </w:r>
    </w:p>
    <w:p w14:paraId="7163A2ED">
      <w:pPr>
        <w:pStyle w:val="11"/>
        <w:numPr>
          <w:ilvl w:val="1"/>
          <w:numId w:val="16"/>
        </w:numPr>
        <w:topLinePunct/>
        <w:spacing w:before="187"/>
        <w:ind w:left="1440" w:leftChars="400" w:hanging="480" w:hangingChars="200"/>
        <w:rPr>
          <w:rFonts w:cs="Arial"/>
          <w:snapToGrid w:val="0"/>
          <w:kern w:val="0"/>
        </w:rPr>
      </w:pPr>
      <w:r>
        <w:rPr>
          <w:rFonts w:hint="eastAsia" w:cs="Arial"/>
          <w:snapToGrid w:val="0"/>
          <w:kern w:val="0"/>
        </w:rPr>
        <w:t>灵敏度和特异性：</w:t>
      </w:r>
    </w:p>
    <w:p w14:paraId="60352A06">
      <w:pPr>
        <w:topLinePunct/>
        <w:spacing w:before="187"/>
        <w:ind w:left="1440" w:leftChars="600"/>
        <w:rPr>
          <w:rFonts w:cs="Arial"/>
          <w:snapToGrid w:val="0"/>
          <w:kern w:val="0"/>
        </w:rPr>
      </w:pPr>
      <w:r>
        <w:rPr>
          <w:rFonts w:hint="eastAsia" w:cs="Arial"/>
          <w:snapToGrid w:val="0"/>
          <w:kern w:val="0"/>
        </w:rPr>
        <w:t>无论样本量是多少，在产品说明书中的性能特征部分中提供器械的诊断灵敏度（真阳性）及其特异性</w:t>
      </w:r>
      <w:r>
        <w:rPr>
          <w:rFonts w:cs="Arial"/>
          <w:snapToGrid w:val="0"/>
          <w:kern w:val="0"/>
          <w:vertAlign w:val="superscript"/>
        </w:rPr>
        <w:t>25</w:t>
      </w:r>
      <w:r>
        <w:rPr>
          <w:rFonts w:hint="eastAsia" w:cs="Arial"/>
          <w:snapToGrid w:val="0"/>
          <w:kern w:val="0"/>
        </w:rPr>
        <w:t>（真阴性）和其95%置信区间。</w:t>
      </w:r>
    </w:p>
    <w:p w14:paraId="088EE2DA">
      <w:pPr>
        <w:pStyle w:val="11"/>
        <w:numPr>
          <w:ilvl w:val="1"/>
          <w:numId w:val="16"/>
        </w:numPr>
        <w:topLinePunct/>
        <w:spacing w:before="187"/>
        <w:ind w:left="1440" w:leftChars="400" w:hanging="480" w:hangingChars="200"/>
        <w:rPr>
          <w:rFonts w:cs="Arial"/>
          <w:snapToGrid w:val="0"/>
          <w:kern w:val="0"/>
        </w:rPr>
      </w:pPr>
      <w:r>
        <w:rPr>
          <w:rFonts w:hint="eastAsia" w:cs="Arial"/>
          <w:snapToGrid w:val="0"/>
          <w:kern w:val="0"/>
        </w:rPr>
        <w:t>取样方法：</w:t>
      </w:r>
    </w:p>
    <w:p w14:paraId="7FB46BD8">
      <w:pPr>
        <w:topLinePunct/>
        <w:spacing w:before="187"/>
        <w:ind w:left="1440" w:leftChars="600"/>
        <w:rPr>
          <w:rFonts w:cs="Arial"/>
          <w:snapToGrid w:val="0"/>
          <w:kern w:val="0"/>
        </w:rPr>
      </w:pPr>
      <w:r>
        <w:rPr>
          <w:rFonts w:hint="eastAsia" w:cs="Arial"/>
          <w:snapToGrid w:val="0"/>
          <w:kern w:val="0"/>
        </w:rPr>
        <w:t>描述在患者选择和排除过程中所使用的取样方法。全部统计学分析依据</w:t>
      </w:r>
      <w:r>
        <w:rPr>
          <w:rFonts w:hint="eastAsia" w:ascii="宋体" w:hAnsi="宋体" w:cs="Arial"/>
          <w:snapToGrid w:val="0"/>
          <w:kern w:val="0"/>
        </w:rPr>
        <w:t>“</w:t>
      </w:r>
      <w:r>
        <w:rPr>
          <w:rFonts w:hint="eastAsia" w:cs="Arial"/>
          <w:snapToGrid w:val="0"/>
          <w:kern w:val="0"/>
        </w:rPr>
        <w:t>随机取样</w:t>
      </w:r>
      <w:r>
        <w:rPr>
          <w:rFonts w:hint="eastAsia" w:ascii="宋体" w:hAnsi="宋体" w:cs="Arial"/>
          <w:snapToGrid w:val="0"/>
          <w:kern w:val="0"/>
        </w:rPr>
        <w:t>”</w:t>
      </w:r>
      <w:r>
        <w:rPr>
          <w:rFonts w:hint="eastAsia" w:cs="Arial"/>
          <w:snapToGrid w:val="0"/>
          <w:kern w:val="0"/>
        </w:rPr>
        <w:t>假设（例如，概率抽样）。</w:t>
      </w:r>
    </w:p>
    <w:p w14:paraId="7F349AA8">
      <w:pPr>
        <w:pStyle w:val="11"/>
        <w:numPr>
          <w:ilvl w:val="1"/>
          <w:numId w:val="16"/>
        </w:numPr>
        <w:topLinePunct/>
        <w:spacing w:before="187"/>
        <w:ind w:left="1440" w:leftChars="400" w:hanging="480" w:hangingChars="200"/>
        <w:rPr>
          <w:rFonts w:cs="Arial"/>
          <w:snapToGrid w:val="0"/>
          <w:kern w:val="0"/>
        </w:rPr>
      </w:pPr>
      <w:r>
        <w:rPr>
          <w:rFonts w:hint="eastAsia" w:cs="Arial"/>
          <w:snapToGrid w:val="0"/>
          <w:kern w:val="0"/>
        </w:rPr>
        <w:t>研究者数据的整合：</w:t>
      </w:r>
    </w:p>
    <w:p w14:paraId="2E34223C">
      <w:pPr>
        <w:topLinePunct/>
        <w:spacing w:before="187"/>
        <w:ind w:left="1440" w:leftChars="600"/>
        <w:rPr>
          <w:rFonts w:cs="Arial"/>
          <w:snapToGrid w:val="0"/>
          <w:kern w:val="0"/>
        </w:rPr>
      </w:pPr>
      <w:r>
        <w:rPr>
          <w:rFonts w:hint="eastAsia" w:cs="Arial"/>
          <w:snapToGrid w:val="0"/>
          <w:kern w:val="0"/>
        </w:rPr>
        <w:t>提供临床信息和数据，以及每名研究者的分析和结论。此外，如果需要在统计学和临床方面进行证实，需要提供每名研究者的整合数据。</w:t>
      </w:r>
    </w:p>
    <w:p w14:paraId="76FBCC3D">
      <w:pPr>
        <w:pStyle w:val="11"/>
        <w:numPr>
          <w:ilvl w:val="1"/>
          <w:numId w:val="16"/>
        </w:numPr>
        <w:topLinePunct/>
        <w:spacing w:before="187"/>
        <w:ind w:left="1440" w:leftChars="400" w:hanging="480" w:hangingChars="200"/>
        <w:rPr>
          <w:rFonts w:cs="Arial"/>
          <w:snapToGrid w:val="0"/>
          <w:kern w:val="0"/>
        </w:rPr>
      </w:pPr>
      <w:r>
        <w:rPr>
          <w:rFonts w:hint="eastAsia" w:cs="Arial"/>
          <w:snapToGrid w:val="0"/>
          <w:kern w:val="0"/>
        </w:rPr>
        <w:t>对所使用的统计学方法进行描述并提供置信区间。</w:t>
      </w:r>
    </w:p>
    <w:p w14:paraId="3F6089F8">
      <w:pPr>
        <w:pStyle w:val="11"/>
        <w:numPr>
          <w:ilvl w:val="1"/>
          <w:numId w:val="16"/>
        </w:numPr>
        <w:topLinePunct/>
        <w:spacing w:before="187"/>
        <w:ind w:left="1440" w:leftChars="400" w:hanging="480" w:hangingChars="200"/>
        <w:rPr>
          <w:rFonts w:cs="Arial"/>
          <w:snapToGrid w:val="0"/>
          <w:kern w:val="0"/>
        </w:rPr>
      </w:pPr>
      <w:r>
        <w:rPr>
          <w:rFonts w:hint="eastAsia" w:cs="Arial"/>
          <w:snapToGrid w:val="0"/>
          <w:kern w:val="0"/>
        </w:rPr>
        <w:t>典型数据：</w:t>
      </w:r>
    </w:p>
    <w:p w14:paraId="15A35017">
      <w:pPr>
        <w:topLinePunct/>
        <w:spacing w:before="187"/>
        <w:ind w:left="1440" w:leftChars="600"/>
        <w:rPr>
          <w:rFonts w:cs="Arial"/>
          <w:snapToGrid w:val="0"/>
          <w:kern w:val="0"/>
        </w:rPr>
      </w:pPr>
      <w:r>
        <w:rPr>
          <w:rFonts w:hint="eastAsia" w:cs="Arial"/>
          <w:snapToGrid w:val="0"/>
          <w:kern w:val="0"/>
        </w:rPr>
        <w:t>提供必须代表器械预期应用孕龄的目标人群的临床信息和数据。</w:t>
      </w:r>
    </w:p>
    <w:p w14:paraId="5807AA00">
      <w:pPr>
        <w:pStyle w:val="11"/>
        <w:numPr>
          <w:ilvl w:val="1"/>
          <w:numId w:val="16"/>
        </w:numPr>
        <w:topLinePunct/>
        <w:spacing w:before="187"/>
        <w:ind w:left="1440" w:leftChars="400" w:hanging="480" w:hangingChars="200"/>
        <w:rPr>
          <w:rFonts w:cs="Arial"/>
          <w:snapToGrid w:val="0"/>
          <w:kern w:val="0"/>
        </w:rPr>
      </w:pPr>
      <w:r>
        <w:rPr>
          <w:rFonts w:hint="eastAsia" w:cs="Arial"/>
          <w:snapToGrid w:val="0"/>
          <w:kern w:val="0"/>
        </w:rPr>
        <w:t>确立产妇血清中的参考中位数数值：</w:t>
      </w:r>
    </w:p>
    <w:p w14:paraId="5C50BF51">
      <w:pPr>
        <w:topLinePunct/>
        <w:spacing w:before="187"/>
        <w:ind w:left="1440" w:leftChars="600"/>
        <w:rPr>
          <w:rFonts w:cs="Arial"/>
          <w:snapToGrid w:val="0"/>
          <w:kern w:val="0"/>
        </w:rPr>
      </w:pPr>
      <w:r>
        <w:rPr>
          <w:rFonts w:hint="eastAsia" w:cs="Arial"/>
          <w:snapToGrid w:val="0"/>
          <w:kern w:val="0"/>
        </w:rPr>
        <w:t>鉴于诸如妊娠期计算的可重复性中的差异性等因素，提供推荐进行检测的人群确定的中位数数值。水平测试计划表明即使结果以IU/ml为单位，各实验室之间的MSAFP测定结果的差异可达到15%。</w:t>
      </w:r>
      <w:r>
        <w:rPr>
          <w:rFonts w:cs="Arial"/>
          <w:snapToGrid w:val="0"/>
          <w:kern w:val="0"/>
          <w:vertAlign w:val="superscript"/>
        </w:rPr>
        <w:t>80</w:t>
      </w:r>
      <w:r>
        <w:rPr>
          <w:rFonts w:hint="eastAsia" w:cs="Arial"/>
          <w:snapToGrid w:val="0"/>
          <w:kern w:val="0"/>
        </w:rPr>
        <w:t>解释这些差异的主要因素是各制造AFP器械之间存在的偏倚。因此，不得将已公布文献中的中位数数值作为参考数据。</w:t>
      </w:r>
    </w:p>
    <w:p w14:paraId="0B380AA1">
      <w:pPr>
        <w:pStyle w:val="11"/>
        <w:numPr>
          <w:ilvl w:val="1"/>
          <w:numId w:val="16"/>
        </w:numPr>
        <w:topLinePunct/>
        <w:spacing w:before="187"/>
        <w:ind w:left="1440" w:leftChars="400" w:hanging="480" w:hangingChars="200"/>
        <w:rPr>
          <w:rFonts w:cs="Arial"/>
          <w:snapToGrid w:val="0"/>
          <w:kern w:val="0"/>
        </w:rPr>
      </w:pPr>
      <w:r>
        <w:rPr>
          <w:rFonts w:hint="eastAsia" w:cs="Arial"/>
          <w:snapToGrid w:val="0"/>
          <w:kern w:val="0"/>
        </w:rPr>
        <w:t>确立羊水中的参考中位数数值：</w:t>
      </w:r>
    </w:p>
    <w:p w14:paraId="34A7CD5F">
      <w:pPr>
        <w:topLinePunct/>
        <w:spacing w:before="187"/>
        <w:ind w:left="1440" w:leftChars="600"/>
        <w:rPr>
          <w:rFonts w:cs="Arial"/>
          <w:snapToGrid w:val="0"/>
          <w:kern w:val="0"/>
        </w:rPr>
      </w:pPr>
      <w:r>
        <w:rPr>
          <w:rFonts w:hint="eastAsia" w:cs="Arial"/>
          <w:snapToGrid w:val="0"/>
          <w:kern w:val="0"/>
        </w:rPr>
        <w:t>对于制造商来说，获得足够数量的羊水样品可能存在困难。例如，制造商每年可能检测3000</w:t>
      </w:r>
      <w:bookmarkStart w:id="16" w:name="OLE_LINK7"/>
      <w:bookmarkStart w:id="17" w:name="OLE_LINK8"/>
      <w:r>
        <w:rPr>
          <w:rFonts w:hint="eastAsia" w:cs="Arial"/>
          <w:snapToGrid w:val="0"/>
          <w:kern w:val="0"/>
        </w:rPr>
        <w:t>例</w:t>
      </w:r>
      <w:bookmarkEnd w:id="16"/>
      <w:bookmarkEnd w:id="17"/>
      <w:r>
        <w:rPr>
          <w:rFonts w:hint="eastAsia" w:cs="Arial"/>
          <w:snapToGrid w:val="0"/>
          <w:kern w:val="0"/>
        </w:rPr>
        <w:t>女性患者，发现仅2%-4%的女性患者是羊膜穿刺术的候选患者。通过AFP检测项目，可采用由细胞遗传学实验室发送进行AFP分析的羊水样品来进行补充，其原因是几乎全部这些样品将源于未受影响的孕妇。FDA针对试剂盒推荐使用的每个孕周，用50个羊水样品来计算中位数，以解释特定孕妇患者的羊水样品。</w:t>
      </w:r>
    </w:p>
    <w:p w14:paraId="5C1BAE06">
      <w:pPr>
        <w:topLinePunct/>
        <w:spacing w:before="187"/>
        <w:rPr>
          <w:rFonts w:cs="Arial"/>
          <w:snapToGrid w:val="0"/>
          <w:kern w:val="0"/>
        </w:rPr>
      </w:pPr>
      <w:r>
        <w:rPr>
          <w:rFonts w:cs="Arial"/>
          <w:snapToGrid w:val="0"/>
          <w:kern w:val="0"/>
        </w:rPr>
        <w:br w:type="page"/>
      </w:r>
    </w:p>
    <w:p w14:paraId="41639EBC">
      <w:pPr>
        <w:topLinePunct/>
        <w:spacing w:before="187"/>
        <w:ind w:left="1440" w:leftChars="600"/>
        <w:rPr>
          <w:rFonts w:cs="Arial"/>
          <w:snapToGrid w:val="0"/>
          <w:kern w:val="0"/>
        </w:rPr>
      </w:pPr>
      <w:r>
        <w:rPr>
          <w:rFonts w:hint="eastAsia" w:cs="Arial"/>
          <w:snapToGrid w:val="0"/>
          <w:kern w:val="0"/>
        </w:rPr>
        <w:t>以与孕妇血清相同的方式，将羊水AFP数值表示为中位数的倍数。中位数数值和孕龄之间的关系对于孕周来水呈对数线性</w:t>
      </w:r>
      <w:r>
        <w:rPr>
          <w:rFonts w:cs="Arial"/>
          <w:snapToGrid w:val="0"/>
          <w:kern w:val="0"/>
          <w:vertAlign w:val="superscript"/>
        </w:rPr>
        <w:t>15-21</w:t>
      </w:r>
      <w:r>
        <w:rPr>
          <w:rFonts w:hint="eastAsia" w:cs="Arial"/>
          <w:snapToGrid w:val="0"/>
          <w:kern w:val="0"/>
        </w:rPr>
        <w:t>（由FDA推荐用于检测的孕周），但是，随着孕龄的增加，羊水AFP中位数数值降低而不是增加。</w:t>
      </w:r>
    </w:p>
    <w:p w14:paraId="6668F43B">
      <w:pPr>
        <w:pStyle w:val="11"/>
        <w:numPr>
          <w:ilvl w:val="0"/>
          <w:numId w:val="15"/>
        </w:numPr>
        <w:topLinePunct/>
        <w:spacing w:before="187"/>
        <w:ind w:left="960" w:leftChars="200" w:hanging="480" w:hangingChars="200"/>
        <w:rPr>
          <w:rFonts w:cs="Arial"/>
          <w:snapToGrid w:val="0"/>
          <w:kern w:val="0"/>
        </w:rPr>
      </w:pPr>
      <w:r>
        <w:rPr>
          <w:rFonts w:hint="eastAsia" w:cs="Arial"/>
          <w:snapToGrid w:val="0"/>
          <w:kern w:val="0"/>
        </w:rPr>
        <w:t>监控临床试验检测</w:t>
      </w:r>
    </w:p>
    <w:p w14:paraId="755DE079">
      <w:pPr>
        <w:topLinePunct/>
        <w:spacing w:before="187"/>
        <w:rPr>
          <w:rFonts w:cs="Arial"/>
          <w:snapToGrid w:val="0"/>
          <w:kern w:val="0"/>
        </w:rPr>
      </w:pPr>
      <w:r>
        <w:rPr>
          <w:rFonts w:hint="eastAsia" w:cs="Arial"/>
          <w:snapToGrid w:val="0"/>
          <w:kern w:val="0"/>
        </w:rPr>
        <w:t>1.</w:t>
      </w:r>
      <w:r>
        <w:rPr>
          <w:rFonts w:cs="Arial"/>
          <w:snapToGrid w:val="0"/>
          <w:kern w:val="0"/>
        </w:rPr>
        <w:tab/>
      </w:r>
      <w:r>
        <w:rPr>
          <w:rFonts w:hint="eastAsia" w:cs="Arial"/>
          <w:snapToGrid w:val="0"/>
          <w:kern w:val="0"/>
        </w:rPr>
        <w:t>对于发起临床研究的制造商来说，通过追溯检出和丢失的胎儿畸形的数量来监控其检测项目的临床性能是重要的。对于检出的受影响妊娠，必须随访到儿童出生或有选择的终止妊娠。对伴有AFP水平升高的（阳性检测结果）女性的初始百分数进行监控是FDA所要求进行的临床研究一部分（3个独立的临床中心，每个地理位置分散的检测中心中有1000例孕妇患者）。FDA的这一流行病学监测的原理是存在阳性结果的女性初步所含的比例使得临床试验研究者有机会在进行羊膜穿刺前能够进行合理的遗传咨询。FDA建议必须完成胚胎超声波检查预约的连续诊断模式、AFP MOM解释的校正（阳性检测结果或隐性检测结果），包括羊水样品中AFP水平的解释和中性乙酰胆碱酯酶的确证试验，并对产妇患者进行遗传咨询。举例，临床研究者检测中心实验室（MSAFP检测截至值为2.0 MOM）的初步阳性结果百分数为3-5%。如果根据FDA的建议，截至值为2.5MOM，初步阳性检测结果率应为1-3%。制造商必须改善全部AFP检测结果并进行遗传咨询和在每个检测中心进行其它孕妇保健的阳性孕妇患者进行随访。</w:t>
      </w:r>
    </w:p>
    <w:p w14:paraId="2C712C66">
      <w:pPr>
        <w:topLinePunct/>
        <w:spacing w:before="187"/>
        <w:rPr>
          <w:rFonts w:cs="Arial"/>
          <w:snapToGrid w:val="0"/>
          <w:kern w:val="0"/>
        </w:rPr>
      </w:pPr>
      <w:r>
        <w:rPr>
          <w:rFonts w:hint="eastAsia" w:cs="Arial"/>
          <w:snapToGrid w:val="0"/>
          <w:kern w:val="0"/>
        </w:rPr>
        <w:t>2.</w:t>
      </w:r>
      <w:r>
        <w:rPr>
          <w:rFonts w:cs="Arial"/>
          <w:snapToGrid w:val="0"/>
          <w:kern w:val="0"/>
        </w:rPr>
        <w:tab/>
      </w:r>
      <w:r>
        <w:rPr>
          <w:rFonts w:hint="eastAsia" w:cs="Arial"/>
          <w:snapToGrid w:val="0"/>
          <w:kern w:val="0"/>
        </w:rPr>
        <w:t>制造商应了解初步阳性检测结果对于AFP试验的精密度和准确度、长期试验漂移和参考标准数据不当（AFP中位数数值）非常灵敏</w:t>
      </w:r>
      <w:r>
        <w:rPr>
          <w:rFonts w:cs="Arial"/>
          <w:snapToGrid w:val="0"/>
          <w:kern w:val="0"/>
          <w:vertAlign w:val="superscript"/>
        </w:rPr>
        <w:t>76</w:t>
      </w:r>
      <w:r>
        <w:rPr>
          <w:rFonts w:hint="eastAsia" w:cs="Arial"/>
          <w:snapToGrid w:val="0"/>
          <w:kern w:val="0"/>
        </w:rPr>
        <w:t>。AFP上市后研究中，FDA发现在传统质量控制程序中增加流行病学监控是有帮助的，并且，应作为制造商临床检测计划的组成部分。Hybritech. Inc., E</w:t>
      </w:r>
      <w:r>
        <w:rPr>
          <w:rFonts w:cs="Arial"/>
          <w:snapToGrid w:val="0"/>
          <w:kern w:val="0"/>
        </w:rPr>
        <w:t>l</w:t>
      </w:r>
      <w:r>
        <w:rPr>
          <w:rFonts w:hint="eastAsia" w:cs="Arial"/>
          <w:snapToGrid w:val="0"/>
          <w:kern w:val="0"/>
        </w:rPr>
        <w:t>i Lilly分公司提供了这些研究的初步报告</w:t>
      </w:r>
      <w:r>
        <w:rPr>
          <w:rFonts w:cs="Arial"/>
          <w:snapToGrid w:val="0"/>
          <w:kern w:val="0"/>
          <w:vertAlign w:val="superscript"/>
        </w:rPr>
        <w:t>79</w:t>
      </w:r>
      <w:r>
        <w:rPr>
          <w:rFonts w:hint="eastAsia" w:cs="Arial"/>
          <w:snapToGrid w:val="0"/>
          <w:kern w:val="0"/>
        </w:rPr>
        <w:t>。</w:t>
      </w:r>
    </w:p>
    <w:p w14:paraId="57649538">
      <w:pPr>
        <w:topLinePunct/>
        <w:spacing w:before="187"/>
        <w:rPr>
          <w:rFonts w:cs="Arial"/>
          <w:snapToGrid w:val="0"/>
          <w:kern w:val="0"/>
        </w:rPr>
      </w:pPr>
    </w:p>
    <w:p w14:paraId="6DF1F1B6">
      <w:pPr>
        <w:topLinePunct/>
        <w:spacing w:before="187"/>
        <w:rPr>
          <w:rFonts w:cs="Arial"/>
          <w:snapToGrid w:val="0"/>
          <w:kern w:val="0"/>
        </w:rPr>
      </w:pPr>
      <w:r>
        <w:rPr>
          <w:rFonts w:cs="Arial"/>
          <w:snapToGrid w:val="0"/>
          <w:kern w:val="0"/>
        </w:rPr>
        <w:br w:type="page"/>
      </w:r>
    </w:p>
    <w:p w14:paraId="3ED76C30">
      <w:pPr>
        <w:topLinePunct/>
        <w:spacing w:before="187"/>
        <w:rPr>
          <w:rFonts w:cs="Arial"/>
          <w:snapToGrid w:val="0"/>
          <w:kern w:val="0"/>
        </w:rPr>
      </w:pPr>
      <w:r>
        <w:rPr>
          <w:rFonts w:hint="eastAsia" w:cs="Arial"/>
          <w:snapToGrid w:val="0"/>
          <w:kern w:val="0"/>
        </w:rPr>
        <w:t>作为AFP试剂盒的制造商和申办方，由FDA之前提及并推荐的检测方案于1980年11月7日在联邦公报上发表</w:t>
      </w:r>
      <w:r>
        <w:rPr>
          <w:rFonts w:cs="Arial"/>
          <w:snapToGrid w:val="0"/>
          <w:kern w:val="0"/>
          <w:vertAlign w:val="superscript"/>
        </w:rPr>
        <w:t>38</w:t>
      </w:r>
      <w:r>
        <w:rPr>
          <w:rFonts w:hint="eastAsia" w:cs="Arial"/>
          <w:snapToGrid w:val="0"/>
          <w:kern w:val="0"/>
        </w:rPr>
        <w:t>。1986年9月临床化学新闻中公布了检测方案和对阳性血清AFP检测进行充分随访的重要性</w:t>
      </w:r>
      <w:r>
        <w:rPr>
          <w:rFonts w:cs="Arial"/>
          <w:snapToGrid w:val="0"/>
          <w:kern w:val="0"/>
          <w:vertAlign w:val="superscript"/>
        </w:rPr>
        <w:t>42</w:t>
      </w:r>
      <w:r>
        <w:rPr>
          <w:rFonts w:hint="eastAsia" w:cs="Arial"/>
          <w:snapToGrid w:val="0"/>
          <w:kern w:val="0"/>
        </w:rPr>
        <w:t>。FDA推荐的方案旨在对相隔至少1周进行抽样的2个样品进行连续MSAFP测定，以便于建议进一步的诊断。下一步是进行超声检查以证实妊娠日期、检查双胞胎、评估胎儿活性、并检测潜在先天无脑畸形。若仍无法解释MSAFP数值的升高情况，进行2级超声波检查或灰阶超声波扫描以检查其他胚胎畸形、最突出的开放性脊柱裂和开放性壁缺陷。同样，在主治医生对产妇患者进行遗传咨询后，提供旨在测定羊水AFP的羊膜穿刺（对确认AFP水平升高的羊水样品进行证实试验以确认存在神经来源的乙酰胆碱酯酶）</w:t>
      </w:r>
      <w:r>
        <w:rPr>
          <w:rFonts w:cs="Arial"/>
          <w:snapToGrid w:val="0"/>
          <w:kern w:val="0"/>
          <w:vertAlign w:val="superscript"/>
        </w:rPr>
        <w:t>36</w:t>
      </w:r>
      <w:r>
        <w:rPr>
          <w:rFonts w:hint="eastAsia" w:cs="Arial"/>
          <w:snapToGrid w:val="0"/>
          <w:kern w:val="0"/>
        </w:rPr>
        <w:t>。总之，羊膜穿刺术的发生率不应超过供试人群的3%。</w:t>
      </w:r>
      <w:r>
        <w:rPr>
          <w:rFonts w:cs="Arial"/>
          <w:snapToGrid w:val="0"/>
          <w:kern w:val="0"/>
          <w:vertAlign w:val="superscript"/>
        </w:rPr>
        <w:t>62</w:t>
      </w:r>
      <w:r>
        <w:rPr>
          <w:rFonts w:hint="eastAsia" w:cs="Arial"/>
          <w:snapToGrid w:val="0"/>
          <w:kern w:val="0"/>
          <w:vertAlign w:val="superscript"/>
        </w:rPr>
        <w:t xml:space="preserve">, </w:t>
      </w:r>
      <w:r>
        <w:rPr>
          <w:rFonts w:cs="Arial"/>
          <w:snapToGrid w:val="0"/>
          <w:kern w:val="0"/>
          <w:vertAlign w:val="superscript"/>
        </w:rPr>
        <w:t>63</w:t>
      </w:r>
    </w:p>
    <w:p w14:paraId="20848A8D">
      <w:pPr>
        <w:topLinePunct/>
        <w:spacing w:before="187"/>
        <w:rPr>
          <w:rFonts w:cs="Arial"/>
          <w:snapToGrid w:val="0"/>
          <w:kern w:val="0"/>
        </w:rPr>
      </w:pPr>
      <w:r>
        <w:rPr>
          <w:rFonts w:hint="eastAsia" w:cs="Arial"/>
          <w:snapToGrid w:val="0"/>
          <w:kern w:val="0"/>
        </w:rPr>
        <w:t>3.</w:t>
      </w:r>
      <w:r>
        <w:rPr>
          <w:rFonts w:cs="Arial"/>
          <w:snapToGrid w:val="0"/>
          <w:kern w:val="0"/>
        </w:rPr>
        <w:tab/>
      </w:r>
      <w:r>
        <w:rPr>
          <w:rFonts w:hint="eastAsia" w:cs="Arial"/>
          <w:snapToGrid w:val="0"/>
          <w:kern w:val="0"/>
        </w:rPr>
        <w:t>确定下述讨论的性能特征（针对体外器械）具有两方面原因；评估疾病流行性对利用临床实验室试剂盒来评估患者症状的影响以及对可改善针对流行性相对较低疾病进行体外诊断的器械的较差检测强度的临床实验室程序。这些评估包括临床灵敏度（CSE）和临床特异性（CSP）。4个参数辅助FDA对获得正确体外器械检测结果的概率进行评估：灵敏度、特异性、疾病情况的流行性和检测结果对检测疾病个体的有效性。阳性检测的预测数值和阴性检测的预测数值均是作为CSE、CSP功能的次要性能特征。能够并应该为预期疾病流行性范围来计算疾病流行性。除临床方面的考虑外，对临床体外器械的解释依据检验结果将位于分析物数值规定正常范围中的概率；在这种情况下，产妇样品中AFP数值升高范围源于妊娠且伴有神经管缺陷的胚胎。</w:t>
      </w:r>
    </w:p>
    <w:p w14:paraId="4BEED3E7">
      <w:pPr>
        <w:topLinePunct/>
        <w:spacing w:before="187"/>
        <w:rPr>
          <w:rFonts w:cs="Arial"/>
          <w:snapToGrid w:val="0"/>
          <w:kern w:val="0"/>
        </w:rPr>
      </w:pPr>
    </w:p>
    <w:p w14:paraId="0674D6A8">
      <w:pPr>
        <w:topLinePunct/>
        <w:spacing w:before="187"/>
        <w:rPr>
          <w:rFonts w:cs="Arial"/>
          <w:snapToGrid w:val="0"/>
          <w:kern w:val="0"/>
        </w:rPr>
      </w:pPr>
      <w:r>
        <w:rPr>
          <w:rFonts w:cs="Arial"/>
          <w:snapToGrid w:val="0"/>
          <w:kern w:val="0"/>
        </w:rPr>
        <w:br w:type="page"/>
      </w:r>
    </w:p>
    <w:p w14:paraId="282A4C93">
      <w:pPr>
        <w:topLinePunct/>
        <w:spacing w:before="187"/>
        <w:rPr>
          <w:rFonts w:cs="Arial"/>
          <w:snapToGrid w:val="0"/>
          <w:kern w:val="0"/>
        </w:rPr>
      </w:pPr>
      <w:r>
        <w:rPr>
          <w:rFonts w:hint="eastAsia" w:cs="Arial"/>
          <w:snapToGrid w:val="0"/>
          <w:kern w:val="0"/>
        </w:rPr>
        <w:t>定义：</w:t>
      </w:r>
    </w:p>
    <w:p w14:paraId="127ED39D">
      <w:pPr>
        <w:topLinePunct/>
        <w:spacing w:before="187"/>
        <w:rPr>
          <w:rFonts w:cs="Arial"/>
          <w:snapToGrid w:val="0"/>
          <w:kern w:val="0"/>
        </w:rPr>
      </w:pPr>
      <w:r>
        <w:rPr>
          <w:rFonts w:hint="eastAsia" w:cs="Arial"/>
          <w:snapToGrid w:val="0"/>
          <w:kern w:val="0"/>
        </w:rPr>
        <w:t>需要利用其它定义对临床实验室AFP器械结果进行解释性报告</w:t>
      </w:r>
      <w:r>
        <w:rPr>
          <w:rFonts w:cs="Arial"/>
          <w:snapToGrid w:val="0"/>
          <w:kern w:val="0"/>
          <w:vertAlign w:val="superscript"/>
        </w:rPr>
        <w:t>21</w:t>
      </w:r>
      <w:r>
        <w:rPr>
          <w:rFonts w:hint="eastAsia" w:cs="Arial"/>
          <w:snapToGrid w:val="0"/>
          <w:kern w:val="0"/>
          <w:vertAlign w:val="superscript"/>
        </w:rPr>
        <w:t xml:space="preserve">, </w:t>
      </w:r>
      <w:r>
        <w:rPr>
          <w:rFonts w:cs="Arial"/>
          <w:snapToGrid w:val="0"/>
          <w:kern w:val="0"/>
          <w:vertAlign w:val="superscript"/>
        </w:rPr>
        <w:t>22</w:t>
      </w:r>
      <w:r>
        <w:rPr>
          <w:rFonts w:hint="eastAsia" w:cs="Arial"/>
          <w:snapToGrid w:val="0"/>
          <w:kern w:val="0"/>
          <w:vertAlign w:val="superscript"/>
        </w:rPr>
        <w:t xml:space="preserve">, </w:t>
      </w:r>
      <w:r>
        <w:rPr>
          <w:rFonts w:cs="Arial"/>
          <w:snapToGrid w:val="0"/>
          <w:kern w:val="0"/>
          <w:vertAlign w:val="superscript"/>
        </w:rPr>
        <w:t>23</w:t>
      </w:r>
      <w:r>
        <w:rPr>
          <w:rFonts w:hint="eastAsia" w:cs="Arial"/>
          <w:snapToGrid w:val="0"/>
          <w:kern w:val="0"/>
          <w:vertAlign w:val="superscript"/>
        </w:rPr>
        <w:t xml:space="preserve">, </w:t>
      </w:r>
      <w:r>
        <w:rPr>
          <w:rFonts w:cs="Arial"/>
          <w:snapToGrid w:val="0"/>
          <w:kern w:val="0"/>
          <w:vertAlign w:val="superscript"/>
        </w:rPr>
        <w:t>24</w:t>
      </w:r>
      <w:r>
        <w:rPr>
          <w:rFonts w:hint="eastAsia" w:cs="Arial"/>
          <w:snapToGrid w:val="0"/>
          <w:kern w:val="0"/>
          <w:vertAlign w:val="superscript"/>
        </w:rPr>
        <w:t xml:space="preserve">, </w:t>
      </w:r>
      <w:r>
        <w:rPr>
          <w:rFonts w:cs="Arial"/>
          <w:snapToGrid w:val="0"/>
          <w:kern w:val="0"/>
          <w:vertAlign w:val="superscript"/>
        </w:rPr>
        <w:t>25</w:t>
      </w:r>
      <w:r>
        <w:rPr>
          <w:rFonts w:hint="eastAsia" w:cs="Arial"/>
          <w:snapToGrid w:val="0"/>
          <w:kern w:val="0"/>
        </w:rPr>
        <w:t>。</w:t>
      </w:r>
    </w:p>
    <w:p w14:paraId="11FE9E99">
      <w:pPr>
        <w:topLinePunct/>
        <w:spacing w:before="187"/>
        <w:rPr>
          <w:rFonts w:cs="Arial"/>
          <w:snapToGrid w:val="0"/>
          <w:kern w:val="0"/>
        </w:rPr>
      </w:pPr>
      <w:r>
        <w:rPr>
          <w:rFonts w:hint="eastAsia" w:cs="Arial"/>
          <w:b/>
          <w:snapToGrid w:val="0"/>
          <w:kern w:val="0"/>
        </w:rPr>
        <w:t>假阳性率：</w:t>
      </w:r>
      <w:r>
        <w:rPr>
          <w:rFonts w:hint="eastAsia" w:cs="Arial"/>
          <w:snapToGrid w:val="0"/>
          <w:kern w:val="0"/>
        </w:rPr>
        <w:t>FDA接受了假阳性率（FPR）的2个定义。在评估临床研究者的整体性能时，制造商的临床研究管理者对检测实验室中获得阳性结果（FP）的无疾病供试者与获得阴性结果（TN）的无疾病工作人员之间的比例感兴趣；对于检测实验室，假阳性率（FP）是</w:t>
      </w:r>
    </w:p>
    <w:p w14:paraId="2AF21AE7">
      <w:pPr>
        <w:topLinePunct/>
        <w:spacing w:before="187"/>
        <w:ind w:left="1440" w:leftChars="600"/>
        <w:rPr>
          <w:rFonts w:cs="Arial"/>
          <w:snapToGrid w:val="0"/>
          <w:kern w:val="0"/>
        </w:rPr>
      </w:pPr>
      <w:r>
        <w:rPr>
          <w:rFonts w:hint="eastAsia" w:cs="Arial"/>
          <w:snapToGrid w:val="0"/>
          <w:kern w:val="0"/>
        </w:rPr>
        <w:t xml:space="preserve">FP/ (FP+TN) </w:t>
      </w:r>
    </w:p>
    <w:p w14:paraId="3116907B">
      <w:pPr>
        <w:topLinePunct/>
        <w:spacing w:before="187"/>
        <w:rPr>
          <w:rFonts w:cs="Arial"/>
          <w:snapToGrid w:val="0"/>
          <w:kern w:val="0"/>
        </w:rPr>
      </w:pPr>
      <w:r>
        <w:rPr>
          <w:rFonts w:hint="eastAsia" w:cs="Arial"/>
          <w:snapToGrid w:val="0"/>
          <w:kern w:val="0"/>
        </w:rPr>
        <w:t>另一方面，对于临床研究者和已检出阳性结果的患者，更应着重思考假阳性检测结果与全部阳性检测结果之间的比率，其原因是该比率与存在问题的特定病例的妊娠结局相关。在通过这种方式，假阳性（FP）率是：</w:t>
      </w:r>
    </w:p>
    <w:p w14:paraId="4FE7D4AC">
      <w:pPr>
        <w:topLinePunct/>
        <w:spacing w:before="187"/>
        <w:ind w:left="1440" w:leftChars="600"/>
        <w:rPr>
          <w:rFonts w:cs="Arial"/>
          <w:snapToGrid w:val="0"/>
          <w:kern w:val="0"/>
        </w:rPr>
      </w:pPr>
      <w:r>
        <w:rPr>
          <w:rFonts w:hint="eastAsia" w:cs="Arial"/>
          <w:snapToGrid w:val="0"/>
          <w:kern w:val="0"/>
        </w:rPr>
        <w:t xml:space="preserve">FP/ (FP+TP) </w:t>
      </w:r>
    </w:p>
    <w:p w14:paraId="52482764">
      <w:pPr>
        <w:topLinePunct/>
        <w:spacing w:before="187"/>
        <w:rPr>
          <w:rFonts w:cs="Arial"/>
          <w:snapToGrid w:val="0"/>
          <w:kern w:val="0"/>
        </w:rPr>
      </w:pPr>
      <w:r>
        <w:rPr>
          <w:rFonts w:hint="eastAsia" w:cs="Arial"/>
          <w:snapToGrid w:val="0"/>
          <w:kern w:val="0"/>
        </w:rPr>
        <w:t>这相当于1-阳性结果的预测值（1-PVPT）。在检测较低流行性疾病或条件的实际情况下，利用后一种假阳性率的定义（检测）所获得的比率更高。当与临床医生和FDA进行沟通时，这是多数制造商的临床检测管理者（MSAFP检测计划和临床研究者）所采用的假阳性率。</w:t>
      </w:r>
    </w:p>
    <w:p w14:paraId="5DFB4274">
      <w:pPr>
        <w:topLinePunct/>
        <w:spacing w:before="187"/>
        <w:rPr>
          <w:rFonts w:cs="Arial"/>
          <w:snapToGrid w:val="0"/>
          <w:kern w:val="0"/>
        </w:rPr>
      </w:pPr>
      <w:r>
        <w:rPr>
          <w:rFonts w:hint="eastAsia" w:cs="Arial"/>
          <w:snapToGrid w:val="0"/>
          <w:kern w:val="0"/>
        </w:rPr>
        <w:t>4.</w:t>
      </w:r>
      <w:r>
        <w:rPr>
          <w:rFonts w:cs="Arial"/>
          <w:snapToGrid w:val="0"/>
          <w:kern w:val="0"/>
        </w:rPr>
        <w:tab/>
      </w:r>
      <w:r>
        <w:rPr>
          <w:rFonts w:hint="eastAsia" w:cs="Arial"/>
          <w:snapToGrid w:val="0"/>
          <w:kern w:val="0"/>
        </w:rPr>
        <w:t>比较研究：</w:t>
      </w:r>
    </w:p>
    <w:p w14:paraId="5DB69DDE">
      <w:pPr>
        <w:pStyle w:val="11"/>
        <w:numPr>
          <w:ilvl w:val="1"/>
          <w:numId w:val="17"/>
        </w:numPr>
        <w:topLinePunct/>
        <w:spacing w:before="187"/>
        <w:ind w:left="960" w:leftChars="200" w:hanging="480" w:hangingChars="200"/>
        <w:rPr>
          <w:rFonts w:cs="Arial"/>
          <w:snapToGrid w:val="0"/>
          <w:kern w:val="0"/>
        </w:rPr>
      </w:pPr>
      <w:r>
        <w:rPr>
          <w:rFonts w:hint="eastAsia" w:cs="Arial"/>
          <w:snapToGrid w:val="0"/>
          <w:kern w:val="0"/>
        </w:rPr>
        <w:t>将器械与具有获批PMA的至少1件器械进行比较。</w:t>
      </w:r>
    </w:p>
    <w:p w14:paraId="43485AE8">
      <w:pPr>
        <w:pStyle w:val="11"/>
        <w:numPr>
          <w:ilvl w:val="1"/>
          <w:numId w:val="17"/>
        </w:numPr>
        <w:topLinePunct/>
        <w:spacing w:before="187"/>
        <w:ind w:left="960" w:leftChars="200" w:hanging="480" w:hangingChars="200"/>
        <w:rPr>
          <w:rFonts w:cs="Arial"/>
          <w:snapToGrid w:val="0"/>
          <w:kern w:val="0"/>
        </w:rPr>
      </w:pPr>
      <w:r>
        <w:rPr>
          <w:rFonts w:hint="eastAsia" w:cs="Arial"/>
          <w:snapToGrid w:val="0"/>
          <w:kern w:val="0"/>
        </w:rPr>
        <w:t>用一个实验室中试验的3个不同批次来提供数据。</w:t>
      </w:r>
    </w:p>
    <w:p w14:paraId="56C68F1A">
      <w:pPr>
        <w:topLinePunct/>
        <w:spacing w:before="187"/>
        <w:ind w:left="960" w:leftChars="400"/>
        <w:rPr>
          <w:rFonts w:cs="Arial"/>
          <w:snapToGrid w:val="0"/>
          <w:kern w:val="0"/>
        </w:rPr>
      </w:pPr>
      <w:r>
        <w:rPr>
          <w:rFonts w:hint="eastAsia" w:cs="Arial"/>
          <w:snapToGrid w:val="0"/>
          <w:kern w:val="0"/>
        </w:rPr>
        <w:t>对源于40-100例孕妇患者且覆盖全部试验范围（从低水平到高水平）的无干扰物质的AFP样品所获得的结果进行比较</w:t>
      </w:r>
      <w:r>
        <w:rPr>
          <w:rFonts w:cs="Arial"/>
          <w:snapToGrid w:val="0"/>
          <w:kern w:val="0"/>
          <w:vertAlign w:val="superscript"/>
        </w:rPr>
        <w:t>7</w:t>
      </w:r>
      <w:r>
        <w:rPr>
          <w:rFonts w:hint="eastAsia" w:cs="Arial"/>
          <w:snapToGrid w:val="0"/>
          <w:kern w:val="0"/>
          <w:vertAlign w:val="superscript"/>
        </w:rPr>
        <w:t xml:space="preserve">, </w:t>
      </w:r>
      <w:r>
        <w:rPr>
          <w:rFonts w:cs="Arial"/>
          <w:snapToGrid w:val="0"/>
          <w:kern w:val="0"/>
          <w:vertAlign w:val="superscript"/>
        </w:rPr>
        <w:t>10</w:t>
      </w:r>
      <w:r>
        <w:rPr>
          <w:rFonts w:hint="eastAsia" w:cs="Arial"/>
          <w:snapToGrid w:val="0"/>
          <w:kern w:val="0"/>
        </w:rPr>
        <w:t>。采用线性回归方法对数据进行分析（X轴是自变量或比较试验；Y轴是因变量或新试验54, 56）。线性回归分析最常用于估计分析方法之间的差异或错误，其原因是可对所研究范围中的重要医学浓度水平对错误进行计算；并且，斜率和截距可为系统误差的类型提供一些指示，可能有助于降低分析误差，随后，辅助降低相对分析误差。鉴于数据集中的非线性度、异常值、较窄的范围和比较方法的变异性会影响斜率和截距估计值的可靠性，因此，样品最好能够覆盖可能存在浓度水平的完整范围</w:t>
      </w:r>
      <w:r>
        <w:rPr>
          <w:rFonts w:cs="Arial"/>
          <w:snapToGrid w:val="0"/>
          <w:kern w:val="0"/>
          <w:vertAlign w:val="superscript"/>
        </w:rPr>
        <w:t>51</w:t>
      </w:r>
      <w:r>
        <w:rPr>
          <w:rFonts w:hint="eastAsia" w:cs="Arial"/>
          <w:snapToGrid w:val="0"/>
          <w:kern w:val="0"/>
        </w:rPr>
        <w:t>。</w:t>
      </w:r>
    </w:p>
    <w:p w14:paraId="21E9F748">
      <w:pPr>
        <w:topLinePunct/>
        <w:spacing w:before="187"/>
        <w:rPr>
          <w:rFonts w:cs="Arial"/>
          <w:snapToGrid w:val="0"/>
          <w:kern w:val="0"/>
        </w:rPr>
      </w:pPr>
      <w:r>
        <w:rPr>
          <w:rFonts w:cs="Arial"/>
          <w:snapToGrid w:val="0"/>
          <w:kern w:val="0"/>
        </w:rPr>
        <w:br w:type="page"/>
      </w:r>
    </w:p>
    <w:p w14:paraId="010B4CF1">
      <w:pPr>
        <w:topLinePunct/>
        <w:spacing w:before="187"/>
        <w:rPr>
          <w:rFonts w:cs="Arial"/>
          <w:snapToGrid w:val="0"/>
          <w:kern w:val="0"/>
        </w:rPr>
      </w:pPr>
      <w:r>
        <w:rPr>
          <w:rFonts w:hint="eastAsia" w:cs="Arial"/>
          <w:snapToGrid w:val="0"/>
          <w:kern w:val="0"/>
        </w:rPr>
        <w:t>5.</w:t>
      </w:r>
      <w:r>
        <w:rPr>
          <w:rFonts w:cs="Arial"/>
          <w:snapToGrid w:val="0"/>
          <w:kern w:val="0"/>
        </w:rPr>
        <w:tab/>
      </w:r>
      <w:r>
        <w:rPr>
          <w:rFonts w:hint="eastAsia" w:cs="Arial"/>
          <w:snapToGrid w:val="0"/>
          <w:kern w:val="0"/>
        </w:rPr>
        <w:t>前带或大剂量钩状效应研究：</w:t>
      </w:r>
    </w:p>
    <w:p w14:paraId="0DC4A310">
      <w:pPr>
        <w:topLinePunct/>
        <w:spacing w:before="187"/>
        <w:ind w:left="480" w:leftChars="200"/>
        <w:rPr>
          <w:rFonts w:cs="Arial"/>
          <w:snapToGrid w:val="0"/>
          <w:kern w:val="0"/>
        </w:rPr>
      </w:pPr>
      <w:r>
        <w:rPr>
          <w:rFonts w:hint="eastAsia" w:cs="Arial"/>
          <w:snapToGrid w:val="0"/>
          <w:kern w:val="0"/>
        </w:rPr>
        <w:t>免疫放射测定（IRMA）和类似试验：</w:t>
      </w:r>
    </w:p>
    <w:p w14:paraId="408D5B48">
      <w:pPr>
        <w:topLinePunct/>
        <w:spacing w:before="187"/>
        <w:ind w:left="480" w:leftChars="200"/>
        <w:rPr>
          <w:rFonts w:cs="Arial"/>
          <w:snapToGrid w:val="0"/>
          <w:kern w:val="0"/>
        </w:rPr>
      </w:pPr>
      <w:r>
        <w:rPr>
          <w:rFonts w:hint="eastAsia" w:cs="Arial"/>
          <w:snapToGrid w:val="0"/>
          <w:kern w:val="0"/>
        </w:rPr>
        <w:t>对具有极高AFP浓度，稀释和未进行稀释的样品进行检验</w:t>
      </w:r>
      <w:r>
        <w:rPr>
          <w:rFonts w:cs="Arial"/>
          <w:snapToGrid w:val="0"/>
          <w:kern w:val="0"/>
          <w:vertAlign w:val="superscript"/>
        </w:rPr>
        <w:t>53</w:t>
      </w:r>
      <w:r>
        <w:rPr>
          <w:rFonts w:hint="eastAsia" w:cs="Arial"/>
          <w:snapToGrid w:val="0"/>
          <w:kern w:val="0"/>
        </w:rPr>
        <w:t>。如果检测结果未被错误低报，在产品说明书中的性能特征部分中声明观察到大剂量hook效应的定量下限。</w:t>
      </w:r>
    </w:p>
    <w:p w14:paraId="398B8986">
      <w:pPr>
        <w:topLinePunct/>
        <w:spacing w:before="187"/>
        <w:rPr>
          <w:rFonts w:cs="Arial"/>
          <w:snapToGrid w:val="0"/>
          <w:kern w:val="0"/>
        </w:rPr>
      </w:pPr>
      <w:r>
        <w:rPr>
          <w:rFonts w:hint="eastAsia" w:cs="Arial"/>
          <w:snapToGrid w:val="0"/>
          <w:kern w:val="0"/>
        </w:rPr>
        <w:t>6.</w:t>
      </w:r>
      <w:r>
        <w:rPr>
          <w:rFonts w:cs="Arial"/>
          <w:snapToGrid w:val="0"/>
          <w:kern w:val="0"/>
        </w:rPr>
        <w:tab/>
      </w:r>
      <w:r>
        <w:rPr>
          <w:rFonts w:hint="eastAsia" w:cs="Arial"/>
          <w:snapToGrid w:val="0"/>
          <w:kern w:val="0"/>
        </w:rPr>
        <w:t>稳定性研究</w:t>
      </w:r>
    </w:p>
    <w:p w14:paraId="6D4587C5">
      <w:pPr>
        <w:pStyle w:val="11"/>
        <w:numPr>
          <w:ilvl w:val="1"/>
          <w:numId w:val="18"/>
        </w:numPr>
        <w:topLinePunct/>
        <w:spacing w:before="187"/>
        <w:ind w:left="960" w:leftChars="200" w:hanging="480" w:hangingChars="200"/>
        <w:rPr>
          <w:rFonts w:cs="Arial"/>
          <w:snapToGrid w:val="0"/>
          <w:kern w:val="0"/>
        </w:rPr>
      </w:pPr>
      <w:r>
        <w:rPr>
          <w:rFonts w:hint="eastAsia" w:cs="Arial"/>
          <w:snapToGrid w:val="0"/>
          <w:kern w:val="0"/>
        </w:rPr>
        <w:t>在21 CFR 809.10（a）和（b），21 CFR211.166中对稳定性研究要求进行概述。利用上述标准和性能评估来执行这些研究。实时稳定性研究应作为轨迹试剂有效期的基础。要求获得源于不同制造批次的数据</w:t>
      </w:r>
      <w:r>
        <w:rPr>
          <w:rFonts w:cs="Arial"/>
          <w:snapToGrid w:val="0"/>
          <w:kern w:val="0"/>
          <w:vertAlign w:val="superscript"/>
        </w:rPr>
        <w:t>53</w:t>
      </w:r>
      <w:r>
        <w:rPr>
          <w:rFonts w:hint="eastAsia" w:cs="Arial"/>
          <w:snapToGrid w:val="0"/>
          <w:kern w:val="0"/>
        </w:rPr>
        <w:t>。仅将源于加速稳定性研究的数据作为中期数据是可接受的。</w:t>
      </w:r>
    </w:p>
    <w:p w14:paraId="1ECDF562">
      <w:pPr>
        <w:pStyle w:val="11"/>
        <w:numPr>
          <w:ilvl w:val="1"/>
          <w:numId w:val="18"/>
        </w:numPr>
        <w:topLinePunct/>
        <w:spacing w:before="187"/>
        <w:ind w:left="960" w:leftChars="200" w:hanging="480" w:hangingChars="200"/>
        <w:rPr>
          <w:rFonts w:cs="Arial"/>
          <w:snapToGrid w:val="0"/>
          <w:kern w:val="0"/>
        </w:rPr>
      </w:pPr>
      <w:r>
        <w:rPr>
          <w:rFonts w:hint="eastAsia" w:cs="Arial"/>
          <w:snapToGrid w:val="0"/>
          <w:kern w:val="0"/>
        </w:rPr>
        <w:t>必须解决的装运条件包括显示试剂在可变装运温度下保持稳定或声明装运温度不影响器械的理由，例如，利用具有保证的隔夜交货服务仅利用干冰对器械进行装运。</w:t>
      </w:r>
    </w:p>
    <w:p w14:paraId="67E58FFE">
      <w:pPr>
        <w:topLinePunct/>
        <w:spacing w:before="187"/>
        <w:rPr>
          <w:rFonts w:cs="Arial"/>
          <w:snapToGrid w:val="0"/>
          <w:kern w:val="0"/>
        </w:rPr>
      </w:pPr>
      <w:r>
        <w:rPr>
          <w:rFonts w:hint="eastAsia" w:cs="Arial"/>
          <w:snapToGrid w:val="0"/>
          <w:kern w:val="0"/>
        </w:rPr>
        <w:t>标签注意事项：</w:t>
      </w:r>
    </w:p>
    <w:p w14:paraId="35F289CB">
      <w:pPr>
        <w:topLinePunct/>
        <w:spacing w:before="187"/>
        <w:rPr>
          <w:rFonts w:cs="Arial"/>
          <w:snapToGrid w:val="0"/>
          <w:kern w:val="0"/>
        </w:rPr>
      </w:pPr>
      <w:r>
        <w:rPr>
          <w:rFonts w:hint="eastAsia" w:cs="Arial"/>
          <w:snapToGrid w:val="0"/>
          <w:kern w:val="0"/>
        </w:rPr>
        <w:t>提供斜率、截距机器估计的标准误差、相关系数、工作曲线估计值的标准误差；应在说明书的性能特征部分中报告试验范围以及供试品的性质和样本量。必须提供器械的全部拟定标签，包括任何医生和患者手册、文献或根据法案第201（m）部分（21 U.S.C 31（m））构成标签的公告。必须向女性提供对胚胎神经管条件的特征进行明确书面描述的患者手册。所提供的信息可能不够全面，但是，其应建议与医生就进一步问题进行讨论。患者手册也应包含与用于明确诊断程序相关的信息并应要求孕妇在进一步采取措施前等待其他检验结果。</w:t>
      </w:r>
    </w:p>
    <w:p w14:paraId="624674CD">
      <w:pPr>
        <w:topLinePunct/>
        <w:spacing w:before="187"/>
        <w:rPr>
          <w:rFonts w:cs="Arial"/>
          <w:snapToGrid w:val="0"/>
          <w:kern w:val="0"/>
        </w:rPr>
      </w:pPr>
      <w:r>
        <w:rPr>
          <w:rFonts w:cs="Arial"/>
          <w:snapToGrid w:val="0"/>
          <w:kern w:val="0"/>
        </w:rPr>
        <w:br w:type="page"/>
      </w:r>
    </w:p>
    <w:p w14:paraId="28759BF7">
      <w:pPr>
        <w:topLinePunct/>
        <w:spacing w:before="187"/>
        <w:rPr>
          <w:rFonts w:cs="Arial"/>
          <w:snapToGrid w:val="0"/>
          <w:kern w:val="0"/>
        </w:rPr>
      </w:pPr>
      <w:r>
        <w:rPr>
          <w:rFonts w:hint="eastAsia" w:cs="Arial"/>
          <w:snapToGrid w:val="0"/>
          <w:kern w:val="0"/>
        </w:rPr>
        <w:t>如果孕妇发现随访程序的解释是有意义的，她必须明确理解自身的需求。应以如何为医生提供一种解释检验结果的方法的方式来解释最重要的随访程序，尤其是羊膜穿刺术和超声波扫描。21 CFR第809.10部分中涵盖了医疗器械的整体标签要求。这些法规规定了全部体外器械的最低要求。可通过FDA出版物</w:t>
      </w:r>
      <w:r>
        <w:rPr>
          <w:rFonts w:hint="eastAsia" w:ascii="宋体" w:hAnsi="宋体" w:cs="Arial"/>
          <w:snapToGrid w:val="0"/>
          <w:kern w:val="0"/>
        </w:rPr>
        <w:t>“</w:t>
      </w:r>
      <w:r>
        <w:rPr>
          <w:rFonts w:hint="eastAsia" w:cs="Arial"/>
          <w:snapToGrid w:val="0"/>
          <w:kern w:val="0"/>
        </w:rPr>
        <w:t>标签：医疗器械的法规要求</w:t>
      </w:r>
      <w:r>
        <w:rPr>
          <w:rFonts w:hint="eastAsia" w:ascii="宋体" w:hAnsi="宋体" w:cs="Arial"/>
          <w:snapToGrid w:val="0"/>
          <w:kern w:val="0"/>
        </w:rPr>
        <w:t>”</w:t>
      </w:r>
      <w:r>
        <w:rPr>
          <w:rFonts w:hint="eastAsia" w:cs="Arial"/>
          <w:snapToGrid w:val="0"/>
          <w:kern w:val="0"/>
        </w:rPr>
        <w:t>以及通过器械评估办公室的</w:t>
      </w:r>
      <w:r>
        <w:rPr>
          <w:rFonts w:hint="eastAsia" w:ascii="宋体" w:hAnsi="宋体" w:cs="Arial"/>
          <w:snapToGrid w:val="0"/>
          <w:kern w:val="0"/>
        </w:rPr>
        <w:t>“</w:t>
      </w:r>
      <w:r>
        <w:rPr>
          <w:rFonts w:hint="eastAsia" w:cs="Arial"/>
          <w:snapToGrid w:val="0"/>
          <w:kern w:val="0"/>
        </w:rPr>
        <w:t>器械标签指南</w:t>
      </w:r>
      <w:r>
        <w:rPr>
          <w:rFonts w:hint="eastAsia" w:ascii="宋体" w:hAnsi="宋体" w:cs="Arial"/>
          <w:snapToGrid w:val="0"/>
          <w:kern w:val="0"/>
        </w:rPr>
        <w:t>”</w:t>
      </w:r>
      <w:r>
        <w:rPr>
          <w:rFonts w:hint="eastAsia" w:cs="Arial"/>
          <w:snapToGrid w:val="0"/>
          <w:kern w:val="0"/>
        </w:rPr>
        <w:t>中获得与器械标签相关的额外指南；在小制造商辅助部门（HFZ-220），器械及放射卫生中心，食品药品监督管理局，5600 F</w:t>
      </w:r>
      <w:r>
        <w:rPr>
          <w:rFonts w:cs="Arial"/>
          <w:snapToGrid w:val="0"/>
          <w:kern w:val="0"/>
        </w:rPr>
        <w:t>i</w:t>
      </w:r>
      <w:r>
        <w:rPr>
          <w:rFonts w:hint="eastAsia" w:cs="Arial"/>
          <w:snapToGrid w:val="0"/>
          <w:kern w:val="0"/>
        </w:rPr>
        <w:t>shers Lane，Rockville，MD 20857提出要求时，应提供这两份文件。</w:t>
      </w:r>
    </w:p>
    <w:p w14:paraId="5C23BA41">
      <w:pPr>
        <w:topLinePunct/>
        <w:spacing w:before="187"/>
        <w:rPr>
          <w:rFonts w:cs="Arial"/>
          <w:snapToGrid w:val="0"/>
          <w:kern w:val="0"/>
        </w:rPr>
      </w:pPr>
      <w:r>
        <w:rPr>
          <w:rFonts w:hint="eastAsia" w:cs="Arial"/>
          <w:snapToGrid w:val="0"/>
          <w:kern w:val="0"/>
        </w:rPr>
        <w:t>应仔细对说明书进行评估，其原因是这七个部分中所含的额外信息对于正确解释AFP检验结果是重要的。这七个部分分别是：（1）预期用途，值得注意的是，申办方尝试纳入</w:t>
      </w:r>
      <w:r>
        <w:rPr>
          <w:rFonts w:hint="eastAsia" w:ascii="宋体" w:hAnsi="宋体" w:cs="Arial"/>
          <w:snapToGrid w:val="0"/>
          <w:kern w:val="0"/>
        </w:rPr>
        <w:t>“</w:t>
      </w:r>
      <w:r>
        <w:rPr>
          <w:rFonts w:hint="eastAsia" w:cs="Arial"/>
          <w:snapToGrid w:val="0"/>
          <w:kern w:val="0"/>
        </w:rPr>
        <w:t>提及的预期用途</w:t>
      </w:r>
      <w:r>
        <w:rPr>
          <w:rFonts w:hint="eastAsia" w:ascii="宋体" w:hAnsi="宋体" w:cs="Arial"/>
          <w:snapToGrid w:val="0"/>
          <w:kern w:val="0"/>
        </w:rPr>
        <w:t>”</w:t>
      </w:r>
      <w:r>
        <w:rPr>
          <w:rFonts w:hint="eastAsia" w:cs="Arial"/>
          <w:snapToGrid w:val="0"/>
          <w:kern w:val="0"/>
        </w:rPr>
        <w:t>或根据</w:t>
      </w:r>
      <w:r>
        <w:rPr>
          <w:rFonts w:hint="eastAsia" w:ascii="宋体" w:hAnsi="宋体" w:cs="Arial"/>
          <w:snapToGrid w:val="0"/>
          <w:kern w:val="0"/>
        </w:rPr>
        <w:t>“</w:t>
      </w:r>
      <w:r>
        <w:rPr>
          <w:rFonts w:hint="eastAsia" w:cs="Arial"/>
          <w:snapToGrid w:val="0"/>
          <w:kern w:val="0"/>
        </w:rPr>
        <w:t>引用的文献</w:t>
      </w:r>
      <w:r>
        <w:rPr>
          <w:rFonts w:hint="eastAsia" w:ascii="宋体" w:hAnsi="宋体" w:cs="Arial"/>
          <w:snapToGrid w:val="0"/>
          <w:kern w:val="0"/>
        </w:rPr>
        <w:t>”</w:t>
      </w:r>
      <w:r>
        <w:rPr>
          <w:rFonts w:hint="eastAsia" w:cs="Arial"/>
          <w:snapToGrid w:val="0"/>
          <w:kern w:val="0"/>
        </w:rPr>
        <w:t>在几乎没获得临床数据或没够获得临床数据以支持这种扩展使用的情况下来扩展应性、（2）使用条件、（3）程序或操作原理、（4）试剂、（5）程序局限性、（6）检测结果的解释，以及（7）性能特征。</w:t>
      </w:r>
    </w:p>
    <w:p w14:paraId="73ECCAA7">
      <w:pPr>
        <w:topLinePunct/>
        <w:spacing w:before="187"/>
        <w:rPr>
          <w:rFonts w:cs="Arial"/>
          <w:snapToGrid w:val="0"/>
          <w:kern w:val="0"/>
        </w:rPr>
      </w:pPr>
      <w:r>
        <w:rPr>
          <w:rFonts w:hint="eastAsia" w:cs="Arial"/>
          <w:snapToGrid w:val="0"/>
          <w:kern w:val="0"/>
        </w:rPr>
        <w:t>选择对其AFP器械的制造设施进行改址的制造商必须通过在每个孕周检测100个血清样品（15-20周）以计算中位数数值，从而重新确立AFP中位数数值。应利用三批制造试剂来确认重新计算中位数数值的性能特征。制造商应对一种事实保持敏感性，即临床实验室可能会使用说明书中提供的中位数数值作为参考数据的来源。对于一些制造商试剂盒，已证明这些中位数数值存在较大误差，会引起大量假阳性或假阴性检测结果。FDA要求制造商提交临床数据的PMA补充文件以证实说明书中中位数数值的改变，其原因是在改变AFP试剂盒中的试剂时，使用过期中位数数值（例如，AFP试剂的放射性碘化）可能引起大量假阳性或假阴性检测结果的解释。</w:t>
      </w:r>
    </w:p>
    <w:p w14:paraId="004F8E34">
      <w:pPr>
        <w:topLinePunct/>
        <w:spacing w:before="187"/>
        <w:rPr>
          <w:rFonts w:cs="Arial"/>
          <w:snapToGrid w:val="0"/>
          <w:kern w:val="0"/>
        </w:rPr>
      </w:pPr>
    </w:p>
    <w:p w14:paraId="780CD9FF">
      <w:pPr>
        <w:topLinePunct/>
        <w:spacing w:before="187"/>
        <w:rPr>
          <w:rFonts w:cs="Arial"/>
          <w:snapToGrid w:val="0"/>
          <w:kern w:val="0"/>
        </w:rPr>
      </w:pPr>
      <w:r>
        <w:rPr>
          <w:rFonts w:cs="Arial"/>
          <w:snapToGrid w:val="0"/>
          <w:kern w:val="0"/>
        </w:rPr>
        <w:br w:type="page"/>
      </w:r>
    </w:p>
    <w:p w14:paraId="606F8C09">
      <w:pPr>
        <w:topLinePunct/>
        <w:spacing w:before="187"/>
        <w:rPr>
          <w:rFonts w:cs="Arial"/>
          <w:snapToGrid w:val="0"/>
          <w:kern w:val="0"/>
        </w:rPr>
      </w:pPr>
      <w:r>
        <w:rPr>
          <w:rFonts w:hint="eastAsia" w:cs="Arial"/>
          <w:snapToGrid w:val="0"/>
          <w:kern w:val="0"/>
        </w:rPr>
        <w:t>与体外标签法规的绝对符合性（21 CFR 809.10）应包括为前瞻性患者（或其父母／监护人）提供AFP检测优势和风险的实际期望值的患者标签。应以一定格式来书面记录这些信息，因此，大多数患者应能够轻松阅读和理解，同时，在计划进行AFP检查前，应为患者提供这些信息，因此，每名患者应有足够的时间来审查信息并与其医生进行讨论。应尽量减少技术术语，并且，如果必须使用，应对其进行定义。患者信息标签的设计应符合7级阅读理解水平。</w:t>
      </w:r>
    </w:p>
    <w:p w14:paraId="6995F7D7">
      <w:pPr>
        <w:topLinePunct/>
        <w:spacing w:before="187"/>
        <w:rPr>
          <w:rFonts w:cs="Arial"/>
          <w:snapToGrid w:val="0"/>
          <w:kern w:val="0"/>
        </w:rPr>
      </w:pPr>
    </w:p>
    <w:p w14:paraId="6BDE67CC">
      <w:pPr>
        <w:topLinePunct/>
        <w:spacing w:before="187"/>
        <w:rPr>
          <w:rFonts w:cs="Arial"/>
          <w:snapToGrid w:val="0"/>
          <w:kern w:val="0"/>
        </w:rPr>
      </w:pPr>
    </w:p>
    <w:p w14:paraId="5E4A7B5B">
      <w:pPr>
        <w:topLinePunct/>
        <w:spacing w:before="187"/>
        <w:rPr>
          <w:rFonts w:cs="Arial"/>
          <w:snapToGrid w:val="0"/>
          <w:kern w:val="0"/>
        </w:rPr>
      </w:pPr>
    </w:p>
    <w:p w14:paraId="1EF884B1">
      <w:pPr>
        <w:topLinePunct/>
        <w:spacing w:before="187"/>
        <w:rPr>
          <w:rFonts w:cs="Arial"/>
          <w:snapToGrid w:val="0"/>
          <w:kern w:val="0"/>
        </w:rPr>
      </w:pPr>
    </w:p>
    <w:p w14:paraId="0FC142EF">
      <w:pPr>
        <w:topLinePunct/>
        <w:spacing w:before="187"/>
        <w:rPr>
          <w:rFonts w:cs="Arial"/>
          <w:snapToGrid w:val="0"/>
          <w:kern w:val="0"/>
        </w:rPr>
      </w:pPr>
    </w:p>
    <w:p w14:paraId="7DE0A60F">
      <w:pPr>
        <w:topLinePunct/>
        <w:spacing w:before="187"/>
        <w:rPr>
          <w:rFonts w:cs="Arial"/>
          <w:snapToGrid w:val="0"/>
          <w:kern w:val="0"/>
        </w:rPr>
      </w:pPr>
    </w:p>
    <w:p w14:paraId="454EFDD5">
      <w:pPr>
        <w:topLinePunct/>
        <w:spacing w:before="187"/>
        <w:rPr>
          <w:rFonts w:cs="Arial"/>
          <w:snapToGrid w:val="0"/>
          <w:kern w:val="0"/>
        </w:rPr>
      </w:pPr>
    </w:p>
    <w:p w14:paraId="29D82183">
      <w:pPr>
        <w:topLinePunct/>
        <w:spacing w:before="187"/>
        <w:rPr>
          <w:rFonts w:cs="Arial"/>
          <w:snapToGrid w:val="0"/>
          <w:kern w:val="0"/>
        </w:rPr>
      </w:pPr>
    </w:p>
    <w:p w14:paraId="5D367848">
      <w:pPr>
        <w:topLinePunct/>
        <w:spacing w:before="187"/>
        <w:rPr>
          <w:rFonts w:cs="Arial"/>
          <w:snapToGrid w:val="0"/>
          <w:kern w:val="0"/>
        </w:rPr>
      </w:pPr>
    </w:p>
    <w:p w14:paraId="30A350B0">
      <w:pPr>
        <w:topLinePunct/>
        <w:spacing w:before="187"/>
        <w:rPr>
          <w:rFonts w:cs="Arial"/>
          <w:snapToGrid w:val="0"/>
          <w:kern w:val="0"/>
        </w:rPr>
      </w:pPr>
      <w:r>
        <w:rPr>
          <w:rFonts w:hint="eastAsia" w:cs="Arial"/>
          <w:snapToGrid w:val="0"/>
          <w:kern w:val="0"/>
        </w:rPr>
        <w:t>Kearby J. Fugate, Ph.D.</w:t>
      </w:r>
    </w:p>
    <w:p w14:paraId="70329B2C">
      <w:pPr>
        <w:topLinePunct/>
        <w:spacing w:before="187"/>
        <w:rPr>
          <w:rFonts w:cs="Arial"/>
          <w:snapToGrid w:val="0"/>
          <w:kern w:val="0"/>
        </w:rPr>
      </w:pPr>
    </w:p>
    <w:p w14:paraId="3FBA2058">
      <w:pPr>
        <w:topLinePunct/>
        <w:spacing w:before="187"/>
        <w:rPr>
          <w:rFonts w:cs="Arial"/>
          <w:snapToGrid w:val="0"/>
          <w:kern w:val="0"/>
        </w:rPr>
      </w:pPr>
      <w:r>
        <w:rPr>
          <w:rFonts w:cs="Arial"/>
          <w:snapToGrid w:val="0"/>
          <w:kern w:val="0"/>
        </w:rPr>
        <w:br w:type="page"/>
      </w:r>
    </w:p>
    <w:p w14:paraId="24AA2C65">
      <w:pPr>
        <w:topLinePunct/>
        <w:spacing w:before="187"/>
        <w:rPr>
          <w:rFonts w:cs="Arial"/>
          <w:b/>
          <w:snapToGrid w:val="0"/>
          <w:kern w:val="0"/>
        </w:rPr>
      </w:pPr>
      <w:r>
        <w:rPr>
          <w:rFonts w:hint="eastAsia" w:cs="Arial"/>
          <w:b/>
          <w:snapToGrid w:val="0"/>
          <w:kern w:val="0"/>
        </w:rPr>
        <w:t>V.</w:t>
      </w:r>
      <w:r>
        <w:rPr>
          <w:rFonts w:cs="Arial"/>
          <w:b/>
          <w:snapToGrid w:val="0"/>
          <w:kern w:val="0"/>
        </w:rPr>
        <w:tab/>
      </w:r>
      <w:r>
        <w:rPr>
          <w:rFonts w:hint="eastAsia" w:cs="Arial"/>
          <w:b/>
          <w:snapToGrid w:val="0"/>
          <w:kern w:val="0"/>
        </w:rPr>
        <w:t>参考文件</w:t>
      </w:r>
    </w:p>
    <w:p w14:paraId="0AF6B620">
      <w:pPr>
        <w:pStyle w:val="11"/>
        <w:numPr>
          <w:ilvl w:val="1"/>
          <w:numId w:val="19"/>
        </w:numPr>
        <w:topLinePunct/>
        <w:spacing w:before="187"/>
        <w:ind w:left="480" w:hanging="480" w:hangingChars="200"/>
        <w:rPr>
          <w:rFonts w:cs="Arial"/>
          <w:snapToGrid w:val="0"/>
          <w:kern w:val="0"/>
        </w:rPr>
      </w:pPr>
      <w:r>
        <w:rPr>
          <w:rFonts w:hint="eastAsia" w:cs="Arial"/>
          <w:snapToGrid w:val="0"/>
          <w:kern w:val="0"/>
        </w:rPr>
        <w:t>Brock DJH, Sutcliffe RG: Alpha-fectoprotein in the antenatal diagnosis of anencephaly and spina bifida. Lancet; ii: 197-199, 1972</w:t>
      </w:r>
    </w:p>
    <w:p w14:paraId="2C0740E6">
      <w:pPr>
        <w:pStyle w:val="11"/>
        <w:numPr>
          <w:ilvl w:val="1"/>
          <w:numId w:val="19"/>
        </w:numPr>
        <w:topLinePunct/>
        <w:spacing w:before="187"/>
        <w:ind w:left="480" w:hanging="480" w:hangingChars="200"/>
        <w:rPr>
          <w:rFonts w:cs="Arial"/>
          <w:snapToGrid w:val="0"/>
          <w:kern w:val="0"/>
        </w:rPr>
      </w:pPr>
      <w:r>
        <w:rPr>
          <w:rFonts w:hint="eastAsia" w:cs="Arial"/>
          <w:snapToGrid w:val="0"/>
          <w:kern w:val="0"/>
        </w:rPr>
        <w:t>Leek AE, Ruoss CF, Kitau MJ, Chard T: Raised alpha-fetoprotein in maternal serum with anencephalic pregnancy. Lancet; ii: 385, 1973.</w:t>
      </w:r>
    </w:p>
    <w:p w14:paraId="3829028C">
      <w:pPr>
        <w:pStyle w:val="11"/>
        <w:numPr>
          <w:ilvl w:val="1"/>
          <w:numId w:val="19"/>
        </w:numPr>
        <w:topLinePunct/>
        <w:spacing w:before="187"/>
        <w:ind w:left="480" w:hanging="480" w:hangingChars="200"/>
        <w:rPr>
          <w:rFonts w:cs="Arial"/>
          <w:snapToGrid w:val="0"/>
          <w:kern w:val="0"/>
        </w:rPr>
      </w:pPr>
      <w:r>
        <w:rPr>
          <w:rFonts w:hint="eastAsia" w:cs="Arial"/>
          <w:snapToGrid w:val="0"/>
          <w:kern w:val="0"/>
        </w:rPr>
        <w:t xml:space="preserve">Brock DJH, Bolton AE, Monaghan JM: Prenatal diagnosis of anencephaly </w:t>
      </w:r>
      <w:r>
        <w:rPr>
          <w:rFonts w:cs="Arial"/>
          <w:snapToGrid w:val="0"/>
          <w:kern w:val="0"/>
        </w:rPr>
        <w:t>through</w:t>
      </w:r>
      <w:r>
        <w:rPr>
          <w:rFonts w:hint="eastAsia" w:cs="Arial"/>
          <w:snapToGrid w:val="0"/>
          <w:kern w:val="0"/>
        </w:rPr>
        <w:t xml:space="preserve"> maternal serum alpha-fetoprotein measurements. Lancet; ii-923-924, 1973.</w:t>
      </w:r>
    </w:p>
    <w:p w14:paraId="7C2699FC">
      <w:pPr>
        <w:pStyle w:val="11"/>
        <w:numPr>
          <w:ilvl w:val="1"/>
          <w:numId w:val="19"/>
        </w:numPr>
        <w:topLinePunct/>
        <w:spacing w:before="187"/>
        <w:ind w:left="480" w:hanging="480" w:hangingChars="200"/>
        <w:rPr>
          <w:rFonts w:cs="Arial"/>
          <w:snapToGrid w:val="0"/>
          <w:kern w:val="0"/>
        </w:rPr>
      </w:pPr>
      <w:r>
        <w:rPr>
          <w:rFonts w:hint="eastAsia" w:cs="Arial"/>
          <w:snapToGrid w:val="0"/>
          <w:kern w:val="0"/>
        </w:rPr>
        <w:t xml:space="preserve">Wald NJ, Brock DJH, Bonnar, J: Prenatal diagnosis of spina bifida and anencephaly by maternal serum alpha-fetoprotein </w:t>
      </w:r>
      <w:r>
        <w:rPr>
          <w:rFonts w:cs="Arial"/>
          <w:snapToGrid w:val="0"/>
          <w:kern w:val="0"/>
        </w:rPr>
        <w:t>measurement</w:t>
      </w:r>
      <w:r>
        <w:rPr>
          <w:rFonts w:hint="eastAsia" w:cs="Arial"/>
          <w:snapToGrid w:val="0"/>
          <w:kern w:val="0"/>
        </w:rPr>
        <w:t>. Lancet; i: 765-766, 1974.</w:t>
      </w:r>
    </w:p>
    <w:p w14:paraId="322C0E19">
      <w:pPr>
        <w:pStyle w:val="11"/>
        <w:numPr>
          <w:ilvl w:val="1"/>
          <w:numId w:val="19"/>
        </w:numPr>
        <w:topLinePunct/>
        <w:spacing w:before="187"/>
        <w:ind w:left="480" w:hanging="480" w:hangingChars="200"/>
        <w:rPr>
          <w:rFonts w:cs="Arial"/>
          <w:snapToGrid w:val="0"/>
          <w:kern w:val="0"/>
        </w:rPr>
      </w:pPr>
      <w:r>
        <w:rPr>
          <w:rFonts w:hint="eastAsia" w:cs="Arial"/>
          <w:snapToGrid w:val="0"/>
          <w:kern w:val="0"/>
        </w:rPr>
        <w:t>Brock DJH, Scrimgeour JB: Early prenatal diagnosis of anencephaly. Lancet; ii: 12252, 1972.</w:t>
      </w:r>
    </w:p>
    <w:p w14:paraId="7D28FE88">
      <w:pPr>
        <w:pStyle w:val="11"/>
        <w:numPr>
          <w:ilvl w:val="1"/>
          <w:numId w:val="19"/>
        </w:numPr>
        <w:topLinePunct/>
        <w:spacing w:before="187"/>
        <w:ind w:left="480" w:hanging="480" w:hangingChars="200"/>
        <w:rPr>
          <w:rFonts w:cs="Arial"/>
          <w:snapToGrid w:val="0"/>
          <w:kern w:val="0"/>
        </w:rPr>
      </w:pPr>
      <w:r>
        <w:rPr>
          <w:rFonts w:hint="eastAsia" w:cs="Arial"/>
          <w:snapToGrid w:val="0"/>
          <w:kern w:val="0"/>
        </w:rPr>
        <w:t>Maternal Serum Alpha-fectoprotein Measurement in Antenatal Screening for Anencephaly and Spina Bifida in Early Pregnancy. Report of the U.K. Collaborative Study in AFP in Relation to Neutral Tube Defects. Lancet; i: 1323-32, 1977.</w:t>
      </w:r>
    </w:p>
    <w:p w14:paraId="0871FC64">
      <w:pPr>
        <w:pStyle w:val="11"/>
        <w:numPr>
          <w:ilvl w:val="1"/>
          <w:numId w:val="19"/>
        </w:numPr>
        <w:topLinePunct/>
        <w:spacing w:before="187"/>
        <w:ind w:left="480" w:hanging="480" w:hangingChars="200"/>
        <w:rPr>
          <w:rFonts w:cs="Arial"/>
          <w:snapToGrid w:val="0"/>
          <w:kern w:val="0"/>
        </w:rPr>
      </w:pPr>
      <w:r>
        <w:rPr>
          <w:rFonts w:hint="eastAsia" w:cs="Arial"/>
          <w:snapToGrid w:val="0"/>
          <w:kern w:val="0"/>
        </w:rPr>
        <w:t>Amnioic-Fluid Alpha-fetoprotein Measurement in Antenatal Diagnosis of Anencephaly and Open Spina Bifida in Early Pregnancy. Second Report of the U.K. Collaborative Study on AFP in relation to Neutral Tube Defects. Lancet; ii: 651-662, 1979.</w:t>
      </w:r>
    </w:p>
    <w:p w14:paraId="6B985C88">
      <w:pPr>
        <w:pStyle w:val="11"/>
        <w:numPr>
          <w:ilvl w:val="1"/>
          <w:numId w:val="19"/>
        </w:numPr>
        <w:topLinePunct/>
        <w:spacing w:before="187"/>
        <w:ind w:left="480" w:hanging="480" w:hangingChars="200"/>
        <w:rPr>
          <w:rFonts w:cs="Arial"/>
          <w:snapToGrid w:val="0"/>
          <w:kern w:val="0"/>
        </w:rPr>
      </w:pPr>
      <w:r>
        <w:rPr>
          <w:rFonts w:hint="eastAsia" w:cs="Arial"/>
          <w:snapToGrid w:val="0"/>
          <w:kern w:val="0"/>
        </w:rPr>
        <w:t>Haddow JE, Macri JN (eds). Proceedings of the First Scarborough Conference: Screening for Neural Tube Defects in the United States, Foundation for Blood research, Scarborough, Maine, 1977.</w:t>
      </w:r>
    </w:p>
    <w:p w14:paraId="2D4C6F19">
      <w:pPr>
        <w:pStyle w:val="11"/>
        <w:numPr>
          <w:ilvl w:val="1"/>
          <w:numId w:val="19"/>
        </w:numPr>
        <w:topLinePunct/>
        <w:spacing w:before="187"/>
        <w:ind w:left="480" w:hanging="480" w:hangingChars="200"/>
        <w:rPr>
          <w:rFonts w:cs="Arial"/>
          <w:snapToGrid w:val="0"/>
          <w:kern w:val="0"/>
        </w:rPr>
      </w:pPr>
      <w:r>
        <w:rPr>
          <w:rFonts w:hint="eastAsia" w:cs="Arial"/>
          <w:snapToGrid w:val="0"/>
          <w:kern w:val="0"/>
        </w:rPr>
        <w:t>Haddow JE, Macri JN (eds). Proceedings of the Second Scarborough C</w:t>
      </w:r>
      <w:r>
        <w:rPr>
          <w:rFonts w:cs="Arial"/>
          <w:snapToGrid w:val="0"/>
          <w:kern w:val="0"/>
        </w:rPr>
        <w:t>o</w:t>
      </w:r>
      <w:r>
        <w:rPr>
          <w:rFonts w:hint="eastAsia" w:cs="Arial"/>
          <w:snapToGrid w:val="0"/>
          <w:kern w:val="0"/>
        </w:rPr>
        <w:t>nference: Alpha-fetoprotein Serum Screening in Pregnancy, Foundation for Blood Research, Scarborough, Marine, 1978.</w:t>
      </w:r>
    </w:p>
    <w:p w14:paraId="15060E30">
      <w:pPr>
        <w:pStyle w:val="11"/>
        <w:numPr>
          <w:ilvl w:val="1"/>
          <w:numId w:val="19"/>
        </w:numPr>
        <w:topLinePunct/>
        <w:spacing w:before="187"/>
        <w:ind w:left="480" w:hanging="480" w:hangingChars="200"/>
        <w:rPr>
          <w:rFonts w:cs="Arial"/>
          <w:snapToGrid w:val="0"/>
          <w:kern w:val="0"/>
        </w:rPr>
      </w:pPr>
      <w:r>
        <w:rPr>
          <w:rFonts w:hint="eastAsia" w:cs="Arial"/>
          <w:snapToGrid w:val="0"/>
          <w:kern w:val="0"/>
        </w:rPr>
        <w:t xml:space="preserve">Haddow JE, Macri JN, Wald NJ (eds). Proceedings of the Third Scarborough Conference: The Regional </w:t>
      </w:r>
      <w:r>
        <w:rPr>
          <w:rFonts w:cs="Arial"/>
          <w:snapToGrid w:val="0"/>
          <w:kern w:val="0"/>
        </w:rPr>
        <w:t>Application</w:t>
      </w:r>
      <w:r>
        <w:rPr>
          <w:rFonts w:hint="eastAsia" w:cs="Arial"/>
          <w:snapToGrid w:val="0"/>
          <w:kern w:val="0"/>
        </w:rPr>
        <w:t xml:space="preserve"> of Alpha-fetoprotein Serum Screening and Ultrasonography in Mid-Pregnancy. Foundation for Blood Research, Scarborough, Marine, 1980.</w:t>
      </w:r>
    </w:p>
    <w:p w14:paraId="6EB06816">
      <w:pPr>
        <w:pStyle w:val="11"/>
        <w:numPr>
          <w:ilvl w:val="1"/>
          <w:numId w:val="19"/>
        </w:numPr>
        <w:topLinePunct/>
        <w:spacing w:before="187"/>
        <w:ind w:left="480" w:hanging="480" w:hangingChars="200"/>
        <w:rPr>
          <w:rFonts w:cs="Arial"/>
          <w:snapToGrid w:val="0"/>
          <w:kern w:val="0"/>
        </w:rPr>
      </w:pPr>
      <w:r>
        <w:rPr>
          <w:rFonts w:hint="eastAsia" w:cs="Arial"/>
          <w:snapToGrid w:val="0"/>
          <w:kern w:val="0"/>
        </w:rPr>
        <w:t>Haddow JE, Macri JN: Prenatal screening for neural tube defects. J Am Med Assoc; 242: 515-516, 1979.</w:t>
      </w:r>
    </w:p>
    <w:p w14:paraId="33C6B323">
      <w:pPr>
        <w:pStyle w:val="11"/>
        <w:numPr>
          <w:ilvl w:val="1"/>
          <w:numId w:val="19"/>
        </w:numPr>
        <w:topLinePunct/>
        <w:spacing w:before="187"/>
        <w:ind w:left="480" w:hanging="480" w:hangingChars="200"/>
        <w:rPr>
          <w:rFonts w:cs="Arial"/>
          <w:snapToGrid w:val="0"/>
          <w:kern w:val="0"/>
        </w:rPr>
      </w:pPr>
      <w:r>
        <w:rPr>
          <w:rFonts w:hint="eastAsia" w:cs="Arial"/>
          <w:snapToGrid w:val="0"/>
          <w:kern w:val="0"/>
        </w:rPr>
        <w:t>Wald NJ, Cuckle H: Alpha-fetoprotein in the antental diagnosis of open neural tube defects. Br J Hosp Med; 23: 473-489, 1980</w:t>
      </w:r>
    </w:p>
    <w:p w14:paraId="6737B0C9">
      <w:pPr>
        <w:pStyle w:val="11"/>
        <w:numPr>
          <w:ilvl w:val="1"/>
          <w:numId w:val="19"/>
        </w:numPr>
        <w:topLinePunct/>
        <w:spacing w:before="187"/>
        <w:ind w:left="480" w:hanging="480" w:hangingChars="200"/>
        <w:rPr>
          <w:rFonts w:cs="Arial"/>
          <w:snapToGrid w:val="0"/>
          <w:kern w:val="0"/>
        </w:rPr>
      </w:pPr>
      <w:r>
        <w:rPr>
          <w:rFonts w:hint="eastAsia" w:cs="Arial"/>
          <w:snapToGrid w:val="0"/>
          <w:kern w:val="0"/>
        </w:rPr>
        <w:t>Kolata GB: Prenatal diagnosis of neutral tube defects. Science; 209: 1216-1218, 1980.</w:t>
      </w:r>
    </w:p>
    <w:p w14:paraId="53FD2C44">
      <w:pPr>
        <w:pStyle w:val="11"/>
        <w:numPr>
          <w:ilvl w:val="1"/>
          <w:numId w:val="19"/>
        </w:numPr>
        <w:topLinePunct/>
        <w:spacing w:before="187"/>
        <w:ind w:left="480" w:hanging="480" w:hangingChars="200"/>
        <w:rPr>
          <w:rFonts w:cs="Arial"/>
          <w:snapToGrid w:val="0"/>
          <w:kern w:val="0"/>
        </w:rPr>
      </w:pPr>
      <w:r>
        <w:rPr>
          <w:rFonts w:hint="eastAsia" w:cs="Arial"/>
          <w:snapToGrid w:val="0"/>
          <w:kern w:val="0"/>
        </w:rPr>
        <w:t>Proceeding, FDA/NICHHD National Conference on Maternal Serum AFP: Issue in the prenatal screening and diagnosis of neutral tube defects. July 1980, Washington, D.C., B Gastell, JE Haddow, JC Fletcher, A Neale (eds), U.S. Government Printing Office, 1980.</w:t>
      </w:r>
    </w:p>
    <w:p w14:paraId="674FADE5">
      <w:pPr>
        <w:pStyle w:val="11"/>
        <w:numPr>
          <w:ilvl w:val="1"/>
          <w:numId w:val="19"/>
        </w:numPr>
        <w:topLinePunct/>
        <w:spacing w:before="187"/>
        <w:ind w:left="480" w:hanging="480" w:hangingChars="200"/>
        <w:rPr>
          <w:rFonts w:cs="Arial"/>
          <w:snapToGrid w:val="0"/>
          <w:kern w:val="0"/>
        </w:rPr>
      </w:pPr>
      <w:r>
        <w:rPr>
          <w:rFonts w:hint="eastAsia" w:cs="Arial"/>
          <w:snapToGrid w:val="0"/>
          <w:kern w:val="0"/>
        </w:rPr>
        <w:t>Brock DJH, Barron, L. Jelen P, Watt M, Scrimgeour JB: Maternal serum alpha-fetoprotein measurements as an early indicator of low birth weight. Lancet; ii: 267, 1978.</w:t>
      </w:r>
    </w:p>
    <w:p w14:paraId="6902A208">
      <w:pPr>
        <w:pStyle w:val="11"/>
        <w:numPr>
          <w:ilvl w:val="1"/>
          <w:numId w:val="19"/>
        </w:numPr>
        <w:topLinePunct/>
        <w:spacing w:before="187"/>
        <w:ind w:left="480" w:hanging="480" w:hangingChars="200"/>
        <w:rPr>
          <w:rFonts w:cs="Arial"/>
          <w:snapToGrid w:val="0"/>
          <w:kern w:val="0"/>
        </w:rPr>
      </w:pPr>
      <w:r>
        <w:rPr>
          <w:rFonts w:hint="eastAsia" w:cs="Arial"/>
          <w:snapToGrid w:val="0"/>
          <w:kern w:val="0"/>
        </w:rPr>
        <w:t xml:space="preserve">Wald N, Cackle H, Stirrat GM, Bennett MJ, Turnbull AC: Maternal serum alpha-fetoprotein measurements as an early indictor of low </w:t>
      </w:r>
      <w:r>
        <w:rPr>
          <w:rFonts w:cs="Arial"/>
          <w:snapToGrid w:val="0"/>
          <w:kern w:val="0"/>
        </w:rPr>
        <w:t>birth</w:t>
      </w:r>
      <w:r>
        <w:rPr>
          <w:rFonts w:hint="eastAsia" w:cs="Arial"/>
          <w:snapToGrid w:val="0"/>
          <w:kern w:val="0"/>
        </w:rPr>
        <w:t xml:space="preserve"> weight. Lancet; i: 268-270, 1977.</w:t>
      </w:r>
    </w:p>
    <w:p w14:paraId="6229EB19">
      <w:pPr>
        <w:pStyle w:val="11"/>
        <w:numPr>
          <w:ilvl w:val="1"/>
          <w:numId w:val="19"/>
        </w:numPr>
        <w:topLinePunct/>
        <w:spacing w:before="187"/>
        <w:ind w:left="480" w:hanging="480" w:hangingChars="200"/>
        <w:rPr>
          <w:rFonts w:cs="Arial"/>
          <w:snapToGrid w:val="0"/>
          <w:kern w:val="0"/>
        </w:rPr>
      </w:pPr>
      <w:r>
        <w:rPr>
          <w:rFonts w:hint="eastAsia" w:cs="Arial"/>
          <w:snapToGrid w:val="0"/>
          <w:kern w:val="0"/>
        </w:rPr>
        <w:t>Macri JN, Weiss RR, Libster B, Cagen MA: Maternal serum alpha-fetoprotein and low birth weight. Lancet; i: 600, 1978.</w:t>
      </w:r>
    </w:p>
    <w:p w14:paraId="55872E62">
      <w:pPr>
        <w:pStyle w:val="11"/>
        <w:numPr>
          <w:ilvl w:val="1"/>
          <w:numId w:val="19"/>
        </w:numPr>
        <w:topLinePunct/>
        <w:spacing w:before="187"/>
        <w:ind w:left="480" w:hanging="480" w:hangingChars="200"/>
        <w:rPr>
          <w:rFonts w:cs="Arial"/>
          <w:snapToGrid w:val="0"/>
          <w:kern w:val="0"/>
        </w:rPr>
      </w:pPr>
      <w:r>
        <w:rPr>
          <w:rFonts w:hint="eastAsia" w:cs="Arial"/>
          <w:snapToGrid w:val="0"/>
          <w:kern w:val="0"/>
        </w:rPr>
        <w:t>Wald NJ, Cuckle H, Stirrat GM, Turnbull AG: Maternal serum alpha-fetoprotein and birth weight in twin pregnancies. Br J Obstet Gynecol; 85: 582-584, 1978.</w:t>
      </w:r>
    </w:p>
    <w:p w14:paraId="018F284E">
      <w:pPr>
        <w:pStyle w:val="11"/>
        <w:numPr>
          <w:ilvl w:val="1"/>
          <w:numId w:val="19"/>
        </w:numPr>
        <w:topLinePunct/>
        <w:spacing w:before="187"/>
        <w:ind w:left="480" w:hanging="480" w:hangingChars="200"/>
        <w:rPr>
          <w:rFonts w:cs="Arial"/>
          <w:snapToGrid w:val="0"/>
          <w:kern w:val="0"/>
        </w:rPr>
      </w:pPr>
      <w:r>
        <w:rPr>
          <w:rFonts w:hint="eastAsia" w:cs="Arial"/>
          <w:snapToGrid w:val="0"/>
          <w:kern w:val="0"/>
        </w:rPr>
        <w:t>Wald NJ, Cuckle H, Stirrat GM: Maternal serum alpha-fetoprotein levels in triplet and quadruple pregnancy. Br J Obstet Gynecol; 85: 124-126, 1978.</w:t>
      </w:r>
    </w:p>
    <w:p w14:paraId="7018DF50">
      <w:pPr>
        <w:pStyle w:val="11"/>
        <w:numPr>
          <w:ilvl w:val="1"/>
          <w:numId w:val="19"/>
        </w:numPr>
        <w:topLinePunct/>
        <w:spacing w:before="187"/>
        <w:ind w:left="480" w:hanging="480" w:hangingChars="200"/>
        <w:rPr>
          <w:rFonts w:cs="Arial"/>
          <w:snapToGrid w:val="0"/>
          <w:kern w:val="0"/>
        </w:rPr>
      </w:pPr>
      <w:r>
        <w:rPr>
          <w:rFonts w:hint="eastAsia" w:cs="Arial"/>
          <w:snapToGrid w:val="0"/>
          <w:kern w:val="0"/>
        </w:rPr>
        <w:t>National Committee for Clinical Laboratory Standards. Assessing the quality of radioimmunoassay systems; Revised Guideline. NCCLS document LA1-A. NCCLS, 771 East Lancaster Avenue, Villanova, Pennsylvania, 19085, 1992</w:t>
      </w:r>
    </w:p>
    <w:p w14:paraId="73C9B70B">
      <w:pPr>
        <w:pStyle w:val="11"/>
        <w:numPr>
          <w:ilvl w:val="1"/>
          <w:numId w:val="19"/>
        </w:numPr>
        <w:topLinePunct/>
        <w:spacing w:before="187"/>
        <w:ind w:left="480" w:hanging="480" w:hangingChars="200"/>
        <w:rPr>
          <w:rFonts w:cs="Arial"/>
          <w:snapToGrid w:val="0"/>
          <w:kern w:val="0"/>
        </w:rPr>
      </w:pPr>
      <w:r>
        <w:rPr>
          <w:rFonts w:hint="eastAsia" w:cs="Arial"/>
          <w:snapToGrid w:val="0"/>
          <w:kern w:val="0"/>
        </w:rPr>
        <w:t>Speicher CE, Smith JW: I</w:t>
      </w:r>
      <w:r>
        <w:rPr>
          <w:rFonts w:cs="Arial"/>
          <w:snapToGrid w:val="0"/>
          <w:kern w:val="0"/>
        </w:rPr>
        <w:t>n</w:t>
      </w:r>
      <w:r>
        <w:rPr>
          <w:rFonts w:hint="eastAsia" w:cs="Arial"/>
          <w:snapToGrid w:val="0"/>
          <w:kern w:val="0"/>
        </w:rPr>
        <w:t xml:space="preserve">terpretive reporting in </w:t>
      </w:r>
      <w:r>
        <w:rPr>
          <w:rFonts w:cs="Arial"/>
          <w:snapToGrid w:val="0"/>
          <w:kern w:val="0"/>
        </w:rPr>
        <w:t>clinical</w:t>
      </w:r>
      <w:r>
        <w:rPr>
          <w:rFonts w:hint="eastAsia" w:cs="Arial"/>
          <w:snapToGrid w:val="0"/>
          <w:kern w:val="0"/>
        </w:rPr>
        <w:t xml:space="preserve"> pathology. J Am Med Assoc; 23: 1556-1560, 1980.</w:t>
      </w:r>
    </w:p>
    <w:p w14:paraId="11E13B43">
      <w:pPr>
        <w:pStyle w:val="11"/>
        <w:numPr>
          <w:ilvl w:val="1"/>
          <w:numId w:val="19"/>
        </w:numPr>
        <w:topLinePunct/>
        <w:spacing w:before="187"/>
        <w:ind w:left="480" w:hanging="480" w:hangingChars="200"/>
        <w:rPr>
          <w:rFonts w:cs="Arial"/>
          <w:snapToGrid w:val="0"/>
          <w:kern w:val="0"/>
        </w:rPr>
      </w:pPr>
      <w:r>
        <w:rPr>
          <w:rFonts w:hint="eastAsia" w:cs="Arial"/>
          <w:snapToGrid w:val="0"/>
          <w:kern w:val="0"/>
        </w:rPr>
        <w:t xml:space="preserve">Lundberg, GD: The reporting of </w:t>
      </w:r>
      <w:r>
        <w:rPr>
          <w:rFonts w:cs="Arial"/>
          <w:snapToGrid w:val="0"/>
          <w:kern w:val="0"/>
        </w:rPr>
        <w:t>laboratory</w:t>
      </w:r>
      <w:r>
        <w:rPr>
          <w:rFonts w:hint="eastAsia" w:cs="Arial"/>
          <w:snapToGrid w:val="0"/>
          <w:kern w:val="0"/>
        </w:rPr>
        <w:t xml:space="preserve"> data interpretations: To omit or commit? J Am Med Assoc; 243: 1554-1555, 1980.</w:t>
      </w:r>
    </w:p>
    <w:p w14:paraId="27EB4917">
      <w:pPr>
        <w:pStyle w:val="11"/>
        <w:numPr>
          <w:ilvl w:val="1"/>
          <w:numId w:val="19"/>
        </w:numPr>
        <w:topLinePunct/>
        <w:spacing w:before="187"/>
        <w:ind w:left="480" w:hanging="480" w:hangingChars="200"/>
        <w:rPr>
          <w:rFonts w:cs="Arial"/>
          <w:snapToGrid w:val="0"/>
          <w:kern w:val="0"/>
        </w:rPr>
      </w:pPr>
      <w:r>
        <w:rPr>
          <w:rFonts w:hint="eastAsia" w:cs="Arial"/>
          <w:snapToGrid w:val="0"/>
          <w:kern w:val="0"/>
        </w:rPr>
        <w:t>Sohn D: The clinician-labortory connection, the vital link: Comments regarding the NCCLS proposed standard for clinical laboratory requisition forms. Ther Drug Monit; 1: 1979.</w:t>
      </w:r>
    </w:p>
    <w:p w14:paraId="08DE3B18">
      <w:pPr>
        <w:pStyle w:val="11"/>
        <w:numPr>
          <w:ilvl w:val="1"/>
          <w:numId w:val="19"/>
        </w:numPr>
        <w:topLinePunct/>
        <w:spacing w:before="187"/>
        <w:ind w:left="480" w:hanging="480" w:hangingChars="200"/>
        <w:rPr>
          <w:rFonts w:cs="Arial"/>
          <w:snapToGrid w:val="0"/>
          <w:kern w:val="0"/>
        </w:rPr>
      </w:pPr>
      <w:r>
        <w:rPr>
          <w:rFonts w:hint="eastAsia" w:cs="Arial"/>
          <w:snapToGrid w:val="0"/>
          <w:kern w:val="0"/>
        </w:rPr>
        <w:t>Pippenger CE: Editorial. THer Drug Monit; 1: 451-452, 1979.</w:t>
      </w:r>
    </w:p>
    <w:p w14:paraId="63D68576">
      <w:pPr>
        <w:pStyle w:val="11"/>
        <w:numPr>
          <w:ilvl w:val="1"/>
          <w:numId w:val="19"/>
        </w:numPr>
        <w:topLinePunct/>
        <w:spacing w:before="187"/>
        <w:ind w:left="480" w:hanging="480" w:hangingChars="200"/>
        <w:rPr>
          <w:rFonts w:cs="Arial"/>
          <w:snapToGrid w:val="0"/>
          <w:kern w:val="0"/>
        </w:rPr>
      </w:pPr>
      <w:r>
        <w:rPr>
          <w:rFonts w:hint="eastAsia" w:cs="Arial"/>
          <w:snapToGrid w:val="0"/>
          <w:kern w:val="0"/>
        </w:rPr>
        <w:t>Galen RS, Gambino SR: Beyond normality: The predictive value and efficiency of medical diagnosis. John Wiley and Sons, New York, 1975.</w:t>
      </w:r>
    </w:p>
    <w:p w14:paraId="0AFB05FA">
      <w:pPr>
        <w:pStyle w:val="11"/>
        <w:numPr>
          <w:ilvl w:val="1"/>
          <w:numId w:val="19"/>
        </w:numPr>
        <w:topLinePunct/>
        <w:spacing w:before="187"/>
        <w:ind w:left="480" w:hanging="480" w:hangingChars="200"/>
        <w:rPr>
          <w:rFonts w:cs="Arial"/>
          <w:snapToGrid w:val="0"/>
          <w:kern w:val="0"/>
        </w:rPr>
      </w:pPr>
      <w:r>
        <w:rPr>
          <w:rFonts w:hint="eastAsia" w:cs="Arial"/>
          <w:snapToGrid w:val="0"/>
          <w:kern w:val="0"/>
        </w:rPr>
        <w:t>Sizaret P, Breslow N, Anderson, SG, and twelve other participants: Collaborative study of a preparation of human cord serum for use as a reference in the assay of alpha-fetoprorein.. J Biol Stand; 3: 201-223, 1975.</w:t>
      </w:r>
    </w:p>
    <w:p w14:paraId="322982ED">
      <w:pPr>
        <w:pStyle w:val="11"/>
        <w:numPr>
          <w:ilvl w:val="1"/>
          <w:numId w:val="19"/>
        </w:numPr>
        <w:topLinePunct/>
        <w:spacing w:before="187"/>
        <w:ind w:left="480" w:hanging="480" w:hangingChars="200"/>
        <w:rPr>
          <w:rFonts w:cs="Arial"/>
          <w:snapToGrid w:val="0"/>
          <w:kern w:val="0"/>
        </w:rPr>
      </w:pPr>
      <w:r>
        <w:rPr>
          <w:rFonts w:hint="eastAsia" w:cs="Arial"/>
          <w:snapToGrid w:val="0"/>
          <w:kern w:val="0"/>
        </w:rPr>
        <w:t>Reimer CB, Smith J, Wells TW: The U.S. National Reference Preparation for Alpha-fetoprotein in Mid-Pregnancy Serum. Clin Chem; 28: 709-716, 1982.</w:t>
      </w:r>
    </w:p>
    <w:p w14:paraId="6058B987">
      <w:pPr>
        <w:pStyle w:val="11"/>
        <w:numPr>
          <w:ilvl w:val="1"/>
          <w:numId w:val="19"/>
        </w:numPr>
        <w:topLinePunct/>
        <w:spacing w:before="187"/>
        <w:ind w:left="480" w:hanging="480" w:hangingChars="200"/>
        <w:rPr>
          <w:rFonts w:cs="Arial"/>
          <w:snapToGrid w:val="0"/>
          <w:kern w:val="0"/>
        </w:rPr>
      </w:pPr>
      <w:r>
        <w:rPr>
          <w:rFonts w:hint="eastAsia" w:cs="Arial"/>
          <w:snapToGrid w:val="0"/>
          <w:kern w:val="0"/>
        </w:rPr>
        <w:t>Sizaret P, Anderson SG: The international reference preparation for alpha-fetoprotein. J Biol Stand; 4: 149, 1979.</w:t>
      </w:r>
    </w:p>
    <w:p w14:paraId="638FC263">
      <w:pPr>
        <w:pStyle w:val="11"/>
        <w:numPr>
          <w:ilvl w:val="1"/>
          <w:numId w:val="19"/>
        </w:numPr>
        <w:topLinePunct/>
        <w:spacing w:before="187"/>
        <w:ind w:left="480" w:hanging="480" w:hangingChars="200"/>
        <w:rPr>
          <w:rFonts w:cs="Arial"/>
          <w:snapToGrid w:val="0"/>
          <w:kern w:val="0"/>
        </w:rPr>
      </w:pPr>
      <w:r>
        <w:rPr>
          <w:rFonts w:hint="eastAsia" w:cs="Arial"/>
          <w:snapToGrid w:val="0"/>
          <w:kern w:val="0"/>
        </w:rPr>
        <w:t>Muenz LR, Sizaret P, Bernard C, et al: Results of the second international study on the WHO alpha-fetoprotein standard. J Biol stand; 6: 187-199, 1978.</w:t>
      </w:r>
    </w:p>
    <w:p w14:paraId="4691C3CD">
      <w:pPr>
        <w:pStyle w:val="11"/>
        <w:numPr>
          <w:ilvl w:val="1"/>
          <w:numId w:val="19"/>
        </w:numPr>
        <w:topLinePunct/>
        <w:spacing w:before="187"/>
        <w:ind w:left="480" w:hanging="480" w:hangingChars="200"/>
        <w:rPr>
          <w:rFonts w:cs="Arial"/>
          <w:snapToGrid w:val="0"/>
          <w:kern w:val="0"/>
        </w:rPr>
      </w:pPr>
      <w:r>
        <w:rPr>
          <w:rFonts w:hint="eastAsia" w:cs="Arial"/>
          <w:snapToGrid w:val="0"/>
          <w:kern w:val="0"/>
        </w:rPr>
        <w:t>NCCL Approved Standard: C2-A. Calibration, reference materials and control materials in clinical chemistry. National Committee for Clinical Laboratory Standards, Villanova, Penn. 19085, 1974.</w:t>
      </w:r>
    </w:p>
    <w:p w14:paraId="14BED2C1">
      <w:pPr>
        <w:pStyle w:val="11"/>
        <w:numPr>
          <w:ilvl w:val="1"/>
          <w:numId w:val="19"/>
        </w:numPr>
        <w:topLinePunct/>
        <w:spacing w:before="187"/>
        <w:ind w:left="480" w:hanging="480" w:hangingChars="200"/>
        <w:rPr>
          <w:rFonts w:cs="Arial"/>
          <w:snapToGrid w:val="0"/>
          <w:kern w:val="0"/>
        </w:rPr>
      </w:pPr>
      <w:r>
        <w:rPr>
          <w:rFonts w:hint="eastAsia" w:cs="Arial"/>
          <w:snapToGrid w:val="0"/>
          <w:kern w:val="0"/>
        </w:rPr>
        <w:t>Wald NJ, Cuckle H, Boreham J, Stirrat G: Small biparietal diameter of fetuses with spina bifida: Implications for antenatal screening. Br J Obstet Gynecol; 87: 20-21, 1980.</w:t>
      </w:r>
    </w:p>
    <w:p w14:paraId="7DDEF5AA">
      <w:pPr>
        <w:pStyle w:val="11"/>
        <w:numPr>
          <w:ilvl w:val="1"/>
          <w:numId w:val="19"/>
        </w:numPr>
        <w:topLinePunct/>
        <w:spacing w:before="187"/>
        <w:ind w:left="480" w:hanging="480" w:hangingChars="200"/>
        <w:rPr>
          <w:rFonts w:cs="Arial"/>
          <w:snapToGrid w:val="0"/>
          <w:kern w:val="0"/>
        </w:rPr>
      </w:pPr>
      <w:r>
        <w:rPr>
          <w:rFonts w:hint="eastAsia" w:cs="Arial"/>
          <w:snapToGrid w:val="0"/>
          <w:kern w:val="0"/>
        </w:rPr>
        <w:t>Weiss RR, Macri JN, ELligers KW: Origin of amniotic fluid alpha-fetoprotein in normal and defective pregnancies. Obstet Gynecol; 47: 69 1976.</w:t>
      </w:r>
    </w:p>
    <w:p w14:paraId="2BB74F8B">
      <w:pPr>
        <w:pStyle w:val="11"/>
        <w:numPr>
          <w:ilvl w:val="1"/>
          <w:numId w:val="19"/>
        </w:numPr>
        <w:topLinePunct/>
        <w:spacing w:before="187"/>
        <w:ind w:left="480" w:hanging="480" w:hangingChars="200"/>
        <w:rPr>
          <w:rFonts w:cs="Arial"/>
          <w:snapToGrid w:val="0"/>
          <w:kern w:val="0"/>
        </w:rPr>
      </w:pPr>
      <w:r>
        <w:rPr>
          <w:rFonts w:hint="eastAsia" w:cs="Arial"/>
          <w:snapToGrid w:val="0"/>
          <w:kern w:val="0"/>
        </w:rPr>
        <w:t>Hook EB: Down syndrome frequency in human populations and factors pertinent to variations in rates. Trisomy 21 (Down Syndrome); Research Perspectives of the National Institute of Child Health and Human Development. DeLaCruz FF, Gerald PS (eds.). Baltimore, University Park Press, 1980.</w:t>
      </w:r>
    </w:p>
    <w:p w14:paraId="268E33A0">
      <w:pPr>
        <w:pStyle w:val="11"/>
        <w:numPr>
          <w:ilvl w:val="1"/>
          <w:numId w:val="19"/>
        </w:numPr>
        <w:topLinePunct/>
        <w:spacing w:before="187"/>
        <w:ind w:left="480" w:hanging="480" w:hangingChars="200"/>
        <w:rPr>
          <w:rFonts w:cs="Arial"/>
          <w:snapToGrid w:val="0"/>
          <w:kern w:val="0"/>
        </w:rPr>
      </w:pPr>
      <w:r>
        <w:rPr>
          <w:rFonts w:hint="eastAsia" w:cs="Arial"/>
          <w:snapToGrid w:val="0"/>
          <w:kern w:val="0"/>
        </w:rPr>
        <w:t>Kjessler B, Johansson SG, Lidbjork G, Sherman MS: Alpha-fetoprotein (AFP) in early pregnancy. Acta Obstet Gynecol Scand Suppl; 69: 1-94, 1977.</w:t>
      </w:r>
    </w:p>
    <w:p w14:paraId="66B0C59C">
      <w:pPr>
        <w:pStyle w:val="11"/>
        <w:numPr>
          <w:ilvl w:val="1"/>
          <w:numId w:val="19"/>
        </w:numPr>
        <w:topLinePunct/>
        <w:spacing w:before="187"/>
        <w:ind w:left="480" w:hanging="480" w:hangingChars="200"/>
        <w:rPr>
          <w:rFonts w:cs="Arial"/>
          <w:snapToGrid w:val="0"/>
          <w:kern w:val="0"/>
        </w:rPr>
      </w:pPr>
      <w:r>
        <w:rPr>
          <w:rFonts w:hint="eastAsia" w:cs="Arial"/>
          <w:snapToGrid w:val="0"/>
          <w:kern w:val="0"/>
        </w:rPr>
        <w:t>Wald NJ, Cuckle HS, Haddow JE: Should ultrasound be used to estimate gestational age in the screening and antenatal diagnosis of open tube defects in early pregnancy? Lancet; ii: 690, 1980.</w:t>
      </w:r>
    </w:p>
    <w:p w14:paraId="3C1BDBDF">
      <w:pPr>
        <w:pStyle w:val="11"/>
        <w:numPr>
          <w:ilvl w:val="1"/>
          <w:numId w:val="19"/>
        </w:numPr>
        <w:topLinePunct/>
        <w:spacing w:before="187"/>
        <w:ind w:left="480" w:hanging="480" w:hangingChars="200"/>
        <w:rPr>
          <w:rFonts w:cs="Arial"/>
          <w:snapToGrid w:val="0"/>
          <w:kern w:val="0"/>
        </w:rPr>
      </w:pPr>
      <w:r>
        <w:rPr>
          <w:rFonts w:hint="eastAsia" w:cs="Arial"/>
          <w:snapToGrid w:val="0"/>
          <w:kern w:val="0"/>
        </w:rPr>
        <w:t>Smith AD, Wald NJ, Cuckle HS, Stirrat GM, Bobrow M, Bagercrantz H: Aminotic F</w:t>
      </w:r>
      <w:r>
        <w:rPr>
          <w:rFonts w:cs="Arial"/>
          <w:snapToGrid w:val="0"/>
          <w:kern w:val="0"/>
        </w:rPr>
        <w:t>l</w:t>
      </w:r>
      <w:r>
        <w:rPr>
          <w:rFonts w:hint="eastAsia" w:cs="Arial"/>
          <w:snapToGrid w:val="0"/>
          <w:kern w:val="0"/>
        </w:rPr>
        <w:t>uid acetylcholinesterase as a possible diagnositic test for neutal tube defects in early pregnancy. Lancet; i: 684-688, 1979.</w:t>
      </w:r>
    </w:p>
    <w:p w14:paraId="24FDD005">
      <w:pPr>
        <w:pStyle w:val="11"/>
        <w:numPr>
          <w:ilvl w:val="1"/>
          <w:numId w:val="19"/>
        </w:numPr>
        <w:topLinePunct/>
        <w:spacing w:before="187"/>
        <w:ind w:left="480" w:hanging="480" w:hangingChars="200"/>
        <w:rPr>
          <w:rFonts w:cs="Arial"/>
          <w:snapToGrid w:val="0"/>
          <w:kern w:val="0"/>
        </w:rPr>
      </w:pPr>
      <w:r>
        <w:rPr>
          <w:rFonts w:hint="eastAsia" w:cs="Arial"/>
          <w:snapToGrid w:val="0"/>
          <w:kern w:val="0"/>
        </w:rPr>
        <w:t>Amniotic Fluid Acetylcholinesterase Measurement in the Prenatal Diagnosis of ONTD. Second Report of the Collaborative Acetylcholinesterase Study. Prenat Diagn; 9: 813-829, 1989.</w:t>
      </w:r>
    </w:p>
    <w:p w14:paraId="222ABF1C">
      <w:pPr>
        <w:pStyle w:val="11"/>
        <w:numPr>
          <w:ilvl w:val="1"/>
          <w:numId w:val="19"/>
        </w:numPr>
        <w:topLinePunct/>
        <w:spacing w:before="187"/>
        <w:ind w:left="480" w:hanging="480" w:hangingChars="200"/>
        <w:rPr>
          <w:rFonts w:cs="Arial"/>
          <w:snapToGrid w:val="0"/>
          <w:kern w:val="0"/>
        </w:rPr>
      </w:pPr>
      <w:r>
        <w:rPr>
          <w:rFonts w:hint="eastAsia" w:cs="Arial"/>
          <w:snapToGrid w:val="0"/>
          <w:kern w:val="0"/>
        </w:rPr>
        <w:t xml:space="preserve">21 CFR Parts 16, 20, 899 [Docket No. 80N-0002]. FEDERAL RESIGSTER Vol. 45, No. 218, Friday, November 7, 1980, Proposed Rules, AFP Test Kits; Proposed Restrictions and Proposed </w:t>
      </w:r>
      <w:r>
        <w:rPr>
          <w:rFonts w:cs="Arial"/>
          <w:snapToGrid w:val="0"/>
          <w:kern w:val="0"/>
        </w:rPr>
        <w:t>Additional</w:t>
      </w:r>
      <w:r>
        <w:rPr>
          <w:rFonts w:hint="eastAsia" w:cs="Arial"/>
          <w:snapToGrid w:val="0"/>
          <w:kern w:val="0"/>
        </w:rPr>
        <w:t xml:space="preserve"> Quality Control and Testing Requirements. Testing Protocol and Genetic Counseling Flow Chart, page 74167.</w:t>
      </w:r>
    </w:p>
    <w:p w14:paraId="333D9C67">
      <w:pPr>
        <w:pStyle w:val="11"/>
        <w:numPr>
          <w:ilvl w:val="1"/>
          <w:numId w:val="19"/>
        </w:numPr>
        <w:topLinePunct/>
        <w:spacing w:before="187"/>
        <w:ind w:left="480" w:hanging="480" w:hangingChars="200"/>
        <w:rPr>
          <w:rFonts w:cs="Arial"/>
          <w:snapToGrid w:val="0"/>
          <w:kern w:val="0"/>
        </w:rPr>
      </w:pPr>
      <w:r>
        <w:rPr>
          <w:rFonts w:hint="eastAsia" w:cs="Arial"/>
          <w:snapToGrid w:val="0"/>
          <w:kern w:val="0"/>
        </w:rPr>
        <w:t>21 CFR Parts 16, 20, 899 [Docket No. 80N-0002]. PEDERAL REGISTER Vol. 48, No.118, Friday, June 17, 1983, Alpha-Fetoprotein Test Kits; Withdrawal of Proposed Rule. Quality Control, page 27781.</w:t>
      </w:r>
    </w:p>
    <w:p w14:paraId="71AA933B">
      <w:pPr>
        <w:pStyle w:val="11"/>
        <w:numPr>
          <w:ilvl w:val="1"/>
          <w:numId w:val="19"/>
        </w:numPr>
        <w:topLinePunct/>
        <w:spacing w:before="187"/>
        <w:ind w:left="480" w:hanging="480" w:hangingChars="200"/>
        <w:rPr>
          <w:rFonts w:cs="Arial"/>
          <w:snapToGrid w:val="0"/>
          <w:kern w:val="0"/>
        </w:rPr>
      </w:pPr>
      <w:r>
        <w:rPr>
          <w:rFonts w:hint="eastAsia" w:cs="Arial"/>
          <w:snapToGrid w:val="0"/>
          <w:kern w:val="0"/>
        </w:rPr>
        <w:t>Haddow, JE and Milunsky, A: Deregulation of Screening for Alpha-fetoprotein in Pregnancy. N Eng J Med; 310: 1669, 1984.</w:t>
      </w:r>
    </w:p>
    <w:p w14:paraId="52880433">
      <w:pPr>
        <w:pStyle w:val="11"/>
        <w:numPr>
          <w:ilvl w:val="1"/>
          <w:numId w:val="19"/>
        </w:numPr>
        <w:topLinePunct/>
        <w:spacing w:before="187"/>
        <w:ind w:left="480" w:hanging="480" w:hangingChars="200"/>
        <w:rPr>
          <w:rFonts w:cs="Arial"/>
          <w:snapToGrid w:val="0"/>
          <w:kern w:val="0"/>
        </w:rPr>
      </w:pPr>
      <w:r>
        <w:rPr>
          <w:rFonts w:hint="eastAsia" w:cs="Arial"/>
          <w:snapToGrid w:val="0"/>
          <w:kern w:val="0"/>
        </w:rPr>
        <w:t xml:space="preserve">Burton, BK, Dillard, RG, Clark, RN: The psychological </w:t>
      </w:r>
      <w:r>
        <w:rPr>
          <w:rFonts w:cs="Arial"/>
          <w:snapToGrid w:val="0"/>
          <w:kern w:val="0"/>
        </w:rPr>
        <w:t>impact</w:t>
      </w:r>
      <w:r>
        <w:rPr>
          <w:rFonts w:hint="eastAsia" w:cs="Arial"/>
          <w:snapToGrid w:val="0"/>
          <w:kern w:val="0"/>
        </w:rPr>
        <w:t xml:space="preserve"> of false positive elevations of maternal serum alpha-fetoprotein. Am J Obstet Gynecol; 151: 77-82, 1985.</w:t>
      </w:r>
    </w:p>
    <w:p w14:paraId="033F6FE7">
      <w:pPr>
        <w:pStyle w:val="11"/>
        <w:numPr>
          <w:ilvl w:val="1"/>
          <w:numId w:val="19"/>
        </w:numPr>
        <w:topLinePunct/>
        <w:spacing w:before="187"/>
        <w:ind w:left="480" w:hanging="480" w:hangingChars="200"/>
        <w:rPr>
          <w:rFonts w:cs="Arial"/>
          <w:snapToGrid w:val="0"/>
          <w:kern w:val="0"/>
        </w:rPr>
      </w:pPr>
      <w:r>
        <w:rPr>
          <w:rFonts w:hint="eastAsia" w:cs="Arial"/>
          <w:snapToGrid w:val="0"/>
          <w:kern w:val="0"/>
        </w:rPr>
        <w:t>Vadlamudi, SK, Fugate, KJ, Appell, RN and Dierksheide, WD: AFP Testing Protocol Questioned. Letter to Editor: Clinical Chemistry News; 12: no. 9, September 1986.</w:t>
      </w:r>
    </w:p>
    <w:p w14:paraId="6101F2DD">
      <w:pPr>
        <w:pStyle w:val="11"/>
        <w:numPr>
          <w:ilvl w:val="1"/>
          <w:numId w:val="19"/>
        </w:numPr>
        <w:topLinePunct/>
        <w:spacing w:before="187"/>
        <w:ind w:left="480" w:hanging="480" w:hangingChars="200"/>
        <w:rPr>
          <w:rFonts w:cs="Arial"/>
          <w:snapToGrid w:val="0"/>
          <w:kern w:val="0"/>
        </w:rPr>
      </w:pPr>
      <w:r>
        <w:rPr>
          <w:rFonts w:hint="eastAsia" w:cs="Arial"/>
          <w:snapToGrid w:val="0"/>
          <w:kern w:val="0"/>
        </w:rPr>
        <w:t>The Quality Control of AFP Reagent and Assay for the Antenatal Screening and Diagnosis of Open Neural-T</w:t>
      </w:r>
      <w:r>
        <w:rPr>
          <w:rFonts w:cs="Arial"/>
          <w:snapToGrid w:val="0"/>
          <w:kern w:val="0"/>
        </w:rPr>
        <w:t>u</w:t>
      </w:r>
      <w:r>
        <w:rPr>
          <w:rFonts w:hint="eastAsia" w:cs="Arial"/>
          <w:snapToGrid w:val="0"/>
          <w:kern w:val="0"/>
        </w:rPr>
        <w:t>be Defects: Report of a (1978) Workshop Sponsored by the U.S. National Institute of Child Health and Human Development, Bethesda, MD. Clin CHim Acta; 105: 9-24.</w:t>
      </w:r>
    </w:p>
    <w:p w14:paraId="01AD0CA3">
      <w:pPr>
        <w:pStyle w:val="11"/>
        <w:numPr>
          <w:ilvl w:val="1"/>
          <w:numId w:val="19"/>
        </w:numPr>
        <w:topLinePunct/>
        <w:spacing w:before="187"/>
        <w:ind w:left="480" w:hanging="480" w:hangingChars="200"/>
        <w:rPr>
          <w:rFonts w:cs="Arial"/>
          <w:snapToGrid w:val="0"/>
          <w:kern w:val="0"/>
        </w:rPr>
      </w:pPr>
      <w:r>
        <w:rPr>
          <w:rFonts w:hint="eastAsia" w:cs="Arial"/>
          <w:snapToGrid w:val="0"/>
          <w:kern w:val="0"/>
        </w:rPr>
        <w:t xml:space="preserve">Kallner A, Magid E, and Albert A., eds. Improvement of comparability and compatibility of </w:t>
      </w:r>
      <w:r>
        <w:rPr>
          <w:rFonts w:cs="Arial"/>
          <w:snapToGrid w:val="0"/>
          <w:kern w:val="0"/>
        </w:rPr>
        <w:t>laboratory</w:t>
      </w:r>
      <w:r>
        <w:rPr>
          <w:rFonts w:hint="eastAsia" w:cs="Arial"/>
          <w:snapToGrid w:val="0"/>
          <w:kern w:val="0"/>
        </w:rPr>
        <w:t xml:space="preserve"> assay results in life sciences. Vadlamudi, et al., Third Bergmeyer Conference on Immunoassay Standardization; Lenggeries, Germany, Scan J Clin Lab Invest; 51: (Suppl 205): 1-143, 1990.</w:t>
      </w:r>
    </w:p>
    <w:p w14:paraId="73CA60CA">
      <w:pPr>
        <w:pStyle w:val="11"/>
        <w:numPr>
          <w:ilvl w:val="1"/>
          <w:numId w:val="19"/>
        </w:numPr>
        <w:topLinePunct/>
        <w:spacing w:before="187"/>
        <w:ind w:left="480" w:hanging="480" w:hangingChars="200"/>
        <w:rPr>
          <w:rFonts w:cs="Arial"/>
          <w:snapToGrid w:val="0"/>
          <w:kern w:val="0"/>
        </w:rPr>
      </w:pPr>
      <w:r>
        <w:rPr>
          <w:rFonts w:hint="eastAsia" w:cs="Arial"/>
          <w:snapToGrid w:val="0"/>
          <w:kern w:val="0"/>
        </w:rPr>
        <w:t xml:space="preserve">Noorgaard-Pedersen B, Toftager-Larsen JP, Hindersson P: Concanavalin-A reactivity pattern of human aminotic fluid AFP examined by </w:t>
      </w:r>
      <w:r>
        <w:rPr>
          <w:rFonts w:cs="Arial"/>
          <w:snapToGrid w:val="0"/>
          <w:kern w:val="0"/>
        </w:rPr>
        <w:t>crossed</w:t>
      </w:r>
      <w:r>
        <w:rPr>
          <w:rFonts w:hint="eastAsia" w:cs="Arial"/>
          <w:snapToGrid w:val="0"/>
          <w:kern w:val="0"/>
        </w:rPr>
        <w:t xml:space="preserve"> affino-immunoelectrophoresis: A 17: 1-8, 1980.</w:t>
      </w:r>
    </w:p>
    <w:p w14:paraId="28365B05">
      <w:pPr>
        <w:pStyle w:val="11"/>
        <w:numPr>
          <w:ilvl w:val="1"/>
          <w:numId w:val="19"/>
        </w:numPr>
        <w:topLinePunct/>
        <w:spacing w:before="187"/>
        <w:ind w:left="480" w:hanging="480" w:hangingChars="200"/>
        <w:rPr>
          <w:rFonts w:cs="Arial"/>
          <w:snapToGrid w:val="0"/>
          <w:kern w:val="0"/>
        </w:rPr>
      </w:pPr>
      <w:r>
        <w:rPr>
          <w:rFonts w:hint="eastAsia" w:cs="Arial"/>
          <w:snapToGrid w:val="0"/>
          <w:kern w:val="0"/>
        </w:rPr>
        <w:t>Ganrot PO: Crossed immunoelectrophoresis. Scand J Clin Lab Invest; 29: 39-47, 1972</w:t>
      </w:r>
    </w:p>
    <w:p w14:paraId="7810F293">
      <w:pPr>
        <w:pStyle w:val="11"/>
        <w:numPr>
          <w:ilvl w:val="1"/>
          <w:numId w:val="19"/>
        </w:numPr>
        <w:topLinePunct/>
        <w:spacing w:before="187"/>
        <w:ind w:left="480" w:hanging="480" w:hangingChars="200"/>
        <w:rPr>
          <w:rFonts w:cs="Arial"/>
          <w:snapToGrid w:val="0"/>
          <w:kern w:val="0"/>
        </w:rPr>
      </w:pPr>
      <w:r>
        <w:rPr>
          <w:rFonts w:hint="eastAsia" w:cs="Arial"/>
          <w:snapToGrid w:val="0"/>
          <w:kern w:val="0"/>
        </w:rPr>
        <w:t>Dyer SN, Burton BK, Nelson LH: Elevated maternal serum AFP levels and oligohydramnios: poor prognosis for pregnancy outcome. Am J Obstet Gynecol; 31 (2): 336-369, 1987.</w:t>
      </w:r>
    </w:p>
    <w:p w14:paraId="47B6C8DA">
      <w:pPr>
        <w:pStyle w:val="11"/>
        <w:numPr>
          <w:ilvl w:val="1"/>
          <w:numId w:val="19"/>
        </w:numPr>
        <w:topLinePunct/>
        <w:spacing w:before="187"/>
        <w:ind w:left="480" w:hanging="480" w:hangingChars="200"/>
        <w:rPr>
          <w:rFonts w:cs="Arial"/>
          <w:snapToGrid w:val="0"/>
          <w:kern w:val="0"/>
        </w:rPr>
      </w:pPr>
      <w:r>
        <w:rPr>
          <w:rFonts w:hint="eastAsia" w:cs="Arial"/>
          <w:snapToGrid w:val="0"/>
          <w:kern w:val="0"/>
        </w:rPr>
        <w:t>Haddow JE, Knight CJ, Kloza EM, Palomaki G: AFP, vaginal bleeding, and pregnancy risk. Br J Obstet GYnoecol; 93: 589-593, 1986.</w:t>
      </w:r>
    </w:p>
    <w:p w14:paraId="44323E89">
      <w:pPr>
        <w:pStyle w:val="11"/>
        <w:numPr>
          <w:ilvl w:val="1"/>
          <w:numId w:val="19"/>
        </w:numPr>
        <w:topLinePunct/>
        <w:spacing w:before="187"/>
        <w:ind w:left="480" w:hanging="480" w:hangingChars="200"/>
        <w:rPr>
          <w:rFonts w:cs="Arial"/>
          <w:snapToGrid w:val="0"/>
          <w:kern w:val="0"/>
        </w:rPr>
      </w:pPr>
      <w:r>
        <w:rPr>
          <w:rFonts w:hint="eastAsia" w:cs="Arial"/>
          <w:snapToGrid w:val="0"/>
          <w:kern w:val="0"/>
        </w:rPr>
        <w:t>Burton BK: Elevated maternal serum AFP (MSAFP) interpretation and follow-up. Clin Obstet Gunecol; 31 (2): 293-305; 1988.</w:t>
      </w:r>
    </w:p>
    <w:p w14:paraId="1B4A1551">
      <w:pPr>
        <w:pStyle w:val="11"/>
        <w:numPr>
          <w:ilvl w:val="1"/>
          <w:numId w:val="19"/>
        </w:numPr>
        <w:topLinePunct/>
        <w:spacing w:before="187"/>
        <w:ind w:left="480" w:hanging="480" w:hangingChars="200"/>
        <w:rPr>
          <w:rFonts w:cs="Arial"/>
          <w:snapToGrid w:val="0"/>
          <w:kern w:val="0"/>
        </w:rPr>
      </w:pPr>
      <w:r>
        <w:rPr>
          <w:rFonts w:hint="eastAsia" w:cs="Arial"/>
          <w:snapToGrid w:val="0"/>
          <w:kern w:val="0"/>
        </w:rPr>
        <w:t>Cowan LS, Phelps-Sandall B, Hanson FW, Peterson AG, Tennant L: Prenatal diagnostic center</w:t>
      </w:r>
      <w:r>
        <w:rPr>
          <w:rFonts w:cs="Arial"/>
          <w:snapToGrid w:val="0"/>
          <w:kern w:val="0"/>
        </w:rPr>
        <w:t>’</w:t>
      </w:r>
      <w:r>
        <w:rPr>
          <w:rFonts w:hint="eastAsia" w:cs="Arial"/>
          <w:snapToGrid w:val="0"/>
          <w:kern w:val="0"/>
        </w:rPr>
        <w:t>s first year experience with the California AFP screening program. Am J Obstet Gynecol; 160: 1496-1504, 1989.</w:t>
      </w:r>
    </w:p>
    <w:p w14:paraId="505DC869">
      <w:pPr>
        <w:pStyle w:val="11"/>
        <w:numPr>
          <w:ilvl w:val="1"/>
          <w:numId w:val="19"/>
        </w:numPr>
        <w:topLinePunct/>
        <w:spacing w:before="187"/>
        <w:ind w:left="480" w:hanging="480" w:hangingChars="200"/>
        <w:rPr>
          <w:rFonts w:cs="Arial"/>
          <w:snapToGrid w:val="0"/>
          <w:kern w:val="0"/>
        </w:rPr>
      </w:pPr>
      <w:r>
        <w:rPr>
          <w:rFonts w:hint="eastAsia" w:cs="Arial"/>
          <w:snapToGrid w:val="0"/>
          <w:kern w:val="0"/>
        </w:rPr>
        <w:t>Palomaki GE, Hill LE, Knight GJ, Haddow JE, Carpenter M: Second trimester maternal serum AFP levels in pregnancies associated with gastroschisis and omphalocele. Obstet Gynecol; 71: 906-909, 1988.</w:t>
      </w:r>
    </w:p>
    <w:p w14:paraId="4F4DF019">
      <w:pPr>
        <w:pStyle w:val="11"/>
        <w:numPr>
          <w:ilvl w:val="1"/>
          <w:numId w:val="19"/>
        </w:numPr>
        <w:topLinePunct/>
        <w:spacing w:before="187"/>
        <w:ind w:left="480" w:hanging="480" w:hangingChars="200"/>
        <w:rPr>
          <w:rFonts w:cs="Arial"/>
          <w:snapToGrid w:val="0"/>
          <w:kern w:val="0"/>
        </w:rPr>
      </w:pPr>
      <w:r>
        <w:rPr>
          <w:rFonts w:hint="eastAsia" w:cs="Arial"/>
          <w:snapToGrid w:val="0"/>
          <w:kern w:val="0"/>
        </w:rPr>
        <w:t>Bock JL: Current issues in maternal serum AFP screening. Am J Clin Pathol; 97: 541-554, 1992.</w:t>
      </w:r>
    </w:p>
    <w:p w14:paraId="78EE1083">
      <w:pPr>
        <w:pStyle w:val="11"/>
        <w:numPr>
          <w:ilvl w:val="1"/>
          <w:numId w:val="19"/>
        </w:numPr>
        <w:topLinePunct/>
        <w:spacing w:before="187"/>
        <w:ind w:left="480" w:hanging="480" w:hangingChars="200"/>
        <w:rPr>
          <w:rFonts w:cs="Arial"/>
          <w:snapToGrid w:val="0"/>
          <w:kern w:val="0"/>
        </w:rPr>
      </w:pPr>
      <w:r>
        <w:rPr>
          <w:rFonts w:hint="eastAsia" w:cs="Arial"/>
          <w:snapToGrid w:val="0"/>
          <w:kern w:val="0"/>
        </w:rPr>
        <w:t>Vadlamudi SK, Stewart WD, Fugate KJ, Tsakeris TM: Performance characteristics for an immunoassay. Scand J Clin Lab Invest; 51: 134-138, 1991.</w:t>
      </w:r>
    </w:p>
    <w:p w14:paraId="11D8D0D2">
      <w:pPr>
        <w:pStyle w:val="11"/>
        <w:numPr>
          <w:ilvl w:val="1"/>
          <w:numId w:val="19"/>
        </w:numPr>
        <w:topLinePunct/>
        <w:spacing w:before="187"/>
        <w:ind w:left="480" w:hanging="480" w:hangingChars="200"/>
        <w:rPr>
          <w:rFonts w:cs="Arial"/>
          <w:snapToGrid w:val="0"/>
          <w:kern w:val="0"/>
        </w:rPr>
      </w:pPr>
      <w:r>
        <w:rPr>
          <w:rFonts w:hint="eastAsia" w:cs="Arial"/>
          <w:snapToGrid w:val="0"/>
          <w:kern w:val="0"/>
        </w:rPr>
        <w:t>Peters T, Westgard JO: Evaluation of methods, chapter 7 in: Tietz NW, editor. Fundamentals of clinical chemistry, Third Edition, Philadelphia: Sanders. 225-37, 1987.</w:t>
      </w:r>
    </w:p>
    <w:p w14:paraId="03B38710">
      <w:pPr>
        <w:pStyle w:val="11"/>
        <w:numPr>
          <w:ilvl w:val="1"/>
          <w:numId w:val="19"/>
        </w:numPr>
        <w:topLinePunct/>
        <w:spacing w:before="187"/>
        <w:ind w:left="480" w:hanging="480" w:hangingChars="200"/>
        <w:rPr>
          <w:rFonts w:cs="Arial"/>
          <w:snapToGrid w:val="0"/>
          <w:kern w:val="0"/>
        </w:rPr>
      </w:pPr>
      <w:r>
        <w:rPr>
          <w:rFonts w:hint="eastAsia" w:cs="Arial"/>
          <w:snapToGrid w:val="0"/>
          <w:kern w:val="0"/>
        </w:rPr>
        <w:t xml:space="preserve">National committee for Clinical Laboratory Standards. Evaluation of the linearity of quantitative </w:t>
      </w:r>
      <w:r>
        <w:rPr>
          <w:rFonts w:cs="Arial"/>
          <w:snapToGrid w:val="0"/>
          <w:kern w:val="0"/>
        </w:rPr>
        <w:t>analytical</w:t>
      </w:r>
      <w:r>
        <w:rPr>
          <w:rFonts w:hint="eastAsia" w:cs="Arial"/>
          <w:snapToGrid w:val="0"/>
          <w:kern w:val="0"/>
        </w:rPr>
        <w:t xml:space="preserve"> methods; proposed guideline. Order code EP6-P. 1986.</w:t>
      </w:r>
    </w:p>
    <w:p w14:paraId="383A828A">
      <w:pPr>
        <w:pStyle w:val="11"/>
        <w:numPr>
          <w:ilvl w:val="1"/>
          <w:numId w:val="19"/>
        </w:numPr>
        <w:topLinePunct/>
        <w:spacing w:before="187"/>
        <w:ind w:left="480" w:hanging="480" w:hangingChars="200"/>
        <w:rPr>
          <w:rFonts w:cs="Arial"/>
          <w:snapToGrid w:val="0"/>
          <w:kern w:val="0"/>
        </w:rPr>
      </w:pPr>
      <w:r>
        <w:rPr>
          <w:rFonts w:hint="eastAsia" w:cs="Arial"/>
          <w:snapToGrid w:val="0"/>
          <w:kern w:val="0"/>
        </w:rPr>
        <w:t>Westgard JO, de Vos DJ, Hunt MR, Quam EF, Carey RN, Garber CC: Method evalution. American Society of Medical Technology, @@@ Washington. 1978.</w:t>
      </w:r>
    </w:p>
    <w:p w14:paraId="29531B6C">
      <w:pPr>
        <w:pStyle w:val="11"/>
        <w:numPr>
          <w:ilvl w:val="1"/>
          <w:numId w:val="19"/>
        </w:numPr>
        <w:topLinePunct/>
        <w:spacing w:before="187"/>
        <w:ind w:left="480" w:hanging="480" w:hangingChars="200"/>
        <w:rPr>
          <w:rFonts w:cs="Arial"/>
          <w:snapToGrid w:val="0"/>
          <w:kern w:val="0"/>
        </w:rPr>
      </w:pPr>
      <w:r>
        <w:rPr>
          <w:rFonts w:hint="eastAsia" w:cs="Arial"/>
          <w:snapToGrid w:val="0"/>
          <w:kern w:val="0"/>
        </w:rPr>
        <w:t xml:space="preserve">Information </w:t>
      </w:r>
      <w:r>
        <w:rPr>
          <w:rFonts w:cs="Arial"/>
          <w:snapToGrid w:val="0"/>
          <w:kern w:val="0"/>
        </w:rPr>
        <w:t>for authors: Clin Chem; 37:1-3. 1991.</w:t>
      </w:r>
    </w:p>
    <w:p w14:paraId="639A033F">
      <w:pPr>
        <w:pStyle w:val="11"/>
        <w:numPr>
          <w:ilvl w:val="1"/>
          <w:numId w:val="19"/>
        </w:numPr>
        <w:topLinePunct/>
        <w:spacing w:before="187"/>
        <w:ind w:left="480" w:hanging="480" w:hangingChars="200"/>
        <w:rPr>
          <w:rFonts w:cs="Arial"/>
          <w:snapToGrid w:val="0"/>
          <w:kern w:val="0"/>
        </w:rPr>
      </w:pPr>
      <w:r>
        <w:rPr>
          <w:rFonts w:cs="Arial"/>
          <w:snapToGrid w:val="0"/>
          <w:kern w:val="0"/>
        </w:rPr>
        <w:t xml:space="preserve">National </w:t>
      </w:r>
      <w:r>
        <w:rPr>
          <w:rFonts w:hint="eastAsia" w:cs="Arial"/>
          <w:snapToGrid w:val="0"/>
          <w:kern w:val="0"/>
        </w:rPr>
        <w:t>Committee for Clinical Laboratory Standards. Interference Testing in clinical chemistry; proposed guideline. Order code EP7-p, 1986.</w:t>
      </w:r>
    </w:p>
    <w:p w14:paraId="3773053C">
      <w:pPr>
        <w:pStyle w:val="11"/>
        <w:numPr>
          <w:ilvl w:val="1"/>
          <w:numId w:val="19"/>
        </w:numPr>
        <w:topLinePunct/>
        <w:spacing w:before="187"/>
        <w:ind w:left="480" w:hanging="480" w:hangingChars="200"/>
        <w:rPr>
          <w:rFonts w:cs="Arial"/>
          <w:snapToGrid w:val="0"/>
          <w:kern w:val="0"/>
        </w:rPr>
      </w:pPr>
      <w:r>
        <w:rPr>
          <w:rFonts w:hint="eastAsia" w:cs="Arial"/>
          <w:snapToGrid w:val="0"/>
          <w:kern w:val="0"/>
        </w:rPr>
        <w:t>National Committee for Clinical Laboratory Standards. Evaluation of precision performance of clinical chemistry devices-second edition; tentative guidelines. 1-56, Order code EP9-p, 1991.</w:t>
      </w:r>
    </w:p>
    <w:p w14:paraId="515D32ED">
      <w:pPr>
        <w:pStyle w:val="11"/>
        <w:numPr>
          <w:ilvl w:val="1"/>
          <w:numId w:val="19"/>
        </w:numPr>
        <w:topLinePunct/>
        <w:spacing w:before="187"/>
        <w:ind w:left="480" w:hanging="480" w:hangingChars="200"/>
        <w:rPr>
          <w:rFonts w:cs="Arial"/>
          <w:snapToGrid w:val="0"/>
          <w:kern w:val="0"/>
        </w:rPr>
      </w:pPr>
      <w:r>
        <w:rPr>
          <w:rFonts w:hint="eastAsia" w:cs="Arial"/>
          <w:snapToGrid w:val="0"/>
          <w:kern w:val="0"/>
        </w:rPr>
        <w:t xml:space="preserve">National Committee for Clinical Laboratory standards. User Comparison of quantitative </w:t>
      </w:r>
      <w:r>
        <w:rPr>
          <w:rFonts w:cs="Arial"/>
          <w:snapToGrid w:val="0"/>
          <w:kern w:val="0"/>
        </w:rPr>
        <w:t>clinical</w:t>
      </w:r>
      <w:r>
        <w:rPr>
          <w:rFonts w:hint="eastAsia" w:cs="Arial"/>
          <w:snapToGrid w:val="0"/>
          <w:kern w:val="0"/>
        </w:rPr>
        <w:t xml:space="preserve"> laboratory methods using patients samples, </w:t>
      </w:r>
      <w:r>
        <w:rPr>
          <w:rFonts w:cs="Arial"/>
          <w:snapToGrid w:val="0"/>
          <w:kern w:val="0"/>
        </w:rPr>
        <w:t>proposed</w:t>
      </w:r>
      <w:r>
        <w:rPr>
          <w:rFonts w:hint="eastAsia" w:cs="Arial"/>
          <w:snapToGrid w:val="0"/>
          <w:kern w:val="0"/>
        </w:rPr>
        <w:t xml:space="preserve"> guideline, 6 (1). Order code EP9-p, 1985.</w:t>
      </w:r>
    </w:p>
    <w:p w14:paraId="2B2B1E5F">
      <w:pPr>
        <w:pStyle w:val="11"/>
        <w:numPr>
          <w:ilvl w:val="1"/>
          <w:numId w:val="19"/>
        </w:numPr>
        <w:topLinePunct/>
        <w:spacing w:before="187"/>
        <w:ind w:left="480" w:hanging="480" w:hangingChars="200"/>
        <w:rPr>
          <w:rFonts w:cs="Arial"/>
          <w:snapToGrid w:val="0"/>
          <w:kern w:val="0"/>
        </w:rPr>
      </w:pPr>
      <w:r>
        <w:rPr>
          <w:rFonts w:hint="eastAsia" w:cs="Arial"/>
          <w:snapToGrid w:val="0"/>
          <w:kern w:val="0"/>
        </w:rPr>
        <w:t>Bayes Reverend Tomas: An essay toward solving a problem in the doctrine of chance. Philo Trans Roy Soc; 53: 370-418. 1763.</w:t>
      </w:r>
    </w:p>
    <w:p w14:paraId="32DBF6D3">
      <w:pPr>
        <w:pStyle w:val="11"/>
        <w:numPr>
          <w:ilvl w:val="1"/>
          <w:numId w:val="19"/>
        </w:numPr>
        <w:topLinePunct/>
        <w:spacing w:before="187"/>
        <w:ind w:left="480" w:hanging="480" w:hangingChars="200"/>
        <w:rPr>
          <w:rFonts w:cs="Arial"/>
          <w:snapToGrid w:val="0"/>
          <w:kern w:val="0"/>
        </w:rPr>
      </w:pPr>
      <w:r>
        <w:rPr>
          <w:rFonts w:hint="eastAsia" w:cs="Arial"/>
          <w:snapToGrid w:val="0"/>
          <w:kern w:val="0"/>
        </w:rPr>
        <w:t>Adams MJ, Windham GC, James LM, Greenberg F, Clayton-Hopkins JA, Reimer CB, Oakley GP: Clinical interpretation of maternal serum AFP concentrations. Am J Obstet Gynecol; 148: 241-254, 1984.</w:t>
      </w:r>
    </w:p>
    <w:p w14:paraId="77945214">
      <w:pPr>
        <w:pStyle w:val="11"/>
        <w:numPr>
          <w:ilvl w:val="1"/>
          <w:numId w:val="19"/>
        </w:numPr>
        <w:topLinePunct/>
        <w:spacing w:before="187"/>
        <w:ind w:left="480" w:hanging="480" w:hangingChars="200"/>
        <w:rPr>
          <w:rFonts w:cs="Arial"/>
          <w:snapToGrid w:val="0"/>
          <w:kern w:val="0"/>
        </w:rPr>
      </w:pPr>
      <w:r>
        <w:rPr>
          <w:rFonts w:hint="eastAsia" w:cs="Arial"/>
          <w:snapToGrid w:val="0"/>
          <w:kern w:val="0"/>
        </w:rPr>
        <w:t>Crandall BF, Lebherz TB, Schroth PC, Matsumoto M: Alpha-fetoprotein concentrates in maternal serum: Relation to race and body weight. Clin Chem; 29: 531, 1983.</w:t>
      </w:r>
    </w:p>
    <w:p w14:paraId="10B80B2C">
      <w:pPr>
        <w:pStyle w:val="11"/>
        <w:numPr>
          <w:ilvl w:val="1"/>
          <w:numId w:val="19"/>
        </w:numPr>
        <w:topLinePunct/>
        <w:spacing w:before="187"/>
        <w:ind w:left="480" w:hanging="480" w:hangingChars="200"/>
        <w:rPr>
          <w:rFonts w:cs="Arial"/>
          <w:snapToGrid w:val="0"/>
          <w:kern w:val="0"/>
        </w:rPr>
      </w:pPr>
      <w:r>
        <w:rPr>
          <w:rFonts w:hint="eastAsia" w:cs="Arial"/>
          <w:snapToGrid w:val="0"/>
          <w:kern w:val="0"/>
        </w:rPr>
        <w:t>Adams MJ Jr, Windham GC, James LM, Greenberg F, Clayton-Hopkins JA, Reimer CB, Oakley GP: Risk reporting of maternal serum AFP (AFP) concentrations. Atlanta: U.S. Department of Heath and human Services, 1985.</w:t>
      </w:r>
    </w:p>
    <w:p w14:paraId="2B42E511">
      <w:pPr>
        <w:pStyle w:val="11"/>
        <w:numPr>
          <w:ilvl w:val="1"/>
          <w:numId w:val="19"/>
        </w:numPr>
        <w:topLinePunct/>
        <w:spacing w:before="187"/>
        <w:ind w:left="480" w:hanging="480" w:hangingChars="200"/>
        <w:rPr>
          <w:rFonts w:cs="Arial"/>
          <w:snapToGrid w:val="0"/>
          <w:kern w:val="0"/>
        </w:rPr>
      </w:pPr>
      <w:r>
        <w:rPr>
          <w:rFonts w:hint="eastAsia" w:cs="Arial"/>
          <w:snapToGrid w:val="0"/>
          <w:kern w:val="0"/>
        </w:rPr>
        <w:t>Wald NJ, Cuckle H: Recent Adnvances in Screening for Neutral Tube Defects and Down</w:t>
      </w:r>
      <w:r>
        <w:rPr>
          <w:rFonts w:cs="Arial"/>
          <w:snapToGrid w:val="0"/>
          <w:kern w:val="0"/>
        </w:rPr>
        <w:t>’</w:t>
      </w:r>
      <w:r>
        <w:rPr>
          <w:rFonts w:hint="eastAsia" w:cs="Arial"/>
          <w:snapToGrid w:val="0"/>
          <w:kern w:val="0"/>
        </w:rPr>
        <w:t>s Syndrome, Bailliere</w:t>
      </w:r>
      <w:r>
        <w:rPr>
          <w:rFonts w:cs="Arial"/>
          <w:snapToGrid w:val="0"/>
          <w:kern w:val="0"/>
        </w:rPr>
        <w:t>’</w:t>
      </w:r>
      <w:r>
        <w:rPr>
          <w:rFonts w:hint="eastAsia" w:cs="Arial"/>
          <w:snapToGrid w:val="0"/>
          <w:kern w:val="0"/>
        </w:rPr>
        <w:t>s Clinical Obstetrics and Gynaecology. Rodeck C (ed), Vol. I; 3: 649-676, 1987.</w:t>
      </w:r>
    </w:p>
    <w:p w14:paraId="120DFFEA">
      <w:pPr>
        <w:pStyle w:val="11"/>
        <w:numPr>
          <w:ilvl w:val="1"/>
          <w:numId w:val="19"/>
        </w:numPr>
        <w:topLinePunct/>
        <w:spacing w:before="187"/>
        <w:ind w:left="480" w:hanging="480" w:hangingChars="200"/>
        <w:rPr>
          <w:rFonts w:cs="Arial"/>
          <w:snapToGrid w:val="0"/>
          <w:kern w:val="0"/>
        </w:rPr>
      </w:pPr>
      <w:r>
        <w:rPr>
          <w:rFonts w:hint="eastAsia" w:cs="Arial"/>
          <w:snapToGrid w:val="0"/>
          <w:kern w:val="0"/>
        </w:rPr>
        <w:t>Crandall BF, Robertson RD, Lebherz TB, Kind W, Schroth PC: Maternal serum alpha-fetoprotein screening for the detection of neutral tube defects. Western J Med; 138: 524-530, 1983.</w:t>
      </w:r>
    </w:p>
    <w:p w14:paraId="4B51F803">
      <w:pPr>
        <w:pStyle w:val="11"/>
        <w:numPr>
          <w:ilvl w:val="1"/>
          <w:numId w:val="19"/>
        </w:numPr>
        <w:topLinePunct/>
        <w:spacing w:before="187"/>
        <w:ind w:left="480" w:hanging="480" w:hangingChars="200"/>
        <w:rPr>
          <w:rFonts w:cs="Arial"/>
          <w:snapToGrid w:val="0"/>
          <w:kern w:val="0"/>
        </w:rPr>
      </w:pPr>
      <w:r>
        <w:rPr>
          <w:rFonts w:hint="eastAsia" w:cs="Arial"/>
          <w:snapToGrid w:val="0"/>
          <w:kern w:val="0"/>
        </w:rPr>
        <w:t>Macri JN, Kasturi RV, Krantz DA, Koch KE: Maternal Serum AFP Screening, Maternal Weight, and Detection Efficiency, Am J Obstet Gynec; 155: 758-760, 1986.</w:t>
      </w:r>
    </w:p>
    <w:p w14:paraId="601E871E">
      <w:pPr>
        <w:pStyle w:val="11"/>
        <w:numPr>
          <w:ilvl w:val="1"/>
          <w:numId w:val="19"/>
        </w:numPr>
        <w:topLinePunct/>
        <w:spacing w:before="187"/>
        <w:ind w:left="480" w:hanging="480" w:hangingChars="200"/>
        <w:rPr>
          <w:rFonts w:cs="Arial"/>
          <w:snapToGrid w:val="0"/>
          <w:kern w:val="0"/>
        </w:rPr>
      </w:pPr>
      <w:r>
        <w:rPr>
          <w:rFonts w:hint="eastAsia" w:cs="Arial"/>
          <w:snapToGrid w:val="0"/>
          <w:kern w:val="0"/>
        </w:rPr>
        <w:t>Soloway HB, Sohn AP, Morris C, Slaughter RJ: Operational Considerations in Maternal Serum AFP Screening, MLO; December 37-40, 1988.</w:t>
      </w:r>
    </w:p>
    <w:p w14:paraId="5F2C10B3">
      <w:pPr>
        <w:pStyle w:val="11"/>
        <w:numPr>
          <w:ilvl w:val="1"/>
          <w:numId w:val="19"/>
        </w:numPr>
        <w:topLinePunct/>
        <w:spacing w:before="187"/>
        <w:ind w:left="480" w:hanging="480" w:hangingChars="200"/>
        <w:rPr>
          <w:rFonts w:cs="Arial"/>
          <w:snapToGrid w:val="0"/>
          <w:kern w:val="0"/>
        </w:rPr>
      </w:pPr>
      <w:r>
        <w:rPr>
          <w:rFonts w:hint="eastAsia" w:cs="Arial"/>
          <w:snapToGrid w:val="0"/>
          <w:kern w:val="0"/>
        </w:rPr>
        <w:t>Milunsky A, Alpert E&lt; Kitzmiller JL, Younger MD, Neff RK: The Importance of Serum AFP Screening in Diabetic Pregnant Women, Am J Obstet GYnec; 143; 1030-1032, 1982.</w:t>
      </w:r>
    </w:p>
    <w:p w14:paraId="1C0E8113">
      <w:pPr>
        <w:pStyle w:val="11"/>
        <w:numPr>
          <w:ilvl w:val="1"/>
          <w:numId w:val="19"/>
        </w:numPr>
        <w:topLinePunct/>
        <w:spacing w:before="187"/>
        <w:ind w:left="480" w:hanging="480" w:hangingChars="200"/>
        <w:rPr>
          <w:rFonts w:cs="Arial"/>
          <w:snapToGrid w:val="0"/>
          <w:kern w:val="0"/>
        </w:rPr>
      </w:pPr>
      <w:r>
        <w:rPr>
          <w:rFonts w:hint="eastAsia" w:cs="Arial"/>
          <w:snapToGrid w:val="0"/>
          <w:kern w:val="0"/>
        </w:rPr>
        <w:t>Wald N, Cuckle H, Boreham J, Terzion E, Redman C: The Effect of Maternal Weight on Maternal Serum AFP Levels, Br J Obstet Gynec; 88: 1094, 1981.</w:t>
      </w:r>
    </w:p>
    <w:p w14:paraId="70B7DC95">
      <w:pPr>
        <w:pStyle w:val="11"/>
        <w:numPr>
          <w:ilvl w:val="1"/>
          <w:numId w:val="19"/>
        </w:numPr>
        <w:topLinePunct/>
        <w:spacing w:before="187"/>
        <w:ind w:left="480" w:hanging="480" w:hangingChars="200"/>
        <w:rPr>
          <w:rFonts w:cs="Arial"/>
          <w:snapToGrid w:val="0"/>
          <w:kern w:val="0"/>
        </w:rPr>
      </w:pPr>
      <w:r>
        <w:rPr>
          <w:rFonts w:hint="eastAsia" w:cs="Arial"/>
          <w:snapToGrid w:val="0"/>
          <w:kern w:val="0"/>
        </w:rPr>
        <w:t>CowCHock FS, Jackson LG: An analysis of pregnancies with elevated alpha-fetoprotein levels in maternal serum and/or amniotic fluid samples, Birth Defects; XV: 75-85, 1979.</w:t>
      </w:r>
    </w:p>
    <w:p w14:paraId="5C8195B3">
      <w:pPr>
        <w:pStyle w:val="11"/>
        <w:numPr>
          <w:ilvl w:val="1"/>
          <w:numId w:val="19"/>
        </w:numPr>
        <w:topLinePunct/>
        <w:spacing w:before="187"/>
        <w:ind w:left="480" w:hanging="480" w:hangingChars="200"/>
        <w:rPr>
          <w:rFonts w:cs="Arial"/>
          <w:snapToGrid w:val="0"/>
          <w:kern w:val="0"/>
        </w:rPr>
      </w:pPr>
      <w:r>
        <w:rPr>
          <w:rFonts w:hint="eastAsia" w:cs="Arial"/>
          <w:snapToGrid w:val="0"/>
          <w:kern w:val="0"/>
        </w:rPr>
        <w:t>Smithells RW, Seller MJ, Harris R, Fielding DW, Schorah CJ, Nevin NC, Sheppard S, Read AP, Walker S, Wild J: Further experience of vitamin supplementation for prevention of neural tube defect recurrences. Lancet; ii: 1027-1031, 1983.</w:t>
      </w:r>
    </w:p>
    <w:p w14:paraId="704787D2">
      <w:pPr>
        <w:pStyle w:val="11"/>
        <w:numPr>
          <w:ilvl w:val="1"/>
          <w:numId w:val="19"/>
        </w:numPr>
        <w:topLinePunct/>
        <w:spacing w:before="187"/>
        <w:ind w:left="480" w:hanging="480" w:hangingChars="200"/>
        <w:rPr>
          <w:rFonts w:cs="Arial"/>
          <w:snapToGrid w:val="0"/>
          <w:kern w:val="0"/>
        </w:rPr>
      </w:pPr>
      <w:r>
        <w:rPr>
          <w:rFonts w:hint="eastAsia" w:cs="Arial"/>
          <w:snapToGrid w:val="0"/>
          <w:kern w:val="0"/>
        </w:rPr>
        <w:t>Hibbard ED, Smithells RW: Folic acid metabolism and human embryopathy. Lancet; i: 1254, 1965.</w:t>
      </w:r>
    </w:p>
    <w:p w14:paraId="529D5326">
      <w:pPr>
        <w:pStyle w:val="11"/>
        <w:numPr>
          <w:ilvl w:val="1"/>
          <w:numId w:val="19"/>
        </w:numPr>
        <w:topLinePunct/>
        <w:spacing w:before="187"/>
        <w:ind w:left="480" w:hanging="480" w:hangingChars="200"/>
        <w:rPr>
          <w:rFonts w:cs="Arial"/>
          <w:snapToGrid w:val="0"/>
          <w:kern w:val="0"/>
        </w:rPr>
      </w:pPr>
      <w:r>
        <w:rPr>
          <w:rFonts w:hint="eastAsia" w:cs="Arial"/>
          <w:snapToGrid w:val="0"/>
          <w:kern w:val="0"/>
        </w:rPr>
        <w:t>Laurence, KM, James N, Miller MH, Tennant GB, Campbell H: Double blind randomized controlled trial of folate treatment before conception to prevent recurrence of neutral-tube defects. B M J; 282: 1509-11, 1981.</w:t>
      </w:r>
    </w:p>
    <w:p w14:paraId="16B99B44">
      <w:pPr>
        <w:pStyle w:val="11"/>
        <w:numPr>
          <w:ilvl w:val="1"/>
          <w:numId w:val="19"/>
        </w:numPr>
        <w:topLinePunct/>
        <w:spacing w:before="187"/>
        <w:ind w:left="480" w:hanging="480" w:hangingChars="200"/>
        <w:rPr>
          <w:rFonts w:cs="Arial"/>
          <w:snapToGrid w:val="0"/>
          <w:kern w:val="0"/>
        </w:rPr>
      </w:pPr>
      <w:r>
        <w:rPr>
          <w:rFonts w:hint="eastAsia" w:cs="Arial"/>
          <w:snapToGrid w:val="0"/>
          <w:kern w:val="0"/>
        </w:rPr>
        <w:t xml:space="preserve">Czeizel AE, Dudas I: Prevention of the first </w:t>
      </w:r>
      <w:r>
        <w:rPr>
          <w:rFonts w:cs="Arial"/>
          <w:snapToGrid w:val="0"/>
          <w:kern w:val="0"/>
        </w:rPr>
        <w:t>occurrence</w:t>
      </w:r>
      <w:r>
        <w:rPr>
          <w:rFonts w:hint="eastAsia" w:cs="Arial"/>
          <w:snapToGrid w:val="0"/>
          <w:kern w:val="0"/>
        </w:rPr>
        <w:t xml:space="preserve"> of neural-tube defects by pericoceptional vitamin supplementation. N Engl J Med; 327: 1832-5, 1992.</w:t>
      </w:r>
    </w:p>
    <w:p w14:paraId="31343F14">
      <w:pPr>
        <w:pStyle w:val="11"/>
        <w:numPr>
          <w:ilvl w:val="1"/>
          <w:numId w:val="19"/>
        </w:numPr>
        <w:topLinePunct/>
        <w:spacing w:before="187"/>
        <w:ind w:left="480" w:hanging="480" w:hangingChars="200"/>
        <w:rPr>
          <w:rFonts w:cs="Arial"/>
          <w:snapToGrid w:val="0"/>
          <w:kern w:val="0"/>
        </w:rPr>
      </w:pPr>
      <w:r>
        <w:rPr>
          <w:rFonts w:hint="eastAsia" w:cs="Arial"/>
          <w:snapToGrid w:val="0"/>
          <w:kern w:val="0"/>
        </w:rPr>
        <w:t>Bishop JC, Dunstan FDJ, Nix BJ, Reynolds TM, Swift A: All MoMs are not equal: some statistical properties associated with reporting results in the form of multiples of the median. Am J Hum Genet; 52: 425-430, 1993.</w:t>
      </w:r>
    </w:p>
    <w:p w14:paraId="5B10862D">
      <w:pPr>
        <w:pStyle w:val="11"/>
        <w:numPr>
          <w:ilvl w:val="1"/>
          <w:numId w:val="19"/>
        </w:numPr>
        <w:topLinePunct/>
        <w:spacing w:before="187"/>
        <w:ind w:left="480" w:hanging="480" w:hangingChars="200"/>
        <w:rPr>
          <w:rFonts w:cs="Arial"/>
          <w:snapToGrid w:val="0"/>
          <w:kern w:val="0"/>
        </w:rPr>
      </w:pPr>
      <w:r>
        <w:rPr>
          <w:rFonts w:hint="eastAsia" w:cs="Arial"/>
          <w:snapToGrid w:val="0"/>
          <w:kern w:val="0"/>
        </w:rPr>
        <w:t>Fugate KJ: Post-Approval studies for monitoring the performance of alpha-fetoprotein test kits as an aid in the detection of ONTD. Immunology Device Panel Meeting. Hubert H. Humphrey Building, Washington, D.C. June 22, 1988.</w:t>
      </w:r>
    </w:p>
    <w:p w14:paraId="71C92BFB">
      <w:pPr>
        <w:pStyle w:val="11"/>
        <w:numPr>
          <w:ilvl w:val="1"/>
          <w:numId w:val="19"/>
        </w:numPr>
        <w:topLinePunct/>
        <w:spacing w:before="187"/>
        <w:ind w:left="480" w:hanging="480" w:hangingChars="200"/>
        <w:rPr>
          <w:rFonts w:cs="Arial"/>
          <w:snapToGrid w:val="0"/>
          <w:kern w:val="0"/>
        </w:rPr>
      </w:pPr>
      <w:r>
        <w:rPr>
          <w:rFonts w:hint="eastAsia" w:cs="Arial"/>
          <w:snapToGrid w:val="0"/>
          <w:kern w:val="0"/>
        </w:rPr>
        <w:t>21 CFR Parts 16, 20, 899 [Docket No. 80N-0002]. FEDERAL REGISTER Vol. 48, No. 118, Friday, June 17, 1983, Alpha-Fetoprotein Test Kits: Withdrawal of Proposed Rule. Pages 277780-277782.</w:t>
      </w:r>
    </w:p>
    <w:p w14:paraId="70C202AB">
      <w:pPr>
        <w:pStyle w:val="11"/>
        <w:numPr>
          <w:ilvl w:val="1"/>
          <w:numId w:val="19"/>
        </w:numPr>
        <w:topLinePunct/>
        <w:spacing w:before="187"/>
        <w:ind w:left="480" w:hanging="480" w:hangingChars="200"/>
        <w:rPr>
          <w:rFonts w:cs="Arial"/>
          <w:snapToGrid w:val="0"/>
          <w:kern w:val="0"/>
        </w:rPr>
      </w:pPr>
      <w:r>
        <w:rPr>
          <w:rFonts w:hint="eastAsia" w:cs="Arial"/>
          <w:snapToGrid w:val="0"/>
          <w:kern w:val="0"/>
        </w:rPr>
        <w:t xml:space="preserve">Felder RA, Butts W, Bradley L, King P, MacMahon W, Wians F, Jr., Dev J: A multi-center study of serum AFP as an aid in the </w:t>
      </w:r>
      <w:r>
        <w:rPr>
          <w:rFonts w:cs="Arial"/>
          <w:snapToGrid w:val="0"/>
          <w:kern w:val="0"/>
        </w:rPr>
        <w:t>detection</w:t>
      </w:r>
      <w:r>
        <w:rPr>
          <w:rFonts w:hint="eastAsia" w:cs="Arial"/>
          <w:snapToGrid w:val="0"/>
          <w:kern w:val="0"/>
        </w:rPr>
        <w:t xml:space="preserve"> of fetal open neural tube defects (NTD). Clin Chem; 36: Abstract; Annual Meeting, July 25, 1990.</w:t>
      </w:r>
    </w:p>
    <w:p w14:paraId="7D35FE11">
      <w:pPr>
        <w:pStyle w:val="11"/>
        <w:numPr>
          <w:ilvl w:val="1"/>
          <w:numId w:val="19"/>
        </w:numPr>
        <w:topLinePunct/>
        <w:spacing w:before="187"/>
        <w:ind w:left="480" w:hanging="480" w:hangingChars="200"/>
        <w:rPr>
          <w:rFonts w:cs="Arial"/>
          <w:snapToGrid w:val="0"/>
          <w:kern w:val="0"/>
        </w:rPr>
      </w:pPr>
      <w:r>
        <w:rPr>
          <w:rFonts w:hint="eastAsia" w:cs="Arial"/>
          <w:snapToGrid w:val="0"/>
          <w:kern w:val="0"/>
        </w:rPr>
        <w:t>Knight GJ, Palomaki GE, Haddow JE: Assessing reliability of AFP test kits. Contem Ob-Gyn Tech; October 1987.</w:t>
      </w:r>
    </w:p>
    <w:p w14:paraId="42D2ADE2">
      <w:pPr>
        <w:topLinePunct/>
        <w:spacing w:before="187"/>
        <w:rPr>
          <w:rFonts w:cs="Arial"/>
          <w:snapToGrid w:val="0"/>
          <w:kern w:val="0"/>
        </w:rPr>
      </w:pPr>
    </w:p>
    <w:p w14:paraId="32C2D4B0">
      <w:pPr>
        <w:topLinePunct/>
        <w:spacing w:before="187"/>
        <w:rPr>
          <w:rFonts w:hint="eastAsia" w:eastAsia="宋体"/>
          <w:lang w:eastAsia="zh-CN"/>
        </w:rPr>
      </w:pPr>
    </w:p>
    <w:p w14:paraId="0F467770">
      <w:pPr>
        <w:topLinePunct/>
        <w:spacing w:before="187"/>
        <w:jc w:val="center"/>
        <w:rPr>
          <w:rFonts w:hint="eastAsia" w:eastAsia="宋体"/>
          <w:lang w:eastAsia="zh-CN"/>
        </w:rPr>
      </w:pPr>
    </w:p>
    <w:p w14:paraId="1F8F8EE5">
      <w:pPr>
        <w:topLinePunct/>
        <w:spacing w:before="187"/>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15"/>
                    <a:stretch>
                      <a:fillRect/>
                    </a:stretch>
                  </pic:blipFill>
                  <pic:spPr>
                    <a:xfrm>
                      <a:off x="0" y="0"/>
                      <a:ext cx="5210175" cy="7343775"/>
                    </a:xfrm>
                    <a:prstGeom prst="rect">
                      <a:avLst/>
                    </a:prstGeom>
                  </pic:spPr>
                </pic:pic>
              </a:graphicData>
            </a:graphic>
          </wp:inline>
        </w:drawing>
      </w:r>
    </w:p>
    <w:sectPr>
      <w:headerReference r:id="rId12" w:type="default"/>
      <w:pgSz w:w="11906" w:h="16838"/>
      <w:pgMar w:top="1418" w:right="1418" w:bottom="1418" w:left="1418" w:header="720" w:footer="720"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4AF12">
    <w:pPr>
      <w:pStyle w:val="4"/>
      <w:spacing w:before="14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AFD0D">
    <w:pPr>
      <w:pStyle w:val="4"/>
      <w:spacing w:before="14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E5323">
    <w:pPr>
      <w:pStyle w:val="4"/>
      <w:spacing w:before="14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C2FF8">
    <w:pPr>
      <w:pStyle w:val="5"/>
      <w:pBdr>
        <w:bottom w:val="none" w:color="auto" w:sz="0" w:space="0"/>
      </w:pBdr>
      <w:spacing w:before="14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19804">
    <w:pPr>
      <w:pStyle w:val="5"/>
      <w:spacing w:before="14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E7577">
    <w:pPr>
      <w:pStyle w:val="5"/>
      <w:spacing w:before="14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04F2F">
    <w:pPr>
      <w:pBdr>
        <w:bottom w:val="single" w:color="auto" w:sz="4" w:space="1"/>
      </w:pBdr>
      <w:topLinePunct/>
      <w:spacing w:before="144" w:line="288" w:lineRule="auto"/>
      <w:ind w:left="7200" w:leftChars="200" w:hanging="6720" w:hangingChars="2800"/>
      <w:rPr>
        <w:rFonts w:cs="Arial"/>
        <w:snapToGrid w:val="0"/>
        <w:kern w:val="0"/>
        <w:sz w:val="18"/>
        <w:szCs w:val="18"/>
      </w:rPr>
    </w:pPr>
    <w:r>
      <w:drawing>
        <wp:anchor distT="0" distB="0" distL="114300" distR="114300" simplePos="0" relativeHeight="251659264" behindDoc="1" locked="0" layoutInCell="1" allowOverlap="1">
          <wp:simplePos x="0" y="0"/>
          <wp:positionH relativeFrom="column">
            <wp:posOffset>-443230</wp:posOffset>
          </wp:positionH>
          <wp:positionV relativeFrom="paragraph">
            <wp:posOffset>-180975</wp:posOffset>
          </wp:positionV>
          <wp:extent cx="690880" cy="65532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91045" cy="655607"/>
                  </a:xfrm>
                  <a:prstGeom prst="rect">
                    <a:avLst/>
                  </a:prstGeom>
                </pic:spPr>
              </pic:pic>
            </a:graphicData>
          </a:graphic>
        </wp:anchor>
      </w:drawing>
    </w:r>
    <w:r>
      <w:rPr>
        <w:rFonts w:hint="eastAsia" w:cs="Arial"/>
        <w:snapToGrid w:val="0"/>
        <w:kern w:val="0"/>
      </w:rPr>
      <w:t>美国卫生与公众服务部</w:t>
    </w:r>
    <w:r>
      <w:rPr>
        <w:rFonts w:hint="eastAsia" w:cs="Arial"/>
        <w:snapToGrid w:val="0"/>
        <w:kern w:val="0"/>
      </w:rPr>
      <w:tab/>
    </w:r>
    <w:r>
      <w:rPr>
        <w:rFonts w:cs="Arial"/>
        <w:snapToGrid w:val="0"/>
        <w:kern w:val="0"/>
        <w:sz w:val="18"/>
        <w:szCs w:val="18"/>
      </w:rPr>
      <w:t>公共卫生署</w:t>
    </w:r>
    <w:r>
      <w:rPr>
        <w:rFonts w:hint="eastAsia" w:cs="Arial"/>
        <w:snapToGrid w:val="0"/>
        <w:kern w:val="0"/>
        <w:sz w:val="18"/>
        <w:szCs w:val="18"/>
      </w:rPr>
      <w:br w:type="textWrapping"/>
    </w:r>
    <w:r>
      <w:rPr>
        <w:rFonts w:cs="Arial"/>
        <w:snapToGrid w:val="0"/>
        <w:kern w:val="0"/>
        <w:sz w:val="18"/>
        <w:szCs w:val="18"/>
      </w:rPr>
      <w:t>食品药品监督管理局</w:t>
    </w:r>
  </w:p>
  <w:p w14:paraId="56672BB8">
    <w:pPr>
      <w:topLinePunct/>
      <w:spacing w:before="144" w:line="288" w:lineRule="auto"/>
      <w:ind w:left="7200" w:leftChars="3000"/>
      <w:rPr>
        <w:rFonts w:cs="Arial"/>
        <w:snapToGrid w:val="0"/>
        <w:kern w:val="0"/>
      </w:rPr>
    </w:pPr>
    <w:r>
      <w:rPr>
        <w:rFonts w:hint="eastAsia" w:cs="Arial"/>
        <w:snapToGrid w:val="0"/>
        <w:kern w:val="0"/>
        <w:sz w:val="30"/>
        <w:szCs w:val="30"/>
      </w:rPr>
      <w:t>备忘录</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776C4">
    <w:pPr>
      <w:pStyle w:val="5"/>
      <w:pBdr>
        <w:bottom w:val="none" w:color="auto" w:sz="0" w:space="0"/>
      </w:pBdr>
      <w:spacing w:before="144"/>
      <w:jc w:val="right"/>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eastAsia="zh-CN"/>
      </w:rPr>
      <w:t>33</w:t>
    </w:r>
    <w:r>
      <w:rPr>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03F56"/>
    <w:multiLevelType w:val="multilevel"/>
    <w:tmpl w:val="08D03F56"/>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9E549FA"/>
    <w:multiLevelType w:val="multilevel"/>
    <w:tmpl w:val="09E549FA"/>
    <w:lvl w:ilvl="0" w:tentative="0">
      <w:start w:val="1"/>
      <w:numFmt w:val="upperLetter"/>
      <w:lvlText w:val="%1."/>
      <w:lvlJc w:val="left"/>
      <w:pPr>
        <w:ind w:left="420" w:hanging="420"/>
      </w:pPr>
    </w:lvl>
    <w:lvl w:ilvl="1" w:tentative="0">
      <w:start w:val="1"/>
      <w:numFmt w:val="lowerRoman"/>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C4B4F92"/>
    <w:multiLevelType w:val="multilevel"/>
    <w:tmpl w:val="0C4B4F92"/>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B4A1BB6"/>
    <w:multiLevelType w:val="multilevel"/>
    <w:tmpl w:val="1B4A1BB6"/>
    <w:lvl w:ilvl="0" w:tentative="0">
      <w:start w:val="1"/>
      <w:numFmt w:val="lowerRoman"/>
      <w:lvlText w:val="%1."/>
      <w:lvlJc w:val="right"/>
      <w:pPr>
        <w:ind w:left="420" w:hanging="420"/>
      </w:pPr>
    </w:lvl>
    <w:lvl w:ilvl="1" w:tentative="0">
      <w:start w:val="1"/>
      <w:numFmt w:val="lowerRoman"/>
      <w:lvlText w:val="%2."/>
      <w:lvlJc w:val="righ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CE70E6F"/>
    <w:multiLevelType w:val="multilevel"/>
    <w:tmpl w:val="1CE70E6F"/>
    <w:lvl w:ilvl="0" w:tentative="0">
      <w:start w:val="1"/>
      <w:numFmt w:val="upp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CD117CF"/>
    <w:multiLevelType w:val="multilevel"/>
    <w:tmpl w:val="2CD117CF"/>
    <w:lvl w:ilvl="0" w:tentative="0">
      <w:start w:val="1"/>
      <w:numFmt w:val="decimal"/>
      <w:lvlText w:val="%1."/>
      <w:lvlJc w:val="left"/>
      <w:pPr>
        <w:ind w:left="840" w:hanging="420"/>
      </w:pPr>
    </w:lvl>
    <w:lvl w:ilvl="1" w:tentative="0">
      <w:start w:val="1"/>
      <w:numFmt w:val="lowerLetter"/>
      <w:lvlText w:val="%2."/>
      <w:lvlJc w:val="left"/>
      <w:pPr>
        <w:ind w:left="1200" w:hanging="36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34956E42"/>
    <w:multiLevelType w:val="multilevel"/>
    <w:tmpl w:val="34956E42"/>
    <w:lvl w:ilvl="0" w:tentative="0">
      <w:start w:val="1"/>
      <w:numFmt w:val="upperLetter"/>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4D87D2F"/>
    <w:multiLevelType w:val="multilevel"/>
    <w:tmpl w:val="34D87D2F"/>
    <w:lvl w:ilvl="0" w:tentative="0">
      <w:start w:val="1"/>
      <w:numFmt w:val="lowerLetter"/>
      <w:lvlText w:val="%1."/>
      <w:lvlJc w:val="left"/>
      <w:pPr>
        <w:ind w:left="840" w:hanging="420"/>
      </w:pPr>
      <w:rPr>
        <w:rFonts w:hint="eastAsia"/>
      </w:rPr>
    </w:lvl>
    <w:lvl w:ilvl="1" w:tentative="0">
      <w:start w:val="1"/>
      <w:numFmt w:val="lowerLetter"/>
      <w:lvlText w:val="%2）"/>
      <w:lvlJc w:val="left"/>
      <w:pPr>
        <w:ind w:left="1560" w:hanging="72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35BF1952"/>
    <w:multiLevelType w:val="multilevel"/>
    <w:tmpl w:val="35BF1952"/>
    <w:lvl w:ilvl="0" w:tentative="0">
      <w:start w:val="1"/>
      <w:numFmt w:val="lowerRoman"/>
      <w:lvlText w:val="(%1)"/>
      <w:lvlJc w:val="left"/>
      <w:pPr>
        <w:ind w:left="840" w:hanging="420"/>
      </w:pPr>
      <w:rPr>
        <w:rFonts w:hint="eastAsia"/>
      </w:rPr>
    </w:lvl>
    <w:lvl w:ilvl="1" w:tentative="0">
      <w:start w:val="1"/>
      <w:numFmt w:val="upperLetter"/>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6B747F3"/>
    <w:multiLevelType w:val="multilevel"/>
    <w:tmpl w:val="36B747F3"/>
    <w:lvl w:ilvl="0" w:tentative="0">
      <w:start w:val="1"/>
      <w:numFmt w:val="upperLetter"/>
      <w:lvlText w:val="%1."/>
      <w:lvlJc w:val="left"/>
      <w:pPr>
        <w:ind w:left="420" w:hanging="420"/>
      </w:pPr>
    </w:lvl>
    <w:lvl w:ilvl="1" w:tentative="0">
      <w:start w:val="1"/>
      <w:numFmt w:val="lowerRoman"/>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9062DDD"/>
    <w:multiLevelType w:val="multilevel"/>
    <w:tmpl w:val="49062DDD"/>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5D640C0"/>
    <w:multiLevelType w:val="multilevel"/>
    <w:tmpl w:val="55D640C0"/>
    <w:lvl w:ilvl="0" w:tentative="0">
      <w:start w:val="1"/>
      <w:numFmt w:val="lowerRoman"/>
      <w:lvlText w:val="%1."/>
      <w:lvlJc w:val="right"/>
      <w:pPr>
        <w:ind w:left="420" w:hanging="420"/>
      </w:pPr>
    </w:lvl>
    <w:lvl w:ilvl="1" w:tentative="0">
      <w:start w:val="1"/>
      <w:numFmt w:val="lowerRoman"/>
      <w:lvlText w:val="%2."/>
      <w:lvlJc w:val="righ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8922C84"/>
    <w:multiLevelType w:val="multilevel"/>
    <w:tmpl w:val="58922C84"/>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9031515"/>
    <w:multiLevelType w:val="multilevel"/>
    <w:tmpl w:val="59031515"/>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5D2356F6"/>
    <w:multiLevelType w:val="multilevel"/>
    <w:tmpl w:val="5D2356F6"/>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D6421A6"/>
    <w:multiLevelType w:val="multilevel"/>
    <w:tmpl w:val="5D6421A6"/>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D6827F0"/>
    <w:multiLevelType w:val="multilevel"/>
    <w:tmpl w:val="5D6827F0"/>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65BE789F"/>
    <w:multiLevelType w:val="multilevel"/>
    <w:tmpl w:val="65BE789F"/>
    <w:lvl w:ilvl="0" w:tentative="0">
      <w:start w:val="1"/>
      <w:numFmt w:val="decimal"/>
      <w:lvlText w:val="%1."/>
      <w:lvlJc w:val="left"/>
      <w:pPr>
        <w:ind w:left="840" w:hanging="420"/>
      </w:p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
    <w:nsid w:val="7D6F4ED8"/>
    <w:multiLevelType w:val="multilevel"/>
    <w:tmpl w:val="7D6F4ED8"/>
    <w:lvl w:ilvl="0" w:tentative="0">
      <w:start w:val="1"/>
      <w:numFmt w:val="lowerLetter"/>
      <w:lvlText w:val="%1."/>
      <w:lvlJc w:val="left"/>
      <w:pPr>
        <w:ind w:left="840" w:hanging="420"/>
      </w:pPr>
      <w:rPr>
        <w:rFonts w:hint="eastAsia"/>
      </w:rPr>
    </w:lvl>
    <w:lvl w:ilvl="1" w:tentative="0">
      <w:start w:val="1"/>
      <w:numFmt w:val="lowerLetter"/>
      <w:lvlText w:val="%2）"/>
      <w:lvlJc w:val="left"/>
      <w:pPr>
        <w:ind w:left="1560" w:hanging="72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6"/>
  </w:num>
  <w:num w:numId="2">
    <w:abstractNumId w:val="14"/>
  </w:num>
  <w:num w:numId="3">
    <w:abstractNumId w:val="4"/>
  </w:num>
  <w:num w:numId="4">
    <w:abstractNumId w:val="9"/>
  </w:num>
  <w:num w:numId="5">
    <w:abstractNumId w:val="5"/>
  </w:num>
  <w:num w:numId="6">
    <w:abstractNumId w:val="15"/>
  </w:num>
  <w:num w:numId="7">
    <w:abstractNumId w:val="11"/>
  </w:num>
  <w:num w:numId="8">
    <w:abstractNumId w:val="13"/>
  </w:num>
  <w:num w:numId="9">
    <w:abstractNumId w:val="16"/>
  </w:num>
  <w:num w:numId="10">
    <w:abstractNumId w:val="18"/>
  </w:num>
  <w:num w:numId="11">
    <w:abstractNumId w:val="3"/>
  </w:num>
  <w:num w:numId="12">
    <w:abstractNumId w:val="0"/>
  </w:num>
  <w:num w:numId="13">
    <w:abstractNumId w:val="7"/>
  </w:num>
  <w:num w:numId="14">
    <w:abstractNumId w:val="8"/>
  </w:num>
  <w:num w:numId="15">
    <w:abstractNumId w:val="1"/>
  </w:num>
  <w:num w:numId="16">
    <w:abstractNumId w:val="12"/>
  </w:num>
  <w:num w:numId="17">
    <w:abstractNumId w:val="2"/>
  </w:num>
  <w:num w:numId="18">
    <w:abstractNumId w:val="1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bordersDoNotSurroundHeader w:val="1"/>
  <w:bordersDoNotSurroundFooter w:val="1"/>
  <w:documentProtection w:edit="readOnly" w:enforcement="0"/>
  <w:defaultTabStop w:val="48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24F"/>
    <w:rsid w:val="00007BA3"/>
    <w:rsid w:val="00027E9C"/>
    <w:rsid w:val="00034C01"/>
    <w:rsid w:val="000364B0"/>
    <w:rsid w:val="000364E9"/>
    <w:rsid w:val="00042594"/>
    <w:rsid w:val="00043977"/>
    <w:rsid w:val="0004495E"/>
    <w:rsid w:val="00053AAC"/>
    <w:rsid w:val="00064A3E"/>
    <w:rsid w:val="000703AE"/>
    <w:rsid w:val="00083060"/>
    <w:rsid w:val="000832FF"/>
    <w:rsid w:val="00087856"/>
    <w:rsid w:val="00090D49"/>
    <w:rsid w:val="00091AB2"/>
    <w:rsid w:val="00094EA5"/>
    <w:rsid w:val="000A3A4E"/>
    <w:rsid w:val="000A3B5E"/>
    <w:rsid w:val="000C4E32"/>
    <w:rsid w:val="000C5822"/>
    <w:rsid w:val="000C73B8"/>
    <w:rsid w:val="000D4727"/>
    <w:rsid w:val="000D54D8"/>
    <w:rsid w:val="000E77FF"/>
    <w:rsid w:val="000F0DA1"/>
    <w:rsid w:val="000F3D6C"/>
    <w:rsid w:val="000F4FCF"/>
    <w:rsid w:val="000F7246"/>
    <w:rsid w:val="00105958"/>
    <w:rsid w:val="001079F7"/>
    <w:rsid w:val="00117E66"/>
    <w:rsid w:val="00135787"/>
    <w:rsid w:val="00137E2F"/>
    <w:rsid w:val="00141C6D"/>
    <w:rsid w:val="00146364"/>
    <w:rsid w:val="001643AE"/>
    <w:rsid w:val="00173EB0"/>
    <w:rsid w:val="0017654D"/>
    <w:rsid w:val="00183E1B"/>
    <w:rsid w:val="00195CDD"/>
    <w:rsid w:val="001A3392"/>
    <w:rsid w:val="001A4986"/>
    <w:rsid w:val="001A6C13"/>
    <w:rsid w:val="001A72FB"/>
    <w:rsid w:val="001C0433"/>
    <w:rsid w:val="001D135D"/>
    <w:rsid w:val="001E096B"/>
    <w:rsid w:val="001E3749"/>
    <w:rsid w:val="001F53BD"/>
    <w:rsid w:val="001F603F"/>
    <w:rsid w:val="002063FA"/>
    <w:rsid w:val="00215BAD"/>
    <w:rsid w:val="00215E91"/>
    <w:rsid w:val="00216B9F"/>
    <w:rsid w:val="0024306C"/>
    <w:rsid w:val="002473DB"/>
    <w:rsid w:val="00252A7C"/>
    <w:rsid w:val="00253678"/>
    <w:rsid w:val="00266F4C"/>
    <w:rsid w:val="002805D6"/>
    <w:rsid w:val="002835B8"/>
    <w:rsid w:val="0028612E"/>
    <w:rsid w:val="00295F12"/>
    <w:rsid w:val="002A43A9"/>
    <w:rsid w:val="002A6704"/>
    <w:rsid w:val="002B124F"/>
    <w:rsid w:val="002B231A"/>
    <w:rsid w:val="002B562A"/>
    <w:rsid w:val="002C5D9D"/>
    <w:rsid w:val="002C6375"/>
    <w:rsid w:val="002D09E9"/>
    <w:rsid w:val="002D130F"/>
    <w:rsid w:val="002D3539"/>
    <w:rsid w:val="002D515A"/>
    <w:rsid w:val="002D5F9E"/>
    <w:rsid w:val="002E0BCF"/>
    <w:rsid w:val="002E14E7"/>
    <w:rsid w:val="002E1C78"/>
    <w:rsid w:val="002F015D"/>
    <w:rsid w:val="003122DB"/>
    <w:rsid w:val="00315A95"/>
    <w:rsid w:val="00325E3E"/>
    <w:rsid w:val="003300B7"/>
    <w:rsid w:val="00330494"/>
    <w:rsid w:val="00330C30"/>
    <w:rsid w:val="00335037"/>
    <w:rsid w:val="003372BF"/>
    <w:rsid w:val="00343EE9"/>
    <w:rsid w:val="00351CC9"/>
    <w:rsid w:val="0037158E"/>
    <w:rsid w:val="003814A3"/>
    <w:rsid w:val="003A4348"/>
    <w:rsid w:val="003A5513"/>
    <w:rsid w:val="003A6D18"/>
    <w:rsid w:val="003B1599"/>
    <w:rsid w:val="003B2D5C"/>
    <w:rsid w:val="003B4003"/>
    <w:rsid w:val="003D6511"/>
    <w:rsid w:val="003D70B8"/>
    <w:rsid w:val="003D718B"/>
    <w:rsid w:val="003E7215"/>
    <w:rsid w:val="003F6AD0"/>
    <w:rsid w:val="00400E15"/>
    <w:rsid w:val="004106C2"/>
    <w:rsid w:val="0041243A"/>
    <w:rsid w:val="00412E5F"/>
    <w:rsid w:val="00423674"/>
    <w:rsid w:val="00431F7F"/>
    <w:rsid w:val="004329D4"/>
    <w:rsid w:val="00441D5A"/>
    <w:rsid w:val="00451211"/>
    <w:rsid w:val="0045421D"/>
    <w:rsid w:val="004559C0"/>
    <w:rsid w:val="00464465"/>
    <w:rsid w:val="00465E11"/>
    <w:rsid w:val="00466478"/>
    <w:rsid w:val="00471F4A"/>
    <w:rsid w:val="004733A5"/>
    <w:rsid w:val="00476ED4"/>
    <w:rsid w:val="004833FC"/>
    <w:rsid w:val="00484C7C"/>
    <w:rsid w:val="004923FC"/>
    <w:rsid w:val="00495CE5"/>
    <w:rsid w:val="004A0541"/>
    <w:rsid w:val="004A0AFD"/>
    <w:rsid w:val="004A5914"/>
    <w:rsid w:val="004B6052"/>
    <w:rsid w:val="004C6341"/>
    <w:rsid w:val="004C765B"/>
    <w:rsid w:val="004C7DB7"/>
    <w:rsid w:val="004E0A9C"/>
    <w:rsid w:val="004E2516"/>
    <w:rsid w:val="004E5CE5"/>
    <w:rsid w:val="004F731C"/>
    <w:rsid w:val="00500C10"/>
    <w:rsid w:val="00500DB1"/>
    <w:rsid w:val="005136B2"/>
    <w:rsid w:val="00515C41"/>
    <w:rsid w:val="005228E9"/>
    <w:rsid w:val="00530163"/>
    <w:rsid w:val="0053284F"/>
    <w:rsid w:val="00534013"/>
    <w:rsid w:val="0053439F"/>
    <w:rsid w:val="00535294"/>
    <w:rsid w:val="005468C6"/>
    <w:rsid w:val="00555B34"/>
    <w:rsid w:val="005701A2"/>
    <w:rsid w:val="00576261"/>
    <w:rsid w:val="005803F2"/>
    <w:rsid w:val="0058561E"/>
    <w:rsid w:val="0058662B"/>
    <w:rsid w:val="00587215"/>
    <w:rsid w:val="00592A8D"/>
    <w:rsid w:val="00595072"/>
    <w:rsid w:val="00596151"/>
    <w:rsid w:val="005A08C8"/>
    <w:rsid w:val="005A130B"/>
    <w:rsid w:val="005A1C03"/>
    <w:rsid w:val="005A7791"/>
    <w:rsid w:val="005A7CB6"/>
    <w:rsid w:val="005B1978"/>
    <w:rsid w:val="005B6A74"/>
    <w:rsid w:val="005B6B40"/>
    <w:rsid w:val="005D1298"/>
    <w:rsid w:val="005D168E"/>
    <w:rsid w:val="005D3138"/>
    <w:rsid w:val="005D39F3"/>
    <w:rsid w:val="005E6169"/>
    <w:rsid w:val="005F1F50"/>
    <w:rsid w:val="005F432E"/>
    <w:rsid w:val="005F5965"/>
    <w:rsid w:val="006016BB"/>
    <w:rsid w:val="00604208"/>
    <w:rsid w:val="00605D69"/>
    <w:rsid w:val="00614A90"/>
    <w:rsid w:val="006176D1"/>
    <w:rsid w:val="0062303C"/>
    <w:rsid w:val="0062636A"/>
    <w:rsid w:val="00627122"/>
    <w:rsid w:val="00630CEC"/>
    <w:rsid w:val="00662506"/>
    <w:rsid w:val="00662B2E"/>
    <w:rsid w:val="00665C4F"/>
    <w:rsid w:val="00665C7F"/>
    <w:rsid w:val="006812DD"/>
    <w:rsid w:val="006851A2"/>
    <w:rsid w:val="00686037"/>
    <w:rsid w:val="006A56D5"/>
    <w:rsid w:val="006B0172"/>
    <w:rsid w:val="006B1AED"/>
    <w:rsid w:val="006B3B6E"/>
    <w:rsid w:val="006B5142"/>
    <w:rsid w:val="006B727F"/>
    <w:rsid w:val="006B79CB"/>
    <w:rsid w:val="006D46FB"/>
    <w:rsid w:val="006D4F2E"/>
    <w:rsid w:val="006D7E74"/>
    <w:rsid w:val="006F2871"/>
    <w:rsid w:val="006F334E"/>
    <w:rsid w:val="0070170B"/>
    <w:rsid w:val="00717371"/>
    <w:rsid w:val="0072511A"/>
    <w:rsid w:val="0073006D"/>
    <w:rsid w:val="007327C9"/>
    <w:rsid w:val="00750CD8"/>
    <w:rsid w:val="00757963"/>
    <w:rsid w:val="00763302"/>
    <w:rsid w:val="0077063A"/>
    <w:rsid w:val="007735F7"/>
    <w:rsid w:val="00781B2B"/>
    <w:rsid w:val="00785DEC"/>
    <w:rsid w:val="00792FCC"/>
    <w:rsid w:val="007937F0"/>
    <w:rsid w:val="007A0F1A"/>
    <w:rsid w:val="007A3EEF"/>
    <w:rsid w:val="007A42AB"/>
    <w:rsid w:val="007A7AEA"/>
    <w:rsid w:val="007D3028"/>
    <w:rsid w:val="007D4F59"/>
    <w:rsid w:val="007E17B4"/>
    <w:rsid w:val="007E2368"/>
    <w:rsid w:val="007E3C4D"/>
    <w:rsid w:val="007E5F2F"/>
    <w:rsid w:val="007F1D14"/>
    <w:rsid w:val="007F4782"/>
    <w:rsid w:val="007F56DF"/>
    <w:rsid w:val="0080005A"/>
    <w:rsid w:val="00800248"/>
    <w:rsid w:val="00807863"/>
    <w:rsid w:val="00810E9A"/>
    <w:rsid w:val="008110C6"/>
    <w:rsid w:val="00814950"/>
    <w:rsid w:val="00817E12"/>
    <w:rsid w:val="008216B7"/>
    <w:rsid w:val="00822520"/>
    <w:rsid w:val="0082478F"/>
    <w:rsid w:val="008274FC"/>
    <w:rsid w:val="0083307B"/>
    <w:rsid w:val="00836453"/>
    <w:rsid w:val="008419D4"/>
    <w:rsid w:val="008501AD"/>
    <w:rsid w:val="008530EF"/>
    <w:rsid w:val="008568B3"/>
    <w:rsid w:val="00857CBB"/>
    <w:rsid w:val="008643C1"/>
    <w:rsid w:val="00867ABD"/>
    <w:rsid w:val="00877168"/>
    <w:rsid w:val="00886046"/>
    <w:rsid w:val="00887451"/>
    <w:rsid w:val="0089457A"/>
    <w:rsid w:val="008948EE"/>
    <w:rsid w:val="008A49D3"/>
    <w:rsid w:val="008B0D5B"/>
    <w:rsid w:val="008B3619"/>
    <w:rsid w:val="008B4CFA"/>
    <w:rsid w:val="008B75FC"/>
    <w:rsid w:val="008C27F6"/>
    <w:rsid w:val="008D0920"/>
    <w:rsid w:val="008D26A7"/>
    <w:rsid w:val="008D42B7"/>
    <w:rsid w:val="008F7B30"/>
    <w:rsid w:val="009014D5"/>
    <w:rsid w:val="00902634"/>
    <w:rsid w:val="00905E2D"/>
    <w:rsid w:val="00907350"/>
    <w:rsid w:val="00910FBB"/>
    <w:rsid w:val="00915FB7"/>
    <w:rsid w:val="00916DEE"/>
    <w:rsid w:val="0092233F"/>
    <w:rsid w:val="00930277"/>
    <w:rsid w:val="00934C1A"/>
    <w:rsid w:val="00937767"/>
    <w:rsid w:val="00941F37"/>
    <w:rsid w:val="009444B9"/>
    <w:rsid w:val="009517B7"/>
    <w:rsid w:val="009537C1"/>
    <w:rsid w:val="00960914"/>
    <w:rsid w:val="00961DFE"/>
    <w:rsid w:val="00966CF8"/>
    <w:rsid w:val="00971760"/>
    <w:rsid w:val="0098761C"/>
    <w:rsid w:val="009A2F97"/>
    <w:rsid w:val="009A77A2"/>
    <w:rsid w:val="009D0592"/>
    <w:rsid w:val="009D3140"/>
    <w:rsid w:val="009E0351"/>
    <w:rsid w:val="009E0FE8"/>
    <w:rsid w:val="009E14D5"/>
    <w:rsid w:val="009E48C4"/>
    <w:rsid w:val="009F0379"/>
    <w:rsid w:val="009F1908"/>
    <w:rsid w:val="009F6840"/>
    <w:rsid w:val="00A00831"/>
    <w:rsid w:val="00A10D19"/>
    <w:rsid w:val="00A25D89"/>
    <w:rsid w:val="00A32AAA"/>
    <w:rsid w:val="00A356A5"/>
    <w:rsid w:val="00A41271"/>
    <w:rsid w:val="00A45FAE"/>
    <w:rsid w:val="00A501BD"/>
    <w:rsid w:val="00A623BD"/>
    <w:rsid w:val="00A62FEF"/>
    <w:rsid w:val="00A66A96"/>
    <w:rsid w:val="00A709DE"/>
    <w:rsid w:val="00A736CB"/>
    <w:rsid w:val="00A74256"/>
    <w:rsid w:val="00A83C93"/>
    <w:rsid w:val="00A91B18"/>
    <w:rsid w:val="00A92784"/>
    <w:rsid w:val="00A97043"/>
    <w:rsid w:val="00AA0618"/>
    <w:rsid w:val="00AA3B74"/>
    <w:rsid w:val="00AB0C6D"/>
    <w:rsid w:val="00AB0F94"/>
    <w:rsid w:val="00AB5053"/>
    <w:rsid w:val="00AC079C"/>
    <w:rsid w:val="00AC29CA"/>
    <w:rsid w:val="00AD1211"/>
    <w:rsid w:val="00AD2109"/>
    <w:rsid w:val="00AD2518"/>
    <w:rsid w:val="00AE3EE0"/>
    <w:rsid w:val="00AE4BD0"/>
    <w:rsid w:val="00AE5CF2"/>
    <w:rsid w:val="00AE7F3F"/>
    <w:rsid w:val="00AF1962"/>
    <w:rsid w:val="00AF3E03"/>
    <w:rsid w:val="00AF77F7"/>
    <w:rsid w:val="00AF7B79"/>
    <w:rsid w:val="00B05EFC"/>
    <w:rsid w:val="00B27DA4"/>
    <w:rsid w:val="00B27E46"/>
    <w:rsid w:val="00B30EE8"/>
    <w:rsid w:val="00B336BB"/>
    <w:rsid w:val="00B35D22"/>
    <w:rsid w:val="00B40362"/>
    <w:rsid w:val="00B42381"/>
    <w:rsid w:val="00B51FFE"/>
    <w:rsid w:val="00B539DC"/>
    <w:rsid w:val="00B65859"/>
    <w:rsid w:val="00B72CA2"/>
    <w:rsid w:val="00B75DC8"/>
    <w:rsid w:val="00B77497"/>
    <w:rsid w:val="00B814E0"/>
    <w:rsid w:val="00B818CB"/>
    <w:rsid w:val="00B83693"/>
    <w:rsid w:val="00B84129"/>
    <w:rsid w:val="00B92B5F"/>
    <w:rsid w:val="00B96899"/>
    <w:rsid w:val="00BA4B24"/>
    <w:rsid w:val="00BB55D5"/>
    <w:rsid w:val="00BD045A"/>
    <w:rsid w:val="00BD0F29"/>
    <w:rsid w:val="00BD59AD"/>
    <w:rsid w:val="00BD6D22"/>
    <w:rsid w:val="00BD719F"/>
    <w:rsid w:val="00BE1BFA"/>
    <w:rsid w:val="00BE1ED2"/>
    <w:rsid w:val="00BE3CAE"/>
    <w:rsid w:val="00C01DA1"/>
    <w:rsid w:val="00C054F1"/>
    <w:rsid w:val="00C06CDA"/>
    <w:rsid w:val="00C138E8"/>
    <w:rsid w:val="00C262F6"/>
    <w:rsid w:val="00C32B14"/>
    <w:rsid w:val="00C36B13"/>
    <w:rsid w:val="00C374BE"/>
    <w:rsid w:val="00C4105B"/>
    <w:rsid w:val="00C41984"/>
    <w:rsid w:val="00C53FAA"/>
    <w:rsid w:val="00C5555A"/>
    <w:rsid w:val="00C6441F"/>
    <w:rsid w:val="00C6646F"/>
    <w:rsid w:val="00C6669C"/>
    <w:rsid w:val="00C700F5"/>
    <w:rsid w:val="00C77282"/>
    <w:rsid w:val="00C93763"/>
    <w:rsid w:val="00C9568A"/>
    <w:rsid w:val="00C95F0E"/>
    <w:rsid w:val="00CA1C81"/>
    <w:rsid w:val="00CB5FDA"/>
    <w:rsid w:val="00CC025E"/>
    <w:rsid w:val="00CC4C70"/>
    <w:rsid w:val="00CC5E57"/>
    <w:rsid w:val="00CC71C2"/>
    <w:rsid w:val="00CD2537"/>
    <w:rsid w:val="00CD3F95"/>
    <w:rsid w:val="00CD4461"/>
    <w:rsid w:val="00CD47A0"/>
    <w:rsid w:val="00CE4E24"/>
    <w:rsid w:val="00CE54D7"/>
    <w:rsid w:val="00CE7661"/>
    <w:rsid w:val="00CF00DF"/>
    <w:rsid w:val="00CF0439"/>
    <w:rsid w:val="00CF28F6"/>
    <w:rsid w:val="00CF4F63"/>
    <w:rsid w:val="00D03930"/>
    <w:rsid w:val="00D12507"/>
    <w:rsid w:val="00D128A5"/>
    <w:rsid w:val="00D13052"/>
    <w:rsid w:val="00D23BB5"/>
    <w:rsid w:val="00D36935"/>
    <w:rsid w:val="00D530D0"/>
    <w:rsid w:val="00D53C00"/>
    <w:rsid w:val="00D54EDE"/>
    <w:rsid w:val="00D65890"/>
    <w:rsid w:val="00D74329"/>
    <w:rsid w:val="00D74986"/>
    <w:rsid w:val="00D82C71"/>
    <w:rsid w:val="00D8379D"/>
    <w:rsid w:val="00D91712"/>
    <w:rsid w:val="00D947D4"/>
    <w:rsid w:val="00D953BB"/>
    <w:rsid w:val="00DA26AD"/>
    <w:rsid w:val="00DA69CB"/>
    <w:rsid w:val="00DA7AD6"/>
    <w:rsid w:val="00DB0136"/>
    <w:rsid w:val="00DB0B37"/>
    <w:rsid w:val="00DD05D6"/>
    <w:rsid w:val="00DD26A2"/>
    <w:rsid w:val="00E02B45"/>
    <w:rsid w:val="00E14848"/>
    <w:rsid w:val="00E17075"/>
    <w:rsid w:val="00E178ED"/>
    <w:rsid w:val="00E30AE1"/>
    <w:rsid w:val="00E3226F"/>
    <w:rsid w:val="00E3731F"/>
    <w:rsid w:val="00E47F4B"/>
    <w:rsid w:val="00E539FD"/>
    <w:rsid w:val="00E82432"/>
    <w:rsid w:val="00E93DF0"/>
    <w:rsid w:val="00EA2CC4"/>
    <w:rsid w:val="00EA5097"/>
    <w:rsid w:val="00EA79C8"/>
    <w:rsid w:val="00EC2E93"/>
    <w:rsid w:val="00EC44E6"/>
    <w:rsid w:val="00ED05E1"/>
    <w:rsid w:val="00EE04D8"/>
    <w:rsid w:val="00EE165B"/>
    <w:rsid w:val="00EE3F20"/>
    <w:rsid w:val="00EE4432"/>
    <w:rsid w:val="00EF18A9"/>
    <w:rsid w:val="00EF4CA4"/>
    <w:rsid w:val="00EF6800"/>
    <w:rsid w:val="00F04802"/>
    <w:rsid w:val="00F156B1"/>
    <w:rsid w:val="00F202C7"/>
    <w:rsid w:val="00F2247D"/>
    <w:rsid w:val="00F27F2C"/>
    <w:rsid w:val="00F36214"/>
    <w:rsid w:val="00F41701"/>
    <w:rsid w:val="00F41C15"/>
    <w:rsid w:val="00F43734"/>
    <w:rsid w:val="00F462D6"/>
    <w:rsid w:val="00F5176D"/>
    <w:rsid w:val="00F53B99"/>
    <w:rsid w:val="00F62E85"/>
    <w:rsid w:val="00F6325E"/>
    <w:rsid w:val="00F63EBC"/>
    <w:rsid w:val="00F65793"/>
    <w:rsid w:val="00F665E5"/>
    <w:rsid w:val="00F70DC7"/>
    <w:rsid w:val="00F72D95"/>
    <w:rsid w:val="00F73F09"/>
    <w:rsid w:val="00F7655D"/>
    <w:rsid w:val="00F7781A"/>
    <w:rsid w:val="00F8291A"/>
    <w:rsid w:val="00F84F11"/>
    <w:rsid w:val="00F85448"/>
    <w:rsid w:val="00F85884"/>
    <w:rsid w:val="00F9043B"/>
    <w:rsid w:val="00F936D5"/>
    <w:rsid w:val="00F963D2"/>
    <w:rsid w:val="00FA73EE"/>
    <w:rsid w:val="00FB14A6"/>
    <w:rsid w:val="00FB152A"/>
    <w:rsid w:val="00FB1C8B"/>
    <w:rsid w:val="00FB6B3D"/>
    <w:rsid w:val="00FC2213"/>
    <w:rsid w:val="00FC5529"/>
    <w:rsid w:val="00FD0093"/>
    <w:rsid w:val="00FD0430"/>
    <w:rsid w:val="00FD0FA4"/>
    <w:rsid w:val="00FD42B4"/>
    <w:rsid w:val="00FD5755"/>
    <w:rsid w:val="00FD7E60"/>
    <w:rsid w:val="00FE5456"/>
    <w:rsid w:val="00FE615B"/>
    <w:rsid w:val="00FF6671"/>
    <w:rsid w:val="547C66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before="60" w:beforeLines="60" w:line="312" w:lineRule="auto"/>
      <w:jc w:val="both"/>
    </w:pPr>
    <w:rPr>
      <w:rFonts w:ascii="Arial" w:hAnsi="Arial" w:eastAsia="宋体" w:cs="Times New Roman"/>
      <w:kern w:val="2"/>
      <w:sz w:val="24"/>
      <w:szCs w:val="22"/>
      <w:lang w:val="en-US" w:eastAsia="zh-CN" w:bidi="ar-SA"/>
    </w:rPr>
  </w:style>
  <w:style w:type="paragraph" w:styleId="2">
    <w:name w:val="heading 1"/>
    <w:basedOn w:val="1"/>
    <w:next w:val="1"/>
    <w:link w:val="14"/>
    <w:qFormat/>
    <w:uiPriority w:val="9"/>
    <w:pPr>
      <w:keepNext/>
      <w:keepLines/>
      <w:spacing w:before="50" w:beforeLines="50" w:after="50" w:afterLines="50" w:line="360" w:lineRule="exact"/>
      <w:outlineLvl w:val="0"/>
    </w:pPr>
    <w:rPr>
      <w:rFonts w:ascii="Times New Roman" w:hAnsi="Times New Roman"/>
      <w:b/>
      <w:bCs/>
      <w:kern w:val="44"/>
      <w:szCs w:val="44"/>
      <w:lang w:val="zh-CN" w:eastAsia="zh-CN"/>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5"/>
    <w:semiHidden/>
    <w:unhideWhenUsed/>
    <w:qFormat/>
    <w:uiPriority w:val="99"/>
    <w:rPr>
      <w:sz w:val="18"/>
      <w:szCs w:val="18"/>
      <w:lang w:val="zh-CN" w:eastAsia="zh-CN"/>
    </w:rPr>
  </w:style>
  <w:style w:type="paragraph" w:styleId="4">
    <w:name w:val="footer"/>
    <w:basedOn w:val="1"/>
    <w:link w:val="13"/>
    <w:unhideWhenUsed/>
    <w:qFormat/>
    <w:uiPriority w:val="99"/>
    <w:pPr>
      <w:tabs>
        <w:tab w:val="center" w:pos="4153"/>
        <w:tab w:val="right" w:pos="8306"/>
      </w:tabs>
      <w:jc w:val="left"/>
    </w:pPr>
    <w:rPr>
      <w:kern w:val="0"/>
      <w:sz w:val="18"/>
      <w:szCs w:val="18"/>
      <w:lang w:val="zh-CN" w:eastAsia="zh-CN"/>
    </w:rPr>
  </w:style>
  <w:style w:type="paragraph" w:styleId="5">
    <w:name w:val="header"/>
    <w:basedOn w:val="1"/>
    <w:link w:val="12"/>
    <w:unhideWhenUsed/>
    <w:qFormat/>
    <w:uiPriority w:val="99"/>
    <w:pPr>
      <w:pBdr>
        <w:bottom w:val="single" w:color="auto" w:sz="6" w:space="1"/>
      </w:pBdr>
      <w:tabs>
        <w:tab w:val="center" w:pos="4153"/>
        <w:tab w:val="right" w:pos="8306"/>
      </w:tabs>
      <w:jc w:val="center"/>
    </w:pPr>
    <w:rPr>
      <w:kern w:val="0"/>
      <w:sz w:val="18"/>
      <w:szCs w:val="18"/>
      <w:lang w:val="zh-CN" w:eastAsia="zh-CN"/>
    </w:rPr>
  </w:style>
  <w:style w:type="paragraph" w:styleId="6">
    <w:name w:val="toc 1"/>
    <w:basedOn w:val="1"/>
    <w:next w:val="1"/>
    <w:autoRedefine/>
    <w:unhideWhenUsed/>
    <w:qFormat/>
    <w:uiPriority w:val="39"/>
  </w:style>
  <w:style w:type="table" w:styleId="8">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
    <w:name w:val="Hyperlink"/>
    <w:unhideWhenUsed/>
    <w:qFormat/>
    <w:uiPriority w:val="99"/>
    <w:rPr>
      <w:color w:val="0000FF"/>
      <w:u w:val="single"/>
    </w:rPr>
  </w:style>
  <w:style w:type="paragraph" w:styleId="11">
    <w:name w:val="List Paragraph"/>
    <w:basedOn w:val="1"/>
    <w:qFormat/>
    <w:uiPriority w:val="34"/>
    <w:pPr>
      <w:ind w:firstLine="200" w:firstLineChars="200"/>
    </w:pPr>
  </w:style>
  <w:style w:type="character" w:customStyle="1" w:styleId="12">
    <w:name w:val="页眉 Char"/>
    <w:link w:val="5"/>
    <w:qFormat/>
    <w:uiPriority w:val="99"/>
    <w:rPr>
      <w:sz w:val="18"/>
      <w:szCs w:val="18"/>
    </w:rPr>
  </w:style>
  <w:style w:type="character" w:customStyle="1" w:styleId="13">
    <w:name w:val="页脚 Char"/>
    <w:link w:val="4"/>
    <w:qFormat/>
    <w:uiPriority w:val="99"/>
    <w:rPr>
      <w:sz w:val="18"/>
      <w:szCs w:val="18"/>
    </w:rPr>
  </w:style>
  <w:style w:type="character" w:customStyle="1" w:styleId="14">
    <w:name w:val="标题 1 Char"/>
    <w:link w:val="2"/>
    <w:qFormat/>
    <w:uiPriority w:val="9"/>
    <w:rPr>
      <w:rFonts w:ascii="Times New Roman" w:hAnsi="Times New Roman"/>
      <w:b/>
      <w:bCs/>
      <w:kern w:val="44"/>
      <w:sz w:val="24"/>
      <w:szCs w:val="44"/>
    </w:rPr>
  </w:style>
  <w:style w:type="character" w:customStyle="1" w:styleId="15">
    <w:name w:val="批注框文本 Char"/>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theme" Target="theme/theme1.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9C974-BD9A-4EB5-B82C-EAB7ACE4940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35</Pages>
  <Words>17771</Words>
  <Characters>29438</Characters>
  <Lines>223</Lines>
  <Paragraphs>62</Paragraphs>
  <TotalTime>0</TotalTime>
  <ScaleCrop>false</ScaleCrop>
  <LinksUpToDate>false</LinksUpToDate>
  <CharactersWithSpaces>31448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2017-04-06T09:42:00Z</dcterms:created>
  <dc:creator>User</dc:creator>
  <cp:lastModifiedBy>太极箫客</cp:lastModifiedBy>
  <dcterms:modified xsi:type="dcterms:W3CDTF">2025-08-14T06:36:15Z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6545E7EE79D14532B7B82C0CCBC3715E_12</vt:lpwstr>
  </property>
</Properties>
</file>