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667C">
      <w:pPr>
        <w:snapToGrid w:val="0"/>
        <w:spacing w:before="1560" w:beforeLines="500" w:after="624" w:afterLines="200" w:line="300" w:lineRule="auto"/>
        <w:jc w:val="center"/>
        <w:rPr>
          <w:rFonts w:ascii="Arial" w:hAnsi="Arial" w:cs="Arial"/>
          <w:b/>
          <w:sz w:val="72"/>
          <w:szCs w:val="72"/>
        </w:rPr>
      </w:pPr>
      <w:bookmarkStart w:id="15" w:name="_GoBack"/>
      <w:bookmarkEnd w:id="15"/>
      <w:r>
        <w:rPr>
          <w:rFonts w:ascii="Arial" w:hAnsi="Arial" w:cs="Arial"/>
          <w:b/>
          <w:sz w:val="72"/>
          <w:szCs w:val="72"/>
        </w:rPr>
        <w:t>行业及FDA工作人员指南：</w:t>
      </w:r>
    </w:p>
    <w:p w14:paraId="4F0C2429">
      <w:pPr>
        <w:snapToGrid w:val="0"/>
        <w:spacing w:after="156" w:afterLines="50" w:line="300" w:lineRule="auto"/>
        <w:jc w:val="center"/>
        <w:rPr>
          <w:rFonts w:ascii="Arial" w:hAnsi="Arial" w:cs="Arial"/>
          <w:b/>
          <w:sz w:val="72"/>
          <w:szCs w:val="72"/>
        </w:rPr>
      </w:pPr>
      <w:r>
        <w:rPr>
          <w:rFonts w:ascii="Arial" w:hAnsi="Arial" w:cs="Arial"/>
          <w:b/>
          <w:sz w:val="72"/>
          <w:szCs w:val="72"/>
        </w:rPr>
        <w:t>创新性组合产品开发早期应考虑的因素</w:t>
      </w:r>
    </w:p>
    <w:p w14:paraId="1356FD70">
      <w:pPr>
        <w:overflowPunct w:val="0"/>
        <w:snapToGrid w:val="0"/>
        <w:spacing w:after="156" w:afterLines="50" w:line="300" w:lineRule="auto"/>
        <w:rPr>
          <w:rFonts w:ascii="Arial" w:hAnsi="Arial" w:cs="Arial"/>
          <w:sz w:val="24"/>
          <w:szCs w:val="24"/>
        </w:rPr>
      </w:pPr>
    </w:p>
    <w:p w14:paraId="166B7446">
      <w:pPr>
        <w:overflowPunct w:val="0"/>
        <w:snapToGrid w:val="0"/>
        <w:spacing w:after="156" w:afterLines="50" w:line="300" w:lineRule="auto"/>
        <w:rPr>
          <w:rFonts w:ascii="Arial" w:hAnsi="Arial" w:cs="Arial"/>
          <w:sz w:val="24"/>
          <w:szCs w:val="24"/>
        </w:rPr>
      </w:pPr>
    </w:p>
    <w:p w14:paraId="332F662C">
      <w:pPr>
        <w:overflowPunct w:val="0"/>
        <w:snapToGrid w:val="0"/>
        <w:spacing w:after="156" w:afterLines="50" w:line="300" w:lineRule="auto"/>
        <w:rPr>
          <w:rFonts w:ascii="Arial" w:hAnsi="Arial" w:cs="Arial"/>
          <w:sz w:val="24"/>
          <w:szCs w:val="24"/>
        </w:rPr>
      </w:pPr>
    </w:p>
    <w:p w14:paraId="0AE480A6">
      <w:pPr>
        <w:overflowPunct w:val="0"/>
        <w:snapToGrid w:val="0"/>
        <w:spacing w:after="156" w:afterLines="50" w:line="300" w:lineRule="auto"/>
        <w:rPr>
          <w:rFonts w:ascii="Arial" w:hAnsi="Arial" w:cs="Arial"/>
          <w:sz w:val="24"/>
          <w:szCs w:val="24"/>
        </w:rPr>
      </w:pPr>
    </w:p>
    <w:p w14:paraId="1BF6EBD5">
      <w:pPr>
        <w:overflowPunct w:val="0"/>
        <w:snapToGrid w:val="0"/>
        <w:spacing w:after="156" w:afterLines="50" w:line="300" w:lineRule="auto"/>
        <w:rPr>
          <w:rFonts w:ascii="Arial" w:hAnsi="Arial" w:cs="Arial"/>
          <w:sz w:val="24"/>
          <w:szCs w:val="24"/>
        </w:rPr>
      </w:pPr>
    </w:p>
    <w:p w14:paraId="0F82667B">
      <w:pPr>
        <w:overflowPunct w:val="0"/>
        <w:snapToGrid w:val="0"/>
        <w:spacing w:after="156" w:afterLines="50" w:line="300" w:lineRule="auto"/>
        <w:rPr>
          <w:rFonts w:ascii="Arial" w:hAnsi="Arial" w:cs="Arial"/>
          <w:sz w:val="24"/>
          <w:szCs w:val="24"/>
        </w:rPr>
      </w:pPr>
    </w:p>
    <w:p w14:paraId="7225EB95">
      <w:pPr>
        <w:overflowPunct w:val="0"/>
        <w:snapToGrid w:val="0"/>
        <w:spacing w:after="156" w:afterLines="50" w:line="300" w:lineRule="auto"/>
        <w:rPr>
          <w:rFonts w:ascii="Arial" w:hAnsi="Arial" w:cs="Arial"/>
          <w:sz w:val="24"/>
          <w:szCs w:val="24"/>
        </w:rPr>
      </w:pPr>
    </w:p>
    <w:p w14:paraId="5BC0D1EE">
      <w:pPr>
        <w:overflowPunct w:val="0"/>
        <w:snapToGrid w:val="0"/>
        <w:spacing w:after="156" w:afterLines="50" w:line="300" w:lineRule="auto"/>
        <w:rPr>
          <w:rFonts w:ascii="Arial" w:hAnsi="Arial" w:cs="Arial"/>
          <w:sz w:val="24"/>
          <w:szCs w:val="24"/>
        </w:rPr>
      </w:pPr>
    </w:p>
    <w:p w14:paraId="77E6D7BB">
      <w:pPr>
        <w:overflowPunct w:val="0"/>
        <w:snapToGrid w:val="0"/>
        <w:spacing w:after="156" w:afterLines="50" w:line="300" w:lineRule="auto"/>
        <w:jc w:val="center"/>
        <w:rPr>
          <w:rFonts w:ascii="Arial" w:hAnsi="Arial" w:cs="Arial"/>
          <w:sz w:val="24"/>
          <w:szCs w:val="24"/>
        </w:rPr>
      </w:pPr>
      <w:r>
        <w:rPr>
          <w:rFonts w:ascii="Arial" w:hAnsi="Arial" w:cs="Arial"/>
          <w:sz w:val="24"/>
          <w:szCs w:val="24"/>
        </w:rPr>
        <w:t>本文件有关问题，请联系：组合产品办公室，医疗器械部Patricia Y. Love，电话301-427-1934。</w:t>
      </w:r>
    </w:p>
    <w:p w14:paraId="317FDD19">
      <w:pPr>
        <w:overflowPunct w:val="0"/>
        <w:snapToGrid w:val="0"/>
        <w:spacing w:after="156" w:afterLines="50" w:line="300" w:lineRule="auto"/>
        <w:jc w:val="center"/>
        <w:rPr>
          <w:rFonts w:ascii="Arial" w:hAnsi="Arial" w:cs="Arial"/>
          <w:sz w:val="24"/>
          <w:szCs w:val="24"/>
        </w:rPr>
      </w:pPr>
    </w:p>
    <w:p w14:paraId="5B70D2FD">
      <w:pPr>
        <w:overflowPunct w:val="0"/>
        <w:snapToGrid w:val="0"/>
        <w:spacing w:line="300" w:lineRule="auto"/>
        <w:jc w:val="center"/>
        <w:rPr>
          <w:rFonts w:ascii="Arial" w:hAnsi="Arial" w:cs="Arial"/>
          <w:b/>
          <w:sz w:val="24"/>
          <w:szCs w:val="24"/>
        </w:rPr>
      </w:pPr>
      <w:r>
        <w:rPr>
          <w:rFonts w:ascii="Arial" w:hAnsi="Arial" w:cs="Arial"/>
          <w:b/>
          <w:sz w:val="24"/>
          <w:szCs w:val="24"/>
        </w:rPr>
        <w:t>美国卫生和人类服务署</w:t>
      </w:r>
    </w:p>
    <w:p w14:paraId="3AF07C20">
      <w:pPr>
        <w:overflowPunct w:val="0"/>
        <w:snapToGrid w:val="0"/>
        <w:spacing w:line="300" w:lineRule="auto"/>
        <w:jc w:val="center"/>
        <w:rPr>
          <w:rFonts w:ascii="Arial" w:hAnsi="Arial" w:cs="Arial"/>
          <w:b/>
          <w:sz w:val="24"/>
          <w:szCs w:val="24"/>
        </w:rPr>
      </w:pPr>
      <w:r>
        <w:rPr>
          <w:rFonts w:ascii="Arial" w:hAnsi="Arial" w:cs="Arial"/>
          <w:b/>
          <w:sz w:val="24"/>
          <w:szCs w:val="24"/>
        </w:rPr>
        <w:t>食品药品监督管理局</w:t>
      </w:r>
    </w:p>
    <w:p w14:paraId="7C3B78D7">
      <w:pPr>
        <w:overflowPunct w:val="0"/>
        <w:snapToGrid w:val="0"/>
        <w:spacing w:line="300" w:lineRule="auto"/>
        <w:jc w:val="center"/>
        <w:rPr>
          <w:rFonts w:ascii="Arial" w:hAnsi="Arial" w:cs="Arial"/>
          <w:b/>
          <w:sz w:val="24"/>
          <w:szCs w:val="24"/>
        </w:rPr>
      </w:pPr>
      <w:r>
        <w:rPr>
          <w:rFonts w:ascii="Arial" w:hAnsi="Arial" w:cs="Arial"/>
          <w:b/>
          <w:sz w:val="24"/>
          <w:szCs w:val="24"/>
        </w:rPr>
        <w:t>委员办公室</w:t>
      </w:r>
    </w:p>
    <w:p w14:paraId="773A639D">
      <w:pPr>
        <w:overflowPunct w:val="0"/>
        <w:snapToGrid w:val="0"/>
        <w:spacing w:after="156" w:afterLines="50" w:line="300" w:lineRule="auto"/>
        <w:jc w:val="center"/>
        <w:rPr>
          <w:rFonts w:ascii="Arial" w:hAnsi="Arial" w:cs="Arial"/>
          <w:b/>
          <w:sz w:val="24"/>
          <w:szCs w:val="24"/>
        </w:rPr>
      </w:pPr>
      <w:r>
        <w:rPr>
          <w:rFonts w:ascii="Arial" w:hAnsi="Arial" w:cs="Arial"/>
          <w:b/>
          <w:sz w:val="24"/>
          <w:szCs w:val="24"/>
        </w:rPr>
        <w:t>组合产品办公室</w:t>
      </w:r>
    </w:p>
    <w:p w14:paraId="2AE1CA13">
      <w:pPr>
        <w:overflowPunct w:val="0"/>
        <w:snapToGrid w:val="0"/>
        <w:spacing w:after="156" w:afterLines="50" w:line="300" w:lineRule="auto"/>
        <w:jc w:val="center"/>
        <w:rPr>
          <w:rFonts w:ascii="Arial" w:hAnsi="Arial" w:cs="Arial"/>
          <w:b/>
          <w:sz w:val="24"/>
          <w:szCs w:val="24"/>
        </w:rPr>
      </w:pPr>
    </w:p>
    <w:p w14:paraId="3CB609D2">
      <w:pPr>
        <w:overflowPunct w:val="0"/>
        <w:snapToGrid w:val="0"/>
        <w:spacing w:after="156" w:afterLines="50" w:line="300" w:lineRule="auto"/>
        <w:jc w:val="center"/>
        <w:rPr>
          <w:rFonts w:ascii="Arial" w:hAnsi="Arial" w:cs="Arial"/>
          <w:sz w:val="24"/>
          <w:szCs w:val="24"/>
        </w:rPr>
      </w:pPr>
      <w:r>
        <w:rPr>
          <w:rFonts w:ascii="Arial" w:hAnsi="Arial" w:cs="Arial"/>
          <w:b/>
          <w:sz w:val="24"/>
          <w:szCs w:val="24"/>
        </w:rPr>
        <w:t>2006年9月</w:t>
      </w:r>
      <w:r>
        <w:rPr>
          <w:rFonts w:ascii="Arial" w:hAnsi="Arial" w:cs="Arial"/>
          <w:sz w:val="24"/>
          <w:szCs w:val="24"/>
        </w:rPr>
        <w:br w:type="page"/>
      </w:r>
    </w:p>
    <w:p w14:paraId="549CF5D2">
      <w:pPr>
        <w:overflowPunct w:val="0"/>
        <w:snapToGrid w:val="0"/>
        <w:spacing w:after="624" w:afterLines="200" w:line="300" w:lineRule="auto"/>
        <w:jc w:val="center"/>
        <w:rPr>
          <w:rFonts w:ascii="Arial" w:hAnsi="Arial" w:cs="Arial"/>
          <w:b/>
          <w:sz w:val="72"/>
          <w:szCs w:val="72"/>
        </w:rPr>
      </w:pPr>
      <w:r>
        <w:rPr>
          <w:rFonts w:ascii="Arial" w:hAnsi="Arial" w:cs="Arial"/>
          <w:b/>
          <w:sz w:val="72"/>
          <w:szCs w:val="72"/>
        </w:rPr>
        <w:t>行业及FDA工作人员指南</w:t>
      </w:r>
    </w:p>
    <w:p w14:paraId="5ED5DD3A">
      <w:pPr>
        <w:overflowPunct w:val="0"/>
        <w:snapToGrid w:val="0"/>
        <w:spacing w:after="156" w:afterLines="50" w:line="300" w:lineRule="auto"/>
        <w:jc w:val="center"/>
        <w:rPr>
          <w:rFonts w:ascii="Arial" w:hAnsi="Arial" w:cs="Arial"/>
          <w:b/>
          <w:sz w:val="72"/>
          <w:szCs w:val="72"/>
        </w:rPr>
      </w:pPr>
      <w:r>
        <w:rPr>
          <w:rFonts w:ascii="Arial" w:hAnsi="Arial" w:cs="Arial"/>
          <w:b/>
          <w:sz w:val="72"/>
          <w:szCs w:val="72"/>
        </w:rPr>
        <w:t>创新性组合产品开发早期应考虑的因素</w:t>
      </w:r>
    </w:p>
    <w:p w14:paraId="617482E2">
      <w:pPr>
        <w:overflowPunct w:val="0"/>
        <w:snapToGrid w:val="0"/>
        <w:spacing w:after="156" w:afterLines="50" w:line="300" w:lineRule="auto"/>
        <w:jc w:val="center"/>
        <w:rPr>
          <w:rFonts w:ascii="Arial" w:hAnsi="Arial" w:cs="Arial"/>
          <w:sz w:val="24"/>
          <w:szCs w:val="24"/>
        </w:rPr>
      </w:pPr>
    </w:p>
    <w:p w14:paraId="20008094">
      <w:pPr>
        <w:overflowPunct w:val="0"/>
        <w:snapToGrid w:val="0"/>
        <w:spacing w:after="156" w:afterLines="50" w:line="300" w:lineRule="auto"/>
        <w:jc w:val="center"/>
        <w:rPr>
          <w:rFonts w:ascii="Arial" w:hAnsi="Arial" w:cs="Arial"/>
          <w:sz w:val="24"/>
          <w:szCs w:val="24"/>
        </w:rPr>
      </w:pPr>
    </w:p>
    <w:p w14:paraId="18C822B8">
      <w:pPr>
        <w:overflowPunct w:val="0"/>
        <w:snapToGrid w:val="0"/>
        <w:spacing w:after="156" w:afterLines="50" w:line="300" w:lineRule="auto"/>
        <w:jc w:val="center"/>
        <w:rPr>
          <w:rFonts w:ascii="Arial" w:hAnsi="Arial" w:cs="Arial"/>
          <w:sz w:val="24"/>
          <w:szCs w:val="24"/>
        </w:rPr>
      </w:pPr>
    </w:p>
    <w:p w14:paraId="3443A689">
      <w:pPr>
        <w:overflowPunct w:val="0"/>
        <w:snapToGrid w:val="0"/>
        <w:spacing w:after="156" w:afterLines="50" w:line="300" w:lineRule="auto"/>
        <w:jc w:val="center"/>
        <w:rPr>
          <w:rFonts w:ascii="Arial" w:hAnsi="Arial" w:cs="Arial"/>
          <w:sz w:val="24"/>
          <w:szCs w:val="24"/>
        </w:rPr>
      </w:pPr>
    </w:p>
    <w:p w14:paraId="02799BD8">
      <w:pPr>
        <w:overflowPunct w:val="0"/>
        <w:snapToGrid w:val="0"/>
        <w:spacing w:after="156" w:afterLines="50" w:line="300" w:lineRule="auto"/>
        <w:jc w:val="center"/>
        <w:rPr>
          <w:rFonts w:ascii="Arial" w:hAnsi="Arial" w:cs="Arial"/>
          <w:sz w:val="24"/>
          <w:szCs w:val="24"/>
        </w:rPr>
      </w:pPr>
    </w:p>
    <w:p w14:paraId="48490387">
      <w:pPr>
        <w:overflowPunct w:val="0"/>
        <w:snapToGrid w:val="0"/>
        <w:spacing w:line="300" w:lineRule="auto"/>
        <w:jc w:val="center"/>
        <w:rPr>
          <w:rFonts w:ascii="Arial" w:hAnsi="Arial" w:cs="Arial"/>
          <w:sz w:val="24"/>
          <w:szCs w:val="24"/>
        </w:rPr>
      </w:pPr>
      <w:r>
        <w:rPr>
          <w:rFonts w:ascii="Arial" w:hAnsi="Arial" w:cs="Arial"/>
          <w:sz w:val="24"/>
          <w:szCs w:val="24"/>
        </w:rPr>
        <w:t>其它副本获取地址：</w:t>
      </w:r>
    </w:p>
    <w:p w14:paraId="0BE0BFBD">
      <w:pPr>
        <w:overflowPunct w:val="0"/>
        <w:snapToGrid w:val="0"/>
        <w:spacing w:line="300" w:lineRule="auto"/>
        <w:jc w:val="center"/>
        <w:rPr>
          <w:rFonts w:ascii="Arial" w:hAnsi="Arial" w:cs="Arial"/>
          <w:sz w:val="24"/>
          <w:szCs w:val="24"/>
        </w:rPr>
      </w:pPr>
      <w:r>
        <w:rPr>
          <w:rFonts w:ascii="Arial" w:hAnsi="Arial" w:cs="Arial"/>
          <w:sz w:val="24"/>
          <w:szCs w:val="24"/>
        </w:rPr>
        <w:t>组合产品办公室，HFG-3</w:t>
      </w:r>
    </w:p>
    <w:p w14:paraId="519926B8">
      <w:pPr>
        <w:overflowPunct w:val="0"/>
        <w:snapToGrid w:val="0"/>
        <w:spacing w:line="300" w:lineRule="auto"/>
        <w:jc w:val="center"/>
        <w:rPr>
          <w:rFonts w:ascii="Arial" w:hAnsi="Arial" w:cs="Arial"/>
          <w:sz w:val="24"/>
          <w:szCs w:val="24"/>
        </w:rPr>
      </w:pPr>
      <w:r>
        <w:rPr>
          <w:rFonts w:ascii="Arial" w:hAnsi="Arial" w:cs="Arial"/>
          <w:sz w:val="24"/>
          <w:szCs w:val="24"/>
        </w:rPr>
        <w:t>委员办公室</w:t>
      </w:r>
    </w:p>
    <w:p w14:paraId="4AAFACC2">
      <w:pPr>
        <w:overflowPunct w:val="0"/>
        <w:snapToGrid w:val="0"/>
        <w:spacing w:line="300" w:lineRule="auto"/>
        <w:jc w:val="center"/>
        <w:rPr>
          <w:rFonts w:ascii="Arial" w:hAnsi="Arial" w:cs="Arial"/>
          <w:sz w:val="24"/>
          <w:szCs w:val="24"/>
        </w:rPr>
      </w:pPr>
      <w:r>
        <w:rPr>
          <w:rFonts w:ascii="Arial" w:hAnsi="Arial" w:cs="Arial"/>
          <w:sz w:val="24"/>
          <w:szCs w:val="24"/>
        </w:rPr>
        <w:t>食品药品监督管理局</w:t>
      </w:r>
    </w:p>
    <w:p w14:paraId="75EF6BD3">
      <w:pPr>
        <w:overflowPunct w:val="0"/>
        <w:snapToGrid w:val="0"/>
        <w:spacing w:line="300" w:lineRule="auto"/>
        <w:jc w:val="center"/>
        <w:rPr>
          <w:rFonts w:ascii="Arial" w:hAnsi="Arial" w:cs="Arial"/>
          <w:sz w:val="24"/>
          <w:szCs w:val="24"/>
        </w:rPr>
      </w:pPr>
      <w:r>
        <w:rPr>
          <w:rFonts w:ascii="Arial" w:hAnsi="Arial" w:cs="Arial"/>
          <w:sz w:val="24"/>
          <w:szCs w:val="24"/>
        </w:rPr>
        <w:t>15800 Crabbs Branch Way, Suite 200</w:t>
      </w:r>
    </w:p>
    <w:p w14:paraId="596F7F56">
      <w:pPr>
        <w:overflowPunct w:val="0"/>
        <w:snapToGrid w:val="0"/>
        <w:spacing w:line="300" w:lineRule="auto"/>
        <w:jc w:val="center"/>
        <w:rPr>
          <w:rFonts w:ascii="Arial" w:hAnsi="Arial" w:cs="Arial"/>
          <w:sz w:val="24"/>
          <w:szCs w:val="24"/>
        </w:rPr>
      </w:pPr>
      <w:r>
        <w:rPr>
          <w:rFonts w:ascii="Arial" w:hAnsi="Arial" w:cs="Arial"/>
          <w:sz w:val="24"/>
          <w:szCs w:val="24"/>
        </w:rPr>
        <w:t>Rockville, MD 20855</w:t>
      </w:r>
    </w:p>
    <w:p w14:paraId="55398655">
      <w:pPr>
        <w:overflowPunct w:val="0"/>
        <w:snapToGrid w:val="0"/>
        <w:spacing w:line="300" w:lineRule="auto"/>
        <w:jc w:val="center"/>
        <w:rPr>
          <w:rFonts w:ascii="Arial" w:hAnsi="Arial" w:cs="Arial"/>
          <w:sz w:val="24"/>
          <w:szCs w:val="24"/>
        </w:rPr>
      </w:pPr>
      <w:r>
        <w:rPr>
          <w:rFonts w:ascii="Arial" w:hAnsi="Arial" w:cs="Arial"/>
          <w:sz w:val="24"/>
          <w:szCs w:val="24"/>
        </w:rPr>
        <w:t>（电话）301-427-1934</w:t>
      </w:r>
    </w:p>
    <w:p w14:paraId="347509D6">
      <w:pPr>
        <w:overflowPunct w:val="0"/>
        <w:snapToGrid w:val="0"/>
        <w:spacing w:after="156" w:afterLines="50" w:line="300" w:lineRule="auto"/>
        <w:jc w:val="center"/>
        <w:rPr>
          <w:rFonts w:ascii="Arial" w:hAnsi="Arial" w:cs="Arial"/>
          <w:sz w:val="24"/>
          <w:szCs w:val="24"/>
        </w:rPr>
      </w:pPr>
      <w:r>
        <w:rPr>
          <w:rFonts w:ascii="Arial" w:hAnsi="Arial" w:cs="Arial"/>
          <w:sz w:val="24"/>
          <w:szCs w:val="24"/>
        </w:rPr>
        <w:t>（传真）301-427-1935</w:t>
      </w:r>
    </w:p>
    <w:p w14:paraId="3CB8082D">
      <w:pPr>
        <w:overflowPunct w:val="0"/>
        <w:snapToGrid w:val="0"/>
        <w:spacing w:after="156" w:afterLines="50" w:line="300" w:lineRule="auto"/>
        <w:jc w:val="center"/>
        <w:rPr>
          <w:rFonts w:ascii="Arial" w:hAnsi="Arial" w:cs="Arial"/>
          <w:sz w:val="24"/>
          <w:szCs w:val="24"/>
        </w:rPr>
      </w:pPr>
    </w:p>
    <w:p w14:paraId="7415256E">
      <w:pPr>
        <w:overflowPunct w:val="0"/>
        <w:snapToGrid w:val="0"/>
        <w:spacing w:after="156" w:afterLines="50" w:line="300" w:lineRule="auto"/>
        <w:jc w:val="center"/>
        <w:rPr>
          <w:rFonts w:ascii="Arial" w:hAnsi="Arial" w:cs="Arial"/>
          <w:i/>
          <w:color w:val="0000FF"/>
          <w:sz w:val="24"/>
          <w:szCs w:val="24"/>
          <w:u w:val="single"/>
        </w:rPr>
      </w:pPr>
      <w:r>
        <w:rPr>
          <w:rFonts w:ascii="Arial" w:hAnsi="Arial" w:cs="Arial"/>
          <w:i/>
          <w:color w:val="0000FF"/>
          <w:sz w:val="24"/>
          <w:szCs w:val="24"/>
          <w:u w:val="single"/>
        </w:rPr>
        <w:t>http://www.fda.gov/oc/combination</w:t>
      </w:r>
    </w:p>
    <w:p w14:paraId="5014B8B5">
      <w:pPr>
        <w:overflowPunct w:val="0"/>
        <w:snapToGrid w:val="0"/>
        <w:spacing w:after="156" w:afterLines="50" w:line="300" w:lineRule="auto"/>
        <w:ind w:left="-141" w:leftChars="-67" w:firstLine="160" w:firstLineChars="67"/>
        <w:jc w:val="center"/>
        <w:rPr>
          <w:rFonts w:ascii="Arial" w:hAnsi="Arial" w:cs="Arial"/>
          <w:sz w:val="24"/>
          <w:szCs w:val="24"/>
        </w:rPr>
      </w:pPr>
    </w:p>
    <w:p w14:paraId="35913C0A">
      <w:pPr>
        <w:overflowPunct w:val="0"/>
        <w:snapToGrid w:val="0"/>
        <w:spacing w:line="300" w:lineRule="auto"/>
        <w:ind w:left="-141" w:leftChars="-67" w:firstLine="161" w:firstLineChars="67"/>
        <w:jc w:val="center"/>
        <w:rPr>
          <w:rFonts w:ascii="Arial" w:hAnsi="Arial" w:cs="Arial"/>
          <w:b/>
          <w:sz w:val="24"/>
          <w:szCs w:val="24"/>
        </w:rPr>
      </w:pPr>
      <w:r>
        <w:rPr>
          <w:rFonts w:ascii="Arial" w:hAnsi="Arial" w:cs="Arial"/>
          <w:b/>
          <w:sz w:val="24"/>
          <w:szCs w:val="24"/>
        </w:rPr>
        <w:t>美国卫生和人类服务署</w:t>
      </w:r>
    </w:p>
    <w:p w14:paraId="63914A9E">
      <w:pPr>
        <w:overflowPunct w:val="0"/>
        <w:snapToGrid w:val="0"/>
        <w:spacing w:line="300" w:lineRule="auto"/>
        <w:ind w:left="-141" w:leftChars="-67" w:firstLine="161" w:firstLineChars="67"/>
        <w:jc w:val="center"/>
        <w:rPr>
          <w:rFonts w:ascii="Arial" w:hAnsi="Arial" w:cs="Arial"/>
          <w:b/>
          <w:sz w:val="24"/>
          <w:szCs w:val="24"/>
        </w:rPr>
      </w:pPr>
      <w:r>
        <w:rPr>
          <w:rFonts w:ascii="Arial" w:hAnsi="Arial" w:cs="Arial"/>
          <w:b/>
          <w:sz w:val="24"/>
          <w:szCs w:val="24"/>
        </w:rPr>
        <w:t>食品药品监督管理局</w:t>
      </w:r>
    </w:p>
    <w:p w14:paraId="4BEDDA9D">
      <w:pPr>
        <w:overflowPunct w:val="0"/>
        <w:snapToGrid w:val="0"/>
        <w:spacing w:line="300" w:lineRule="auto"/>
        <w:ind w:left="-141" w:leftChars="-67" w:firstLine="161" w:firstLineChars="67"/>
        <w:jc w:val="center"/>
        <w:rPr>
          <w:rFonts w:ascii="Arial" w:hAnsi="Arial" w:cs="Arial"/>
          <w:b/>
          <w:sz w:val="24"/>
          <w:szCs w:val="24"/>
        </w:rPr>
      </w:pPr>
      <w:r>
        <w:rPr>
          <w:rFonts w:ascii="Arial" w:hAnsi="Arial" w:cs="Arial"/>
          <w:b/>
          <w:sz w:val="24"/>
          <w:szCs w:val="24"/>
        </w:rPr>
        <w:t>委员办公室</w:t>
      </w:r>
    </w:p>
    <w:p w14:paraId="4BD42C91">
      <w:pPr>
        <w:overflowPunct w:val="0"/>
        <w:snapToGrid w:val="0"/>
        <w:spacing w:line="300" w:lineRule="auto"/>
        <w:ind w:left="-141" w:leftChars="-67" w:firstLine="161" w:firstLineChars="67"/>
        <w:jc w:val="center"/>
        <w:rPr>
          <w:rFonts w:ascii="Arial" w:hAnsi="Arial" w:cs="Arial"/>
          <w:b/>
          <w:sz w:val="24"/>
          <w:szCs w:val="24"/>
        </w:rPr>
      </w:pPr>
      <w:r>
        <w:rPr>
          <w:rFonts w:ascii="Arial" w:hAnsi="Arial" w:cs="Arial"/>
          <w:b/>
          <w:sz w:val="24"/>
          <w:szCs w:val="24"/>
        </w:rPr>
        <w:t>组合产品办公室（OCP）</w:t>
      </w:r>
    </w:p>
    <w:p w14:paraId="383A294B">
      <w:pPr>
        <w:overflowPunct w:val="0"/>
        <w:snapToGrid w:val="0"/>
        <w:spacing w:after="156" w:afterLines="50" w:line="300" w:lineRule="auto"/>
        <w:ind w:left="-141" w:leftChars="-67" w:firstLine="161" w:firstLineChars="67"/>
        <w:jc w:val="center"/>
        <w:rPr>
          <w:rFonts w:ascii="Arial" w:hAnsi="Arial" w:cs="Arial"/>
          <w:b/>
          <w:sz w:val="24"/>
          <w:szCs w:val="24"/>
        </w:rPr>
      </w:pPr>
      <w:r>
        <w:rPr>
          <w:rFonts w:ascii="Arial" w:hAnsi="Arial" w:cs="Arial"/>
          <w:b/>
          <w:sz w:val="24"/>
          <w:szCs w:val="24"/>
        </w:rPr>
        <w:t>2006年9月</w:t>
      </w:r>
      <w:r>
        <w:rPr>
          <w:rFonts w:ascii="Arial" w:hAnsi="Arial" w:cs="Arial"/>
          <w:b/>
          <w:sz w:val="24"/>
          <w:szCs w:val="24"/>
        </w:rPr>
        <w:br w:type="page"/>
      </w:r>
    </w:p>
    <w:p w14:paraId="70FF798D">
      <w:pPr>
        <w:overflowPunct w:val="0"/>
        <w:snapToGrid w:val="0"/>
        <w:spacing w:after="156" w:afterLines="50" w:line="300" w:lineRule="auto"/>
        <w:jc w:val="left"/>
        <w:rPr>
          <w:rFonts w:ascii="Arial" w:hAnsi="Arial" w:cs="Arial"/>
          <w:b/>
          <w:sz w:val="32"/>
          <w:szCs w:val="32"/>
        </w:rPr>
      </w:pPr>
      <w:r>
        <w:rPr>
          <w:rFonts w:ascii="Arial" w:hAnsi="Arial" w:cs="Arial"/>
          <w:b/>
          <w:sz w:val="32"/>
          <w:szCs w:val="32"/>
        </w:rPr>
        <w:t>公共评论</w:t>
      </w:r>
    </w:p>
    <w:p w14:paraId="64DE44C5">
      <w:pPr>
        <w:overflowPunct w:val="0"/>
        <w:snapToGrid w:val="0"/>
        <w:spacing w:after="156" w:afterLines="50" w:line="300" w:lineRule="auto"/>
        <w:rPr>
          <w:rFonts w:ascii="Arial" w:hAnsi="Arial" w:cs="Arial"/>
          <w:sz w:val="24"/>
          <w:szCs w:val="24"/>
        </w:rPr>
      </w:pPr>
      <w:r>
        <w:rPr>
          <w:rFonts w:ascii="Arial" w:hAnsi="Arial" w:cs="Arial"/>
          <w:sz w:val="24"/>
          <w:szCs w:val="24"/>
        </w:rPr>
        <w:t>为便于本机构收集评论和建议，书面评论和建议可以随时提交至食品药品监督管理局，案卷管理科（5630 Fishers Lane，ROOM 1061（HFA-305），Rockville，MD，20852）。电子评论可提交至</w:t>
      </w:r>
      <w:r>
        <w:fldChar w:fldCharType="begin"/>
      </w:r>
      <w:r>
        <w:instrText xml:space="preserve"> HYPERLINK "http://www.fda.gov/dockets/ecomments" </w:instrText>
      </w:r>
      <w:r>
        <w:fldChar w:fldCharType="separate"/>
      </w:r>
      <w:r>
        <w:rPr>
          <w:rFonts w:ascii="Arial" w:hAnsi="Arial" w:cs="Arial"/>
          <w:color w:val="3333FF"/>
          <w:sz w:val="24"/>
          <w:szCs w:val="24"/>
        </w:rPr>
        <w:t>http://www.fda.gov/dockets/ecomments</w:t>
      </w:r>
      <w:r>
        <w:rPr>
          <w:rFonts w:ascii="Arial" w:hAnsi="Arial" w:cs="Arial"/>
          <w:color w:val="3333FF"/>
          <w:sz w:val="24"/>
          <w:szCs w:val="24"/>
        </w:rPr>
        <w:fldChar w:fldCharType="end"/>
      </w:r>
      <w:r>
        <w:rPr>
          <w:rFonts w:ascii="Arial" w:hAnsi="Arial" w:cs="Arial"/>
          <w:sz w:val="24"/>
          <w:szCs w:val="24"/>
        </w:rPr>
        <w:t>。提交评论时，请参考本指导性文件的准确标题和日期。再次进行文件修订或更新之前，本机构可能不会针对评论采取行动。</w:t>
      </w:r>
    </w:p>
    <w:p w14:paraId="06B787D4">
      <w:pPr>
        <w:widowControl/>
        <w:jc w:val="left"/>
        <w:rPr>
          <w:rFonts w:ascii="Arial" w:hAnsi="Arial" w:cs="Arial"/>
          <w:sz w:val="24"/>
          <w:szCs w:val="24"/>
        </w:rPr>
      </w:pPr>
      <w:r>
        <w:rPr>
          <w:rFonts w:ascii="Arial" w:hAnsi="Arial" w:cs="Arial"/>
          <w:sz w:val="24"/>
          <w:szCs w:val="24"/>
        </w:rPr>
        <w:br w:type="page"/>
      </w:r>
    </w:p>
    <w:sdt>
      <w:sdtPr>
        <w:rPr>
          <w:rFonts w:ascii="Arial" w:hAnsi="Arial" w:cs="Arial" w:eastAsiaTheme="minorEastAsia"/>
          <w:b w:val="0"/>
          <w:bCs w:val="0"/>
          <w:color w:val="auto"/>
          <w:kern w:val="2"/>
          <w:sz w:val="21"/>
          <w:szCs w:val="22"/>
          <w:lang w:val="zh-CN"/>
        </w:rPr>
        <w:id w:val="232975079"/>
        <w:docPartObj>
          <w:docPartGallery w:val="Table of Contents"/>
          <w:docPartUnique/>
        </w:docPartObj>
      </w:sdtPr>
      <w:sdtEndPr>
        <w:rPr>
          <w:rFonts w:ascii="Arial" w:hAnsi="Arial" w:cs="Arial" w:eastAsiaTheme="minorEastAsia"/>
          <w:b w:val="0"/>
          <w:bCs w:val="0"/>
          <w:color w:val="auto"/>
          <w:kern w:val="2"/>
          <w:sz w:val="21"/>
          <w:szCs w:val="22"/>
          <w:lang w:val="zh-CN"/>
        </w:rPr>
      </w:sdtEndPr>
      <w:sdtContent>
        <w:p w14:paraId="2E655BEE">
          <w:pPr>
            <w:pStyle w:val="19"/>
            <w:jc w:val="center"/>
            <w:rPr>
              <w:rFonts w:ascii="Arial" w:hAnsi="Arial" w:cs="Arial" w:eastAsiaTheme="minorEastAsia"/>
              <w:color w:val="000000" w:themeColor="text1"/>
              <w14:textFill>
                <w14:solidFill>
                  <w14:schemeClr w14:val="tx1"/>
                </w14:solidFill>
              </w14:textFill>
            </w:rPr>
          </w:pPr>
          <w:r>
            <w:rPr>
              <w:rFonts w:ascii="Arial" w:hAnsi="Arial" w:cs="Arial" w:eastAsiaTheme="minorEastAsia"/>
              <w:color w:val="000000" w:themeColor="text1"/>
              <w:lang w:val="zh-CN"/>
              <w14:textFill>
                <w14:solidFill>
                  <w14:schemeClr w14:val="tx1"/>
                </w14:solidFill>
              </w14:textFill>
            </w:rPr>
            <w:t>目录</w:t>
          </w:r>
        </w:p>
        <w:p w14:paraId="4DFF6F44">
          <w:pPr>
            <w:pStyle w:val="6"/>
            <w:numPr>
              <w:ilvl w:val="0"/>
              <w:numId w:val="1"/>
            </w:numPr>
            <w:tabs>
              <w:tab w:val="left" w:pos="525"/>
              <w:tab w:val="right" w:leader="dot" w:pos="8296"/>
            </w:tabs>
            <w:rPr>
              <w:rFonts w:ascii="Arial" w:hAnsi="Arial" w:cs="Ari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"_Toc498417251" </w:instrText>
          </w:r>
          <w:r>
            <w:fldChar w:fldCharType="separate"/>
          </w:r>
          <w:r>
            <w:rPr>
              <w:rFonts w:ascii="Arial" w:hAnsi="Arial" w:cs="Arial"/>
            </w:rPr>
            <w:t xml:space="preserve"> </w:t>
          </w:r>
          <w:r>
            <w:rPr>
              <w:rStyle w:val="11"/>
              <w:rFonts w:ascii="Arial" w:hAnsi="Arial" w:cs="Arial"/>
              <w:b/>
            </w:rPr>
            <w:t>前言</w:t>
          </w:r>
          <w:r>
            <w:rPr>
              <w:rFonts w:ascii="Arial" w:hAnsi="Arial" w:cs="Arial"/>
            </w:rPr>
            <w:tab/>
          </w:r>
          <w:r>
            <w:rPr>
              <w:rFonts w:ascii="Arial" w:hAnsi="Arial" w:cs="Arial"/>
            </w:rPr>
            <w:fldChar w:fldCharType="begin"/>
          </w:r>
          <w:r>
            <w:rPr>
              <w:rFonts w:ascii="Arial" w:hAnsi="Arial" w:cs="Arial"/>
            </w:rPr>
            <w:instrText xml:space="preserve"> PAGEREF _Toc498417251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0975ADF1">
          <w:pPr>
            <w:pStyle w:val="6"/>
            <w:numPr>
              <w:ilvl w:val="0"/>
              <w:numId w:val="1"/>
            </w:numPr>
            <w:tabs>
              <w:tab w:val="left" w:pos="525"/>
              <w:tab w:val="right" w:leader="dot" w:pos="8296"/>
            </w:tabs>
            <w:rPr>
              <w:rFonts w:ascii="Arial" w:hAnsi="Arial" w:cs="Arial"/>
            </w:rPr>
          </w:pPr>
          <w:r>
            <w:fldChar w:fldCharType="begin"/>
          </w:r>
          <w:r>
            <w:instrText xml:space="preserve"> HYPERLINK \l "_Toc498417252" </w:instrText>
          </w:r>
          <w:r>
            <w:fldChar w:fldCharType="separate"/>
          </w:r>
          <w:r>
            <w:rPr>
              <w:rFonts w:ascii="Arial" w:hAnsi="Arial" w:cs="Arial"/>
            </w:rPr>
            <w:t xml:space="preserve"> </w:t>
          </w:r>
          <w:r>
            <w:rPr>
              <w:rStyle w:val="11"/>
              <w:rFonts w:ascii="Arial" w:hAnsi="Arial" w:cs="Arial"/>
              <w:b/>
            </w:rPr>
            <w:t>背景</w:t>
          </w:r>
          <w:r>
            <w:rPr>
              <w:rFonts w:ascii="Arial" w:hAnsi="Arial" w:cs="Arial"/>
            </w:rPr>
            <w:tab/>
          </w:r>
          <w:r>
            <w:rPr>
              <w:rFonts w:ascii="Arial" w:hAnsi="Arial" w:cs="Arial"/>
            </w:rPr>
            <w:fldChar w:fldCharType="begin"/>
          </w:r>
          <w:r>
            <w:rPr>
              <w:rFonts w:ascii="Arial" w:hAnsi="Arial" w:cs="Arial"/>
            </w:rPr>
            <w:instrText xml:space="preserve"> PAGEREF _Toc498417252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7808933D">
          <w:pPr>
            <w:pStyle w:val="6"/>
            <w:tabs>
              <w:tab w:val="left" w:pos="630"/>
              <w:tab w:val="right" w:leader="dot" w:pos="8296"/>
            </w:tabs>
            <w:rPr>
              <w:rFonts w:ascii="Arial" w:hAnsi="Arial" w:cs="Arial"/>
            </w:rPr>
          </w:pPr>
          <w:r>
            <w:fldChar w:fldCharType="begin"/>
          </w:r>
          <w:r>
            <w:instrText xml:space="preserve"> HYPERLINK \l "_Toc498417253" </w:instrText>
          </w:r>
          <w:r>
            <w:fldChar w:fldCharType="separate"/>
          </w:r>
          <w:r>
            <w:rPr>
              <w:rStyle w:val="11"/>
              <w:rFonts w:ascii="Arial" w:hAnsi="Arial" w:cs="Arial"/>
              <w:b/>
            </w:rPr>
            <w:t>A.</w:t>
          </w:r>
          <w:r>
            <w:rPr>
              <w:rFonts w:ascii="Arial" w:hAnsi="Arial" w:cs="Arial"/>
            </w:rPr>
            <w:tab/>
          </w:r>
          <w:r>
            <w:rPr>
              <w:rStyle w:val="11"/>
              <w:rFonts w:ascii="Arial" w:hAnsi="Arial" w:cs="Arial"/>
              <w:b/>
            </w:rPr>
            <w:t>定义</w:t>
          </w:r>
          <w:r>
            <w:rPr>
              <w:rFonts w:ascii="Arial" w:hAnsi="Arial" w:cs="Arial"/>
            </w:rPr>
            <w:tab/>
          </w:r>
          <w:r>
            <w:rPr>
              <w:rFonts w:ascii="Arial" w:hAnsi="Arial" w:cs="Arial"/>
            </w:rPr>
            <w:fldChar w:fldCharType="begin"/>
          </w:r>
          <w:r>
            <w:rPr>
              <w:rFonts w:ascii="Arial" w:hAnsi="Arial" w:cs="Arial"/>
            </w:rPr>
            <w:instrText xml:space="preserve"> PAGEREF _Toc498417253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2071621E">
          <w:pPr>
            <w:pStyle w:val="6"/>
            <w:tabs>
              <w:tab w:val="left" w:pos="630"/>
              <w:tab w:val="right" w:leader="dot" w:pos="8296"/>
            </w:tabs>
            <w:rPr>
              <w:rFonts w:ascii="Arial" w:hAnsi="Arial" w:cs="Arial"/>
            </w:rPr>
          </w:pPr>
          <w:r>
            <w:fldChar w:fldCharType="begin"/>
          </w:r>
          <w:r>
            <w:instrText xml:space="preserve"> HYPERLINK \l "_Toc498417254" </w:instrText>
          </w:r>
          <w:r>
            <w:fldChar w:fldCharType="separate"/>
          </w:r>
          <w:r>
            <w:rPr>
              <w:rStyle w:val="11"/>
              <w:rFonts w:ascii="Arial" w:hAnsi="Arial" w:cs="Arial"/>
              <w:b/>
            </w:rPr>
            <w:t>B.</w:t>
          </w:r>
          <w:r>
            <w:rPr>
              <w:rFonts w:ascii="Arial" w:hAnsi="Arial" w:cs="Arial"/>
            </w:rPr>
            <w:tab/>
          </w:r>
          <w:r>
            <w:rPr>
              <w:rStyle w:val="11"/>
              <w:rFonts w:ascii="Arial" w:hAnsi="Arial" w:cs="Arial"/>
              <w:b/>
            </w:rPr>
            <w:t>如何对组合产品实施监管？</w:t>
          </w:r>
          <w:r>
            <w:rPr>
              <w:rFonts w:ascii="Arial" w:hAnsi="Arial" w:cs="Arial"/>
            </w:rPr>
            <w:tab/>
          </w:r>
          <w:r>
            <w:rPr>
              <w:rFonts w:ascii="Arial" w:hAnsi="Arial" w:cs="Arial"/>
            </w:rPr>
            <w:fldChar w:fldCharType="begin"/>
          </w:r>
          <w:r>
            <w:rPr>
              <w:rFonts w:ascii="Arial" w:hAnsi="Arial" w:cs="Arial"/>
            </w:rPr>
            <w:instrText xml:space="preserve"> PAGEREF _Toc498417254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279CE8CF">
          <w:pPr>
            <w:pStyle w:val="6"/>
            <w:tabs>
              <w:tab w:val="left" w:pos="630"/>
              <w:tab w:val="right" w:leader="dot" w:pos="8296"/>
            </w:tabs>
            <w:rPr>
              <w:rFonts w:ascii="Arial" w:hAnsi="Arial" w:cs="Arial"/>
            </w:rPr>
          </w:pPr>
          <w:r>
            <w:fldChar w:fldCharType="begin"/>
          </w:r>
          <w:r>
            <w:instrText xml:space="preserve"> HYPERLINK \l "_Toc498417255" </w:instrText>
          </w:r>
          <w:r>
            <w:fldChar w:fldCharType="separate"/>
          </w:r>
          <w:r>
            <w:rPr>
              <w:rStyle w:val="11"/>
              <w:rFonts w:ascii="Arial" w:hAnsi="Arial" w:cs="Arial"/>
              <w:b/>
            </w:rPr>
            <w:t>III.</w:t>
          </w:r>
          <w:r>
            <w:rPr>
              <w:rFonts w:ascii="Arial" w:hAnsi="Arial" w:cs="Arial"/>
            </w:rPr>
            <w:tab/>
          </w:r>
          <w:r>
            <w:rPr>
              <w:rStyle w:val="11"/>
              <w:rFonts w:ascii="Arial" w:hAnsi="Arial" w:cs="Arial"/>
              <w:b/>
            </w:rPr>
            <w:t>开发应考虑的一般因素</w:t>
          </w:r>
          <w:r>
            <w:rPr>
              <w:rFonts w:ascii="Arial" w:hAnsi="Arial" w:cs="Arial"/>
            </w:rPr>
            <w:tab/>
          </w:r>
          <w:r>
            <w:rPr>
              <w:rFonts w:ascii="Arial" w:hAnsi="Arial" w:cs="Arial"/>
            </w:rPr>
            <w:fldChar w:fldCharType="begin"/>
          </w:r>
          <w:r>
            <w:rPr>
              <w:rFonts w:ascii="Arial" w:hAnsi="Arial" w:cs="Arial"/>
            </w:rPr>
            <w:instrText xml:space="preserve"> PAGEREF _Toc498417255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387DA7EA">
          <w:pPr>
            <w:pStyle w:val="6"/>
            <w:tabs>
              <w:tab w:val="left" w:pos="630"/>
              <w:tab w:val="right" w:leader="dot" w:pos="8296"/>
            </w:tabs>
            <w:rPr>
              <w:rFonts w:ascii="Arial" w:hAnsi="Arial" w:cs="Arial"/>
            </w:rPr>
          </w:pPr>
          <w:r>
            <w:fldChar w:fldCharType="begin"/>
          </w:r>
          <w:r>
            <w:instrText xml:space="preserve"> HYPERLINK \l "_Toc498417256" </w:instrText>
          </w:r>
          <w:r>
            <w:fldChar w:fldCharType="separate"/>
          </w:r>
          <w:r>
            <w:rPr>
              <w:rStyle w:val="11"/>
              <w:rFonts w:ascii="Arial" w:hAnsi="Arial" w:cs="Arial"/>
              <w:b/>
            </w:rPr>
            <w:t>IV.</w:t>
          </w:r>
          <w:r>
            <w:rPr>
              <w:rFonts w:ascii="Arial" w:hAnsi="Arial" w:cs="Arial"/>
            </w:rPr>
            <w:tab/>
          </w:r>
          <w:r>
            <w:rPr>
              <w:rStyle w:val="11"/>
              <w:rFonts w:ascii="Arial" w:hAnsi="Arial" w:cs="Arial"/>
              <w:b/>
            </w:rPr>
            <w:t>对当前上市产品的思考</w:t>
          </w:r>
          <w:r>
            <w:rPr>
              <w:rFonts w:ascii="Arial" w:hAnsi="Arial" w:cs="Arial"/>
            </w:rPr>
            <w:tab/>
          </w:r>
          <w:r>
            <w:rPr>
              <w:rFonts w:ascii="Arial" w:hAnsi="Arial" w:cs="Arial"/>
            </w:rPr>
            <w:fldChar w:fldCharType="begin"/>
          </w:r>
          <w:r>
            <w:rPr>
              <w:rFonts w:ascii="Arial" w:hAnsi="Arial" w:cs="Arial"/>
            </w:rPr>
            <w:instrText xml:space="preserve"> PAGEREF _Toc498417256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6D66123F">
          <w:pPr>
            <w:pStyle w:val="6"/>
            <w:tabs>
              <w:tab w:val="left" w:pos="630"/>
              <w:tab w:val="right" w:leader="dot" w:pos="8296"/>
            </w:tabs>
            <w:rPr>
              <w:rFonts w:ascii="Arial" w:hAnsi="Arial" w:cs="Arial"/>
            </w:rPr>
          </w:pPr>
          <w:r>
            <w:fldChar w:fldCharType="begin"/>
          </w:r>
          <w:r>
            <w:instrText xml:space="preserve"> HYPERLINK \l "_Toc498417257" </w:instrText>
          </w:r>
          <w:r>
            <w:fldChar w:fldCharType="separate"/>
          </w:r>
          <w:r>
            <w:rPr>
              <w:rStyle w:val="11"/>
              <w:rFonts w:ascii="Arial" w:hAnsi="Arial" w:cs="Arial"/>
              <w:b/>
            </w:rPr>
            <w:t>V.</w:t>
          </w:r>
          <w:r>
            <w:rPr>
              <w:rFonts w:ascii="Arial" w:hAnsi="Arial" w:cs="Arial"/>
            </w:rPr>
            <w:tab/>
          </w:r>
          <w:r>
            <w:rPr>
              <w:rStyle w:val="11"/>
              <w:rFonts w:ascii="Arial" w:hAnsi="Arial" w:cs="Arial"/>
              <w:b/>
            </w:rPr>
            <w:t>按组成部分考虑的观点</w:t>
          </w:r>
          <w:r>
            <w:rPr>
              <w:rFonts w:ascii="Arial" w:hAnsi="Arial" w:cs="Arial"/>
            </w:rPr>
            <w:tab/>
          </w:r>
          <w:r>
            <w:rPr>
              <w:rFonts w:ascii="Arial" w:hAnsi="Arial" w:cs="Arial"/>
            </w:rPr>
            <w:fldChar w:fldCharType="begin"/>
          </w:r>
          <w:r>
            <w:rPr>
              <w:rFonts w:ascii="Arial" w:hAnsi="Arial" w:cs="Arial"/>
            </w:rPr>
            <w:instrText xml:space="preserve"> PAGEREF _Toc498417257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4899E791">
          <w:pPr>
            <w:pStyle w:val="6"/>
            <w:tabs>
              <w:tab w:val="left" w:pos="630"/>
              <w:tab w:val="right" w:leader="dot" w:pos="8296"/>
            </w:tabs>
            <w:rPr>
              <w:rFonts w:ascii="Arial" w:hAnsi="Arial" w:cs="Arial"/>
            </w:rPr>
          </w:pPr>
          <w:r>
            <w:fldChar w:fldCharType="begin"/>
          </w:r>
          <w:r>
            <w:instrText xml:space="preserve"> HYPERLINK \l "_Toc498417258" </w:instrText>
          </w:r>
          <w:r>
            <w:fldChar w:fldCharType="separate"/>
          </w:r>
          <w:r>
            <w:rPr>
              <w:rStyle w:val="11"/>
              <w:rFonts w:ascii="Arial" w:hAnsi="Arial" w:cs="Arial"/>
              <w:b/>
            </w:rPr>
            <w:t>A.</w:t>
          </w:r>
          <w:r>
            <w:rPr>
              <w:rFonts w:ascii="Arial" w:hAnsi="Arial" w:cs="Arial"/>
            </w:rPr>
            <w:tab/>
          </w:r>
          <w:r>
            <w:rPr>
              <w:rStyle w:val="11"/>
              <w:rFonts w:ascii="Arial" w:hAnsi="Arial" w:cs="Arial"/>
              <w:b/>
            </w:rPr>
            <w:t>对器械成分应考虑的因素</w:t>
          </w:r>
          <w:r>
            <w:rPr>
              <w:rFonts w:ascii="Arial" w:hAnsi="Arial" w:cs="Arial"/>
            </w:rPr>
            <w:tab/>
          </w:r>
          <w:r>
            <w:rPr>
              <w:rFonts w:ascii="Arial" w:hAnsi="Arial" w:cs="Arial"/>
            </w:rPr>
            <w:fldChar w:fldCharType="begin"/>
          </w:r>
          <w:r>
            <w:rPr>
              <w:rFonts w:ascii="Arial" w:hAnsi="Arial" w:cs="Arial"/>
            </w:rPr>
            <w:instrText xml:space="preserve"> PAGEREF _Toc498417258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2436CCF8">
          <w:pPr>
            <w:pStyle w:val="6"/>
            <w:tabs>
              <w:tab w:val="left" w:pos="630"/>
              <w:tab w:val="right" w:leader="dot" w:pos="8296"/>
            </w:tabs>
            <w:rPr>
              <w:rFonts w:ascii="Arial" w:hAnsi="Arial" w:cs="Arial"/>
            </w:rPr>
          </w:pPr>
          <w:r>
            <w:fldChar w:fldCharType="begin"/>
          </w:r>
          <w:r>
            <w:instrText xml:space="preserve"> HYPERLINK \l "_Toc498417259" </w:instrText>
          </w:r>
          <w:r>
            <w:fldChar w:fldCharType="separate"/>
          </w:r>
          <w:r>
            <w:rPr>
              <w:rStyle w:val="11"/>
              <w:rFonts w:ascii="Arial" w:hAnsi="Arial" w:cs="Arial"/>
              <w:b/>
            </w:rPr>
            <w:t>B.</w:t>
          </w:r>
          <w:r>
            <w:rPr>
              <w:rFonts w:ascii="Arial" w:hAnsi="Arial" w:cs="Arial"/>
            </w:rPr>
            <w:tab/>
          </w:r>
          <w:r>
            <w:rPr>
              <w:rStyle w:val="11"/>
              <w:rFonts w:ascii="Arial" w:hAnsi="Arial" w:cs="Arial"/>
              <w:b/>
            </w:rPr>
            <w:t>对药品和生物制剂成分应考虑的因素</w:t>
          </w:r>
          <w:r>
            <w:rPr>
              <w:rFonts w:ascii="Arial" w:hAnsi="Arial" w:cs="Arial"/>
            </w:rPr>
            <w:tab/>
          </w:r>
          <w:r>
            <w:rPr>
              <w:rFonts w:ascii="Arial" w:hAnsi="Arial" w:cs="Arial"/>
            </w:rPr>
            <w:fldChar w:fldCharType="begin"/>
          </w:r>
          <w:r>
            <w:rPr>
              <w:rFonts w:ascii="Arial" w:hAnsi="Arial" w:cs="Arial"/>
            </w:rPr>
            <w:instrText xml:space="preserve"> PAGEREF _Toc498417259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093C7EBA">
          <w:pPr>
            <w:pStyle w:val="6"/>
            <w:tabs>
              <w:tab w:val="left" w:pos="630"/>
              <w:tab w:val="right" w:leader="dot" w:pos="8296"/>
            </w:tabs>
            <w:rPr>
              <w:rFonts w:ascii="Arial" w:hAnsi="Arial" w:cs="Arial"/>
            </w:rPr>
          </w:pPr>
          <w:r>
            <w:fldChar w:fldCharType="begin"/>
          </w:r>
          <w:r>
            <w:instrText xml:space="preserve"> HYPERLINK \l "_Toc498417260" </w:instrText>
          </w:r>
          <w:r>
            <w:fldChar w:fldCharType="separate"/>
          </w:r>
          <w:r>
            <w:rPr>
              <w:rStyle w:val="11"/>
              <w:rFonts w:ascii="Arial" w:hAnsi="Arial" w:cs="Arial"/>
              <w:b/>
            </w:rPr>
            <w:t>VI.</w:t>
          </w:r>
          <w:r>
            <w:rPr>
              <w:rFonts w:ascii="Arial" w:hAnsi="Arial" w:cs="Arial"/>
            </w:rPr>
            <w:tab/>
          </w:r>
          <w:r>
            <w:rPr>
              <w:rStyle w:val="11"/>
              <w:rFonts w:ascii="Arial" w:hAnsi="Arial" w:cs="Arial"/>
              <w:b/>
            </w:rPr>
            <w:t>其它观点</w:t>
          </w:r>
          <w:r>
            <w:rPr>
              <w:rFonts w:ascii="Arial" w:hAnsi="Arial" w:cs="Arial"/>
            </w:rPr>
            <w:tab/>
          </w:r>
          <w:r>
            <w:rPr>
              <w:rFonts w:ascii="Arial" w:hAnsi="Arial" w:cs="Arial"/>
            </w:rPr>
            <w:fldChar w:fldCharType="begin"/>
          </w:r>
          <w:r>
            <w:rPr>
              <w:rFonts w:ascii="Arial" w:hAnsi="Arial" w:cs="Arial"/>
            </w:rPr>
            <w:instrText xml:space="preserve"> PAGEREF _Toc498417260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04F6BB9A">
          <w:pPr>
            <w:pStyle w:val="6"/>
            <w:tabs>
              <w:tab w:val="left" w:pos="630"/>
              <w:tab w:val="right" w:leader="dot" w:pos="8296"/>
            </w:tabs>
            <w:rPr>
              <w:rFonts w:ascii="Arial" w:hAnsi="Arial" w:cs="Arial"/>
            </w:rPr>
          </w:pPr>
          <w:r>
            <w:fldChar w:fldCharType="begin"/>
          </w:r>
          <w:r>
            <w:instrText xml:space="preserve"> HYPERLINK \l "_Toc498417261" </w:instrText>
          </w:r>
          <w:r>
            <w:fldChar w:fldCharType="separate"/>
          </w:r>
          <w:r>
            <w:rPr>
              <w:rStyle w:val="11"/>
              <w:rFonts w:ascii="Arial" w:hAnsi="Arial" w:cs="Arial"/>
              <w:b/>
            </w:rPr>
            <w:t>A.</w:t>
          </w:r>
          <w:r>
            <w:rPr>
              <w:rFonts w:ascii="Arial" w:hAnsi="Arial" w:cs="Arial"/>
            </w:rPr>
            <w:tab/>
          </w:r>
          <w:r>
            <w:rPr>
              <w:rStyle w:val="11"/>
              <w:rFonts w:ascii="Arial" w:hAnsi="Arial" w:cs="Arial"/>
              <w:b/>
            </w:rPr>
            <w:t>临床研究</w:t>
          </w:r>
          <w:r>
            <w:rPr>
              <w:rFonts w:ascii="Arial" w:hAnsi="Arial" w:cs="Arial"/>
            </w:rPr>
            <w:tab/>
          </w:r>
          <w:r>
            <w:rPr>
              <w:rFonts w:ascii="Arial" w:hAnsi="Arial" w:cs="Arial"/>
            </w:rPr>
            <w:fldChar w:fldCharType="begin"/>
          </w:r>
          <w:r>
            <w:rPr>
              <w:rFonts w:ascii="Arial" w:hAnsi="Arial" w:cs="Arial"/>
            </w:rPr>
            <w:instrText xml:space="preserve"> PAGEREF _Toc498417261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7B9B5BB2">
          <w:pPr>
            <w:pStyle w:val="6"/>
            <w:tabs>
              <w:tab w:val="left" w:pos="630"/>
              <w:tab w:val="right" w:leader="dot" w:pos="8296"/>
            </w:tabs>
            <w:rPr>
              <w:rFonts w:ascii="Arial" w:hAnsi="Arial" w:cs="Arial"/>
            </w:rPr>
          </w:pPr>
          <w:r>
            <w:fldChar w:fldCharType="begin"/>
          </w:r>
          <w:r>
            <w:instrText xml:space="preserve"> HYPERLINK \l "_Toc498417262" </w:instrText>
          </w:r>
          <w:r>
            <w:fldChar w:fldCharType="separate"/>
          </w:r>
          <w:r>
            <w:rPr>
              <w:rStyle w:val="11"/>
              <w:rFonts w:ascii="Arial" w:hAnsi="Arial" w:cs="Arial"/>
              <w:b/>
            </w:rPr>
            <w:t>B.</w:t>
          </w:r>
          <w:r>
            <w:rPr>
              <w:rFonts w:ascii="Arial" w:hAnsi="Arial" w:cs="Arial"/>
            </w:rPr>
            <w:tab/>
          </w:r>
          <w:r>
            <w:rPr>
              <w:rStyle w:val="11"/>
              <w:rFonts w:ascii="Arial" w:hAnsi="Arial" w:cs="Arial"/>
              <w:b/>
            </w:rPr>
            <w:t>生产过程中应考虑的因素</w:t>
          </w:r>
          <w:r>
            <w:rPr>
              <w:rFonts w:ascii="Arial" w:hAnsi="Arial" w:cs="Arial"/>
            </w:rPr>
            <w:tab/>
          </w:r>
          <w:r>
            <w:rPr>
              <w:rFonts w:ascii="Arial" w:hAnsi="Arial" w:cs="Arial"/>
            </w:rPr>
            <w:fldChar w:fldCharType="begin"/>
          </w:r>
          <w:r>
            <w:rPr>
              <w:rFonts w:ascii="Arial" w:hAnsi="Arial" w:cs="Arial"/>
            </w:rPr>
            <w:instrText xml:space="preserve"> PAGEREF _Toc498417262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16CE5D8C">
          <w:pPr>
            <w:pStyle w:val="6"/>
            <w:tabs>
              <w:tab w:val="left" w:pos="630"/>
              <w:tab w:val="right" w:leader="dot" w:pos="8296"/>
            </w:tabs>
            <w:rPr>
              <w:rFonts w:ascii="Arial" w:hAnsi="Arial" w:cs="Arial"/>
            </w:rPr>
          </w:pPr>
          <w:r>
            <w:fldChar w:fldCharType="begin"/>
          </w:r>
          <w:r>
            <w:instrText xml:space="preserve"> HYPERLINK \l "_Toc498417263" </w:instrText>
          </w:r>
          <w:r>
            <w:fldChar w:fldCharType="separate"/>
          </w:r>
          <w:r>
            <w:rPr>
              <w:rStyle w:val="11"/>
              <w:rFonts w:ascii="Arial" w:hAnsi="Arial" w:cs="Arial"/>
              <w:b/>
            </w:rPr>
            <w:t>C.</w:t>
          </w:r>
          <w:r>
            <w:rPr>
              <w:rFonts w:ascii="Arial" w:hAnsi="Arial" w:cs="Arial"/>
            </w:rPr>
            <w:tab/>
          </w:r>
          <w:r>
            <w:rPr>
              <w:rStyle w:val="11"/>
              <w:rFonts w:ascii="Arial" w:hAnsi="Arial" w:cs="Arial"/>
              <w:b/>
            </w:rPr>
            <w:t>对非申请者编制信息的依赖</w:t>
          </w:r>
          <w:r>
            <w:rPr>
              <w:rFonts w:ascii="Arial" w:hAnsi="Arial" w:cs="Arial"/>
            </w:rPr>
            <w:tab/>
          </w:r>
          <w:r>
            <w:rPr>
              <w:rFonts w:ascii="Arial" w:hAnsi="Arial" w:cs="Arial"/>
            </w:rPr>
            <w:fldChar w:fldCharType="begin"/>
          </w:r>
          <w:r>
            <w:rPr>
              <w:rFonts w:ascii="Arial" w:hAnsi="Arial" w:cs="Arial"/>
            </w:rPr>
            <w:instrText xml:space="preserve"> PAGEREF _Toc498417263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22307FFF">
          <w:pPr>
            <w:pStyle w:val="6"/>
            <w:tabs>
              <w:tab w:val="left" w:pos="630"/>
              <w:tab w:val="right" w:leader="dot" w:pos="8296"/>
            </w:tabs>
            <w:rPr>
              <w:rFonts w:ascii="Arial" w:hAnsi="Arial" w:cs="Arial"/>
            </w:rPr>
          </w:pPr>
          <w:r>
            <w:fldChar w:fldCharType="begin"/>
          </w:r>
          <w:r>
            <w:instrText xml:space="preserve"> HYPERLINK \l "_Toc498417264" </w:instrText>
          </w:r>
          <w:r>
            <w:fldChar w:fldCharType="separate"/>
          </w:r>
          <w:r>
            <w:rPr>
              <w:rStyle w:val="11"/>
              <w:rFonts w:ascii="Arial" w:hAnsi="Arial" w:cs="Arial"/>
              <w:b/>
            </w:rPr>
            <w:t>VII.</w:t>
          </w:r>
          <w:r>
            <w:rPr>
              <w:rFonts w:ascii="Arial" w:hAnsi="Arial" w:cs="Arial"/>
            </w:rPr>
            <w:tab/>
          </w:r>
          <w:r>
            <w:rPr>
              <w:rStyle w:val="11"/>
              <w:rFonts w:ascii="Arial" w:hAnsi="Arial" w:cs="Arial"/>
              <w:b/>
            </w:rPr>
            <w:t>及早与FDA进行互动和沟通</w:t>
          </w:r>
          <w:r>
            <w:rPr>
              <w:rFonts w:ascii="Arial" w:hAnsi="Arial" w:cs="Arial"/>
            </w:rPr>
            <w:tab/>
          </w:r>
          <w:r>
            <w:rPr>
              <w:rFonts w:ascii="Arial" w:hAnsi="Arial" w:cs="Arial"/>
            </w:rPr>
            <w:fldChar w:fldCharType="begin"/>
          </w:r>
          <w:r>
            <w:rPr>
              <w:rFonts w:ascii="Arial" w:hAnsi="Arial" w:cs="Arial"/>
            </w:rPr>
            <w:instrText xml:space="preserve"> PAGEREF _Toc498417264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530E4037">
          <w:pPr>
            <w:pStyle w:val="6"/>
            <w:tabs>
              <w:tab w:val="left" w:pos="630"/>
              <w:tab w:val="right" w:leader="dot" w:pos="8296"/>
            </w:tabs>
            <w:rPr>
              <w:rFonts w:ascii="Arial" w:hAnsi="Arial" w:cs="Arial"/>
            </w:rPr>
          </w:pPr>
          <w:r>
            <w:fldChar w:fldCharType="begin"/>
          </w:r>
          <w:r>
            <w:instrText xml:space="preserve"> HYPERLINK \l "_Toc498417265" </w:instrText>
          </w:r>
          <w:r>
            <w:fldChar w:fldCharType="separate"/>
          </w:r>
          <w:r>
            <w:rPr>
              <w:rStyle w:val="11"/>
              <w:rFonts w:ascii="Arial" w:hAnsi="Arial" w:cs="Arial"/>
              <w:b/>
            </w:rPr>
            <w:t>A.</w:t>
          </w:r>
          <w:r>
            <w:rPr>
              <w:rFonts w:ascii="Arial" w:hAnsi="Arial" w:cs="Arial"/>
            </w:rPr>
            <w:tab/>
          </w:r>
          <w:r>
            <w:rPr>
              <w:rStyle w:val="11"/>
              <w:rFonts w:ascii="Arial" w:hAnsi="Arial" w:cs="Arial"/>
              <w:b/>
            </w:rPr>
            <w:t>获得其它信息的途径</w:t>
          </w:r>
          <w:r>
            <w:rPr>
              <w:rFonts w:ascii="Arial" w:hAnsi="Arial" w:cs="Arial"/>
            </w:rPr>
            <w:tab/>
          </w:r>
          <w:r>
            <w:rPr>
              <w:rFonts w:ascii="Arial" w:hAnsi="Arial" w:cs="Arial"/>
            </w:rPr>
            <w:fldChar w:fldCharType="begin"/>
          </w:r>
          <w:r>
            <w:rPr>
              <w:rFonts w:ascii="Arial" w:hAnsi="Arial" w:cs="Arial"/>
            </w:rPr>
            <w:instrText xml:space="preserve"> PAGEREF _Toc498417265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554075CD">
          <w:pPr>
            <w:rPr>
              <w:rFonts w:ascii="Arial" w:hAnsi="Arial" w:cs="Arial"/>
            </w:rPr>
          </w:pPr>
          <w:r>
            <w:rPr>
              <w:rFonts w:ascii="Arial" w:hAnsi="Arial" w:cs="Arial"/>
              <w:b/>
              <w:bCs/>
              <w:lang w:val="zh-CN"/>
            </w:rPr>
            <w:fldChar w:fldCharType="end"/>
          </w:r>
        </w:p>
      </w:sdtContent>
    </w:sdt>
    <w:p w14:paraId="67FD5F77">
      <w:pPr>
        <w:widowControl/>
        <w:jc w:val="left"/>
        <w:rPr>
          <w:rFonts w:ascii="Arial" w:hAnsi="Arial" w:cs="Arial"/>
          <w:sz w:val="24"/>
          <w:szCs w:val="24"/>
        </w:rPr>
      </w:pPr>
      <w:r>
        <w:rPr>
          <w:rFonts w:ascii="Arial" w:hAnsi="Arial" w:cs="Arial"/>
          <w:sz w:val="24"/>
          <w:szCs w:val="24"/>
        </w:rPr>
        <w:br w:type="page"/>
      </w:r>
    </w:p>
    <w:p w14:paraId="3D28FDD6">
      <w:pPr>
        <w:widowControl/>
        <w:jc w:val="left"/>
        <w:rPr>
          <w:rFonts w:ascii="Arial" w:hAnsi="Arial" w:cs="Arial"/>
          <w:sz w:val="24"/>
          <w:szCs w:val="24"/>
        </w:rPr>
        <w:sectPr>
          <w:headerReference r:id="rId4" w:type="default"/>
          <w:pgSz w:w="11906" w:h="16838"/>
          <w:pgMar w:top="1440" w:right="1800" w:bottom="1440" w:left="1800" w:header="720" w:footer="992" w:gutter="0"/>
          <w:cols w:space="425" w:num="1"/>
          <w:docGrid w:type="lines" w:linePitch="312" w:charSpace="0"/>
        </w:sectPr>
      </w:pPr>
    </w:p>
    <w:p w14:paraId="28F1134D">
      <w:pPr>
        <w:overflowPunct w:val="0"/>
        <w:snapToGrid w:val="0"/>
        <w:spacing w:line="300" w:lineRule="auto"/>
        <w:ind w:firstLine="242" w:firstLineChars="67"/>
        <w:jc w:val="center"/>
        <w:rPr>
          <w:rFonts w:ascii="Arial" w:hAnsi="Arial" w:cs="Arial"/>
          <w:b/>
          <w:sz w:val="36"/>
          <w:szCs w:val="36"/>
        </w:rPr>
      </w:pPr>
      <w:r>
        <w:rPr>
          <w:rFonts w:ascii="Arial" w:hAnsi="Arial" w:cs="Arial"/>
          <w:b/>
          <w:sz w:val="36"/>
          <w:szCs w:val="36"/>
        </w:rPr>
        <w:t>行业及FDA工作人员指南</w:t>
      </w:r>
      <w:r>
        <w:rPr>
          <w:rStyle w:val="12"/>
          <w:rFonts w:ascii="Arial" w:hAnsi="Arial" w:cs="Arial"/>
          <w:b/>
          <w:sz w:val="36"/>
          <w:szCs w:val="36"/>
        </w:rPr>
        <w:footnoteReference w:id="0"/>
      </w:r>
    </w:p>
    <w:p w14:paraId="0027FAF7">
      <w:pPr>
        <w:overflowPunct w:val="0"/>
        <w:snapToGrid w:val="0"/>
        <w:spacing w:after="156" w:afterLines="50" w:line="300" w:lineRule="auto"/>
        <w:ind w:firstLine="242" w:firstLineChars="67"/>
        <w:jc w:val="center"/>
        <w:rPr>
          <w:rFonts w:ascii="Arial" w:hAnsi="Arial" w:cs="Arial"/>
          <w:b/>
          <w:sz w:val="36"/>
          <w:szCs w:val="36"/>
        </w:rPr>
      </w:pPr>
      <w:r>
        <w:rPr>
          <w:rFonts w:ascii="Arial" w:hAnsi="Arial" w:cs="Arial"/>
          <w:b/>
          <w:sz w:val="36"/>
          <w:szCs w:val="36"/>
        </w:rPr>
        <w:t>创新性组合产品开发早期应考虑的因素</w:t>
      </w:r>
    </w:p>
    <w:p w14:paraId="132F15DD">
      <w:pPr>
        <w:overflowPunct w:val="0"/>
        <w:snapToGrid w:val="0"/>
        <w:spacing w:after="156" w:afterLines="50" w:line="300" w:lineRule="auto"/>
        <w:ind w:firstLine="160" w:firstLineChars="67"/>
        <w:rPr>
          <w:rFonts w:ascii="Arial" w:hAnsi="Arial" w:cs="Arial"/>
          <w:sz w:val="24"/>
          <w:szCs w:val="24"/>
        </w:rPr>
      </w:pP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2"/>
      </w:tblGrid>
      <w:tr w14:paraId="30CA91DA">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522" w:type="dxa"/>
          </w:tcPr>
          <w:p w14:paraId="68C0D9B6">
            <w:pPr>
              <w:overflowPunct w:val="0"/>
              <w:snapToGrid w:val="0"/>
              <w:spacing w:line="300" w:lineRule="auto"/>
              <w:rPr>
                <w:rFonts w:ascii="Arial" w:hAnsi="Arial" w:cs="Arial"/>
                <w:sz w:val="24"/>
                <w:szCs w:val="24"/>
              </w:rPr>
            </w:pPr>
            <w:r>
              <w:rPr>
                <w:rFonts w:ascii="Arial" w:hAnsi="Arial" w:cs="Arial"/>
                <w:sz w:val="24"/>
                <w:szCs w:val="24"/>
              </w:rPr>
              <w:t>本指南草案代表食品药品监督管理局（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113ACFAF">
      <w:pPr>
        <w:overflowPunct w:val="0"/>
        <w:snapToGrid w:val="0"/>
        <w:spacing w:after="156" w:afterLines="50" w:line="300" w:lineRule="auto"/>
        <w:ind w:firstLine="160" w:firstLineChars="67"/>
        <w:rPr>
          <w:rFonts w:ascii="Arial" w:hAnsi="Arial" w:cs="Arial"/>
          <w:sz w:val="24"/>
          <w:szCs w:val="24"/>
        </w:rPr>
      </w:pPr>
    </w:p>
    <w:p w14:paraId="7FF88813">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pPr>
      <w:bookmarkStart w:id="0" w:name="_Toc498417251"/>
      <w:r>
        <w:rPr>
          <w:rFonts w:ascii="Arial" w:hAnsi="Arial" w:cs="Arial"/>
          <w:b/>
          <w:sz w:val="36"/>
          <w:szCs w:val="36"/>
        </w:rPr>
        <w:t>前言</w:t>
      </w:r>
      <w:bookmarkEnd w:id="0"/>
    </w:p>
    <w:p w14:paraId="54B543B4">
      <w:pPr>
        <w:overflowPunct w:val="0"/>
        <w:snapToGrid w:val="0"/>
        <w:spacing w:after="156" w:afterLines="50" w:line="300" w:lineRule="auto"/>
        <w:rPr>
          <w:rFonts w:ascii="Arial" w:hAnsi="Arial" w:cs="Arial"/>
          <w:sz w:val="24"/>
          <w:szCs w:val="24"/>
        </w:rPr>
      </w:pPr>
      <w:r>
        <w:rPr>
          <w:rFonts w:ascii="Arial" w:hAnsi="Arial" w:cs="Arial"/>
          <w:sz w:val="24"/>
          <w:szCs w:val="24"/>
        </w:rPr>
        <w:t>本文件就器械、药品和/或生物制剂组合的创新产品的开发应考虑的因素为行业和FDA工作人员提供指导。该文件就科技信息的类型为初步讨论提供一个背景。这些信息对这些组合产品的研究或上市申请可能是必不可少的。</w:t>
      </w:r>
    </w:p>
    <w:p w14:paraId="35C45C32">
      <w:pPr>
        <w:overflowPunct w:val="0"/>
        <w:snapToGrid w:val="0"/>
        <w:spacing w:after="156" w:afterLines="50" w:line="300" w:lineRule="auto"/>
        <w:rPr>
          <w:rFonts w:ascii="Arial" w:hAnsi="Arial" w:cs="Arial"/>
          <w:sz w:val="24"/>
          <w:szCs w:val="24"/>
        </w:rPr>
      </w:pPr>
      <w:r>
        <w:rPr>
          <w:rFonts w:ascii="Arial" w:hAnsi="Arial" w:cs="Arial"/>
          <w:sz w:val="24"/>
          <w:szCs w:val="24"/>
        </w:rPr>
        <w:t>本指南关注于</w:t>
      </w:r>
      <w:r>
        <w:rPr>
          <w:rFonts w:ascii="Arial" w:hAnsi="Arial" w:cs="Arial"/>
          <w:sz w:val="23"/>
          <w:szCs w:val="23"/>
        </w:rPr>
        <w:t>21 CFR 3.2(e)</w:t>
      </w:r>
      <w:r>
        <w:rPr>
          <w:rFonts w:ascii="Arial" w:hAnsi="Arial" w:cs="Arial"/>
          <w:sz w:val="24"/>
          <w:szCs w:val="24"/>
        </w:rPr>
        <w:t>中定义的组合产品。这些概念对器械、药品和生物制剂的共同开发可能也是有益的。这些成分同时使用，但并不符合组合产品的监管定义。</w:t>
      </w:r>
    </w:p>
    <w:p w14:paraId="49F0858A">
      <w:pPr>
        <w:overflowPunct w:val="0"/>
        <w:snapToGrid w:val="0"/>
        <w:spacing w:after="156" w:afterLines="50" w:line="300" w:lineRule="auto"/>
        <w:rPr>
          <w:rFonts w:ascii="Arial" w:hAnsi="Arial" w:cs="Arial"/>
          <w:sz w:val="24"/>
          <w:szCs w:val="24"/>
        </w:rPr>
      </w:pPr>
      <w:r>
        <w:rPr>
          <w:rFonts w:ascii="Arial" w:hAnsi="Arial" w:cs="Arial"/>
          <w:sz w:val="24"/>
          <w:szCs w:val="24"/>
        </w:rPr>
        <w:t>该信息对由生物制剂评价和研究中心（CBER）、器械和放射卫生中心（CDRH）、药品评价和研究中心（CDER）和组合产品办公室（OCP）编制的指导性文件进行了补充。</w:t>
      </w:r>
    </w:p>
    <w:p w14:paraId="5370362E">
      <w:pPr>
        <w:overflowPunct w:val="0"/>
        <w:snapToGrid w:val="0"/>
        <w:spacing w:after="156" w:afterLines="50" w:line="300" w:lineRule="auto"/>
        <w:rPr>
          <w:rFonts w:ascii="Arial" w:hAnsi="Arial" w:cs="Arial"/>
          <w:sz w:val="24"/>
          <w:szCs w:val="24"/>
        </w:rPr>
      </w:pPr>
      <w:r>
        <w:rPr>
          <w:rFonts w:ascii="Arial" w:hAnsi="Arial" w:cs="Arial"/>
          <w:sz w:val="24"/>
          <w:szCs w:val="24"/>
        </w:rPr>
        <w:t>FDA指导性文件，包括本指南在内，不具有法律强制责任。相反，指南表明了该机构目前关于该主题的思考，除非引用具体的法规或法律要求，否则只应视为建议。在本机构指南中使用词语“应当”是指建议或推荐进行某一事项，并非强制要求。</w:t>
      </w:r>
    </w:p>
    <w:p w14:paraId="16517661">
      <w:pPr>
        <w:overflowPunct w:val="0"/>
        <w:snapToGrid w:val="0"/>
        <w:spacing w:after="156" w:afterLines="50" w:line="300" w:lineRule="auto"/>
        <w:ind w:firstLine="160" w:firstLineChars="67"/>
        <w:rPr>
          <w:rFonts w:ascii="Arial" w:hAnsi="Arial" w:cs="Arial"/>
          <w:sz w:val="24"/>
          <w:szCs w:val="24"/>
        </w:rPr>
      </w:pPr>
    </w:p>
    <w:p w14:paraId="60F13A38">
      <w:pPr>
        <w:widowControl/>
        <w:jc w:val="left"/>
        <w:rPr>
          <w:rFonts w:ascii="Arial" w:hAnsi="Arial" w:cs="Arial"/>
          <w:b/>
          <w:sz w:val="36"/>
          <w:szCs w:val="36"/>
        </w:rPr>
      </w:pPr>
    </w:p>
    <w:p w14:paraId="721536C1">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sectPr>
          <w:headerReference r:id="rId5" w:type="default"/>
          <w:footerReference r:id="rId6" w:type="default"/>
          <w:pgSz w:w="11906" w:h="16838"/>
          <w:pgMar w:top="1440" w:right="1800" w:bottom="1440" w:left="1800" w:header="720" w:footer="992" w:gutter="0"/>
          <w:pgNumType w:start="1"/>
          <w:cols w:space="425" w:num="1"/>
          <w:docGrid w:type="lines" w:linePitch="312" w:charSpace="0"/>
        </w:sectPr>
      </w:pPr>
    </w:p>
    <w:p w14:paraId="1D3CE8B9">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pPr>
      <w:bookmarkStart w:id="1" w:name="_Toc498417252"/>
      <w:r>
        <w:rPr>
          <w:rFonts w:ascii="Arial" w:hAnsi="Arial" w:cs="Arial"/>
          <w:b/>
          <w:sz w:val="36"/>
          <w:szCs w:val="36"/>
        </w:rPr>
        <w:t>背景</w:t>
      </w:r>
      <w:bookmarkEnd w:id="1"/>
    </w:p>
    <w:p w14:paraId="6E38C2CB">
      <w:pPr>
        <w:overflowPunct w:val="0"/>
        <w:snapToGrid w:val="0"/>
        <w:spacing w:after="156" w:afterLines="50" w:line="300" w:lineRule="auto"/>
        <w:rPr>
          <w:rFonts w:ascii="Arial" w:hAnsi="Arial" w:cs="Arial"/>
          <w:sz w:val="24"/>
          <w:szCs w:val="24"/>
        </w:rPr>
      </w:pPr>
      <w:r>
        <w:rPr>
          <w:rFonts w:ascii="Arial" w:hAnsi="Arial" w:cs="Arial"/>
          <w:sz w:val="24"/>
          <w:szCs w:val="24"/>
        </w:rPr>
        <w:t>FDA认识到创新性技术可引出一系列科技发展议题。组合产品正越来越多地吸收对提高患者护理水平大有希望的前沿新技术。创新性药品、生物制剂和器械组合拥有巨大潜力，它有可能使治疗更安全、更有效、更便利或更易为患者所接受。举例来说，药品洗脱心血管支架有助于防止支架植入后可能发生的再狭窄，从而减少对再次手术的需求。药品和生物制剂可组合使用，如此则有可能增强任一产品单用时所具备的安全性和/或有效性。加入新型骨科植入材料中的蛋白质可促进骨再生，而骨再生则是保持植入材料持久稳固所必需的。药品-装置吸入系统提供了胰岛素给药的新途径，从而可减少对注射胰岛素的需求。可采用基于基因组的诊断器械帮助确定某些患者是否某种药品或生物制剂的适当用药对象或是否处于某些类型不良事件的风险状态。</w:t>
      </w:r>
      <w:r>
        <w:rPr>
          <w:rStyle w:val="12"/>
          <w:rFonts w:ascii="Arial" w:hAnsi="Arial" w:cs="Arial"/>
          <w:sz w:val="24"/>
          <w:szCs w:val="24"/>
        </w:rPr>
        <w:footnoteReference w:id="1"/>
      </w:r>
    </w:p>
    <w:p w14:paraId="1E7FA9AC">
      <w:pPr>
        <w:overflowPunct w:val="0"/>
        <w:snapToGrid w:val="0"/>
        <w:spacing w:after="156" w:afterLines="50" w:line="300" w:lineRule="auto"/>
        <w:rPr>
          <w:rFonts w:ascii="Arial" w:hAnsi="Arial" w:cs="Arial"/>
          <w:sz w:val="24"/>
          <w:szCs w:val="24"/>
        </w:rPr>
      </w:pPr>
      <w:r>
        <w:rPr>
          <w:rFonts w:ascii="Arial" w:hAnsi="Arial" w:cs="Arial"/>
          <w:sz w:val="24"/>
          <w:szCs w:val="24"/>
        </w:rPr>
        <w:t>在FDA举办的一次名为“药品和生物制剂的创新性给药系统：科学、临床和监管挑战”的研讨会上，行业和学术利益相关者要求FDA为可能挑战现有方法的创新性技术开发提供指南。</w:t>
      </w:r>
      <w:r>
        <w:rPr>
          <w:rStyle w:val="12"/>
          <w:rFonts w:ascii="Arial" w:hAnsi="Arial" w:cs="Arial"/>
          <w:sz w:val="24"/>
          <w:szCs w:val="24"/>
        </w:rPr>
        <w:footnoteReference w:id="2"/>
      </w:r>
      <w:r>
        <w:rPr>
          <w:rFonts w:ascii="Arial" w:hAnsi="Arial" w:cs="Arial"/>
          <w:sz w:val="24"/>
          <w:szCs w:val="24"/>
        </w:rPr>
        <w:t>举例来说，哪些临床前研究或动物研究适合启动人体研究或哪些类型的临床实验设计可能是适合的？此外，FDA认识到，组合产品开发从一个新概念发展到一种创新性上市产品，可能会引出许多关键路径</w:t>
      </w:r>
      <w:r>
        <w:rPr>
          <w:rStyle w:val="12"/>
          <w:rFonts w:ascii="Arial" w:hAnsi="Arial" w:cs="Arial"/>
          <w:sz w:val="24"/>
          <w:szCs w:val="24"/>
        </w:rPr>
        <w:footnoteReference w:id="3"/>
      </w:r>
      <w:r>
        <w:rPr>
          <w:rFonts w:ascii="Arial" w:hAnsi="Arial" w:cs="Arial"/>
          <w:sz w:val="24"/>
          <w:szCs w:val="24"/>
        </w:rPr>
        <w:t>挑战。</w:t>
      </w:r>
    </w:p>
    <w:p w14:paraId="6882C0B6">
      <w:pPr>
        <w:overflowPunct w:val="0"/>
        <w:snapToGrid w:val="0"/>
        <w:spacing w:after="156" w:afterLines="50" w:line="300" w:lineRule="auto"/>
        <w:rPr>
          <w:rFonts w:ascii="Arial" w:hAnsi="Arial" w:cs="Arial"/>
          <w:sz w:val="24"/>
          <w:szCs w:val="24"/>
        </w:rPr>
      </w:pPr>
      <w:r>
        <w:rPr>
          <w:rFonts w:ascii="Arial" w:hAnsi="Arial" w:cs="Arial"/>
          <w:sz w:val="24"/>
          <w:szCs w:val="24"/>
        </w:rPr>
        <w:t>在产品开发所面临的挑战中，有些是不可能轻易得到解决的。例如，尽管一种组合产品可由一种获批药品和一种获批器械组成，但当这些药品和器械组合或一起使用时，可能会出现新的科技问题。为投入生产、在机体靶部位进行临床前安全评价或进行临床实验设计确立安全性和有效性，可能需开发新方法。</w:t>
      </w:r>
    </w:p>
    <w:p w14:paraId="40B12B22">
      <w:pPr>
        <w:overflowPunct w:val="0"/>
        <w:snapToGrid w:val="0"/>
        <w:spacing w:after="156" w:afterLines="50" w:line="300" w:lineRule="auto"/>
        <w:rPr>
          <w:rFonts w:ascii="Arial" w:hAnsi="Arial" w:cs="Arial"/>
          <w:sz w:val="24"/>
          <w:szCs w:val="24"/>
        </w:rPr>
      </w:pPr>
      <w:r>
        <w:rPr>
          <w:rFonts w:ascii="Arial" w:hAnsi="Arial" w:cs="Arial"/>
          <w:sz w:val="24"/>
          <w:szCs w:val="24"/>
        </w:rPr>
        <w:t>在FDA的网站上有各种关于药品、器械和生物制剂开发与测试的指导性文件。这些指南说明了作为具体产品的药品、器械或生物制剂，但目前只有个别指导性文件说明了考虑将药品、器械和/或生物制剂组合起来作为一种组合产品的成分时所面临的科技问题。</w:t>
      </w:r>
    </w:p>
    <w:p w14:paraId="7EE9DC3C">
      <w:pPr>
        <w:overflowPunct w:val="0"/>
        <w:snapToGrid w:val="0"/>
        <w:spacing w:after="156" w:afterLines="50" w:line="300" w:lineRule="auto"/>
        <w:rPr>
          <w:rFonts w:ascii="Arial" w:hAnsi="Arial" w:cs="Arial"/>
          <w:sz w:val="24"/>
          <w:szCs w:val="24"/>
        </w:rPr>
      </w:pPr>
      <w:r>
        <w:rPr>
          <w:rFonts w:ascii="Arial" w:hAnsi="Arial" w:cs="Arial"/>
          <w:sz w:val="24"/>
          <w:szCs w:val="24"/>
        </w:rPr>
        <w:t>FDA认为，为了开发有效、适用的技术和方法确保组合产品的安全性、有效性与质量，对创新性组合产品引出的科技问题予以说明是至关重要的。</w:t>
      </w:r>
    </w:p>
    <w:p w14:paraId="0E8166A2">
      <w:pPr>
        <w:widowControl/>
        <w:jc w:val="left"/>
        <w:rPr>
          <w:rFonts w:ascii="Arial" w:hAnsi="Arial" w:cs="Arial"/>
          <w:sz w:val="24"/>
          <w:szCs w:val="24"/>
        </w:rPr>
      </w:pPr>
      <w:r>
        <w:rPr>
          <w:rFonts w:ascii="Arial" w:hAnsi="Arial" w:cs="Arial"/>
          <w:sz w:val="24"/>
          <w:szCs w:val="24"/>
        </w:rPr>
        <w:br w:type="page"/>
      </w:r>
    </w:p>
    <w:p w14:paraId="0BD74818">
      <w:pPr>
        <w:pStyle w:val="16"/>
        <w:numPr>
          <w:ilvl w:val="0"/>
          <w:numId w:val="3"/>
        </w:numPr>
        <w:overflowPunct w:val="0"/>
        <w:snapToGrid w:val="0"/>
        <w:spacing w:after="156" w:afterLines="50" w:line="324" w:lineRule="auto"/>
        <w:ind w:left="1197" w:leftChars="400" w:hanging="357" w:firstLineChars="0"/>
        <w:outlineLvl w:val="0"/>
        <w:rPr>
          <w:rFonts w:ascii="Arial" w:hAnsi="Arial" w:cs="Arial"/>
          <w:b/>
          <w:sz w:val="28"/>
          <w:szCs w:val="28"/>
        </w:rPr>
      </w:pPr>
      <w:bookmarkStart w:id="2" w:name="_Toc498417253"/>
      <w:r>
        <w:rPr>
          <w:rFonts w:ascii="Arial" w:hAnsi="Arial" w:cs="Arial"/>
          <w:b/>
          <w:sz w:val="28"/>
          <w:szCs w:val="28"/>
        </w:rPr>
        <w:t>定义</w:t>
      </w:r>
      <w:bookmarkEnd w:id="2"/>
    </w:p>
    <w:p w14:paraId="237C8549">
      <w:pPr>
        <w:overflowPunct w:val="0"/>
        <w:snapToGrid w:val="0"/>
        <w:spacing w:after="156" w:afterLines="50" w:line="324" w:lineRule="auto"/>
        <w:rPr>
          <w:rFonts w:ascii="Arial" w:hAnsi="Arial" w:cs="Arial"/>
          <w:sz w:val="24"/>
          <w:szCs w:val="24"/>
        </w:rPr>
      </w:pPr>
      <w:r>
        <w:rPr>
          <w:rFonts w:ascii="Arial" w:hAnsi="Arial" w:cs="Arial"/>
          <w:sz w:val="24"/>
          <w:szCs w:val="24"/>
        </w:rPr>
        <w:t>按</w:t>
      </w:r>
      <w:r>
        <w:rPr>
          <w:rFonts w:ascii="Arial" w:hAnsi="Arial" w:cs="Arial"/>
          <w:sz w:val="23"/>
          <w:szCs w:val="23"/>
        </w:rPr>
        <w:t>21 CFR 3.2(e)</w:t>
      </w:r>
      <w:r>
        <w:rPr>
          <w:rFonts w:ascii="Arial" w:hAnsi="Arial" w:cs="Arial"/>
          <w:sz w:val="24"/>
          <w:szCs w:val="24"/>
        </w:rPr>
        <w:t>的定义，组合产品是由一种药品和一种器械、一种生物制剂和一种器械、一种药品和一种生物制剂或一种药品、一种器械和一种生物制剂的任意组合组成的产品。其包括：</w:t>
      </w:r>
    </w:p>
    <w:p w14:paraId="107C7F97">
      <w:pPr>
        <w:pStyle w:val="16"/>
        <w:numPr>
          <w:ilvl w:val="0"/>
          <w:numId w:val="4"/>
        </w:numPr>
        <w:overflowPunct w:val="0"/>
        <w:snapToGrid w:val="0"/>
        <w:spacing w:after="156" w:afterLines="50" w:line="324" w:lineRule="auto"/>
        <w:ind w:left="420" w:leftChars="200" w:firstLineChars="0"/>
        <w:rPr>
          <w:rFonts w:ascii="Arial" w:hAnsi="Arial" w:cs="Arial"/>
          <w:sz w:val="24"/>
          <w:szCs w:val="24"/>
        </w:rPr>
      </w:pPr>
      <w:r>
        <w:rPr>
          <w:rFonts w:ascii="Arial" w:hAnsi="Arial" w:cs="Arial"/>
          <w:sz w:val="24"/>
          <w:szCs w:val="24"/>
        </w:rPr>
        <w:t>“由两种或更多监管成分组成的产品，即药品/器械、生物制剂/器械、药品/生物制剂或药品/器械/生物制剂组合，它们以物理、化学或其它方式组合或混合在一起并作为一个单一实体生产出来；</w:t>
      </w:r>
    </w:p>
    <w:p w14:paraId="0717FC74">
      <w:pPr>
        <w:pStyle w:val="16"/>
        <w:numPr>
          <w:ilvl w:val="0"/>
          <w:numId w:val="4"/>
        </w:numPr>
        <w:overflowPunct w:val="0"/>
        <w:snapToGrid w:val="0"/>
        <w:spacing w:after="156" w:afterLines="50" w:line="324" w:lineRule="auto"/>
        <w:ind w:left="420" w:leftChars="200" w:firstLineChars="0"/>
        <w:rPr>
          <w:rFonts w:ascii="Arial" w:hAnsi="Arial" w:cs="Arial"/>
          <w:sz w:val="24"/>
          <w:szCs w:val="24"/>
        </w:rPr>
      </w:pPr>
      <w:r>
        <w:rPr>
          <w:rFonts w:ascii="Arial" w:hAnsi="Arial" w:cs="Arial"/>
          <w:sz w:val="24"/>
          <w:szCs w:val="24"/>
        </w:rPr>
        <w:t>两种或更多独立产品在一个单独包装中或作为一个单元包装在一起并由药品和器械产品、器械和生物制剂或生物制剂和药品产品组成；</w:t>
      </w:r>
    </w:p>
    <w:p w14:paraId="349F5B58">
      <w:pPr>
        <w:pStyle w:val="16"/>
        <w:numPr>
          <w:ilvl w:val="0"/>
          <w:numId w:val="4"/>
        </w:numPr>
        <w:overflowPunct w:val="0"/>
        <w:snapToGrid w:val="0"/>
        <w:spacing w:after="156" w:afterLines="50" w:line="324" w:lineRule="auto"/>
        <w:ind w:left="420" w:leftChars="200" w:firstLineChars="0"/>
        <w:rPr>
          <w:rFonts w:ascii="Arial" w:hAnsi="Arial" w:cs="Arial"/>
          <w:sz w:val="24"/>
          <w:szCs w:val="24"/>
        </w:rPr>
      </w:pPr>
      <w:r>
        <w:rPr>
          <w:rFonts w:ascii="Arial" w:hAnsi="Arial" w:cs="Arial"/>
          <w:sz w:val="24"/>
          <w:szCs w:val="24"/>
        </w:rPr>
        <w:t>一种分开包装的药品、器械或生物制剂，根据其研究计划或建议标签，预期仅与一种具有独特特性的获批药品、器械或生物制剂一起使用。在组合产品中，要求两种成分均可实现预期用途、指征或疗效；建议产品获批后，获批产品的标签需加以变更；如在预期用途、剂型、效力、给药途径或剂量明显变更方面反映出变更情况；或</w:t>
      </w:r>
    </w:p>
    <w:p w14:paraId="7DC8DFC5">
      <w:pPr>
        <w:pStyle w:val="16"/>
        <w:numPr>
          <w:ilvl w:val="0"/>
          <w:numId w:val="4"/>
        </w:numPr>
        <w:overflowPunct w:val="0"/>
        <w:snapToGrid w:val="0"/>
        <w:spacing w:after="156" w:afterLines="50" w:line="324" w:lineRule="auto"/>
        <w:ind w:left="420" w:leftChars="200" w:firstLineChars="0"/>
        <w:rPr>
          <w:rFonts w:ascii="Arial" w:hAnsi="Arial" w:cs="Arial"/>
          <w:sz w:val="24"/>
          <w:szCs w:val="24"/>
        </w:rPr>
      </w:pPr>
      <w:r>
        <w:rPr>
          <w:rFonts w:ascii="Arial" w:hAnsi="Arial" w:cs="Arial"/>
          <w:sz w:val="24"/>
          <w:szCs w:val="24"/>
        </w:rPr>
        <w:t>分开包装的任何研究性药品、器械或生物制剂，根据其建议标签，仅与另一种具有独特特性的研究性药品、器械或生物制剂一起使用。在组合产品中，要求两种成分均可实现预期用途、指征或疗效。”</w:t>
      </w:r>
    </w:p>
    <w:p w14:paraId="7178C78D">
      <w:pPr>
        <w:overflowPunct w:val="0"/>
        <w:snapToGrid w:val="0"/>
        <w:spacing w:after="156" w:afterLines="50" w:line="324" w:lineRule="auto"/>
        <w:rPr>
          <w:rFonts w:ascii="Arial" w:hAnsi="Arial" w:cs="Arial"/>
          <w:sz w:val="24"/>
          <w:szCs w:val="24"/>
        </w:rPr>
      </w:pPr>
      <w:r>
        <w:rPr>
          <w:rFonts w:ascii="Arial" w:hAnsi="Arial" w:cs="Arial"/>
          <w:sz w:val="24"/>
          <w:szCs w:val="24"/>
        </w:rPr>
        <w:t>有关该指南，按</w:t>
      </w:r>
      <w:r>
        <w:rPr>
          <w:rFonts w:ascii="Arial" w:hAnsi="Arial" w:cs="Arial"/>
          <w:sz w:val="23"/>
          <w:szCs w:val="23"/>
        </w:rPr>
        <w:t>21 U.S.C. 321部分</w:t>
      </w:r>
      <w:r>
        <w:rPr>
          <w:rFonts w:ascii="Arial" w:hAnsi="Arial" w:cs="Arial"/>
          <w:sz w:val="24"/>
          <w:szCs w:val="24"/>
        </w:rPr>
        <w:t>，美国联邦食品、药品和化妆品法案（简称法案）和</w:t>
      </w:r>
      <w:r>
        <w:rPr>
          <w:rFonts w:ascii="Arial" w:hAnsi="Arial" w:cs="Arial"/>
          <w:sz w:val="23"/>
          <w:szCs w:val="23"/>
        </w:rPr>
        <w:t>42 U.S.C. 252 (i)</w:t>
      </w:r>
      <w:r>
        <w:rPr>
          <w:rFonts w:ascii="Arial" w:hAnsi="Arial" w:cs="Arial"/>
          <w:sz w:val="24"/>
          <w:szCs w:val="24"/>
        </w:rPr>
        <w:t>、公共卫生服务法案和</w:t>
      </w:r>
      <w:r>
        <w:rPr>
          <w:rFonts w:ascii="Arial" w:hAnsi="Arial" w:cs="Arial"/>
          <w:sz w:val="23"/>
          <w:szCs w:val="23"/>
        </w:rPr>
        <w:t>21 CFR 3.2(k)</w:t>
      </w:r>
      <w:r>
        <w:rPr>
          <w:rFonts w:ascii="Arial" w:hAnsi="Arial" w:cs="Arial"/>
          <w:sz w:val="24"/>
          <w:szCs w:val="24"/>
        </w:rPr>
        <w:t>条款的定义，组合产品的一个组成部分就是组合产品中可被其监管标识区分为药品、器械或生物制剂的一种物品。例如，一种外涂或灌注了药品的器械有两个组成部分－器械成分和药品成分。为简单起见，本指南在由两个组成部分组成的一种组合产品的背景下对这些概念进行了描述。这些概念也与包含两个以上组成部分的组合产品有关。</w:t>
      </w:r>
    </w:p>
    <w:p w14:paraId="2AD7624B">
      <w:pPr>
        <w:pStyle w:val="16"/>
        <w:numPr>
          <w:ilvl w:val="0"/>
          <w:numId w:val="3"/>
        </w:numPr>
        <w:overflowPunct w:val="0"/>
        <w:snapToGrid w:val="0"/>
        <w:spacing w:after="156" w:afterLines="50" w:line="324" w:lineRule="auto"/>
        <w:ind w:left="1197" w:leftChars="400" w:hanging="357" w:firstLineChars="0"/>
        <w:outlineLvl w:val="0"/>
        <w:rPr>
          <w:rFonts w:ascii="Arial" w:hAnsi="Arial" w:cs="Arial"/>
          <w:b/>
          <w:sz w:val="28"/>
          <w:szCs w:val="28"/>
        </w:rPr>
      </w:pPr>
      <w:bookmarkStart w:id="3" w:name="_Toc498417254"/>
      <w:r>
        <w:rPr>
          <w:rFonts w:ascii="Arial" w:hAnsi="Arial" w:cs="Arial"/>
          <w:b/>
          <w:sz w:val="28"/>
          <w:szCs w:val="28"/>
        </w:rPr>
        <w:t>如何对组合产品实施监管？</w:t>
      </w:r>
      <w:bookmarkEnd w:id="3"/>
    </w:p>
    <w:p w14:paraId="64D06E4F">
      <w:pPr>
        <w:overflowPunct w:val="0"/>
        <w:snapToGrid w:val="0"/>
        <w:spacing w:after="156" w:afterLines="50" w:line="324" w:lineRule="auto"/>
        <w:rPr>
          <w:rFonts w:ascii="Arial" w:hAnsi="Arial" w:cs="Arial"/>
          <w:sz w:val="24"/>
          <w:szCs w:val="24"/>
        </w:rPr>
      </w:pPr>
      <w:r>
        <w:rPr>
          <w:rFonts w:ascii="Arial" w:hAnsi="Arial" w:cs="Arial"/>
          <w:sz w:val="24"/>
          <w:szCs w:val="24"/>
        </w:rPr>
        <w:t>FDA的组合产品办公室（OCP）是根据2002年颁布的医疗器械用户收费和现代化法案的要求于2002年成立的。根据该法案第503(g)节的规定，OCP负责尽快指定一个主要机构中心，该中心对组合产品的审核和监管拥有优先管辖权。该办公室应通过监督涉及多个机构中心及时性与协调的审核而确保及时、有效的上市前审核；确保组合产品上市后监管的一致与适当；解决关于组合产品审核及时性的争议。OCP还要与机构中心通力合作制订指南和法规，使组合产品监管尽可能清晰、一致和可预测。按该法案第503(g)(1)节的规定，应根据对组合产品主要作用模式（PMOA）的决定，将组合产品分配给拥有优先管辖权的中心或主要中心。将PMOA定义为“一种组合产品中提供组合产品最重要治疗作用的一种作用模式。”例如，如果一种器械-生物制剂组合产品的主要作用模式可归因于其生物制剂成分，那么本机构负责该生物制剂上市前审核的部门对这种组合产品拥有优先管辖权。最终监管还包括不能以合理的确定性决定一种组合产品的最重要治疗作用时本机构将要采用的分配算法。</w:t>
      </w:r>
      <w:r>
        <w:rPr>
          <w:rStyle w:val="12"/>
          <w:rFonts w:ascii="Arial" w:hAnsi="Arial" w:cs="Arial"/>
          <w:sz w:val="24"/>
          <w:szCs w:val="24"/>
        </w:rPr>
        <w:footnoteReference w:id="4"/>
      </w:r>
    </w:p>
    <w:p w14:paraId="4CFC731B">
      <w:pPr>
        <w:overflowPunct w:val="0"/>
        <w:snapToGrid w:val="0"/>
        <w:spacing w:after="156" w:afterLines="50" w:line="324" w:lineRule="auto"/>
        <w:rPr>
          <w:rFonts w:ascii="Arial" w:hAnsi="Arial" w:cs="Arial"/>
          <w:sz w:val="24"/>
          <w:szCs w:val="24"/>
        </w:rPr>
      </w:pPr>
      <w:r>
        <w:rPr>
          <w:rFonts w:ascii="Arial" w:hAnsi="Arial" w:cs="Arial"/>
          <w:sz w:val="24"/>
          <w:szCs w:val="24"/>
        </w:rPr>
        <w:t>组合产品办公室将一种组合产品分配给机构所属的以下任意三个人用医疗产品中心：CBER、CDER和CDRH。主要中心对该组合产品的审核和监管负有监督责任。适当情况下，主要中心通常咨询或与其他机构部门和OCP进行协商，对监管申请文件（如研究申请或上市授权）所需信息进行确认和评价。</w:t>
      </w:r>
    </w:p>
    <w:p w14:paraId="2B1D94B2">
      <w:pPr>
        <w:overflowPunct w:val="0"/>
        <w:snapToGrid w:val="0"/>
        <w:spacing w:after="156" w:afterLines="50" w:line="324" w:lineRule="auto"/>
        <w:rPr>
          <w:rFonts w:ascii="Arial" w:hAnsi="Arial" w:cs="Arial"/>
          <w:sz w:val="24"/>
          <w:szCs w:val="24"/>
        </w:rPr>
      </w:pPr>
      <w:r>
        <w:rPr>
          <w:rFonts w:ascii="Arial" w:hAnsi="Arial" w:cs="Arial"/>
          <w:sz w:val="24"/>
          <w:szCs w:val="24"/>
        </w:rPr>
        <w:t>为了提高组合产品的审核效率，FDA建立了中心协商和协调审查流程的标准操作规程。</w:t>
      </w:r>
      <w:r>
        <w:rPr>
          <w:rStyle w:val="12"/>
          <w:rFonts w:ascii="Arial" w:hAnsi="Arial" w:cs="Arial"/>
          <w:sz w:val="24"/>
          <w:szCs w:val="24"/>
        </w:rPr>
        <w:footnoteReference w:id="5"/>
      </w:r>
      <w:r>
        <w:rPr>
          <w:rFonts w:ascii="Arial" w:hAnsi="Arial" w:cs="Arial"/>
          <w:sz w:val="24"/>
          <w:szCs w:val="24"/>
        </w:rPr>
        <w:t>该文件为FDA工作人员提供了进行组合产品、器械、药品和生物制剂的正式协商协调性审核的申请、接收、处理、加工和追踪时应遵从的政策和规程。SOP的目标是确保对组合产品进行及时、有效的中心沟通，确保中心协商协调的及时性和一致性。</w:t>
      </w:r>
    </w:p>
    <w:p w14:paraId="4BD35970">
      <w:pPr>
        <w:overflowPunct w:val="0"/>
        <w:snapToGrid w:val="0"/>
        <w:spacing w:after="156" w:afterLines="50" w:line="324" w:lineRule="auto"/>
        <w:rPr>
          <w:rFonts w:ascii="Arial" w:hAnsi="Arial" w:cs="Arial"/>
          <w:sz w:val="24"/>
          <w:szCs w:val="24"/>
        </w:rPr>
      </w:pPr>
      <w:r>
        <w:rPr>
          <w:rFonts w:ascii="Arial" w:hAnsi="Arial" w:cs="Arial"/>
          <w:sz w:val="24"/>
          <w:szCs w:val="24"/>
        </w:rPr>
        <w:t>本指南对器械、药品和/或生物制剂组合产品的开发应考虑因素的一般信息进行了描述。本部分描述的监管流程细节尽管超出了本指导性文件的范畴，但在管辖权不明或有争议时，FDA鼓励开发商与OCP联系，以便在确定主要中心分配时得到援助。FDA还鼓励开发商在确定上市申请的数目或类型</w:t>
      </w:r>
      <w:r>
        <w:rPr>
          <w:rStyle w:val="12"/>
          <w:rFonts w:ascii="Arial" w:hAnsi="Arial" w:cs="Arial"/>
          <w:sz w:val="24"/>
          <w:szCs w:val="24"/>
        </w:rPr>
        <w:footnoteReference w:id="6"/>
      </w:r>
      <w:r>
        <w:rPr>
          <w:rFonts w:ascii="Arial" w:hAnsi="Arial" w:cs="Arial"/>
          <w:sz w:val="24"/>
          <w:szCs w:val="24"/>
        </w:rPr>
        <w:t>、上市前审核流程、上市后监管（如不良事件报告）或可能适用于某种组合产品的良好生产规范要求时与OCP联系并寻求援助。在适当情况下，OCP将与机构中心通力合作，促使中心做出回复。关于组合产品监管、指导和流程的其它信息可在OCP的网站上查阅。</w:t>
      </w:r>
      <w:r>
        <w:rPr>
          <w:rStyle w:val="12"/>
          <w:rFonts w:ascii="Arial" w:hAnsi="Arial" w:cs="Arial"/>
          <w:sz w:val="24"/>
          <w:szCs w:val="24"/>
        </w:rPr>
        <w:footnoteReference w:id="7"/>
      </w:r>
    </w:p>
    <w:p w14:paraId="3D3E097F">
      <w:pPr>
        <w:pStyle w:val="16"/>
        <w:numPr>
          <w:ilvl w:val="0"/>
          <w:numId w:val="2"/>
        </w:numPr>
        <w:overflowPunct w:val="0"/>
        <w:snapToGrid w:val="0"/>
        <w:spacing w:after="156" w:afterLines="50" w:line="324" w:lineRule="auto"/>
        <w:ind w:left="664" w:leftChars="100" w:hanging="454" w:firstLineChars="0"/>
        <w:outlineLvl w:val="0"/>
        <w:rPr>
          <w:rFonts w:ascii="Arial" w:hAnsi="Arial" w:cs="Arial"/>
          <w:b/>
          <w:sz w:val="36"/>
          <w:szCs w:val="36"/>
        </w:rPr>
      </w:pPr>
      <w:bookmarkStart w:id="4" w:name="_Toc498417255"/>
      <w:r>
        <w:rPr>
          <w:rFonts w:ascii="Arial" w:hAnsi="Arial" w:cs="Arial"/>
          <w:b/>
          <w:sz w:val="36"/>
          <w:szCs w:val="36"/>
        </w:rPr>
        <w:t>开发应考虑的一般因素</w:t>
      </w:r>
      <w:bookmarkEnd w:id="4"/>
    </w:p>
    <w:p w14:paraId="7F520FD5">
      <w:pPr>
        <w:overflowPunct w:val="0"/>
        <w:snapToGrid w:val="0"/>
        <w:spacing w:after="156" w:afterLines="50" w:line="324" w:lineRule="auto"/>
        <w:rPr>
          <w:rFonts w:ascii="Arial" w:hAnsi="Arial" w:cs="Arial"/>
          <w:sz w:val="24"/>
          <w:szCs w:val="24"/>
        </w:rPr>
      </w:pPr>
      <w:r>
        <w:rPr>
          <w:rFonts w:ascii="Arial" w:hAnsi="Arial" w:cs="Arial"/>
          <w:sz w:val="24"/>
          <w:szCs w:val="24"/>
        </w:rPr>
        <w:t>与其它医用产品一样，组合产品开发通常关注于特定在开发产品引出的科技问题。对一种组合产品来说，这些科技问题通常将反映在组合产品本身及其组成部分上。将习惯上采用不同监管样式开发出来的产品（如药品或生物制剂与器械）组合在一起时，某些关键性的开发问题（如药品/生物制剂和器械成分的相互作用）可能不易显现出来。此外，由于组合产品的广泛性、创新性和复杂性，不存在适用于所有组合产品的单一开发样式。</w:t>
      </w:r>
    </w:p>
    <w:p w14:paraId="14DAD44E">
      <w:pPr>
        <w:overflowPunct w:val="0"/>
        <w:snapToGrid w:val="0"/>
        <w:spacing w:after="156" w:afterLines="50" w:line="324" w:lineRule="auto"/>
        <w:rPr>
          <w:rFonts w:ascii="Arial" w:hAnsi="Arial" w:cs="Arial"/>
          <w:sz w:val="24"/>
          <w:szCs w:val="24"/>
        </w:rPr>
      </w:pPr>
      <w:r>
        <w:rPr>
          <w:rFonts w:ascii="Arial" w:hAnsi="Arial" w:cs="Arial"/>
          <w:sz w:val="24"/>
          <w:szCs w:val="24"/>
        </w:rPr>
        <w:t>现有指导性文件通常是考虑一种组合产品的组成部分将会引出问题类型的极好起点，但为了充分说明一种组合产品的组合性质，常常需要对它们做出调整。例如，药品/生物制剂的临床前评价指南不同于为器械所做的临床前/非临床研究。开发一种组合产品时，孤立的方法也许既不能充分说明两种成分相关的临床前开发问题，也不能充分说明作为整体的组合产品相关的临床前开发问题。与此相反，FDA建议开发商考虑组合产品及其成分所引出的科技问题并提出一种不需重复或繁复研究即可适当说明这些问题的方法。</w:t>
      </w:r>
    </w:p>
    <w:p w14:paraId="1F131B21">
      <w:pPr>
        <w:overflowPunct w:val="0"/>
        <w:snapToGrid w:val="0"/>
        <w:spacing w:after="156" w:afterLines="50" w:line="324" w:lineRule="auto"/>
        <w:rPr>
          <w:rFonts w:ascii="Arial" w:hAnsi="Arial" w:cs="Arial"/>
          <w:sz w:val="24"/>
          <w:szCs w:val="24"/>
        </w:rPr>
      </w:pPr>
      <w:r>
        <w:rPr>
          <w:rFonts w:ascii="Arial" w:hAnsi="Arial" w:cs="Arial"/>
          <w:sz w:val="24"/>
          <w:szCs w:val="24"/>
        </w:rPr>
        <w:t>在许多情况下，开发应考虑因素取决于组合产品的类型。当组合产品由以化学、物理或其它方式组合或混合起来的成分组成并作为独立实体付诸生产时，开发商说明药品/生物制剂/器械间发生广泛相互作用的可能性加以考虑并酌情加以评价。例如，就药品洗脱支架来说，包含药品成分的聚合物涂层系统的机械属性对支架安放、药品释放、生物相容性和稳定性至关重要。对某些组合产品来说，组成部分可能具有协同效应。对此应加以评价。在这些研究背景下，对避免重复/繁复的方法加以讨论并制订策略简化开发的重叠部分是适当的。</w:t>
      </w:r>
    </w:p>
    <w:p w14:paraId="3F829164">
      <w:pPr>
        <w:overflowPunct w:val="0"/>
        <w:snapToGrid w:val="0"/>
        <w:spacing w:after="156" w:afterLines="50" w:line="324" w:lineRule="auto"/>
        <w:rPr>
          <w:rFonts w:ascii="Arial" w:hAnsi="Arial" w:cs="Arial"/>
          <w:sz w:val="24"/>
          <w:szCs w:val="24"/>
        </w:rPr>
      </w:pPr>
      <w:r>
        <w:rPr>
          <w:rFonts w:ascii="Arial" w:hAnsi="Arial" w:cs="Arial"/>
          <w:sz w:val="24"/>
          <w:szCs w:val="24"/>
        </w:rPr>
        <w:t>创新性新方法可能还对产品开发的现有方法构成挑战。例如，如果一种新型器械的用途是将药品/生物制剂输送至机体内以前不能进入的新部位，那么就有必要开发一些新方法用来判定此种局部化/靶向给药的效果。在此种给药方式所致靶部位药品接触量高于全身给药时尤其需要这样的新方法。创新性技术（如纳米技术或肝细胞产品）同样可导致新型生产方法的开发或与采用其它方式生产之产品有关的独特安全问题。</w:t>
      </w:r>
    </w:p>
    <w:p w14:paraId="3E3CB99E">
      <w:pPr>
        <w:overflowPunct w:val="0"/>
        <w:snapToGrid w:val="0"/>
        <w:spacing w:after="156" w:afterLines="50" w:line="300" w:lineRule="auto"/>
        <w:rPr>
          <w:rFonts w:ascii="Arial" w:hAnsi="Arial" w:cs="Arial"/>
          <w:sz w:val="24"/>
          <w:szCs w:val="24"/>
        </w:rPr>
      </w:pPr>
      <w:r>
        <w:rPr>
          <w:rFonts w:ascii="Arial" w:hAnsi="Arial" w:cs="Arial"/>
          <w:sz w:val="24"/>
          <w:szCs w:val="24"/>
        </w:rPr>
        <w:t>以下部分对收集信息用于证明一种组合产品及其组成部分的安全性和有效性时应考虑的一般原则进行了描述。我们建议组合产品开发商尤其要考虑说明其产品进行的临床前和非临床测试以及组成部分的相互作用和组成部分的任何前置批准/准许对此类测试有何影响。FDA认为，本指导性文件中描述的一般原则有助于开发商提供适当数据帮助确立创新性组合产品的安全性和有效性。在现有指导性文件的背景下对这些问题所做的考虑可能会催生更有靶向性、更有效的组合产品开发路径。</w:t>
      </w:r>
    </w:p>
    <w:p w14:paraId="089603DC">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pPr>
      <w:bookmarkStart w:id="5" w:name="_Toc498417256"/>
      <w:r>
        <w:rPr>
          <w:rFonts w:ascii="Arial" w:hAnsi="Arial" w:cs="Arial"/>
          <w:b/>
          <w:sz w:val="36"/>
          <w:szCs w:val="36"/>
        </w:rPr>
        <w:t>对当前上市产品的思考</w:t>
      </w:r>
      <w:bookmarkEnd w:id="5"/>
    </w:p>
    <w:p w14:paraId="591256E8">
      <w:pPr>
        <w:overflowPunct w:val="0"/>
        <w:snapToGrid w:val="0"/>
        <w:spacing w:after="156" w:afterLines="50" w:line="300" w:lineRule="auto"/>
        <w:rPr>
          <w:rFonts w:ascii="Arial" w:hAnsi="Arial" w:cs="Arial"/>
          <w:sz w:val="24"/>
          <w:szCs w:val="24"/>
        </w:rPr>
      </w:pPr>
      <w:r>
        <w:rPr>
          <w:rFonts w:ascii="Arial" w:hAnsi="Arial" w:cs="Arial"/>
          <w:sz w:val="24"/>
          <w:szCs w:val="24"/>
        </w:rPr>
        <w:t>FDA对一种组合产品中某个特定组成部分的前置批准和/或准许常常是通过对适当数据的思考确立其用于一种组合产品中的安全性和有效性的极好起点。为避免重复并确保开发流程更加及时、有效，FDA建议开发商充分考虑组成部分已确立内容；即哪些现有信息和数据是可供利用的。然而，在整个开发流程中，认识到它是以批准/准许为目的正在开发的组合产品而不仅仅是组成部分是极其重要的。这种前置信息虽然常常非常有帮助，但开发商应认识到其它数据和信息对说明组合产品中组成部分的新用途引出的科技问题可能是必要的。这些问题可通过将组成部分组合在一起或组成部分在组合产品中的新用途（如一种新适应症、一个不同的目标人群、一种新给药途径）或将产品组合在一起时不同的局部或全身接触情况而引出。例如，开发商应考虑：</w:t>
      </w:r>
    </w:p>
    <w:p w14:paraId="07D886E2">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组成部分已获批用于某适应症了吗？</w:t>
      </w:r>
    </w:p>
    <w:p w14:paraId="78E470FF">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某给定组成部分的适应症与组合产品的建议适应症相似吗？</w:t>
      </w:r>
    </w:p>
    <w:p w14:paraId="30CC2B0A">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组合产品扩大了适应症或将预期目标人群扩大到超出获批组成部分了吗？</w:t>
      </w:r>
    </w:p>
    <w:p w14:paraId="41640F51">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就现有适应症而言，组合产品使患者暴露于某种新给药途径或某种新的局部或全身接触方式了吗？</w:t>
      </w:r>
    </w:p>
    <w:p w14:paraId="18C63CA6">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药品配方不同于获批药品所用配方吗？</w:t>
      </w:r>
    </w:p>
    <w:p w14:paraId="03E8F92A">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器械设计需对新用途加以改进吗？</w:t>
      </w:r>
    </w:p>
    <w:p w14:paraId="4BAE64EB">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将器械成分用于不同于现有获批部位的机体某部位吗？</w:t>
      </w:r>
    </w:p>
    <w:p w14:paraId="1A513669">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器械和药品成分以化学、物理或其它方式组合成一个单一实体了吗？</w:t>
      </w:r>
    </w:p>
    <w:p w14:paraId="4E90D216">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该器械以一种给药系统、一种用于制备最终剂型的方法发挥作用吗？和/或它提供有效的治疗作用吗？</w:t>
      </w:r>
    </w:p>
    <w:p w14:paraId="3827FB47">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在设计或配方方面存在可能影响任何现有组成部分或作为整体之组合产品之安全性/有效性的任何其它变更吗？</w:t>
      </w:r>
    </w:p>
    <w:p w14:paraId="24095FE7">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建议将一种上市器械与属于一种新分子实体的某种药品成分一起使用吗？</w:t>
      </w:r>
    </w:p>
    <w:p w14:paraId="18CD0C01">
      <w:pPr>
        <w:pStyle w:val="16"/>
        <w:numPr>
          <w:ilvl w:val="0"/>
          <w:numId w:val="5"/>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建议将一种上市药品与一种复杂的新器械一起使用吗？</w:t>
      </w:r>
    </w:p>
    <w:p w14:paraId="4595581D">
      <w:pPr>
        <w:overflowPunct w:val="0"/>
        <w:snapToGrid w:val="0"/>
        <w:spacing w:after="156" w:afterLines="50" w:line="300" w:lineRule="auto"/>
        <w:rPr>
          <w:rFonts w:ascii="Arial" w:hAnsi="Arial" w:cs="Arial"/>
          <w:sz w:val="24"/>
          <w:szCs w:val="24"/>
        </w:rPr>
      </w:pPr>
      <w:r>
        <w:rPr>
          <w:rFonts w:ascii="Arial" w:hAnsi="Arial" w:cs="Arial"/>
          <w:sz w:val="24"/>
          <w:szCs w:val="24"/>
        </w:rPr>
        <w:t>如以下部分所述，FDA建议在进行开发性研究时应酌情对组成部分单体和组合产品成品考虑这些问题。此外，FDA还建议在建议适应症的背景下考虑这些问题。</w:t>
      </w:r>
    </w:p>
    <w:p w14:paraId="70A80712">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pPr>
      <w:bookmarkStart w:id="6" w:name="_Toc498417257"/>
      <w:r>
        <w:rPr>
          <w:rFonts w:ascii="Arial" w:hAnsi="Arial" w:cs="Arial"/>
          <w:b/>
          <w:sz w:val="36"/>
          <w:szCs w:val="36"/>
        </w:rPr>
        <w:t>按组成部分考虑的观点</w:t>
      </w:r>
      <w:bookmarkEnd w:id="6"/>
    </w:p>
    <w:p w14:paraId="69358E2A">
      <w:pPr>
        <w:pStyle w:val="16"/>
        <w:numPr>
          <w:ilvl w:val="0"/>
          <w:numId w:val="6"/>
        </w:numPr>
        <w:overflowPunct w:val="0"/>
        <w:snapToGrid w:val="0"/>
        <w:spacing w:after="156" w:afterLines="50" w:line="300" w:lineRule="auto"/>
        <w:ind w:left="1197" w:leftChars="400" w:hanging="357" w:firstLineChars="0"/>
        <w:outlineLvl w:val="0"/>
        <w:rPr>
          <w:rFonts w:ascii="Arial" w:hAnsi="Arial" w:cs="Arial"/>
          <w:b/>
          <w:sz w:val="28"/>
          <w:szCs w:val="28"/>
        </w:rPr>
      </w:pPr>
      <w:bookmarkStart w:id="7" w:name="_Toc498417258"/>
      <w:r>
        <w:rPr>
          <w:rFonts w:ascii="Arial" w:hAnsi="Arial" w:cs="Arial"/>
          <w:b/>
          <w:sz w:val="28"/>
          <w:szCs w:val="28"/>
        </w:rPr>
        <w:t>对器械成分应考虑的因素</w:t>
      </w:r>
      <w:bookmarkEnd w:id="7"/>
    </w:p>
    <w:p w14:paraId="4BAB7507">
      <w:pPr>
        <w:overflowPunct w:val="0"/>
        <w:snapToGrid w:val="0"/>
        <w:spacing w:after="156" w:afterLines="50" w:line="300" w:lineRule="auto"/>
        <w:rPr>
          <w:rFonts w:ascii="Arial" w:hAnsi="Arial" w:cs="Arial"/>
          <w:sz w:val="24"/>
          <w:szCs w:val="24"/>
        </w:rPr>
      </w:pPr>
      <w:r>
        <w:rPr>
          <w:rFonts w:ascii="Arial" w:hAnsi="Arial" w:cs="Arial"/>
          <w:sz w:val="24"/>
          <w:szCs w:val="24"/>
        </w:rPr>
        <w:t>对新的器械组成部分来说，为了确立作为整体的组合产品的安全性和有效性，在研究开始前或研究的同时，可能有必要单独对器械进行一些安全性和/或有效性测试。对因其它目的而获批准/许可的器械组成部分来说，临床前测试的范围主要关注于作为组合产品组成部分之器械成分的新用途。例如，如果为了在脑部长期给药的新用途而在组合产品中加入一个静脉内留置导管，可能有必要进行新的生物相容性研究，以便确立器械材料置入神经组织的安全性。为了确立器械设计对使用器械之新环境的适合性，可能有必要进行新的工程或功能测试。</w:t>
      </w:r>
    </w:p>
    <w:p w14:paraId="09AF9513">
      <w:pPr>
        <w:overflowPunct w:val="0"/>
        <w:snapToGrid w:val="0"/>
        <w:spacing w:after="156" w:afterLines="50" w:line="300" w:lineRule="auto"/>
        <w:rPr>
          <w:rFonts w:ascii="Arial" w:hAnsi="Arial" w:cs="Arial"/>
          <w:sz w:val="24"/>
          <w:szCs w:val="24"/>
        </w:rPr>
      </w:pPr>
      <w:r>
        <w:rPr>
          <w:rFonts w:ascii="Arial" w:hAnsi="Arial" w:cs="Arial"/>
          <w:sz w:val="24"/>
          <w:szCs w:val="24"/>
        </w:rPr>
        <w:t>对器械和药品/生物制剂成分间的潜在相互作用（期望的或非期望的）也应加以考虑。例如，开展研究评价下列事项的可能性可能是适当的：</w:t>
      </w:r>
    </w:p>
    <w:p w14:paraId="7E38E5CC">
      <w:pPr>
        <w:pStyle w:val="16"/>
        <w:numPr>
          <w:ilvl w:val="0"/>
          <w:numId w:val="7"/>
        </w:numPr>
        <w:overflowPunct w:val="0"/>
        <w:snapToGrid w:val="0"/>
        <w:spacing w:after="156" w:afterLines="50" w:line="300" w:lineRule="auto"/>
        <w:ind w:firstLineChars="0"/>
        <w:rPr>
          <w:rFonts w:ascii="Arial" w:hAnsi="Arial" w:cs="Arial"/>
          <w:sz w:val="24"/>
          <w:szCs w:val="24"/>
        </w:rPr>
      </w:pPr>
      <w:r>
        <w:rPr>
          <w:rFonts w:ascii="Arial" w:hAnsi="Arial" w:cs="Arial"/>
          <w:sz w:val="24"/>
          <w:szCs w:val="24"/>
        </w:rPr>
        <w:t>器械材料的浸出物/萃取物进入药品/生物制剂或组合产品成品的情况；</w:t>
      </w:r>
    </w:p>
    <w:p w14:paraId="6B78231D">
      <w:pPr>
        <w:pStyle w:val="16"/>
        <w:numPr>
          <w:ilvl w:val="0"/>
          <w:numId w:val="7"/>
        </w:numPr>
        <w:overflowPunct w:val="0"/>
        <w:snapToGrid w:val="0"/>
        <w:spacing w:after="156" w:afterLines="50" w:line="300" w:lineRule="auto"/>
        <w:ind w:firstLineChars="0"/>
        <w:rPr>
          <w:rFonts w:ascii="Arial" w:hAnsi="Arial" w:cs="Arial"/>
          <w:sz w:val="24"/>
          <w:szCs w:val="24"/>
        </w:rPr>
      </w:pPr>
      <w:r>
        <w:rPr>
          <w:rFonts w:ascii="Arial" w:hAnsi="Arial" w:cs="Arial"/>
          <w:sz w:val="24"/>
          <w:szCs w:val="24"/>
        </w:rPr>
        <w:t>采用器械给药或用作器械涂层时药品成分稳定性的改变；</w:t>
      </w:r>
    </w:p>
    <w:p w14:paraId="2CC49577">
      <w:pPr>
        <w:pStyle w:val="16"/>
        <w:numPr>
          <w:ilvl w:val="0"/>
          <w:numId w:val="7"/>
        </w:numPr>
        <w:overflowPunct w:val="0"/>
        <w:snapToGrid w:val="0"/>
        <w:spacing w:after="156" w:afterLines="50" w:line="300" w:lineRule="auto"/>
        <w:ind w:firstLineChars="0"/>
        <w:rPr>
          <w:rFonts w:ascii="Arial" w:hAnsi="Arial" w:cs="Arial"/>
          <w:sz w:val="24"/>
          <w:szCs w:val="24"/>
        </w:rPr>
      </w:pPr>
      <w:r>
        <w:rPr>
          <w:rFonts w:ascii="Arial" w:hAnsi="Arial" w:cs="Arial"/>
          <w:sz w:val="24"/>
          <w:szCs w:val="24"/>
        </w:rPr>
        <w:t>药品粘附到器械材料上或吸收到这些材料中，这种情况能改变给药剂量；</w:t>
      </w:r>
    </w:p>
    <w:p w14:paraId="18A5A70F">
      <w:pPr>
        <w:pStyle w:val="16"/>
        <w:numPr>
          <w:ilvl w:val="0"/>
          <w:numId w:val="7"/>
        </w:numPr>
        <w:overflowPunct w:val="0"/>
        <w:snapToGrid w:val="0"/>
        <w:spacing w:after="156" w:afterLines="50" w:line="300" w:lineRule="auto"/>
        <w:ind w:firstLineChars="0"/>
        <w:rPr>
          <w:rFonts w:ascii="Arial" w:hAnsi="Arial" w:cs="Arial"/>
          <w:sz w:val="24"/>
          <w:szCs w:val="24"/>
        </w:rPr>
      </w:pPr>
      <w:r>
        <w:rPr>
          <w:rFonts w:ascii="Arial" w:hAnsi="Arial" w:cs="Arial"/>
          <w:sz w:val="24"/>
          <w:szCs w:val="24"/>
        </w:rPr>
        <w:t>存在无活性分解产物或器械生产过程中产生的残留物，使用时这些物质可能会通过改变药品的性能特征而影响安全性或器械功能；</w:t>
      </w:r>
    </w:p>
    <w:p w14:paraId="3732134B">
      <w:pPr>
        <w:pStyle w:val="16"/>
        <w:numPr>
          <w:ilvl w:val="0"/>
          <w:numId w:val="7"/>
        </w:numPr>
        <w:overflowPunct w:val="0"/>
        <w:snapToGrid w:val="0"/>
        <w:spacing w:after="156" w:afterLines="50" w:line="300" w:lineRule="auto"/>
        <w:ind w:firstLineChars="0"/>
        <w:rPr>
          <w:rFonts w:ascii="Arial" w:hAnsi="Arial" w:cs="Arial"/>
          <w:sz w:val="24"/>
          <w:szCs w:val="24"/>
        </w:rPr>
      </w:pPr>
      <w:r>
        <w:rPr>
          <w:rFonts w:ascii="Arial" w:hAnsi="Arial" w:cs="Arial"/>
          <w:sz w:val="24"/>
          <w:szCs w:val="24"/>
        </w:rPr>
        <w:t>与能量发射装置一起使用时药品成分的稳定性或活性发生改变。</w:t>
      </w:r>
    </w:p>
    <w:p w14:paraId="6061C1CB">
      <w:pPr>
        <w:widowControl/>
        <w:jc w:val="left"/>
        <w:rPr>
          <w:rFonts w:ascii="Arial" w:hAnsi="Arial" w:cs="Arial"/>
          <w:sz w:val="24"/>
          <w:szCs w:val="24"/>
        </w:rPr>
      </w:pPr>
      <w:r>
        <w:rPr>
          <w:rFonts w:ascii="Arial" w:hAnsi="Arial" w:cs="Arial"/>
          <w:sz w:val="24"/>
          <w:szCs w:val="24"/>
        </w:rPr>
        <w:br w:type="page"/>
      </w:r>
    </w:p>
    <w:p w14:paraId="0AA91423">
      <w:pPr>
        <w:overflowPunct w:val="0"/>
        <w:snapToGrid w:val="0"/>
        <w:spacing w:after="156" w:afterLines="50" w:line="300" w:lineRule="auto"/>
        <w:rPr>
          <w:rFonts w:ascii="Arial" w:hAnsi="Arial" w:cs="Arial"/>
          <w:sz w:val="24"/>
          <w:szCs w:val="24"/>
        </w:rPr>
      </w:pPr>
      <w:r>
        <w:rPr>
          <w:rFonts w:ascii="Arial" w:hAnsi="Arial" w:cs="Arial"/>
          <w:sz w:val="24"/>
          <w:szCs w:val="24"/>
        </w:rPr>
        <w:t>一种药品或生物制剂可能对器械成分产生的影响同样应给予类似考虑。例如，某些药品/生物制剂可能对一种导管的材料特性产生不良影响，但其它药品/生物制剂并无类似影响。</w:t>
      </w:r>
    </w:p>
    <w:p w14:paraId="1FF10551">
      <w:pPr>
        <w:overflowPunct w:val="0"/>
        <w:snapToGrid w:val="0"/>
        <w:spacing w:after="156" w:afterLines="50" w:line="300" w:lineRule="auto"/>
        <w:rPr>
          <w:rFonts w:ascii="Arial" w:hAnsi="Arial" w:cs="Arial"/>
          <w:sz w:val="24"/>
          <w:szCs w:val="24"/>
        </w:rPr>
      </w:pPr>
      <w:r>
        <w:rPr>
          <w:rFonts w:ascii="Arial" w:hAnsi="Arial" w:cs="Arial"/>
          <w:sz w:val="24"/>
          <w:szCs w:val="24"/>
        </w:rPr>
        <w:t>器械和放射卫生中心拥有一个对共识标准进行评价和认定的有效程序。</w:t>
      </w:r>
      <w:r>
        <w:rPr>
          <w:rStyle w:val="12"/>
          <w:rFonts w:ascii="Arial" w:hAnsi="Arial" w:cs="Arial"/>
          <w:sz w:val="24"/>
          <w:szCs w:val="24"/>
        </w:rPr>
        <w:footnoteReference w:id="8"/>
      </w:r>
      <w:r>
        <w:rPr>
          <w:rFonts w:ascii="Arial" w:hAnsi="Arial" w:cs="Arial"/>
          <w:sz w:val="24"/>
          <w:szCs w:val="24"/>
        </w:rPr>
        <w:t>对许多组合产品来说，采用适用于组合产品中器械成分的这些现有共识标准（包括标准测试方法）可能是适当的。对其它产品，尤其是创新性产品，对这些标准加以调整可能是适当的，或者可能有必要制定新方法。当探索将这些标准用于候选组成部分及正在开发备选方法或途径时，鉴于组合产品的范畴和开发策略，鼓励开发商寻求尽早与FDA进行讨论。</w:t>
      </w:r>
    </w:p>
    <w:p w14:paraId="6A8E0357">
      <w:pPr>
        <w:pStyle w:val="16"/>
        <w:numPr>
          <w:ilvl w:val="0"/>
          <w:numId w:val="6"/>
        </w:numPr>
        <w:overflowPunct w:val="0"/>
        <w:snapToGrid w:val="0"/>
        <w:spacing w:after="156" w:afterLines="50" w:line="300" w:lineRule="auto"/>
        <w:ind w:left="1197" w:leftChars="400" w:hanging="357" w:firstLineChars="0"/>
        <w:outlineLvl w:val="0"/>
        <w:rPr>
          <w:rFonts w:ascii="Arial" w:hAnsi="Arial" w:cs="Arial"/>
          <w:b/>
          <w:sz w:val="28"/>
          <w:szCs w:val="28"/>
        </w:rPr>
      </w:pPr>
      <w:bookmarkStart w:id="8" w:name="_Toc498417259"/>
      <w:r>
        <w:rPr>
          <w:rFonts w:ascii="Arial" w:hAnsi="Arial" w:cs="Arial"/>
          <w:b/>
          <w:sz w:val="28"/>
          <w:szCs w:val="28"/>
        </w:rPr>
        <w:t>对药品和生物制剂成分应考虑的因素</w:t>
      </w:r>
      <w:r>
        <w:rPr>
          <w:rStyle w:val="12"/>
          <w:rFonts w:ascii="Arial" w:hAnsi="Arial" w:cs="Arial"/>
          <w:b/>
          <w:sz w:val="28"/>
          <w:szCs w:val="28"/>
        </w:rPr>
        <w:footnoteReference w:id="9"/>
      </w:r>
      <w:bookmarkEnd w:id="8"/>
    </w:p>
    <w:p w14:paraId="22520BD2">
      <w:pPr>
        <w:overflowPunct w:val="0"/>
        <w:snapToGrid w:val="0"/>
        <w:spacing w:after="156" w:afterLines="50" w:line="300" w:lineRule="auto"/>
        <w:rPr>
          <w:rFonts w:ascii="Arial" w:hAnsi="Arial" w:cs="Arial"/>
          <w:sz w:val="24"/>
          <w:szCs w:val="24"/>
        </w:rPr>
      </w:pPr>
      <w:r>
        <w:rPr>
          <w:rFonts w:ascii="Arial" w:hAnsi="Arial" w:cs="Arial"/>
          <w:sz w:val="24"/>
          <w:szCs w:val="24"/>
        </w:rPr>
        <w:t>当一种新分子实体（NME）作为某种组合产品的一个组成部分时，考虑哪些信息对描述新分子实体用于该组合产品时的安全性和有效性特征是必要的具有极其重要的意义。这个步骤通常以单独考虑新分子实体而开始，如在受试者中开始对新分子实体进行初步研究所必需的临床前信息与对新分子实体和器械成分加以组合所需信息。举例来说，在对组合产品开始进行临床研究前，某些传统的药理学和毒理学研究对单独确立新分子实体的安全状况（如遗传毒性、诱变性、免疫毒性和局部耐药性）可能是必要的。</w:t>
      </w:r>
      <w:r>
        <w:rPr>
          <w:rStyle w:val="12"/>
          <w:rFonts w:ascii="Arial" w:hAnsi="Arial" w:cs="Arial"/>
          <w:sz w:val="24"/>
          <w:szCs w:val="24"/>
        </w:rPr>
        <w:footnoteReference w:id="10"/>
      </w:r>
      <w:r>
        <w:rPr>
          <w:rFonts w:ascii="Arial" w:hAnsi="Arial" w:cs="Arial"/>
          <w:sz w:val="24"/>
          <w:szCs w:val="24"/>
        </w:rPr>
        <w:t>考虑启动任何必要的生殖和致癌性研究的时机也是至关重要的。通常在临床研究开始后进行这些类型的研究。一般在该产品的上市申请中提交这些研究。</w:t>
      </w:r>
    </w:p>
    <w:p w14:paraId="0BF5E78C">
      <w:pPr>
        <w:overflowPunct w:val="0"/>
        <w:snapToGrid w:val="0"/>
        <w:spacing w:after="156" w:afterLines="50" w:line="300" w:lineRule="auto"/>
        <w:rPr>
          <w:rFonts w:ascii="Arial" w:hAnsi="Arial" w:cs="Arial"/>
          <w:sz w:val="24"/>
          <w:szCs w:val="24"/>
        </w:rPr>
      </w:pPr>
      <w:r>
        <w:rPr>
          <w:rFonts w:ascii="Arial" w:hAnsi="Arial" w:cs="Arial"/>
          <w:sz w:val="24"/>
          <w:szCs w:val="24"/>
        </w:rPr>
        <w:t>当组合产品中含有一种已获批用于另一用途的药品/生物制剂成分时，我们建议开发商对这种新组合带来的既定或已知的安全性、有效性和/或剂量要求发生变化的可能性做出说明。下面是其它临床前或临床安全性信息或新的临床研究可能适合于药品/生物制剂成分和/或组合产品时的一些例证：</w:t>
      </w:r>
    </w:p>
    <w:p w14:paraId="6A133DFE">
      <w:pPr>
        <w:pStyle w:val="16"/>
        <w:numPr>
          <w:ilvl w:val="0"/>
          <w:numId w:val="8"/>
        </w:numPr>
        <w:overflowPunct w:val="0"/>
        <w:snapToGrid w:val="0"/>
        <w:spacing w:line="300" w:lineRule="auto"/>
        <w:ind w:left="567" w:leftChars="100" w:hanging="357" w:firstLineChars="0"/>
        <w:rPr>
          <w:rFonts w:ascii="Arial" w:hAnsi="Arial" w:cs="Arial"/>
          <w:sz w:val="24"/>
          <w:szCs w:val="24"/>
        </w:rPr>
      </w:pPr>
      <w:r>
        <w:rPr>
          <w:rFonts w:ascii="Arial" w:hAnsi="Arial" w:cs="Arial"/>
          <w:sz w:val="24"/>
          <w:szCs w:val="24"/>
        </w:rPr>
        <w:t>获批药品或生物制剂的配方、效力、给药途径或给药方法发生了变化；</w:t>
      </w:r>
    </w:p>
    <w:p w14:paraId="08F81745">
      <w:pPr>
        <w:pStyle w:val="16"/>
        <w:numPr>
          <w:ilvl w:val="0"/>
          <w:numId w:val="8"/>
        </w:numPr>
        <w:overflowPunct w:val="0"/>
        <w:snapToGrid w:val="0"/>
        <w:spacing w:after="156" w:afterLines="50" w:line="300" w:lineRule="auto"/>
        <w:ind w:left="567" w:leftChars="100" w:hanging="357" w:firstLineChars="0"/>
        <w:rPr>
          <w:rFonts w:ascii="Arial" w:hAnsi="Arial" w:cs="Arial"/>
          <w:sz w:val="24"/>
          <w:szCs w:val="24"/>
        </w:rPr>
      </w:pPr>
      <w:r>
        <w:rPr>
          <w:rFonts w:ascii="Arial" w:hAnsi="Arial" w:cs="Arial"/>
          <w:sz w:val="24"/>
          <w:szCs w:val="24"/>
        </w:rPr>
        <w:t>新剂量（如绝对剂量、给药期限、给药方案或总接触量）；</w:t>
      </w:r>
    </w:p>
    <w:p w14:paraId="714CBEF1">
      <w:pPr>
        <w:pStyle w:val="16"/>
        <w:numPr>
          <w:ilvl w:val="0"/>
          <w:numId w:val="8"/>
        </w:numPr>
        <w:overflowPunct w:val="0"/>
        <w:snapToGrid w:val="0"/>
        <w:spacing w:after="156" w:afterLines="50" w:line="300" w:lineRule="auto"/>
        <w:ind w:left="567" w:leftChars="100" w:hanging="357" w:firstLineChars="0"/>
        <w:rPr>
          <w:rFonts w:ascii="Arial" w:hAnsi="Arial" w:cs="Arial"/>
          <w:sz w:val="24"/>
          <w:szCs w:val="24"/>
        </w:rPr>
      </w:pPr>
      <w:r>
        <w:rPr>
          <w:rFonts w:ascii="Arial" w:hAnsi="Arial" w:cs="Arial"/>
          <w:sz w:val="24"/>
          <w:szCs w:val="24"/>
        </w:rPr>
        <w:t>新患者人群（如儿科患者、老年患者、孕妇或哺乳妇女，或疾病或疾病状态变化）；</w:t>
      </w:r>
    </w:p>
    <w:p w14:paraId="4A868B8C">
      <w:pPr>
        <w:pStyle w:val="16"/>
        <w:numPr>
          <w:ilvl w:val="0"/>
          <w:numId w:val="8"/>
        </w:numPr>
        <w:overflowPunct w:val="0"/>
        <w:snapToGrid w:val="0"/>
        <w:spacing w:after="156" w:afterLines="50" w:line="300" w:lineRule="auto"/>
        <w:ind w:left="567" w:leftChars="100" w:hanging="357" w:firstLineChars="0"/>
        <w:rPr>
          <w:rFonts w:ascii="Arial" w:hAnsi="Arial" w:cs="Arial"/>
          <w:sz w:val="24"/>
          <w:szCs w:val="24"/>
        </w:rPr>
      </w:pPr>
      <w:r>
        <w:rPr>
          <w:rFonts w:ascii="Arial" w:hAnsi="Arial" w:cs="Arial"/>
          <w:sz w:val="24"/>
          <w:szCs w:val="24"/>
        </w:rPr>
        <w:t>获批适应症变更。</w:t>
      </w:r>
    </w:p>
    <w:p w14:paraId="356CC0D2">
      <w:pPr>
        <w:overflowPunct w:val="0"/>
        <w:snapToGrid w:val="0"/>
        <w:spacing w:after="156" w:afterLines="50" w:line="300" w:lineRule="auto"/>
        <w:rPr>
          <w:rFonts w:ascii="Arial" w:hAnsi="Arial" w:cs="Arial"/>
          <w:sz w:val="24"/>
          <w:szCs w:val="24"/>
        </w:rPr>
      </w:pPr>
    </w:p>
    <w:p w14:paraId="38760CE3">
      <w:pPr>
        <w:overflowPunct w:val="0"/>
        <w:snapToGrid w:val="0"/>
        <w:spacing w:after="156" w:afterLines="50" w:line="300" w:lineRule="auto"/>
        <w:rPr>
          <w:rFonts w:ascii="Arial" w:hAnsi="Arial" w:cs="Arial"/>
          <w:sz w:val="24"/>
          <w:szCs w:val="24"/>
        </w:rPr>
      </w:pPr>
      <w:r>
        <w:rPr>
          <w:rFonts w:ascii="Arial" w:hAnsi="Arial" w:cs="Arial"/>
          <w:sz w:val="24"/>
          <w:szCs w:val="24"/>
        </w:rPr>
        <w:t>不管药品/生物制剂成分的批准状态如何，在上市申请中均应包含适当数据，这样才能确立组合产品建议的新给药方案或适应症的总体安全性和有效性。对包含一种获批药品或生物制剂成分的某种组合产品来说，调整临床前开发计划以便说明新给药途径或新给药方法或适应症或给药人群变更带来的安全问题则可能是可接受的。这些研究的目的是对可能导致药品成分接触范围或分布有所不同的变更进行评价。</w:t>
      </w:r>
      <w:r>
        <w:rPr>
          <w:rStyle w:val="12"/>
          <w:rFonts w:ascii="Arial" w:hAnsi="Arial" w:cs="Arial"/>
          <w:sz w:val="24"/>
          <w:szCs w:val="24"/>
        </w:rPr>
        <w:footnoteReference w:id="11"/>
      </w:r>
      <w:r>
        <w:rPr>
          <w:rFonts w:ascii="Arial" w:hAnsi="Arial" w:cs="Arial"/>
          <w:sz w:val="24"/>
          <w:szCs w:val="24"/>
        </w:rPr>
        <w:t>就组合产品允许局部或全身药品接触量大于采用获批给药方案时药品接触量的程度来说，可能还需进行其它安全性研究才能说明较大剂量。新研究可能适合于对直接给予靶组织的某种药品/器械组合产品的局部/区域毒性进行评价。</w:t>
      </w:r>
    </w:p>
    <w:p w14:paraId="28592FE3">
      <w:pPr>
        <w:overflowPunct w:val="0"/>
        <w:snapToGrid w:val="0"/>
        <w:spacing w:after="156" w:afterLines="50" w:line="300" w:lineRule="auto"/>
        <w:rPr>
          <w:rFonts w:ascii="Arial" w:hAnsi="Arial" w:cs="Arial"/>
          <w:sz w:val="24"/>
          <w:szCs w:val="24"/>
        </w:rPr>
      </w:pPr>
      <w:r>
        <w:rPr>
          <w:rFonts w:ascii="Arial" w:hAnsi="Arial" w:cs="Arial"/>
          <w:sz w:val="24"/>
          <w:szCs w:val="24"/>
        </w:rPr>
        <w:t>为包含一种药品/生物制剂成分的某种产品设计开发计划时可能应考虑的其它因素包括：</w:t>
      </w:r>
    </w:p>
    <w:p w14:paraId="0E485CEB">
      <w:pPr>
        <w:pStyle w:val="16"/>
        <w:numPr>
          <w:ilvl w:val="0"/>
          <w:numId w:val="9"/>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体内药代动力学（PK）研究对评估配方、效力、给药途径、剂量、适用人群或可能改变全身接触范围或时间进程的其它因素可能是必要的。可利用这些研究的结果判定药品释放动力学，如释放速率、局部药品峰浓度、局部分布情况和全身生物利用度（C</w:t>
      </w:r>
      <w:r>
        <w:rPr>
          <w:rFonts w:ascii="Arial" w:hAnsi="Arial" w:cs="Arial"/>
          <w:sz w:val="24"/>
          <w:szCs w:val="24"/>
          <w:vertAlign w:val="subscript"/>
        </w:rPr>
        <w:t>最高</w:t>
      </w:r>
      <w:r>
        <w:rPr>
          <w:rFonts w:ascii="Arial" w:hAnsi="Arial" w:cs="Arial"/>
          <w:sz w:val="24"/>
          <w:szCs w:val="24"/>
        </w:rPr>
        <w:t>、T</w:t>
      </w:r>
      <w:r>
        <w:rPr>
          <w:rFonts w:ascii="Arial" w:hAnsi="Arial" w:cs="Arial"/>
          <w:sz w:val="24"/>
          <w:szCs w:val="24"/>
          <w:vertAlign w:val="subscript"/>
        </w:rPr>
        <w:t>峰值</w:t>
      </w:r>
      <w:r>
        <w:rPr>
          <w:rFonts w:ascii="Arial" w:hAnsi="Arial" w:cs="Arial"/>
          <w:sz w:val="24"/>
          <w:szCs w:val="24"/>
        </w:rPr>
        <w:t>）。</w:t>
      </w:r>
    </w:p>
    <w:p w14:paraId="73F38F7B">
      <w:pPr>
        <w:pStyle w:val="16"/>
        <w:numPr>
          <w:ilvl w:val="0"/>
          <w:numId w:val="9"/>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治疗以局部部位为目标时，为了针对安全性/有效性决定对剂量进行调整，在人群中进行剂量范围研究或剂量探索研究可能是适当的。</w:t>
      </w:r>
      <w:r>
        <w:rPr>
          <w:rStyle w:val="12"/>
          <w:rFonts w:ascii="Arial" w:hAnsi="Arial" w:cs="Arial"/>
          <w:sz w:val="24"/>
          <w:szCs w:val="24"/>
        </w:rPr>
        <w:footnoteReference w:id="12"/>
      </w:r>
    </w:p>
    <w:p w14:paraId="7EF84C06">
      <w:pPr>
        <w:pStyle w:val="16"/>
        <w:numPr>
          <w:ilvl w:val="0"/>
          <w:numId w:val="9"/>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为了判定组合产品的NOAEL（无可见有害作用水平）和毒性状况，采用新给药途径或新给药方法进行急性毒性研究和重复剂量毒性研究可能是适当的。这些研究通常会对非常接近其在临床环境中使用情况的预期临床配方和给药方案/频率进行评价。</w:t>
      </w:r>
    </w:p>
    <w:p w14:paraId="5724FE87">
      <w:pPr>
        <w:pStyle w:val="16"/>
        <w:numPr>
          <w:ilvl w:val="0"/>
          <w:numId w:val="10"/>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对特定患者人群或风险状况（如肝脏毒性、QT间期延长、特殊人群）进行特殊安全性研究可能是适当的。</w:t>
      </w:r>
    </w:p>
    <w:p w14:paraId="5693A86B">
      <w:pPr>
        <w:pStyle w:val="16"/>
        <w:numPr>
          <w:ilvl w:val="0"/>
          <w:numId w:val="10"/>
        </w:numPr>
        <w:overflowPunct w:val="0"/>
        <w:snapToGrid w:val="0"/>
        <w:spacing w:after="156" w:afterLines="50" w:line="300" w:lineRule="auto"/>
        <w:ind w:left="420" w:leftChars="200" w:firstLineChars="0"/>
        <w:rPr>
          <w:rFonts w:ascii="Arial" w:hAnsi="Arial" w:cs="Arial"/>
          <w:sz w:val="24"/>
          <w:szCs w:val="24"/>
        </w:rPr>
      </w:pPr>
      <w:r>
        <w:rPr>
          <w:rFonts w:ascii="Arial" w:hAnsi="Arial" w:cs="Arial"/>
          <w:sz w:val="24"/>
          <w:szCs w:val="24"/>
        </w:rPr>
        <w:t>为了获得组合产品所致新问题（如新给药途径的局部毒性）的数据，在临床研究中进行特定安全性监测可能是适当的。</w:t>
      </w:r>
      <w:r>
        <w:rPr>
          <w:rStyle w:val="12"/>
          <w:rFonts w:ascii="Arial" w:hAnsi="Arial" w:cs="Arial"/>
          <w:sz w:val="24"/>
          <w:szCs w:val="24"/>
        </w:rPr>
        <w:footnoteReference w:id="13"/>
      </w:r>
    </w:p>
    <w:p w14:paraId="4FFF470B">
      <w:pPr>
        <w:widowControl/>
        <w:jc w:val="left"/>
        <w:rPr>
          <w:rFonts w:ascii="Arial" w:hAnsi="Arial" w:cs="Arial"/>
          <w:sz w:val="24"/>
          <w:szCs w:val="24"/>
        </w:rPr>
      </w:pPr>
      <w:r>
        <w:rPr>
          <w:rFonts w:ascii="Arial" w:hAnsi="Arial" w:cs="Arial"/>
          <w:sz w:val="24"/>
          <w:szCs w:val="24"/>
        </w:rPr>
        <w:br w:type="page"/>
      </w:r>
    </w:p>
    <w:p w14:paraId="32CCB040">
      <w:pPr>
        <w:overflowPunct w:val="0"/>
        <w:snapToGrid w:val="0"/>
        <w:spacing w:after="156" w:afterLines="50" w:line="300" w:lineRule="auto"/>
        <w:rPr>
          <w:rFonts w:ascii="Arial" w:hAnsi="Arial" w:cs="Arial"/>
          <w:sz w:val="24"/>
          <w:szCs w:val="24"/>
        </w:rPr>
      </w:pPr>
      <w:r>
        <w:rPr>
          <w:rFonts w:ascii="Arial" w:hAnsi="Arial" w:cs="Arial"/>
          <w:sz w:val="24"/>
          <w:szCs w:val="24"/>
        </w:rPr>
        <w:t>在某些情况下，开发商可能有能力提供相关文献信息或依靠机构的事先裁决说明这些问题。不可能做到这一点时，可能有必要进行其它研究。</w:t>
      </w:r>
    </w:p>
    <w:p w14:paraId="77DBE29D">
      <w:pPr>
        <w:overflowPunct w:val="0"/>
        <w:snapToGrid w:val="0"/>
        <w:spacing w:after="156" w:afterLines="50" w:line="300" w:lineRule="auto"/>
        <w:rPr>
          <w:rFonts w:ascii="Arial" w:hAnsi="Arial" w:cs="Arial"/>
          <w:sz w:val="24"/>
          <w:szCs w:val="24"/>
        </w:rPr>
      </w:pPr>
    </w:p>
    <w:p w14:paraId="450BE336">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pPr>
      <w:bookmarkStart w:id="9" w:name="_Toc498417260"/>
      <w:r>
        <w:rPr>
          <w:rFonts w:ascii="Arial" w:hAnsi="Arial" w:cs="Arial"/>
          <w:b/>
          <w:sz w:val="36"/>
          <w:szCs w:val="36"/>
        </w:rPr>
        <w:t>其它观点</w:t>
      </w:r>
      <w:bookmarkEnd w:id="9"/>
    </w:p>
    <w:p w14:paraId="3ED1926B">
      <w:pPr>
        <w:pStyle w:val="16"/>
        <w:numPr>
          <w:ilvl w:val="0"/>
          <w:numId w:val="11"/>
        </w:numPr>
        <w:overflowPunct w:val="0"/>
        <w:snapToGrid w:val="0"/>
        <w:spacing w:after="156" w:afterLines="50" w:line="300" w:lineRule="auto"/>
        <w:ind w:left="840" w:leftChars="400" w:firstLineChars="0"/>
        <w:outlineLvl w:val="0"/>
        <w:rPr>
          <w:rFonts w:ascii="Arial" w:hAnsi="Arial" w:cs="Arial"/>
          <w:b/>
          <w:sz w:val="28"/>
          <w:szCs w:val="28"/>
        </w:rPr>
      </w:pPr>
      <w:bookmarkStart w:id="10" w:name="_Toc498417261"/>
      <w:r>
        <w:rPr>
          <w:rFonts w:ascii="Arial" w:hAnsi="Arial" w:cs="Arial"/>
          <w:b/>
          <w:sz w:val="28"/>
          <w:szCs w:val="28"/>
        </w:rPr>
        <w:t>临床研究</w:t>
      </w:r>
      <w:bookmarkEnd w:id="10"/>
    </w:p>
    <w:p w14:paraId="45025358">
      <w:pPr>
        <w:overflowPunct w:val="0"/>
        <w:snapToGrid w:val="0"/>
        <w:spacing w:after="156" w:afterLines="50" w:line="300" w:lineRule="auto"/>
        <w:rPr>
          <w:rFonts w:ascii="Arial" w:hAnsi="Arial" w:cs="Arial"/>
          <w:sz w:val="24"/>
          <w:szCs w:val="24"/>
        </w:rPr>
      </w:pPr>
      <w:r>
        <w:rPr>
          <w:rFonts w:ascii="Arial" w:hAnsi="Arial" w:cs="Arial"/>
          <w:sz w:val="24"/>
          <w:szCs w:val="24"/>
        </w:rPr>
        <w:t>对大多数组合产品来说，应提交一份研究申请（研究性新药（IND）申请或研究性器械豁免（IDE）申请）用于将组合产品作为一个整体进行临床研究。研究性新药或研究性器械豁免监管指南在考虑如何说明某特定产品带来的问题方面通常给予了相当大的灵活性。对组合产品开发商可能有利害关系的两种此类指导性文件是：（1）探索性研究性新药研究。在为进一步开发选择成分前的研究和开发期间，该研究为探索候选产品提供了一个备选方案。</w:t>
      </w:r>
      <w:r>
        <w:rPr>
          <w:rStyle w:val="12"/>
          <w:rFonts w:ascii="Arial" w:hAnsi="Arial" w:cs="Arial"/>
          <w:sz w:val="24"/>
          <w:szCs w:val="24"/>
        </w:rPr>
        <w:footnoteReference w:id="14"/>
      </w:r>
      <w:r>
        <w:rPr>
          <w:rFonts w:ascii="Arial" w:hAnsi="Arial" w:cs="Arial"/>
          <w:sz w:val="24"/>
          <w:szCs w:val="24"/>
        </w:rPr>
        <w:t>（2）在某种器械的研究性开发期间可能发生的变更指南。</w:t>
      </w:r>
      <w:r>
        <w:rPr>
          <w:rStyle w:val="12"/>
          <w:rFonts w:ascii="Arial" w:hAnsi="Arial" w:cs="Arial"/>
          <w:sz w:val="24"/>
          <w:szCs w:val="24"/>
        </w:rPr>
        <w:footnoteReference w:id="15"/>
      </w:r>
    </w:p>
    <w:p w14:paraId="363A3A5E">
      <w:pPr>
        <w:overflowPunct w:val="0"/>
        <w:snapToGrid w:val="0"/>
        <w:spacing w:after="156" w:afterLines="50" w:line="300" w:lineRule="auto"/>
        <w:rPr>
          <w:rFonts w:ascii="Arial" w:hAnsi="Arial" w:cs="Arial"/>
          <w:sz w:val="24"/>
          <w:szCs w:val="24"/>
        </w:rPr>
      </w:pPr>
      <w:r>
        <w:rPr>
          <w:rFonts w:ascii="Arial" w:hAnsi="Arial" w:cs="Arial"/>
          <w:sz w:val="24"/>
          <w:szCs w:val="24"/>
        </w:rPr>
        <w:t>临床开发过程中，在实验设计、样本量、统计方法、临床终点、临床研究的合适数量与合适的适应症/主张方面，经常会出现问题。我们建议您在确定样本量、统计方法使用、替代终点、测定通常不能进入部位药品水平所用技术或评价药品-器械相互作用所用技术时考虑组合产品的科技问题。这些问题尽管超出了本指南的范畴，但FDA鼓励开发商寻求与本机构及早围绕这些问题进行讨论。</w:t>
      </w:r>
    </w:p>
    <w:p w14:paraId="49EF6438">
      <w:pPr>
        <w:overflowPunct w:val="0"/>
        <w:snapToGrid w:val="0"/>
        <w:spacing w:after="156" w:afterLines="50" w:line="300" w:lineRule="auto"/>
        <w:rPr>
          <w:rFonts w:ascii="Arial" w:hAnsi="Arial" w:cs="Arial"/>
          <w:sz w:val="24"/>
          <w:szCs w:val="24"/>
        </w:rPr>
      </w:pPr>
      <w:r>
        <w:rPr>
          <w:rFonts w:ascii="Arial" w:hAnsi="Arial" w:cs="Arial"/>
          <w:sz w:val="24"/>
          <w:szCs w:val="24"/>
        </w:rPr>
        <w:t>对包含一种器械组成部分的某些组合产品来说，对器械使用的人为因素对组合产品安全性和有效性的影响进行评价可能是必要的。此类研究将对用户在现实、紧张的条件下如何操作系统进行评价。在许多情况下，这些研究包括对操作和适当维护器械必需之所有组件和附件（如控制器、显示器、软件、操作逻辑、标签、使用说明、关键任务分析、使用错误危害和风险分析）的评估。我们建议在组合产品开发流程的早期阶段对人为因素进行评价，以便确认在进行关键研究前可能需加以修改的设计特征，确立组合产品的安全性和有效性。</w:t>
      </w:r>
    </w:p>
    <w:p w14:paraId="320CF2D9">
      <w:pPr>
        <w:widowControl/>
        <w:jc w:val="left"/>
        <w:rPr>
          <w:rFonts w:ascii="Arial" w:hAnsi="Arial" w:cs="Arial"/>
          <w:sz w:val="24"/>
          <w:szCs w:val="24"/>
        </w:rPr>
      </w:pPr>
      <w:r>
        <w:rPr>
          <w:rFonts w:ascii="Arial" w:hAnsi="Arial" w:cs="Arial"/>
          <w:sz w:val="24"/>
          <w:szCs w:val="24"/>
        </w:rPr>
        <w:br w:type="page"/>
      </w:r>
    </w:p>
    <w:p w14:paraId="67A3E9E2">
      <w:pPr>
        <w:pStyle w:val="16"/>
        <w:numPr>
          <w:ilvl w:val="0"/>
          <w:numId w:val="11"/>
        </w:numPr>
        <w:overflowPunct w:val="0"/>
        <w:snapToGrid w:val="0"/>
        <w:spacing w:after="156" w:afterLines="50" w:line="300" w:lineRule="auto"/>
        <w:ind w:left="840" w:leftChars="400" w:firstLineChars="0"/>
        <w:outlineLvl w:val="0"/>
        <w:rPr>
          <w:rFonts w:ascii="Arial" w:hAnsi="Arial" w:cs="Arial"/>
          <w:b/>
          <w:sz w:val="28"/>
          <w:szCs w:val="28"/>
        </w:rPr>
      </w:pPr>
      <w:bookmarkStart w:id="11" w:name="_Toc498417262"/>
      <w:r>
        <w:rPr>
          <w:rFonts w:ascii="Arial" w:hAnsi="Arial" w:cs="Arial"/>
          <w:b/>
          <w:sz w:val="28"/>
          <w:szCs w:val="28"/>
        </w:rPr>
        <w:t>生产过程中应考虑的因素</w:t>
      </w:r>
      <w:bookmarkEnd w:id="11"/>
    </w:p>
    <w:p w14:paraId="52B2A63B">
      <w:pPr>
        <w:overflowPunct w:val="0"/>
        <w:snapToGrid w:val="0"/>
        <w:spacing w:after="156" w:afterLines="50" w:line="300" w:lineRule="auto"/>
        <w:rPr>
          <w:rFonts w:ascii="Arial" w:hAnsi="Arial" w:cs="Arial"/>
          <w:sz w:val="24"/>
          <w:szCs w:val="24"/>
        </w:rPr>
      </w:pPr>
      <w:r>
        <w:rPr>
          <w:rFonts w:ascii="Arial" w:hAnsi="Arial" w:cs="Arial"/>
          <w:sz w:val="24"/>
          <w:szCs w:val="24"/>
        </w:rPr>
        <w:t>生产情况、规模扩张和质量管理</w:t>
      </w:r>
      <w:r>
        <w:rPr>
          <w:rStyle w:val="12"/>
          <w:rFonts w:ascii="Arial" w:hAnsi="Arial" w:cs="Arial"/>
          <w:sz w:val="24"/>
          <w:szCs w:val="24"/>
        </w:rPr>
        <w:footnoteReference w:id="16"/>
      </w:r>
      <w:r>
        <w:rPr>
          <w:rFonts w:ascii="Arial" w:hAnsi="Arial" w:cs="Arial"/>
          <w:sz w:val="24"/>
          <w:szCs w:val="24"/>
        </w:rPr>
        <w:t>是组合产品开发过程中应考虑的重要因素。生产方法可对上市前开发和上市后监管有所影响。FDA鼓励对药品、生物制剂和器械组成部分以及作为整体之组合产品的科技方面带来的生产问题加以考虑。FDA还鼓励开发商对生产方法对组成部分间相互作用的影响加以仔细考虑。例如，作为整体之组合产品的稳定性可能不同于组成部分单独存在的稳定性。终末灭菌技术可能会改变或破坏某些药品或生物制剂组成部分。对采用无菌生产技术的组成部分来说，鼓励开发商采用生产技术确保对组合产品的无菌控制。</w:t>
      </w:r>
    </w:p>
    <w:p w14:paraId="0EE6877D">
      <w:pPr>
        <w:overflowPunct w:val="0"/>
        <w:snapToGrid w:val="0"/>
        <w:spacing w:after="156" w:afterLines="50" w:line="300" w:lineRule="auto"/>
        <w:rPr>
          <w:rFonts w:ascii="Arial" w:hAnsi="Arial" w:cs="Arial"/>
          <w:sz w:val="24"/>
          <w:szCs w:val="24"/>
        </w:rPr>
      </w:pPr>
      <w:r>
        <w:rPr>
          <w:rFonts w:ascii="Arial" w:hAnsi="Arial" w:cs="Arial"/>
          <w:sz w:val="24"/>
          <w:szCs w:val="24"/>
        </w:rPr>
        <w:t>在上市前研究期间，临床前研究和临床研究一旦开始，药品、生物制剂或器械成分或组合产品生产流程的任何潜在变更都可能影响作为整体之组合产品的安全性或有效性。例如，浓度、非活性成分、软件或将两种组成部分组合在一起之方法的变更都能影响组合产品的性能特征。将细胞组成部分涂敷到一种器械上时，细胞成分的性能特征可能会随将细胞成分涂敷到器械成分上前细胞培养所用时间和方法的不同而有所变化。另外，在进行适用器械成分的设计控制时，说明研究开发期间预期可发生的生产变更加以考虑。为说明此类生产过程中应考虑的因素，可能有必要开发新型生产技术、流程内测试方法、测试规范和其它特征描述方法，用于评估组成部分和作为整体之组合产品的变更。对某些开发性变更来说，进行其它桥接研究（体内研究、临床前研究或临床研究）可能是适当的。</w:t>
      </w:r>
    </w:p>
    <w:p w14:paraId="4BE095B6">
      <w:pPr>
        <w:overflowPunct w:val="0"/>
        <w:snapToGrid w:val="0"/>
        <w:spacing w:after="156" w:afterLines="50" w:line="300" w:lineRule="auto"/>
        <w:rPr>
          <w:rFonts w:ascii="Arial" w:hAnsi="Arial" w:cs="Arial"/>
          <w:sz w:val="24"/>
          <w:szCs w:val="24"/>
        </w:rPr>
      </w:pPr>
      <w:r>
        <w:rPr>
          <w:rFonts w:ascii="Arial" w:hAnsi="Arial" w:cs="Arial"/>
          <w:sz w:val="24"/>
          <w:szCs w:val="24"/>
        </w:rPr>
        <w:t>除了考虑上市前开发过程中可能发生的生产变更外，FDA还建议及早考虑组合产品或其组成部分预期可发生的上市后生产变更。FDA鼓励制造商与组成部分制造商一起做出安排，对上市前或上市后可能发生的组成部分生产变更保持足够的知晓度。有了足够的知晓度就可确保以一种适合于组合产品开发阶段的方式对生产变更的潜在影响进行评价，从而有助于确保组合产品持续安全、有效。对这些上市后生产变更可能需酌情进行仔细审核、确认和上市前前置批准。对某些产品来说，为了与本机构进行深入讨论，制定批准后变更协议可能是有益的。</w:t>
      </w:r>
    </w:p>
    <w:p w14:paraId="695EB4E9">
      <w:pPr>
        <w:widowControl/>
        <w:jc w:val="left"/>
        <w:rPr>
          <w:rFonts w:ascii="Arial" w:hAnsi="Arial" w:cs="Arial"/>
          <w:sz w:val="24"/>
          <w:szCs w:val="24"/>
        </w:rPr>
      </w:pPr>
      <w:r>
        <w:rPr>
          <w:rFonts w:ascii="Arial" w:hAnsi="Arial" w:cs="Arial"/>
          <w:sz w:val="24"/>
          <w:szCs w:val="24"/>
        </w:rPr>
        <w:br w:type="page"/>
      </w:r>
    </w:p>
    <w:p w14:paraId="6E7ED9E9">
      <w:pPr>
        <w:pStyle w:val="16"/>
        <w:numPr>
          <w:ilvl w:val="0"/>
          <w:numId w:val="11"/>
        </w:numPr>
        <w:overflowPunct w:val="0"/>
        <w:snapToGrid w:val="0"/>
        <w:spacing w:after="156" w:afterLines="50" w:line="300" w:lineRule="auto"/>
        <w:ind w:left="840" w:leftChars="400" w:firstLineChars="0"/>
        <w:outlineLvl w:val="0"/>
        <w:rPr>
          <w:rFonts w:ascii="Arial" w:hAnsi="Arial" w:cs="Arial"/>
          <w:b/>
          <w:sz w:val="28"/>
          <w:szCs w:val="28"/>
        </w:rPr>
      </w:pPr>
      <w:bookmarkStart w:id="12" w:name="_Toc498417263"/>
      <w:r>
        <w:rPr>
          <w:rFonts w:ascii="Arial" w:hAnsi="Arial" w:cs="Arial"/>
          <w:b/>
          <w:sz w:val="28"/>
          <w:szCs w:val="28"/>
        </w:rPr>
        <w:t>对非申请者编制信息的依赖</w:t>
      </w:r>
      <w:bookmarkEnd w:id="12"/>
    </w:p>
    <w:p w14:paraId="4D5785AB">
      <w:pPr>
        <w:overflowPunct w:val="0"/>
        <w:snapToGrid w:val="0"/>
        <w:spacing w:after="156" w:afterLines="50" w:line="300" w:lineRule="auto"/>
        <w:rPr>
          <w:rFonts w:ascii="Arial" w:hAnsi="Arial" w:cs="Arial"/>
          <w:sz w:val="24"/>
          <w:szCs w:val="24"/>
        </w:rPr>
      </w:pPr>
      <w:r>
        <w:rPr>
          <w:rFonts w:ascii="Arial" w:hAnsi="Arial" w:cs="Arial"/>
          <w:sz w:val="24"/>
          <w:szCs w:val="24"/>
        </w:rPr>
        <w:t>研究申请或上市申请中常常包含商业秘密或机密商业信息。在某些情况下，开发商可能希望在一份上市申请中提供所有必要信息。然而，对一个以上制造商开发的组合产品来说，可能希望在为每个制造商的知识产权保守机密的同时，向FDA提供必要信息。这项工作可由申请持有人通过向FDA提交一封参考资料所有人提供的授权交叉引用函来完成。该信函准许FDA在对当前申请进行审核的过程中考虑这些参考资料。这些参考资料一般可从两个来源获得：</w:t>
      </w:r>
    </w:p>
    <w:p w14:paraId="5C4CB0EC">
      <w:pPr>
        <w:pStyle w:val="16"/>
        <w:numPr>
          <w:ilvl w:val="1"/>
          <w:numId w:val="11"/>
        </w:numPr>
        <w:overflowPunct w:val="0"/>
        <w:snapToGrid w:val="0"/>
        <w:spacing w:after="156" w:afterLines="50" w:line="300" w:lineRule="auto"/>
        <w:ind w:firstLineChars="0"/>
        <w:rPr>
          <w:rFonts w:ascii="Arial" w:hAnsi="Arial" w:cs="Arial"/>
          <w:sz w:val="24"/>
          <w:szCs w:val="24"/>
        </w:rPr>
      </w:pPr>
      <w:r>
        <w:rPr>
          <w:rFonts w:ascii="Arial" w:hAnsi="Arial" w:cs="Arial"/>
          <w:sz w:val="24"/>
          <w:szCs w:val="24"/>
        </w:rPr>
        <w:t>现有申请：现有研究申请（研究性新药（IND）或研究性器械豁免（IDE））或现有上市申请（新药申请（NDA）、生物制剂许可申请（BLA）、上市前申请（PMA）或510(k)）可提供与新开发商申请有关的信息。在某些情况下，被交叉引用的申请可能为在组合产品中使用而接受共同审核。在其它情况下，被交叉引用的申请可能因其它目的而获批，但其中可能拥有与新用途有关的信息。</w:t>
      </w:r>
    </w:p>
    <w:p w14:paraId="3B044458">
      <w:pPr>
        <w:pStyle w:val="20"/>
        <w:rPr>
          <w:rFonts w:ascii="Arial" w:hAnsi="Arial" w:cs="Arial"/>
        </w:rPr>
      </w:pPr>
      <w:r>
        <w:rPr>
          <w:rFonts w:ascii="Arial" w:hAnsi="Arial" w:cs="Arial"/>
        </w:rPr>
        <w:t>主文件：当无适当的关于成分的研究性申请或上市申请可供利用时，主文件提供了向FDA提交机密信息的管理方法。主文件不是研究性申请或上市申请的替代品。FDA既不批准也不否决主文件，而是在某个特定研究性申请或上市申请的背景下对主文件中的信息加以考虑。应认识到主文件中的信息可能足以支持一种产品的上市申请，而其它信息对支持某成分用于另一种产品可能是必要的。例如，在主文件中未对由某种成分的新用途带来的特定问题做出说明时，就可能发生这种情况。此类信息可通过补充现有主文件或于在申请中提供必要信息。药品主文件的更多信息见</w:t>
      </w:r>
      <w:r>
        <w:rPr>
          <w:rFonts w:ascii="Arial" w:hAnsi="Arial" w:cs="Arial"/>
          <w:color w:val="auto"/>
          <w:kern w:val="2"/>
        </w:rPr>
        <w:t>21 CFR 314.420</w:t>
      </w:r>
      <w:r>
        <w:rPr>
          <w:rFonts w:ascii="Arial" w:hAnsi="Arial" w:cs="Arial"/>
        </w:rPr>
        <w:t>或</w:t>
      </w:r>
      <w:r>
        <w:fldChar w:fldCharType="begin"/>
      </w:r>
      <w:r>
        <w:instrText xml:space="preserve"> HYPERLINK "http://www.fda.gov/cder/dmf/index.htm" </w:instrText>
      </w:r>
      <w:r>
        <w:fldChar w:fldCharType="separate"/>
      </w:r>
      <w:r>
        <w:rPr>
          <w:rStyle w:val="11"/>
          <w:rFonts w:ascii="Arial" w:hAnsi="Arial" w:cs="Arial"/>
        </w:rPr>
        <w:t>http://www.fda.gov/cder/dmf/index.htm</w:t>
      </w:r>
      <w:r>
        <w:rPr>
          <w:rStyle w:val="11"/>
          <w:rFonts w:ascii="Arial" w:hAnsi="Arial" w:cs="Arial"/>
        </w:rPr>
        <w:fldChar w:fldCharType="end"/>
      </w:r>
      <w:r>
        <w:rPr>
          <w:rFonts w:ascii="Arial" w:hAnsi="Arial" w:cs="Arial"/>
        </w:rPr>
        <w:t>。器械主文件的更多信息见</w:t>
      </w:r>
      <w:r>
        <w:fldChar w:fldCharType="begin"/>
      </w:r>
      <w:r>
        <w:instrText xml:space="preserve"> HYPERLINK "http://www.fda.gov/cdrh/dsma/pmaman/appdxc.html" \l "P7_2" </w:instrText>
      </w:r>
      <w:r>
        <w:fldChar w:fldCharType="separate"/>
      </w:r>
      <w:r>
        <w:rPr>
          <w:rStyle w:val="11"/>
          <w:rFonts w:ascii="Arial" w:hAnsi="Arial" w:cs="Arial"/>
        </w:rPr>
        <w:t>http://www.fda.gov/cdrh/dsma/pmaman/appdxc.html#P7_2</w:t>
      </w:r>
      <w:r>
        <w:rPr>
          <w:rStyle w:val="11"/>
          <w:rFonts w:ascii="Arial" w:hAnsi="Arial" w:cs="Arial"/>
        </w:rPr>
        <w:fldChar w:fldCharType="end"/>
      </w:r>
      <w:r>
        <w:rPr>
          <w:rFonts w:ascii="Arial" w:hAnsi="Arial" w:cs="Arial"/>
        </w:rPr>
        <w:t>。</w:t>
      </w:r>
    </w:p>
    <w:p w14:paraId="5C866C45">
      <w:pPr>
        <w:overflowPunct w:val="0"/>
        <w:snapToGrid w:val="0"/>
        <w:spacing w:after="156" w:afterLines="50" w:line="300" w:lineRule="auto"/>
        <w:rPr>
          <w:rFonts w:ascii="Arial" w:hAnsi="Arial" w:cs="Arial"/>
          <w:sz w:val="24"/>
          <w:szCs w:val="24"/>
        </w:rPr>
      </w:pPr>
    </w:p>
    <w:p w14:paraId="33DE3806">
      <w:pPr>
        <w:pStyle w:val="16"/>
        <w:numPr>
          <w:ilvl w:val="0"/>
          <w:numId w:val="2"/>
        </w:numPr>
        <w:overflowPunct w:val="0"/>
        <w:snapToGrid w:val="0"/>
        <w:spacing w:after="156" w:afterLines="50" w:line="300" w:lineRule="auto"/>
        <w:ind w:left="664" w:leftChars="100" w:hanging="454" w:firstLineChars="0"/>
        <w:outlineLvl w:val="0"/>
        <w:rPr>
          <w:rFonts w:ascii="Arial" w:hAnsi="Arial" w:cs="Arial"/>
          <w:b/>
          <w:sz w:val="36"/>
          <w:szCs w:val="36"/>
        </w:rPr>
      </w:pPr>
      <w:bookmarkStart w:id="13" w:name="_Toc498417264"/>
      <w:r>
        <w:rPr>
          <w:rFonts w:ascii="Arial" w:hAnsi="Arial" w:cs="Arial"/>
          <w:b/>
          <w:sz w:val="36"/>
          <w:szCs w:val="36"/>
        </w:rPr>
        <w:t>及早与FDA进行互动和沟通</w:t>
      </w:r>
      <w:bookmarkEnd w:id="13"/>
    </w:p>
    <w:p w14:paraId="2AD72BB6">
      <w:pPr>
        <w:overflowPunct w:val="0"/>
        <w:snapToGrid w:val="0"/>
        <w:spacing w:after="156" w:afterLines="50" w:line="300" w:lineRule="auto"/>
        <w:rPr>
          <w:rFonts w:ascii="Arial" w:hAnsi="Arial" w:cs="Arial"/>
          <w:sz w:val="24"/>
          <w:szCs w:val="24"/>
        </w:rPr>
      </w:pPr>
      <w:r>
        <w:rPr>
          <w:rFonts w:ascii="Arial" w:hAnsi="Arial" w:cs="Arial"/>
          <w:sz w:val="24"/>
          <w:szCs w:val="24"/>
        </w:rPr>
        <w:t>FDA强烈鼓励开发商、FDA审核部门和OCP（适当情况下）间及早进行沟通和讨论。及早对话可让开发商对可能有必要进行的临床前测试和临床测试的种类获得最初的反馈。通过这样的沟通可确认产品开发的关键问题，有助于确保开发和批准流程高效、顺畅。此外，及早且频繁的沟通可为FDA提供机会，助其建立中心间审核团队，凝聚适当的科学专长，便于将来对任何申请文件进行及时、高效的审核。</w:t>
      </w:r>
    </w:p>
    <w:p w14:paraId="66553761">
      <w:pPr>
        <w:overflowPunct w:val="0"/>
        <w:snapToGrid w:val="0"/>
        <w:spacing w:after="156" w:afterLines="50" w:line="300" w:lineRule="auto"/>
        <w:rPr>
          <w:rFonts w:ascii="Arial" w:hAnsi="Arial" w:cs="Arial"/>
          <w:sz w:val="24"/>
          <w:szCs w:val="24"/>
        </w:rPr>
      </w:pPr>
      <w:r>
        <w:rPr>
          <w:rFonts w:ascii="Arial" w:hAnsi="Arial" w:cs="Arial"/>
          <w:sz w:val="24"/>
          <w:szCs w:val="24"/>
        </w:rPr>
        <w:t>在整个开发过程与提交研究性申请和上市申请的过程中，CBER、CDER与CDRH为里程碑会议/协作会议提供指导。研究前（预-IND和预-IDE）会议对创新性组合产品的讨论特别有用。上市前申请会议对讨论申请内容、模块化申请的顺序和时间安排或为组合产品提交一份以上上市申请时也是有益的。关于如何安排开发会议的指导性文件可从CDER、</w:t>
      </w:r>
      <w:r>
        <w:rPr>
          <w:rStyle w:val="12"/>
          <w:rFonts w:ascii="Arial" w:hAnsi="Arial" w:cs="Arial"/>
          <w:sz w:val="24"/>
          <w:szCs w:val="24"/>
        </w:rPr>
        <w:footnoteReference w:id="17"/>
      </w:r>
      <w:r>
        <w:rPr>
          <w:rFonts w:ascii="Arial" w:hAnsi="Arial" w:cs="Arial"/>
          <w:sz w:val="24"/>
          <w:szCs w:val="24"/>
        </w:rPr>
        <w:t>CBER</w:t>
      </w:r>
      <w:r>
        <w:rPr>
          <w:rStyle w:val="12"/>
          <w:rFonts w:ascii="Arial" w:hAnsi="Arial" w:cs="Arial"/>
          <w:sz w:val="24"/>
          <w:szCs w:val="24"/>
        </w:rPr>
        <w:footnoteReference w:id="18"/>
      </w:r>
      <w:r>
        <w:rPr>
          <w:rFonts w:ascii="Arial" w:hAnsi="Arial" w:cs="Arial"/>
          <w:sz w:val="24"/>
          <w:szCs w:val="24"/>
        </w:rPr>
        <w:t>与CDRH</w:t>
      </w:r>
      <w:r>
        <w:rPr>
          <w:rStyle w:val="12"/>
          <w:rFonts w:ascii="Arial" w:hAnsi="Arial" w:cs="Arial"/>
          <w:sz w:val="24"/>
          <w:szCs w:val="24"/>
        </w:rPr>
        <w:footnoteReference w:id="19"/>
      </w:r>
      <w:r>
        <w:rPr>
          <w:rFonts w:ascii="Arial" w:hAnsi="Arial" w:cs="Arial"/>
          <w:sz w:val="24"/>
          <w:szCs w:val="24"/>
        </w:rPr>
        <w:t>的网站下载。</w:t>
      </w:r>
    </w:p>
    <w:p w14:paraId="7E483852">
      <w:pPr>
        <w:overflowPunct w:val="0"/>
        <w:snapToGrid w:val="0"/>
        <w:spacing w:after="156" w:afterLines="50" w:line="300" w:lineRule="auto"/>
        <w:rPr>
          <w:rFonts w:ascii="Arial" w:hAnsi="Arial" w:cs="Arial"/>
          <w:sz w:val="24"/>
          <w:szCs w:val="24"/>
        </w:rPr>
      </w:pPr>
      <w:r>
        <w:rPr>
          <w:rFonts w:ascii="Arial" w:hAnsi="Arial" w:cs="Arial"/>
          <w:sz w:val="24"/>
          <w:szCs w:val="24"/>
        </w:rPr>
        <w:t>根据适用于主要中心的规程和里程碑安排会议日程时应与主要中心取得联系。我们鼓励开发商要求主要中心和咨询中心（如果适用的话）的相关审核部门参加会议。另外，如果需要说明管辖权问题、开发问题、上市前审核与上市后问题，组合产品办公室可提供正式或非正式帮助。</w:t>
      </w:r>
    </w:p>
    <w:p w14:paraId="1ACC493C">
      <w:pPr>
        <w:pStyle w:val="16"/>
        <w:numPr>
          <w:ilvl w:val="0"/>
          <w:numId w:val="12"/>
        </w:numPr>
        <w:overflowPunct w:val="0"/>
        <w:snapToGrid w:val="0"/>
        <w:spacing w:after="156" w:afterLines="50" w:line="300" w:lineRule="auto"/>
        <w:ind w:left="1197" w:leftChars="400" w:hanging="357" w:firstLineChars="0"/>
        <w:outlineLvl w:val="0"/>
        <w:rPr>
          <w:rFonts w:ascii="Arial" w:hAnsi="Arial" w:cs="Arial"/>
          <w:b/>
          <w:sz w:val="28"/>
          <w:szCs w:val="28"/>
        </w:rPr>
      </w:pPr>
      <w:bookmarkStart w:id="14" w:name="_Toc498417265"/>
      <w:r>
        <w:rPr>
          <w:rFonts w:ascii="Arial" w:hAnsi="Arial" w:cs="Arial"/>
          <w:b/>
          <w:sz w:val="28"/>
          <w:szCs w:val="28"/>
        </w:rPr>
        <w:t>获得其它信息的途径</w:t>
      </w:r>
      <w:bookmarkEnd w:id="14"/>
    </w:p>
    <w:p w14:paraId="0995D18D">
      <w:pPr>
        <w:overflowPunct w:val="0"/>
        <w:snapToGrid w:val="0"/>
        <w:spacing w:after="156" w:afterLines="50" w:line="300" w:lineRule="auto"/>
        <w:rPr>
          <w:rFonts w:ascii="Arial" w:hAnsi="Arial" w:cs="Arial"/>
          <w:sz w:val="24"/>
          <w:szCs w:val="24"/>
        </w:rPr>
      </w:pPr>
      <w:r>
        <w:rPr>
          <w:rFonts w:ascii="Arial" w:hAnsi="Arial" w:cs="Arial"/>
          <w:sz w:val="24"/>
          <w:szCs w:val="24"/>
        </w:rPr>
        <w:t>在组合产品的整个生命周期（任务、开发、上市前申请和上市后监管）中，OCP都可作为开发商和审核工作人员的一种资源加以利用。可致电(301) 427-1934或发送电子邮件至</w:t>
      </w:r>
      <w:r>
        <w:rPr>
          <w:rStyle w:val="11"/>
          <w:rFonts w:ascii="Arial" w:hAnsi="Arial" w:cs="Arial"/>
        </w:rPr>
        <w:t>combination@fda.gov</w:t>
      </w:r>
      <w:r>
        <w:rPr>
          <w:rFonts w:ascii="Arial" w:hAnsi="Arial" w:cs="Arial"/>
          <w:sz w:val="24"/>
          <w:szCs w:val="24"/>
        </w:rPr>
        <w:t>与该办公室联系。另外，该办公室还保存一份FDA指导性文件最新目录。开发商在产品开发过程中可能会发现该目录是有用的。本指南可在本办公室的网站下载，网址为：</w:t>
      </w:r>
      <w:r>
        <w:fldChar w:fldCharType="begin"/>
      </w:r>
      <w:r>
        <w:instrText xml:space="preserve"> HYPERLINK "http://www.fda.gov/oc/combination" </w:instrText>
      </w:r>
      <w:r>
        <w:fldChar w:fldCharType="separate"/>
      </w:r>
      <w:r>
        <w:rPr>
          <w:rStyle w:val="11"/>
          <w:rFonts w:ascii="Arial" w:hAnsi="Arial" w:cs="Arial"/>
          <w:sz w:val="24"/>
          <w:szCs w:val="24"/>
        </w:rPr>
        <w:t>http://www.fda.gov/oc/combination</w:t>
      </w:r>
      <w:r>
        <w:rPr>
          <w:rStyle w:val="11"/>
          <w:rFonts w:ascii="Arial" w:hAnsi="Arial" w:cs="Arial"/>
          <w:sz w:val="24"/>
          <w:szCs w:val="24"/>
        </w:rPr>
        <w:fldChar w:fldCharType="end"/>
      </w:r>
      <w:r>
        <w:rPr>
          <w:rFonts w:ascii="Arial" w:hAnsi="Arial" w:cs="Arial"/>
          <w:sz w:val="24"/>
          <w:szCs w:val="24"/>
        </w:rPr>
        <w:t>。</w:t>
      </w:r>
    </w:p>
    <w:p w14:paraId="02529D65">
      <w:pPr>
        <w:overflowPunct w:val="0"/>
        <w:snapToGrid w:val="0"/>
        <w:spacing w:after="156" w:afterLines="50" w:line="300" w:lineRule="auto"/>
        <w:rPr>
          <w:rFonts w:ascii="Arial" w:hAnsi="Arial" w:cs="Arial"/>
          <w:sz w:val="24"/>
          <w:szCs w:val="24"/>
        </w:rPr>
      </w:pPr>
      <w:r>
        <w:rPr>
          <w:rFonts w:ascii="Arial" w:hAnsi="Arial" w:cs="Arial"/>
          <w:sz w:val="24"/>
          <w:szCs w:val="24"/>
        </w:rPr>
        <w:t>另外，每个中心都维护有一个指南网页。这些网页都提供了本中心监管成分类型的综合性信息。CDER指南网页的登录网址为：</w:t>
      </w:r>
      <w:r>
        <w:fldChar w:fldCharType="begin"/>
      </w:r>
      <w:r>
        <w:instrText xml:space="preserve"> HYPERLINK "http://www.fda.gov/cder/guidance/index.htm" </w:instrText>
      </w:r>
      <w:r>
        <w:fldChar w:fldCharType="separate"/>
      </w:r>
      <w:r>
        <w:rPr>
          <w:rStyle w:val="11"/>
          <w:rFonts w:ascii="Arial" w:hAnsi="Arial" w:cs="Arial"/>
          <w:sz w:val="24"/>
          <w:szCs w:val="24"/>
        </w:rPr>
        <w:t>http://www.fda.gov/cder/guidance/index.htm</w:t>
      </w:r>
      <w:r>
        <w:rPr>
          <w:rStyle w:val="11"/>
          <w:rFonts w:ascii="Arial" w:hAnsi="Arial" w:cs="Arial"/>
          <w:sz w:val="24"/>
          <w:szCs w:val="24"/>
        </w:rPr>
        <w:fldChar w:fldCharType="end"/>
      </w:r>
      <w:r>
        <w:rPr>
          <w:rFonts w:ascii="Arial" w:hAnsi="Arial" w:cs="Arial"/>
          <w:sz w:val="24"/>
          <w:szCs w:val="24"/>
        </w:rPr>
        <w:t>。CDRH指南网页的登录网址为：</w:t>
      </w:r>
      <w:r>
        <w:fldChar w:fldCharType="begin"/>
      </w:r>
      <w:r>
        <w:instrText xml:space="preserve"> HYPERLINK "http://www.fda.gov/cdrh/guidance.html" </w:instrText>
      </w:r>
      <w:r>
        <w:fldChar w:fldCharType="separate"/>
      </w:r>
      <w:r>
        <w:rPr>
          <w:rStyle w:val="11"/>
          <w:rFonts w:ascii="Arial" w:hAnsi="Arial" w:cs="Arial"/>
          <w:sz w:val="24"/>
          <w:szCs w:val="24"/>
        </w:rPr>
        <w:t>http://www.fda.gov/cdrh/guidance.html</w:t>
      </w:r>
      <w:r>
        <w:rPr>
          <w:rStyle w:val="11"/>
          <w:rFonts w:ascii="Arial" w:hAnsi="Arial" w:cs="Arial"/>
          <w:sz w:val="24"/>
          <w:szCs w:val="24"/>
        </w:rPr>
        <w:fldChar w:fldCharType="end"/>
      </w:r>
      <w:r>
        <w:rPr>
          <w:rFonts w:ascii="Arial" w:hAnsi="Arial" w:cs="Arial"/>
          <w:sz w:val="24"/>
          <w:szCs w:val="24"/>
        </w:rPr>
        <w:t>，器械建议网页的登录网址为：</w:t>
      </w:r>
      <w:r>
        <w:fldChar w:fldCharType="begin"/>
      </w:r>
      <w:r>
        <w:instrText xml:space="preserve"> HYPERLINK "http://www.fda.gov/cdrh/devadvice/" </w:instrText>
      </w:r>
      <w:r>
        <w:fldChar w:fldCharType="separate"/>
      </w:r>
      <w:r>
        <w:rPr>
          <w:rStyle w:val="11"/>
          <w:rFonts w:ascii="Arial" w:hAnsi="Arial" w:cs="Arial"/>
          <w:sz w:val="24"/>
          <w:szCs w:val="24"/>
        </w:rPr>
        <w:t>http://www.fda.gov/cdrh/devadvice/</w:t>
      </w:r>
      <w:r>
        <w:rPr>
          <w:rStyle w:val="11"/>
          <w:rFonts w:ascii="Arial" w:hAnsi="Arial" w:cs="Arial"/>
          <w:sz w:val="24"/>
          <w:szCs w:val="24"/>
        </w:rPr>
        <w:fldChar w:fldCharType="end"/>
      </w:r>
      <w:r>
        <w:rPr>
          <w:rFonts w:ascii="Arial" w:hAnsi="Arial" w:cs="Arial"/>
          <w:sz w:val="24"/>
          <w:szCs w:val="24"/>
        </w:rPr>
        <w:t>。CBER指南网页的登录网址为：</w:t>
      </w:r>
      <w:r>
        <w:fldChar w:fldCharType="begin"/>
      </w:r>
      <w:r>
        <w:instrText xml:space="preserve"> HYPERLINK "http://www.fda.gov/cber/guidelines.htm" </w:instrText>
      </w:r>
      <w:r>
        <w:fldChar w:fldCharType="separate"/>
      </w:r>
      <w:r>
        <w:rPr>
          <w:rStyle w:val="11"/>
          <w:rFonts w:ascii="Arial" w:hAnsi="Arial" w:cs="Arial"/>
          <w:sz w:val="24"/>
          <w:szCs w:val="24"/>
        </w:rPr>
        <w:t>http://www.fda.gov/cber/guidelines.htm</w:t>
      </w:r>
      <w:r>
        <w:rPr>
          <w:rStyle w:val="11"/>
          <w:rFonts w:ascii="Arial" w:hAnsi="Arial" w:cs="Arial"/>
          <w:sz w:val="24"/>
          <w:szCs w:val="24"/>
        </w:rPr>
        <w:fldChar w:fldCharType="end"/>
      </w:r>
      <w:r>
        <w:rPr>
          <w:rFonts w:ascii="Arial" w:hAnsi="Arial" w:cs="Arial"/>
          <w:sz w:val="24"/>
          <w:szCs w:val="24"/>
        </w:rPr>
        <w:t>。</w:t>
      </w:r>
    </w:p>
    <w:p w14:paraId="462AD65B">
      <w:pPr>
        <w:snapToGrid w:val="0"/>
        <w:spacing w:before="1560" w:beforeLines="500" w:after="624" w:afterLines="200" w:line="300" w:lineRule="auto"/>
        <w:jc w:val="center"/>
        <w:rPr>
          <w:rFonts w:hint="eastAsia" w:eastAsia="宋体"/>
          <w:lang w:eastAsia="zh-CN"/>
        </w:rPr>
      </w:pPr>
    </w:p>
    <w:p w14:paraId="1EDDEC96">
      <w:pPr>
        <w:snapToGrid w:val="0"/>
        <w:spacing w:before="1560" w:beforeLines="500" w:after="624" w:afterLines="200" w:line="300" w:lineRule="auto"/>
        <w:jc w:val="center"/>
        <w:rPr>
          <w:rFonts w:hint="eastAsia" w:eastAsia="宋体"/>
          <w:lang w:eastAsia="zh-CN"/>
        </w:rPr>
      </w:pPr>
    </w:p>
    <w:p w14:paraId="4796A591">
      <w:pPr>
        <w:snapToGrid w:val="0"/>
        <w:spacing w:before="1560" w:beforeLines="500" w:after="624" w:afterLines="2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440" w:right="1800" w:bottom="1440" w:left="1800" w:header="720"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663039495"/>
      <w:docPartObj>
        <w:docPartGallery w:val="AutoText"/>
      </w:docPartObj>
    </w:sdtPr>
    <w:sdtEndPr>
      <w:rPr>
        <w:rFonts w:ascii="Arial" w:hAnsi="Arial" w:cs="Arial"/>
        <w:color w:val="FFFFFF" w:themeColor="background1"/>
        <w:sz w:val="21"/>
        <w:szCs w:val="21"/>
        <w14:textFill>
          <w14:solidFill>
            <w14:schemeClr w14:val="bg1"/>
          </w14:solidFill>
        </w14:textFill>
      </w:rPr>
    </w:sdtEndPr>
    <w:sdtContent>
      <w:p w14:paraId="5035760C">
        <w:pPr>
          <w:pStyle w:val="4"/>
          <w:jc w:val="right"/>
          <w:rPr>
            <w:rFonts w:ascii="Arial" w:hAnsi="Arial" w:cs="Arial"/>
            <w:color w:val="FFFFFF" w:themeColor="background1"/>
            <w:sz w:val="21"/>
            <w:szCs w:val="21"/>
            <w14:textFill>
              <w14:solidFill>
                <w14:schemeClr w14:val="bg1"/>
              </w14:solidFill>
            </w14:textFill>
          </w:rPr>
        </w:pPr>
        <w:r>
          <w:rPr>
            <w:rFonts w:ascii="Arial" w:hAnsi="Arial" w:cs="Arial"/>
            <w:color w:val="FFFFFF" w:themeColor="background1"/>
            <w:sz w:val="21"/>
            <w:szCs w:val="21"/>
            <w14:textFill>
              <w14:solidFill>
                <w14:schemeClr w14:val="bg1"/>
              </w14:solidFill>
            </w14:textFill>
          </w:rPr>
          <w:fldChar w:fldCharType="begin"/>
        </w:r>
        <w:r>
          <w:rPr>
            <w:rFonts w:ascii="Arial" w:hAnsi="Arial" w:cs="Arial"/>
            <w:color w:val="FFFFFF" w:themeColor="background1"/>
            <w:sz w:val="21"/>
            <w:szCs w:val="21"/>
            <w14:textFill>
              <w14:solidFill>
                <w14:schemeClr w14:val="bg1"/>
              </w14:solidFill>
            </w14:textFill>
          </w:rPr>
          <w:instrText xml:space="preserve">PAGE   \* MERGEFORMAT</w:instrText>
        </w:r>
        <w:r>
          <w:rPr>
            <w:rFonts w:ascii="Arial" w:hAnsi="Arial" w:cs="Arial"/>
            <w:color w:val="FFFFFF" w:themeColor="background1"/>
            <w:sz w:val="21"/>
            <w:szCs w:val="21"/>
            <w14:textFill>
              <w14:solidFill>
                <w14:schemeClr w14:val="bg1"/>
              </w14:solidFill>
            </w14:textFill>
          </w:rPr>
          <w:fldChar w:fldCharType="separate"/>
        </w:r>
        <w:r>
          <w:rPr>
            <w:rFonts w:ascii="Arial" w:hAnsi="Arial" w:cs="Arial"/>
            <w:color w:val="FFFFFF" w:themeColor="background1"/>
            <w:sz w:val="21"/>
            <w:szCs w:val="21"/>
            <w:lang w:val="zh-CN"/>
            <w14:textFill>
              <w14:solidFill>
                <w14:schemeClr w14:val="bg1"/>
              </w14:solidFill>
            </w14:textFill>
          </w:rPr>
          <w:t>1</w:t>
        </w:r>
        <w:r>
          <w:rPr>
            <w:rFonts w:ascii="Arial" w:hAnsi="Arial" w:cs="Arial"/>
            <w:color w:val="FFFFFF" w:themeColor="background1"/>
            <w:sz w:val="21"/>
            <w:szCs w:val="21"/>
            <w14:textFill>
              <w14:solidFill>
                <w14:schemeClr w14:val="bg1"/>
              </w14:solidFill>
            </w14:textFil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978592079"/>
      <w:docPartObj>
        <w:docPartGallery w:val="AutoText"/>
      </w:docPartObj>
    </w:sdtPr>
    <w:sdtEndPr>
      <w:rPr>
        <w:rFonts w:ascii="Arial" w:hAnsi="Arial" w:cs="Arial"/>
        <w:sz w:val="21"/>
        <w:szCs w:val="21"/>
      </w:rPr>
    </w:sdtEndPr>
    <w:sdtContent>
      <w:p w14:paraId="3FD05F73">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13</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37F34B92">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本指南由食品药品监督管理局器械和放射卫生中心、生物制剂评价和研究中心、药品评价和研究中心与委员办公室内设组合产品办公室制订。</w:t>
      </w:r>
    </w:p>
  </w:footnote>
  <w:footnote w:id="1">
    <w:p w14:paraId="38AE64AF">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可将药品-药品基因组测试配对视为组合产品，这取决于如何确定产品的预期用途以及如何给产品贴标签。FDA正在为药品和基于基因组诊断器械的联合开发制订单行指南。本文件未对这些类型的产品予以专门</w:t>
      </w:r>
      <w:r>
        <w:rPr>
          <w:rFonts w:hint="eastAsia" w:ascii="Arial" w:hAnsi="Arial" w:eastAsia="宋体" w:cs="Arial"/>
        </w:rPr>
        <w:t>说明</w:t>
      </w:r>
      <w:r>
        <w:rPr>
          <w:rFonts w:ascii="Arial" w:hAnsi="Arial" w:eastAsia="宋体" w:cs="Arial"/>
        </w:rPr>
        <w:t>。</w:t>
      </w:r>
    </w:p>
  </w:footnote>
  <w:footnote w:id="2">
    <w:p w14:paraId="6EE8A1FA">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研讨会的会议总结可在</w:t>
      </w:r>
      <w:r>
        <w:fldChar w:fldCharType="begin"/>
      </w:r>
      <w:r>
        <w:instrText xml:space="preserve"> HYPERLINK "http://www.fda.gov/oc/combination/workshop070803.html" </w:instrText>
      </w:r>
      <w:r>
        <w:fldChar w:fldCharType="separate"/>
      </w:r>
      <w:r>
        <w:rPr>
          <w:rStyle w:val="11"/>
          <w:rFonts w:ascii="Arial" w:hAnsi="Arial" w:eastAsia="宋体" w:cs="Arial"/>
        </w:rPr>
        <w:t>http://www.fda.gov/oc/combination/workshop070803.html</w:t>
      </w:r>
      <w:r>
        <w:rPr>
          <w:rStyle w:val="11"/>
          <w:rFonts w:ascii="Arial" w:hAnsi="Arial" w:eastAsia="宋体" w:cs="Arial"/>
        </w:rPr>
        <w:fldChar w:fldCharType="end"/>
      </w:r>
      <w:r>
        <w:rPr>
          <w:rFonts w:ascii="Arial" w:hAnsi="Arial" w:eastAsia="宋体" w:cs="Arial"/>
        </w:rPr>
        <w:t>下载。研讨会的文件副本可在</w:t>
      </w:r>
      <w:r>
        <w:fldChar w:fldCharType="begin"/>
      </w:r>
      <w:r>
        <w:instrText xml:space="preserve"> HYPERLINK "http://www.fda.gov/ohrms/dockets/dockets/03n0203/03n0203.htm" </w:instrText>
      </w:r>
      <w:r>
        <w:fldChar w:fldCharType="separate"/>
      </w:r>
      <w:r>
        <w:rPr>
          <w:rStyle w:val="11"/>
          <w:rFonts w:ascii="Arial" w:hAnsi="Arial" w:eastAsia="宋体" w:cs="Arial"/>
        </w:rPr>
        <w:t>http://www.fda.gov/ohrms/dockets/dockets/03n0203/03n0203.htm</w:t>
      </w:r>
      <w:r>
        <w:rPr>
          <w:rStyle w:val="11"/>
          <w:rFonts w:ascii="Arial" w:hAnsi="Arial" w:eastAsia="宋体" w:cs="Arial"/>
        </w:rPr>
        <w:fldChar w:fldCharType="end"/>
      </w:r>
      <w:r>
        <w:rPr>
          <w:rFonts w:ascii="Arial" w:hAnsi="Arial" w:eastAsia="宋体" w:cs="Arial"/>
        </w:rPr>
        <w:t>下载。</w:t>
      </w:r>
    </w:p>
  </w:footnote>
  <w:footnote w:id="3">
    <w:p w14:paraId="75F47F6D">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见“新型医用产品的关键路径”，下载网址：</w:t>
      </w:r>
      <w:r>
        <w:fldChar w:fldCharType="begin"/>
      </w:r>
      <w:r>
        <w:instrText xml:space="preserve"> HYPERLINK "http://www.fda.gov/oc/initiatives/criticalpath/" </w:instrText>
      </w:r>
      <w:r>
        <w:fldChar w:fldCharType="separate"/>
      </w:r>
      <w:r>
        <w:rPr>
          <w:rStyle w:val="11"/>
          <w:rFonts w:ascii="Arial" w:hAnsi="Arial" w:eastAsia="宋体" w:cs="Arial"/>
        </w:rPr>
        <w:t>http://www.fda.gov/oc/initiatives/criticalpath/</w:t>
      </w:r>
      <w:r>
        <w:rPr>
          <w:rStyle w:val="11"/>
          <w:rFonts w:ascii="Arial" w:hAnsi="Arial" w:eastAsia="宋体" w:cs="Arial"/>
        </w:rPr>
        <w:fldChar w:fldCharType="end"/>
      </w:r>
      <w:r>
        <w:rPr>
          <w:rFonts w:ascii="Arial" w:hAnsi="Arial" w:eastAsia="宋体" w:cs="Arial"/>
        </w:rPr>
        <w:t>。</w:t>
      </w:r>
    </w:p>
  </w:footnote>
  <w:footnote w:id="4">
    <w:p w14:paraId="246252F0">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见发表于2005年8月25日联邦公报上的“组合产品主要作用模式定义的最终规则”。网址：</w:t>
      </w:r>
      <w:r>
        <w:fldChar w:fldCharType="begin"/>
      </w:r>
      <w:r>
        <w:instrText xml:space="preserve"> HYPERLINK "http://www.fda.gov/OHRMS/DOCKETS/98fr/05-16527.pdf" </w:instrText>
      </w:r>
      <w:r>
        <w:fldChar w:fldCharType="separate"/>
      </w:r>
      <w:r>
        <w:rPr>
          <w:rStyle w:val="11"/>
          <w:rFonts w:ascii="Arial" w:hAnsi="Arial" w:eastAsia="宋体" w:cs="Arial"/>
        </w:rPr>
        <w:t>http://www.fda.gov/OHRMS/DOCKETS/98fr/05-16527.pdf</w:t>
      </w:r>
      <w:r>
        <w:rPr>
          <w:rStyle w:val="11"/>
          <w:rFonts w:ascii="Arial" w:hAnsi="Arial" w:eastAsia="宋体" w:cs="Arial"/>
        </w:rPr>
        <w:fldChar w:fldCharType="end"/>
      </w:r>
    </w:p>
  </w:footnote>
  <w:footnote w:id="5">
    <w:p w14:paraId="503EB4E7">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见“中心协商/协调审核流程”。网址：</w:t>
      </w:r>
      <w:r>
        <w:rPr>
          <w:rFonts w:ascii="Arial" w:hAnsi="Arial" w:eastAsia="宋体" w:cs="Arial"/>
          <w:color w:val="0000FF"/>
          <w:u w:val="single"/>
        </w:rPr>
        <w:t>http://www.fda.gov/oc/combination/consultative.html</w:t>
      </w:r>
      <w:r>
        <w:rPr>
          <w:rFonts w:ascii="Arial" w:hAnsi="Arial" w:eastAsia="宋体" w:cs="Arial"/>
        </w:rPr>
        <w:t>.</w:t>
      </w:r>
    </w:p>
  </w:footnote>
  <w:footnote w:id="6">
    <w:p w14:paraId="530BD3D5">
      <w:pPr>
        <w:pStyle w:val="7"/>
        <w:jc w:val="both"/>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对大多数组合产品来说，一份上市申请就足以满足产品批准、准许或许可。然而，在某些情况下，虽然一份申请即可满足要求，但申办方可选择提交2份组合产品上市申请。例如，为了获得只有通过特定类型申请（新药产品排他性申请、罕见药</w:t>
      </w:r>
      <w:r>
        <w:rPr>
          <w:rFonts w:hint="eastAsia" w:ascii="Arial" w:hAnsi="Arial" w:eastAsia="宋体" w:cs="Arial"/>
        </w:rPr>
        <w:t>认证</w:t>
      </w:r>
      <w:r>
        <w:rPr>
          <w:rFonts w:ascii="Arial" w:hAnsi="Arial" w:eastAsia="宋体" w:cs="Arial"/>
        </w:rPr>
        <w:t>申请或涉及2家公司时的专利数据保护申请）获批才能得到的某些便利，申办方可选择提交2份申请。在其它情况下，FDA可判定提交2份上市申请的必要性。例如，当一种组合产品的</w:t>
      </w:r>
      <w:r>
        <w:rPr>
          <w:rFonts w:hint="eastAsia" w:ascii="Arial" w:hAnsi="Arial" w:eastAsia="宋体" w:cs="Arial"/>
        </w:rPr>
        <w:t>其中一项</w:t>
      </w:r>
      <w:r>
        <w:rPr>
          <w:rFonts w:ascii="Arial" w:hAnsi="Arial" w:eastAsia="宋体" w:cs="Arial"/>
        </w:rPr>
        <w:t>独特组成部分已获批用于另一用途以及需对已获批产品的标签进行变更以反映其在组合产品中的新预期用途时，如果已获批产品的标签所适用的法律要求不同于适用于组合产品的法律要求，FDA可判定提交2份上市申请的必要性。FDA鼓励不确定应为组合产品提交一份或多份上市申请的申请者与优势审核处和/或组合产品办公室讨论该问题。在指南文件“关于组合产品上市前审核及时性正式争议的提交和解决”中提供了关于适用时间框架的信息。该文件可在</w:t>
      </w:r>
      <w:r>
        <w:fldChar w:fldCharType="begin"/>
      </w:r>
      <w:r>
        <w:instrText xml:space="preserve"> HYPERLINK "http://www.fda.gov/oc/combination/dispute.pdf" </w:instrText>
      </w:r>
      <w:r>
        <w:fldChar w:fldCharType="separate"/>
      </w:r>
      <w:r>
        <w:rPr>
          <w:rStyle w:val="11"/>
          <w:rFonts w:ascii="Arial" w:hAnsi="Arial" w:eastAsia="宋体" w:cs="Arial"/>
        </w:rPr>
        <w:t>http://www.fda.gov/oc/combination/dispute.pdf</w:t>
      </w:r>
      <w:r>
        <w:rPr>
          <w:rStyle w:val="11"/>
          <w:rFonts w:ascii="Arial" w:hAnsi="Arial" w:eastAsia="宋体" w:cs="Arial"/>
        </w:rPr>
        <w:fldChar w:fldCharType="end"/>
      </w:r>
      <w:r>
        <w:rPr>
          <w:rFonts w:ascii="Arial" w:hAnsi="Arial" w:eastAsia="宋体" w:cs="Arial"/>
        </w:rPr>
        <w:t>下载。</w:t>
      </w:r>
    </w:p>
  </w:footnote>
  <w:footnote w:id="7">
    <w:p w14:paraId="5C3CFCFF">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w:t>
      </w:r>
      <w:r>
        <w:rPr>
          <w:rFonts w:hint="eastAsia" w:ascii="Arial" w:hAnsi="Arial" w:eastAsia="宋体" w:cs="Arial"/>
        </w:rPr>
        <w:t>OCP</w:t>
      </w:r>
      <w:r>
        <w:rPr>
          <w:rFonts w:ascii="Arial" w:hAnsi="Arial" w:eastAsia="宋体" w:cs="Arial"/>
        </w:rPr>
        <w:t>网站：</w:t>
      </w:r>
      <w:r>
        <w:fldChar w:fldCharType="begin"/>
      </w:r>
      <w:r>
        <w:instrText xml:space="preserve"> HYPERLINK "http://www.fda.gov/oc/combination" </w:instrText>
      </w:r>
      <w:r>
        <w:fldChar w:fldCharType="separate"/>
      </w:r>
      <w:r>
        <w:rPr>
          <w:rStyle w:val="11"/>
          <w:rFonts w:ascii="Arial" w:hAnsi="Arial" w:eastAsia="宋体" w:cs="Arial"/>
        </w:rPr>
        <w:t>http://www.fda.gov/oc/combination</w:t>
      </w:r>
      <w:r>
        <w:rPr>
          <w:rStyle w:val="11"/>
          <w:rFonts w:ascii="Arial" w:hAnsi="Arial" w:eastAsia="宋体" w:cs="Arial"/>
        </w:rPr>
        <w:fldChar w:fldCharType="end"/>
      </w:r>
      <w:r>
        <w:rPr>
          <w:rFonts w:ascii="Arial" w:hAnsi="Arial" w:eastAsia="宋体" w:cs="Arial"/>
        </w:rPr>
        <w:t>。</w:t>
      </w:r>
    </w:p>
  </w:footnote>
  <w:footnote w:id="8">
    <w:p w14:paraId="489C35EA">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 xml:space="preserve">见FDA认可的共识标准 </w:t>
      </w:r>
      <w:r>
        <w:fldChar w:fldCharType="begin"/>
      </w:r>
      <w:r>
        <w:instrText xml:space="preserve"> HYPERLINK "http://www.accessdata.fda.gov/scripts/cdrh/cfdocs/cfStandards/search.cfm" </w:instrText>
      </w:r>
      <w:r>
        <w:fldChar w:fldCharType="separate"/>
      </w:r>
      <w:r>
        <w:rPr>
          <w:rStyle w:val="11"/>
          <w:rFonts w:ascii="Arial" w:hAnsi="Arial" w:eastAsia="宋体" w:cs="Arial"/>
        </w:rPr>
        <w:t>http://www.accessdata.fda.gov/scripts/cdrh/cfdocs/cfStandards/search.cfm</w:t>
      </w:r>
      <w:r>
        <w:rPr>
          <w:rStyle w:val="11"/>
          <w:rFonts w:ascii="Arial" w:hAnsi="Arial" w:eastAsia="宋体" w:cs="Arial"/>
        </w:rPr>
        <w:fldChar w:fldCharType="end"/>
      </w:r>
      <w:r>
        <w:rPr>
          <w:rFonts w:ascii="Arial" w:hAnsi="Arial" w:eastAsia="宋体" w:cs="Arial"/>
        </w:rPr>
        <w:t>。</w:t>
      </w:r>
    </w:p>
  </w:footnote>
  <w:footnote w:id="9">
    <w:p w14:paraId="27130FA1">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为</w:t>
      </w:r>
      <w:r>
        <w:rPr>
          <w:rFonts w:hint="eastAsia" w:ascii="Arial" w:hAnsi="Arial" w:eastAsia="宋体" w:cs="Arial"/>
        </w:rPr>
        <w:t>进行</w:t>
      </w:r>
      <w:r>
        <w:rPr>
          <w:rFonts w:ascii="Arial" w:hAnsi="Arial" w:eastAsia="宋体" w:cs="Arial"/>
        </w:rPr>
        <w:t>讨论，药品术语适用于药品和多数生物制剂组成部分。</w:t>
      </w:r>
    </w:p>
  </w:footnote>
  <w:footnote w:id="10">
    <w:p w14:paraId="13171090">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w:t>
      </w:r>
      <w:r>
        <w:rPr>
          <w:rFonts w:ascii="Arial" w:hAnsi="Arial" w:eastAsia="宋体" w:cs="Arial"/>
          <w:i/>
          <w:u w:val="single"/>
        </w:rPr>
        <w:t>行业指南：申请非临床药理学/毒理学部分的格式与内容</w:t>
      </w:r>
      <w:r>
        <w:rPr>
          <w:rFonts w:ascii="Arial" w:hAnsi="Arial" w:eastAsia="宋体" w:cs="Arial"/>
        </w:rPr>
        <w:t>”，下载网址：</w:t>
      </w:r>
      <w:r>
        <w:fldChar w:fldCharType="begin"/>
      </w:r>
      <w:r>
        <w:instrText xml:space="preserve"> HYPERLINK "http://www.fda.gov/cder/guidance/index.htm" </w:instrText>
      </w:r>
      <w:r>
        <w:fldChar w:fldCharType="separate"/>
      </w:r>
      <w:r>
        <w:rPr>
          <w:rStyle w:val="11"/>
          <w:rFonts w:ascii="Arial" w:hAnsi="Arial" w:eastAsia="宋体" w:cs="Arial"/>
        </w:rPr>
        <w:t>http://www.fda.gov/cder/guidance/index.htm</w:t>
      </w:r>
      <w:r>
        <w:rPr>
          <w:rStyle w:val="11"/>
          <w:rFonts w:ascii="Arial" w:hAnsi="Arial" w:eastAsia="宋体" w:cs="Arial"/>
        </w:rPr>
        <w:fldChar w:fldCharType="end"/>
      </w:r>
      <w:r>
        <w:rPr>
          <w:rFonts w:ascii="Arial" w:hAnsi="Arial" w:eastAsia="宋体" w:cs="Arial"/>
        </w:rPr>
        <w:t>。在该位置也可指找到普通药理学-毒理学指南。</w:t>
      </w:r>
    </w:p>
  </w:footnote>
  <w:footnote w:id="11">
    <w:p w14:paraId="629E07C6">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见“行业指南：接触-反应关系－研究设计、数据分析和监管应用”，下载网址：</w:t>
      </w:r>
      <w:r>
        <w:fldChar w:fldCharType="begin"/>
      </w:r>
      <w:r>
        <w:instrText xml:space="preserve"> HYPERLINK "http://www.fda.gov/cder/guidance/5341fnl.doc" </w:instrText>
      </w:r>
      <w:r>
        <w:fldChar w:fldCharType="separate"/>
      </w:r>
      <w:r>
        <w:rPr>
          <w:rStyle w:val="11"/>
          <w:rFonts w:ascii="Arial" w:hAnsi="Arial" w:eastAsia="宋体" w:cs="Arial"/>
        </w:rPr>
        <w:t>http://www.fda.gov/cder/guidance/5341fnl.doc</w:t>
      </w:r>
      <w:r>
        <w:rPr>
          <w:rStyle w:val="11"/>
          <w:rFonts w:ascii="Arial" w:hAnsi="Arial" w:eastAsia="宋体" w:cs="Arial"/>
        </w:rPr>
        <w:fldChar w:fldCharType="end"/>
      </w:r>
      <w:r>
        <w:rPr>
          <w:rFonts w:ascii="Arial" w:hAnsi="Arial" w:eastAsia="宋体" w:cs="Arial"/>
        </w:rPr>
        <w:t>。</w:t>
      </w:r>
    </w:p>
  </w:footnote>
  <w:footnote w:id="12">
    <w:p w14:paraId="7991149E">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见“ICH E4（人用药品注册技术要求国际协调会议E4版）：支持药品注册的剂量反应信息”，下载网址：</w:t>
      </w:r>
      <w:r>
        <w:fldChar w:fldCharType="begin"/>
      </w:r>
      <w:r>
        <w:instrText xml:space="preserve"> HYPERLINK "http://www.fda.gov/cder/guidance/iche4.pdf" </w:instrText>
      </w:r>
      <w:r>
        <w:fldChar w:fldCharType="separate"/>
      </w:r>
      <w:r>
        <w:rPr>
          <w:rStyle w:val="11"/>
          <w:rFonts w:ascii="Arial" w:hAnsi="Arial" w:eastAsia="宋体" w:cs="Arial"/>
        </w:rPr>
        <w:t>http://www.fda.gov/cder/guidance/iche4.pdf</w:t>
      </w:r>
      <w:r>
        <w:rPr>
          <w:rStyle w:val="11"/>
          <w:rFonts w:ascii="Arial" w:hAnsi="Arial" w:eastAsia="宋体" w:cs="Arial"/>
        </w:rPr>
        <w:fldChar w:fldCharType="end"/>
      </w:r>
      <w:r>
        <w:rPr>
          <w:rFonts w:ascii="Arial" w:hAnsi="Arial" w:eastAsia="宋体" w:cs="Arial"/>
        </w:rPr>
        <w:t>。</w:t>
      </w:r>
    </w:p>
  </w:footnote>
  <w:footnote w:id="13">
    <w:p w14:paraId="397FBB7C">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见“ICH E1A（人用药品注册技术要求国际协调会议E1A版）：旨在评估临床安全性的人群接触范围研究：关于预期用于无生命威胁疾病长期治疗的药品”，下载网址：</w:t>
      </w:r>
      <w:r>
        <w:fldChar w:fldCharType="begin"/>
      </w:r>
      <w:r>
        <w:instrText xml:space="preserve"> HYPERLINK "http://www.fda.gov/cder/guidance/iche1a.pdf" </w:instrText>
      </w:r>
      <w:r>
        <w:fldChar w:fldCharType="separate"/>
      </w:r>
      <w:r>
        <w:rPr>
          <w:rStyle w:val="11"/>
          <w:rFonts w:ascii="Arial" w:hAnsi="Arial" w:eastAsia="宋体" w:cs="Arial"/>
        </w:rPr>
        <w:t>http://www.fda.gov/cder/guidance/iche1a.pdf</w:t>
      </w:r>
      <w:r>
        <w:rPr>
          <w:rStyle w:val="11"/>
          <w:rFonts w:ascii="Arial" w:hAnsi="Arial" w:eastAsia="宋体" w:cs="Arial"/>
        </w:rPr>
        <w:fldChar w:fldCharType="end"/>
      </w:r>
      <w:r>
        <w:rPr>
          <w:rFonts w:ascii="Arial" w:hAnsi="Arial" w:eastAsia="宋体" w:cs="Arial"/>
        </w:rPr>
        <w:t>。</w:t>
      </w:r>
    </w:p>
  </w:footnote>
  <w:footnote w:id="14">
    <w:p w14:paraId="13397147">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见“行业和审查员指南：探索性研究性新药研究”，下载网址：</w:t>
      </w:r>
      <w:r>
        <w:fldChar w:fldCharType="begin"/>
      </w:r>
      <w:r>
        <w:instrText xml:space="preserve"> HYPERLINK "http://www.fda.gov/cder/guidance/7086fnl.pdf" </w:instrText>
      </w:r>
      <w:r>
        <w:fldChar w:fldCharType="separate"/>
      </w:r>
      <w:r>
        <w:rPr>
          <w:rStyle w:val="11"/>
          <w:rFonts w:ascii="Arial" w:hAnsi="Arial" w:eastAsia="宋体" w:cs="Arial"/>
        </w:rPr>
        <w:t>http://www.fda.gov/cder/guidance/7086fnl.pdf</w:t>
      </w:r>
      <w:r>
        <w:rPr>
          <w:rStyle w:val="11"/>
          <w:rFonts w:ascii="Arial" w:hAnsi="Arial" w:eastAsia="宋体" w:cs="Arial"/>
        </w:rPr>
        <w:fldChar w:fldCharType="end"/>
      </w:r>
      <w:r>
        <w:rPr>
          <w:rFonts w:ascii="Arial" w:hAnsi="Arial" w:eastAsia="宋体" w:cs="Arial"/>
        </w:rPr>
        <w:t>。</w:t>
      </w:r>
    </w:p>
  </w:footnote>
  <w:footnote w:id="15">
    <w:p w14:paraId="71DA98FA">
      <w:pPr>
        <w:overflowPunct w:val="0"/>
        <w:snapToGrid w:val="0"/>
        <w:spacing w:after="156" w:afterLines="50" w:line="300" w:lineRule="auto"/>
        <w:jc w:val="left"/>
        <w:rPr>
          <w:rFonts w:ascii="Arial" w:hAnsi="Arial" w:cs="Arial"/>
          <w:sz w:val="18"/>
          <w:szCs w:val="18"/>
        </w:rPr>
      </w:pPr>
      <w:r>
        <w:rPr>
          <w:rStyle w:val="12"/>
          <w:rFonts w:ascii="Arial" w:hAnsi="Arial" w:cs="Arial"/>
          <w:sz w:val="18"/>
          <w:szCs w:val="18"/>
        </w:rPr>
        <w:footnoteRef/>
      </w:r>
      <w:r>
        <w:rPr>
          <w:rFonts w:ascii="Arial" w:hAnsi="Arial" w:cs="Arial"/>
          <w:sz w:val="18"/>
          <w:szCs w:val="18"/>
        </w:rPr>
        <w:t xml:space="preserve"> </w:t>
      </w:r>
      <w:r>
        <w:rPr>
          <w:rFonts w:ascii="Arial" w:hAnsi="Arial" w:eastAsia="宋体" w:cs="Arial"/>
          <w:sz w:val="18"/>
          <w:szCs w:val="18"/>
        </w:rPr>
        <w:t>见“行业指南：临床研究实施期间的变更或修改”，下载网址：</w:t>
      </w:r>
      <w:r>
        <w:fldChar w:fldCharType="begin"/>
      </w:r>
      <w:r>
        <w:instrText xml:space="preserve"> HYPERLINK "http://www.fda.gov/cdrh/ode/guidance/1337.pdf" </w:instrText>
      </w:r>
      <w:r>
        <w:fldChar w:fldCharType="separate"/>
      </w:r>
      <w:r>
        <w:rPr>
          <w:rStyle w:val="11"/>
          <w:rFonts w:ascii="Arial" w:hAnsi="Arial" w:eastAsia="宋体" w:cs="Arial"/>
          <w:sz w:val="18"/>
          <w:szCs w:val="18"/>
        </w:rPr>
        <w:t>http://www.fda.gov/cdrh/ode/guidance/1337.pdf</w:t>
      </w:r>
      <w:r>
        <w:rPr>
          <w:rStyle w:val="11"/>
          <w:rFonts w:ascii="Arial" w:hAnsi="Arial" w:eastAsia="宋体" w:cs="Arial"/>
          <w:sz w:val="18"/>
          <w:szCs w:val="18"/>
        </w:rPr>
        <w:fldChar w:fldCharType="end"/>
      </w:r>
      <w:r>
        <w:rPr>
          <w:rFonts w:ascii="Arial" w:hAnsi="Arial" w:eastAsia="宋体" w:cs="Arial"/>
          <w:sz w:val="18"/>
          <w:szCs w:val="18"/>
        </w:rPr>
        <w:t>。</w:t>
      </w:r>
    </w:p>
  </w:footnote>
  <w:footnote w:id="16">
    <w:p w14:paraId="4F6AD8DA">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在“行业和FDA工作人员指南草案：组合产品的现行良好生产规范”中对FDA对组合产品之良好生产规范的最新思考进行了描述。下载网址：</w:t>
      </w:r>
      <w:r>
        <w:fldChar w:fldCharType="begin"/>
      </w:r>
      <w:r>
        <w:instrText xml:space="preserve"> HYPERLINK "http://www.fda.gov/oc/combination/OCLove1dft.html" </w:instrText>
      </w:r>
      <w:r>
        <w:fldChar w:fldCharType="separate"/>
      </w:r>
      <w:r>
        <w:rPr>
          <w:rStyle w:val="11"/>
          <w:rFonts w:ascii="Arial" w:hAnsi="Arial" w:eastAsia="宋体" w:cs="Arial"/>
        </w:rPr>
        <w:t>http://www.fda.gov/oc/combination/OCLove1dft.html</w:t>
      </w:r>
      <w:r>
        <w:rPr>
          <w:rStyle w:val="11"/>
          <w:rFonts w:ascii="Arial" w:hAnsi="Arial" w:eastAsia="宋体" w:cs="Arial"/>
        </w:rPr>
        <w:fldChar w:fldCharType="end"/>
      </w:r>
      <w:r>
        <w:rPr>
          <w:rFonts w:ascii="Arial" w:hAnsi="Arial" w:eastAsia="宋体" w:cs="Arial"/>
        </w:rPr>
        <w:t>。FDA拟提出组合产品的现行良好生产规范法规，见2006年4月24日发布的《联邦公报》（联邦公报第71卷第22565期）。</w:t>
      </w:r>
    </w:p>
  </w:footnote>
  <w:footnote w:id="17">
    <w:p w14:paraId="4F4ACDD2">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w:t>
      </w:r>
      <w:r>
        <w:fldChar w:fldCharType="begin"/>
      </w:r>
      <w:r>
        <w:instrText xml:space="preserve"> HYPERLINK "http://www.fda.gov/cder/guidance/3683fnl.pdf" </w:instrText>
      </w:r>
      <w:r>
        <w:fldChar w:fldCharType="separate"/>
      </w:r>
      <w:r>
        <w:rPr>
          <w:rStyle w:val="11"/>
          <w:rFonts w:ascii="Arial" w:hAnsi="Arial" w:eastAsia="宋体" w:cs="Arial"/>
        </w:rPr>
        <w:t>http://www.fda.gov/cder/guidance/3683fnl.pdf</w:t>
      </w:r>
      <w:r>
        <w:rPr>
          <w:rStyle w:val="11"/>
          <w:rFonts w:ascii="Arial" w:hAnsi="Arial" w:eastAsia="宋体" w:cs="Arial"/>
        </w:rPr>
        <w:fldChar w:fldCharType="end"/>
      </w:r>
      <w:r>
        <w:rPr>
          <w:rFonts w:ascii="Arial" w:hAnsi="Arial" w:eastAsia="宋体" w:cs="Arial"/>
        </w:rPr>
        <w:t>。</w:t>
      </w:r>
    </w:p>
  </w:footnote>
  <w:footnote w:id="18">
    <w:p w14:paraId="3BCE594A">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w:t>
      </w:r>
      <w:r>
        <w:fldChar w:fldCharType="begin"/>
      </w:r>
      <w:r>
        <w:instrText xml:space="preserve"> HYPERLINK "http://www.fda.gov/cber/gdlns/ind052501.htm" </w:instrText>
      </w:r>
      <w:r>
        <w:fldChar w:fldCharType="separate"/>
      </w:r>
      <w:r>
        <w:rPr>
          <w:rStyle w:val="11"/>
          <w:rFonts w:ascii="Arial" w:hAnsi="Arial" w:eastAsia="宋体" w:cs="Arial"/>
        </w:rPr>
        <w:t>http://www.fda.gov/cber/gdlns/ind052501.htm</w:t>
      </w:r>
      <w:r>
        <w:rPr>
          <w:rStyle w:val="11"/>
          <w:rFonts w:ascii="Arial" w:hAnsi="Arial" w:eastAsia="宋体" w:cs="Arial"/>
        </w:rPr>
        <w:fldChar w:fldCharType="end"/>
      </w:r>
      <w:r>
        <w:rPr>
          <w:rFonts w:ascii="Arial" w:hAnsi="Arial" w:eastAsia="宋体" w:cs="Arial"/>
        </w:rPr>
        <w:t>。</w:t>
      </w:r>
    </w:p>
  </w:footnote>
  <w:footnote w:id="19">
    <w:p w14:paraId="19887910">
      <w:pPr>
        <w:pStyle w:val="7"/>
        <w:rPr>
          <w:rFonts w:ascii="Arial" w:hAnsi="Arial" w:cs="Arial"/>
        </w:rPr>
      </w:pPr>
      <w:r>
        <w:rPr>
          <w:rStyle w:val="12"/>
          <w:rFonts w:ascii="Arial" w:hAnsi="Arial" w:cs="Arial"/>
        </w:rPr>
        <w:footnoteRef/>
      </w:r>
      <w:r>
        <w:rPr>
          <w:rFonts w:ascii="Arial" w:hAnsi="Arial" w:cs="Arial"/>
        </w:rPr>
        <w:t xml:space="preserve"> </w:t>
      </w:r>
      <w:r>
        <w:rPr>
          <w:rFonts w:ascii="Arial" w:hAnsi="Arial" w:eastAsia="宋体" w:cs="Arial"/>
        </w:rPr>
        <w:t>见：</w:t>
      </w:r>
      <w:r>
        <w:fldChar w:fldCharType="begin"/>
      </w:r>
      <w:r>
        <w:instrText xml:space="preserve"> HYPERLINK "http://www.fda.gov/cdrh/devadvice/ide/print/approval.html" </w:instrText>
      </w:r>
      <w:r>
        <w:fldChar w:fldCharType="separate"/>
      </w:r>
      <w:r>
        <w:rPr>
          <w:rStyle w:val="11"/>
          <w:rFonts w:ascii="Arial" w:hAnsi="Arial" w:eastAsia="宋体" w:cs="Arial"/>
        </w:rPr>
        <w:t>http://www.fda.gov/cdrh/devadvice/ide/print/approval.html</w:t>
      </w:r>
      <w:r>
        <w:rPr>
          <w:rStyle w:val="11"/>
          <w:rFonts w:ascii="Arial" w:hAnsi="Arial" w:eastAsia="宋体" w:cs="Arial"/>
        </w:rPr>
        <w:fldChar w:fldCharType="end"/>
      </w:r>
      <w:r>
        <w:rPr>
          <w:rFonts w:ascii="Arial" w:hAnsi="Arial" w:eastAsia="宋体" w:cs="Arial"/>
        </w:rPr>
        <w:t>，FDA现代化法案之早期协作会议、行业与器械和放射卫生中心工作人员最终指导性文件见：</w:t>
      </w:r>
      <w:r>
        <w:fldChar w:fldCharType="begin"/>
      </w:r>
      <w:r>
        <w:instrText xml:space="preserve"> HYPERLINK "http://www.fda.gov/cdrh/ode/guidance/310.html" </w:instrText>
      </w:r>
      <w:r>
        <w:fldChar w:fldCharType="separate"/>
      </w:r>
      <w:r>
        <w:rPr>
          <w:rStyle w:val="11"/>
          <w:rFonts w:ascii="Arial" w:hAnsi="Arial" w:eastAsia="宋体" w:cs="Arial"/>
        </w:rPr>
        <w:t>http://www.fda.gov/cdrh/ode/guidance/310.html</w:t>
      </w:r>
      <w:r>
        <w:rPr>
          <w:rStyle w:val="11"/>
          <w:rFonts w:ascii="Arial" w:hAnsi="Arial" w:eastAsia="宋体" w:cs="Arial"/>
        </w:rPr>
        <w:fldChar w:fldCharType="end"/>
      </w:r>
      <w:r>
        <w:rPr>
          <w:rFonts w:ascii="Arial" w:hAnsi="Arial" w:eastAsia="宋体"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1D4B">
    <w:pPr>
      <w:pStyle w:val="5"/>
      <w:pBdr>
        <w:bottom w:val="none" w:color="auto" w:sz="0" w:space="0"/>
      </w:pBdr>
    </w:pPr>
    <w:r>
      <w:rPr>
        <w:rFonts w:hint="eastAsia" w:ascii="Arial" w:hAnsi="Arial" w:eastAsia="宋体" w:cs="Arial"/>
        <w:i/>
        <w:sz w:val="24"/>
        <w:szCs w:val="24"/>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1EF2">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D71D">
    <w:pPr>
      <w:pStyle w:val="5"/>
      <w:pBdr>
        <w:bottom w:val="none" w:color="auto" w:sz="0" w:space="0"/>
      </w:pBdr>
    </w:pPr>
    <w:r>
      <w:rPr>
        <w:rFonts w:hint="eastAsia" w:ascii="Arial" w:hAnsi="Arial" w:eastAsia="宋体" w:cs="Arial"/>
        <w:i/>
        <w:sz w:val="24"/>
        <w:szCs w:val="24"/>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94DD2"/>
    <w:multiLevelType w:val="multilevel"/>
    <w:tmpl w:val="05694DD2"/>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9135790"/>
    <w:multiLevelType w:val="multilevel"/>
    <w:tmpl w:val="0913579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423D87"/>
    <w:multiLevelType w:val="multilevel"/>
    <w:tmpl w:val="0A423D87"/>
    <w:lvl w:ilvl="0" w:tentative="0">
      <w:start w:val="1"/>
      <w:numFmt w:val="upperRoman"/>
      <w:lvlText w:val="%1."/>
      <w:lvlJc w:val="left"/>
      <w:pPr>
        <w:ind w:left="720" w:hanging="720"/>
      </w:pPr>
      <w:rPr>
        <w:rFonts w:hint="default" w:ascii="Arial" w:hAnsi="Arial" w:eastAsia="宋体" w:cs="Arial"/>
        <w:b/>
        <w:color w:val="0000FF" w:themeColor="hyperlink"/>
        <w:u w:val="single"/>
        <w14:textFill>
          <w14:solidFill>
            <w14:schemeClr w14:val="hlink"/>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0549B6"/>
    <w:multiLevelType w:val="multilevel"/>
    <w:tmpl w:val="1F0549B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D960905"/>
    <w:multiLevelType w:val="multilevel"/>
    <w:tmpl w:val="2D960905"/>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6D09DC"/>
    <w:multiLevelType w:val="multilevel"/>
    <w:tmpl w:val="426D09DC"/>
    <w:lvl w:ilvl="0" w:tentative="0">
      <w:start w:val="1"/>
      <w:numFmt w:val="upperRoman"/>
      <w:lvlText w:val="%1."/>
      <w:lvlJc w:val="left"/>
      <w:pPr>
        <w:ind w:left="881" w:hanging="720"/>
      </w:pPr>
      <w:rPr>
        <w:rFonts w:hint="default"/>
      </w:rPr>
    </w:lvl>
    <w:lvl w:ilvl="1" w:tentative="0">
      <w:start w:val="1"/>
      <w:numFmt w:val="lowerLetter"/>
      <w:lvlText w:val="%2)"/>
      <w:lvlJc w:val="left"/>
      <w:pPr>
        <w:ind w:left="1001" w:hanging="420"/>
      </w:pPr>
    </w:lvl>
    <w:lvl w:ilvl="2" w:tentative="0">
      <w:start w:val="1"/>
      <w:numFmt w:val="lowerRoman"/>
      <w:lvlText w:val="%3."/>
      <w:lvlJc w:val="right"/>
      <w:pPr>
        <w:ind w:left="1421" w:hanging="420"/>
      </w:pPr>
    </w:lvl>
    <w:lvl w:ilvl="3" w:tentative="0">
      <w:start w:val="1"/>
      <w:numFmt w:val="decimal"/>
      <w:lvlText w:val="%4."/>
      <w:lvlJc w:val="left"/>
      <w:pPr>
        <w:ind w:left="1841" w:hanging="420"/>
      </w:pPr>
    </w:lvl>
    <w:lvl w:ilvl="4" w:tentative="0">
      <w:start w:val="1"/>
      <w:numFmt w:val="lowerLetter"/>
      <w:lvlText w:val="%5)"/>
      <w:lvlJc w:val="left"/>
      <w:pPr>
        <w:ind w:left="2261" w:hanging="420"/>
      </w:pPr>
    </w:lvl>
    <w:lvl w:ilvl="5" w:tentative="0">
      <w:start w:val="1"/>
      <w:numFmt w:val="lowerRoman"/>
      <w:lvlText w:val="%6."/>
      <w:lvlJc w:val="right"/>
      <w:pPr>
        <w:ind w:left="2681" w:hanging="420"/>
      </w:pPr>
    </w:lvl>
    <w:lvl w:ilvl="6" w:tentative="0">
      <w:start w:val="1"/>
      <w:numFmt w:val="decimal"/>
      <w:lvlText w:val="%7."/>
      <w:lvlJc w:val="left"/>
      <w:pPr>
        <w:ind w:left="3101" w:hanging="420"/>
      </w:pPr>
    </w:lvl>
    <w:lvl w:ilvl="7" w:tentative="0">
      <w:start w:val="1"/>
      <w:numFmt w:val="lowerLetter"/>
      <w:lvlText w:val="%8)"/>
      <w:lvlJc w:val="left"/>
      <w:pPr>
        <w:ind w:left="3521" w:hanging="420"/>
      </w:pPr>
    </w:lvl>
    <w:lvl w:ilvl="8" w:tentative="0">
      <w:start w:val="1"/>
      <w:numFmt w:val="lowerRoman"/>
      <w:lvlText w:val="%9."/>
      <w:lvlJc w:val="right"/>
      <w:pPr>
        <w:ind w:left="3941" w:hanging="420"/>
      </w:pPr>
    </w:lvl>
  </w:abstractNum>
  <w:abstractNum w:abstractNumId="6">
    <w:nsid w:val="552C367E"/>
    <w:multiLevelType w:val="multilevel"/>
    <w:tmpl w:val="552C367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72F6629"/>
    <w:multiLevelType w:val="multilevel"/>
    <w:tmpl w:val="572F6629"/>
    <w:lvl w:ilvl="0" w:tentative="0">
      <w:start w:val="1"/>
      <w:numFmt w:val="upperLetter"/>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1F1D34"/>
    <w:multiLevelType w:val="multilevel"/>
    <w:tmpl w:val="621F1D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B117A9"/>
    <w:multiLevelType w:val="multilevel"/>
    <w:tmpl w:val="68B117A9"/>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6C355BE"/>
    <w:multiLevelType w:val="multilevel"/>
    <w:tmpl w:val="76C355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AB9708E"/>
    <w:multiLevelType w:val="multilevel"/>
    <w:tmpl w:val="7AB970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10"/>
  </w:num>
  <w:num w:numId="8">
    <w:abstractNumId w:val="8"/>
  </w:num>
  <w:num w:numId="9">
    <w:abstractNumId w:val="6"/>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11"/>
    <w:rsid w:val="00003D76"/>
    <w:rsid w:val="00006702"/>
    <w:rsid w:val="00021CBD"/>
    <w:rsid w:val="000232C2"/>
    <w:rsid w:val="0002481E"/>
    <w:rsid w:val="00033EC3"/>
    <w:rsid w:val="00035245"/>
    <w:rsid w:val="00042403"/>
    <w:rsid w:val="000656E2"/>
    <w:rsid w:val="000702E0"/>
    <w:rsid w:val="0007217A"/>
    <w:rsid w:val="000E2787"/>
    <w:rsid w:val="000E3D2C"/>
    <w:rsid w:val="000E6E29"/>
    <w:rsid w:val="000F0F5D"/>
    <w:rsid w:val="000F5555"/>
    <w:rsid w:val="000F6DDE"/>
    <w:rsid w:val="0013034D"/>
    <w:rsid w:val="001426C1"/>
    <w:rsid w:val="00152CBB"/>
    <w:rsid w:val="001562DC"/>
    <w:rsid w:val="001702EA"/>
    <w:rsid w:val="00176672"/>
    <w:rsid w:val="001803E2"/>
    <w:rsid w:val="00185C51"/>
    <w:rsid w:val="00187EBC"/>
    <w:rsid w:val="00193A77"/>
    <w:rsid w:val="00195F8C"/>
    <w:rsid w:val="001A721B"/>
    <w:rsid w:val="001B09C7"/>
    <w:rsid w:val="001B4E47"/>
    <w:rsid w:val="001B765A"/>
    <w:rsid w:val="001F17C8"/>
    <w:rsid w:val="001F2430"/>
    <w:rsid w:val="0020524F"/>
    <w:rsid w:val="0021318E"/>
    <w:rsid w:val="002134AA"/>
    <w:rsid w:val="002204C6"/>
    <w:rsid w:val="00227E11"/>
    <w:rsid w:val="002358CB"/>
    <w:rsid w:val="002433FA"/>
    <w:rsid w:val="00245A84"/>
    <w:rsid w:val="00264A63"/>
    <w:rsid w:val="0027792E"/>
    <w:rsid w:val="00277B6A"/>
    <w:rsid w:val="00285213"/>
    <w:rsid w:val="00292F33"/>
    <w:rsid w:val="002A761A"/>
    <w:rsid w:val="002D4399"/>
    <w:rsid w:val="00304335"/>
    <w:rsid w:val="0030452B"/>
    <w:rsid w:val="00312A63"/>
    <w:rsid w:val="0032264B"/>
    <w:rsid w:val="00323F3A"/>
    <w:rsid w:val="003255DE"/>
    <w:rsid w:val="00332843"/>
    <w:rsid w:val="00332E5F"/>
    <w:rsid w:val="00340A4C"/>
    <w:rsid w:val="003430F3"/>
    <w:rsid w:val="00347DAB"/>
    <w:rsid w:val="003624D7"/>
    <w:rsid w:val="003628B9"/>
    <w:rsid w:val="0037229F"/>
    <w:rsid w:val="00372914"/>
    <w:rsid w:val="00397C10"/>
    <w:rsid w:val="003A0B8B"/>
    <w:rsid w:val="003A1B15"/>
    <w:rsid w:val="003A1B82"/>
    <w:rsid w:val="003A404F"/>
    <w:rsid w:val="003A55A7"/>
    <w:rsid w:val="003A5EC4"/>
    <w:rsid w:val="003B2A4C"/>
    <w:rsid w:val="003B3B8B"/>
    <w:rsid w:val="003C0556"/>
    <w:rsid w:val="003C440E"/>
    <w:rsid w:val="003C792A"/>
    <w:rsid w:val="003D6E28"/>
    <w:rsid w:val="003F1174"/>
    <w:rsid w:val="003F530D"/>
    <w:rsid w:val="003F68D2"/>
    <w:rsid w:val="00403EFF"/>
    <w:rsid w:val="00407211"/>
    <w:rsid w:val="00407B99"/>
    <w:rsid w:val="0041193B"/>
    <w:rsid w:val="004127E2"/>
    <w:rsid w:val="00414D1E"/>
    <w:rsid w:val="00430C05"/>
    <w:rsid w:val="00434956"/>
    <w:rsid w:val="00447B07"/>
    <w:rsid w:val="00455BAD"/>
    <w:rsid w:val="004619C2"/>
    <w:rsid w:val="00464357"/>
    <w:rsid w:val="004673A6"/>
    <w:rsid w:val="00473BC2"/>
    <w:rsid w:val="00473FA0"/>
    <w:rsid w:val="004801BB"/>
    <w:rsid w:val="004850CC"/>
    <w:rsid w:val="0048696D"/>
    <w:rsid w:val="00495B53"/>
    <w:rsid w:val="004A21BF"/>
    <w:rsid w:val="004A33F5"/>
    <w:rsid w:val="004A39DF"/>
    <w:rsid w:val="004A6E21"/>
    <w:rsid w:val="004C457D"/>
    <w:rsid w:val="004C6C6D"/>
    <w:rsid w:val="004E6C37"/>
    <w:rsid w:val="004F0BD9"/>
    <w:rsid w:val="00505B39"/>
    <w:rsid w:val="005110EB"/>
    <w:rsid w:val="005301D6"/>
    <w:rsid w:val="005372D6"/>
    <w:rsid w:val="00537AF4"/>
    <w:rsid w:val="00543609"/>
    <w:rsid w:val="00552993"/>
    <w:rsid w:val="00575B07"/>
    <w:rsid w:val="0059468D"/>
    <w:rsid w:val="005970D8"/>
    <w:rsid w:val="005B0977"/>
    <w:rsid w:val="005B216A"/>
    <w:rsid w:val="005B67A8"/>
    <w:rsid w:val="005D270C"/>
    <w:rsid w:val="005E3FD4"/>
    <w:rsid w:val="006017F6"/>
    <w:rsid w:val="00622735"/>
    <w:rsid w:val="00622BA8"/>
    <w:rsid w:val="00637F74"/>
    <w:rsid w:val="00641F38"/>
    <w:rsid w:val="0065608F"/>
    <w:rsid w:val="00660445"/>
    <w:rsid w:val="0067006E"/>
    <w:rsid w:val="0068458F"/>
    <w:rsid w:val="006A1338"/>
    <w:rsid w:val="006A4CDC"/>
    <w:rsid w:val="006A747A"/>
    <w:rsid w:val="006C3C42"/>
    <w:rsid w:val="006E190D"/>
    <w:rsid w:val="006E21DD"/>
    <w:rsid w:val="006E2F74"/>
    <w:rsid w:val="006F412E"/>
    <w:rsid w:val="006F7205"/>
    <w:rsid w:val="0072341D"/>
    <w:rsid w:val="0072356F"/>
    <w:rsid w:val="00735868"/>
    <w:rsid w:val="007443F9"/>
    <w:rsid w:val="007507BB"/>
    <w:rsid w:val="00760FF0"/>
    <w:rsid w:val="00763842"/>
    <w:rsid w:val="00770CB4"/>
    <w:rsid w:val="007735D9"/>
    <w:rsid w:val="007823C2"/>
    <w:rsid w:val="007908E7"/>
    <w:rsid w:val="00791732"/>
    <w:rsid w:val="007A0A1E"/>
    <w:rsid w:val="007A406A"/>
    <w:rsid w:val="007A6287"/>
    <w:rsid w:val="007B0A30"/>
    <w:rsid w:val="007B55F8"/>
    <w:rsid w:val="007C14BD"/>
    <w:rsid w:val="007C19FD"/>
    <w:rsid w:val="007D0661"/>
    <w:rsid w:val="007E24C9"/>
    <w:rsid w:val="007F7895"/>
    <w:rsid w:val="0080077E"/>
    <w:rsid w:val="00801C7E"/>
    <w:rsid w:val="00812982"/>
    <w:rsid w:val="008247F4"/>
    <w:rsid w:val="00835BC0"/>
    <w:rsid w:val="008423F5"/>
    <w:rsid w:val="00843E38"/>
    <w:rsid w:val="00855EF9"/>
    <w:rsid w:val="00856375"/>
    <w:rsid w:val="00856383"/>
    <w:rsid w:val="00864D2C"/>
    <w:rsid w:val="00870C86"/>
    <w:rsid w:val="0087123D"/>
    <w:rsid w:val="00874098"/>
    <w:rsid w:val="00880B52"/>
    <w:rsid w:val="0088247D"/>
    <w:rsid w:val="008B241F"/>
    <w:rsid w:val="008B311F"/>
    <w:rsid w:val="008C3A74"/>
    <w:rsid w:val="008D40BA"/>
    <w:rsid w:val="008F1A90"/>
    <w:rsid w:val="008F4B72"/>
    <w:rsid w:val="00902CE1"/>
    <w:rsid w:val="00907B06"/>
    <w:rsid w:val="0091238E"/>
    <w:rsid w:val="009176E2"/>
    <w:rsid w:val="00923792"/>
    <w:rsid w:val="009260AA"/>
    <w:rsid w:val="00935E0F"/>
    <w:rsid w:val="00937191"/>
    <w:rsid w:val="00940697"/>
    <w:rsid w:val="00953642"/>
    <w:rsid w:val="00956891"/>
    <w:rsid w:val="00984D29"/>
    <w:rsid w:val="00987AAC"/>
    <w:rsid w:val="0099479B"/>
    <w:rsid w:val="009A242D"/>
    <w:rsid w:val="009B06B8"/>
    <w:rsid w:val="009B7B4E"/>
    <w:rsid w:val="009C54DC"/>
    <w:rsid w:val="009C7990"/>
    <w:rsid w:val="009D35BF"/>
    <w:rsid w:val="009D4807"/>
    <w:rsid w:val="009E1811"/>
    <w:rsid w:val="009E2EB7"/>
    <w:rsid w:val="009E31A9"/>
    <w:rsid w:val="009E4724"/>
    <w:rsid w:val="009F2083"/>
    <w:rsid w:val="009F515D"/>
    <w:rsid w:val="00A11941"/>
    <w:rsid w:val="00A153CC"/>
    <w:rsid w:val="00A16CFD"/>
    <w:rsid w:val="00A26C7B"/>
    <w:rsid w:val="00A325B6"/>
    <w:rsid w:val="00A46C66"/>
    <w:rsid w:val="00A54FF6"/>
    <w:rsid w:val="00A6154A"/>
    <w:rsid w:val="00A71938"/>
    <w:rsid w:val="00A76814"/>
    <w:rsid w:val="00A96CDE"/>
    <w:rsid w:val="00AA34D5"/>
    <w:rsid w:val="00AA395C"/>
    <w:rsid w:val="00AA5FF5"/>
    <w:rsid w:val="00AA602E"/>
    <w:rsid w:val="00AA711A"/>
    <w:rsid w:val="00AA73B9"/>
    <w:rsid w:val="00AC0857"/>
    <w:rsid w:val="00AD0F71"/>
    <w:rsid w:val="00AD3C67"/>
    <w:rsid w:val="00AE74A7"/>
    <w:rsid w:val="00AF2297"/>
    <w:rsid w:val="00AF4B0C"/>
    <w:rsid w:val="00B07E27"/>
    <w:rsid w:val="00B37495"/>
    <w:rsid w:val="00B42FDD"/>
    <w:rsid w:val="00B558BF"/>
    <w:rsid w:val="00B666CB"/>
    <w:rsid w:val="00B90D0F"/>
    <w:rsid w:val="00B91BEC"/>
    <w:rsid w:val="00B93208"/>
    <w:rsid w:val="00BA6151"/>
    <w:rsid w:val="00BA68DE"/>
    <w:rsid w:val="00BB1FAF"/>
    <w:rsid w:val="00BB4595"/>
    <w:rsid w:val="00BB5C84"/>
    <w:rsid w:val="00BC2752"/>
    <w:rsid w:val="00BD0273"/>
    <w:rsid w:val="00BE0D37"/>
    <w:rsid w:val="00C018D9"/>
    <w:rsid w:val="00C049E7"/>
    <w:rsid w:val="00C102AB"/>
    <w:rsid w:val="00C145B7"/>
    <w:rsid w:val="00C15D3B"/>
    <w:rsid w:val="00C16550"/>
    <w:rsid w:val="00C25950"/>
    <w:rsid w:val="00C3267D"/>
    <w:rsid w:val="00C357D0"/>
    <w:rsid w:val="00C36C6A"/>
    <w:rsid w:val="00C46FBA"/>
    <w:rsid w:val="00C5119A"/>
    <w:rsid w:val="00C6353C"/>
    <w:rsid w:val="00C64E1D"/>
    <w:rsid w:val="00C7168B"/>
    <w:rsid w:val="00C90171"/>
    <w:rsid w:val="00C91345"/>
    <w:rsid w:val="00CA0DD6"/>
    <w:rsid w:val="00CA2EF2"/>
    <w:rsid w:val="00CA6FD8"/>
    <w:rsid w:val="00CB2D79"/>
    <w:rsid w:val="00CB4A0E"/>
    <w:rsid w:val="00CB65C2"/>
    <w:rsid w:val="00CD1E7F"/>
    <w:rsid w:val="00CD4CCC"/>
    <w:rsid w:val="00CE45E5"/>
    <w:rsid w:val="00CE51D1"/>
    <w:rsid w:val="00D008C3"/>
    <w:rsid w:val="00D17CFF"/>
    <w:rsid w:val="00D20D4C"/>
    <w:rsid w:val="00D229B5"/>
    <w:rsid w:val="00D418B8"/>
    <w:rsid w:val="00D5010D"/>
    <w:rsid w:val="00D52A55"/>
    <w:rsid w:val="00D53A1A"/>
    <w:rsid w:val="00D543D5"/>
    <w:rsid w:val="00D57EC8"/>
    <w:rsid w:val="00D6405E"/>
    <w:rsid w:val="00D706FF"/>
    <w:rsid w:val="00D83A96"/>
    <w:rsid w:val="00D8407B"/>
    <w:rsid w:val="00D87FB5"/>
    <w:rsid w:val="00D91C99"/>
    <w:rsid w:val="00D9477A"/>
    <w:rsid w:val="00DB242D"/>
    <w:rsid w:val="00DC4ED6"/>
    <w:rsid w:val="00DE1B17"/>
    <w:rsid w:val="00DE21CB"/>
    <w:rsid w:val="00DF0A96"/>
    <w:rsid w:val="00DF23E5"/>
    <w:rsid w:val="00DF2EBE"/>
    <w:rsid w:val="00DF683F"/>
    <w:rsid w:val="00E17C07"/>
    <w:rsid w:val="00E27694"/>
    <w:rsid w:val="00E4008C"/>
    <w:rsid w:val="00E40393"/>
    <w:rsid w:val="00E4429A"/>
    <w:rsid w:val="00E47724"/>
    <w:rsid w:val="00E53847"/>
    <w:rsid w:val="00E57E8E"/>
    <w:rsid w:val="00E606C5"/>
    <w:rsid w:val="00E611CF"/>
    <w:rsid w:val="00E61E79"/>
    <w:rsid w:val="00E70153"/>
    <w:rsid w:val="00E7113C"/>
    <w:rsid w:val="00E76006"/>
    <w:rsid w:val="00E8375B"/>
    <w:rsid w:val="00E83D6D"/>
    <w:rsid w:val="00E84EDC"/>
    <w:rsid w:val="00E85DD9"/>
    <w:rsid w:val="00E92101"/>
    <w:rsid w:val="00E97B07"/>
    <w:rsid w:val="00EA2E69"/>
    <w:rsid w:val="00EA4E76"/>
    <w:rsid w:val="00EA527C"/>
    <w:rsid w:val="00EA6CC8"/>
    <w:rsid w:val="00EC1625"/>
    <w:rsid w:val="00ED0801"/>
    <w:rsid w:val="00ED6E87"/>
    <w:rsid w:val="00EF0043"/>
    <w:rsid w:val="00EF2B6A"/>
    <w:rsid w:val="00F0459C"/>
    <w:rsid w:val="00F17990"/>
    <w:rsid w:val="00F25788"/>
    <w:rsid w:val="00F26DA6"/>
    <w:rsid w:val="00F42C09"/>
    <w:rsid w:val="00F5796A"/>
    <w:rsid w:val="00F639EF"/>
    <w:rsid w:val="00F66A57"/>
    <w:rsid w:val="00F739C9"/>
    <w:rsid w:val="00F81B4A"/>
    <w:rsid w:val="00F8234F"/>
    <w:rsid w:val="00F833ED"/>
    <w:rsid w:val="00FA4073"/>
    <w:rsid w:val="00FA43A3"/>
    <w:rsid w:val="00FC5958"/>
    <w:rsid w:val="00FC63ED"/>
    <w:rsid w:val="00FC69E0"/>
    <w:rsid w:val="00FD6CA6"/>
    <w:rsid w:val="00FE1060"/>
    <w:rsid w:val="00FE415F"/>
    <w:rsid w:val="00FE603A"/>
    <w:rsid w:val="00FE7E4A"/>
    <w:rsid w:val="00FF7EF1"/>
    <w:rsid w:val="71B2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footnote text"/>
    <w:basedOn w:val="1"/>
    <w:link w:val="17"/>
    <w:semiHidden/>
    <w:unhideWhenUsed/>
    <w:qFormat/>
    <w:uiPriority w:val="99"/>
    <w:pPr>
      <w:snapToGrid w:val="0"/>
      <w:jc w:val="left"/>
    </w:pPr>
    <w:rPr>
      <w:sz w:val="18"/>
      <w:szCs w:val="18"/>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character" w:customStyle="1" w:styleId="13">
    <w:name w:val="页眉 Char"/>
    <w:basedOn w:val="10"/>
    <w:link w:val="5"/>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脚注文本 Char"/>
    <w:basedOn w:val="10"/>
    <w:link w:val="7"/>
    <w:semiHidden/>
    <w:qFormat/>
    <w:uiPriority w:val="99"/>
    <w:rPr>
      <w:sz w:val="18"/>
      <w:szCs w:val="18"/>
    </w:rPr>
  </w:style>
  <w:style w:type="character" w:customStyle="1" w:styleId="18">
    <w:name w:val="标题 1 Char"/>
    <w:basedOn w:val="10"/>
    <w:link w:val="2"/>
    <w:uiPriority w:val="9"/>
    <w:rPr>
      <w:b/>
      <w:bCs/>
      <w:kern w:val="44"/>
      <w:sz w:val="44"/>
      <w:szCs w:val="44"/>
    </w:rPr>
  </w:style>
  <w:style w:type="paragraph" w:customStyle="1" w:styleId="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0">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E2591-B0CA-49A9-88D7-EE18EAB45C6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10157</Words>
  <Characters>11016</Characters>
  <Lines>89</Lines>
  <Paragraphs>25</Paragraphs>
  <TotalTime>1</TotalTime>
  <ScaleCrop>false</ScaleCrop>
  <LinksUpToDate>false</LinksUpToDate>
  <CharactersWithSpaces>11128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2017-11-17T07:30:00Z</dcterms:created>
  <dc:creator>donghaiyangbo</dc:creator>
  <cp:lastModifiedBy>太极箫客</cp:lastModifiedBy>
  <dcterms:modified xsi:type="dcterms:W3CDTF">2025-08-14T06:36:14Z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F4D81A1FED344E0E87CDDC456177EBAF_12</vt:lpwstr>
  </property>
</Properties>
</file>