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D5253">
      <w:pPr>
        <w:pBdr>
          <w:bottom w:val="single" w:color="auto" w:sz="4" w:space="1"/>
        </w:pBdr>
        <w:overflowPunct w:val="0"/>
        <w:snapToGrid w:val="0"/>
        <w:spacing w:after="120" w:afterLines="50" w:line="300" w:lineRule="auto"/>
        <w:jc w:val="center"/>
        <w:rPr>
          <w:rFonts w:ascii="Arial" w:hAnsi="Arial" w:eastAsia="宋体" w:cs="Arial"/>
          <w:sz w:val="56"/>
          <w:szCs w:val="56"/>
        </w:rPr>
      </w:pPr>
      <w:bookmarkStart w:id="24" w:name="_GoBack"/>
      <w:bookmarkEnd w:id="24"/>
      <w:r>
        <w:rPr>
          <w:rFonts w:ascii="Arial" w:hAnsi="Arial" w:eastAsia="宋体" w:cs="Arial"/>
          <w:b/>
          <w:sz w:val="56"/>
          <w:szCs w:val="56"/>
        </w:rPr>
        <w:t>分配给器械的国家</w:t>
      </w:r>
      <w:r>
        <w:rPr>
          <w:rFonts w:hint="eastAsia" w:ascii="Arial" w:hAnsi="Arial" w:eastAsia="宋体" w:cs="Arial"/>
          <w:b/>
          <w:sz w:val="56"/>
          <w:szCs w:val="56"/>
        </w:rPr>
        <w:t>卫生</w:t>
      </w:r>
      <w:r>
        <w:rPr>
          <w:rFonts w:ascii="Arial" w:hAnsi="Arial" w:eastAsia="宋体" w:cs="Arial"/>
          <w:b/>
          <w:sz w:val="56"/>
          <w:szCs w:val="56"/>
        </w:rPr>
        <w:t>相关码和国家药品码编号的执行政策</w:t>
      </w:r>
    </w:p>
    <w:p w14:paraId="24F7D6AE">
      <w:pPr>
        <w:overflowPunct w:val="0"/>
        <w:snapToGrid w:val="0"/>
        <w:spacing w:after="120" w:afterLines="50" w:line="300" w:lineRule="auto"/>
        <w:jc w:val="center"/>
        <w:rPr>
          <w:rFonts w:ascii="Arial" w:hAnsi="Arial" w:eastAsia="宋体" w:cs="Arial"/>
          <w:sz w:val="56"/>
          <w:szCs w:val="56"/>
        </w:rPr>
      </w:pPr>
      <w:r>
        <w:rPr>
          <w:rFonts w:ascii="Arial" w:hAnsi="Arial" w:eastAsia="宋体" w:cs="Arial"/>
          <w:b/>
          <w:sz w:val="56"/>
          <w:szCs w:val="56"/>
        </w:rPr>
        <w:t>行业</w:t>
      </w:r>
      <w:r>
        <w:rPr>
          <w:rFonts w:hint="eastAsia" w:ascii="Arial" w:hAnsi="Arial" w:eastAsia="宋体" w:cs="Arial"/>
          <w:b/>
          <w:sz w:val="56"/>
          <w:szCs w:val="56"/>
        </w:rPr>
        <w:t>及</w:t>
      </w:r>
      <w:r>
        <w:rPr>
          <w:rFonts w:ascii="Arial" w:hAnsi="Arial" w:eastAsia="宋体" w:cs="Arial"/>
          <w:b/>
          <w:sz w:val="56"/>
          <w:szCs w:val="56"/>
        </w:rPr>
        <w:t>食品药品监督管理局</w:t>
      </w:r>
      <w:r>
        <w:rPr>
          <w:rFonts w:hint="eastAsia" w:ascii="Arial" w:hAnsi="Arial" w:eastAsia="宋体" w:cs="Arial"/>
          <w:b/>
          <w:sz w:val="56"/>
          <w:szCs w:val="56"/>
        </w:rPr>
        <w:br w:type="textWrapping"/>
      </w:r>
      <w:r>
        <w:rPr>
          <w:rFonts w:ascii="Arial" w:hAnsi="Arial" w:eastAsia="宋体" w:cs="Arial"/>
          <w:b/>
          <w:sz w:val="56"/>
          <w:szCs w:val="56"/>
        </w:rPr>
        <w:t>工作人员指南</w:t>
      </w:r>
    </w:p>
    <w:p w14:paraId="2FB8F829">
      <w:pPr>
        <w:pStyle w:val="4"/>
        <w:overflowPunct w:val="0"/>
        <w:snapToGrid w:val="0"/>
        <w:spacing w:after="120" w:afterLines="50" w:line="300" w:lineRule="auto"/>
        <w:ind w:left="0"/>
        <w:jc w:val="center"/>
        <w:rPr>
          <w:rFonts w:ascii="Arial" w:hAnsi="Arial" w:cs="Arial"/>
          <w:b w:val="0"/>
          <w:bCs w:val="0"/>
          <w:sz w:val="30"/>
          <w:szCs w:val="30"/>
        </w:rPr>
      </w:pPr>
      <w:r>
        <w:rPr>
          <w:rFonts w:ascii="Arial" w:hAnsi="Arial" w:cs="Arial"/>
          <w:sz w:val="30"/>
          <w:szCs w:val="30"/>
        </w:rPr>
        <w:t>文档于2016年8月30日发布。</w:t>
      </w:r>
    </w:p>
    <w:p w14:paraId="009A3AB7">
      <w:pPr>
        <w:pStyle w:val="4"/>
        <w:overflowPunct w:val="0"/>
        <w:snapToGrid w:val="0"/>
        <w:spacing w:after="120" w:afterLines="50" w:line="300" w:lineRule="auto"/>
        <w:ind w:left="0"/>
        <w:jc w:val="center"/>
        <w:rPr>
          <w:rFonts w:ascii="Arial" w:hAnsi="Arial" w:cs="Arial"/>
          <w:b w:val="0"/>
          <w:bCs w:val="0"/>
          <w:sz w:val="30"/>
          <w:szCs w:val="30"/>
        </w:rPr>
      </w:pPr>
      <w:r>
        <w:rPr>
          <w:rFonts w:ascii="Arial" w:hAnsi="Arial" w:cs="Arial"/>
          <w:sz w:val="30"/>
          <w:szCs w:val="30"/>
        </w:rPr>
        <w:t>本文档草案于2016年2月3日发布。</w:t>
      </w:r>
    </w:p>
    <w:p w14:paraId="00B06FF3">
      <w:pPr>
        <w:overflowPunct w:val="0"/>
        <w:snapToGrid w:val="0"/>
        <w:spacing w:after="120" w:afterLines="50" w:line="300" w:lineRule="auto"/>
        <w:jc w:val="both"/>
        <w:rPr>
          <w:rFonts w:ascii="Arial" w:hAnsi="Arial" w:eastAsia="宋体" w:cs="Arial"/>
          <w:b/>
          <w:bCs/>
          <w:sz w:val="28"/>
          <w:szCs w:val="28"/>
        </w:rPr>
      </w:pPr>
    </w:p>
    <w:p w14:paraId="6966E4C7">
      <w:pPr>
        <w:overflowPunct w:val="0"/>
        <w:snapToGrid w:val="0"/>
        <w:spacing w:after="120" w:afterLines="50" w:line="300" w:lineRule="auto"/>
        <w:jc w:val="both"/>
        <w:rPr>
          <w:rFonts w:ascii="Arial" w:hAnsi="Arial" w:eastAsia="宋体" w:cs="Arial"/>
          <w:b/>
          <w:bCs/>
          <w:sz w:val="28"/>
          <w:szCs w:val="28"/>
        </w:rPr>
      </w:pPr>
    </w:p>
    <w:p w14:paraId="6F4A7284">
      <w:pPr>
        <w:pStyle w:val="7"/>
        <w:overflowPunct w:val="0"/>
        <w:snapToGrid w:val="0"/>
        <w:spacing w:after="120" w:afterLines="50" w:line="300" w:lineRule="auto"/>
        <w:ind w:left="0"/>
        <w:jc w:val="both"/>
        <w:rPr>
          <w:rFonts w:ascii="Arial" w:hAnsi="Arial" w:cs="Arial"/>
        </w:rPr>
      </w:pPr>
      <w:r>
        <w:rPr>
          <w:rFonts w:ascii="Arial" w:hAnsi="Arial" w:cs="Arial"/>
        </w:rPr>
        <w:t>针对本文档的CDRH监管器械问题，请致电联系UDI监管政策支持，</w:t>
      </w:r>
      <w:r>
        <w:fldChar w:fldCharType="begin"/>
      </w:r>
      <w:r>
        <w:instrText xml:space="preserve"> HYPERLINK "mailto:GUDIDSupport@fda.hhs.gov" \h </w:instrText>
      </w:r>
      <w:r>
        <w:fldChar w:fldCharType="separate"/>
      </w:r>
      <w:r>
        <w:rPr>
          <w:rFonts w:ascii="Arial" w:hAnsi="Arial" w:cs="Arial"/>
        </w:rPr>
        <w:t>电话：301-796-5995，电子邮箱：</w:t>
      </w:r>
      <w:r>
        <w:rPr>
          <w:rFonts w:ascii="Arial" w:hAnsi="Arial" w:cs="Arial"/>
        </w:rPr>
        <w:fldChar w:fldCharType="end"/>
      </w:r>
      <w:r>
        <w:fldChar w:fldCharType="begin"/>
      </w:r>
      <w:r>
        <w:instrText xml:space="preserve"> HYPERLINK "mailto:GUDIDSupport@fda.hhs.gov。" </w:instrText>
      </w:r>
      <w:r>
        <w:fldChar w:fldCharType="separate"/>
      </w:r>
      <w:r>
        <w:rPr>
          <w:rStyle w:val="19"/>
          <w:rFonts w:hint="eastAsia" w:ascii="Arial" w:hAnsi="Arial" w:cs="Arial"/>
        </w:rPr>
        <w:t>GUDIDSupport@fda.hhs.gov。</w:t>
      </w:r>
      <w:r>
        <w:rPr>
          <w:rStyle w:val="19"/>
          <w:rFonts w:hint="eastAsia" w:ascii="Arial" w:hAnsi="Arial" w:cs="Arial"/>
        </w:rPr>
        <w:fldChar w:fldCharType="end"/>
      </w:r>
    </w:p>
    <w:p w14:paraId="54D9F08A">
      <w:pPr>
        <w:overflowPunct w:val="0"/>
        <w:snapToGrid w:val="0"/>
        <w:spacing w:after="120" w:afterLines="50" w:line="300" w:lineRule="auto"/>
        <w:jc w:val="both"/>
        <w:rPr>
          <w:rFonts w:ascii="Arial" w:hAnsi="Arial" w:eastAsia="宋体" w:cs="Arial"/>
          <w:sz w:val="24"/>
          <w:szCs w:val="24"/>
        </w:rPr>
      </w:pPr>
    </w:p>
    <w:p w14:paraId="62AF8E44">
      <w:pPr>
        <w:pStyle w:val="7"/>
        <w:overflowPunct w:val="0"/>
        <w:snapToGrid w:val="0"/>
        <w:spacing w:after="120" w:afterLines="50" w:line="300" w:lineRule="auto"/>
        <w:ind w:left="0"/>
        <w:jc w:val="both"/>
        <w:rPr>
          <w:rFonts w:ascii="Arial" w:hAnsi="Arial" w:cs="Arial"/>
        </w:rPr>
      </w:pPr>
      <w:r>
        <w:rPr>
          <w:rFonts w:ascii="Arial" w:hAnsi="Arial" w:cs="Arial"/>
        </w:rPr>
        <w:t>针对本文档的CBER监管器械问题，请致电联系交流、外联和开发办公室（OCOD），电话：1-800-835-4709或240-402-8010。</w:t>
      </w:r>
    </w:p>
    <w:p w14:paraId="2135CB28">
      <w:pPr>
        <w:overflowPunct w:val="0"/>
        <w:snapToGrid w:val="0"/>
        <w:spacing w:after="120" w:afterLines="50" w:line="300" w:lineRule="auto"/>
        <w:jc w:val="both"/>
        <w:rPr>
          <w:rFonts w:ascii="Arial" w:hAnsi="Arial" w:eastAsia="宋体" w:cs="Arial"/>
          <w:sz w:val="24"/>
          <w:szCs w:val="24"/>
        </w:rPr>
      </w:pPr>
      <w:r>
        <w:drawing>
          <wp:anchor distT="0" distB="0" distL="114300" distR="114300" simplePos="0" relativeHeight="251659264" behindDoc="0" locked="0" layoutInCell="1" allowOverlap="1">
            <wp:simplePos x="0" y="0"/>
            <wp:positionH relativeFrom="column">
              <wp:posOffset>-73660</wp:posOffset>
            </wp:positionH>
            <wp:positionV relativeFrom="paragraph">
              <wp:posOffset>175260</wp:posOffset>
            </wp:positionV>
            <wp:extent cx="2149475" cy="109601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146313" cy="1094706"/>
                    </a:xfrm>
                    <a:prstGeom prst="rect">
                      <a:avLst/>
                    </a:prstGeom>
                  </pic:spPr>
                </pic:pic>
              </a:graphicData>
            </a:graphic>
          </wp:anchor>
        </w:drawing>
      </w:r>
    </w:p>
    <w:p w14:paraId="4F28260F">
      <w:pPr>
        <w:pStyle w:val="5"/>
        <w:overflowPunct w:val="0"/>
        <w:snapToGrid w:val="0"/>
        <w:spacing w:after="120" w:afterLines="50" w:line="300" w:lineRule="auto"/>
        <w:jc w:val="right"/>
        <w:rPr>
          <w:rFonts w:ascii="Arial" w:hAnsi="Arial" w:cs="Arial"/>
          <w:b w:val="0"/>
          <w:bCs w:val="0"/>
        </w:rPr>
      </w:pPr>
      <w:r>
        <w:rPr>
          <w:rFonts w:ascii="Arial" w:hAnsi="Arial" w:cs="Arial"/>
        </w:rPr>
        <w:t>美国卫生和人类服务署</w:t>
      </w:r>
      <w:r>
        <w:rPr>
          <w:rFonts w:hint="eastAsia" w:ascii="Arial" w:hAnsi="Arial" w:cs="Arial"/>
          <w:b w:val="0"/>
          <w:bCs w:val="0"/>
        </w:rPr>
        <w:br w:type="textWrapping"/>
      </w:r>
      <w:r>
        <w:rPr>
          <w:rFonts w:ascii="Arial" w:hAnsi="Arial" w:cs="Arial"/>
        </w:rPr>
        <w:t>食品药品监督管理局</w:t>
      </w:r>
      <w:r>
        <w:rPr>
          <w:rFonts w:hint="eastAsia" w:ascii="Arial" w:hAnsi="Arial" w:cs="Arial"/>
        </w:rPr>
        <w:br w:type="textWrapping"/>
      </w:r>
      <w:r>
        <w:rPr>
          <w:rFonts w:ascii="Arial" w:hAnsi="Arial" w:cs="Arial"/>
        </w:rPr>
        <w:t>器械和放射卫生中心</w:t>
      </w:r>
      <w:r>
        <w:rPr>
          <w:rFonts w:ascii="Arial" w:hAnsi="Arial" w:cs="Arial"/>
        </w:rPr>
        <w:br w:type="textWrapping"/>
      </w:r>
      <w:r>
        <w:rPr>
          <w:rFonts w:ascii="Arial" w:hAnsi="Arial" w:cs="Arial"/>
        </w:rPr>
        <w:t>生物制剂评价与研究中心</w:t>
      </w:r>
    </w:p>
    <w:p w14:paraId="57DF1F89">
      <w:pPr>
        <w:overflowPunct w:val="0"/>
        <w:snapToGrid w:val="0"/>
        <w:spacing w:after="120" w:afterLines="50" w:line="300" w:lineRule="auto"/>
        <w:jc w:val="both"/>
        <w:rPr>
          <w:rFonts w:ascii="Arial" w:hAnsi="Arial" w:eastAsia="宋体" w:cs="Arial"/>
          <w:b/>
          <w:bCs/>
          <w:sz w:val="20"/>
          <w:szCs w:val="20"/>
        </w:rPr>
      </w:pPr>
    </w:p>
    <w:p w14:paraId="111CDEB0">
      <w:pPr>
        <w:overflowPunct w:val="0"/>
        <w:snapToGrid w:val="0"/>
        <w:spacing w:after="120" w:afterLines="50" w:line="300" w:lineRule="auto"/>
        <w:jc w:val="both"/>
        <w:rPr>
          <w:rFonts w:ascii="Arial" w:hAnsi="Arial" w:eastAsia="宋体" w:cs="Arial"/>
          <w:b/>
          <w:bCs/>
          <w:sz w:val="36"/>
          <w:szCs w:val="36"/>
        </w:rPr>
      </w:pPr>
      <w:r>
        <w:rPr>
          <w:rFonts w:ascii="Arial" w:hAnsi="Arial" w:eastAsia="宋体" w:cs="Arial"/>
          <w:sz w:val="20"/>
          <w:szCs w:val="20"/>
        </w:rPr>
        <w:br w:type="page"/>
      </w:r>
    </w:p>
    <w:p w14:paraId="75D09486">
      <w:pPr>
        <w:overflowPunct w:val="0"/>
        <w:snapToGrid w:val="0"/>
        <w:spacing w:after="120" w:afterLines="50" w:line="300" w:lineRule="auto"/>
        <w:jc w:val="center"/>
        <w:rPr>
          <w:rFonts w:ascii="Arial" w:hAnsi="Arial" w:eastAsia="宋体" w:cs="Arial"/>
          <w:sz w:val="48"/>
          <w:szCs w:val="48"/>
        </w:rPr>
      </w:pPr>
      <w:r>
        <w:rPr>
          <w:rFonts w:ascii="Arial" w:hAnsi="Arial" w:eastAsia="宋体" w:cs="Arial"/>
          <w:b/>
          <w:sz w:val="48"/>
        </w:rPr>
        <w:t>前言</w:t>
      </w:r>
    </w:p>
    <w:p w14:paraId="678484B9">
      <w:pPr>
        <w:overflowPunct w:val="0"/>
        <w:snapToGrid w:val="0"/>
        <w:spacing w:after="120" w:afterLines="50" w:line="300" w:lineRule="auto"/>
        <w:jc w:val="both"/>
        <w:rPr>
          <w:rFonts w:ascii="Arial" w:hAnsi="Arial" w:eastAsia="宋体" w:cs="Arial"/>
          <w:sz w:val="36"/>
          <w:szCs w:val="36"/>
        </w:rPr>
      </w:pPr>
      <w:r>
        <w:rPr>
          <w:rFonts w:hint="eastAsia" w:ascii="Arial" w:hAnsi="Arial" w:eastAsia="宋体" w:cs="Arial"/>
          <w:b/>
          <w:sz w:val="36"/>
        </w:rPr>
        <w:t>公共</w:t>
      </w:r>
      <w:r>
        <w:rPr>
          <w:rFonts w:ascii="Arial" w:hAnsi="Arial" w:eastAsia="宋体" w:cs="Arial"/>
          <w:b/>
          <w:sz w:val="36"/>
        </w:rPr>
        <w:t>评论</w:t>
      </w:r>
    </w:p>
    <w:p w14:paraId="092733AF">
      <w:pPr>
        <w:pStyle w:val="7"/>
        <w:overflowPunct w:val="0"/>
        <w:snapToGrid w:val="0"/>
        <w:spacing w:after="120" w:afterLines="50" w:line="300" w:lineRule="auto"/>
        <w:ind w:left="0"/>
        <w:jc w:val="both"/>
        <w:rPr>
          <w:rFonts w:ascii="Arial" w:hAnsi="Arial" w:cs="Arial"/>
        </w:rPr>
      </w:pPr>
      <w:r>
        <w:rPr>
          <w:rFonts w:ascii="Arial" w:hAnsi="Arial" w:cs="Arial"/>
        </w:rPr>
        <w:t>为便于本机构收集评论和建议，电子评论和建议可随时提交至</w:t>
      </w:r>
      <w:r>
        <w:fldChar w:fldCharType="begin"/>
      </w:r>
      <w:r>
        <w:instrText xml:space="preserve"> HYPERLINK "http://www.regulations.gov/" \h </w:instrText>
      </w:r>
      <w:r>
        <w:fldChar w:fldCharType="separate"/>
      </w:r>
      <w:r>
        <w:rPr>
          <w:rFonts w:ascii="Arial" w:hAnsi="Arial" w:cs="Arial"/>
          <w:color w:val="0000FF"/>
          <w:u w:val="single" w:color="0000FF"/>
        </w:rPr>
        <w:t>http://www.regulations.gov</w:t>
      </w:r>
      <w:r>
        <w:rPr>
          <w:rFonts w:ascii="Arial" w:hAnsi="Arial" w:cs="Arial"/>
          <w:color w:val="0000FF"/>
          <w:u w:val="single" w:color="0000FF"/>
        </w:rPr>
        <w:fldChar w:fldCharType="end"/>
      </w:r>
      <w:r>
        <w:rPr>
          <w:rFonts w:ascii="Arial" w:hAnsi="Arial" w:cs="Arial"/>
        </w:rPr>
        <w:t>。书面评论请提交至食品药品监督管理局案卷管理</w:t>
      </w:r>
      <w:r>
        <w:rPr>
          <w:rFonts w:hint="eastAsia" w:ascii="Arial" w:hAnsi="Arial" w:cs="Arial"/>
        </w:rPr>
        <w:t>科（</w:t>
      </w:r>
      <w:r>
        <w:rPr>
          <w:rFonts w:ascii="Arial" w:hAnsi="Arial" w:cs="Arial"/>
        </w:rPr>
        <w:t>5630 Fishers Lane, Room 1061，（HFA-305</w:t>
      </w:r>
      <w:r>
        <w:rPr>
          <w:rFonts w:hint="eastAsia" w:ascii="Arial" w:hAnsi="Arial" w:cs="Arial"/>
        </w:rPr>
        <w:t>）</w:t>
      </w:r>
      <w:r>
        <w:rPr>
          <w:rFonts w:ascii="Arial" w:hAnsi="Arial" w:cs="Arial"/>
        </w:rPr>
        <w:t>，Rockville，MD 20852</w:t>
      </w:r>
      <w:r>
        <w:rPr>
          <w:rFonts w:hint="eastAsia" w:ascii="Arial" w:hAnsi="Arial" w:cs="Arial"/>
        </w:rPr>
        <w:t>）</w:t>
      </w:r>
      <w:r>
        <w:rPr>
          <w:rFonts w:ascii="Arial" w:hAnsi="Arial" w:cs="Arial"/>
        </w:rPr>
        <w:t>。请使用案卷编号GUD1500044注明所有评论。再次进行文件修订或更新之前，本机构可能不会针对评论采取行动。</w:t>
      </w:r>
    </w:p>
    <w:p w14:paraId="556ECD58">
      <w:pPr>
        <w:overflowPunct w:val="0"/>
        <w:snapToGrid w:val="0"/>
        <w:spacing w:before="240" w:beforeLines="100" w:after="120" w:afterLines="50" w:line="300" w:lineRule="auto"/>
        <w:rPr>
          <w:rFonts w:ascii="Arial" w:hAnsi="Arial" w:eastAsia="宋体" w:cs="Arial"/>
          <w:b/>
          <w:sz w:val="36"/>
        </w:rPr>
      </w:pPr>
      <w:r>
        <w:rPr>
          <w:rFonts w:hint="eastAsia" w:ascii="Arial" w:hAnsi="Arial" w:eastAsia="宋体" w:cs="Arial"/>
          <w:b/>
          <w:sz w:val="36"/>
        </w:rPr>
        <w:t>其他</w:t>
      </w:r>
      <w:r>
        <w:rPr>
          <w:rFonts w:ascii="Arial" w:hAnsi="Arial" w:eastAsia="宋体" w:cs="Arial"/>
          <w:b/>
          <w:sz w:val="36"/>
        </w:rPr>
        <w:t>副本</w:t>
      </w:r>
    </w:p>
    <w:p w14:paraId="38B5D01D">
      <w:pPr>
        <w:overflowPunct w:val="0"/>
        <w:snapToGrid w:val="0"/>
        <w:spacing w:after="120" w:afterLines="50" w:line="300" w:lineRule="auto"/>
        <w:rPr>
          <w:rFonts w:ascii="Arial" w:hAnsi="Arial" w:eastAsia="宋体" w:cs="Arial"/>
          <w:sz w:val="36"/>
          <w:szCs w:val="36"/>
        </w:rPr>
      </w:pPr>
      <w:r>
        <w:rPr>
          <w:rFonts w:ascii="Arial" w:hAnsi="Arial" w:eastAsia="宋体" w:cs="Arial"/>
          <w:b/>
          <w:sz w:val="36"/>
        </w:rPr>
        <w:t>CDRH</w:t>
      </w:r>
    </w:p>
    <w:p w14:paraId="3F723DC8">
      <w:pPr>
        <w:pStyle w:val="7"/>
        <w:overflowPunct w:val="0"/>
        <w:snapToGrid w:val="0"/>
        <w:spacing w:after="120" w:afterLines="50" w:line="300" w:lineRule="auto"/>
        <w:ind w:left="0"/>
        <w:jc w:val="both"/>
        <w:rPr>
          <w:rFonts w:ascii="Arial" w:hAnsi="Arial" w:cs="Arial"/>
        </w:rPr>
      </w:pPr>
      <w:r>
        <w:rPr>
          <w:rFonts w:hint="eastAsia" w:ascii="Arial" w:hAnsi="Arial" w:cs="Arial"/>
        </w:rPr>
        <w:t>其他</w:t>
      </w:r>
      <w:r>
        <w:rPr>
          <w:rFonts w:ascii="Arial" w:hAnsi="Arial" w:cs="Arial"/>
        </w:rPr>
        <w:t>副本可从互联网获得：贵公司还可以向</w:t>
      </w:r>
      <w:r>
        <w:fldChar w:fldCharType="begin"/>
      </w:r>
      <w:r>
        <w:instrText xml:space="preserve"> HYPERLINK "mailto:CDRH-Guidance@fda.hhs.gov" \h </w:instrText>
      </w:r>
      <w:r>
        <w:fldChar w:fldCharType="separate"/>
      </w:r>
      <w:r>
        <w:rPr>
          <w:rFonts w:ascii="Arial" w:hAnsi="Arial" w:cs="Arial"/>
          <w:color w:val="0000FF"/>
          <w:u w:val="single" w:color="0000FF"/>
        </w:rPr>
        <w:t>CDRH-Guidance@fda.hhs.gov</w:t>
      </w:r>
      <w:r>
        <w:rPr>
          <w:rFonts w:ascii="Arial" w:hAnsi="Arial" w:cs="Arial"/>
          <w:color w:val="0000FF"/>
          <w:u w:val="single" w:color="0000FF"/>
        </w:rPr>
        <w:fldChar w:fldCharType="end"/>
      </w:r>
      <w:r>
        <w:rPr>
          <w:rFonts w:ascii="Arial" w:hAnsi="Arial" w:cs="Arial"/>
        </w:rPr>
        <w:t>发送电子邮件请求，以接收本指南副本。请使用文档编号GUD1500044注明贵公司所要求获得的指南。</w:t>
      </w:r>
    </w:p>
    <w:p w14:paraId="0F05C53E">
      <w:pPr>
        <w:overflowPunct w:val="0"/>
        <w:snapToGrid w:val="0"/>
        <w:spacing w:before="240" w:beforeLines="100" w:after="120" w:afterLines="50" w:line="300" w:lineRule="auto"/>
        <w:jc w:val="both"/>
        <w:rPr>
          <w:rFonts w:ascii="Arial" w:hAnsi="Arial" w:eastAsia="宋体" w:cs="Arial"/>
          <w:sz w:val="36"/>
          <w:szCs w:val="36"/>
        </w:rPr>
      </w:pPr>
      <w:r>
        <w:rPr>
          <w:rFonts w:ascii="Arial" w:hAnsi="Arial" w:eastAsia="宋体" w:cs="Arial"/>
          <w:b/>
          <w:sz w:val="36"/>
        </w:rPr>
        <w:t>CBER</w:t>
      </w:r>
    </w:p>
    <w:p w14:paraId="089D4F80">
      <w:pPr>
        <w:pStyle w:val="7"/>
        <w:overflowPunct w:val="0"/>
        <w:snapToGrid w:val="0"/>
        <w:spacing w:after="120" w:afterLines="50" w:line="300" w:lineRule="auto"/>
        <w:ind w:left="0"/>
        <w:jc w:val="both"/>
        <w:rPr>
          <w:rFonts w:ascii="Arial" w:hAnsi="Arial" w:cs="Arial"/>
        </w:rPr>
      </w:pPr>
      <w:r>
        <w:rPr>
          <w:rFonts w:ascii="Arial" w:hAnsi="Arial" w:cs="Arial"/>
        </w:rPr>
        <w:t>可通过提交书面请求至10903 New Hampshire Ave.，Bldg. 71，Room3128，Silver Spring，MD 20993- 0002或致电1-800-835-4709或240-402-8010或发送电子邮件至</w:t>
      </w:r>
      <w:r>
        <w:fldChar w:fldCharType="begin"/>
      </w:r>
      <w:r>
        <w:instrText xml:space="preserve"> HYPERLINK "mailto:ocod@fda.hhs.gov" \h </w:instrText>
      </w:r>
      <w:r>
        <w:fldChar w:fldCharType="separate"/>
      </w:r>
      <w:r>
        <w:rPr>
          <w:rFonts w:ascii="Arial" w:hAnsi="Arial" w:cs="Arial"/>
          <w:color w:val="0000FF"/>
          <w:u w:val="single" w:color="0000FF"/>
        </w:rPr>
        <w:t>ocod@fda.hhs.gov</w:t>
      </w:r>
      <w:r>
        <w:rPr>
          <w:rFonts w:ascii="Arial" w:hAnsi="Arial" w:cs="Arial"/>
          <w:color w:val="0000FF"/>
          <w:u w:val="single" w:color="0000FF"/>
        </w:rPr>
        <w:fldChar w:fldCharType="end"/>
      </w:r>
      <w:r>
        <w:rPr>
          <w:rFonts w:ascii="Arial" w:hAnsi="Arial" w:cs="Arial"/>
        </w:rPr>
        <w:t>从交流、外联和开发办公室（OCOD），生物制剂评价和研究中心（CBER）获得</w:t>
      </w:r>
      <w:r>
        <w:rPr>
          <w:rFonts w:hint="eastAsia" w:ascii="Arial" w:hAnsi="Arial" w:cs="Arial"/>
        </w:rPr>
        <w:t>其他</w:t>
      </w:r>
      <w:r>
        <w:rPr>
          <w:rFonts w:ascii="Arial" w:hAnsi="Arial" w:cs="Arial"/>
        </w:rPr>
        <w:t>副本或访问以下网址：</w:t>
      </w:r>
      <w:r>
        <w:fldChar w:fldCharType="begin"/>
      </w:r>
      <w:r>
        <w:instrText xml:space="preserve"> HYPERLINK "http://www.fda.gov/BiologicsBloodVaccines/GuidanceComplianceRegulatoryInformation/Guidances/default.htm" \h </w:instrText>
      </w:r>
      <w:r>
        <w:fldChar w:fldCharType="separate"/>
      </w:r>
      <w:r>
        <w:rPr>
          <w:rFonts w:ascii="Arial" w:hAnsi="Arial" w:cs="Arial"/>
          <w:color w:val="0000FF"/>
          <w:u w:val="single" w:color="0000FF"/>
        </w:rPr>
        <w:t>http://www.fda.gov/BiologicsBloodVaccines/GuidanceComplianceRegulatoryInformation/</w:t>
      </w:r>
      <w:r>
        <w:rPr>
          <w:rFonts w:ascii="Arial" w:hAnsi="Arial" w:cs="Arial"/>
          <w:color w:val="0000FF"/>
          <w:u w:val="single" w:color="0000FF"/>
        </w:rPr>
        <w:fldChar w:fldCharType="end"/>
      </w:r>
      <w:r>
        <w:rPr>
          <w:rFonts w:ascii="Arial" w:hAnsi="Arial" w:cs="Arial"/>
          <w:color w:val="0000FF"/>
          <w:u w:val="single" w:color="0000FF"/>
        </w:rPr>
        <w:t>G</w:t>
      </w:r>
      <w:r>
        <w:rPr>
          <w:rFonts w:ascii="Arial" w:hAnsi="Arial" w:cs="Arial"/>
          <w:color w:val="0000FF"/>
        </w:rPr>
        <w:t xml:space="preserve"> </w:t>
      </w:r>
      <w:r>
        <w:fldChar w:fldCharType="begin"/>
      </w:r>
      <w:r>
        <w:instrText xml:space="preserve"> HYPERLINK "http://www.fda.gov/BiologicsBloodVaccines/GuidanceComplianceRegulatoryInformation/Guidances/default.htm" \h </w:instrText>
      </w:r>
      <w:r>
        <w:fldChar w:fldCharType="separate"/>
      </w:r>
      <w:r>
        <w:rPr>
          <w:rFonts w:ascii="Arial" w:hAnsi="Arial" w:cs="Arial"/>
          <w:color w:val="0000FF"/>
          <w:u w:val="single" w:color="0000FF"/>
        </w:rPr>
        <w:t>uidances/default.htm</w:t>
      </w:r>
      <w:r>
        <w:rPr>
          <w:rFonts w:ascii="Arial" w:hAnsi="Arial" w:cs="Arial"/>
          <w:color w:val="0000FF"/>
          <w:u w:val="single" w:color="0000FF"/>
        </w:rPr>
        <w:fldChar w:fldCharType="end"/>
      </w:r>
      <w:r>
        <w:rPr>
          <w:rFonts w:ascii="Arial" w:hAnsi="Arial" w:cs="Arial"/>
        </w:rPr>
        <w:t>。</w:t>
      </w:r>
    </w:p>
    <w:p w14:paraId="6430D98C">
      <w:pPr>
        <w:overflowPunct w:val="0"/>
        <w:snapToGrid w:val="0"/>
        <w:spacing w:after="120" w:afterLines="50" w:line="300" w:lineRule="auto"/>
        <w:jc w:val="both"/>
        <w:rPr>
          <w:rFonts w:ascii="Arial" w:hAnsi="Arial" w:eastAsia="宋体" w:cs="Arial"/>
          <w:sz w:val="20"/>
          <w:szCs w:val="20"/>
        </w:rPr>
      </w:pPr>
      <w:r>
        <w:rPr>
          <w:rFonts w:ascii="Arial" w:hAnsi="Arial" w:eastAsia="宋体" w:cs="Arial"/>
        </w:rPr>
        <w:br w:type="page"/>
      </w:r>
    </w:p>
    <w:p w14:paraId="2834FF70">
      <w:pPr>
        <w:overflowPunct w:val="0"/>
        <w:snapToGrid w:val="0"/>
        <w:spacing w:after="120" w:afterLines="50" w:line="300" w:lineRule="auto"/>
        <w:jc w:val="center"/>
        <w:rPr>
          <w:rFonts w:ascii="Arial" w:hAnsi="Arial" w:eastAsia="宋体" w:cs="Arial"/>
          <w:sz w:val="36"/>
          <w:szCs w:val="36"/>
        </w:rPr>
      </w:pPr>
      <w:r>
        <w:rPr>
          <w:rFonts w:ascii="Arial" w:hAnsi="Arial" w:eastAsia="宋体" w:cs="Arial"/>
          <w:b/>
          <w:sz w:val="36"/>
        </w:rPr>
        <w:t>目录</w:t>
      </w:r>
    </w:p>
    <w:sdt>
      <w:sdtPr>
        <w:rPr>
          <w:rFonts w:asciiTheme="minorHAnsi" w:hAnsiTheme="minorHAnsi" w:eastAsiaTheme="minorEastAsia" w:cstheme="minorBidi"/>
          <w:b w:val="0"/>
          <w:bCs w:val="0"/>
          <w:color w:val="auto"/>
          <w:sz w:val="22"/>
          <w:szCs w:val="22"/>
          <w:lang w:val="zh-CN"/>
        </w:rPr>
        <w:id w:val="183186421"/>
        <w:docPartObj>
          <w:docPartGallery w:val="Table of Contents"/>
          <w:docPartUnique/>
        </w:docPartObj>
      </w:sdtPr>
      <w:sdtEndPr>
        <w:rPr>
          <w:rFonts w:asciiTheme="minorHAnsi" w:hAnsiTheme="minorHAnsi" w:eastAsiaTheme="minorEastAsia" w:cstheme="minorBidi"/>
          <w:b w:val="0"/>
          <w:bCs w:val="0"/>
          <w:color w:val="auto"/>
          <w:sz w:val="22"/>
          <w:szCs w:val="22"/>
          <w:lang w:val="zh-CN"/>
        </w:rPr>
      </w:sdtEndPr>
      <w:sdtContent>
        <w:p w14:paraId="5A98A6E8">
          <w:pPr>
            <w:pStyle w:val="29"/>
            <w:snapToGrid w:val="0"/>
            <w:spacing w:before="0" w:line="300" w:lineRule="auto"/>
          </w:pPr>
        </w:p>
        <w:p w14:paraId="2FCF80AE">
          <w:pPr>
            <w:pStyle w:val="13"/>
            <w:tabs>
              <w:tab w:val="right" w:leader="dot" w:pos="8630"/>
            </w:tabs>
            <w:rPr>
              <w:rFonts w:asciiTheme="minorHAnsi" w:hAnsiTheme="minorHAnsi" w:eastAsiaTheme="minorEastAsia"/>
              <w:kern w:val="2"/>
              <w:sz w:val="21"/>
              <w:szCs w:val="22"/>
            </w:rPr>
          </w:pPr>
          <w:r>
            <w:rPr>
              <w:rFonts w:ascii="Arial" w:hAnsi="Arial" w:cs="Arial"/>
            </w:rPr>
            <w:fldChar w:fldCharType="begin"/>
          </w:r>
          <w:r>
            <w:rPr>
              <w:rFonts w:ascii="Arial" w:hAnsi="Arial" w:cs="Arial"/>
            </w:rPr>
            <w:instrText xml:space="preserve"> TOC \o "1-1" \h \z \u </w:instrText>
          </w:r>
          <w:r>
            <w:rPr>
              <w:rFonts w:ascii="Arial" w:hAnsi="Arial" w:cs="Arial"/>
            </w:rPr>
            <w:fldChar w:fldCharType="separate"/>
          </w:r>
          <w:r>
            <w:rPr>
              <w:rStyle w:val="19"/>
            </w:rPr>
            <w:fldChar w:fldCharType="begin"/>
          </w:r>
          <w:r>
            <w:rPr>
              <w:rStyle w:val="19"/>
            </w:rPr>
            <w:instrText xml:space="preserve"> </w:instrText>
          </w:r>
          <w:r>
            <w:instrText xml:space="preserve">HYPERLINK \l "_Toc497320708"</w:instrText>
          </w:r>
          <w:r>
            <w:rPr>
              <w:rStyle w:val="19"/>
            </w:rPr>
            <w:instrText xml:space="preserve"> </w:instrText>
          </w:r>
          <w:r>
            <w:rPr>
              <w:rStyle w:val="19"/>
            </w:rPr>
            <w:fldChar w:fldCharType="separate"/>
          </w:r>
          <w:r>
            <w:rPr>
              <w:rStyle w:val="19"/>
              <w:rFonts w:ascii="Arial" w:hAnsi="Arial" w:eastAsia="Times New Roman" w:cs="Arial"/>
            </w:rPr>
            <w:t>I.</w:t>
          </w:r>
          <w:r>
            <w:rPr>
              <w:rFonts w:asciiTheme="minorHAnsi" w:hAnsiTheme="minorHAnsi" w:eastAsiaTheme="minorEastAsia"/>
              <w:kern w:val="2"/>
              <w:sz w:val="21"/>
              <w:szCs w:val="22"/>
            </w:rPr>
            <w:tab/>
          </w:r>
          <w:r>
            <w:rPr>
              <w:rStyle w:val="19"/>
              <w:rFonts w:hint="eastAsia" w:ascii="Arial" w:hAnsi="Arial" w:cs="Arial"/>
            </w:rPr>
            <w:t>介绍</w:t>
          </w:r>
          <w:r>
            <w:tab/>
          </w:r>
          <w:r>
            <w:fldChar w:fldCharType="begin"/>
          </w:r>
          <w:r>
            <w:instrText xml:space="preserve"> PAGEREF _Toc497320708 \h </w:instrText>
          </w:r>
          <w:r>
            <w:fldChar w:fldCharType="separate"/>
          </w:r>
          <w:r>
            <w:t>1</w:t>
          </w:r>
          <w:r>
            <w:fldChar w:fldCharType="end"/>
          </w:r>
          <w:r>
            <w:rPr>
              <w:rStyle w:val="19"/>
            </w:rPr>
            <w:fldChar w:fldCharType="end"/>
          </w:r>
        </w:p>
        <w:p w14:paraId="7C69C3E1">
          <w:pPr>
            <w:pStyle w:val="13"/>
            <w:tabs>
              <w:tab w:val="right" w:leader="dot" w:pos="8630"/>
            </w:tabs>
            <w:rPr>
              <w:rFonts w:asciiTheme="minorHAnsi" w:hAnsiTheme="minorHAnsi" w:eastAsiaTheme="minorEastAsia"/>
              <w:kern w:val="2"/>
              <w:sz w:val="21"/>
              <w:szCs w:val="22"/>
            </w:rPr>
          </w:pPr>
          <w:r>
            <w:rPr>
              <w:rStyle w:val="19"/>
            </w:rPr>
            <w:fldChar w:fldCharType="begin"/>
          </w:r>
          <w:r>
            <w:rPr>
              <w:rStyle w:val="19"/>
            </w:rPr>
            <w:instrText xml:space="preserve"> </w:instrText>
          </w:r>
          <w:r>
            <w:instrText xml:space="preserve">HYPERLINK \l "_Toc497320709"</w:instrText>
          </w:r>
          <w:r>
            <w:rPr>
              <w:rStyle w:val="19"/>
            </w:rPr>
            <w:instrText xml:space="preserve"> </w:instrText>
          </w:r>
          <w:r>
            <w:rPr>
              <w:rStyle w:val="19"/>
            </w:rPr>
            <w:fldChar w:fldCharType="separate"/>
          </w:r>
          <w:r>
            <w:rPr>
              <w:rStyle w:val="19"/>
              <w:rFonts w:ascii="Arial" w:hAnsi="Arial" w:eastAsia="Times New Roman" w:cs="Arial"/>
            </w:rPr>
            <w:t>II.</w:t>
          </w:r>
          <w:r>
            <w:rPr>
              <w:rFonts w:asciiTheme="minorHAnsi" w:hAnsiTheme="minorHAnsi" w:eastAsiaTheme="minorEastAsia"/>
              <w:kern w:val="2"/>
              <w:sz w:val="21"/>
              <w:szCs w:val="22"/>
            </w:rPr>
            <w:tab/>
          </w:r>
          <w:r>
            <w:rPr>
              <w:rStyle w:val="19"/>
              <w:rFonts w:hint="eastAsia" w:ascii="Arial" w:hAnsi="Arial" w:cs="Arial"/>
            </w:rPr>
            <w:t>背景</w:t>
          </w:r>
          <w:r>
            <w:tab/>
          </w:r>
          <w:r>
            <w:fldChar w:fldCharType="begin"/>
          </w:r>
          <w:r>
            <w:instrText xml:space="preserve"> PAGEREF _Toc497320709 \h </w:instrText>
          </w:r>
          <w:r>
            <w:fldChar w:fldCharType="separate"/>
          </w:r>
          <w:r>
            <w:t>2</w:t>
          </w:r>
          <w:r>
            <w:fldChar w:fldCharType="end"/>
          </w:r>
          <w:r>
            <w:rPr>
              <w:rStyle w:val="19"/>
            </w:rPr>
            <w:fldChar w:fldCharType="end"/>
          </w:r>
        </w:p>
        <w:p w14:paraId="06C24578">
          <w:pPr>
            <w:pStyle w:val="13"/>
            <w:tabs>
              <w:tab w:val="right" w:leader="dot" w:pos="8630"/>
            </w:tabs>
            <w:rPr>
              <w:rFonts w:asciiTheme="minorHAnsi" w:hAnsiTheme="minorHAnsi" w:eastAsiaTheme="minorEastAsia"/>
              <w:kern w:val="2"/>
              <w:sz w:val="21"/>
              <w:szCs w:val="22"/>
            </w:rPr>
          </w:pPr>
          <w:r>
            <w:rPr>
              <w:rStyle w:val="19"/>
            </w:rPr>
            <w:fldChar w:fldCharType="begin"/>
          </w:r>
          <w:r>
            <w:rPr>
              <w:rStyle w:val="19"/>
            </w:rPr>
            <w:instrText xml:space="preserve"> </w:instrText>
          </w:r>
          <w:r>
            <w:instrText xml:space="preserve">HYPERLINK \l "_Toc497320710"</w:instrText>
          </w:r>
          <w:r>
            <w:rPr>
              <w:rStyle w:val="19"/>
            </w:rPr>
            <w:instrText xml:space="preserve"> </w:instrText>
          </w:r>
          <w:r>
            <w:rPr>
              <w:rStyle w:val="19"/>
            </w:rPr>
            <w:fldChar w:fldCharType="separate"/>
          </w:r>
          <w:r>
            <w:rPr>
              <w:rStyle w:val="19"/>
              <w:rFonts w:ascii="Arial" w:hAnsi="Arial" w:eastAsia="Times New Roman" w:cs="Arial"/>
              <w:b/>
              <w:bCs/>
            </w:rPr>
            <w:t>A.</w:t>
          </w:r>
          <w:r>
            <w:rPr>
              <w:rFonts w:asciiTheme="minorHAnsi" w:hAnsiTheme="minorHAnsi" w:eastAsiaTheme="minorEastAsia"/>
              <w:kern w:val="2"/>
              <w:sz w:val="21"/>
              <w:szCs w:val="22"/>
            </w:rPr>
            <w:tab/>
          </w:r>
          <w:r>
            <w:rPr>
              <w:rStyle w:val="19"/>
              <w:rFonts w:hint="eastAsia" w:ascii="Arial" w:hAnsi="Arial" w:cs="Arial"/>
              <w:b/>
            </w:rPr>
            <w:t>唯一器械标识系统</w:t>
          </w:r>
          <w:r>
            <w:tab/>
          </w:r>
          <w:r>
            <w:fldChar w:fldCharType="begin"/>
          </w:r>
          <w:r>
            <w:instrText xml:space="preserve"> PAGEREF _Toc497320710 \h </w:instrText>
          </w:r>
          <w:r>
            <w:fldChar w:fldCharType="separate"/>
          </w:r>
          <w:r>
            <w:t>2</w:t>
          </w:r>
          <w:r>
            <w:fldChar w:fldCharType="end"/>
          </w:r>
          <w:r>
            <w:rPr>
              <w:rStyle w:val="19"/>
            </w:rPr>
            <w:fldChar w:fldCharType="end"/>
          </w:r>
        </w:p>
        <w:p w14:paraId="0352A0FA">
          <w:pPr>
            <w:pStyle w:val="13"/>
            <w:tabs>
              <w:tab w:val="right" w:leader="dot" w:pos="8630"/>
            </w:tabs>
            <w:rPr>
              <w:rFonts w:asciiTheme="minorHAnsi" w:hAnsiTheme="minorHAnsi" w:eastAsiaTheme="minorEastAsia"/>
              <w:kern w:val="2"/>
              <w:sz w:val="21"/>
              <w:szCs w:val="22"/>
            </w:rPr>
          </w:pPr>
          <w:r>
            <w:rPr>
              <w:rStyle w:val="19"/>
            </w:rPr>
            <w:fldChar w:fldCharType="begin"/>
          </w:r>
          <w:r>
            <w:rPr>
              <w:rStyle w:val="19"/>
            </w:rPr>
            <w:instrText xml:space="preserve"> </w:instrText>
          </w:r>
          <w:r>
            <w:instrText xml:space="preserve">HYPERLINK \l "_Toc497320711"</w:instrText>
          </w:r>
          <w:r>
            <w:rPr>
              <w:rStyle w:val="19"/>
            </w:rPr>
            <w:instrText xml:space="preserve"> </w:instrText>
          </w:r>
          <w:r>
            <w:rPr>
              <w:rStyle w:val="19"/>
            </w:rPr>
            <w:fldChar w:fldCharType="separate"/>
          </w:r>
          <w:r>
            <w:rPr>
              <w:rStyle w:val="19"/>
              <w:rFonts w:ascii="Arial" w:hAnsi="Arial" w:eastAsia="Times New Roman" w:cs="Arial"/>
              <w:b/>
              <w:bCs/>
            </w:rPr>
            <w:t>B.</w:t>
          </w:r>
          <w:r>
            <w:rPr>
              <w:rFonts w:asciiTheme="minorHAnsi" w:hAnsiTheme="minorHAnsi" w:eastAsiaTheme="minorEastAsia"/>
              <w:kern w:val="2"/>
              <w:sz w:val="21"/>
              <w:szCs w:val="22"/>
            </w:rPr>
            <w:tab/>
          </w:r>
          <w:r>
            <w:rPr>
              <w:rStyle w:val="19"/>
              <w:rFonts w:hint="eastAsia" w:ascii="Arial" w:hAnsi="Arial" w:cs="Arial"/>
              <w:b/>
            </w:rPr>
            <w:t>传统</w:t>
          </w:r>
          <w:r>
            <w:rPr>
              <w:rStyle w:val="19"/>
              <w:rFonts w:ascii="Arial" w:hAnsi="Arial" w:cs="Arial"/>
              <w:b/>
            </w:rPr>
            <w:t>FDA</w:t>
          </w:r>
          <w:r>
            <w:rPr>
              <w:rStyle w:val="19"/>
              <w:rFonts w:hint="eastAsia" w:ascii="Arial" w:hAnsi="Arial" w:cs="Arial"/>
              <w:b/>
            </w:rPr>
            <w:t>标识编号</w:t>
          </w:r>
          <w:r>
            <w:tab/>
          </w:r>
          <w:r>
            <w:fldChar w:fldCharType="begin"/>
          </w:r>
          <w:r>
            <w:instrText xml:space="preserve"> PAGEREF _Toc497320711 \h </w:instrText>
          </w:r>
          <w:r>
            <w:fldChar w:fldCharType="separate"/>
          </w:r>
          <w:r>
            <w:t>2</w:t>
          </w:r>
          <w:r>
            <w:fldChar w:fldCharType="end"/>
          </w:r>
          <w:r>
            <w:rPr>
              <w:rStyle w:val="19"/>
            </w:rPr>
            <w:fldChar w:fldCharType="end"/>
          </w:r>
        </w:p>
        <w:p w14:paraId="7654A0BD">
          <w:pPr>
            <w:pStyle w:val="13"/>
            <w:tabs>
              <w:tab w:val="right" w:leader="dot" w:pos="8630"/>
            </w:tabs>
            <w:rPr>
              <w:rFonts w:asciiTheme="minorHAnsi" w:hAnsiTheme="minorHAnsi" w:eastAsiaTheme="minorEastAsia"/>
              <w:kern w:val="2"/>
              <w:sz w:val="21"/>
              <w:szCs w:val="22"/>
            </w:rPr>
          </w:pPr>
          <w:r>
            <w:fldChar w:fldCharType="begin"/>
          </w:r>
          <w:r>
            <w:instrText xml:space="preserve"> HYPERLINK \l "_Toc497320712" </w:instrText>
          </w:r>
          <w:r>
            <w:fldChar w:fldCharType="separate"/>
          </w:r>
          <w:r>
            <w:rPr>
              <w:rStyle w:val="19"/>
              <w:rFonts w:ascii="Arial" w:hAnsi="Arial" w:eastAsia="Times New Roman" w:cs="Arial"/>
              <w:b/>
              <w:bCs/>
            </w:rPr>
            <w:t>C.</w:t>
          </w:r>
          <w:r>
            <w:rPr>
              <w:rFonts w:asciiTheme="minorHAnsi" w:hAnsiTheme="minorHAnsi" w:eastAsiaTheme="minorEastAsia"/>
              <w:kern w:val="2"/>
              <w:sz w:val="21"/>
              <w:szCs w:val="22"/>
            </w:rPr>
            <w:tab/>
          </w:r>
          <w:r>
            <w:rPr>
              <w:rStyle w:val="19"/>
              <w:rFonts w:hint="eastAsia" w:ascii="Arial" w:hAnsi="Arial" w:cs="Arial"/>
              <w:b/>
            </w:rPr>
            <w:t>可在药店购买的可报销医疗器械</w:t>
          </w:r>
          <w:r>
            <w:tab/>
          </w:r>
          <w:r>
            <w:fldChar w:fldCharType="begin"/>
          </w:r>
          <w:r>
            <w:instrText xml:space="preserve"> PAGEREF _Toc497320712 \h </w:instrText>
          </w:r>
          <w:r>
            <w:fldChar w:fldCharType="separate"/>
          </w:r>
          <w:r>
            <w:t>3</w:t>
          </w:r>
          <w:r>
            <w:fldChar w:fldCharType="end"/>
          </w:r>
          <w:r>
            <w:fldChar w:fldCharType="end"/>
          </w:r>
        </w:p>
        <w:p w14:paraId="734CC938">
          <w:pPr>
            <w:pStyle w:val="13"/>
            <w:tabs>
              <w:tab w:val="right" w:leader="dot" w:pos="8630"/>
            </w:tabs>
            <w:rPr>
              <w:rFonts w:asciiTheme="minorHAnsi" w:hAnsiTheme="minorHAnsi" w:eastAsiaTheme="minorEastAsia"/>
              <w:kern w:val="2"/>
              <w:sz w:val="21"/>
              <w:szCs w:val="22"/>
            </w:rPr>
          </w:pPr>
          <w:r>
            <w:rPr>
              <w:rStyle w:val="19"/>
            </w:rPr>
            <w:fldChar w:fldCharType="begin"/>
          </w:r>
          <w:r>
            <w:rPr>
              <w:rStyle w:val="19"/>
            </w:rPr>
            <w:instrText xml:space="preserve"> </w:instrText>
          </w:r>
          <w:r>
            <w:instrText xml:space="preserve">HYPERLINK \l "_Toc497320713"</w:instrText>
          </w:r>
          <w:r>
            <w:rPr>
              <w:rStyle w:val="19"/>
            </w:rPr>
            <w:instrText xml:space="preserve"> </w:instrText>
          </w:r>
          <w:r>
            <w:rPr>
              <w:rStyle w:val="19"/>
            </w:rPr>
            <w:fldChar w:fldCharType="separate"/>
          </w:r>
          <w:r>
            <w:rPr>
              <w:rStyle w:val="19"/>
              <w:rFonts w:ascii="Arial" w:hAnsi="Arial" w:eastAsia="Times New Roman" w:cs="Arial"/>
            </w:rPr>
            <w:t>III.</w:t>
          </w:r>
          <w:r>
            <w:rPr>
              <w:rFonts w:asciiTheme="minorHAnsi" w:hAnsiTheme="minorHAnsi" w:eastAsiaTheme="minorEastAsia"/>
              <w:kern w:val="2"/>
              <w:sz w:val="21"/>
              <w:szCs w:val="22"/>
            </w:rPr>
            <w:tab/>
          </w:r>
          <w:r>
            <w:rPr>
              <w:rStyle w:val="19"/>
              <w:rFonts w:hint="eastAsia" w:ascii="Arial" w:hAnsi="Arial" w:cs="Arial"/>
            </w:rPr>
            <w:t>从医疗器械标签和包装中删除</w:t>
          </w:r>
          <w:r>
            <w:rPr>
              <w:rStyle w:val="19"/>
              <w:rFonts w:ascii="Arial" w:hAnsi="Arial" w:cs="Arial"/>
            </w:rPr>
            <w:t>NHRIC</w:t>
          </w:r>
          <w:r>
            <w:rPr>
              <w:rStyle w:val="19"/>
              <w:rFonts w:hint="eastAsia" w:ascii="Arial" w:hAnsi="Arial" w:cs="Arial"/>
            </w:rPr>
            <w:t>和</w:t>
          </w:r>
          <w:r>
            <w:rPr>
              <w:rStyle w:val="19"/>
              <w:rFonts w:ascii="Arial" w:hAnsi="Arial" w:cs="Arial"/>
            </w:rPr>
            <w:t>NDC</w:t>
          </w:r>
          <w:r>
            <w:rPr>
              <w:rStyle w:val="19"/>
              <w:rFonts w:hint="eastAsia" w:ascii="Arial" w:hAnsi="Arial" w:cs="Arial"/>
            </w:rPr>
            <w:t>编号的日期</w:t>
          </w:r>
          <w:r>
            <w:tab/>
          </w:r>
          <w:r>
            <w:fldChar w:fldCharType="begin"/>
          </w:r>
          <w:r>
            <w:instrText xml:space="preserve"> PAGEREF _Toc497320713 \h </w:instrText>
          </w:r>
          <w:r>
            <w:fldChar w:fldCharType="separate"/>
          </w:r>
          <w:r>
            <w:t>3</w:t>
          </w:r>
          <w:r>
            <w:fldChar w:fldCharType="end"/>
          </w:r>
          <w:r>
            <w:rPr>
              <w:rStyle w:val="19"/>
            </w:rPr>
            <w:fldChar w:fldCharType="end"/>
          </w:r>
        </w:p>
        <w:p w14:paraId="16429B71">
          <w:pPr>
            <w:pStyle w:val="13"/>
            <w:tabs>
              <w:tab w:val="right" w:leader="dot" w:pos="8630"/>
            </w:tabs>
            <w:rPr>
              <w:rFonts w:asciiTheme="minorHAnsi" w:hAnsiTheme="minorHAnsi" w:eastAsiaTheme="minorEastAsia"/>
              <w:kern w:val="2"/>
              <w:sz w:val="21"/>
              <w:szCs w:val="22"/>
            </w:rPr>
          </w:pPr>
          <w:r>
            <w:rPr>
              <w:rStyle w:val="19"/>
            </w:rPr>
            <w:fldChar w:fldCharType="begin"/>
          </w:r>
          <w:r>
            <w:rPr>
              <w:rStyle w:val="19"/>
            </w:rPr>
            <w:instrText xml:space="preserve"> </w:instrText>
          </w:r>
          <w:r>
            <w:instrText xml:space="preserve">HYPERLINK \l "_Toc497320714"</w:instrText>
          </w:r>
          <w:r>
            <w:rPr>
              <w:rStyle w:val="19"/>
            </w:rPr>
            <w:instrText xml:space="preserve"> </w:instrText>
          </w:r>
          <w:r>
            <w:rPr>
              <w:rStyle w:val="19"/>
            </w:rPr>
            <w:fldChar w:fldCharType="separate"/>
          </w:r>
          <w:r>
            <w:rPr>
              <w:rStyle w:val="19"/>
              <w:rFonts w:ascii="Arial" w:hAnsi="Arial" w:eastAsia="Times New Roman" w:cs="Arial"/>
            </w:rPr>
            <w:t>IV.</w:t>
          </w:r>
          <w:r>
            <w:rPr>
              <w:rFonts w:asciiTheme="minorHAnsi" w:hAnsiTheme="minorHAnsi" w:eastAsiaTheme="minorEastAsia"/>
              <w:kern w:val="2"/>
              <w:sz w:val="21"/>
              <w:szCs w:val="22"/>
            </w:rPr>
            <w:tab/>
          </w:r>
          <w:r>
            <w:rPr>
              <w:rStyle w:val="19"/>
              <w:rFonts w:hint="eastAsia" w:ascii="Arial" w:hAnsi="Arial" w:cs="Arial"/>
            </w:rPr>
            <w:t>要求继续使用</w:t>
          </w:r>
          <w:r>
            <w:rPr>
              <w:rStyle w:val="19"/>
              <w:rFonts w:ascii="Arial" w:hAnsi="Arial" w:cs="Arial"/>
            </w:rPr>
            <w:t>FDA</w:t>
          </w:r>
          <w:r>
            <w:rPr>
              <w:rStyle w:val="19"/>
              <w:rFonts w:hint="eastAsia" w:ascii="Arial" w:hAnsi="Arial" w:cs="Arial"/>
            </w:rPr>
            <w:t>贴标机代码的请求</w:t>
          </w:r>
          <w:r>
            <w:tab/>
          </w:r>
          <w:r>
            <w:fldChar w:fldCharType="begin"/>
          </w:r>
          <w:r>
            <w:instrText xml:space="preserve"> PAGEREF _Toc497320714 \h </w:instrText>
          </w:r>
          <w:r>
            <w:fldChar w:fldCharType="separate"/>
          </w:r>
          <w:r>
            <w:t>4</w:t>
          </w:r>
          <w:r>
            <w:fldChar w:fldCharType="end"/>
          </w:r>
          <w:r>
            <w:rPr>
              <w:rStyle w:val="19"/>
            </w:rPr>
            <w:fldChar w:fldCharType="end"/>
          </w:r>
        </w:p>
        <w:p w14:paraId="56F089A0">
          <w:pPr>
            <w:pStyle w:val="13"/>
            <w:tabs>
              <w:tab w:val="right" w:leader="dot" w:pos="8630"/>
            </w:tabs>
            <w:rPr>
              <w:rFonts w:asciiTheme="minorHAnsi" w:hAnsiTheme="minorHAnsi" w:eastAsiaTheme="minorEastAsia"/>
              <w:kern w:val="2"/>
              <w:sz w:val="21"/>
              <w:szCs w:val="22"/>
            </w:rPr>
          </w:pPr>
          <w:r>
            <w:rPr>
              <w:rStyle w:val="19"/>
            </w:rPr>
            <w:fldChar w:fldCharType="begin"/>
          </w:r>
          <w:r>
            <w:rPr>
              <w:rStyle w:val="19"/>
            </w:rPr>
            <w:instrText xml:space="preserve"> </w:instrText>
          </w:r>
          <w:r>
            <w:instrText xml:space="preserve">HYPERLINK \l "_Toc497320715"</w:instrText>
          </w:r>
          <w:r>
            <w:rPr>
              <w:rStyle w:val="19"/>
            </w:rPr>
            <w:instrText xml:space="preserve"> </w:instrText>
          </w:r>
          <w:r>
            <w:rPr>
              <w:rStyle w:val="19"/>
            </w:rPr>
            <w:fldChar w:fldCharType="separate"/>
          </w:r>
          <w:r>
            <w:rPr>
              <w:rStyle w:val="19"/>
              <w:rFonts w:hint="eastAsia" w:ascii="Arial" w:hAnsi="Arial" w:cs="Arial"/>
            </w:rPr>
            <w:t>附录</w:t>
          </w:r>
          <w:r>
            <w:rPr>
              <w:rStyle w:val="19"/>
              <w:rFonts w:ascii="Arial" w:hAnsi="Arial" w:cs="Arial"/>
            </w:rPr>
            <w:t>A</w:t>
          </w:r>
          <w:r>
            <w:tab/>
          </w:r>
          <w:r>
            <w:fldChar w:fldCharType="begin"/>
          </w:r>
          <w:r>
            <w:instrText xml:space="preserve"> PAGEREF _Toc497320715 \h </w:instrText>
          </w:r>
          <w:r>
            <w:fldChar w:fldCharType="separate"/>
          </w:r>
          <w:r>
            <w:t>5</w:t>
          </w:r>
          <w:r>
            <w:fldChar w:fldCharType="end"/>
          </w:r>
          <w:r>
            <w:rPr>
              <w:rStyle w:val="19"/>
            </w:rPr>
            <w:fldChar w:fldCharType="end"/>
          </w:r>
        </w:p>
        <w:p w14:paraId="23227592">
          <w:r>
            <w:rPr>
              <w:rFonts w:ascii="Arial" w:hAnsi="Arial" w:eastAsia="宋体" w:cs="Arial"/>
            </w:rPr>
            <w:fldChar w:fldCharType="end"/>
          </w:r>
        </w:p>
      </w:sdtContent>
    </w:sdt>
    <w:p w14:paraId="55B4911A">
      <w:pPr>
        <w:pStyle w:val="13"/>
        <w:tabs>
          <w:tab w:val="left" w:pos="541"/>
          <w:tab w:val="right" w:leader="dot" w:pos="9089"/>
        </w:tabs>
        <w:overflowPunct w:val="0"/>
        <w:snapToGrid w:val="0"/>
        <w:spacing w:before="0" w:after="120" w:afterLines="50" w:line="300" w:lineRule="auto"/>
        <w:ind w:left="0" w:firstLine="0"/>
        <w:jc w:val="both"/>
        <w:rPr>
          <w:rFonts w:ascii="Arial" w:hAnsi="Arial" w:cs="Arial"/>
        </w:rPr>
      </w:pPr>
    </w:p>
    <w:p w14:paraId="05AE5FE4">
      <w:pPr>
        <w:pStyle w:val="13"/>
        <w:tabs>
          <w:tab w:val="left" w:pos="541"/>
          <w:tab w:val="right" w:leader="dot" w:pos="9089"/>
        </w:tabs>
        <w:overflowPunct w:val="0"/>
        <w:snapToGrid w:val="0"/>
        <w:spacing w:before="0" w:after="120" w:afterLines="50" w:line="300" w:lineRule="auto"/>
        <w:ind w:left="0" w:firstLine="0"/>
        <w:jc w:val="both"/>
        <w:rPr>
          <w:rFonts w:ascii="Arial" w:hAnsi="Arial" w:cs="Arial"/>
        </w:rPr>
      </w:pPr>
    </w:p>
    <w:p w14:paraId="08E59547">
      <w:pPr>
        <w:pBdr>
          <w:bottom w:val="single" w:color="auto" w:sz="4" w:space="1"/>
        </w:pBdr>
        <w:overflowPunct w:val="0"/>
        <w:snapToGrid w:val="0"/>
        <w:spacing w:after="120" w:afterLines="50" w:line="300" w:lineRule="auto"/>
        <w:jc w:val="center"/>
        <w:rPr>
          <w:rFonts w:ascii="Arial" w:hAnsi="Arial" w:eastAsia="宋体" w:cs="Arial"/>
          <w:b/>
          <w:sz w:val="56"/>
        </w:rPr>
        <w:sectPr>
          <w:headerReference r:id="rId4" w:type="default"/>
          <w:endnotePr>
            <w:numFmt w:val="decimal"/>
          </w:endnotePr>
          <w:type w:val="continuous"/>
          <w:pgSz w:w="12240" w:h="15840"/>
          <w:pgMar w:top="1440" w:right="1800" w:bottom="1440" w:left="1800" w:header="720" w:footer="720" w:gutter="0"/>
          <w:pgNumType w:start="1"/>
          <w:cols w:space="720" w:num="1"/>
          <w:docGrid w:linePitch="299" w:charSpace="0"/>
        </w:sectPr>
      </w:pPr>
      <w:bookmarkStart w:id="0" w:name="Introduction"/>
      <w:bookmarkEnd w:id="0"/>
    </w:p>
    <w:p w14:paraId="29E2EEB9">
      <w:pPr>
        <w:pBdr>
          <w:bottom w:val="single" w:color="auto" w:sz="4" w:space="1"/>
        </w:pBdr>
        <w:overflowPunct w:val="0"/>
        <w:snapToGrid w:val="0"/>
        <w:spacing w:after="120" w:afterLines="50" w:line="300" w:lineRule="auto"/>
        <w:jc w:val="center"/>
        <w:rPr>
          <w:rFonts w:ascii="Arial" w:hAnsi="Arial" w:eastAsia="宋体" w:cs="Arial"/>
          <w:sz w:val="56"/>
          <w:szCs w:val="56"/>
        </w:rPr>
      </w:pPr>
      <w:r>
        <w:rPr>
          <w:rFonts w:ascii="Arial" w:hAnsi="Arial" w:eastAsia="宋体" w:cs="Arial"/>
          <w:b/>
          <w:sz w:val="56"/>
        </w:rPr>
        <w:t>分配给器械的国家</w:t>
      </w:r>
      <w:r>
        <w:rPr>
          <w:rFonts w:hint="eastAsia" w:ascii="Arial" w:hAnsi="Arial" w:eastAsia="宋体" w:cs="Arial"/>
          <w:b/>
          <w:sz w:val="56"/>
        </w:rPr>
        <w:t>卫生</w:t>
      </w:r>
      <w:r>
        <w:rPr>
          <w:rFonts w:ascii="Arial" w:hAnsi="Arial" w:eastAsia="宋体" w:cs="Arial"/>
          <w:b/>
          <w:sz w:val="56"/>
        </w:rPr>
        <w:t>相关码和国家药品码编号的执行政策</w:t>
      </w:r>
    </w:p>
    <w:p w14:paraId="5FCFC959">
      <w:pPr>
        <w:overflowPunct w:val="0"/>
        <w:snapToGrid w:val="0"/>
        <w:spacing w:after="120" w:afterLines="50" w:line="300" w:lineRule="auto"/>
        <w:jc w:val="center"/>
        <w:rPr>
          <w:rFonts w:ascii="Arial" w:hAnsi="Arial" w:eastAsia="宋体" w:cs="Arial"/>
          <w:sz w:val="56"/>
          <w:szCs w:val="56"/>
        </w:rPr>
      </w:pPr>
      <w:r>
        <w:rPr>
          <w:rFonts w:ascii="Arial" w:hAnsi="Arial" w:eastAsia="宋体" w:cs="Arial"/>
          <w:b/>
          <w:sz w:val="56"/>
        </w:rPr>
        <w:t>行业</w:t>
      </w:r>
      <w:r>
        <w:rPr>
          <w:rFonts w:hint="eastAsia" w:ascii="Arial" w:hAnsi="Arial" w:eastAsia="宋体" w:cs="Arial"/>
          <w:b/>
          <w:sz w:val="56"/>
        </w:rPr>
        <w:t>和</w:t>
      </w:r>
      <w:r>
        <w:rPr>
          <w:rFonts w:ascii="Arial" w:hAnsi="Arial" w:eastAsia="宋体" w:cs="Arial"/>
          <w:b/>
          <w:sz w:val="56"/>
        </w:rPr>
        <w:t>食品药品监督管理局工作人员指南</w:t>
      </w:r>
    </w:p>
    <w:tbl>
      <w:tblPr>
        <w:tblStyle w:val="16"/>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8856"/>
      </w:tblGrid>
      <w:tr w14:paraId="448F2D1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8856" w:type="dxa"/>
          </w:tcPr>
          <w:p w14:paraId="0B0D0BB1">
            <w:pPr>
              <w:overflowPunct w:val="0"/>
              <w:spacing w:before="32" w:line="242" w:lineRule="auto"/>
              <w:ind w:left="119" w:right="199"/>
              <w:jc w:val="both"/>
              <w:rPr>
                <w:rFonts w:ascii="Times New Roman" w:hAnsi="Times New Roman" w:eastAsia="宋体" w:cs="Times New Roman"/>
                <w:sz w:val="24"/>
                <w:szCs w:val="24"/>
              </w:rPr>
            </w:pPr>
            <w:r>
              <w:rPr>
                <w:rFonts w:hint="eastAsia" w:ascii="Times New Roman" w:eastAsia="宋体"/>
                <w:b/>
                <w:i/>
                <w:sz w:val="24"/>
              </w:rPr>
              <w:t>本指南代表食品药品监督管理局（FDA或本机构）对此主题的最新见解。其不会为任何人创造或赋予任何权利，也不对FDA或公众具有约束力。如果替代方法满足适用的法律法规的要求，则可以使用替代方法。如果贵公司希望讨论一种替代方法，请联系本指南标题页上列出的负责实施本指南的FDA工作人员或办公室。</w:t>
            </w:r>
          </w:p>
        </w:tc>
      </w:tr>
    </w:tbl>
    <w:p w14:paraId="6AF3B3C4">
      <w:pPr>
        <w:overflowPunct w:val="0"/>
        <w:snapToGrid w:val="0"/>
        <w:spacing w:after="120" w:afterLines="50" w:line="300" w:lineRule="auto"/>
        <w:jc w:val="both"/>
        <w:rPr>
          <w:rFonts w:ascii="Arial" w:hAnsi="Arial" w:eastAsia="宋体" w:cs="Arial"/>
          <w:b/>
          <w:bCs/>
          <w:sz w:val="20"/>
          <w:szCs w:val="20"/>
        </w:rPr>
      </w:pPr>
    </w:p>
    <w:p w14:paraId="5AF6B471">
      <w:pPr>
        <w:overflowPunct w:val="0"/>
        <w:snapToGrid w:val="0"/>
        <w:spacing w:after="120" w:afterLines="50" w:line="300" w:lineRule="auto"/>
        <w:jc w:val="both"/>
        <w:rPr>
          <w:rFonts w:ascii="Arial" w:hAnsi="Arial" w:eastAsia="宋体" w:cs="Arial"/>
          <w:b/>
          <w:bCs/>
          <w:sz w:val="11"/>
          <w:szCs w:val="11"/>
        </w:rPr>
      </w:pPr>
    </w:p>
    <w:p w14:paraId="240B00E6">
      <w:pPr>
        <w:pStyle w:val="2"/>
        <w:numPr>
          <w:ilvl w:val="1"/>
          <w:numId w:val="1"/>
        </w:numPr>
        <w:tabs>
          <w:tab w:val="left" w:pos="490"/>
        </w:tabs>
        <w:overflowPunct w:val="0"/>
        <w:snapToGrid w:val="0"/>
        <w:spacing w:after="120" w:afterLines="50" w:line="300" w:lineRule="auto"/>
        <w:ind w:left="0" w:firstLine="0"/>
        <w:jc w:val="both"/>
        <w:rPr>
          <w:rFonts w:ascii="Arial" w:hAnsi="Arial" w:cs="Arial"/>
          <w:b w:val="0"/>
          <w:bCs w:val="0"/>
        </w:rPr>
      </w:pPr>
      <w:bookmarkStart w:id="1" w:name="_bookmark0"/>
      <w:bookmarkEnd w:id="1"/>
      <w:bookmarkStart w:id="2" w:name="_Toc497320708"/>
      <w:r>
        <w:rPr>
          <w:rFonts w:ascii="Arial" w:hAnsi="Arial" w:cs="Arial"/>
        </w:rPr>
        <w:t>介绍</w:t>
      </w:r>
      <w:bookmarkEnd w:id="2"/>
    </w:p>
    <w:p w14:paraId="4FCECA1B">
      <w:pPr>
        <w:pStyle w:val="7"/>
        <w:overflowPunct w:val="0"/>
        <w:snapToGrid w:val="0"/>
        <w:spacing w:after="120" w:afterLines="50" w:line="300" w:lineRule="auto"/>
        <w:ind w:left="0"/>
        <w:jc w:val="both"/>
        <w:rPr>
          <w:rFonts w:ascii="Arial" w:hAnsi="Arial" w:cs="Arial"/>
        </w:rPr>
      </w:pPr>
      <w:r>
        <w:rPr>
          <w:rFonts w:ascii="Arial" w:hAnsi="Arial" w:cs="Arial"/>
        </w:rPr>
        <w:t>本指南描述了本机构执行21 CFR 801.57（a） - （b）规定的禁止在器械标签和器械包装上提供国家</w:t>
      </w:r>
      <w:r>
        <w:rPr>
          <w:rFonts w:hint="eastAsia" w:ascii="Arial" w:hAnsi="Arial" w:cs="Arial"/>
        </w:rPr>
        <w:t>卫生</w:t>
      </w:r>
      <w:r>
        <w:rPr>
          <w:rFonts w:ascii="Arial" w:hAnsi="Arial" w:cs="Arial"/>
        </w:rPr>
        <w:t>相关码（NHRIC）或国家药品码（NDC）编号的禁令的意图。如下所述，对于在2021年9月24日之前已制造和贴标的成品器械，FDA不打算执行此禁令。此外，本指南还描述了本机构考虑2021年9月24日之前提交的请求的意图，其中，此类请求要求在建立唯一器械标识符（UDI）发行系统后继续使用FDA贴标商代码。就本文档而言，“传统FDA标识编号”指分配给器械的NHRIC和NDC编号。</w:t>
      </w:r>
    </w:p>
    <w:p w14:paraId="0B431274">
      <w:pPr>
        <w:pStyle w:val="7"/>
        <w:overflowPunct w:val="0"/>
        <w:snapToGrid w:val="0"/>
        <w:spacing w:after="120" w:afterLines="50" w:line="300" w:lineRule="auto"/>
        <w:ind w:left="0"/>
        <w:jc w:val="both"/>
        <w:rPr>
          <w:rFonts w:ascii="Arial" w:hAnsi="Arial" w:cs="Arial"/>
        </w:rPr>
      </w:pPr>
      <w:r>
        <w:rPr>
          <w:rFonts w:ascii="Arial" w:hAnsi="Arial" w:cs="Arial"/>
        </w:rPr>
        <w:t>在本指导性文件中，术语“我们”指器械和放射卫生中心（CDRH）和生物制剂评价和研究中心（CBER）的FDA工作人员。</w:t>
      </w:r>
    </w:p>
    <w:p w14:paraId="39214B04">
      <w:pPr>
        <w:pStyle w:val="7"/>
        <w:overflowPunct w:val="0"/>
        <w:snapToGrid w:val="0"/>
        <w:spacing w:after="120" w:afterLines="50" w:line="300" w:lineRule="auto"/>
        <w:ind w:left="0"/>
        <w:jc w:val="both"/>
        <w:rPr>
          <w:rFonts w:ascii="Arial" w:hAnsi="Arial" w:cs="Arial"/>
        </w:rPr>
      </w:pPr>
      <w:r>
        <w:rPr>
          <w:rFonts w:ascii="Arial" w:hAnsi="Arial" w:cs="Arial"/>
        </w:rPr>
        <w:t>FDA指导性文件，包括本指南</w:t>
      </w:r>
      <w:r>
        <w:rPr>
          <w:rFonts w:hint="eastAsia" w:ascii="Arial" w:hAnsi="Arial" w:cs="Arial"/>
        </w:rPr>
        <w:t>在内</w:t>
      </w:r>
      <w:r>
        <w:rPr>
          <w:rFonts w:ascii="Arial" w:hAnsi="Arial" w:cs="Arial"/>
        </w:rPr>
        <w:t>，不构成具有法律强制力的责任。相反，指南表明了本机构</w:t>
      </w:r>
      <w:r>
        <w:rPr>
          <w:rFonts w:hint="eastAsia" w:ascii="Arial" w:hAnsi="Arial" w:cs="Arial"/>
        </w:rPr>
        <w:t>目前关于</w:t>
      </w:r>
      <w:r>
        <w:rPr>
          <w:rFonts w:ascii="Arial" w:hAnsi="Arial" w:cs="Arial"/>
        </w:rPr>
        <w:t>某一主题的</w:t>
      </w:r>
      <w:r>
        <w:rPr>
          <w:rFonts w:hint="eastAsia" w:ascii="Arial" w:hAnsi="Arial" w:cs="Arial"/>
        </w:rPr>
        <w:t>思考</w:t>
      </w:r>
      <w:r>
        <w:rPr>
          <w:rFonts w:ascii="Arial" w:hAnsi="Arial" w:cs="Arial"/>
        </w:rPr>
        <w:t>，除非引用具体的法规或法律要求，否则只应视为建议。</w:t>
      </w:r>
      <w:bookmarkStart w:id="3" w:name="Unique_device_identification_system"/>
      <w:bookmarkEnd w:id="3"/>
      <w:bookmarkStart w:id="4" w:name="Legacy_FDA_identification_numbers"/>
      <w:bookmarkEnd w:id="4"/>
      <w:bookmarkStart w:id="5" w:name="Background"/>
      <w:bookmarkEnd w:id="5"/>
      <w:r>
        <w:rPr>
          <w:rFonts w:ascii="Arial" w:hAnsi="Arial" w:cs="Arial"/>
        </w:rPr>
        <w:t>在本审查机构指南中使用词语“应”是指建议或推荐进行某一事项，并非强制要求。</w:t>
      </w:r>
    </w:p>
    <w:p w14:paraId="35329610">
      <w:pPr>
        <w:overflowPunct w:val="0"/>
        <w:rPr>
          <w:rFonts w:ascii="Arial" w:hAnsi="Arial" w:eastAsia="宋体" w:cs="Arial"/>
          <w:b/>
          <w:bCs/>
          <w:sz w:val="24"/>
          <w:szCs w:val="24"/>
        </w:rPr>
      </w:pPr>
      <w:bookmarkStart w:id="6" w:name="_bookmark1"/>
      <w:bookmarkEnd w:id="6"/>
      <w:r>
        <w:rPr>
          <w:rFonts w:ascii="Arial" w:hAnsi="Arial" w:cs="Arial"/>
          <w:sz w:val="24"/>
          <w:szCs w:val="24"/>
        </w:rPr>
        <w:br w:type="page"/>
      </w:r>
    </w:p>
    <w:p w14:paraId="5193E2A7">
      <w:pPr>
        <w:pStyle w:val="2"/>
        <w:numPr>
          <w:ilvl w:val="1"/>
          <w:numId w:val="1"/>
        </w:numPr>
        <w:tabs>
          <w:tab w:val="left" w:pos="490"/>
        </w:tabs>
        <w:overflowPunct w:val="0"/>
        <w:snapToGrid w:val="0"/>
        <w:spacing w:after="120" w:afterLines="50" w:line="300" w:lineRule="auto"/>
        <w:ind w:left="0" w:firstLine="0"/>
        <w:jc w:val="both"/>
        <w:rPr>
          <w:rFonts w:ascii="Arial" w:hAnsi="Arial" w:cs="Arial"/>
        </w:rPr>
      </w:pPr>
      <w:bookmarkStart w:id="7" w:name="_Toc497320709"/>
      <w:r>
        <w:rPr>
          <w:rFonts w:ascii="Arial" w:hAnsi="Arial" w:cs="Arial"/>
        </w:rPr>
        <w:t>背景</w:t>
      </w:r>
      <w:bookmarkEnd w:id="7"/>
    </w:p>
    <w:p w14:paraId="09F12C3D">
      <w:pPr>
        <w:pStyle w:val="22"/>
        <w:numPr>
          <w:ilvl w:val="2"/>
          <w:numId w:val="1"/>
        </w:numPr>
        <w:tabs>
          <w:tab w:val="left" w:pos="602"/>
        </w:tabs>
        <w:overflowPunct w:val="0"/>
        <w:snapToGrid w:val="0"/>
        <w:spacing w:after="120" w:afterLines="50" w:line="300" w:lineRule="auto"/>
        <w:ind w:left="0" w:firstLine="530" w:firstLineChars="165"/>
        <w:jc w:val="both"/>
        <w:outlineLvl w:val="0"/>
        <w:rPr>
          <w:rFonts w:ascii="Arial" w:hAnsi="Arial" w:eastAsia="宋体" w:cs="Arial"/>
          <w:sz w:val="32"/>
          <w:szCs w:val="32"/>
        </w:rPr>
      </w:pPr>
      <w:bookmarkStart w:id="8" w:name="_bookmark2"/>
      <w:bookmarkEnd w:id="8"/>
      <w:bookmarkStart w:id="9" w:name="_Toc497320710"/>
      <w:r>
        <w:rPr>
          <w:rFonts w:ascii="Arial" w:hAnsi="Arial" w:eastAsia="宋体" w:cs="Arial"/>
          <w:b/>
          <w:sz w:val="32"/>
          <w:szCs w:val="32"/>
        </w:rPr>
        <w:t>唯一器械标识系统</w:t>
      </w:r>
      <w:bookmarkEnd w:id="9"/>
    </w:p>
    <w:p w14:paraId="4F694AD0">
      <w:pPr>
        <w:pStyle w:val="7"/>
        <w:overflowPunct w:val="0"/>
        <w:snapToGrid w:val="0"/>
        <w:spacing w:after="120" w:afterLines="50" w:line="300" w:lineRule="auto"/>
        <w:ind w:left="0"/>
        <w:jc w:val="both"/>
        <w:rPr>
          <w:rFonts w:ascii="Arial" w:hAnsi="Arial" w:cs="Arial"/>
        </w:rPr>
      </w:pPr>
      <w:r>
        <w:rPr>
          <w:rFonts w:ascii="Arial" w:hAnsi="Arial" w:cs="Arial"/>
        </w:rPr>
        <w:t>2007年食品药品监督管理局修正法案（FDAAA），121 Stat.854第226条和2012年</w:t>
      </w:r>
      <w:r>
        <w:rPr>
          <w:rFonts w:hint="eastAsia" w:ascii="Arial" w:hAnsi="Arial" w:cs="Arial"/>
        </w:rPr>
        <w:t>食</w:t>
      </w:r>
      <w:r>
        <w:rPr>
          <w:rFonts w:ascii="Arial" w:hAnsi="Arial" w:cs="Arial"/>
        </w:rPr>
        <w:t>品药品监督管理局安全与创新法案（FDASIA），121 Stat.1061第614条对联邦食品局，药物和化妆品法案进行了修正，添加了第519（f）条（21 USC 360i（f）），该条规定，FDA应发布法规，确定医疗器械的唯一器械标识系统以及某些医疗器械的实施时间框架。2013年9月24日发布了关于确定唯一器械标识系统的最终规则（UDI规则）（78 FR 58786）。除其他要求外，UDI规则要求，在美国分销的医疗器械的标签和每个器械包装均应提供UDI，除非另有规定或替代方法适用（21 CFR 801.20）。</w:t>
      </w:r>
    </w:p>
    <w:p w14:paraId="1ABB86BA">
      <w:pPr>
        <w:pStyle w:val="7"/>
        <w:overflowPunct w:val="0"/>
        <w:snapToGrid w:val="0"/>
        <w:spacing w:after="120" w:afterLines="50" w:line="300" w:lineRule="auto"/>
        <w:ind w:left="0"/>
        <w:jc w:val="both"/>
        <w:rPr>
          <w:rFonts w:ascii="Arial" w:hAnsi="Arial" w:cs="Arial"/>
        </w:rPr>
      </w:pPr>
      <w:r>
        <w:rPr>
          <w:rFonts w:ascii="Arial" w:hAnsi="Arial" w:cs="Arial"/>
        </w:rPr>
        <w:t>UDI规则旨在为在美国使用的医疗器械创建一个标准化标识系统，使得可以快速、准确地识别器械和影响其安全有效使用的一些关键属性。</w:t>
      </w:r>
    </w:p>
    <w:p w14:paraId="5A4C0E38">
      <w:pPr>
        <w:pStyle w:val="7"/>
        <w:overflowPunct w:val="0"/>
        <w:snapToGrid w:val="0"/>
        <w:spacing w:after="120" w:afterLines="50" w:line="300" w:lineRule="auto"/>
        <w:ind w:left="0"/>
        <w:jc w:val="both"/>
        <w:rPr>
          <w:rFonts w:ascii="Arial" w:hAnsi="Arial" w:cs="Arial"/>
        </w:rPr>
      </w:pPr>
      <w:r>
        <w:rPr>
          <w:rFonts w:ascii="Arial" w:hAnsi="Arial" w:cs="Arial"/>
        </w:rPr>
        <w:t>使用点分销确定大多数器械的标准化，统一标识有助于减少由器械标识混淆或其适当用途相关混淆引起的医疗失误（78 FR 58786，2013年9月24日）。</w:t>
      </w:r>
    </w:p>
    <w:p w14:paraId="4D5B690D">
      <w:pPr>
        <w:pStyle w:val="7"/>
        <w:overflowPunct w:val="0"/>
        <w:snapToGrid w:val="0"/>
        <w:spacing w:after="120" w:afterLines="50" w:line="300" w:lineRule="auto"/>
        <w:ind w:left="0"/>
        <w:jc w:val="both"/>
        <w:rPr>
          <w:rFonts w:ascii="Arial" w:hAnsi="Arial" w:cs="Arial"/>
        </w:rPr>
      </w:pPr>
      <w:r>
        <w:rPr>
          <w:rFonts w:ascii="Arial" w:hAnsi="Arial" w:cs="Arial"/>
        </w:rPr>
        <w:t>根据主要基于器械分类确定的系列合规日期，唯一器械标识系统将在七年内逐步采用。除其他要求外，合规日期确定了器械标签和器械包装需要提供UDI的日期。有关UDI要求的合规日期表，请请参UDI网址（</w:t>
      </w:r>
      <w:r>
        <w:fldChar w:fldCharType="begin"/>
      </w:r>
      <w:r>
        <w:instrText xml:space="preserve"> HYPERLINK "http://www.fda.gov/MedicalDevices/DeviceRegulationandGuidance/UniqueDeviceIdentification/default.htm" \h </w:instrText>
      </w:r>
      <w:r>
        <w:fldChar w:fldCharType="separate"/>
      </w:r>
      <w:r>
        <w:rPr>
          <w:rFonts w:ascii="Arial" w:hAnsi="Arial" w:cs="Arial"/>
          <w:color w:val="0000FF"/>
          <w:u w:val="single" w:color="0000FF"/>
        </w:rPr>
        <w:t>www.fda.gov/udi</w:t>
      </w:r>
      <w:r>
        <w:rPr>
          <w:rFonts w:ascii="Arial" w:hAnsi="Arial" w:cs="Arial"/>
          <w:color w:val="0000FF"/>
          <w:u w:val="single" w:color="0000FF"/>
        </w:rPr>
        <w:fldChar w:fldCharType="end"/>
      </w:r>
      <w:r>
        <w:rPr>
          <w:rFonts w:ascii="Arial" w:hAnsi="Arial" w:cs="Arial"/>
        </w:rPr>
        <w:t>）或附录A。</w:t>
      </w:r>
    </w:p>
    <w:p w14:paraId="2A9534C1">
      <w:pPr>
        <w:pStyle w:val="22"/>
        <w:numPr>
          <w:ilvl w:val="2"/>
          <w:numId w:val="1"/>
        </w:numPr>
        <w:tabs>
          <w:tab w:val="left" w:pos="602"/>
        </w:tabs>
        <w:overflowPunct w:val="0"/>
        <w:snapToGrid w:val="0"/>
        <w:spacing w:after="120" w:afterLines="50" w:line="300" w:lineRule="auto"/>
        <w:ind w:left="0" w:firstLine="530" w:firstLineChars="165"/>
        <w:jc w:val="both"/>
        <w:outlineLvl w:val="0"/>
        <w:rPr>
          <w:rFonts w:ascii="Arial" w:hAnsi="Arial" w:eastAsia="宋体" w:cs="Arial"/>
          <w:b/>
          <w:sz w:val="32"/>
          <w:szCs w:val="32"/>
        </w:rPr>
      </w:pPr>
      <w:bookmarkStart w:id="10" w:name="_bookmark3"/>
      <w:bookmarkEnd w:id="10"/>
      <w:bookmarkStart w:id="11" w:name="_Toc497320711"/>
      <w:r>
        <w:rPr>
          <w:rFonts w:ascii="Arial" w:hAnsi="Arial" w:eastAsia="宋体" w:cs="Arial"/>
          <w:b/>
          <w:sz w:val="32"/>
          <w:szCs w:val="32"/>
        </w:rPr>
        <w:t>传统FDA标识编号</w:t>
      </w:r>
      <w:bookmarkEnd w:id="11"/>
    </w:p>
    <w:p w14:paraId="30E1C69C">
      <w:pPr>
        <w:pStyle w:val="7"/>
        <w:overflowPunct w:val="0"/>
        <w:snapToGrid w:val="0"/>
        <w:spacing w:after="120" w:afterLines="50" w:line="300" w:lineRule="auto"/>
        <w:ind w:left="0"/>
        <w:jc w:val="both"/>
        <w:rPr>
          <w:rFonts w:ascii="Arial" w:hAnsi="Arial" w:cs="Arial"/>
        </w:rPr>
      </w:pPr>
      <w:r>
        <w:rPr>
          <w:rFonts w:ascii="Arial" w:hAnsi="Arial" w:cs="Arial"/>
        </w:rPr>
        <w:t>在建立标准化唯一器械标识系统前，一些公司会在某些医疗设备的标签和包装上提供NHRIC或NDC编号。为进一步推动创建国家器械标识系统的目标，UDI规则规定，应撤回分配给医疗器械的任何NHRIC或NDC编号（21 CFR 801.57）。根据21 CFR 801.57（a）的规定，器械应在其标签上提供UDI的要求生效后，应撤回分配给该器械的任何NHRIC或NDC编号，且可能不再在器械标签或任何器械包装上提供此类编号。如果器械无需在其标签上提供UDI，则自2018年9月24日</w:t>
      </w:r>
      <w:r>
        <w:rPr>
          <w:rFonts w:hint="eastAsia" w:ascii="Arial" w:hAnsi="Arial" w:cs="Arial"/>
        </w:rPr>
        <w:t>起</w:t>
      </w:r>
      <w:r>
        <w:rPr>
          <w:rFonts w:ascii="Arial" w:hAnsi="Arial" w:cs="Arial"/>
        </w:rPr>
        <w:t>，应撤回分配给该器械的任何NHRIC或NDC编号，且可能不再在器械标签或任何器械包装上提供此类编号（21 CFR 801.57（b））。</w:t>
      </w:r>
      <w:bookmarkStart w:id="12" w:name="Dates_for_removal_of_NHRIC_and_NDC_numbe"/>
      <w:bookmarkEnd w:id="12"/>
      <w:bookmarkStart w:id="13" w:name="Reimbursable_medical_devices_available_a"/>
      <w:bookmarkEnd w:id="13"/>
      <w:r>
        <w:rPr>
          <w:rFonts w:ascii="Arial" w:hAnsi="Arial" w:cs="Arial"/>
        </w:rPr>
        <w:t>如建立唯一标识系统的拟定规则所述，继续在器械标签和器械包装上使用NHRIC和NDC编号可能会导致无法正确识别器械或模糊药品和器械标识系统之间的区别。（77 FR 40753，2012年7月10日）</w:t>
      </w:r>
    </w:p>
    <w:p w14:paraId="0BDBBE6D">
      <w:pPr>
        <w:pStyle w:val="22"/>
        <w:numPr>
          <w:ilvl w:val="2"/>
          <w:numId w:val="1"/>
        </w:numPr>
        <w:tabs>
          <w:tab w:val="left" w:pos="602"/>
        </w:tabs>
        <w:overflowPunct w:val="0"/>
        <w:snapToGrid w:val="0"/>
        <w:spacing w:after="120" w:afterLines="50" w:line="360" w:lineRule="auto"/>
        <w:ind w:left="0" w:firstLine="530" w:firstLineChars="165"/>
        <w:jc w:val="both"/>
        <w:outlineLvl w:val="0"/>
        <w:rPr>
          <w:rFonts w:ascii="Arial" w:hAnsi="Arial" w:eastAsia="宋体" w:cs="Arial"/>
          <w:b/>
          <w:sz w:val="32"/>
          <w:szCs w:val="32"/>
        </w:rPr>
      </w:pPr>
      <w:bookmarkStart w:id="14" w:name="_bookmark4"/>
      <w:bookmarkEnd w:id="14"/>
      <w:bookmarkStart w:id="15" w:name="_Toc497320712"/>
      <w:r>
        <w:rPr>
          <w:rFonts w:ascii="Arial" w:hAnsi="Arial" w:eastAsia="宋体" w:cs="Arial"/>
          <w:b/>
          <w:sz w:val="32"/>
          <w:szCs w:val="32"/>
        </w:rPr>
        <w:t>可在药店购买的</w:t>
      </w:r>
      <w:bookmarkEnd w:id="15"/>
      <w:r>
        <w:rPr>
          <w:rFonts w:ascii="Arial" w:hAnsi="Arial" w:eastAsia="宋体" w:cs="Arial"/>
          <w:b/>
          <w:sz w:val="32"/>
          <w:szCs w:val="32"/>
        </w:rPr>
        <w:t>可报销医疗器械</w:t>
      </w:r>
    </w:p>
    <w:p w14:paraId="28F6B8E5">
      <w:pPr>
        <w:pStyle w:val="7"/>
        <w:overflowPunct w:val="0"/>
        <w:snapToGrid w:val="0"/>
        <w:spacing w:after="120" w:afterLines="50" w:line="360" w:lineRule="auto"/>
        <w:ind w:left="0"/>
        <w:jc w:val="both"/>
        <w:rPr>
          <w:rFonts w:ascii="Arial" w:hAnsi="Arial" w:cs="Arial"/>
        </w:rPr>
      </w:pPr>
      <w:r>
        <w:rPr>
          <w:rFonts w:ascii="Arial" w:hAnsi="Arial" w:cs="Arial"/>
        </w:rPr>
        <w:t>目前，可通过药店购买且可要求付款人补偿的医疗器械通常标有11位数的补偿编号，此类编号通常含有分配给该器械的NHRIC</w:t>
      </w:r>
      <w:r>
        <w:rPr>
          <w:rFonts w:hint="eastAsia" w:ascii="Arial" w:hAnsi="Arial" w:cs="Arial"/>
        </w:rPr>
        <w:t>或</w:t>
      </w:r>
      <w:r>
        <w:rPr>
          <w:rFonts w:ascii="Arial" w:hAnsi="Arial" w:cs="Arial"/>
        </w:rPr>
        <w:t>NDC</w:t>
      </w:r>
      <w:r>
        <w:rPr>
          <w:rStyle w:val="20"/>
          <w:rFonts w:ascii="Arial" w:hAnsi="Arial" w:cs="Arial"/>
        </w:rPr>
        <w:footnoteReference w:id="0"/>
      </w:r>
      <w:r>
        <w:rPr>
          <w:rFonts w:hint="eastAsia" w:ascii="Arial" w:hAnsi="Arial" w:cs="Arial"/>
        </w:rPr>
        <w:t>编号。</w:t>
      </w:r>
      <w:r>
        <w:rPr>
          <w:rFonts w:ascii="Arial" w:hAnsi="Arial" w:cs="Arial"/>
        </w:rPr>
        <w:t>对于药店环境中的器械补偿，药店和付款人通常依赖于NHRIC和NDC编号，因此，一些受影响的利益相关者担心，药店、付款人和其他实体尚未准备好停止在其系统中使用NHRIC或NDC编号。一些利益相关者还担心，按照21 CFR 801.57要求的时间表从医疗器械标签中删除此类传统FDA标识编号可能会导致现有补偿、供应链和采购流程中断。</w:t>
      </w:r>
    </w:p>
    <w:p w14:paraId="2AFB9D61">
      <w:pPr>
        <w:pStyle w:val="7"/>
        <w:overflowPunct w:val="0"/>
        <w:snapToGrid w:val="0"/>
        <w:spacing w:after="120" w:afterLines="50" w:line="360" w:lineRule="auto"/>
        <w:ind w:left="0"/>
        <w:jc w:val="both"/>
        <w:rPr>
          <w:rFonts w:ascii="Arial" w:hAnsi="Arial" w:cs="Arial"/>
        </w:rPr>
      </w:pPr>
      <w:r>
        <w:rPr>
          <w:rFonts w:ascii="Arial" w:hAnsi="Arial" w:cs="Arial"/>
        </w:rPr>
        <w:t>FDA认为，根据预定合规日期继续实施21 CFR第801部分，子部分B和21 CFR第830部分子部分E规定的UDI要求对于及时实现“UDI规则”的目标来说至关重要。然而，FDA无意中断现有补偿、供应链和采购流程，或者妨碍患者获得治疗的机会。因此，本机构承认，利益相关者可能需要更多的时间来进行更改，确保医疗器械补偿、供应链和采购系统和流程不依赖于NHRIC和NDC编号。</w:t>
      </w:r>
    </w:p>
    <w:p w14:paraId="40712EA8">
      <w:pPr>
        <w:pStyle w:val="2"/>
        <w:numPr>
          <w:ilvl w:val="1"/>
          <w:numId w:val="1"/>
        </w:numPr>
        <w:tabs>
          <w:tab w:val="left" w:pos="490"/>
        </w:tabs>
        <w:overflowPunct w:val="0"/>
        <w:snapToGrid w:val="0"/>
        <w:spacing w:after="120" w:afterLines="50" w:line="360" w:lineRule="auto"/>
        <w:ind w:left="488" w:hanging="488" w:hangingChars="135"/>
        <w:jc w:val="both"/>
        <w:rPr>
          <w:rFonts w:ascii="Arial" w:hAnsi="Arial" w:cs="Arial"/>
        </w:rPr>
      </w:pPr>
      <w:bookmarkStart w:id="16" w:name="_bookmark5"/>
      <w:bookmarkEnd w:id="16"/>
      <w:bookmarkStart w:id="17" w:name="_Toc497320713"/>
      <w:r>
        <w:rPr>
          <w:rFonts w:ascii="Arial" w:hAnsi="Arial" w:cs="Arial"/>
        </w:rPr>
        <w:t>从医疗器械标签和包装中删除NHRIC和NDC编号的日期</w:t>
      </w:r>
      <w:bookmarkEnd w:id="17"/>
    </w:p>
    <w:p w14:paraId="2FE5A2D2">
      <w:pPr>
        <w:pStyle w:val="7"/>
        <w:overflowPunct w:val="0"/>
        <w:snapToGrid w:val="0"/>
        <w:spacing w:after="120" w:afterLines="50" w:line="360" w:lineRule="auto"/>
        <w:ind w:left="0"/>
        <w:jc w:val="both"/>
        <w:rPr>
          <w:rFonts w:ascii="Arial" w:hAnsi="Arial" w:cs="Arial"/>
        </w:rPr>
      </w:pPr>
      <w:r>
        <w:rPr>
          <w:rFonts w:ascii="Arial" w:hAnsi="Arial" w:cs="Arial"/>
        </w:rPr>
        <w:t>对于在2021年9月24日之前已制造和贴标的成品器械，FDA不打算执行禁止在器械标签和器械包装上提供NHRIC和NDC编号的禁令。本指南中概述的执行政策适用于以下要求：自21 CFR 801.57（a） - （b）规定的日期起，贴标商不得在器械标签和器械包装上提供NHRIC或NDC编号；其不适用于UDI规则下的任何其他要求。</w:t>
      </w:r>
    </w:p>
    <w:p w14:paraId="3E938AA7">
      <w:pPr>
        <w:pStyle w:val="7"/>
        <w:overflowPunct w:val="0"/>
        <w:snapToGrid w:val="0"/>
        <w:spacing w:after="120" w:afterLines="50" w:line="360" w:lineRule="auto"/>
        <w:ind w:left="0"/>
        <w:jc w:val="both"/>
        <w:rPr>
          <w:rFonts w:ascii="Arial" w:hAnsi="Arial" w:cs="Arial"/>
        </w:rPr>
      </w:pPr>
      <w:r>
        <w:rPr>
          <w:rFonts w:ascii="Arial" w:hAnsi="Arial" w:cs="Arial"/>
        </w:rPr>
        <w:t>本指南中列出的执行政策承认，利益相关方可能需要更多的时间来采用不依赖于器械标签上的NHRIC或NDC编号的医疗器械补偿、供应链和采购系统。</w:t>
      </w:r>
      <w:r>
        <w:rPr>
          <w:rFonts w:ascii="Arial" w:hAnsi="Arial" w:cs="Arial"/>
        </w:rPr>
        <w:br w:type="page"/>
      </w:r>
    </w:p>
    <w:p w14:paraId="7E20AF53">
      <w:pPr>
        <w:pStyle w:val="7"/>
        <w:overflowPunct w:val="0"/>
        <w:snapToGrid w:val="0"/>
        <w:spacing w:after="120" w:afterLines="50" w:line="360" w:lineRule="auto"/>
        <w:ind w:left="0"/>
        <w:jc w:val="both"/>
        <w:rPr>
          <w:rFonts w:ascii="Arial" w:hAnsi="Arial" w:cs="Arial"/>
        </w:rPr>
      </w:pPr>
      <w:bookmarkStart w:id="18" w:name="Requests_for_continued_use_of_FDA_labele"/>
      <w:bookmarkEnd w:id="18"/>
      <w:r>
        <w:rPr>
          <w:rFonts w:ascii="Arial" w:hAnsi="Arial" w:cs="Arial"/>
        </w:rPr>
        <w:t>FDA承认，只要器械标签仍有多个标识符且可能造成混淆，此政策就持续有效。但是，本机构认为中断补偿、供应链和采购流程以及潜在地干扰患者使用器械的威胁超过了混淆风险。</w:t>
      </w:r>
    </w:p>
    <w:p w14:paraId="5997F68B">
      <w:pPr>
        <w:pStyle w:val="7"/>
        <w:overflowPunct w:val="0"/>
        <w:snapToGrid w:val="0"/>
        <w:spacing w:after="120" w:afterLines="50" w:line="360" w:lineRule="auto"/>
        <w:ind w:left="0"/>
        <w:jc w:val="both"/>
        <w:rPr>
          <w:rFonts w:ascii="Arial" w:hAnsi="Arial" w:cs="Arial"/>
        </w:rPr>
      </w:pPr>
      <w:r>
        <w:rPr>
          <w:rFonts w:ascii="Arial" w:hAnsi="Arial" w:cs="Arial"/>
        </w:rPr>
        <w:t>在分阶段实施UDI要求期间，一些器械标签将提供UDI，而其他器械标签科提供不同类型的标识符。希望此执行政策将促进所有类别的器械删除传统NHRIC和NDC编号的日期一致，并减少停止使用此类传统FDA标识编号的破坏性，增加其可预测性。</w:t>
      </w:r>
    </w:p>
    <w:p w14:paraId="12E96D86">
      <w:pPr>
        <w:pStyle w:val="2"/>
        <w:numPr>
          <w:ilvl w:val="1"/>
          <w:numId w:val="1"/>
        </w:numPr>
        <w:tabs>
          <w:tab w:val="left" w:pos="490"/>
        </w:tabs>
        <w:overflowPunct w:val="0"/>
        <w:snapToGrid w:val="0"/>
        <w:spacing w:after="120" w:afterLines="50" w:line="360" w:lineRule="auto"/>
        <w:ind w:left="488" w:hanging="488" w:hangingChars="135"/>
        <w:jc w:val="both"/>
        <w:rPr>
          <w:rFonts w:ascii="Arial" w:hAnsi="Arial" w:cs="Arial"/>
        </w:rPr>
      </w:pPr>
      <w:bookmarkStart w:id="19" w:name="_bookmark7"/>
      <w:bookmarkEnd w:id="19"/>
      <w:bookmarkStart w:id="20" w:name="_Toc497320714"/>
      <w:r>
        <w:rPr>
          <w:rFonts w:ascii="Arial" w:hAnsi="Arial" w:cs="Arial"/>
        </w:rPr>
        <w:t>要求继续使用FDA贴标机代码的请求</w:t>
      </w:r>
      <w:bookmarkEnd w:id="20"/>
    </w:p>
    <w:p w14:paraId="36B87AEA">
      <w:pPr>
        <w:pStyle w:val="7"/>
        <w:overflowPunct w:val="0"/>
        <w:snapToGrid w:val="0"/>
        <w:spacing w:after="120" w:afterLines="50" w:line="360" w:lineRule="auto"/>
        <w:ind w:left="0"/>
        <w:jc w:val="both"/>
        <w:rPr>
          <w:rFonts w:ascii="Arial" w:hAnsi="Arial" w:cs="Arial"/>
        </w:rPr>
      </w:pPr>
      <w:r>
        <w:rPr>
          <w:rFonts w:ascii="Arial" w:hAnsi="Arial" w:cs="Arial"/>
        </w:rPr>
        <w:t>根据21 CFR 801.57（c）和（d）的规定，贴标商可以向FDA提交请求，以在建立UDI发行系统后继续使用先前分配的FDA贴标商代码。FDA发行的贴标商代码已用作医疗器械标签上提供的11位数补偿编号的一部分。已分配FDA贴标商代码以便于使用NHRIC或NDC编号的贴标商可以在建立UDI发行系统后继续使用该贴标商代码，前提是此类使用与运行该系统的发行机构的框架一致，且贴标商已提交且FDA已批准继续使用分配贴标商代码的请求（21 CFR 801.57（c））。根据21 CFR 801.57（c）（2）的规定，提交此类请求的截止日期为2014年9月24日。</w:t>
      </w:r>
    </w:p>
    <w:p w14:paraId="39BEEF5D">
      <w:pPr>
        <w:pStyle w:val="7"/>
        <w:overflowPunct w:val="0"/>
        <w:snapToGrid w:val="0"/>
        <w:spacing w:after="120" w:afterLines="50" w:line="360" w:lineRule="auto"/>
        <w:ind w:left="0"/>
        <w:jc w:val="both"/>
        <w:rPr>
          <w:rFonts w:ascii="Arial" w:hAnsi="Arial" w:cs="Arial"/>
        </w:rPr>
      </w:pPr>
      <w:r>
        <w:rPr>
          <w:rFonts w:ascii="Arial" w:hAnsi="Arial" w:cs="Arial"/>
        </w:rPr>
        <w:t>在2021年9月24日之前，FDA仍会考虑提交给本机构的，要求在建立UDI发行系统后继续使用FDA贴标商代码的请求。此外，如果贴标商在2021年9月24日之前提交了以其他方式符合21 CFR 801.57（c）和（d）的请求，即使其在UDI中并入了先前分配的FDA贴标商代码，但未在21 CFR 801.57（c）（2）中规定的截止日期之前获得批准，FDA也不打算对其采取行动。如果贴标商希望将FDA贴标商代码并入其UDI，则FDA已批准</w:t>
      </w:r>
      <w:r>
        <w:rPr>
          <w:rFonts w:hint="eastAsia" w:ascii="Arial" w:hAnsi="Arial" w:cs="Arial"/>
        </w:rPr>
        <w:t>其</w:t>
      </w:r>
      <w:r>
        <w:rPr>
          <w:rFonts w:ascii="Arial" w:hAnsi="Arial" w:cs="Arial"/>
        </w:rPr>
        <w:t>继续使用FDA贴标商代码的贴标商应联系FDA认证的发行机构。</w:t>
      </w:r>
    </w:p>
    <w:p w14:paraId="7838227A">
      <w:pPr>
        <w:overflowPunct w:val="0"/>
        <w:snapToGrid w:val="0"/>
        <w:spacing w:after="120" w:afterLines="50" w:line="360" w:lineRule="auto"/>
        <w:jc w:val="both"/>
        <w:rPr>
          <w:rFonts w:ascii="Arial" w:hAnsi="Arial" w:eastAsia="宋体" w:cs="Arial"/>
          <w:sz w:val="24"/>
          <w:szCs w:val="24"/>
        </w:rPr>
      </w:pPr>
      <w:r>
        <w:rPr>
          <w:rFonts w:ascii="Arial" w:hAnsi="Arial" w:eastAsia="宋体" w:cs="Arial"/>
          <w:sz w:val="24"/>
          <w:szCs w:val="24"/>
        </w:rPr>
        <w:br w:type="page"/>
      </w:r>
    </w:p>
    <w:p w14:paraId="4C2ABB1C">
      <w:pPr>
        <w:pStyle w:val="2"/>
        <w:overflowPunct w:val="0"/>
        <w:snapToGrid w:val="0"/>
        <w:spacing w:after="120" w:afterLines="50" w:line="300" w:lineRule="auto"/>
        <w:ind w:left="0"/>
        <w:jc w:val="both"/>
        <w:rPr>
          <w:rFonts w:ascii="Arial" w:hAnsi="Arial" w:cs="Arial"/>
          <w:b w:val="0"/>
          <w:bCs w:val="0"/>
        </w:rPr>
      </w:pPr>
      <w:bookmarkStart w:id="21" w:name="Appendix_A"/>
      <w:bookmarkEnd w:id="21"/>
      <w:bookmarkStart w:id="22" w:name="_bookmark8"/>
      <w:bookmarkEnd w:id="22"/>
      <w:bookmarkStart w:id="23" w:name="_Toc497320715"/>
      <w:r>
        <w:rPr>
          <w:rFonts w:ascii="Arial" w:hAnsi="Arial" w:cs="Arial"/>
        </w:rPr>
        <w:t>附录A</w:t>
      </w:r>
      <w:bookmarkEnd w:id="23"/>
    </w:p>
    <w:p w14:paraId="0F538EB4">
      <w:pPr>
        <w:pStyle w:val="5"/>
        <w:overflowPunct w:val="0"/>
        <w:snapToGrid w:val="0"/>
        <w:spacing w:after="120" w:afterLines="50" w:line="300" w:lineRule="auto"/>
        <w:jc w:val="center"/>
        <w:rPr>
          <w:rFonts w:ascii="Arial" w:hAnsi="Arial" w:cs="Arial"/>
          <w:b w:val="0"/>
          <w:bCs w:val="0"/>
        </w:rPr>
      </w:pPr>
      <w:r>
        <w:rPr>
          <w:rFonts w:ascii="Arial" w:hAnsi="Arial" w:cs="Arial"/>
        </w:rPr>
        <w:t>UDI实施合规日期总结</w:t>
      </w:r>
    </w:p>
    <w:tbl>
      <w:tblPr>
        <w:tblStyle w:val="21"/>
        <w:tblW w:w="0" w:type="auto"/>
        <w:tblInd w:w="0" w:type="dxa"/>
        <w:tblLayout w:type="fixed"/>
        <w:tblCellMar>
          <w:top w:w="0" w:type="dxa"/>
          <w:left w:w="0" w:type="dxa"/>
          <w:bottom w:w="0" w:type="dxa"/>
          <w:right w:w="0" w:type="dxa"/>
        </w:tblCellMar>
      </w:tblPr>
      <w:tblGrid>
        <w:gridCol w:w="1800"/>
        <w:gridCol w:w="2700"/>
        <w:gridCol w:w="4050"/>
      </w:tblGrid>
      <w:tr w14:paraId="6D679B55">
        <w:tblPrEx>
          <w:tblCellMar>
            <w:top w:w="0" w:type="dxa"/>
            <w:left w:w="0" w:type="dxa"/>
            <w:bottom w:w="0" w:type="dxa"/>
            <w:right w:w="0" w:type="dxa"/>
          </w:tblCellMar>
        </w:tblPrEx>
        <w:tc>
          <w:tcPr>
            <w:tcW w:w="1800" w:type="dxa"/>
            <w:tcBorders>
              <w:top w:val="single" w:color="000000" w:sz="8" w:space="0"/>
              <w:left w:val="single" w:color="000000" w:sz="8" w:space="0"/>
              <w:bottom w:val="single" w:color="000000" w:sz="8" w:space="0"/>
              <w:right w:val="single" w:color="000000" w:sz="8" w:space="0"/>
            </w:tcBorders>
            <w:shd w:val="clear" w:color="auto" w:fill="B6DDE7"/>
          </w:tcPr>
          <w:p w14:paraId="3B8B787C">
            <w:pPr>
              <w:pStyle w:val="23"/>
              <w:overflowPunct w:val="0"/>
              <w:snapToGrid w:val="0"/>
              <w:spacing w:before="120" w:beforeLines="50" w:after="120" w:afterLines="50" w:line="300" w:lineRule="auto"/>
              <w:ind w:left="44" w:leftChars="20" w:right="44" w:rightChars="20"/>
              <w:jc w:val="center"/>
              <w:rPr>
                <w:rFonts w:ascii="Arial" w:hAnsi="Arial" w:eastAsia="宋体" w:cs="Arial"/>
                <w:b/>
                <w:sz w:val="21"/>
                <w:szCs w:val="21"/>
              </w:rPr>
            </w:pPr>
            <w:r>
              <w:rPr>
                <w:rFonts w:ascii="Arial" w:hAnsi="Arial" w:eastAsia="宋体" w:cs="Arial"/>
                <w:b/>
                <w:sz w:val="21"/>
                <w:szCs w:val="21"/>
              </w:rPr>
              <w:t>器械</w:t>
            </w:r>
          </w:p>
        </w:tc>
        <w:tc>
          <w:tcPr>
            <w:tcW w:w="2700" w:type="dxa"/>
            <w:tcBorders>
              <w:top w:val="single" w:color="000000" w:sz="8" w:space="0"/>
              <w:left w:val="single" w:color="000000" w:sz="8" w:space="0"/>
              <w:bottom w:val="single" w:color="000000" w:sz="8" w:space="0"/>
              <w:right w:val="single" w:color="000000" w:sz="4" w:space="0"/>
            </w:tcBorders>
            <w:shd w:val="clear" w:color="auto" w:fill="B6DDE7"/>
          </w:tcPr>
          <w:p w14:paraId="7EAFFF24">
            <w:pPr>
              <w:pStyle w:val="23"/>
              <w:overflowPunct w:val="0"/>
              <w:snapToGrid w:val="0"/>
              <w:spacing w:before="120" w:beforeLines="50" w:after="120" w:afterLines="50" w:line="300" w:lineRule="auto"/>
              <w:ind w:left="44" w:leftChars="20" w:right="44" w:rightChars="20"/>
              <w:jc w:val="center"/>
              <w:rPr>
                <w:rFonts w:ascii="Arial" w:hAnsi="Arial" w:eastAsia="宋体" w:cs="Arial"/>
                <w:b/>
                <w:sz w:val="21"/>
                <w:szCs w:val="21"/>
              </w:rPr>
            </w:pPr>
            <w:r>
              <w:rPr>
                <w:rFonts w:ascii="Arial" w:hAnsi="Arial" w:eastAsia="宋体" w:cs="Arial"/>
                <w:b/>
                <w:sz w:val="21"/>
                <w:szCs w:val="21"/>
              </w:rPr>
              <w:t>标签/</w:t>
            </w:r>
            <w:r>
              <w:rPr>
                <w:rFonts w:hint="eastAsia" w:ascii="Arial" w:hAnsi="Arial" w:eastAsia="宋体" w:cs="Arial"/>
                <w:b/>
                <w:sz w:val="21"/>
                <w:szCs w:val="21"/>
              </w:rPr>
              <w:t>数据库</w:t>
            </w:r>
            <w:r>
              <w:rPr>
                <w:rFonts w:ascii="Arial" w:hAnsi="Arial" w:eastAsia="宋体" w:cs="Arial"/>
                <w:b/>
                <w:sz w:val="21"/>
                <w:szCs w:val="21"/>
              </w:rPr>
              <w:t>/日期格式</w:t>
            </w:r>
          </w:p>
        </w:tc>
        <w:tc>
          <w:tcPr>
            <w:tcW w:w="4050" w:type="dxa"/>
            <w:tcBorders>
              <w:top w:val="single" w:color="000000" w:sz="8" w:space="0"/>
              <w:left w:val="single" w:color="000000" w:sz="4" w:space="0"/>
              <w:bottom w:val="single" w:color="000000" w:sz="8" w:space="0"/>
              <w:right w:val="single" w:color="000000" w:sz="4" w:space="0"/>
            </w:tcBorders>
            <w:shd w:val="clear" w:color="auto" w:fill="B6DDE7"/>
          </w:tcPr>
          <w:p w14:paraId="7F184471">
            <w:pPr>
              <w:pStyle w:val="23"/>
              <w:overflowPunct w:val="0"/>
              <w:snapToGrid w:val="0"/>
              <w:spacing w:before="120" w:beforeLines="50" w:after="120" w:afterLines="50" w:line="300" w:lineRule="auto"/>
              <w:ind w:left="44" w:leftChars="20" w:right="44" w:rightChars="20"/>
              <w:jc w:val="center"/>
              <w:rPr>
                <w:rFonts w:ascii="Arial" w:hAnsi="Arial" w:eastAsia="宋体" w:cs="Arial"/>
                <w:b/>
                <w:sz w:val="21"/>
                <w:szCs w:val="21"/>
              </w:rPr>
            </w:pPr>
            <w:r>
              <w:rPr>
                <w:rFonts w:ascii="Arial" w:hAnsi="Arial" w:eastAsia="宋体" w:cs="Arial"/>
                <w:b/>
                <w:sz w:val="21"/>
                <w:szCs w:val="21"/>
              </w:rPr>
              <w:t>直接标记（如果需要）</w:t>
            </w:r>
            <w:r>
              <w:rPr>
                <w:rFonts w:hint="eastAsia" w:ascii="Arial" w:hAnsi="Arial" w:eastAsia="宋体" w:cs="Arial"/>
                <w:b/>
                <w:sz w:val="21"/>
                <w:szCs w:val="21"/>
                <w:vertAlign w:val="superscript"/>
              </w:rPr>
              <w:t>2</w:t>
            </w:r>
          </w:p>
        </w:tc>
      </w:tr>
      <w:tr w14:paraId="5C15366E">
        <w:tblPrEx>
          <w:tblCellMar>
            <w:top w:w="0" w:type="dxa"/>
            <w:left w:w="0" w:type="dxa"/>
            <w:bottom w:w="0" w:type="dxa"/>
            <w:right w:w="0" w:type="dxa"/>
          </w:tblCellMar>
        </w:tblPrEx>
        <w:tc>
          <w:tcPr>
            <w:tcW w:w="1800" w:type="dxa"/>
            <w:tcBorders>
              <w:top w:val="single" w:color="000000" w:sz="8" w:space="0"/>
              <w:left w:val="single" w:color="000000" w:sz="8" w:space="0"/>
              <w:bottom w:val="single" w:color="000000" w:sz="8" w:space="0"/>
              <w:right w:val="single" w:color="000000" w:sz="8" w:space="0"/>
            </w:tcBorders>
          </w:tcPr>
          <w:p w14:paraId="0ACD0DF4">
            <w:pPr>
              <w:pStyle w:val="23"/>
              <w:overflowPunct w:val="0"/>
              <w:snapToGrid w:val="0"/>
              <w:spacing w:before="120" w:beforeLines="50" w:after="120" w:afterLines="50" w:line="300" w:lineRule="auto"/>
              <w:ind w:left="44" w:leftChars="20" w:right="44" w:rightChars="20"/>
              <w:rPr>
                <w:rFonts w:ascii="Arial" w:hAnsi="Arial" w:eastAsia="宋体" w:cs="Arial"/>
                <w:sz w:val="21"/>
                <w:szCs w:val="21"/>
              </w:rPr>
            </w:pPr>
            <w:r>
              <w:rPr>
                <w:rFonts w:ascii="Arial" w:hAnsi="Arial" w:eastAsia="宋体" w:cs="Arial"/>
                <w:sz w:val="21"/>
                <w:szCs w:val="21"/>
              </w:rPr>
              <w:t>III类（包括人道主义用途器械和III类I / LS / LS）</w:t>
            </w:r>
            <w:r>
              <w:rPr>
                <w:rFonts w:hint="eastAsia" w:ascii="Arial" w:hAnsi="Arial" w:eastAsia="宋体" w:cs="Arial"/>
                <w:sz w:val="21"/>
                <w:szCs w:val="21"/>
                <w:vertAlign w:val="superscript"/>
              </w:rPr>
              <w:t>1</w:t>
            </w:r>
          </w:p>
          <w:p w14:paraId="1246F5F9">
            <w:pPr>
              <w:pStyle w:val="23"/>
              <w:overflowPunct w:val="0"/>
              <w:snapToGrid w:val="0"/>
              <w:spacing w:before="120" w:beforeLines="50" w:after="120" w:afterLines="50" w:line="300" w:lineRule="auto"/>
              <w:ind w:left="44" w:leftChars="20" w:right="44" w:rightChars="20"/>
              <w:rPr>
                <w:rFonts w:ascii="Arial" w:hAnsi="Arial" w:eastAsia="宋体" w:cs="Arial"/>
                <w:sz w:val="21"/>
                <w:szCs w:val="21"/>
              </w:rPr>
            </w:pPr>
          </w:p>
          <w:p w14:paraId="52AAE71A">
            <w:pPr>
              <w:pStyle w:val="23"/>
              <w:overflowPunct w:val="0"/>
              <w:snapToGrid w:val="0"/>
              <w:spacing w:before="120" w:beforeLines="50" w:after="120" w:afterLines="50" w:line="300" w:lineRule="auto"/>
              <w:ind w:left="44" w:leftChars="20" w:right="44" w:rightChars="20"/>
              <w:rPr>
                <w:rFonts w:ascii="Arial" w:hAnsi="Arial" w:eastAsia="宋体" w:cs="Arial"/>
                <w:sz w:val="21"/>
                <w:szCs w:val="21"/>
              </w:rPr>
            </w:pPr>
            <w:r>
              <w:rPr>
                <w:rFonts w:ascii="Arial" w:hAnsi="Arial" w:eastAsia="宋体" w:cs="Arial"/>
                <w:sz w:val="21"/>
                <w:szCs w:val="21"/>
              </w:rPr>
              <w:t>根据PHS法案许可的器械</w:t>
            </w:r>
          </w:p>
        </w:tc>
        <w:tc>
          <w:tcPr>
            <w:tcW w:w="2700" w:type="dxa"/>
            <w:tcBorders>
              <w:top w:val="single" w:color="000000" w:sz="8" w:space="0"/>
              <w:left w:val="single" w:color="000000" w:sz="8" w:space="0"/>
              <w:bottom w:val="single" w:color="000000" w:sz="8" w:space="0"/>
              <w:right w:val="single" w:color="000000" w:sz="4" w:space="0"/>
            </w:tcBorders>
          </w:tcPr>
          <w:p w14:paraId="1A885B37">
            <w:pPr>
              <w:pStyle w:val="23"/>
              <w:overflowPunct w:val="0"/>
              <w:snapToGrid w:val="0"/>
              <w:spacing w:before="120" w:beforeLines="50" w:after="120" w:afterLines="50" w:line="300" w:lineRule="auto"/>
              <w:ind w:left="44" w:leftChars="20" w:right="44" w:rightChars="20"/>
              <w:jc w:val="center"/>
              <w:rPr>
                <w:rFonts w:ascii="Arial" w:hAnsi="Arial" w:eastAsia="宋体" w:cs="Arial"/>
                <w:sz w:val="21"/>
                <w:szCs w:val="21"/>
              </w:rPr>
            </w:pPr>
            <w:r>
              <w:rPr>
                <w:rFonts w:ascii="Arial" w:hAnsi="Arial" w:eastAsia="宋体" w:cs="Arial"/>
                <w:sz w:val="21"/>
                <w:szCs w:val="21"/>
              </w:rPr>
              <w:t>2014年9月24日</w:t>
            </w:r>
          </w:p>
        </w:tc>
        <w:tc>
          <w:tcPr>
            <w:tcW w:w="4050" w:type="dxa"/>
            <w:tcBorders>
              <w:top w:val="single" w:color="000000" w:sz="8" w:space="0"/>
              <w:left w:val="single" w:color="000000" w:sz="4" w:space="0"/>
              <w:bottom w:val="single" w:color="000000" w:sz="8" w:space="0"/>
              <w:right w:val="single" w:color="000000" w:sz="4" w:space="0"/>
            </w:tcBorders>
          </w:tcPr>
          <w:p w14:paraId="4C2B137F">
            <w:pPr>
              <w:pStyle w:val="23"/>
              <w:overflowPunct w:val="0"/>
              <w:snapToGrid w:val="0"/>
              <w:spacing w:before="120" w:beforeLines="50" w:after="120" w:afterLines="50" w:line="300" w:lineRule="auto"/>
              <w:ind w:left="44" w:leftChars="20" w:right="44" w:rightChars="20"/>
              <w:jc w:val="center"/>
              <w:rPr>
                <w:rFonts w:ascii="Arial" w:hAnsi="Arial" w:eastAsia="宋体" w:cs="Arial"/>
                <w:sz w:val="21"/>
                <w:szCs w:val="21"/>
              </w:rPr>
            </w:pPr>
            <w:r>
              <w:rPr>
                <w:rFonts w:ascii="Arial" w:hAnsi="Arial" w:eastAsia="宋体" w:cs="Arial"/>
                <w:sz w:val="21"/>
                <w:szCs w:val="21"/>
              </w:rPr>
              <w:t>LS / LS III类器械必须在2015年9月24日前直接标记</w:t>
            </w:r>
          </w:p>
          <w:p w14:paraId="70D2A407">
            <w:pPr>
              <w:pStyle w:val="23"/>
              <w:overflowPunct w:val="0"/>
              <w:snapToGrid w:val="0"/>
              <w:spacing w:before="120" w:beforeLines="50" w:after="120" w:afterLines="50" w:line="300" w:lineRule="auto"/>
              <w:ind w:left="44" w:leftChars="20" w:right="44" w:rightChars="20"/>
              <w:jc w:val="center"/>
              <w:rPr>
                <w:rFonts w:ascii="Arial" w:hAnsi="Arial" w:eastAsia="宋体" w:cs="Arial"/>
                <w:sz w:val="21"/>
                <w:szCs w:val="21"/>
              </w:rPr>
            </w:pPr>
            <w:r>
              <w:rPr>
                <w:rFonts w:ascii="Arial" w:hAnsi="Arial" w:eastAsia="宋体" w:cs="Arial"/>
                <w:sz w:val="21"/>
                <w:szCs w:val="21"/>
              </w:rPr>
              <w:t>所有其他III类器械必须在2016年9月24日前直接标记</w:t>
            </w:r>
          </w:p>
        </w:tc>
      </w:tr>
      <w:tr w14:paraId="2B1E7B5E">
        <w:tblPrEx>
          <w:tblCellMar>
            <w:top w:w="0" w:type="dxa"/>
            <w:left w:w="0" w:type="dxa"/>
            <w:bottom w:w="0" w:type="dxa"/>
            <w:right w:w="0" w:type="dxa"/>
          </w:tblCellMar>
        </w:tblPrEx>
        <w:tc>
          <w:tcPr>
            <w:tcW w:w="1800" w:type="dxa"/>
            <w:tcBorders>
              <w:top w:val="single" w:color="000000" w:sz="8" w:space="0"/>
              <w:left w:val="single" w:color="000000" w:sz="8" w:space="0"/>
              <w:bottom w:val="single" w:color="000000" w:sz="8" w:space="0"/>
              <w:right w:val="single" w:color="000000" w:sz="8" w:space="0"/>
            </w:tcBorders>
          </w:tcPr>
          <w:p w14:paraId="4B7D4E32">
            <w:pPr>
              <w:pStyle w:val="23"/>
              <w:overflowPunct w:val="0"/>
              <w:snapToGrid w:val="0"/>
              <w:spacing w:before="120" w:beforeLines="50" w:after="120" w:afterLines="50" w:line="300" w:lineRule="auto"/>
              <w:ind w:left="44" w:leftChars="20" w:right="44" w:rightChars="20"/>
              <w:rPr>
                <w:rFonts w:ascii="Arial" w:hAnsi="Arial" w:eastAsia="宋体" w:cs="Arial"/>
                <w:sz w:val="21"/>
                <w:szCs w:val="21"/>
              </w:rPr>
            </w:pPr>
            <w:r>
              <w:rPr>
                <w:rFonts w:ascii="Arial" w:hAnsi="Arial" w:eastAsia="宋体" w:cs="Arial"/>
                <w:sz w:val="21"/>
                <w:szCs w:val="21"/>
              </w:rPr>
              <w:t>植入式（II类，I类和未分类）</w:t>
            </w:r>
          </w:p>
        </w:tc>
        <w:tc>
          <w:tcPr>
            <w:tcW w:w="2700" w:type="dxa"/>
            <w:tcBorders>
              <w:top w:val="single" w:color="000000" w:sz="8" w:space="0"/>
              <w:left w:val="single" w:color="000000" w:sz="8" w:space="0"/>
              <w:bottom w:val="single" w:color="000000" w:sz="8" w:space="0"/>
              <w:right w:val="single" w:color="000000" w:sz="4" w:space="0"/>
            </w:tcBorders>
          </w:tcPr>
          <w:p w14:paraId="7CA8BF56">
            <w:pPr>
              <w:pStyle w:val="23"/>
              <w:overflowPunct w:val="0"/>
              <w:snapToGrid w:val="0"/>
              <w:spacing w:before="120" w:beforeLines="50" w:after="120" w:afterLines="50" w:line="300" w:lineRule="auto"/>
              <w:ind w:left="44" w:leftChars="20" w:right="44" w:rightChars="20"/>
              <w:jc w:val="center"/>
              <w:rPr>
                <w:rFonts w:ascii="Arial" w:hAnsi="Arial" w:eastAsia="宋体" w:cs="Arial"/>
                <w:sz w:val="21"/>
                <w:szCs w:val="21"/>
              </w:rPr>
            </w:pPr>
            <w:r>
              <w:rPr>
                <w:rFonts w:ascii="Arial" w:hAnsi="Arial" w:eastAsia="宋体" w:cs="Arial"/>
                <w:sz w:val="21"/>
                <w:szCs w:val="21"/>
              </w:rPr>
              <w:t>2015年9月24日</w:t>
            </w:r>
          </w:p>
        </w:tc>
        <w:tc>
          <w:tcPr>
            <w:tcW w:w="4050" w:type="dxa"/>
            <w:tcBorders>
              <w:top w:val="single" w:color="000000" w:sz="8" w:space="0"/>
              <w:left w:val="single" w:color="000000" w:sz="4" w:space="0"/>
              <w:bottom w:val="single" w:color="000000" w:sz="8" w:space="0"/>
              <w:right w:val="single" w:color="000000" w:sz="4" w:space="0"/>
            </w:tcBorders>
          </w:tcPr>
          <w:p w14:paraId="37FF6039">
            <w:pPr>
              <w:pStyle w:val="23"/>
              <w:overflowPunct w:val="0"/>
              <w:snapToGrid w:val="0"/>
              <w:spacing w:before="120" w:beforeLines="50" w:after="120" w:afterLines="50" w:line="300" w:lineRule="auto"/>
              <w:ind w:left="44" w:leftChars="20" w:right="44" w:rightChars="20"/>
              <w:jc w:val="center"/>
              <w:rPr>
                <w:rFonts w:ascii="Arial" w:hAnsi="Arial" w:eastAsia="宋体" w:cs="Arial"/>
                <w:sz w:val="21"/>
                <w:szCs w:val="21"/>
              </w:rPr>
            </w:pPr>
            <w:r>
              <w:rPr>
                <w:rFonts w:ascii="Arial" w:hAnsi="Arial" w:eastAsia="宋体" w:cs="Arial"/>
                <w:sz w:val="21"/>
                <w:szCs w:val="21"/>
              </w:rPr>
              <w:t>不适用</w:t>
            </w:r>
          </w:p>
        </w:tc>
      </w:tr>
      <w:tr w14:paraId="1FF7A8CE">
        <w:tblPrEx>
          <w:tblCellMar>
            <w:top w:w="0" w:type="dxa"/>
            <w:left w:w="0" w:type="dxa"/>
            <w:bottom w:w="0" w:type="dxa"/>
            <w:right w:w="0" w:type="dxa"/>
          </w:tblCellMar>
        </w:tblPrEx>
        <w:tc>
          <w:tcPr>
            <w:tcW w:w="1800" w:type="dxa"/>
            <w:tcBorders>
              <w:top w:val="single" w:color="000000" w:sz="8" w:space="0"/>
              <w:left w:val="single" w:color="000000" w:sz="8" w:space="0"/>
              <w:bottom w:val="single" w:color="000000" w:sz="8" w:space="0"/>
              <w:right w:val="single" w:color="000000" w:sz="8" w:space="0"/>
            </w:tcBorders>
          </w:tcPr>
          <w:p w14:paraId="45E298E7">
            <w:pPr>
              <w:pStyle w:val="23"/>
              <w:overflowPunct w:val="0"/>
              <w:snapToGrid w:val="0"/>
              <w:spacing w:before="120" w:beforeLines="50" w:after="120" w:afterLines="50" w:line="300" w:lineRule="auto"/>
              <w:ind w:left="44" w:leftChars="20" w:right="44" w:rightChars="20"/>
              <w:rPr>
                <w:rFonts w:ascii="Arial" w:hAnsi="Arial" w:eastAsia="宋体" w:cs="Arial"/>
                <w:sz w:val="21"/>
                <w:szCs w:val="21"/>
              </w:rPr>
            </w:pPr>
            <w:r>
              <w:rPr>
                <w:rFonts w:ascii="Arial" w:hAnsi="Arial" w:eastAsia="宋体" w:cs="Arial"/>
                <w:sz w:val="21"/>
                <w:szCs w:val="21"/>
              </w:rPr>
              <w:t>LS/LS（II类，I类和未分类）</w:t>
            </w:r>
          </w:p>
        </w:tc>
        <w:tc>
          <w:tcPr>
            <w:tcW w:w="2700" w:type="dxa"/>
            <w:tcBorders>
              <w:top w:val="single" w:color="000000" w:sz="8" w:space="0"/>
              <w:left w:val="single" w:color="000000" w:sz="8" w:space="0"/>
              <w:bottom w:val="single" w:color="000000" w:sz="8" w:space="0"/>
              <w:right w:val="single" w:color="000000" w:sz="4" w:space="0"/>
            </w:tcBorders>
          </w:tcPr>
          <w:p w14:paraId="746FD7D2">
            <w:pPr>
              <w:pStyle w:val="23"/>
              <w:overflowPunct w:val="0"/>
              <w:snapToGrid w:val="0"/>
              <w:spacing w:before="120" w:beforeLines="50" w:after="120" w:afterLines="50" w:line="300" w:lineRule="auto"/>
              <w:ind w:left="44" w:leftChars="20" w:right="44" w:rightChars="20"/>
              <w:jc w:val="center"/>
              <w:rPr>
                <w:rFonts w:ascii="Arial" w:hAnsi="Arial" w:eastAsia="宋体" w:cs="Arial"/>
                <w:sz w:val="21"/>
                <w:szCs w:val="21"/>
              </w:rPr>
            </w:pPr>
            <w:r>
              <w:rPr>
                <w:rFonts w:ascii="Arial" w:hAnsi="Arial" w:eastAsia="宋体" w:cs="Arial"/>
                <w:sz w:val="21"/>
                <w:szCs w:val="21"/>
              </w:rPr>
              <w:t>2015年9月24日</w:t>
            </w:r>
          </w:p>
        </w:tc>
        <w:tc>
          <w:tcPr>
            <w:tcW w:w="4050" w:type="dxa"/>
            <w:tcBorders>
              <w:top w:val="single" w:color="000000" w:sz="8" w:space="0"/>
              <w:left w:val="single" w:color="000000" w:sz="4" w:space="0"/>
              <w:bottom w:val="single" w:color="000000" w:sz="8" w:space="0"/>
              <w:right w:val="single" w:color="000000" w:sz="4" w:space="0"/>
            </w:tcBorders>
          </w:tcPr>
          <w:p w14:paraId="4D26D1D5">
            <w:pPr>
              <w:pStyle w:val="23"/>
              <w:overflowPunct w:val="0"/>
              <w:snapToGrid w:val="0"/>
              <w:spacing w:before="120" w:beforeLines="50" w:after="120" w:afterLines="50" w:line="300" w:lineRule="auto"/>
              <w:ind w:left="44" w:leftChars="20" w:right="44" w:rightChars="20"/>
              <w:jc w:val="center"/>
              <w:rPr>
                <w:rFonts w:ascii="Arial" w:hAnsi="Arial" w:eastAsia="宋体" w:cs="Arial"/>
                <w:sz w:val="21"/>
                <w:szCs w:val="21"/>
              </w:rPr>
            </w:pPr>
            <w:r>
              <w:rPr>
                <w:rFonts w:ascii="Arial" w:hAnsi="Arial" w:eastAsia="宋体" w:cs="Arial"/>
                <w:sz w:val="21"/>
                <w:szCs w:val="21"/>
              </w:rPr>
              <w:t>2015年9月24日</w:t>
            </w:r>
          </w:p>
        </w:tc>
      </w:tr>
      <w:tr w14:paraId="3A377CB8">
        <w:tblPrEx>
          <w:tblCellMar>
            <w:top w:w="0" w:type="dxa"/>
            <w:left w:w="0" w:type="dxa"/>
            <w:bottom w:w="0" w:type="dxa"/>
            <w:right w:w="0" w:type="dxa"/>
          </w:tblCellMar>
        </w:tblPrEx>
        <w:tc>
          <w:tcPr>
            <w:tcW w:w="1800" w:type="dxa"/>
            <w:tcBorders>
              <w:top w:val="single" w:color="000000" w:sz="8" w:space="0"/>
              <w:left w:val="single" w:color="000000" w:sz="8" w:space="0"/>
              <w:bottom w:val="single" w:color="000000" w:sz="8" w:space="0"/>
              <w:right w:val="single" w:color="000000" w:sz="8" w:space="0"/>
            </w:tcBorders>
          </w:tcPr>
          <w:p w14:paraId="34F4E4FC">
            <w:pPr>
              <w:pStyle w:val="23"/>
              <w:overflowPunct w:val="0"/>
              <w:snapToGrid w:val="0"/>
              <w:spacing w:before="120" w:beforeLines="50" w:after="120" w:afterLines="50" w:line="300" w:lineRule="auto"/>
              <w:ind w:left="44" w:leftChars="20" w:right="44" w:rightChars="20"/>
              <w:rPr>
                <w:rFonts w:ascii="Arial" w:hAnsi="Arial" w:eastAsia="宋体" w:cs="Arial"/>
                <w:sz w:val="21"/>
                <w:szCs w:val="21"/>
              </w:rPr>
            </w:pPr>
            <w:r>
              <w:rPr>
                <w:rFonts w:ascii="Arial" w:hAnsi="Arial" w:eastAsia="宋体" w:cs="Arial"/>
                <w:sz w:val="21"/>
                <w:szCs w:val="21"/>
              </w:rPr>
              <w:t>II类</w:t>
            </w:r>
          </w:p>
        </w:tc>
        <w:tc>
          <w:tcPr>
            <w:tcW w:w="2700" w:type="dxa"/>
            <w:tcBorders>
              <w:top w:val="single" w:color="000000" w:sz="8" w:space="0"/>
              <w:left w:val="single" w:color="000000" w:sz="8" w:space="0"/>
              <w:bottom w:val="single" w:color="000000" w:sz="8" w:space="0"/>
              <w:right w:val="single" w:color="000000" w:sz="4" w:space="0"/>
            </w:tcBorders>
          </w:tcPr>
          <w:p w14:paraId="64D02E52">
            <w:pPr>
              <w:pStyle w:val="23"/>
              <w:overflowPunct w:val="0"/>
              <w:snapToGrid w:val="0"/>
              <w:spacing w:before="120" w:beforeLines="50" w:after="120" w:afterLines="50" w:line="300" w:lineRule="auto"/>
              <w:ind w:left="44" w:leftChars="20" w:right="44" w:rightChars="20"/>
              <w:jc w:val="center"/>
              <w:rPr>
                <w:rFonts w:ascii="Arial" w:hAnsi="Arial" w:eastAsia="宋体" w:cs="Arial"/>
                <w:sz w:val="21"/>
                <w:szCs w:val="21"/>
              </w:rPr>
            </w:pPr>
            <w:r>
              <w:rPr>
                <w:rFonts w:ascii="Arial" w:hAnsi="Arial" w:eastAsia="宋体" w:cs="Arial"/>
                <w:sz w:val="21"/>
                <w:szCs w:val="21"/>
              </w:rPr>
              <w:t>2016年9月24日</w:t>
            </w:r>
          </w:p>
        </w:tc>
        <w:tc>
          <w:tcPr>
            <w:tcW w:w="4050" w:type="dxa"/>
            <w:tcBorders>
              <w:top w:val="single" w:color="000000" w:sz="8" w:space="0"/>
              <w:left w:val="single" w:color="000000" w:sz="4" w:space="0"/>
              <w:bottom w:val="single" w:color="000000" w:sz="8" w:space="0"/>
              <w:right w:val="single" w:color="000000" w:sz="4" w:space="0"/>
            </w:tcBorders>
          </w:tcPr>
          <w:p w14:paraId="51C987A6">
            <w:pPr>
              <w:pStyle w:val="23"/>
              <w:overflowPunct w:val="0"/>
              <w:snapToGrid w:val="0"/>
              <w:spacing w:before="120" w:beforeLines="50" w:after="120" w:afterLines="50" w:line="300" w:lineRule="auto"/>
              <w:ind w:left="44" w:leftChars="20" w:right="44" w:rightChars="20"/>
              <w:jc w:val="center"/>
              <w:rPr>
                <w:rFonts w:ascii="Arial" w:hAnsi="Arial" w:eastAsia="宋体" w:cs="Arial"/>
                <w:sz w:val="21"/>
                <w:szCs w:val="21"/>
              </w:rPr>
            </w:pPr>
            <w:r>
              <w:rPr>
                <w:rFonts w:ascii="Arial" w:hAnsi="Arial" w:eastAsia="宋体" w:cs="Arial"/>
                <w:sz w:val="21"/>
                <w:szCs w:val="21"/>
              </w:rPr>
              <w:t>2018年9月24日</w:t>
            </w:r>
          </w:p>
        </w:tc>
      </w:tr>
      <w:tr w14:paraId="00E1B3B7">
        <w:tblPrEx>
          <w:tblCellMar>
            <w:top w:w="0" w:type="dxa"/>
            <w:left w:w="0" w:type="dxa"/>
            <w:bottom w:w="0" w:type="dxa"/>
            <w:right w:w="0" w:type="dxa"/>
          </w:tblCellMar>
        </w:tblPrEx>
        <w:tc>
          <w:tcPr>
            <w:tcW w:w="1800" w:type="dxa"/>
            <w:tcBorders>
              <w:top w:val="single" w:color="000000" w:sz="8" w:space="0"/>
              <w:left w:val="single" w:color="000000" w:sz="8" w:space="0"/>
              <w:bottom w:val="single" w:color="000000" w:sz="8" w:space="0"/>
              <w:right w:val="single" w:color="000000" w:sz="8" w:space="0"/>
            </w:tcBorders>
          </w:tcPr>
          <w:p w14:paraId="2CAFCF2A">
            <w:pPr>
              <w:pStyle w:val="23"/>
              <w:overflowPunct w:val="0"/>
              <w:snapToGrid w:val="0"/>
              <w:spacing w:before="120" w:beforeLines="50" w:after="120" w:afterLines="50" w:line="300" w:lineRule="auto"/>
              <w:ind w:left="44" w:leftChars="20" w:right="44" w:rightChars="20"/>
              <w:rPr>
                <w:rFonts w:ascii="Arial" w:hAnsi="Arial" w:eastAsia="宋体" w:cs="Arial"/>
                <w:sz w:val="21"/>
                <w:szCs w:val="21"/>
              </w:rPr>
            </w:pPr>
            <w:r>
              <w:rPr>
                <w:rFonts w:ascii="Arial" w:hAnsi="Arial" w:eastAsia="宋体" w:cs="Arial"/>
                <w:sz w:val="21"/>
                <w:szCs w:val="21"/>
              </w:rPr>
              <w:t>I类和未分类</w:t>
            </w:r>
          </w:p>
        </w:tc>
        <w:tc>
          <w:tcPr>
            <w:tcW w:w="2700" w:type="dxa"/>
            <w:tcBorders>
              <w:top w:val="single" w:color="000000" w:sz="8" w:space="0"/>
              <w:left w:val="single" w:color="000000" w:sz="8" w:space="0"/>
              <w:bottom w:val="single" w:color="000000" w:sz="8" w:space="0"/>
              <w:right w:val="single" w:color="000000" w:sz="4" w:space="0"/>
            </w:tcBorders>
          </w:tcPr>
          <w:p w14:paraId="7BA18F9F">
            <w:pPr>
              <w:pStyle w:val="23"/>
              <w:overflowPunct w:val="0"/>
              <w:snapToGrid w:val="0"/>
              <w:spacing w:before="120" w:beforeLines="50" w:after="120" w:afterLines="50" w:line="300" w:lineRule="auto"/>
              <w:ind w:left="44" w:leftChars="20" w:right="44" w:rightChars="20"/>
              <w:jc w:val="center"/>
              <w:rPr>
                <w:rFonts w:ascii="Arial" w:hAnsi="Arial" w:eastAsia="宋体" w:cs="Arial"/>
                <w:sz w:val="21"/>
                <w:szCs w:val="21"/>
              </w:rPr>
            </w:pPr>
            <w:r>
              <w:rPr>
                <w:rFonts w:ascii="Arial" w:hAnsi="Arial" w:eastAsia="宋体" w:cs="Arial"/>
                <w:sz w:val="21"/>
                <w:szCs w:val="21"/>
              </w:rPr>
              <w:t>2018年9月24日</w:t>
            </w:r>
          </w:p>
        </w:tc>
        <w:tc>
          <w:tcPr>
            <w:tcW w:w="4050" w:type="dxa"/>
            <w:tcBorders>
              <w:top w:val="single" w:color="000000" w:sz="8" w:space="0"/>
              <w:left w:val="single" w:color="000000" w:sz="4" w:space="0"/>
              <w:bottom w:val="single" w:color="000000" w:sz="8" w:space="0"/>
              <w:right w:val="single" w:color="000000" w:sz="4" w:space="0"/>
            </w:tcBorders>
          </w:tcPr>
          <w:p w14:paraId="1825FEA6">
            <w:pPr>
              <w:pStyle w:val="23"/>
              <w:overflowPunct w:val="0"/>
              <w:snapToGrid w:val="0"/>
              <w:spacing w:before="120" w:beforeLines="50" w:after="120" w:afterLines="50" w:line="300" w:lineRule="auto"/>
              <w:ind w:left="44" w:leftChars="20" w:right="44" w:rightChars="20"/>
              <w:jc w:val="center"/>
              <w:rPr>
                <w:rFonts w:ascii="Arial" w:hAnsi="Arial" w:eastAsia="宋体" w:cs="Arial"/>
                <w:sz w:val="21"/>
                <w:szCs w:val="21"/>
              </w:rPr>
            </w:pPr>
            <w:r>
              <w:rPr>
                <w:rFonts w:ascii="Arial" w:hAnsi="Arial" w:eastAsia="宋体" w:cs="Arial"/>
                <w:sz w:val="21"/>
                <w:szCs w:val="21"/>
              </w:rPr>
              <w:t>2020年9月24日</w:t>
            </w:r>
          </w:p>
        </w:tc>
      </w:tr>
    </w:tbl>
    <w:p w14:paraId="00B70E10">
      <w:pPr>
        <w:pStyle w:val="7"/>
        <w:numPr>
          <w:ilvl w:val="0"/>
          <w:numId w:val="2"/>
        </w:numPr>
        <w:overflowPunct w:val="0"/>
        <w:snapToGrid w:val="0"/>
        <w:spacing w:after="120" w:afterLines="50" w:line="300" w:lineRule="auto"/>
        <w:jc w:val="both"/>
        <w:rPr>
          <w:rFonts w:ascii="Arial" w:hAnsi="Arial" w:cs="Arial"/>
        </w:rPr>
      </w:pPr>
      <w:r>
        <w:rPr>
          <w:rFonts w:ascii="Arial" w:hAnsi="Arial" w:cs="Arial"/>
        </w:rPr>
        <w:t>I/LS/LS =植入式，生命支持，生命维持</w:t>
      </w:r>
    </w:p>
    <w:p w14:paraId="33927881">
      <w:pPr>
        <w:pStyle w:val="7"/>
        <w:numPr>
          <w:ilvl w:val="0"/>
          <w:numId w:val="2"/>
        </w:numPr>
        <w:overflowPunct w:val="0"/>
        <w:snapToGrid w:val="0"/>
        <w:spacing w:after="120" w:afterLines="50" w:line="300" w:lineRule="auto"/>
        <w:jc w:val="both"/>
        <w:rPr>
          <w:rFonts w:ascii="Arial" w:hAnsi="Arial" w:cs="Arial"/>
        </w:rPr>
      </w:pPr>
      <w:r>
        <w:rPr>
          <w:rFonts w:ascii="Arial" w:hAnsi="Arial" w:cs="Arial"/>
        </w:rPr>
        <w:t>如果</w:t>
      </w:r>
      <w:r>
        <w:rPr>
          <w:rFonts w:hint="eastAsia" w:ascii="Arial" w:hAnsi="Arial" w:cs="Arial"/>
        </w:rPr>
        <w:t>必须在标签上标记</w:t>
      </w:r>
      <w:r>
        <w:rPr>
          <w:rFonts w:ascii="Arial" w:hAnsi="Arial" w:cs="Arial"/>
        </w:rPr>
        <w:t>UDI的器械可多次使用且在每次使用之前均需进行再加工，则必须</w:t>
      </w:r>
      <w:r>
        <w:rPr>
          <w:rFonts w:hint="eastAsia" w:ascii="Arial" w:hAnsi="Arial" w:cs="Arial"/>
        </w:rPr>
        <w:t>对该器械进行</w:t>
      </w:r>
      <w:r>
        <w:rPr>
          <w:rFonts w:ascii="Arial" w:hAnsi="Arial" w:cs="Arial"/>
        </w:rPr>
        <w:t>直接标记</w:t>
      </w:r>
      <w:r>
        <w:rPr>
          <w:rFonts w:hint="eastAsia" w:ascii="Arial" w:hAnsi="Arial" w:cs="Arial"/>
        </w:rPr>
        <w:t>，</w:t>
      </w:r>
      <w:r>
        <w:rPr>
          <w:rFonts w:ascii="Arial" w:hAnsi="Arial" w:cs="Arial"/>
        </w:rPr>
        <w:t>除非另有说明（21 CFR 801.45）。直接标记要求补充标签/</w:t>
      </w:r>
      <w:r>
        <w:rPr>
          <w:rFonts w:hint="eastAsia" w:ascii="Arial" w:hAnsi="Arial" w:cs="Arial"/>
        </w:rPr>
        <w:t>数据库/</w:t>
      </w:r>
      <w:r>
        <w:rPr>
          <w:rFonts w:ascii="Arial" w:hAnsi="Arial" w:cs="Arial"/>
        </w:rPr>
        <w:t>日期格式要求。</w:t>
      </w:r>
    </w:p>
    <w:p w14:paraId="1F66FB0C">
      <w:pPr>
        <w:pStyle w:val="7"/>
        <w:overflowPunct w:val="0"/>
        <w:snapToGrid w:val="0"/>
        <w:spacing w:after="120" w:afterLines="50" w:line="300" w:lineRule="auto"/>
        <w:ind w:left="0"/>
        <w:jc w:val="both"/>
        <w:rPr>
          <w:rFonts w:ascii="Arial" w:hAnsi="Arial" w:cs="Arial"/>
        </w:rPr>
      </w:pPr>
      <w:r>
        <w:rPr>
          <w:rFonts w:ascii="Arial" w:hAnsi="Arial" w:cs="Arial"/>
        </w:rPr>
        <w:t>有关UDI合规日期的详细信息，请</w:t>
      </w:r>
      <w:r>
        <w:rPr>
          <w:rFonts w:hint="eastAsia" w:ascii="Arial" w:hAnsi="Arial" w:cs="Arial"/>
        </w:rPr>
        <w:t>参见</w:t>
      </w:r>
      <w:r>
        <w:fldChar w:fldCharType="begin"/>
      </w:r>
      <w:r>
        <w:instrText xml:space="preserve"> HYPERLINK "https://www.federalregister.gov/articles/2013/09/24/2013-23059/unique-device-identification-system" \h </w:instrText>
      </w:r>
      <w:r>
        <w:fldChar w:fldCharType="separate"/>
      </w:r>
      <w:r>
        <w:rPr>
          <w:rFonts w:ascii="Arial" w:hAnsi="Arial" w:cs="Arial"/>
          <w:color w:val="0000FF"/>
          <w:u w:val="single" w:color="0000FF"/>
        </w:rPr>
        <w:t>UDI最终规则（2013年9月24日）</w:t>
      </w:r>
      <w:r>
        <w:rPr>
          <w:rFonts w:ascii="Arial" w:hAnsi="Arial" w:cs="Arial"/>
          <w:color w:val="0000FF"/>
          <w:u w:val="single" w:color="0000FF"/>
        </w:rPr>
        <w:fldChar w:fldCharType="end"/>
      </w:r>
      <w:r>
        <w:rPr>
          <w:rFonts w:ascii="Arial" w:hAnsi="Arial" w:cs="Arial"/>
        </w:rPr>
        <w:t>。</w:t>
      </w:r>
    </w:p>
    <w:p w14:paraId="154826DA">
      <w:pPr>
        <w:pBdr>
          <w:bottom w:val="single" w:color="auto" w:sz="4" w:space="1"/>
        </w:pBdr>
        <w:overflowPunct w:val="0"/>
        <w:snapToGrid w:val="0"/>
        <w:spacing w:after="120" w:afterLines="50" w:line="300" w:lineRule="auto"/>
        <w:jc w:val="center"/>
        <w:rPr>
          <w:rFonts w:hint="eastAsia" w:eastAsia="宋体"/>
          <w:lang w:eastAsia="zh-CN"/>
        </w:rPr>
      </w:pPr>
    </w:p>
    <w:p w14:paraId="422B5509">
      <w:pPr>
        <w:pBdr>
          <w:bottom w:val="single" w:color="auto" w:sz="4" w:space="1"/>
        </w:pBdr>
        <w:overflowPunct w:val="0"/>
        <w:snapToGrid w:val="0"/>
        <w:spacing w:after="120" w:afterLines="50" w:line="300" w:lineRule="auto"/>
        <w:jc w:val="center"/>
        <w:rPr>
          <w:rFonts w:hint="eastAsia" w:eastAsia="宋体"/>
          <w:lang w:eastAsia="zh-CN"/>
        </w:rPr>
      </w:pPr>
    </w:p>
    <w:p w14:paraId="5D45483C">
      <w:pPr>
        <w:pBdr>
          <w:bottom w:val="single" w:color="auto" w:sz="4" w:space="1"/>
        </w:pBdr>
        <w:overflowPunct w:val="0"/>
        <w:snapToGrid w:val="0"/>
        <w:spacing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endnotePr>
        <w:numFmt w:val="decimal"/>
      </w:endnotePr>
      <w:pgSz w:w="12240" w:h="15840"/>
      <w:pgMar w:top="1440" w:right="1800" w:bottom="1440" w:left="1800" w:header="720" w:footer="720" w:gutter="0"/>
      <w:pgNumType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592818610"/>
      <w:docPartObj>
        <w:docPartGallery w:val="AutoText"/>
      </w:docPartObj>
    </w:sdtPr>
    <w:sdtEndPr>
      <w:rPr>
        <w:rFonts w:ascii="Arial" w:hAnsi="Arial" w:cs="Arial"/>
        <w:sz w:val="21"/>
        <w:szCs w:val="21"/>
      </w:rPr>
    </w:sdtEndPr>
    <w:sdtContent>
      <w:p w14:paraId="5CFD9986">
        <w:pPr>
          <w:pStyle w:val="11"/>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4</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61A09E8">
      <w:pPr>
        <w:pStyle w:val="14"/>
        <w:rPr>
          <w:rFonts w:ascii="Arial" w:hAnsi="Arial" w:cs="Arial"/>
        </w:rPr>
      </w:pPr>
      <w:r>
        <w:rPr>
          <w:rStyle w:val="20"/>
          <w:rFonts w:ascii="Arial" w:hAnsi="Arial" w:cs="Arial"/>
        </w:rPr>
        <w:footnoteRef/>
      </w:r>
      <w:r>
        <w:rPr>
          <w:rFonts w:ascii="Arial" w:hAnsi="Arial" w:cs="Arial"/>
        </w:rPr>
        <w:t xml:space="preserve"> </w:t>
      </w:r>
      <w:r>
        <w:rPr>
          <w:rFonts w:ascii="Arial" w:hAnsi="Arial" w:eastAsia="宋体" w:cs="Arial"/>
        </w:rPr>
        <w:t>根据21 CFR 207.35中的定义，在此类情况下，用作补偿编号的11位数NDC是FDA官方10位数NDC的派生版本。</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A2050">
    <w:pPr>
      <w:spacing w:line="265" w:lineRule="exact"/>
      <w:ind w:left="20"/>
      <w:jc w:val="center"/>
      <w:rPr>
        <w:rFonts w:ascii="Times New Roman" w:hAnsi="Times New Roman" w:eastAsia="宋体" w:cs="Times New Roman"/>
        <w:sz w:val="24"/>
        <w:szCs w:val="24"/>
      </w:rPr>
    </w:pPr>
    <w:r>
      <w:rPr>
        <w:rFonts w:hint="eastAsia" w:ascii="Times New Roman" w:eastAsia="宋体"/>
        <w:b/>
        <w:i/>
        <w:sz w:val="24"/>
      </w:rPr>
      <w:t>所含建议不具约束力</w:t>
    </w:r>
  </w:p>
  <w:p w14:paraId="1797AD98">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785CF6"/>
    <w:multiLevelType w:val="multilevel"/>
    <w:tmpl w:val="27785CF6"/>
    <w:lvl w:ilvl="0" w:tentative="0">
      <w:start w:val="1"/>
      <w:numFmt w:val="decimal"/>
      <w:lvlText w:val="%1."/>
      <w:lvlJc w:val="left"/>
      <w:pPr>
        <w:ind w:left="420" w:hanging="420"/>
      </w:pPr>
      <w:rPr>
        <w:vertAlign w:val="superscrip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D1E7930"/>
    <w:multiLevelType w:val="multilevel"/>
    <w:tmpl w:val="6D1E7930"/>
    <w:lvl w:ilvl="0" w:tentative="0">
      <w:start w:val="1"/>
      <w:numFmt w:val="upperRoman"/>
      <w:lvlText w:val="%1."/>
      <w:lvlJc w:val="left"/>
      <w:pPr>
        <w:ind w:left="540" w:hanging="441"/>
        <w:jc w:val="left"/>
      </w:pPr>
      <w:rPr>
        <w:rFonts w:hint="default" w:ascii="Times New Roman" w:hAnsi="Times New Roman" w:eastAsia="Times New Roman"/>
        <w:sz w:val="20"/>
        <w:szCs w:val="20"/>
      </w:rPr>
    </w:lvl>
    <w:lvl w:ilvl="1" w:tentative="0">
      <w:start w:val="1"/>
      <w:numFmt w:val="upperRoman"/>
      <w:lvlText w:val="%2."/>
      <w:lvlJc w:val="left"/>
      <w:pPr>
        <w:ind w:left="120" w:hanging="720"/>
        <w:jc w:val="right"/>
      </w:pPr>
      <w:rPr>
        <w:rFonts w:hint="default" w:ascii="Arial" w:hAnsi="Arial" w:eastAsia="Times New Roman" w:cs="Arial"/>
        <w:b/>
        <w:bCs/>
        <w:sz w:val="36"/>
        <w:szCs w:val="36"/>
      </w:rPr>
    </w:lvl>
    <w:lvl w:ilvl="2" w:tentative="0">
      <w:start w:val="1"/>
      <w:numFmt w:val="upperLetter"/>
      <w:lvlText w:val="%3."/>
      <w:lvlJc w:val="left"/>
      <w:pPr>
        <w:ind w:left="1540" w:hanging="720"/>
        <w:jc w:val="left"/>
      </w:pPr>
      <w:rPr>
        <w:rFonts w:hint="default" w:ascii="Arial" w:hAnsi="Arial" w:eastAsia="Times New Roman" w:cs="Arial"/>
        <w:b/>
        <w:bCs/>
      </w:rPr>
    </w:lvl>
    <w:lvl w:ilvl="3" w:tentative="0">
      <w:start w:val="1"/>
      <w:numFmt w:val="bullet"/>
      <w:lvlText w:val="•"/>
      <w:lvlJc w:val="left"/>
      <w:pPr>
        <w:ind w:left="2497" w:hanging="720"/>
      </w:pPr>
      <w:rPr>
        <w:rFonts w:hint="default"/>
      </w:rPr>
    </w:lvl>
    <w:lvl w:ilvl="4" w:tentative="0">
      <w:start w:val="1"/>
      <w:numFmt w:val="bullet"/>
      <w:lvlText w:val="•"/>
      <w:lvlJc w:val="left"/>
      <w:pPr>
        <w:ind w:left="3455" w:hanging="720"/>
      </w:pPr>
      <w:rPr>
        <w:rFonts w:hint="default"/>
      </w:rPr>
    </w:lvl>
    <w:lvl w:ilvl="5" w:tentative="0">
      <w:start w:val="1"/>
      <w:numFmt w:val="bullet"/>
      <w:lvlText w:val="•"/>
      <w:lvlJc w:val="left"/>
      <w:pPr>
        <w:ind w:left="4412" w:hanging="720"/>
      </w:pPr>
      <w:rPr>
        <w:rFonts w:hint="default"/>
      </w:rPr>
    </w:lvl>
    <w:lvl w:ilvl="6" w:tentative="0">
      <w:start w:val="1"/>
      <w:numFmt w:val="bullet"/>
      <w:lvlText w:val="•"/>
      <w:lvlJc w:val="left"/>
      <w:pPr>
        <w:ind w:left="5370" w:hanging="720"/>
      </w:pPr>
      <w:rPr>
        <w:rFonts w:hint="default"/>
      </w:rPr>
    </w:lvl>
    <w:lvl w:ilvl="7" w:tentative="0">
      <w:start w:val="1"/>
      <w:numFmt w:val="bullet"/>
      <w:lvlText w:val="•"/>
      <w:lvlJc w:val="left"/>
      <w:pPr>
        <w:ind w:left="6327" w:hanging="720"/>
      </w:pPr>
      <w:rPr>
        <w:rFonts w:hint="default"/>
      </w:rPr>
    </w:lvl>
    <w:lvl w:ilvl="8" w:tentative="0">
      <w:start w:val="1"/>
      <w:numFmt w:val="bullet"/>
      <w:lvlText w:val="•"/>
      <w:lvlJc w:val="left"/>
      <w:pPr>
        <w:ind w:left="7285"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footnotePr>
    <w:footnote w:id="2"/>
    <w:footnote w:id="3"/>
  </w:footnotePr>
  <w:endnotePr>
    <w:numFmt w:val="decimal"/>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918"/>
    <w:rsid w:val="00015F72"/>
    <w:rsid w:val="00057159"/>
    <w:rsid w:val="00090977"/>
    <w:rsid w:val="000C399D"/>
    <w:rsid w:val="000C5FEA"/>
    <w:rsid w:val="000D761D"/>
    <w:rsid w:val="0010448C"/>
    <w:rsid w:val="00113F10"/>
    <w:rsid w:val="00165EE7"/>
    <w:rsid w:val="001B4078"/>
    <w:rsid w:val="00205CC9"/>
    <w:rsid w:val="002820E1"/>
    <w:rsid w:val="002A494B"/>
    <w:rsid w:val="0031423B"/>
    <w:rsid w:val="003A2865"/>
    <w:rsid w:val="003B17B6"/>
    <w:rsid w:val="003D7F29"/>
    <w:rsid w:val="003E00B9"/>
    <w:rsid w:val="00423394"/>
    <w:rsid w:val="004674A6"/>
    <w:rsid w:val="004A220B"/>
    <w:rsid w:val="0050064E"/>
    <w:rsid w:val="00532B1D"/>
    <w:rsid w:val="00566B8D"/>
    <w:rsid w:val="005761B4"/>
    <w:rsid w:val="005A0F5D"/>
    <w:rsid w:val="005A6184"/>
    <w:rsid w:val="005C2511"/>
    <w:rsid w:val="006045B3"/>
    <w:rsid w:val="006208F0"/>
    <w:rsid w:val="00626D13"/>
    <w:rsid w:val="006775FF"/>
    <w:rsid w:val="006F2056"/>
    <w:rsid w:val="00723095"/>
    <w:rsid w:val="00784BA1"/>
    <w:rsid w:val="007A1BD9"/>
    <w:rsid w:val="007A27C2"/>
    <w:rsid w:val="007F27C4"/>
    <w:rsid w:val="0085630D"/>
    <w:rsid w:val="00895F2C"/>
    <w:rsid w:val="009D0789"/>
    <w:rsid w:val="00A008DF"/>
    <w:rsid w:val="00A17E06"/>
    <w:rsid w:val="00A36636"/>
    <w:rsid w:val="00A600E1"/>
    <w:rsid w:val="00A70F07"/>
    <w:rsid w:val="00AA5ADF"/>
    <w:rsid w:val="00AC515F"/>
    <w:rsid w:val="00B02C1E"/>
    <w:rsid w:val="00B23268"/>
    <w:rsid w:val="00B31921"/>
    <w:rsid w:val="00B44EB6"/>
    <w:rsid w:val="00B53918"/>
    <w:rsid w:val="00B8760F"/>
    <w:rsid w:val="00BF47C4"/>
    <w:rsid w:val="00C232B9"/>
    <w:rsid w:val="00C2361A"/>
    <w:rsid w:val="00C74958"/>
    <w:rsid w:val="00CC1CAC"/>
    <w:rsid w:val="00CC3B81"/>
    <w:rsid w:val="00CF6F3C"/>
    <w:rsid w:val="00D54DE4"/>
    <w:rsid w:val="00D7503F"/>
    <w:rsid w:val="00DE7279"/>
    <w:rsid w:val="00EA5310"/>
    <w:rsid w:val="00FB33FE"/>
    <w:rsid w:val="00FF2613"/>
    <w:rsid w:val="13070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100"/>
      <w:outlineLvl w:val="0"/>
    </w:pPr>
    <w:rPr>
      <w:rFonts w:ascii="Times New Roman" w:hAnsi="Times New Roman" w:eastAsia="宋体"/>
      <w:b/>
      <w:bCs/>
      <w:sz w:val="36"/>
      <w:szCs w:val="36"/>
    </w:rPr>
  </w:style>
  <w:style w:type="paragraph" w:styleId="3">
    <w:name w:val="heading 2"/>
    <w:basedOn w:val="1"/>
    <w:qFormat/>
    <w:uiPriority w:val="1"/>
    <w:pPr>
      <w:ind w:left="1540" w:hanging="720"/>
      <w:outlineLvl w:val="1"/>
    </w:pPr>
    <w:rPr>
      <w:rFonts w:ascii="Times New Roman" w:hAnsi="Times New Roman" w:eastAsia="宋体"/>
      <w:b/>
      <w:bCs/>
      <w:sz w:val="32"/>
      <w:szCs w:val="32"/>
    </w:rPr>
  </w:style>
  <w:style w:type="paragraph" w:styleId="4">
    <w:name w:val="heading 3"/>
    <w:basedOn w:val="1"/>
    <w:qFormat/>
    <w:uiPriority w:val="1"/>
    <w:pPr>
      <w:ind w:left="140"/>
      <w:outlineLvl w:val="2"/>
    </w:pPr>
    <w:rPr>
      <w:rFonts w:ascii="Times New Roman" w:hAnsi="Times New Roman" w:eastAsia="宋体"/>
      <w:b/>
      <w:bCs/>
      <w:sz w:val="28"/>
      <w:szCs w:val="28"/>
    </w:rPr>
  </w:style>
  <w:style w:type="paragraph" w:styleId="5">
    <w:name w:val="heading 4"/>
    <w:basedOn w:val="1"/>
    <w:qFormat/>
    <w:uiPriority w:val="1"/>
    <w:pPr>
      <w:outlineLvl w:val="3"/>
    </w:pPr>
    <w:rPr>
      <w:rFonts w:ascii="Times New Roman" w:hAnsi="Times New Roman" w:eastAsia="宋体"/>
      <w:b/>
      <w:bCs/>
      <w:sz w:val="24"/>
      <w:szCs w:val="24"/>
    </w:rPr>
  </w:style>
  <w:style w:type="paragraph" w:styleId="6">
    <w:name w:val="heading 5"/>
    <w:basedOn w:val="1"/>
    <w:qFormat/>
    <w:uiPriority w:val="1"/>
    <w:pPr>
      <w:ind w:left="20"/>
      <w:outlineLvl w:val="4"/>
    </w:pPr>
    <w:rPr>
      <w:rFonts w:ascii="Times New Roman" w:hAnsi="Times New Roman" w:eastAsia="宋体"/>
      <w:b/>
      <w:bCs/>
      <w:i/>
      <w:sz w:val="24"/>
      <w:szCs w:val="24"/>
    </w:rPr>
  </w:style>
  <w:style w:type="character" w:default="1" w:styleId="17">
    <w:name w:val="Default Paragraph Font"/>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1"/>
    <w:pPr>
      <w:ind w:left="100"/>
    </w:pPr>
    <w:rPr>
      <w:rFonts w:ascii="Times New Roman" w:hAnsi="Times New Roman" w:eastAsia="宋体"/>
      <w:sz w:val="24"/>
      <w:szCs w:val="24"/>
    </w:rPr>
  </w:style>
  <w:style w:type="paragraph" w:styleId="8">
    <w:name w:val="toc 3"/>
    <w:basedOn w:val="1"/>
    <w:next w:val="1"/>
    <w:autoRedefine/>
    <w:unhideWhenUsed/>
    <w:uiPriority w:val="39"/>
    <w:pPr>
      <w:ind w:left="840" w:leftChars="400"/>
    </w:pPr>
  </w:style>
  <w:style w:type="paragraph" w:styleId="9">
    <w:name w:val="endnote text"/>
    <w:basedOn w:val="1"/>
    <w:link w:val="28"/>
    <w:semiHidden/>
    <w:unhideWhenUsed/>
    <w:uiPriority w:val="99"/>
    <w:pPr>
      <w:snapToGrid w:val="0"/>
    </w:pPr>
  </w:style>
  <w:style w:type="paragraph" w:styleId="10">
    <w:name w:val="Balloon Text"/>
    <w:basedOn w:val="1"/>
    <w:link w:val="26"/>
    <w:semiHidden/>
    <w:unhideWhenUsed/>
    <w:uiPriority w:val="99"/>
    <w:rPr>
      <w:sz w:val="18"/>
      <w:szCs w:val="18"/>
    </w:rPr>
  </w:style>
  <w:style w:type="paragraph" w:styleId="11">
    <w:name w:val="footer"/>
    <w:basedOn w:val="1"/>
    <w:link w:val="25"/>
    <w:unhideWhenUsed/>
    <w:uiPriority w:val="99"/>
    <w:pPr>
      <w:tabs>
        <w:tab w:val="center" w:pos="4153"/>
        <w:tab w:val="right" w:pos="8306"/>
      </w:tabs>
      <w:snapToGrid w:val="0"/>
    </w:pPr>
    <w:rPr>
      <w:sz w:val="18"/>
      <w:szCs w:val="18"/>
    </w:rPr>
  </w:style>
  <w:style w:type="paragraph" w:styleId="12">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qFormat/>
    <w:uiPriority w:val="39"/>
    <w:pPr>
      <w:spacing w:before="4"/>
      <w:ind w:left="540" w:hanging="440"/>
    </w:pPr>
    <w:rPr>
      <w:rFonts w:ascii="Times New Roman" w:hAnsi="Times New Roman" w:eastAsia="宋体"/>
      <w:sz w:val="20"/>
      <w:szCs w:val="20"/>
    </w:rPr>
  </w:style>
  <w:style w:type="paragraph" w:styleId="14">
    <w:name w:val="footnote text"/>
    <w:basedOn w:val="1"/>
    <w:link w:val="27"/>
    <w:semiHidden/>
    <w:unhideWhenUsed/>
    <w:uiPriority w:val="99"/>
    <w:pPr>
      <w:snapToGrid w:val="0"/>
    </w:pPr>
    <w:rPr>
      <w:sz w:val="18"/>
      <w:szCs w:val="18"/>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ndnote reference"/>
    <w:basedOn w:val="17"/>
    <w:semiHidden/>
    <w:unhideWhenUsed/>
    <w:uiPriority w:val="99"/>
    <w:rPr>
      <w:vertAlign w:val="superscript"/>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styleId="20">
    <w:name w:val="footnote reference"/>
    <w:basedOn w:val="17"/>
    <w:semiHidden/>
    <w:unhideWhenUsed/>
    <w:qFormat/>
    <w:uiPriority w:val="99"/>
    <w:rPr>
      <w:vertAlign w:val="superscript"/>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style>
  <w:style w:type="paragraph" w:customStyle="1" w:styleId="23">
    <w:name w:val="Table Paragraph"/>
    <w:basedOn w:val="1"/>
    <w:qFormat/>
    <w:uiPriority w:val="1"/>
  </w:style>
  <w:style w:type="character" w:customStyle="1" w:styleId="24">
    <w:name w:val="页眉 Char"/>
    <w:basedOn w:val="17"/>
    <w:link w:val="12"/>
    <w:uiPriority w:val="99"/>
    <w:rPr>
      <w:sz w:val="18"/>
      <w:szCs w:val="18"/>
    </w:rPr>
  </w:style>
  <w:style w:type="character" w:customStyle="1" w:styleId="25">
    <w:name w:val="页脚 Char"/>
    <w:basedOn w:val="17"/>
    <w:link w:val="11"/>
    <w:uiPriority w:val="99"/>
    <w:rPr>
      <w:sz w:val="18"/>
      <w:szCs w:val="18"/>
    </w:rPr>
  </w:style>
  <w:style w:type="character" w:customStyle="1" w:styleId="26">
    <w:name w:val="批注框文本 Char"/>
    <w:basedOn w:val="17"/>
    <w:link w:val="10"/>
    <w:semiHidden/>
    <w:uiPriority w:val="99"/>
    <w:rPr>
      <w:sz w:val="18"/>
      <w:szCs w:val="18"/>
    </w:rPr>
  </w:style>
  <w:style w:type="character" w:customStyle="1" w:styleId="27">
    <w:name w:val="脚注文本 Char"/>
    <w:basedOn w:val="17"/>
    <w:link w:val="14"/>
    <w:semiHidden/>
    <w:uiPriority w:val="99"/>
    <w:rPr>
      <w:sz w:val="18"/>
      <w:szCs w:val="18"/>
    </w:rPr>
  </w:style>
  <w:style w:type="character" w:customStyle="1" w:styleId="28">
    <w:name w:val="尾注文本 Char"/>
    <w:basedOn w:val="17"/>
    <w:link w:val="9"/>
    <w:semiHidden/>
    <w:uiPriority w:val="99"/>
  </w:style>
  <w:style w:type="paragraph" w:customStyle="1" w:styleId="29">
    <w:name w:val="TOC Heading"/>
    <w:basedOn w:val="2"/>
    <w:next w:val="1"/>
    <w:semiHidden/>
    <w:unhideWhenUsed/>
    <w:qFormat/>
    <w:uiPriority w:val="39"/>
    <w:pPr>
      <w:keepNext/>
      <w:keepLines/>
      <w:widowControl/>
      <w:spacing w:before="480" w:line="276" w:lineRule="auto"/>
      <w:ind w:left="0"/>
      <w:outlineLvl w:val="9"/>
    </w:pPr>
    <w:rPr>
      <w:rFonts w:asciiTheme="majorHAnsi" w:hAnsiTheme="majorHAnsi" w:eastAsiaTheme="majorEastAsia" w:cstheme="majorBidi"/>
      <w:color w:val="376092"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BA10F-B5F2-4E2B-8E4A-48C6FB88F8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3423</Words>
  <Characters>4371</Characters>
  <Lines>41</Lines>
  <Paragraphs>11</Paragraphs>
  <TotalTime>1</TotalTime>
  <ScaleCrop>false</ScaleCrop>
  <LinksUpToDate>false</LinksUpToDate>
  <CharactersWithSpaces>4479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2017-11-12T13:01:00Z</dcterms:created>
  <dc:creator>CDRH CBER</dc:creator>
  <cp:lastModifiedBy>太极箫客</cp:lastModifiedBy>
  <dcterms:modified xsi:type="dcterms:W3CDTF">2025-08-14T06:36:08Z</dcterms:modified>
  <dc:title>Enforcement Policy on National Health Related Item Code and National Drug Code Numbers Assigned to Devices - Guidance for Industry and Food and Drug Administration Staff</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2016-08-26T00:00:00Z</vt:filetime>
  </property>
  <property fmtid="{D5CDD505-2E9C-101B-9397-08002B2CF9AE}" pid="3" name="Creator">
    <vt:lpwstr>CommonLook Office GlobalAccess-2.0.0.20</vt:lpwstr>
  </property>
  <property fmtid="{D5CDD505-2E9C-101B-9397-08002B2CF9AE}" pid="4" name="LastSaved">
    <vt:filetime>2017-10-15T00:00:00Z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202FF4097BE74D1FA6955EB3D95F4AE4_12</vt:lpwstr>
  </property>
</Properties>
</file>