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AD934">
      <w:pPr>
        <w:autoSpaceDE w:val="0"/>
        <w:autoSpaceDN w:val="0"/>
        <w:spacing w:line="520" w:lineRule="exact"/>
        <w:jc w:val="center"/>
        <w:rPr>
          <w:rFonts w:ascii="方正小标宋简体" w:hAnsi="Times New Roman" w:eastAsia="方正小标宋简体"/>
          <w:sz w:val="44"/>
          <w:szCs w:val="44"/>
        </w:rPr>
      </w:pPr>
      <w:bookmarkStart w:id="0" w:name="OLE_LINK4"/>
      <w:bookmarkStart w:id="1" w:name="OLE_LINK5"/>
      <w:bookmarkStart w:id="17" w:name="_GoBack"/>
      <w:bookmarkEnd w:id="17"/>
      <w:r>
        <w:rPr>
          <w:rFonts w:hint="eastAsia" w:ascii="方正小标宋简体" w:hAnsi="Times New Roman" w:eastAsia="方正小标宋简体"/>
          <w:sz w:val="44"/>
          <w:szCs w:val="44"/>
        </w:rPr>
        <w:t>凝血酶原时间/活化部分凝血活酶时间/凝血酶时间/纤维蛋白原检测试剂产品注册技术指导原则（征求意见稿）</w:t>
      </w:r>
      <w:r>
        <w:rPr>
          <w:rFonts w:hint="eastAsia" w:ascii="方正小标宋简体" w:hAnsi="Times New Roman" w:eastAsia="方正小标宋简体"/>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Times New Roman" w:eastAsia="方正小标宋简体"/>
          <w:sz w:val="44"/>
          <w:szCs w:val="44"/>
        </w:rPr>
        <w:instrText xml:space="preserve">ADDIN CNKISM.UserStyle</w:instrText>
      </w:r>
      <w:r>
        <w:rPr>
          <w:rFonts w:hint="eastAsia" w:ascii="方正小标宋简体" w:hAnsi="Times New Roman" w:eastAsia="方正小标宋简体"/>
          <w:sz w:val="44"/>
          <w:szCs w:val="44"/>
        </w:rPr>
        <w:fldChar w:fldCharType="end"/>
      </w:r>
      <w:bookmarkEnd w:id="0"/>
      <w:bookmarkEnd w:id="1"/>
      <w:bookmarkStart w:id="2" w:name="_Toc323285326"/>
    </w:p>
    <w:bookmarkEnd w:id="2"/>
    <w:p w14:paraId="4D3AA63E">
      <w:pPr>
        <w:adjustRightInd w:val="0"/>
        <w:snapToGrid w:val="0"/>
        <w:spacing w:line="520" w:lineRule="exact"/>
        <w:ind w:firstLine="640" w:firstLineChars="200"/>
        <w:rPr>
          <w:rFonts w:ascii="仿宋_GB2312" w:hAnsi="Times New Roman" w:eastAsia="仿宋_GB2312"/>
          <w:sz w:val="32"/>
          <w:szCs w:val="32"/>
        </w:rPr>
      </w:pPr>
    </w:p>
    <w:p w14:paraId="7EC8A4CE">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指导原则旨在指导注册申请人对凝血酶原时间/活化部分凝血活酶时间/凝血酶时间/纤维蛋白原（以下简称“凝血四项”）检测试剂注册申报资料的准备及撰写，同时也为技术审评部门审评注册申报资料提供参考。</w:t>
      </w:r>
    </w:p>
    <w:p w14:paraId="763B8750">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本指导原则是针对凝血四项</w:t>
      </w:r>
      <w:r>
        <w:rPr>
          <w:rFonts w:hint="eastAsia" w:ascii="仿宋_GB2312" w:hAnsi="Times New Roman" w:eastAsia="仿宋_GB2312"/>
          <w:sz w:val="32"/>
          <w:szCs w:val="32"/>
        </w:rPr>
        <w:t>试剂</w:t>
      </w:r>
      <w:r>
        <w:rPr>
          <w:rFonts w:hint="eastAsia" w:ascii="仿宋_GB2312" w:hAnsi="Times New Roman" w:eastAsia="仿宋_GB2312"/>
          <w:bCs/>
          <w:sz w:val="32"/>
          <w:szCs w:val="32"/>
        </w:rPr>
        <w:t>的一般要求，申请人应依据产品的具体特性确定其中内容是否适用，若不适用，需具体阐述理由及相应的科学依据，并依据产品的具体特性对注册申报资料的内容进行充实和细化。</w:t>
      </w:r>
    </w:p>
    <w:p w14:paraId="591BC67E">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本指导原则是供</w:t>
      </w:r>
      <w:r>
        <w:rPr>
          <w:rFonts w:hint="eastAsia" w:ascii="仿宋_GB2312" w:hAnsi="Times New Roman" w:eastAsia="仿宋_GB2312"/>
          <w:bCs/>
          <w:sz w:val="32"/>
          <w:szCs w:val="32"/>
        </w:rPr>
        <w:t>申请人和审查人员使用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20CCC60C">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本指导原则是在现行法规和标准体系以及当前认知水平下制定的，随着法规、标准的不断完善和</w:t>
      </w:r>
      <w:r>
        <w:rPr>
          <w:rFonts w:hint="eastAsia" w:ascii="仿宋_GB2312" w:hAnsi="Times New Roman" w:eastAsia="仿宋_GB2312"/>
          <w:sz w:val="32"/>
          <w:szCs w:val="32"/>
        </w:rPr>
        <w:t>科学技术的不断发展</w:t>
      </w:r>
      <w:r>
        <w:rPr>
          <w:rFonts w:hint="eastAsia" w:ascii="仿宋_GB2312" w:hAnsi="Times New Roman" w:eastAsia="仿宋_GB2312"/>
          <w:bCs/>
          <w:sz w:val="32"/>
          <w:szCs w:val="32"/>
        </w:rPr>
        <w:t>，本指导原则相关内容也将</w:t>
      </w:r>
      <w:r>
        <w:rPr>
          <w:rFonts w:hint="eastAsia" w:ascii="仿宋_GB2312" w:hAnsi="Times New Roman" w:eastAsia="仿宋_GB2312"/>
          <w:sz w:val="32"/>
          <w:szCs w:val="32"/>
        </w:rPr>
        <w:t>适时进行</w:t>
      </w:r>
      <w:r>
        <w:rPr>
          <w:rFonts w:hint="eastAsia" w:ascii="仿宋_GB2312" w:hAnsi="Times New Roman" w:eastAsia="仿宋_GB2312"/>
          <w:bCs/>
          <w:sz w:val="32"/>
          <w:szCs w:val="32"/>
        </w:rPr>
        <w:t>调整。</w:t>
      </w:r>
    </w:p>
    <w:p w14:paraId="773616AC">
      <w:pPr>
        <w:spacing w:line="520" w:lineRule="exact"/>
        <w:ind w:firstLine="640" w:firstLineChars="200"/>
        <w:rPr>
          <w:rFonts w:ascii="黑体" w:hAnsi="黑体" w:eastAsia="黑体"/>
          <w:bCs/>
          <w:sz w:val="32"/>
          <w:szCs w:val="32"/>
        </w:rPr>
      </w:pPr>
      <w:bookmarkStart w:id="3" w:name="_Toc323285327"/>
      <w:r>
        <w:rPr>
          <w:rFonts w:hint="eastAsia" w:ascii="黑体" w:hAnsi="黑体" w:eastAsia="黑体"/>
          <w:bCs/>
          <w:sz w:val="32"/>
          <w:szCs w:val="32"/>
        </w:rPr>
        <w:t>一、适用范围</w:t>
      </w:r>
      <w:bookmarkEnd w:id="3"/>
    </w:p>
    <w:p w14:paraId="00CB1569">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凝血四项包括凝血酶原时间（prothrombin time，PT）、活化部分凝血活酶时间（activated partial thromboplastin，APTT）、凝血酶时间（thrombin time，TT）和纤维蛋白原（fibrinogen，FIB），是临床上常用的凝血功能初筛的检测指标，主要用于凝血障碍性疾病的初步诊断、抗凝药物的监测以及常规凝血功能的评估等。</w:t>
      </w:r>
    </w:p>
    <w:p w14:paraId="22A46E20">
      <w:pPr>
        <w:spacing w:line="520" w:lineRule="exact"/>
        <w:ind w:firstLine="640" w:firstLineChars="200"/>
        <w:rPr>
          <w:rFonts w:ascii="仿宋_GB2312" w:eastAsia="仿宋_GB2312"/>
          <w:sz w:val="32"/>
          <w:szCs w:val="22"/>
          <w:shd w:val="pct15" w:color="auto" w:fill="FFFFFF"/>
        </w:rPr>
      </w:pPr>
      <w:r>
        <w:rPr>
          <w:rFonts w:hint="eastAsia" w:ascii="仿宋_GB2312" w:eastAsia="仿宋_GB2312"/>
          <w:sz w:val="32"/>
          <w:szCs w:val="22"/>
        </w:rPr>
        <w:t>从方法学考虑，本指导原则适用于基于血液凝固法原理，利用手工法、</w:t>
      </w:r>
      <w:r>
        <w:rPr>
          <w:rFonts w:hint="eastAsia" w:ascii="仿宋_GB2312" w:eastAsia="仿宋_GB2312"/>
          <w:sz w:val="32"/>
          <w:szCs w:val="28"/>
        </w:rPr>
        <w:t>半自动以及全自动凝血分析仪（光学法、磁珠法）</w:t>
      </w:r>
      <w:r>
        <w:rPr>
          <w:rFonts w:hint="eastAsia" w:ascii="仿宋_GB2312" w:eastAsia="仿宋_GB2312"/>
          <w:sz w:val="32"/>
          <w:szCs w:val="22"/>
        </w:rPr>
        <w:t>，对人血浆样本中的凝血四项指标（包括</w:t>
      </w:r>
      <w:r>
        <w:rPr>
          <w:rFonts w:hint="eastAsia" w:ascii="仿宋_GB2312" w:hAnsi="Times New Roman" w:eastAsia="仿宋_GB2312"/>
          <w:sz w:val="32"/>
          <w:szCs w:val="32"/>
        </w:rPr>
        <w:t>凝血酶原时间、活化部分凝血活酶时间、凝血酶时间、纤维蛋白原</w:t>
      </w:r>
      <w:r>
        <w:rPr>
          <w:rFonts w:hint="eastAsia" w:ascii="仿宋_GB2312" w:eastAsia="仿宋_GB2312"/>
          <w:sz w:val="32"/>
          <w:szCs w:val="22"/>
        </w:rPr>
        <w:t>）进行体外定量检测的试剂。不适用于床旁快速检测（POCT）及口服抗凝药治疗自测体外监测的试剂。</w:t>
      </w:r>
    </w:p>
    <w:p w14:paraId="073664C1">
      <w:pPr>
        <w:wordWrap w:val="0"/>
        <w:topLinePunct/>
        <w:adjustRightInd w:val="0"/>
        <w:snapToGrid w:val="0"/>
        <w:spacing w:line="520" w:lineRule="exact"/>
        <w:ind w:firstLine="640" w:firstLineChars="200"/>
        <w:rPr>
          <w:rFonts w:ascii="仿宋_GB2312" w:hAnsi="Times New Roman" w:eastAsia="仿宋_GB2312"/>
          <w:sz w:val="28"/>
          <w:szCs w:val="28"/>
        </w:rPr>
      </w:pPr>
      <w:r>
        <w:rPr>
          <w:rFonts w:hint="eastAsia" w:ascii="仿宋_GB2312" w:hAnsi="Times New Roman" w:eastAsia="仿宋_GB2312"/>
          <w:sz w:val="32"/>
          <w:szCs w:val="32"/>
        </w:rPr>
        <w:t>依据《体外诊断试剂注册管理办法》（国家食品药品监督管理总局令第5号）（以下简称《办法》）、</w:t>
      </w:r>
      <w:bookmarkStart w:id="4" w:name="OLE_LINK1"/>
      <w:r>
        <w:rPr>
          <w:rFonts w:hint="eastAsia" w:ascii="仿宋_GB2312" w:hAnsi="Times New Roman" w:eastAsia="仿宋_GB2312"/>
          <w:sz w:val="32"/>
          <w:szCs w:val="32"/>
        </w:rPr>
        <w:t>《食品药品监管总局关于印发体外诊断试剂分类子目录的通知》</w:t>
      </w:r>
      <w:bookmarkEnd w:id="4"/>
      <w:r>
        <w:rPr>
          <w:rFonts w:hint="eastAsia" w:ascii="仿宋_GB2312" w:hAnsi="Times New Roman" w:eastAsia="仿宋_GB2312"/>
          <w:sz w:val="32"/>
          <w:szCs w:val="32"/>
        </w:rPr>
        <w:t>（食药监械管〔2013〕242号），凝血四项检测试剂管理类别为二类</w:t>
      </w:r>
      <w:r>
        <w:rPr>
          <w:rFonts w:hint="eastAsia" w:ascii="仿宋_GB2312" w:eastAsia="仿宋_GB2312"/>
          <w:sz w:val="32"/>
          <w:szCs w:val="22"/>
        </w:rPr>
        <w:t>，分类代码为6840</w:t>
      </w:r>
      <w:r>
        <w:rPr>
          <w:rFonts w:hint="eastAsia" w:ascii="仿宋_GB2312" w:hAnsi="Times New Roman" w:eastAsia="仿宋_GB2312"/>
          <w:sz w:val="32"/>
          <w:szCs w:val="32"/>
        </w:rPr>
        <w:t>。</w:t>
      </w:r>
    </w:p>
    <w:p w14:paraId="2A7BB6CC">
      <w:pPr>
        <w:widowControl/>
        <w:spacing w:line="520" w:lineRule="exact"/>
        <w:ind w:firstLine="640" w:firstLineChars="200"/>
        <w:rPr>
          <w:rFonts w:ascii="黑体" w:hAnsi="黑体" w:eastAsia="黑体"/>
          <w:sz w:val="32"/>
          <w:szCs w:val="32"/>
        </w:rPr>
      </w:pPr>
      <w:bookmarkStart w:id="5" w:name="_Toc323285328"/>
      <w:r>
        <w:rPr>
          <w:rFonts w:hint="eastAsia" w:ascii="黑体" w:hAnsi="黑体" w:eastAsia="黑体"/>
          <w:sz w:val="32"/>
          <w:szCs w:val="32"/>
        </w:rPr>
        <w:t>二、注册申报资料要求</w:t>
      </w:r>
      <w:bookmarkEnd w:id="5"/>
    </w:p>
    <w:p w14:paraId="0927EBAA">
      <w:pPr>
        <w:adjustRightInd w:val="0"/>
        <w:snapToGrid w:val="0"/>
        <w:spacing w:line="520" w:lineRule="exact"/>
        <w:ind w:firstLine="640" w:firstLineChars="200"/>
        <w:rPr>
          <w:rFonts w:ascii="仿宋_GB2312" w:hAnsi="Times New Roman" w:eastAsia="仿宋_GB2312"/>
          <w:bCs/>
          <w:sz w:val="32"/>
          <w:szCs w:val="32"/>
        </w:rPr>
      </w:pPr>
      <w:bookmarkStart w:id="6" w:name="_Toc323285329"/>
      <w:r>
        <w:rPr>
          <w:rFonts w:hint="eastAsia" w:ascii="仿宋_GB2312" w:hAnsi="Times New Roman" w:eastAsia="仿宋_GB2312"/>
          <w:sz w:val="32"/>
          <w:szCs w:val="32"/>
        </w:rPr>
        <w:t>注册申报资料的撰写应符合《办法》和《关于公布体外诊断试剂注册申报资料要求和批准证明文件格式的公告》（国家食品药品监督管理总局公告2014年第44号）（以下简称44号公告）的相关要求。</w:t>
      </w:r>
    </w:p>
    <w:p w14:paraId="260EF1AE">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（一）综述资料</w:t>
      </w:r>
      <w:bookmarkEnd w:id="6"/>
    </w:p>
    <w:p w14:paraId="7E719AAE">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综述资料主要包括产品预期用途、临床适应症背景情况、产品描述、有关生物安全性的说明、研究结果的总结评价以及同类产品上市情况介绍等内容。其中，需注意以下内容：</w:t>
      </w:r>
    </w:p>
    <w:p w14:paraId="40D9F571">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1.临床适应症背景情况</w:t>
      </w:r>
    </w:p>
    <w:p w14:paraId="69C90FFC">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PT临床上主要用于外源性凝血系统功能缺陷的筛查和口服抗凝剂治疗监测。P</w:t>
      </w:r>
      <w:r>
        <w:rPr>
          <w:rFonts w:ascii="仿宋_GB2312" w:hAnsi="Times New Roman" w:eastAsia="仿宋_GB2312"/>
          <w:bCs/>
          <w:sz w:val="32"/>
          <w:szCs w:val="32"/>
        </w:rPr>
        <w:t>T</w:t>
      </w:r>
      <w:r>
        <w:rPr>
          <w:rFonts w:hint="eastAsia" w:ascii="仿宋_GB2312" w:hAnsi="Times New Roman" w:eastAsia="仿宋_GB2312"/>
          <w:bCs/>
          <w:sz w:val="32"/>
          <w:szCs w:val="32"/>
        </w:rPr>
        <w:t>对</w:t>
      </w:r>
      <w:r>
        <w:rPr>
          <w:rFonts w:hint="eastAsia" w:ascii="仿宋_GB2312" w:hAnsi="Times New Roman" w:eastAsia="仿宋_GB2312"/>
          <w:sz w:val="32"/>
          <w:szCs w:val="32"/>
        </w:rPr>
        <w:t>外源</w:t>
      </w:r>
      <w:r>
        <w:rPr>
          <w:rFonts w:hint="eastAsia" w:ascii="仿宋_GB2312" w:hAnsi="Times New Roman" w:eastAsia="仿宋_GB2312"/>
          <w:bCs/>
          <w:sz w:val="32"/>
          <w:szCs w:val="32"/>
        </w:rPr>
        <w:t>性和共同凝血途径的凝血因子（I、II、V、VII、X）的缺陷以及这些凝血因子抑制物的存在敏感，也是口服</w:t>
      </w:r>
      <w:r>
        <w:rPr>
          <w:rFonts w:hint="eastAsia" w:ascii="仿宋_GB2312" w:hAnsi="宋体" w:eastAsia="仿宋_GB2312"/>
          <w:sz w:val="32"/>
          <w:szCs w:val="32"/>
        </w:rPr>
        <w:t>维生素K拮抗剂（如华法林）</w:t>
      </w:r>
      <w:r>
        <w:rPr>
          <w:rFonts w:hint="eastAsia" w:ascii="仿宋_GB2312" w:hAnsi="Times New Roman" w:eastAsia="仿宋_GB2312"/>
          <w:bCs/>
          <w:sz w:val="32"/>
          <w:szCs w:val="32"/>
        </w:rPr>
        <w:t>治疗的首选监测指标。此外，PT还可用于弥散性血管内凝血的检测以及检测肝脏的蛋白质合成功能。临床上PT结果的报告方式有：直接报告PT值（秒）、百分比活性（%）、凝血酶原时间比值（prothrombin time，PTR）以及国际标准化比值（international normalized Ratio，INR）。</w:t>
      </w:r>
    </w:p>
    <w:p w14:paraId="375D08F0">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APTT临床上主要用于内源性凝血系统功能缺陷的筛查和肝素抗凝治疗监测。A</w:t>
      </w:r>
      <w:r>
        <w:rPr>
          <w:rFonts w:ascii="仿宋_GB2312" w:hAnsi="Times New Roman" w:eastAsia="仿宋_GB2312"/>
          <w:bCs/>
          <w:sz w:val="32"/>
          <w:szCs w:val="32"/>
        </w:rPr>
        <w:t>PTT</w:t>
      </w:r>
      <w:r>
        <w:rPr>
          <w:rFonts w:hint="eastAsia" w:ascii="仿宋_GB2312" w:hAnsi="Times New Roman" w:eastAsia="仿宋_GB2312"/>
          <w:bCs/>
          <w:sz w:val="32"/>
          <w:szCs w:val="32"/>
        </w:rPr>
        <w:t>对内源性</w:t>
      </w:r>
      <w:r>
        <w:rPr>
          <w:rFonts w:hint="eastAsia" w:ascii="仿宋_GB2312" w:hAnsi="Times New Roman" w:eastAsia="仿宋_GB2312"/>
          <w:sz w:val="32"/>
          <w:szCs w:val="32"/>
        </w:rPr>
        <w:t>凝血</w:t>
      </w:r>
      <w:r>
        <w:rPr>
          <w:rFonts w:hint="eastAsia" w:ascii="仿宋_GB2312" w:hAnsi="Times New Roman" w:eastAsia="仿宋_GB2312"/>
          <w:bCs/>
          <w:sz w:val="32"/>
          <w:szCs w:val="32"/>
        </w:rPr>
        <w:t>途径（凝血因子VIII、IX、XI、XII，前激肽释放酶和高分子量激肽原）的缺陷敏感，常用于临床监测普通肝素抗凝治疗效果，还可用于其它病理类型的凝血抑制物的检测（如狼疮抗凝物）。</w:t>
      </w:r>
    </w:p>
    <w:p w14:paraId="757DD229">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TT临床上主要用于反映血浆纤维蛋白原含量或结构异常，如低（无）FIB血症和异常纤维蛋白血症时TT延长，还可用于反映纤溶系统功能，如纤维蛋白（原）降解产物的增高。</w:t>
      </w:r>
    </w:p>
    <w:p w14:paraId="647E93B0">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FIB 临床上主要用于弥散性血管内凝血、原发性纤溶症的辅助诊断以及溶栓疗效的监测。增高见于糖尿病和糖尿病酸中毒、动脉血栓栓塞（急性心肌梗死发作期）、急性传染病、结缔组织病、急性肾炎和尿毒症、放射治疗后、烧伤、休克、老年人外科大手术后、妊娠晚期和妊娠期高血压病、轻型肝炎、败血症和急性感染等。减少见于弥散性血管内凝血和原发性纤溶症、重症肝炎和肝硬化等，也见于降纤药治疗和溶血治疗。</w:t>
      </w:r>
    </w:p>
    <w:p w14:paraId="45D23A4C">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2.产品描述</w:t>
      </w:r>
    </w:p>
    <w:p w14:paraId="25A8B398">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着重描述产品所采用的技术原理及适用仪器的检测原理，如光学法（透射比浊法、散射比浊法）、磁珠法等，主要生物活性原料（如组织凝血活酶、激活剂、磷脂、凝血酶等）的生物学来源、供应商名称及质量标准（同时附供应商提供的出厂检定报告），组织凝血活酶的国际敏感指数（international sensitivity index，ISI）标定情况、参考（定标）血浆的标化情况（应采用WHO国际参考品/国家标准品进行标化），正常质控血浆和异常质控血浆的制备、赋值情况等。</w:t>
      </w:r>
    </w:p>
    <w:p w14:paraId="753817BB">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3.同类产品上市情况</w:t>
      </w:r>
    </w:p>
    <w:p w14:paraId="7784936F">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应着重从主要原材料（生物学来源、激活剂类型）、适用仪器检测原理、标准化及溯源、参考区间等方面写明拟申报产品与目前市场上已获批准同类产品之间的主要区别。</w:t>
      </w:r>
    </w:p>
    <w:p w14:paraId="3133B3DA">
      <w:pPr>
        <w:adjustRightInd w:val="0"/>
        <w:snapToGrid w:val="0"/>
        <w:spacing w:line="520" w:lineRule="exact"/>
        <w:ind w:firstLine="640" w:firstLineChars="200"/>
        <w:rPr>
          <w:rFonts w:ascii="仿宋_GB2312" w:hAnsi="Times New Roman" w:eastAsia="仿宋_GB2312"/>
          <w:bCs/>
          <w:sz w:val="32"/>
          <w:szCs w:val="32"/>
        </w:rPr>
      </w:pPr>
      <w:bookmarkStart w:id="7" w:name="_Toc323285333"/>
      <w:r>
        <w:rPr>
          <w:rFonts w:hint="eastAsia" w:ascii="仿宋_GB2312" w:hAnsi="Times New Roman" w:eastAsia="仿宋_GB2312"/>
          <w:bCs/>
          <w:sz w:val="32"/>
          <w:szCs w:val="32"/>
        </w:rPr>
        <w:t>（二）主要原材料的研究资料</w:t>
      </w:r>
      <w:bookmarkEnd w:id="7"/>
      <w:r>
        <w:rPr>
          <w:rFonts w:hint="eastAsia" w:ascii="仿宋_GB2312" w:hAnsi="Times New Roman" w:eastAsia="仿宋_GB2312"/>
          <w:bCs/>
          <w:sz w:val="32"/>
          <w:szCs w:val="32"/>
        </w:rPr>
        <w:t>（如需提供）</w:t>
      </w:r>
    </w:p>
    <w:p w14:paraId="78B80D21">
      <w:pPr>
        <w:adjustRightInd w:val="0"/>
        <w:snapToGrid w:val="0"/>
        <w:spacing w:line="520" w:lineRule="exact"/>
        <w:ind w:firstLine="616" w:firstLineChars="200"/>
        <w:rPr>
          <w:rFonts w:ascii="仿宋_GB2312" w:hAnsi="Times New Roman" w:eastAsia="仿宋_GB2312"/>
          <w:sz w:val="32"/>
          <w:szCs w:val="32"/>
        </w:rPr>
      </w:pPr>
      <w:r>
        <w:rPr>
          <w:rFonts w:eastAsia="仿宋_GB2312"/>
          <w:spacing w:val="-6"/>
          <w:sz w:val="32"/>
          <w:szCs w:val="32"/>
        </w:rPr>
        <w:t>应提交主要原材料的来源、筛选研究过程、制备过程、质量控制标准及检验资料等。如为申请人自制，应提交详细制备方法及过程，并应保证工艺相对稳定；如为外购，应注意明确原材料的供应商，并应提交供应商提供的原材料质量检定报告。</w:t>
      </w:r>
    </w:p>
    <w:p w14:paraId="71B13983">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1.组织凝血活酶</w:t>
      </w:r>
    </w:p>
    <w:p w14:paraId="1410F4D8">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组织凝血活酶的常见生物学来源有重组人组织因子、人胎盘、兔脑、牛脑等。如为外购，应详述其名称、生物学来源、供应商名称、质量标准等。</w:t>
      </w:r>
    </w:p>
    <w:p w14:paraId="1483BF0E">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由于不同组织凝血活酶对凝血因子缺乏的敏感性不同。为了使不同敏感性的组织凝血活酶在检测 PT 中能得到同样的结果，必须要制定一个共同的敏感性指标。需要通过自制的试剂与国际参考品（international reference preparation，IRP）或溯源至国际参考品的参考试剂进行比较，然后得出一个校正值（ISI值）。</w:t>
      </w:r>
    </w:p>
    <w:p w14:paraId="267DE15F">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需要注意的是，某些凝血活酶和部分活化凝血活酶并不一定与某些仪器相匹配。浑浊的或含微粒的凝血活酶和部分活化凝血活酶可能无法运用通过光学系统测定终点的仪器进行检测。</w:t>
      </w:r>
    </w:p>
    <w:p w14:paraId="6CCD5759">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2.激活剂</w:t>
      </w:r>
    </w:p>
    <w:p w14:paraId="091BA80C">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APTT按照激活剂不同，主要有硅藻土，白陶土，鞣花酸等各种类型，不同的激活剂对肝素、狼疮抗凝物及因子VIII、IX缺乏的敏感性也不同，申请人应根据产品预期用途合理选择激活剂进行评估。</w:t>
      </w:r>
    </w:p>
    <w:p w14:paraId="0688E2E5">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3.凝血酶</w:t>
      </w:r>
    </w:p>
    <w:p w14:paraId="53D9AB70">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凝血酶的常见生物学来源有重组人凝血酶、人血浆、牛血浆等。如为外购，应详述其名称、生物学来源、供应商名称、质量标准等。</w:t>
      </w:r>
    </w:p>
    <w:p w14:paraId="055F4AF1">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4.其他主要原辅料</w:t>
      </w:r>
    </w:p>
    <w:p w14:paraId="5E30103F">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提交各种原辅料的选择及验证资料，如反应缓冲液、稳定剂、防腐剂等，如为外购，应详述每一原辅料的外购方名称，提交外购方出具的每一原辅料性能指标及检验证书，详述申请人对每一原辅料技术指标的要求以及申请人确定该原辅料作为主要原辅料的依据。</w:t>
      </w:r>
    </w:p>
    <w:p w14:paraId="33438B6E">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5.试剂盒校准品、质控品（如有）</w:t>
      </w:r>
    </w:p>
    <w:p w14:paraId="44B49E65">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应包括原材料选择、制备、定值过程及试验资料。校准品应溯源至现行的国家或国际标准品。质控品应至少包含正常血浆和异常血浆两个水平。</w:t>
      </w:r>
    </w:p>
    <w:p w14:paraId="2D23487A">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如包含PT/</w:t>
      </w:r>
      <w:r>
        <w:rPr>
          <w:rFonts w:hint="eastAsia" w:ascii="仿宋_GB2312" w:hAnsi="宋体" w:eastAsia="仿宋_GB2312"/>
          <w:sz w:val="32"/>
          <w:szCs w:val="32"/>
        </w:rPr>
        <w:t>INR标准血浆，建议根据其预期用途（如：用于临床实验室ISI校准、绘制INR校准曲线或INR系统验证等），参照CLSI H54文件的方法进行原材料的选择、制备和赋值验证。</w:t>
      </w:r>
    </w:p>
    <w:p w14:paraId="7F950CD0">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6.企业参考品</w:t>
      </w:r>
    </w:p>
    <w:p w14:paraId="1015AFE6">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企业参考品（质控血浆）应包含正常质控血浆和异常质控血浆。其中，正常质控血浆的赋值在参考区间的范围内，异常质控血浆的赋值不在参考区间的范围内，可有低值或高值异常质控血浆。FIB需同时设置参考血浆（定标血浆），参考血浆应经国家或国际标准品标化。</w:t>
      </w:r>
    </w:p>
    <w:p w14:paraId="614BFCEC">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应提交质控/参考血浆的原料选择、制备、赋值等相关验证资料。质控/参考血浆的基质应与待测样本相同或相似。</w:t>
      </w:r>
    </w:p>
    <w:p w14:paraId="7CFE98F9">
      <w:pPr>
        <w:adjustRightInd w:val="0"/>
        <w:snapToGrid w:val="0"/>
        <w:spacing w:line="520" w:lineRule="exact"/>
        <w:ind w:firstLine="640" w:firstLineChars="200"/>
        <w:rPr>
          <w:rFonts w:ascii="仿宋_GB2312" w:hAnsi="Times New Roman" w:eastAsia="仿宋_GB2312"/>
          <w:bCs/>
          <w:sz w:val="32"/>
          <w:szCs w:val="32"/>
        </w:rPr>
      </w:pPr>
      <w:bookmarkStart w:id="8" w:name="_Toc323285334"/>
      <w:r>
        <w:rPr>
          <w:rFonts w:hint="eastAsia" w:ascii="仿宋_GB2312" w:hAnsi="Times New Roman" w:eastAsia="仿宋_GB2312"/>
          <w:bCs/>
          <w:sz w:val="32"/>
          <w:szCs w:val="32"/>
        </w:rPr>
        <w:t>（三）主要生产工艺及反应体系的研究资料</w:t>
      </w:r>
      <w:bookmarkEnd w:id="8"/>
      <w:r>
        <w:rPr>
          <w:rFonts w:hint="eastAsia" w:ascii="仿宋_GB2312" w:hAnsi="Times New Roman" w:eastAsia="仿宋_GB2312"/>
          <w:bCs/>
          <w:sz w:val="32"/>
          <w:szCs w:val="32"/>
        </w:rPr>
        <w:t>（如需提供）</w:t>
      </w:r>
    </w:p>
    <w:p w14:paraId="58C390FB">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1.主要生产工艺介绍，可用流程图方式表示，并简要说明主要生产工艺</w:t>
      </w:r>
      <w:r>
        <w:rPr>
          <w:rFonts w:eastAsia="仿宋_GB2312"/>
          <w:color w:val="000000"/>
          <w:sz w:val="32"/>
          <w:szCs w:val="32"/>
        </w:rPr>
        <w:t>的确定方法，如各组分制备的工艺、试剂的配方及工艺关键参数的确定等。</w:t>
      </w:r>
    </w:p>
    <w:p w14:paraId="15599A59">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2.主要反应体系的研究资料，包括样本采集及处理、样本要求、样本用量、试剂用量、反应条件、校准方法（如有）、质控方法等。</w:t>
      </w:r>
      <w:bookmarkStart w:id="9" w:name="_Toc323285335"/>
    </w:p>
    <w:p w14:paraId="00CA1294">
      <w:pPr>
        <w:adjustRightInd w:val="0"/>
        <w:snapToGrid w:val="0"/>
        <w:spacing w:line="520" w:lineRule="exact"/>
        <w:ind w:firstLine="640" w:firstLineChars="200"/>
        <w:rPr>
          <w:rFonts w:ascii="仿宋_GB2312" w:hAnsi="Times New Roman" w:eastAsia="仿宋_GB2312"/>
          <w:sz w:val="32"/>
          <w:szCs w:val="32"/>
        </w:rPr>
      </w:pPr>
      <w:r>
        <w:rPr>
          <w:rFonts w:eastAsia="仿宋_GB2312"/>
          <w:color w:val="000000"/>
          <w:sz w:val="32"/>
          <w:szCs w:val="32"/>
        </w:rPr>
        <w:t>3.不同适用机型的反应条件如果有差异应分别阐述。</w:t>
      </w:r>
    </w:p>
    <w:p w14:paraId="79487E42">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（四）分析性能评估资料</w:t>
      </w:r>
      <w:bookmarkEnd w:id="9"/>
    </w:p>
    <w:p w14:paraId="137FC2E9">
      <w:pPr>
        <w:adjustRightInd w:val="0"/>
        <w:snapToGrid w:val="0"/>
        <w:spacing w:line="5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申请人应提交在符合质量管理体系的生产环境下生产的试剂盒进行的所有性能评估验证的研究资料，对于每项分析性能的研究都应包括研究目的、实验设计、研究方法、可接受标准、实验数据、统计方法等详细资料。有关研究背景信息也应在资料中有所体现，包括实验地点、适用仪器、试剂规格、批号和临床样本来源等。</w:t>
      </w:r>
    </w:p>
    <w:p w14:paraId="5923DE54">
      <w:pPr>
        <w:adjustRightInd w:val="0"/>
        <w:snapToGrid w:val="0"/>
        <w:spacing w:line="5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针对凝血四项试剂的分析性能评估主要包括准确度、精密度、抗干扰研究等，FIB试剂还需进行线性范围、检测限和溯源性的研究。分析性能评估的实验方法可以参考相关国内外有关体外诊断产品性能评估的指导原则进行。</w:t>
      </w:r>
    </w:p>
    <w:p w14:paraId="1CFC92CA">
      <w:pPr>
        <w:overflowPunct w:val="0"/>
        <w:adjustRightInd w:val="0"/>
        <w:snapToGrid w:val="0"/>
        <w:spacing w:line="5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1.样本采集与处理</w:t>
      </w:r>
    </w:p>
    <w:p w14:paraId="4D1FDB8B">
      <w:pPr>
        <w:overflowPunct w:val="0"/>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用于分析性能评估用样本应为枸橼酸钠抗凝血浆样本。血浆抗凝剂浓度为105mmol/L</w:t>
      </w:r>
      <w:r>
        <w:rPr>
          <w:rFonts w:hint="eastAsia" w:ascii="仿宋_GB2312" w:hAnsi="宋体" w:eastAsia="仿宋_GB2312"/>
          <w:sz w:val="32"/>
          <w:szCs w:val="32"/>
        </w:rPr>
        <w:t>～</w:t>
      </w:r>
      <w:r>
        <w:rPr>
          <w:rFonts w:hint="eastAsia" w:ascii="仿宋_GB2312" w:hAnsi="Times New Roman" w:eastAsia="仿宋_GB2312"/>
          <w:sz w:val="32"/>
          <w:szCs w:val="32"/>
        </w:rPr>
        <w:t>109mmol/L（3.13%</w:t>
      </w:r>
      <w:r>
        <w:rPr>
          <w:rFonts w:hint="eastAsia" w:ascii="仿宋_GB2312" w:hAnsi="宋体" w:eastAsia="仿宋_GB2312"/>
          <w:sz w:val="32"/>
          <w:szCs w:val="32"/>
        </w:rPr>
        <w:t>～3.2%，通常定为3.2%</w:t>
      </w:r>
      <w:r>
        <w:rPr>
          <w:rFonts w:hint="eastAsia" w:ascii="仿宋_GB2312" w:hAnsi="Times New Roman" w:eastAsia="仿宋_GB2312"/>
          <w:sz w:val="32"/>
          <w:szCs w:val="32"/>
        </w:rPr>
        <w:t>），与实际临床检测中使用的抗凝剂保持一致，不能使用其他抗凝剂（如草酸盐、肝素或EDTA等）。样本</w:t>
      </w:r>
      <w:r>
        <w:rPr>
          <w:rFonts w:ascii="仿宋_GB2312" w:hAnsi="Times New Roman" w:eastAsia="仿宋_GB2312"/>
          <w:sz w:val="32"/>
          <w:szCs w:val="32"/>
        </w:rPr>
        <w:t>类型包括新鲜</w:t>
      </w:r>
      <w:r>
        <w:rPr>
          <w:rFonts w:hint="eastAsia" w:ascii="仿宋_GB2312" w:hAnsi="Times New Roman" w:eastAsia="仿宋_GB2312"/>
          <w:sz w:val="32"/>
          <w:szCs w:val="32"/>
        </w:rPr>
        <w:t>样本</w:t>
      </w:r>
      <w:r>
        <w:rPr>
          <w:rFonts w:ascii="仿宋_GB2312" w:hAnsi="Times New Roman" w:eastAsia="仿宋_GB2312"/>
          <w:sz w:val="32"/>
          <w:szCs w:val="32"/>
        </w:rPr>
        <w:t>、冰冻血浆</w:t>
      </w:r>
      <w:r>
        <w:rPr>
          <w:rFonts w:hint="eastAsia" w:ascii="仿宋_GB2312" w:hAnsi="Times New Roman" w:eastAsia="仿宋_GB2312"/>
          <w:sz w:val="32"/>
          <w:szCs w:val="32"/>
        </w:rPr>
        <w:t>和</w:t>
      </w:r>
      <w:r>
        <w:rPr>
          <w:rFonts w:ascii="仿宋_GB2312" w:hAnsi="Times New Roman" w:eastAsia="仿宋_GB2312"/>
          <w:sz w:val="32"/>
          <w:szCs w:val="32"/>
        </w:rPr>
        <w:t>冻干血浆。除在4</w:t>
      </w:r>
      <w:r>
        <w:rPr>
          <w:rFonts w:hint="eastAsia" w:ascii="仿宋_GB2312" w:hAnsi="Times New Roman" w:eastAsia="仿宋_GB2312"/>
          <w:sz w:val="32"/>
          <w:szCs w:val="32"/>
        </w:rPr>
        <w:t>小时</w:t>
      </w:r>
      <w:r>
        <w:rPr>
          <w:rFonts w:ascii="仿宋_GB2312" w:hAnsi="Times New Roman" w:eastAsia="仿宋_GB2312"/>
          <w:sz w:val="32"/>
          <w:szCs w:val="32"/>
        </w:rPr>
        <w:t>内完成的平行检测外，评估分析最好使用冰冻或者冻干血浆，其中冰冻又优于冻干血浆。如果使用冰冻血浆，应保存在-70℃ 以下，在-20℃ 保存超过2周即可使某些凝血因子失活，其结果不能和新鲜血浆比较。</w:t>
      </w:r>
      <w:r>
        <w:rPr>
          <w:rFonts w:hint="eastAsia" w:ascii="仿宋_GB2312" w:hAnsi="Times New Roman" w:eastAsia="仿宋_GB2312"/>
          <w:sz w:val="32"/>
          <w:szCs w:val="32"/>
        </w:rPr>
        <w:t>有关样本采集与处理方法的详细内容，申请人可</w:t>
      </w:r>
      <w:r>
        <w:rPr>
          <w:rFonts w:hint="eastAsia" w:ascii="仿宋_GB2312" w:hAnsi="Times New Roman" w:eastAsia="仿宋_GB2312"/>
          <w:kern w:val="0"/>
          <w:sz w:val="32"/>
          <w:szCs w:val="32"/>
        </w:rPr>
        <w:t>进一步</w:t>
      </w:r>
      <w:r>
        <w:rPr>
          <w:rFonts w:hint="eastAsia" w:ascii="仿宋_GB2312" w:hAnsi="Times New Roman" w:eastAsia="仿宋_GB2312"/>
          <w:sz w:val="32"/>
          <w:szCs w:val="32"/>
        </w:rPr>
        <w:t>参考WS/T 359-2011或CLSI的H21-A5等相关文件。</w:t>
      </w:r>
    </w:p>
    <w:p w14:paraId="68CF86AA">
      <w:pPr>
        <w:overflowPunct w:val="0"/>
        <w:adjustRightInd w:val="0"/>
        <w:snapToGrid w:val="0"/>
        <w:spacing w:line="5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w:t>
      </w:r>
      <w:r>
        <w:rPr>
          <w:rFonts w:hint="eastAsia" w:ascii="仿宋_GB2312" w:hAnsi="Times New Roman" w:eastAsia="仿宋_GB2312"/>
          <w:bCs/>
          <w:kern w:val="0"/>
          <w:sz w:val="32"/>
          <w:szCs w:val="32"/>
        </w:rPr>
        <w:t>准确度</w:t>
      </w:r>
    </w:p>
    <w:p w14:paraId="15BB74B9">
      <w:pPr>
        <w:spacing w:line="520" w:lineRule="exact"/>
        <w:ind w:firstLine="640" w:firstLineChars="200"/>
        <w:rPr>
          <w:rFonts w:ascii="仿宋_GB2312" w:hAnsi="黑体" w:eastAsia="仿宋_GB2312" w:cs="仿宋_GB2312"/>
          <w:sz w:val="32"/>
          <w:szCs w:val="32"/>
        </w:rPr>
      </w:pPr>
      <w:r>
        <w:rPr>
          <w:rFonts w:hint="eastAsia" w:eastAsia="仿宋_GB2312"/>
          <w:color w:val="000000"/>
          <w:sz w:val="32"/>
          <w:szCs w:val="32"/>
        </w:rPr>
        <w:t>针对本类产品的准确度评价方法主要</w:t>
      </w:r>
      <w:r>
        <w:rPr>
          <w:rFonts w:eastAsia="仿宋_GB2312"/>
          <w:color w:val="000000"/>
          <w:sz w:val="32"/>
          <w:szCs w:val="32"/>
        </w:rPr>
        <w:t>包括：与</w:t>
      </w:r>
      <w:r>
        <w:rPr>
          <w:rFonts w:hint="eastAsia" w:ascii="仿宋_GB2312" w:hAnsi="宋体" w:eastAsia="仿宋_GB2312"/>
          <w:sz w:val="32"/>
          <w:szCs w:val="32"/>
        </w:rPr>
        <w:t>国家或国际标准品</w:t>
      </w:r>
      <w:r>
        <w:rPr>
          <w:rFonts w:eastAsia="仿宋_GB2312"/>
          <w:color w:val="000000"/>
          <w:sz w:val="32"/>
          <w:szCs w:val="32"/>
        </w:rPr>
        <w:t>的相对偏差、方法学比对等方法，申请人可根据实际情况选择以下方法的一项或几项进行研究。</w:t>
      </w:r>
    </w:p>
    <w:p w14:paraId="25766150">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2.1相对偏差</w:t>
      </w:r>
    </w:p>
    <w:p w14:paraId="3393BAAC">
      <w:pPr>
        <w:adjustRightInd w:val="0"/>
        <w:snapToGrid w:val="0"/>
        <w:spacing w:line="52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FIB:用国家或国际标准品测试，重复测试3次，计算均值与标准品标示值的相对偏差，所得结果应不超过±15%。</w:t>
      </w:r>
    </w:p>
    <w:p w14:paraId="56D1F66B">
      <w:pPr>
        <w:adjustRightInd w:val="0"/>
        <w:snapToGrid w:val="0"/>
        <w:spacing w:line="52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国际标准化比值（INR）：采用至少3个水平的INR标准血浆（INR值范围在1.5～4.5之间）测试，重复测试2次，至少测试2天，日内重复测试差异及日间测试均值差异应不超过±10%，所有单次测试值与标示值的相对偏差应不超过±15%。（注：如采用此方法，INR标准血浆需参照CLSI H54文件的方法进行制备和赋值验证。）</w:t>
      </w:r>
    </w:p>
    <w:p w14:paraId="21FAA611">
      <w:pPr>
        <w:adjustRightInd w:val="0"/>
        <w:snapToGrid w:val="0"/>
        <w:spacing w:line="52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2.2方法学比对</w:t>
      </w:r>
    </w:p>
    <w:p w14:paraId="520E8FAA">
      <w:pPr>
        <w:overflowPunct w:val="0"/>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采用参考方法或国内/国际普遍认为质量较好的已上市同类试剂作为比对方法，与拟申报试剂同时检测一批临床样品，</w:t>
      </w:r>
      <w:r>
        <w:rPr>
          <w:rFonts w:hint="eastAsia" w:ascii="仿宋_GB2312" w:eastAsia="仿宋_GB2312" w:hAnsiTheme="minorEastAsia"/>
          <w:sz w:val="32"/>
          <w:szCs w:val="32"/>
        </w:rPr>
        <w:t>通过两者的比对</w:t>
      </w:r>
      <w:r>
        <w:rPr>
          <w:rFonts w:ascii="仿宋_GB2312" w:eastAsia="仿宋_GB2312" w:hAnsiTheme="minorEastAsia"/>
          <w:sz w:val="32"/>
          <w:szCs w:val="32"/>
        </w:rPr>
        <w:t>研究</w:t>
      </w:r>
      <w:r>
        <w:rPr>
          <w:rFonts w:hint="eastAsia" w:ascii="仿宋_GB2312" w:eastAsia="仿宋_GB2312" w:hAnsiTheme="minorEastAsia"/>
          <w:sz w:val="32"/>
          <w:szCs w:val="32"/>
        </w:rPr>
        <w:t>和偏倚估计，进行申报试剂的准确度评价。临床样本的选择应尽可能覆盖申报试剂的分析测量范围并尽量均匀分布。</w:t>
      </w:r>
      <w:r>
        <w:rPr>
          <w:rFonts w:hint="eastAsia" w:ascii="仿宋_GB2312" w:hAnsi="宋体" w:eastAsia="仿宋_GB2312"/>
          <w:sz w:val="32"/>
          <w:szCs w:val="32"/>
        </w:rPr>
        <w:t>PT试剂应对声称的每一种可报告方式进行方法学比对分析。</w:t>
      </w:r>
    </w:p>
    <w:p w14:paraId="0DC2C054">
      <w:pPr>
        <w:overflowPunct w:val="0"/>
        <w:spacing w:line="52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2.2.1 PT/INR</w:t>
      </w:r>
    </w:p>
    <w:p w14:paraId="47BAC729">
      <w:pPr>
        <w:adjustRightInd w:val="0"/>
        <w:snapToGrid w:val="0"/>
        <w:spacing w:line="520" w:lineRule="exact"/>
        <w:ind w:firstLine="640" w:firstLineChars="200"/>
        <w:jc w:val="left"/>
        <w:rPr>
          <w:rFonts w:ascii="仿宋_GB2312" w:hAnsi="宋体" w:eastAsia="仿宋_GB2312"/>
          <w:sz w:val="32"/>
          <w:szCs w:val="32"/>
        </w:rPr>
      </w:pPr>
      <w:r>
        <w:rPr>
          <w:rFonts w:hint="eastAsia" w:ascii="仿宋_GB2312" w:eastAsia="仿宋_GB2312"/>
          <w:color w:val="000000"/>
          <w:sz w:val="32"/>
          <w:szCs w:val="32"/>
        </w:rPr>
        <w:t>PT试剂</w:t>
      </w:r>
      <w:r>
        <w:rPr>
          <w:rFonts w:hint="eastAsia" w:ascii="仿宋_GB2312" w:hAnsi="宋体" w:eastAsia="仿宋_GB2312"/>
          <w:sz w:val="32"/>
          <w:szCs w:val="32"/>
        </w:rPr>
        <w:t>预期用于口服抗凝剂的监测时，应同时进行试剂敏感性的评价，选择至少40例接受维生素K拮抗剂（如华法林）治疗的患者样本，其中INR2.0～4.5为30例，INR＜2.0为5例，INR＞4.5为5例，与已上市试剂或参考方法相比，位于治疗区间（2.0～4.</w:t>
      </w:r>
      <w:r>
        <w:rPr>
          <w:rFonts w:ascii="仿宋_GB2312" w:hAnsi="宋体" w:eastAsia="仿宋_GB2312"/>
          <w:sz w:val="32"/>
          <w:szCs w:val="32"/>
        </w:rPr>
        <w:t>0</w:t>
      </w:r>
      <w:r>
        <w:rPr>
          <w:rFonts w:hint="eastAsia" w:ascii="仿宋_GB2312" w:hAnsi="宋体" w:eastAsia="仿宋_GB2312"/>
          <w:sz w:val="32"/>
          <w:szCs w:val="32"/>
        </w:rPr>
        <w:t>）内的85%样本需满足不超过±0.5INR单位的要求。</w:t>
      </w:r>
    </w:p>
    <w:p w14:paraId="19ED942C">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2.2.2 APTT</w:t>
      </w:r>
    </w:p>
    <w:p w14:paraId="2B4DA2D4">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用于APTT试剂方法学比对的样本包括正常样本、接受普通肝素治疗患者样本、含狼疮抗凝物样本以及凝血因子缺乏的样本。</w:t>
      </w:r>
    </w:p>
    <w:p w14:paraId="1E89A983">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APTT试剂预期用于普通肝素治疗的监测时，应通过至少20例接受普通肝素治疗的患者样本进行评价，样本的选择应能覆盖肝素的治疗范围。申请人可参照</w:t>
      </w:r>
      <w:r>
        <w:rPr>
          <w:rFonts w:ascii="仿宋_GB2312" w:hAnsi="宋体" w:eastAsia="仿宋_GB2312"/>
          <w:sz w:val="32"/>
          <w:szCs w:val="32"/>
        </w:rPr>
        <w:t>CLSI H47文件推荐的方法建立</w:t>
      </w:r>
      <w:r>
        <w:rPr>
          <w:rFonts w:hint="eastAsia" w:ascii="仿宋_GB2312" w:hAnsi="宋体" w:eastAsia="仿宋_GB2312"/>
          <w:sz w:val="32"/>
          <w:szCs w:val="32"/>
        </w:rPr>
        <w:t>监测普通肝素治疗的</w:t>
      </w:r>
      <w:r>
        <w:rPr>
          <w:rFonts w:ascii="仿宋_GB2312" w:hAnsi="宋体" w:eastAsia="仿宋_GB2312"/>
          <w:sz w:val="32"/>
          <w:szCs w:val="32"/>
        </w:rPr>
        <w:t>APTT参考区间。</w:t>
      </w:r>
      <w:r>
        <w:rPr>
          <w:rFonts w:hint="eastAsia" w:ascii="仿宋_GB2312" w:hAnsi="宋体" w:eastAsia="仿宋_GB2312"/>
          <w:sz w:val="32"/>
          <w:szCs w:val="32"/>
        </w:rPr>
        <w:t>（注：可于临床评价时进行）</w:t>
      </w:r>
    </w:p>
    <w:p w14:paraId="10FE8139">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APTT试剂预期用于狼疮抗凝物和凝血因子缺乏的筛查时，应参照CLSI H47文件推荐的方法进一步进行试剂敏感性的评价。</w:t>
      </w:r>
    </w:p>
    <w:p w14:paraId="5DBEF3EF">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3.精密度</w:t>
      </w:r>
    </w:p>
    <w:p w14:paraId="39E8AEC3">
      <w:pPr>
        <w:adjustRightInd w:val="0"/>
        <w:snapToGrid w:val="0"/>
        <w:spacing w:line="520" w:lineRule="exact"/>
        <w:ind w:firstLine="640" w:firstLineChars="200"/>
        <w:rPr>
          <w:rFonts w:ascii="仿宋_GB2312" w:hAnsi="宋体" w:eastAsia="仿宋_GB2312"/>
          <w:sz w:val="32"/>
          <w:szCs w:val="32"/>
        </w:rPr>
      </w:pPr>
      <w:r>
        <w:rPr>
          <w:rFonts w:ascii="仿宋_GB2312" w:hAnsi="宋体" w:eastAsia="仿宋_GB2312"/>
          <w:sz w:val="32"/>
          <w:szCs w:val="32"/>
        </w:rPr>
        <w:t>精密度的评价方法并无统一的标准可依，具体实验方法可以参考相关指南或国内有关体外诊断产品性能评估的指导原则进行。应对每项精密度指标的评价标准做出合理要求，如标准差或变异系数的范围等。针对本类产品的精密度评价主要包括以下要求：</w:t>
      </w:r>
    </w:p>
    <w:p w14:paraId="2EF01779">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3.1应至少进行重复性和日间精密度的研究，同时根据各测量条件对检测结果影响程度的分析，考虑是否需要进行其他中间精密度和/或再现性研究。不必对每个测量条件进行单独评估，可在试验设计中纳入多个测量条件。</w:t>
      </w:r>
    </w:p>
    <w:p w14:paraId="75111A6B">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3.2</w:t>
      </w:r>
      <w:r>
        <w:rPr>
          <w:rFonts w:ascii="仿宋_GB2312" w:hAnsi="宋体" w:eastAsia="仿宋_GB2312"/>
          <w:sz w:val="32"/>
          <w:szCs w:val="32"/>
        </w:rPr>
        <w:t>精密度的评价应</w:t>
      </w:r>
      <w:r>
        <w:rPr>
          <w:rFonts w:hint="eastAsia" w:ascii="仿宋_GB2312" w:hAnsi="宋体" w:eastAsia="仿宋_GB2312"/>
          <w:sz w:val="32"/>
          <w:szCs w:val="32"/>
        </w:rPr>
        <w:t>至少</w:t>
      </w:r>
      <w:r>
        <w:rPr>
          <w:rFonts w:ascii="仿宋_GB2312" w:hAnsi="宋体" w:eastAsia="仿宋_GB2312"/>
          <w:sz w:val="32"/>
          <w:szCs w:val="32"/>
        </w:rPr>
        <w:t>选择</w:t>
      </w:r>
      <w:r>
        <w:rPr>
          <w:rFonts w:hint="eastAsia" w:ascii="仿宋_GB2312" w:hAnsi="宋体" w:eastAsia="仿宋_GB2312"/>
          <w:sz w:val="32"/>
          <w:szCs w:val="32"/>
        </w:rPr>
        <w:t>2～3个水平的质控血浆</w:t>
      </w:r>
      <w:r>
        <w:rPr>
          <w:rFonts w:ascii="仿宋_GB2312" w:hAnsi="宋体" w:eastAsia="仿宋_GB2312"/>
          <w:sz w:val="32"/>
          <w:szCs w:val="32"/>
        </w:rPr>
        <w:t>进行，一般来说应包含正常</w:t>
      </w:r>
      <w:r>
        <w:rPr>
          <w:rFonts w:hint="eastAsia" w:ascii="仿宋_GB2312" w:hAnsi="宋体" w:eastAsia="仿宋_GB2312"/>
          <w:sz w:val="32"/>
          <w:szCs w:val="32"/>
        </w:rPr>
        <w:t>质控血浆</w:t>
      </w:r>
      <w:r>
        <w:rPr>
          <w:rFonts w:ascii="仿宋_GB2312" w:hAnsi="宋体" w:eastAsia="仿宋_GB2312"/>
          <w:sz w:val="32"/>
          <w:szCs w:val="32"/>
        </w:rPr>
        <w:t>、异常</w:t>
      </w:r>
      <w:r>
        <w:rPr>
          <w:rFonts w:hint="eastAsia" w:ascii="仿宋_GB2312" w:hAnsi="宋体" w:eastAsia="仿宋_GB2312"/>
          <w:sz w:val="32"/>
          <w:szCs w:val="32"/>
        </w:rPr>
        <w:t>高值质控血浆</w:t>
      </w:r>
      <w:r>
        <w:rPr>
          <w:rFonts w:ascii="仿宋_GB2312" w:hAnsi="宋体" w:eastAsia="仿宋_GB2312"/>
          <w:sz w:val="32"/>
          <w:szCs w:val="32"/>
        </w:rPr>
        <w:t>等</w:t>
      </w:r>
      <w:r>
        <w:rPr>
          <w:rFonts w:hint="eastAsia" w:ascii="仿宋_GB2312" w:hAnsi="宋体" w:eastAsia="仿宋_GB2312"/>
          <w:sz w:val="32"/>
          <w:szCs w:val="32"/>
        </w:rPr>
        <w:t>，并根据产品特性设定适当的精密度要求。</w:t>
      </w:r>
    </w:p>
    <w:p w14:paraId="4BFF3C24">
      <w:pPr>
        <w:adjustRightInd w:val="0"/>
        <w:snapToGrid w:val="0"/>
        <w:spacing w:line="520" w:lineRule="exact"/>
        <w:ind w:firstLine="640" w:firstLineChars="200"/>
        <w:rPr>
          <w:rFonts w:ascii="仿宋_GB2312" w:hAnsi="Times New Roman" w:eastAsia="仿宋_GB2312"/>
          <w:kern w:val="0"/>
          <w:sz w:val="32"/>
          <w:szCs w:val="32"/>
        </w:rPr>
      </w:pPr>
      <w:r>
        <w:rPr>
          <w:rFonts w:hint="eastAsia" w:ascii="仿宋_GB2312" w:hAnsi="宋体" w:eastAsia="仿宋_GB2312"/>
          <w:sz w:val="32"/>
          <w:szCs w:val="32"/>
        </w:rPr>
        <w:t>3.3PT试剂应对声称的每一种可报告方式进行精密度评价。</w:t>
      </w:r>
    </w:p>
    <w:p w14:paraId="207EF1E0">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4.线性范围</w:t>
      </w:r>
    </w:p>
    <w:p w14:paraId="6EA7129E">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当建立试剂的线性范围时，需采用7～11个不同浓度的样本（建议用临床高值和低值样本按比例精确配制），建议比预期的线性范围宽</w:t>
      </w:r>
      <w:r>
        <w:rPr>
          <w:rFonts w:ascii="仿宋_GB2312" w:hAnsi="宋体" w:eastAsia="仿宋_GB2312"/>
          <w:sz w:val="32"/>
          <w:szCs w:val="32"/>
        </w:rPr>
        <w:t>20</w:t>
      </w:r>
      <w:r>
        <w:rPr>
          <w:rFonts w:hint="eastAsia" w:ascii="仿宋_GB2312" w:hAnsi="宋体" w:eastAsia="仿宋_GB2312"/>
          <w:sz w:val="32"/>
          <w:szCs w:val="32"/>
        </w:rPr>
        <w:t>～</w:t>
      </w:r>
      <w:r>
        <w:rPr>
          <w:rFonts w:ascii="仿宋_GB2312" w:hAnsi="宋体" w:eastAsia="仿宋_GB2312"/>
          <w:sz w:val="32"/>
          <w:szCs w:val="32"/>
        </w:rPr>
        <w:t>30%</w:t>
      </w:r>
      <w:r>
        <w:rPr>
          <w:rFonts w:hint="eastAsia" w:ascii="仿宋_GB2312" w:hAnsi="宋体" w:eastAsia="仿宋_GB2312"/>
          <w:sz w:val="32"/>
          <w:szCs w:val="32"/>
        </w:rPr>
        <w:t>，每个浓度样本检测2～4次。采用</w:t>
      </w:r>
      <w:r>
        <w:rPr>
          <w:rFonts w:ascii="仿宋_GB2312" w:hAnsi="宋体" w:eastAsia="仿宋_GB2312"/>
          <w:sz w:val="32"/>
          <w:szCs w:val="32"/>
        </w:rPr>
        <w:t>合理的</w:t>
      </w:r>
      <w:r>
        <w:rPr>
          <w:rFonts w:hint="eastAsia" w:ascii="仿宋_GB2312" w:hAnsi="宋体" w:eastAsia="仿宋_GB2312"/>
          <w:sz w:val="32"/>
          <w:szCs w:val="32"/>
        </w:rPr>
        <w:t>统计</w:t>
      </w:r>
      <w:r>
        <w:rPr>
          <w:rFonts w:ascii="仿宋_GB2312" w:hAnsi="宋体" w:eastAsia="仿宋_GB2312"/>
          <w:sz w:val="32"/>
          <w:szCs w:val="32"/>
        </w:rPr>
        <w:t>方法</w:t>
      </w:r>
      <w:r>
        <w:rPr>
          <w:rFonts w:hint="eastAsia" w:ascii="仿宋_GB2312" w:hAnsi="宋体" w:eastAsia="仿宋_GB2312"/>
          <w:sz w:val="32"/>
          <w:szCs w:val="32"/>
        </w:rPr>
        <w:t>结合图示评价检测结果是否呈线性，逐渐减少浓度点，直到有可接受的线性范围。统计</w:t>
      </w:r>
      <w:r>
        <w:rPr>
          <w:rFonts w:ascii="仿宋_GB2312" w:hAnsi="宋体" w:eastAsia="仿宋_GB2312"/>
          <w:sz w:val="32"/>
          <w:szCs w:val="32"/>
        </w:rPr>
        <w:t>方法</w:t>
      </w:r>
      <w:r>
        <w:rPr>
          <w:rFonts w:hint="eastAsia" w:ascii="仿宋_GB2312" w:hAnsi="宋体" w:eastAsia="仿宋_GB2312"/>
          <w:sz w:val="32"/>
          <w:szCs w:val="32"/>
        </w:rPr>
        <w:t>可采用多项式回归方法、直线</w:t>
      </w:r>
      <w:r>
        <w:rPr>
          <w:rFonts w:ascii="仿宋_GB2312" w:hAnsi="宋体" w:eastAsia="仿宋_GB2312"/>
          <w:sz w:val="32"/>
          <w:szCs w:val="32"/>
        </w:rPr>
        <w:t>拟合后</w:t>
      </w:r>
      <w:r>
        <w:rPr>
          <w:rFonts w:hint="eastAsia" w:ascii="仿宋_GB2312" w:hAnsi="宋体" w:eastAsia="仿宋_GB2312"/>
          <w:sz w:val="32"/>
          <w:szCs w:val="32"/>
        </w:rPr>
        <w:t>分析</w:t>
      </w:r>
      <w:r>
        <w:rPr>
          <w:rFonts w:ascii="仿宋_GB2312" w:hAnsi="宋体" w:eastAsia="仿宋_GB2312"/>
          <w:sz w:val="32"/>
          <w:szCs w:val="32"/>
        </w:rPr>
        <w:t>线性回归方程及线性相关系数</w:t>
      </w:r>
      <w:r>
        <w:rPr>
          <w:rFonts w:hint="eastAsia" w:ascii="仿宋_GB2312" w:hAnsi="宋体" w:eastAsia="仿宋_GB2312"/>
          <w:sz w:val="32"/>
          <w:szCs w:val="32"/>
        </w:rPr>
        <w:t>（</w:t>
      </w:r>
      <w:r>
        <w:rPr>
          <w:rFonts w:ascii="仿宋_GB2312" w:hAnsi="宋体" w:eastAsia="仿宋_GB2312"/>
          <w:sz w:val="32"/>
          <w:szCs w:val="32"/>
        </w:rPr>
        <w:t>r</w:t>
      </w:r>
      <w:r>
        <w:rPr>
          <w:rFonts w:hint="eastAsia" w:ascii="仿宋_GB2312" w:hAnsi="宋体" w:eastAsia="仿宋_GB2312"/>
          <w:sz w:val="32"/>
          <w:szCs w:val="32"/>
        </w:rPr>
        <w:t>）</w:t>
      </w:r>
      <w:r>
        <w:rPr>
          <w:rFonts w:ascii="仿宋_GB2312" w:hAnsi="宋体" w:eastAsia="仿宋_GB2312"/>
          <w:sz w:val="32"/>
          <w:szCs w:val="32"/>
        </w:rPr>
        <w:t>的方法</w:t>
      </w:r>
      <w:r>
        <w:rPr>
          <w:rFonts w:hint="eastAsia" w:ascii="仿宋_GB2312" w:hAnsi="宋体" w:eastAsia="仿宋_GB2312"/>
          <w:sz w:val="32"/>
          <w:szCs w:val="32"/>
        </w:rPr>
        <w:t>，建议纳入</w:t>
      </w:r>
      <w:r>
        <w:rPr>
          <w:rFonts w:ascii="仿宋_GB2312" w:hAnsi="宋体" w:eastAsia="仿宋_GB2312"/>
          <w:sz w:val="32"/>
          <w:szCs w:val="32"/>
        </w:rPr>
        <w:t>重复性和偏差的</w:t>
      </w:r>
      <w:r>
        <w:rPr>
          <w:rFonts w:hint="eastAsia" w:ascii="仿宋_GB2312" w:hAnsi="宋体" w:eastAsia="仿宋_GB2312"/>
          <w:sz w:val="32"/>
          <w:szCs w:val="32"/>
        </w:rPr>
        <w:t>检查</w:t>
      </w:r>
      <w:r>
        <w:rPr>
          <w:rFonts w:ascii="仿宋_GB2312" w:hAnsi="宋体" w:eastAsia="仿宋_GB2312"/>
          <w:sz w:val="32"/>
          <w:szCs w:val="32"/>
        </w:rPr>
        <w:t>，并设置</w:t>
      </w:r>
      <w:r>
        <w:rPr>
          <w:rFonts w:hint="eastAsia" w:ascii="仿宋_GB2312" w:hAnsi="宋体" w:eastAsia="仿宋_GB2312"/>
          <w:sz w:val="32"/>
          <w:szCs w:val="32"/>
        </w:rPr>
        <w:t>合理</w:t>
      </w:r>
      <w:r>
        <w:rPr>
          <w:rFonts w:ascii="仿宋_GB2312" w:hAnsi="宋体" w:eastAsia="仿宋_GB2312"/>
          <w:sz w:val="32"/>
          <w:szCs w:val="32"/>
        </w:rPr>
        <w:t>的接受标准。</w:t>
      </w:r>
    </w:p>
    <w:p w14:paraId="1EEB5A78">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当验证试剂的线性范围时，需采用5～7个不同浓度的样本，覆盖整个线性范围，每个浓度样本检测至少2次。</w:t>
      </w:r>
    </w:p>
    <w:p w14:paraId="0B39B5C9">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5.检测限</w:t>
      </w:r>
    </w:p>
    <w:p w14:paraId="7788BF60">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检测限的评估一般包括空白限（LoB）、检出限（LoD）与定量限（LoQ）。申请人可</w:t>
      </w:r>
      <w:r>
        <w:rPr>
          <w:rFonts w:ascii="仿宋_GB2312" w:hAnsi="宋体" w:eastAsia="仿宋_GB2312"/>
          <w:sz w:val="32"/>
          <w:szCs w:val="32"/>
        </w:rPr>
        <w:t>参照</w:t>
      </w:r>
      <w:r>
        <w:rPr>
          <w:rFonts w:hint="eastAsia" w:ascii="仿宋_GB2312" w:hAnsi="宋体" w:eastAsia="仿宋_GB2312"/>
          <w:sz w:val="32"/>
          <w:szCs w:val="32"/>
        </w:rPr>
        <w:t>国内相关性能评估文件或</w:t>
      </w:r>
      <w:r>
        <w:rPr>
          <w:rFonts w:ascii="仿宋_GB2312" w:hAnsi="宋体" w:eastAsia="仿宋_GB2312"/>
          <w:sz w:val="32"/>
          <w:szCs w:val="32"/>
        </w:rPr>
        <w:t>EP17-A2文件推荐的定义和设计方案，对申报产品的</w:t>
      </w:r>
      <w:r>
        <w:rPr>
          <w:rFonts w:hint="eastAsia" w:ascii="仿宋_GB2312" w:hAnsi="宋体" w:eastAsia="仿宋_GB2312"/>
          <w:sz w:val="32"/>
          <w:szCs w:val="32"/>
        </w:rPr>
        <w:t>检测限</w:t>
      </w:r>
      <w:r>
        <w:rPr>
          <w:rFonts w:ascii="仿宋_GB2312" w:hAnsi="宋体" w:eastAsia="仿宋_GB2312"/>
          <w:sz w:val="32"/>
          <w:szCs w:val="32"/>
        </w:rPr>
        <w:t>进行合理评估和验证。</w:t>
      </w:r>
      <w:r>
        <w:rPr>
          <w:rFonts w:hint="eastAsia" w:ascii="仿宋_GB2312" w:hAnsi="宋体" w:eastAsia="仿宋_GB2312"/>
          <w:sz w:val="32"/>
          <w:szCs w:val="32"/>
        </w:rPr>
        <w:t>针对FIB项目，建议至少进行LoQ的研究。</w:t>
      </w:r>
    </w:p>
    <w:p w14:paraId="416EEAE2">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6.抗干扰研究</w:t>
      </w:r>
    </w:p>
    <w:p w14:paraId="0DEA577E">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对样本中常见的内源性干扰物质进行检测，如甘油三酯、血红蛋白、胆红素等，确定可接受的干扰物质极限浓度。</w:t>
      </w:r>
    </w:p>
    <w:p w14:paraId="4ED2CE3F">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外源性干扰物质通常包括常用药物及其代谢物、患者群体使用的药物及其代谢物等，建议申请人充分</w:t>
      </w:r>
      <w:r>
        <w:rPr>
          <w:rFonts w:hint="eastAsia" w:ascii="仿宋_GB2312" w:eastAsia="仿宋_GB2312" w:hAnsiTheme="minorEastAsia"/>
          <w:sz w:val="32"/>
          <w:szCs w:val="32"/>
        </w:rPr>
        <w:t>考虑已报道对类似试剂或测量程序存在干扰的物质，</w:t>
      </w:r>
      <w:r>
        <w:rPr>
          <w:rFonts w:hint="eastAsia" w:ascii="仿宋_GB2312" w:hAnsi="宋体" w:eastAsia="仿宋_GB2312"/>
          <w:sz w:val="32"/>
          <w:szCs w:val="32"/>
        </w:rPr>
        <w:t>并根据产品特点选择潜在的干扰物质进行验证。</w:t>
      </w:r>
    </w:p>
    <w:p w14:paraId="3494E37A">
      <w:pPr>
        <w:adjustRightInd w:val="0"/>
        <w:snapToGrid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干扰物质研究的样本可采用临床或模拟添加样本进行验证，建议至少包含正常值、异常高值两个水平的样本。</w:t>
      </w:r>
    </w:p>
    <w:p w14:paraId="7ACE8DDE">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7.ISI标定</w:t>
      </w:r>
    </w:p>
    <w:p w14:paraId="45AA46BB">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对于PT试剂应提供组织凝血活酶ISI标定以及针对特定试剂/仪器组合的ISI标定的详细研究资料，ISI应按照WHO指南通过标准测量程序确定，或参考CLSI H54文件推荐的方法，采用已赋值PT/INR标准血浆进行校准（需经过充分的验证）。</w:t>
      </w:r>
    </w:p>
    <w:p w14:paraId="7442FFB0">
      <w:pPr>
        <w:spacing w:line="540" w:lineRule="exact"/>
        <w:ind w:firstLine="640" w:firstLineChars="200"/>
        <w:rPr>
          <w:rFonts w:eastAsia="仿宋_GB2312"/>
          <w:sz w:val="32"/>
          <w:szCs w:val="28"/>
        </w:rPr>
      </w:pPr>
      <w:r>
        <w:rPr>
          <w:rFonts w:hint="eastAsia" w:ascii="仿宋_GB2312" w:hAnsi="宋体" w:eastAsia="仿宋_GB2312"/>
          <w:sz w:val="32"/>
          <w:szCs w:val="32"/>
        </w:rPr>
        <w:t>8.</w:t>
      </w:r>
      <w:r>
        <w:rPr>
          <w:rFonts w:hint="eastAsia" w:eastAsia="仿宋_GB2312"/>
          <w:sz w:val="32"/>
          <w:szCs w:val="28"/>
        </w:rPr>
        <w:t>溯源性</w:t>
      </w:r>
    </w:p>
    <w:p w14:paraId="1BA68106">
      <w:pPr>
        <w:spacing w:line="540" w:lineRule="exact"/>
        <w:ind w:firstLine="640" w:firstLineChars="200"/>
        <w:rPr>
          <w:rFonts w:ascii="仿宋_GB2312" w:hAnsi="宋体" w:eastAsia="仿宋_GB2312"/>
          <w:sz w:val="32"/>
          <w:szCs w:val="32"/>
        </w:rPr>
      </w:pPr>
      <w:r>
        <w:rPr>
          <w:rFonts w:ascii="仿宋_GB2312" w:hAnsi="宋体" w:eastAsia="仿宋_GB2312"/>
          <w:sz w:val="32"/>
          <w:szCs w:val="32"/>
        </w:rPr>
        <w:t>应提供详细的</w:t>
      </w:r>
      <w:r>
        <w:rPr>
          <w:rFonts w:hint="eastAsia" w:ascii="仿宋_GB2312" w:hAnsi="宋体" w:eastAsia="仿宋_GB2312"/>
          <w:sz w:val="32"/>
          <w:szCs w:val="32"/>
        </w:rPr>
        <w:t>产品</w:t>
      </w:r>
      <w:r>
        <w:rPr>
          <w:rFonts w:ascii="仿宋_GB2312" w:hAnsi="宋体" w:eastAsia="仿宋_GB2312"/>
          <w:sz w:val="32"/>
          <w:szCs w:val="32"/>
        </w:rPr>
        <w:t>溯源</w:t>
      </w:r>
      <w:r>
        <w:rPr>
          <w:rFonts w:hint="eastAsia" w:ascii="仿宋_GB2312" w:hAnsi="宋体" w:eastAsia="仿宋_GB2312"/>
          <w:sz w:val="32"/>
          <w:szCs w:val="32"/>
        </w:rPr>
        <w:t>性研究资料</w:t>
      </w:r>
      <w:r>
        <w:rPr>
          <w:rFonts w:ascii="仿宋_GB2312" w:hAnsi="宋体" w:eastAsia="仿宋_GB2312"/>
          <w:sz w:val="32"/>
          <w:szCs w:val="32"/>
        </w:rPr>
        <w:t>，</w:t>
      </w:r>
      <w:r>
        <w:rPr>
          <w:rFonts w:hint="eastAsia" w:ascii="仿宋_GB2312" w:hAnsi="宋体" w:eastAsia="仿宋_GB2312"/>
          <w:sz w:val="32"/>
          <w:szCs w:val="32"/>
        </w:rPr>
        <w:t>且检测结果的量值</w:t>
      </w:r>
      <w:r>
        <w:rPr>
          <w:rFonts w:hint="eastAsia" w:ascii="仿宋_GB2312" w:hAnsi="Times New Roman" w:eastAsia="仿宋_GB2312"/>
          <w:sz w:val="32"/>
          <w:szCs w:val="32"/>
        </w:rPr>
        <w:t>应溯源至现行的国家或国际标准品。对于企业内部参考血浆（定标血浆）、试剂盒校准品</w:t>
      </w:r>
      <w:r>
        <w:rPr>
          <w:rFonts w:hint="eastAsia" w:ascii="仿宋_GB2312" w:hAnsi="宋体" w:eastAsia="仿宋_GB2312"/>
          <w:sz w:val="32"/>
          <w:szCs w:val="32"/>
        </w:rPr>
        <w:t>应提供详细的</w:t>
      </w:r>
      <w:r>
        <w:rPr>
          <w:rFonts w:ascii="仿宋_GB2312" w:hAnsi="宋体" w:eastAsia="仿宋_GB2312"/>
          <w:sz w:val="32"/>
          <w:szCs w:val="32"/>
        </w:rPr>
        <w:t>赋值试验资料和溯源性文件等</w:t>
      </w:r>
      <w:r>
        <w:rPr>
          <w:rFonts w:hint="eastAsia" w:ascii="仿宋_GB2312" w:hAnsi="宋体" w:eastAsia="仿宋_GB2312"/>
          <w:sz w:val="32"/>
          <w:szCs w:val="32"/>
        </w:rPr>
        <w:t>。</w:t>
      </w:r>
      <w:r>
        <w:rPr>
          <w:rFonts w:ascii="仿宋_GB2312" w:hAnsi="宋体" w:eastAsia="仿宋_GB2312"/>
          <w:sz w:val="32"/>
          <w:szCs w:val="32"/>
        </w:rPr>
        <w:t>质控品应提供在所有适用机型上的定值及其靶值范围确定的</w:t>
      </w:r>
      <w:r>
        <w:rPr>
          <w:rFonts w:hint="eastAsia" w:ascii="仿宋_GB2312" w:hAnsi="宋体" w:eastAsia="仿宋_GB2312"/>
          <w:sz w:val="32"/>
          <w:szCs w:val="32"/>
        </w:rPr>
        <w:t>研究资料</w:t>
      </w:r>
      <w:r>
        <w:rPr>
          <w:rFonts w:ascii="仿宋_GB2312" w:hAnsi="宋体" w:eastAsia="仿宋_GB2312"/>
          <w:sz w:val="32"/>
          <w:szCs w:val="32"/>
        </w:rPr>
        <w:t>。</w:t>
      </w:r>
      <w:r>
        <w:rPr>
          <w:rFonts w:hint="eastAsia" w:ascii="仿宋_GB2312" w:hAnsi="Times New Roman" w:eastAsia="仿宋_GB2312"/>
          <w:sz w:val="32"/>
          <w:szCs w:val="32"/>
        </w:rPr>
        <w:t>如包含PT/</w:t>
      </w:r>
      <w:r>
        <w:rPr>
          <w:rFonts w:hint="eastAsia" w:ascii="仿宋_GB2312" w:hAnsi="宋体" w:eastAsia="仿宋_GB2312"/>
          <w:sz w:val="32"/>
          <w:szCs w:val="32"/>
        </w:rPr>
        <w:t>INR标准血浆，建议参照CLSI H54文件提供详细的赋值验证过程研究资料。</w:t>
      </w:r>
    </w:p>
    <w:p w14:paraId="54872C13">
      <w:pPr>
        <w:overflowPunct w:val="0"/>
        <w:adjustRightInd w:val="0"/>
        <w:snapToGrid w:val="0"/>
        <w:spacing w:line="520" w:lineRule="exact"/>
        <w:ind w:firstLine="640" w:firstLineChars="200"/>
        <w:outlineLvl w:val="2"/>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9.其它需注意问题</w:t>
      </w:r>
    </w:p>
    <w:p w14:paraId="639772AD">
      <w:pPr>
        <w:overflowPunct w:val="0"/>
        <w:adjustRightInd w:val="0"/>
        <w:snapToGrid w:val="0"/>
        <w:spacing w:line="520" w:lineRule="exact"/>
        <w:ind w:firstLine="640" w:firstLineChars="200"/>
        <w:outlineLvl w:val="2"/>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对于适用多个机型的产品，应提供如产品说明书【适用机型】项中所列的所有型号仪器的性能评估资料。</w:t>
      </w:r>
    </w:p>
    <w:p w14:paraId="17E473DE">
      <w:pPr>
        <w:overflowPunct w:val="0"/>
        <w:adjustRightInd w:val="0"/>
        <w:snapToGrid w:val="0"/>
        <w:spacing w:line="520" w:lineRule="exact"/>
        <w:ind w:firstLine="640" w:firstLineChars="200"/>
        <w:outlineLvl w:val="2"/>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如有多个包装规格，需要对不同包装规格之间的差异进行分析或验证，如不同包装规格产品间存在性能差异，需要提交采用每个包装规格产品的分析性能评估。如不同包装规格之间不存在性能差异，需要提交包装规格之间不存在性能差异的详细说明，具体说明不同包装规格之间的差别及可能产生的影响。</w:t>
      </w:r>
    </w:p>
    <w:p w14:paraId="39209F92">
      <w:pPr>
        <w:adjustRightInd w:val="0"/>
        <w:snapToGrid w:val="0"/>
        <w:spacing w:line="520" w:lineRule="exact"/>
        <w:ind w:firstLine="640" w:firstLineChars="200"/>
        <w:rPr>
          <w:rFonts w:ascii="仿宋_GB2312" w:hAnsi="Times New Roman" w:eastAsia="仿宋_GB2312"/>
          <w:bCs/>
          <w:sz w:val="32"/>
          <w:szCs w:val="32"/>
        </w:rPr>
      </w:pPr>
      <w:bookmarkStart w:id="10" w:name="_Toc323285336"/>
      <w:r>
        <w:rPr>
          <w:rFonts w:hint="eastAsia" w:ascii="仿宋_GB2312" w:hAnsi="Times New Roman" w:eastAsia="仿宋_GB2312"/>
          <w:bCs/>
          <w:sz w:val="32"/>
          <w:szCs w:val="32"/>
        </w:rPr>
        <w:t>（五）参考区间确定资料</w:t>
      </w:r>
      <w:bookmarkEnd w:id="10"/>
    </w:p>
    <w:p w14:paraId="0333D12A">
      <w:pPr>
        <w:overflowPunct w:val="0"/>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建议参考CLSI C28-A3c或者WS/T 402-2012《临床实验室检验项目参考区间的制定》以及相关指导原则明确参考区间的确定方法或依据。</w:t>
      </w:r>
    </w:p>
    <w:p w14:paraId="0567E1E6">
      <w:pPr>
        <w:overflowPunct w:val="0"/>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1）提交建立参考区间所采用样本来源及详细的试验资料。研究样本来源应覆盖年龄、性别等因素，尽可能考虑样本来源的多样性、代表性。应明确参考人群的筛选标准（如：未接受过药物治疗，且过去18</w:t>
      </w:r>
      <w:r>
        <w:rPr>
          <w:rFonts w:hint="eastAsia" w:ascii="仿宋_GB2312" w:hAnsi="Times New Roman" w:eastAsia="仿宋_GB2312"/>
          <w:sz w:val="32"/>
          <w:szCs w:val="32"/>
        </w:rPr>
        <w:t>～24小时内未进行过剧烈运动</w:t>
      </w:r>
      <w:r>
        <w:rPr>
          <w:rFonts w:hint="eastAsia" w:ascii="仿宋_GB2312" w:eastAsia="仿宋_GB2312"/>
          <w:kern w:val="0"/>
          <w:sz w:val="32"/>
          <w:szCs w:val="32"/>
        </w:rPr>
        <w:t>），研究各组（如性别、年龄等）例数通常应不低于120例。</w:t>
      </w:r>
    </w:p>
    <w:p w14:paraId="628DD1A9">
      <w:pPr>
        <w:overflowPunct w:val="0"/>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2）若引用针对中国人群参考区间研究的相关文献，应明确说明出处，并进行验证。</w:t>
      </w:r>
    </w:p>
    <w:p w14:paraId="46138C58">
      <w:pPr>
        <w:overflowPunct w:val="0"/>
        <w:spacing w:line="520" w:lineRule="exact"/>
        <w:ind w:firstLine="640" w:firstLineChars="200"/>
        <w:rPr>
          <w:rFonts w:ascii="仿宋_GB2312" w:eastAsia="仿宋_GB2312"/>
          <w:kern w:val="0"/>
          <w:sz w:val="32"/>
          <w:szCs w:val="32"/>
        </w:rPr>
      </w:pPr>
      <w:r>
        <w:rPr>
          <w:rFonts w:hint="eastAsia" w:ascii="仿宋_GB2312" w:eastAsia="仿宋_GB2312"/>
          <w:kern w:val="0"/>
          <w:sz w:val="32"/>
          <w:szCs w:val="32"/>
        </w:rPr>
        <w:t>3）样本应采用新鲜样本（</w:t>
      </w:r>
      <w:r>
        <w:rPr>
          <w:rFonts w:hint="eastAsia" w:ascii="仿宋_GB2312" w:hAnsi="Times New Roman" w:eastAsia="仿宋_GB2312"/>
          <w:sz w:val="32"/>
          <w:szCs w:val="32"/>
        </w:rPr>
        <w:t>18～24℃，</w:t>
      </w:r>
      <w:r>
        <w:rPr>
          <w:rFonts w:hint="eastAsia" w:ascii="仿宋_GB2312" w:eastAsia="仿宋_GB2312"/>
          <w:kern w:val="0"/>
          <w:sz w:val="32"/>
          <w:szCs w:val="32"/>
        </w:rPr>
        <w:t>4小时内）或-70℃冷冻血浆，</w:t>
      </w:r>
      <w:r>
        <w:rPr>
          <w:rFonts w:hint="eastAsia" w:ascii="仿宋_GB2312" w:hAnsi="Times New Roman" w:eastAsia="仿宋_GB2312"/>
          <w:sz w:val="32"/>
          <w:szCs w:val="32"/>
        </w:rPr>
        <w:t>冷冻血浆应在37℃水浴中迅速融化，轻轻混匀立即测定。</w:t>
      </w:r>
    </w:p>
    <w:p w14:paraId="41CDAF61">
      <w:pPr>
        <w:overflowPunct w:val="0"/>
        <w:adjustRightInd w:val="0"/>
        <w:snapToGrid w:val="0"/>
        <w:spacing w:line="520" w:lineRule="exact"/>
        <w:ind w:firstLine="640" w:firstLineChars="200"/>
        <w:rPr>
          <w:rFonts w:ascii="仿宋_GB2312" w:hAnsi="Times New Roman" w:eastAsia="仿宋_GB2312"/>
          <w:color w:val="FF0000"/>
          <w:kern w:val="0"/>
          <w:sz w:val="32"/>
          <w:szCs w:val="32"/>
        </w:rPr>
      </w:pPr>
      <w:r>
        <w:rPr>
          <w:rFonts w:hint="eastAsia" w:ascii="仿宋_GB2312" w:eastAsia="仿宋_GB2312"/>
          <w:kern w:val="0"/>
          <w:sz w:val="32"/>
          <w:szCs w:val="32"/>
        </w:rPr>
        <w:t>参考值研究结果应在说明书【参考区间】项中进行相应说明。</w:t>
      </w:r>
    </w:p>
    <w:p w14:paraId="322DFF14">
      <w:pPr>
        <w:adjustRightInd w:val="0"/>
        <w:snapToGrid w:val="0"/>
        <w:spacing w:line="520" w:lineRule="exact"/>
        <w:ind w:firstLine="640" w:firstLineChars="200"/>
        <w:rPr>
          <w:rFonts w:ascii="仿宋_GB2312" w:hAnsi="Times New Roman" w:eastAsia="仿宋_GB2312"/>
          <w:bCs/>
          <w:sz w:val="32"/>
          <w:szCs w:val="32"/>
        </w:rPr>
      </w:pPr>
      <w:bookmarkStart w:id="11" w:name="_Toc323285337"/>
      <w:r>
        <w:rPr>
          <w:rFonts w:hint="eastAsia" w:ascii="仿宋_GB2312" w:hAnsi="Times New Roman" w:eastAsia="仿宋_GB2312"/>
          <w:bCs/>
          <w:sz w:val="32"/>
          <w:szCs w:val="32"/>
        </w:rPr>
        <w:t>（六）稳定性研究资料</w:t>
      </w:r>
      <w:bookmarkEnd w:id="11"/>
    </w:p>
    <w:p w14:paraId="1A42EB2A">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稳定性研究资料主要涉及两部分内容，申报试剂的稳定性和适用样本的稳定性研究。前者主要包括实时稳定性（有效期）、运输稳定性、开瓶（在机）稳定性及复溶稳定性（如涉及）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74E7965F">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样本稳定性研究主要包括室温（如：18～24℃）、冷藏和冷冻条件下的有效期验证，申请人可参考WS/T 359-2011或CLSI的H21-A5文件合理选择样本保存条件并通过实验进行分析验证，从而确认样本的效期稳定性。</w:t>
      </w:r>
    </w:p>
    <w:p w14:paraId="21E1EB59">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试剂稳定性和样本稳定性两部分内容的研究结果均应在说明书【储存条件及有效期】和【样本要求】两项中进行详细说明。</w:t>
      </w:r>
    </w:p>
    <w:p w14:paraId="0025DF9A">
      <w:pPr>
        <w:adjustRightInd w:val="0"/>
        <w:snapToGrid w:val="0"/>
        <w:spacing w:line="520" w:lineRule="exact"/>
        <w:ind w:firstLine="640" w:firstLineChars="200"/>
        <w:rPr>
          <w:rFonts w:ascii="仿宋_GB2312" w:hAnsi="Times New Roman" w:eastAsia="仿宋_GB2312"/>
          <w:bCs/>
          <w:sz w:val="32"/>
          <w:szCs w:val="32"/>
        </w:rPr>
      </w:pPr>
      <w:bookmarkStart w:id="12" w:name="_Toc323285338"/>
      <w:r>
        <w:rPr>
          <w:rFonts w:hint="eastAsia" w:ascii="仿宋_GB2312" w:hAnsi="Times New Roman" w:eastAsia="仿宋_GB2312"/>
          <w:bCs/>
          <w:sz w:val="32"/>
          <w:szCs w:val="32"/>
        </w:rPr>
        <w:t>（七）临床评价资料</w:t>
      </w:r>
      <w:bookmarkEnd w:id="12"/>
    </w:p>
    <w:p w14:paraId="172E6FB4">
      <w:pPr>
        <w:adjustRightInd w:val="0"/>
        <w:snapToGrid w:val="0"/>
        <w:spacing w:line="520" w:lineRule="exact"/>
        <w:ind w:firstLine="640" w:firstLineChars="200"/>
        <w:rPr>
          <w:rFonts w:ascii="仿宋_GB2312" w:hAnsi="Times New Roman" w:eastAsia="仿宋_GB2312"/>
          <w:sz w:val="32"/>
          <w:szCs w:val="32"/>
        </w:rPr>
      </w:pPr>
      <w:bookmarkStart w:id="13" w:name="_Toc323285331"/>
      <w:bookmarkStart w:id="14" w:name="_Toc323285339"/>
      <w:r>
        <w:rPr>
          <w:rFonts w:hint="eastAsia" w:ascii="仿宋_GB2312" w:eastAsia="仿宋_GB2312"/>
          <w:color w:val="000000"/>
          <w:sz w:val="32"/>
          <w:szCs w:val="32"/>
        </w:rPr>
        <w:t>根据体外诊断试剂临床评价的相关要求，如申请项目已列入《免于进行临床试验体外诊断试剂目录》，申请人可按照《免于进行临床试验的体外诊断试剂临床评价资料基本要求（试行）》（国家食品药品监督管理总局通告2017年第179号）要求进行临床评价。如免临床试验的相关指导原则有更新，应符合相应的指导原则要求。</w:t>
      </w:r>
    </w:p>
    <w:p w14:paraId="60BC28CA">
      <w:pPr>
        <w:adjustRightInd w:val="0"/>
        <w:snapToGrid w:val="0"/>
        <w:spacing w:line="520" w:lineRule="exact"/>
        <w:ind w:firstLine="640" w:firstLineChars="200"/>
        <w:rPr>
          <w:rFonts w:ascii="仿宋_GB2312" w:hAnsi="Times New Roman" w:eastAsia="仿宋_GB2312"/>
          <w:sz w:val="32"/>
          <w:szCs w:val="32"/>
        </w:rPr>
      </w:pPr>
      <w:r>
        <w:rPr>
          <w:rFonts w:hint="eastAsia" w:eastAsia="仿宋_GB2312"/>
          <w:color w:val="000000"/>
          <w:sz w:val="32"/>
          <w:szCs w:val="32"/>
        </w:rPr>
        <w:t>如申请项目未列入《免于进行临床试验体外诊断试剂目录》，或</w:t>
      </w:r>
      <w:r>
        <w:rPr>
          <w:rFonts w:eastAsia="仿宋_GB2312"/>
          <w:color w:val="000000"/>
          <w:sz w:val="32"/>
          <w:szCs w:val="32"/>
        </w:rPr>
        <w:t>申请人无法</w:t>
      </w:r>
      <w:r>
        <w:rPr>
          <w:rFonts w:hint="eastAsia" w:eastAsia="仿宋_GB2312"/>
          <w:color w:val="000000"/>
          <w:sz w:val="32"/>
          <w:szCs w:val="32"/>
        </w:rPr>
        <w:t>按要求</w:t>
      </w:r>
      <w:r>
        <w:rPr>
          <w:rFonts w:eastAsia="仿宋_GB2312"/>
          <w:color w:val="000000"/>
          <w:sz w:val="32"/>
          <w:szCs w:val="32"/>
        </w:rPr>
        <w:t>开展临床评价的，则应按照《体外诊断试剂临床试验技术指导原则》的要求开展临床试验。</w:t>
      </w:r>
      <w:r>
        <w:rPr>
          <w:rFonts w:hint="eastAsia" w:ascii="仿宋_GB2312" w:hAnsi="Times New Roman" w:eastAsia="仿宋_GB2312"/>
          <w:sz w:val="32"/>
          <w:szCs w:val="32"/>
        </w:rPr>
        <w:t>下面仅对临床试验中的特殊问题进行阐述。</w:t>
      </w:r>
    </w:p>
    <w:p w14:paraId="2ED8EDE5">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1.研究方法</w:t>
      </w:r>
    </w:p>
    <w:p w14:paraId="1AA3C14A">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选择境内已批准上市、临床普遍认为质量较好的同类产品作为参比试剂，采用试验用体外诊断试剂（以下称考核试剂）与之进行对比试验研究，证明本品与已上市产品等效。</w:t>
      </w:r>
      <w:r>
        <w:rPr>
          <w:rFonts w:eastAsia="仿宋_GB2312"/>
          <w:color w:val="000000"/>
          <w:sz w:val="32"/>
          <w:szCs w:val="32"/>
        </w:rPr>
        <w:t>应充分了解参比试剂的技术信息，包括</w:t>
      </w:r>
      <w:r>
        <w:rPr>
          <w:rFonts w:hint="eastAsia" w:eastAsia="仿宋_GB2312"/>
          <w:color w:val="000000"/>
          <w:sz w:val="32"/>
          <w:szCs w:val="32"/>
        </w:rPr>
        <w:t>适用仪器</w:t>
      </w:r>
      <w:r>
        <w:rPr>
          <w:rFonts w:eastAsia="仿宋_GB2312"/>
          <w:color w:val="000000"/>
          <w:sz w:val="32"/>
          <w:szCs w:val="32"/>
        </w:rPr>
        <w:t>方法学</w:t>
      </w:r>
      <w:r>
        <w:rPr>
          <w:rFonts w:hint="eastAsia" w:eastAsia="仿宋_GB2312"/>
          <w:color w:val="000000"/>
          <w:sz w:val="32"/>
          <w:szCs w:val="32"/>
        </w:rPr>
        <w:t>（光学法、磁珠法）</w:t>
      </w:r>
      <w:r>
        <w:rPr>
          <w:rFonts w:eastAsia="仿宋_GB2312"/>
          <w:color w:val="000000"/>
          <w:sz w:val="32"/>
          <w:szCs w:val="32"/>
        </w:rPr>
        <w:t>、临床预期用途、主要性能指标、校准品的溯源情况</w:t>
      </w:r>
      <w:r>
        <w:rPr>
          <w:rFonts w:hint="eastAsia" w:eastAsia="仿宋_GB2312"/>
          <w:color w:val="000000"/>
          <w:sz w:val="32"/>
          <w:szCs w:val="32"/>
        </w:rPr>
        <w:t>（如有）</w:t>
      </w:r>
      <w:r>
        <w:rPr>
          <w:rFonts w:eastAsia="仿宋_GB2312"/>
          <w:color w:val="000000"/>
          <w:sz w:val="32"/>
          <w:szCs w:val="32"/>
        </w:rPr>
        <w:t>、推荐的参考区间等</w:t>
      </w:r>
      <w:r>
        <w:rPr>
          <w:rFonts w:hint="eastAsia" w:eastAsia="仿宋_GB2312"/>
          <w:color w:val="000000"/>
          <w:sz w:val="32"/>
          <w:szCs w:val="32"/>
        </w:rPr>
        <w:t>，以便对试验结果进行科学的分析。</w:t>
      </w:r>
    </w:p>
    <w:p w14:paraId="51681941">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1.1 PT试剂应选择组织凝血活酶生物学来源一致的，如同为人重组组织因子，或同为兔脑来源等。</w:t>
      </w:r>
    </w:p>
    <w:p w14:paraId="628F139C">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1.2 APTT试剂应充分考虑激活剂的类型，如鞣花酸、硅藻土等。</w:t>
      </w:r>
    </w:p>
    <w:p w14:paraId="7BFDD9DE">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2.研究对象</w:t>
      </w:r>
    </w:p>
    <w:p w14:paraId="11E0E7D0">
      <w:pPr>
        <w:adjustRightInd w:val="0"/>
        <w:snapToGrid w:val="0"/>
        <w:spacing w:line="520" w:lineRule="exact"/>
        <w:ind w:firstLine="640" w:firstLineChars="200"/>
        <w:rPr>
          <w:rFonts w:ascii="仿宋_GB2312" w:hAnsi="Times New Roman" w:eastAsia="仿宋_GB2312"/>
          <w:sz w:val="32"/>
          <w:szCs w:val="32"/>
        </w:rPr>
      </w:pPr>
      <w:r>
        <w:rPr>
          <w:rFonts w:ascii="仿宋_GB2312" w:hAnsi="Times New Roman" w:eastAsia="仿宋_GB2312"/>
          <w:sz w:val="32"/>
          <w:szCs w:val="32"/>
        </w:rPr>
        <w:t>临床试验应选择</w:t>
      </w:r>
      <w:r>
        <w:rPr>
          <w:rFonts w:hint="eastAsia" w:ascii="仿宋_GB2312" w:hAnsi="Times New Roman" w:eastAsia="仿宋_GB2312"/>
          <w:sz w:val="32"/>
          <w:szCs w:val="32"/>
        </w:rPr>
        <w:t>产品的</w:t>
      </w:r>
      <w:r>
        <w:rPr>
          <w:rFonts w:ascii="仿宋_GB2312" w:hAnsi="Times New Roman" w:eastAsia="仿宋_GB2312"/>
          <w:sz w:val="32"/>
          <w:szCs w:val="32"/>
        </w:rPr>
        <w:t>预期适用人群作为研究对象，</w:t>
      </w:r>
      <w:r>
        <w:rPr>
          <w:rFonts w:hint="eastAsia" w:ascii="仿宋_GB2312" w:hAnsi="Times New Roman" w:eastAsia="仿宋_GB2312"/>
          <w:sz w:val="32"/>
          <w:szCs w:val="32"/>
        </w:rPr>
        <w:t>入组人群应能够代表产品适用人群的各种类型（如：术前凝血障碍筛查、血栓前状态检查、</w:t>
      </w:r>
      <w:r>
        <w:rPr>
          <w:rFonts w:hint="eastAsia" w:ascii="仿宋_GB2312" w:hAnsi="Times New Roman" w:eastAsia="仿宋_GB2312"/>
          <w:bCs/>
          <w:sz w:val="32"/>
          <w:szCs w:val="32"/>
        </w:rPr>
        <w:t>弥散性血管内凝血、先天及后天性凝血因子缺乏、各类肝脏疾病及纤维蛋白原缺乏所致的出血倾向、动脉粥样硬化等</w:t>
      </w:r>
      <w:r>
        <w:rPr>
          <w:rFonts w:hint="eastAsia" w:ascii="仿宋_GB2312" w:hAnsi="Times New Roman" w:eastAsia="仿宋_GB2312"/>
          <w:sz w:val="32"/>
          <w:szCs w:val="32"/>
        </w:rPr>
        <w:t>），</w:t>
      </w:r>
      <w:r>
        <w:rPr>
          <w:rFonts w:ascii="仿宋_GB2312" w:hAnsi="Times New Roman" w:eastAsia="仿宋_GB2312"/>
          <w:sz w:val="32"/>
          <w:szCs w:val="32"/>
        </w:rPr>
        <w:t>所有样本均应可以溯源。</w:t>
      </w:r>
      <w:r>
        <w:rPr>
          <w:rFonts w:hint="eastAsia" w:ascii="仿宋_GB2312" w:hAnsi="Times New Roman" w:eastAsia="仿宋_GB2312"/>
          <w:sz w:val="32"/>
          <w:szCs w:val="32"/>
        </w:rPr>
        <w:t>样本总例数不少于200例，且尽可能覆盖分析测量范围，同时充分考虑对异常值样本的验证。</w:t>
      </w:r>
    </w:p>
    <w:p w14:paraId="55F85F63">
      <w:pPr>
        <w:overflowPunct w:val="0"/>
        <w:spacing w:line="520" w:lineRule="exact"/>
        <w:ind w:firstLine="640" w:firstLineChars="200"/>
        <w:rPr>
          <w:rFonts w:ascii="仿宋_GB2312" w:hAnsi="宋体" w:eastAsia="仿宋_GB2312"/>
          <w:sz w:val="32"/>
          <w:szCs w:val="32"/>
        </w:rPr>
      </w:pPr>
      <w:r>
        <w:rPr>
          <w:rFonts w:hint="eastAsia" w:ascii="仿宋_GB2312" w:eastAsia="仿宋_GB2312"/>
          <w:color w:val="000000"/>
          <w:sz w:val="32"/>
          <w:szCs w:val="32"/>
        </w:rPr>
        <w:t>PT试剂</w:t>
      </w:r>
      <w:r>
        <w:rPr>
          <w:rFonts w:hint="eastAsia" w:ascii="仿宋_GB2312" w:hAnsi="宋体" w:eastAsia="仿宋_GB2312"/>
          <w:sz w:val="32"/>
          <w:szCs w:val="32"/>
        </w:rPr>
        <w:t>预期用于口服抗凝剂的监测时，应选择至少40例接受维生素K拮抗剂（如华法林）治疗的患者样本进行评价，其中INR2.0～4.5为30例，INR＜2.0为5例，INR＞4.5为5例，通过与已上市试剂或参考方法相比，位于治疗区间（2.0～4.</w:t>
      </w:r>
      <w:r>
        <w:rPr>
          <w:rFonts w:ascii="仿宋_GB2312" w:hAnsi="宋体" w:eastAsia="仿宋_GB2312"/>
          <w:sz w:val="32"/>
          <w:szCs w:val="32"/>
        </w:rPr>
        <w:t>0</w:t>
      </w:r>
      <w:r>
        <w:rPr>
          <w:rFonts w:hint="eastAsia" w:ascii="仿宋_GB2312" w:hAnsi="宋体" w:eastAsia="仿宋_GB2312"/>
          <w:sz w:val="32"/>
          <w:szCs w:val="32"/>
        </w:rPr>
        <w:t>）内的85%样本需满足不超过±0.5INR单位的要求。</w:t>
      </w:r>
    </w:p>
    <w:p w14:paraId="50AD1AA0">
      <w:pPr>
        <w:overflowPunct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APTT试剂预期用于普通肝素治疗的监测时，应通过至少20例接受普通肝素治疗的患者样本进行评价，样本的选择应能覆盖肝素的治疗范围，并注意避免使用体外模拟添加肝素的样本。同时考虑排除抗凝血酶（AT）活性＜30%及接受其他抗凝治疗（如华法林）的患者样本。申请人可参照</w:t>
      </w:r>
      <w:r>
        <w:rPr>
          <w:rFonts w:ascii="仿宋_GB2312" w:hAnsi="宋体" w:eastAsia="仿宋_GB2312"/>
          <w:sz w:val="32"/>
          <w:szCs w:val="32"/>
        </w:rPr>
        <w:t>CLSI H47文件推荐的方法建立</w:t>
      </w:r>
      <w:r>
        <w:rPr>
          <w:rFonts w:hint="eastAsia" w:ascii="仿宋_GB2312" w:hAnsi="宋体" w:eastAsia="仿宋_GB2312"/>
          <w:sz w:val="32"/>
          <w:szCs w:val="32"/>
        </w:rPr>
        <w:t>监测普通肝素治疗的</w:t>
      </w:r>
      <w:r>
        <w:rPr>
          <w:rFonts w:ascii="仿宋_GB2312" w:hAnsi="宋体" w:eastAsia="仿宋_GB2312"/>
          <w:sz w:val="32"/>
          <w:szCs w:val="32"/>
        </w:rPr>
        <w:t>APTT参考区间。</w:t>
      </w:r>
    </w:p>
    <w:p w14:paraId="4AF428E1">
      <w:pPr>
        <w:overflowPunct w:val="0"/>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3.样本类型</w:t>
      </w:r>
    </w:p>
    <w:p w14:paraId="4DD1F499">
      <w:pPr>
        <w:overflowPunct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用于临床试验的样本类型应为枸橼酸钠（3.2%）抗凝血浆样本。所有样本均应采用新鲜样本，并按照说明书样本稳定性要求进行离心和检测。如无法避免使用贮存样本时，注明贮存条件及时间，在数据分析时应考虑其影响。</w:t>
      </w:r>
    </w:p>
    <w:p w14:paraId="755840FA">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4.统计学分析</w:t>
      </w:r>
    </w:p>
    <w:p w14:paraId="29569479">
      <w:pPr>
        <w:adjustRightInd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4.1应根据数据分布特点等因素选择适用的回归分析方法，如Deming回归、Passing-Bablok回归分析和最小二乘回归估计等。回归分析应重点观察回归方程（斜率和截距）、相关系数（r）或决定系数（R</w:t>
      </w:r>
      <w:r>
        <w:rPr>
          <w:rFonts w:hint="eastAsia" w:ascii="仿宋_GB2312" w:eastAsia="仿宋_GB2312"/>
          <w:sz w:val="32"/>
          <w:szCs w:val="32"/>
          <w:vertAlign w:val="superscript"/>
        </w:rPr>
        <w:t>2</w:t>
      </w:r>
      <w:r>
        <w:rPr>
          <w:rFonts w:hint="eastAsia" w:ascii="仿宋_GB2312" w:eastAsia="仿宋_GB2312"/>
          <w:sz w:val="32"/>
          <w:szCs w:val="32"/>
        </w:rPr>
        <w:t>）等指标，计算斜率和截距的95%可信区间。亦可同时对相关评价指标进行假设检验。</w:t>
      </w:r>
    </w:p>
    <w:p w14:paraId="6A3C5448">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4.2</w:t>
      </w:r>
      <w:r>
        <w:rPr>
          <w:rFonts w:hint="eastAsia" w:ascii="仿宋_GB2312" w:eastAsia="仿宋_GB2312"/>
          <w:sz w:val="32"/>
          <w:szCs w:val="32"/>
        </w:rPr>
        <w:t>采用Bland-Altman法，通过计算一致性限度，评价两种测量结果的一致性，一致性限度应在临床认可的界值之内。</w:t>
      </w:r>
    </w:p>
    <w:p w14:paraId="70792ADB">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w:t>
      </w:r>
      <w:r>
        <w:rPr>
          <w:rFonts w:ascii="仿宋_GB2312" w:hAnsi="Times New Roman" w:eastAsia="仿宋_GB2312"/>
          <w:sz w:val="32"/>
          <w:szCs w:val="32"/>
        </w:rPr>
        <w:t>.接受境外临床试验数据要求</w:t>
      </w:r>
    </w:p>
    <w:p w14:paraId="3547A467">
      <w:pPr>
        <w:adjustRightInd w:val="0"/>
        <w:snapToGrid w:val="0"/>
        <w:spacing w:line="520" w:lineRule="exact"/>
        <w:ind w:firstLine="640" w:firstLineChars="200"/>
        <w:rPr>
          <w:rFonts w:ascii="仿宋_GB2312" w:hAnsi="Times New Roman" w:eastAsia="仿宋_GB2312"/>
          <w:sz w:val="32"/>
          <w:szCs w:val="32"/>
        </w:rPr>
      </w:pPr>
      <w:r>
        <w:rPr>
          <w:rFonts w:ascii="仿宋_GB2312" w:hAnsi="Times New Roman" w:eastAsia="仿宋_GB2312"/>
          <w:sz w:val="32"/>
          <w:szCs w:val="32"/>
        </w:rPr>
        <w:t>如进口产品提交境外临床试验资料作为临床评价资料时，其境外临床试验资料</w:t>
      </w:r>
      <w:r>
        <w:rPr>
          <w:rFonts w:hint="eastAsia" w:ascii="仿宋_GB2312" w:hAnsi="Times New Roman" w:eastAsia="仿宋_GB2312"/>
          <w:sz w:val="32"/>
          <w:szCs w:val="32"/>
        </w:rPr>
        <w:t>需</w:t>
      </w:r>
      <w:r>
        <w:rPr>
          <w:rFonts w:ascii="仿宋_GB2312" w:hAnsi="Times New Roman" w:eastAsia="仿宋_GB2312"/>
          <w:sz w:val="32"/>
          <w:szCs w:val="32"/>
        </w:rPr>
        <w:t>满足《接受医疗器械境外临床试验数据技术指导原则</w:t>
      </w:r>
      <w:r>
        <w:rPr>
          <w:rFonts w:hint="eastAsia" w:ascii="仿宋_GB2312" w:hAnsi="Times New Roman" w:eastAsia="仿宋_GB2312"/>
          <w:sz w:val="32"/>
          <w:szCs w:val="32"/>
        </w:rPr>
        <w:t>》的要求。</w:t>
      </w:r>
    </w:p>
    <w:p w14:paraId="775C0904">
      <w:pPr>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（八）产品风险分析资料</w:t>
      </w:r>
    </w:p>
    <w:p w14:paraId="6F4D88CD">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申请人应考虑产品寿命周期的各个环节，从预期用途、可能的使用错误、与安全性有关的特征、已知及可预见的危害等方面的判定以及对患者风险的估计进行风险分析，应符合YY/T 0316-2016《医疗器械风险管理对医疗器械的应用》的要求。</w:t>
      </w:r>
    </w:p>
    <w:p w14:paraId="45488DEC">
      <w:pPr>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（九）产品</w:t>
      </w:r>
      <w:bookmarkEnd w:id="13"/>
      <w:r>
        <w:rPr>
          <w:rFonts w:hint="eastAsia" w:ascii="仿宋_GB2312" w:hAnsi="Times New Roman" w:eastAsia="仿宋_GB2312"/>
          <w:bCs/>
          <w:sz w:val="32"/>
          <w:szCs w:val="32"/>
        </w:rPr>
        <w:t>技术要求</w:t>
      </w:r>
    </w:p>
    <w:p w14:paraId="508CEB03">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产品技术要求应符合《办法》和《关于发布医疗器械产品技术要求编写指导原则的通告》（国家食品药品监督管理总局通告2014年第9号）的相关规定。</w:t>
      </w:r>
      <w:bookmarkStart w:id="15" w:name="_Toc323285332"/>
      <w:r>
        <w:rPr>
          <w:rFonts w:hint="eastAsia" w:ascii="仿宋_GB2312" w:hAnsi="Times New Roman" w:eastAsia="仿宋_GB2312"/>
          <w:sz w:val="32"/>
          <w:szCs w:val="32"/>
        </w:rPr>
        <w:t>申请人可参照已发布行业标准（见表1）对产品技术要求中性能指标及检验方法内容进行编写，应不低于行业标准的要求。</w:t>
      </w:r>
    </w:p>
    <w:p w14:paraId="7B9A7300">
      <w:pPr>
        <w:adjustRightInd w:val="0"/>
        <w:snapToGrid w:val="0"/>
        <w:spacing w:line="520" w:lineRule="exact"/>
        <w:ind w:firstLine="560" w:firstLineChars="200"/>
        <w:jc w:val="center"/>
        <w:rPr>
          <w:rFonts w:eastAsia="黑体"/>
          <w:color w:val="000000"/>
          <w:sz w:val="28"/>
          <w:szCs w:val="28"/>
        </w:rPr>
      </w:pPr>
      <w:r>
        <w:rPr>
          <w:rFonts w:hint="eastAsia" w:eastAsia="黑体"/>
          <w:color w:val="000000"/>
          <w:sz w:val="28"/>
          <w:szCs w:val="28"/>
        </w:rPr>
        <w:t>表</w:t>
      </w:r>
      <w:r>
        <w:rPr>
          <w:rFonts w:eastAsia="黑体"/>
          <w:color w:val="000000"/>
          <w:sz w:val="28"/>
          <w:szCs w:val="28"/>
        </w:rPr>
        <w:t>1 产品适用的</w:t>
      </w:r>
      <w:r>
        <w:rPr>
          <w:rFonts w:hint="eastAsia" w:eastAsia="黑体"/>
          <w:color w:val="000000"/>
          <w:sz w:val="28"/>
          <w:szCs w:val="28"/>
        </w:rPr>
        <w:t>行业</w:t>
      </w:r>
      <w:r>
        <w:rPr>
          <w:rFonts w:eastAsia="黑体"/>
          <w:color w:val="000000"/>
          <w:sz w:val="28"/>
          <w:szCs w:val="28"/>
        </w:rPr>
        <w:t>标准</w:t>
      </w:r>
    </w:p>
    <w:tbl>
      <w:tblPr>
        <w:tblStyle w:val="8"/>
        <w:tblW w:w="81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1"/>
        <w:gridCol w:w="5551"/>
      </w:tblGrid>
      <w:tr w14:paraId="7104FA3F">
        <w:tblPrEx>
          <w:tblCellMar>
            <w:top w:w="0" w:type="dxa"/>
            <w:left w:w="108" w:type="dxa"/>
            <w:bottom w:w="0" w:type="dxa"/>
            <w:right w:w="108" w:type="dxa"/>
          </w:tblCellMar>
        </w:tblPrEx>
        <w:trPr>
          <w:jc w:val="center"/>
        </w:trPr>
        <w:tc>
          <w:tcPr>
            <w:tcW w:w="2551" w:type="dxa"/>
            <w:vAlign w:val="center"/>
          </w:tcPr>
          <w:p w14:paraId="1BD1707D">
            <w:pPr>
              <w:spacing w:line="520" w:lineRule="exact"/>
              <w:jc w:val="center"/>
              <w:rPr>
                <w:rFonts w:ascii="仿宋_GB2312" w:hAnsi="宋体" w:eastAsia="仿宋_GB2312"/>
                <w:sz w:val="28"/>
                <w:szCs w:val="28"/>
              </w:rPr>
            </w:pPr>
            <w:r>
              <w:rPr>
                <w:rFonts w:hint="eastAsia" w:ascii="仿宋_GB2312" w:hAnsi="宋体" w:eastAsia="仿宋_GB2312"/>
                <w:sz w:val="28"/>
                <w:szCs w:val="28"/>
              </w:rPr>
              <w:t>标准编号</w:t>
            </w:r>
          </w:p>
        </w:tc>
        <w:tc>
          <w:tcPr>
            <w:tcW w:w="5551" w:type="dxa"/>
            <w:vAlign w:val="center"/>
          </w:tcPr>
          <w:p w14:paraId="5694C80D">
            <w:pPr>
              <w:spacing w:line="520" w:lineRule="exact"/>
              <w:jc w:val="center"/>
              <w:rPr>
                <w:rFonts w:ascii="仿宋_GB2312" w:hAnsi="宋体" w:eastAsia="仿宋_GB2312"/>
                <w:sz w:val="28"/>
                <w:szCs w:val="28"/>
              </w:rPr>
            </w:pPr>
            <w:r>
              <w:rPr>
                <w:rFonts w:hint="eastAsia" w:ascii="仿宋_GB2312" w:hAnsi="宋体" w:eastAsia="仿宋_GB2312"/>
                <w:sz w:val="28"/>
                <w:szCs w:val="28"/>
              </w:rPr>
              <w:t>名称</w:t>
            </w:r>
          </w:p>
        </w:tc>
      </w:tr>
      <w:tr w14:paraId="22805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51" w:type="dxa"/>
            <w:vAlign w:val="center"/>
          </w:tcPr>
          <w:p w14:paraId="344EA526">
            <w:pPr>
              <w:spacing w:line="520" w:lineRule="exact"/>
              <w:rPr>
                <w:rFonts w:ascii="仿宋_GB2312" w:hAnsi="宋体" w:eastAsia="仿宋_GB2312"/>
                <w:sz w:val="28"/>
                <w:szCs w:val="28"/>
              </w:rPr>
            </w:pPr>
            <w:r>
              <w:rPr>
                <w:rFonts w:hint="eastAsia" w:ascii="仿宋_GB2312" w:hAnsi="宋体" w:eastAsia="仿宋_GB2312"/>
                <w:sz w:val="28"/>
                <w:szCs w:val="28"/>
              </w:rPr>
              <w:t>YY/T 1156-2009</w:t>
            </w:r>
          </w:p>
        </w:tc>
        <w:tc>
          <w:tcPr>
            <w:tcW w:w="5551" w:type="dxa"/>
            <w:vAlign w:val="center"/>
          </w:tcPr>
          <w:p w14:paraId="61BFDCF6">
            <w:pPr>
              <w:spacing w:line="520" w:lineRule="exact"/>
              <w:rPr>
                <w:rFonts w:ascii="仿宋_GB2312" w:hAnsi="宋体" w:eastAsia="仿宋_GB2312"/>
                <w:sz w:val="28"/>
                <w:szCs w:val="28"/>
              </w:rPr>
            </w:pPr>
            <w:r>
              <w:rPr>
                <w:rFonts w:hint="eastAsia" w:ascii="仿宋_GB2312" w:hAnsi="宋体" w:eastAsia="仿宋_GB2312"/>
                <w:sz w:val="28"/>
                <w:szCs w:val="28"/>
              </w:rPr>
              <w:t>凝血酶时间检测试剂（盒）</w:t>
            </w:r>
          </w:p>
        </w:tc>
      </w:tr>
      <w:tr w14:paraId="591F9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2551" w:type="dxa"/>
            <w:vAlign w:val="center"/>
          </w:tcPr>
          <w:p w14:paraId="47877A2D">
            <w:pPr>
              <w:spacing w:line="520" w:lineRule="exact"/>
              <w:rPr>
                <w:rFonts w:ascii="仿宋_GB2312" w:hAnsi="宋体" w:eastAsia="仿宋_GB2312"/>
                <w:sz w:val="28"/>
                <w:szCs w:val="28"/>
              </w:rPr>
            </w:pPr>
            <w:r>
              <w:rPr>
                <w:rFonts w:hint="eastAsia" w:ascii="仿宋_GB2312" w:hAnsi="宋体" w:eastAsia="仿宋_GB2312"/>
                <w:sz w:val="28"/>
                <w:szCs w:val="28"/>
              </w:rPr>
              <w:t>YY/T 1157-2009</w:t>
            </w:r>
          </w:p>
        </w:tc>
        <w:tc>
          <w:tcPr>
            <w:tcW w:w="5551" w:type="dxa"/>
            <w:vAlign w:val="center"/>
          </w:tcPr>
          <w:p w14:paraId="52F458C7">
            <w:pPr>
              <w:spacing w:line="520" w:lineRule="exact"/>
              <w:rPr>
                <w:rFonts w:ascii="仿宋_GB2312" w:hAnsi="宋体" w:eastAsia="仿宋_GB2312"/>
                <w:sz w:val="28"/>
                <w:szCs w:val="28"/>
              </w:rPr>
            </w:pPr>
            <w:r>
              <w:rPr>
                <w:rFonts w:hint="eastAsia" w:ascii="仿宋_GB2312" w:hAnsi="宋体" w:eastAsia="仿宋_GB2312"/>
                <w:sz w:val="28"/>
                <w:szCs w:val="28"/>
              </w:rPr>
              <w:t>活化部分凝血活酶时间检测试剂（盒）</w:t>
            </w:r>
          </w:p>
        </w:tc>
      </w:tr>
      <w:tr w14:paraId="32388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551" w:type="dxa"/>
            <w:vAlign w:val="center"/>
          </w:tcPr>
          <w:p w14:paraId="10888285">
            <w:pPr>
              <w:spacing w:line="520" w:lineRule="exact"/>
              <w:rPr>
                <w:rFonts w:ascii="仿宋_GB2312" w:hAnsi="宋体" w:eastAsia="仿宋_GB2312"/>
                <w:sz w:val="28"/>
                <w:szCs w:val="28"/>
              </w:rPr>
            </w:pPr>
            <w:r>
              <w:rPr>
                <w:rFonts w:hint="eastAsia" w:ascii="仿宋_GB2312" w:hAnsi="宋体" w:eastAsia="仿宋_GB2312"/>
                <w:sz w:val="28"/>
                <w:szCs w:val="28"/>
              </w:rPr>
              <w:t>YY/T 1158-2009</w:t>
            </w:r>
          </w:p>
        </w:tc>
        <w:tc>
          <w:tcPr>
            <w:tcW w:w="5551" w:type="dxa"/>
            <w:vAlign w:val="center"/>
          </w:tcPr>
          <w:p w14:paraId="283E8F13">
            <w:pPr>
              <w:spacing w:line="520" w:lineRule="exact"/>
              <w:rPr>
                <w:rFonts w:ascii="仿宋_GB2312" w:hAnsi="宋体" w:eastAsia="仿宋_GB2312"/>
                <w:sz w:val="28"/>
                <w:szCs w:val="28"/>
              </w:rPr>
            </w:pPr>
            <w:r>
              <w:rPr>
                <w:rFonts w:hint="eastAsia" w:ascii="仿宋_GB2312" w:hAnsi="宋体" w:eastAsia="仿宋_GB2312"/>
                <w:sz w:val="28"/>
                <w:szCs w:val="28"/>
              </w:rPr>
              <w:t>凝血酶原时间检测试剂（盒）</w:t>
            </w:r>
          </w:p>
        </w:tc>
      </w:tr>
      <w:tr w14:paraId="29C5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51" w:type="dxa"/>
            <w:vAlign w:val="center"/>
          </w:tcPr>
          <w:p w14:paraId="6B7399BD">
            <w:pPr>
              <w:spacing w:line="520" w:lineRule="exact"/>
              <w:rPr>
                <w:rFonts w:ascii="仿宋_GB2312" w:hAnsi="宋体" w:eastAsia="仿宋_GB2312"/>
                <w:sz w:val="28"/>
                <w:szCs w:val="28"/>
              </w:rPr>
            </w:pPr>
            <w:r>
              <w:rPr>
                <w:rFonts w:hint="eastAsia" w:ascii="仿宋_GB2312" w:hAnsi="宋体" w:eastAsia="仿宋_GB2312"/>
                <w:sz w:val="28"/>
                <w:szCs w:val="28"/>
              </w:rPr>
              <w:t>YY/T 1159-2009</w:t>
            </w:r>
          </w:p>
        </w:tc>
        <w:tc>
          <w:tcPr>
            <w:tcW w:w="5551" w:type="dxa"/>
            <w:vAlign w:val="center"/>
          </w:tcPr>
          <w:p w14:paraId="62E3A55A">
            <w:pPr>
              <w:spacing w:line="520" w:lineRule="exact"/>
              <w:rPr>
                <w:rFonts w:ascii="仿宋_GB2312" w:hAnsi="宋体" w:eastAsia="仿宋_GB2312"/>
                <w:sz w:val="28"/>
                <w:szCs w:val="28"/>
              </w:rPr>
            </w:pPr>
            <w:r>
              <w:rPr>
                <w:rFonts w:hint="eastAsia" w:ascii="仿宋_GB2312" w:hAnsi="宋体" w:eastAsia="仿宋_GB2312"/>
                <w:sz w:val="28"/>
                <w:szCs w:val="28"/>
              </w:rPr>
              <w:t>纤维蛋白原检测试剂（盒）</w:t>
            </w:r>
          </w:p>
        </w:tc>
      </w:tr>
      <w:tr w14:paraId="4C9FB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02" w:type="dxa"/>
            <w:gridSpan w:val="2"/>
            <w:vAlign w:val="center"/>
          </w:tcPr>
          <w:p w14:paraId="0C19E45B">
            <w:pPr>
              <w:spacing w:line="520" w:lineRule="exact"/>
              <w:rPr>
                <w:rFonts w:ascii="仿宋_GB2312" w:hAnsi="宋体" w:eastAsia="仿宋_GB2312"/>
                <w:sz w:val="28"/>
                <w:szCs w:val="28"/>
              </w:rPr>
            </w:pPr>
            <w:r>
              <w:rPr>
                <w:rFonts w:hint="eastAsia" w:ascii="仿宋_GB2312" w:hAnsi="宋体" w:eastAsia="仿宋_GB2312"/>
                <w:sz w:val="28"/>
                <w:szCs w:val="28"/>
              </w:rPr>
              <w:t>注：</w:t>
            </w:r>
            <w:r>
              <w:rPr>
                <w:rFonts w:hint="eastAsia" w:ascii="仿宋_GB2312" w:eastAsia="仿宋_GB2312"/>
                <w:bCs/>
                <w:sz w:val="28"/>
                <w:szCs w:val="28"/>
              </w:rPr>
              <w:t>以上标准如有修订，以最新发布版本为准。</w:t>
            </w:r>
          </w:p>
        </w:tc>
      </w:tr>
    </w:tbl>
    <w:p w14:paraId="0360BEBD">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eastAsia="仿宋_GB2312"/>
          <w:kern w:val="0"/>
          <w:sz w:val="32"/>
          <w:szCs w:val="32"/>
        </w:rPr>
        <w:t>如果申报试剂已有适用的国家标准品、参考品发布，则申请人应在产品技术要求中提出检验要求。</w:t>
      </w:r>
    </w:p>
    <w:p w14:paraId="4C0F6A24">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（十）</w:t>
      </w:r>
      <w:bookmarkEnd w:id="15"/>
      <w:r>
        <w:rPr>
          <w:rFonts w:hint="eastAsia" w:ascii="仿宋_GB2312" w:hAnsi="Times New Roman" w:eastAsia="仿宋_GB2312"/>
          <w:bCs/>
          <w:sz w:val="32"/>
          <w:szCs w:val="32"/>
        </w:rPr>
        <w:t>产品注册检验报告</w:t>
      </w:r>
    </w:p>
    <w:p w14:paraId="00CB43F2">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根据《办法》及44号公告的要求，首次申请注册的第二类产品应在国家食品药品监督管理部门认可的、具有</w:t>
      </w:r>
      <w:r>
        <w:rPr>
          <w:rFonts w:hint="eastAsia" w:ascii="仿宋_GB2312" w:hAnsi="Times New Roman" w:eastAsia="仿宋_GB2312"/>
          <w:color w:val="000000"/>
          <w:sz w:val="32"/>
          <w:szCs w:val="32"/>
        </w:rPr>
        <w:t>相应承检范围的医疗器械检测机构进行样品的注册检验。由其出具检验报告和产品技术要求预评价意见。</w:t>
      </w:r>
    </w:p>
    <w:p w14:paraId="118065E1">
      <w:pPr>
        <w:adjustRightInd w:val="0"/>
        <w:snapToGrid w:val="0"/>
        <w:spacing w:line="520" w:lineRule="exact"/>
        <w:ind w:firstLine="640" w:firstLineChars="200"/>
        <w:rPr>
          <w:rFonts w:ascii="仿宋_GB2312" w:hAnsi="Times New Roman" w:eastAsia="仿宋_GB2312"/>
          <w:bCs/>
          <w:sz w:val="32"/>
          <w:szCs w:val="32"/>
        </w:rPr>
      </w:pPr>
      <w:bookmarkStart w:id="16" w:name="_Toc323285330"/>
      <w:r>
        <w:rPr>
          <w:rFonts w:hint="eastAsia" w:ascii="仿宋_GB2312" w:hAnsi="Times New Roman" w:eastAsia="仿宋_GB2312"/>
          <w:bCs/>
          <w:sz w:val="32"/>
          <w:szCs w:val="32"/>
        </w:rPr>
        <w:t>（十一）产品说明书</w:t>
      </w:r>
      <w:bookmarkEnd w:id="16"/>
      <w:r>
        <w:rPr>
          <w:rFonts w:hint="eastAsia" w:ascii="仿宋_GB2312" w:hAnsi="Times New Roman" w:eastAsia="仿宋_GB2312"/>
          <w:bCs/>
          <w:sz w:val="32"/>
          <w:szCs w:val="32"/>
        </w:rPr>
        <w:t>和标签</w:t>
      </w:r>
    </w:p>
    <w:p w14:paraId="23FCA748">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产品说明书和标签应满足《医疗器械说明书和标签管理规定》（国家食品药品监督管理总局令第6号）和《体外诊断试剂说明书编写指导原则》（国家食品药品监督管理总局通告2014年第17号）的要求。下面对凝血四项检测试剂说明书的重点内容进行阐述。</w:t>
      </w:r>
    </w:p>
    <w:p w14:paraId="1C619138">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1.【预期用途】</w:t>
      </w:r>
    </w:p>
    <w:p w14:paraId="6B32BC12">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至少包括以下几部分内容：</w:t>
      </w:r>
    </w:p>
    <w:p w14:paraId="7717BA5D">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1.1</w:t>
      </w:r>
      <w:r>
        <w:rPr>
          <w:rFonts w:hint="eastAsia" w:ascii="仿宋_GB2312" w:eastAsia="仿宋_GB2312"/>
          <w:sz w:val="32"/>
          <w:szCs w:val="32"/>
        </w:rPr>
        <w:t>该产品用于体外定量检测人血浆样本中的</w:t>
      </w:r>
      <w:r>
        <w:rPr>
          <w:rFonts w:hint="eastAsia" w:ascii="仿宋_GB2312" w:hAnsi="Times New Roman" w:eastAsia="仿宋_GB2312"/>
          <w:sz w:val="32"/>
          <w:szCs w:val="32"/>
        </w:rPr>
        <w:t>凝血酶原时间/活化部分凝血活酶时间/凝血酶时间/纤维蛋白原。上述内容均应有相应的分析性能评估资料和临床评价资料支持。</w:t>
      </w:r>
    </w:p>
    <w:p w14:paraId="4AA31BAC">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1.2简要说明与预期用途相关的临床适应症及背景情况。说明相关的临床或实验室诊断方法。</w:t>
      </w:r>
    </w:p>
    <w:p w14:paraId="52DBC055">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2.【主要组成成分】</w:t>
      </w:r>
    </w:p>
    <w:p w14:paraId="53322708">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2.1说明试剂盒包含组分的名称、数量、比例或浓度信息。生物活性物质（如组织凝血活酶、磷脂、凝血酶等），应说明其生物学来源、活性及其他特性；说明不同批号试剂盒中各组分是否可以互换。</w:t>
      </w:r>
    </w:p>
    <w:p w14:paraId="06248832">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2.2校准品、质控品（正常/异常质控血浆）（如有），应明确具体基质成分，此外，校准品应明确溯源性，质控品应提交靶值单。</w:t>
      </w:r>
    </w:p>
    <w:p w14:paraId="0D4A7BBF">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2.3试剂盒中不包含但对该项检测必须的组分，应列出相关试剂的名称、货号及其他相关信息。</w:t>
      </w:r>
    </w:p>
    <w:p w14:paraId="34F854B0">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sz w:val="32"/>
          <w:szCs w:val="32"/>
        </w:rPr>
        <w:t>2.4PT试剂需注明批特异性ISI值。</w:t>
      </w:r>
    </w:p>
    <w:p w14:paraId="358DA0F1">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3.【储存条件及有效期】</w:t>
      </w:r>
    </w:p>
    <w:p w14:paraId="4F506FDF">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详细介绍试剂盒的效期稳定性、</w:t>
      </w:r>
      <w:r>
        <w:rPr>
          <w:rFonts w:hint="eastAsia" w:ascii="仿宋_GB2312" w:hAnsi="Times New Roman" w:eastAsia="仿宋_GB2312"/>
          <w:bCs/>
          <w:color w:val="000000"/>
          <w:sz w:val="32"/>
          <w:szCs w:val="32"/>
        </w:rPr>
        <w:t>开封/开瓶稳定性等信息。</w:t>
      </w:r>
      <w:r>
        <w:rPr>
          <w:rFonts w:hint="eastAsia" w:ascii="仿宋_GB2312" w:hAnsi="Times New Roman" w:eastAsia="仿宋_GB2312"/>
          <w:bCs/>
          <w:sz w:val="32"/>
          <w:szCs w:val="32"/>
        </w:rPr>
        <w:t>注明“生产日期、使用期限或失效日期：见标签”字样。</w:t>
      </w:r>
    </w:p>
    <w:p w14:paraId="727459B6">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4.【样本要求】重点明确以下内容</w:t>
      </w:r>
    </w:p>
    <w:p w14:paraId="4E6B7FF9">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4.1样本的类型：明确适用的样本类型（静脉血）以及所用的抗凝剂（</w:t>
      </w:r>
      <w:r>
        <w:rPr>
          <w:rFonts w:hint="eastAsia" w:ascii="仿宋_GB2312" w:hAnsi="Times New Roman" w:eastAsia="仿宋_GB2312"/>
          <w:sz w:val="32"/>
          <w:szCs w:val="32"/>
        </w:rPr>
        <w:t>0.109mol/L的枸橼酸钠抗凝，不宜用EDTA-Na</w:t>
      </w:r>
      <w:r>
        <w:rPr>
          <w:rFonts w:hint="eastAsia" w:ascii="仿宋_GB2312" w:hAnsi="Times New Roman" w:eastAsia="仿宋_GB2312"/>
          <w:sz w:val="32"/>
          <w:szCs w:val="32"/>
          <w:vertAlign w:val="subscript"/>
        </w:rPr>
        <w:t>2</w:t>
      </w:r>
      <w:r>
        <w:rPr>
          <w:rFonts w:hint="eastAsia" w:ascii="仿宋_GB2312" w:hAnsi="Times New Roman" w:eastAsia="仿宋_GB2312"/>
          <w:sz w:val="32"/>
          <w:szCs w:val="32"/>
        </w:rPr>
        <w:t>、肝素、草酸盐等</w:t>
      </w:r>
      <w:r>
        <w:rPr>
          <w:rFonts w:hint="eastAsia" w:ascii="仿宋_GB2312" w:hAnsi="Times New Roman" w:eastAsia="仿宋_GB2312"/>
          <w:bCs/>
          <w:sz w:val="32"/>
          <w:szCs w:val="32"/>
        </w:rPr>
        <w:t>），</w:t>
      </w:r>
      <w:r>
        <w:rPr>
          <w:rFonts w:hint="eastAsia" w:ascii="仿宋_GB2312" w:hAnsi="Times New Roman" w:eastAsia="仿宋_GB2312"/>
          <w:sz w:val="32"/>
          <w:szCs w:val="32"/>
        </w:rPr>
        <w:t>分离血浆宜除尽血小板（血小板计数＜10×10</w:t>
      </w:r>
      <w:r>
        <w:rPr>
          <w:rFonts w:hint="eastAsia" w:ascii="仿宋_GB2312" w:hAnsi="Times New Roman" w:eastAsia="仿宋_GB2312"/>
          <w:sz w:val="32"/>
          <w:szCs w:val="32"/>
          <w:vertAlign w:val="superscript"/>
        </w:rPr>
        <w:t>9</w:t>
      </w:r>
      <w:r>
        <w:rPr>
          <w:rFonts w:hint="eastAsia" w:ascii="仿宋_GB2312" w:hAnsi="Times New Roman" w:eastAsia="仿宋_GB2312"/>
          <w:sz w:val="32"/>
          <w:szCs w:val="32"/>
        </w:rPr>
        <w:t>/L）</w:t>
      </w:r>
      <w:r>
        <w:rPr>
          <w:rFonts w:hint="eastAsia" w:ascii="仿宋_GB2312" w:hAnsi="Times New Roman" w:eastAsia="仿宋_GB2312"/>
          <w:bCs/>
          <w:sz w:val="32"/>
          <w:szCs w:val="32"/>
        </w:rPr>
        <w:t>。</w:t>
      </w:r>
    </w:p>
    <w:p w14:paraId="231AB5F8">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4.2样本的稳定性：明确样本采集后和处理后的保存条件和</w:t>
      </w:r>
      <w:r>
        <w:rPr>
          <w:rFonts w:hint="eastAsia" w:ascii="仿宋_GB2312" w:hAnsi="Times New Roman" w:eastAsia="仿宋_GB2312"/>
          <w:bCs/>
          <w:color w:val="000000"/>
          <w:sz w:val="32"/>
          <w:szCs w:val="32"/>
        </w:rPr>
        <w:t>期限等。</w:t>
      </w:r>
      <w:r>
        <w:rPr>
          <w:rFonts w:hint="eastAsia" w:ascii="仿宋_GB2312" w:hAnsi="Times New Roman" w:eastAsia="仿宋_GB2312"/>
          <w:bCs/>
          <w:sz w:val="32"/>
          <w:szCs w:val="32"/>
        </w:rPr>
        <w:t>冷藏/冷冻样本检测前是否需恢复至室温、冻融次数的要求。</w:t>
      </w:r>
    </w:p>
    <w:p w14:paraId="55FFC7AC">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4.3参考WS/T 359-2011或CLSI的H21-A5文件获得更多标本采集与处理的信息。</w:t>
      </w:r>
    </w:p>
    <w:p w14:paraId="7A199937">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5.【检验方法】</w:t>
      </w:r>
    </w:p>
    <w:p w14:paraId="5AAD1629">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应详细说明试验操作的各个步骤，包括：</w:t>
      </w:r>
    </w:p>
    <w:p w14:paraId="65CD5906">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5.1试验准备：检测试剂及样本的复温要求及相关注意事项。</w:t>
      </w:r>
    </w:p>
    <w:p w14:paraId="718A426C">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5.2试剂配制方法、注意事项。</w:t>
      </w:r>
    </w:p>
    <w:p w14:paraId="162B0C42">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5.3试验条件：操作步骤、温度、时间等以及试验过程中的注意事项。</w:t>
      </w:r>
    </w:p>
    <w:p w14:paraId="328703F9">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5.4标准曲线制备：FIB应详细说明校准品（定标血浆的）复溶方法、稀释倍数以及标准曲线的绘制方法。</w:t>
      </w:r>
    </w:p>
    <w:p w14:paraId="6E18E7EC">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5.5质量控制程序：操作步骤，质控结果的要求（试验有效性的判断），质控结果不符合要求的处理方式。</w:t>
      </w:r>
    </w:p>
    <w:p w14:paraId="70046AE0">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5.6试验结果的计算或读取：详细描述对检测结果的判定或计算方法、对质控品（正常/异常质控血浆）的检测结果要求（试验有效性的判断）等。</w:t>
      </w:r>
    </w:p>
    <w:p w14:paraId="2C714076">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6.【检验结果的解释】</w:t>
      </w:r>
    </w:p>
    <w:p w14:paraId="2FBCF767">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说明可能对试验结果产生影响的因素。</w:t>
      </w:r>
    </w:p>
    <w:p w14:paraId="5FE3996C">
      <w:pPr>
        <w:adjustRightInd w:val="0"/>
        <w:snapToGrid w:val="0"/>
        <w:spacing w:line="52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7.【检验方法局限性】</w:t>
      </w:r>
    </w:p>
    <w:p w14:paraId="611E26F0">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综合产品的预期用途、临床背景、检测方法等信息，对可能出现的局限性进行相关说明，申请人选择适用的条款在产品说明书中予以阐述。</w:t>
      </w:r>
    </w:p>
    <w:p w14:paraId="27D9A1B5">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7.1本产品检测结果仅供临床参考，不应作为临床诊治的唯一依据，应结合患者性别、年龄、病史及其他实验室指标等信息综合考虑。当检验结果出现与临床不符甚至相悖的情况，应分析查找原因并重新确认等。</w:t>
      </w:r>
    </w:p>
    <w:p w14:paraId="47843DAF">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7.2其他可能存在的问题</w:t>
      </w:r>
      <w:r>
        <w:rPr>
          <w:rFonts w:hint="eastAsia" w:ascii="仿宋_GB2312" w:hAnsi="Times New Roman" w:eastAsia="仿宋_GB2312"/>
          <w:sz w:val="32"/>
          <w:szCs w:val="32"/>
        </w:rPr>
        <w:tab/>
      </w:r>
      <w:r>
        <w:rPr>
          <w:rFonts w:hint="eastAsia" w:ascii="仿宋_GB2312" w:hAnsi="Times New Roman" w:eastAsia="仿宋_GB2312"/>
          <w:sz w:val="32"/>
          <w:szCs w:val="32"/>
        </w:rPr>
        <w:t>。</w:t>
      </w:r>
    </w:p>
    <w:p w14:paraId="4892E013">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8.【注意事项】建议包括以下内容：</w:t>
      </w:r>
    </w:p>
    <w:p w14:paraId="3DA08CE2">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8.1</w:t>
      </w:r>
      <w:r>
        <w:rPr>
          <w:rFonts w:hint="eastAsia" w:ascii="仿宋_GB2312" w:eastAsia="仿宋_GB2312"/>
          <w:sz w:val="32"/>
        </w:rPr>
        <w:t>仅用于体外诊断。</w:t>
      </w:r>
    </w:p>
    <w:p w14:paraId="1B3C1D42">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8.2标本有可见的溶血时不应采用，因为可能激活凝血因子，干扰最终测定。</w:t>
      </w:r>
    </w:p>
    <w:p w14:paraId="0CB2A7B0">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8.3使用光学原理的仪器时，需注意标本中存在黄疸、脂血或影响光散射强度的干扰物质时，可能对检测结果产生影响。</w:t>
      </w:r>
    </w:p>
    <w:p w14:paraId="0DDC369D">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8.4血细胞比容值≥0.55L/L（55%）时，需调整血液与抗凝剂的比例。抗凝剂的体积（mL）=0.00185×血液体积（mL）×（100-比容）。</w:t>
      </w:r>
    </w:p>
    <w:p w14:paraId="6907D1B3">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8.5</w:t>
      </w:r>
      <w:r>
        <w:rPr>
          <w:rFonts w:hint="eastAsia" w:ascii="仿宋_GB2312" w:eastAsia="仿宋_GB2312"/>
          <w:spacing w:val="-4"/>
          <w:kern w:val="0"/>
          <w:sz w:val="32"/>
        </w:rPr>
        <w:t>有关人源组分（如有）的警告，如：试剂内质控品或其他可能含有人源物质的组分，虽已经通过了HBsAg、HIV1/2-Ab、HCV-Ab和TP等项目的检测，但截至目前，没有任何一项检测可以确保绝对安全，故仍应将这些组分作为潜在传染源对待。</w:t>
      </w:r>
    </w:p>
    <w:p w14:paraId="482752E9">
      <w:pPr>
        <w:spacing w:line="520" w:lineRule="exact"/>
        <w:ind w:firstLine="640" w:firstLineChars="200"/>
        <w:outlineLvl w:val="0"/>
        <w:rPr>
          <w:rFonts w:ascii="黑体" w:hAnsi="黑体" w:eastAsia="黑体"/>
          <w:sz w:val="32"/>
          <w:szCs w:val="32"/>
        </w:rPr>
      </w:pPr>
      <w:r>
        <w:rPr>
          <w:rFonts w:hint="eastAsia" w:ascii="黑体" w:hAnsi="黑体" w:eastAsia="黑体"/>
          <w:sz w:val="32"/>
          <w:szCs w:val="32"/>
        </w:rPr>
        <w:t>三、参考文献</w:t>
      </w:r>
    </w:p>
    <w:p w14:paraId="275214AE">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1.Clinical and Laboratory Standards Institute. Collection, Transport, and Processing of Blood Specimens for Testing Plasma-Based Coagulation Assays and Molecular Hemostasis Assays; Approved Guideline-Fifth Edition[S].H21-A5,CLSI,2008</w:t>
      </w:r>
    </w:p>
    <w:p w14:paraId="3D4AC0D9">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2.Clinical and Laboratory Standards Institute. One-Stage Prothrombin Time(PT) Test and Activated Partial Thromboplastin Time(APTT) Test; Approved Guideline - Second Edition[S].H47-A2,CLSI,2008</w:t>
      </w:r>
    </w:p>
    <w:p w14:paraId="162A8EEE">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3.Clinical and Laboratory Standards Institute. Procedures for Validation of INR and Local Calibration of PT/INR Systems; Approved Guideline[S].H54-A,CLSI, 2005</w:t>
      </w:r>
    </w:p>
    <w:p w14:paraId="55C96064">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4.Clinical and Laboratory Standards Institute. Protocol for the Evaluation, Validation, and Implementation of Coagulometers; Approved Guideline[S].H57-A,CLSI,2008</w:t>
      </w:r>
    </w:p>
    <w:p w14:paraId="7F605E72">
      <w:pPr>
        <w:adjustRightInd w:val="0"/>
        <w:snapToGrid w:val="0"/>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5.WS/T 359-2011.血浆凝固实验血液标本的采集及处理指南[S].2011</w:t>
      </w:r>
    </w:p>
    <w:p w14:paraId="08A3D8CD">
      <w:pPr>
        <w:adjustRightInd w:val="0"/>
        <w:snapToGrid w:val="0"/>
        <w:spacing w:line="52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6.WS/T 406-2012.临床血液学检验常规项目分析质量要求[S].2012</w:t>
      </w:r>
    </w:p>
    <w:p w14:paraId="04319711">
      <w:pPr>
        <w:spacing w:line="520" w:lineRule="exact"/>
        <w:ind w:firstLine="640" w:firstLineChars="200"/>
        <w:rPr>
          <w:rFonts w:ascii="黑体" w:hAnsi="黑体" w:eastAsia="黑体"/>
          <w:sz w:val="32"/>
          <w:szCs w:val="32"/>
        </w:rPr>
      </w:pPr>
      <w:r>
        <w:rPr>
          <w:rFonts w:hint="eastAsia" w:ascii="黑体" w:hAnsi="黑体" w:eastAsia="黑体"/>
          <w:sz w:val="32"/>
          <w:szCs w:val="32"/>
        </w:rPr>
        <w:t>四、</w:t>
      </w:r>
      <w:bookmarkEnd w:id="14"/>
      <w:r>
        <w:rPr>
          <w:rFonts w:hint="eastAsia" w:ascii="黑体" w:hAnsi="黑体" w:eastAsia="黑体"/>
          <w:sz w:val="32"/>
          <w:szCs w:val="32"/>
        </w:rPr>
        <w:t>编制单位</w:t>
      </w:r>
    </w:p>
    <w:p w14:paraId="396FAC6A">
      <w:pPr>
        <w:spacing w:line="5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浙江省医疗器械审评中心。</w:t>
      </w:r>
    </w:p>
    <w:p w14:paraId="219280F7">
      <w:pPr>
        <w:rPr>
          <w:rFonts w:ascii="仿宋_GB2312" w:eastAsia="仿宋_GB2312"/>
        </w:rPr>
      </w:pPr>
    </w:p>
    <w:p w14:paraId="7C875F67">
      <w:pPr>
        <w:autoSpaceDE w:val="0"/>
        <w:autoSpaceDN w:val="0"/>
        <w:spacing w:line="520" w:lineRule="exact"/>
        <w:jc w:val="center"/>
        <w:rPr>
          <w:rFonts w:hint="eastAsia" w:eastAsia="宋体"/>
          <w:lang w:eastAsia="zh-CN"/>
        </w:rPr>
      </w:pPr>
    </w:p>
    <w:p w14:paraId="72B0749B">
      <w:pPr>
        <w:autoSpaceDE w:val="0"/>
        <w:autoSpaceDN w:val="0"/>
        <w:spacing w:line="520" w:lineRule="exact"/>
        <w:jc w:val="center"/>
        <w:rPr>
          <w:rFonts w:hint="eastAsia" w:eastAsia="宋体"/>
          <w:lang w:eastAsia="zh-CN"/>
        </w:rPr>
      </w:pPr>
    </w:p>
    <w:p w14:paraId="6A1F7E14">
      <w:pPr>
        <w:autoSpaceDE w:val="0"/>
        <w:autoSpaceDN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4570"/>
    <w:rsid w:val="00000AFC"/>
    <w:rsid w:val="00002983"/>
    <w:rsid w:val="00025455"/>
    <w:rsid w:val="000308AA"/>
    <w:rsid w:val="0003105C"/>
    <w:rsid w:val="000446E4"/>
    <w:rsid w:val="00052F99"/>
    <w:rsid w:val="000557CE"/>
    <w:rsid w:val="00056704"/>
    <w:rsid w:val="00066250"/>
    <w:rsid w:val="00076DE1"/>
    <w:rsid w:val="00081808"/>
    <w:rsid w:val="000A1DB0"/>
    <w:rsid w:val="000A2CF5"/>
    <w:rsid w:val="000A6718"/>
    <w:rsid w:val="000A6D12"/>
    <w:rsid w:val="000B04B1"/>
    <w:rsid w:val="000B4FFB"/>
    <w:rsid w:val="000C0B80"/>
    <w:rsid w:val="000C3A9C"/>
    <w:rsid w:val="000C732C"/>
    <w:rsid w:val="000D169A"/>
    <w:rsid w:val="000E0FCE"/>
    <w:rsid w:val="000E1086"/>
    <w:rsid w:val="00102C37"/>
    <w:rsid w:val="001060B2"/>
    <w:rsid w:val="00113EB7"/>
    <w:rsid w:val="0012735A"/>
    <w:rsid w:val="00130669"/>
    <w:rsid w:val="00134B81"/>
    <w:rsid w:val="00134FEA"/>
    <w:rsid w:val="001351BC"/>
    <w:rsid w:val="0013596D"/>
    <w:rsid w:val="001449E9"/>
    <w:rsid w:val="00145A32"/>
    <w:rsid w:val="00146B5B"/>
    <w:rsid w:val="001503C5"/>
    <w:rsid w:val="001507D2"/>
    <w:rsid w:val="00150CB3"/>
    <w:rsid w:val="00151B0C"/>
    <w:rsid w:val="00156E5E"/>
    <w:rsid w:val="001678ED"/>
    <w:rsid w:val="001700FF"/>
    <w:rsid w:val="00170AD7"/>
    <w:rsid w:val="001741C6"/>
    <w:rsid w:val="00174BAA"/>
    <w:rsid w:val="00186B5F"/>
    <w:rsid w:val="00187E2E"/>
    <w:rsid w:val="001A5553"/>
    <w:rsid w:val="001A6127"/>
    <w:rsid w:val="001B455F"/>
    <w:rsid w:val="001C0123"/>
    <w:rsid w:val="001C1B2F"/>
    <w:rsid w:val="001C28E9"/>
    <w:rsid w:val="001C3DEB"/>
    <w:rsid w:val="001D0AB9"/>
    <w:rsid w:val="001D182B"/>
    <w:rsid w:val="001D37C7"/>
    <w:rsid w:val="001D5680"/>
    <w:rsid w:val="001E0635"/>
    <w:rsid w:val="001E69BF"/>
    <w:rsid w:val="001F538F"/>
    <w:rsid w:val="002207C2"/>
    <w:rsid w:val="0023504F"/>
    <w:rsid w:val="00246E8E"/>
    <w:rsid w:val="002527EB"/>
    <w:rsid w:val="00252B32"/>
    <w:rsid w:val="00253D32"/>
    <w:rsid w:val="00267C46"/>
    <w:rsid w:val="00270839"/>
    <w:rsid w:val="00273DA5"/>
    <w:rsid w:val="00274B8C"/>
    <w:rsid w:val="00277652"/>
    <w:rsid w:val="00290539"/>
    <w:rsid w:val="00297DC3"/>
    <w:rsid w:val="002B2211"/>
    <w:rsid w:val="002B2E80"/>
    <w:rsid w:val="002C3EA4"/>
    <w:rsid w:val="002D7682"/>
    <w:rsid w:val="002E3E3A"/>
    <w:rsid w:val="002E49CE"/>
    <w:rsid w:val="002E7E03"/>
    <w:rsid w:val="002F42A8"/>
    <w:rsid w:val="003342A1"/>
    <w:rsid w:val="00334F2B"/>
    <w:rsid w:val="003363E0"/>
    <w:rsid w:val="003369A1"/>
    <w:rsid w:val="0034728F"/>
    <w:rsid w:val="00352848"/>
    <w:rsid w:val="003554FD"/>
    <w:rsid w:val="00360FF1"/>
    <w:rsid w:val="00366377"/>
    <w:rsid w:val="00370B18"/>
    <w:rsid w:val="00376FF2"/>
    <w:rsid w:val="003916C9"/>
    <w:rsid w:val="003962C1"/>
    <w:rsid w:val="0039685F"/>
    <w:rsid w:val="003B7C0A"/>
    <w:rsid w:val="003C11A4"/>
    <w:rsid w:val="003C3263"/>
    <w:rsid w:val="003C7109"/>
    <w:rsid w:val="003E581B"/>
    <w:rsid w:val="003E621C"/>
    <w:rsid w:val="003E6B63"/>
    <w:rsid w:val="003F28F3"/>
    <w:rsid w:val="00401538"/>
    <w:rsid w:val="004135F1"/>
    <w:rsid w:val="0042465A"/>
    <w:rsid w:val="00431366"/>
    <w:rsid w:val="00436105"/>
    <w:rsid w:val="004407C0"/>
    <w:rsid w:val="00440FC0"/>
    <w:rsid w:val="004423AA"/>
    <w:rsid w:val="004465DB"/>
    <w:rsid w:val="00450A72"/>
    <w:rsid w:val="004516AA"/>
    <w:rsid w:val="00455024"/>
    <w:rsid w:val="00460116"/>
    <w:rsid w:val="004639CC"/>
    <w:rsid w:val="004811FA"/>
    <w:rsid w:val="004825BC"/>
    <w:rsid w:val="00486B4A"/>
    <w:rsid w:val="004A397E"/>
    <w:rsid w:val="004A4650"/>
    <w:rsid w:val="004B188D"/>
    <w:rsid w:val="004B6064"/>
    <w:rsid w:val="004C4663"/>
    <w:rsid w:val="004C7C18"/>
    <w:rsid w:val="004D2D01"/>
    <w:rsid w:val="004D64AA"/>
    <w:rsid w:val="004E6129"/>
    <w:rsid w:val="004F05EE"/>
    <w:rsid w:val="004F1E12"/>
    <w:rsid w:val="00514570"/>
    <w:rsid w:val="00516E44"/>
    <w:rsid w:val="00522505"/>
    <w:rsid w:val="00527DE7"/>
    <w:rsid w:val="005308CE"/>
    <w:rsid w:val="005313E3"/>
    <w:rsid w:val="005323BE"/>
    <w:rsid w:val="00541E2F"/>
    <w:rsid w:val="0055348B"/>
    <w:rsid w:val="005620A1"/>
    <w:rsid w:val="00563786"/>
    <w:rsid w:val="00567550"/>
    <w:rsid w:val="0057270C"/>
    <w:rsid w:val="00574393"/>
    <w:rsid w:val="00575F2E"/>
    <w:rsid w:val="00576C5C"/>
    <w:rsid w:val="00590576"/>
    <w:rsid w:val="00591929"/>
    <w:rsid w:val="005A61EF"/>
    <w:rsid w:val="005A6B34"/>
    <w:rsid w:val="005C3D9D"/>
    <w:rsid w:val="005D0B8E"/>
    <w:rsid w:val="005E0DA0"/>
    <w:rsid w:val="005E26E2"/>
    <w:rsid w:val="00603A78"/>
    <w:rsid w:val="0062045D"/>
    <w:rsid w:val="00634B58"/>
    <w:rsid w:val="00642E82"/>
    <w:rsid w:val="00676F6F"/>
    <w:rsid w:val="00684559"/>
    <w:rsid w:val="0068756D"/>
    <w:rsid w:val="006900DC"/>
    <w:rsid w:val="006912A5"/>
    <w:rsid w:val="006972C1"/>
    <w:rsid w:val="00697CC5"/>
    <w:rsid w:val="006A105D"/>
    <w:rsid w:val="006A3FD9"/>
    <w:rsid w:val="006A4063"/>
    <w:rsid w:val="006A6182"/>
    <w:rsid w:val="006B0266"/>
    <w:rsid w:val="006B2440"/>
    <w:rsid w:val="006B348C"/>
    <w:rsid w:val="006B5F67"/>
    <w:rsid w:val="006B72B3"/>
    <w:rsid w:val="006C00C3"/>
    <w:rsid w:val="006C0EB8"/>
    <w:rsid w:val="006C29B7"/>
    <w:rsid w:val="006C5916"/>
    <w:rsid w:val="00705A48"/>
    <w:rsid w:val="00705FE7"/>
    <w:rsid w:val="0070686C"/>
    <w:rsid w:val="00713D6C"/>
    <w:rsid w:val="00713EDD"/>
    <w:rsid w:val="00714194"/>
    <w:rsid w:val="00715D31"/>
    <w:rsid w:val="00734855"/>
    <w:rsid w:val="00743D5D"/>
    <w:rsid w:val="00744EBD"/>
    <w:rsid w:val="007451AB"/>
    <w:rsid w:val="0074640C"/>
    <w:rsid w:val="007551E3"/>
    <w:rsid w:val="00766AEC"/>
    <w:rsid w:val="0077180F"/>
    <w:rsid w:val="007748B4"/>
    <w:rsid w:val="00774BEF"/>
    <w:rsid w:val="007819E5"/>
    <w:rsid w:val="00790039"/>
    <w:rsid w:val="0079027A"/>
    <w:rsid w:val="00793388"/>
    <w:rsid w:val="007934B6"/>
    <w:rsid w:val="00796082"/>
    <w:rsid w:val="007A39A9"/>
    <w:rsid w:val="007B12A3"/>
    <w:rsid w:val="007B4710"/>
    <w:rsid w:val="007C02D5"/>
    <w:rsid w:val="007C1EA4"/>
    <w:rsid w:val="007C72A1"/>
    <w:rsid w:val="007C72DB"/>
    <w:rsid w:val="007D110A"/>
    <w:rsid w:val="007D1F4E"/>
    <w:rsid w:val="007D3DFB"/>
    <w:rsid w:val="007D6878"/>
    <w:rsid w:val="007E06C4"/>
    <w:rsid w:val="007E45D8"/>
    <w:rsid w:val="007F25D9"/>
    <w:rsid w:val="007F7F54"/>
    <w:rsid w:val="0080524B"/>
    <w:rsid w:val="00805C97"/>
    <w:rsid w:val="00806196"/>
    <w:rsid w:val="00812134"/>
    <w:rsid w:val="0081424B"/>
    <w:rsid w:val="00827B54"/>
    <w:rsid w:val="008362F1"/>
    <w:rsid w:val="00843AFB"/>
    <w:rsid w:val="0085366E"/>
    <w:rsid w:val="00854F6C"/>
    <w:rsid w:val="008616C0"/>
    <w:rsid w:val="00871A1F"/>
    <w:rsid w:val="0087611B"/>
    <w:rsid w:val="0087700C"/>
    <w:rsid w:val="00891379"/>
    <w:rsid w:val="00892165"/>
    <w:rsid w:val="008B35FA"/>
    <w:rsid w:val="008C134F"/>
    <w:rsid w:val="008C381C"/>
    <w:rsid w:val="008C63BA"/>
    <w:rsid w:val="008C737F"/>
    <w:rsid w:val="008D3B8A"/>
    <w:rsid w:val="008D6189"/>
    <w:rsid w:val="008E162F"/>
    <w:rsid w:val="008E7C40"/>
    <w:rsid w:val="008F421E"/>
    <w:rsid w:val="00902FCD"/>
    <w:rsid w:val="009124B7"/>
    <w:rsid w:val="0091283E"/>
    <w:rsid w:val="00914E99"/>
    <w:rsid w:val="00924B24"/>
    <w:rsid w:val="009300E0"/>
    <w:rsid w:val="00931DF4"/>
    <w:rsid w:val="00934225"/>
    <w:rsid w:val="009343C9"/>
    <w:rsid w:val="00937908"/>
    <w:rsid w:val="00941B43"/>
    <w:rsid w:val="009515D6"/>
    <w:rsid w:val="00957B4B"/>
    <w:rsid w:val="009603AB"/>
    <w:rsid w:val="00961F75"/>
    <w:rsid w:val="00971CD8"/>
    <w:rsid w:val="009835FB"/>
    <w:rsid w:val="009908D8"/>
    <w:rsid w:val="009B2028"/>
    <w:rsid w:val="009B2F54"/>
    <w:rsid w:val="009B3BB8"/>
    <w:rsid w:val="009B5710"/>
    <w:rsid w:val="009C0442"/>
    <w:rsid w:val="009C3C47"/>
    <w:rsid w:val="009C4B67"/>
    <w:rsid w:val="009D1472"/>
    <w:rsid w:val="009D4C3A"/>
    <w:rsid w:val="009E1A0E"/>
    <w:rsid w:val="009F19D2"/>
    <w:rsid w:val="009F41D8"/>
    <w:rsid w:val="00A04AAF"/>
    <w:rsid w:val="00A05F41"/>
    <w:rsid w:val="00A07A80"/>
    <w:rsid w:val="00A14048"/>
    <w:rsid w:val="00A21084"/>
    <w:rsid w:val="00A31733"/>
    <w:rsid w:val="00A40690"/>
    <w:rsid w:val="00A528E6"/>
    <w:rsid w:val="00A56D85"/>
    <w:rsid w:val="00A61975"/>
    <w:rsid w:val="00A64CA2"/>
    <w:rsid w:val="00A655B0"/>
    <w:rsid w:val="00A66287"/>
    <w:rsid w:val="00A67624"/>
    <w:rsid w:val="00A7116A"/>
    <w:rsid w:val="00A80C9B"/>
    <w:rsid w:val="00A80F22"/>
    <w:rsid w:val="00A836C8"/>
    <w:rsid w:val="00A9194B"/>
    <w:rsid w:val="00A94BFD"/>
    <w:rsid w:val="00A970A2"/>
    <w:rsid w:val="00AA147C"/>
    <w:rsid w:val="00AA2B10"/>
    <w:rsid w:val="00AA6089"/>
    <w:rsid w:val="00AA6AEB"/>
    <w:rsid w:val="00AA7CED"/>
    <w:rsid w:val="00AB23FB"/>
    <w:rsid w:val="00AC083B"/>
    <w:rsid w:val="00AE237F"/>
    <w:rsid w:val="00AF0387"/>
    <w:rsid w:val="00AF2845"/>
    <w:rsid w:val="00AF57CE"/>
    <w:rsid w:val="00B016F2"/>
    <w:rsid w:val="00B05D4B"/>
    <w:rsid w:val="00B07AEF"/>
    <w:rsid w:val="00B1069E"/>
    <w:rsid w:val="00B13EE7"/>
    <w:rsid w:val="00B1533F"/>
    <w:rsid w:val="00B26D9D"/>
    <w:rsid w:val="00B3209E"/>
    <w:rsid w:val="00B546F4"/>
    <w:rsid w:val="00B5500A"/>
    <w:rsid w:val="00B71EA1"/>
    <w:rsid w:val="00B72D98"/>
    <w:rsid w:val="00B74814"/>
    <w:rsid w:val="00B76728"/>
    <w:rsid w:val="00B77E9F"/>
    <w:rsid w:val="00B813B5"/>
    <w:rsid w:val="00B82C72"/>
    <w:rsid w:val="00B82F16"/>
    <w:rsid w:val="00BC575E"/>
    <w:rsid w:val="00BC7691"/>
    <w:rsid w:val="00BD2332"/>
    <w:rsid w:val="00BD46DD"/>
    <w:rsid w:val="00BD719A"/>
    <w:rsid w:val="00BE2243"/>
    <w:rsid w:val="00BE6867"/>
    <w:rsid w:val="00BE68DF"/>
    <w:rsid w:val="00BF0596"/>
    <w:rsid w:val="00BF3B55"/>
    <w:rsid w:val="00BF3E64"/>
    <w:rsid w:val="00BF55FC"/>
    <w:rsid w:val="00C040FA"/>
    <w:rsid w:val="00C2178C"/>
    <w:rsid w:val="00C25F47"/>
    <w:rsid w:val="00C325CE"/>
    <w:rsid w:val="00C555FE"/>
    <w:rsid w:val="00C566EE"/>
    <w:rsid w:val="00C61A06"/>
    <w:rsid w:val="00C75A2B"/>
    <w:rsid w:val="00C810B7"/>
    <w:rsid w:val="00C83DCE"/>
    <w:rsid w:val="00C87441"/>
    <w:rsid w:val="00C93963"/>
    <w:rsid w:val="00C954E1"/>
    <w:rsid w:val="00CA314A"/>
    <w:rsid w:val="00CA6333"/>
    <w:rsid w:val="00CB737B"/>
    <w:rsid w:val="00CC1D81"/>
    <w:rsid w:val="00CD322A"/>
    <w:rsid w:val="00CF1034"/>
    <w:rsid w:val="00CF51D7"/>
    <w:rsid w:val="00CF5783"/>
    <w:rsid w:val="00D00EBF"/>
    <w:rsid w:val="00D01877"/>
    <w:rsid w:val="00D12A33"/>
    <w:rsid w:val="00D134A3"/>
    <w:rsid w:val="00D1432E"/>
    <w:rsid w:val="00D169BA"/>
    <w:rsid w:val="00D2288A"/>
    <w:rsid w:val="00D273C0"/>
    <w:rsid w:val="00D308D2"/>
    <w:rsid w:val="00D32EEF"/>
    <w:rsid w:val="00D345D3"/>
    <w:rsid w:val="00D42238"/>
    <w:rsid w:val="00D427B4"/>
    <w:rsid w:val="00D42DDC"/>
    <w:rsid w:val="00D5051C"/>
    <w:rsid w:val="00D5773D"/>
    <w:rsid w:val="00D65A56"/>
    <w:rsid w:val="00D721C9"/>
    <w:rsid w:val="00D73EBD"/>
    <w:rsid w:val="00D74A05"/>
    <w:rsid w:val="00D86361"/>
    <w:rsid w:val="00D86E83"/>
    <w:rsid w:val="00DA3F64"/>
    <w:rsid w:val="00DB3268"/>
    <w:rsid w:val="00DB34C4"/>
    <w:rsid w:val="00DB5470"/>
    <w:rsid w:val="00DB7B00"/>
    <w:rsid w:val="00DC5F9D"/>
    <w:rsid w:val="00DE13A7"/>
    <w:rsid w:val="00DE34CC"/>
    <w:rsid w:val="00DE51EB"/>
    <w:rsid w:val="00DE5E5B"/>
    <w:rsid w:val="00DE6DAF"/>
    <w:rsid w:val="00DE75E4"/>
    <w:rsid w:val="00DF4BE1"/>
    <w:rsid w:val="00E01D8B"/>
    <w:rsid w:val="00E0250C"/>
    <w:rsid w:val="00E045F3"/>
    <w:rsid w:val="00E06AF9"/>
    <w:rsid w:val="00E14DA6"/>
    <w:rsid w:val="00E20E3B"/>
    <w:rsid w:val="00E31C63"/>
    <w:rsid w:val="00E352F6"/>
    <w:rsid w:val="00E35B53"/>
    <w:rsid w:val="00E42614"/>
    <w:rsid w:val="00E47322"/>
    <w:rsid w:val="00E54DA8"/>
    <w:rsid w:val="00E652CF"/>
    <w:rsid w:val="00E67FED"/>
    <w:rsid w:val="00E721CC"/>
    <w:rsid w:val="00E73E6C"/>
    <w:rsid w:val="00E808E9"/>
    <w:rsid w:val="00E80B7D"/>
    <w:rsid w:val="00E8731F"/>
    <w:rsid w:val="00E87C47"/>
    <w:rsid w:val="00E93A46"/>
    <w:rsid w:val="00E95516"/>
    <w:rsid w:val="00EA2896"/>
    <w:rsid w:val="00EA60CD"/>
    <w:rsid w:val="00EC243D"/>
    <w:rsid w:val="00ED16A9"/>
    <w:rsid w:val="00ED5B55"/>
    <w:rsid w:val="00ED6E25"/>
    <w:rsid w:val="00EE393D"/>
    <w:rsid w:val="00EF3070"/>
    <w:rsid w:val="00EF699D"/>
    <w:rsid w:val="00F02D05"/>
    <w:rsid w:val="00F04CC1"/>
    <w:rsid w:val="00F1123D"/>
    <w:rsid w:val="00F13C46"/>
    <w:rsid w:val="00F2254E"/>
    <w:rsid w:val="00F22F55"/>
    <w:rsid w:val="00F548E6"/>
    <w:rsid w:val="00F60B5D"/>
    <w:rsid w:val="00F761DF"/>
    <w:rsid w:val="00F80F6C"/>
    <w:rsid w:val="00F81D10"/>
    <w:rsid w:val="00F82A53"/>
    <w:rsid w:val="00F84AA6"/>
    <w:rsid w:val="00F91BB9"/>
    <w:rsid w:val="00F91D50"/>
    <w:rsid w:val="00FC7AB5"/>
    <w:rsid w:val="00FD4186"/>
    <w:rsid w:val="00FF13E4"/>
    <w:rsid w:val="00FF4097"/>
    <w:rsid w:val="00FF7BE2"/>
    <w:rsid w:val="352931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jc w:val="left"/>
    </w:pPr>
    <w:rPr>
      <w:rFonts w:ascii="宋体" w:hAnsi="宋体" w:cs="宋体"/>
      <w:kern w:val="0"/>
      <w:sz w:val="24"/>
    </w:rPr>
  </w:style>
  <w:style w:type="paragraph" w:styleId="7">
    <w:name w:val="annotation subject"/>
    <w:basedOn w:val="2"/>
    <w:next w:val="2"/>
    <w:link w:val="18"/>
    <w:semiHidden/>
    <w:unhideWhenUsed/>
    <w:uiPriority w:val="99"/>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annotation reference"/>
    <w:basedOn w:val="10"/>
    <w:semiHidden/>
    <w:unhideWhenUsed/>
    <w:uiPriority w:val="99"/>
    <w:rPr>
      <w:sz w:val="21"/>
      <w:szCs w:val="21"/>
    </w:rPr>
  </w:style>
  <w:style w:type="character" w:customStyle="1" w:styleId="13">
    <w:name w:val="页眉 Char"/>
    <w:basedOn w:val="10"/>
    <w:link w:val="5"/>
    <w:qFormat/>
    <w:uiPriority w:val="99"/>
    <w:rPr>
      <w:rFonts w:ascii="Calibri" w:hAnsi="Calibri" w:eastAsia="宋体" w:cs="Times New Roman"/>
      <w:sz w:val="18"/>
      <w:szCs w:val="18"/>
    </w:rPr>
  </w:style>
  <w:style w:type="character" w:customStyle="1" w:styleId="14">
    <w:name w:val="页脚 Char"/>
    <w:basedOn w:val="10"/>
    <w:link w:val="4"/>
    <w:uiPriority w:val="99"/>
    <w:rPr>
      <w:rFonts w:ascii="Calibri" w:hAnsi="Calibri"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框文本 Char"/>
    <w:basedOn w:val="10"/>
    <w:link w:val="3"/>
    <w:semiHidden/>
    <w:uiPriority w:val="99"/>
    <w:rPr>
      <w:rFonts w:ascii="Calibri" w:hAnsi="Calibri" w:eastAsia="宋体" w:cs="Times New Roman"/>
      <w:sz w:val="18"/>
      <w:szCs w:val="18"/>
    </w:rPr>
  </w:style>
  <w:style w:type="character" w:customStyle="1" w:styleId="17">
    <w:name w:val="批注文字 Char"/>
    <w:basedOn w:val="10"/>
    <w:link w:val="2"/>
    <w:semiHidden/>
    <w:uiPriority w:val="99"/>
    <w:rPr>
      <w:rFonts w:ascii="Calibri" w:hAnsi="Calibri" w:eastAsia="宋体" w:cs="Times New Roman"/>
      <w:szCs w:val="24"/>
    </w:rPr>
  </w:style>
  <w:style w:type="character" w:customStyle="1" w:styleId="18">
    <w:name w:val="批注主题 Char"/>
    <w:basedOn w:val="17"/>
    <w:link w:val="7"/>
    <w:semiHidden/>
    <w:uiPriority w:val="99"/>
    <w:rPr>
      <w:rFonts w:ascii="Calibri" w:hAnsi="Calibri"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1B4CF-5168-487D-A7E5-30B1F08DAB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9525</Words>
  <Characters>10982</Characters>
  <Lines>80</Lines>
  <Paragraphs>22</Paragraphs>
  <TotalTime>999</TotalTime>
  <ScaleCrop>false</ScaleCrop>
  <LinksUpToDate>false</LinksUpToDate>
  <CharactersWithSpaces>11098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2021-02-23T03:23:00Z</dcterms:created>
  <dc:creator>pc</dc:creator>
  <cp:lastModifiedBy>太极箫客</cp:lastModifiedBy>
  <cp:lastPrinted>2020-08-19T04:55:00Z</cp:lastPrinted>
  <dcterms:modified xsi:type="dcterms:W3CDTF">2025-08-14T06:36:03Z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18718EBDA7684D7580319924D11D2EB2_12</vt:lpwstr>
  </property>
</Properties>
</file>