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C4D1E">
      <w:pPr>
        <w:pStyle w:val="5"/>
        <w:pBdr>
          <w:bottom w:val="single" w:color="auto" w:sz="4" w:space="1"/>
        </w:pBdr>
        <w:snapToGrid w:val="0"/>
        <w:jc w:val="center"/>
        <w:rPr>
          <w:rFonts w:eastAsia="宋体"/>
          <w:sz w:val="56"/>
          <w:szCs w:val="56"/>
        </w:rPr>
      </w:pPr>
      <w:bookmarkStart w:id="43" w:name="_GoBack"/>
      <w:bookmarkEnd w:id="43"/>
      <w:r>
        <w:rPr>
          <w:rFonts w:eastAsia="宋体"/>
          <w:b/>
          <w:bCs/>
          <w:sz w:val="56"/>
          <w:szCs w:val="56"/>
        </w:rPr>
        <w:t>冠状</w:t>
      </w:r>
      <w:r>
        <w:rPr>
          <w:rFonts w:hint="eastAsia" w:eastAsia="宋体"/>
          <w:b/>
          <w:bCs/>
          <w:sz w:val="56"/>
          <w:szCs w:val="56"/>
        </w:rPr>
        <w:t>血管</w:t>
      </w:r>
      <w:r>
        <w:rPr>
          <w:rFonts w:eastAsia="宋体"/>
          <w:b/>
          <w:bCs/>
          <w:sz w:val="56"/>
          <w:szCs w:val="56"/>
        </w:rPr>
        <w:t>、外周血管和神经血管导丝-性能测试和</w:t>
      </w:r>
      <w:r>
        <w:rPr>
          <w:rFonts w:hint="eastAsia" w:eastAsia="宋体"/>
          <w:b/>
          <w:bCs/>
          <w:sz w:val="56"/>
          <w:szCs w:val="56"/>
        </w:rPr>
        <w:t>建议</w:t>
      </w:r>
      <w:r>
        <w:rPr>
          <w:rFonts w:eastAsia="宋体"/>
          <w:b/>
          <w:bCs/>
          <w:sz w:val="56"/>
          <w:szCs w:val="56"/>
        </w:rPr>
        <w:t>标签</w:t>
      </w:r>
    </w:p>
    <w:p w14:paraId="45F31B8D">
      <w:pPr>
        <w:pStyle w:val="5"/>
        <w:snapToGrid w:val="0"/>
        <w:jc w:val="center"/>
        <w:rPr>
          <w:rFonts w:eastAsia="宋体"/>
          <w:sz w:val="56"/>
          <w:szCs w:val="56"/>
        </w:rPr>
      </w:pPr>
      <w:r>
        <w:rPr>
          <w:rFonts w:eastAsia="宋体"/>
          <w:b/>
          <w:bCs/>
          <w:sz w:val="56"/>
          <w:szCs w:val="56"/>
        </w:rPr>
        <w:t>行业和美国食品药品监督管理局工作人员指南</w:t>
      </w:r>
    </w:p>
    <w:p w14:paraId="75F31584">
      <w:pPr>
        <w:shd w:val="clear" w:color="auto" w:fill="FFFFFF"/>
        <w:snapToGrid w:val="0"/>
        <w:jc w:val="center"/>
        <w:rPr>
          <w:rFonts w:eastAsia="宋体"/>
          <w:b/>
          <w:bCs/>
          <w:sz w:val="28"/>
          <w:szCs w:val="28"/>
        </w:rPr>
      </w:pPr>
    </w:p>
    <w:p w14:paraId="6BC90B00">
      <w:pPr>
        <w:shd w:val="clear" w:color="auto" w:fill="FFFFFF"/>
        <w:snapToGrid w:val="0"/>
        <w:jc w:val="center"/>
        <w:rPr>
          <w:rFonts w:eastAsia="宋体"/>
          <w:b/>
          <w:bCs/>
          <w:sz w:val="28"/>
          <w:szCs w:val="28"/>
        </w:rPr>
      </w:pPr>
    </w:p>
    <w:p w14:paraId="44AF7AEF">
      <w:pPr>
        <w:shd w:val="clear" w:color="auto" w:fill="FFFFFF"/>
        <w:snapToGrid w:val="0"/>
        <w:jc w:val="center"/>
        <w:rPr>
          <w:rFonts w:eastAsia="宋体"/>
          <w:b/>
          <w:bCs/>
          <w:sz w:val="28"/>
          <w:szCs w:val="28"/>
        </w:rPr>
      </w:pPr>
      <w:r>
        <w:rPr>
          <w:rFonts w:eastAsia="宋体"/>
          <w:b/>
          <w:bCs/>
          <w:sz w:val="28"/>
          <w:szCs w:val="28"/>
        </w:rPr>
        <w:t>文件发布</w:t>
      </w:r>
      <w:r>
        <w:rPr>
          <w:rFonts w:hint="eastAsia" w:eastAsia="宋体"/>
          <w:b/>
          <w:bCs/>
          <w:sz w:val="28"/>
          <w:szCs w:val="28"/>
        </w:rPr>
        <w:t>日期：</w:t>
      </w:r>
      <w:r>
        <w:rPr>
          <w:rFonts w:eastAsia="宋体"/>
          <w:b/>
          <w:bCs/>
          <w:sz w:val="28"/>
          <w:szCs w:val="28"/>
        </w:rPr>
        <w:t>2019年10月10日</w:t>
      </w:r>
    </w:p>
    <w:p w14:paraId="799E4E2F">
      <w:pPr>
        <w:shd w:val="clear" w:color="auto" w:fill="FFFFFF"/>
        <w:snapToGrid w:val="0"/>
        <w:jc w:val="center"/>
        <w:rPr>
          <w:rFonts w:eastAsia="宋体"/>
          <w:b/>
          <w:bCs/>
          <w:sz w:val="28"/>
          <w:szCs w:val="28"/>
        </w:rPr>
      </w:pPr>
    </w:p>
    <w:p w14:paraId="2B10180A">
      <w:pPr>
        <w:shd w:val="clear" w:color="auto" w:fill="FFFFFF"/>
        <w:snapToGrid w:val="0"/>
        <w:jc w:val="center"/>
        <w:rPr>
          <w:rFonts w:eastAsia="宋体"/>
          <w:b/>
          <w:bCs/>
          <w:sz w:val="28"/>
          <w:szCs w:val="28"/>
        </w:rPr>
      </w:pPr>
    </w:p>
    <w:p w14:paraId="68F54929">
      <w:pPr>
        <w:shd w:val="clear" w:color="auto" w:fill="FFFFFF"/>
        <w:snapToGrid w:val="0"/>
        <w:jc w:val="both"/>
        <w:rPr>
          <w:rFonts w:eastAsia="宋体"/>
          <w:sz w:val="24"/>
          <w:szCs w:val="24"/>
        </w:rPr>
      </w:pPr>
      <w:r>
        <w:rPr>
          <w:rFonts w:hint="eastAsia" w:eastAsia="宋体"/>
          <w:color w:val="000000"/>
          <w:sz w:val="24"/>
          <w:szCs w:val="24"/>
        </w:rPr>
        <w:t>如对本文件有任何疑问：</w:t>
      </w:r>
    </w:p>
    <w:p w14:paraId="756F2D15">
      <w:pPr>
        <w:numPr>
          <w:ilvl w:val="0"/>
          <w:numId w:val="1"/>
        </w:numPr>
        <w:shd w:val="clear" w:color="auto" w:fill="FFFFFF"/>
        <w:tabs>
          <w:tab w:val="left" w:pos="709"/>
        </w:tabs>
        <w:snapToGrid w:val="0"/>
        <w:ind w:left="706" w:leftChars="173" w:hanging="360" w:hangingChars="150"/>
        <w:jc w:val="both"/>
        <w:rPr>
          <w:rFonts w:eastAsia="宋体"/>
          <w:sz w:val="24"/>
          <w:szCs w:val="24"/>
        </w:rPr>
      </w:pPr>
      <w:r>
        <w:rPr>
          <w:rFonts w:hint="eastAsia" w:eastAsia="宋体"/>
          <w:color w:val="000000"/>
          <w:sz w:val="24"/>
          <w:szCs w:val="24"/>
        </w:rPr>
        <w:t>请致电</w:t>
      </w:r>
      <w:r>
        <w:rPr>
          <w:rFonts w:eastAsia="宋体"/>
          <w:color w:val="000000"/>
          <w:sz w:val="24"/>
          <w:szCs w:val="24"/>
        </w:rPr>
        <w:t>301-796-2520</w:t>
      </w:r>
      <w:r>
        <w:rPr>
          <w:rFonts w:hint="eastAsia" w:eastAsia="宋体"/>
          <w:color w:val="000000"/>
          <w:sz w:val="24"/>
          <w:szCs w:val="24"/>
        </w:rPr>
        <w:t>，</w:t>
      </w:r>
      <w:r>
        <w:rPr>
          <w:rFonts w:eastAsia="宋体"/>
          <w:color w:val="000000"/>
          <w:sz w:val="24"/>
          <w:szCs w:val="24"/>
        </w:rPr>
        <w:t>联系OHT2</w:t>
      </w:r>
      <w:r>
        <w:rPr>
          <w:rFonts w:hint="eastAsia" w:eastAsia="宋体"/>
          <w:color w:val="000000"/>
          <w:sz w:val="24"/>
          <w:szCs w:val="24"/>
        </w:rPr>
        <w:t>：</w:t>
      </w:r>
      <w:r>
        <w:rPr>
          <w:rFonts w:eastAsia="宋体"/>
          <w:color w:val="000000"/>
          <w:sz w:val="24"/>
          <w:szCs w:val="24"/>
        </w:rPr>
        <w:t>心血管器械办公室/DHT2C：健康技术部2C</w:t>
      </w:r>
    </w:p>
    <w:p w14:paraId="5013B2AF">
      <w:pPr>
        <w:numPr>
          <w:ilvl w:val="0"/>
          <w:numId w:val="1"/>
        </w:numPr>
        <w:shd w:val="clear" w:color="auto" w:fill="FFFFFF"/>
        <w:tabs>
          <w:tab w:val="left" w:pos="709"/>
        </w:tabs>
        <w:snapToGrid w:val="0"/>
        <w:ind w:left="706" w:leftChars="173" w:hanging="360" w:hangingChars="150"/>
        <w:jc w:val="both"/>
        <w:rPr>
          <w:rFonts w:eastAsia="宋体"/>
          <w:sz w:val="24"/>
          <w:szCs w:val="24"/>
        </w:rPr>
      </w:pPr>
      <w:r>
        <w:rPr>
          <w:rFonts w:hint="eastAsia" w:eastAsia="宋体"/>
          <w:color w:val="000000"/>
          <w:sz w:val="24"/>
          <w:szCs w:val="24"/>
        </w:rPr>
        <w:t>请致电</w:t>
      </w:r>
      <w:r>
        <w:rPr>
          <w:rFonts w:eastAsia="宋体"/>
          <w:color w:val="000000"/>
          <w:sz w:val="24"/>
          <w:szCs w:val="24"/>
        </w:rPr>
        <w:t>301-796-2823</w:t>
      </w:r>
      <w:r>
        <w:rPr>
          <w:rFonts w:hint="eastAsia" w:eastAsia="宋体"/>
          <w:color w:val="000000"/>
          <w:sz w:val="24"/>
          <w:szCs w:val="24"/>
        </w:rPr>
        <w:t>，</w:t>
      </w:r>
      <w:r>
        <w:rPr>
          <w:rFonts w:eastAsia="宋体"/>
          <w:color w:val="000000"/>
          <w:sz w:val="24"/>
          <w:szCs w:val="24"/>
        </w:rPr>
        <w:t>联系OHT5</w:t>
      </w:r>
      <w:r>
        <w:rPr>
          <w:rFonts w:hint="eastAsia" w:eastAsia="宋体"/>
          <w:color w:val="000000"/>
          <w:sz w:val="24"/>
          <w:szCs w:val="24"/>
        </w:rPr>
        <w:t>：</w:t>
      </w:r>
      <w:r>
        <w:rPr>
          <w:rFonts w:eastAsia="宋体"/>
          <w:color w:val="000000"/>
          <w:sz w:val="24"/>
          <w:szCs w:val="24"/>
        </w:rPr>
        <w:t>神经和物理医学器械办公室/DHT5A：卫生技术部5A</w:t>
      </w:r>
    </w:p>
    <w:p w14:paraId="314C2B85">
      <w:pPr>
        <w:pStyle w:val="5"/>
        <w:snapToGrid w:val="0"/>
        <w:rPr>
          <w:rFonts w:eastAsia="宋体"/>
        </w:rPr>
      </w:pPr>
    </w:p>
    <w:p w14:paraId="378E942D">
      <w:pPr>
        <w:snapToGrid w:val="0"/>
        <w:jc w:val="center"/>
        <w:rPr>
          <w:rFonts w:eastAsia="宋体"/>
          <w:b/>
          <w:bCs/>
          <w:sz w:val="28"/>
          <w:szCs w:val="28"/>
        </w:rPr>
      </w:pPr>
      <w:r>
        <w:rPr>
          <w:rFonts w:eastAsia="宋体"/>
          <w:b/>
          <w:bCs/>
          <w:sz w:val="28"/>
          <w:szCs w:val="28"/>
        </w:rPr>
        <w:t>本指南取代了1995年1月发布的《冠状</w:t>
      </w:r>
      <w:r>
        <w:rPr>
          <w:rFonts w:hint="eastAsia" w:eastAsia="宋体"/>
          <w:b/>
          <w:bCs/>
          <w:sz w:val="28"/>
          <w:szCs w:val="28"/>
        </w:rPr>
        <w:t>血管</w:t>
      </w:r>
      <w:r>
        <w:rPr>
          <w:rFonts w:eastAsia="宋体"/>
          <w:b/>
          <w:bCs/>
          <w:sz w:val="28"/>
          <w:szCs w:val="28"/>
        </w:rPr>
        <w:t>和脑血管导丝指南》。</w:t>
      </w:r>
    </w:p>
    <w:p w14:paraId="6683DD02">
      <w:pPr>
        <w:snapToGrid w:val="0"/>
        <w:jc w:val="center"/>
        <w:rPr>
          <w:rFonts w:eastAsia="宋体"/>
          <w:b/>
          <w:bCs/>
          <w:sz w:val="28"/>
          <w:szCs w:val="28"/>
        </w:rPr>
      </w:pPr>
    </w:p>
    <w:p w14:paraId="53396CB6">
      <w:pPr>
        <w:snapToGrid w:val="0"/>
        <w:jc w:val="center"/>
        <w:rPr>
          <w:rFonts w:eastAsia="宋体"/>
          <w:b/>
          <w:bCs/>
          <w:sz w:val="28"/>
          <w:szCs w:val="28"/>
        </w:rPr>
      </w:pPr>
    </w:p>
    <w:p w14:paraId="68549E18">
      <w:pPr>
        <w:snapToGrid w:val="0"/>
        <w:jc w:val="both"/>
        <w:rPr>
          <w:rFonts w:eastAsia="宋体"/>
          <w:sz w:val="21"/>
          <w:szCs w:val="21"/>
        </w:rPr>
      </w:pPr>
    </w:p>
    <w:tbl>
      <w:tblPr>
        <w:tblStyle w:val="14"/>
        <w:tblW w:w="5000" w:type="pct"/>
        <w:tblInd w:w="0" w:type="dxa"/>
        <w:tblLayout w:type="fixed"/>
        <w:tblCellMar>
          <w:top w:w="0" w:type="dxa"/>
          <w:left w:w="57" w:type="dxa"/>
          <w:bottom w:w="0" w:type="dxa"/>
          <w:right w:w="57" w:type="dxa"/>
        </w:tblCellMar>
      </w:tblPr>
      <w:tblGrid>
        <w:gridCol w:w="4196"/>
        <w:gridCol w:w="5272"/>
      </w:tblGrid>
      <w:tr w14:paraId="2A93FFA0">
        <w:tblPrEx>
          <w:tblCellMar>
            <w:top w:w="0" w:type="dxa"/>
            <w:left w:w="57" w:type="dxa"/>
            <w:bottom w:w="0" w:type="dxa"/>
            <w:right w:w="57" w:type="dxa"/>
          </w:tblCellMar>
        </w:tblPrEx>
        <w:tc>
          <w:tcPr>
            <w:tcW w:w="4286" w:type="dxa"/>
            <w:tcBorders>
              <w:top w:val="nil"/>
              <w:left w:val="nil"/>
              <w:bottom w:val="nil"/>
              <w:right w:val="nil"/>
            </w:tcBorders>
            <w:shd w:val="clear" w:color="auto" w:fill="FFFFFF"/>
            <w:tcMar>
              <w:left w:w="57" w:type="dxa"/>
              <w:right w:w="57" w:type="dxa"/>
            </w:tcMar>
          </w:tcPr>
          <w:p w14:paraId="6A6DA8F5">
            <w:pPr>
              <w:shd w:val="clear" w:color="auto" w:fill="FFFFFF"/>
              <w:snapToGrid w:val="0"/>
              <w:rPr>
                <w:rFonts w:eastAsia="宋体"/>
                <w:sz w:val="24"/>
                <w:szCs w:val="24"/>
              </w:rPr>
            </w:pPr>
            <w:r>
              <w:rPr>
                <w:rFonts w:eastAsia="宋体"/>
              </w:rPr>
              <w:pict>
                <v:shape id="_x0000_i1025" o:spt="75" type="#_x0000_t75" style="height:51pt;width:180.75pt;" filled="f" o:preferrelative="t" stroked="f" coordsize="21600,21600">
                  <v:path/>
                  <v:fill on="f" focussize="0,0"/>
                  <v:stroke on="f" joinstyle="miter"/>
                  <v:imagedata r:id="rId7" o:title=""/>
                  <o:lock v:ext="edit" aspectratio="t"/>
                  <w10:wrap type="none"/>
                  <w10:anchorlock/>
                </v:shape>
              </w:pict>
            </w:r>
          </w:p>
        </w:tc>
        <w:tc>
          <w:tcPr>
            <w:tcW w:w="5386" w:type="dxa"/>
            <w:tcBorders>
              <w:top w:val="nil"/>
              <w:left w:val="nil"/>
              <w:bottom w:val="nil"/>
              <w:right w:val="nil"/>
            </w:tcBorders>
            <w:shd w:val="clear" w:color="auto" w:fill="FFFFFF"/>
            <w:tcMar>
              <w:left w:w="57" w:type="dxa"/>
              <w:right w:w="57" w:type="dxa"/>
            </w:tcMar>
          </w:tcPr>
          <w:p w14:paraId="52553B3B">
            <w:pPr>
              <w:shd w:val="clear" w:color="auto" w:fill="FFFFFF"/>
              <w:snapToGrid w:val="0"/>
              <w:jc w:val="right"/>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3C25D61C">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1CD3A6F9">
            <w:pPr>
              <w:shd w:val="clear" w:color="auto" w:fill="FFFFFF"/>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tc>
      </w:tr>
    </w:tbl>
    <w:p w14:paraId="25E399D6">
      <w:pPr>
        <w:snapToGrid w:val="0"/>
        <w:jc w:val="both"/>
        <w:rPr>
          <w:rFonts w:eastAsia="宋体"/>
          <w:sz w:val="21"/>
          <w:szCs w:val="21"/>
        </w:rPr>
        <w:sectPr>
          <w:headerReference r:id="rId4" w:type="default"/>
          <w:pgSz w:w="11906" w:h="16838"/>
          <w:pgMar w:top="1134" w:right="1134" w:bottom="1134" w:left="1418" w:header="567" w:footer="567" w:gutter="0"/>
          <w:cols w:space="60" w:num="1"/>
          <w:docGrid w:linePitch="272" w:charSpace="0"/>
        </w:sectPr>
      </w:pPr>
    </w:p>
    <w:p w14:paraId="06F1B0D2">
      <w:pPr>
        <w:shd w:val="clear" w:color="auto" w:fill="FFFFFF"/>
        <w:snapToGrid w:val="0"/>
        <w:jc w:val="center"/>
        <w:rPr>
          <w:rFonts w:eastAsia="宋体"/>
          <w:b/>
          <w:bCs/>
          <w:sz w:val="48"/>
          <w:szCs w:val="48"/>
        </w:rPr>
      </w:pPr>
      <w:r>
        <w:rPr>
          <w:rFonts w:eastAsia="宋体"/>
          <w:b/>
          <w:bCs/>
          <w:sz w:val="48"/>
          <w:szCs w:val="48"/>
        </w:rPr>
        <w:t>前言</w:t>
      </w:r>
    </w:p>
    <w:p w14:paraId="008E43DF">
      <w:pPr>
        <w:shd w:val="clear" w:color="auto" w:fill="FFFFFF"/>
        <w:snapToGrid w:val="0"/>
        <w:jc w:val="both"/>
        <w:rPr>
          <w:rFonts w:eastAsia="宋体"/>
          <w:b/>
          <w:bCs/>
          <w:sz w:val="48"/>
          <w:szCs w:val="48"/>
        </w:rPr>
      </w:pPr>
    </w:p>
    <w:p w14:paraId="337D2A05">
      <w:pPr>
        <w:shd w:val="clear" w:color="auto" w:fill="FFFFFF"/>
        <w:snapToGrid w:val="0"/>
        <w:jc w:val="both"/>
        <w:rPr>
          <w:rFonts w:eastAsia="宋体"/>
          <w:b/>
          <w:bCs/>
          <w:sz w:val="36"/>
          <w:szCs w:val="36"/>
        </w:rPr>
      </w:pPr>
      <w:r>
        <w:rPr>
          <w:rFonts w:eastAsia="宋体"/>
          <w:b/>
          <w:bCs/>
          <w:sz w:val="36"/>
          <w:szCs w:val="36"/>
        </w:rPr>
        <w:t>公众意见</w:t>
      </w:r>
    </w:p>
    <w:p w14:paraId="7E344A92">
      <w:pPr>
        <w:shd w:val="clear" w:color="auto" w:fill="FFFFFF"/>
        <w:snapToGrid w:val="0"/>
        <w:jc w:val="both"/>
        <w:rPr>
          <w:rFonts w:eastAsia="宋体"/>
          <w:b/>
          <w:bCs/>
          <w:sz w:val="36"/>
          <w:szCs w:val="36"/>
        </w:rPr>
      </w:pPr>
    </w:p>
    <w:p w14:paraId="426FB55F">
      <w:pPr>
        <w:shd w:val="clear" w:color="auto" w:fill="FFFFFF"/>
        <w:snapToGrid w:val="0"/>
        <w:ind w:firstLine="480" w:firstLineChars="200"/>
        <w:jc w:val="both"/>
        <w:rPr>
          <w:rFonts w:eastAsia="宋体"/>
          <w:sz w:val="24"/>
          <w:szCs w:val="24"/>
        </w:rPr>
      </w:pPr>
      <w:r>
        <w:rPr>
          <w:rFonts w:hint="eastAsia" w:eastAsia="宋体"/>
          <w:color w:val="000000"/>
          <w:sz w:val="24"/>
          <w:szCs w:val="24"/>
        </w:rPr>
        <w:t>电子版意见和建议可随时提交</w:t>
      </w:r>
      <w:r>
        <w:rPr>
          <w:rFonts w:eastAsia="宋体"/>
          <w:color w:val="000000"/>
          <w:sz w:val="24"/>
          <w:szCs w:val="24"/>
        </w:rPr>
        <w:t>至</w:t>
      </w:r>
      <w:r>
        <w:rPr>
          <w:rFonts w:eastAsia="宋体"/>
          <w:color w:val="0000FF"/>
          <w:sz w:val="24"/>
          <w:szCs w:val="24"/>
          <w:u w:val="single"/>
        </w:rPr>
        <w:t>https://www.regulations.gov</w:t>
      </w:r>
      <w:r>
        <w:rPr>
          <w:rFonts w:eastAsia="宋体"/>
          <w:color w:val="000000"/>
          <w:sz w:val="24"/>
          <w:szCs w:val="24"/>
        </w:rPr>
        <w:t>，</w:t>
      </w:r>
      <w:r>
        <w:rPr>
          <w:rFonts w:hint="eastAsia" w:eastAsia="宋体"/>
          <w:color w:val="000000"/>
          <w:sz w:val="24"/>
          <w:szCs w:val="24"/>
        </w:rPr>
        <w:t>供FDA审议</w:t>
      </w:r>
      <w:r>
        <w:rPr>
          <w:rFonts w:eastAsia="宋体"/>
          <w:color w:val="000000"/>
          <w:sz w:val="24"/>
          <w:szCs w:val="24"/>
        </w:rPr>
        <w:t>。</w:t>
      </w:r>
      <w:r>
        <w:rPr>
          <w:rFonts w:hint="eastAsia" w:eastAsia="宋体"/>
          <w:color w:val="000000"/>
          <w:sz w:val="24"/>
          <w:szCs w:val="24"/>
        </w:rPr>
        <w:t>可将书面意见提交至：美国食品药品监督管理局备案文件管理部（</w:t>
      </w:r>
      <w:r>
        <w:rPr>
          <w:rFonts w:eastAsia="宋体"/>
          <w:color w:val="000000"/>
          <w:sz w:val="24"/>
          <w:szCs w:val="24"/>
        </w:rPr>
        <w:t xml:space="preserve">5630 Fishers Lane, Room 1061 </w:t>
      </w:r>
      <w:r>
        <w:rPr>
          <w:rFonts w:hint="eastAsia" w:eastAsia="宋体"/>
          <w:color w:val="000000"/>
          <w:sz w:val="24"/>
          <w:szCs w:val="24"/>
        </w:rPr>
        <w:t>(</w:t>
      </w:r>
      <w:r>
        <w:rPr>
          <w:rFonts w:eastAsia="宋体"/>
          <w:color w:val="000000"/>
          <w:sz w:val="24"/>
          <w:szCs w:val="24"/>
        </w:rPr>
        <w:t>HFA-305</w:t>
      </w:r>
      <w:r>
        <w:rPr>
          <w:rFonts w:hint="eastAsia" w:eastAsia="宋体"/>
          <w:color w:val="000000"/>
          <w:sz w:val="24"/>
          <w:szCs w:val="24"/>
        </w:rPr>
        <w:t>)</w:t>
      </w:r>
      <w:r>
        <w:rPr>
          <w:rFonts w:eastAsia="宋体"/>
          <w:color w:val="000000"/>
          <w:sz w:val="24"/>
          <w:szCs w:val="24"/>
        </w:rPr>
        <w:t>, Rockville, MD 20852）。</w:t>
      </w:r>
      <w:r>
        <w:rPr>
          <w:rFonts w:hint="eastAsia" w:eastAsia="宋体"/>
          <w:color w:val="000000"/>
          <w:sz w:val="24"/>
          <w:szCs w:val="24"/>
        </w:rPr>
        <w:t>所有意见或建议均应注明备案文件编号</w:t>
      </w:r>
      <w:r>
        <w:rPr>
          <w:rFonts w:eastAsia="宋体"/>
          <w:color w:val="000000"/>
          <w:sz w:val="24"/>
          <w:szCs w:val="24"/>
        </w:rPr>
        <w:t>FDA-2018-D-1775。下次修订或更新</w:t>
      </w:r>
      <w:r>
        <w:rPr>
          <w:rFonts w:hint="eastAsia" w:eastAsia="宋体"/>
          <w:color w:val="000000"/>
          <w:sz w:val="24"/>
          <w:szCs w:val="24"/>
        </w:rPr>
        <w:t>本文件时</w:t>
      </w:r>
      <w:r>
        <w:rPr>
          <w:rFonts w:eastAsia="宋体"/>
          <w:color w:val="000000"/>
          <w:sz w:val="24"/>
          <w:szCs w:val="24"/>
        </w:rPr>
        <w:t>，</w:t>
      </w:r>
      <w:r>
        <w:rPr>
          <w:rFonts w:hint="eastAsia" w:eastAsia="宋体"/>
          <w:color w:val="000000"/>
          <w:sz w:val="24"/>
          <w:szCs w:val="24"/>
        </w:rPr>
        <w:t>FDA可能不会对意见采取行动</w:t>
      </w:r>
      <w:r>
        <w:rPr>
          <w:rFonts w:eastAsia="宋体"/>
          <w:color w:val="000000"/>
          <w:sz w:val="24"/>
          <w:szCs w:val="24"/>
        </w:rPr>
        <w:t>。</w:t>
      </w:r>
    </w:p>
    <w:p w14:paraId="164BE09C">
      <w:pPr>
        <w:shd w:val="clear" w:color="auto" w:fill="FFFFFF"/>
        <w:snapToGrid w:val="0"/>
        <w:jc w:val="both"/>
        <w:rPr>
          <w:rFonts w:eastAsia="宋体"/>
          <w:b/>
          <w:bCs/>
          <w:sz w:val="24"/>
          <w:szCs w:val="24"/>
        </w:rPr>
      </w:pPr>
    </w:p>
    <w:p w14:paraId="23BD2E5A">
      <w:pPr>
        <w:shd w:val="clear" w:color="auto" w:fill="FFFFFF"/>
        <w:snapToGrid w:val="0"/>
        <w:jc w:val="both"/>
        <w:rPr>
          <w:rFonts w:eastAsia="宋体"/>
          <w:b/>
          <w:bCs/>
          <w:sz w:val="24"/>
          <w:szCs w:val="24"/>
        </w:rPr>
      </w:pPr>
    </w:p>
    <w:p w14:paraId="487DB23A">
      <w:pPr>
        <w:shd w:val="clear" w:color="auto" w:fill="FFFFFF"/>
        <w:snapToGrid w:val="0"/>
        <w:jc w:val="both"/>
        <w:rPr>
          <w:rFonts w:eastAsia="宋体"/>
          <w:b/>
          <w:bCs/>
          <w:sz w:val="36"/>
          <w:szCs w:val="36"/>
        </w:rPr>
      </w:pPr>
      <w:r>
        <w:rPr>
          <w:rFonts w:hint="eastAsia" w:eastAsia="宋体"/>
          <w:b/>
          <w:bCs/>
          <w:sz w:val="36"/>
          <w:szCs w:val="36"/>
        </w:rPr>
        <w:t>更多</w:t>
      </w:r>
      <w:r>
        <w:rPr>
          <w:rFonts w:eastAsia="宋体"/>
          <w:b/>
          <w:bCs/>
          <w:sz w:val="36"/>
          <w:szCs w:val="36"/>
        </w:rPr>
        <w:t>副本</w:t>
      </w:r>
    </w:p>
    <w:p w14:paraId="57170342">
      <w:pPr>
        <w:shd w:val="clear" w:color="auto" w:fill="FFFFFF"/>
        <w:snapToGrid w:val="0"/>
        <w:jc w:val="both"/>
        <w:rPr>
          <w:rFonts w:eastAsia="宋体"/>
          <w:b/>
          <w:bCs/>
          <w:sz w:val="36"/>
          <w:szCs w:val="36"/>
        </w:rPr>
      </w:pPr>
    </w:p>
    <w:p w14:paraId="1860A3E7">
      <w:pPr>
        <w:shd w:val="clear" w:color="auto" w:fill="FFFFFF"/>
        <w:snapToGrid w:val="0"/>
        <w:ind w:firstLine="480" w:firstLineChars="200"/>
        <w:jc w:val="both"/>
        <w:rPr>
          <w:rFonts w:eastAsia="宋体"/>
          <w:sz w:val="24"/>
          <w:szCs w:val="24"/>
        </w:rPr>
      </w:pPr>
      <w:r>
        <w:rPr>
          <w:rFonts w:hint="eastAsia" w:eastAsia="宋体"/>
          <w:color w:val="000000"/>
          <w:sz w:val="24"/>
          <w:szCs w:val="24"/>
        </w:rPr>
        <w:t>更多副本可通过互联网获取</w:t>
      </w:r>
      <w:r>
        <w:rPr>
          <w:rFonts w:eastAsia="宋体"/>
          <w:color w:val="000000"/>
          <w:sz w:val="24"/>
          <w:szCs w:val="24"/>
        </w:rPr>
        <w:t>。</w:t>
      </w:r>
      <w:r>
        <w:rPr>
          <w:rFonts w:hint="eastAsia" w:eastAsia="宋体"/>
          <w:color w:val="000000"/>
          <w:sz w:val="24"/>
          <w:szCs w:val="24"/>
        </w:rPr>
        <w:t>您也可以通过</w:t>
      </w:r>
      <w:r>
        <w:rPr>
          <w:rFonts w:eastAsia="宋体"/>
          <w:color w:val="000000"/>
          <w:sz w:val="24"/>
          <w:szCs w:val="24"/>
        </w:rPr>
        <w:t>电子邮件发送请求至</w:t>
      </w:r>
      <w:r>
        <w:rPr>
          <w:rFonts w:eastAsia="宋体"/>
          <w:color w:val="0000FF"/>
          <w:sz w:val="24"/>
          <w:szCs w:val="24"/>
          <w:u w:val="single"/>
        </w:rPr>
        <w:t>CDRH-Guidance@fda.hhs.gov</w:t>
      </w:r>
      <w:r>
        <w:rPr>
          <w:rFonts w:hint="eastAsia" w:eastAsia="宋体"/>
          <w:color w:val="000000"/>
          <w:sz w:val="24"/>
          <w:szCs w:val="24"/>
        </w:rPr>
        <w:t>获取本指南的副本</w:t>
      </w:r>
      <w:r>
        <w:rPr>
          <w:rFonts w:eastAsia="宋体"/>
          <w:color w:val="000000"/>
          <w:sz w:val="24"/>
          <w:szCs w:val="24"/>
        </w:rPr>
        <w:t>。请</w:t>
      </w:r>
      <w:r>
        <w:rPr>
          <w:rFonts w:hint="eastAsia" w:eastAsia="宋体"/>
          <w:color w:val="000000"/>
          <w:sz w:val="24"/>
          <w:szCs w:val="24"/>
        </w:rPr>
        <w:t>使用</w:t>
      </w:r>
      <w:r>
        <w:rPr>
          <w:rFonts w:eastAsia="宋体"/>
          <w:color w:val="000000"/>
          <w:sz w:val="24"/>
          <w:szCs w:val="24"/>
        </w:rPr>
        <w:t>文件编号16007</w:t>
      </w:r>
      <w:r>
        <w:rPr>
          <w:rFonts w:hint="eastAsia" w:eastAsia="宋体"/>
          <w:color w:val="000000"/>
          <w:sz w:val="24"/>
          <w:szCs w:val="24"/>
        </w:rPr>
        <w:t>，注明您所要求获取的完整指南标题。</w:t>
      </w:r>
    </w:p>
    <w:p w14:paraId="7B58E4E0">
      <w:pPr>
        <w:shd w:val="clear" w:color="auto" w:fill="FFFFFF"/>
        <w:snapToGrid w:val="0"/>
        <w:jc w:val="both"/>
        <w:rPr>
          <w:rFonts w:eastAsia="宋体"/>
          <w:sz w:val="24"/>
          <w:szCs w:val="24"/>
        </w:rPr>
      </w:pPr>
    </w:p>
    <w:p w14:paraId="540687BD">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EC24ED1">
      <w:pPr>
        <w:snapToGrid w:val="0"/>
        <w:jc w:val="center"/>
        <w:rPr>
          <w:rFonts w:eastAsia="宋体"/>
          <w:b/>
          <w:bCs/>
          <w:sz w:val="36"/>
          <w:szCs w:val="36"/>
        </w:rPr>
      </w:pPr>
      <w:r>
        <w:rPr>
          <w:rFonts w:eastAsia="宋体"/>
          <w:b/>
          <w:bCs/>
          <w:sz w:val="36"/>
          <w:szCs w:val="36"/>
        </w:rPr>
        <w:t>目录</w:t>
      </w:r>
    </w:p>
    <w:p w14:paraId="02CE9F19">
      <w:pPr>
        <w:snapToGrid w:val="0"/>
        <w:jc w:val="both"/>
        <w:rPr>
          <w:rFonts w:eastAsia="宋体"/>
          <w:sz w:val="21"/>
          <w:szCs w:val="21"/>
        </w:rPr>
      </w:pPr>
    </w:p>
    <w:p w14:paraId="086128F6">
      <w:pPr>
        <w:pStyle w:val="11"/>
        <w:snapToGrid w:val="0"/>
        <w:spacing w:beforeLines="0" w:afterLines="0"/>
        <w:rPr>
          <w:rFonts w:ascii="等线" w:hAnsi="等线"/>
          <w:kern w:val="2"/>
          <w:szCs w:val="24"/>
        </w:rPr>
      </w:pPr>
      <w:r>
        <w:rPr>
          <w:b/>
        </w:rPr>
        <w:fldChar w:fldCharType="begin"/>
      </w:r>
      <w:r>
        <w:rPr>
          <w:b/>
          <w:szCs w:val="24"/>
        </w:rPr>
        <w:instrText xml:space="preserve"> TOC \o "1-2" \h \z \u </w:instrText>
      </w:r>
      <w:r>
        <w:rPr>
          <w:b/>
        </w:rPr>
        <w:fldChar w:fldCharType="separate"/>
      </w:r>
      <w:r>
        <w:fldChar w:fldCharType="begin"/>
      </w:r>
      <w:r>
        <w:instrText xml:space="preserve"> HYPERLINK \l "_Toc98746523" </w:instrText>
      </w:r>
      <w:r>
        <w:fldChar w:fldCharType="separate"/>
      </w:r>
      <w:r>
        <w:rPr>
          <w:rStyle w:val="16"/>
          <w:szCs w:val="24"/>
        </w:rPr>
        <w:t>I.</w:t>
      </w:r>
      <w:r>
        <w:rPr>
          <w:rFonts w:ascii="等线" w:hAnsi="等线"/>
          <w:kern w:val="2"/>
          <w:szCs w:val="24"/>
        </w:rPr>
        <w:tab/>
      </w:r>
      <w:r>
        <w:rPr>
          <w:rStyle w:val="16"/>
          <w:rFonts w:hint="eastAsia"/>
          <w:szCs w:val="24"/>
        </w:rPr>
        <w:t>前言</w:t>
      </w:r>
      <w:r>
        <w:rPr>
          <w:szCs w:val="24"/>
        </w:rPr>
        <w:tab/>
      </w:r>
      <w:r>
        <w:rPr>
          <w:szCs w:val="24"/>
        </w:rPr>
        <w:fldChar w:fldCharType="begin"/>
      </w:r>
      <w:r>
        <w:rPr>
          <w:szCs w:val="24"/>
        </w:rPr>
        <w:instrText xml:space="preserve"> PAGEREF _Toc98746523 \h </w:instrText>
      </w:r>
      <w:r>
        <w:rPr>
          <w:szCs w:val="24"/>
        </w:rPr>
        <w:fldChar w:fldCharType="separate"/>
      </w:r>
      <w:r>
        <w:rPr>
          <w:szCs w:val="24"/>
        </w:rPr>
        <w:t>1</w:t>
      </w:r>
      <w:r>
        <w:rPr>
          <w:szCs w:val="24"/>
        </w:rPr>
        <w:fldChar w:fldCharType="end"/>
      </w:r>
      <w:r>
        <w:rPr>
          <w:szCs w:val="24"/>
        </w:rPr>
        <w:fldChar w:fldCharType="end"/>
      </w:r>
    </w:p>
    <w:p w14:paraId="157F2ABB">
      <w:pPr>
        <w:pStyle w:val="11"/>
        <w:snapToGrid w:val="0"/>
        <w:spacing w:beforeLines="0" w:afterLines="0"/>
        <w:rPr>
          <w:rFonts w:ascii="等线" w:hAnsi="等线"/>
          <w:kern w:val="2"/>
          <w:szCs w:val="24"/>
        </w:rPr>
      </w:pPr>
      <w:r>
        <w:fldChar w:fldCharType="begin"/>
      </w:r>
      <w:r>
        <w:instrText xml:space="preserve"> HYPERLINK \l "_Toc98746524" </w:instrText>
      </w:r>
      <w:r>
        <w:fldChar w:fldCharType="separate"/>
      </w:r>
      <w:r>
        <w:rPr>
          <w:rStyle w:val="16"/>
          <w:szCs w:val="24"/>
        </w:rPr>
        <w:t>II.</w:t>
      </w:r>
      <w:r>
        <w:rPr>
          <w:rFonts w:ascii="等线" w:hAnsi="等线"/>
          <w:kern w:val="2"/>
          <w:szCs w:val="24"/>
        </w:rPr>
        <w:tab/>
      </w:r>
      <w:r>
        <w:rPr>
          <w:rStyle w:val="16"/>
          <w:rFonts w:hint="eastAsia"/>
          <w:szCs w:val="24"/>
        </w:rPr>
        <w:t>背景</w:t>
      </w:r>
      <w:r>
        <w:rPr>
          <w:szCs w:val="24"/>
        </w:rPr>
        <w:tab/>
      </w:r>
      <w:r>
        <w:rPr>
          <w:szCs w:val="24"/>
        </w:rPr>
        <w:fldChar w:fldCharType="begin"/>
      </w:r>
      <w:r>
        <w:rPr>
          <w:szCs w:val="24"/>
        </w:rPr>
        <w:instrText xml:space="preserve"> PAGEREF _Toc98746524 \h </w:instrText>
      </w:r>
      <w:r>
        <w:rPr>
          <w:szCs w:val="24"/>
        </w:rPr>
        <w:fldChar w:fldCharType="separate"/>
      </w:r>
      <w:r>
        <w:rPr>
          <w:szCs w:val="24"/>
        </w:rPr>
        <w:t>2</w:t>
      </w:r>
      <w:r>
        <w:rPr>
          <w:szCs w:val="24"/>
        </w:rPr>
        <w:fldChar w:fldCharType="end"/>
      </w:r>
      <w:r>
        <w:rPr>
          <w:szCs w:val="24"/>
        </w:rPr>
        <w:fldChar w:fldCharType="end"/>
      </w:r>
    </w:p>
    <w:p w14:paraId="109B6B6D">
      <w:pPr>
        <w:pStyle w:val="11"/>
        <w:snapToGrid w:val="0"/>
        <w:spacing w:beforeLines="0" w:afterLines="0"/>
        <w:rPr>
          <w:rFonts w:ascii="等线" w:hAnsi="等线"/>
          <w:kern w:val="2"/>
          <w:szCs w:val="24"/>
        </w:rPr>
      </w:pPr>
      <w:r>
        <w:fldChar w:fldCharType="begin"/>
      </w:r>
      <w:r>
        <w:instrText xml:space="preserve"> HYPERLINK \l "_Toc98746525" </w:instrText>
      </w:r>
      <w:r>
        <w:fldChar w:fldCharType="separate"/>
      </w:r>
      <w:r>
        <w:rPr>
          <w:rStyle w:val="16"/>
          <w:szCs w:val="24"/>
        </w:rPr>
        <w:t>III.</w:t>
      </w:r>
      <w:r>
        <w:rPr>
          <w:rFonts w:ascii="等线" w:hAnsi="等线"/>
          <w:kern w:val="2"/>
          <w:szCs w:val="24"/>
        </w:rPr>
        <w:tab/>
      </w:r>
      <w:r>
        <w:rPr>
          <w:rStyle w:val="16"/>
          <w:rFonts w:hint="eastAsia"/>
          <w:szCs w:val="24"/>
        </w:rPr>
        <w:t>范围</w:t>
      </w:r>
      <w:r>
        <w:rPr>
          <w:szCs w:val="24"/>
        </w:rPr>
        <w:tab/>
      </w:r>
      <w:r>
        <w:rPr>
          <w:szCs w:val="24"/>
        </w:rPr>
        <w:fldChar w:fldCharType="begin"/>
      </w:r>
      <w:r>
        <w:rPr>
          <w:szCs w:val="24"/>
        </w:rPr>
        <w:instrText xml:space="preserve"> PAGEREF _Toc98746525 \h </w:instrText>
      </w:r>
      <w:r>
        <w:rPr>
          <w:szCs w:val="24"/>
        </w:rPr>
        <w:fldChar w:fldCharType="separate"/>
      </w:r>
      <w:r>
        <w:rPr>
          <w:szCs w:val="24"/>
        </w:rPr>
        <w:t>2</w:t>
      </w:r>
      <w:r>
        <w:rPr>
          <w:szCs w:val="24"/>
        </w:rPr>
        <w:fldChar w:fldCharType="end"/>
      </w:r>
      <w:r>
        <w:rPr>
          <w:szCs w:val="24"/>
        </w:rPr>
        <w:fldChar w:fldCharType="end"/>
      </w:r>
    </w:p>
    <w:p w14:paraId="54699057">
      <w:pPr>
        <w:pStyle w:val="11"/>
        <w:snapToGrid w:val="0"/>
        <w:spacing w:beforeLines="0" w:afterLines="0"/>
        <w:rPr>
          <w:rFonts w:ascii="等线" w:hAnsi="等线"/>
          <w:kern w:val="2"/>
          <w:szCs w:val="24"/>
        </w:rPr>
      </w:pPr>
      <w:r>
        <w:fldChar w:fldCharType="begin"/>
      </w:r>
      <w:r>
        <w:instrText xml:space="preserve"> HYPERLINK \l "_Toc98746526" </w:instrText>
      </w:r>
      <w:r>
        <w:fldChar w:fldCharType="separate"/>
      </w:r>
      <w:r>
        <w:rPr>
          <w:rStyle w:val="16"/>
          <w:szCs w:val="24"/>
        </w:rPr>
        <w:t>IV.</w:t>
      </w:r>
      <w:r>
        <w:rPr>
          <w:rFonts w:ascii="等线" w:hAnsi="等线"/>
          <w:kern w:val="2"/>
          <w:szCs w:val="24"/>
        </w:rPr>
        <w:tab/>
      </w:r>
      <w:r>
        <w:rPr>
          <w:rStyle w:val="16"/>
          <w:rFonts w:hint="eastAsia"/>
          <w:szCs w:val="24"/>
        </w:rPr>
        <w:t>上市前申请建议</w:t>
      </w:r>
      <w:r>
        <w:rPr>
          <w:szCs w:val="24"/>
        </w:rPr>
        <w:tab/>
      </w:r>
      <w:r>
        <w:rPr>
          <w:szCs w:val="24"/>
        </w:rPr>
        <w:fldChar w:fldCharType="begin"/>
      </w:r>
      <w:r>
        <w:rPr>
          <w:szCs w:val="24"/>
        </w:rPr>
        <w:instrText xml:space="preserve"> PAGEREF _Toc98746526 \h </w:instrText>
      </w:r>
      <w:r>
        <w:rPr>
          <w:szCs w:val="24"/>
        </w:rPr>
        <w:fldChar w:fldCharType="separate"/>
      </w:r>
      <w:r>
        <w:rPr>
          <w:szCs w:val="24"/>
        </w:rPr>
        <w:t>2</w:t>
      </w:r>
      <w:r>
        <w:rPr>
          <w:szCs w:val="24"/>
        </w:rPr>
        <w:fldChar w:fldCharType="end"/>
      </w:r>
      <w:r>
        <w:rPr>
          <w:szCs w:val="24"/>
        </w:rPr>
        <w:fldChar w:fldCharType="end"/>
      </w:r>
    </w:p>
    <w:p w14:paraId="14408F51">
      <w:pPr>
        <w:pStyle w:val="13"/>
        <w:snapToGrid w:val="0"/>
        <w:rPr>
          <w:rFonts w:ascii="等线" w:hAnsi="等线"/>
          <w:kern w:val="2"/>
          <w:sz w:val="24"/>
          <w:szCs w:val="24"/>
        </w:rPr>
      </w:pPr>
      <w:r>
        <w:fldChar w:fldCharType="begin"/>
      </w:r>
      <w:r>
        <w:instrText xml:space="preserve"> HYPERLINK \l "_Toc98746527" </w:instrText>
      </w:r>
      <w:r>
        <w:fldChar w:fldCharType="separate"/>
      </w:r>
      <w:r>
        <w:rPr>
          <w:rStyle w:val="16"/>
          <w:sz w:val="24"/>
          <w:szCs w:val="24"/>
        </w:rPr>
        <w:t>A.</w:t>
      </w:r>
      <w:r>
        <w:rPr>
          <w:rFonts w:ascii="等线" w:hAnsi="等线"/>
          <w:kern w:val="2"/>
          <w:sz w:val="24"/>
          <w:szCs w:val="24"/>
        </w:rPr>
        <w:tab/>
      </w:r>
      <w:r>
        <w:rPr>
          <w:rStyle w:val="16"/>
          <w:rFonts w:hint="eastAsia"/>
          <w:sz w:val="24"/>
          <w:szCs w:val="24"/>
        </w:rPr>
        <w:t>器械描述</w:t>
      </w:r>
      <w:r>
        <w:rPr>
          <w:sz w:val="24"/>
          <w:szCs w:val="24"/>
        </w:rPr>
        <w:tab/>
      </w:r>
      <w:r>
        <w:rPr>
          <w:sz w:val="24"/>
          <w:szCs w:val="24"/>
        </w:rPr>
        <w:fldChar w:fldCharType="begin"/>
      </w:r>
      <w:r>
        <w:rPr>
          <w:sz w:val="24"/>
          <w:szCs w:val="24"/>
        </w:rPr>
        <w:instrText xml:space="preserve"> PAGEREF _Toc98746527 \h </w:instrText>
      </w:r>
      <w:r>
        <w:rPr>
          <w:sz w:val="24"/>
          <w:szCs w:val="24"/>
        </w:rPr>
        <w:fldChar w:fldCharType="separate"/>
      </w:r>
      <w:r>
        <w:rPr>
          <w:sz w:val="24"/>
          <w:szCs w:val="24"/>
        </w:rPr>
        <w:t>2</w:t>
      </w:r>
      <w:r>
        <w:rPr>
          <w:sz w:val="24"/>
          <w:szCs w:val="24"/>
        </w:rPr>
        <w:fldChar w:fldCharType="end"/>
      </w:r>
      <w:r>
        <w:rPr>
          <w:sz w:val="24"/>
          <w:szCs w:val="24"/>
        </w:rPr>
        <w:fldChar w:fldCharType="end"/>
      </w:r>
    </w:p>
    <w:p w14:paraId="2A1B6497">
      <w:pPr>
        <w:pStyle w:val="13"/>
        <w:snapToGrid w:val="0"/>
        <w:rPr>
          <w:rFonts w:ascii="等线" w:hAnsi="等线"/>
          <w:kern w:val="2"/>
          <w:sz w:val="24"/>
          <w:szCs w:val="24"/>
        </w:rPr>
      </w:pPr>
      <w:r>
        <w:fldChar w:fldCharType="begin"/>
      </w:r>
      <w:r>
        <w:instrText xml:space="preserve"> HYPERLINK \l "_Toc98746528" </w:instrText>
      </w:r>
      <w:r>
        <w:fldChar w:fldCharType="separate"/>
      </w:r>
      <w:r>
        <w:rPr>
          <w:rStyle w:val="16"/>
          <w:sz w:val="24"/>
          <w:szCs w:val="24"/>
        </w:rPr>
        <w:t>B.</w:t>
      </w:r>
      <w:r>
        <w:rPr>
          <w:rFonts w:ascii="等线" w:hAnsi="等线"/>
          <w:kern w:val="2"/>
          <w:sz w:val="24"/>
          <w:szCs w:val="24"/>
        </w:rPr>
        <w:tab/>
      </w:r>
      <w:r>
        <w:rPr>
          <w:rStyle w:val="16"/>
          <w:rFonts w:hint="eastAsia"/>
          <w:sz w:val="24"/>
          <w:szCs w:val="24"/>
        </w:rPr>
        <w:t>同品种器械比较</w:t>
      </w:r>
      <w:r>
        <w:rPr>
          <w:sz w:val="24"/>
          <w:szCs w:val="24"/>
        </w:rPr>
        <w:tab/>
      </w:r>
      <w:r>
        <w:rPr>
          <w:sz w:val="24"/>
          <w:szCs w:val="24"/>
        </w:rPr>
        <w:fldChar w:fldCharType="begin"/>
      </w:r>
      <w:r>
        <w:rPr>
          <w:sz w:val="24"/>
          <w:szCs w:val="24"/>
        </w:rPr>
        <w:instrText xml:space="preserve"> PAGEREF _Toc98746528 \h </w:instrText>
      </w:r>
      <w:r>
        <w:rPr>
          <w:sz w:val="24"/>
          <w:szCs w:val="24"/>
        </w:rPr>
        <w:fldChar w:fldCharType="separate"/>
      </w:r>
      <w:r>
        <w:rPr>
          <w:sz w:val="24"/>
          <w:szCs w:val="24"/>
        </w:rPr>
        <w:t>3</w:t>
      </w:r>
      <w:r>
        <w:rPr>
          <w:sz w:val="24"/>
          <w:szCs w:val="24"/>
        </w:rPr>
        <w:fldChar w:fldCharType="end"/>
      </w:r>
      <w:r>
        <w:rPr>
          <w:sz w:val="24"/>
          <w:szCs w:val="24"/>
        </w:rPr>
        <w:fldChar w:fldCharType="end"/>
      </w:r>
    </w:p>
    <w:p w14:paraId="309EEBFA">
      <w:pPr>
        <w:pStyle w:val="13"/>
        <w:snapToGrid w:val="0"/>
        <w:rPr>
          <w:rFonts w:ascii="等线" w:hAnsi="等线"/>
          <w:kern w:val="2"/>
          <w:sz w:val="24"/>
          <w:szCs w:val="24"/>
        </w:rPr>
      </w:pPr>
      <w:r>
        <w:fldChar w:fldCharType="begin"/>
      </w:r>
      <w:r>
        <w:instrText xml:space="preserve"> HYPERLINK \l "_Toc98746529" </w:instrText>
      </w:r>
      <w:r>
        <w:fldChar w:fldCharType="separate"/>
      </w:r>
      <w:r>
        <w:rPr>
          <w:rStyle w:val="16"/>
          <w:sz w:val="24"/>
          <w:szCs w:val="24"/>
        </w:rPr>
        <w:t>C.</w:t>
      </w:r>
      <w:r>
        <w:rPr>
          <w:rFonts w:ascii="等线" w:hAnsi="等线"/>
          <w:kern w:val="2"/>
          <w:sz w:val="24"/>
          <w:szCs w:val="24"/>
        </w:rPr>
        <w:tab/>
      </w:r>
      <w:r>
        <w:rPr>
          <w:rStyle w:val="16"/>
          <w:rFonts w:hint="eastAsia"/>
          <w:sz w:val="24"/>
          <w:szCs w:val="24"/>
        </w:rPr>
        <w:t>生物相容性</w:t>
      </w:r>
      <w:r>
        <w:rPr>
          <w:sz w:val="24"/>
          <w:szCs w:val="24"/>
        </w:rPr>
        <w:tab/>
      </w:r>
      <w:r>
        <w:rPr>
          <w:sz w:val="24"/>
          <w:szCs w:val="24"/>
        </w:rPr>
        <w:fldChar w:fldCharType="begin"/>
      </w:r>
      <w:r>
        <w:rPr>
          <w:sz w:val="24"/>
          <w:szCs w:val="24"/>
        </w:rPr>
        <w:instrText xml:space="preserve"> PAGEREF _Toc98746529 \h </w:instrText>
      </w:r>
      <w:r>
        <w:rPr>
          <w:sz w:val="24"/>
          <w:szCs w:val="24"/>
        </w:rPr>
        <w:fldChar w:fldCharType="separate"/>
      </w:r>
      <w:r>
        <w:rPr>
          <w:sz w:val="24"/>
          <w:szCs w:val="24"/>
        </w:rPr>
        <w:t>4</w:t>
      </w:r>
      <w:r>
        <w:rPr>
          <w:sz w:val="24"/>
          <w:szCs w:val="24"/>
        </w:rPr>
        <w:fldChar w:fldCharType="end"/>
      </w:r>
      <w:r>
        <w:rPr>
          <w:sz w:val="24"/>
          <w:szCs w:val="24"/>
        </w:rPr>
        <w:fldChar w:fldCharType="end"/>
      </w:r>
    </w:p>
    <w:p w14:paraId="7F3C7443">
      <w:pPr>
        <w:pStyle w:val="13"/>
        <w:snapToGrid w:val="0"/>
        <w:rPr>
          <w:rFonts w:ascii="等线" w:hAnsi="等线"/>
          <w:kern w:val="2"/>
          <w:sz w:val="24"/>
          <w:szCs w:val="24"/>
        </w:rPr>
      </w:pPr>
      <w:r>
        <w:fldChar w:fldCharType="begin"/>
      </w:r>
      <w:r>
        <w:instrText xml:space="preserve"> HYPERLINK \l "_Toc98746530" </w:instrText>
      </w:r>
      <w:r>
        <w:fldChar w:fldCharType="separate"/>
      </w:r>
      <w:r>
        <w:rPr>
          <w:rStyle w:val="16"/>
          <w:sz w:val="24"/>
          <w:szCs w:val="24"/>
        </w:rPr>
        <w:t>D.</w:t>
      </w:r>
      <w:r>
        <w:rPr>
          <w:rFonts w:ascii="等线" w:hAnsi="等线"/>
          <w:kern w:val="2"/>
          <w:sz w:val="24"/>
          <w:szCs w:val="24"/>
        </w:rPr>
        <w:tab/>
      </w:r>
      <w:r>
        <w:rPr>
          <w:rStyle w:val="16"/>
          <w:rFonts w:hint="eastAsia"/>
          <w:sz w:val="24"/>
          <w:szCs w:val="24"/>
        </w:rPr>
        <w:t>无菌性</w:t>
      </w:r>
      <w:r>
        <w:rPr>
          <w:sz w:val="24"/>
          <w:szCs w:val="24"/>
        </w:rPr>
        <w:tab/>
      </w:r>
      <w:r>
        <w:rPr>
          <w:sz w:val="24"/>
          <w:szCs w:val="24"/>
        </w:rPr>
        <w:fldChar w:fldCharType="begin"/>
      </w:r>
      <w:r>
        <w:rPr>
          <w:sz w:val="24"/>
          <w:szCs w:val="24"/>
        </w:rPr>
        <w:instrText xml:space="preserve"> PAGEREF _Toc98746530 \h </w:instrText>
      </w:r>
      <w:r>
        <w:rPr>
          <w:sz w:val="24"/>
          <w:szCs w:val="24"/>
        </w:rPr>
        <w:fldChar w:fldCharType="separate"/>
      </w:r>
      <w:r>
        <w:rPr>
          <w:sz w:val="24"/>
          <w:szCs w:val="24"/>
        </w:rPr>
        <w:t>5</w:t>
      </w:r>
      <w:r>
        <w:rPr>
          <w:sz w:val="24"/>
          <w:szCs w:val="24"/>
        </w:rPr>
        <w:fldChar w:fldCharType="end"/>
      </w:r>
      <w:r>
        <w:rPr>
          <w:sz w:val="24"/>
          <w:szCs w:val="24"/>
        </w:rPr>
        <w:fldChar w:fldCharType="end"/>
      </w:r>
    </w:p>
    <w:p w14:paraId="4AC916FF">
      <w:pPr>
        <w:pStyle w:val="13"/>
        <w:snapToGrid w:val="0"/>
        <w:rPr>
          <w:rFonts w:ascii="等线" w:hAnsi="等线"/>
          <w:kern w:val="2"/>
          <w:sz w:val="24"/>
          <w:szCs w:val="24"/>
        </w:rPr>
      </w:pPr>
      <w:r>
        <w:fldChar w:fldCharType="begin"/>
      </w:r>
      <w:r>
        <w:instrText xml:space="preserve"> HYPERLINK \l "_Toc98746531" </w:instrText>
      </w:r>
      <w:r>
        <w:fldChar w:fldCharType="separate"/>
      </w:r>
      <w:r>
        <w:rPr>
          <w:rStyle w:val="16"/>
          <w:sz w:val="24"/>
          <w:szCs w:val="24"/>
        </w:rPr>
        <w:t>E.</w:t>
      </w:r>
      <w:r>
        <w:rPr>
          <w:rFonts w:ascii="等线" w:hAnsi="等线"/>
          <w:kern w:val="2"/>
          <w:sz w:val="24"/>
          <w:szCs w:val="24"/>
        </w:rPr>
        <w:tab/>
      </w:r>
      <w:r>
        <w:rPr>
          <w:rStyle w:val="16"/>
          <w:rFonts w:hint="eastAsia"/>
          <w:sz w:val="24"/>
          <w:szCs w:val="24"/>
        </w:rPr>
        <w:t>致热原性</w:t>
      </w:r>
      <w:r>
        <w:rPr>
          <w:sz w:val="24"/>
          <w:szCs w:val="24"/>
        </w:rPr>
        <w:tab/>
      </w:r>
      <w:r>
        <w:rPr>
          <w:sz w:val="24"/>
          <w:szCs w:val="24"/>
        </w:rPr>
        <w:fldChar w:fldCharType="begin"/>
      </w:r>
      <w:r>
        <w:rPr>
          <w:sz w:val="24"/>
          <w:szCs w:val="24"/>
        </w:rPr>
        <w:instrText xml:space="preserve"> PAGEREF _Toc98746531 \h </w:instrText>
      </w:r>
      <w:r>
        <w:rPr>
          <w:sz w:val="24"/>
          <w:szCs w:val="24"/>
        </w:rPr>
        <w:fldChar w:fldCharType="separate"/>
      </w:r>
      <w:r>
        <w:rPr>
          <w:sz w:val="24"/>
          <w:szCs w:val="24"/>
        </w:rPr>
        <w:t>5</w:t>
      </w:r>
      <w:r>
        <w:rPr>
          <w:sz w:val="24"/>
          <w:szCs w:val="24"/>
        </w:rPr>
        <w:fldChar w:fldCharType="end"/>
      </w:r>
      <w:r>
        <w:rPr>
          <w:sz w:val="24"/>
          <w:szCs w:val="24"/>
        </w:rPr>
        <w:fldChar w:fldCharType="end"/>
      </w:r>
    </w:p>
    <w:p w14:paraId="5B3B51F4">
      <w:pPr>
        <w:pStyle w:val="13"/>
        <w:snapToGrid w:val="0"/>
        <w:rPr>
          <w:rFonts w:ascii="等线" w:hAnsi="等线"/>
          <w:kern w:val="2"/>
          <w:sz w:val="24"/>
          <w:szCs w:val="24"/>
        </w:rPr>
      </w:pPr>
      <w:r>
        <w:fldChar w:fldCharType="begin"/>
      </w:r>
      <w:r>
        <w:instrText xml:space="preserve"> HYPERLINK \l "_Toc98746532" </w:instrText>
      </w:r>
      <w:r>
        <w:fldChar w:fldCharType="separate"/>
      </w:r>
      <w:r>
        <w:rPr>
          <w:rStyle w:val="16"/>
          <w:sz w:val="24"/>
          <w:szCs w:val="24"/>
        </w:rPr>
        <w:t>F.</w:t>
      </w:r>
      <w:r>
        <w:rPr>
          <w:rFonts w:ascii="等线" w:hAnsi="等线"/>
          <w:kern w:val="2"/>
          <w:sz w:val="24"/>
          <w:szCs w:val="24"/>
        </w:rPr>
        <w:tab/>
      </w:r>
      <w:r>
        <w:rPr>
          <w:rStyle w:val="16"/>
          <w:rFonts w:hint="eastAsia"/>
          <w:sz w:val="24"/>
          <w:szCs w:val="24"/>
        </w:rPr>
        <w:t>货架期和包装</w:t>
      </w:r>
      <w:r>
        <w:rPr>
          <w:sz w:val="24"/>
          <w:szCs w:val="24"/>
        </w:rPr>
        <w:tab/>
      </w:r>
      <w:r>
        <w:rPr>
          <w:sz w:val="24"/>
          <w:szCs w:val="24"/>
        </w:rPr>
        <w:fldChar w:fldCharType="begin"/>
      </w:r>
      <w:r>
        <w:rPr>
          <w:sz w:val="24"/>
          <w:szCs w:val="24"/>
        </w:rPr>
        <w:instrText xml:space="preserve"> PAGEREF _Toc98746532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B0CF250">
      <w:pPr>
        <w:pStyle w:val="13"/>
        <w:snapToGrid w:val="0"/>
        <w:rPr>
          <w:rFonts w:ascii="等线" w:hAnsi="等线"/>
          <w:kern w:val="2"/>
          <w:sz w:val="24"/>
          <w:szCs w:val="24"/>
        </w:rPr>
      </w:pPr>
      <w:r>
        <w:fldChar w:fldCharType="begin"/>
      </w:r>
      <w:r>
        <w:instrText xml:space="preserve"> HYPERLINK \l "_Toc98746533" </w:instrText>
      </w:r>
      <w:r>
        <w:fldChar w:fldCharType="separate"/>
      </w:r>
      <w:r>
        <w:rPr>
          <w:rStyle w:val="16"/>
          <w:sz w:val="24"/>
          <w:szCs w:val="24"/>
        </w:rPr>
        <w:t>G.</w:t>
      </w:r>
      <w:r>
        <w:rPr>
          <w:rFonts w:ascii="等线" w:hAnsi="等线"/>
          <w:kern w:val="2"/>
          <w:sz w:val="24"/>
          <w:szCs w:val="24"/>
        </w:rPr>
        <w:tab/>
      </w:r>
      <w:r>
        <w:rPr>
          <w:rStyle w:val="16"/>
          <w:rFonts w:hint="eastAsia"/>
          <w:sz w:val="24"/>
          <w:szCs w:val="24"/>
        </w:rPr>
        <w:t>非临床台架测试</w:t>
      </w:r>
      <w:r>
        <w:rPr>
          <w:sz w:val="24"/>
          <w:szCs w:val="24"/>
        </w:rPr>
        <w:tab/>
      </w:r>
      <w:r>
        <w:rPr>
          <w:sz w:val="24"/>
          <w:szCs w:val="24"/>
        </w:rPr>
        <w:fldChar w:fldCharType="begin"/>
      </w:r>
      <w:r>
        <w:rPr>
          <w:sz w:val="24"/>
          <w:szCs w:val="24"/>
        </w:rPr>
        <w:instrText xml:space="preserve"> PAGEREF _Toc98746533 \h </w:instrText>
      </w:r>
      <w:r>
        <w:rPr>
          <w:sz w:val="24"/>
          <w:szCs w:val="24"/>
        </w:rPr>
        <w:fldChar w:fldCharType="separate"/>
      </w:r>
      <w:r>
        <w:rPr>
          <w:sz w:val="24"/>
          <w:szCs w:val="24"/>
        </w:rPr>
        <w:t>7</w:t>
      </w:r>
      <w:r>
        <w:rPr>
          <w:sz w:val="24"/>
          <w:szCs w:val="24"/>
        </w:rPr>
        <w:fldChar w:fldCharType="end"/>
      </w:r>
      <w:r>
        <w:rPr>
          <w:sz w:val="24"/>
          <w:szCs w:val="24"/>
        </w:rPr>
        <w:fldChar w:fldCharType="end"/>
      </w:r>
    </w:p>
    <w:p w14:paraId="14D6F8A8">
      <w:pPr>
        <w:pStyle w:val="13"/>
        <w:snapToGrid w:val="0"/>
        <w:rPr>
          <w:rFonts w:ascii="等线" w:hAnsi="等线"/>
          <w:kern w:val="2"/>
          <w:sz w:val="24"/>
          <w:szCs w:val="24"/>
        </w:rPr>
      </w:pPr>
      <w:r>
        <w:fldChar w:fldCharType="begin"/>
      </w:r>
      <w:r>
        <w:instrText xml:space="preserve"> HYPERLINK \l "_Toc98746534" </w:instrText>
      </w:r>
      <w:r>
        <w:fldChar w:fldCharType="separate"/>
      </w:r>
      <w:r>
        <w:rPr>
          <w:rStyle w:val="16"/>
          <w:sz w:val="24"/>
          <w:szCs w:val="24"/>
        </w:rPr>
        <w:t>A.</w:t>
      </w:r>
      <w:r>
        <w:rPr>
          <w:rFonts w:ascii="等线" w:hAnsi="等线"/>
          <w:kern w:val="2"/>
          <w:sz w:val="24"/>
          <w:szCs w:val="24"/>
        </w:rPr>
        <w:tab/>
      </w:r>
      <w:r>
        <w:rPr>
          <w:rStyle w:val="16"/>
          <w:rFonts w:hint="eastAsia"/>
          <w:sz w:val="24"/>
          <w:szCs w:val="24"/>
        </w:rPr>
        <w:t>临床性能测试</w:t>
      </w:r>
      <w:r>
        <w:rPr>
          <w:sz w:val="24"/>
          <w:szCs w:val="24"/>
        </w:rPr>
        <w:tab/>
      </w:r>
      <w:r>
        <w:rPr>
          <w:sz w:val="24"/>
          <w:szCs w:val="24"/>
        </w:rPr>
        <w:fldChar w:fldCharType="begin"/>
      </w:r>
      <w:r>
        <w:rPr>
          <w:sz w:val="24"/>
          <w:szCs w:val="24"/>
        </w:rPr>
        <w:instrText xml:space="preserve"> PAGEREF _Toc98746534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5DD0E148">
      <w:pPr>
        <w:pStyle w:val="13"/>
        <w:snapToGrid w:val="0"/>
        <w:rPr>
          <w:rFonts w:ascii="等线" w:hAnsi="等线"/>
          <w:kern w:val="2"/>
          <w:sz w:val="24"/>
          <w:szCs w:val="24"/>
        </w:rPr>
      </w:pPr>
      <w:r>
        <w:fldChar w:fldCharType="begin"/>
      </w:r>
      <w:r>
        <w:instrText xml:space="preserve"> HYPERLINK \l "_Toc98746535" </w:instrText>
      </w:r>
      <w:r>
        <w:fldChar w:fldCharType="separate"/>
      </w:r>
      <w:r>
        <w:rPr>
          <w:rStyle w:val="16"/>
          <w:sz w:val="24"/>
          <w:szCs w:val="24"/>
        </w:rPr>
        <w:t>B.</w:t>
      </w:r>
      <w:r>
        <w:rPr>
          <w:rFonts w:ascii="等线" w:hAnsi="等线"/>
          <w:kern w:val="2"/>
          <w:sz w:val="24"/>
          <w:szCs w:val="24"/>
        </w:rPr>
        <w:tab/>
      </w:r>
      <w:r>
        <w:rPr>
          <w:rStyle w:val="16"/>
          <w:rFonts w:hint="eastAsia"/>
          <w:sz w:val="24"/>
          <w:szCs w:val="24"/>
        </w:rPr>
        <w:t>标签</w:t>
      </w:r>
      <w:r>
        <w:rPr>
          <w:sz w:val="24"/>
          <w:szCs w:val="24"/>
        </w:rPr>
        <w:tab/>
      </w:r>
      <w:r>
        <w:rPr>
          <w:sz w:val="24"/>
          <w:szCs w:val="24"/>
        </w:rPr>
        <w:fldChar w:fldCharType="begin"/>
      </w:r>
      <w:r>
        <w:rPr>
          <w:sz w:val="24"/>
          <w:szCs w:val="24"/>
        </w:rPr>
        <w:instrText xml:space="preserve"> PAGEREF _Toc98746535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66261EF3">
      <w:pPr>
        <w:pStyle w:val="11"/>
        <w:snapToGrid w:val="0"/>
        <w:spacing w:beforeLines="0" w:afterLines="0"/>
        <w:rPr>
          <w:rFonts w:ascii="等线" w:hAnsi="等线"/>
          <w:kern w:val="2"/>
          <w:szCs w:val="24"/>
        </w:rPr>
      </w:pPr>
      <w:r>
        <w:fldChar w:fldCharType="begin"/>
      </w:r>
      <w:r>
        <w:instrText xml:space="preserve"> HYPERLINK \l "_Toc98746536" </w:instrText>
      </w:r>
      <w:r>
        <w:fldChar w:fldCharType="separate"/>
      </w:r>
      <w:r>
        <w:rPr>
          <w:rStyle w:val="16"/>
          <w:szCs w:val="24"/>
        </w:rPr>
        <w:t>V.</w:t>
      </w:r>
      <w:r>
        <w:rPr>
          <w:rFonts w:ascii="等线" w:hAnsi="等线"/>
          <w:kern w:val="2"/>
          <w:szCs w:val="24"/>
        </w:rPr>
        <w:tab/>
      </w:r>
      <w:r>
        <w:rPr>
          <w:rStyle w:val="16"/>
          <w:rFonts w:hint="eastAsia"/>
          <w:szCs w:val="24"/>
        </w:rPr>
        <w:t>修改</w:t>
      </w:r>
      <w:r>
        <w:rPr>
          <w:szCs w:val="24"/>
        </w:rPr>
        <w:tab/>
      </w:r>
      <w:r>
        <w:rPr>
          <w:szCs w:val="24"/>
        </w:rPr>
        <w:fldChar w:fldCharType="begin"/>
      </w:r>
      <w:r>
        <w:rPr>
          <w:szCs w:val="24"/>
        </w:rPr>
        <w:instrText xml:space="preserve"> PAGEREF _Toc98746536 \h </w:instrText>
      </w:r>
      <w:r>
        <w:rPr>
          <w:szCs w:val="24"/>
        </w:rPr>
        <w:fldChar w:fldCharType="separate"/>
      </w:r>
      <w:r>
        <w:rPr>
          <w:szCs w:val="24"/>
        </w:rPr>
        <w:t>16</w:t>
      </w:r>
      <w:r>
        <w:rPr>
          <w:szCs w:val="24"/>
        </w:rPr>
        <w:fldChar w:fldCharType="end"/>
      </w:r>
      <w:r>
        <w:rPr>
          <w:szCs w:val="24"/>
        </w:rPr>
        <w:fldChar w:fldCharType="end"/>
      </w:r>
    </w:p>
    <w:p w14:paraId="1DF02253">
      <w:pPr>
        <w:shd w:val="clear" w:color="auto" w:fill="FFFFFF"/>
        <w:snapToGrid w:val="0"/>
        <w:jc w:val="both"/>
        <w:rPr>
          <w:rFonts w:eastAsia="宋体"/>
          <w:sz w:val="21"/>
          <w:szCs w:val="21"/>
        </w:rPr>
      </w:pPr>
      <w:r>
        <w:rPr>
          <w:b/>
          <w:sz w:val="24"/>
        </w:rPr>
        <w:fldChar w:fldCharType="end"/>
      </w:r>
    </w:p>
    <w:p w14:paraId="5AB7229B">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6C1CD8C0">
      <w:pPr>
        <w:pStyle w:val="5"/>
        <w:pBdr>
          <w:bottom w:val="single" w:color="auto" w:sz="4" w:space="1"/>
        </w:pBdr>
        <w:snapToGrid w:val="0"/>
        <w:jc w:val="center"/>
        <w:rPr>
          <w:rFonts w:eastAsia="宋体"/>
          <w:sz w:val="56"/>
          <w:szCs w:val="56"/>
        </w:rPr>
      </w:pPr>
      <w:r>
        <w:rPr>
          <w:rFonts w:eastAsia="宋体"/>
          <w:b/>
          <w:bCs/>
          <w:sz w:val="56"/>
          <w:szCs w:val="56"/>
        </w:rPr>
        <w:t>冠状</w:t>
      </w:r>
      <w:r>
        <w:rPr>
          <w:rFonts w:hint="eastAsia" w:eastAsia="宋体"/>
          <w:b/>
          <w:bCs/>
          <w:sz w:val="56"/>
          <w:szCs w:val="56"/>
        </w:rPr>
        <w:t>血管</w:t>
      </w:r>
      <w:r>
        <w:rPr>
          <w:rFonts w:eastAsia="宋体"/>
          <w:b/>
          <w:bCs/>
          <w:sz w:val="56"/>
          <w:szCs w:val="56"/>
        </w:rPr>
        <w:t>、外周血管和神经血管导丝 - 性能测试和</w:t>
      </w:r>
      <w:r>
        <w:rPr>
          <w:rFonts w:hint="eastAsia" w:eastAsia="宋体"/>
          <w:b/>
          <w:bCs/>
          <w:sz w:val="56"/>
          <w:szCs w:val="56"/>
        </w:rPr>
        <w:t>建议</w:t>
      </w:r>
      <w:r>
        <w:rPr>
          <w:rFonts w:eastAsia="宋体"/>
          <w:b/>
          <w:bCs/>
          <w:sz w:val="56"/>
          <w:szCs w:val="56"/>
        </w:rPr>
        <w:t>标签</w:t>
      </w:r>
    </w:p>
    <w:p w14:paraId="7DEFFC03">
      <w:pPr>
        <w:shd w:val="clear" w:color="auto" w:fill="FFFFFF"/>
        <w:snapToGrid w:val="0"/>
        <w:jc w:val="center"/>
        <w:rPr>
          <w:rFonts w:eastAsia="宋体"/>
          <w:b/>
          <w:bCs/>
          <w:sz w:val="56"/>
          <w:szCs w:val="56"/>
        </w:rPr>
      </w:pPr>
      <w:r>
        <w:rPr>
          <w:rFonts w:eastAsia="宋体"/>
          <w:b/>
          <w:bCs/>
          <w:sz w:val="56"/>
          <w:szCs w:val="56"/>
        </w:rPr>
        <w:t>行业和美国食品药品监督管理局工作人员指南</w:t>
      </w:r>
    </w:p>
    <w:p w14:paraId="73AC5DCE">
      <w:pPr>
        <w:shd w:val="clear" w:color="auto" w:fill="FFFFFF"/>
        <w:snapToGrid w:val="0"/>
        <w:jc w:val="both"/>
        <w:rPr>
          <w:rFonts w:eastAsia="宋体"/>
          <w:b/>
          <w:bCs/>
          <w:i/>
          <w:iCs/>
          <w:color w:val="000000"/>
          <w:sz w:val="21"/>
          <w:szCs w:val="21"/>
        </w:rPr>
      </w:pPr>
    </w:p>
    <w:p w14:paraId="2C6D1A8E">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r>
        <w:rPr>
          <w:rFonts w:eastAsia="宋体"/>
          <w:b/>
          <w:bCs/>
          <w:i/>
          <w:iCs/>
          <w:color w:val="000000"/>
          <w:sz w:val="24"/>
          <w:szCs w:val="24"/>
        </w:rPr>
        <w:t>本指南代表美国食品药品监督管理局（FDA）</w:t>
      </w:r>
      <w:r>
        <w:rPr>
          <w:rFonts w:hint="eastAsia" w:eastAsia="宋体"/>
          <w:b/>
          <w:bCs/>
          <w:i/>
          <w:iCs/>
          <w:color w:val="000000"/>
          <w:sz w:val="24"/>
          <w:szCs w:val="24"/>
        </w:rPr>
        <w:t>对该主题的当前看法</w:t>
      </w:r>
      <w:r>
        <w:rPr>
          <w:rFonts w:eastAsia="宋体"/>
          <w:b/>
          <w:bCs/>
          <w:i/>
          <w:iCs/>
          <w:color w:val="000000"/>
          <w:sz w:val="24"/>
          <w:szCs w:val="24"/>
        </w:rPr>
        <w:t>。</w:t>
      </w:r>
      <w:r>
        <w:rPr>
          <w:rFonts w:hint="eastAsia" w:eastAsia="宋体"/>
          <w:b/>
          <w:bCs/>
          <w:i/>
          <w:iCs/>
          <w:color w:val="000000"/>
          <w:sz w:val="24"/>
          <w:szCs w:val="24"/>
        </w:rPr>
        <w:t>本文件不赋予任何人</w:t>
      </w:r>
      <w:r>
        <w:rPr>
          <w:rFonts w:eastAsia="宋体"/>
          <w:b/>
          <w:bCs/>
          <w:i/>
          <w:iCs/>
          <w:color w:val="000000"/>
          <w:sz w:val="24"/>
          <w:szCs w:val="24"/>
        </w:rPr>
        <w:t>任何权利，</w:t>
      </w:r>
      <w:r>
        <w:rPr>
          <w:rFonts w:hint="eastAsia" w:eastAsia="宋体"/>
          <w:b/>
          <w:bCs/>
          <w:i/>
          <w:iCs/>
          <w:color w:val="000000"/>
          <w:sz w:val="24"/>
          <w:szCs w:val="24"/>
        </w:rPr>
        <w:t>对FDA或公众不具有约束力</w:t>
      </w:r>
      <w:r>
        <w:rPr>
          <w:rFonts w:eastAsia="宋体"/>
          <w:b/>
          <w:bCs/>
          <w:i/>
          <w:iCs/>
          <w:color w:val="000000"/>
          <w:sz w:val="24"/>
          <w:szCs w:val="24"/>
        </w:rPr>
        <w:t>。如果替代方法满足适用</w:t>
      </w:r>
      <w:r>
        <w:rPr>
          <w:rFonts w:hint="eastAsia" w:eastAsia="宋体"/>
          <w:b/>
          <w:bCs/>
          <w:i/>
          <w:iCs/>
          <w:color w:val="000000"/>
          <w:sz w:val="24"/>
          <w:szCs w:val="24"/>
        </w:rPr>
        <w:t>的情形和</w:t>
      </w:r>
      <w:r>
        <w:rPr>
          <w:rFonts w:eastAsia="宋体"/>
          <w:b/>
          <w:bCs/>
          <w:i/>
          <w:iCs/>
          <w:color w:val="000000"/>
          <w:sz w:val="24"/>
          <w:szCs w:val="24"/>
        </w:rPr>
        <w:t>法规</w:t>
      </w:r>
      <w:r>
        <w:rPr>
          <w:rFonts w:hint="eastAsia" w:eastAsia="宋体"/>
          <w:b/>
          <w:bCs/>
          <w:i/>
          <w:iCs/>
          <w:color w:val="000000"/>
          <w:sz w:val="24"/>
          <w:szCs w:val="24"/>
        </w:rPr>
        <w:t>的</w:t>
      </w:r>
      <w:r>
        <w:rPr>
          <w:rFonts w:eastAsia="宋体"/>
          <w:b/>
          <w:bCs/>
          <w:i/>
          <w:iCs/>
          <w:color w:val="000000"/>
          <w:sz w:val="24"/>
          <w:szCs w:val="24"/>
        </w:rPr>
        <w:t>要求，</w:t>
      </w:r>
      <w:r>
        <w:rPr>
          <w:rFonts w:hint="eastAsia" w:eastAsia="宋体"/>
          <w:b/>
          <w:bCs/>
          <w:i/>
          <w:iCs/>
          <w:color w:val="000000"/>
          <w:sz w:val="24"/>
          <w:szCs w:val="24"/>
        </w:rPr>
        <w:t>则贵司可使用替代方法。</w:t>
      </w:r>
      <w:r>
        <w:rPr>
          <w:rFonts w:eastAsia="宋体"/>
          <w:b/>
          <w:bCs/>
          <w:i/>
          <w:iCs/>
          <w:color w:val="000000"/>
          <w:sz w:val="24"/>
          <w:szCs w:val="24"/>
        </w:rPr>
        <w:t>如需讨论替代方法，请联系标题页所列负责本指南的FDA工作人员或办公室。</w:t>
      </w:r>
    </w:p>
    <w:p w14:paraId="20D59946">
      <w:pPr>
        <w:shd w:val="clear" w:color="auto" w:fill="FFFFFF"/>
        <w:snapToGrid w:val="0"/>
        <w:jc w:val="both"/>
        <w:rPr>
          <w:rFonts w:eastAsia="宋体"/>
          <w:sz w:val="24"/>
          <w:szCs w:val="24"/>
        </w:rPr>
      </w:pPr>
      <w:bookmarkStart w:id="0" w:name="bookmark0"/>
      <w:bookmarkStart w:id="1" w:name="_Toc98746523"/>
    </w:p>
    <w:p w14:paraId="7711613E">
      <w:pPr>
        <w:pStyle w:val="2"/>
        <w:tabs>
          <w:tab w:val="left" w:pos="567"/>
          <w:tab w:val="clear" w:pos="630"/>
          <w:tab w:val="clear" w:pos="1274"/>
        </w:tabs>
        <w:spacing w:beforeLines="0" w:afterLines="0"/>
        <w:ind w:left="567" w:hanging="567" w:hangingChars="157"/>
        <w:rPr>
          <w:rFonts w:eastAsia="宋体"/>
        </w:rPr>
      </w:pPr>
      <w:bookmarkStart w:id="2" w:name="_Toc97483439"/>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bookmarkEnd w:id="2"/>
    </w:p>
    <w:p w14:paraId="6B64A337">
      <w:pPr>
        <w:shd w:val="clear" w:color="auto" w:fill="FFFFFF"/>
        <w:snapToGrid w:val="0"/>
        <w:jc w:val="both"/>
        <w:rPr>
          <w:rFonts w:eastAsia="宋体"/>
          <w:color w:val="000000"/>
          <w:sz w:val="24"/>
          <w:szCs w:val="24"/>
        </w:rPr>
      </w:pPr>
    </w:p>
    <w:p w14:paraId="2A033849">
      <w:pPr>
        <w:shd w:val="clear" w:color="auto" w:fill="FFFFFF"/>
        <w:snapToGrid w:val="0"/>
        <w:ind w:firstLine="480" w:firstLineChars="200"/>
        <w:jc w:val="both"/>
        <w:rPr>
          <w:rFonts w:eastAsia="宋体"/>
          <w:color w:val="000000"/>
          <w:sz w:val="24"/>
          <w:szCs w:val="24"/>
        </w:rPr>
      </w:pPr>
      <w:r>
        <w:rPr>
          <w:rFonts w:eastAsia="宋体"/>
          <w:color w:val="000000"/>
          <w:sz w:val="24"/>
          <w:szCs w:val="24"/>
        </w:rPr>
        <w:t>本</w:t>
      </w:r>
      <w:r>
        <w:rPr>
          <w:rFonts w:hint="eastAsia" w:eastAsia="宋体"/>
          <w:color w:val="000000"/>
          <w:sz w:val="24"/>
          <w:szCs w:val="24"/>
        </w:rPr>
        <w:t>指南</w:t>
      </w:r>
      <w:r>
        <w:rPr>
          <w:rFonts w:eastAsia="宋体"/>
          <w:color w:val="000000"/>
          <w:sz w:val="24"/>
          <w:szCs w:val="24"/>
        </w:rPr>
        <w:t>文件为预期用于冠状血管、外周血管和神经血管的导丝的上市前通知（510（k））申请提供建议。这些建议反映了当前的审查做法，旨在促进一致性并推动对这些</w:t>
      </w:r>
      <w:r>
        <w:rPr>
          <w:rFonts w:hint="eastAsia" w:eastAsia="宋体"/>
          <w:color w:val="000000"/>
          <w:sz w:val="24"/>
          <w:szCs w:val="24"/>
        </w:rPr>
        <w:t>申请</w:t>
      </w:r>
      <w:r>
        <w:rPr>
          <w:rFonts w:eastAsia="宋体"/>
          <w:color w:val="000000"/>
          <w:sz w:val="24"/>
          <w:szCs w:val="24"/>
        </w:rPr>
        <w:t>的有效审查。在本指南中，冠状动脉血管包括心脏内的血管，包括左冠状动脉口；神经血管包括颅内的血管，一般认为是颈内动脉颈段远端的血管；</w:t>
      </w:r>
      <w:r>
        <w:rPr>
          <w:rFonts w:hint="eastAsia" w:eastAsia="宋体"/>
          <w:color w:val="000000"/>
          <w:sz w:val="24"/>
          <w:szCs w:val="24"/>
        </w:rPr>
        <w:t>外周</w:t>
      </w:r>
      <w:r>
        <w:rPr>
          <w:rFonts w:eastAsia="宋体"/>
          <w:color w:val="000000"/>
          <w:sz w:val="24"/>
          <w:szCs w:val="24"/>
        </w:rPr>
        <w:t>血管包括所有其他心血管血管。本文件旨在帮助业界设计和执行适当的性能测试，以支持510（k）的提交，并就提交的内容和标签提供建议。</w:t>
      </w:r>
    </w:p>
    <w:p w14:paraId="3C62BBF8">
      <w:pPr>
        <w:shd w:val="clear" w:color="auto" w:fill="FFFFFF"/>
        <w:snapToGrid w:val="0"/>
        <w:ind w:firstLine="480" w:firstLineChars="200"/>
        <w:jc w:val="both"/>
        <w:rPr>
          <w:rFonts w:eastAsia="宋体"/>
          <w:sz w:val="24"/>
          <w:szCs w:val="24"/>
        </w:rPr>
      </w:pPr>
    </w:p>
    <w:p w14:paraId="5435E718">
      <w:pPr>
        <w:shd w:val="clear" w:color="auto" w:fill="FFFFFF"/>
        <w:snapToGrid w:val="0"/>
        <w:ind w:firstLine="480" w:firstLineChars="200"/>
        <w:jc w:val="both"/>
        <w:rPr>
          <w:rFonts w:eastAsia="宋体"/>
          <w:sz w:val="24"/>
          <w:szCs w:val="24"/>
        </w:rPr>
      </w:pPr>
      <w:r>
        <w:rPr>
          <w:rFonts w:eastAsia="宋体"/>
          <w:color w:val="000000"/>
          <w:sz w:val="24"/>
          <w:szCs w:val="24"/>
        </w:rPr>
        <w:t>关于本文件中引用的FDA认可的标准的最新版本，请参</w:t>
      </w:r>
      <w:r>
        <w:rPr>
          <w:rFonts w:hint="eastAsia" w:eastAsia="宋体"/>
          <w:color w:val="000000"/>
          <w:sz w:val="24"/>
          <w:szCs w:val="24"/>
        </w:rPr>
        <w:t>见</w:t>
      </w:r>
      <w:r>
        <w:rPr>
          <w:rFonts w:eastAsia="宋体"/>
          <w:color w:val="000000"/>
          <w:sz w:val="24"/>
          <w:szCs w:val="24"/>
        </w:rPr>
        <w:t>FDA认可的共识标准数据库网站</w:t>
      </w:r>
      <w:r>
        <w:rPr>
          <w:rFonts w:eastAsia="宋体"/>
          <w:color w:val="0000FF"/>
          <w:sz w:val="24"/>
          <w:szCs w:val="24"/>
          <w:u w:val="single"/>
        </w:rPr>
        <w:t>https://www.accessdata.fda.gov/ scripts/cdrh/cfdocs/cfStandards/search.cfm</w:t>
      </w:r>
      <w:r>
        <w:rPr>
          <w:rFonts w:eastAsia="宋体"/>
          <w:color w:val="000000"/>
          <w:sz w:val="24"/>
          <w:szCs w:val="24"/>
        </w:rPr>
        <w:t>。有关在监管申</w:t>
      </w:r>
      <w:r>
        <w:rPr>
          <w:rFonts w:hint="eastAsia" w:eastAsia="宋体"/>
          <w:color w:val="000000"/>
          <w:sz w:val="24"/>
          <w:szCs w:val="24"/>
        </w:rPr>
        <w:t>请</w:t>
      </w:r>
      <w:r>
        <w:rPr>
          <w:rFonts w:eastAsia="宋体"/>
          <w:color w:val="000000"/>
          <w:sz w:val="24"/>
          <w:szCs w:val="24"/>
        </w:rPr>
        <w:t>文件中使用共识标准的更多信息，请</w:t>
      </w:r>
      <w:r>
        <w:rPr>
          <w:rFonts w:hint="eastAsia" w:eastAsia="宋体"/>
          <w:color w:val="000000"/>
          <w:sz w:val="24"/>
          <w:szCs w:val="24"/>
        </w:rPr>
        <w:t>查阅</w:t>
      </w:r>
      <w:r>
        <w:rPr>
          <w:rFonts w:eastAsia="宋体"/>
          <w:color w:val="000000"/>
          <w:sz w:val="24"/>
          <w:szCs w:val="24"/>
        </w:rPr>
        <w:t>FDA指南《</w:t>
      </w:r>
      <w:r>
        <w:rPr>
          <w:rFonts w:eastAsia="宋体"/>
          <w:color w:val="0000FF"/>
          <w:sz w:val="24"/>
          <w:szCs w:val="24"/>
          <w:u w:val="single"/>
        </w:rPr>
        <w:t>在医疗器械上市前申</w:t>
      </w:r>
      <w:r>
        <w:rPr>
          <w:rFonts w:hint="eastAsia" w:eastAsia="宋体"/>
          <w:color w:val="0000FF"/>
          <w:sz w:val="24"/>
          <w:szCs w:val="24"/>
          <w:u w:val="single"/>
        </w:rPr>
        <w:t>请中</w:t>
      </w:r>
      <w:r>
        <w:rPr>
          <w:rFonts w:eastAsia="宋体"/>
          <w:color w:val="0000FF"/>
          <w:sz w:val="24"/>
          <w:szCs w:val="24"/>
          <w:u w:val="single"/>
        </w:rPr>
        <w:t>适当使用自愿共识标准</w:t>
      </w:r>
      <w:r>
        <w:rPr>
          <w:rFonts w:eastAsia="宋体"/>
          <w:color w:val="000000"/>
          <w:sz w:val="24"/>
          <w:szCs w:val="24"/>
        </w:rPr>
        <w:t>》。</w:t>
      </w:r>
      <w:r>
        <w:rPr>
          <w:rStyle w:val="18"/>
          <w:rFonts w:eastAsia="宋体"/>
          <w:color w:val="000000"/>
          <w:sz w:val="24"/>
          <w:szCs w:val="24"/>
        </w:rPr>
        <w:footnoteReference w:id="0"/>
      </w:r>
    </w:p>
    <w:p w14:paraId="16BFF076">
      <w:pPr>
        <w:shd w:val="clear" w:color="auto" w:fill="FFFFFF"/>
        <w:snapToGrid w:val="0"/>
        <w:jc w:val="both"/>
        <w:rPr>
          <w:rFonts w:eastAsia="宋体"/>
          <w:sz w:val="24"/>
          <w:szCs w:val="24"/>
        </w:rPr>
      </w:pPr>
    </w:p>
    <w:p w14:paraId="76889650">
      <w:pPr>
        <w:shd w:val="clear" w:color="auto" w:fill="FFFFFF"/>
        <w:snapToGrid w:val="0"/>
        <w:jc w:val="both"/>
        <w:rPr>
          <w:rFonts w:eastAsia="宋体"/>
          <w:sz w:val="21"/>
          <w:szCs w:val="21"/>
        </w:rPr>
        <w:sectPr>
          <w:footerReference r:id="rId5" w:type="default"/>
          <w:pgSz w:w="11906" w:h="16838"/>
          <w:pgMar w:top="1134" w:right="1134" w:bottom="1134" w:left="1418" w:header="567" w:footer="567" w:gutter="0"/>
          <w:pgNumType w:start="1"/>
          <w:cols w:space="60" w:num="1"/>
          <w:docGrid w:linePitch="272" w:charSpace="0"/>
        </w:sectPr>
      </w:pPr>
    </w:p>
    <w:p w14:paraId="687951FF">
      <w:pPr>
        <w:shd w:val="clear" w:color="auto" w:fill="FFFFFF"/>
        <w:snapToGrid w:val="0"/>
        <w:ind w:firstLine="480" w:firstLineChars="200"/>
        <w:jc w:val="both"/>
        <w:rPr>
          <w:color w:val="000000"/>
          <w:sz w:val="24"/>
        </w:rPr>
      </w:pPr>
      <w:r>
        <w:rPr>
          <w:rFonts w:ascii="Arial" w:hAnsi="Arial" w:eastAsia="宋体" w:cs="Arial"/>
          <w:sz w:val="24"/>
        </w:rPr>
        <w:t>FDA</w:t>
      </w:r>
      <w:r>
        <w:rPr>
          <w:rFonts w:hint="eastAsia" w:ascii="Arial" w:hAnsi="宋体" w:eastAsia="宋体" w:cs="Arial"/>
          <w:sz w:val="24"/>
        </w:rPr>
        <w:t>指南文件，包括本指南，并未规定具有法律强制力的责任。相反，指南描述了</w:t>
      </w:r>
      <w:r>
        <w:rPr>
          <w:rFonts w:ascii="Arial" w:hAnsi="Arial" w:eastAsia="宋体" w:cs="Arial"/>
          <w:sz w:val="24"/>
        </w:rPr>
        <w:t>FDA</w:t>
      </w:r>
      <w:r>
        <w:rPr>
          <w:rFonts w:hint="eastAsia" w:ascii="Arial" w:hAnsi="宋体" w:eastAsia="宋体" w:cs="Arial"/>
          <w:sz w:val="24"/>
        </w:rPr>
        <w:t>对该主题的当前看法，除非引用了具体监管或法定要求，否则应仅视为建议。</w:t>
      </w:r>
      <w:r>
        <w:rPr>
          <w:rFonts w:ascii="Arial" w:hAnsi="Arial" w:eastAsia="宋体" w:cs="Arial"/>
          <w:sz w:val="24"/>
        </w:rPr>
        <w:t>FDA</w:t>
      </w:r>
      <w:r>
        <w:rPr>
          <w:rFonts w:hint="eastAsia" w:ascii="Arial" w:hAnsi="宋体" w:eastAsia="宋体" w:cs="Arial"/>
          <w:sz w:val="24"/>
        </w:rPr>
        <w:t>指南中使用的</w:t>
      </w:r>
      <w:r>
        <w:rPr>
          <w:rFonts w:hint="eastAsia" w:ascii="Arial" w:hAnsi="Arial" w:eastAsia="宋体" w:cs="Arial"/>
          <w:sz w:val="24"/>
        </w:rPr>
        <w:t>“</w:t>
      </w:r>
      <w:r>
        <w:rPr>
          <w:rFonts w:hint="eastAsia" w:ascii="Arial" w:hAnsi="宋体" w:eastAsia="宋体" w:cs="Arial"/>
          <w:sz w:val="24"/>
        </w:rPr>
        <w:t>应该（</w:t>
      </w:r>
      <w:r>
        <w:rPr>
          <w:rFonts w:ascii="Arial" w:hAnsi="Arial" w:eastAsia="宋体" w:cs="Arial"/>
          <w:sz w:val="24"/>
        </w:rPr>
        <w:t>should</w:t>
      </w:r>
      <w:r>
        <w:rPr>
          <w:rFonts w:hint="eastAsia" w:ascii="Arial" w:hAnsi="宋体" w:eastAsia="宋体" w:cs="Arial"/>
          <w:sz w:val="24"/>
        </w:rPr>
        <w:t>）</w:t>
      </w:r>
      <w:r>
        <w:rPr>
          <w:rFonts w:hint="eastAsia" w:ascii="Arial" w:hAnsi="Arial" w:eastAsia="宋体" w:cs="Arial"/>
          <w:sz w:val="24"/>
        </w:rPr>
        <w:t>”</w:t>
      </w:r>
      <w:r>
        <w:rPr>
          <w:rFonts w:hint="eastAsia" w:ascii="Arial" w:hAnsi="宋体" w:eastAsia="宋体" w:cs="Arial"/>
          <w:sz w:val="24"/>
        </w:rPr>
        <w:t>一词指建议或推荐进行某一事项，并非强制要求。</w:t>
      </w:r>
    </w:p>
    <w:p w14:paraId="2B078CAC">
      <w:pPr>
        <w:shd w:val="clear" w:color="auto" w:fill="FFFFFF"/>
        <w:snapToGrid w:val="0"/>
        <w:jc w:val="both"/>
        <w:rPr>
          <w:rFonts w:eastAsia="宋体"/>
          <w:sz w:val="24"/>
          <w:szCs w:val="24"/>
        </w:rPr>
      </w:pPr>
    </w:p>
    <w:p w14:paraId="3EF37101">
      <w:pPr>
        <w:pStyle w:val="2"/>
        <w:tabs>
          <w:tab w:val="left" w:pos="567"/>
          <w:tab w:val="clear" w:pos="630"/>
          <w:tab w:val="clear" w:pos="1274"/>
        </w:tabs>
        <w:spacing w:beforeLines="0" w:afterLines="0"/>
        <w:ind w:left="567" w:hanging="567" w:hangingChars="157"/>
        <w:rPr>
          <w:rFonts w:eastAsia="宋体"/>
        </w:rPr>
      </w:pPr>
      <w:bookmarkStart w:id="3" w:name="bookmark2"/>
      <w:bookmarkStart w:id="4" w:name="_Toc97483440"/>
      <w:bookmarkStart w:id="5" w:name="_Toc98746524"/>
      <w:r>
        <w:rPr>
          <w:rFonts w:eastAsia="宋体"/>
        </w:rPr>
        <w:t>I</w:t>
      </w:r>
      <w:bookmarkEnd w:id="3"/>
      <w:r>
        <w:rPr>
          <w:rFonts w:eastAsia="宋体"/>
        </w:rPr>
        <w:t>I.</w:t>
      </w:r>
      <w:r>
        <w:rPr>
          <w:rFonts w:eastAsia="宋体"/>
        </w:rPr>
        <w:tab/>
      </w:r>
      <w:r>
        <w:rPr>
          <w:rFonts w:eastAsia="宋体"/>
        </w:rPr>
        <w:t>背景</w:t>
      </w:r>
      <w:bookmarkEnd w:id="4"/>
      <w:bookmarkEnd w:id="5"/>
    </w:p>
    <w:p w14:paraId="5EB22358">
      <w:pPr>
        <w:shd w:val="clear" w:color="auto" w:fill="FFFFFF"/>
        <w:snapToGrid w:val="0"/>
        <w:jc w:val="both"/>
        <w:rPr>
          <w:rFonts w:eastAsia="宋体"/>
          <w:color w:val="000000"/>
          <w:sz w:val="24"/>
          <w:szCs w:val="24"/>
        </w:rPr>
      </w:pPr>
    </w:p>
    <w:p w14:paraId="2F206470">
      <w:pPr>
        <w:shd w:val="clear" w:color="auto" w:fill="FFFFFF"/>
        <w:snapToGrid w:val="0"/>
        <w:ind w:firstLine="480" w:firstLineChars="200"/>
        <w:jc w:val="both"/>
        <w:rPr>
          <w:rFonts w:eastAsia="宋体"/>
          <w:color w:val="000000"/>
          <w:sz w:val="24"/>
          <w:szCs w:val="24"/>
        </w:rPr>
      </w:pPr>
      <w:r>
        <w:rPr>
          <w:rFonts w:eastAsia="宋体"/>
          <w:color w:val="000000"/>
          <w:sz w:val="24"/>
          <w:szCs w:val="24"/>
        </w:rPr>
        <w:t>在经皮介入手术中，通过</w:t>
      </w:r>
      <w:r>
        <w:rPr>
          <w:rFonts w:hint="eastAsia" w:eastAsia="宋体"/>
          <w:color w:val="000000"/>
          <w:sz w:val="24"/>
          <w:szCs w:val="24"/>
        </w:rPr>
        <w:t>使用</w:t>
      </w:r>
      <w:r>
        <w:rPr>
          <w:rFonts w:eastAsia="宋体"/>
          <w:color w:val="000000"/>
          <w:sz w:val="24"/>
          <w:szCs w:val="24"/>
        </w:rPr>
        <w:t>导丝来促进治疗器械的放置。在本指南中，所讨论的导丝是用于冠状血管、外周血管和神经血管的导丝。自开始对这些器械</w:t>
      </w:r>
      <w:r>
        <w:rPr>
          <w:rFonts w:hint="eastAsia" w:eastAsia="宋体"/>
          <w:color w:val="000000"/>
          <w:sz w:val="24"/>
          <w:szCs w:val="24"/>
        </w:rPr>
        <w:t>实施</w:t>
      </w:r>
      <w:r>
        <w:rPr>
          <w:rFonts w:eastAsia="宋体"/>
          <w:color w:val="000000"/>
          <w:sz w:val="24"/>
          <w:szCs w:val="24"/>
        </w:rPr>
        <w:t>监管以来，这些器械已经有许多技术上的进步。因此，关于FDA对新</w:t>
      </w:r>
      <w:r>
        <w:rPr>
          <w:rFonts w:hint="eastAsia" w:eastAsia="宋体"/>
          <w:color w:val="000000"/>
          <w:sz w:val="24"/>
          <w:szCs w:val="24"/>
        </w:rPr>
        <w:t>导丝</w:t>
      </w:r>
      <w:r>
        <w:rPr>
          <w:rFonts w:eastAsia="宋体"/>
          <w:color w:val="000000"/>
          <w:sz w:val="24"/>
          <w:szCs w:val="24"/>
        </w:rPr>
        <w:t>或改</w:t>
      </w:r>
      <w:r>
        <w:rPr>
          <w:rFonts w:hint="eastAsia" w:eastAsia="宋体"/>
          <w:color w:val="000000"/>
          <w:sz w:val="24"/>
          <w:szCs w:val="24"/>
        </w:rPr>
        <w:t>良</w:t>
      </w:r>
      <w:r>
        <w:rPr>
          <w:rFonts w:eastAsia="宋体"/>
          <w:color w:val="000000"/>
          <w:sz w:val="24"/>
          <w:szCs w:val="24"/>
        </w:rPr>
        <w:t>的导丝</w:t>
      </w:r>
      <w:r>
        <w:rPr>
          <w:rFonts w:hint="eastAsia" w:eastAsia="宋体"/>
          <w:color w:val="000000"/>
          <w:sz w:val="24"/>
          <w:szCs w:val="24"/>
        </w:rPr>
        <w:t>的</w:t>
      </w:r>
      <w:r>
        <w:rPr>
          <w:rFonts w:eastAsia="宋体"/>
          <w:color w:val="000000"/>
          <w:sz w:val="24"/>
          <w:szCs w:val="24"/>
        </w:rPr>
        <w:t>510（k）申请所需的性能测试和标签的建议，需要更新的信息和进一步的澄清。</w:t>
      </w:r>
    </w:p>
    <w:p w14:paraId="3AEB562A">
      <w:pPr>
        <w:shd w:val="clear" w:color="auto" w:fill="FFFFFF"/>
        <w:snapToGrid w:val="0"/>
        <w:ind w:firstLine="480" w:firstLineChars="200"/>
        <w:jc w:val="both"/>
        <w:rPr>
          <w:rFonts w:eastAsia="宋体"/>
          <w:sz w:val="24"/>
          <w:szCs w:val="24"/>
        </w:rPr>
      </w:pPr>
    </w:p>
    <w:p w14:paraId="05BD7C15">
      <w:pPr>
        <w:shd w:val="clear" w:color="auto" w:fill="FFFFFF"/>
        <w:snapToGrid w:val="0"/>
        <w:ind w:firstLine="480" w:firstLineChars="200"/>
        <w:jc w:val="both"/>
        <w:rPr>
          <w:color w:val="000000"/>
          <w:sz w:val="24"/>
        </w:rPr>
      </w:pPr>
      <w:r>
        <w:rPr>
          <w:rFonts w:eastAsia="宋体"/>
          <w:color w:val="000000"/>
          <w:sz w:val="24"/>
          <w:szCs w:val="24"/>
        </w:rPr>
        <w:t>本</w:t>
      </w:r>
      <w:r>
        <w:rPr>
          <w:rFonts w:hint="eastAsia" w:eastAsia="宋体"/>
          <w:color w:val="000000"/>
          <w:sz w:val="24"/>
          <w:szCs w:val="24"/>
        </w:rPr>
        <w:t>指南</w:t>
      </w:r>
      <w:r>
        <w:rPr>
          <w:rFonts w:eastAsia="宋体"/>
          <w:color w:val="000000"/>
          <w:sz w:val="24"/>
          <w:szCs w:val="24"/>
        </w:rPr>
        <w:t>文件是对FDA其他文件的补充</w:t>
      </w:r>
      <w:r>
        <w:rPr>
          <w:rFonts w:hint="eastAsia" w:eastAsia="宋体"/>
          <w:color w:val="000000"/>
          <w:sz w:val="24"/>
          <w:szCs w:val="24"/>
        </w:rPr>
        <w:t>，这些文件主要</w:t>
      </w:r>
      <w:r>
        <w:rPr>
          <w:rFonts w:eastAsia="宋体"/>
          <w:color w:val="000000"/>
          <w:sz w:val="24"/>
          <w:szCs w:val="24"/>
        </w:rPr>
        <w:t>关于510（k）</w:t>
      </w:r>
      <w:r>
        <w:rPr>
          <w:rFonts w:hint="eastAsia" w:eastAsia="宋体"/>
          <w:color w:val="000000"/>
          <w:sz w:val="24"/>
          <w:szCs w:val="24"/>
        </w:rPr>
        <w:t>申请</w:t>
      </w:r>
      <w:r>
        <w:rPr>
          <w:rFonts w:eastAsia="宋体"/>
          <w:color w:val="000000"/>
          <w:sz w:val="24"/>
          <w:szCs w:val="24"/>
        </w:rPr>
        <w:t>的具体内容要求和建议。您还</w:t>
      </w:r>
      <w:r>
        <w:rPr>
          <w:rFonts w:hint="eastAsia" w:eastAsia="宋体"/>
          <w:color w:val="000000"/>
          <w:sz w:val="24"/>
          <w:szCs w:val="24"/>
        </w:rPr>
        <w:t>可以</w:t>
      </w:r>
      <w:r>
        <w:rPr>
          <w:rFonts w:eastAsia="宋体"/>
          <w:color w:val="000000"/>
          <w:sz w:val="24"/>
          <w:szCs w:val="24"/>
        </w:rPr>
        <w:t>参考21 CFR 807.87和FDA的指南，</w:t>
      </w:r>
      <w:r>
        <w:rPr>
          <w:rFonts w:hint="eastAsia" w:eastAsia="宋体"/>
          <w:color w:val="000000"/>
          <w:sz w:val="24"/>
          <w:szCs w:val="24"/>
        </w:rPr>
        <w:t>《</w:t>
      </w:r>
      <w:r>
        <w:rPr>
          <w:rFonts w:eastAsia="宋体"/>
          <w:color w:val="0000FF"/>
          <w:sz w:val="24"/>
          <w:szCs w:val="24"/>
          <w:u w:val="single"/>
        </w:rPr>
        <w:t>传统和</w:t>
      </w:r>
      <w:r>
        <w:rPr>
          <w:rFonts w:hint="eastAsia" w:eastAsia="宋体"/>
          <w:color w:val="0000FF"/>
          <w:sz w:val="24"/>
          <w:szCs w:val="24"/>
          <w:u w:val="single"/>
        </w:rPr>
        <w:t>缩略</w:t>
      </w:r>
      <w:r>
        <w:rPr>
          <w:rFonts w:eastAsia="宋体"/>
          <w:color w:val="0000FF"/>
          <w:sz w:val="24"/>
          <w:szCs w:val="24"/>
          <w:u w:val="single"/>
        </w:rPr>
        <w:t>的510（k）的格式</w:t>
      </w:r>
      <w:r>
        <w:rPr>
          <w:rFonts w:hint="eastAsia" w:eastAsia="宋体"/>
          <w:color w:val="000000"/>
          <w:sz w:val="24"/>
          <w:szCs w:val="24"/>
        </w:rPr>
        <w:t>》</w:t>
      </w:r>
      <w:r>
        <w:rPr>
          <w:rStyle w:val="18"/>
          <w:rFonts w:eastAsia="宋体"/>
          <w:color w:val="000000"/>
          <w:sz w:val="24"/>
          <w:szCs w:val="24"/>
        </w:rPr>
        <w:footnoteReference w:id="1"/>
      </w:r>
    </w:p>
    <w:p w14:paraId="2241F966">
      <w:pPr>
        <w:shd w:val="clear" w:color="auto" w:fill="FFFFFF"/>
        <w:snapToGrid w:val="0"/>
        <w:jc w:val="both"/>
        <w:rPr>
          <w:rFonts w:eastAsia="宋体"/>
          <w:sz w:val="24"/>
          <w:szCs w:val="24"/>
        </w:rPr>
      </w:pPr>
    </w:p>
    <w:p w14:paraId="0567DA6D">
      <w:pPr>
        <w:pStyle w:val="2"/>
        <w:tabs>
          <w:tab w:val="left" w:pos="567"/>
          <w:tab w:val="clear" w:pos="630"/>
          <w:tab w:val="clear" w:pos="1274"/>
        </w:tabs>
        <w:spacing w:beforeLines="0" w:afterLines="0"/>
        <w:ind w:left="567" w:hanging="567" w:hangingChars="157"/>
        <w:rPr>
          <w:rFonts w:eastAsia="宋体"/>
        </w:rPr>
      </w:pPr>
      <w:bookmarkStart w:id="6" w:name="bookmark3"/>
      <w:bookmarkStart w:id="7" w:name="_Toc98746525"/>
      <w:bookmarkStart w:id="8" w:name="_Toc97483441"/>
      <w:r>
        <w:rPr>
          <w:rFonts w:eastAsia="宋体"/>
        </w:rPr>
        <w:t>I</w:t>
      </w:r>
      <w:bookmarkEnd w:id="6"/>
      <w:r>
        <w:rPr>
          <w:rFonts w:eastAsia="宋体"/>
        </w:rPr>
        <w:t>II.</w:t>
      </w:r>
      <w:r>
        <w:rPr>
          <w:rFonts w:eastAsia="宋体"/>
        </w:rPr>
        <w:tab/>
      </w:r>
      <w:r>
        <w:rPr>
          <w:rFonts w:eastAsia="宋体"/>
        </w:rPr>
        <w:t>范围</w:t>
      </w:r>
      <w:bookmarkEnd w:id="7"/>
      <w:bookmarkEnd w:id="8"/>
    </w:p>
    <w:p w14:paraId="211C739A">
      <w:pPr>
        <w:shd w:val="clear" w:color="auto" w:fill="FFFFFF"/>
        <w:snapToGrid w:val="0"/>
        <w:jc w:val="both"/>
        <w:rPr>
          <w:rFonts w:eastAsia="宋体"/>
          <w:color w:val="000000"/>
          <w:sz w:val="24"/>
          <w:szCs w:val="24"/>
        </w:rPr>
      </w:pPr>
    </w:p>
    <w:p w14:paraId="272AF519">
      <w:pPr>
        <w:shd w:val="clear" w:color="auto" w:fill="FFFFFF"/>
        <w:snapToGrid w:val="0"/>
        <w:ind w:firstLine="480" w:firstLineChars="200"/>
        <w:jc w:val="both"/>
        <w:rPr>
          <w:rFonts w:eastAsia="宋体"/>
          <w:sz w:val="24"/>
          <w:szCs w:val="24"/>
        </w:rPr>
      </w:pPr>
      <w:r>
        <w:rPr>
          <w:rFonts w:eastAsia="宋体"/>
          <w:color w:val="000000"/>
          <w:sz w:val="24"/>
          <w:szCs w:val="24"/>
        </w:rPr>
        <w:t>本文件的范围仅限于适用于冠状血管、外周血管和神经血管的导丝，</w:t>
      </w:r>
      <w:r>
        <w:rPr>
          <w:rFonts w:hint="eastAsia" w:eastAsia="宋体"/>
          <w:color w:val="000000"/>
          <w:sz w:val="24"/>
          <w:szCs w:val="24"/>
        </w:rPr>
        <w:t>根据</w:t>
      </w:r>
      <w:r>
        <w:rPr>
          <w:rFonts w:eastAsia="宋体"/>
          <w:color w:val="000000"/>
          <w:sz w:val="24"/>
          <w:szCs w:val="24"/>
        </w:rPr>
        <w:t>21 CFR 870.1330规范，产品代码列于下表。</w:t>
      </w:r>
    </w:p>
    <w:p w14:paraId="10B15AEB">
      <w:pPr>
        <w:snapToGrid w:val="0"/>
        <w:jc w:val="both"/>
        <w:rPr>
          <w:rFonts w:eastAsia="宋体"/>
          <w:sz w:val="21"/>
          <w:szCs w:val="21"/>
        </w:rPr>
      </w:pPr>
    </w:p>
    <w:tbl>
      <w:tblPr>
        <w:tblStyle w:val="14"/>
        <w:tblW w:w="0" w:type="auto"/>
        <w:jc w:val="center"/>
        <w:tblLayout w:type="fixed"/>
        <w:tblCellMar>
          <w:top w:w="0" w:type="dxa"/>
          <w:left w:w="57" w:type="dxa"/>
          <w:bottom w:w="0" w:type="dxa"/>
          <w:right w:w="57" w:type="dxa"/>
        </w:tblCellMar>
      </w:tblPr>
      <w:tblGrid>
        <w:gridCol w:w="1795"/>
        <w:gridCol w:w="2453"/>
        <w:gridCol w:w="4027"/>
      </w:tblGrid>
      <w:tr w14:paraId="5EA66E39">
        <w:tblPrEx>
          <w:tblCellMar>
            <w:top w:w="0" w:type="dxa"/>
            <w:left w:w="57" w:type="dxa"/>
            <w:bottom w:w="0" w:type="dxa"/>
            <w:right w:w="57" w:type="dxa"/>
          </w:tblCellMar>
        </w:tblPrEx>
        <w:trPr>
          <w:trHeight w:val="340" w:hRule="atLeast"/>
          <w:jc w:val="center"/>
        </w:trPr>
        <w:tc>
          <w:tcPr>
            <w:tcW w:w="17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E83B387">
            <w:pPr>
              <w:shd w:val="clear" w:color="auto" w:fill="FFFFFF"/>
              <w:snapToGrid w:val="0"/>
              <w:jc w:val="both"/>
              <w:rPr>
                <w:rFonts w:eastAsia="宋体"/>
                <w:sz w:val="21"/>
                <w:szCs w:val="21"/>
              </w:rPr>
            </w:pPr>
            <w:r>
              <w:rPr>
                <w:rFonts w:eastAsia="宋体"/>
                <w:b/>
                <w:bCs/>
                <w:color w:val="000000"/>
                <w:sz w:val="21"/>
                <w:szCs w:val="21"/>
              </w:rPr>
              <w:t>产品代码</w:t>
            </w:r>
          </w:p>
        </w:tc>
        <w:tc>
          <w:tcPr>
            <w:tcW w:w="245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D10956B">
            <w:pPr>
              <w:shd w:val="clear" w:color="auto" w:fill="FFFFFF"/>
              <w:snapToGrid w:val="0"/>
              <w:jc w:val="both"/>
              <w:rPr>
                <w:rFonts w:eastAsia="宋体"/>
                <w:sz w:val="21"/>
                <w:szCs w:val="21"/>
              </w:rPr>
            </w:pPr>
            <w:r>
              <w:rPr>
                <w:rFonts w:eastAsia="宋体"/>
                <w:b/>
                <w:bCs/>
                <w:color w:val="000000"/>
                <w:sz w:val="21"/>
                <w:szCs w:val="21"/>
              </w:rPr>
              <w:t>法规编号</w:t>
            </w:r>
          </w:p>
        </w:tc>
        <w:tc>
          <w:tcPr>
            <w:tcW w:w="4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590FA10">
            <w:pPr>
              <w:shd w:val="clear" w:color="auto" w:fill="FFFFFF"/>
              <w:snapToGrid w:val="0"/>
              <w:jc w:val="both"/>
              <w:rPr>
                <w:rFonts w:eastAsia="宋体"/>
                <w:sz w:val="21"/>
                <w:szCs w:val="21"/>
              </w:rPr>
            </w:pPr>
            <w:r>
              <w:rPr>
                <w:rFonts w:eastAsia="宋体"/>
                <w:b/>
                <w:bCs/>
                <w:color w:val="000000"/>
                <w:sz w:val="21"/>
                <w:szCs w:val="21"/>
              </w:rPr>
              <w:t>名称</w:t>
            </w:r>
          </w:p>
        </w:tc>
      </w:tr>
      <w:tr w14:paraId="437D6BB1">
        <w:tblPrEx>
          <w:tblCellMar>
            <w:top w:w="0" w:type="dxa"/>
            <w:left w:w="57" w:type="dxa"/>
            <w:bottom w:w="0" w:type="dxa"/>
            <w:right w:w="57" w:type="dxa"/>
          </w:tblCellMar>
        </w:tblPrEx>
        <w:trPr>
          <w:trHeight w:val="340" w:hRule="atLeast"/>
          <w:jc w:val="center"/>
        </w:trPr>
        <w:tc>
          <w:tcPr>
            <w:tcW w:w="17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9796E06">
            <w:pPr>
              <w:shd w:val="clear" w:color="auto" w:fill="FFFFFF"/>
              <w:snapToGrid w:val="0"/>
              <w:jc w:val="both"/>
              <w:rPr>
                <w:rFonts w:eastAsia="宋体"/>
                <w:sz w:val="21"/>
                <w:szCs w:val="21"/>
              </w:rPr>
            </w:pPr>
            <w:r>
              <w:rPr>
                <w:rFonts w:eastAsia="宋体"/>
                <w:color w:val="000000"/>
                <w:sz w:val="21"/>
                <w:szCs w:val="21"/>
              </w:rPr>
              <w:t>DQX</w:t>
            </w:r>
          </w:p>
        </w:tc>
        <w:tc>
          <w:tcPr>
            <w:tcW w:w="245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00B9D3E">
            <w:pPr>
              <w:shd w:val="clear" w:color="auto" w:fill="FFFFFF"/>
              <w:snapToGrid w:val="0"/>
              <w:jc w:val="both"/>
              <w:rPr>
                <w:rFonts w:eastAsia="宋体"/>
                <w:sz w:val="21"/>
                <w:szCs w:val="21"/>
              </w:rPr>
            </w:pPr>
            <w:r>
              <w:rPr>
                <w:rFonts w:eastAsia="宋体"/>
                <w:color w:val="000000"/>
                <w:sz w:val="21"/>
                <w:szCs w:val="21"/>
              </w:rPr>
              <w:t>21 CFR 870.1330</w:t>
            </w:r>
          </w:p>
        </w:tc>
        <w:tc>
          <w:tcPr>
            <w:tcW w:w="4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D187658">
            <w:pPr>
              <w:shd w:val="clear" w:color="auto" w:fill="FFFFFF"/>
              <w:snapToGrid w:val="0"/>
              <w:jc w:val="both"/>
              <w:rPr>
                <w:rFonts w:eastAsia="宋体"/>
                <w:sz w:val="21"/>
                <w:szCs w:val="21"/>
              </w:rPr>
            </w:pPr>
            <w:r>
              <w:rPr>
                <w:rFonts w:eastAsia="宋体"/>
                <w:color w:val="000000"/>
                <w:sz w:val="21"/>
                <w:szCs w:val="21"/>
              </w:rPr>
              <w:t>心血管（冠状和外周）导丝、</w:t>
            </w:r>
            <w:r>
              <w:rPr>
                <w:rFonts w:hint="eastAsia" w:eastAsia="宋体"/>
                <w:color w:val="000000"/>
                <w:sz w:val="21"/>
                <w:szCs w:val="21"/>
              </w:rPr>
              <w:t>丝</w:t>
            </w:r>
            <w:r>
              <w:rPr>
                <w:rFonts w:eastAsia="宋体"/>
                <w:color w:val="000000"/>
                <w:sz w:val="21"/>
                <w:szCs w:val="21"/>
              </w:rPr>
              <w:t>、导管</w:t>
            </w:r>
          </w:p>
        </w:tc>
      </w:tr>
      <w:tr w14:paraId="7EE6F8B6">
        <w:tblPrEx>
          <w:tblCellMar>
            <w:top w:w="0" w:type="dxa"/>
            <w:left w:w="57" w:type="dxa"/>
            <w:bottom w:w="0" w:type="dxa"/>
            <w:right w:w="57" w:type="dxa"/>
          </w:tblCellMar>
        </w:tblPrEx>
        <w:trPr>
          <w:trHeight w:val="340" w:hRule="atLeast"/>
          <w:jc w:val="center"/>
        </w:trPr>
        <w:tc>
          <w:tcPr>
            <w:tcW w:w="179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D1BA449">
            <w:pPr>
              <w:shd w:val="clear" w:color="auto" w:fill="FFFFFF"/>
              <w:snapToGrid w:val="0"/>
              <w:jc w:val="both"/>
              <w:rPr>
                <w:rFonts w:eastAsia="宋体"/>
                <w:sz w:val="21"/>
                <w:szCs w:val="21"/>
              </w:rPr>
            </w:pPr>
            <w:r>
              <w:rPr>
                <w:rFonts w:eastAsia="宋体"/>
                <w:color w:val="000000"/>
                <w:sz w:val="21"/>
                <w:szCs w:val="21"/>
              </w:rPr>
              <w:t>MOF</w:t>
            </w:r>
          </w:p>
        </w:tc>
        <w:tc>
          <w:tcPr>
            <w:tcW w:w="245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3898AF7">
            <w:pPr>
              <w:shd w:val="clear" w:color="auto" w:fill="FFFFFF"/>
              <w:snapToGrid w:val="0"/>
              <w:jc w:val="both"/>
              <w:rPr>
                <w:rFonts w:eastAsia="宋体"/>
                <w:sz w:val="21"/>
                <w:szCs w:val="21"/>
              </w:rPr>
            </w:pPr>
            <w:r>
              <w:rPr>
                <w:rFonts w:eastAsia="宋体"/>
                <w:color w:val="000000"/>
                <w:sz w:val="21"/>
                <w:szCs w:val="21"/>
              </w:rPr>
              <w:t>21 CFR 870.1330</w:t>
            </w:r>
          </w:p>
        </w:tc>
        <w:tc>
          <w:tcPr>
            <w:tcW w:w="4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8D2D581">
            <w:pPr>
              <w:shd w:val="clear" w:color="auto" w:fill="FFFFFF"/>
              <w:snapToGrid w:val="0"/>
              <w:jc w:val="both"/>
              <w:rPr>
                <w:rFonts w:eastAsia="宋体"/>
                <w:sz w:val="21"/>
                <w:szCs w:val="21"/>
              </w:rPr>
            </w:pPr>
            <w:r>
              <w:rPr>
                <w:rFonts w:eastAsia="宋体"/>
                <w:color w:val="000000"/>
                <w:sz w:val="21"/>
                <w:szCs w:val="21"/>
              </w:rPr>
              <w:t>神经血管导</w:t>
            </w:r>
            <w:r>
              <w:rPr>
                <w:rFonts w:hint="eastAsia" w:eastAsia="宋体"/>
                <w:color w:val="000000"/>
                <w:sz w:val="21"/>
                <w:szCs w:val="21"/>
              </w:rPr>
              <w:t>丝</w:t>
            </w:r>
            <w:r>
              <w:rPr>
                <w:rFonts w:eastAsia="宋体"/>
                <w:color w:val="000000"/>
                <w:sz w:val="21"/>
                <w:szCs w:val="21"/>
              </w:rPr>
              <w:t>、</w:t>
            </w:r>
            <w:r>
              <w:rPr>
                <w:rFonts w:hint="eastAsia" w:eastAsia="宋体"/>
                <w:color w:val="000000"/>
                <w:sz w:val="21"/>
                <w:szCs w:val="21"/>
              </w:rPr>
              <w:t>丝</w:t>
            </w:r>
            <w:r>
              <w:rPr>
                <w:rFonts w:eastAsia="宋体"/>
                <w:color w:val="000000"/>
                <w:sz w:val="21"/>
                <w:szCs w:val="21"/>
              </w:rPr>
              <w:t>、导管</w:t>
            </w:r>
          </w:p>
        </w:tc>
      </w:tr>
    </w:tbl>
    <w:p w14:paraId="79360768">
      <w:pPr>
        <w:snapToGrid w:val="0"/>
        <w:jc w:val="both"/>
        <w:rPr>
          <w:rFonts w:eastAsia="宋体"/>
          <w:sz w:val="21"/>
          <w:szCs w:val="21"/>
        </w:rPr>
      </w:pPr>
    </w:p>
    <w:p w14:paraId="1E195622">
      <w:pPr>
        <w:pStyle w:val="2"/>
        <w:tabs>
          <w:tab w:val="left" w:pos="567"/>
          <w:tab w:val="clear" w:pos="630"/>
          <w:tab w:val="clear" w:pos="1274"/>
        </w:tabs>
        <w:spacing w:beforeLines="0" w:afterLines="0"/>
        <w:ind w:left="567" w:hanging="567" w:hangingChars="157"/>
        <w:rPr>
          <w:rFonts w:eastAsia="宋体"/>
        </w:rPr>
      </w:pPr>
      <w:bookmarkStart w:id="9" w:name="bookmark4"/>
      <w:bookmarkStart w:id="10" w:name="_Toc98746526"/>
      <w:bookmarkStart w:id="11" w:name="_Toc97483442"/>
      <w:r>
        <w:rPr>
          <w:rFonts w:eastAsia="宋体"/>
        </w:rPr>
        <w:t>I</w:t>
      </w:r>
      <w:bookmarkEnd w:id="9"/>
      <w:r>
        <w:rPr>
          <w:rFonts w:eastAsia="宋体"/>
        </w:rPr>
        <w:t>V.</w:t>
      </w:r>
      <w:r>
        <w:rPr>
          <w:rFonts w:eastAsia="宋体"/>
        </w:rPr>
        <w:tab/>
      </w:r>
      <w:r>
        <w:rPr>
          <w:rFonts w:eastAsia="宋体"/>
        </w:rPr>
        <w:t>上市前申请建议</w:t>
      </w:r>
      <w:bookmarkEnd w:id="10"/>
      <w:bookmarkEnd w:id="11"/>
    </w:p>
    <w:p w14:paraId="05AA4AF0">
      <w:pPr>
        <w:snapToGrid w:val="0"/>
        <w:jc w:val="both"/>
        <w:rPr>
          <w:rFonts w:eastAsia="宋体"/>
          <w:sz w:val="21"/>
          <w:szCs w:val="21"/>
        </w:rPr>
      </w:pPr>
      <w:bookmarkStart w:id="12" w:name="bookmark5"/>
      <w:bookmarkStart w:id="13" w:name="_Toc98746527"/>
    </w:p>
    <w:p w14:paraId="35B4393D">
      <w:pPr>
        <w:pStyle w:val="3"/>
        <w:spacing w:beforeLines="0" w:afterLines="0"/>
        <w:ind w:left="848" w:hanging="423" w:hangingChars="132"/>
      </w:pPr>
      <w:bookmarkStart w:id="14" w:name="_Toc97483443"/>
      <w:r>
        <w:t>A</w:t>
      </w:r>
      <w:bookmarkEnd w:id="12"/>
      <w:r>
        <w:t>.</w:t>
      </w:r>
      <w:r>
        <w:tab/>
      </w:r>
      <w:r>
        <w:rPr>
          <w:rFonts w:hint="eastAsia"/>
        </w:rPr>
        <w:t>器械描述</w:t>
      </w:r>
      <w:bookmarkEnd w:id="13"/>
      <w:bookmarkEnd w:id="14"/>
    </w:p>
    <w:p w14:paraId="232C76D8">
      <w:pPr>
        <w:shd w:val="clear" w:color="auto" w:fill="FFFFFF"/>
        <w:snapToGrid w:val="0"/>
        <w:ind w:firstLine="480" w:firstLineChars="200"/>
        <w:jc w:val="both"/>
        <w:rPr>
          <w:rFonts w:eastAsia="宋体"/>
          <w:sz w:val="24"/>
          <w:szCs w:val="24"/>
        </w:rPr>
      </w:pPr>
      <w:r>
        <w:rPr>
          <w:rFonts w:eastAsia="宋体"/>
          <w:color w:val="000000"/>
          <w:sz w:val="24"/>
          <w:szCs w:val="24"/>
        </w:rPr>
        <w:t>建议您用上</w:t>
      </w:r>
      <w:r>
        <w:rPr>
          <w:rFonts w:hint="eastAsia" w:eastAsia="宋体"/>
          <w:color w:val="000000"/>
          <w:sz w:val="24"/>
          <w:szCs w:val="24"/>
        </w:rPr>
        <w:t>述</w:t>
      </w:r>
      <w:r>
        <w:rPr>
          <w:rFonts w:eastAsia="宋体"/>
          <w:color w:val="000000"/>
          <w:sz w:val="24"/>
          <w:szCs w:val="24"/>
        </w:rPr>
        <w:t>第III节描述的适用法规和产品代码来标识您的器械，并包括</w:t>
      </w:r>
      <w:r>
        <w:rPr>
          <w:rFonts w:hint="eastAsia" w:eastAsia="宋体"/>
          <w:color w:val="000000"/>
          <w:sz w:val="24"/>
          <w:szCs w:val="24"/>
        </w:rPr>
        <w:t>以下</w:t>
      </w:r>
      <w:r>
        <w:rPr>
          <w:rFonts w:eastAsia="宋体"/>
          <w:color w:val="000000"/>
          <w:sz w:val="24"/>
          <w:szCs w:val="24"/>
        </w:rPr>
        <w:t>所述信息。</w:t>
      </w:r>
    </w:p>
    <w:p w14:paraId="47E19ACD">
      <w:pPr>
        <w:shd w:val="clear" w:color="auto" w:fill="FFFFFF"/>
        <w:snapToGrid w:val="0"/>
        <w:jc w:val="both"/>
        <w:rPr>
          <w:rFonts w:eastAsia="宋体"/>
          <w:sz w:val="21"/>
          <w:szCs w:val="21"/>
        </w:rPr>
      </w:pPr>
    </w:p>
    <w:p w14:paraId="7761370F">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54771BDD">
      <w:pPr>
        <w:numPr>
          <w:ilvl w:val="0"/>
          <w:numId w:val="2"/>
        </w:numPr>
        <w:shd w:val="clear" w:color="auto" w:fill="FFFFFF"/>
        <w:tabs>
          <w:tab w:val="left" w:pos="709"/>
        </w:tabs>
        <w:snapToGrid w:val="0"/>
        <w:ind w:left="710" w:leftChars="142" w:hanging="426" w:hangingChars="177"/>
        <w:jc w:val="both"/>
        <w:rPr>
          <w:color w:val="000000"/>
          <w:sz w:val="24"/>
        </w:rPr>
      </w:pPr>
      <w:r>
        <w:rPr>
          <w:rFonts w:eastAsia="宋体"/>
          <w:b/>
          <w:bCs/>
          <w:color w:val="000000"/>
          <w:sz w:val="24"/>
          <w:szCs w:val="24"/>
        </w:rPr>
        <w:t>器械组件</w:t>
      </w:r>
      <w:r>
        <w:rPr>
          <w:rFonts w:eastAsia="宋体"/>
          <w:color w:val="000000"/>
          <w:sz w:val="24"/>
          <w:szCs w:val="24"/>
        </w:rPr>
        <w:t>：FDA建议识别并解释所有部件和附件的功能，包括包装。</w:t>
      </w:r>
      <w:r>
        <w:rPr>
          <w:rFonts w:hint="eastAsia" w:eastAsia="宋体"/>
          <w:color w:val="000000"/>
          <w:sz w:val="24"/>
          <w:szCs w:val="24"/>
        </w:rPr>
        <w:t>其中</w:t>
      </w:r>
      <w:r>
        <w:rPr>
          <w:rFonts w:eastAsia="宋体"/>
          <w:color w:val="000000"/>
          <w:sz w:val="24"/>
          <w:szCs w:val="24"/>
        </w:rPr>
        <w:t>应包括对器械的基本操作的清晰描述，并适时确定独特的功能（如可转向的头端）。</w:t>
      </w:r>
      <w:r>
        <w:rPr>
          <w:rFonts w:hint="eastAsia" w:eastAsia="宋体"/>
          <w:color w:val="000000"/>
          <w:sz w:val="24"/>
          <w:szCs w:val="24"/>
        </w:rPr>
        <w:t>同时</w:t>
      </w:r>
      <w:r>
        <w:rPr>
          <w:rFonts w:eastAsia="宋体"/>
          <w:color w:val="000000"/>
          <w:sz w:val="24"/>
          <w:szCs w:val="24"/>
        </w:rPr>
        <w:t>确定提交范围内包括的所有尺寸、配置和型号。如果器械含有任何接头（即使用粘合剂、热熔或其他连接方法粘合导丝部件的位置），建议您确定接头位置和使用的粘合方法。</w:t>
      </w:r>
    </w:p>
    <w:p w14:paraId="51CA3A02">
      <w:pPr>
        <w:shd w:val="clear" w:color="auto" w:fill="FFFFFF"/>
        <w:tabs>
          <w:tab w:val="left" w:pos="709"/>
        </w:tabs>
        <w:snapToGrid w:val="0"/>
        <w:ind w:left="708" w:leftChars="142" w:hanging="424" w:hangingChars="177"/>
        <w:jc w:val="both"/>
        <w:rPr>
          <w:rFonts w:eastAsia="宋体"/>
          <w:sz w:val="24"/>
          <w:szCs w:val="24"/>
        </w:rPr>
      </w:pPr>
    </w:p>
    <w:p w14:paraId="601F1FAE">
      <w:pPr>
        <w:numPr>
          <w:ilvl w:val="0"/>
          <w:numId w:val="2"/>
        </w:numPr>
        <w:shd w:val="clear" w:color="auto" w:fill="FFFFFF"/>
        <w:tabs>
          <w:tab w:val="left" w:pos="709"/>
        </w:tabs>
        <w:snapToGrid w:val="0"/>
        <w:ind w:left="710" w:leftChars="142" w:hanging="426" w:hangingChars="177"/>
        <w:jc w:val="both"/>
        <w:rPr>
          <w:color w:val="000000"/>
          <w:sz w:val="24"/>
        </w:rPr>
      </w:pPr>
      <w:r>
        <w:rPr>
          <w:rFonts w:eastAsia="宋体"/>
          <w:b/>
          <w:bCs/>
          <w:color w:val="000000"/>
          <w:sz w:val="24"/>
          <w:szCs w:val="24"/>
        </w:rPr>
        <w:t>器械的工程图</w:t>
      </w:r>
      <w:r>
        <w:rPr>
          <w:rFonts w:eastAsia="宋体"/>
          <w:color w:val="000000"/>
          <w:sz w:val="24"/>
          <w:szCs w:val="24"/>
        </w:rPr>
        <w:t>：FDA建议提供有所有尺寸、公差和组件的工程图，并清楚地标明（例如，</w:t>
      </w:r>
      <w:r>
        <w:rPr>
          <w:rFonts w:hint="eastAsia" w:eastAsia="宋体"/>
          <w:color w:val="000000"/>
          <w:sz w:val="24"/>
          <w:szCs w:val="24"/>
        </w:rPr>
        <w:t>头端</w:t>
      </w:r>
      <w:r>
        <w:rPr>
          <w:rFonts w:eastAsia="宋体"/>
          <w:color w:val="000000"/>
          <w:sz w:val="24"/>
          <w:szCs w:val="24"/>
        </w:rPr>
        <w:t>配置、</w:t>
      </w:r>
      <w:r>
        <w:rPr>
          <w:rFonts w:hint="eastAsia" w:eastAsia="宋体"/>
          <w:color w:val="000000"/>
          <w:sz w:val="24"/>
          <w:szCs w:val="24"/>
        </w:rPr>
        <w:t>头端</w:t>
      </w:r>
      <w:r>
        <w:rPr>
          <w:rFonts w:eastAsia="宋体"/>
          <w:color w:val="000000"/>
          <w:sz w:val="24"/>
          <w:szCs w:val="24"/>
        </w:rPr>
        <w:t>性能和动态材料相互作用（例如，控制</w:t>
      </w:r>
      <w:r>
        <w:rPr>
          <w:rFonts w:hint="eastAsia" w:eastAsia="宋体"/>
          <w:color w:val="000000"/>
          <w:sz w:val="24"/>
          <w:szCs w:val="24"/>
        </w:rPr>
        <w:t>头端</w:t>
      </w:r>
      <w:r>
        <w:rPr>
          <w:rFonts w:eastAsia="宋体"/>
          <w:color w:val="000000"/>
          <w:sz w:val="24"/>
          <w:szCs w:val="24"/>
        </w:rPr>
        <w:t>偏移的机制））。除了工程图之外，还可以提供该器械的照片。</w:t>
      </w:r>
      <w:r>
        <w:rPr>
          <w:rFonts w:hint="eastAsia" w:eastAsia="宋体"/>
          <w:color w:val="000000"/>
          <w:sz w:val="24"/>
          <w:szCs w:val="24"/>
        </w:rPr>
        <w:t>以上</w:t>
      </w:r>
      <w:r>
        <w:rPr>
          <w:rFonts w:eastAsia="宋体"/>
          <w:color w:val="000000"/>
          <w:sz w:val="24"/>
          <w:szCs w:val="24"/>
        </w:rPr>
        <w:t>建议适用于提交范围内的每个器械、配件和/或组件。</w:t>
      </w:r>
    </w:p>
    <w:p w14:paraId="741C02C9">
      <w:pPr>
        <w:shd w:val="clear" w:color="auto" w:fill="FFFFFF"/>
        <w:tabs>
          <w:tab w:val="left" w:pos="709"/>
        </w:tabs>
        <w:snapToGrid w:val="0"/>
        <w:ind w:left="708" w:leftChars="142" w:hanging="424" w:hangingChars="177"/>
        <w:jc w:val="both"/>
        <w:rPr>
          <w:rFonts w:eastAsia="宋体"/>
          <w:sz w:val="24"/>
          <w:szCs w:val="24"/>
        </w:rPr>
      </w:pPr>
    </w:p>
    <w:p w14:paraId="2909E84C">
      <w:pPr>
        <w:numPr>
          <w:ilvl w:val="0"/>
          <w:numId w:val="2"/>
        </w:numPr>
        <w:shd w:val="clear" w:color="auto" w:fill="FFFFFF"/>
        <w:tabs>
          <w:tab w:val="left" w:pos="709"/>
        </w:tabs>
        <w:snapToGrid w:val="0"/>
        <w:ind w:left="710" w:leftChars="142" w:hanging="426" w:hangingChars="177"/>
        <w:jc w:val="both"/>
        <w:rPr>
          <w:color w:val="000000"/>
          <w:sz w:val="24"/>
        </w:rPr>
      </w:pPr>
      <w:r>
        <w:rPr>
          <w:rFonts w:eastAsia="宋体"/>
          <w:b/>
          <w:bCs/>
          <w:color w:val="000000"/>
          <w:sz w:val="24"/>
          <w:szCs w:val="24"/>
        </w:rPr>
        <w:t>技术特点</w:t>
      </w:r>
      <w:r>
        <w:rPr>
          <w:rFonts w:eastAsia="宋体"/>
          <w:color w:val="000000"/>
          <w:sz w:val="24"/>
          <w:szCs w:val="24"/>
        </w:rPr>
        <w:t>：FDA建议描述技术和性能规格，</w:t>
      </w:r>
      <w:r>
        <w:rPr>
          <w:rFonts w:hint="eastAsia" w:eastAsia="宋体"/>
          <w:color w:val="000000"/>
          <w:sz w:val="24"/>
          <w:szCs w:val="24"/>
        </w:rPr>
        <w:t>同时</w:t>
      </w:r>
      <w:r>
        <w:rPr>
          <w:rFonts w:eastAsia="宋体"/>
          <w:color w:val="000000"/>
          <w:sz w:val="24"/>
          <w:szCs w:val="24"/>
        </w:rPr>
        <w:t>包括提交的器械描述部分对器械设计的简要描述。规范包括性能相关产品测量公差、操作限制以及器械的所有其他功能、物理和环境规范。同时，</w:t>
      </w:r>
      <w:r>
        <w:rPr>
          <w:rFonts w:hint="eastAsia" w:eastAsia="宋体"/>
          <w:color w:val="000000"/>
          <w:sz w:val="24"/>
          <w:szCs w:val="24"/>
        </w:rPr>
        <w:t>FDA</w:t>
      </w:r>
      <w:r>
        <w:rPr>
          <w:rFonts w:eastAsia="宋体"/>
          <w:color w:val="000000"/>
          <w:sz w:val="24"/>
          <w:szCs w:val="24"/>
        </w:rPr>
        <w:t>建议</w:t>
      </w:r>
      <w:r>
        <w:rPr>
          <w:rFonts w:hint="eastAsia" w:eastAsia="宋体"/>
          <w:color w:val="000000"/>
          <w:sz w:val="24"/>
          <w:szCs w:val="24"/>
        </w:rPr>
        <w:t>申请人</w:t>
      </w:r>
      <w:r>
        <w:rPr>
          <w:rFonts w:eastAsia="宋体"/>
          <w:color w:val="000000"/>
          <w:sz w:val="24"/>
          <w:szCs w:val="24"/>
        </w:rPr>
        <w:t>描述规范</w:t>
      </w:r>
      <w:r>
        <w:rPr>
          <w:rFonts w:hint="eastAsia" w:eastAsia="宋体"/>
          <w:color w:val="000000"/>
          <w:sz w:val="24"/>
          <w:szCs w:val="24"/>
        </w:rPr>
        <w:t>的</w:t>
      </w:r>
      <w:r>
        <w:rPr>
          <w:rFonts w:eastAsia="宋体"/>
          <w:color w:val="000000"/>
          <w:sz w:val="24"/>
          <w:szCs w:val="24"/>
        </w:rPr>
        <w:t>范围和/或准确性。</w:t>
      </w:r>
    </w:p>
    <w:p w14:paraId="726DA89A">
      <w:pPr>
        <w:shd w:val="clear" w:color="auto" w:fill="FFFFFF"/>
        <w:tabs>
          <w:tab w:val="left" w:pos="709"/>
        </w:tabs>
        <w:snapToGrid w:val="0"/>
        <w:ind w:left="708" w:leftChars="142" w:hanging="424" w:hangingChars="177"/>
        <w:jc w:val="both"/>
        <w:rPr>
          <w:rFonts w:eastAsia="宋体"/>
          <w:sz w:val="24"/>
          <w:szCs w:val="24"/>
        </w:rPr>
      </w:pPr>
    </w:p>
    <w:p w14:paraId="7522E342">
      <w:pPr>
        <w:numPr>
          <w:ilvl w:val="0"/>
          <w:numId w:val="2"/>
        </w:numPr>
        <w:shd w:val="clear" w:color="auto" w:fill="FFFFFF"/>
        <w:tabs>
          <w:tab w:val="left" w:pos="709"/>
        </w:tabs>
        <w:snapToGrid w:val="0"/>
        <w:ind w:left="710" w:leftChars="142" w:hanging="426" w:hangingChars="177"/>
        <w:jc w:val="both"/>
        <w:rPr>
          <w:rFonts w:eastAsia="宋体"/>
          <w:color w:val="000000"/>
          <w:sz w:val="24"/>
          <w:szCs w:val="24"/>
        </w:rPr>
      </w:pPr>
      <w:r>
        <w:rPr>
          <w:rFonts w:eastAsia="宋体"/>
          <w:b/>
          <w:bCs/>
          <w:color w:val="000000"/>
          <w:sz w:val="24"/>
          <w:szCs w:val="24"/>
        </w:rPr>
        <w:t>材料</w:t>
      </w:r>
      <w:r>
        <w:rPr>
          <w:rFonts w:eastAsia="宋体"/>
          <w:color w:val="000000"/>
          <w:sz w:val="24"/>
          <w:szCs w:val="24"/>
        </w:rPr>
        <w:t>：FDA建议每一种材料都要清楚地标明其相应的接触时间</w:t>
      </w:r>
      <w:r>
        <w:rPr>
          <w:rFonts w:hint="eastAsia" w:eastAsia="宋体"/>
          <w:color w:val="000000"/>
          <w:sz w:val="24"/>
          <w:szCs w:val="24"/>
        </w:rPr>
        <w:t>，</w:t>
      </w:r>
      <w:r>
        <w:rPr>
          <w:rFonts w:eastAsia="宋体"/>
          <w:color w:val="000000"/>
          <w:sz w:val="24"/>
          <w:szCs w:val="24"/>
        </w:rPr>
        <w:t>同时确定通用的建筑材料和独特的材料标识符。如果器械包括涂层，建议指明涂层名称、化学配方、涂层用途</w:t>
      </w:r>
      <w:r>
        <w:rPr>
          <w:rFonts w:hint="eastAsia" w:eastAsia="宋体"/>
          <w:color w:val="000000"/>
          <w:sz w:val="24"/>
          <w:szCs w:val="24"/>
        </w:rPr>
        <w:t>以及</w:t>
      </w:r>
      <w:r>
        <w:rPr>
          <w:rFonts w:eastAsia="宋体"/>
          <w:color w:val="000000"/>
          <w:sz w:val="24"/>
          <w:szCs w:val="24"/>
        </w:rPr>
        <w:t>疏水性</w:t>
      </w:r>
      <w:r>
        <w:rPr>
          <w:rFonts w:hint="eastAsia" w:eastAsia="宋体"/>
          <w:color w:val="000000"/>
          <w:sz w:val="24"/>
          <w:szCs w:val="24"/>
        </w:rPr>
        <w:t>或</w:t>
      </w:r>
      <w:r>
        <w:rPr>
          <w:rFonts w:eastAsia="宋体"/>
          <w:color w:val="000000"/>
          <w:sz w:val="24"/>
          <w:szCs w:val="24"/>
        </w:rPr>
        <w:t>亲水性、厚度、长度、位置以及涂层如何应用到导丝基体的细节。对于一些器械材料，可适当提供一个公认的共识标准或器械主文件（MAF）的授权书（LOA）</w:t>
      </w:r>
      <w:r>
        <w:rPr>
          <w:rFonts w:hint="eastAsia" w:eastAsia="宋体"/>
          <w:color w:val="000000"/>
          <w:sz w:val="24"/>
          <w:szCs w:val="24"/>
        </w:rPr>
        <w:t>，以供参考</w:t>
      </w:r>
      <w:r>
        <w:rPr>
          <w:rFonts w:eastAsia="宋体"/>
          <w:color w:val="000000"/>
          <w:sz w:val="24"/>
          <w:szCs w:val="24"/>
        </w:rPr>
        <w:t>。</w:t>
      </w:r>
    </w:p>
    <w:p w14:paraId="7A346707">
      <w:pPr>
        <w:shd w:val="clear" w:color="auto" w:fill="FFFFFF"/>
        <w:snapToGrid w:val="0"/>
        <w:ind w:left="660" w:leftChars="150" w:hanging="360" w:hangingChars="150"/>
        <w:jc w:val="both"/>
        <w:rPr>
          <w:rFonts w:eastAsia="宋体"/>
          <w:sz w:val="24"/>
          <w:szCs w:val="24"/>
        </w:rPr>
      </w:pPr>
    </w:p>
    <w:p w14:paraId="26282140">
      <w:pPr>
        <w:pStyle w:val="3"/>
        <w:spacing w:beforeLines="0" w:afterLines="0"/>
        <w:ind w:left="850" w:hanging="424" w:hangingChars="132"/>
        <w:rPr>
          <w:rFonts w:eastAsia="宋体"/>
        </w:rPr>
      </w:pPr>
      <w:bookmarkStart w:id="15" w:name="bookmark7"/>
      <w:bookmarkStart w:id="16" w:name="_Toc97483444"/>
      <w:bookmarkStart w:id="17" w:name="_Toc98746528"/>
      <w:r>
        <w:rPr>
          <w:rFonts w:eastAsia="宋体"/>
        </w:rPr>
        <w:t>B</w:t>
      </w:r>
      <w:bookmarkEnd w:id="15"/>
      <w:r>
        <w:rPr>
          <w:rFonts w:eastAsia="宋体"/>
        </w:rPr>
        <w:t>.</w:t>
      </w:r>
      <w:r>
        <w:rPr>
          <w:rFonts w:eastAsia="宋体"/>
        </w:rPr>
        <w:tab/>
      </w:r>
      <w:r>
        <w:rPr>
          <w:rFonts w:hint="eastAsia" w:eastAsia="宋体"/>
        </w:rPr>
        <w:t>同品种</w:t>
      </w:r>
      <w:r>
        <w:rPr>
          <w:rFonts w:eastAsia="宋体"/>
        </w:rPr>
        <w:t>器械比较</w:t>
      </w:r>
      <w:bookmarkEnd w:id="16"/>
      <w:bookmarkEnd w:id="17"/>
    </w:p>
    <w:p w14:paraId="788AB5D2">
      <w:pPr>
        <w:shd w:val="clear" w:color="auto" w:fill="FFFFFF"/>
        <w:snapToGrid w:val="0"/>
        <w:ind w:firstLine="480" w:firstLineChars="200"/>
        <w:jc w:val="both"/>
        <w:rPr>
          <w:rFonts w:eastAsia="宋体"/>
          <w:sz w:val="24"/>
          <w:szCs w:val="24"/>
        </w:rPr>
      </w:pPr>
      <w:r>
        <w:rPr>
          <w:rFonts w:eastAsia="宋体"/>
          <w:color w:val="000000"/>
          <w:sz w:val="24"/>
          <w:szCs w:val="24"/>
        </w:rPr>
        <w:t>对于根据510（k）程序审查的器械，制造商必须将他们的新器械与类似合法上市的</w:t>
      </w:r>
      <w:r>
        <w:rPr>
          <w:rFonts w:hint="eastAsia" w:eastAsia="宋体"/>
          <w:color w:val="000000"/>
          <w:sz w:val="24"/>
          <w:szCs w:val="24"/>
        </w:rPr>
        <w:t>同品种</w:t>
      </w:r>
      <w:r>
        <w:rPr>
          <w:rFonts w:eastAsia="宋体"/>
          <w:color w:val="000000"/>
          <w:sz w:val="24"/>
          <w:szCs w:val="24"/>
        </w:rPr>
        <w:t>器械进行比较，以支持其实质等</w:t>
      </w:r>
      <w:r>
        <w:rPr>
          <w:rFonts w:hint="eastAsia" w:eastAsia="宋体"/>
          <w:color w:val="000000"/>
          <w:sz w:val="24"/>
          <w:szCs w:val="24"/>
        </w:rPr>
        <w:t>同</w:t>
      </w:r>
      <w:r>
        <w:rPr>
          <w:rFonts w:eastAsia="宋体"/>
          <w:color w:val="000000"/>
          <w:sz w:val="24"/>
          <w:szCs w:val="24"/>
        </w:rPr>
        <w:t>性（21 U.S.C 360c（i）；21 CFR 807.87（f））。这种比较应该说明您的器械与</w:t>
      </w:r>
      <w:r>
        <w:rPr>
          <w:rFonts w:hint="eastAsia" w:eastAsia="宋体"/>
          <w:color w:val="000000"/>
          <w:sz w:val="24"/>
          <w:szCs w:val="24"/>
        </w:rPr>
        <w:t>同品种</w:t>
      </w:r>
      <w:r>
        <w:rPr>
          <w:rFonts w:eastAsia="宋体"/>
          <w:color w:val="000000"/>
          <w:sz w:val="24"/>
          <w:szCs w:val="24"/>
        </w:rPr>
        <w:t>器械的相似性和</w:t>
      </w:r>
      <w:r>
        <w:rPr>
          <w:rFonts w:hint="eastAsia" w:eastAsia="宋体"/>
          <w:color w:val="000000"/>
          <w:sz w:val="24"/>
          <w:szCs w:val="24"/>
        </w:rPr>
        <w:t>差异</w:t>
      </w:r>
      <w:r>
        <w:rPr>
          <w:rFonts w:eastAsia="宋体"/>
          <w:color w:val="000000"/>
          <w:sz w:val="24"/>
          <w:szCs w:val="24"/>
        </w:rPr>
        <w:t>。如</w:t>
      </w:r>
      <w:r>
        <w:rPr>
          <w:rFonts w:hint="eastAsia" w:eastAsia="宋体"/>
          <w:color w:val="000000"/>
          <w:sz w:val="24"/>
          <w:szCs w:val="24"/>
        </w:rPr>
        <w:t>条件允许，建议进行并列</w:t>
      </w:r>
      <w:r>
        <w:rPr>
          <w:rFonts w:eastAsia="宋体"/>
          <w:color w:val="000000"/>
          <w:sz w:val="24"/>
          <w:szCs w:val="24"/>
        </w:rPr>
        <w:t>比较。信息组织</w:t>
      </w:r>
      <w:r>
        <w:rPr>
          <w:rFonts w:hint="eastAsia" w:eastAsia="宋体"/>
          <w:color w:val="000000"/>
          <w:sz w:val="24"/>
          <w:szCs w:val="24"/>
        </w:rPr>
        <w:t>示例</w:t>
      </w:r>
      <w:r>
        <w:rPr>
          <w:rFonts w:eastAsia="宋体"/>
          <w:color w:val="000000"/>
          <w:sz w:val="24"/>
          <w:szCs w:val="24"/>
        </w:rPr>
        <w:t>见下文。本表所列的比较参数只是示例</w:t>
      </w:r>
      <w:r>
        <w:rPr>
          <w:rFonts w:hint="eastAsia" w:eastAsia="宋体"/>
          <w:color w:val="000000"/>
          <w:sz w:val="24"/>
          <w:szCs w:val="24"/>
        </w:rPr>
        <w:t>，</w:t>
      </w:r>
      <w:r>
        <w:rPr>
          <w:rFonts w:eastAsia="宋体"/>
          <w:color w:val="000000"/>
          <w:sz w:val="24"/>
          <w:szCs w:val="24"/>
        </w:rPr>
        <w:t>并非</w:t>
      </w:r>
      <w:r>
        <w:rPr>
          <w:rFonts w:hint="eastAsia" w:eastAsia="宋体"/>
          <w:color w:val="000000"/>
          <w:sz w:val="24"/>
          <w:szCs w:val="24"/>
        </w:rPr>
        <w:t>全部</w:t>
      </w:r>
      <w:r>
        <w:rPr>
          <w:rFonts w:eastAsia="宋体"/>
          <w:color w:val="000000"/>
          <w:sz w:val="24"/>
          <w:szCs w:val="24"/>
        </w:rPr>
        <w:t>；确保所有相关的器械描述性特征</w:t>
      </w:r>
      <w:r>
        <w:rPr>
          <w:rFonts w:hint="eastAsia" w:eastAsia="宋体"/>
          <w:color w:val="000000"/>
          <w:sz w:val="24"/>
          <w:szCs w:val="24"/>
        </w:rPr>
        <w:t>按照</w:t>
      </w:r>
      <w:r>
        <w:rPr>
          <w:rFonts w:eastAsia="宋体"/>
          <w:color w:val="000000"/>
          <w:sz w:val="24"/>
          <w:szCs w:val="24"/>
        </w:rPr>
        <w:t>上文第IV.A节器械描述中所述进行提供。</w:t>
      </w:r>
    </w:p>
    <w:p w14:paraId="7F3DDD45">
      <w:pPr>
        <w:shd w:val="clear" w:color="auto" w:fill="FFFFFF"/>
        <w:snapToGrid w:val="0"/>
        <w:jc w:val="both"/>
        <w:rPr>
          <w:rFonts w:eastAsia="宋体"/>
          <w:sz w:val="24"/>
          <w:szCs w:val="24"/>
        </w:rPr>
      </w:pPr>
    </w:p>
    <w:p w14:paraId="2A21604E">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14"/>
        <w:tblW w:w="5000" w:type="pct"/>
        <w:tblInd w:w="0" w:type="dxa"/>
        <w:tblLayout w:type="fixed"/>
        <w:tblCellMar>
          <w:top w:w="0" w:type="dxa"/>
          <w:left w:w="57" w:type="dxa"/>
          <w:bottom w:w="0" w:type="dxa"/>
          <w:right w:w="57" w:type="dxa"/>
        </w:tblCellMar>
      </w:tblPr>
      <w:tblGrid>
        <w:gridCol w:w="3122"/>
        <w:gridCol w:w="3153"/>
        <w:gridCol w:w="3193"/>
      </w:tblGrid>
      <w:tr w14:paraId="021A3B07">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F4BF89">
            <w:pPr>
              <w:shd w:val="clear" w:color="auto" w:fill="FFFFFF"/>
              <w:snapToGrid w:val="0"/>
              <w:jc w:val="both"/>
              <w:rPr>
                <w:rFonts w:eastAsia="宋体"/>
                <w:sz w:val="21"/>
                <w:szCs w:val="21"/>
              </w:rPr>
            </w:pPr>
            <w:r>
              <w:rPr>
                <w:rFonts w:eastAsia="宋体"/>
                <w:color w:val="000000"/>
                <w:sz w:val="21"/>
                <w:szCs w:val="21"/>
              </w:rPr>
              <w:t>描述</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2CB21F7">
            <w:pPr>
              <w:shd w:val="clear" w:color="auto" w:fill="FFFFFF"/>
              <w:snapToGrid w:val="0"/>
              <w:jc w:val="both"/>
              <w:rPr>
                <w:rFonts w:eastAsia="宋体"/>
                <w:sz w:val="21"/>
                <w:szCs w:val="21"/>
              </w:rPr>
            </w:pPr>
            <w:r>
              <w:rPr>
                <w:rFonts w:eastAsia="宋体"/>
                <w:color w:val="000000"/>
                <w:sz w:val="21"/>
                <w:szCs w:val="21"/>
              </w:rPr>
              <w:t>申报器械</w:t>
            </w: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4A0AC80">
            <w:pPr>
              <w:shd w:val="clear" w:color="auto" w:fill="FFFFFF"/>
              <w:snapToGrid w:val="0"/>
              <w:jc w:val="both"/>
              <w:rPr>
                <w:rFonts w:eastAsia="宋体"/>
                <w:sz w:val="21"/>
                <w:szCs w:val="21"/>
              </w:rPr>
            </w:pPr>
            <w:r>
              <w:rPr>
                <w:rFonts w:hint="eastAsia" w:eastAsia="宋体"/>
                <w:color w:val="000000"/>
                <w:sz w:val="21"/>
                <w:szCs w:val="21"/>
              </w:rPr>
              <w:t>同品种</w:t>
            </w:r>
            <w:r>
              <w:rPr>
                <w:rFonts w:eastAsia="宋体"/>
                <w:color w:val="000000"/>
                <w:sz w:val="21"/>
                <w:szCs w:val="21"/>
              </w:rPr>
              <w:t>器械（Kxxxxxx）</w:t>
            </w:r>
          </w:p>
        </w:tc>
      </w:tr>
      <w:tr w14:paraId="3E31CF9C">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FF05D7A">
            <w:pPr>
              <w:shd w:val="clear" w:color="auto" w:fill="FFFFFF"/>
              <w:snapToGrid w:val="0"/>
              <w:jc w:val="both"/>
              <w:rPr>
                <w:rFonts w:eastAsia="宋体"/>
                <w:sz w:val="21"/>
                <w:szCs w:val="21"/>
              </w:rPr>
            </w:pPr>
            <w:r>
              <w:rPr>
                <w:rFonts w:eastAsia="宋体"/>
                <w:color w:val="000000"/>
                <w:sz w:val="21"/>
                <w:szCs w:val="21"/>
              </w:rPr>
              <w:t>适用范围</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B181B1">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BFC49CB">
            <w:pPr>
              <w:shd w:val="clear" w:color="auto" w:fill="FFFFFF"/>
              <w:snapToGrid w:val="0"/>
              <w:jc w:val="both"/>
              <w:rPr>
                <w:rFonts w:eastAsia="宋体"/>
                <w:sz w:val="21"/>
                <w:szCs w:val="21"/>
              </w:rPr>
            </w:pPr>
          </w:p>
        </w:tc>
      </w:tr>
      <w:tr w14:paraId="7B123AA1">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BB54736">
            <w:pPr>
              <w:shd w:val="clear" w:color="auto" w:fill="FFFFFF"/>
              <w:snapToGrid w:val="0"/>
              <w:jc w:val="both"/>
              <w:rPr>
                <w:rFonts w:eastAsia="宋体"/>
                <w:sz w:val="21"/>
                <w:szCs w:val="21"/>
              </w:rPr>
            </w:pPr>
            <w:r>
              <w:rPr>
                <w:rFonts w:eastAsia="宋体"/>
                <w:color w:val="000000"/>
                <w:sz w:val="21"/>
                <w:szCs w:val="21"/>
              </w:rPr>
              <w:t>预期用途</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FC5E861">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BECA862">
            <w:pPr>
              <w:shd w:val="clear" w:color="auto" w:fill="FFFFFF"/>
              <w:snapToGrid w:val="0"/>
              <w:jc w:val="both"/>
              <w:rPr>
                <w:rFonts w:eastAsia="宋体"/>
                <w:sz w:val="21"/>
                <w:szCs w:val="21"/>
              </w:rPr>
            </w:pPr>
          </w:p>
        </w:tc>
      </w:tr>
      <w:tr w14:paraId="1D4F1992">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5A09A75">
            <w:pPr>
              <w:shd w:val="clear" w:color="auto" w:fill="FFFFFF"/>
              <w:snapToGrid w:val="0"/>
              <w:jc w:val="both"/>
              <w:rPr>
                <w:rFonts w:eastAsia="宋体"/>
                <w:sz w:val="21"/>
                <w:szCs w:val="21"/>
              </w:rPr>
            </w:pPr>
            <w:r>
              <w:rPr>
                <w:rFonts w:eastAsia="宋体"/>
                <w:color w:val="000000"/>
                <w:sz w:val="21"/>
                <w:szCs w:val="21"/>
              </w:rPr>
              <w:t>导丝直径</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0A3D666">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5F5C6F1">
            <w:pPr>
              <w:shd w:val="clear" w:color="auto" w:fill="FFFFFF"/>
              <w:snapToGrid w:val="0"/>
              <w:jc w:val="both"/>
              <w:rPr>
                <w:rFonts w:eastAsia="宋体"/>
                <w:sz w:val="21"/>
                <w:szCs w:val="21"/>
              </w:rPr>
            </w:pPr>
          </w:p>
        </w:tc>
      </w:tr>
      <w:tr w14:paraId="3B3D24B8">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2ACA5AD">
            <w:pPr>
              <w:shd w:val="clear" w:color="auto" w:fill="FFFFFF"/>
              <w:snapToGrid w:val="0"/>
              <w:jc w:val="both"/>
              <w:rPr>
                <w:rFonts w:eastAsia="宋体"/>
                <w:sz w:val="21"/>
                <w:szCs w:val="21"/>
              </w:rPr>
            </w:pPr>
            <w:r>
              <w:rPr>
                <w:rFonts w:eastAsia="宋体"/>
                <w:color w:val="000000"/>
                <w:sz w:val="21"/>
                <w:szCs w:val="21"/>
              </w:rPr>
              <w:t>器械长度</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A5F4526">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B88FA41">
            <w:pPr>
              <w:shd w:val="clear" w:color="auto" w:fill="FFFFFF"/>
              <w:snapToGrid w:val="0"/>
              <w:jc w:val="both"/>
              <w:rPr>
                <w:rFonts w:eastAsia="宋体"/>
                <w:sz w:val="21"/>
                <w:szCs w:val="21"/>
              </w:rPr>
            </w:pPr>
          </w:p>
        </w:tc>
      </w:tr>
      <w:tr w14:paraId="3420EB33">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C4F6958">
            <w:pPr>
              <w:shd w:val="clear" w:color="auto" w:fill="FFFFFF"/>
              <w:snapToGrid w:val="0"/>
              <w:jc w:val="both"/>
              <w:rPr>
                <w:rFonts w:eastAsia="宋体"/>
                <w:sz w:val="21"/>
                <w:szCs w:val="21"/>
              </w:rPr>
            </w:pPr>
            <w:r>
              <w:rPr>
                <w:rFonts w:eastAsia="宋体"/>
                <w:color w:val="000000"/>
                <w:sz w:val="21"/>
                <w:szCs w:val="21"/>
              </w:rPr>
              <w:t>头端长度</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F011FB2">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CB520ED">
            <w:pPr>
              <w:shd w:val="clear" w:color="auto" w:fill="FFFFFF"/>
              <w:snapToGrid w:val="0"/>
              <w:jc w:val="both"/>
              <w:rPr>
                <w:rFonts w:eastAsia="宋体"/>
                <w:sz w:val="21"/>
                <w:szCs w:val="21"/>
              </w:rPr>
            </w:pPr>
          </w:p>
        </w:tc>
      </w:tr>
      <w:tr w14:paraId="1DF3A25D">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30AE94C">
            <w:pPr>
              <w:shd w:val="clear" w:color="auto" w:fill="FFFFFF"/>
              <w:snapToGrid w:val="0"/>
              <w:jc w:val="both"/>
              <w:rPr>
                <w:rFonts w:eastAsia="宋体"/>
                <w:sz w:val="21"/>
                <w:szCs w:val="21"/>
              </w:rPr>
            </w:pPr>
            <w:r>
              <w:rPr>
                <w:rFonts w:eastAsia="宋体"/>
                <w:color w:val="000000"/>
                <w:sz w:val="21"/>
                <w:szCs w:val="21"/>
              </w:rPr>
              <w:t>头端类型和形状</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9C458DD">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BFC0D87">
            <w:pPr>
              <w:shd w:val="clear" w:color="auto" w:fill="FFFFFF"/>
              <w:snapToGrid w:val="0"/>
              <w:jc w:val="both"/>
              <w:rPr>
                <w:rFonts w:eastAsia="宋体"/>
                <w:sz w:val="21"/>
                <w:szCs w:val="21"/>
              </w:rPr>
            </w:pPr>
          </w:p>
        </w:tc>
      </w:tr>
      <w:tr w14:paraId="2E7CC23F">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B30C87E">
            <w:pPr>
              <w:shd w:val="clear" w:color="auto" w:fill="FFFFFF"/>
              <w:snapToGrid w:val="0"/>
              <w:jc w:val="both"/>
              <w:rPr>
                <w:rFonts w:eastAsia="宋体"/>
                <w:sz w:val="21"/>
                <w:szCs w:val="21"/>
              </w:rPr>
            </w:pPr>
            <w:r>
              <w:rPr>
                <w:rFonts w:eastAsia="宋体"/>
                <w:color w:val="000000"/>
                <w:sz w:val="21"/>
                <w:szCs w:val="21"/>
              </w:rPr>
              <w:t>头端柔性</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BE3D2C3">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553002F">
            <w:pPr>
              <w:shd w:val="clear" w:color="auto" w:fill="FFFFFF"/>
              <w:snapToGrid w:val="0"/>
              <w:jc w:val="both"/>
              <w:rPr>
                <w:rFonts w:eastAsia="宋体"/>
                <w:sz w:val="21"/>
                <w:szCs w:val="21"/>
              </w:rPr>
            </w:pPr>
          </w:p>
        </w:tc>
      </w:tr>
      <w:tr w14:paraId="2D8ACE31">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9CA8162">
            <w:pPr>
              <w:shd w:val="clear" w:color="auto" w:fill="FFFFFF"/>
              <w:snapToGrid w:val="0"/>
              <w:jc w:val="both"/>
              <w:rPr>
                <w:rFonts w:eastAsia="宋体"/>
                <w:sz w:val="21"/>
                <w:szCs w:val="21"/>
              </w:rPr>
            </w:pPr>
            <w:r>
              <w:rPr>
                <w:rFonts w:eastAsia="宋体"/>
                <w:color w:val="000000"/>
                <w:sz w:val="21"/>
                <w:szCs w:val="21"/>
              </w:rPr>
              <w:t>导丝材料</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7CADE5">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6CAE7BF">
            <w:pPr>
              <w:shd w:val="clear" w:color="auto" w:fill="FFFFFF"/>
              <w:snapToGrid w:val="0"/>
              <w:jc w:val="both"/>
              <w:rPr>
                <w:rFonts w:eastAsia="宋体"/>
                <w:sz w:val="21"/>
                <w:szCs w:val="21"/>
              </w:rPr>
            </w:pPr>
          </w:p>
        </w:tc>
      </w:tr>
      <w:tr w14:paraId="02B5AA93">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56A351">
            <w:pPr>
              <w:shd w:val="clear" w:color="auto" w:fill="FFFFFF"/>
              <w:snapToGrid w:val="0"/>
              <w:jc w:val="both"/>
              <w:rPr>
                <w:rFonts w:eastAsia="宋体"/>
                <w:sz w:val="21"/>
                <w:szCs w:val="21"/>
              </w:rPr>
            </w:pPr>
            <w:r>
              <w:rPr>
                <w:rFonts w:eastAsia="宋体"/>
                <w:color w:val="000000"/>
                <w:sz w:val="21"/>
                <w:szCs w:val="21"/>
              </w:rPr>
              <w:t>涂层材料、长度和位置</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E46AA3F">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4458FD2">
            <w:pPr>
              <w:shd w:val="clear" w:color="auto" w:fill="FFFFFF"/>
              <w:snapToGrid w:val="0"/>
              <w:jc w:val="both"/>
              <w:rPr>
                <w:rFonts w:eastAsia="宋体"/>
                <w:sz w:val="21"/>
                <w:szCs w:val="21"/>
              </w:rPr>
            </w:pPr>
          </w:p>
        </w:tc>
      </w:tr>
      <w:tr w14:paraId="55DEE64F">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2A1CF0B">
            <w:pPr>
              <w:shd w:val="clear" w:color="auto" w:fill="FFFFFF"/>
              <w:snapToGrid w:val="0"/>
              <w:jc w:val="both"/>
              <w:rPr>
                <w:rFonts w:eastAsia="宋体"/>
                <w:sz w:val="21"/>
                <w:szCs w:val="21"/>
              </w:rPr>
            </w:pPr>
            <w:r>
              <w:rPr>
                <w:rFonts w:eastAsia="宋体"/>
                <w:color w:val="000000"/>
                <w:sz w:val="21"/>
                <w:szCs w:val="21"/>
              </w:rPr>
              <w:t>头端材料</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B8D9933">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1F5B7052">
            <w:pPr>
              <w:shd w:val="clear" w:color="auto" w:fill="FFFFFF"/>
              <w:snapToGrid w:val="0"/>
              <w:jc w:val="both"/>
              <w:rPr>
                <w:rFonts w:eastAsia="宋体"/>
                <w:sz w:val="21"/>
                <w:szCs w:val="21"/>
              </w:rPr>
            </w:pPr>
          </w:p>
        </w:tc>
      </w:tr>
      <w:tr w14:paraId="236CE5F6">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B6AD6F5">
            <w:pPr>
              <w:shd w:val="clear" w:color="auto" w:fill="FFFFFF"/>
              <w:snapToGrid w:val="0"/>
              <w:jc w:val="both"/>
              <w:rPr>
                <w:rFonts w:eastAsia="宋体"/>
                <w:sz w:val="21"/>
                <w:szCs w:val="21"/>
              </w:rPr>
            </w:pPr>
            <w:r>
              <w:rPr>
                <w:rFonts w:eastAsia="宋体"/>
                <w:color w:val="000000"/>
                <w:sz w:val="21"/>
                <w:szCs w:val="21"/>
              </w:rPr>
              <w:t>附件</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2D9826F7">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3B54BAA">
            <w:pPr>
              <w:shd w:val="clear" w:color="auto" w:fill="FFFFFF"/>
              <w:snapToGrid w:val="0"/>
              <w:jc w:val="both"/>
              <w:rPr>
                <w:rFonts w:eastAsia="宋体"/>
                <w:sz w:val="21"/>
                <w:szCs w:val="21"/>
              </w:rPr>
            </w:pPr>
          </w:p>
        </w:tc>
      </w:tr>
      <w:tr w14:paraId="52A7A5B3">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92E5F51">
            <w:pPr>
              <w:shd w:val="clear" w:color="auto" w:fill="FFFFFF"/>
              <w:snapToGrid w:val="0"/>
              <w:jc w:val="both"/>
              <w:rPr>
                <w:rFonts w:eastAsia="宋体"/>
                <w:sz w:val="21"/>
                <w:szCs w:val="21"/>
              </w:rPr>
            </w:pPr>
            <w:r>
              <w:rPr>
                <w:rFonts w:eastAsia="宋体"/>
                <w:color w:val="000000"/>
                <w:sz w:val="21"/>
                <w:szCs w:val="21"/>
              </w:rPr>
              <w:t>包装结构</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B638AF1">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5F8CBD89">
            <w:pPr>
              <w:shd w:val="clear" w:color="auto" w:fill="FFFFFF"/>
              <w:snapToGrid w:val="0"/>
              <w:jc w:val="both"/>
              <w:rPr>
                <w:rFonts w:eastAsia="宋体"/>
                <w:sz w:val="21"/>
                <w:szCs w:val="21"/>
              </w:rPr>
            </w:pPr>
          </w:p>
        </w:tc>
      </w:tr>
      <w:tr w14:paraId="502FEC01">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71067EAF">
            <w:pPr>
              <w:shd w:val="clear" w:color="auto" w:fill="FFFFFF"/>
              <w:snapToGrid w:val="0"/>
              <w:jc w:val="both"/>
              <w:rPr>
                <w:rFonts w:eastAsia="宋体"/>
                <w:sz w:val="21"/>
                <w:szCs w:val="21"/>
              </w:rPr>
            </w:pPr>
            <w:r>
              <w:rPr>
                <w:rFonts w:eastAsia="宋体"/>
                <w:color w:val="000000"/>
                <w:sz w:val="21"/>
                <w:szCs w:val="21"/>
              </w:rPr>
              <w:t>灭菌方法</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CF02482">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3814F332">
            <w:pPr>
              <w:shd w:val="clear" w:color="auto" w:fill="FFFFFF"/>
              <w:snapToGrid w:val="0"/>
              <w:jc w:val="both"/>
              <w:rPr>
                <w:rFonts w:eastAsia="宋体"/>
                <w:sz w:val="21"/>
                <w:szCs w:val="21"/>
              </w:rPr>
            </w:pPr>
          </w:p>
        </w:tc>
      </w:tr>
      <w:tr w14:paraId="4BDA1C7A">
        <w:tblPrEx>
          <w:tblCellMar>
            <w:top w:w="0" w:type="dxa"/>
            <w:left w:w="57" w:type="dxa"/>
            <w:bottom w:w="0" w:type="dxa"/>
            <w:right w:w="57" w:type="dxa"/>
          </w:tblCellMar>
        </w:tblPrEx>
        <w:trPr>
          <w:trHeight w:val="283" w:hRule="atLeast"/>
        </w:trPr>
        <w:tc>
          <w:tcPr>
            <w:tcW w:w="29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0F8722BA">
            <w:pPr>
              <w:shd w:val="clear" w:color="auto" w:fill="FFFFFF"/>
              <w:snapToGrid w:val="0"/>
              <w:jc w:val="both"/>
              <w:rPr>
                <w:rFonts w:eastAsia="宋体"/>
                <w:sz w:val="21"/>
                <w:szCs w:val="21"/>
              </w:rPr>
            </w:pPr>
            <w:r>
              <w:rPr>
                <w:rFonts w:eastAsia="宋体"/>
                <w:color w:val="000000"/>
                <w:sz w:val="21"/>
                <w:szCs w:val="21"/>
              </w:rPr>
              <w:t>货架期</w:t>
            </w:r>
          </w:p>
        </w:tc>
        <w:tc>
          <w:tcPr>
            <w:tcW w:w="29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6C72315C">
            <w:pPr>
              <w:shd w:val="clear" w:color="auto" w:fill="FFFFFF"/>
              <w:snapToGrid w:val="0"/>
              <w:jc w:val="both"/>
              <w:rPr>
                <w:rFonts w:eastAsia="宋体"/>
                <w:sz w:val="21"/>
                <w:szCs w:val="21"/>
              </w:rPr>
            </w:pPr>
          </w:p>
        </w:tc>
        <w:tc>
          <w:tcPr>
            <w:tcW w:w="300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vAlign w:val="center"/>
          </w:tcPr>
          <w:p w14:paraId="43C56F3D">
            <w:pPr>
              <w:shd w:val="clear" w:color="auto" w:fill="FFFFFF"/>
              <w:snapToGrid w:val="0"/>
              <w:jc w:val="both"/>
              <w:rPr>
                <w:rFonts w:eastAsia="宋体"/>
                <w:sz w:val="21"/>
                <w:szCs w:val="21"/>
              </w:rPr>
            </w:pPr>
          </w:p>
        </w:tc>
      </w:tr>
    </w:tbl>
    <w:p w14:paraId="6B603A1B">
      <w:pPr>
        <w:shd w:val="clear" w:color="auto" w:fill="FFFFFF"/>
        <w:snapToGrid w:val="0"/>
        <w:jc w:val="both"/>
        <w:rPr>
          <w:rFonts w:eastAsia="宋体"/>
          <w:color w:val="000000"/>
          <w:sz w:val="21"/>
          <w:szCs w:val="21"/>
        </w:rPr>
      </w:pPr>
    </w:p>
    <w:p w14:paraId="62AA265C">
      <w:pPr>
        <w:shd w:val="clear" w:color="auto" w:fill="FFFFFF"/>
        <w:snapToGrid w:val="0"/>
        <w:ind w:firstLine="480" w:firstLineChars="200"/>
        <w:jc w:val="both"/>
        <w:rPr>
          <w:color w:val="000000"/>
          <w:sz w:val="24"/>
        </w:rPr>
      </w:pPr>
      <w:r>
        <w:rPr>
          <w:rFonts w:eastAsia="宋体"/>
          <w:color w:val="000000"/>
          <w:sz w:val="24"/>
          <w:szCs w:val="24"/>
        </w:rPr>
        <w:t>作为比较的一部分，我们建议您明确解释器械的预期临床环境和预期用途。使用适应</w:t>
      </w:r>
      <w:r>
        <w:rPr>
          <w:rFonts w:hint="eastAsia" w:eastAsia="宋体"/>
          <w:color w:val="000000"/>
          <w:sz w:val="24"/>
          <w:szCs w:val="24"/>
        </w:rPr>
        <w:t>证</w:t>
      </w:r>
      <w:r>
        <w:rPr>
          <w:rFonts w:eastAsia="宋体"/>
          <w:color w:val="000000"/>
          <w:sz w:val="24"/>
          <w:szCs w:val="24"/>
        </w:rPr>
        <w:t>声明应确定该器械是否打算导航到冠状血管、外周血管和/或神经血管。如果相比任何</w:t>
      </w:r>
      <w:r>
        <w:rPr>
          <w:rFonts w:hint="eastAsia" w:eastAsia="宋体"/>
          <w:color w:val="000000"/>
          <w:sz w:val="24"/>
          <w:szCs w:val="24"/>
        </w:rPr>
        <w:t>同品种</w:t>
      </w:r>
      <w:r>
        <w:rPr>
          <w:rFonts w:eastAsia="宋体"/>
          <w:color w:val="000000"/>
          <w:sz w:val="24"/>
          <w:szCs w:val="24"/>
        </w:rPr>
        <w:t>器械</w:t>
      </w:r>
      <w:r>
        <w:rPr>
          <w:rFonts w:hint="eastAsia" w:eastAsia="宋体"/>
          <w:color w:val="000000"/>
          <w:sz w:val="24"/>
          <w:szCs w:val="24"/>
        </w:rPr>
        <w:t>，</w:t>
      </w:r>
      <w:r>
        <w:rPr>
          <w:rFonts w:eastAsia="宋体"/>
          <w:color w:val="000000"/>
          <w:sz w:val="24"/>
          <w:szCs w:val="24"/>
        </w:rPr>
        <w:t>您的器械包含有独特的功能，我们建议您清楚地描述这些功能、位置和操作特性，并解释差异不会引起不同的安全性和有效性问题的原因。</w:t>
      </w:r>
    </w:p>
    <w:p w14:paraId="7385926B">
      <w:pPr>
        <w:shd w:val="clear" w:color="auto" w:fill="FFFFFF"/>
        <w:snapToGrid w:val="0"/>
        <w:jc w:val="both"/>
        <w:rPr>
          <w:rFonts w:eastAsia="宋体"/>
          <w:sz w:val="24"/>
          <w:szCs w:val="24"/>
        </w:rPr>
      </w:pPr>
    </w:p>
    <w:p w14:paraId="0C07EB9E">
      <w:pPr>
        <w:pStyle w:val="3"/>
        <w:spacing w:beforeLines="0" w:afterLines="0"/>
        <w:ind w:left="850" w:hanging="424" w:hangingChars="132"/>
        <w:rPr>
          <w:rFonts w:eastAsia="宋体"/>
        </w:rPr>
      </w:pPr>
      <w:bookmarkStart w:id="18" w:name="bookmark8"/>
      <w:bookmarkStart w:id="19" w:name="_Toc98746529"/>
      <w:bookmarkStart w:id="20" w:name="_Toc97483445"/>
      <w:r>
        <w:rPr>
          <w:rFonts w:eastAsia="宋体"/>
        </w:rPr>
        <w:t>C</w:t>
      </w:r>
      <w:bookmarkEnd w:id="18"/>
      <w:r>
        <w:rPr>
          <w:rFonts w:eastAsia="宋体"/>
        </w:rPr>
        <w:t>.</w:t>
      </w:r>
      <w:r>
        <w:rPr>
          <w:rFonts w:eastAsia="宋体"/>
        </w:rPr>
        <w:tab/>
      </w:r>
      <w:r>
        <w:rPr>
          <w:rFonts w:eastAsia="宋体"/>
        </w:rPr>
        <w:t>生物相容性</w:t>
      </w:r>
      <w:bookmarkEnd w:id="19"/>
      <w:bookmarkEnd w:id="20"/>
    </w:p>
    <w:p w14:paraId="3089CE31">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：导丝含有与患者接触的材料，当按</w:t>
      </w:r>
      <w:r>
        <w:rPr>
          <w:rFonts w:hint="eastAsia" w:eastAsia="宋体"/>
          <w:color w:val="000000"/>
          <w:sz w:val="24"/>
          <w:szCs w:val="24"/>
        </w:rPr>
        <w:t>预期</w:t>
      </w:r>
      <w:r>
        <w:rPr>
          <w:rFonts w:eastAsia="宋体"/>
          <w:color w:val="000000"/>
          <w:sz w:val="24"/>
          <w:szCs w:val="24"/>
        </w:rPr>
        <w:t>使用时（即与循环血液有限的直接接触），可能会</w:t>
      </w:r>
      <w:r>
        <w:rPr>
          <w:rFonts w:hint="eastAsia" w:eastAsia="宋体"/>
          <w:color w:val="000000"/>
          <w:sz w:val="24"/>
          <w:szCs w:val="24"/>
        </w:rPr>
        <w:t>诱发</w:t>
      </w:r>
      <w:r>
        <w:rPr>
          <w:rFonts w:eastAsia="宋体"/>
          <w:color w:val="000000"/>
          <w:sz w:val="24"/>
          <w:szCs w:val="24"/>
        </w:rPr>
        <w:t>有害的生物反应。</w:t>
      </w:r>
    </w:p>
    <w:p w14:paraId="7C481A78">
      <w:pPr>
        <w:shd w:val="clear" w:color="auto" w:fill="FFFFFF"/>
        <w:snapToGrid w:val="0"/>
        <w:jc w:val="both"/>
        <w:rPr>
          <w:rFonts w:eastAsia="宋体"/>
          <w:sz w:val="24"/>
          <w:szCs w:val="24"/>
        </w:rPr>
      </w:pPr>
    </w:p>
    <w:p w14:paraId="6936C2A4">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公司应确定器械中存在所有患者接触材料的生物相容性。如果您的器械在成分和加工方法上与有既往成功使用的导丝相同，您可以酌情参考以前的测试经验或文献。对于一些器械材料，可以适当提供一个公认的共识标准或器械MAF的LOA参考。</w:t>
      </w:r>
    </w:p>
    <w:p w14:paraId="75813B4D">
      <w:pPr>
        <w:shd w:val="clear" w:color="auto" w:fill="FFFFFF"/>
        <w:snapToGrid w:val="0"/>
        <w:jc w:val="both"/>
        <w:rPr>
          <w:rFonts w:eastAsia="宋体"/>
          <w:sz w:val="24"/>
          <w:szCs w:val="24"/>
        </w:rPr>
      </w:pPr>
    </w:p>
    <w:p w14:paraId="66C50D87">
      <w:pPr>
        <w:shd w:val="clear" w:color="auto" w:fill="FFFFFF"/>
        <w:snapToGrid w:val="0"/>
        <w:ind w:firstLine="480" w:firstLineChars="200"/>
        <w:jc w:val="both"/>
        <w:rPr>
          <w:rFonts w:eastAsia="宋体"/>
          <w:sz w:val="24"/>
          <w:szCs w:val="24"/>
        </w:rPr>
      </w:pPr>
      <w:r>
        <w:rPr>
          <w:rFonts w:eastAsia="宋体"/>
          <w:color w:val="000000"/>
          <w:sz w:val="24"/>
          <w:szCs w:val="24"/>
        </w:rPr>
        <w:t>如果公司无法确定接触位置/持续时间和预期用途相似且使用与公司器械相同材料的</w:t>
      </w:r>
      <w:r>
        <w:rPr>
          <w:rFonts w:hint="eastAsia" w:eastAsia="宋体"/>
          <w:color w:val="000000"/>
          <w:sz w:val="24"/>
          <w:szCs w:val="24"/>
        </w:rPr>
        <w:t>同品种</w:t>
      </w:r>
      <w:r>
        <w:rPr>
          <w:rFonts w:eastAsia="宋体"/>
          <w:color w:val="000000"/>
          <w:sz w:val="24"/>
          <w:szCs w:val="24"/>
        </w:rPr>
        <w:t>器械，FDA建议公司执行并提供生物相容性风险评估。该评估应解释已确定的生物相容性风险、可用于减轻已确定风险的信息之间的关系，并确定仍存在的知识差距。然后，公司应确定为缓解任何剩余风险而进行的任何生物相容性试验或其他评价。建议您遵循FDA的指南</w:t>
      </w:r>
      <w:r>
        <w:rPr>
          <w:rFonts w:hint="eastAsia" w:eastAsia="宋体"/>
          <w:color w:val="000000"/>
          <w:sz w:val="24"/>
          <w:szCs w:val="24"/>
        </w:rPr>
        <w:t>《</w:t>
      </w:r>
      <w:r>
        <w:rPr>
          <w:rFonts w:eastAsia="宋体"/>
          <w:color w:val="0000FF"/>
          <w:sz w:val="24"/>
          <w:szCs w:val="24"/>
          <w:u w:val="single"/>
        </w:rPr>
        <w:t>使用国际标准ISO-10993-1，'医疗器械的生物学评价-第1部分：风险管理过程中的</w:t>
      </w:r>
      <w:r>
        <w:rPr>
          <w:rFonts w:hint="eastAsia" w:eastAsia="宋体"/>
          <w:color w:val="0000FF"/>
          <w:sz w:val="24"/>
          <w:szCs w:val="24"/>
          <w:u w:val="single"/>
        </w:rPr>
        <w:t>评价与试验</w:t>
      </w:r>
      <w:r>
        <w:rPr>
          <w:rFonts w:hint="eastAsia" w:eastAsia="宋体"/>
          <w:color w:val="000000"/>
          <w:sz w:val="24"/>
          <w:szCs w:val="24"/>
        </w:rPr>
        <w:t>》</w:t>
      </w:r>
      <w:r>
        <w:rPr>
          <w:rStyle w:val="18"/>
          <w:rFonts w:eastAsia="宋体"/>
          <w:color w:val="000000"/>
          <w:sz w:val="24"/>
          <w:szCs w:val="24"/>
        </w:rPr>
        <w:footnoteReference w:id="2"/>
      </w:r>
      <w:r>
        <w:rPr>
          <w:rFonts w:eastAsia="宋体"/>
          <w:color w:val="000000"/>
          <w:sz w:val="24"/>
          <w:szCs w:val="24"/>
        </w:rPr>
        <w:t>，其中确定了应考虑的生物相容性评</w:t>
      </w:r>
      <w:r>
        <w:rPr>
          <w:rFonts w:hint="eastAsia" w:eastAsia="宋体"/>
          <w:color w:val="000000"/>
          <w:sz w:val="24"/>
          <w:szCs w:val="24"/>
        </w:rPr>
        <w:t>价</w:t>
      </w:r>
      <w:r>
        <w:rPr>
          <w:rFonts w:eastAsia="宋体"/>
          <w:color w:val="000000"/>
          <w:sz w:val="24"/>
          <w:szCs w:val="24"/>
        </w:rPr>
        <w:t>的类型以及关于如何进行相关</w:t>
      </w:r>
      <w:r>
        <w:rPr>
          <w:rFonts w:hint="eastAsia" w:eastAsia="宋体"/>
          <w:color w:val="000000"/>
          <w:sz w:val="24"/>
          <w:szCs w:val="24"/>
        </w:rPr>
        <w:t>试验</w:t>
      </w:r>
      <w:r>
        <w:rPr>
          <w:rFonts w:eastAsia="宋体"/>
          <w:color w:val="000000"/>
          <w:sz w:val="24"/>
          <w:szCs w:val="24"/>
        </w:rPr>
        <w:t>的建议。</w:t>
      </w:r>
    </w:p>
    <w:p w14:paraId="1EB538A4">
      <w:pPr>
        <w:shd w:val="clear" w:color="auto" w:fill="FFFFFF"/>
        <w:snapToGrid w:val="0"/>
        <w:jc w:val="both"/>
        <w:rPr>
          <w:rFonts w:eastAsia="宋体"/>
          <w:sz w:val="21"/>
          <w:szCs w:val="21"/>
        </w:rPr>
      </w:pPr>
    </w:p>
    <w:p w14:paraId="4D49B361">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0C653483">
      <w:pPr>
        <w:shd w:val="clear" w:color="auto" w:fill="FFFFFF"/>
        <w:snapToGrid w:val="0"/>
        <w:ind w:firstLine="480" w:firstLineChars="200"/>
        <w:jc w:val="both"/>
        <w:rPr>
          <w:rFonts w:eastAsia="宋体"/>
          <w:sz w:val="24"/>
          <w:szCs w:val="24"/>
        </w:rPr>
      </w:pPr>
      <w:r>
        <w:rPr>
          <w:rFonts w:eastAsia="宋体"/>
          <w:color w:val="000000"/>
          <w:sz w:val="24"/>
          <w:szCs w:val="24"/>
        </w:rPr>
        <w:t>根据ISO 10993-1：</w:t>
      </w:r>
      <w:r>
        <w:rPr>
          <w:rFonts w:eastAsia="宋体"/>
          <w:i/>
          <w:iCs/>
          <w:color w:val="000000"/>
          <w:sz w:val="24"/>
          <w:szCs w:val="24"/>
        </w:rPr>
        <w:t>医疗器械生物学评价 - 第1部分：风险管理过程中</w:t>
      </w:r>
      <w:r>
        <w:rPr>
          <w:rFonts w:hint="eastAsia" w:eastAsia="宋体"/>
          <w:i/>
          <w:iCs/>
          <w:color w:val="000000"/>
          <w:sz w:val="24"/>
          <w:szCs w:val="24"/>
        </w:rPr>
        <w:t>的</w:t>
      </w:r>
      <w:r>
        <w:rPr>
          <w:rFonts w:eastAsia="宋体"/>
          <w:i/>
          <w:iCs/>
          <w:color w:val="000000"/>
          <w:sz w:val="24"/>
          <w:szCs w:val="24"/>
        </w:rPr>
        <w:t>评</w:t>
      </w:r>
      <w:r>
        <w:rPr>
          <w:rFonts w:hint="eastAsia" w:eastAsia="宋体"/>
          <w:i/>
          <w:iCs/>
          <w:color w:val="000000"/>
          <w:sz w:val="24"/>
          <w:szCs w:val="24"/>
        </w:rPr>
        <w:t>价与试验</w:t>
      </w:r>
      <w:r>
        <w:rPr>
          <w:rFonts w:eastAsia="宋体"/>
          <w:color w:val="000000"/>
          <w:sz w:val="24"/>
          <w:szCs w:val="24"/>
        </w:rPr>
        <w:t>，以及FDA关于ISO-10993-1的指南附件A，导丝是与循环血液直接进行短期接触（&lt;24小时）的外部</w:t>
      </w:r>
      <w:r>
        <w:rPr>
          <w:rFonts w:hint="eastAsia" w:eastAsia="宋体"/>
          <w:color w:val="000000"/>
          <w:sz w:val="24"/>
          <w:szCs w:val="24"/>
        </w:rPr>
        <w:t>接入</w:t>
      </w:r>
      <w:r>
        <w:rPr>
          <w:rFonts w:eastAsia="宋体"/>
          <w:color w:val="000000"/>
          <w:sz w:val="24"/>
          <w:szCs w:val="24"/>
        </w:rPr>
        <w:t>器械。因此，生物相容性应注意以下几个评估终点：</w:t>
      </w:r>
    </w:p>
    <w:p w14:paraId="47BA1788">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细胞毒性；</w:t>
      </w:r>
    </w:p>
    <w:p w14:paraId="3544ED6E">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致敏；</w:t>
      </w:r>
    </w:p>
    <w:p w14:paraId="1A5ADD7F">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刺激/皮内反应；</w:t>
      </w:r>
    </w:p>
    <w:p w14:paraId="364A603F">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急性全身毒性；</w:t>
      </w:r>
    </w:p>
    <w:p w14:paraId="4A16D37C">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材料介导的致热原性；</w:t>
      </w:r>
    </w:p>
    <w:p w14:paraId="3BF3C2A5">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补体激活（</w:t>
      </w:r>
      <w:r>
        <w:rPr>
          <w:rFonts w:hint="eastAsia" w:eastAsia="宋体"/>
          <w:bCs/>
          <w:color w:val="000000"/>
          <w:sz w:val="24"/>
          <w:szCs w:val="24"/>
        </w:rPr>
        <w:t>建议</w:t>
      </w:r>
      <w:r>
        <w:rPr>
          <w:rFonts w:eastAsia="宋体"/>
          <w:bCs/>
          <w:color w:val="000000"/>
          <w:sz w:val="24"/>
          <w:szCs w:val="24"/>
        </w:rPr>
        <w:t>SC5b-9途径，C3a途径可选）；</w:t>
      </w:r>
    </w:p>
    <w:p w14:paraId="77C51022">
      <w:pPr>
        <w:numPr>
          <w:ilvl w:val="0"/>
          <w:numId w:val="2"/>
        </w:numPr>
        <w:shd w:val="clear" w:color="auto" w:fill="FFFFFF"/>
        <w:tabs>
          <w:tab w:val="left" w:pos="709"/>
        </w:tabs>
        <w:snapToGrid w:val="0"/>
        <w:ind w:left="708" w:leftChars="142" w:hanging="424" w:hangingChars="177"/>
        <w:jc w:val="both"/>
        <w:rPr>
          <w:color w:val="000000"/>
          <w:sz w:val="24"/>
        </w:rPr>
      </w:pPr>
      <w:r>
        <w:rPr>
          <w:rFonts w:hint="eastAsia"/>
          <w:color w:val="000000"/>
          <w:sz w:val="24"/>
        </w:rPr>
        <w:t>体内</w:t>
      </w:r>
      <w:r>
        <w:rPr>
          <w:rFonts w:eastAsia="宋体"/>
          <w:bCs/>
          <w:color w:val="000000"/>
          <w:sz w:val="24"/>
          <w:szCs w:val="24"/>
        </w:rPr>
        <w:t>血栓</w:t>
      </w:r>
      <w:r>
        <w:rPr>
          <w:rFonts w:hint="eastAsia" w:eastAsia="宋体"/>
          <w:bCs/>
          <w:color w:val="000000"/>
          <w:sz w:val="24"/>
          <w:szCs w:val="24"/>
        </w:rPr>
        <w:t>形成</w:t>
      </w:r>
      <w:r>
        <w:rPr>
          <w:rFonts w:eastAsia="宋体"/>
          <w:bCs/>
          <w:color w:val="000000"/>
          <w:sz w:val="24"/>
          <w:szCs w:val="24"/>
        </w:rPr>
        <w:t>；</w:t>
      </w:r>
    </w:p>
    <w:p w14:paraId="20FA2131">
      <w:pPr>
        <w:numPr>
          <w:ilvl w:val="0"/>
          <w:numId w:val="2"/>
        </w:numPr>
        <w:shd w:val="clear" w:color="auto" w:fill="FFFFFF"/>
        <w:tabs>
          <w:tab w:val="left" w:pos="709"/>
        </w:tabs>
        <w:snapToGrid w:val="0"/>
        <w:ind w:left="708" w:leftChars="142" w:hanging="424" w:hangingChars="177"/>
        <w:jc w:val="both"/>
        <w:rPr>
          <w:color w:val="000000"/>
          <w:sz w:val="24"/>
        </w:rPr>
      </w:pPr>
      <w:r>
        <w:rPr>
          <w:rFonts w:eastAsia="宋体"/>
          <w:bCs/>
          <w:color w:val="000000"/>
          <w:sz w:val="24"/>
          <w:szCs w:val="24"/>
        </w:rPr>
        <w:t>直接和间接溶血。</w:t>
      </w:r>
    </w:p>
    <w:p w14:paraId="440798A2">
      <w:pPr>
        <w:shd w:val="clear" w:color="auto" w:fill="FFFFFF"/>
        <w:snapToGrid w:val="0"/>
        <w:jc w:val="both"/>
        <w:rPr>
          <w:rFonts w:eastAsia="宋体"/>
          <w:color w:val="000000"/>
          <w:sz w:val="24"/>
          <w:szCs w:val="24"/>
        </w:rPr>
      </w:pPr>
    </w:p>
    <w:p w14:paraId="3485EDEC">
      <w:pPr>
        <w:shd w:val="clear" w:color="auto" w:fill="FFFFFF"/>
        <w:snapToGrid w:val="0"/>
        <w:ind w:firstLine="480" w:firstLineChars="200"/>
        <w:jc w:val="both"/>
        <w:rPr>
          <w:color w:val="000000"/>
          <w:sz w:val="24"/>
        </w:rPr>
      </w:pPr>
      <w:r>
        <w:rPr>
          <w:rFonts w:eastAsia="宋体"/>
          <w:color w:val="000000"/>
          <w:sz w:val="24"/>
          <w:szCs w:val="24"/>
        </w:rPr>
        <w:t>建议对导丝</w:t>
      </w:r>
      <w:r>
        <w:rPr>
          <w:rFonts w:hint="eastAsia" w:eastAsia="宋体"/>
          <w:color w:val="000000"/>
          <w:sz w:val="24"/>
          <w:szCs w:val="24"/>
        </w:rPr>
        <w:t>进行</w:t>
      </w:r>
      <w:r>
        <w:rPr>
          <w:rFonts w:eastAsia="宋体"/>
          <w:color w:val="000000"/>
          <w:sz w:val="24"/>
          <w:szCs w:val="24"/>
        </w:rPr>
        <w:t>以下考虑。如果使用新型材料，那么可能还需要进行遗传毒性</w:t>
      </w:r>
      <w:r>
        <w:rPr>
          <w:rFonts w:hint="eastAsia" w:eastAsia="宋体"/>
          <w:color w:val="000000"/>
          <w:sz w:val="24"/>
          <w:szCs w:val="24"/>
        </w:rPr>
        <w:t>试验</w:t>
      </w:r>
      <w:r>
        <w:rPr>
          <w:rFonts w:eastAsia="宋体"/>
          <w:color w:val="000000"/>
          <w:sz w:val="24"/>
          <w:szCs w:val="24"/>
        </w:rPr>
        <w:t>。</w:t>
      </w:r>
      <w:r>
        <w:rPr>
          <w:rFonts w:hint="eastAsia" w:eastAsia="宋体"/>
          <w:color w:val="000000"/>
          <w:sz w:val="24"/>
          <w:szCs w:val="24"/>
        </w:rPr>
        <w:t>试验</w:t>
      </w:r>
      <w:r>
        <w:rPr>
          <w:rFonts w:eastAsia="宋体"/>
          <w:color w:val="000000"/>
          <w:sz w:val="24"/>
          <w:szCs w:val="24"/>
        </w:rPr>
        <w:t>应以最大表面积的器械模型和最坏情况下的暴露进行。测试样品应代表最终的、已灭菌的器械。</w:t>
      </w:r>
    </w:p>
    <w:p w14:paraId="4A01630E">
      <w:pPr>
        <w:shd w:val="clear" w:color="auto" w:fill="FFFFFF"/>
        <w:snapToGrid w:val="0"/>
        <w:jc w:val="both"/>
        <w:rPr>
          <w:rFonts w:eastAsia="宋体"/>
          <w:sz w:val="24"/>
          <w:szCs w:val="24"/>
        </w:rPr>
      </w:pPr>
    </w:p>
    <w:p w14:paraId="4C551EBC">
      <w:pPr>
        <w:pStyle w:val="3"/>
        <w:spacing w:beforeLines="0" w:afterLines="0"/>
        <w:ind w:left="850" w:hanging="424" w:hangingChars="132"/>
        <w:rPr>
          <w:rFonts w:eastAsia="宋体"/>
        </w:rPr>
      </w:pPr>
      <w:bookmarkStart w:id="21" w:name="bookmark9"/>
      <w:bookmarkStart w:id="22" w:name="_Toc98746530"/>
      <w:bookmarkStart w:id="23" w:name="_Toc97483446"/>
      <w:r>
        <w:rPr>
          <w:rFonts w:eastAsia="宋体"/>
        </w:rPr>
        <w:t>D</w:t>
      </w:r>
      <w:bookmarkEnd w:id="21"/>
      <w:r>
        <w:rPr>
          <w:rFonts w:eastAsia="宋体"/>
        </w:rPr>
        <w:t>.</w:t>
      </w:r>
      <w:r>
        <w:rPr>
          <w:rFonts w:eastAsia="宋体"/>
        </w:rPr>
        <w:tab/>
      </w:r>
      <w:r>
        <w:rPr>
          <w:rFonts w:eastAsia="宋体"/>
        </w:rPr>
        <w:t>无菌性</w:t>
      </w:r>
      <w:bookmarkEnd w:id="22"/>
      <w:bookmarkEnd w:id="23"/>
    </w:p>
    <w:p w14:paraId="35D6CFF2">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：根据预期用途，导丝将接触血液</w:t>
      </w:r>
      <w:r>
        <w:rPr>
          <w:rFonts w:hint="eastAsia" w:eastAsia="宋体"/>
          <w:color w:val="000000"/>
          <w:sz w:val="24"/>
          <w:szCs w:val="24"/>
        </w:rPr>
        <w:t>甚至</w:t>
      </w:r>
      <w:r>
        <w:rPr>
          <w:rFonts w:eastAsia="宋体"/>
          <w:color w:val="000000"/>
          <w:sz w:val="24"/>
          <w:szCs w:val="24"/>
        </w:rPr>
        <w:t>脑脊液，因此应充分</w:t>
      </w:r>
      <w:r>
        <w:rPr>
          <w:rFonts w:hint="eastAsia" w:eastAsia="宋体"/>
          <w:color w:val="000000"/>
          <w:sz w:val="24"/>
          <w:szCs w:val="24"/>
        </w:rPr>
        <w:t>灭菌</w:t>
      </w:r>
      <w:r>
        <w:rPr>
          <w:rFonts w:eastAsia="宋体"/>
          <w:color w:val="000000"/>
          <w:sz w:val="24"/>
          <w:szCs w:val="24"/>
        </w:rPr>
        <w:t>，以尽量减少感染和相关并发症。</w:t>
      </w:r>
    </w:p>
    <w:p w14:paraId="43EEE790">
      <w:pPr>
        <w:shd w:val="clear" w:color="auto" w:fill="FFFFFF"/>
        <w:snapToGrid w:val="0"/>
        <w:jc w:val="both"/>
        <w:rPr>
          <w:rFonts w:eastAsia="宋体"/>
          <w:sz w:val="24"/>
          <w:szCs w:val="24"/>
        </w:rPr>
      </w:pPr>
    </w:p>
    <w:p w14:paraId="5D46E993">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：对于标注为无菌的导丝，我们建议您根据FDA的指南</w:t>
      </w:r>
      <w:r>
        <w:rPr>
          <w:rFonts w:hint="eastAsia" w:eastAsia="宋体"/>
          <w:color w:val="000000"/>
          <w:sz w:val="24"/>
          <w:szCs w:val="24"/>
        </w:rPr>
        <w:t>《</w:t>
      </w:r>
      <w:r>
        <w:rPr>
          <w:rFonts w:eastAsia="宋体"/>
          <w:color w:val="0000FF"/>
          <w:sz w:val="24"/>
          <w:szCs w:val="24"/>
          <w:u w:val="single"/>
        </w:rPr>
        <w:t>标记为无菌器械的上市前通知（510（k））申请中的无菌信息</w:t>
      </w:r>
      <w:r>
        <w:rPr>
          <w:rFonts w:hint="eastAsia" w:eastAsia="宋体"/>
          <w:color w:val="0000FF"/>
          <w:sz w:val="24"/>
          <w:szCs w:val="24"/>
          <w:u w:val="single"/>
        </w:rPr>
        <w:t>提交</w:t>
      </w:r>
      <w:r>
        <w:rPr>
          <w:rFonts w:eastAsia="宋体"/>
          <w:color w:val="0000FF"/>
          <w:sz w:val="24"/>
          <w:szCs w:val="24"/>
          <w:u w:val="single"/>
        </w:rPr>
        <w:t>和审查</w:t>
      </w:r>
      <w:r>
        <w:rPr>
          <w:rFonts w:hint="eastAsia" w:eastAsia="宋体"/>
          <w:color w:val="0000FF"/>
          <w:sz w:val="24"/>
          <w:szCs w:val="24"/>
          <w:u w:val="single"/>
        </w:rPr>
        <w:t>》</w:t>
      </w:r>
      <w:r>
        <w:rPr>
          <w:rStyle w:val="18"/>
          <w:rFonts w:eastAsia="宋体"/>
          <w:color w:val="000000"/>
          <w:sz w:val="24"/>
          <w:szCs w:val="24"/>
        </w:rPr>
        <w:footnoteReference w:id="3"/>
      </w:r>
      <w:r>
        <w:rPr>
          <w:rFonts w:hint="eastAsia"/>
          <w:sz w:val="24"/>
        </w:rPr>
        <w:t>提供最终的、已灭菌的器械的信息。</w:t>
      </w:r>
    </w:p>
    <w:p w14:paraId="5E0B3F1A">
      <w:pPr>
        <w:shd w:val="clear" w:color="auto" w:fill="FFFFFF"/>
        <w:snapToGrid w:val="0"/>
        <w:jc w:val="both"/>
        <w:rPr>
          <w:rFonts w:eastAsia="宋体"/>
          <w:sz w:val="24"/>
          <w:szCs w:val="24"/>
        </w:rPr>
      </w:pPr>
    </w:p>
    <w:p w14:paraId="7EDBCB88">
      <w:pPr>
        <w:pStyle w:val="3"/>
        <w:spacing w:beforeLines="0" w:afterLines="0"/>
        <w:ind w:left="850" w:hanging="424" w:hangingChars="132"/>
        <w:rPr>
          <w:rFonts w:eastAsia="宋体"/>
        </w:rPr>
      </w:pPr>
      <w:bookmarkStart w:id="24" w:name="bookmark10"/>
      <w:bookmarkStart w:id="25" w:name="_Toc98746531"/>
      <w:bookmarkStart w:id="26" w:name="_Toc97483447"/>
      <w:r>
        <w:rPr>
          <w:rFonts w:eastAsia="宋体"/>
        </w:rPr>
        <w:t>E</w:t>
      </w:r>
      <w:bookmarkEnd w:id="24"/>
      <w:r>
        <w:rPr>
          <w:rFonts w:eastAsia="宋体"/>
        </w:rPr>
        <w:t>.</w:t>
      </w:r>
      <w:r>
        <w:rPr>
          <w:rFonts w:eastAsia="宋体"/>
        </w:rPr>
        <w:tab/>
      </w:r>
      <w:r>
        <w:rPr>
          <w:rFonts w:eastAsia="宋体"/>
        </w:rPr>
        <w:t>致热原性</w:t>
      </w:r>
      <w:bookmarkEnd w:id="25"/>
      <w:bookmarkEnd w:id="26"/>
    </w:p>
    <w:p w14:paraId="06305E62">
      <w:pPr>
        <w:shd w:val="clear" w:color="auto" w:fill="FFFFFF"/>
        <w:snapToGrid w:val="0"/>
        <w:jc w:val="both"/>
        <w:rPr>
          <w:rFonts w:eastAsia="宋体"/>
          <w:sz w:val="24"/>
          <w:szCs w:val="24"/>
        </w:rPr>
      </w:pPr>
      <w:r>
        <w:rPr>
          <w:rFonts w:eastAsia="宋体"/>
          <w:color w:val="000000"/>
          <w:sz w:val="24"/>
          <w:szCs w:val="24"/>
          <w:u w:val="single"/>
        </w:rPr>
        <w:t>意义</w:t>
      </w:r>
      <w:r>
        <w:rPr>
          <w:rFonts w:eastAsia="宋体"/>
          <w:color w:val="000000"/>
          <w:sz w:val="24"/>
          <w:szCs w:val="24"/>
        </w:rPr>
        <w:t>：使用致热原性试验帮助患者免受由于革兰氏阴性细菌内毒素和/或可能从医疗器械中沥滤出的化学物质（例如材料介导的热原性）导致的发热反应风险。</w:t>
      </w:r>
    </w:p>
    <w:p w14:paraId="55D79221">
      <w:pPr>
        <w:shd w:val="clear" w:color="auto" w:fill="FFFFFF"/>
        <w:tabs>
          <w:tab w:val="left" w:pos="120"/>
        </w:tabs>
        <w:snapToGrid w:val="0"/>
        <w:jc w:val="both"/>
        <w:rPr>
          <w:rFonts w:eastAsia="宋体"/>
          <w:color w:val="000000"/>
          <w:sz w:val="24"/>
          <w:szCs w:val="24"/>
          <w:vertAlign w:val="superscript"/>
        </w:rPr>
      </w:pPr>
    </w:p>
    <w:p w14:paraId="49C14B19">
      <w:pPr>
        <w:shd w:val="clear" w:color="auto" w:fill="FFFFFF"/>
        <w:tabs>
          <w:tab w:val="left" w:pos="120"/>
        </w:tabs>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210DBB9">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：为了解决与细菌内毒素存在有关的风险，导丝应遵循FDA指南</w:t>
      </w:r>
      <w:r>
        <w:rPr>
          <w:rFonts w:hint="eastAsia" w:eastAsia="宋体"/>
          <w:color w:val="000000"/>
          <w:sz w:val="24"/>
          <w:szCs w:val="24"/>
        </w:rPr>
        <w:t>《</w:t>
      </w:r>
      <w:r>
        <w:rPr>
          <w:rFonts w:eastAsia="宋体"/>
          <w:color w:val="0000FF"/>
          <w:sz w:val="24"/>
          <w:szCs w:val="24"/>
          <w:u w:val="single"/>
        </w:rPr>
        <w:t>标记为无菌器械的上市前</w:t>
      </w:r>
      <w:r>
        <w:rPr>
          <w:rFonts w:hint="eastAsia" w:eastAsia="宋体"/>
          <w:color w:val="0000FF"/>
          <w:sz w:val="24"/>
          <w:szCs w:val="24"/>
          <w:u w:val="single"/>
        </w:rPr>
        <w:t>申请</w:t>
      </w:r>
      <w:r>
        <w:rPr>
          <w:rFonts w:eastAsia="宋体"/>
          <w:color w:val="0000FF"/>
          <w:sz w:val="24"/>
          <w:szCs w:val="24"/>
          <w:u w:val="single"/>
        </w:rPr>
        <w:t>（510（k））申请中的无菌信息</w:t>
      </w:r>
      <w:r>
        <w:rPr>
          <w:rFonts w:hint="eastAsia" w:eastAsia="宋体"/>
          <w:color w:val="0000FF"/>
          <w:sz w:val="24"/>
          <w:szCs w:val="24"/>
          <w:u w:val="single"/>
        </w:rPr>
        <w:t>提交</w:t>
      </w:r>
      <w:r>
        <w:rPr>
          <w:rFonts w:eastAsia="宋体"/>
          <w:color w:val="0000FF"/>
          <w:sz w:val="24"/>
          <w:szCs w:val="24"/>
          <w:u w:val="single"/>
        </w:rPr>
        <w:t>和审查</w:t>
      </w:r>
      <w:r>
        <w:rPr>
          <w:rFonts w:hint="eastAsia" w:eastAsia="宋体"/>
          <w:color w:val="0000FF"/>
          <w:sz w:val="24"/>
          <w:szCs w:val="24"/>
          <w:u w:val="single"/>
        </w:rPr>
        <w:t>》</w:t>
      </w:r>
      <w:r>
        <w:rPr>
          <w:rFonts w:ascii="宋体" w:hAnsi="宋体" w:eastAsia="宋体"/>
          <w:color w:val="000000"/>
          <w:sz w:val="24"/>
          <w:szCs w:val="24"/>
        </w:rPr>
        <w:t>”</w:t>
      </w:r>
      <w:r>
        <w:rPr>
          <w:rStyle w:val="18"/>
          <w:rFonts w:eastAsia="宋体"/>
          <w:color w:val="000000"/>
          <w:sz w:val="24"/>
          <w:szCs w:val="24"/>
        </w:rPr>
        <w:footnoteReference w:id="4"/>
      </w:r>
      <w:r>
        <w:rPr>
          <w:rFonts w:hint="eastAsia"/>
          <w:color w:val="000000"/>
          <w:sz w:val="24"/>
        </w:rPr>
        <w:t>中的建议，以满足热原限制规格。</w:t>
      </w:r>
      <w:r>
        <w:rPr>
          <w:rFonts w:eastAsia="宋体"/>
          <w:color w:val="000000"/>
          <w:sz w:val="24"/>
          <w:szCs w:val="24"/>
        </w:rPr>
        <w:t>您还应该遵循</w:t>
      </w:r>
      <w:r>
        <w:rPr>
          <w:rFonts w:hint="eastAsia" w:eastAsia="宋体"/>
          <w:color w:val="000000"/>
          <w:sz w:val="24"/>
          <w:szCs w:val="24"/>
        </w:rPr>
        <w:t>《</w:t>
      </w:r>
      <w:r>
        <w:rPr>
          <w:rFonts w:hint="eastAsia" w:eastAsia="宋体"/>
          <w:color w:val="0000FF"/>
          <w:sz w:val="24"/>
          <w:szCs w:val="24"/>
          <w:u w:val="single"/>
        </w:rPr>
        <w:t>行业</w:t>
      </w:r>
      <w:r>
        <w:rPr>
          <w:rFonts w:eastAsia="宋体"/>
          <w:color w:val="0000FF"/>
          <w:sz w:val="24"/>
          <w:szCs w:val="24"/>
          <w:u w:val="single"/>
        </w:rPr>
        <w:t>热原和内毒素</w:t>
      </w:r>
      <w:r>
        <w:rPr>
          <w:rFonts w:hint="eastAsia" w:eastAsia="宋体"/>
          <w:color w:val="0000FF"/>
          <w:sz w:val="24"/>
          <w:szCs w:val="24"/>
          <w:u w:val="single"/>
        </w:rPr>
        <w:t>试验</w:t>
      </w:r>
      <w:r>
        <w:rPr>
          <w:rFonts w:eastAsia="宋体"/>
          <w:color w:val="0000FF"/>
          <w:sz w:val="24"/>
          <w:szCs w:val="24"/>
          <w:u w:val="single"/>
        </w:rPr>
        <w:t>指南</w:t>
      </w:r>
      <w:r>
        <w:rPr>
          <w:rFonts w:hint="eastAsia" w:eastAsia="宋体"/>
          <w:color w:val="000000"/>
          <w:sz w:val="24"/>
          <w:szCs w:val="24"/>
        </w:rPr>
        <w:t>》</w:t>
      </w:r>
      <w:r>
        <w:rPr>
          <w:rFonts w:hint="eastAsia"/>
          <w:sz w:val="24"/>
        </w:rPr>
        <w:t>中的建议</w:t>
      </w:r>
      <w:r>
        <w:rPr>
          <w:rFonts w:hint="eastAsia" w:eastAsia="宋体"/>
          <w:sz w:val="24"/>
          <w:szCs w:val="24"/>
        </w:rPr>
        <w:t>。</w:t>
      </w:r>
      <w:r>
        <w:rPr>
          <w:rFonts w:ascii="宋体" w:hAnsi="宋体" w:eastAsia="宋体"/>
          <w:color w:val="000000"/>
          <w:sz w:val="24"/>
          <w:szCs w:val="24"/>
        </w:rPr>
        <w:t>”</w:t>
      </w:r>
      <w:r>
        <w:rPr>
          <w:rStyle w:val="18"/>
          <w:rFonts w:eastAsia="宋体"/>
          <w:color w:val="000000"/>
          <w:sz w:val="24"/>
          <w:szCs w:val="24"/>
        </w:rPr>
        <w:footnoteReference w:id="5"/>
      </w:r>
      <w:r>
        <w:rPr>
          <w:rFonts w:eastAsia="宋体"/>
          <w:color w:val="000000"/>
          <w:sz w:val="24"/>
          <w:szCs w:val="24"/>
        </w:rPr>
        <w:t xml:space="preserve"> 为了解决与材料介导的内毒素有关的风险，请遵循FDA指南中的建议</w:t>
      </w:r>
      <w:r>
        <w:rPr>
          <w:rFonts w:hint="eastAsia" w:eastAsia="宋体"/>
          <w:color w:val="000000"/>
          <w:sz w:val="24"/>
          <w:szCs w:val="24"/>
        </w:rPr>
        <w:t>《</w:t>
      </w:r>
      <w:r>
        <w:rPr>
          <w:rFonts w:eastAsia="宋体"/>
          <w:color w:val="0000FF"/>
          <w:sz w:val="24"/>
          <w:szCs w:val="24"/>
          <w:u w:val="single"/>
        </w:rPr>
        <w:t>使用国际标准ISO-10993，医疗器械的生物学评</w:t>
      </w:r>
      <w:r>
        <w:rPr>
          <w:rFonts w:hint="eastAsia" w:eastAsia="宋体"/>
          <w:color w:val="0000FF"/>
          <w:sz w:val="24"/>
          <w:szCs w:val="24"/>
          <w:u w:val="single"/>
        </w:rPr>
        <w:t>价</w:t>
      </w:r>
      <w:r>
        <w:rPr>
          <w:rFonts w:eastAsia="宋体"/>
          <w:color w:val="0000FF"/>
          <w:sz w:val="24"/>
          <w:szCs w:val="24"/>
          <w:u w:val="single"/>
        </w:rPr>
        <w:t>第1部分：评价</w:t>
      </w:r>
      <w:r>
        <w:rPr>
          <w:rFonts w:hint="eastAsia" w:eastAsia="宋体"/>
          <w:color w:val="0000FF"/>
          <w:sz w:val="24"/>
          <w:szCs w:val="24"/>
          <w:u w:val="single"/>
        </w:rPr>
        <w:t>与</w:t>
      </w:r>
      <w:r>
        <w:rPr>
          <w:rFonts w:eastAsia="宋体"/>
          <w:color w:val="0000FF"/>
          <w:sz w:val="24"/>
          <w:szCs w:val="24"/>
          <w:u w:val="single"/>
        </w:rPr>
        <w:t>试验</w:t>
      </w:r>
      <w:r>
        <w:rPr>
          <w:rFonts w:hint="eastAsia" w:eastAsia="宋体"/>
          <w:color w:val="0000FF"/>
          <w:sz w:val="24"/>
          <w:szCs w:val="24"/>
        </w:rPr>
        <w:t>》</w:t>
      </w:r>
      <w:r>
        <w:rPr>
          <w:rStyle w:val="18"/>
          <w:rFonts w:eastAsia="宋体"/>
          <w:color w:val="000000"/>
          <w:sz w:val="24"/>
          <w:szCs w:val="24"/>
        </w:rPr>
        <w:footnoteReference w:id="6"/>
      </w:r>
    </w:p>
    <w:p w14:paraId="6E91CCDA">
      <w:pPr>
        <w:shd w:val="clear" w:color="auto" w:fill="FFFFFF"/>
        <w:snapToGrid w:val="0"/>
        <w:jc w:val="both"/>
        <w:rPr>
          <w:rFonts w:eastAsia="宋体"/>
          <w:color w:val="000000"/>
          <w:sz w:val="24"/>
          <w:szCs w:val="24"/>
        </w:rPr>
      </w:pPr>
    </w:p>
    <w:p w14:paraId="3FCACF7E">
      <w:pPr>
        <w:shd w:val="clear" w:color="auto" w:fill="FFFFFF"/>
        <w:snapToGrid w:val="0"/>
        <w:ind w:firstLine="480" w:firstLineChars="200"/>
        <w:jc w:val="both"/>
        <w:rPr>
          <w:rFonts w:eastAsia="宋体"/>
          <w:color w:val="000000"/>
          <w:sz w:val="21"/>
          <w:szCs w:val="21"/>
        </w:rPr>
      </w:pPr>
      <w:r>
        <w:rPr>
          <w:rFonts w:hint="eastAsia" w:eastAsia="宋体"/>
          <w:color w:val="000000"/>
          <w:sz w:val="24"/>
          <w:szCs w:val="24"/>
        </w:rPr>
        <w:t>FDA</w:t>
      </w:r>
      <w:r>
        <w:rPr>
          <w:rFonts w:eastAsia="宋体"/>
          <w:color w:val="000000"/>
          <w:sz w:val="24"/>
          <w:szCs w:val="24"/>
        </w:rPr>
        <w:t>建议对</w:t>
      </w:r>
      <w:r>
        <w:rPr>
          <w:rFonts w:hint="eastAsia" w:eastAsia="宋体"/>
          <w:color w:val="000000"/>
          <w:sz w:val="24"/>
          <w:szCs w:val="24"/>
        </w:rPr>
        <w:t>预期</w:t>
      </w:r>
      <w:r>
        <w:rPr>
          <w:rFonts w:eastAsia="宋体"/>
          <w:color w:val="000000"/>
          <w:sz w:val="24"/>
          <w:szCs w:val="24"/>
        </w:rPr>
        <w:t>标记为</w:t>
      </w:r>
      <w:r>
        <w:rPr>
          <w:rFonts w:ascii="宋体" w:hAnsi="宋体" w:eastAsia="宋体"/>
          <w:color w:val="000000"/>
          <w:sz w:val="24"/>
          <w:szCs w:val="24"/>
        </w:rPr>
        <w:t>“</w:t>
      </w:r>
      <w:r>
        <w:rPr>
          <w:rFonts w:eastAsia="宋体"/>
          <w:color w:val="000000"/>
          <w:sz w:val="24"/>
          <w:szCs w:val="24"/>
        </w:rPr>
        <w:t>非热原性</w:t>
      </w:r>
      <w:r>
        <w:rPr>
          <w:rFonts w:ascii="宋体" w:hAnsi="宋体" w:eastAsia="宋体"/>
          <w:color w:val="000000"/>
          <w:sz w:val="24"/>
          <w:szCs w:val="24"/>
        </w:rPr>
        <w:t>”</w:t>
      </w:r>
      <w:r>
        <w:rPr>
          <w:rFonts w:eastAsia="宋体"/>
          <w:color w:val="000000"/>
          <w:sz w:val="24"/>
          <w:szCs w:val="24"/>
        </w:rPr>
        <w:t>的器械同时进行细菌内毒素和材料介导的热原</w:t>
      </w:r>
      <w:r>
        <w:rPr>
          <w:rFonts w:hint="eastAsia" w:eastAsia="宋体"/>
          <w:color w:val="000000"/>
          <w:sz w:val="24"/>
          <w:szCs w:val="24"/>
        </w:rPr>
        <w:t>试验（使用家兔进行试验）</w:t>
      </w:r>
      <w:r>
        <w:rPr>
          <w:rFonts w:eastAsia="宋体"/>
          <w:color w:val="000000"/>
          <w:sz w:val="21"/>
          <w:szCs w:val="21"/>
        </w:rPr>
        <w:t>。</w:t>
      </w:r>
    </w:p>
    <w:p w14:paraId="7DFFB57E">
      <w:pPr>
        <w:shd w:val="clear" w:color="auto" w:fill="FFFFFF"/>
        <w:snapToGrid w:val="0"/>
        <w:jc w:val="both"/>
        <w:rPr>
          <w:rFonts w:eastAsia="宋体"/>
          <w:sz w:val="21"/>
          <w:szCs w:val="21"/>
        </w:rPr>
      </w:pPr>
    </w:p>
    <w:p w14:paraId="546CD42B">
      <w:pPr>
        <w:pStyle w:val="3"/>
        <w:spacing w:beforeLines="0" w:afterLines="0"/>
        <w:ind w:left="850" w:hanging="424" w:hangingChars="132"/>
        <w:rPr>
          <w:rFonts w:eastAsia="宋体"/>
        </w:rPr>
      </w:pPr>
      <w:bookmarkStart w:id="27" w:name="bookmark13"/>
      <w:bookmarkStart w:id="28" w:name="_Toc98746532"/>
      <w:bookmarkStart w:id="29" w:name="_Toc97483448"/>
      <w:r>
        <w:rPr>
          <w:rFonts w:eastAsia="宋体"/>
        </w:rPr>
        <w:t>F</w:t>
      </w:r>
      <w:bookmarkEnd w:id="27"/>
      <w:r>
        <w:rPr>
          <w:rFonts w:eastAsia="宋体"/>
        </w:rPr>
        <w:t>.</w:t>
      </w:r>
      <w:r>
        <w:rPr>
          <w:rFonts w:eastAsia="宋体"/>
        </w:rPr>
        <w:tab/>
      </w:r>
      <w:r>
        <w:rPr>
          <w:rFonts w:eastAsia="宋体"/>
        </w:rPr>
        <w:t>货架</w:t>
      </w:r>
      <w:r>
        <w:rPr>
          <w:rFonts w:hint="eastAsia" w:eastAsia="宋体"/>
        </w:rPr>
        <w:t>期</w:t>
      </w:r>
      <w:r>
        <w:rPr>
          <w:rFonts w:eastAsia="宋体"/>
        </w:rPr>
        <w:t>和包装</w:t>
      </w:r>
      <w:bookmarkEnd w:id="28"/>
      <w:bookmarkEnd w:id="29"/>
    </w:p>
    <w:p w14:paraId="3AA247D8">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：通过评价包装完整性进行货架</w:t>
      </w:r>
      <w:r>
        <w:rPr>
          <w:rFonts w:hint="eastAsia" w:eastAsia="宋体"/>
          <w:color w:val="000000"/>
          <w:sz w:val="24"/>
          <w:szCs w:val="24"/>
        </w:rPr>
        <w:t>期测试</w:t>
      </w:r>
      <w:r>
        <w:rPr>
          <w:rFonts w:eastAsia="宋体"/>
          <w:color w:val="000000"/>
          <w:sz w:val="24"/>
          <w:szCs w:val="24"/>
        </w:rPr>
        <w:t>以支持拟定</w:t>
      </w:r>
      <w:r>
        <w:rPr>
          <w:rFonts w:hint="eastAsia" w:eastAsia="宋体"/>
          <w:color w:val="000000"/>
          <w:sz w:val="24"/>
          <w:szCs w:val="24"/>
        </w:rPr>
        <w:t>失效日</w:t>
      </w:r>
      <w:r>
        <w:rPr>
          <w:rFonts w:eastAsia="宋体"/>
          <w:color w:val="000000"/>
          <w:sz w:val="24"/>
          <w:szCs w:val="24"/>
        </w:rPr>
        <w:t>期，以保持器械无菌性和/或评价器械性能或功能的任何变更。</w:t>
      </w:r>
    </w:p>
    <w:p w14:paraId="7832C523">
      <w:pPr>
        <w:shd w:val="clear" w:color="auto" w:fill="FFFFFF"/>
        <w:snapToGrid w:val="0"/>
        <w:jc w:val="both"/>
        <w:rPr>
          <w:rFonts w:eastAsia="宋体"/>
          <w:sz w:val="24"/>
          <w:szCs w:val="24"/>
        </w:rPr>
      </w:pPr>
    </w:p>
    <w:p w14:paraId="162557C3">
      <w:pPr>
        <w:shd w:val="clear" w:color="auto" w:fill="FFFFFF"/>
        <w:snapToGrid w:val="0"/>
        <w:jc w:val="both"/>
        <w:rPr>
          <w:rFonts w:eastAsia="宋体"/>
          <w:i/>
          <w:iCs/>
          <w:color w:val="000000"/>
          <w:sz w:val="24"/>
          <w:szCs w:val="24"/>
        </w:rPr>
      </w:pPr>
      <w:r>
        <w:rPr>
          <w:rFonts w:eastAsia="宋体"/>
          <w:color w:val="000000"/>
          <w:sz w:val="24"/>
          <w:szCs w:val="24"/>
          <w:u w:val="single"/>
        </w:rPr>
        <w:t>建议</w:t>
      </w:r>
      <w:r>
        <w:rPr>
          <w:rFonts w:eastAsia="宋体"/>
          <w:color w:val="000000"/>
          <w:sz w:val="24"/>
          <w:szCs w:val="24"/>
        </w:rPr>
        <w:t>：关于保持器械无菌性的包装完整性，您应该提供包装的描述，包括如何保持器械的无菌性，以及包装完整性测试方法的描述，但不是包装测试数据。我们建议包装完整性测试方法包括模拟分配和相关的包装完整性测试，以及模拟（和/或实时）老化和相关的密封强度测试，以</w:t>
      </w:r>
      <w:r>
        <w:rPr>
          <w:rFonts w:hint="eastAsia" w:eastAsia="宋体"/>
          <w:color w:val="000000"/>
          <w:sz w:val="24"/>
          <w:szCs w:val="24"/>
        </w:rPr>
        <w:t>确认</w:t>
      </w:r>
      <w:r>
        <w:rPr>
          <w:rFonts w:eastAsia="宋体"/>
          <w:color w:val="000000"/>
          <w:sz w:val="24"/>
          <w:szCs w:val="24"/>
        </w:rPr>
        <w:t>包装完整性和货架有效期声明。建议您遵循FDA认可的系列共识标准AAMI/ANSI/ISO 11607-1中描述的方法：</w:t>
      </w:r>
      <w:r>
        <w:rPr>
          <w:rFonts w:eastAsia="宋体"/>
          <w:i/>
          <w:iCs/>
          <w:color w:val="000000"/>
          <w:sz w:val="24"/>
          <w:szCs w:val="24"/>
        </w:rPr>
        <w:t>最终灭菌医疗器械包装 - 第1部分：对材料、无菌屏障系统和包装的要求</w:t>
      </w:r>
      <w:r>
        <w:rPr>
          <w:rFonts w:eastAsia="宋体"/>
          <w:color w:val="000000"/>
          <w:sz w:val="24"/>
          <w:szCs w:val="24"/>
        </w:rPr>
        <w:t>以及AAMI/ANSI/ISO 11607-2：</w:t>
      </w:r>
      <w:r>
        <w:rPr>
          <w:rFonts w:eastAsia="宋体"/>
          <w:i/>
          <w:iCs/>
          <w:color w:val="000000"/>
          <w:sz w:val="24"/>
          <w:szCs w:val="24"/>
        </w:rPr>
        <w:t>最终灭菌医疗器械包装 - 第2部分：成型、密封和装配过程的</w:t>
      </w:r>
      <w:r>
        <w:rPr>
          <w:rFonts w:hint="eastAsia" w:eastAsia="宋体"/>
          <w:i/>
          <w:iCs/>
          <w:color w:val="000000"/>
          <w:sz w:val="24"/>
          <w:szCs w:val="24"/>
        </w:rPr>
        <w:t>确认</w:t>
      </w:r>
      <w:r>
        <w:rPr>
          <w:rFonts w:eastAsia="宋体"/>
          <w:i/>
          <w:iCs/>
          <w:color w:val="000000"/>
          <w:sz w:val="24"/>
          <w:szCs w:val="24"/>
        </w:rPr>
        <w:t>要求。</w:t>
      </w:r>
    </w:p>
    <w:p w14:paraId="284F4B74">
      <w:pPr>
        <w:shd w:val="clear" w:color="auto" w:fill="FFFFFF"/>
        <w:snapToGrid w:val="0"/>
        <w:jc w:val="both"/>
        <w:rPr>
          <w:rFonts w:eastAsia="宋体"/>
          <w:sz w:val="24"/>
          <w:szCs w:val="24"/>
        </w:rPr>
      </w:pPr>
    </w:p>
    <w:p w14:paraId="4DE806D7">
      <w:pPr>
        <w:shd w:val="clear" w:color="auto" w:fill="FFFFFF"/>
        <w:snapToGrid w:val="0"/>
        <w:ind w:firstLine="480" w:firstLineChars="200"/>
        <w:jc w:val="both"/>
        <w:rPr>
          <w:rFonts w:eastAsia="宋体"/>
          <w:color w:val="000000"/>
          <w:sz w:val="24"/>
          <w:szCs w:val="24"/>
        </w:rPr>
      </w:pPr>
      <w:r>
        <w:rPr>
          <w:rFonts w:eastAsia="宋体"/>
          <w:color w:val="000000"/>
          <w:sz w:val="24"/>
          <w:szCs w:val="24"/>
        </w:rPr>
        <w:t>关于评价老化对器械性能或功能的影响，货架</w:t>
      </w:r>
      <w:r>
        <w:rPr>
          <w:rFonts w:hint="eastAsia" w:eastAsia="宋体"/>
          <w:color w:val="000000"/>
          <w:sz w:val="24"/>
          <w:szCs w:val="24"/>
        </w:rPr>
        <w:t>期</w:t>
      </w:r>
      <w:r>
        <w:rPr>
          <w:rFonts w:eastAsia="宋体"/>
          <w:color w:val="000000"/>
          <w:sz w:val="24"/>
          <w:szCs w:val="24"/>
        </w:rPr>
        <w:t>研究应评价关键器械性能，以确保其在整个拟定货架</w:t>
      </w:r>
      <w:r>
        <w:rPr>
          <w:rFonts w:hint="eastAsia" w:eastAsia="宋体"/>
          <w:color w:val="000000"/>
          <w:sz w:val="24"/>
          <w:szCs w:val="24"/>
        </w:rPr>
        <w:t>寿命</w:t>
      </w:r>
      <w:r>
        <w:rPr>
          <w:rFonts w:eastAsia="宋体"/>
          <w:color w:val="000000"/>
          <w:sz w:val="24"/>
          <w:szCs w:val="24"/>
        </w:rPr>
        <w:t>内充分一致地发挥功能。为了评估器械的功能，我们建议您评估第IV.G节非临床性能测试中描述的台架测试，并重复所有评估可能受老化影响的设计组件或特性的测试。</w:t>
      </w:r>
    </w:p>
    <w:p w14:paraId="5826F999">
      <w:pPr>
        <w:shd w:val="clear" w:color="auto" w:fill="FFFFFF"/>
        <w:snapToGrid w:val="0"/>
        <w:ind w:firstLine="480" w:firstLineChars="200"/>
        <w:jc w:val="both"/>
        <w:rPr>
          <w:rFonts w:eastAsia="宋体"/>
          <w:sz w:val="24"/>
          <w:szCs w:val="24"/>
        </w:rPr>
      </w:pPr>
    </w:p>
    <w:p w14:paraId="40F83892">
      <w:pPr>
        <w:shd w:val="clear" w:color="auto" w:fill="FFFFFF"/>
        <w:snapToGrid w:val="0"/>
        <w:ind w:firstLine="480" w:firstLineChars="200"/>
        <w:jc w:val="both"/>
        <w:rPr>
          <w:rFonts w:eastAsia="宋体"/>
          <w:sz w:val="24"/>
          <w:szCs w:val="24"/>
        </w:rPr>
      </w:pPr>
      <w:r>
        <w:rPr>
          <w:rFonts w:eastAsia="宋体"/>
          <w:color w:val="000000"/>
          <w:sz w:val="24"/>
          <w:szCs w:val="24"/>
        </w:rPr>
        <w:t>我们建议您提供一份用于货架</w:t>
      </w:r>
      <w:r>
        <w:rPr>
          <w:rFonts w:hint="eastAsia" w:eastAsia="宋体"/>
          <w:color w:val="000000"/>
          <w:sz w:val="24"/>
          <w:szCs w:val="24"/>
        </w:rPr>
        <w:t>期</w:t>
      </w:r>
      <w:r>
        <w:rPr>
          <w:rFonts w:eastAsia="宋体"/>
          <w:color w:val="000000"/>
          <w:sz w:val="24"/>
          <w:szCs w:val="24"/>
        </w:rPr>
        <w:t>测试的测试方法、结果以及从结果中得出的结论摘要。如果您使用经过加速老化的器件进行货架寿命测试，我们建议说明器件的老化方式。建议按照目前FDA认可的ASTM F1980版本：</w:t>
      </w:r>
      <w:r>
        <w:rPr>
          <w:rFonts w:eastAsia="宋体"/>
          <w:i/>
          <w:iCs/>
          <w:color w:val="000000"/>
          <w:sz w:val="24"/>
          <w:szCs w:val="24"/>
        </w:rPr>
        <w:t>医疗器械无菌屏障系统加速老化的标准指南</w:t>
      </w:r>
      <w:r>
        <w:rPr>
          <w:rFonts w:eastAsia="宋体"/>
          <w:color w:val="000000"/>
          <w:sz w:val="24"/>
          <w:szCs w:val="24"/>
        </w:rPr>
        <w:t>对您的器械进行老化，并规定用于达到失效日期的环境参数。对于含有聚合物材料或涂层的器械或部件，应该对实时老化样品进行测试，以确认加速老化研究的结果。这种测试可以与510（k）审查和</w:t>
      </w:r>
      <w:r>
        <w:rPr>
          <w:rFonts w:hint="eastAsia" w:eastAsia="宋体"/>
          <w:color w:val="000000"/>
          <w:sz w:val="24"/>
          <w:szCs w:val="24"/>
        </w:rPr>
        <w:t>许可</w:t>
      </w:r>
      <w:r>
        <w:rPr>
          <w:rFonts w:eastAsia="宋体"/>
          <w:color w:val="000000"/>
          <w:sz w:val="24"/>
          <w:szCs w:val="24"/>
        </w:rPr>
        <w:t>同时进行，记录的结果在设计历史文件中存档（即，</w:t>
      </w:r>
      <w:r>
        <w:rPr>
          <w:rFonts w:hint="eastAsia" w:eastAsia="宋体"/>
          <w:color w:val="000000"/>
          <w:sz w:val="24"/>
          <w:szCs w:val="24"/>
        </w:rPr>
        <w:t>无需</w:t>
      </w:r>
      <w:r>
        <w:rPr>
          <w:rFonts w:eastAsia="宋体"/>
          <w:color w:val="000000"/>
          <w:sz w:val="24"/>
          <w:szCs w:val="24"/>
        </w:rPr>
        <w:t>提交给FDA完整的测试报告）。</w:t>
      </w:r>
    </w:p>
    <w:p w14:paraId="6DAD13CC">
      <w:pPr>
        <w:shd w:val="clear" w:color="auto" w:fill="FFFFFF"/>
        <w:snapToGrid w:val="0"/>
        <w:jc w:val="both"/>
        <w:rPr>
          <w:rFonts w:eastAsia="宋体"/>
          <w:sz w:val="24"/>
          <w:szCs w:val="24"/>
        </w:rPr>
      </w:pPr>
    </w:p>
    <w:p w14:paraId="58DF931A">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2A46DA8A">
      <w:pPr>
        <w:pStyle w:val="3"/>
        <w:spacing w:beforeLines="0" w:afterLines="0"/>
        <w:ind w:left="850" w:hanging="424" w:hangingChars="132"/>
        <w:rPr>
          <w:rFonts w:eastAsia="宋体"/>
        </w:rPr>
      </w:pPr>
      <w:bookmarkStart w:id="30" w:name="bookmark16"/>
      <w:bookmarkStart w:id="31" w:name="_Toc97483449"/>
      <w:bookmarkStart w:id="32" w:name="_Toc98746533"/>
      <w:r>
        <w:rPr>
          <w:rFonts w:eastAsia="宋体"/>
        </w:rPr>
        <w:t>G</w:t>
      </w:r>
      <w:bookmarkEnd w:id="30"/>
      <w:r>
        <w:rPr>
          <w:rFonts w:eastAsia="宋体"/>
        </w:rPr>
        <w:t>.</w:t>
      </w:r>
      <w:r>
        <w:rPr>
          <w:rFonts w:eastAsia="宋体"/>
        </w:rPr>
        <w:tab/>
      </w:r>
      <w:r>
        <w:rPr>
          <w:rFonts w:eastAsia="宋体"/>
        </w:rPr>
        <w:t>非临床</w:t>
      </w:r>
      <w:bookmarkEnd w:id="31"/>
      <w:r>
        <w:rPr>
          <w:rFonts w:eastAsia="宋体"/>
        </w:rPr>
        <w:t>台架</w:t>
      </w:r>
      <w:r>
        <w:rPr>
          <w:rFonts w:hint="eastAsia" w:eastAsia="宋体"/>
        </w:rPr>
        <w:t>测试</w:t>
      </w:r>
      <w:bookmarkEnd w:id="32"/>
    </w:p>
    <w:p w14:paraId="0061B44C">
      <w:pPr>
        <w:shd w:val="clear" w:color="auto" w:fill="FFFFFF"/>
        <w:snapToGrid w:val="0"/>
        <w:ind w:firstLine="480" w:firstLineChars="200"/>
        <w:jc w:val="both"/>
        <w:rPr>
          <w:rFonts w:eastAsia="宋体"/>
          <w:color w:val="000000"/>
          <w:sz w:val="24"/>
          <w:szCs w:val="24"/>
        </w:rPr>
      </w:pPr>
      <w:r>
        <w:rPr>
          <w:rFonts w:eastAsia="宋体"/>
          <w:color w:val="000000"/>
          <w:sz w:val="24"/>
          <w:szCs w:val="24"/>
        </w:rPr>
        <w:t>非临床台架测试的目的是确保器械在规定的使用条件下发挥预期的性能，并支持证明与</w:t>
      </w:r>
      <w:r>
        <w:rPr>
          <w:rFonts w:hint="eastAsia" w:eastAsia="宋体"/>
          <w:color w:val="000000"/>
          <w:sz w:val="24"/>
          <w:szCs w:val="24"/>
        </w:rPr>
        <w:t>同品种</w:t>
      </w:r>
      <w:r>
        <w:rPr>
          <w:rFonts w:eastAsia="宋体"/>
          <w:color w:val="000000"/>
          <w:sz w:val="24"/>
          <w:szCs w:val="24"/>
        </w:rPr>
        <w:t>器械的实质等</w:t>
      </w:r>
      <w:r>
        <w:rPr>
          <w:rFonts w:hint="eastAsia" w:eastAsia="宋体"/>
          <w:color w:val="000000"/>
          <w:sz w:val="24"/>
          <w:szCs w:val="24"/>
        </w:rPr>
        <w:t>同</w:t>
      </w:r>
      <w:r>
        <w:rPr>
          <w:rFonts w:eastAsia="宋体"/>
          <w:color w:val="000000"/>
          <w:sz w:val="24"/>
          <w:szCs w:val="24"/>
        </w:rPr>
        <w:t>性。为每个器械的预期用途</w:t>
      </w:r>
      <w:r>
        <w:rPr>
          <w:rFonts w:hint="eastAsia" w:eastAsia="宋体"/>
          <w:color w:val="000000"/>
          <w:sz w:val="24"/>
          <w:szCs w:val="24"/>
        </w:rPr>
        <w:t>建议</w:t>
      </w:r>
      <w:r>
        <w:rPr>
          <w:rFonts w:eastAsia="宋体"/>
          <w:color w:val="000000"/>
          <w:sz w:val="24"/>
          <w:szCs w:val="24"/>
        </w:rPr>
        <w:t>的非临床性能测试可能根据其与预期目标血管相关的各自风险状况而有所不同。FDA建议您提供以下信息，以评估您最终的已</w:t>
      </w:r>
      <w:r>
        <w:rPr>
          <w:rFonts w:hint="eastAsia" w:eastAsia="宋体"/>
          <w:color w:val="000000"/>
          <w:sz w:val="24"/>
          <w:szCs w:val="24"/>
        </w:rPr>
        <w:t>灭菌</w:t>
      </w:r>
      <w:r>
        <w:rPr>
          <w:rFonts w:eastAsia="宋体"/>
          <w:color w:val="000000"/>
          <w:sz w:val="24"/>
          <w:szCs w:val="24"/>
        </w:rPr>
        <w:t>器械的材料和性能特征，这些信息代表每个性能测试的最坏情况设计。在适当情况下，应将申报器械的性能与</w:t>
      </w:r>
      <w:r>
        <w:rPr>
          <w:rFonts w:hint="eastAsia" w:eastAsia="宋体"/>
          <w:color w:val="000000"/>
          <w:sz w:val="24"/>
          <w:szCs w:val="24"/>
        </w:rPr>
        <w:t>同品种</w:t>
      </w:r>
      <w:r>
        <w:rPr>
          <w:rFonts w:eastAsia="宋体"/>
          <w:color w:val="000000"/>
          <w:sz w:val="24"/>
          <w:szCs w:val="24"/>
        </w:rPr>
        <w:t>器械的性能进行比较。</w:t>
      </w:r>
      <w:r>
        <w:rPr>
          <w:rStyle w:val="18"/>
          <w:rFonts w:eastAsia="宋体"/>
          <w:color w:val="000000"/>
          <w:sz w:val="24"/>
          <w:szCs w:val="24"/>
        </w:rPr>
        <w:footnoteReference w:id="7"/>
      </w:r>
      <w:r>
        <w:rPr>
          <w:rFonts w:eastAsia="宋体"/>
          <w:color w:val="000000"/>
          <w:sz w:val="24"/>
          <w:szCs w:val="24"/>
        </w:rPr>
        <w:t>如果您提交的材料中不包括第IV.G节中所列的非临床性能测试，我们建议您提供临床和基于风险的理由来说明其遗漏。</w:t>
      </w:r>
    </w:p>
    <w:p w14:paraId="3F27B9D4">
      <w:pPr>
        <w:shd w:val="clear" w:color="auto" w:fill="FFFFFF"/>
        <w:snapToGrid w:val="0"/>
        <w:ind w:firstLine="480" w:firstLineChars="200"/>
        <w:jc w:val="both"/>
        <w:rPr>
          <w:rFonts w:eastAsia="宋体"/>
          <w:sz w:val="24"/>
          <w:szCs w:val="24"/>
        </w:rPr>
      </w:pPr>
    </w:p>
    <w:p w14:paraId="07331338">
      <w:pPr>
        <w:shd w:val="clear" w:color="auto" w:fill="FFFFFF"/>
        <w:snapToGrid w:val="0"/>
        <w:ind w:firstLine="480" w:firstLineChars="200"/>
        <w:jc w:val="both"/>
        <w:rPr>
          <w:color w:val="000000"/>
          <w:sz w:val="24"/>
        </w:rPr>
      </w:pPr>
      <w:r>
        <w:rPr>
          <w:rFonts w:eastAsia="宋体"/>
          <w:color w:val="000000"/>
          <w:sz w:val="24"/>
          <w:szCs w:val="24"/>
        </w:rPr>
        <w:t>有关本节所述测试的</w:t>
      </w:r>
      <w:r>
        <w:rPr>
          <w:rFonts w:hint="eastAsia" w:eastAsia="宋体"/>
          <w:color w:val="000000"/>
          <w:sz w:val="24"/>
          <w:szCs w:val="24"/>
        </w:rPr>
        <w:t>建议</w:t>
      </w:r>
      <w:r>
        <w:rPr>
          <w:rFonts w:eastAsia="宋体"/>
          <w:color w:val="000000"/>
          <w:sz w:val="24"/>
          <w:szCs w:val="24"/>
        </w:rPr>
        <w:t>内容和格式的信息，请参考FDA的指南</w:t>
      </w:r>
      <w:r>
        <w:rPr>
          <w:rFonts w:hint="eastAsia" w:eastAsia="宋体"/>
          <w:color w:val="000000"/>
          <w:sz w:val="24"/>
          <w:szCs w:val="24"/>
        </w:rPr>
        <w:t>《</w:t>
      </w:r>
      <w:r>
        <w:rPr>
          <w:rFonts w:eastAsia="宋体"/>
          <w:color w:val="0000FF"/>
          <w:sz w:val="24"/>
          <w:szCs w:val="24"/>
          <w:u w:val="single"/>
        </w:rPr>
        <w:t>上市前</w:t>
      </w:r>
      <w:r>
        <w:rPr>
          <w:rFonts w:hint="eastAsia" w:eastAsia="宋体"/>
          <w:color w:val="0000FF"/>
          <w:sz w:val="24"/>
          <w:szCs w:val="24"/>
          <w:u w:val="single"/>
        </w:rPr>
        <w:t>申请中</w:t>
      </w:r>
      <w:r>
        <w:rPr>
          <w:rFonts w:eastAsia="宋体"/>
          <w:color w:val="0000FF"/>
          <w:sz w:val="24"/>
          <w:szCs w:val="24"/>
          <w:u w:val="single"/>
        </w:rPr>
        <w:t>非临床</w:t>
      </w:r>
      <w:r>
        <w:rPr>
          <w:rFonts w:hint="eastAsia" w:eastAsia="宋体"/>
          <w:color w:val="0000FF"/>
          <w:sz w:val="24"/>
          <w:szCs w:val="24"/>
          <w:u w:val="single"/>
        </w:rPr>
        <w:t>台架</w:t>
      </w:r>
      <w:r>
        <w:rPr>
          <w:rFonts w:eastAsia="宋体"/>
          <w:color w:val="0000FF"/>
          <w:sz w:val="24"/>
          <w:szCs w:val="24"/>
          <w:u w:val="single"/>
        </w:rPr>
        <w:t>性能测试信息的建议内容和格式</w:t>
      </w:r>
      <w:r>
        <w:rPr>
          <w:rFonts w:hint="eastAsia" w:eastAsia="宋体"/>
          <w:color w:val="0000FF"/>
          <w:sz w:val="24"/>
          <w:szCs w:val="24"/>
          <w:u w:val="single"/>
        </w:rPr>
        <w:t>》</w:t>
      </w:r>
      <w:r>
        <w:rPr>
          <w:rStyle w:val="18"/>
          <w:rFonts w:eastAsia="宋体"/>
          <w:color w:val="000000"/>
          <w:sz w:val="24"/>
          <w:szCs w:val="24"/>
        </w:rPr>
        <w:footnoteReference w:id="8"/>
      </w:r>
    </w:p>
    <w:p w14:paraId="7A69CD4F">
      <w:pPr>
        <w:shd w:val="clear" w:color="auto" w:fill="FFFFFF"/>
        <w:snapToGrid w:val="0"/>
        <w:jc w:val="both"/>
        <w:rPr>
          <w:rFonts w:eastAsia="宋体"/>
          <w:sz w:val="24"/>
          <w:szCs w:val="24"/>
        </w:rPr>
      </w:pPr>
    </w:p>
    <w:p w14:paraId="31F034B4">
      <w:pPr>
        <w:pStyle w:val="4"/>
        <w:snapToGrid w:val="0"/>
        <w:spacing w:beforeLines="0" w:afterLines="0"/>
        <w:ind w:left="990" w:hanging="424" w:hangingChars="151"/>
        <w:rPr>
          <w:rFonts w:eastAsia="宋体"/>
        </w:rPr>
      </w:pPr>
      <w:r>
        <w:rPr>
          <w:rFonts w:eastAsia="宋体"/>
        </w:rPr>
        <w:t>1.</w:t>
      </w:r>
      <w:r>
        <w:rPr>
          <w:rFonts w:eastAsia="宋体"/>
        </w:rPr>
        <w:tab/>
      </w:r>
      <w:r>
        <w:rPr>
          <w:rFonts w:eastAsia="宋体"/>
        </w:rPr>
        <w:t>预处理</w:t>
      </w:r>
    </w:p>
    <w:p w14:paraId="05ED6843">
      <w:pPr>
        <w:shd w:val="clear" w:color="auto" w:fill="FFFFFF"/>
        <w:snapToGrid w:val="0"/>
        <w:ind w:firstLine="480" w:firstLineChars="200"/>
        <w:jc w:val="both"/>
        <w:rPr>
          <w:rFonts w:eastAsia="宋体"/>
          <w:sz w:val="24"/>
          <w:szCs w:val="24"/>
        </w:rPr>
      </w:pPr>
      <w:r>
        <w:rPr>
          <w:rFonts w:eastAsia="宋体"/>
          <w:color w:val="000000"/>
          <w:sz w:val="24"/>
          <w:szCs w:val="24"/>
        </w:rPr>
        <w:t>预处理包括各种测试样品的</w:t>
      </w:r>
      <w:r>
        <w:rPr>
          <w:rFonts w:hint="eastAsia" w:eastAsia="宋体"/>
          <w:color w:val="000000"/>
          <w:sz w:val="24"/>
          <w:szCs w:val="24"/>
        </w:rPr>
        <w:t>制</w:t>
      </w:r>
      <w:r>
        <w:rPr>
          <w:rFonts w:eastAsia="宋体"/>
          <w:color w:val="000000"/>
          <w:sz w:val="24"/>
          <w:szCs w:val="24"/>
        </w:rPr>
        <w:t>备，可能取决于所进行的测试。在进行非临床性能测试之前，我们建议您按照使用说明书准备器械。对于正在评估的某些器械特性（例如，涂层完整性、微粒生成），您还应该对器械进行额外的预处理（例如，在37°C的生理相关溶液中长时间浸泡），并如第IV.G.2节所述通过模拟使用模型进行跟踪来</w:t>
      </w:r>
      <w:r>
        <w:rPr>
          <w:rFonts w:hint="eastAsia" w:eastAsia="宋体"/>
          <w:color w:val="000000"/>
          <w:sz w:val="24"/>
          <w:szCs w:val="24"/>
        </w:rPr>
        <w:t>模拟</w:t>
      </w:r>
      <w:r>
        <w:rPr>
          <w:rFonts w:eastAsia="宋体"/>
          <w:color w:val="000000"/>
          <w:sz w:val="24"/>
          <w:szCs w:val="24"/>
        </w:rPr>
        <w:t>最坏情况下的临床使用。我们建议在适用的情况下，从临床上证明每次测试所使用的预处理参数。</w:t>
      </w:r>
    </w:p>
    <w:p w14:paraId="0C2BD787">
      <w:pPr>
        <w:shd w:val="clear" w:color="auto" w:fill="FFFFFF"/>
        <w:tabs>
          <w:tab w:val="left" w:pos="115"/>
        </w:tabs>
        <w:snapToGrid w:val="0"/>
        <w:jc w:val="both"/>
        <w:rPr>
          <w:rFonts w:eastAsia="宋体"/>
          <w:color w:val="000000"/>
          <w:sz w:val="24"/>
          <w:szCs w:val="24"/>
          <w:vertAlign w:val="superscript"/>
        </w:rPr>
      </w:pPr>
    </w:p>
    <w:p w14:paraId="0321DD07">
      <w:pPr>
        <w:shd w:val="clear" w:color="auto" w:fill="FFFFFF"/>
        <w:tabs>
          <w:tab w:val="left" w:pos="115"/>
        </w:tabs>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02316BB">
      <w:pPr>
        <w:pStyle w:val="4"/>
        <w:snapToGrid w:val="0"/>
        <w:spacing w:beforeLines="0" w:afterLines="0"/>
        <w:ind w:left="990" w:hanging="424" w:hangingChars="151"/>
        <w:rPr>
          <w:rFonts w:eastAsia="宋体"/>
        </w:rPr>
      </w:pPr>
      <w:r>
        <w:rPr>
          <w:rFonts w:eastAsia="宋体"/>
        </w:rPr>
        <w:t>2.</w:t>
      </w:r>
      <w:r>
        <w:rPr>
          <w:rFonts w:eastAsia="宋体"/>
        </w:rPr>
        <w:tab/>
      </w:r>
      <w:r>
        <w:rPr>
          <w:rFonts w:eastAsia="宋体"/>
        </w:rPr>
        <w:t>模拟使用模型</w:t>
      </w:r>
    </w:p>
    <w:p w14:paraId="7CC9995E">
      <w:pPr>
        <w:shd w:val="clear" w:color="auto" w:fill="FFFFFF"/>
        <w:snapToGrid w:val="0"/>
        <w:ind w:firstLine="480" w:firstLineChars="200"/>
        <w:jc w:val="both"/>
        <w:rPr>
          <w:rFonts w:eastAsia="宋体"/>
          <w:color w:val="000000"/>
          <w:sz w:val="24"/>
          <w:szCs w:val="24"/>
        </w:rPr>
      </w:pPr>
      <w:r>
        <w:rPr>
          <w:rFonts w:hint="eastAsia" w:eastAsia="宋体"/>
          <w:color w:val="000000"/>
          <w:sz w:val="24"/>
          <w:szCs w:val="24"/>
        </w:rPr>
        <w:t>模拟使用模型可以在预处理或模拟解剖测试时使用</w:t>
      </w:r>
      <w:r>
        <w:rPr>
          <w:rFonts w:eastAsia="宋体"/>
          <w:color w:val="000000"/>
          <w:sz w:val="24"/>
          <w:szCs w:val="24"/>
        </w:rPr>
        <w:t>。解剖模型应该有适当的</w:t>
      </w:r>
      <w:r>
        <w:rPr>
          <w:rFonts w:hint="eastAsia" w:eastAsia="宋体"/>
          <w:color w:val="000000"/>
          <w:sz w:val="24"/>
          <w:szCs w:val="24"/>
        </w:rPr>
        <w:t>挑战性</w:t>
      </w:r>
      <w:r>
        <w:rPr>
          <w:rFonts w:eastAsia="宋体"/>
          <w:color w:val="000000"/>
          <w:sz w:val="24"/>
          <w:szCs w:val="24"/>
        </w:rPr>
        <w:t>，以代表拟治疗的患者人群的</w:t>
      </w:r>
      <w:r>
        <w:rPr>
          <w:rFonts w:hint="eastAsia" w:eastAsia="宋体"/>
          <w:color w:val="000000"/>
          <w:sz w:val="24"/>
          <w:szCs w:val="24"/>
        </w:rPr>
        <w:t>非常规</w:t>
      </w:r>
      <w:r>
        <w:rPr>
          <w:rFonts w:eastAsia="宋体"/>
          <w:color w:val="000000"/>
          <w:sz w:val="24"/>
          <w:szCs w:val="24"/>
        </w:rPr>
        <w:t>脉管。在设计解剖模型时，您应该考虑管腔直径、弯曲半径、弯曲反向、弯曲数量、追踪长度和追踪材料（如聚氨酯、硅胶、特氟隆、玻璃乳胶、原生血管）的摩擦系数。我们建议解剖模型应包括所有相关的路径属性以代表人体解剖。如果选择二维解剖模型而不是三维模型，所有的原生路径属性都应该在模型中得到保持和体现。此外，解剖模型应适当地模拟</w:t>
      </w:r>
      <w:r>
        <w:rPr>
          <w:rFonts w:hint="eastAsia" w:eastAsia="宋体"/>
          <w:color w:val="000000"/>
          <w:sz w:val="24"/>
          <w:szCs w:val="24"/>
        </w:rPr>
        <w:t>各种预期曲率和疾病状态，如果适用，器械将遇到所有建议的访问位点。</w:t>
      </w:r>
      <w:r>
        <w:rPr>
          <w:rFonts w:eastAsia="宋体"/>
          <w:color w:val="000000"/>
          <w:sz w:val="24"/>
          <w:szCs w:val="24"/>
        </w:rPr>
        <w:t>虽然目前没有冠状动脉血管、外周血管和/或神经血管的标准化模型，但在ASTM F2394-07的图X2.4</w:t>
      </w:r>
      <w:r>
        <w:rPr>
          <w:rFonts w:hint="eastAsia" w:eastAsia="宋体"/>
          <w:color w:val="000000"/>
          <w:sz w:val="24"/>
          <w:szCs w:val="24"/>
        </w:rPr>
        <w:t>：</w:t>
      </w:r>
      <w:r>
        <w:rPr>
          <w:rFonts w:eastAsia="宋体"/>
          <w:i/>
          <w:iCs/>
          <w:color w:val="000000"/>
          <w:sz w:val="24"/>
          <w:szCs w:val="24"/>
        </w:rPr>
        <w:t>测量安装在输送系统上的球囊可扩张血管支架的固定情况的标准指南</w:t>
      </w:r>
      <w:r>
        <w:rPr>
          <w:rFonts w:eastAsia="宋体"/>
          <w:color w:val="000000"/>
          <w:sz w:val="24"/>
          <w:szCs w:val="24"/>
        </w:rPr>
        <w:t>中描述了FDA以前在上市前</w:t>
      </w:r>
      <w:r>
        <w:rPr>
          <w:rFonts w:hint="eastAsia" w:eastAsia="宋体"/>
          <w:color w:val="000000"/>
          <w:sz w:val="24"/>
          <w:szCs w:val="24"/>
        </w:rPr>
        <w:t>申请</w:t>
      </w:r>
      <w:r>
        <w:rPr>
          <w:rFonts w:eastAsia="宋体"/>
          <w:color w:val="000000"/>
          <w:sz w:val="24"/>
          <w:szCs w:val="24"/>
        </w:rPr>
        <w:t>中接受的跟踪</w:t>
      </w:r>
      <w:r>
        <w:rPr>
          <w:rFonts w:hint="eastAsia" w:eastAsia="宋体"/>
          <w:color w:val="000000"/>
          <w:sz w:val="24"/>
          <w:szCs w:val="24"/>
        </w:rPr>
        <w:t>装置</w:t>
      </w:r>
      <w:r>
        <w:rPr>
          <w:rFonts w:eastAsia="宋体"/>
          <w:color w:val="000000"/>
          <w:sz w:val="24"/>
          <w:szCs w:val="24"/>
        </w:rPr>
        <w:t>的例子。</w:t>
      </w:r>
    </w:p>
    <w:p w14:paraId="5881F504">
      <w:pPr>
        <w:shd w:val="clear" w:color="auto" w:fill="FFFFFF"/>
        <w:snapToGrid w:val="0"/>
        <w:ind w:firstLine="480" w:firstLineChars="200"/>
        <w:jc w:val="both"/>
        <w:rPr>
          <w:rFonts w:eastAsia="宋体"/>
          <w:sz w:val="24"/>
          <w:szCs w:val="24"/>
        </w:rPr>
      </w:pPr>
    </w:p>
    <w:p w14:paraId="6C3E9E8E">
      <w:pPr>
        <w:shd w:val="clear" w:color="auto" w:fill="FFFFFF"/>
        <w:snapToGrid w:val="0"/>
        <w:ind w:firstLine="480" w:firstLineChars="200"/>
        <w:jc w:val="both"/>
        <w:rPr>
          <w:color w:val="000000"/>
          <w:sz w:val="24"/>
        </w:rPr>
      </w:pPr>
      <w:r>
        <w:rPr>
          <w:rFonts w:eastAsia="宋体"/>
          <w:color w:val="000000"/>
          <w:sz w:val="24"/>
          <w:szCs w:val="24"/>
        </w:rPr>
        <w:t>在描述模拟使用模型时，建议确定模型的结构材料，并包括带有尺寸（如长度、电子管直径、弯曲半径）的图片和工程图。</w:t>
      </w:r>
      <w:r>
        <w:rPr>
          <w:rFonts w:hint="eastAsia" w:eastAsia="宋体"/>
          <w:color w:val="000000"/>
          <w:sz w:val="24"/>
          <w:szCs w:val="24"/>
        </w:rPr>
        <w:t>同时，</w:t>
      </w:r>
      <w:r>
        <w:rPr>
          <w:rFonts w:eastAsia="宋体"/>
          <w:color w:val="000000"/>
          <w:sz w:val="24"/>
          <w:szCs w:val="24"/>
        </w:rPr>
        <w:t>支持解剖模型参数选择的临床理由应包括对现有成像数据或有关目标人群解剖学的文献的审查。此外，对于神经血管中拟使用的器械，模拟使用模型应该与使用说明书中包含的相关血管</w:t>
      </w:r>
      <w:r>
        <w:rPr>
          <w:rFonts w:hint="eastAsia" w:eastAsia="宋体"/>
          <w:color w:val="000000"/>
          <w:sz w:val="24"/>
          <w:szCs w:val="24"/>
        </w:rPr>
        <w:t>同样具有挑战性</w:t>
      </w:r>
      <w:r>
        <w:rPr>
          <w:rFonts w:eastAsia="宋体"/>
          <w:color w:val="000000"/>
          <w:sz w:val="24"/>
          <w:szCs w:val="24"/>
        </w:rPr>
        <w:t>。具体来说，我们建议您使用一个完整的三维解剖模型，包括预定的入路部位（如股骨、桡骨）到神经血管中的预定目标位置。为了模拟临床上具有挑战性的迂回，您的全神经血管解剖模型至少应包括颈内动脉（ICA）虹吸管，两（2）个180度转弯和两（2）个360度转弯，在解剖模型的远端部分。对于临床上具有挑战性的神经血管迂曲性，应根据器械的预期用途和/或正在评估的具体性能测试，证明替代的神经血管解剖模型是合理的。</w:t>
      </w:r>
    </w:p>
    <w:p w14:paraId="0A345C4B">
      <w:pPr>
        <w:shd w:val="clear" w:color="auto" w:fill="FFFFFF"/>
        <w:snapToGrid w:val="0"/>
        <w:jc w:val="both"/>
        <w:rPr>
          <w:rFonts w:eastAsia="宋体"/>
          <w:sz w:val="24"/>
          <w:szCs w:val="24"/>
        </w:rPr>
      </w:pPr>
    </w:p>
    <w:p w14:paraId="453E0169">
      <w:pPr>
        <w:pStyle w:val="4"/>
        <w:snapToGrid w:val="0"/>
        <w:spacing w:beforeLines="0" w:afterLines="0"/>
        <w:ind w:left="990" w:hanging="424" w:hangingChars="151"/>
        <w:rPr>
          <w:rFonts w:eastAsia="宋体"/>
        </w:rPr>
      </w:pPr>
      <w:r>
        <w:rPr>
          <w:rFonts w:eastAsia="宋体"/>
        </w:rPr>
        <w:t>3.</w:t>
      </w:r>
      <w:r>
        <w:rPr>
          <w:rFonts w:eastAsia="宋体"/>
        </w:rPr>
        <w:tab/>
      </w:r>
      <w:r>
        <w:rPr>
          <w:rFonts w:eastAsia="宋体"/>
        </w:rPr>
        <w:t>尺寸验证</w:t>
      </w:r>
    </w:p>
    <w:p w14:paraId="3FD71363">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：准确的器械尺寸有助于医生选择合适的产品尺寸</w:t>
      </w:r>
      <w:r>
        <w:rPr>
          <w:rFonts w:hint="eastAsia" w:eastAsia="宋体"/>
          <w:color w:val="000000"/>
          <w:sz w:val="24"/>
          <w:szCs w:val="24"/>
        </w:rPr>
        <w:t>，</w:t>
      </w:r>
      <w:r>
        <w:rPr>
          <w:rFonts w:eastAsia="宋体"/>
          <w:color w:val="000000"/>
          <w:sz w:val="24"/>
          <w:szCs w:val="24"/>
        </w:rPr>
        <w:t>也会影响器械的功能行为。</w:t>
      </w:r>
    </w:p>
    <w:p w14:paraId="1EB58ED5">
      <w:pPr>
        <w:shd w:val="clear" w:color="auto" w:fill="FFFFFF"/>
        <w:snapToGrid w:val="0"/>
        <w:jc w:val="both"/>
        <w:rPr>
          <w:rFonts w:eastAsia="宋体"/>
          <w:sz w:val="24"/>
          <w:szCs w:val="24"/>
        </w:rPr>
      </w:pPr>
    </w:p>
    <w:p w14:paraId="12D0BC39">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：我们建议提供器械制造时的尺寸规格和公差。所选择的耐受性应基于风险，并应具有适当的临床或科学相关的理由。我们建议使用校准过的工具来验证每个尺寸</w:t>
      </w:r>
      <w:r>
        <w:rPr>
          <w:rFonts w:hint="eastAsia" w:eastAsia="宋体"/>
          <w:color w:val="000000"/>
          <w:sz w:val="24"/>
          <w:szCs w:val="24"/>
        </w:rPr>
        <w:t>，或</w:t>
      </w:r>
      <w:r>
        <w:rPr>
          <w:rFonts w:eastAsia="宋体"/>
          <w:color w:val="000000"/>
          <w:sz w:val="24"/>
          <w:szCs w:val="24"/>
        </w:rPr>
        <w:t>至少应测量和报告长度和外径。如果适用，也应报告头端长度、涂层长度或其他导丝特征。</w:t>
      </w:r>
    </w:p>
    <w:p w14:paraId="0CC0C442">
      <w:pPr>
        <w:shd w:val="clear" w:color="auto" w:fill="FFFFFF"/>
        <w:snapToGrid w:val="0"/>
        <w:jc w:val="both"/>
        <w:rPr>
          <w:rFonts w:eastAsia="宋体"/>
          <w:sz w:val="24"/>
          <w:szCs w:val="24"/>
        </w:rPr>
      </w:pPr>
    </w:p>
    <w:p w14:paraId="50FAD867">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6F30948">
      <w:pPr>
        <w:pStyle w:val="4"/>
        <w:snapToGrid w:val="0"/>
        <w:spacing w:beforeLines="0" w:afterLines="0"/>
        <w:ind w:left="990" w:hanging="424" w:hangingChars="151"/>
        <w:rPr>
          <w:rFonts w:eastAsia="宋体"/>
        </w:rPr>
      </w:pPr>
      <w:r>
        <w:rPr>
          <w:rFonts w:eastAsia="宋体"/>
        </w:rPr>
        <w:t>4.</w:t>
      </w:r>
      <w:r>
        <w:rPr>
          <w:rFonts w:eastAsia="宋体"/>
        </w:rPr>
        <w:tab/>
      </w:r>
      <w:r>
        <w:rPr>
          <w:rFonts w:eastAsia="宋体"/>
        </w:rPr>
        <w:t>目视检验</w:t>
      </w:r>
    </w:p>
    <w:p w14:paraId="018303E2">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：导丝缺陷，包括扭结、裂缝、变形或碎片，可导致临床并发症，影响器械的安全和性能。</w:t>
      </w:r>
    </w:p>
    <w:p w14:paraId="2684D6C5">
      <w:pPr>
        <w:shd w:val="clear" w:color="auto" w:fill="FFFFFF"/>
        <w:snapToGrid w:val="0"/>
        <w:jc w:val="both"/>
        <w:rPr>
          <w:rFonts w:eastAsia="宋体"/>
          <w:sz w:val="24"/>
          <w:szCs w:val="24"/>
        </w:rPr>
      </w:pPr>
    </w:p>
    <w:p w14:paraId="5CFB2E50">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：建议测试以确保器械没有</w:t>
      </w:r>
      <w:r>
        <w:rPr>
          <w:rFonts w:hint="eastAsia" w:eastAsia="宋体"/>
          <w:color w:val="000000"/>
          <w:sz w:val="24"/>
          <w:szCs w:val="24"/>
        </w:rPr>
        <w:t>杂质</w:t>
      </w:r>
      <w:r>
        <w:rPr>
          <w:rFonts w:eastAsia="宋体"/>
          <w:color w:val="000000"/>
          <w:sz w:val="24"/>
          <w:szCs w:val="24"/>
        </w:rPr>
        <w:t>和因加工而产生的表面缺陷，这些缺陷可能在使用过程中对血管造成创伤。如果器械有涂层，应该看起来很均匀。我们建议用至少2.5倍的放大</w:t>
      </w:r>
      <w:r>
        <w:rPr>
          <w:rFonts w:hint="eastAsia" w:eastAsia="宋体"/>
          <w:color w:val="000000"/>
          <w:sz w:val="24"/>
          <w:szCs w:val="24"/>
        </w:rPr>
        <w:t>倍率</w:t>
      </w:r>
      <w:r>
        <w:rPr>
          <w:rFonts w:eastAsia="宋体"/>
          <w:color w:val="000000"/>
          <w:sz w:val="24"/>
          <w:szCs w:val="24"/>
        </w:rPr>
        <w:t>来检查这些器械。如果在性能测试之前执行该测试以代表制造后的产品，则该测试可以独立进行或与另一个性能测试结合进行。请注意，对于有涂层的器械，仅靠2.5倍放大</w:t>
      </w:r>
      <w:r>
        <w:rPr>
          <w:rFonts w:hint="eastAsia" w:eastAsia="宋体"/>
          <w:color w:val="000000"/>
          <w:sz w:val="24"/>
          <w:szCs w:val="24"/>
        </w:rPr>
        <w:t>倍率</w:t>
      </w:r>
      <w:r>
        <w:rPr>
          <w:rFonts w:eastAsia="宋体"/>
          <w:color w:val="000000"/>
          <w:sz w:val="24"/>
          <w:szCs w:val="24"/>
        </w:rPr>
        <w:t>的</w:t>
      </w:r>
      <w:r>
        <w:rPr>
          <w:rFonts w:hint="eastAsia" w:eastAsia="宋体"/>
          <w:color w:val="000000"/>
          <w:sz w:val="24"/>
          <w:szCs w:val="24"/>
        </w:rPr>
        <w:t>目视检验</w:t>
      </w:r>
      <w:r>
        <w:rPr>
          <w:rFonts w:eastAsia="宋体"/>
          <w:color w:val="000000"/>
          <w:sz w:val="24"/>
          <w:szCs w:val="24"/>
        </w:rPr>
        <w:t>可能不足以充分评估涂层的完整性，应遵循额外的测试注意事项（见第IV.G.10节涂层完整性）。</w:t>
      </w:r>
    </w:p>
    <w:p w14:paraId="19A93B8A">
      <w:pPr>
        <w:shd w:val="clear" w:color="auto" w:fill="FFFFFF"/>
        <w:snapToGrid w:val="0"/>
        <w:jc w:val="both"/>
        <w:rPr>
          <w:rFonts w:eastAsia="宋体"/>
          <w:sz w:val="24"/>
          <w:szCs w:val="24"/>
        </w:rPr>
      </w:pPr>
    </w:p>
    <w:p w14:paraId="502A4B9F">
      <w:pPr>
        <w:pStyle w:val="4"/>
        <w:snapToGrid w:val="0"/>
        <w:spacing w:beforeLines="0" w:afterLines="0"/>
        <w:ind w:left="990" w:hanging="424" w:hangingChars="151"/>
        <w:rPr>
          <w:rFonts w:eastAsia="宋体"/>
        </w:rPr>
      </w:pPr>
      <w:r>
        <w:rPr>
          <w:rFonts w:eastAsia="宋体"/>
        </w:rPr>
        <w:t>5.</w:t>
      </w:r>
      <w:r>
        <w:rPr>
          <w:rFonts w:eastAsia="宋体"/>
        </w:rPr>
        <w:tab/>
      </w:r>
      <w:r>
        <w:rPr>
          <w:rFonts w:eastAsia="宋体"/>
        </w:rPr>
        <w:t>模拟使用</w:t>
      </w:r>
    </w:p>
    <w:p w14:paraId="4AB76DCE">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：在模拟使用模型中使用该器械，并酌情与其他介入器械相结合，可以提供比孤立的台式性能测试更有临床意义的信息。</w:t>
      </w:r>
    </w:p>
    <w:p w14:paraId="4706B7AC">
      <w:pPr>
        <w:shd w:val="clear" w:color="auto" w:fill="FFFFFF"/>
        <w:snapToGrid w:val="0"/>
        <w:jc w:val="both"/>
        <w:rPr>
          <w:rFonts w:eastAsia="宋体"/>
          <w:sz w:val="24"/>
          <w:szCs w:val="24"/>
        </w:rPr>
      </w:pPr>
    </w:p>
    <w:p w14:paraId="40253A26">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：我们建议您根据使用说明书将器械与辅助器械（如导引器、导引导管）结合使用，并通过模拟使用模型多次跟踪器械。请参</w:t>
      </w:r>
      <w:r>
        <w:rPr>
          <w:rFonts w:hint="eastAsia" w:eastAsia="宋体"/>
          <w:color w:val="000000"/>
          <w:sz w:val="24"/>
          <w:szCs w:val="24"/>
        </w:rPr>
        <w:t>见</w:t>
      </w:r>
      <w:r>
        <w:rPr>
          <w:rFonts w:eastAsia="宋体"/>
          <w:color w:val="000000"/>
          <w:sz w:val="24"/>
          <w:szCs w:val="24"/>
        </w:rPr>
        <w:t>第IV.G.2节模拟使用模型，了解开发解剖模型的建议。您应该报告关于在模拟使用模型中的与辅助器械的兼容性、适当的准备以及器械的可操作性观察记录。您还应在使用前、使用中（如扭结、推压能力受损）和使用后报告器械的完整性。在有适当情况下，本</w:t>
      </w:r>
      <w:r>
        <w:rPr>
          <w:rFonts w:hint="eastAsia" w:eastAsia="宋体"/>
          <w:color w:val="000000"/>
          <w:sz w:val="24"/>
          <w:szCs w:val="24"/>
        </w:rPr>
        <w:t>测试</w:t>
      </w:r>
      <w:r>
        <w:rPr>
          <w:rFonts w:eastAsia="宋体"/>
          <w:color w:val="000000"/>
          <w:sz w:val="24"/>
          <w:szCs w:val="24"/>
        </w:rPr>
        <w:t>可与其他</w:t>
      </w:r>
      <w:r>
        <w:rPr>
          <w:rFonts w:hint="eastAsia" w:eastAsia="宋体"/>
          <w:color w:val="000000"/>
          <w:sz w:val="24"/>
          <w:szCs w:val="24"/>
        </w:rPr>
        <w:t>测试</w:t>
      </w:r>
      <w:r>
        <w:rPr>
          <w:rFonts w:eastAsia="宋体"/>
          <w:color w:val="000000"/>
          <w:sz w:val="24"/>
          <w:szCs w:val="24"/>
        </w:rPr>
        <w:t>一起进行。</w:t>
      </w:r>
    </w:p>
    <w:p w14:paraId="6E36E7D5">
      <w:pPr>
        <w:shd w:val="clear" w:color="auto" w:fill="FFFFFF"/>
        <w:snapToGrid w:val="0"/>
        <w:jc w:val="both"/>
        <w:rPr>
          <w:rFonts w:eastAsia="宋体"/>
          <w:sz w:val="24"/>
          <w:szCs w:val="24"/>
        </w:rPr>
      </w:pPr>
    </w:p>
    <w:p w14:paraId="0E772893">
      <w:pPr>
        <w:pStyle w:val="4"/>
        <w:snapToGrid w:val="0"/>
        <w:spacing w:beforeLines="0" w:afterLines="0"/>
        <w:ind w:left="990" w:hanging="424" w:hangingChars="151"/>
        <w:rPr>
          <w:rFonts w:eastAsia="宋体"/>
        </w:rPr>
      </w:pPr>
      <w:r>
        <w:rPr>
          <w:rFonts w:eastAsia="宋体"/>
        </w:rPr>
        <w:t>6.</w:t>
      </w:r>
      <w:r>
        <w:rPr>
          <w:rFonts w:eastAsia="宋体"/>
        </w:rPr>
        <w:tab/>
      </w:r>
      <w:r>
        <w:rPr>
          <w:rFonts w:eastAsia="宋体"/>
        </w:rPr>
        <w:t>抗拉强度</w:t>
      </w:r>
    </w:p>
    <w:p w14:paraId="2601CC83">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：关节故障可能导致器械故障和/或血管损坏。</w:t>
      </w:r>
    </w:p>
    <w:p w14:paraId="10E37A0B">
      <w:pPr>
        <w:shd w:val="clear" w:color="auto" w:fill="FFFFFF"/>
        <w:snapToGrid w:val="0"/>
        <w:jc w:val="both"/>
        <w:rPr>
          <w:rFonts w:eastAsia="宋体"/>
          <w:sz w:val="24"/>
          <w:szCs w:val="24"/>
        </w:rPr>
      </w:pPr>
    </w:p>
    <w:p w14:paraId="07180ACE">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我们建议对每一个独特的接头的强度进行测试，直到失效。如果有多个由相同材料和粘附方法组成的接头，那么可以用最坏情况下的接头来代表所有的接头。在测试之前，我们建议按照使用说明书制备样品，然后根据需要进行预处理，以模拟最坏情况，并通过模拟使用模型进行跟踪。拉伸强度测试应证明器械能够承受比临床使用中预期更大的拉伸力。在制定验收标准时，我们建议您考虑同时测试</w:t>
      </w:r>
      <w:r>
        <w:rPr>
          <w:rFonts w:hint="eastAsia" w:eastAsia="宋体"/>
          <w:color w:val="000000"/>
          <w:sz w:val="24"/>
          <w:szCs w:val="24"/>
        </w:rPr>
        <w:t>同品种</w:t>
      </w:r>
      <w:r>
        <w:rPr>
          <w:rFonts w:eastAsia="宋体"/>
          <w:color w:val="000000"/>
          <w:sz w:val="24"/>
          <w:szCs w:val="24"/>
        </w:rPr>
        <w:t>器械，或根据临床信息确定理论力。当验收标准确定后，</w:t>
      </w:r>
      <w:r>
        <w:rPr>
          <w:rFonts w:hint="eastAsia" w:eastAsia="宋体"/>
          <w:color w:val="000000"/>
          <w:sz w:val="24"/>
          <w:szCs w:val="24"/>
        </w:rPr>
        <w:t>方案中应包括其适当性的临床依据</w:t>
      </w:r>
      <w:r>
        <w:rPr>
          <w:rFonts w:eastAsia="宋体"/>
          <w:color w:val="000000"/>
          <w:sz w:val="24"/>
          <w:szCs w:val="24"/>
        </w:rPr>
        <w:t>。因为所使用的应变率可能会影响到所得到的数据，从而影响到验收标准和结果的可接受性</w:t>
      </w:r>
      <w:r>
        <w:rPr>
          <w:rFonts w:hint="eastAsia" w:eastAsia="宋体"/>
          <w:color w:val="000000"/>
          <w:sz w:val="24"/>
          <w:szCs w:val="24"/>
        </w:rPr>
        <w:t>同时</w:t>
      </w:r>
      <w:r>
        <w:rPr>
          <w:rFonts w:eastAsia="宋体"/>
          <w:color w:val="000000"/>
          <w:sz w:val="24"/>
          <w:szCs w:val="24"/>
        </w:rPr>
        <w:t>建议您报告用于测试每个样品的应变率，并证明这个应变率的合理性。</w:t>
      </w:r>
    </w:p>
    <w:p w14:paraId="2E3BA8BD">
      <w:pPr>
        <w:shd w:val="clear" w:color="auto" w:fill="FFFFFF"/>
        <w:snapToGrid w:val="0"/>
        <w:jc w:val="both"/>
        <w:rPr>
          <w:rFonts w:eastAsia="宋体"/>
          <w:sz w:val="24"/>
          <w:szCs w:val="24"/>
        </w:rPr>
      </w:pPr>
    </w:p>
    <w:p w14:paraId="22B47910">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06E671AE">
      <w:pPr>
        <w:pStyle w:val="4"/>
        <w:snapToGrid w:val="0"/>
        <w:spacing w:beforeLines="0" w:afterLines="0"/>
        <w:ind w:left="990" w:hanging="424" w:hangingChars="151"/>
        <w:rPr>
          <w:rFonts w:eastAsia="宋体"/>
        </w:rPr>
      </w:pPr>
      <w:r>
        <w:rPr>
          <w:rFonts w:eastAsia="宋体"/>
        </w:rPr>
        <w:t>7.</w:t>
      </w:r>
      <w:r>
        <w:rPr>
          <w:rFonts w:eastAsia="宋体"/>
        </w:rPr>
        <w:tab/>
      </w:r>
      <w:r>
        <w:rPr>
          <w:rFonts w:eastAsia="宋体"/>
        </w:rPr>
        <w:t>头端拉力</w:t>
      </w:r>
    </w:p>
    <w:p w14:paraId="40648B37">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：头端脱落可能对临床表现产生不利影响（例如，导致远端栓塞）。</w:t>
      </w:r>
    </w:p>
    <w:p w14:paraId="3F32B041">
      <w:pPr>
        <w:shd w:val="clear" w:color="auto" w:fill="FFFFFF"/>
        <w:snapToGrid w:val="0"/>
        <w:jc w:val="both"/>
        <w:rPr>
          <w:rFonts w:eastAsia="宋体"/>
          <w:sz w:val="24"/>
          <w:szCs w:val="24"/>
        </w:rPr>
      </w:pPr>
    </w:p>
    <w:p w14:paraId="3FE22D36">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对于在远端含有一个或多个接头的导丝（如弹簧或线圈导丝），我们建议评估使远端与导丝分离的拉力。在测试之前，我们建议按照使用说明书制备样品，然后根据需要进行预处理，以模拟最坏情况，并通过模拟使用模型进行跟踪。如果适用，该测试可作为抗拉强度评估的一部分（见上文第IV.G.6节抗拉强度）进行。</w:t>
      </w:r>
    </w:p>
    <w:p w14:paraId="297E527B">
      <w:pPr>
        <w:shd w:val="clear" w:color="auto" w:fill="FFFFFF"/>
        <w:snapToGrid w:val="0"/>
        <w:jc w:val="both"/>
        <w:rPr>
          <w:rFonts w:eastAsia="宋体"/>
          <w:sz w:val="24"/>
          <w:szCs w:val="24"/>
        </w:rPr>
      </w:pPr>
    </w:p>
    <w:p w14:paraId="632942B2">
      <w:pPr>
        <w:pStyle w:val="4"/>
        <w:snapToGrid w:val="0"/>
        <w:spacing w:beforeLines="0" w:afterLines="0"/>
        <w:ind w:left="990" w:hanging="424" w:hangingChars="151"/>
        <w:rPr>
          <w:rFonts w:eastAsia="宋体"/>
        </w:rPr>
      </w:pPr>
      <w:r>
        <w:rPr>
          <w:rFonts w:eastAsia="宋体"/>
        </w:rPr>
        <w:t>8.</w:t>
      </w:r>
      <w:r>
        <w:rPr>
          <w:rFonts w:eastAsia="宋体"/>
        </w:rPr>
        <w:tab/>
      </w:r>
      <w:r>
        <w:rPr>
          <w:rFonts w:eastAsia="宋体"/>
        </w:rPr>
        <w:t>扭矩强度</w:t>
      </w:r>
    </w:p>
    <w:p w14:paraId="0F8D5A00">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：不能承受临床使用中典型的扭转力（即扭动/旋转器械以导航到目标血管）可能导致器械故障和/或血管损伤。</w:t>
      </w:r>
    </w:p>
    <w:p w14:paraId="286986AD">
      <w:pPr>
        <w:shd w:val="clear" w:color="auto" w:fill="FFFFFF"/>
        <w:snapToGrid w:val="0"/>
        <w:jc w:val="both"/>
        <w:rPr>
          <w:rFonts w:eastAsia="宋体"/>
          <w:sz w:val="24"/>
          <w:szCs w:val="24"/>
        </w:rPr>
      </w:pPr>
    </w:p>
    <w:p w14:paraId="08C86AB9">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：我们建议您按照使用说明书</w:t>
      </w:r>
      <w:r>
        <w:rPr>
          <w:rFonts w:hint="eastAsia" w:eastAsia="宋体"/>
          <w:color w:val="000000"/>
          <w:sz w:val="24"/>
          <w:szCs w:val="24"/>
        </w:rPr>
        <w:t>制备</w:t>
      </w:r>
      <w:r>
        <w:rPr>
          <w:rFonts w:eastAsia="宋体"/>
          <w:color w:val="000000"/>
          <w:sz w:val="24"/>
          <w:szCs w:val="24"/>
        </w:rPr>
        <w:t>样品，根据需要进行预处理，以模拟最坏的情况，并通过模拟使用模型跟踪每个器械。我们建议限制器械的远端移动，并将导丝的近端旋转至失效。我们建议您报告每个测试的器械的旋转次数和故障模式。</w:t>
      </w:r>
    </w:p>
    <w:p w14:paraId="608F9385">
      <w:pPr>
        <w:shd w:val="clear" w:color="auto" w:fill="FFFFFF"/>
        <w:snapToGrid w:val="0"/>
        <w:jc w:val="both"/>
        <w:rPr>
          <w:rFonts w:eastAsia="宋体"/>
          <w:sz w:val="24"/>
          <w:szCs w:val="24"/>
        </w:rPr>
      </w:pPr>
    </w:p>
    <w:p w14:paraId="3EAA3736">
      <w:pPr>
        <w:pStyle w:val="4"/>
        <w:snapToGrid w:val="0"/>
        <w:spacing w:beforeLines="0" w:afterLines="0"/>
        <w:ind w:left="990" w:hanging="424" w:hangingChars="151"/>
        <w:rPr>
          <w:rFonts w:eastAsia="宋体"/>
        </w:rPr>
      </w:pPr>
      <w:r>
        <w:rPr>
          <w:rFonts w:eastAsia="宋体"/>
        </w:rPr>
        <w:t>9.</w:t>
      </w:r>
      <w:r>
        <w:rPr>
          <w:rFonts w:eastAsia="宋体"/>
        </w:rPr>
        <w:tab/>
      </w:r>
      <w:r>
        <w:rPr>
          <w:rFonts w:eastAsia="宋体"/>
        </w:rPr>
        <w:t>转矩性</w:t>
      </w:r>
    </w:p>
    <w:p w14:paraId="1F3476FE">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：如果远端不能对近端进行的操作</w:t>
      </w:r>
      <w:r>
        <w:rPr>
          <w:rFonts w:hint="eastAsia" w:eastAsia="宋体"/>
          <w:color w:val="000000"/>
          <w:sz w:val="24"/>
          <w:szCs w:val="24"/>
        </w:rPr>
        <w:t>做出</w:t>
      </w:r>
      <w:r>
        <w:rPr>
          <w:rFonts w:eastAsia="宋体"/>
          <w:color w:val="000000"/>
          <w:sz w:val="24"/>
          <w:szCs w:val="24"/>
        </w:rPr>
        <w:t>反应，可能会对临床表现产生不利影响（例如，鞭打效应可能导致血管损伤和/或无法在血管中导航）。</w:t>
      </w:r>
    </w:p>
    <w:p w14:paraId="5E0E222E">
      <w:pPr>
        <w:shd w:val="clear" w:color="auto" w:fill="FFFFFF"/>
        <w:snapToGrid w:val="0"/>
        <w:jc w:val="both"/>
        <w:rPr>
          <w:rFonts w:eastAsia="宋体"/>
          <w:sz w:val="24"/>
          <w:szCs w:val="24"/>
        </w:rPr>
      </w:pPr>
    </w:p>
    <w:p w14:paraId="40E9CD2F">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：我们建议您按照使用说明书制备样品，根据需要进行预处理，以模拟最坏的情况，并通过模拟使用模型跟踪每个器械。在模拟使用模型中的样品和远端不受限制的情况下，我们建议您旋转导丝的近端。您应该</w:t>
      </w:r>
      <w:r>
        <w:rPr>
          <w:rFonts w:hint="eastAsia" w:eastAsia="宋体"/>
          <w:color w:val="000000"/>
          <w:sz w:val="24"/>
          <w:szCs w:val="24"/>
        </w:rPr>
        <w:t>每隔</w:t>
      </w:r>
      <w:r>
        <w:rPr>
          <w:rFonts w:eastAsia="宋体"/>
          <w:color w:val="000000"/>
          <w:sz w:val="24"/>
          <w:szCs w:val="24"/>
        </w:rPr>
        <w:t>90度</w:t>
      </w:r>
      <w:r>
        <w:rPr>
          <w:rFonts w:hint="eastAsia" w:eastAsia="宋体"/>
          <w:color w:val="000000"/>
          <w:sz w:val="24"/>
          <w:szCs w:val="24"/>
        </w:rPr>
        <w:t>将</w:t>
      </w:r>
      <w:r>
        <w:rPr>
          <w:rFonts w:eastAsia="宋体"/>
          <w:color w:val="000000"/>
          <w:sz w:val="24"/>
          <w:szCs w:val="24"/>
        </w:rPr>
        <w:t>旋转输入值报告给所产生的远端旋转（您的应用旋转角度应参照器械风险和预期用途确定），并计算每个样品的近端与远端旋转比率。</w:t>
      </w:r>
    </w:p>
    <w:p w14:paraId="1B9514D4">
      <w:pPr>
        <w:shd w:val="clear" w:color="auto" w:fill="FFFFFF"/>
        <w:snapToGrid w:val="0"/>
        <w:jc w:val="both"/>
        <w:rPr>
          <w:rFonts w:eastAsia="宋体"/>
          <w:sz w:val="24"/>
          <w:szCs w:val="24"/>
        </w:rPr>
      </w:pPr>
    </w:p>
    <w:p w14:paraId="755F2E07">
      <w:pPr>
        <w:pStyle w:val="4"/>
        <w:snapToGrid w:val="0"/>
        <w:spacing w:beforeLines="0" w:afterLines="0"/>
        <w:ind w:left="990" w:hanging="424" w:hangingChars="151"/>
        <w:rPr>
          <w:rFonts w:eastAsia="宋体"/>
        </w:rPr>
      </w:pPr>
      <w:r>
        <w:rPr>
          <w:rFonts w:eastAsia="宋体"/>
        </w:rPr>
        <w:t>10.</w:t>
      </w:r>
      <w:r>
        <w:rPr>
          <w:rFonts w:eastAsia="宋体"/>
        </w:rPr>
        <w:tab/>
      </w:r>
      <w:r>
        <w:rPr>
          <w:rFonts w:eastAsia="宋体"/>
        </w:rPr>
        <w:t>涂层完整性</w:t>
      </w:r>
    </w:p>
    <w:p w14:paraId="6149061F">
      <w:pPr>
        <w:shd w:val="clear" w:color="auto" w:fill="FFFFFF"/>
        <w:snapToGrid w:val="0"/>
        <w:jc w:val="both"/>
        <w:rPr>
          <w:rFonts w:eastAsia="宋体"/>
          <w:sz w:val="24"/>
          <w:szCs w:val="24"/>
        </w:rPr>
      </w:pPr>
      <w:r>
        <w:rPr>
          <w:rFonts w:eastAsia="宋体"/>
          <w:color w:val="000000"/>
          <w:sz w:val="24"/>
          <w:szCs w:val="24"/>
          <w:u w:val="single"/>
        </w:rPr>
        <w:t>意义：</w:t>
      </w:r>
      <w:r>
        <w:rPr>
          <w:rFonts w:eastAsia="宋体"/>
          <w:color w:val="000000"/>
          <w:sz w:val="24"/>
          <w:szCs w:val="24"/>
        </w:rPr>
        <w:t>涂层分离（即剥离、剥落、脱落分层和/或脱落）或降解可能对临床表现产生不利影响（例如，导致</w:t>
      </w:r>
      <w:r>
        <w:rPr>
          <w:rFonts w:hint="eastAsia" w:eastAsia="宋体"/>
          <w:color w:val="000000"/>
          <w:sz w:val="24"/>
          <w:szCs w:val="24"/>
        </w:rPr>
        <w:t>穿刺部位</w:t>
      </w:r>
      <w:r>
        <w:rPr>
          <w:rFonts w:eastAsia="宋体"/>
          <w:color w:val="000000"/>
          <w:sz w:val="24"/>
          <w:szCs w:val="24"/>
        </w:rPr>
        <w:t>的炎症、肺栓塞、肺梗塞、心肌栓塞、心肌梗塞、栓塞性卒中、脑梗塞、组织坏死，或死亡）。</w:t>
      </w:r>
      <w:r>
        <w:rPr>
          <w:rStyle w:val="18"/>
          <w:rFonts w:eastAsia="宋体"/>
          <w:color w:val="000000"/>
          <w:sz w:val="24"/>
          <w:szCs w:val="24"/>
        </w:rPr>
        <w:footnoteReference w:id="9"/>
      </w:r>
    </w:p>
    <w:p w14:paraId="633ACDFB">
      <w:pPr>
        <w:shd w:val="clear" w:color="auto" w:fill="FFFFFF"/>
        <w:snapToGrid w:val="0"/>
        <w:jc w:val="both"/>
        <w:rPr>
          <w:rFonts w:eastAsia="宋体"/>
          <w:sz w:val="24"/>
          <w:szCs w:val="24"/>
        </w:rPr>
      </w:pPr>
    </w:p>
    <w:p w14:paraId="3D586993">
      <w:pPr>
        <w:shd w:val="clear" w:color="auto" w:fill="FFFFFF"/>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616397F">
      <w:pPr>
        <w:shd w:val="clear" w:color="auto" w:fill="FFFFFF"/>
        <w:snapToGrid w:val="0"/>
        <w:jc w:val="both"/>
        <w:rPr>
          <w:color w:val="000000"/>
          <w:sz w:val="24"/>
        </w:rPr>
      </w:pPr>
      <w:bookmarkStart w:id="33" w:name="bookmark19"/>
      <w:bookmarkEnd w:id="33"/>
      <w:r>
        <w:rPr>
          <w:rFonts w:eastAsia="宋体"/>
          <w:color w:val="000000"/>
          <w:sz w:val="24"/>
          <w:szCs w:val="24"/>
          <w:u w:val="single"/>
        </w:rPr>
        <w:t>建议：</w:t>
      </w:r>
      <w:r>
        <w:rPr>
          <w:rFonts w:eastAsia="宋体"/>
          <w:color w:val="000000"/>
          <w:sz w:val="24"/>
          <w:szCs w:val="24"/>
        </w:rPr>
        <w:t>涂层完整性测试应包括对所收集的数据的解释（包括考虑到预期用途</w:t>
      </w:r>
      <w:r>
        <w:rPr>
          <w:rFonts w:hint="eastAsia" w:eastAsia="宋体"/>
          <w:color w:val="000000"/>
          <w:sz w:val="24"/>
          <w:szCs w:val="24"/>
        </w:rPr>
        <w:t>的原因</w:t>
      </w:r>
      <w:r>
        <w:rPr>
          <w:rFonts w:eastAsia="宋体"/>
          <w:color w:val="000000"/>
          <w:sz w:val="24"/>
          <w:szCs w:val="24"/>
        </w:rPr>
        <w:t>和与预期用途相关的潜在风险，任何观察到的缺陷都是可以接受的），在此之前和之后，将器械在一个有代表性</w:t>
      </w:r>
      <w:r>
        <w:rPr>
          <w:rFonts w:hint="eastAsia" w:eastAsia="宋体"/>
          <w:color w:val="000000"/>
          <w:sz w:val="24"/>
          <w:szCs w:val="24"/>
        </w:rPr>
        <w:t>和挑战性的</w:t>
      </w:r>
      <w:r>
        <w:rPr>
          <w:rFonts w:eastAsia="宋体"/>
          <w:color w:val="000000"/>
          <w:sz w:val="24"/>
          <w:szCs w:val="24"/>
        </w:rPr>
        <w:t>模型中进行模拟使用测试。我们建议在模拟使用期间评估器械是否有任何涂层分层或退化。您应该提供模拟使用测试前后涂层表面的代表性图像（使用扫描电子显微镜和/或光学显微镜）。应使用≥40倍的放大</w:t>
      </w:r>
      <w:r>
        <w:rPr>
          <w:rFonts w:hint="eastAsia" w:eastAsia="宋体"/>
          <w:color w:val="000000"/>
          <w:sz w:val="24"/>
          <w:szCs w:val="24"/>
        </w:rPr>
        <w:t>倍率</w:t>
      </w:r>
      <w:r>
        <w:rPr>
          <w:rFonts w:eastAsia="宋体"/>
          <w:color w:val="000000"/>
          <w:sz w:val="24"/>
          <w:szCs w:val="24"/>
        </w:rPr>
        <w:t>拍摄图像，以详细了解任何涂层缺陷。可能需要多个放大</w:t>
      </w:r>
      <w:r>
        <w:rPr>
          <w:rFonts w:hint="eastAsia" w:eastAsia="宋体"/>
          <w:color w:val="000000"/>
          <w:sz w:val="24"/>
          <w:szCs w:val="24"/>
        </w:rPr>
        <w:t>装置</w:t>
      </w:r>
      <w:r>
        <w:rPr>
          <w:rFonts w:eastAsia="宋体"/>
          <w:color w:val="000000"/>
          <w:sz w:val="24"/>
          <w:szCs w:val="24"/>
        </w:rPr>
        <w:t>（高达500倍）来正确观察任何观察到的缺陷。如果您的涂层透明，则在评估器械表面之前，对涂层进行染色能够更有利于正确地进行观察。如果导丝</w:t>
      </w:r>
      <w:r>
        <w:rPr>
          <w:rFonts w:hint="eastAsia" w:eastAsia="宋体"/>
          <w:color w:val="000000"/>
          <w:sz w:val="24"/>
          <w:szCs w:val="24"/>
        </w:rPr>
        <w:t>经过</w:t>
      </w:r>
      <w:r>
        <w:rPr>
          <w:rFonts w:eastAsia="宋体"/>
          <w:color w:val="000000"/>
          <w:sz w:val="24"/>
          <w:szCs w:val="24"/>
        </w:rPr>
        <w:t>染色，</w:t>
      </w:r>
      <w:r>
        <w:rPr>
          <w:rFonts w:hint="eastAsia" w:eastAsia="宋体"/>
          <w:color w:val="000000"/>
          <w:sz w:val="24"/>
          <w:szCs w:val="24"/>
        </w:rPr>
        <w:t>纳入</w:t>
      </w:r>
      <w:r>
        <w:rPr>
          <w:rFonts w:eastAsia="宋体"/>
          <w:color w:val="000000"/>
          <w:sz w:val="24"/>
          <w:szCs w:val="24"/>
        </w:rPr>
        <w:t>基线（即模拟使用前）参考样品进行比较可能会有帮助。建议按照第IV.G.11节所述，在进行</w:t>
      </w:r>
      <w:r>
        <w:rPr>
          <w:rFonts w:hint="eastAsia" w:eastAsia="宋体"/>
          <w:color w:val="000000"/>
          <w:sz w:val="24"/>
          <w:szCs w:val="24"/>
        </w:rPr>
        <w:t>微粒</w:t>
      </w:r>
      <w:r>
        <w:rPr>
          <w:rFonts w:eastAsia="宋体"/>
          <w:color w:val="000000"/>
          <w:sz w:val="24"/>
          <w:szCs w:val="24"/>
        </w:rPr>
        <w:t>评</w:t>
      </w:r>
      <w:r>
        <w:rPr>
          <w:rFonts w:hint="eastAsia" w:eastAsia="宋体"/>
          <w:color w:val="000000"/>
          <w:sz w:val="24"/>
          <w:szCs w:val="24"/>
        </w:rPr>
        <w:t>价</w:t>
      </w:r>
      <w:r>
        <w:rPr>
          <w:rFonts w:eastAsia="宋体"/>
          <w:color w:val="000000"/>
          <w:sz w:val="24"/>
          <w:szCs w:val="24"/>
        </w:rPr>
        <w:t>的同时进行涂层完整性测试。通过</w:t>
      </w:r>
      <w:r>
        <w:rPr>
          <w:rFonts w:hint="eastAsia" w:eastAsia="宋体"/>
          <w:color w:val="000000"/>
          <w:sz w:val="24"/>
          <w:szCs w:val="24"/>
        </w:rPr>
        <w:t>微粒</w:t>
      </w:r>
      <w:r>
        <w:rPr>
          <w:rFonts w:eastAsia="宋体"/>
          <w:color w:val="000000"/>
          <w:sz w:val="24"/>
          <w:szCs w:val="24"/>
        </w:rPr>
        <w:t>评</w:t>
      </w:r>
      <w:r>
        <w:rPr>
          <w:rFonts w:hint="eastAsia" w:eastAsia="宋体"/>
          <w:color w:val="000000"/>
          <w:sz w:val="24"/>
          <w:szCs w:val="24"/>
        </w:rPr>
        <w:t>价可以</w:t>
      </w:r>
      <w:r>
        <w:rPr>
          <w:rFonts w:eastAsia="宋体"/>
          <w:color w:val="000000"/>
          <w:sz w:val="24"/>
          <w:szCs w:val="24"/>
        </w:rPr>
        <w:t>评</w:t>
      </w:r>
      <w:r>
        <w:rPr>
          <w:rFonts w:hint="eastAsia" w:eastAsia="宋体"/>
          <w:color w:val="000000"/>
          <w:sz w:val="24"/>
          <w:szCs w:val="24"/>
        </w:rPr>
        <w:t>价</w:t>
      </w:r>
      <w:r>
        <w:rPr>
          <w:rFonts w:eastAsia="宋体"/>
          <w:color w:val="000000"/>
          <w:sz w:val="24"/>
          <w:szCs w:val="24"/>
        </w:rPr>
        <w:t>在模拟使用期间可能从您的器械中移除的</w:t>
      </w:r>
      <w:r>
        <w:rPr>
          <w:rFonts w:hint="eastAsia" w:eastAsia="宋体"/>
          <w:color w:val="000000"/>
          <w:sz w:val="24"/>
          <w:szCs w:val="24"/>
        </w:rPr>
        <w:t>微粒</w:t>
      </w:r>
      <w:r>
        <w:rPr>
          <w:rFonts w:eastAsia="宋体"/>
          <w:color w:val="000000"/>
          <w:sz w:val="24"/>
          <w:szCs w:val="24"/>
        </w:rPr>
        <w:t>的来源、数量和大小。如果您的器械含有涂层缺陷，您应该提供理由以科学解释涂层异常不构成安全风险的原因。</w:t>
      </w:r>
    </w:p>
    <w:p w14:paraId="1158B8FA">
      <w:pPr>
        <w:shd w:val="clear" w:color="auto" w:fill="FFFFFF"/>
        <w:snapToGrid w:val="0"/>
        <w:jc w:val="both"/>
        <w:rPr>
          <w:rFonts w:eastAsia="宋体"/>
          <w:sz w:val="24"/>
          <w:szCs w:val="24"/>
        </w:rPr>
      </w:pPr>
    </w:p>
    <w:p w14:paraId="4617D72F">
      <w:pPr>
        <w:pStyle w:val="4"/>
        <w:snapToGrid w:val="0"/>
        <w:spacing w:beforeLines="0" w:afterLines="0"/>
        <w:ind w:left="990" w:hanging="424" w:hangingChars="151"/>
        <w:rPr>
          <w:rFonts w:eastAsia="宋体"/>
        </w:rPr>
      </w:pPr>
      <w:r>
        <w:rPr>
          <w:rFonts w:eastAsia="宋体"/>
        </w:rPr>
        <w:t>11.</w:t>
      </w:r>
      <w:r>
        <w:rPr>
          <w:rFonts w:eastAsia="宋体"/>
        </w:rPr>
        <w:tab/>
      </w:r>
      <w:r>
        <w:rPr>
          <w:rFonts w:eastAsia="宋体"/>
        </w:rPr>
        <w:t>微粒评价</w:t>
      </w:r>
    </w:p>
    <w:p w14:paraId="3507E587">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临床使用过程中产生的颗粒可能导致严重的不良事件，包括肺栓塞、肺梗塞、心肌栓塞、心肌梗塞、栓塞性卒中、组织坏死和死亡；因此，冠状血管或神经血管中导航的导丝会带来最大的临床风险，应在有代表性的模拟使用模型中对颗粒的产生和涂层完整性进行评估。如果器械</w:t>
      </w:r>
      <w:r>
        <w:rPr>
          <w:rFonts w:hint="eastAsia" w:eastAsia="宋体"/>
          <w:color w:val="000000"/>
          <w:sz w:val="24"/>
          <w:szCs w:val="24"/>
        </w:rPr>
        <w:t>仅用于</w:t>
      </w:r>
      <w:r>
        <w:rPr>
          <w:rFonts w:eastAsia="宋体"/>
          <w:color w:val="000000"/>
          <w:sz w:val="24"/>
          <w:szCs w:val="24"/>
        </w:rPr>
        <w:t>导航外周血管，并且涂层完整性评估发现了涂层缺陷（例如，沿着导丝的长度），可能会引起额外的临床关注，可能需要进行微粒评价以解决潜在的安全问题。</w:t>
      </w:r>
    </w:p>
    <w:p w14:paraId="1294CE3E">
      <w:pPr>
        <w:shd w:val="clear" w:color="auto" w:fill="FFFFFF"/>
        <w:snapToGrid w:val="0"/>
        <w:jc w:val="both"/>
        <w:rPr>
          <w:rFonts w:eastAsia="宋体"/>
          <w:sz w:val="24"/>
          <w:szCs w:val="24"/>
        </w:rPr>
      </w:pPr>
    </w:p>
    <w:p w14:paraId="68458097">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为了准确核算器械使用过程中产生的微粒，应在模拟使用后对微粒进行定性。我们建议在模拟血流的连续流动条件下，使用有效的方法（如光遮蔽、光折射）对每次评估产生的微粒数量进行量化，并以大小和数量为特征。具体来说，我们建议在以下尺寸范围内报告颗粒的总数：≥10</w:t>
      </w:r>
      <w:r>
        <w:rPr>
          <w:rFonts w:hint="eastAsia" w:eastAsia="宋体"/>
          <w:color w:val="000000"/>
          <w:sz w:val="24"/>
          <w:szCs w:val="24"/>
        </w:rPr>
        <w:t xml:space="preserve"> </w:t>
      </w:r>
      <w:r>
        <w:rPr>
          <w:rFonts w:eastAsia="宋体"/>
          <w:color w:val="000000"/>
          <w:sz w:val="24"/>
          <w:szCs w:val="24"/>
        </w:rPr>
        <w:t>μm，≥25</w:t>
      </w:r>
      <w:r>
        <w:rPr>
          <w:rFonts w:hint="eastAsia" w:eastAsia="宋体"/>
          <w:color w:val="000000"/>
          <w:sz w:val="24"/>
          <w:szCs w:val="24"/>
        </w:rPr>
        <w:t xml:space="preserve"> </w:t>
      </w:r>
      <w:r>
        <w:rPr>
          <w:rFonts w:eastAsia="宋体"/>
          <w:color w:val="000000"/>
          <w:sz w:val="24"/>
          <w:szCs w:val="24"/>
        </w:rPr>
        <w:t>μm，以及在</w:t>
      </w:r>
      <w:r>
        <w:rPr>
          <w:rFonts w:hint="eastAsia" w:eastAsia="宋体"/>
          <w:color w:val="000000"/>
          <w:sz w:val="24"/>
          <w:szCs w:val="24"/>
        </w:rPr>
        <w:t>确认</w:t>
      </w:r>
      <w:r>
        <w:rPr>
          <w:rFonts w:eastAsia="宋体"/>
          <w:color w:val="000000"/>
          <w:sz w:val="24"/>
          <w:szCs w:val="24"/>
        </w:rPr>
        <w:t>产生≥75%回收率的最大尺寸。至少最大粒径应 ≥50 μm。对于大于50μm的颗粒，我们建议按百分比区分≥200</w:t>
      </w:r>
      <w:r>
        <w:rPr>
          <w:rFonts w:hint="eastAsia" w:eastAsia="宋体"/>
          <w:color w:val="000000"/>
          <w:sz w:val="24"/>
          <w:szCs w:val="24"/>
        </w:rPr>
        <w:t xml:space="preserve"> </w:t>
      </w:r>
      <w:r>
        <w:rPr>
          <w:rFonts w:eastAsia="宋体"/>
          <w:color w:val="000000"/>
          <w:sz w:val="24"/>
          <w:szCs w:val="24"/>
        </w:rPr>
        <w:t>μm、≥500</w:t>
      </w:r>
      <w:r>
        <w:rPr>
          <w:rFonts w:hint="eastAsia" w:eastAsia="宋体"/>
          <w:color w:val="000000"/>
          <w:sz w:val="24"/>
          <w:szCs w:val="24"/>
        </w:rPr>
        <w:t xml:space="preserve"> </w:t>
      </w:r>
      <w:r>
        <w:rPr>
          <w:rFonts w:eastAsia="宋体"/>
          <w:color w:val="000000"/>
          <w:sz w:val="24"/>
          <w:szCs w:val="24"/>
        </w:rPr>
        <w:t>μm和≥1000</w:t>
      </w:r>
      <w:r>
        <w:rPr>
          <w:rFonts w:hint="eastAsia" w:eastAsia="宋体"/>
          <w:color w:val="000000"/>
          <w:sz w:val="24"/>
          <w:szCs w:val="24"/>
        </w:rPr>
        <w:t xml:space="preserve"> </w:t>
      </w:r>
      <w:r>
        <w:rPr>
          <w:rFonts w:eastAsia="宋体"/>
          <w:color w:val="000000"/>
          <w:sz w:val="24"/>
          <w:szCs w:val="24"/>
        </w:rPr>
        <w:t>μm的数量，如果有这些测量方法的话，因为这些较大尺寸的</w:t>
      </w:r>
      <w:r>
        <w:rPr>
          <w:rFonts w:hint="eastAsia" w:eastAsia="宋体"/>
          <w:color w:val="000000"/>
          <w:sz w:val="24"/>
          <w:szCs w:val="24"/>
        </w:rPr>
        <w:t>微粒</w:t>
      </w:r>
      <w:r>
        <w:rPr>
          <w:rFonts w:eastAsia="宋体"/>
          <w:color w:val="000000"/>
          <w:sz w:val="24"/>
          <w:szCs w:val="24"/>
        </w:rPr>
        <w:t>会造成更大的栓塞风险。</w:t>
      </w:r>
    </w:p>
    <w:p w14:paraId="6A4750C8">
      <w:pPr>
        <w:shd w:val="clear" w:color="auto" w:fill="FFFFFF"/>
        <w:snapToGrid w:val="0"/>
        <w:jc w:val="both"/>
        <w:rPr>
          <w:rFonts w:eastAsia="宋体"/>
          <w:sz w:val="24"/>
          <w:szCs w:val="24"/>
        </w:rPr>
      </w:pPr>
    </w:p>
    <w:p w14:paraId="63ECE3E7">
      <w:pPr>
        <w:shd w:val="clear" w:color="auto" w:fill="FFFFFF"/>
        <w:wordWrap w:val="0"/>
        <w:snapToGrid w:val="0"/>
        <w:ind w:firstLine="480" w:firstLineChars="200"/>
        <w:jc w:val="both"/>
        <w:rPr>
          <w:rFonts w:eastAsia="宋体"/>
          <w:sz w:val="24"/>
          <w:szCs w:val="24"/>
        </w:rPr>
      </w:pPr>
      <w:r>
        <w:rPr>
          <w:rFonts w:eastAsia="宋体"/>
          <w:color w:val="000000"/>
          <w:sz w:val="24"/>
          <w:szCs w:val="24"/>
        </w:rPr>
        <w:t>还应采取适当的预防措施，以确保在微粒计数和测定过程中，微粒悬浮，以尽量减少聚集和测试系统的其他伪影。关于微粒评价的进一步指导，请参考《FDA</w:t>
      </w:r>
      <w:r>
        <w:rPr>
          <w:rFonts w:hint="eastAsia" w:eastAsia="宋体"/>
          <w:color w:val="000000"/>
          <w:sz w:val="24"/>
          <w:szCs w:val="24"/>
        </w:rPr>
        <w:t>行</w:t>
      </w:r>
      <w:r>
        <w:rPr>
          <w:rFonts w:eastAsia="宋体"/>
          <w:color w:val="000000"/>
          <w:sz w:val="24"/>
          <w:szCs w:val="24"/>
        </w:rPr>
        <w:t>业和FDA工作人员指南》第VIII.A.13节，</w:t>
      </w:r>
      <w:r>
        <w:rPr>
          <w:rFonts w:hint="eastAsia" w:eastAsia="宋体"/>
          <w:color w:val="000000"/>
          <w:sz w:val="24"/>
          <w:szCs w:val="24"/>
        </w:rPr>
        <w:t>《</w:t>
      </w:r>
      <w:r>
        <w:rPr>
          <w:rFonts w:eastAsia="宋体"/>
          <w:color w:val="000000"/>
          <w:sz w:val="24"/>
          <w:szCs w:val="24"/>
        </w:rPr>
        <w:t>某些经皮冠状动脉成形术（PTCA）导管的II类特别控制指南</w:t>
      </w:r>
      <w:r>
        <w:rPr>
          <w:rFonts w:hint="eastAsia" w:eastAsia="宋体"/>
          <w:color w:val="000000"/>
          <w:sz w:val="24"/>
          <w:szCs w:val="24"/>
        </w:rPr>
        <w:t>》</w:t>
      </w:r>
      <w:r>
        <w:rPr>
          <w:rFonts w:eastAsia="宋体"/>
          <w:color w:val="000000"/>
          <w:sz w:val="24"/>
          <w:szCs w:val="24"/>
        </w:rPr>
        <w:t>（</w:t>
      </w:r>
      <w:r>
        <w:rPr>
          <w:rFonts w:eastAsia="宋体"/>
          <w:color w:val="0000FF"/>
          <w:sz w:val="24"/>
          <w:szCs w:val="24"/>
          <w:u w:val="single"/>
        </w:rPr>
        <w:t>https://www.fda.gov/regulatory-information/search-fda-guidance</w:t>
      </w:r>
      <w:r>
        <w:rPr>
          <w:rFonts w:hint="eastAsia" w:eastAsia="宋体"/>
          <w:color w:val="0000FF"/>
          <w:sz w:val="24"/>
          <w:szCs w:val="24"/>
          <w:u w:val="single"/>
        </w:rPr>
        <w:t xml:space="preserve"> </w:t>
      </w:r>
      <w:r>
        <w:rPr>
          <w:rFonts w:eastAsia="宋体"/>
          <w:color w:val="0000FF"/>
          <w:sz w:val="24"/>
          <w:szCs w:val="24"/>
          <w:u w:val="single"/>
        </w:rPr>
        <w:t>-documents/class-ii-special-controls-guidance-document-certain-percutaneous-transluminal-coronary-angioplasty</w:t>
      </w:r>
      <w:r>
        <w:rPr>
          <w:rFonts w:eastAsia="宋体"/>
          <w:color w:val="000000"/>
          <w:sz w:val="24"/>
          <w:szCs w:val="24"/>
        </w:rPr>
        <w:t>）。</w:t>
      </w:r>
    </w:p>
    <w:p w14:paraId="18D54B77">
      <w:pPr>
        <w:shd w:val="clear" w:color="auto" w:fill="FFFFFF"/>
        <w:snapToGrid w:val="0"/>
        <w:jc w:val="both"/>
        <w:rPr>
          <w:rFonts w:eastAsia="宋体"/>
          <w:sz w:val="24"/>
          <w:szCs w:val="24"/>
        </w:rPr>
      </w:pPr>
    </w:p>
    <w:p w14:paraId="6DEA6AF6">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6142E577">
      <w:pPr>
        <w:shd w:val="clear" w:color="auto" w:fill="FFFFFF"/>
        <w:snapToGrid w:val="0"/>
        <w:ind w:firstLine="480" w:firstLineChars="200"/>
        <w:jc w:val="both"/>
        <w:rPr>
          <w:color w:val="000000"/>
          <w:sz w:val="24"/>
        </w:rPr>
      </w:pPr>
      <w:r>
        <w:rPr>
          <w:rFonts w:eastAsia="宋体"/>
          <w:color w:val="000000"/>
          <w:sz w:val="24"/>
          <w:szCs w:val="24"/>
        </w:rPr>
        <w:t>您应该提供一个临床讨论，解释为什么微粒评</w:t>
      </w:r>
      <w:r>
        <w:rPr>
          <w:rFonts w:hint="eastAsia" w:eastAsia="宋体"/>
          <w:color w:val="000000"/>
          <w:sz w:val="24"/>
          <w:szCs w:val="24"/>
        </w:rPr>
        <w:t>价</w:t>
      </w:r>
      <w:r>
        <w:rPr>
          <w:rFonts w:eastAsia="宋体"/>
          <w:color w:val="000000"/>
          <w:sz w:val="24"/>
          <w:szCs w:val="24"/>
        </w:rPr>
        <w:t>和相关涂层完整性评</w:t>
      </w:r>
      <w:r>
        <w:rPr>
          <w:rFonts w:hint="eastAsia" w:eastAsia="宋体"/>
          <w:color w:val="000000"/>
          <w:sz w:val="24"/>
          <w:szCs w:val="24"/>
        </w:rPr>
        <w:t>价</w:t>
      </w:r>
      <w:r>
        <w:rPr>
          <w:rFonts w:eastAsia="宋体"/>
          <w:color w:val="000000"/>
          <w:sz w:val="24"/>
          <w:szCs w:val="24"/>
        </w:rPr>
        <w:t>的结果不会引起安全问题。如果</w:t>
      </w:r>
      <w:r>
        <w:rPr>
          <w:rFonts w:hint="eastAsia" w:eastAsia="宋体"/>
          <w:color w:val="000000"/>
          <w:sz w:val="24"/>
          <w:szCs w:val="24"/>
        </w:rPr>
        <w:t>微粒</w:t>
      </w:r>
      <w:r>
        <w:rPr>
          <w:rFonts w:eastAsia="宋体"/>
          <w:color w:val="000000"/>
          <w:sz w:val="24"/>
          <w:szCs w:val="24"/>
        </w:rPr>
        <w:t>评</w:t>
      </w:r>
      <w:r>
        <w:rPr>
          <w:rFonts w:hint="eastAsia" w:eastAsia="宋体"/>
          <w:color w:val="000000"/>
          <w:sz w:val="24"/>
          <w:szCs w:val="24"/>
        </w:rPr>
        <w:t>价</w:t>
      </w:r>
      <w:r>
        <w:rPr>
          <w:rFonts w:eastAsia="宋体"/>
          <w:color w:val="000000"/>
          <w:sz w:val="24"/>
          <w:szCs w:val="24"/>
        </w:rPr>
        <w:t>引起了安全问题，那么可能需要进行化学特征分析，以确定</w:t>
      </w:r>
      <w:r>
        <w:rPr>
          <w:rFonts w:hint="eastAsia" w:eastAsia="宋体"/>
          <w:color w:val="000000"/>
          <w:sz w:val="24"/>
          <w:szCs w:val="24"/>
        </w:rPr>
        <w:t>微粒</w:t>
      </w:r>
      <w:r>
        <w:rPr>
          <w:rFonts w:eastAsia="宋体"/>
          <w:color w:val="000000"/>
          <w:sz w:val="24"/>
          <w:szCs w:val="24"/>
        </w:rPr>
        <w:t>来源。</w:t>
      </w:r>
    </w:p>
    <w:p w14:paraId="20BF9FFE">
      <w:pPr>
        <w:shd w:val="clear" w:color="auto" w:fill="FFFFFF"/>
        <w:snapToGrid w:val="0"/>
        <w:jc w:val="both"/>
        <w:rPr>
          <w:rFonts w:eastAsia="宋体"/>
          <w:sz w:val="24"/>
          <w:szCs w:val="24"/>
        </w:rPr>
      </w:pPr>
    </w:p>
    <w:p w14:paraId="21FECE48">
      <w:pPr>
        <w:pStyle w:val="4"/>
        <w:snapToGrid w:val="0"/>
        <w:spacing w:beforeLines="0" w:afterLines="0"/>
        <w:ind w:left="990" w:hanging="424" w:hangingChars="151"/>
        <w:rPr>
          <w:rFonts w:eastAsia="宋体"/>
        </w:rPr>
      </w:pPr>
      <w:r>
        <w:rPr>
          <w:rFonts w:eastAsia="宋体"/>
        </w:rPr>
        <w:t>12.</w:t>
      </w:r>
      <w:r>
        <w:rPr>
          <w:rFonts w:eastAsia="宋体"/>
        </w:rPr>
        <w:tab/>
      </w:r>
      <w:r>
        <w:rPr>
          <w:rFonts w:eastAsia="宋体"/>
        </w:rPr>
        <w:t>润滑性</w:t>
      </w:r>
    </w:p>
    <w:p w14:paraId="637D9004">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：纳入润滑性涂层</w:t>
      </w:r>
      <w:r>
        <w:rPr>
          <w:rFonts w:hint="eastAsia" w:eastAsia="宋体"/>
          <w:color w:val="000000"/>
          <w:sz w:val="24"/>
          <w:szCs w:val="24"/>
        </w:rPr>
        <w:t>可以</w:t>
      </w:r>
      <w:r>
        <w:rPr>
          <w:rFonts w:eastAsia="宋体"/>
          <w:color w:val="000000"/>
          <w:sz w:val="24"/>
          <w:szCs w:val="24"/>
        </w:rPr>
        <w:t>减少在浏览目标血管时遇到的摩擦力，所以需要证明涂层的功能和性能。</w:t>
      </w:r>
    </w:p>
    <w:p w14:paraId="607052EC">
      <w:pPr>
        <w:shd w:val="clear" w:color="auto" w:fill="FFFFFF"/>
        <w:snapToGrid w:val="0"/>
        <w:jc w:val="both"/>
        <w:rPr>
          <w:rFonts w:eastAsia="宋体"/>
          <w:sz w:val="24"/>
          <w:szCs w:val="24"/>
        </w:rPr>
      </w:pPr>
    </w:p>
    <w:p w14:paraId="4EAEEEF5">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：我们建议按照使用说明书</w:t>
      </w:r>
      <w:r>
        <w:rPr>
          <w:rFonts w:hint="eastAsia" w:eastAsia="宋体"/>
          <w:color w:val="000000"/>
          <w:sz w:val="24"/>
          <w:szCs w:val="24"/>
        </w:rPr>
        <w:t>制备</w:t>
      </w:r>
      <w:r>
        <w:rPr>
          <w:rFonts w:eastAsia="宋体"/>
          <w:color w:val="000000"/>
          <w:sz w:val="24"/>
          <w:szCs w:val="24"/>
        </w:rPr>
        <w:t>好样品，然后根据需要进行预处理以模拟最坏情况后，对涂层的拖曳力进行表征（例如，捏合</w:t>
      </w:r>
      <w:r>
        <w:rPr>
          <w:rFonts w:hint="eastAsia" w:eastAsia="宋体"/>
          <w:color w:val="000000"/>
          <w:sz w:val="24"/>
          <w:szCs w:val="24"/>
        </w:rPr>
        <w:t>测试</w:t>
      </w:r>
      <w:r>
        <w:rPr>
          <w:rFonts w:eastAsia="宋体"/>
          <w:color w:val="000000"/>
          <w:sz w:val="24"/>
          <w:szCs w:val="24"/>
        </w:rPr>
        <w:t>）。除了涂层完整性测试（第IV.G.10节），您应该考虑通过多次进行润滑性测试（即临床上相关的次数）来评估涂层的耐久性</w:t>
      </w:r>
      <w:r>
        <w:rPr>
          <w:rFonts w:hint="eastAsia" w:eastAsia="宋体"/>
          <w:color w:val="000000"/>
          <w:sz w:val="24"/>
          <w:szCs w:val="24"/>
        </w:rPr>
        <w:t>，</w:t>
      </w:r>
      <w:r>
        <w:rPr>
          <w:rFonts w:eastAsia="宋体"/>
          <w:color w:val="000000"/>
          <w:sz w:val="24"/>
          <w:szCs w:val="24"/>
        </w:rPr>
        <w:t>确定润滑的机制（如流体力学）</w:t>
      </w:r>
      <w:r>
        <w:rPr>
          <w:rFonts w:hint="eastAsia" w:eastAsia="宋体"/>
          <w:color w:val="000000"/>
          <w:sz w:val="24"/>
          <w:szCs w:val="24"/>
        </w:rPr>
        <w:t>并</w:t>
      </w:r>
      <w:r>
        <w:rPr>
          <w:rFonts w:eastAsia="宋体"/>
          <w:color w:val="000000"/>
          <w:sz w:val="24"/>
          <w:szCs w:val="24"/>
        </w:rPr>
        <w:t>报告观察结果（如拖曳力随循环的变化，使用高分辨率成像的涂层缺陷）和结论。</w:t>
      </w:r>
    </w:p>
    <w:p w14:paraId="4C85A75A">
      <w:pPr>
        <w:shd w:val="clear" w:color="auto" w:fill="FFFFFF"/>
        <w:snapToGrid w:val="0"/>
        <w:jc w:val="both"/>
        <w:rPr>
          <w:rFonts w:eastAsia="宋体"/>
          <w:sz w:val="24"/>
          <w:szCs w:val="24"/>
        </w:rPr>
      </w:pPr>
    </w:p>
    <w:p w14:paraId="5906BB2D">
      <w:pPr>
        <w:pStyle w:val="4"/>
        <w:snapToGrid w:val="0"/>
        <w:spacing w:beforeLines="0" w:afterLines="0"/>
        <w:ind w:left="990" w:hanging="424" w:hangingChars="151"/>
        <w:rPr>
          <w:rFonts w:eastAsia="宋体"/>
        </w:rPr>
      </w:pPr>
      <w:r>
        <w:rPr>
          <w:rFonts w:eastAsia="宋体"/>
        </w:rPr>
        <w:t>13.</w:t>
      </w:r>
      <w:r>
        <w:rPr>
          <w:rFonts w:eastAsia="宋体"/>
        </w:rPr>
        <w:tab/>
      </w:r>
      <w:r>
        <w:rPr>
          <w:rFonts w:eastAsia="宋体"/>
        </w:rPr>
        <w:t>耐腐蚀性</w:t>
      </w:r>
    </w:p>
    <w:p w14:paraId="7ADCD103">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：导丝腐蚀可导致或</w:t>
      </w:r>
      <w:r>
        <w:rPr>
          <w:rFonts w:hint="eastAsia" w:eastAsia="宋体"/>
          <w:color w:val="000000"/>
          <w:sz w:val="24"/>
          <w:szCs w:val="24"/>
        </w:rPr>
        <w:t>导致</w:t>
      </w:r>
      <w:r>
        <w:rPr>
          <w:rFonts w:eastAsia="宋体"/>
          <w:color w:val="000000"/>
          <w:sz w:val="24"/>
          <w:szCs w:val="24"/>
        </w:rPr>
        <w:t>器械过早失效。此外，腐蚀副产品可能是有毒的或引起其他不良的生物和组织反应。</w:t>
      </w:r>
    </w:p>
    <w:p w14:paraId="3BDDA922">
      <w:pPr>
        <w:shd w:val="clear" w:color="auto" w:fill="FFFFFF"/>
        <w:snapToGrid w:val="0"/>
        <w:jc w:val="both"/>
        <w:rPr>
          <w:rFonts w:eastAsia="宋体"/>
          <w:sz w:val="24"/>
          <w:szCs w:val="24"/>
        </w:rPr>
      </w:pPr>
    </w:p>
    <w:p w14:paraId="3F51E8DA">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：建议对器械的任何金属部件进行浸泡</w:t>
      </w:r>
      <w:r>
        <w:rPr>
          <w:rFonts w:hint="eastAsia" w:eastAsia="宋体"/>
          <w:color w:val="000000"/>
          <w:sz w:val="24"/>
          <w:szCs w:val="24"/>
        </w:rPr>
        <w:t>测试</w:t>
      </w:r>
      <w:r>
        <w:rPr>
          <w:rFonts w:eastAsia="宋体"/>
          <w:color w:val="000000"/>
          <w:sz w:val="24"/>
          <w:szCs w:val="24"/>
        </w:rPr>
        <w:t>（例如，将器械暴露在室温、沸腾和37°C的盐水浴中，超过预期的最大临床使用时间）后检查是否有腐蚀迹象。有关该测试方法建议的更多信息，请参考目前公认的ISO 10555-1版本</w:t>
      </w:r>
      <w:r>
        <w:rPr>
          <w:rFonts w:hint="eastAsia" w:eastAsia="宋体"/>
          <w:color w:val="000000"/>
          <w:sz w:val="24"/>
          <w:szCs w:val="24"/>
        </w:rPr>
        <w:t>：</w:t>
      </w:r>
      <w:r>
        <w:rPr>
          <w:rFonts w:eastAsia="宋体"/>
          <w:i/>
          <w:iCs/>
          <w:color w:val="000000"/>
          <w:sz w:val="24"/>
          <w:szCs w:val="24"/>
        </w:rPr>
        <w:t>血管内导管-无菌和一次性使用的导管-第一部分：一般要求，附</w:t>
      </w:r>
      <w:r>
        <w:rPr>
          <w:rFonts w:hint="eastAsia" w:eastAsia="宋体"/>
          <w:i/>
          <w:iCs/>
          <w:color w:val="000000"/>
          <w:sz w:val="24"/>
          <w:szCs w:val="24"/>
        </w:rPr>
        <w:t>录</w:t>
      </w:r>
      <w:r>
        <w:rPr>
          <w:rFonts w:eastAsia="宋体"/>
          <w:i/>
          <w:iCs/>
          <w:color w:val="000000"/>
          <w:sz w:val="24"/>
          <w:szCs w:val="24"/>
        </w:rPr>
        <w:t>A</w:t>
      </w:r>
      <w:r>
        <w:rPr>
          <w:rFonts w:eastAsia="宋体"/>
          <w:color w:val="000000"/>
          <w:sz w:val="24"/>
          <w:szCs w:val="24"/>
        </w:rPr>
        <w:t>。尽管本标准为血管内导管而编写，但用于评</w:t>
      </w:r>
      <w:r>
        <w:rPr>
          <w:rFonts w:hint="eastAsia" w:eastAsia="宋体"/>
          <w:color w:val="000000"/>
          <w:sz w:val="24"/>
          <w:szCs w:val="24"/>
        </w:rPr>
        <w:t>价</w:t>
      </w:r>
      <w:r>
        <w:rPr>
          <w:rFonts w:eastAsia="宋体"/>
          <w:color w:val="000000"/>
          <w:sz w:val="24"/>
          <w:szCs w:val="24"/>
        </w:rPr>
        <w:t>耐腐蚀性的方法也适用于导丝。</w:t>
      </w:r>
    </w:p>
    <w:p w14:paraId="7BFBDEAC">
      <w:pPr>
        <w:shd w:val="clear" w:color="auto" w:fill="FFFFFF"/>
        <w:snapToGrid w:val="0"/>
        <w:jc w:val="both"/>
        <w:rPr>
          <w:rFonts w:eastAsia="宋体"/>
          <w:sz w:val="24"/>
          <w:szCs w:val="24"/>
        </w:rPr>
      </w:pPr>
    </w:p>
    <w:p w14:paraId="0363F77D">
      <w:pPr>
        <w:pStyle w:val="4"/>
        <w:snapToGrid w:val="0"/>
        <w:spacing w:beforeLines="0" w:afterLines="0"/>
        <w:ind w:left="990" w:hanging="424" w:hangingChars="151"/>
        <w:rPr>
          <w:rFonts w:eastAsia="宋体"/>
        </w:rPr>
      </w:pPr>
      <w:r>
        <w:rPr>
          <w:rFonts w:eastAsia="宋体"/>
        </w:rPr>
        <w:t>14.</w:t>
      </w:r>
      <w:r>
        <w:rPr>
          <w:rFonts w:eastAsia="宋体"/>
        </w:rPr>
        <w:tab/>
      </w:r>
      <w:r>
        <w:rPr>
          <w:rFonts w:eastAsia="宋体"/>
        </w:rPr>
        <w:t>抗扭结</w:t>
      </w:r>
    </w:p>
    <w:p w14:paraId="5ADABF5F">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：导丝在使用过程中可能会受到弯曲力的影响，如果不能承受临床使用中的典型力，可能会导致器械</w:t>
      </w:r>
      <w:r>
        <w:rPr>
          <w:rFonts w:hint="eastAsia" w:eastAsia="宋体"/>
          <w:color w:val="000000"/>
          <w:sz w:val="24"/>
          <w:szCs w:val="24"/>
        </w:rPr>
        <w:t>失效</w:t>
      </w:r>
      <w:r>
        <w:rPr>
          <w:rFonts w:eastAsia="宋体"/>
          <w:color w:val="000000"/>
          <w:sz w:val="24"/>
          <w:szCs w:val="24"/>
        </w:rPr>
        <w:t>和/或血管损伤。</w:t>
      </w:r>
    </w:p>
    <w:p w14:paraId="6465AAF7">
      <w:pPr>
        <w:shd w:val="clear" w:color="auto" w:fill="FFFFFF"/>
        <w:snapToGrid w:val="0"/>
        <w:jc w:val="both"/>
        <w:rPr>
          <w:rFonts w:eastAsia="宋体"/>
          <w:sz w:val="24"/>
          <w:szCs w:val="24"/>
        </w:rPr>
      </w:pPr>
    </w:p>
    <w:p w14:paraId="191CBE43">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：您的器械在围绕解剖学上的相关半径弯曲时，应该表现出对扭结（和其他</w:t>
      </w:r>
      <w:r>
        <w:rPr>
          <w:rFonts w:hint="eastAsia" w:eastAsia="宋体"/>
          <w:color w:val="000000"/>
          <w:sz w:val="24"/>
          <w:szCs w:val="24"/>
        </w:rPr>
        <w:t>失效</w:t>
      </w:r>
      <w:r>
        <w:rPr>
          <w:rFonts w:eastAsia="宋体"/>
          <w:color w:val="000000"/>
          <w:sz w:val="24"/>
          <w:szCs w:val="24"/>
        </w:rPr>
        <w:t>模式）的抵抗力。应按照使用说明书制备样品，然后根据需要进行预处理，以模拟最坏情况。为了评估抗扭结能力，您应该将导丝绕着半径越来越小的</w:t>
      </w:r>
      <w:r>
        <w:rPr>
          <w:rFonts w:hint="eastAsia" w:eastAsia="宋体"/>
          <w:color w:val="000000"/>
          <w:sz w:val="24"/>
          <w:szCs w:val="24"/>
        </w:rPr>
        <w:t>芯</w:t>
      </w:r>
      <w:r>
        <w:rPr>
          <w:rFonts w:eastAsia="宋体"/>
          <w:color w:val="000000"/>
          <w:sz w:val="24"/>
          <w:szCs w:val="24"/>
        </w:rPr>
        <w:t>轴弯曲，直到发生扭结、塑性变形和/或断裂，或达到临床使用中预期的最小弯曲半径，以先发生者为准。这种评估应该考虑到所有的关节。当报告结果时，您应该确定测试的芯轴尺寸</w:t>
      </w:r>
      <w:r>
        <w:rPr>
          <w:rFonts w:hint="eastAsia" w:eastAsia="宋体"/>
          <w:color w:val="000000"/>
          <w:sz w:val="24"/>
          <w:szCs w:val="24"/>
        </w:rPr>
        <w:t>、</w:t>
      </w:r>
      <w:r>
        <w:rPr>
          <w:rFonts w:eastAsia="宋体"/>
          <w:color w:val="000000"/>
          <w:sz w:val="24"/>
          <w:szCs w:val="24"/>
        </w:rPr>
        <w:t>导致器械</w:t>
      </w:r>
      <w:r>
        <w:rPr>
          <w:rFonts w:hint="eastAsia" w:eastAsia="宋体"/>
          <w:color w:val="000000"/>
          <w:sz w:val="24"/>
          <w:szCs w:val="24"/>
        </w:rPr>
        <w:t>失效的芯轴部分、失效</w:t>
      </w:r>
      <w:r>
        <w:rPr>
          <w:rFonts w:eastAsia="宋体"/>
          <w:color w:val="000000"/>
          <w:sz w:val="24"/>
          <w:szCs w:val="24"/>
        </w:rPr>
        <w:t>的位置和观察到的</w:t>
      </w:r>
      <w:r>
        <w:rPr>
          <w:rFonts w:hint="eastAsia" w:eastAsia="宋体"/>
          <w:color w:val="000000"/>
          <w:sz w:val="24"/>
          <w:szCs w:val="24"/>
        </w:rPr>
        <w:t>失效</w:t>
      </w:r>
      <w:r>
        <w:rPr>
          <w:rFonts w:eastAsia="宋体"/>
          <w:color w:val="000000"/>
          <w:sz w:val="24"/>
          <w:szCs w:val="24"/>
        </w:rPr>
        <w:t>类型。</w:t>
      </w:r>
    </w:p>
    <w:p w14:paraId="136F3C88">
      <w:pPr>
        <w:shd w:val="clear" w:color="auto" w:fill="FFFFFF"/>
        <w:snapToGrid w:val="0"/>
        <w:jc w:val="both"/>
        <w:rPr>
          <w:rFonts w:eastAsia="宋体"/>
          <w:sz w:val="24"/>
          <w:szCs w:val="24"/>
        </w:rPr>
      </w:pPr>
    </w:p>
    <w:p w14:paraId="5ED38B02">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3196D561">
      <w:pPr>
        <w:pStyle w:val="4"/>
        <w:snapToGrid w:val="0"/>
        <w:spacing w:beforeLines="0" w:afterLines="0"/>
        <w:ind w:left="990" w:hanging="424" w:hangingChars="151"/>
        <w:rPr>
          <w:rFonts w:eastAsia="宋体"/>
        </w:rPr>
      </w:pPr>
      <w:r>
        <w:rPr>
          <w:rFonts w:eastAsia="宋体"/>
        </w:rPr>
        <w:t>15.</w:t>
      </w:r>
      <w:r>
        <w:rPr>
          <w:rFonts w:eastAsia="宋体"/>
        </w:rPr>
        <w:tab/>
      </w:r>
      <w:r>
        <w:rPr>
          <w:rFonts w:eastAsia="宋体"/>
        </w:rPr>
        <w:t>头端的灵性</w:t>
      </w:r>
    </w:p>
    <w:p w14:paraId="2A2C5EEC">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：安全和成功地在曲折的血管中导航取决于导丝顶端的机械性能。设计不当的导丝头可能导致血管穿孔、夹层和/或其他血管损伤。</w:t>
      </w:r>
    </w:p>
    <w:p w14:paraId="5ACD1B2D">
      <w:pPr>
        <w:shd w:val="clear" w:color="auto" w:fill="FFFFFF"/>
        <w:snapToGrid w:val="0"/>
        <w:jc w:val="both"/>
        <w:rPr>
          <w:rFonts w:eastAsia="宋体"/>
          <w:sz w:val="24"/>
          <w:szCs w:val="24"/>
        </w:rPr>
      </w:pPr>
    </w:p>
    <w:p w14:paraId="1124A106">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：在按照使用说明书</w:t>
      </w:r>
      <w:r>
        <w:rPr>
          <w:rFonts w:hint="eastAsia" w:eastAsia="宋体"/>
          <w:color w:val="000000"/>
          <w:sz w:val="24"/>
          <w:szCs w:val="24"/>
        </w:rPr>
        <w:t>制</w:t>
      </w:r>
      <w:r>
        <w:rPr>
          <w:rFonts w:eastAsia="宋体"/>
          <w:color w:val="000000"/>
          <w:sz w:val="24"/>
          <w:szCs w:val="24"/>
        </w:rPr>
        <w:t>备好样品，然后根据需要进行预处理以模拟最坏的情况后，我们建议您确定当</w:t>
      </w:r>
      <w:r>
        <w:rPr>
          <w:rFonts w:hint="eastAsia" w:eastAsia="宋体"/>
          <w:color w:val="000000"/>
          <w:sz w:val="24"/>
          <w:szCs w:val="24"/>
        </w:rPr>
        <w:t>将</w:t>
      </w:r>
      <w:r>
        <w:rPr>
          <w:rFonts w:eastAsia="宋体"/>
          <w:color w:val="000000"/>
          <w:sz w:val="24"/>
          <w:szCs w:val="24"/>
        </w:rPr>
        <w:t>器械固定在离远端头端5</w:t>
      </w:r>
      <w:r>
        <w:rPr>
          <w:rFonts w:hint="eastAsia" w:eastAsia="宋体"/>
          <w:color w:val="000000"/>
          <w:sz w:val="24"/>
          <w:szCs w:val="24"/>
        </w:rPr>
        <w:t xml:space="preserve"> mm</w:t>
      </w:r>
      <w:r>
        <w:rPr>
          <w:rFonts w:eastAsia="宋体"/>
          <w:color w:val="000000"/>
          <w:sz w:val="24"/>
          <w:szCs w:val="24"/>
        </w:rPr>
        <w:t>、10</w:t>
      </w:r>
      <w:r>
        <w:rPr>
          <w:rFonts w:hint="eastAsia" w:eastAsia="宋体"/>
          <w:color w:val="000000"/>
          <w:sz w:val="24"/>
          <w:szCs w:val="24"/>
        </w:rPr>
        <w:t xml:space="preserve"> mm</w:t>
      </w:r>
      <w:r>
        <w:rPr>
          <w:rFonts w:eastAsia="宋体"/>
          <w:color w:val="000000"/>
          <w:sz w:val="24"/>
          <w:szCs w:val="24"/>
        </w:rPr>
        <w:t>和20</w:t>
      </w:r>
      <w:r>
        <w:rPr>
          <w:rFonts w:hint="eastAsia" w:eastAsia="宋体"/>
          <w:color w:val="000000"/>
          <w:sz w:val="24"/>
          <w:szCs w:val="24"/>
        </w:rPr>
        <w:t xml:space="preserve"> mm</w:t>
      </w:r>
      <w:r>
        <w:rPr>
          <w:rFonts w:eastAsia="宋体"/>
          <w:color w:val="000000"/>
          <w:sz w:val="24"/>
          <w:szCs w:val="24"/>
        </w:rPr>
        <w:t>处时，诱发屈曲变形的力。</w:t>
      </w:r>
    </w:p>
    <w:p w14:paraId="562A5124">
      <w:pPr>
        <w:shd w:val="clear" w:color="auto" w:fill="FFFFFF"/>
        <w:snapToGrid w:val="0"/>
        <w:jc w:val="both"/>
        <w:rPr>
          <w:rFonts w:eastAsia="宋体"/>
          <w:sz w:val="24"/>
          <w:szCs w:val="24"/>
        </w:rPr>
      </w:pPr>
    </w:p>
    <w:p w14:paraId="36C50B43">
      <w:pPr>
        <w:pStyle w:val="4"/>
        <w:snapToGrid w:val="0"/>
        <w:spacing w:beforeLines="0" w:afterLines="0"/>
        <w:ind w:left="990" w:hanging="424" w:hangingChars="151"/>
        <w:rPr>
          <w:rFonts w:eastAsia="宋体"/>
        </w:rPr>
      </w:pPr>
      <w:r>
        <w:rPr>
          <w:rFonts w:eastAsia="宋体"/>
        </w:rPr>
        <w:t>16.</w:t>
      </w:r>
      <w:r>
        <w:rPr>
          <w:rFonts w:eastAsia="宋体"/>
        </w:rPr>
        <w:tab/>
      </w:r>
      <w:r>
        <w:rPr>
          <w:rFonts w:eastAsia="宋体"/>
        </w:rPr>
        <w:t>射线不透性</w:t>
      </w:r>
    </w:p>
    <w:p w14:paraId="72717386">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：因为在使用过程不能清楚地看到射线，所以辐射性不足可能会</w:t>
      </w:r>
      <w:r>
        <w:rPr>
          <w:rFonts w:hint="eastAsia" w:eastAsia="宋体"/>
          <w:color w:val="000000"/>
          <w:sz w:val="24"/>
          <w:szCs w:val="24"/>
        </w:rPr>
        <w:t>威胁</w:t>
      </w:r>
      <w:r>
        <w:rPr>
          <w:rFonts w:eastAsia="宋体"/>
          <w:color w:val="000000"/>
          <w:sz w:val="24"/>
          <w:szCs w:val="24"/>
        </w:rPr>
        <w:t>安全和适当地使用该器械。</w:t>
      </w:r>
    </w:p>
    <w:p w14:paraId="033290CF">
      <w:pPr>
        <w:shd w:val="clear" w:color="auto" w:fill="FFFFFF"/>
        <w:snapToGrid w:val="0"/>
        <w:jc w:val="both"/>
        <w:rPr>
          <w:rFonts w:eastAsia="宋体"/>
          <w:sz w:val="24"/>
          <w:szCs w:val="24"/>
        </w:rPr>
      </w:pPr>
    </w:p>
    <w:p w14:paraId="435256FF">
      <w:pPr>
        <w:shd w:val="clear" w:color="auto" w:fill="FFFFFF"/>
        <w:snapToGrid w:val="0"/>
        <w:jc w:val="both"/>
        <w:rPr>
          <w:color w:val="000000"/>
          <w:sz w:val="24"/>
        </w:rPr>
      </w:pPr>
      <w:r>
        <w:rPr>
          <w:rFonts w:eastAsia="宋体"/>
          <w:color w:val="000000"/>
          <w:sz w:val="24"/>
          <w:szCs w:val="24"/>
          <w:u w:val="single"/>
        </w:rPr>
        <w:t>建议</w:t>
      </w:r>
      <w:r>
        <w:rPr>
          <w:rFonts w:eastAsia="宋体"/>
          <w:color w:val="000000"/>
          <w:sz w:val="24"/>
          <w:szCs w:val="24"/>
        </w:rPr>
        <w:t>：建议选择最多5个器械的样</w:t>
      </w:r>
      <w:r>
        <w:rPr>
          <w:rFonts w:hint="eastAsia" w:eastAsia="宋体"/>
          <w:color w:val="000000"/>
          <w:sz w:val="24"/>
          <w:szCs w:val="24"/>
        </w:rPr>
        <w:t>本</w:t>
      </w:r>
      <w:r>
        <w:rPr>
          <w:rFonts w:eastAsia="宋体"/>
          <w:color w:val="000000"/>
          <w:sz w:val="24"/>
          <w:szCs w:val="24"/>
        </w:rPr>
        <w:t>量，以确保使用临床成像技术可以看到器械的显影点或不透射线部分。我们建议对</w:t>
      </w:r>
      <w:r>
        <w:rPr>
          <w:rFonts w:hint="eastAsia" w:eastAsia="宋体"/>
          <w:color w:val="000000"/>
          <w:sz w:val="24"/>
          <w:szCs w:val="24"/>
        </w:rPr>
        <w:t>射线</w:t>
      </w:r>
      <w:r>
        <w:rPr>
          <w:rFonts w:eastAsia="宋体"/>
          <w:color w:val="000000"/>
          <w:sz w:val="24"/>
          <w:szCs w:val="24"/>
        </w:rPr>
        <w:t>透性进行定性或定量测量，即通过实时或平片X射线将导丝与标准材料或</w:t>
      </w:r>
      <w:r>
        <w:rPr>
          <w:rFonts w:hint="eastAsia" w:eastAsia="宋体"/>
          <w:color w:val="000000"/>
          <w:sz w:val="24"/>
          <w:szCs w:val="24"/>
        </w:rPr>
        <w:t>通知</w:t>
      </w:r>
      <w:r>
        <w:rPr>
          <w:rFonts w:eastAsia="宋体"/>
          <w:color w:val="000000"/>
          <w:sz w:val="24"/>
          <w:szCs w:val="24"/>
        </w:rPr>
        <w:t>器械进行比较。使用作为动物研究的一部分获得的数据、</w:t>
      </w:r>
      <w:r>
        <w:rPr>
          <w:rFonts w:eastAsia="宋体"/>
          <w:i/>
          <w:iCs/>
          <w:color w:val="000000"/>
          <w:sz w:val="24"/>
          <w:szCs w:val="24"/>
        </w:rPr>
        <w:t>体外</w:t>
      </w:r>
      <w:r>
        <w:rPr>
          <w:rFonts w:hint="eastAsia" w:eastAsia="宋体"/>
          <w:color w:val="000000"/>
          <w:sz w:val="24"/>
          <w:szCs w:val="24"/>
        </w:rPr>
        <w:t>体模</w:t>
      </w:r>
      <w:r>
        <w:rPr>
          <w:rFonts w:eastAsia="宋体"/>
          <w:color w:val="000000"/>
          <w:sz w:val="24"/>
          <w:szCs w:val="24"/>
        </w:rPr>
        <w:t>或同等模型可接受。</w:t>
      </w:r>
      <w:r>
        <w:rPr>
          <w:rStyle w:val="18"/>
          <w:rFonts w:eastAsia="宋体"/>
          <w:color w:val="000000"/>
          <w:sz w:val="24"/>
          <w:szCs w:val="24"/>
        </w:rPr>
        <w:footnoteReference w:id="10"/>
      </w:r>
      <w:r>
        <w:rPr>
          <w:rFonts w:eastAsia="宋体"/>
          <w:color w:val="000000"/>
          <w:sz w:val="24"/>
          <w:szCs w:val="24"/>
        </w:rPr>
        <w:t>有关该测试的方法建议的其他信息，请参考目前公认的ASTM F640版本</w:t>
      </w:r>
      <w:r>
        <w:rPr>
          <w:rFonts w:hint="eastAsia" w:eastAsia="宋体"/>
          <w:color w:val="000000"/>
          <w:sz w:val="24"/>
          <w:szCs w:val="24"/>
        </w:rPr>
        <w:t>：</w:t>
      </w:r>
      <w:r>
        <w:rPr>
          <w:rFonts w:hint="eastAsia" w:eastAsia="宋体"/>
          <w:i/>
          <w:iCs/>
          <w:color w:val="000000"/>
          <w:sz w:val="24"/>
          <w:szCs w:val="24"/>
        </w:rPr>
        <w:t>测</w:t>
      </w:r>
      <w:r>
        <w:rPr>
          <w:rFonts w:eastAsia="宋体"/>
          <w:i/>
          <w:iCs/>
          <w:color w:val="000000"/>
          <w:sz w:val="24"/>
          <w:szCs w:val="24"/>
        </w:rPr>
        <w:t>定医疗用途的</w:t>
      </w:r>
      <w:r>
        <w:rPr>
          <w:rFonts w:hint="eastAsia" w:eastAsia="宋体"/>
          <w:i/>
          <w:iCs/>
          <w:color w:val="000000"/>
          <w:sz w:val="24"/>
          <w:szCs w:val="24"/>
        </w:rPr>
        <w:t>射线</w:t>
      </w:r>
      <w:r>
        <w:rPr>
          <w:rFonts w:eastAsia="宋体"/>
          <w:i/>
          <w:iCs/>
          <w:color w:val="000000"/>
          <w:sz w:val="24"/>
          <w:szCs w:val="24"/>
        </w:rPr>
        <w:t>不透性的标准测试方法</w:t>
      </w:r>
      <w:r>
        <w:rPr>
          <w:rFonts w:eastAsia="宋体"/>
          <w:color w:val="000000"/>
          <w:sz w:val="24"/>
          <w:szCs w:val="24"/>
        </w:rPr>
        <w:t>。我们建议在提交的申请材料中包</w:t>
      </w:r>
      <w:r>
        <w:rPr>
          <w:rFonts w:hint="eastAsia" w:eastAsia="宋体"/>
          <w:color w:val="000000"/>
          <w:sz w:val="24"/>
          <w:szCs w:val="24"/>
        </w:rPr>
        <w:t>含</w:t>
      </w:r>
      <w:r>
        <w:rPr>
          <w:rFonts w:eastAsia="宋体"/>
          <w:color w:val="000000"/>
          <w:sz w:val="24"/>
          <w:szCs w:val="24"/>
        </w:rPr>
        <w:t>导丝和对照品的高质量图片。</w:t>
      </w:r>
    </w:p>
    <w:p w14:paraId="3BCC701D">
      <w:pPr>
        <w:shd w:val="clear" w:color="auto" w:fill="FFFFFF"/>
        <w:snapToGrid w:val="0"/>
        <w:jc w:val="both"/>
        <w:rPr>
          <w:rFonts w:eastAsia="宋体"/>
          <w:sz w:val="24"/>
          <w:szCs w:val="24"/>
        </w:rPr>
      </w:pPr>
    </w:p>
    <w:p w14:paraId="10944A7B">
      <w:pPr>
        <w:pStyle w:val="3"/>
        <w:spacing w:beforeLines="0" w:afterLines="0"/>
        <w:ind w:left="850" w:hanging="424" w:hangingChars="132"/>
        <w:rPr>
          <w:rFonts w:eastAsia="宋体"/>
        </w:rPr>
      </w:pPr>
      <w:bookmarkStart w:id="34" w:name="_Toc98746534"/>
      <w:bookmarkStart w:id="35" w:name="_Toc97483450"/>
      <w:r>
        <w:rPr>
          <w:rFonts w:eastAsia="宋体"/>
        </w:rPr>
        <w:t>A.</w:t>
      </w:r>
      <w:r>
        <w:rPr>
          <w:rFonts w:eastAsia="宋体"/>
        </w:rPr>
        <w:tab/>
      </w:r>
      <w:r>
        <w:rPr>
          <w:rFonts w:eastAsia="宋体"/>
        </w:rPr>
        <w:t>临床性能测试</w:t>
      </w:r>
      <w:bookmarkEnd w:id="34"/>
      <w:bookmarkEnd w:id="35"/>
    </w:p>
    <w:p w14:paraId="76013987">
      <w:pPr>
        <w:shd w:val="clear" w:color="auto" w:fill="FFFFFF"/>
        <w:snapToGrid w:val="0"/>
        <w:jc w:val="both"/>
        <w:rPr>
          <w:rFonts w:eastAsia="宋体"/>
          <w:color w:val="000000"/>
          <w:sz w:val="24"/>
          <w:szCs w:val="24"/>
        </w:rPr>
      </w:pPr>
      <w:bookmarkStart w:id="36" w:name="bookmark20"/>
      <w:bookmarkEnd w:id="36"/>
      <w:r>
        <w:rPr>
          <w:rFonts w:eastAsia="宋体"/>
          <w:color w:val="000000"/>
          <w:sz w:val="24"/>
          <w:szCs w:val="24"/>
          <w:u w:val="single"/>
        </w:rPr>
        <w:t>意义</w:t>
      </w:r>
      <w:r>
        <w:rPr>
          <w:rFonts w:eastAsia="宋体"/>
          <w:color w:val="000000"/>
          <w:sz w:val="24"/>
          <w:szCs w:val="24"/>
        </w:rPr>
        <w:t>：在某些情况下，临床前评</w:t>
      </w:r>
      <w:r>
        <w:rPr>
          <w:rFonts w:hint="eastAsia" w:eastAsia="宋体"/>
          <w:color w:val="000000"/>
          <w:sz w:val="24"/>
          <w:szCs w:val="24"/>
        </w:rPr>
        <w:t>价</w:t>
      </w:r>
      <w:r>
        <w:rPr>
          <w:rFonts w:eastAsia="宋体"/>
          <w:color w:val="000000"/>
          <w:sz w:val="24"/>
          <w:szCs w:val="24"/>
        </w:rPr>
        <w:t>并不能完全描述所有的临床经验、结果和风险。在这种情况下，我们建议您进行</w:t>
      </w:r>
      <w:r>
        <w:rPr>
          <w:rFonts w:eastAsia="宋体"/>
          <w:i/>
          <w:iCs/>
          <w:color w:val="000000"/>
          <w:sz w:val="24"/>
          <w:szCs w:val="24"/>
        </w:rPr>
        <w:t>体内</w:t>
      </w:r>
      <w:r>
        <w:rPr>
          <w:rFonts w:eastAsia="宋体"/>
          <w:color w:val="000000"/>
          <w:sz w:val="24"/>
          <w:szCs w:val="24"/>
        </w:rPr>
        <w:t>（即临床）研究，以评</w:t>
      </w:r>
      <w:r>
        <w:rPr>
          <w:rFonts w:hint="eastAsia" w:eastAsia="宋体"/>
          <w:color w:val="000000"/>
          <w:sz w:val="24"/>
          <w:szCs w:val="24"/>
        </w:rPr>
        <w:t>价</w:t>
      </w:r>
      <w:r>
        <w:rPr>
          <w:rFonts w:eastAsia="宋体"/>
          <w:color w:val="000000"/>
          <w:sz w:val="24"/>
          <w:szCs w:val="24"/>
        </w:rPr>
        <w:t>新的和改良的导丝的器械安全性和有效性。</w:t>
      </w:r>
    </w:p>
    <w:p w14:paraId="4DEB2498">
      <w:pPr>
        <w:shd w:val="clear" w:color="auto" w:fill="FFFFFF"/>
        <w:snapToGrid w:val="0"/>
        <w:jc w:val="both"/>
        <w:rPr>
          <w:rFonts w:eastAsia="宋体"/>
          <w:sz w:val="24"/>
          <w:szCs w:val="24"/>
        </w:rPr>
      </w:pPr>
    </w:p>
    <w:p w14:paraId="16887D14">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：对于大多数导丝来说，一般不太需要临床证据一般；但是，在以下情况下可能会要求进行这种测试：</w:t>
      </w:r>
    </w:p>
    <w:p w14:paraId="799C1695">
      <w:pPr>
        <w:numPr>
          <w:ilvl w:val="0"/>
          <w:numId w:val="3"/>
        </w:numPr>
        <w:shd w:val="clear" w:color="auto" w:fill="FFFFFF"/>
        <w:tabs>
          <w:tab w:val="left" w:pos="709"/>
        </w:tabs>
        <w:snapToGrid w:val="0"/>
        <w:ind w:left="660" w:hanging="360"/>
        <w:jc w:val="both"/>
        <w:rPr>
          <w:rFonts w:eastAsia="宋体"/>
          <w:sz w:val="24"/>
          <w:szCs w:val="24"/>
        </w:rPr>
      </w:pPr>
      <w:r>
        <w:rPr>
          <w:rFonts w:eastAsia="宋体"/>
          <w:color w:val="000000"/>
          <w:sz w:val="24"/>
          <w:szCs w:val="24"/>
        </w:rPr>
        <w:t>适用于复杂的临床情况（如穿越慢性全闭塞（CTO））的冠状动脉和周围动脉；</w:t>
      </w:r>
    </w:p>
    <w:p w14:paraId="1CB07655">
      <w:pPr>
        <w:shd w:val="clear" w:color="auto" w:fill="FFFFFF"/>
        <w:snapToGrid w:val="0"/>
        <w:jc w:val="both"/>
        <w:rPr>
          <w:rFonts w:eastAsia="宋体"/>
          <w:color w:val="000000"/>
          <w:sz w:val="24"/>
          <w:szCs w:val="24"/>
          <w:vertAlign w:val="superscript"/>
        </w:rPr>
      </w:pPr>
    </w:p>
    <w:p w14:paraId="15CF1446">
      <w:pPr>
        <w:shd w:val="clear" w:color="auto" w:fill="FFFFFF"/>
        <w:snapToGrid w:val="0"/>
        <w:jc w:val="both"/>
        <w:rPr>
          <w:rFonts w:eastAsia="宋体"/>
          <w:sz w:val="24"/>
          <w:szCs w:val="24"/>
        </w:rPr>
      </w:pPr>
    </w:p>
    <w:p w14:paraId="0219217C">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44B44C3C">
      <w:pPr>
        <w:numPr>
          <w:ilvl w:val="0"/>
          <w:numId w:val="3"/>
        </w:numPr>
        <w:shd w:val="clear" w:color="auto" w:fill="FFFFFF"/>
        <w:tabs>
          <w:tab w:val="left" w:pos="709"/>
        </w:tabs>
        <w:snapToGrid w:val="0"/>
        <w:ind w:left="660" w:hanging="360"/>
        <w:jc w:val="both"/>
        <w:rPr>
          <w:color w:val="000000"/>
          <w:sz w:val="24"/>
        </w:rPr>
      </w:pPr>
      <w:r>
        <w:rPr>
          <w:rFonts w:eastAsia="宋体"/>
          <w:color w:val="000000"/>
          <w:sz w:val="24"/>
          <w:szCs w:val="24"/>
        </w:rPr>
        <w:t>工程和/或动物试验提出的问题需要用临床证据进一步评</w:t>
      </w:r>
      <w:r>
        <w:rPr>
          <w:rFonts w:hint="eastAsia" w:eastAsia="宋体"/>
          <w:color w:val="000000"/>
          <w:sz w:val="24"/>
          <w:szCs w:val="24"/>
        </w:rPr>
        <w:t>价</w:t>
      </w:r>
      <w:r>
        <w:rPr>
          <w:rFonts w:eastAsia="宋体"/>
          <w:color w:val="000000"/>
          <w:sz w:val="24"/>
          <w:szCs w:val="24"/>
        </w:rPr>
        <w:t>的情况；</w:t>
      </w:r>
    </w:p>
    <w:p w14:paraId="5BD9F943">
      <w:pPr>
        <w:numPr>
          <w:ilvl w:val="0"/>
          <w:numId w:val="3"/>
        </w:numPr>
        <w:shd w:val="clear" w:color="auto" w:fill="FFFFFF"/>
        <w:tabs>
          <w:tab w:val="left" w:pos="709"/>
        </w:tabs>
        <w:snapToGrid w:val="0"/>
        <w:ind w:left="660" w:hanging="360"/>
        <w:jc w:val="both"/>
        <w:rPr>
          <w:color w:val="000000"/>
          <w:sz w:val="24"/>
        </w:rPr>
      </w:pPr>
      <w:r>
        <w:rPr>
          <w:rFonts w:eastAsia="宋体"/>
          <w:color w:val="000000"/>
          <w:sz w:val="24"/>
          <w:szCs w:val="24"/>
        </w:rPr>
        <w:t>与合法</w:t>
      </w:r>
      <w:r>
        <w:rPr>
          <w:rFonts w:hint="eastAsia" w:eastAsia="宋体"/>
          <w:color w:val="000000"/>
          <w:sz w:val="24"/>
          <w:szCs w:val="24"/>
        </w:rPr>
        <w:t>上市</w:t>
      </w:r>
      <w:r>
        <w:rPr>
          <w:rFonts w:eastAsia="宋体"/>
          <w:color w:val="000000"/>
          <w:sz w:val="24"/>
          <w:szCs w:val="24"/>
        </w:rPr>
        <w:t>的同类型器械不同的使用适应</w:t>
      </w:r>
      <w:r>
        <w:rPr>
          <w:rFonts w:hint="eastAsia" w:eastAsia="宋体"/>
          <w:color w:val="000000"/>
          <w:sz w:val="24"/>
          <w:szCs w:val="24"/>
        </w:rPr>
        <w:t>证</w:t>
      </w:r>
      <w:r>
        <w:rPr>
          <w:rFonts w:eastAsia="宋体"/>
          <w:color w:val="000000"/>
          <w:sz w:val="24"/>
          <w:szCs w:val="24"/>
        </w:rPr>
        <w:t>；</w:t>
      </w:r>
    </w:p>
    <w:p w14:paraId="529612D5">
      <w:pPr>
        <w:numPr>
          <w:ilvl w:val="0"/>
          <w:numId w:val="3"/>
        </w:numPr>
        <w:shd w:val="clear" w:color="auto" w:fill="FFFFFF"/>
        <w:tabs>
          <w:tab w:val="left" w:pos="709"/>
        </w:tabs>
        <w:snapToGrid w:val="0"/>
        <w:ind w:left="660" w:hanging="360"/>
        <w:jc w:val="both"/>
        <w:rPr>
          <w:color w:val="000000"/>
          <w:sz w:val="24"/>
        </w:rPr>
      </w:pPr>
      <w:r>
        <w:rPr>
          <w:rFonts w:eastAsia="宋体"/>
          <w:color w:val="000000"/>
          <w:sz w:val="24"/>
          <w:szCs w:val="24"/>
        </w:rPr>
        <w:t>新技术，即与合法上市的同类型器械所使用的技术不同，但不会引起不同的安全或有效性问题。</w:t>
      </w:r>
    </w:p>
    <w:p w14:paraId="37BB64C4">
      <w:pPr>
        <w:shd w:val="clear" w:color="auto" w:fill="FFFFFF"/>
        <w:snapToGrid w:val="0"/>
        <w:jc w:val="both"/>
        <w:rPr>
          <w:rFonts w:eastAsia="宋体"/>
          <w:color w:val="000000"/>
          <w:sz w:val="24"/>
          <w:szCs w:val="24"/>
        </w:rPr>
      </w:pPr>
    </w:p>
    <w:p w14:paraId="6912B4B6">
      <w:pPr>
        <w:shd w:val="clear" w:color="auto" w:fill="FFFFFF"/>
        <w:snapToGrid w:val="0"/>
        <w:ind w:firstLine="480" w:firstLineChars="200"/>
        <w:jc w:val="both"/>
        <w:rPr>
          <w:rFonts w:eastAsia="宋体"/>
          <w:color w:val="000000"/>
          <w:sz w:val="24"/>
          <w:szCs w:val="24"/>
        </w:rPr>
      </w:pPr>
      <w:r>
        <w:rPr>
          <w:rFonts w:eastAsia="宋体"/>
          <w:color w:val="000000"/>
          <w:sz w:val="24"/>
          <w:szCs w:val="24"/>
        </w:rPr>
        <w:t>当提议的替代方案有充分的科学理由支持时，我们将考虑临床试验的替代方案（如动物试验）。如果需要进行临床研究来证明实质等</w:t>
      </w:r>
      <w:r>
        <w:rPr>
          <w:rFonts w:hint="eastAsia" w:eastAsia="宋体"/>
          <w:color w:val="000000"/>
          <w:sz w:val="24"/>
          <w:szCs w:val="24"/>
        </w:rPr>
        <w:t>同</w:t>
      </w:r>
      <w:r>
        <w:rPr>
          <w:rFonts w:eastAsia="宋体"/>
          <w:color w:val="000000"/>
          <w:sz w:val="24"/>
          <w:szCs w:val="24"/>
        </w:rPr>
        <w:t xml:space="preserve">性，即在获得510（k）器械许可之前进行，该研究必须根据临床试验用器械豁免（IDE）条例，即21 CFR 812部分进行。一般来说，FDA认为本指南所涉及的导丝是重大风险器械，须遵守21 CFR 812的所有要求。参见FDA指南 </w:t>
      </w:r>
      <w:r>
        <w:rPr>
          <w:rFonts w:hint="eastAsia" w:eastAsia="宋体"/>
          <w:color w:val="000000"/>
          <w:sz w:val="24"/>
          <w:szCs w:val="24"/>
        </w:rPr>
        <w:t>《</w:t>
      </w:r>
      <w:r>
        <w:rPr>
          <w:rFonts w:eastAsia="宋体"/>
          <w:color w:val="0000FF"/>
          <w:sz w:val="24"/>
          <w:szCs w:val="24"/>
          <w:u w:val="single"/>
        </w:rPr>
        <w:t>重大风险和非重大风险医疗器械研究</w:t>
      </w:r>
      <w:r>
        <w:rPr>
          <w:rFonts w:hint="eastAsia" w:eastAsia="宋体"/>
          <w:color w:val="0000FF"/>
          <w:sz w:val="24"/>
          <w:szCs w:val="24"/>
          <w:u w:val="single"/>
        </w:rPr>
        <w:t>》</w:t>
      </w:r>
      <w:r>
        <w:rPr>
          <w:rStyle w:val="18"/>
          <w:rFonts w:eastAsia="宋体"/>
          <w:color w:val="000000"/>
          <w:sz w:val="24"/>
          <w:szCs w:val="24"/>
        </w:rPr>
        <w:footnoteReference w:id="11"/>
      </w:r>
      <w:r>
        <w:rPr>
          <w:rFonts w:eastAsia="宋体"/>
          <w:color w:val="000000"/>
          <w:sz w:val="24"/>
          <w:szCs w:val="24"/>
        </w:rPr>
        <w:t>除了21 CFR 812的要求外，此类试验的申办者必须遵守机构审查委员会（21 CFR第56部分）和知情同意（21 CFR第50部分）的规定。</w:t>
      </w:r>
    </w:p>
    <w:p w14:paraId="4E563B64">
      <w:pPr>
        <w:shd w:val="clear" w:color="auto" w:fill="FFFFFF"/>
        <w:snapToGrid w:val="0"/>
        <w:ind w:firstLine="480" w:firstLineChars="200"/>
        <w:jc w:val="both"/>
        <w:rPr>
          <w:rFonts w:eastAsia="宋体"/>
          <w:sz w:val="24"/>
          <w:szCs w:val="24"/>
        </w:rPr>
      </w:pPr>
    </w:p>
    <w:p w14:paraId="2D201981">
      <w:pPr>
        <w:shd w:val="clear" w:color="auto" w:fill="FFFFFF"/>
        <w:snapToGrid w:val="0"/>
        <w:ind w:firstLine="480" w:firstLineChars="200"/>
        <w:jc w:val="both"/>
        <w:rPr>
          <w:color w:val="000000"/>
          <w:sz w:val="24"/>
        </w:rPr>
      </w:pPr>
      <w:r>
        <w:rPr>
          <w:rFonts w:eastAsia="宋体"/>
          <w:color w:val="000000"/>
          <w:sz w:val="24"/>
          <w:szCs w:val="24"/>
        </w:rPr>
        <w:t>在某些情况下，</w:t>
      </w:r>
      <w:r>
        <w:rPr>
          <w:rFonts w:ascii="宋体" w:hAnsi="宋体" w:eastAsia="宋体"/>
          <w:color w:val="000000"/>
          <w:sz w:val="24"/>
          <w:szCs w:val="24"/>
        </w:rPr>
        <w:t>“</w:t>
      </w:r>
      <w:r>
        <w:rPr>
          <w:rFonts w:eastAsia="宋体"/>
          <w:color w:val="000000"/>
          <w:sz w:val="24"/>
          <w:szCs w:val="24"/>
        </w:rPr>
        <w:t>真实世界数据</w:t>
      </w:r>
      <w:r>
        <w:rPr>
          <w:rFonts w:ascii="宋体" w:hAnsi="宋体" w:eastAsia="宋体"/>
          <w:color w:val="000000"/>
          <w:sz w:val="24"/>
          <w:szCs w:val="24"/>
        </w:rPr>
        <w:t>”</w:t>
      </w:r>
      <w:r>
        <w:rPr>
          <w:rFonts w:eastAsia="宋体"/>
          <w:color w:val="000000"/>
          <w:sz w:val="24"/>
          <w:szCs w:val="24"/>
        </w:rPr>
        <w:t>（RWD）可用于支持扩大已经获得510（k）许可的器械的适应</w:t>
      </w:r>
      <w:r>
        <w:rPr>
          <w:rFonts w:hint="eastAsia" w:eastAsia="宋体"/>
          <w:color w:val="000000"/>
          <w:sz w:val="24"/>
          <w:szCs w:val="24"/>
        </w:rPr>
        <w:t>证</w:t>
      </w:r>
      <w:r>
        <w:rPr>
          <w:rFonts w:eastAsia="宋体"/>
          <w:color w:val="000000"/>
          <w:sz w:val="24"/>
          <w:szCs w:val="24"/>
        </w:rPr>
        <w:t>。为合法上市的器械收集RWD是否需要IDE，取决于具体的情况。具体来说，如果批准的器械</w:t>
      </w:r>
      <w:r>
        <w:rPr>
          <w:rFonts w:hint="eastAsia" w:eastAsia="宋体"/>
          <w:color w:val="000000"/>
          <w:sz w:val="24"/>
          <w:szCs w:val="24"/>
        </w:rPr>
        <w:t>应用于</w:t>
      </w:r>
      <w:r>
        <w:rPr>
          <w:rFonts w:eastAsia="宋体"/>
          <w:color w:val="000000"/>
          <w:sz w:val="24"/>
          <w:szCs w:val="24"/>
        </w:rPr>
        <w:t xml:space="preserve">正常的医疗实践过程，可能不需要IDE。有关这一主题的更多信息，请参考FDA的指南 </w:t>
      </w:r>
      <w:r>
        <w:rPr>
          <w:rFonts w:hint="eastAsia" w:eastAsia="宋体"/>
          <w:color w:val="000000"/>
          <w:sz w:val="24"/>
          <w:szCs w:val="24"/>
        </w:rPr>
        <w:t>《</w:t>
      </w:r>
      <w:r>
        <w:rPr>
          <w:rFonts w:eastAsia="宋体"/>
          <w:color w:val="0000FF"/>
          <w:sz w:val="24"/>
          <w:szCs w:val="24"/>
          <w:u w:val="single"/>
        </w:rPr>
        <w:t>使用真实世界的证据来支持医疗器械的监管决策</w:t>
      </w:r>
      <w:r>
        <w:rPr>
          <w:rFonts w:hint="eastAsia" w:eastAsia="宋体"/>
          <w:sz w:val="24"/>
          <w:szCs w:val="24"/>
          <w:u w:val="single"/>
        </w:rPr>
        <w:t>》</w:t>
      </w:r>
      <w:r>
        <w:rPr>
          <w:rStyle w:val="18"/>
          <w:rFonts w:eastAsia="宋体"/>
          <w:color w:val="000000"/>
          <w:sz w:val="24"/>
          <w:szCs w:val="24"/>
        </w:rPr>
        <w:footnoteReference w:id="12"/>
      </w:r>
    </w:p>
    <w:p w14:paraId="2D137387">
      <w:pPr>
        <w:shd w:val="clear" w:color="auto" w:fill="FFFFFF"/>
        <w:snapToGrid w:val="0"/>
        <w:jc w:val="both"/>
        <w:rPr>
          <w:rFonts w:eastAsia="宋体"/>
          <w:sz w:val="24"/>
          <w:szCs w:val="24"/>
        </w:rPr>
      </w:pPr>
    </w:p>
    <w:p w14:paraId="71403A0D">
      <w:pPr>
        <w:pStyle w:val="3"/>
        <w:spacing w:beforeLines="0" w:afterLines="0"/>
        <w:ind w:left="850" w:hanging="424" w:hangingChars="132"/>
        <w:rPr>
          <w:rFonts w:eastAsia="宋体"/>
        </w:rPr>
      </w:pPr>
      <w:bookmarkStart w:id="37" w:name="bookmark22"/>
      <w:bookmarkStart w:id="38" w:name="_Toc98746535"/>
      <w:bookmarkStart w:id="39" w:name="_Toc97483451"/>
      <w:r>
        <w:rPr>
          <w:rFonts w:eastAsia="宋体"/>
        </w:rPr>
        <w:t>B</w:t>
      </w:r>
      <w:bookmarkEnd w:id="37"/>
      <w:r>
        <w:rPr>
          <w:rFonts w:eastAsia="宋体"/>
        </w:rPr>
        <w:t>.</w:t>
      </w:r>
      <w:r>
        <w:rPr>
          <w:rFonts w:eastAsia="宋体"/>
        </w:rPr>
        <w:tab/>
      </w:r>
      <w:r>
        <w:rPr>
          <w:rFonts w:eastAsia="宋体"/>
        </w:rPr>
        <w:t>标签</w:t>
      </w:r>
      <w:bookmarkEnd w:id="38"/>
      <w:bookmarkEnd w:id="39"/>
    </w:p>
    <w:p w14:paraId="554945C5">
      <w:pPr>
        <w:shd w:val="clear" w:color="auto" w:fill="FFFFFF"/>
        <w:snapToGrid w:val="0"/>
        <w:ind w:firstLine="480" w:firstLineChars="200"/>
        <w:jc w:val="both"/>
        <w:rPr>
          <w:rFonts w:eastAsia="宋体"/>
          <w:color w:val="000000"/>
          <w:sz w:val="24"/>
          <w:szCs w:val="24"/>
        </w:rPr>
      </w:pPr>
      <w:r>
        <w:rPr>
          <w:rFonts w:hint="eastAsia" w:eastAsia="宋体"/>
          <w:color w:val="000000"/>
          <w:sz w:val="24"/>
          <w:szCs w:val="24"/>
        </w:rPr>
        <w:t>根据</w:t>
      </w:r>
      <w:r>
        <w:rPr>
          <w:rFonts w:eastAsia="宋体"/>
          <w:color w:val="000000"/>
          <w:sz w:val="24"/>
          <w:szCs w:val="24"/>
        </w:rPr>
        <w:t>21 CFR 807.87（e）的要求，上市前通知必须包括足够详细的拟议标签。必须提供拟议的标签和标识以充分描述导丝、其预期用途和使用说明书。</w:t>
      </w:r>
    </w:p>
    <w:p w14:paraId="0CFDB962">
      <w:pPr>
        <w:shd w:val="clear" w:color="auto" w:fill="FFFFFF"/>
        <w:snapToGrid w:val="0"/>
        <w:ind w:firstLine="480" w:firstLineChars="200"/>
        <w:jc w:val="both"/>
        <w:rPr>
          <w:rFonts w:eastAsia="宋体"/>
          <w:sz w:val="24"/>
          <w:szCs w:val="24"/>
        </w:rPr>
      </w:pPr>
    </w:p>
    <w:p w14:paraId="01C9A3A7">
      <w:pPr>
        <w:shd w:val="clear" w:color="auto" w:fill="FFFFFF"/>
        <w:snapToGrid w:val="0"/>
        <w:ind w:firstLine="480" w:firstLineChars="200"/>
        <w:jc w:val="both"/>
        <w:rPr>
          <w:rFonts w:eastAsia="宋体"/>
          <w:color w:val="000000"/>
          <w:sz w:val="24"/>
          <w:szCs w:val="24"/>
        </w:rPr>
      </w:pPr>
      <w:r>
        <w:rPr>
          <w:rFonts w:eastAsia="宋体"/>
          <w:color w:val="000000"/>
          <w:sz w:val="24"/>
          <w:szCs w:val="24"/>
        </w:rPr>
        <w:t>作为处方器械，只要</w:t>
      </w:r>
      <w:r>
        <w:rPr>
          <w:rFonts w:hint="eastAsia" w:eastAsia="宋体"/>
          <w:color w:val="000000"/>
          <w:sz w:val="24"/>
          <w:szCs w:val="24"/>
        </w:rPr>
        <w:t>符合</w:t>
      </w:r>
      <w:r>
        <w:rPr>
          <w:rFonts w:eastAsia="宋体"/>
          <w:color w:val="000000"/>
          <w:sz w:val="24"/>
          <w:szCs w:val="24"/>
        </w:rPr>
        <w:t>21 CFR 801.109中的条件，</w:t>
      </w:r>
      <w:r>
        <w:rPr>
          <w:rFonts w:hint="eastAsia" w:eastAsia="宋体"/>
          <w:color w:val="000000"/>
          <w:sz w:val="24"/>
          <w:szCs w:val="24"/>
        </w:rPr>
        <w:t>根据</w:t>
      </w:r>
      <w:r>
        <w:rPr>
          <w:rFonts w:eastAsia="宋体"/>
          <w:color w:val="000000"/>
          <w:sz w:val="24"/>
          <w:szCs w:val="24"/>
        </w:rPr>
        <w:t>《联邦食品、药品和化妆品法案》（《FD&amp;C法案》）第502（f）（1）条（21 U.S.C. § 352（f）（1））要求</w:t>
      </w:r>
      <w:r>
        <w:rPr>
          <w:rFonts w:hint="eastAsia" w:eastAsia="宋体"/>
          <w:color w:val="000000"/>
          <w:sz w:val="24"/>
          <w:szCs w:val="24"/>
        </w:rPr>
        <w:t>，</w:t>
      </w:r>
      <w:r>
        <w:rPr>
          <w:rFonts w:eastAsia="宋体"/>
          <w:color w:val="000000"/>
          <w:sz w:val="24"/>
          <w:szCs w:val="24"/>
        </w:rPr>
        <w:t>导丝无需有足够的日常使用指导。例如，标签必须包括针对器械预期</w:t>
      </w:r>
      <w:r>
        <w:rPr>
          <w:rFonts w:hint="eastAsia" w:eastAsia="宋体"/>
          <w:color w:val="000000"/>
          <w:sz w:val="24"/>
          <w:szCs w:val="24"/>
        </w:rPr>
        <w:t>用户</w:t>
      </w:r>
      <w:r>
        <w:rPr>
          <w:rFonts w:eastAsia="宋体"/>
          <w:color w:val="000000"/>
          <w:sz w:val="24"/>
          <w:szCs w:val="24"/>
        </w:rPr>
        <w:t>的充分信息，包括适应</w:t>
      </w:r>
      <w:r>
        <w:rPr>
          <w:rFonts w:hint="eastAsia" w:eastAsia="宋体"/>
          <w:color w:val="000000"/>
          <w:sz w:val="24"/>
          <w:szCs w:val="24"/>
        </w:rPr>
        <w:t>证</w:t>
      </w:r>
      <w:r>
        <w:rPr>
          <w:rFonts w:eastAsia="宋体"/>
          <w:color w:val="000000"/>
          <w:sz w:val="24"/>
          <w:szCs w:val="24"/>
        </w:rPr>
        <w:t>、效果、途径、方法、给药频率和持续时间以及任何相关的危害、禁忌、副作用和预防措施（21 CFR 801.109（d））。</w:t>
      </w:r>
    </w:p>
    <w:p w14:paraId="6C94D8C0">
      <w:pPr>
        <w:shd w:val="clear" w:color="auto" w:fill="FFFFFF"/>
        <w:snapToGrid w:val="0"/>
        <w:ind w:firstLine="480" w:firstLineChars="200"/>
        <w:jc w:val="both"/>
        <w:rPr>
          <w:rFonts w:eastAsia="宋体"/>
          <w:sz w:val="24"/>
          <w:szCs w:val="24"/>
        </w:rPr>
      </w:pPr>
    </w:p>
    <w:p w14:paraId="0A0960F7">
      <w:pPr>
        <w:shd w:val="clear" w:color="auto" w:fill="FFFFFF"/>
        <w:snapToGrid w:val="0"/>
        <w:ind w:firstLine="480" w:firstLineChars="200"/>
        <w:jc w:val="both"/>
        <w:rPr>
          <w:rFonts w:eastAsia="宋体"/>
          <w:sz w:val="24"/>
          <w:szCs w:val="24"/>
        </w:rPr>
      </w:pPr>
      <w:r>
        <w:rPr>
          <w:rFonts w:eastAsia="宋体"/>
          <w:color w:val="000000"/>
          <w:sz w:val="24"/>
          <w:szCs w:val="24"/>
        </w:rPr>
        <w:t>关于涂层器械的其他建议，请参见FDA的指南</w:t>
      </w:r>
      <w:r>
        <w:rPr>
          <w:rFonts w:hint="eastAsia" w:eastAsia="宋体"/>
          <w:color w:val="000000"/>
          <w:sz w:val="24"/>
          <w:szCs w:val="24"/>
        </w:rPr>
        <w:t>《</w:t>
      </w:r>
      <w:r>
        <w:rPr>
          <w:rFonts w:eastAsia="宋体"/>
          <w:color w:val="0000FF"/>
          <w:sz w:val="24"/>
          <w:szCs w:val="24"/>
          <w:u w:val="single"/>
        </w:rPr>
        <w:t>带润滑涂层的血管内导管、导线和输送系统的标签注意事项</w:t>
      </w:r>
      <w:r>
        <w:rPr>
          <w:rFonts w:hint="eastAsia" w:eastAsia="宋体"/>
          <w:color w:val="000000"/>
          <w:sz w:val="24"/>
          <w:szCs w:val="24"/>
        </w:rPr>
        <w:t>》</w:t>
      </w:r>
      <w:r>
        <w:rPr>
          <w:rStyle w:val="18"/>
          <w:rFonts w:eastAsia="宋体"/>
          <w:color w:val="000000"/>
          <w:sz w:val="24"/>
          <w:szCs w:val="24"/>
        </w:rPr>
        <w:footnoteReference w:id="13"/>
      </w:r>
      <w:r>
        <w:rPr>
          <w:rFonts w:eastAsia="宋体"/>
          <w:color w:val="000000"/>
          <w:sz w:val="24"/>
          <w:szCs w:val="24"/>
        </w:rPr>
        <w:t>，其中包括对这部分导丝的具体标签建议。使用说明书或包装内页应包括以下信息。</w:t>
      </w:r>
      <w:r>
        <w:rPr>
          <w:rFonts w:hint="eastAsia" w:eastAsia="宋体"/>
          <w:color w:val="000000"/>
          <w:sz w:val="24"/>
          <w:szCs w:val="24"/>
        </w:rPr>
        <w:t>下面的列表并不是第801部分中所有标签要求的全部内容。</w:t>
      </w:r>
    </w:p>
    <w:p w14:paraId="197194D5">
      <w:pPr>
        <w:shd w:val="clear" w:color="auto" w:fill="FFFFFF"/>
        <w:tabs>
          <w:tab w:val="left" w:pos="182"/>
        </w:tabs>
        <w:snapToGrid w:val="0"/>
        <w:jc w:val="both"/>
        <w:rPr>
          <w:rFonts w:eastAsia="宋体"/>
          <w:color w:val="000000"/>
          <w:sz w:val="24"/>
          <w:szCs w:val="24"/>
          <w:vertAlign w:val="superscript"/>
        </w:rPr>
      </w:pPr>
    </w:p>
    <w:p w14:paraId="6C8CF36D">
      <w:pPr>
        <w:shd w:val="clear" w:color="auto" w:fill="FFFFFF"/>
        <w:tabs>
          <w:tab w:val="left" w:pos="182"/>
        </w:tabs>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51EC350">
      <w:pPr>
        <w:pStyle w:val="4"/>
        <w:snapToGrid w:val="0"/>
        <w:spacing w:beforeLines="0" w:afterLines="0"/>
        <w:ind w:left="990" w:hanging="424" w:hangingChars="151"/>
        <w:rPr>
          <w:rFonts w:eastAsia="宋体"/>
        </w:rPr>
      </w:pPr>
      <w:r>
        <w:rPr>
          <w:rFonts w:eastAsia="宋体"/>
        </w:rPr>
        <w:t>1.</w:t>
      </w:r>
      <w:r>
        <w:rPr>
          <w:rFonts w:eastAsia="宋体"/>
        </w:rPr>
        <w:tab/>
      </w:r>
      <w:r>
        <w:rPr>
          <w:rFonts w:eastAsia="宋体"/>
        </w:rPr>
        <w:t>器械描述</w:t>
      </w:r>
    </w:p>
    <w:p w14:paraId="6F1F5427">
      <w:pPr>
        <w:shd w:val="clear" w:color="auto" w:fill="FFFFFF"/>
        <w:snapToGrid w:val="0"/>
        <w:ind w:firstLine="480" w:firstLineChars="200"/>
        <w:jc w:val="both"/>
        <w:rPr>
          <w:color w:val="000000"/>
          <w:sz w:val="24"/>
        </w:rPr>
      </w:pPr>
      <w:r>
        <w:rPr>
          <w:rFonts w:eastAsia="宋体"/>
          <w:color w:val="000000"/>
          <w:sz w:val="24"/>
          <w:szCs w:val="24"/>
        </w:rPr>
        <w:t>建议申请中包含导丝的描述，确定重要的组成部分和每个组成部分的功能，如长度、</w:t>
      </w:r>
      <w:r>
        <w:rPr>
          <w:rFonts w:hint="eastAsia"/>
          <w:color w:val="000000"/>
          <w:sz w:val="24"/>
        </w:rPr>
        <w:t>沿长度方向的外径，包括过渡区、头端形状、涂层位置和特性（如疏水或亲水），如果适用。</w:t>
      </w:r>
    </w:p>
    <w:p w14:paraId="03962976">
      <w:pPr>
        <w:shd w:val="clear" w:color="auto" w:fill="FFFFFF"/>
        <w:snapToGrid w:val="0"/>
        <w:jc w:val="both"/>
        <w:rPr>
          <w:rFonts w:eastAsia="宋体"/>
          <w:sz w:val="21"/>
          <w:szCs w:val="21"/>
        </w:rPr>
      </w:pPr>
    </w:p>
    <w:p w14:paraId="1A57AF20">
      <w:pPr>
        <w:pStyle w:val="4"/>
        <w:snapToGrid w:val="0"/>
        <w:spacing w:beforeLines="0" w:afterLines="0"/>
        <w:ind w:left="990" w:hanging="424" w:hangingChars="151"/>
        <w:rPr>
          <w:rFonts w:eastAsia="宋体"/>
        </w:rPr>
      </w:pPr>
      <w:r>
        <w:rPr>
          <w:rFonts w:eastAsia="宋体"/>
        </w:rPr>
        <w:t>2.</w:t>
      </w:r>
      <w:r>
        <w:rPr>
          <w:rFonts w:eastAsia="宋体"/>
        </w:rPr>
        <w:tab/>
      </w:r>
      <w:r>
        <w:rPr>
          <w:rFonts w:eastAsia="宋体"/>
        </w:rPr>
        <w:t>使用适应</w:t>
      </w:r>
      <w:r>
        <w:rPr>
          <w:rFonts w:hint="eastAsia" w:eastAsia="宋体"/>
        </w:rPr>
        <w:t>证</w:t>
      </w:r>
      <w:r>
        <w:rPr>
          <w:rFonts w:eastAsia="宋体"/>
        </w:rPr>
        <w:t>声明</w:t>
      </w:r>
    </w:p>
    <w:p w14:paraId="3D2C5A25">
      <w:pPr>
        <w:shd w:val="clear" w:color="auto" w:fill="FFFFFF"/>
        <w:snapToGrid w:val="0"/>
        <w:ind w:firstLine="480" w:firstLineChars="200"/>
        <w:jc w:val="both"/>
        <w:rPr>
          <w:color w:val="000000"/>
          <w:sz w:val="24"/>
        </w:rPr>
      </w:pPr>
      <w:r>
        <w:rPr>
          <w:rFonts w:eastAsia="宋体"/>
          <w:color w:val="000000"/>
          <w:sz w:val="24"/>
          <w:szCs w:val="24"/>
        </w:rPr>
        <w:t>标签中描述的使用适应</w:t>
      </w:r>
      <w:r>
        <w:rPr>
          <w:rFonts w:hint="eastAsia" w:eastAsia="宋体"/>
          <w:color w:val="000000"/>
          <w:sz w:val="24"/>
          <w:szCs w:val="24"/>
        </w:rPr>
        <w:t>证</w:t>
      </w:r>
      <w:r>
        <w:rPr>
          <w:rFonts w:eastAsia="宋体"/>
          <w:color w:val="000000"/>
          <w:sz w:val="24"/>
          <w:szCs w:val="24"/>
        </w:rPr>
        <w:t>声明应得到510（k）申请中信息的支持，并明确指出血管的任何特定区域。</w:t>
      </w:r>
    </w:p>
    <w:p w14:paraId="377E42D6">
      <w:pPr>
        <w:shd w:val="clear" w:color="auto" w:fill="FFFFFF"/>
        <w:snapToGrid w:val="0"/>
        <w:jc w:val="both"/>
        <w:rPr>
          <w:rFonts w:eastAsia="宋体"/>
          <w:sz w:val="24"/>
          <w:szCs w:val="24"/>
        </w:rPr>
      </w:pPr>
    </w:p>
    <w:p w14:paraId="4B72DA22">
      <w:pPr>
        <w:pStyle w:val="4"/>
        <w:snapToGrid w:val="0"/>
        <w:spacing w:beforeLines="0" w:afterLines="0"/>
        <w:ind w:left="990" w:hanging="424" w:hangingChars="151"/>
        <w:rPr>
          <w:rFonts w:eastAsia="宋体"/>
        </w:rPr>
      </w:pPr>
      <w:r>
        <w:rPr>
          <w:rFonts w:eastAsia="宋体"/>
        </w:rPr>
        <w:t>3.</w:t>
      </w:r>
      <w:r>
        <w:rPr>
          <w:rFonts w:eastAsia="宋体"/>
        </w:rPr>
        <w:tab/>
      </w:r>
      <w:r>
        <w:rPr>
          <w:rFonts w:eastAsia="宋体"/>
        </w:rPr>
        <w:t>禁忌</w:t>
      </w:r>
      <w:r>
        <w:rPr>
          <w:rFonts w:hint="eastAsia" w:eastAsia="宋体"/>
        </w:rPr>
        <w:t>证</w:t>
      </w:r>
    </w:p>
    <w:p w14:paraId="1CCD0A28">
      <w:pPr>
        <w:shd w:val="clear" w:color="auto" w:fill="FFFFFF"/>
        <w:snapToGrid w:val="0"/>
        <w:ind w:firstLine="480" w:firstLineChars="200"/>
        <w:jc w:val="both"/>
        <w:rPr>
          <w:color w:val="000000"/>
          <w:sz w:val="24"/>
        </w:rPr>
      </w:pPr>
      <w:r>
        <w:rPr>
          <w:rFonts w:eastAsia="宋体"/>
          <w:color w:val="000000"/>
          <w:sz w:val="24"/>
          <w:szCs w:val="24"/>
        </w:rPr>
        <w:t>建议在使用说明书中包括禁忌</w:t>
      </w:r>
      <w:r>
        <w:rPr>
          <w:rFonts w:hint="eastAsia" w:eastAsia="宋体"/>
          <w:color w:val="000000"/>
          <w:sz w:val="24"/>
          <w:szCs w:val="24"/>
        </w:rPr>
        <w:t>证</w:t>
      </w:r>
      <w:r>
        <w:rPr>
          <w:rFonts w:eastAsia="宋体"/>
          <w:color w:val="000000"/>
          <w:sz w:val="24"/>
          <w:szCs w:val="24"/>
        </w:rPr>
        <w:t>，以描述存在已知危害或风险的情况，如适用。如果认为没有已知的禁忌</w:t>
      </w:r>
      <w:r>
        <w:rPr>
          <w:rFonts w:hint="eastAsia" w:eastAsia="宋体"/>
          <w:color w:val="000000"/>
          <w:sz w:val="24"/>
          <w:szCs w:val="24"/>
        </w:rPr>
        <w:t>证</w:t>
      </w:r>
      <w:r>
        <w:rPr>
          <w:rFonts w:eastAsia="宋体"/>
          <w:color w:val="000000"/>
          <w:sz w:val="24"/>
          <w:szCs w:val="24"/>
        </w:rPr>
        <w:t>，请说明</w:t>
      </w:r>
      <w:r>
        <w:rPr>
          <w:rFonts w:ascii="宋体" w:hAnsi="宋体" w:eastAsia="宋体"/>
          <w:color w:val="000000"/>
          <w:sz w:val="24"/>
          <w:szCs w:val="24"/>
        </w:rPr>
        <w:t>“</w:t>
      </w:r>
      <w:r>
        <w:rPr>
          <w:rFonts w:eastAsia="宋体"/>
          <w:color w:val="000000"/>
          <w:sz w:val="24"/>
          <w:szCs w:val="24"/>
        </w:rPr>
        <w:t>无已知</w:t>
      </w:r>
      <w:r>
        <w:rPr>
          <w:rFonts w:ascii="宋体" w:hAnsi="宋体" w:eastAsia="宋体"/>
          <w:color w:val="000000"/>
          <w:sz w:val="24"/>
          <w:szCs w:val="24"/>
        </w:rPr>
        <w:t>”</w:t>
      </w:r>
      <w:r>
        <w:rPr>
          <w:rFonts w:eastAsia="宋体"/>
          <w:color w:val="000000"/>
          <w:sz w:val="24"/>
          <w:szCs w:val="24"/>
        </w:rPr>
        <w:t>。</w:t>
      </w:r>
    </w:p>
    <w:p w14:paraId="1F02802D">
      <w:pPr>
        <w:shd w:val="clear" w:color="auto" w:fill="FFFFFF"/>
        <w:snapToGrid w:val="0"/>
        <w:jc w:val="both"/>
        <w:rPr>
          <w:rFonts w:eastAsia="宋体"/>
          <w:sz w:val="24"/>
          <w:szCs w:val="24"/>
        </w:rPr>
      </w:pPr>
    </w:p>
    <w:p w14:paraId="27EC9002">
      <w:pPr>
        <w:pStyle w:val="4"/>
        <w:snapToGrid w:val="0"/>
        <w:spacing w:beforeLines="0" w:afterLines="0"/>
        <w:ind w:left="990" w:hanging="424" w:hangingChars="151"/>
        <w:rPr>
          <w:rFonts w:eastAsia="宋体"/>
        </w:rPr>
      </w:pPr>
      <w:r>
        <w:rPr>
          <w:rFonts w:eastAsia="宋体"/>
        </w:rPr>
        <w:t>4.</w:t>
      </w:r>
      <w:r>
        <w:rPr>
          <w:rFonts w:eastAsia="宋体"/>
        </w:rPr>
        <w:tab/>
      </w:r>
      <w:r>
        <w:rPr>
          <w:rFonts w:eastAsia="宋体"/>
        </w:rPr>
        <w:t>警告/预防措施</w:t>
      </w:r>
    </w:p>
    <w:p w14:paraId="0BB137A7">
      <w:pPr>
        <w:shd w:val="clear" w:color="auto" w:fill="FFFFFF"/>
        <w:snapToGrid w:val="0"/>
        <w:ind w:firstLine="480" w:firstLineChars="200"/>
        <w:jc w:val="both"/>
        <w:rPr>
          <w:rFonts w:eastAsia="宋体"/>
          <w:sz w:val="24"/>
          <w:szCs w:val="24"/>
        </w:rPr>
      </w:pPr>
      <w:r>
        <w:rPr>
          <w:rFonts w:eastAsia="宋体"/>
          <w:color w:val="000000"/>
          <w:sz w:val="24"/>
          <w:szCs w:val="24"/>
        </w:rPr>
        <w:t>建议在使用说明书中包括以下适用的警告/预防措施。样品语言</w:t>
      </w:r>
      <w:r>
        <w:rPr>
          <w:rFonts w:hint="eastAsia" w:eastAsia="宋体"/>
          <w:color w:val="000000"/>
          <w:sz w:val="24"/>
          <w:szCs w:val="24"/>
        </w:rPr>
        <w:t>用</w:t>
      </w:r>
      <w:r>
        <w:rPr>
          <w:rFonts w:eastAsia="宋体"/>
          <w:color w:val="000000"/>
          <w:sz w:val="24"/>
          <w:szCs w:val="24"/>
        </w:rPr>
        <w:t>斜体字。如果您认为这些警告/预防措施中的任何一项不适用于您的器械，请提供每项省略的理由。</w:t>
      </w:r>
    </w:p>
    <w:p w14:paraId="3BA73C6C">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关于该器械已被证实具有预期性能的适应</w:t>
      </w:r>
      <w:r>
        <w:rPr>
          <w:rFonts w:hint="eastAsia" w:eastAsia="宋体"/>
          <w:color w:val="000000"/>
          <w:sz w:val="24"/>
          <w:szCs w:val="24"/>
        </w:rPr>
        <w:t>证</w:t>
      </w:r>
      <w:r>
        <w:rPr>
          <w:rFonts w:eastAsia="宋体"/>
          <w:color w:val="000000"/>
          <w:sz w:val="24"/>
          <w:szCs w:val="24"/>
        </w:rPr>
        <w:t>的警告声明，如以下</w:t>
      </w:r>
      <w:r>
        <w:rPr>
          <w:rFonts w:hint="eastAsia" w:eastAsia="宋体"/>
          <w:color w:val="000000"/>
          <w:sz w:val="24"/>
          <w:szCs w:val="24"/>
        </w:rPr>
        <w:t>：</w:t>
      </w:r>
      <w:r>
        <w:rPr>
          <w:rFonts w:ascii="宋体" w:hAnsi="宋体" w:eastAsia="宋体"/>
          <w:color w:val="000000"/>
          <w:sz w:val="24"/>
          <w:szCs w:val="24"/>
        </w:rPr>
        <w:t>“</w:t>
      </w:r>
      <w:r>
        <w:rPr>
          <w:rFonts w:eastAsia="宋体"/>
          <w:i/>
          <w:iCs/>
          <w:color w:val="000000"/>
          <w:sz w:val="24"/>
          <w:szCs w:val="24"/>
        </w:rPr>
        <w:t>该器械的安全性和有效性尚未确定，或在特定指示以外的血管区域未知。</w:t>
      </w:r>
      <w:r>
        <w:rPr>
          <w:rFonts w:hint="eastAsia" w:ascii="宋体" w:hAnsi="宋体" w:eastAsia="宋体"/>
          <w:i/>
          <w:iCs/>
          <w:color w:val="000000"/>
          <w:sz w:val="24"/>
          <w:szCs w:val="24"/>
        </w:rPr>
        <w:t>”</w:t>
      </w:r>
      <w:r>
        <w:rPr>
          <w:rFonts w:eastAsia="宋体"/>
          <w:color w:val="000000"/>
          <w:sz w:val="24"/>
          <w:szCs w:val="24"/>
        </w:rPr>
        <w:t>例如，如果根据510（k）申请中提供的信息，某根特定的导丝只适用于外周血管，那么该器械应包括警告，即该器械的安全性和有效性尚未在冠状血管或神经血管中得到证实。</w:t>
      </w:r>
    </w:p>
    <w:p w14:paraId="5167B9BC">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禁止重复使用或重新</w:t>
      </w:r>
      <w:r>
        <w:rPr>
          <w:rFonts w:hint="eastAsia" w:eastAsia="宋体"/>
          <w:color w:val="000000"/>
          <w:sz w:val="24"/>
          <w:szCs w:val="24"/>
        </w:rPr>
        <w:t>灭菌</w:t>
      </w:r>
      <w:r>
        <w:rPr>
          <w:rFonts w:eastAsia="宋体"/>
          <w:color w:val="000000"/>
          <w:sz w:val="24"/>
          <w:szCs w:val="24"/>
        </w:rPr>
        <w:t>器械的警告，这可能会影响医疗器械材料和部件，如</w:t>
      </w:r>
      <w:r>
        <w:rPr>
          <w:rFonts w:ascii="宋体" w:hAnsi="宋体" w:eastAsia="宋体"/>
          <w:color w:val="000000"/>
          <w:sz w:val="24"/>
          <w:szCs w:val="24"/>
        </w:rPr>
        <w:t>“</w:t>
      </w:r>
      <w:r>
        <w:rPr>
          <w:rFonts w:eastAsia="宋体"/>
          <w:i/>
          <w:iCs/>
          <w:color w:val="000000"/>
          <w:sz w:val="24"/>
          <w:szCs w:val="24"/>
        </w:rPr>
        <w:t>本器械用于一次性使用。请勿重复使用或重新</w:t>
      </w:r>
      <w:r>
        <w:rPr>
          <w:rFonts w:hint="eastAsia" w:eastAsia="宋体"/>
          <w:i/>
          <w:iCs/>
          <w:color w:val="000000"/>
          <w:sz w:val="24"/>
          <w:szCs w:val="24"/>
        </w:rPr>
        <w:t>灭菌</w:t>
      </w:r>
      <w:r>
        <w:rPr>
          <w:rFonts w:eastAsia="宋体"/>
          <w:i/>
          <w:iCs/>
          <w:color w:val="000000"/>
          <w:sz w:val="24"/>
          <w:szCs w:val="24"/>
        </w:rPr>
        <w:t>。</w:t>
      </w:r>
      <w:r>
        <w:rPr>
          <w:rFonts w:hint="eastAsia" w:ascii="宋体" w:hAnsi="宋体" w:eastAsia="宋体"/>
          <w:color w:val="000000"/>
          <w:sz w:val="24"/>
          <w:szCs w:val="24"/>
        </w:rPr>
        <w:t>”</w:t>
      </w:r>
    </w:p>
    <w:p w14:paraId="31274C8A">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关于用于多种用途的</w:t>
      </w:r>
      <w:r>
        <w:rPr>
          <w:rFonts w:hint="eastAsia" w:eastAsia="宋体"/>
          <w:color w:val="000000"/>
          <w:sz w:val="24"/>
          <w:szCs w:val="24"/>
        </w:rPr>
        <w:t>重新处理</w:t>
      </w:r>
      <w:r>
        <w:rPr>
          <w:rFonts w:eastAsia="宋体"/>
          <w:color w:val="000000"/>
          <w:sz w:val="24"/>
          <w:szCs w:val="24"/>
        </w:rPr>
        <w:t>器械的安全性和有效性尚未确定的警告声明。例如，</w:t>
      </w:r>
      <w:r>
        <w:rPr>
          <w:rFonts w:hint="eastAsia" w:ascii="宋体" w:hAnsi="宋体" w:eastAsia="宋体"/>
          <w:i/>
          <w:iCs/>
          <w:color w:val="000000"/>
          <w:sz w:val="24"/>
          <w:szCs w:val="24"/>
        </w:rPr>
        <w:t>“</w:t>
      </w:r>
      <w:r>
        <w:rPr>
          <w:rFonts w:eastAsia="宋体"/>
          <w:i/>
          <w:iCs/>
          <w:color w:val="000000"/>
          <w:sz w:val="24"/>
          <w:szCs w:val="24"/>
        </w:rPr>
        <w:t>该器械用于单个患者使用，不应重新处理或在重新处理后使用。</w:t>
      </w:r>
      <w:r>
        <w:rPr>
          <w:rFonts w:hint="eastAsia" w:ascii="宋体" w:hAnsi="宋体" w:eastAsia="宋体"/>
          <w:i/>
          <w:iCs/>
          <w:color w:val="000000"/>
          <w:sz w:val="24"/>
          <w:szCs w:val="24"/>
        </w:rPr>
        <w:t>”</w:t>
      </w:r>
    </w:p>
    <w:p w14:paraId="0CAC6D30">
      <w:pPr>
        <w:shd w:val="clear" w:color="auto" w:fill="FFFFFF"/>
        <w:snapToGrid w:val="0"/>
        <w:jc w:val="both"/>
        <w:rPr>
          <w:rFonts w:eastAsia="宋体"/>
          <w:sz w:val="24"/>
          <w:szCs w:val="24"/>
        </w:rPr>
      </w:pPr>
    </w:p>
    <w:p w14:paraId="0C5F7EFC">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2CD3F246">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导丝应在透视引导下使用。建议考虑加入重要的预防措施和/或警告，以确保患者和临床操作者在使用与透视有关的器械时的安全。</w:t>
      </w:r>
    </w:p>
    <w:p w14:paraId="0C3D1915">
      <w:pPr>
        <w:shd w:val="clear" w:color="auto" w:fill="FFFFFF"/>
        <w:tabs>
          <w:tab w:val="left" w:pos="709"/>
        </w:tabs>
        <w:snapToGrid w:val="0"/>
        <w:ind w:left="720"/>
        <w:jc w:val="both"/>
        <w:rPr>
          <w:rFonts w:eastAsia="宋体"/>
          <w:sz w:val="24"/>
          <w:szCs w:val="24"/>
        </w:rPr>
      </w:pPr>
    </w:p>
    <w:p w14:paraId="117377C5">
      <w:pPr>
        <w:pStyle w:val="4"/>
        <w:snapToGrid w:val="0"/>
        <w:spacing w:beforeLines="0" w:afterLines="0"/>
        <w:ind w:left="990" w:hanging="424" w:hangingChars="151"/>
        <w:rPr>
          <w:rFonts w:eastAsia="宋体"/>
        </w:rPr>
      </w:pPr>
      <w:r>
        <w:rPr>
          <w:rFonts w:eastAsia="宋体"/>
        </w:rPr>
        <w:t>5.</w:t>
      </w:r>
      <w:r>
        <w:rPr>
          <w:rFonts w:eastAsia="宋体"/>
        </w:rPr>
        <w:tab/>
      </w:r>
      <w:r>
        <w:rPr>
          <w:rFonts w:eastAsia="宋体"/>
        </w:rPr>
        <w:t>潜在不良事件</w:t>
      </w:r>
    </w:p>
    <w:p w14:paraId="0ABF92A3">
      <w:pPr>
        <w:shd w:val="clear" w:color="auto" w:fill="FFFFFF"/>
        <w:snapToGrid w:val="0"/>
        <w:ind w:firstLine="480" w:firstLineChars="200"/>
        <w:jc w:val="both"/>
        <w:rPr>
          <w:rFonts w:eastAsia="宋体"/>
          <w:sz w:val="24"/>
          <w:szCs w:val="24"/>
        </w:rPr>
      </w:pPr>
      <w:r>
        <w:rPr>
          <w:rFonts w:eastAsia="宋体"/>
          <w:color w:val="000000"/>
          <w:sz w:val="24"/>
          <w:szCs w:val="24"/>
        </w:rPr>
        <w:t>建议包括关于使用您的器械可能导致的潜在不良事件的信息。FDA承认，具体的不良事件可能取决于器械的具体设计和预期用途。这种不良事件可能包括但不限于：</w:t>
      </w:r>
    </w:p>
    <w:p w14:paraId="64EE2BD5">
      <w:pPr>
        <w:numPr>
          <w:ilvl w:val="0"/>
          <w:numId w:val="4"/>
        </w:numPr>
        <w:shd w:val="clear" w:color="auto" w:fill="FFFFFF"/>
        <w:tabs>
          <w:tab w:val="left" w:pos="709"/>
        </w:tabs>
        <w:snapToGrid w:val="0"/>
        <w:ind w:left="708" w:leftChars="142" w:hanging="424" w:hangingChars="177"/>
        <w:jc w:val="both"/>
        <w:rPr>
          <w:color w:val="000000"/>
          <w:sz w:val="24"/>
        </w:rPr>
      </w:pPr>
      <w:r>
        <w:rPr>
          <w:rFonts w:hint="eastAsia" w:eastAsia="宋体"/>
          <w:color w:val="000000"/>
          <w:sz w:val="24"/>
          <w:szCs w:val="24"/>
        </w:rPr>
        <w:t>穿刺</w:t>
      </w:r>
      <w:r>
        <w:rPr>
          <w:rFonts w:eastAsia="宋体"/>
          <w:color w:val="000000"/>
          <w:sz w:val="24"/>
          <w:szCs w:val="24"/>
        </w:rPr>
        <w:t>部位并发症</w:t>
      </w:r>
    </w:p>
    <w:p w14:paraId="0C1CC3F3">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过敏反应（对造影剂、器械或其他）</w:t>
      </w:r>
    </w:p>
    <w:p w14:paraId="313EAFF2">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动脉瘤</w:t>
      </w:r>
    </w:p>
    <w:p w14:paraId="43ACDC27">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心绞痛或不稳定的心绞痛</w:t>
      </w:r>
    </w:p>
    <w:p w14:paraId="75AA91EB">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出血</w:t>
      </w:r>
    </w:p>
    <w:p w14:paraId="106DF166">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心脏填塞/心包积液</w:t>
      </w:r>
    </w:p>
    <w:p w14:paraId="77522CA1">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死亡</w:t>
      </w:r>
    </w:p>
    <w:p w14:paraId="70435E1D">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栓塞（斑块、血栓、器械、组织或其他）</w:t>
      </w:r>
    </w:p>
    <w:p w14:paraId="40402422">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感染</w:t>
      </w:r>
    </w:p>
    <w:p w14:paraId="4C251107">
      <w:pPr>
        <w:numPr>
          <w:ilvl w:val="0"/>
          <w:numId w:val="4"/>
        </w:numPr>
        <w:shd w:val="clear" w:color="auto" w:fill="FFFFFF"/>
        <w:tabs>
          <w:tab w:val="left" w:pos="709"/>
        </w:tabs>
        <w:snapToGrid w:val="0"/>
        <w:ind w:left="708" w:leftChars="142" w:hanging="424" w:hangingChars="177"/>
        <w:jc w:val="both"/>
        <w:rPr>
          <w:color w:val="000000"/>
          <w:sz w:val="24"/>
        </w:rPr>
      </w:pPr>
      <w:r>
        <w:rPr>
          <w:rFonts w:eastAsia="宋体"/>
          <w:color w:val="000000"/>
          <w:sz w:val="24"/>
          <w:szCs w:val="24"/>
        </w:rPr>
        <w:t>心肌梗塞或缺血</w:t>
      </w:r>
    </w:p>
    <w:p w14:paraId="40104A17">
      <w:pPr>
        <w:numPr>
          <w:ilvl w:val="0"/>
          <w:numId w:val="5"/>
        </w:numPr>
        <w:shd w:val="clear" w:color="auto" w:fill="FFFFFF"/>
        <w:tabs>
          <w:tab w:val="left" w:pos="709"/>
        </w:tabs>
        <w:snapToGrid w:val="0"/>
        <w:ind w:left="660" w:hanging="360"/>
        <w:jc w:val="both"/>
        <w:rPr>
          <w:rFonts w:eastAsia="宋体"/>
          <w:sz w:val="24"/>
          <w:szCs w:val="24"/>
        </w:rPr>
      </w:pPr>
      <w:r>
        <w:rPr>
          <w:rFonts w:eastAsia="宋体"/>
          <w:color w:val="000000"/>
          <w:sz w:val="24"/>
          <w:szCs w:val="24"/>
        </w:rPr>
        <w:t>卒中/脑血管意外（CVA）/短暂性缺血发作（TIA）</w:t>
      </w:r>
    </w:p>
    <w:p w14:paraId="4C1E8191">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血栓形成/血栓</w:t>
      </w:r>
    </w:p>
    <w:p w14:paraId="53AC8828">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血管痉挛</w:t>
      </w:r>
    </w:p>
    <w:p w14:paraId="7B35D5D9">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血管外伤、穿孔、夹层</w:t>
      </w:r>
    </w:p>
    <w:p w14:paraId="661ACA2B">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X射线辐照并发症（例如，脱发、从皮肤变红到溃疡的严重程度不等的烧伤、白内障和延迟性肿瘤）</w:t>
      </w:r>
    </w:p>
    <w:p w14:paraId="647E15EA">
      <w:pPr>
        <w:shd w:val="clear" w:color="auto" w:fill="FFFFFF"/>
        <w:tabs>
          <w:tab w:val="left" w:pos="709"/>
        </w:tabs>
        <w:snapToGrid w:val="0"/>
        <w:ind w:left="720"/>
        <w:jc w:val="both"/>
        <w:rPr>
          <w:rFonts w:eastAsia="宋体"/>
          <w:sz w:val="24"/>
          <w:szCs w:val="24"/>
        </w:rPr>
      </w:pPr>
    </w:p>
    <w:p w14:paraId="0FE44D93">
      <w:pPr>
        <w:pStyle w:val="4"/>
        <w:snapToGrid w:val="0"/>
        <w:spacing w:beforeLines="0" w:afterLines="0"/>
        <w:ind w:left="990" w:hanging="424" w:hangingChars="151"/>
        <w:rPr>
          <w:rFonts w:eastAsia="宋体"/>
        </w:rPr>
      </w:pPr>
      <w:r>
        <w:rPr>
          <w:rFonts w:eastAsia="宋体"/>
        </w:rPr>
        <w:t>6.</w:t>
      </w:r>
      <w:r>
        <w:rPr>
          <w:rFonts w:eastAsia="宋体"/>
        </w:rPr>
        <w:tab/>
      </w:r>
      <w:r>
        <w:rPr>
          <w:rFonts w:eastAsia="宋体"/>
        </w:rPr>
        <w:t>使用说明书</w:t>
      </w:r>
    </w:p>
    <w:p w14:paraId="1FDD0FC1">
      <w:pPr>
        <w:shd w:val="clear" w:color="auto" w:fill="FFFFFF"/>
        <w:snapToGrid w:val="0"/>
        <w:ind w:firstLine="480" w:firstLineChars="200"/>
        <w:jc w:val="both"/>
        <w:rPr>
          <w:color w:val="000000"/>
          <w:sz w:val="24"/>
        </w:rPr>
      </w:pPr>
      <w:r>
        <w:rPr>
          <w:rFonts w:eastAsia="宋体"/>
          <w:color w:val="000000"/>
          <w:sz w:val="24"/>
          <w:szCs w:val="24"/>
        </w:rPr>
        <w:t>建议提供导丝的具体使用说明书。如果您的器械含有涂层，那么使用说明书应明确解释如何在临床使用前正确准备器械。</w:t>
      </w:r>
    </w:p>
    <w:p w14:paraId="5BF5805A">
      <w:pPr>
        <w:shd w:val="clear" w:color="auto" w:fill="FFFFFF"/>
        <w:snapToGrid w:val="0"/>
        <w:jc w:val="both"/>
        <w:rPr>
          <w:rFonts w:eastAsia="宋体"/>
          <w:sz w:val="24"/>
          <w:szCs w:val="24"/>
        </w:rPr>
      </w:pPr>
    </w:p>
    <w:p w14:paraId="2196CDD0">
      <w:pPr>
        <w:pStyle w:val="2"/>
        <w:tabs>
          <w:tab w:val="left" w:pos="567"/>
          <w:tab w:val="clear" w:pos="630"/>
          <w:tab w:val="clear" w:pos="1274"/>
        </w:tabs>
        <w:spacing w:beforeLines="0" w:afterLines="0"/>
        <w:ind w:left="567" w:hanging="567" w:hangingChars="157"/>
        <w:rPr>
          <w:rFonts w:eastAsia="宋体"/>
        </w:rPr>
      </w:pPr>
      <w:bookmarkStart w:id="40" w:name="bookmark25"/>
      <w:bookmarkStart w:id="41" w:name="_Toc98746536"/>
      <w:bookmarkStart w:id="42" w:name="_Toc97483452"/>
      <w:r>
        <w:rPr>
          <w:rFonts w:eastAsia="宋体"/>
        </w:rPr>
        <w:t>V</w:t>
      </w:r>
      <w:bookmarkEnd w:id="40"/>
      <w:r>
        <w:rPr>
          <w:rFonts w:eastAsia="宋体"/>
        </w:rPr>
        <w:t>.</w:t>
      </w:r>
      <w:r>
        <w:rPr>
          <w:rFonts w:eastAsia="宋体"/>
        </w:rPr>
        <w:tab/>
      </w:r>
      <w:r>
        <w:rPr>
          <w:rFonts w:eastAsia="宋体"/>
        </w:rPr>
        <w:t>修改</w:t>
      </w:r>
      <w:bookmarkEnd w:id="41"/>
      <w:bookmarkEnd w:id="42"/>
    </w:p>
    <w:p w14:paraId="6393C775">
      <w:pPr>
        <w:shd w:val="clear" w:color="auto" w:fill="FFFFFF"/>
        <w:snapToGrid w:val="0"/>
        <w:jc w:val="both"/>
        <w:rPr>
          <w:rFonts w:eastAsia="宋体"/>
          <w:color w:val="000000"/>
          <w:sz w:val="24"/>
          <w:szCs w:val="24"/>
        </w:rPr>
      </w:pPr>
    </w:p>
    <w:p w14:paraId="063A34C6">
      <w:pPr>
        <w:shd w:val="clear" w:color="auto" w:fill="FFFFFF"/>
        <w:snapToGrid w:val="0"/>
        <w:ind w:firstLine="480" w:firstLineChars="200"/>
        <w:jc w:val="both"/>
        <w:rPr>
          <w:rFonts w:eastAsia="宋体"/>
          <w:sz w:val="24"/>
          <w:szCs w:val="24"/>
        </w:rPr>
      </w:pPr>
      <w:r>
        <w:rPr>
          <w:rFonts w:eastAsia="宋体"/>
          <w:color w:val="000000"/>
          <w:sz w:val="24"/>
          <w:szCs w:val="24"/>
        </w:rPr>
        <w:t>根据21 CFR 807.81（a）（3），</w:t>
      </w:r>
      <w:r>
        <w:rPr>
          <w:rFonts w:ascii="宋体" w:hAnsi="宋体" w:eastAsia="宋体"/>
          <w:color w:val="000000"/>
          <w:sz w:val="24"/>
          <w:szCs w:val="24"/>
        </w:rPr>
        <w:t>“</w:t>
      </w:r>
      <w:r>
        <w:rPr>
          <w:rFonts w:eastAsia="宋体"/>
          <w:color w:val="000000"/>
          <w:sz w:val="24"/>
          <w:szCs w:val="24"/>
        </w:rPr>
        <w:t>可能严重影响器械的安全性或有效性</w:t>
      </w:r>
      <w:r>
        <w:rPr>
          <w:rFonts w:ascii="宋体" w:hAnsi="宋体" w:eastAsia="宋体"/>
          <w:color w:val="000000"/>
          <w:sz w:val="24"/>
          <w:szCs w:val="24"/>
        </w:rPr>
        <w:t>”</w:t>
      </w:r>
      <w:r>
        <w:rPr>
          <w:rFonts w:eastAsia="宋体"/>
          <w:color w:val="000000"/>
          <w:sz w:val="24"/>
          <w:szCs w:val="24"/>
        </w:rPr>
        <w:t>或代表</w:t>
      </w:r>
      <w:r>
        <w:rPr>
          <w:rFonts w:ascii="宋体" w:hAnsi="宋体" w:eastAsia="宋体"/>
          <w:color w:val="000000"/>
          <w:sz w:val="24"/>
          <w:szCs w:val="24"/>
        </w:rPr>
        <w:t>“</w:t>
      </w:r>
      <w:r>
        <w:rPr>
          <w:rFonts w:eastAsia="宋体"/>
          <w:color w:val="000000"/>
          <w:sz w:val="24"/>
          <w:szCs w:val="24"/>
        </w:rPr>
        <w:t>器械预期用途的重大变</w:t>
      </w:r>
      <w:r>
        <w:rPr>
          <w:rFonts w:hint="eastAsia" w:eastAsia="宋体"/>
          <w:color w:val="000000"/>
          <w:sz w:val="24"/>
          <w:szCs w:val="24"/>
        </w:rPr>
        <w:t>更</w:t>
      </w:r>
      <w:r>
        <w:rPr>
          <w:rFonts w:eastAsia="宋体"/>
          <w:color w:val="000000"/>
          <w:sz w:val="24"/>
          <w:szCs w:val="24"/>
        </w:rPr>
        <w:t>或修改</w:t>
      </w:r>
      <w:r>
        <w:rPr>
          <w:rFonts w:ascii="宋体" w:hAnsi="宋体" w:eastAsia="宋体"/>
          <w:color w:val="000000"/>
          <w:sz w:val="24"/>
          <w:szCs w:val="24"/>
        </w:rPr>
        <w:t>”</w:t>
      </w:r>
      <w:r>
        <w:rPr>
          <w:rFonts w:eastAsia="宋体"/>
          <w:color w:val="000000"/>
          <w:sz w:val="24"/>
          <w:szCs w:val="24"/>
        </w:rPr>
        <w:t>的器械修改需要</w:t>
      </w:r>
      <w:r>
        <w:rPr>
          <w:rFonts w:hint="eastAsia" w:eastAsia="宋体"/>
          <w:color w:val="000000"/>
          <w:sz w:val="24"/>
          <w:szCs w:val="24"/>
        </w:rPr>
        <w:t>更新</w:t>
      </w:r>
      <w:r>
        <w:rPr>
          <w:rFonts w:eastAsia="宋体"/>
          <w:color w:val="000000"/>
          <w:sz w:val="24"/>
          <w:szCs w:val="24"/>
        </w:rPr>
        <w:t>的510（k）。以下列出的变化或修改可能需要提交</w:t>
      </w:r>
      <w:r>
        <w:rPr>
          <w:rFonts w:hint="eastAsia" w:eastAsia="宋体"/>
          <w:color w:val="000000"/>
          <w:sz w:val="24"/>
          <w:szCs w:val="24"/>
        </w:rPr>
        <w:t>更新</w:t>
      </w:r>
      <w:r>
        <w:rPr>
          <w:rFonts w:eastAsia="宋体"/>
          <w:color w:val="000000"/>
          <w:sz w:val="24"/>
          <w:szCs w:val="24"/>
        </w:rPr>
        <w:t>的510（k）。请注意，这份清单并</w:t>
      </w:r>
      <w:r>
        <w:rPr>
          <w:rFonts w:hint="eastAsia" w:eastAsia="宋体"/>
          <w:color w:val="000000"/>
          <w:sz w:val="24"/>
          <w:szCs w:val="24"/>
        </w:rPr>
        <w:t>不</w:t>
      </w:r>
      <w:r>
        <w:rPr>
          <w:rFonts w:eastAsia="宋体"/>
          <w:color w:val="000000"/>
          <w:sz w:val="24"/>
          <w:szCs w:val="24"/>
        </w:rPr>
        <w:t>包含全部内容，而是提供了一般需要提交</w:t>
      </w:r>
      <w:r>
        <w:rPr>
          <w:rFonts w:hint="eastAsia" w:eastAsia="宋体"/>
          <w:color w:val="000000"/>
          <w:sz w:val="24"/>
          <w:szCs w:val="24"/>
        </w:rPr>
        <w:t>更新</w:t>
      </w:r>
      <w:r>
        <w:rPr>
          <w:rFonts w:eastAsia="宋体"/>
          <w:color w:val="000000"/>
          <w:sz w:val="24"/>
          <w:szCs w:val="24"/>
        </w:rPr>
        <w:t>的510（k）的修改</w:t>
      </w:r>
      <w:r>
        <w:rPr>
          <w:rFonts w:hint="eastAsia" w:eastAsia="宋体"/>
          <w:color w:val="000000"/>
          <w:sz w:val="24"/>
          <w:szCs w:val="24"/>
        </w:rPr>
        <w:t>示</w:t>
      </w:r>
      <w:r>
        <w:rPr>
          <w:rFonts w:eastAsia="宋体"/>
          <w:color w:val="000000"/>
          <w:sz w:val="24"/>
          <w:szCs w:val="24"/>
        </w:rPr>
        <w:t>例。有关其他细节，请参见FDA指南</w:t>
      </w:r>
      <w:r>
        <w:rPr>
          <w:rFonts w:hint="eastAsia" w:eastAsia="宋体"/>
          <w:color w:val="000000"/>
          <w:sz w:val="24"/>
          <w:szCs w:val="24"/>
        </w:rPr>
        <w:t>《</w:t>
      </w:r>
      <w:r>
        <w:rPr>
          <w:rFonts w:eastAsia="宋体"/>
          <w:color w:val="0000FF"/>
          <w:sz w:val="24"/>
          <w:szCs w:val="24"/>
          <w:u w:val="single"/>
        </w:rPr>
        <w:t>决定何时提交510（k）对现有器械的变更</w:t>
      </w:r>
      <w:r>
        <w:rPr>
          <w:rFonts w:hint="eastAsia" w:eastAsia="宋体"/>
          <w:color w:val="0000FF"/>
          <w:sz w:val="24"/>
          <w:szCs w:val="24"/>
          <w:u w:val="single"/>
        </w:rPr>
        <w:t>》</w:t>
      </w:r>
      <w:r>
        <w:rPr>
          <w:rStyle w:val="18"/>
          <w:rFonts w:eastAsia="宋体"/>
          <w:color w:val="000000"/>
          <w:sz w:val="24"/>
          <w:szCs w:val="24"/>
        </w:rPr>
        <w:t xml:space="preserve"> </w:t>
      </w:r>
      <w:r>
        <w:rPr>
          <w:rStyle w:val="18"/>
          <w:rFonts w:eastAsia="宋体"/>
          <w:color w:val="000000"/>
          <w:sz w:val="24"/>
          <w:szCs w:val="24"/>
        </w:rPr>
        <w:footnoteReference w:id="14"/>
      </w:r>
    </w:p>
    <w:p w14:paraId="5D109D5B">
      <w:pPr>
        <w:shd w:val="clear" w:color="auto" w:fill="FFFFFF"/>
        <w:snapToGrid w:val="0"/>
        <w:ind w:firstLine="480" w:firstLineChars="200"/>
        <w:jc w:val="both"/>
        <w:rPr>
          <w:rFonts w:eastAsia="宋体"/>
          <w:color w:val="000000"/>
          <w:sz w:val="24"/>
          <w:szCs w:val="24"/>
        </w:rPr>
      </w:pPr>
    </w:p>
    <w:p w14:paraId="31A78704">
      <w:pPr>
        <w:shd w:val="clear" w:color="auto" w:fill="FFFFFF"/>
        <w:snapToGrid w:val="0"/>
        <w:ind w:firstLine="480" w:firstLineChars="200"/>
        <w:jc w:val="both"/>
        <w:rPr>
          <w:rFonts w:eastAsia="宋体"/>
          <w:sz w:val="24"/>
          <w:szCs w:val="24"/>
        </w:rPr>
      </w:pPr>
      <w:r>
        <w:rPr>
          <w:rFonts w:hint="eastAsia" w:eastAsia="宋体"/>
          <w:color w:val="000000"/>
          <w:sz w:val="24"/>
          <w:szCs w:val="24"/>
        </w:rPr>
        <w:t>此</w:t>
      </w:r>
      <w:r>
        <w:rPr>
          <w:rFonts w:eastAsia="宋体"/>
          <w:color w:val="000000"/>
          <w:sz w:val="24"/>
          <w:szCs w:val="24"/>
        </w:rPr>
        <w:t>变</w:t>
      </w:r>
      <w:r>
        <w:rPr>
          <w:rFonts w:hint="eastAsia" w:eastAsia="宋体"/>
          <w:color w:val="000000"/>
          <w:sz w:val="24"/>
          <w:szCs w:val="24"/>
        </w:rPr>
        <w:t>更</w:t>
      </w:r>
      <w:r>
        <w:rPr>
          <w:rFonts w:eastAsia="宋体"/>
          <w:color w:val="000000"/>
          <w:sz w:val="24"/>
          <w:szCs w:val="24"/>
        </w:rPr>
        <w:t>或修改包括：</w:t>
      </w:r>
    </w:p>
    <w:p w14:paraId="28DF6031">
      <w:pPr>
        <w:shd w:val="clear" w:color="auto" w:fill="FFFFFF"/>
        <w:snapToGrid w:val="0"/>
        <w:jc w:val="both"/>
        <w:rPr>
          <w:rFonts w:eastAsia="宋体"/>
          <w:color w:val="000000"/>
          <w:sz w:val="21"/>
          <w:szCs w:val="21"/>
          <w:vertAlign w:val="superscript"/>
        </w:rPr>
      </w:pPr>
    </w:p>
    <w:p w14:paraId="731F222C">
      <w:pPr>
        <w:shd w:val="clear" w:color="auto" w:fill="FFFFFF"/>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59EB56D4">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 xml:space="preserve">导丝材料 – </w:t>
      </w:r>
      <w:r>
        <w:rPr>
          <w:rFonts w:hint="eastAsia" w:eastAsia="宋体"/>
          <w:color w:val="000000"/>
          <w:sz w:val="24"/>
          <w:szCs w:val="24"/>
        </w:rPr>
        <w:t>芯</w:t>
      </w:r>
      <w:r>
        <w:rPr>
          <w:rFonts w:eastAsia="宋体"/>
          <w:color w:val="000000"/>
          <w:sz w:val="24"/>
          <w:szCs w:val="24"/>
        </w:rPr>
        <w:t>丝材料的改变可能会通过改变生物相容性风险状况或器械性能而大大影响器械的安全性和有效性。</w:t>
      </w:r>
    </w:p>
    <w:p w14:paraId="2295503D">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涂层位置、材料、数量或加工 - 涂层成分、位置和用于应用涂层的工艺的改变，可能会通过改变生物相容性风险状况和/或器械性能而对器械的安全性和有效性产生重大影响。</w:t>
      </w:r>
    </w:p>
    <w:p w14:paraId="72419CBF">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以前未</w:t>
      </w:r>
      <w:r>
        <w:rPr>
          <w:rFonts w:hint="eastAsia" w:eastAsia="宋体"/>
          <w:color w:val="000000"/>
          <w:sz w:val="24"/>
          <w:szCs w:val="24"/>
        </w:rPr>
        <w:t>许可</w:t>
      </w:r>
      <w:r>
        <w:rPr>
          <w:rFonts w:eastAsia="宋体"/>
          <w:color w:val="000000"/>
          <w:sz w:val="24"/>
          <w:szCs w:val="24"/>
        </w:rPr>
        <w:t>的尺寸 - 如果导丝的关键尺寸特征的变化超出了您的器械以前批准的范围，可能会通过显著影响性能风险状况而严重影响安全性和有效性。</w:t>
      </w:r>
    </w:p>
    <w:p w14:paraId="0E17F062">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头端配置 - 头端形状、材料或粘附过程的改变可能会显著影响器械的安全性和有效性，因为已知的头端脱落风险</w:t>
      </w:r>
      <w:r>
        <w:rPr>
          <w:rFonts w:hint="eastAsia" w:eastAsia="宋体"/>
          <w:color w:val="000000"/>
          <w:sz w:val="24"/>
          <w:szCs w:val="24"/>
        </w:rPr>
        <w:t>以及</w:t>
      </w:r>
      <w:r>
        <w:rPr>
          <w:rFonts w:eastAsia="宋体"/>
          <w:color w:val="000000"/>
          <w:sz w:val="24"/>
          <w:szCs w:val="24"/>
        </w:rPr>
        <w:t>导丝正确引导预定血管的能力发生了变化。</w:t>
      </w:r>
    </w:p>
    <w:p w14:paraId="3F1261E1">
      <w:pPr>
        <w:numPr>
          <w:ilvl w:val="0"/>
          <w:numId w:val="4"/>
        </w:numPr>
        <w:shd w:val="clear" w:color="auto" w:fill="FFFFFF"/>
        <w:tabs>
          <w:tab w:val="left" w:pos="709"/>
        </w:tabs>
        <w:snapToGrid w:val="0"/>
        <w:ind w:left="708" w:leftChars="142" w:hanging="424" w:hangingChars="177"/>
        <w:jc w:val="both"/>
        <w:rPr>
          <w:rFonts w:eastAsia="宋体"/>
          <w:sz w:val="24"/>
          <w:szCs w:val="24"/>
        </w:rPr>
      </w:pPr>
      <w:r>
        <w:rPr>
          <w:rFonts w:eastAsia="宋体"/>
          <w:color w:val="000000"/>
          <w:sz w:val="24"/>
          <w:szCs w:val="24"/>
        </w:rPr>
        <w:t>其他血管-由于与先前提交的</w:t>
      </w:r>
      <w:r>
        <w:rPr>
          <w:rFonts w:hint="eastAsia" w:eastAsia="宋体"/>
          <w:color w:val="000000"/>
          <w:sz w:val="24"/>
          <w:szCs w:val="24"/>
        </w:rPr>
        <w:t>申请</w:t>
      </w:r>
      <w:r>
        <w:rPr>
          <w:rFonts w:eastAsia="宋体"/>
          <w:color w:val="000000"/>
          <w:sz w:val="24"/>
          <w:szCs w:val="24"/>
        </w:rPr>
        <w:t>材料中所涉及的不同临床情况相关的</w:t>
      </w:r>
      <w:r>
        <w:rPr>
          <w:rFonts w:hint="eastAsia" w:eastAsia="宋体"/>
          <w:color w:val="000000"/>
          <w:sz w:val="24"/>
          <w:szCs w:val="24"/>
        </w:rPr>
        <w:t>更新</w:t>
      </w:r>
      <w:r>
        <w:rPr>
          <w:rFonts w:eastAsia="宋体"/>
          <w:color w:val="000000"/>
          <w:sz w:val="24"/>
          <w:szCs w:val="24"/>
        </w:rPr>
        <w:t>或改变的风险，目标血管的改变可能会对安全性和有效性产生重大影响。</w:t>
      </w:r>
    </w:p>
    <w:p w14:paraId="2C640F58">
      <w:pPr>
        <w:shd w:val="clear" w:color="auto" w:fill="FFFFFF"/>
        <w:snapToGrid w:val="0"/>
        <w:jc w:val="both"/>
        <w:rPr>
          <w:rFonts w:eastAsia="宋体"/>
          <w:color w:val="000000"/>
          <w:sz w:val="24"/>
          <w:szCs w:val="24"/>
        </w:rPr>
      </w:pPr>
    </w:p>
    <w:p w14:paraId="3DBCE2FD">
      <w:pPr>
        <w:shd w:val="clear" w:color="auto" w:fill="FFFFFF"/>
        <w:snapToGrid w:val="0"/>
        <w:ind w:firstLine="480" w:firstLineChars="200"/>
        <w:jc w:val="both"/>
        <w:rPr>
          <w:rFonts w:eastAsia="宋体"/>
          <w:sz w:val="24"/>
          <w:szCs w:val="24"/>
        </w:rPr>
      </w:pPr>
      <w:r>
        <w:rPr>
          <w:rFonts w:eastAsia="宋体"/>
          <w:color w:val="000000"/>
          <w:sz w:val="24"/>
          <w:szCs w:val="24"/>
        </w:rPr>
        <w:t>FDA认为，以下变</w:t>
      </w:r>
      <w:r>
        <w:rPr>
          <w:rFonts w:hint="eastAsia" w:eastAsia="宋体"/>
          <w:color w:val="000000"/>
          <w:sz w:val="24"/>
          <w:szCs w:val="24"/>
        </w:rPr>
        <w:t>更</w:t>
      </w:r>
      <w:r>
        <w:rPr>
          <w:rFonts w:eastAsia="宋体"/>
          <w:color w:val="000000"/>
          <w:sz w:val="24"/>
          <w:szCs w:val="24"/>
        </w:rPr>
        <w:t>或修改可能不需要提交新的510（k）</w:t>
      </w:r>
      <w:r>
        <w:rPr>
          <w:rFonts w:hint="eastAsia" w:eastAsia="宋体"/>
          <w:color w:val="000000"/>
          <w:sz w:val="24"/>
          <w:szCs w:val="24"/>
        </w:rPr>
        <w:t>：</w:t>
      </w:r>
    </w:p>
    <w:p w14:paraId="28EC144E">
      <w:pPr>
        <w:numPr>
          <w:ilvl w:val="0"/>
          <w:numId w:val="4"/>
        </w:numPr>
        <w:shd w:val="clear" w:color="auto" w:fill="FFFFFF"/>
        <w:tabs>
          <w:tab w:val="left" w:pos="709"/>
        </w:tabs>
        <w:snapToGrid w:val="0"/>
        <w:ind w:left="660" w:hanging="360"/>
        <w:jc w:val="both"/>
        <w:rPr>
          <w:rFonts w:eastAsia="宋体"/>
          <w:sz w:val="24"/>
          <w:szCs w:val="24"/>
        </w:rPr>
      </w:pPr>
      <w:r>
        <w:rPr>
          <w:rFonts w:eastAsia="宋体"/>
          <w:color w:val="000000"/>
          <w:sz w:val="24"/>
          <w:szCs w:val="24"/>
        </w:rPr>
        <w:t>器械包装的微小变化（例如，使用说明书的硬拷贝被电子版所取代）。</w:t>
      </w:r>
    </w:p>
    <w:p w14:paraId="69E74BD2">
      <w:pPr>
        <w:numPr>
          <w:ilvl w:val="0"/>
          <w:numId w:val="4"/>
        </w:numPr>
        <w:shd w:val="clear" w:color="auto" w:fill="FFFFFF"/>
        <w:tabs>
          <w:tab w:val="left" w:pos="709"/>
        </w:tabs>
        <w:snapToGrid w:val="0"/>
        <w:ind w:left="660" w:hanging="360"/>
        <w:jc w:val="both"/>
        <w:rPr>
          <w:rFonts w:eastAsia="宋体"/>
          <w:sz w:val="24"/>
          <w:szCs w:val="24"/>
        </w:rPr>
      </w:pPr>
      <w:r>
        <w:rPr>
          <w:rFonts w:eastAsia="宋体"/>
          <w:color w:val="000000"/>
          <w:sz w:val="24"/>
          <w:szCs w:val="24"/>
        </w:rPr>
        <w:t>根据先前在已</w:t>
      </w:r>
      <w:r>
        <w:rPr>
          <w:rFonts w:hint="eastAsia" w:eastAsia="宋体"/>
          <w:color w:val="000000"/>
          <w:sz w:val="24"/>
          <w:szCs w:val="24"/>
        </w:rPr>
        <w:t>许可</w:t>
      </w:r>
      <w:r>
        <w:rPr>
          <w:rFonts w:eastAsia="宋体"/>
          <w:color w:val="000000"/>
          <w:sz w:val="24"/>
          <w:szCs w:val="24"/>
        </w:rPr>
        <w:t>的申请中审查的测试</w:t>
      </w:r>
      <w:r>
        <w:rPr>
          <w:rFonts w:hint="eastAsia" w:eastAsia="宋体"/>
          <w:color w:val="000000"/>
          <w:sz w:val="24"/>
          <w:szCs w:val="24"/>
        </w:rPr>
        <w:t>方案</w:t>
      </w:r>
      <w:r>
        <w:rPr>
          <w:rFonts w:eastAsia="宋体"/>
          <w:color w:val="000000"/>
          <w:sz w:val="24"/>
          <w:szCs w:val="24"/>
        </w:rPr>
        <w:t>实施延长货架期；</w:t>
      </w:r>
    </w:p>
    <w:p w14:paraId="5FBA655F">
      <w:pPr>
        <w:numPr>
          <w:ilvl w:val="0"/>
          <w:numId w:val="4"/>
        </w:numPr>
        <w:shd w:val="clear" w:color="auto" w:fill="FFFFFF"/>
        <w:tabs>
          <w:tab w:val="left" w:pos="709"/>
        </w:tabs>
        <w:snapToGrid w:val="0"/>
        <w:ind w:left="660" w:hanging="360"/>
        <w:jc w:val="both"/>
        <w:rPr>
          <w:rFonts w:eastAsia="宋体"/>
          <w:sz w:val="24"/>
          <w:szCs w:val="24"/>
        </w:rPr>
      </w:pPr>
      <w:r>
        <w:rPr>
          <w:rFonts w:eastAsia="宋体"/>
          <w:color w:val="000000"/>
          <w:sz w:val="24"/>
          <w:szCs w:val="24"/>
        </w:rPr>
        <w:t>在现有规格公差范围内的尺寸变化，或在先前</w:t>
      </w:r>
      <w:r>
        <w:rPr>
          <w:rFonts w:hint="eastAsia" w:eastAsia="宋体"/>
          <w:color w:val="000000"/>
          <w:sz w:val="24"/>
          <w:szCs w:val="24"/>
        </w:rPr>
        <w:t>许可</w:t>
      </w:r>
      <w:r>
        <w:rPr>
          <w:rFonts w:eastAsia="宋体"/>
          <w:color w:val="000000"/>
          <w:sz w:val="24"/>
          <w:szCs w:val="24"/>
        </w:rPr>
        <w:t>的器械范围内的关键尺寸特征。</w:t>
      </w:r>
    </w:p>
    <w:p w14:paraId="4DE33528">
      <w:pPr>
        <w:pStyle w:val="5"/>
        <w:pBdr>
          <w:bottom w:val="single" w:color="auto" w:sz="4" w:space="1"/>
        </w:pBdr>
        <w:snapToGrid w:val="0"/>
        <w:jc w:val="center"/>
        <w:rPr>
          <w:ins w:id="0" w:author="太极箫客" w:date="2025-08-14T14:35:41Z"/>
          <w:rFonts w:hint="eastAsia" w:eastAsia="等线"/>
          <w:lang w:eastAsia="zh-CN"/>
        </w:rPr>
      </w:pPr>
    </w:p>
    <w:p w14:paraId="71DDCF6C">
      <w:pPr>
        <w:pStyle w:val="5"/>
        <w:pBdr>
          <w:bottom w:val="single" w:color="auto" w:sz="4" w:space="1"/>
        </w:pBdr>
        <w:snapToGrid w:val="0"/>
        <w:jc w:val="center"/>
        <w:rPr>
          <w:ins w:id="1" w:author="太极箫客" w:date="2025-08-14T14:35:41Z"/>
          <w:rFonts w:hint="eastAsia" w:eastAsia="等线"/>
          <w:lang w:eastAsia="zh-CN"/>
        </w:rPr>
      </w:pPr>
    </w:p>
    <w:p w14:paraId="2D247984">
      <w:pPr>
        <w:pStyle w:val="5"/>
        <w:pBdr>
          <w:bottom w:val="single" w:color="auto" w:sz="4" w:space="1"/>
        </w:pBdr>
        <w:snapToGrid w:val="0"/>
        <w:jc w:val="center"/>
        <w:rPr>
          <w:ins w:id="2" w:author="太极箫客" w:date="2025-08-14T14:35:41Z"/>
          <w:rFonts w:hint="eastAsia" w:eastAsia="等线"/>
          <w:lang w:eastAsia="zh-CN"/>
        </w:rPr>
      </w:pPr>
      <w:ins w:id="3" w:author="太极箫客" w:date="2025-08-14T14:35:41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134" w:right="1134" w:bottom="1134" w:left="1418" w:header="567" w:footer="567"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1EC2">
    <w:pPr>
      <w:pStyle w:val="9"/>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3F324873">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https://www.fda.gov/regulatory-information/search-fda-guidance-documents/appropriate-use-voluntary-consensus-standards-premarket-submissions-medical-devices</w:t>
      </w:r>
    </w:p>
  </w:footnote>
  <w:footnote w:id="1">
    <w:p w14:paraId="081E5E5E">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https://www.fda.gov/regulatory-information/search-fda-guidance-documents/format-traditional-and-abbreviated-510ks-guidance-industry-and-fda-staff</w:t>
      </w:r>
    </w:p>
  </w:footnote>
  <w:footnote w:id="2">
    <w:p w14:paraId="7E615D25">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https://www.fda.gov/regulatory-information/search-fda-guidance-documents/use-international-standard-iso-10993-1-biological-evaluation-medical-devices-part-1-evaluation-and</w:t>
      </w:r>
    </w:p>
  </w:footnote>
  <w:footnote w:id="3">
    <w:p w14:paraId="264D144A">
      <w:pPr>
        <w:shd w:val="clear" w:color="auto" w:fill="FFFFFF"/>
        <w:tabs>
          <w:tab w:val="left" w:pos="120"/>
        </w:tabs>
        <w:wordWrap w:val="0"/>
        <w:snapToGrid w:val="0"/>
        <w:jc w:val="both"/>
        <w:rPr>
          <w:rFonts w:eastAsia="宋体"/>
          <w:sz w:val="18"/>
          <w:szCs w:val="18"/>
        </w:rPr>
      </w:pPr>
      <w:r>
        <w:rPr>
          <w:rStyle w:val="18"/>
          <w:rFonts w:eastAsia="宋体"/>
          <w:sz w:val="18"/>
          <w:szCs w:val="18"/>
        </w:rPr>
        <w:footnoteRef/>
      </w:r>
      <w:r>
        <w:rPr>
          <w:rFonts w:eastAsia="宋体"/>
          <w:sz w:val="18"/>
          <w:szCs w:val="18"/>
        </w:rPr>
        <w:t xml:space="preserve"> </w:t>
      </w:r>
      <w:r>
        <w:rPr>
          <w:rFonts w:eastAsia="宋体"/>
          <w:color w:val="0000FF"/>
          <w:sz w:val="18"/>
          <w:szCs w:val="18"/>
          <w:u w:val="single"/>
        </w:rPr>
        <w:t>https://www.fda.gov/regulatory-information/search-fda-guidance-documents/submission-and-review-sterilityinformation-premarket-notification-510k-submissions-devices-labeled</w:t>
      </w:r>
    </w:p>
  </w:footnote>
  <w:footnote w:id="4">
    <w:p w14:paraId="7CD3D370">
      <w:pPr>
        <w:pStyle w:val="12"/>
        <w:wordWrap w:val="0"/>
        <w:jc w:val="both"/>
        <w:rPr>
          <w:rFonts w:eastAsia="宋体"/>
          <w:color w:val="000000"/>
        </w:rPr>
      </w:pPr>
      <w:r>
        <w:rPr>
          <w:rStyle w:val="18"/>
          <w:rFonts w:eastAsia="宋体"/>
          <w:color w:val="000000"/>
        </w:rPr>
        <w:footnoteRef/>
      </w:r>
      <w:r>
        <w:rPr>
          <w:rFonts w:eastAsia="宋体"/>
          <w:color w:val="000000"/>
        </w:rPr>
        <w:t xml:space="preserve"> https://www.fda.gov/regulatoiy-information/search-fda-guidance-documents/submission-and-review-sterility-information</w:t>
      </w:r>
      <w:r>
        <w:rPr>
          <w:rFonts w:hint="eastAsia" w:eastAsia="宋体"/>
          <w:color w:val="000000"/>
        </w:rPr>
        <w:t xml:space="preserve"> </w:t>
      </w:r>
      <w:r>
        <w:rPr>
          <w:rFonts w:eastAsia="宋体"/>
          <w:color w:val="000000"/>
        </w:rPr>
        <w:t>-premarket-notification-510k-submissions-devices-labeled</w:t>
      </w:r>
    </w:p>
  </w:footnote>
  <w:footnote w:id="5">
    <w:p w14:paraId="6A6969F1">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https://www.fda.gov/regulatory-information/search-fda-guidance-documents/guidance-industry-pyrogen-and-endotoxins</w:t>
      </w:r>
      <w:r>
        <w:rPr>
          <w:rFonts w:hint="eastAsia" w:eastAsia="宋体"/>
          <w:color w:val="0000FF"/>
          <w:u w:val="single"/>
        </w:rPr>
        <w:t xml:space="preserve"> </w:t>
      </w:r>
      <w:r>
        <w:rPr>
          <w:rFonts w:eastAsia="宋体"/>
          <w:color w:val="0000FF"/>
          <w:u w:val="single"/>
        </w:rPr>
        <w:t>-testing-questions-and-answers</w:t>
      </w:r>
    </w:p>
  </w:footnote>
  <w:footnote w:id="6">
    <w:p w14:paraId="5F74ED7F">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https://www.fda.gov/regulatorv-information/search-fda-guidance-documents/use-international-standard-iso-10993-1-</w:t>
      </w:r>
      <w:r>
        <w:rPr>
          <w:rFonts w:hint="eastAsia" w:eastAsia="宋体"/>
          <w:color w:val="0000FF"/>
          <w:u w:val="single"/>
        </w:rPr>
        <w:t xml:space="preserve"> </w:t>
      </w:r>
      <w:r>
        <w:rPr>
          <w:rFonts w:eastAsia="宋体"/>
          <w:color w:val="0000FF"/>
          <w:u w:val="single"/>
        </w:rPr>
        <w:t>biological-evaluation-medical-devices-part-l-evaluation-and</w:t>
      </w:r>
    </w:p>
  </w:footnote>
  <w:footnote w:id="7">
    <w:p w14:paraId="6E7525CD">
      <w:pPr>
        <w:pStyle w:val="12"/>
        <w:wordWrap w:val="0"/>
        <w:jc w:val="both"/>
        <w:rPr>
          <w:rFonts w:eastAsia="宋体"/>
        </w:rPr>
      </w:pPr>
      <w:r>
        <w:rPr>
          <w:rStyle w:val="18"/>
          <w:rFonts w:eastAsia="宋体"/>
        </w:rPr>
        <w:footnoteRef/>
      </w:r>
      <w:r>
        <w:rPr>
          <w:rFonts w:eastAsia="宋体"/>
        </w:rPr>
        <w:t xml:space="preserve"> 参</w:t>
      </w:r>
      <w:r>
        <w:rPr>
          <w:rFonts w:eastAsia="宋体"/>
          <w:color w:val="000000"/>
        </w:rPr>
        <w:t>见FDA指南，</w:t>
      </w:r>
      <w:r>
        <w:rPr>
          <w:rFonts w:hint="eastAsia" w:eastAsia="宋体"/>
          <w:color w:val="000000"/>
        </w:rPr>
        <w:t>“</w:t>
      </w:r>
      <w:r>
        <w:rPr>
          <w:rFonts w:eastAsia="宋体"/>
          <w:color w:val="000000"/>
        </w:rPr>
        <w:t>510（k）计划：评价上市前通知[510（k）]中的实质等</w:t>
      </w:r>
      <w:r>
        <w:rPr>
          <w:rFonts w:hint="eastAsia" w:eastAsia="宋体"/>
          <w:color w:val="000000"/>
        </w:rPr>
        <w:t>同</w:t>
      </w:r>
      <w:r>
        <w:rPr>
          <w:rFonts w:eastAsia="宋体"/>
          <w:color w:val="000000"/>
        </w:rPr>
        <w:t>性-行业和美国食品药品监督管理局工作人员指南”（</w:t>
      </w:r>
      <w:r>
        <w:rPr>
          <w:rFonts w:eastAsia="宋体"/>
          <w:color w:val="0000FF"/>
          <w:u w:val="single"/>
        </w:rPr>
        <w:t>https://www.fda.gov/regulatory-information/search-fda-guidance-documents/510k-program-evaluating-substantial-equivalence-premarket-notifications-510k</w:t>
      </w:r>
      <w:r>
        <w:rPr>
          <w:rFonts w:eastAsia="宋体"/>
          <w:color w:val="000000"/>
        </w:rPr>
        <w:t>），以了解更多关于与主要</w:t>
      </w:r>
      <w:r>
        <w:rPr>
          <w:rFonts w:hint="eastAsia" w:eastAsia="宋体"/>
          <w:color w:val="000000"/>
        </w:rPr>
        <w:t>同品种</w:t>
      </w:r>
      <w:r>
        <w:rPr>
          <w:rFonts w:eastAsia="宋体"/>
          <w:color w:val="000000"/>
        </w:rPr>
        <w:t>器械或参考器械进行比较的信息。</w:t>
      </w:r>
    </w:p>
  </w:footnote>
  <w:footnote w:id="8">
    <w:p w14:paraId="24BD3EAE">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https://www.fda.gov/regulatory-information/search-fda-guidance-documents/recommended-content-and-format-</w:t>
      </w:r>
      <w:r>
        <w:rPr>
          <w:rFonts w:hint="eastAsia" w:eastAsia="宋体"/>
          <w:color w:val="0000FF"/>
          <w:u w:val="single"/>
        </w:rPr>
        <w:t xml:space="preserve"> </w:t>
      </w:r>
      <w:r>
        <w:rPr>
          <w:rFonts w:eastAsia="宋体"/>
          <w:color w:val="0000FF"/>
          <w:u w:val="single"/>
        </w:rPr>
        <w:t>non-clinical-bench-performance-testing-information-premarket</w:t>
      </w:r>
    </w:p>
  </w:footnote>
  <w:footnote w:id="9">
    <w:p w14:paraId="1521A0ED">
      <w:pPr>
        <w:pStyle w:val="12"/>
        <w:wordWrap w:val="0"/>
        <w:jc w:val="both"/>
        <w:rPr>
          <w:rFonts w:eastAsia="宋体"/>
        </w:rPr>
      </w:pPr>
      <w:r>
        <w:rPr>
          <w:rStyle w:val="18"/>
          <w:rFonts w:eastAsia="宋体"/>
        </w:rPr>
        <w:footnoteRef/>
      </w:r>
      <w:r>
        <w:rPr>
          <w:rFonts w:eastAsia="宋体"/>
        </w:rPr>
        <w:t xml:space="preserve"> 参</w:t>
      </w:r>
      <w:r>
        <w:rPr>
          <w:rFonts w:eastAsia="宋体"/>
          <w:color w:val="000000"/>
        </w:rPr>
        <w:t>见FDA关于</w:t>
      </w:r>
      <w:r>
        <w:rPr>
          <w:rFonts w:hint="eastAsia" w:eastAsia="宋体"/>
          <w:color w:val="000000"/>
        </w:rPr>
        <w:t>“</w:t>
      </w:r>
      <w:r>
        <w:rPr>
          <w:rFonts w:eastAsia="宋体"/>
          <w:color w:val="000000"/>
        </w:rPr>
        <w:t>血管内医疗器械的润滑涂层分离</w:t>
      </w:r>
      <w:r>
        <w:rPr>
          <w:rFonts w:hint="eastAsia" w:eastAsia="宋体"/>
          <w:color w:val="000000"/>
        </w:rPr>
        <w:t>”</w:t>
      </w:r>
      <w:r>
        <w:rPr>
          <w:rFonts w:eastAsia="宋体"/>
          <w:color w:val="000000"/>
        </w:rPr>
        <w:t>的安全通报，可访问</w:t>
      </w:r>
      <w:r>
        <w:rPr>
          <w:rFonts w:eastAsia="宋体"/>
          <w:color w:val="0000FF"/>
          <w:u w:val="single"/>
        </w:rPr>
        <w:t>http://wayback.archive-it.org/7993/20170722215712/https://www.fda.gov/MedicalDevices/Safety/AlertsandNotices/ucm473794.htm。</w:t>
      </w:r>
    </w:p>
  </w:footnote>
  <w:footnote w:id="10">
    <w:p w14:paraId="53894365">
      <w:pPr>
        <w:pStyle w:val="12"/>
        <w:wordWrap w:val="0"/>
        <w:jc w:val="both"/>
        <w:rPr>
          <w:rFonts w:eastAsia="宋体"/>
        </w:rPr>
      </w:pPr>
      <w:r>
        <w:rPr>
          <w:rStyle w:val="18"/>
          <w:rFonts w:eastAsia="宋体"/>
        </w:rPr>
        <w:footnoteRef/>
      </w:r>
      <w:r>
        <w:rPr>
          <w:rFonts w:eastAsia="宋体"/>
          <w:color w:val="000000"/>
        </w:rPr>
        <w:t xml:space="preserve"> FDA支持</w:t>
      </w:r>
      <w:r>
        <w:rPr>
          <w:rFonts w:hint="eastAsia" w:eastAsia="宋体"/>
          <w:color w:val="000000"/>
        </w:rPr>
        <w:t>“</w:t>
      </w:r>
      <w:r>
        <w:rPr>
          <w:rFonts w:eastAsia="宋体"/>
          <w:color w:val="000000"/>
        </w:rPr>
        <w:t>3R</w:t>
      </w:r>
      <w:r>
        <w:rPr>
          <w:rFonts w:hint="eastAsia" w:eastAsia="宋体"/>
          <w:color w:val="000000"/>
        </w:rPr>
        <w:t>”</w:t>
      </w:r>
      <w:r>
        <w:rPr>
          <w:rFonts w:eastAsia="宋体"/>
          <w:color w:val="000000"/>
        </w:rPr>
        <w:t>原则，以在可行时减少、改善并替代使用动物进行试验。如果申办者希望使用他们认为合适、充分、经过验证和可行的非动物试验方法，我们鼓励他们与我们协商。我局将考虑是否可评估这种替代方法与动物试验方法的实质等</w:t>
      </w:r>
      <w:r>
        <w:rPr>
          <w:rFonts w:hint="eastAsia" w:eastAsia="宋体"/>
          <w:color w:val="000000"/>
        </w:rPr>
        <w:t>同</w:t>
      </w:r>
      <w:r>
        <w:rPr>
          <w:rFonts w:eastAsia="宋体"/>
          <w:color w:val="000000"/>
        </w:rPr>
        <w:t>性。</w:t>
      </w:r>
    </w:p>
  </w:footnote>
  <w:footnote w:id="11">
    <w:p w14:paraId="2A3D2A97">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https://www.fda.gov/regulatory-information/search-fda-guidance-documents/significant-risk-and-nonsignificant-risk-medical-device-studies</w:t>
      </w:r>
    </w:p>
  </w:footnote>
  <w:footnote w:id="12">
    <w:p w14:paraId="0BD1EE70">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https://www.fda.gov/regulatory-information/search-fda-guidance-documents/use-real-world-evidence-support-regulatory-decision-making-medical-devices</w:t>
      </w:r>
    </w:p>
  </w:footnote>
  <w:footnote w:id="13">
    <w:p w14:paraId="37096BD3">
      <w:pPr>
        <w:pStyle w:val="12"/>
        <w:wordWrap w:val="0"/>
        <w:jc w:val="both"/>
        <w:rPr>
          <w:rFonts w:eastAsia="宋体"/>
        </w:rPr>
      </w:pPr>
      <w:r>
        <w:rPr>
          <w:rStyle w:val="18"/>
          <w:rFonts w:eastAsia="宋体"/>
        </w:rPr>
        <w:footnoteRef/>
      </w:r>
      <w:r>
        <w:rPr>
          <w:rFonts w:eastAsia="宋体"/>
        </w:rPr>
        <w:t xml:space="preserve"> </w:t>
      </w:r>
      <w:r>
        <w:rPr>
          <w:rFonts w:eastAsia="宋体"/>
          <w:color w:val="0000FF"/>
          <w:u w:val="single"/>
        </w:rPr>
        <w:t>https://wwwfda.gov/regulatory-information/search-fda-guidance-documents/intravascular-catheters-wires-and-delivery-systems-lubricious-coatings-labeling-considerations</w:t>
      </w:r>
    </w:p>
  </w:footnote>
  <w:footnote w:id="14">
    <w:p w14:paraId="67392DE2">
      <w:pPr>
        <w:pStyle w:val="12"/>
        <w:wordWrap w:val="0"/>
        <w:jc w:val="both"/>
      </w:pPr>
      <w:r>
        <w:rPr>
          <w:rStyle w:val="18"/>
          <w:rFonts w:eastAsia="宋体"/>
        </w:rPr>
        <w:footnoteRef/>
      </w:r>
      <w:r>
        <w:t xml:space="preserve"> </w:t>
      </w:r>
      <w:r>
        <w:rPr>
          <w:color w:val="0000FF"/>
          <w:u w:val="single"/>
        </w:rPr>
        <w:t>https://wwwfda.gov/regulatory-information/search-fda-guidance-documents/deciding-when-submit-510k-change-existing-device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A3A7">
    <w:pPr>
      <w:shd w:val="clear" w:color="auto" w:fill="FFFFFF"/>
      <w:snapToGrid w:val="0"/>
      <w:jc w:val="center"/>
      <w:rPr>
        <w:rFonts w:eastAsia="宋体"/>
        <w:sz w:val="21"/>
        <w:szCs w:val="21"/>
      </w:rPr>
    </w:pPr>
    <w:r>
      <w:rPr>
        <w:rFonts w:hint="eastAsia" w:eastAsia="宋体"/>
        <w:b/>
        <w:bCs/>
        <w:i/>
        <w:iCs/>
        <w:color w:val="000000"/>
        <w:sz w:val="21"/>
        <w:szCs w:val="21"/>
      </w:rPr>
      <w:t>所含建议不具约束力</w:t>
    </w:r>
  </w:p>
  <w:p w14:paraId="1161B6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F1164"/>
    <w:multiLevelType w:val="multilevel"/>
    <w:tmpl w:val="04DF1164"/>
    <w:lvl w:ilvl="0" w:tentative="0">
      <w:start w:val="1"/>
      <w:numFmt w:val="bullet"/>
      <w:lvlText w:val="●"/>
      <w:lvlJc w:val="left"/>
      <w:pPr>
        <w:ind w:left="420" w:hanging="420"/>
      </w:pPr>
      <w:rPr>
        <w:rFonts w:hint="default" w:ascii="Times New Roman" w:hAnsi="Times New Roman" w:eastAsia="宋体" w:cs="Times New Roman"/>
        <w:b w:val="0"/>
        <w:i w:val="0"/>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06A330A"/>
    <w:multiLevelType w:val="multilevel"/>
    <w:tmpl w:val="206A330A"/>
    <w:lvl w:ilvl="0" w:tentative="0">
      <w:start w:val="1"/>
      <w:numFmt w:val="bullet"/>
      <w:lvlText w:val="●"/>
      <w:lvlJc w:val="left"/>
      <w:pPr>
        <w:ind w:left="720" w:hanging="420"/>
      </w:pPr>
      <w:rPr>
        <w:rFonts w:hint="default" w:ascii="Times New Roman" w:hAnsi="Times New Roman" w:eastAsia="宋体" w:cs="Times New Roman"/>
        <w:b w:val="0"/>
        <w:i w:val="0"/>
        <w:sz w:val="21"/>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abstractNum w:abstractNumId="2">
    <w:nsid w:val="2B533F20"/>
    <w:multiLevelType w:val="multilevel"/>
    <w:tmpl w:val="2B533F20"/>
    <w:lvl w:ilvl="0" w:tentative="0">
      <w:start w:val="1"/>
      <w:numFmt w:val="bullet"/>
      <w:lvlText w:val="●"/>
      <w:lvlJc w:val="left"/>
      <w:pPr>
        <w:ind w:left="420" w:hanging="420"/>
      </w:pPr>
      <w:rPr>
        <w:rFonts w:hint="default" w:ascii="Times New Roman" w:hAnsi="Times New Roman" w:eastAsia="宋体" w:cs="Times New Roman"/>
        <w:b w:val="0"/>
        <w:i w:val="0"/>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C1A176A"/>
    <w:multiLevelType w:val="multilevel"/>
    <w:tmpl w:val="2C1A176A"/>
    <w:lvl w:ilvl="0" w:tentative="0">
      <w:start w:val="1"/>
      <w:numFmt w:val="bullet"/>
      <w:lvlText w:val="●"/>
      <w:lvlJc w:val="left"/>
      <w:pPr>
        <w:ind w:left="720" w:hanging="420"/>
      </w:pPr>
      <w:rPr>
        <w:rFonts w:hint="default" w:ascii="Times New Roman" w:hAnsi="Times New Roman" w:eastAsia="宋体" w:cs="Times New Roman"/>
        <w:b w:val="0"/>
        <w:i w:val="0"/>
        <w:sz w:val="21"/>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abstractNum w:abstractNumId="4">
    <w:nsid w:val="3AAB7A5B"/>
    <w:multiLevelType w:val="multilevel"/>
    <w:tmpl w:val="3AAB7A5B"/>
    <w:lvl w:ilvl="0" w:tentative="0">
      <w:start w:val="1"/>
      <w:numFmt w:val="bullet"/>
      <w:lvlText w:val="●"/>
      <w:lvlJc w:val="left"/>
      <w:pPr>
        <w:ind w:left="720" w:hanging="420"/>
      </w:pPr>
      <w:rPr>
        <w:rFonts w:hint="default" w:ascii="Times New Roman" w:hAnsi="Times New Roman" w:eastAsia="宋体" w:cs="Times New Roman"/>
        <w:b w:val="0"/>
        <w:i w:val="0"/>
        <w:sz w:val="21"/>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0"/>
    <w:footnote w:id="31"/>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2EEA"/>
    <w:rsid w:val="000259C6"/>
    <w:rsid w:val="0004713A"/>
    <w:rsid w:val="00052B44"/>
    <w:rsid w:val="00071B8D"/>
    <w:rsid w:val="00085D84"/>
    <w:rsid w:val="00090536"/>
    <w:rsid w:val="000C7983"/>
    <w:rsid w:val="000F5A34"/>
    <w:rsid w:val="001073E0"/>
    <w:rsid w:val="001868F8"/>
    <w:rsid w:val="00187C50"/>
    <w:rsid w:val="001A39EE"/>
    <w:rsid w:val="001D4B0E"/>
    <w:rsid w:val="00243532"/>
    <w:rsid w:val="0026413E"/>
    <w:rsid w:val="00281F68"/>
    <w:rsid w:val="00287A24"/>
    <w:rsid w:val="002A01E4"/>
    <w:rsid w:val="002C0B44"/>
    <w:rsid w:val="002E7373"/>
    <w:rsid w:val="002F0C80"/>
    <w:rsid w:val="003415E7"/>
    <w:rsid w:val="003D1845"/>
    <w:rsid w:val="003D3F6A"/>
    <w:rsid w:val="003E4FA2"/>
    <w:rsid w:val="00414012"/>
    <w:rsid w:val="00427392"/>
    <w:rsid w:val="00447B33"/>
    <w:rsid w:val="00460275"/>
    <w:rsid w:val="004605D5"/>
    <w:rsid w:val="00460A99"/>
    <w:rsid w:val="0046290D"/>
    <w:rsid w:val="00470F2A"/>
    <w:rsid w:val="004B6894"/>
    <w:rsid w:val="004D70AF"/>
    <w:rsid w:val="004E2681"/>
    <w:rsid w:val="00505958"/>
    <w:rsid w:val="005653B2"/>
    <w:rsid w:val="005B01E7"/>
    <w:rsid w:val="005C1126"/>
    <w:rsid w:val="005C1D31"/>
    <w:rsid w:val="005D4300"/>
    <w:rsid w:val="005E1BB5"/>
    <w:rsid w:val="00620C4E"/>
    <w:rsid w:val="006351B7"/>
    <w:rsid w:val="006526EF"/>
    <w:rsid w:val="006744CB"/>
    <w:rsid w:val="006860CE"/>
    <w:rsid w:val="00692C42"/>
    <w:rsid w:val="006C2C65"/>
    <w:rsid w:val="006D6953"/>
    <w:rsid w:val="006D761F"/>
    <w:rsid w:val="0070488A"/>
    <w:rsid w:val="00712C57"/>
    <w:rsid w:val="007621BC"/>
    <w:rsid w:val="00772B5D"/>
    <w:rsid w:val="007F2546"/>
    <w:rsid w:val="00800BCE"/>
    <w:rsid w:val="0080352C"/>
    <w:rsid w:val="00805D68"/>
    <w:rsid w:val="00807909"/>
    <w:rsid w:val="00824E9F"/>
    <w:rsid w:val="008732C3"/>
    <w:rsid w:val="00894F6B"/>
    <w:rsid w:val="008B5CE6"/>
    <w:rsid w:val="008F32A1"/>
    <w:rsid w:val="00917AE8"/>
    <w:rsid w:val="0094289F"/>
    <w:rsid w:val="009675E3"/>
    <w:rsid w:val="00994329"/>
    <w:rsid w:val="009C069B"/>
    <w:rsid w:val="00A02756"/>
    <w:rsid w:val="00A41506"/>
    <w:rsid w:val="00A71EF0"/>
    <w:rsid w:val="00A72088"/>
    <w:rsid w:val="00AA1A8A"/>
    <w:rsid w:val="00AF5364"/>
    <w:rsid w:val="00B72615"/>
    <w:rsid w:val="00B74D6D"/>
    <w:rsid w:val="00B82568"/>
    <w:rsid w:val="00B958CE"/>
    <w:rsid w:val="00BB7494"/>
    <w:rsid w:val="00BE0F56"/>
    <w:rsid w:val="00BE2EEA"/>
    <w:rsid w:val="00C05929"/>
    <w:rsid w:val="00C3513E"/>
    <w:rsid w:val="00C4671E"/>
    <w:rsid w:val="00C737BB"/>
    <w:rsid w:val="00CC5571"/>
    <w:rsid w:val="00CF1AE3"/>
    <w:rsid w:val="00D31291"/>
    <w:rsid w:val="00D43987"/>
    <w:rsid w:val="00D60E2C"/>
    <w:rsid w:val="00D64AFE"/>
    <w:rsid w:val="00DA1631"/>
    <w:rsid w:val="00E1552D"/>
    <w:rsid w:val="00E176A6"/>
    <w:rsid w:val="00E24B95"/>
    <w:rsid w:val="00E3740D"/>
    <w:rsid w:val="00E8768D"/>
    <w:rsid w:val="00EB289A"/>
    <w:rsid w:val="00EC7918"/>
    <w:rsid w:val="00F30970"/>
    <w:rsid w:val="00F37567"/>
    <w:rsid w:val="00F542AC"/>
    <w:rsid w:val="00F569E7"/>
    <w:rsid w:val="00F67595"/>
    <w:rsid w:val="00F7669E"/>
    <w:rsid w:val="00F76E86"/>
    <w:rsid w:val="00F961D9"/>
    <w:rsid w:val="00FC0DF1"/>
    <w:rsid w:val="00FC46DD"/>
    <w:rsid w:val="00FF69F4"/>
    <w:rsid w:val="00FF6B2B"/>
    <w:rsid w:val="098136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等线" w:cs="Times New Roman"/>
      <w:lang w:val="en-US" w:eastAsia="zh-CN" w:bidi="ar-SA"/>
    </w:rPr>
  </w:style>
  <w:style w:type="paragraph" w:styleId="2">
    <w:name w:val="heading 1"/>
    <w:basedOn w:val="1"/>
    <w:next w:val="1"/>
    <w:link w:val="21"/>
    <w:qFormat/>
    <w:uiPriority w:val="9"/>
    <w:pPr>
      <w:tabs>
        <w:tab w:val="left" w:pos="630"/>
        <w:tab w:val="left" w:pos="1274"/>
      </w:tabs>
      <w:snapToGrid w:val="0"/>
      <w:spacing w:beforeLines="100" w:afterLines="50"/>
      <w:jc w:val="both"/>
      <w:outlineLvl w:val="0"/>
    </w:pPr>
    <w:rPr>
      <w:b/>
      <w:bCs/>
      <w:sz w:val="36"/>
      <w:szCs w:val="36"/>
    </w:rPr>
  </w:style>
  <w:style w:type="paragraph" w:styleId="3">
    <w:name w:val="heading 2"/>
    <w:basedOn w:val="1"/>
    <w:next w:val="1"/>
    <w:link w:val="23"/>
    <w:unhideWhenUsed/>
    <w:qFormat/>
    <w:uiPriority w:val="9"/>
    <w:pPr>
      <w:tabs>
        <w:tab w:val="left" w:pos="851"/>
      </w:tabs>
      <w:snapToGrid w:val="0"/>
      <w:spacing w:beforeLines="100" w:afterLines="50"/>
      <w:ind w:left="426" w:leftChars="213"/>
      <w:jc w:val="both"/>
      <w:outlineLvl w:val="1"/>
    </w:pPr>
    <w:rPr>
      <w:b/>
      <w:bCs/>
      <w:sz w:val="32"/>
      <w:szCs w:val="32"/>
    </w:rPr>
  </w:style>
  <w:style w:type="paragraph" w:styleId="4">
    <w:name w:val="heading 3"/>
    <w:basedOn w:val="5"/>
    <w:next w:val="1"/>
    <w:link w:val="24"/>
    <w:unhideWhenUsed/>
    <w:qFormat/>
    <w:uiPriority w:val="9"/>
    <w:pPr>
      <w:tabs>
        <w:tab w:val="left" w:pos="993"/>
      </w:tabs>
      <w:spacing w:beforeLines="100" w:afterLines="50"/>
      <w:ind w:left="566" w:leftChars="283"/>
      <w:outlineLvl w:val="2"/>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Times New Roman" w:hAnsi="Times New Roman" w:eastAsia="等线" w:cs="Times New Roman"/>
      <w:color w:val="000000"/>
      <w:sz w:val="24"/>
      <w:szCs w:val="24"/>
      <w:lang w:val="en-US" w:eastAsia="zh-CN" w:bidi="ar-SA"/>
    </w:rPr>
  </w:style>
  <w:style w:type="paragraph" w:styleId="6">
    <w:name w:val="annotation text"/>
    <w:basedOn w:val="1"/>
    <w:link w:val="25"/>
    <w:semiHidden/>
    <w:unhideWhenUsed/>
    <w:qFormat/>
    <w:uiPriority w:val="99"/>
  </w:style>
  <w:style w:type="paragraph" w:styleId="7">
    <w:name w:val="toc 3"/>
    <w:basedOn w:val="1"/>
    <w:next w:val="1"/>
    <w:autoRedefine/>
    <w:unhideWhenUsed/>
    <w:qFormat/>
    <w:uiPriority w:val="39"/>
    <w:pPr>
      <w:tabs>
        <w:tab w:val="left" w:pos="1134"/>
        <w:tab w:val="right" w:leader="dot" w:pos="9062"/>
      </w:tabs>
      <w:ind w:left="708" w:leftChars="354"/>
    </w:pPr>
    <w:rPr>
      <w:rFonts w:eastAsia="宋体"/>
      <w:sz w:val="21"/>
    </w:rPr>
  </w:style>
  <w:style w:type="paragraph" w:styleId="8">
    <w:name w:val="Balloon Text"/>
    <w:basedOn w:val="1"/>
    <w:link w:val="2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6"/>
        <w:tab w:val="right" w:leader="dot" w:pos="9062"/>
      </w:tabs>
      <w:spacing w:beforeLines="50" w:afterLines="50"/>
    </w:pPr>
    <w:rPr>
      <w:rFonts w:eastAsia="宋体"/>
      <w:sz w:val="24"/>
    </w:rPr>
  </w:style>
  <w:style w:type="paragraph" w:styleId="12">
    <w:name w:val="footnote text"/>
    <w:basedOn w:val="1"/>
    <w:link w:val="22"/>
    <w:semiHidden/>
    <w:unhideWhenUsed/>
    <w:qFormat/>
    <w:uiPriority w:val="99"/>
    <w:pPr>
      <w:snapToGrid w:val="0"/>
    </w:pPr>
    <w:rPr>
      <w:sz w:val="18"/>
      <w:szCs w:val="18"/>
    </w:rPr>
  </w:style>
  <w:style w:type="paragraph" w:styleId="13">
    <w:name w:val="toc 2"/>
    <w:basedOn w:val="1"/>
    <w:next w:val="1"/>
    <w:autoRedefine/>
    <w:unhideWhenUsed/>
    <w:qFormat/>
    <w:uiPriority w:val="39"/>
    <w:pPr>
      <w:tabs>
        <w:tab w:val="left" w:pos="1134"/>
        <w:tab w:val="right" w:leader="dot" w:pos="9062"/>
      </w:tabs>
      <w:ind w:left="566" w:leftChars="283"/>
    </w:pPr>
    <w:rPr>
      <w:rFonts w:eastAsia="宋体"/>
      <w:sz w:val="21"/>
    </w:rPr>
  </w:style>
  <w:style w:type="character" w:styleId="16">
    <w:name w:val="Hyperlink"/>
    <w:unhideWhenUsed/>
    <w:qFormat/>
    <w:uiPriority w:val="99"/>
    <w:rPr>
      <w:color w:val="0563C1"/>
      <w:u w:val="single"/>
    </w:rPr>
  </w:style>
  <w:style w:type="character" w:styleId="17">
    <w:name w:val="annotation reference"/>
    <w:semiHidden/>
    <w:unhideWhenUsed/>
    <w:qFormat/>
    <w:uiPriority w:val="99"/>
    <w:rPr>
      <w:sz w:val="21"/>
      <w:szCs w:val="21"/>
    </w:rPr>
  </w:style>
  <w:style w:type="character" w:styleId="18">
    <w:name w:val="footnote reference"/>
    <w:semiHidden/>
    <w:unhideWhenUsed/>
    <w:qFormat/>
    <w:uiPriority w:val="99"/>
    <w:rPr>
      <w:vertAlign w:val="superscript"/>
    </w:rPr>
  </w:style>
  <w:style w:type="character" w:customStyle="1" w:styleId="19">
    <w:name w:val="页眉 字符"/>
    <w:link w:val="10"/>
    <w:qFormat/>
    <w:uiPriority w:val="99"/>
    <w:rPr>
      <w:rFonts w:ascii="Times New Roman" w:hAnsi="Times New Roman" w:cs="Times New Roman"/>
      <w:kern w:val="0"/>
      <w:sz w:val="18"/>
      <w:szCs w:val="18"/>
    </w:rPr>
  </w:style>
  <w:style w:type="character" w:customStyle="1" w:styleId="20">
    <w:name w:val="页脚 字符"/>
    <w:link w:val="9"/>
    <w:qFormat/>
    <w:uiPriority w:val="99"/>
    <w:rPr>
      <w:rFonts w:ascii="Times New Roman" w:hAnsi="Times New Roman" w:cs="Times New Roman"/>
      <w:kern w:val="0"/>
      <w:sz w:val="18"/>
      <w:szCs w:val="18"/>
    </w:rPr>
  </w:style>
  <w:style w:type="character" w:customStyle="1" w:styleId="21">
    <w:name w:val="标题 1 字符"/>
    <w:link w:val="2"/>
    <w:qFormat/>
    <w:uiPriority w:val="9"/>
    <w:rPr>
      <w:rFonts w:ascii="Times New Roman" w:hAnsi="Times New Roman" w:cs="Times New Roman"/>
      <w:b/>
      <w:bCs/>
      <w:kern w:val="0"/>
      <w:sz w:val="36"/>
      <w:szCs w:val="36"/>
    </w:rPr>
  </w:style>
  <w:style w:type="character" w:customStyle="1" w:styleId="22">
    <w:name w:val="脚注文本 字符"/>
    <w:link w:val="12"/>
    <w:semiHidden/>
    <w:qFormat/>
    <w:uiPriority w:val="99"/>
    <w:rPr>
      <w:rFonts w:ascii="Times New Roman" w:hAnsi="Times New Roman" w:cs="Times New Roman"/>
      <w:kern w:val="0"/>
      <w:sz w:val="18"/>
      <w:szCs w:val="18"/>
    </w:rPr>
  </w:style>
  <w:style w:type="character" w:customStyle="1" w:styleId="23">
    <w:name w:val="标题 2 字符"/>
    <w:link w:val="3"/>
    <w:qFormat/>
    <w:uiPriority w:val="9"/>
    <w:rPr>
      <w:rFonts w:ascii="Times New Roman" w:hAnsi="Times New Roman" w:cs="Times New Roman"/>
      <w:b/>
      <w:bCs/>
      <w:kern w:val="0"/>
      <w:sz w:val="32"/>
      <w:szCs w:val="32"/>
    </w:rPr>
  </w:style>
  <w:style w:type="character" w:customStyle="1" w:styleId="24">
    <w:name w:val="标题 3 字符"/>
    <w:link w:val="4"/>
    <w:qFormat/>
    <w:uiPriority w:val="9"/>
    <w:rPr>
      <w:rFonts w:ascii="Times New Roman" w:hAnsi="Times New Roman" w:cs="Times New Roman"/>
      <w:b/>
      <w:bCs/>
      <w:color w:val="000000"/>
      <w:kern w:val="0"/>
      <w:sz w:val="28"/>
      <w:szCs w:val="28"/>
    </w:rPr>
  </w:style>
  <w:style w:type="character" w:customStyle="1" w:styleId="25">
    <w:name w:val="批注文字 字符"/>
    <w:link w:val="6"/>
    <w:semiHidden/>
    <w:qFormat/>
    <w:uiPriority w:val="99"/>
    <w:rPr>
      <w:rFonts w:ascii="Times New Roman" w:hAnsi="Times New Roman" w:cs="Times New Roman"/>
      <w:kern w:val="0"/>
      <w:sz w:val="20"/>
      <w:szCs w:val="20"/>
    </w:rPr>
  </w:style>
  <w:style w:type="character" w:customStyle="1" w:styleId="26">
    <w:name w:val="批注框文本 字符"/>
    <w:link w:val="8"/>
    <w:semiHidden/>
    <w:qFormat/>
    <w:uiPriority w:val="99"/>
    <w:rPr>
      <w:rFonts w:ascii="Times New Roman" w:hAnsi="Times New Roman" w:cs="Times New Roman"/>
      <w:kern w:val="0"/>
      <w:sz w:val="18"/>
      <w:szCs w:val="18"/>
    </w:rPr>
  </w:style>
  <w:style w:type="paragraph" w:customStyle="1" w:styleId="27">
    <w:name w:val="Revision"/>
    <w:hidden/>
    <w:semiHidden/>
    <w:qFormat/>
    <w:uiPriority w:val="99"/>
    <w:rPr>
      <w:rFonts w:ascii="Times New Roman" w:hAnsi="Times New Roman" w:eastAsia="等线"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7A57-0A90-4378-A778-69FECA51BDB4}">
  <ds:schemaRefs/>
</ds:datastoreItem>
</file>

<file path=customXml/itemProps2.xml><?xml version="1.0" encoding="utf-8"?>
<ds:datastoreItem xmlns:ds="http://schemas.openxmlformats.org/officeDocument/2006/customXml" ds:itemID="{DE14E5D9-9BB0-4980-91B6-D70333BBF3E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11436</Words>
  <Characters>12455</Characters>
  <Lines>98</Lines>
  <Paragraphs>27</Paragraphs>
  <TotalTime>22</TotalTime>
  <ScaleCrop>false</ScaleCrop>
  <LinksUpToDate>false</LinksUpToDate>
  <CharactersWithSpaces>12597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2022-03-21T02:42:00Z</dcterms:created>
  <dc:creator>CDRH</dc:creator>
  <cp:lastModifiedBy>太极箫客</cp:lastModifiedBy>
  <dcterms:modified xsi:type="dcterms:W3CDTF">2025-08-14T06:35:41Z</dcterms:modified>
  <dc:title>Coronary, Peripheral, and Neurovascular Guidewires - Performance Tests and Recommended Labeling - Guidance for Industry and Food and Drug Administration Staff</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700A38D56BD643B48F1365643E4B0ACF_12</vt:lpwstr>
  </property>
</Properties>
</file>