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67A2E">
      <w:pPr>
        <w:spacing w:line="360" w:lineRule="auto"/>
        <w:jc w:val="center"/>
        <w:rPr>
          <w:rFonts w:ascii="方正小标宋简体" w:hAnsi="宋体" w:eastAsia="方正小标宋简体" w:cs="Times New Roman"/>
          <w:bCs/>
          <w:sz w:val="44"/>
          <w:szCs w:val="44"/>
        </w:rPr>
      </w:pPr>
      <w:bookmarkStart w:id="3" w:name="_GoBack"/>
      <w:bookmarkEnd w:id="3"/>
      <w:r>
        <w:rPr>
          <w:rFonts w:hint="eastAsia" w:ascii="方正小标宋简体" w:hAnsi="宋体" w:eastAsia="方正小标宋简体" w:cs="Times New Roman"/>
          <w:bCs/>
          <w:sz w:val="44"/>
          <w:szCs w:val="44"/>
        </w:rPr>
        <w:t>关节镜下无源手术器械产品注册技术审查</w:t>
      </w:r>
    </w:p>
    <w:p w14:paraId="6838863E">
      <w:pPr>
        <w:spacing w:line="360" w:lineRule="auto"/>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指导原则（征求意见稿）</w:t>
      </w:r>
    </w:p>
    <w:p w14:paraId="69C10BC6">
      <w:pPr>
        <w:spacing w:line="360" w:lineRule="auto"/>
        <w:jc w:val="center"/>
        <w:rPr>
          <w:rFonts w:ascii="仿宋_GB2312" w:hAnsi="宋体" w:eastAsia="仿宋_GB2312" w:cs="Times New Roman"/>
          <w:bCs/>
          <w:sz w:val="44"/>
          <w:szCs w:val="44"/>
        </w:rPr>
      </w:pPr>
    </w:p>
    <w:p w14:paraId="42D2BB3A">
      <w:pPr>
        <w:spacing w:line="560" w:lineRule="exact"/>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本指导原则旨在指导和规范关节镜下无源手术器械产品的技术审评工作，帮助审评人员理解和掌握该类产品原理/机理、结构、性能、预期用途等内容，把握技术审评工作基本要求和尺度，对产品安全性、有效性作出系统评价。</w:t>
      </w:r>
    </w:p>
    <w:p w14:paraId="5D42D777">
      <w:pPr>
        <w:spacing w:line="560" w:lineRule="exact"/>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本指导原则所确定的核心内容是在目前的科技认识水平和现有产品技术基础上形成的。因此，审评人员应注意其适宜性，密切关注适用标准及相关技术的最新进展，考虑产品的更新和变化。</w:t>
      </w:r>
    </w:p>
    <w:p w14:paraId="43FDB6C2">
      <w:pPr>
        <w:spacing w:line="560" w:lineRule="exact"/>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本指导原则不作为法规强制执行，不包括行政审批要求。但是，审评人员需密切关注相关法规的变化，以确认申报产品是否符合法规要求。</w:t>
      </w:r>
    </w:p>
    <w:p w14:paraId="1AC04C68">
      <w:pPr>
        <w:spacing w:line="520" w:lineRule="exact"/>
        <w:ind w:right="-67" w:rightChars="-32" w:firstLine="600" w:firstLineChars="200"/>
        <w:rPr>
          <w:rFonts w:ascii="黑体" w:hAnsi="黑体" w:eastAsia="黑体"/>
          <w:sz w:val="30"/>
          <w:szCs w:val="30"/>
        </w:rPr>
      </w:pPr>
      <w:r>
        <w:rPr>
          <w:rFonts w:hint="eastAsia" w:ascii="黑体" w:hAnsi="黑体" w:eastAsia="黑体"/>
          <w:sz w:val="30"/>
          <w:szCs w:val="30"/>
        </w:rPr>
        <w:t>一、适用范围</w:t>
      </w:r>
    </w:p>
    <w:p w14:paraId="319AFA2F">
      <w:pPr>
        <w:spacing w:line="520" w:lineRule="exact"/>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本指导原则适用于第二类关节镜下无源手术器械。一般包括：关节镜用手术刮匙、关节镜配套手术器械、膝关节内窥镜手术器械等。</w:t>
      </w:r>
    </w:p>
    <w:p w14:paraId="5E7866A8">
      <w:pPr>
        <w:spacing w:line="520" w:lineRule="exact"/>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本指导原则不适用于脊柱内窥镜下手术器械、椎间孔镜手术器械。</w:t>
      </w:r>
    </w:p>
    <w:p w14:paraId="2E3A58FA">
      <w:pPr>
        <w:spacing w:line="520" w:lineRule="exact"/>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依据《医疗器械分类目录</w:t>
      </w:r>
      <w:r>
        <w:rPr>
          <w:rFonts w:hint="eastAsia" w:ascii="仿宋_GB2312" w:hAnsi="仿宋" w:eastAsia="仿宋_GB2312"/>
          <w:sz w:val="32"/>
          <w:szCs w:val="32"/>
        </w:rPr>
        <w:t>（2002年版）</w:t>
      </w:r>
      <w:r>
        <w:rPr>
          <w:rFonts w:hint="eastAsia" w:ascii="仿宋_GB2312" w:hAnsi="Times New Roman" w:eastAsia="仿宋_GB2312" w:cs="Times New Roman"/>
          <w:sz w:val="32"/>
          <w:szCs w:val="20"/>
        </w:rPr>
        <w:t>》，关节镜下无源手术器械管理类别为II类，产品类代号为6810。</w:t>
      </w:r>
      <w:r>
        <w:rPr>
          <w:rFonts w:hint="eastAsia" w:ascii="仿宋_GB2312" w:hAnsi="仿宋" w:eastAsia="仿宋_GB2312"/>
          <w:sz w:val="32"/>
          <w:szCs w:val="32"/>
        </w:rPr>
        <w:t>产品在《医疗器械分类目录（2017年版）》中管理类别为II类</w:t>
      </w:r>
      <w:r>
        <w:rPr>
          <w:rFonts w:hint="eastAsia" w:ascii="仿宋_GB2312" w:hAnsi="Times New Roman" w:eastAsia="仿宋_GB2312" w:cs="Times New Roman"/>
          <w:sz w:val="32"/>
          <w:szCs w:val="20"/>
        </w:rPr>
        <w:t>,子目录为04骨科手术器械</w:t>
      </w:r>
      <w:r>
        <w:rPr>
          <w:rFonts w:hint="eastAsia" w:ascii="仿宋_GB2312" w:hAnsi="仿宋" w:eastAsia="仿宋_GB2312"/>
          <w:sz w:val="32"/>
          <w:szCs w:val="32"/>
        </w:rPr>
        <w:t>。</w:t>
      </w:r>
    </w:p>
    <w:p w14:paraId="0F57A91A">
      <w:pPr>
        <w:spacing w:line="520" w:lineRule="exact"/>
        <w:ind w:right="-67" w:rightChars="-32" w:firstLine="640" w:firstLineChars="200"/>
        <w:rPr>
          <w:rFonts w:ascii="黑体" w:hAnsi="黑体" w:eastAsia="黑体"/>
          <w:sz w:val="32"/>
          <w:szCs w:val="32"/>
        </w:rPr>
      </w:pPr>
      <w:r>
        <w:rPr>
          <w:rFonts w:hint="eastAsia" w:ascii="黑体" w:hAnsi="黑体" w:eastAsia="黑体"/>
          <w:sz w:val="32"/>
          <w:szCs w:val="32"/>
        </w:rPr>
        <w:t>二、注册申报资料要求</w:t>
      </w:r>
    </w:p>
    <w:p w14:paraId="4897C20A">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（一）产品名称的要求</w:t>
      </w:r>
    </w:p>
    <w:p w14:paraId="4834A725">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关节镜下无源手术器械的命名应符合《医疗器械通用名称命名规则》的要求，可参考《医疗器械分类目录》、国家标准、行业标准上的通用名称进行命名。</w:t>
      </w:r>
    </w:p>
    <w:p w14:paraId="0E87889B">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关节镜下无源手术器械的名称可按作用对象和预期用途等方式来命名，如膝关节镜用手术抓钳、膝关节半圆型锉、关节镜下鸟嘴钳等。</w:t>
      </w:r>
    </w:p>
    <w:p w14:paraId="33A519ED">
      <w:pPr>
        <w:adjustRightInd w:val="0"/>
        <w:snapToGrid w:val="0"/>
        <w:spacing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关节镜下无源手术器械包类产品以体现产品组成、功能用途为基本原则，由多种类别器械组成，一般应以其主要预期用途来命名，如髋关节内窥镜手术器械包。</w:t>
      </w:r>
    </w:p>
    <w:p w14:paraId="7EDC877A">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（二）产品的结构组成</w:t>
      </w:r>
    </w:p>
    <w:p w14:paraId="508C6F96">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关节镜下无源手术器械应明确产品结构组成，采用图示方式表述产品各组成部分，并明确所用材料。</w:t>
      </w:r>
    </w:p>
    <w:p w14:paraId="2910F34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下无源手术器械包类产品由多组件器械产品组成，应明确每个组件的名称。组件可以是外购的具有医疗器械注册证的产品，也可以是尚未注册的医疗器械产品，但其安全有效性要求应与单独注册该组件基本一致。</w:t>
      </w:r>
    </w:p>
    <w:p w14:paraId="5DE0137D">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rPr>
        <w:t>常见产品举例如下：</w:t>
      </w:r>
    </w:p>
    <w:p w14:paraId="7EB6DBF1">
      <w:pPr>
        <w:spacing w:line="480" w:lineRule="auto"/>
        <w:rPr>
          <w:rFonts w:ascii="仿宋_GB2312" w:hAnsi="Times New Roman" w:eastAsia="仿宋_GB2312" w:cs="Times New Roma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4"/>
        <w:gridCol w:w="4266"/>
      </w:tblGrid>
      <w:tr w14:paraId="74D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0" w:type="auto"/>
            <w:tcBorders>
              <w:top w:val="nil"/>
              <w:left w:val="nil"/>
              <w:bottom w:val="nil"/>
              <w:right w:val="nil"/>
            </w:tcBorders>
            <w:vAlign w:val="center"/>
          </w:tcPr>
          <w:p w14:paraId="5AB7F3B4">
            <w:pPr>
              <w:spacing w:line="480" w:lineRule="auto"/>
              <w:jc w:val="center"/>
              <w:rPr>
                <w:rFonts w:ascii="仿宋_GB2312" w:hAnsi="Times New Roman" w:eastAsia="仿宋_GB2312" w:cs="Times New Roman"/>
              </w:rPr>
            </w:pPr>
            <w:r>
              <w:rPr>
                <w:rFonts w:hint="eastAsia" w:ascii="仿宋_GB2312" w:hAnsi="Times New Roman" w:eastAsia="仿宋_GB2312" w:cs="Times New Roman"/>
              </w:rPr>
              <w:drawing>
                <wp:inline distT="0" distB="0" distL="0" distR="0">
                  <wp:extent cx="2362200" cy="1315085"/>
                  <wp:effectExtent l="0" t="0" r="0" b="0"/>
                  <wp:docPr id="4" name="Picture 5" descr="C:\Users\jackzh\Desktop\shoulder instrument\Rendering\Tissue gras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jackzh\Desktop\shoulder instrument\Rendering\Tissue grasp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96723" cy="1334425"/>
                          </a:xfrm>
                          <a:prstGeom prst="rect">
                            <a:avLst/>
                          </a:prstGeom>
                          <a:noFill/>
                        </pic:spPr>
                      </pic:pic>
                    </a:graphicData>
                  </a:graphic>
                </wp:inline>
              </w:drawing>
            </w:r>
          </w:p>
          <w:p w14:paraId="3B440533">
            <w:pPr>
              <w:spacing w:line="480" w:lineRule="auto"/>
              <w:jc w:val="center"/>
              <w:rPr>
                <w:rFonts w:ascii="仿宋_GB2312" w:hAnsi="Times New Roman" w:eastAsia="仿宋_GB2312" w:cs="Times New Roman"/>
              </w:rPr>
            </w:pPr>
            <w:r>
              <w:rPr>
                <w:rFonts w:hint="eastAsia" w:ascii="仿宋_GB2312" w:hAnsi="仿宋" w:eastAsia="仿宋_GB2312" w:cs="Times New Roman"/>
                <w:sz w:val="28"/>
                <w:szCs w:val="28"/>
              </w:rPr>
              <w:t>关节镜用软组织抓钳</w:t>
            </w:r>
          </w:p>
        </w:tc>
        <w:tc>
          <w:tcPr>
            <w:tcW w:w="0" w:type="auto"/>
            <w:tcBorders>
              <w:top w:val="nil"/>
              <w:left w:val="nil"/>
              <w:bottom w:val="nil"/>
              <w:right w:val="nil"/>
            </w:tcBorders>
            <w:vAlign w:val="center"/>
          </w:tcPr>
          <w:p w14:paraId="0E5361F7">
            <w:pPr>
              <w:spacing w:line="480" w:lineRule="auto"/>
              <w:jc w:val="center"/>
              <w:rPr>
                <w:rFonts w:ascii="仿宋_GB2312" w:hAnsi="Times New Roman" w:eastAsia="仿宋_GB2312" w:cs="Times New Roman"/>
              </w:rPr>
            </w:pPr>
            <w:r>
              <w:rPr>
                <w:rFonts w:hint="eastAsia" w:ascii="仿宋_GB2312" w:hAnsi="Times New Roman" w:eastAsia="仿宋_GB2312" w:cs="Times New Roman"/>
              </w:rPr>
              <w:drawing>
                <wp:inline distT="0" distB="0" distL="0" distR="0">
                  <wp:extent cx="2571750" cy="1234440"/>
                  <wp:effectExtent l="0" t="0" r="0" b="3810"/>
                  <wp:docPr id="1026" name="Picture 2" descr="C:\Users\jackzh\Desktop\shoulder instrument\Rendering\Suture Cu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jackzh\Desktop\shoulder instrument\Rendering\Suture Cutt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20869" cy="1257963"/>
                          </a:xfrm>
                          <a:prstGeom prst="rect">
                            <a:avLst/>
                          </a:prstGeom>
                          <a:noFill/>
                        </pic:spPr>
                      </pic:pic>
                    </a:graphicData>
                  </a:graphic>
                </wp:inline>
              </w:drawing>
            </w:r>
          </w:p>
          <w:p w14:paraId="2A5BDDD2">
            <w:pPr>
              <w:spacing w:line="480" w:lineRule="auto"/>
              <w:jc w:val="center"/>
              <w:rPr>
                <w:rFonts w:ascii="仿宋_GB2312" w:hAnsi="Times New Roman" w:eastAsia="仿宋_GB2312" w:cs="Times New Roman"/>
              </w:rPr>
            </w:pPr>
            <w:r>
              <w:rPr>
                <w:rFonts w:hint="eastAsia" w:ascii="仿宋_GB2312" w:hAnsi="仿宋" w:eastAsia="仿宋_GB2312" w:cs="Times New Roman"/>
                <w:sz w:val="28"/>
                <w:szCs w:val="28"/>
              </w:rPr>
              <w:t>关节镜用线剪</w:t>
            </w:r>
          </w:p>
        </w:tc>
      </w:tr>
      <w:tr w14:paraId="3D2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0" w:type="auto"/>
            <w:tcBorders>
              <w:top w:val="nil"/>
              <w:left w:val="nil"/>
              <w:bottom w:val="nil"/>
              <w:right w:val="nil"/>
            </w:tcBorders>
            <w:vAlign w:val="center"/>
          </w:tcPr>
          <w:p w14:paraId="7FE5D47D">
            <w:pPr>
              <w:spacing w:line="480" w:lineRule="auto"/>
              <w:jc w:val="center"/>
              <w:rPr>
                <w:rFonts w:ascii="仿宋_GB2312" w:hAnsi="Times New Roman" w:eastAsia="仿宋_GB2312" w:cs="Times New Roman"/>
              </w:rPr>
            </w:pPr>
            <w:r>
              <w:rPr>
                <w:rFonts w:hint="eastAsia" w:ascii="仿宋_GB2312" w:hAnsi="Times New Roman" w:eastAsia="仿宋_GB2312" w:cs="Times New Roman"/>
              </w:rPr>
              <w:drawing>
                <wp:inline distT="0" distB="0" distL="0" distR="0">
                  <wp:extent cx="2428240" cy="1351915"/>
                  <wp:effectExtent l="0" t="0" r="0" b="635"/>
                  <wp:docPr id="1028" name="Picture 4" descr="C:\Users\jackzh\Desktop\shoulder instrument\Rendering\Suture Passer 45 d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jackzh\Desktop\shoulder instrument\Rendering\Suture Passer 45 de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43678" cy="1360569"/>
                          </a:xfrm>
                          <a:prstGeom prst="rect">
                            <a:avLst/>
                          </a:prstGeom>
                          <a:noFill/>
                        </pic:spPr>
                      </pic:pic>
                    </a:graphicData>
                  </a:graphic>
                </wp:inline>
              </w:drawing>
            </w:r>
          </w:p>
          <w:p w14:paraId="4845ACD2">
            <w:pPr>
              <w:spacing w:line="480" w:lineRule="auto"/>
              <w:jc w:val="center"/>
              <w:rPr>
                <w:rFonts w:ascii="仿宋_GB2312" w:hAnsi="仿宋" w:eastAsia="仿宋_GB2312" w:cs="Times New Roman"/>
                <w:sz w:val="28"/>
                <w:szCs w:val="28"/>
              </w:rPr>
            </w:pPr>
            <w:r>
              <w:rPr>
                <w:rFonts w:hint="eastAsia" w:ascii="仿宋_GB2312" w:hAnsi="仿宋" w:eastAsia="仿宋_GB2312" w:cs="Times New Roman"/>
                <w:sz w:val="28"/>
                <w:szCs w:val="28"/>
              </w:rPr>
              <w:t>关节镜用穿线钳</w:t>
            </w:r>
          </w:p>
          <w:p w14:paraId="1609B3EC">
            <w:pPr>
              <w:spacing w:line="480" w:lineRule="auto"/>
              <w:jc w:val="center"/>
              <w:rPr>
                <w:rFonts w:ascii="仿宋_GB2312" w:hAnsi="Times New Roman" w:eastAsia="仿宋_GB2312" w:cs="Times New Roman"/>
              </w:rPr>
            </w:pPr>
          </w:p>
        </w:tc>
        <w:tc>
          <w:tcPr>
            <w:tcW w:w="0" w:type="auto"/>
            <w:tcBorders>
              <w:top w:val="nil"/>
              <w:left w:val="nil"/>
              <w:bottom w:val="nil"/>
              <w:right w:val="nil"/>
            </w:tcBorders>
            <w:vAlign w:val="center"/>
          </w:tcPr>
          <w:p w14:paraId="30F2028A">
            <w:pPr>
              <w:spacing w:line="480" w:lineRule="auto"/>
              <w:jc w:val="center"/>
              <w:rPr>
                <w:rFonts w:ascii="仿宋_GB2312" w:hAnsi="Times New Roman" w:eastAsia="仿宋_GB2312" w:cs="Times New Roman"/>
              </w:rPr>
            </w:pPr>
            <w:r>
              <w:rPr>
                <w:rFonts w:hint="eastAsia" w:ascii="仿宋_GB2312" w:hAnsi="Times New Roman" w:eastAsia="仿宋_GB2312" w:cs="Times New Roman"/>
              </w:rPr>
              <w:drawing>
                <wp:inline distT="0" distB="0" distL="0" distR="0">
                  <wp:extent cx="2439035" cy="1357630"/>
                  <wp:effectExtent l="0" t="0" r="0" b="0"/>
                  <wp:docPr id="1030" name="Picture 6" descr="C:\Users\jackzh\Desktop\shoulder instrument\Rendering\Crochet H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jackzh\Desktop\shoulder instrument\Rendering\Crochet Ho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2657" cy="1376703"/>
                          </a:xfrm>
                          <a:prstGeom prst="rect">
                            <a:avLst/>
                          </a:prstGeom>
                          <a:noFill/>
                        </pic:spPr>
                      </pic:pic>
                    </a:graphicData>
                  </a:graphic>
                </wp:inline>
              </w:drawing>
            </w:r>
          </w:p>
          <w:p w14:paraId="45D8FE4F">
            <w:pPr>
              <w:spacing w:line="480" w:lineRule="auto"/>
              <w:jc w:val="center"/>
              <w:rPr>
                <w:rFonts w:ascii="仿宋_GB2312" w:hAnsi="Times New Roman" w:eastAsia="仿宋_GB2312" w:cs="Times New Roman"/>
              </w:rPr>
            </w:pPr>
            <w:r>
              <w:rPr>
                <w:rFonts w:hint="eastAsia" w:ascii="仿宋_GB2312" w:hAnsi="仿宋" w:eastAsia="仿宋_GB2312" w:cs="Times New Roman"/>
                <w:sz w:val="28"/>
                <w:szCs w:val="28"/>
              </w:rPr>
              <w:t>关节镜用缝线钩</w:t>
            </w:r>
          </w:p>
        </w:tc>
      </w:tr>
      <w:tr w14:paraId="521D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0" w:type="auto"/>
            <w:tcBorders>
              <w:top w:val="nil"/>
              <w:left w:val="nil"/>
              <w:bottom w:val="nil"/>
              <w:right w:val="nil"/>
            </w:tcBorders>
            <w:vAlign w:val="center"/>
          </w:tcPr>
          <w:p w14:paraId="1495E439">
            <w:pPr>
              <w:spacing w:line="480" w:lineRule="auto"/>
              <w:jc w:val="center"/>
              <w:rPr>
                <w:rFonts w:ascii="仿宋_GB2312" w:hAnsi="Times New Roman" w:eastAsia="仿宋_GB2312" w:cs="Times New Roman"/>
              </w:rPr>
            </w:pPr>
            <w:r>
              <w:rPr>
                <w:rFonts w:hint="eastAsia" w:ascii="仿宋_GB2312" w:hAnsi="Times New Roman" w:eastAsia="仿宋_GB2312" w:cs="Times New Roman"/>
              </w:rPr>
              <w:drawing>
                <wp:inline distT="0" distB="0" distL="0" distR="0">
                  <wp:extent cx="2311400" cy="1337945"/>
                  <wp:effectExtent l="0" t="0" r="0" b="0"/>
                  <wp:docPr id="2050" name="Picture 2" descr="C:\Users\jackzh\Desktop\shoulder instrument\Rendering\Glenoid 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jackzh\Desktop\shoulder instrument\Rendering\Glenoid Ras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54662" cy="1362912"/>
                          </a:xfrm>
                          <a:prstGeom prst="rect">
                            <a:avLst/>
                          </a:prstGeom>
                          <a:noFill/>
                        </pic:spPr>
                      </pic:pic>
                    </a:graphicData>
                  </a:graphic>
                </wp:inline>
              </w:drawing>
            </w:r>
          </w:p>
          <w:p w14:paraId="0AF27DEB">
            <w:pPr>
              <w:spacing w:line="480" w:lineRule="auto"/>
              <w:jc w:val="center"/>
              <w:rPr>
                <w:rFonts w:ascii="仿宋_GB2312" w:hAnsi="Times New Roman" w:eastAsia="仿宋_GB2312" w:cs="Times New Roman"/>
              </w:rPr>
            </w:pPr>
            <w:r>
              <w:rPr>
                <w:rFonts w:hint="eastAsia" w:ascii="仿宋_GB2312" w:hAnsi="仿宋" w:eastAsia="仿宋_GB2312" w:cs="Times New Roman"/>
                <w:sz w:val="28"/>
                <w:szCs w:val="28"/>
              </w:rPr>
              <w:t>关节镜用手术骨锉</w:t>
            </w:r>
          </w:p>
        </w:tc>
        <w:tc>
          <w:tcPr>
            <w:tcW w:w="0" w:type="auto"/>
            <w:tcBorders>
              <w:top w:val="nil"/>
              <w:left w:val="nil"/>
              <w:bottom w:val="nil"/>
              <w:right w:val="nil"/>
            </w:tcBorders>
            <w:vAlign w:val="center"/>
          </w:tcPr>
          <w:p w14:paraId="6DBD1239">
            <w:pPr>
              <w:spacing w:line="480" w:lineRule="auto"/>
              <w:jc w:val="center"/>
              <w:rPr>
                <w:rFonts w:ascii="仿宋_GB2312" w:hAnsi="Times New Roman" w:eastAsia="仿宋_GB2312" w:cs="Times New Roman"/>
              </w:rPr>
            </w:pPr>
            <w:r>
              <w:rPr>
                <w:rFonts w:hint="eastAsia" w:ascii="仿宋_GB2312" w:hAnsi="Times New Roman" w:eastAsia="仿宋_GB2312" w:cs="Times New Roman"/>
              </w:rPr>
              <w:drawing>
                <wp:inline distT="0" distB="0" distL="0" distR="0">
                  <wp:extent cx="2469515" cy="1374775"/>
                  <wp:effectExtent l="0" t="0" r="0" b="0"/>
                  <wp:docPr id="2052" name="Picture 4" descr="C:\Users\jackzh\Desktop\shoulder instrument\Rendering\Tissue Elev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jackzh\Desktop\shoulder instrument\Rendering\Tissue Elevat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10800000">
                            <a:off x="0" y="0"/>
                            <a:ext cx="2470077" cy="1375267"/>
                          </a:xfrm>
                          <a:prstGeom prst="rect">
                            <a:avLst/>
                          </a:prstGeom>
                          <a:noFill/>
                        </pic:spPr>
                      </pic:pic>
                    </a:graphicData>
                  </a:graphic>
                </wp:inline>
              </w:drawing>
            </w:r>
          </w:p>
          <w:p w14:paraId="6D9F68AE">
            <w:pPr>
              <w:spacing w:line="480" w:lineRule="auto"/>
              <w:jc w:val="center"/>
              <w:rPr>
                <w:rFonts w:ascii="仿宋_GB2312" w:hAnsi="Times New Roman" w:eastAsia="仿宋_GB2312" w:cs="Times New Roman"/>
              </w:rPr>
            </w:pPr>
            <w:r>
              <w:rPr>
                <w:rFonts w:hint="eastAsia" w:ascii="仿宋_GB2312" w:hAnsi="仿宋" w:eastAsia="仿宋_GB2312" w:cs="Times New Roman"/>
                <w:sz w:val="28"/>
                <w:szCs w:val="28"/>
              </w:rPr>
              <w:t>关节镜用软组织撬</w:t>
            </w:r>
          </w:p>
        </w:tc>
      </w:tr>
      <w:tr w14:paraId="6FD6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0" w:type="auto"/>
            <w:tcBorders>
              <w:top w:val="nil"/>
              <w:left w:val="nil"/>
              <w:bottom w:val="nil"/>
              <w:right w:val="nil"/>
            </w:tcBorders>
            <w:vAlign w:val="center"/>
          </w:tcPr>
          <w:p w14:paraId="4BBE35D0">
            <w:pPr>
              <w:spacing w:line="480" w:lineRule="auto"/>
              <w:jc w:val="center"/>
              <w:rPr>
                <w:rFonts w:ascii="仿宋_GB2312" w:hAnsi="Times New Roman" w:eastAsia="仿宋_GB2312" w:cs="Times New Roman"/>
              </w:rPr>
            </w:pPr>
            <w:r>
              <w:rPr>
                <w:rFonts w:hint="eastAsia" w:ascii="仿宋_GB2312" w:hAnsi="Times New Roman" w:eastAsia="仿宋_GB2312" w:cs="Times New Roman"/>
              </w:rPr>
              <w:drawing>
                <wp:inline distT="0" distB="0" distL="0" distR="0">
                  <wp:extent cx="2421255" cy="1348105"/>
                  <wp:effectExtent l="0" t="0" r="0" b="4445"/>
                  <wp:docPr id="5" name="Picture 3" descr="C:\Users\jackzh\Desktop\shoulder instrument\Rendering\Knot pus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jackzh\Desktop\shoulder instrument\Rendering\Knot push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45757" cy="1361726"/>
                          </a:xfrm>
                          <a:prstGeom prst="rect">
                            <a:avLst/>
                          </a:prstGeom>
                          <a:noFill/>
                        </pic:spPr>
                      </pic:pic>
                    </a:graphicData>
                  </a:graphic>
                </wp:inline>
              </w:drawing>
            </w:r>
          </w:p>
          <w:p w14:paraId="0A9DD759">
            <w:pPr>
              <w:spacing w:line="480" w:lineRule="auto"/>
              <w:jc w:val="center"/>
              <w:rPr>
                <w:rFonts w:ascii="仿宋_GB2312" w:hAnsi="仿宋" w:eastAsia="仿宋_GB2312" w:cs="Times New Roman"/>
                <w:sz w:val="28"/>
                <w:szCs w:val="28"/>
              </w:rPr>
            </w:pPr>
            <w:r>
              <w:rPr>
                <w:rFonts w:hint="eastAsia" w:ascii="仿宋_GB2312" w:hAnsi="仿宋" w:eastAsia="仿宋_GB2312" w:cs="Times New Roman"/>
                <w:sz w:val="28"/>
                <w:szCs w:val="28"/>
              </w:rPr>
              <w:t>关节镜用推结器</w:t>
            </w:r>
          </w:p>
          <w:p w14:paraId="58D416D6">
            <w:pPr>
              <w:spacing w:line="480" w:lineRule="auto"/>
              <w:jc w:val="center"/>
              <w:rPr>
                <w:rFonts w:ascii="仿宋_GB2312" w:hAnsi="Times New Roman" w:eastAsia="仿宋_GB2312" w:cs="Times New Roman"/>
              </w:rPr>
            </w:pPr>
          </w:p>
        </w:tc>
        <w:tc>
          <w:tcPr>
            <w:tcW w:w="0" w:type="auto"/>
            <w:tcBorders>
              <w:top w:val="nil"/>
              <w:left w:val="nil"/>
              <w:bottom w:val="nil"/>
              <w:right w:val="nil"/>
            </w:tcBorders>
            <w:vAlign w:val="center"/>
          </w:tcPr>
          <w:p w14:paraId="5BFE6383">
            <w:pPr>
              <w:spacing w:line="480" w:lineRule="auto"/>
              <w:jc w:val="center"/>
              <w:rPr>
                <w:rFonts w:ascii="仿宋_GB2312" w:hAnsi="Times New Roman" w:eastAsia="仿宋_GB2312" w:cs="Times New Roman"/>
              </w:rPr>
            </w:pPr>
            <w:r>
              <w:rPr>
                <w:rFonts w:hint="eastAsia" w:ascii="仿宋_GB2312" w:eastAsia="仿宋_GB2312"/>
              </w:rPr>
              <w:drawing>
                <wp:inline distT="0" distB="0" distL="0" distR="0">
                  <wp:extent cx="711200" cy="136969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stretch>
                            <a:fillRect/>
                          </a:stretch>
                        </pic:blipFill>
                        <pic:spPr>
                          <a:xfrm>
                            <a:off x="0" y="0"/>
                            <a:ext cx="736683" cy="1419298"/>
                          </a:xfrm>
                          <a:prstGeom prst="rect">
                            <a:avLst/>
                          </a:prstGeom>
                        </pic:spPr>
                      </pic:pic>
                    </a:graphicData>
                  </a:graphic>
                </wp:inline>
              </w:drawing>
            </w:r>
          </w:p>
          <w:p w14:paraId="2C9BB27F">
            <w:pPr>
              <w:spacing w:line="480" w:lineRule="auto"/>
              <w:jc w:val="center"/>
              <w:rPr>
                <w:rFonts w:ascii="仿宋_GB2312" w:hAnsi="Times New Roman" w:eastAsia="仿宋_GB2312" w:cs="Times New Roman"/>
                <w:color w:val="FF0000"/>
              </w:rPr>
            </w:pPr>
            <w:r>
              <w:rPr>
                <w:rFonts w:hint="eastAsia" w:ascii="仿宋_GB2312" w:hAnsi="仿宋" w:eastAsia="仿宋_GB2312" w:cs="Times New Roman"/>
                <w:sz w:val="28"/>
                <w:szCs w:val="28"/>
              </w:rPr>
              <w:t>瞄准臂</w:t>
            </w:r>
          </w:p>
        </w:tc>
      </w:tr>
      <w:tr w14:paraId="19FB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0" w:type="auto"/>
            <w:tcBorders>
              <w:top w:val="nil"/>
              <w:left w:val="nil"/>
              <w:bottom w:val="nil"/>
              <w:right w:val="nil"/>
            </w:tcBorders>
            <w:vAlign w:val="center"/>
          </w:tcPr>
          <w:p w14:paraId="396519B2">
            <w:pPr>
              <w:spacing w:line="480" w:lineRule="auto"/>
              <w:jc w:val="center"/>
              <w:rPr>
                <w:rFonts w:ascii="仿宋_GB2312" w:hAnsi="仿宋" w:eastAsia="仿宋_GB2312" w:cs="Times New Roman"/>
                <w:sz w:val="28"/>
                <w:szCs w:val="28"/>
              </w:rPr>
            </w:pPr>
            <w:r>
              <w:rPr>
                <w:rFonts w:hint="eastAsia" w:ascii="仿宋_GB2312" w:eastAsia="仿宋_GB2312"/>
              </w:rPr>
              <w:drawing>
                <wp:inline distT="0" distB="0" distL="0" distR="0">
                  <wp:extent cx="1969135" cy="62230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cstate="print"/>
                          <a:stretch>
                            <a:fillRect/>
                          </a:stretch>
                        </pic:blipFill>
                        <pic:spPr>
                          <a:xfrm>
                            <a:off x="0" y="0"/>
                            <a:ext cx="1978393" cy="625143"/>
                          </a:xfrm>
                          <a:prstGeom prst="rect">
                            <a:avLst/>
                          </a:prstGeom>
                        </pic:spPr>
                      </pic:pic>
                    </a:graphicData>
                  </a:graphic>
                </wp:inline>
              </w:drawing>
            </w:r>
          </w:p>
          <w:p w14:paraId="01CECAB3">
            <w:pPr>
              <w:spacing w:line="480" w:lineRule="auto"/>
              <w:jc w:val="center"/>
              <w:rPr>
                <w:rFonts w:ascii="仿宋_GB2312" w:eastAsia="仿宋_GB2312"/>
              </w:rPr>
            </w:pPr>
            <w:r>
              <w:rPr>
                <w:rFonts w:hint="eastAsia" w:ascii="仿宋_GB2312" w:hAnsi="仿宋" w:eastAsia="仿宋_GB2312" w:cs="Times New Roman"/>
                <w:sz w:val="28"/>
                <w:szCs w:val="28"/>
              </w:rPr>
              <w:t>关节镜用胫骨定位钩</w:t>
            </w:r>
          </w:p>
        </w:tc>
        <w:tc>
          <w:tcPr>
            <w:tcW w:w="0" w:type="auto"/>
            <w:tcBorders>
              <w:top w:val="nil"/>
              <w:left w:val="nil"/>
              <w:bottom w:val="nil"/>
              <w:right w:val="nil"/>
            </w:tcBorders>
            <w:vAlign w:val="center"/>
          </w:tcPr>
          <w:p w14:paraId="6A1B6150">
            <w:pPr>
              <w:spacing w:line="480" w:lineRule="auto"/>
              <w:jc w:val="center"/>
              <w:rPr>
                <w:rFonts w:ascii="仿宋_GB2312" w:eastAsia="仿宋_GB2312"/>
              </w:rPr>
            </w:pPr>
            <w:r>
              <w:rPr>
                <w:rFonts w:hint="eastAsia" w:ascii="仿宋_GB2312" w:eastAsia="仿宋_GB2312"/>
              </w:rPr>
              <w:drawing>
                <wp:inline distT="0" distB="0" distL="0" distR="0">
                  <wp:extent cx="2060575" cy="450850"/>
                  <wp:effectExtent l="0" t="0" r="0"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4" cstate="print"/>
                          <a:stretch>
                            <a:fillRect/>
                          </a:stretch>
                        </pic:blipFill>
                        <pic:spPr>
                          <a:xfrm>
                            <a:off x="0" y="0"/>
                            <a:ext cx="2062301" cy="451129"/>
                          </a:xfrm>
                          <a:prstGeom prst="rect">
                            <a:avLst/>
                          </a:prstGeom>
                        </pic:spPr>
                      </pic:pic>
                    </a:graphicData>
                  </a:graphic>
                </wp:inline>
              </w:drawing>
            </w:r>
          </w:p>
          <w:p w14:paraId="502D0913">
            <w:pPr>
              <w:spacing w:line="480" w:lineRule="auto"/>
              <w:jc w:val="center"/>
              <w:rPr>
                <w:rFonts w:ascii="仿宋_GB2312" w:eastAsia="仿宋_GB2312"/>
              </w:rPr>
            </w:pPr>
            <w:r>
              <w:rPr>
                <w:rFonts w:hint="eastAsia" w:ascii="仿宋_GB2312" w:hAnsi="仿宋" w:eastAsia="仿宋_GB2312" w:cs="Times New Roman"/>
                <w:sz w:val="28"/>
                <w:szCs w:val="28"/>
              </w:rPr>
              <w:t>关节镜用后交叉韧带剥离器</w:t>
            </w:r>
          </w:p>
        </w:tc>
      </w:tr>
      <w:tr w14:paraId="3D1F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0" w:type="auto"/>
            <w:tcBorders>
              <w:top w:val="nil"/>
              <w:left w:val="nil"/>
              <w:bottom w:val="nil"/>
              <w:right w:val="nil"/>
            </w:tcBorders>
            <w:vAlign w:val="center"/>
          </w:tcPr>
          <w:p w14:paraId="3D1BEEB8">
            <w:pPr>
              <w:spacing w:line="480" w:lineRule="auto"/>
              <w:jc w:val="center"/>
              <w:rPr>
                <w:rFonts w:ascii="仿宋_GB2312" w:eastAsia="仿宋_GB2312"/>
              </w:rPr>
            </w:pPr>
          </w:p>
          <w:p w14:paraId="2CF07776">
            <w:pPr>
              <w:spacing w:line="480" w:lineRule="auto"/>
              <w:jc w:val="center"/>
              <w:rPr>
                <w:rFonts w:ascii="仿宋_GB2312" w:eastAsia="仿宋_GB2312"/>
              </w:rPr>
            </w:pPr>
            <w:r>
              <w:rPr>
                <w:rFonts w:hint="eastAsia" w:ascii="仿宋_GB2312" w:eastAsia="仿宋_GB2312"/>
              </w:rPr>
              <w:drawing>
                <wp:inline distT="0" distB="0" distL="0" distR="0">
                  <wp:extent cx="2330450" cy="1238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16554" cy="128965"/>
                          </a:xfrm>
                          <a:prstGeom prst="rect">
                            <a:avLst/>
                          </a:prstGeom>
                          <a:noFill/>
                          <a:ln>
                            <a:noFill/>
                          </a:ln>
                        </pic:spPr>
                      </pic:pic>
                    </a:graphicData>
                  </a:graphic>
                </wp:inline>
              </w:drawing>
            </w:r>
          </w:p>
          <w:p w14:paraId="50E8D197">
            <w:pPr>
              <w:spacing w:line="480" w:lineRule="auto"/>
              <w:jc w:val="center"/>
              <w:rPr>
                <w:rFonts w:ascii="仿宋_GB2312" w:eastAsia="仿宋_GB2312"/>
              </w:rPr>
            </w:pPr>
          </w:p>
          <w:p w14:paraId="73C28920">
            <w:pPr>
              <w:spacing w:line="480" w:lineRule="auto"/>
              <w:jc w:val="center"/>
              <w:rPr>
                <w:rFonts w:ascii="仿宋_GB2312" w:eastAsia="仿宋_GB2312"/>
              </w:rPr>
            </w:pPr>
            <w:r>
              <w:rPr>
                <w:rFonts w:hint="eastAsia" w:ascii="仿宋_GB2312" w:hAnsi="仿宋" w:eastAsia="仿宋_GB2312" w:cs="Times New Roman"/>
                <w:sz w:val="28"/>
                <w:szCs w:val="28"/>
              </w:rPr>
              <w:t>关节镜用股骨钻头</w:t>
            </w:r>
          </w:p>
        </w:tc>
        <w:tc>
          <w:tcPr>
            <w:tcW w:w="0" w:type="auto"/>
            <w:tcBorders>
              <w:top w:val="nil"/>
              <w:left w:val="nil"/>
              <w:bottom w:val="nil"/>
              <w:right w:val="nil"/>
            </w:tcBorders>
            <w:vAlign w:val="center"/>
          </w:tcPr>
          <w:p w14:paraId="617D83D1">
            <w:pPr>
              <w:spacing w:line="480" w:lineRule="auto"/>
              <w:jc w:val="center"/>
              <w:rPr>
                <w:rFonts w:ascii="仿宋_GB2312" w:eastAsia="仿宋_GB2312" w:hAnsiTheme="minorEastAsia"/>
                <w:sz w:val="20"/>
              </w:rPr>
            </w:pPr>
            <w:r>
              <w:rPr>
                <w:rFonts w:hint="eastAsia" w:ascii="仿宋_GB2312" w:eastAsia="仿宋_GB2312"/>
              </w:rPr>
              <w:drawing>
                <wp:inline distT="0" distB="0" distL="0" distR="0">
                  <wp:extent cx="2222500" cy="7810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6" cstate="print"/>
                          <a:stretch>
                            <a:fillRect/>
                          </a:stretch>
                        </pic:blipFill>
                        <pic:spPr>
                          <a:xfrm>
                            <a:off x="0" y="0"/>
                            <a:ext cx="2232403" cy="784530"/>
                          </a:xfrm>
                          <a:prstGeom prst="rect">
                            <a:avLst/>
                          </a:prstGeom>
                        </pic:spPr>
                      </pic:pic>
                    </a:graphicData>
                  </a:graphic>
                </wp:inline>
              </w:drawing>
            </w:r>
          </w:p>
          <w:p w14:paraId="545A2803">
            <w:pPr>
              <w:spacing w:line="480" w:lineRule="auto"/>
              <w:jc w:val="center"/>
              <w:rPr>
                <w:rFonts w:ascii="仿宋_GB2312" w:hAnsi="仿宋" w:eastAsia="仿宋_GB2312" w:cs="Times New Roman"/>
                <w:sz w:val="28"/>
                <w:szCs w:val="28"/>
              </w:rPr>
            </w:pPr>
          </w:p>
          <w:p w14:paraId="4CE74A7F">
            <w:pPr>
              <w:spacing w:line="480" w:lineRule="auto"/>
              <w:jc w:val="center"/>
              <w:rPr>
                <w:rFonts w:ascii="仿宋_GB2312" w:eastAsia="仿宋_GB2312"/>
              </w:rPr>
            </w:pPr>
            <w:r>
              <w:rPr>
                <w:rFonts w:hint="eastAsia" w:ascii="仿宋_GB2312" w:hAnsi="仿宋" w:eastAsia="仿宋_GB2312" w:cs="Times New Roman"/>
                <w:sz w:val="28"/>
                <w:szCs w:val="28"/>
              </w:rPr>
              <w:t>关节镜用导向器</w:t>
            </w:r>
          </w:p>
        </w:tc>
      </w:tr>
      <w:tr w14:paraId="605F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exact"/>
          <w:jc w:val="center"/>
        </w:trPr>
        <w:tc>
          <w:tcPr>
            <w:tcW w:w="0" w:type="auto"/>
            <w:tcBorders>
              <w:top w:val="nil"/>
              <w:left w:val="nil"/>
              <w:bottom w:val="nil"/>
              <w:right w:val="nil"/>
            </w:tcBorders>
            <w:vAlign w:val="center"/>
          </w:tcPr>
          <w:p w14:paraId="35350856">
            <w:pPr>
              <w:spacing w:line="480" w:lineRule="auto"/>
              <w:jc w:val="center"/>
              <w:rPr>
                <w:rFonts w:ascii="仿宋_GB2312" w:eastAsia="仿宋_GB2312"/>
              </w:rPr>
            </w:pPr>
          </w:p>
          <w:p w14:paraId="6BEDE586">
            <w:pPr>
              <w:spacing w:line="480" w:lineRule="auto"/>
              <w:jc w:val="center"/>
              <w:rPr>
                <w:rFonts w:ascii="仿宋_GB2312" w:hAnsi="仿宋" w:eastAsia="仿宋_GB2312" w:cs="Times New Roman"/>
                <w:sz w:val="28"/>
                <w:szCs w:val="28"/>
              </w:rPr>
            </w:pPr>
          </w:p>
          <w:p w14:paraId="6EB26AC1">
            <w:pPr>
              <w:spacing w:line="480" w:lineRule="auto"/>
              <w:rPr>
                <w:rFonts w:ascii="仿宋_GB2312" w:hAnsi="仿宋" w:eastAsia="仿宋_GB2312" w:cs="Times New Roman"/>
                <w:sz w:val="28"/>
                <w:szCs w:val="28"/>
              </w:rPr>
            </w:pPr>
          </w:p>
          <w:p w14:paraId="34A7E2A6">
            <w:pPr>
              <w:spacing w:line="480" w:lineRule="auto"/>
              <w:jc w:val="center"/>
              <w:rPr>
                <w:rFonts w:ascii="仿宋_GB2312" w:hAnsi="仿宋" w:eastAsia="仿宋_GB2312" w:cs="Times New Roman"/>
                <w:sz w:val="28"/>
                <w:szCs w:val="28"/>
              </w:rPr>
            </w:pPr>
            <w:r>
              <w:rPr>
                <w:rFonts w:hint="eastAsia" w:ascii="仿宋_GB2312" w:eastAsia="仿宋_GB2312"/>
              </w:rPr>
              <w:drawing>
                <wp:inline distT="0" distB="0" distL="0" distR="0">
                  <wp:extent cx="2519680" cy="2476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20000" cy="25200"/>
                          </a:xfrm>
                          <a:prstGeom prst="rect">
                            <a:avLst/>
                          </a:prstGeom>
                          <a:noFill/>
                          <a:ln>
                            <a:noFill/>
                          </a:ln>
                        </pic:spPr>
                      </pic:pic>
                    </a:graphicData>
                  </a:graphic>
                </wp:inline>
              </w:drawing>
            </w:r>
          </w:p>
          <w:p w14:paraId="3ADA21C5">
            <w:pPr>
              <w:spacing w:line="480" w:lineRule="auto"/>
              <w:jc w:val="center"/>
              <w:rPr>
                <w:rFonts w:ascii="仿宋_GB2312" w:hAnsi="仿宋" w:eastAsia="仿宋_GB2312" w:cs="Times New Roman"/>
                <w:sz w:val="28"/>
                <w:szCs w:val="28"/>
              </w:rPr>
            </w:pPr>
          </w:p>
          <w:p w14:paraId="1E6DEF8B">
            <w:pPr>
              <w:spacing w:line="480" w:lineRule="auto"/>
              <w:jc w:val="center"/>
              <w:rPr>
                <w:rFonts w:ascii="仿宋_GB2312" w:eastAsia="仿宋_GB2312"/>
              </w:rPr>
            </w:pPr>
            <w:r>
              <w:rPr>
                <w:rFonts w:hint="eastAsia" w:ascii="仿宋_GB2312" w:hAnsi="仿宋" w:eastAsia="仿宋_GB2312" w:cs="Times New Roman"/>
                <w:sz w:val="28"/>
                <w:szCs w:val="28"/>
              </w:rPr>
              <w:t>关节镜用导针</w:t>
            </w:r>
          </w:p>
        </w:tc>
        <w:tc>
          <w:tcPr>
            <w:tcW w:w="0" w:type="auto"/>
            <w:tcBorders>
              <w:top w:val="nil"/>
              <w:left w:val="nil"/>
              <w:bottom w:val="nil"/>
              <w:right w:val="nil"/>
            </w:tcBorders>
            <w:vAlign w:val="center"/>
          </w:tcPr>
          <w:p w14:paraId="24DA3894">
            <w:pPr>
              <w:spacing w:line="480" w:lineRule="auto"/>
              <w:jc w:val="center"/>
              <w:rPr>
                <w:rFonts w:ascii="仿宋_GB2312" w:eastAsia="仿宋_GB2312" w:hAnsiTheme="minorEastAsia"/>
                <w:sz w:val="20"/>
              </w:rPr>
            </w:pPr>
            <w:r>
              <w:rPr>
                <w:rFonts w:hint="eastAsia" w:ascii="仿宋_GB2312" w:eastAsia="仿宋_GB2312"/>
              </w:rPr>
              <w:drawing>
                <wp:inline distT="0" distB="0" distL="0" distR="0">
                  <wp:extent cx="314325" cy="2125980"/>
                  <wp:effectExtent l="914400" t="0" r="8858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cstate="print"/>
                          <a:stretch>
                            <a:fillRect/>
                          </a:stretch>
                        </pic:blipFill>
                        <pic:spPr>
                          <a:xfrm rot="5400000">
                            <a:off x="0" y="0"/>
                            <a:ext cx="317619" cy="2146602"/>
                          </a:xfrm>
                          <a:prstGeom prst="rect">
                            <a:avLst/>
                          </a:prstGeom>
                        </pic:spPr>
                      </pic:pic>
                    </a:graphicData>
                  </a:graphic>
                </wp:inline>
              </w:drawing>
            </w:r>
          </w:p>
          <w:p w14:paraId="5469D423">
            <w:pPr>
              <w:spacing w:line="480" w:lineRule="auto"/>
              <w:jc w:val="center"/>
              <w:rPr>
                <w:rFonts w:ascii="仿宋_GB2312" w:eastAsia="仿宋_GB2312" w:hAnsiTheme="minorEastAsia"/>
                <w:sz w:val="20"/>
              </w:rPr>
            </w:pPr>
            <w:r>
              <w:rPr>
                <w:rFonts w:hint="eastAsia" w:ascii="仿宋_GB2312" w:hAnsi="仿宋" w:eastAsia="仿宋_GB2312" w:cs="Times New Roman"/>
                <w:sz w:val="28"/>
                <w:szCs w:val="28"/>
              </w:rPr>
              <w:t>关节镜用测深器</w:t>
            </w:r>
          </w:p>
        </w:tc>
      </w:tr>
    </w:tbl>
    <w:p w14:paraId="60653359">
      <w:pPr>
        <w:spacing w:line="480" w:lineRule="auto"/>
        <w:rPr>
          <w:rFonts w:ascii="仿宋_GB2312" w:hAnsi="Times New Roman" w:eastAsia="仿宋_GB2312" w:cs="Times New Roman"/>
        </w:rPr>
      </w:pPr>
    </w:p>
    <w:p w14:paraId="760E1D06">
      <w:pPr>
        <w:spacing w:line="480" w:lineRule="auto"/>
        <w:jc w:val="center"/>
        <w:rPr>
          <w:rFonts w:ascii="仿宋_GB2312" w:hAnsi="Times New Roman" w:eastAsia="仿宋_GB2312" w:cs="Times New Roman"/>
        </w:rPr>
      </w:pPr>
      <w:r>
        <w:rPr>
          <w:rFonts w:hint="eastAsia" w:ascii="仿宋_GB2312" w:eastAsia="仿宋_GB2312"/>
        </w:rPr>
        <w:drawing>
          <wp:inline distT="0" distB="0" distL="0" distR="0">
            <wp:extent cx="4027805" cy="217551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cstate="print"/>
                    <a:stretch>
                      <a:fillRect/>
                    </a:stretch>
                  </pic:blipFill>
                  <pic:spPr>
                    <a:xfrm>
                      <a:off x="0" y="0"/>
                      <a:ext cx="4059155" cy="2192537"/>
                    </a:xfrm>
                    <a:prstGeom prst="rect">
                      <a:avLst/>
                    </a:prstGeom>
                  </pic:spPr>
                </pic:pic>
              </a:graphicData>
            </a:graphic>
          </wp:inline>
        </w:drawing>
      </w:r>
    </w:p>
    <w:p w14:paraId="4C0C46BD">
      <w:pPr>
        <w:spacing w:line="480" w:lineRule="auto"/>
        <w:jc w:val="center"/>
        <w:rPr>
          <w:rFonts w:ascii="仿宋_GB2312" w:hAnsi="仿宋" w:eastAsia="仿宋_GB2312" w:cs="Times New Roman"/>
          <w:sz w:val="28"/>
          <w:szCs w:val="28"/>
        </w:rPr>
      </w:pPr>
      <w:r>
        <w:rPr>
          <w:rFonts w:hint="eastAsia" w:ascii="仿宋_GB2312" w:hAnsi="仿宋" w:eastAsia="仿宋_GB2312" w:cs="Times New Roman"/>
          <w:sz w:val="28"/>
          <w:szCs w:val="28"/>
        </w:rPr>
        <w:t>膝关节镜手术器械工具箱</w:t>
      </w:r>
    </w:p>
    <w:p w14:paraId="65534D63">
      <w:pPr>
        <w:spacing w:line="480" w:lineRule="auto"/>
        <w:jc w:val="center"/>
        <w:rPr>
          <w:rFonts w:ascii="仿宋_GB2312" w:hAnsi="Times New Roman" w:eastAsia="仿宋_GB2312" w:cs="Times New Roman"/>
        </w:rPr>
      </w:pPr>
      <w:r>
        <w:rPr>
          <w:rFonts w:hint="eastAsia" w:ascii="仿宋_GB2312" w:eastAsia="仿宋_GB2312"/>
        </w:rPr>
        <w:drawing>
          <wp:inline distT="0" distB="0" distL="0" distR="0">
            <wp:extent cx="4390390" cy="423799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0" cstate="print"/>
                    <a:stretch>
                      <a:fillRect/>
                    </a:stretch>
                  </pic:blipFill>
                  <pic:spPr>
                    <a:xfrm>
                      <a:off x="0" y="0"/>
                      <a:ext cx="4390476" cy="4238095"/>
                    </a:xfrm>
                    <a:prstGeom prst="rect">
                      <a:avLst/>
                    </a:prstGeom>
                  </pic:spPr>
                </pic:pic>
              </a:graphicData>
            </a:graphic>
          </wp:inline>
        </w:drawing>
      </w:r>
    </w:p>
    <w:p w14:paraId="54FD0170">
      <w:pPr>
        <w:spacing w:line="480" w:lineRule="auto"/>
        <w:jc w:val="center"/>
        <w:rPr>
          <w:rFonts w:ascii="仿宋_GB2312" w:hAnsi="仿宋" w:eastAsia="仿宋_GB2312" w:cs="Times New Roman"/>
          <w:sz w:val="28"/>
          <w:szCs w:val="28"/>
        </w:rPr>
      </w:pPr>
      <w:r>
        <w:rPr>
          <w:rFonts w:hint="eastAsia" w:ascii="仿宋_GB2312" w:hAnsi="仿宋" w:eastAsia="仿宋_GB2312" w:cs="Times New Roman"/>
          <w:sz w:val="28"/>
          <w:szCs w:val="28"/>
        </w:rPr>
        <w:t>肩关节重建手术器械工具箱</w:t>
      </w:r>
    </w:p>
    <w:p w14:paraId="405D11ED">
      <w:pPr>
        <w:spacing w:line="480" w:lineRule="auto"/>
        <w:jc w:val="center"/>
        <w:rPr>
          <w:rFonts w:ascii="仿宋_GB2312" w:hAnsi="仿宋" w:eastAsia="仿宋_GB2312" w:cs="Times New Roman"/>
          <w:sz w:val="28"/>
          <w:szCs w:val="28"/>
        </w:rPr>
      </w:pPr>
      <w:r>
        <w:rPr>
          <w:rFonts w:hint="eastAsia" w:ascii="仿宋_GB2312" w:hAnsi="仿宋" w:eastAsia="仿宋_GB2312" w:cs="Times New Roman"/>
          <w:sz w:val="28"/>
          <w:szCs w:val="28"/>
        </w:rPr>
        <w:t xml:space="preserve">图1 </w:t>
      </w:r>
    </w:p>
    <w:p w14:paraId="4B6B7650">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（三）产品工作原理</w:t>
      </w:r>
    </w:p>
    <w:p w14:paraId="6BF81279">
      <w:pPr>
        <w:tabs>
          <w:tab w:val="left" w:pos="8040"/>
        </w:tabs>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关节镜下无源手术器械主要应用机械力学原理。在关节镜手术中，与关节镜系统配合使用，通过建立手术通道实现对骨/组织实施剪切、钳夹、探查、钻孔、攻螺纹、磨削铣、估量深度或定位等操作。</w:t>
      </w:r>
    </w:p>
    <w:p w14:paraId="573DA2DC">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（四）注册单元划分的原则和实例</w:t>
      </w:r>
    </w:p>
    <w:p w14:paraId="7E13198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注册单元划分应根据《医疗器械注册管理办法》（国家食品药品监督管理总局令第4号）、《医疗器械注册单元划分指导原则》（国家食品药品监督管理总局通告</w:t>
      </w:r>
      <w:r>
        <w:rPr>
          <w:rFonts w:ascii="仿宋_GB2312" w:hAnsi="仿宋" w:eastAsia="仿宋_GB2312"/>
          <w:bCs/>
          <w:sz w:val="32"/>
          <w:szCs w:val="32"/>
        </w:rPr>
        <w:t>2017年第187号</w:t>
      </w:r>
      <w:r>
        <w:rPr>
          <w:rFonts w:hint="eastAsia" w:ascii="仿宋_GB2312" w:hAnsi="仿宋" w:eastAsia="仿宋_GB2312"/>
          <w:sz w:val="32"/>
          <w:szCs w:val="32"/>
        </w:rPr>
        <w:t>）要求，医疗器械注册单元原则上以产品的技术原理、结构组成、性能指标和适用范围为划分依据。</w:t>
      </w:r>
    </w:p>
    <w:p w14:paraId="224F37A1">
      <w:pPr>
        <w:tabs>
          <w:tab w:val="left" w:pos="8040"/>
        </w:tabs>
        <w:spacing w:line="520" w:lineRule="exact"/>
        <w:ind w:firstLine="720" w:firstLineChars="225"/>
        <w:jc w:val="left"/>
        <w:rPr>
          <w:rFonts w:ascii="仿宋_GB2312" w:hAnsi="仿宋" w:eastAsia="仿宋_GB2312"/>
          <w:sz w:val="32"/>
          <w:szCs w:val="32"/>
        </w:rPr>
      </w:pPr>
      <w:r>
        <w:rPr>
          <w:rFonts w:hint="eastAsia" w:ascii="仿宋_GB2312" w:hAnsi="仿宋" w:eastAsia="仿宋_GB2312"/>
          <w:sz w:val="32"/>
          <w:szCs w:val="32"/>
        </w:rPr>
        <w:t>关节镜下无源手术器械产品不同规格、型号可为同一注册单元。以无菌形式和非无菌形式提供的关节镜下无源手术器械产品可划为同一注册单元。关节镜下无源手术器械包注册单元的划分应首先考虑预期用途，预期用途不同的手术包不作为同一单元。</w:t>
      </w:r>
    </w:p>
    <w:p w14:paraId="67858858">
      <w:pPr>
        <w:tabs>
          <w:tab w:val="left" w:pos="8040"/>
        </w:tabs>
        <w:spacing w:line="520" w:lineRule="exact"/>
        <w:ind w:firstLine="480" w:firstLineChars="150"/>
        <w:jc w:val="left"/>
        <w:rPr>
          <w:rFonts w:ascii="仿宋_GB2312" w:hAnsi="仿宋" w:eastAsia="仿宋_GB2312"/>
          <w:sz w:val="32"/>
          <w:szCs w:val="32"/>
        </w:rPr>
      </w:pPr>
      <w:r>
        <w:rPr>
          <w:rFonts w:hint="eastAsia" w:ascii="仿宋_GB2312" w:hAnsi="仿宋" w:eastAsia="仿宋_GB2312"/>
          <w:sz w:val="32"/>
          <w:szCs w:val="32"/>
        </w:rPr>
        <w:t>本指导原则在常见产品举例图中列举的均为常见手术器械，但还可能有其他不同结构形式的手术器械，如符合本指导原则的注册单元划分原则，可视实际情况判定其注册单元划分。</w:t>
      </w:r>
    </w:p>
    <w:p w14:paraId="12AB6C29">
      <w:pPr>
        <w:tabs>
          <w:tab w:val="left" w:pos="8040"/>
        </w:tabs>
        <w:spacing w:line="520" w:lineRule="exact"/>
        <w:ind w:firstLine="720" w:firstLineChars="225"/>
        <w:jc w:val="left"/>
        <w:rPr>
          <w:rFonts w:ascii="楷体_GB2312" w:hAnsi="楷体" w:eastAsia="楷体_GB2312"/>
          <w:sz w:val="32"/>
          <w:szCs w:val="32"/>
        </w:rPr>
      </w:pPr>
      <w:r>
        <w:rPr>
          <w:rFonts w:hint="eastAsia" w:ascii="楷体_GB2312" w:hAnsi="楷体" w:eastAsia="楷体_GB2312"/>
          <w:sz w:val="32"/>
          <w:szCs w:val="32"/>
        </w:rPr>
        <w:t>（五）产品适用的相关标准</w:t>
      </w:r>
    </w:p>
    <w:p w14:paraId="4F064A52">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关节镜下无源手术器械应根据自身特点适用以下标准，但不限于引用以下标准：</w:t>
      </w:r>
    </w:p>
    <w:p w14:paraId="7D1B4FE0">
      <w:pPr>
        <w:spacing w:line="520" w:lineRule="exact"/>
        <w:ind w:firstLine="640" w:firstLineChars="20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表1</w:t>
      </w:r>
      <w:r>
        <w:rPr>
          <w:rFonts w:hint="eastAsia" w:ascii="仿宋_GB2312" w:hAnsi="仿宋" w:eastAsia="仿宋_GB2312"/>
          <w:sz w:val="32"/>
          <w:szCs w:val="32"/>
        </w:rPr>
        <w:t>相关产品标准</w:t>
      </w:r>
    </w:p>
    <w:tbl>
      <w:tblPr>
        <w:tblStyle w:val="9"/>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336"/>
      </w:tblGrid>
      <w:tr w14:paraId="7361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Pr>
          <w:p w14:paraId="6FE4F351">
            <w:pPr>
              <w:pStyle w:val="13"/>
              <w:spacing w:line="520" w:lineRule="exact"/>
              <w:ind w:firstLine="0" w:firstLineChars="0"/>
              <w:jc w:val="center"/>
              <w:rPr>
                <w:rFonts w:ascii="仿宋_GB2312" w:hAnsi="仿宋" w:eastAsia="仿宋_GB2312"/>
                <w:szCs w:val="21"/>
              </w:rPr>
            </w:pPr>
            <w:r>
              <w:rPr>
                <w:rFonts w:hint="eastAsia" w:ascii="仿宋_GB2312" w:hAnsi="仿宋" w:eastAsia="仿宋_GB2312"/>
                <w:szCs w:val="21"/>
              </w:rPr>
              <w:t>标准编号</w:t>
            </w:r>
          </w:p>
        </w:tc>
        <w:tc>
          <w:tcPr>
            <w:tcW w:w="5336" w:type="dxa"/>
          </w:tcPr>
          <w:p w14:paraId="6C025AD3">
            <w:pPr>
              <w:pStyle w:val="13"/>
              <w:spacing w:line="520" w:lineRule="exact"/>
              <w:ind w:firstLine="0" w:firstLineChars="0"/>
              <w:jc w:val="center"/>
              <w:rPr>
                <w:rFonts w:ascii="仿宋_GB2312" w:hAnsi="仿宋" w:eastAsia="仿宋_GB2312"/>
                <w:szCs w:val="21"/>
              </w:rPr>
            </w:pPr>
            <w:r>
              <w:rPr>
                <w:rFonts w:hint="eastAsia" w:ascii="仿宋_GB2312" w:hAnsi="仿宋" w:eastAsia="仿宋_GB2312"/>
                <w:szCs w:val="21"/>
              </w:rPr>
              <w:t>标准名称</w:t>
            </w:r>
          </w:p>
        </w:tc>
      </w:tr>
      <w:tr w14:paraId="432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EC4AEFE">
            <w:pPr>
              <w:spacing w:line="520" w:lineRule="exact"/>
              <w:rPr>
                <w:rFonts w:ascii="仿宋_GB2312" w:hAnsi="仿宋" w:eastAsia="仿宋_GB2312"/>
                <w:szCs w:val="21"/>
              </w:rPr>
            </w:pPr>
            <w:r>
              <w:rPr>
                <w:rFonts w:hint="eastAsia" w:ascii="仿宋_GB2312" w:hAnsi="仿宋" w:eastAsia="仿宋_GB2312"/>
                <w:szCs w:val="21"/>
              </w:rPr>
              <w:t>GB/T 191-2008</w:t>
            </w:r>
          </w:p>
        </w:tc>
        <w:tc>
          <w:tcPr>
            <w:tcW w:w="5336" w:type="dxa"/>
            <w:tcBorders>
              <w:top w:val="single" w:color="auto" w:sz="4" w:space="0"/>
              <w:left w:val="single" w:color="auto" w:sz="4" w:space="0"/>
              <w:bottom w:val="single" w:color="auto" w:sz="4" w:space="0"/>
              <w:right w:val="single" w:color="auto" w:sz="4" w:space="0"/>
            </w:tcBorders>
            <w:vAlign w:val="center"/>
          </w:tcPr>
          <w:p w14:paraId="59A093B1">
            <w:pPr>
              <w:spacing w:line="520" w:lineRule="exact"/>
              <w:rPr>
                <w:rFonts w:ascii="仿宋_GB2312" w:hAnsi="仿宋" w:eastAsia="仿宋_GB2312"/>
                <w:szCs w:val="21"/>
              </w:rPr>
            </w:pPr>
            <w:r>
              <w:rPr>
                <w:rFonts w:hint="eastAsia" w:ascii="仿宋_GB2312" w:hAnsi="仿宋" w:eastAsia="仿宋_GB2312"/>
                <w:szCs w:val="21"/>
              </w:rPr>
              <w:t>《包装储运图示标志》</w:t>
            </w:r>
          </w:p>
        </w:tc>
      </w:tr>
      <w:tr w14:paraId="1ADE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35F8288">
            <w:pPr>
              <w:spacing w:line="520" w:lineRule="exact"/>
              <w:rPr>
                <w:rFonts w:ascii="仿宋_GB2312" w:hAnsi="仿宋" w:eastAsia="仿宋_GB2312"/>
                <w:szCs w:val="21"/>
              </w:rPr>
            </w:pPr>
            <w:r>
              <w:rPr>
                <w:rFonts w:hint="eastAsia" w:ascii="仿宋_GB2312" w:hAnsi="仿宋" w:eastAsia="仿宋_GB2312"/>
                <w:szCs w:val="21"/>
              </w:rPr>
              <w:t>GB/T 4340.1-2009</w:t>
            </w:r>
          </w:p>
        </w:tc>
        <w:tc>
          <w:tcPr>
            <w:tcW w:w="5336" w:type="dxa"/>
            <w:tcBorders>
              <w:top w:val="single" w:color="auto" w:sz="4" w:space="0"/>
              <w:left w:val="single" w:color="auto" w:sz="4" w:space="0"/>
              <w:bottom w:val="single" w:color="auto" w:sz="4" w:space="0"/>
              <w:right w:val="single" w:color="auto" w:sz="4" w:space="0"/>
            </w:tcBorders>
            <w:vAlign w:val="center"/>
          </w:tcPr>
          <w:p w14:paraId="2B77CA7C">
            <w:pPr>
              <w:spacing w:line="520" w:lineRule="exact"/>
              <w:rPr>
                <w:rFonts w:ascii="仿宋_GB2312" w:hAnsi="仿宋" w:eastAsia="仿宋_GB2312"/>
                <w:szCs w:val="21"/>
              </w:rPr>
            </w:pPr>
            <w:r>
              <w:rPr>
                <w:rFonts w:hint="eastAsia" w:ascii="仿宋_GB2312" w:hAnsi="仿宋" w:eastAsia="仿宋_GB2312"/>
                <w:szCs w:val="21"/>
              </w:rPr>
              <w:t>《金属维氏硬度试验方法 第一部分:试验方法》</w:t>
            </w:r>
          </w:p>
        </w:tc>
      </w:tr>
      <w:tr w14:paraId="6733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C049E66">
            <w:pPr>
              <w:spacing w:line="520" w:lineRule="exact"/>
              <w:rPr>
                <w:rFonts w:ascii="仿宋_GB2312" w:hAnsi="仿宋" w:eastAsia="仿宋_GB2312"/>
                <w:szCs w:val="21"/>
              </w:rPr>
            </w:pPr>
            <w:r>
              <w:rPr>
                <w:rFonts w:hint="eastAsia" w:ascii="仿宋_GB2312" w:hAnsi="仿宋" w:eastAsia="仿宋_GB2312"/>
                <w:szCs w:val="21"/>
              </w:rPr>
              <w:t>GB/T 1220-2007</w:t>
            </w:r>
          </w:p>
        </w:tc>
        <w:tc>
          <w:tcPr>
            <w:tcW w:w="5336" w:type="dxa"/>
            <w:tcBorders>
              <w:top w:val="single" w:color="auto" w:sz="4" w:space="0"/>
              <w:left w:val="single" w:color="auto" w:sz="4" w:space="0"/>
              <w:bottom w:val="single" w:color="auto" w:sz="4" w:space="0"/>
              <w:right w:val="single" w:color="auto" w:sz="4" w:space="0"/>
            </w:tcBorders>
            <w:vAlign w:val="center"/>
          </w:tcPr>
          <w:p w14:paraId="42AA33FD">
            <w:pPr>
              <w:spacing w:line="520" w:lineRule="exact"/>
              <w:rPr>
                <w:rFonts w:ascii="仿宋_GB2312" w:hAnsi="仿宋" w:eastAsia="仿宋_GB2312"/>
                <w:szCs w:val="21"/>
              </w:rPr>
            </w:pPr>
            <w:r>
              <w:rPr>
                <w:rFonts w:hint="eastAsia" w:ascii="仿宋_GB2312" w:hAnsi="仿宋" w:eastAsia="仿宋_GB2312"/>
                <w:szCs w:val="21"/>
              </w:rPr>
              <w:t>《不锈钢棒》</w:t>
            </w:r>
          </w:p>
        </w:tc>
      </w:tr>
      <w:tr w14:paraId="527B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2CA3632">
            <w:pPr>
              <w:spacing w:line="520" w:lineRule="exact"/>
              <w:rPr>
                <w:rFonts w:ascii="仿宋_GB2312" w:hAnsi="仿宋" w:eastAsia="仿宋_GB2312"/>
                <w:szCs w:val="21"/>
              </w:rPr>
            </w:pPr>
            <w:r>
              <w:rPr>
                <w:rFonts w:hint="eastAsia" w:ascii="仿宋_GB2312" w:hAnsi="仿宋" w:eastAsia="仿宋_GB2312"/>
                <w:szCs w:val="21"/>
              </w:rPr>
              <w:t>GB 4234.1-2017</w:t>
            </w:r>
          </w:p>
        </w:tc>
        <w:tc>
          <w:tcPr>
            <w:tcW w:w="5336" w:type="dxa"/>
            <w:tcBorders>
              <w:top w:val="single" w:color="auto" w:sz="4" w:space="0"/>
              <w:left w:val="single" w:color="auto" w:sz="4" w:space="0"/>
              <w:bottom w:val="single" w:color="auto" w:sz="4" w:space="0"/>
              <w:right w:val="single" w:color="auto" w:sz="4" w:space="0"/>
            </w:tcBorders>
            <w:vAlign w:val="center"/>
          </w:tcPr>
          <w:p w14:paraId="54EAF4A9">
            <w:pPr>
              <w:spacing w:line="520" w:lineRule="exact"/>
              <w:rPr>
                <w:rFonts w:ascii="仿宋_GB2312" w:hAnsi="仿宋" w:eastAsia="仿宋_GB2312"/>
                <w:szCs w:val="21"/>
              </w:rPr>
            </w:pPr>
            <w:r>
              <w:rPr>
                <w:rFonts w:hint="eastAsia" w:ascii="仿宋_GB2312" w:hAnsi="仿宋" w:eastAsia="仿宋_GB2312"/>
                <w:szCs w:val="21"/>
              </w:rPr>
              <w:t>《外科植入物 金属材料 第1部分：锻造不锈钢》</w:t>
            </w:r>
          </w:p>
        </w:tc>
      </w:tr>
      <w:tr w14:paraId="75FA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DEC20E1">
            <w:pPr>
              <w:spacing w:line="520" w:lineRule="exact"/>
              <w:rPr>
                <w:rFonts w:ascii="仿宋_GB2312" w:hAnsi="仿宋" w:eastAsia="仿宋_GB2312"/>
                <w:szCs w:val="21"/>
              </w:rPr>
            </w:pPr>
            <w:r>
              <w:rPr>
                <w:rFonts w:hint="eastAsia" w:ascii="仿宋_GB2312" w:hAnsi="仿宋" w:eastAsia="仿宋_GB2312"/>
                <w:szCs w:val="21"/>
              </w:rPr>
              <w:t>GB/T 16886.1-2011</w:t>
            </w:r>
          </w:p>
        </w:tc>
        <w:tc>
          <w:tcPr>
            <w:tcW w:w="5336" w:type="dxa"/>
            <w:tcBorders>
              <w:top w:val="single" w:color="auto" w:sz="4" w:space="0"/>
              <w:left w:val="single" w:color="auto" w:sz="4" w:space="0"/>
              <w:bottom w:val="single" w:color="auto" w:sz="4" w:space="0"/>
              <w:right w:val="single" w:color="auto" w:sz="4" w:space="0"/>
            </w:tcBorders>
            <w:vAlign w:val="center"/>
          </w:tcPr>
          <w:p w14:paraId="27A4D2EC">
            <w:pPr>
              <w:pStyle w:val="13"/>
              <w:spacing w:line="520" w:lineRule="exact"/>
              <w:ind w:firstLine="0" w:firstLineChars="0"/>
              <w:rPr>
                <w:rFonts w:ascii="仿宋_GB2312" w:hAnsi="仿宋" w:eastAsia="仿宋_GB2312"/>
                <w:szCs w:val="21"/>
              </w:rPr>
            </w:pPr>
            <w:r>
              <w:rPr>
                <w:rFonts w:hint="eastAsia" w:ascii="仿宋_GB2312" w:hAnsi="仿宋" w:eastAsia="仿宋_GB2312"/>
                <w:szCs w:val="21"/>
              </w:rPr>
              <w:t>《医疗器械生物学评价　第1部分：风险管理过程中的评价与试验》</w:t>
            </w:r>
          </w:p>
        </w:tc>
      </w:tr>
      <w:tr w14:paraId="4585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B2BD5FB">
            <w:pPr>
              <w:spacing w:line="520" w:lineRule="exact"/>
              <w:rPr>
                <w:rFonts w:ascii="仿宋_GB2312" w:hAnsi="仿宋" w:eastAsia="仿宋_GB2312"/>
                <w:szCs w:val="21"/>
              </w:rPr>
            </w:pPr>
            <w:r>
              <w:rPr>
                <w:rFonts w:hint="eastAsia" w:ascii="仿宋_GB2312" w:hAnsi="仿宋" w:eastAsia="仿宋_GB2312"/>
                <w:szCs w:val="21"/>
              </w:rPr>
              <w:t>YY/T 0149-2006</w:t>
            </w:r>
          </w:p>
        </w:tc>
        <w:tc>
          <w:tcPr>
            <w:tcW w:w="5336" w:type="dxa"/>
            <w:tcBorders>
              <w:top w:val="single" w:color="auto" w:sz="4" w:space="0"/>
              <w:left w:val="single" w:color="auto" w:sz="4" w:space="0"/>
              <w:bottom w:val="single" w:color="auto" w:sz="4" w:space="0"/>
              <w:right w:val="single" w:color="auto" w:sz="4" w:space="0"/>
            </w:tcBorders>
            <w:vAlign w:val="center"/>
          </w:tcPr>
          <w:p w14:paraId="4CF42F68">
            <w:pPr>
              <w:spacing w:line="520" w:lineRule="exact"/>
              <w:rPr>
                <w:rFonts w:ascii="仿宋_GB2312" w:hAnsi="仿宋" w:eastAsia="仿宋_GB2312"/>
                <w:szCs w:val="21"/>
              </w:rPr>
            </w:pPr>
            <w:r>
              <w:rPr>
                <w:rFonts w:hint="eastAsia" w:ascii="仿宋_GB2312" w:hAnsi="仿宋" w:eastAsia="仿宋_GB2312"/>
                <w:szCs w:val="21"/>
              </w:rPr>
              <w:t>《不锈钢医用器械 耐腐蚀性能试验方法》</w:t>
            </w:r>
          </w:p>
        </w:tc>
      </w:tr>
      <w:tr w14:paraId="1A7A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45B668B">
            <w:pPr>
              <w:spacing w:line="520" w:lineRule="exact"/>
              <w:rPr>
                <w:rFonts w:ascii="仿宋_GB2312" w:hAnsi="仿宋" w:eastAsia="仿宋_GB2312"/>
                <w:szCs w:val="21"/>
              </w:rPr>
            </w:pPr>
            <w:r>
              <w:rPr>
                <w:rFonts w:hint="eastAsia" w:ascii="仿宋_GB2312" w:hAnsi="仿宋" w:eastAsia="仿宋_GB2312"/>
                <w:szCs w:val="21"/>
              </w:rPr>
              <w:t>YY/T 0176-2006</w:t>
            </w:r>
          </w:p>
        </w:tc>
        <w:tc>
          <w:tcPr>
            <w:tcW w:w="5336" w:type="dxa"/>
            <w:tcBorders>
              <w:top w:val="single" w:color="auto" w:sz="4" w:space="0"/>
              <w:left w:val="single" w:color="auto" w:sz="4" w:space="0"/>
              <w:bottom w:val="single" w:color="auto" w:sz="4" w:space="0"/>
              <w:right w:val="single" w:color="auto" w:sz="4" w:space="0"/>
            </w:tcBorders>
            <w:vAlign w:val="center"/>
          </w:tcPr>
          <w:p w14:paraId="42338611">
            <w:pPr>
              <w:spacing w:line="520" w:lineRule="exact"/>
              <w:rPr>
                <w:rFonts w:ascii="仿宋_GB2312" w:hAnsi="仿宋" w:eastAsia="仿宋_GB2312"/>
                <w:szCs w:val="21"/>
              </w:rPr>
            </w:pPr>
            <w:r>
              <w:rPr>
                <w:rFonts w:hint="eastAsia" w:ascii="仿宋_GB2312" w:hAnsi="仿宋" w:eastAsia="仿宋_GB2312"/>
                <w:szCs w:val="21"/>
              </w:rPr>
              <w:t>《医用剪 通用技术条件》</w:t>
            </w:r>
          </w:p>
        </w:tc>
      </w:tr>
      <w:tr w14:paraId="411F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022BE46">
            <w:pPr>
              <w:spacing w:line="520" w:lineRule="exact"/>
              <w:rPr>
                <w:rFonts w:ascii="仿宋_GB2312" w:hAnsi="仿宋" w:eastAsia="仿宋_GB2312"/>
                <w:szCs w:val="21"/>
              </w:rPr>
            </w:pPr>
            <w:r>
              <w:rPr>
                <w:rFonts w:hint="eastAsia" w:ascii="仿宋_GB2312" w:hAnsi="仿宋" w:eastAsia="仿宋_GB2312"/>
                <w:szCs w:val="21"/>
              </w:rPr>
              <w:t>YY/T 0177-2005</w:t>
            </w:r>
          </w:p>
        </w:tc>
        <w:tc>
          <w:tcPr>
            <w:tcW w:w="5336" w:type="dxa"/>
            <w:tcBorders>
              <w:top w:val="single" w:color="auto" w:sz="4" w:space="0"/>
              <w:left w:val="single" w:color="auto" w:sz="4" w:space="0"/>
              <w:bottom w:val="single" w:color="auto" w:sz="4" w:space="0"/>
              <w:right w:val="single" w:color="auto" w:sz="4" w:space="0"/>
            </w:tcBorders>
            <w:vAlign w:val="center"/>
          </w:tcPr>
          <w:p w14:paraId="440A086B">
            <w:pPr>
              <w:spacing w:line="520" w:lineRule="exact"/>
              <w:rPr>
                <w:rFonts w:ascii="仿宋_GB2312" w:hAnsi="仿宋" w:eastAsia="仿宋_GB2312"/>
                <w:szCs w:val="21"/>
              </w:rPr>
            </w:pPr>
            <w:r>
              <w:rPr>
                <w:rFonts w:hint="eastAsia" w:ascii="仿宋_GB2312" w:hAnsi="仿宋" w:eastAsia="仿宋_GB2312"/>
                <w:szCs w:val="21"/>
              </w:rPr>
              <w:t>《组织钳》</w:t>
            </w:r>
          </w:p>
        </w:tc>
      </w:tr>
      <w:tr w14:paraId="3A92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0579DBD">
            <w:pPr>
              <w:spacing w:line="520" w:lineRule="exact"/>
              <w:rPr>
                <w:rFonts w:ascii="仿宋_GB2312" w:hAnsi="仿宋" w:eastAsia="仿宋_GB2312"/>
                <w:szCs w:val="21"/>
              </w:rPr>
            </w:pPr>
            <w:r>
              <w:rPr>
                <w:rFonts w:hint="eastAsia" w:ascii="仿宋_GB2312" w:hAnsi="仿宋" w:eastAsia="仿宋_GB2312"/>
                <w:szCs w:val="21"/>
              </w:rPr>
              <w:t>YY/T 0294.1-2016</w:t>
            </w:r>
          </w:p>
        </w:tc>
        <w:tc>
          <w:tcPr>
            <w:tcW w:w="5336" w:type="dxa"/>
            <w:tcBorders>
              <w:top w:val="single" w:color="auto" w:sz="4" w:space="0"/>
              <w:left w:val="single" w:color="auto" w:sz="4" w:space="0"/>
              <w:bottom w:val="single" w:color="auto" w:sz="4" w:space="0"/>
              <w:right w:val="single" w:color="auto" w:sz="4" w:space="0"/>
            </w:tcBorders>
            <w:vAlign w:val="center"/>
          </w:tcPr>
          <w:p w14:paraId="5CB065EC">
            <w:pPr>
              <w:spacing w:line="520" w:lineRule="exact"/>
              <w:rPr>
                <w:rFonts w:ascii="仿宋_GB2312" w:hAnsi="仿宋" w:eastAsia="仿宋_GB2312"/>
                <w:szCs w:val="21"/>
              </w:rPr>
            </w:pPr>
            <w:r>
              <w:rPr>
                <w:rFonts w:hint="eastAsia" w:ascii="仿宋_GB2312" w:hAnsi="仿宋" w:eastAsia="仿宋_GB2312"/>
                <w:szCs w:val="21"/>
              </w:rPr>
              <w:t>《外科器械 金属材料 第1部分 不锈钢》</w:t>
            </w:r>
          </w:p>
        </w:tc>
      </w:tr>
      <w:tr w14:paraId="770A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E83845B">
            <w:pPr>
              <w:spacing w:line="520" w:lineRule="exact"/>
              <w:rPr>
                <w:rFonts w:ascii="仿宋_GB2312" w:hAnsi="仿宋" w:eastAsia="仿宋_GB2312"/>
                <w:szCs w:val="21"/>
              </w:rPr>
            </w:pPr>
            <w:r>
              <w:rPr>
                <w:rFonts w:hint="eastAsia" w:ascii="仿宋_GB2312" w:hAnsi="仿宋" w:eastAsia="仿宋_GB2312"/>
                <w:szCs w:val="21"/>
              </w:rPr>
              <w:t>YY/T 0316-2016</w:t>
            </w:r>
          </w:p>
        </w:tc>
        <w:tc>
          <w:tcPr>
            <w:tcW w:w="5336" w:type="dxa"/>
            <w:tcBorders>
              <w:top w:val="single" w:color="auto" w:sz="4" w:space="0"/>
              <w:left w:val="single" w:color="auto" w:sz="4" w:space="0"/>
              <w:bottom w:val="single" w:color="auto" w:sz="4" w:space="0"/>
              <w:right w:val="single" w:color="auto" w:sz="4" w:space="0"/>
            </w:tcBorders>
            <w:vAlign w:val="center"/>
          </w:tcPr>
          <w:p w14:paraId="5BD0FA50">
            <w:pPr>
              <w:spacing w:line="520" w:lineRule="exact"/>
              <w:rPr>
                <w:rFonts w:ascii="仿宋_GB2312" w:hAnsi="仿宋" w:eastAsia="仿宋_GB2312"/>
                <w:szCs w:val="21"/>
              </w:rPr>
            </w:pPr>
            <w:r>
              <w:rPr>
                <w:rFonts w:hint="eastAsia" w:ascii="仿宋_GB2312" w:hAnsi="仿宋" w:eastAsia="仿宋_GB2312"/>
                <w:szCs w:val="21"/>
              </w:rPr>
              <w:t>《医疗器械风险管理对医疗器械的应用》</w:t>
            </w:r>
          </w:p>
        </w:tc>
      </w:tr>
      <w:tr w14:paraId="1A44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659B465">
            <w:pPr>
              <w:spacing w:line="520" w:lineRule="exact"/>
              <w:rPr>
                <w:rFonts w:ascii="仿宋_GB2312" w:hAnsi="仿宋" w:eastAsia="仿宋_GB2312"/>
                <w:szCs w:val="21"/>
              </w:rPr>
            </w:pPr>
            <w:r>
              <w:rPr>
                <w:rFonts w:hint="eastAsia" w:ascii="仿宋_GB2312" w:hAnsi="仿宋" w:eastAsia="仿宋_GB2312"/>
                <w:szCs w:val="21"/>
              </w:rPr>
              <w:t>YY/T 0466.1-2016</w:t>
            </w:r>
          </w:p>
        </w:tc>
        <w:tc>
          <w:tcPr>
            <w:tcW w:w="5336" w:type="dxa"/>
            <w:tcBorders>
              <w:top w:val="single" w:color="auto" w:sz="4" w:space="0"/>
              <w:left w:val="single" w:color="auto" w:sz="4" w:space="0"/>
              <w:bottom w:val="single" w:color="auto" w:sz="4" w:space="0"/>
              <w:right w:val="single" w:color="auto" w:sz="4" w:space="0"/>
            </w:tcBorders>
            <w:vAlign w:val="center"/>
          </w:tcPr>
          <w:p w14:paraId="78B6A0EA">
            <w:pPr>
              <w:pStyle w:val="13"/>
              <w:spacing w:line="520" w:lineRule="exact"/>
              <w:ind w:firstLine="0" w:firstLineChars="0"/>
              <w:rPr>
                <w:rFonts w:ascii="仿宋_GB2312" w:hAnsi="仿宋" w:eastAsia="仿宋_GB2312"/>
                <w:szCs w:val="21"/>
              </w:rPr>
            </w:pPr>
            <w:r>
              <w:rPr>
                <w:rFonts w:hint="eastAsia" w:ascii="仿宋_GB2312" w:hAnsi="仿宋" w:eastAsia="仿宋_GB2312"/>
                <w:szCs w:val="21"/>
              </w:rPr>
              <w:t>《医疗器械 用于医疗器械标签、标记和提供信息的符号 第1部分：通用要求》</w:t>
            </w:r>
          </w:p>
        </w:tc>
      </w:tr>
      <w:tr w14:paraId="2F9B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B018625">
            <w:pPr>
              <w:spacing w:line="520" w:lineRule="exact"/>
              <w:rPr>
                <w:rFonts w:ascii="仿宋_GB2312" w:hAnsi="仿宋" w:eastAsia="仿宋_GB2312"/>
                <w:szCs w:val="21"/>
              </w:rPr>
            </w:pPr>
            <w:r>
              <w:rPr>
                <w:rFonts w:hint="eastAsia" w:ascii="仿宋_GB2312" w:hAnsi="仿宋" w:eastAsia="仿宋_GB2312"/>
                <w:szCs w:val="21"/>
              </w:rPr>
              <w:t>YY/T 0596-2006</w:t>
            </w:r>
          </w:p>
        </w:tc>
        <w:tc>
          <w:tcPr>
            <w:tcW w:w="5336" w:type="dxa"/>
            <w:tcBorders>
              <w:top w:val="single" w:color="auto" w:sz="4" w:space="0"/>
              <w:left w:val="single" w:color="auto" w:sz="4" w:space="0"/>
              <w:bottom w:val="single" w:color="auto" w:sz="4" w:space="0"/>
              <w:right w:val="single" w:color="auto" w:sz="4" w:space="0"/>
            </w:tcBorders>
            <w:vAlign w:val="center"/>
          </w:tcPr>
          <w:p w14:paraId="263C9430">
            <w:pPr>
              <w:spacing w:line="520" w:lineRule="exact"/>
              <w:rPr>
                <w:rFonts w:ascii="仿宋_GB2312" w:hAnsi="仿宋" w:eastAsia="仿宋_GB2312"/>
                <w:szCs w:val="21"/>
              </w:rPr>
            </w:pPr>
            <w:r>
              <w:rPr>
                <w:rFonts w:hint="eastAsia" w:ascii="仿宋_GB2312" w:hAnsi="仿宋" w:eastAsia="仿宋_GB2312"/>
                <w:szCs w:val="21"/>
              </w:rPr>
              <w:t>《医用剪》</w:t>
            </w:r>
          </w:p>
        </w:tc>
      </w:tr>
      <w:tr w14:paraId="36ED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6D5118B">
            <w:pPr>
              <w:spacing w:line="520" w:lineRule="exact"/>
              <w:rPr>
                <w:rFonts w:ascii="仿宋_GB2312" w:hAnsi="仿宋" w:eastAsia="仿宋_GB2312"/>
                <w:szCs w:val="21"/>
              </w:rPr>
            </w:pPr>
            <w:r>
              <w:rPr>
                <w:rFonts w:hint="eastAsia" w:ascii="仿宋_GB2312" w:hAnsi="仿宋" w:eastAsia="仿宋_GB2312"/>
                <w:szCs w:val="21"/>
              </w:rPr>
              <w:t>YY/T 0597-2006</w:t>
            </w:r>
          </w:p>
        </w:tc>
        <w:tc>
          <w:tcPr>
            <w:tcW w:w="5336" w:type="dxa"/>
            <w:tcBorders>
              <w:top w:val="single" w:color="auto" w:sz="4" w:space="0"/>
              <w:left w:val="single" w:color="auto" w:sz="4" w:space="0"/>
              <w:bottom w:val="single" w:color="auto" w:sz="4" w:space="0"/>
              <w:right w:val="single" w:color="auto" w:sz="4" w:space="0"/>
            </w:tcBorders>
            <w:vAlign w:val="center"/>
          </w:tcPr>
          <w:p w14:paraId="5781AF6F">
            <w:pPr>
              <w:spacing w:line="520" w:lineRule="exact"/>
              <w:rPr>
                <w:rFonts w:ascii="仿宋_GB2312" w:hAnsi="仿宋" w:eastAsia="仿宋_GB2312"/>
                <w:szCs w:val="21"/>
              </w:rPr>
            </w:pPr>
            <w:r>
              <w:rPr>
                <w:rFonts w:hint="eastAsia" w:ascii="仿宋_GB2312" w:hAnsi="仿宋" w:eastAsia="仿宋_GB2312"/>
                <w:szCs w:val="21"/>
              </w:rPr>
              <w:t>《施夹钳》</w:t>
            </w:r>
          </w:p>
        </w:tc>
      </w:tr>
      <w:tr w14:paraId="29B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FEA0983">
            <w:pPr>
              <w:spacing w:line="520" w:lineRule="exact"/>
              <w:rPr>
                <w:rFonts w:ascii="仿宋_GB2312" w:hAnsi="仿宋" w:eastAsia="仿宋_GB2312"/>
                <w:szCs w:val="21"/>
              </w:rPr>
            </w:pPr>
            <w:r>
              <w:rPr>
                <w:rFonts w:hint="eastAsia" w:ascii="仿宋_GB2312" w:hAnsi="仿宋" w:eastAsia="仿宋_GB2312"/>
                <w:szCs w:val="21"/>
              </w:rPr>
              <w:t>YY/T 0940-2014</w:t>
            </w:r>
          </w:p>
        </w:tc>
        <w:tc>
          <w:tcPr>
            <w:tcW w:w="5336" w:type="dxa"/>
            <w:tcBorders>
              <w:top w:val="single" w:color="auto" w:sz="4" w:space="0"/>
              <w:left w:val="single" w:color="auto" w:sz="4" w:space="0"/>
              <w:bottom w:val="single" w:color="auto" w:sz="4" w:space="0"/>
              <w:right w:val="single" w:color="auto" w:sz="4" w:space="0"/>
            </w:tcBorders>
            <w:vAlign w:val="center"/>
          </w:tcPr>
          <w:p w14:paraId="69238F95">
            <w:pPr>
              <w:spacing w:line="520" w:lineRule="exact"/>
              <w:rPr>
                <w:rFonts w:ascii="仿宋_GB2312" w:hAnsi="仿宋" w:eastAsia="仿宋_GB2312"/>
                <w:szCs w:val="21"/>
              </w:rPr>
            </w:pPr>
            <w:r>
              <w:rPr>
                <w:rFonts w:hint="eastAsia" w:ascii="仿宋_GB2312" w:hAnsi="仿宋" w:eastAsia="仿宋_GB2312"/>
                <w:szCs w:val="21"/>
              </w:rPr>
              <w:t>《医用关节镜关节镜器械 抓取钳》</w:t>
            </w:r>
          </w:p>
        </w:tc>
      </w:tr>
      <w:tr w14:paraId="7BEC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222730">
            <w:pPr>
              <w:spacing w:line="520" w:lineRule="exact"/>
              <w:rPr>
                <w:rFonts w:ascii="仿宋_GB2312" w:hAnsi="仿宋" w:eastAsia="仿宋_GB2312"/>
                <w:szCs w:val="21"/>
              </w:rPr>
            </w:pPr>
            <w:r>
              <w:rPr>
                <w:rFonts w:hint="eastAsia" w:ascii="仿宋_GB2312" w:hAnsi="仿宋" w:eastAsia="仿宋_GB2312"/>
                <w:szCs w:val="21"/>
              </w:rPr>
              <w:t>YY/T 0941-2014</w:t>
            </w:r>
          </w:p>
        </w:tc>
        <w:tc>
          <w:tcPr>
            <w:tcW w:w="5336" w:type="dxa"/>
            <w:tcBorders>
              <w:top w:val="single" w:color="auto" w:sz="4" w:space="0"/>
              <w:left w:val="single" w:color="auto" w:sz="4" w:space="0"/>
              <w:bottom w:val="single" w:color="auto" w:sz="4" w:space="0"/>
              <w:right w:val="single" w:color="auto" w:sz="4" w:space="0"/>
            </w:tcBorders>
            <w:vAlign w:val="center"/>
          </w:tcPr>
          <w:p w14:paraId="73B9211D">
            <w:pPr>
              <w:spacing w:line="520" w:lineRule="exact"/>
              <w:rPr>
                <w:rFonts w:ascii="仿宋_GB2312" w:hAnsi="仿宋" w:eastAsia="仿宋_GB2312"/>
                <w:szCs w:val="21"/>
              </w:rPr>
            </w:pPr>
            <w:r>
              <w:rPr>
                <w:rFonts w:hint="eastAsia" w:ascii="仿宋_GB2312" w:hAnsi="仿宋" w:eastAsia="仿宋_GB2312"/>
                <w:szCs w:val="21"/>
              </w:rPr>
              <w:t>《医用关节镜关节镜器械 咬切钳》</w:t>
            </w:r>
          </w:p>
        </w:tc>
      </w:tr>
      <w:tr w14:paraId="0DA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251BF2">
            <w:pPr>
              <w:spacing w:line="520" w:lineRule="exact"/>
              <w:rPr>
                <w:rFonts w:ascii="仿宋_GB2312" w:hAnsi="仿宋" w:eastAsia="仿宋_GB2312"/>
                <w:szCs w:val="21"/>
              </w:rPr>
            </w:pPr>
            <w:r>
              <w:rPr>
                <w:rFonts w:hint="eastAsia" w:ascii="仿宋_GB2312" w:hAnsi="仿宋" w:eastAsia="仿宋_GB2312"/>
                <w:szCs w:val="21"/>
              </w:rPr>
              <w:t>YY/T 0943-2014</w:t>
            </w:r>
          </w:p>
        </w:tc>
        <w:tc>
          <w:tcPr>
            <w:tcW w:w="5336" w:type="dxa"/>
            <w:tcBorders>
              <w:top w:val="single" w:color="auto" w:sz="4" w:space="0"/>
              <w:left w:val="single" w:color="auto" w:sz="4" w:space="0"/>
              <w:bottom w:val="single" w:color="auto" w:sz="4" w:space="0"/>
              <w:right w:val="single" w:color="auto" w:sz="4" w:space="0"/>
            </w:tcBorders>
            <w:vAlign w:val="center"/>
          </w:tcPr>
          <w:p w14:paraId="0EEBE2F3">
            <w:pPr>
              <w:spacing w:line="520" w:lineRule="exact"/>
              <w:rPr>
                <w:rFonts w:ascii="仿宋_GB2312" w:hAnsi="仿宋" w:eastAsia="仿宋_GB2312"/>
                <w:szCs w:val="21"/>
              </w:rPr>
            </w:pPr>
            <w:r>
              <w:rPr>
                <w:rFonts w:hint="eastAsia" w:ascii="仿宋_GB2312" w:hAnsi="仿宋" w:eastAsia="仿宋_GB2312"/>
                <w:szCs w:val="21"/>
              </w:rPr>
              <w:t>《医用关节镜关节镜器械 持针钳》</w:t>
            </w:r>
          </w:p>
        </w:tc>
      </w:tr>
      <w:tr w14:paraId="67C1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557E89A">
            <w:pPr>
              <w:spacing w:line="520" w:lineRule="exact"/>
              <w:rPr>
                <w:rFonts w:ascii="仿宋_GB2312" w:hAnsi="仿宋" w:eastAsia="仿宋_GB2312"/>
                <w:szCs w:val="21"/>
              </w:rPr>
            </w:pPr>
            <w:r>
              <w:rPr>
                <w:rFonts w:hint="eastAsia" w:ascii="仿宋_GB2312" w:hAnsi="仿宋" w:eastAsia="仿宋_GB2312"/>
                <w:szCs w:val="21"/>
              </w:rPr>
              <w:t>YY/T 0944-2014</w:t>
            </w:r>
          </w:p>
        </w:tc>
        <w:tc>
          <w:tcPr>
            <w:tcW w:w="5336" w:type="dxa"/>
            <w:tcBorders>
              <w:top w:val="single" w:color="auto" w:sz="4" w:space="0"/>
              <w:left w:val="single" w:color="auto" w:sz="4" w:space="0"/>
              <w:bottom w:val="single" w:color="auto" w:sz="4" w:space="0"/>
              <w:right w:val="single" w:color="auto" w:sz="4" w:space="0"/>
            </w:tcBorders>
            <w:vAlign w:val="center"/>
          </w:tcPr>
          <w:p w14:paraId="32E066F3">
            <w:pPr>
              <w:spacing w:line="520" w:lineRule="exact"/>
              <w:rPr>
                <w:rFonts w:ascii="仿宋_GB2312" w:hAnsi="仿宋" w:eastAsia="仿宋_GB2312"/>
                <w:szCs w:val="21"/>
              </w:rPr>
            </w:pPr>
            <w:r>
              <w:rPr>
                <w:rFonts w:hint="eastAsia" w:ascii="仿宋_GB2312" w:hAnsi="仿宋" w:eastAsia="仿宋_GB2312"/>
                <w:szCs w:val="21"/>
              </w:rPr>
              <w:t>《医用关节镜关节镜器械 分离钳》</w:t>
            </w:r>
          </w:p>
        </w:tc>
      </w:tr>
      <w:tr w14:paraId="426A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ABB7529">
            <w:pPr>
              <w:spacing w:line="520" w:lineRule="exact"/>
              <w:rPr>
                <w:rFonts w:ascii="仿宋_GB2312" w:hAnsi="仿宋" w:eastAsia="仿宋_GB2312"/>
                <w:szCs w:val="21"/>
              </w:rPr>
            </w:pPr>
            <w:r>
              <w:rPr>
                <w:rFonts w:hint="eastAsia" w:ascii="仿宋_GB2312" w:hAnsi="仿宋" w:eastAsia="仿宋_GB2312"/>
                <w:szCs w:val="21"/>
              </w:rPr>
              <w:t>YY/T 0955-2014</w:t>
            </w:r>
          </w:p>
        </w:tc>
        <w:tc>
          <w:tcPr>
            <w:tcW w:w="5336" w:type="dxa"/>
            <w:tcBorders>
              <w:top w:val="single" w:color="auto" w:sz="4" w:space="0"/>
              <w:left w:val="single" w:color="auto" w:sz="4" w:space="0"/>
              <w:bottom w:val="single" w:color="auto" w:sz="4" w:space="0"/>
              <w:right w:val="single" w:color="auto" w:sz="4" w:space="0"/>
            </w:tcBorders>
            <w:vAlign w:val="center"/>
          </w:tcPr>
          <w:p w14:paraId="096F0809">
            <w:pPr>
              <w:spacing w:line="520" w:lineRule="exact"/>
              <w:jc w:val="left"/>
              <w:rPr>
                <w:rFonts w:ascii="仿宋_GB2312" w:hAnsi="仿宋" w:eastAsia="仿宋_GB2312"/>
                <w:szCs w:val="21"/>
              </w:rPr>
            </w:pPr>
            <w:r>
              <w:rPr>
                <w:rFonts w:hint="eastAsia" w:ascii="仿宋_GB2312" w:hAnsi="仿宋" w:eastAsia="仿宋_GB2312"/>
                <w:szCs w:val="21"/>
              </w:rPr>
              <w:t>《医用关节镜 关节镜手术设备 刨削器》</w:t>
            </w:r>
          </w:p>
        </w:tc>
      </w:tr>
      <w:tr w14:paraId="67E0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90F9366">
            <w:pPr>
              <w:spacing w:line="520" w:lineRule="exact"/>
              <w:rPr>
                <w:rFonts w:ascii="仿宋_GB2312" w:hAnsi="仿宋" w:eastAsia="仿宋_GB2312"/>
                <w:szCs w:val="21"/>
              </w:rPr>
            </w:pPr>
            <w:r>
              <w:rPr>
                <w:rFonts w:hint="eastAsia" w:ascii="仿宋_GB2312" w:hAnsi="仿宋" w:eastAsia="仿宋_GB2312"/>
                <w:szCs w:val="21"/>
              </w:rPr>
              <w:t>YY/T 1052-2004</w:t>
            </w:r>
          </w:p>
        </w:tc>
        <w:tc>
          <w:tcPr>
            <w:tcW w:w="5336" w:type="dxa"/>
            <w:tcBorders>
              <w:top w:val="single" w:color="auto" w:sz="4" w:space="0"/>
              <w:left w:val="single" w:color="auto" w:sz="4" w:space="0"/>
              <w:bottom w:val="single" w:color="auto" w:sz="4" w:space="0"/>
              <w:right w:val="single" w:color="auto" w:sz="4" w:space="0"/>
            </w:tcBorders>
            <w:vAlign w:val="center"/>
          </w:tcPr>
          <w:p w14:paraId="7C0D3C0B">
            <w:pPr>
              <w:spacing w:line="520" w:lineRule="exact"/>
              <w:rPr>
                <w:rFonts w:ascii="仿宋_GB2312" w:hAnsi="仿宋" w:eastAsia="仿宋_GB2312"/>
                <w:szCs w:val="21"/>
              </w:rPr>
            </w:pPr>
            <w:r>
              <w:rPr>
                <w:rFonts w:hint="eastAsia" w:ascii="仿宋_GB2312" w:hAnsi="仿宋" w:eastAsia="仿宋_GB2312"/>
                <w:szCs w:val="21"/>
              </w:rPr>
              <w:t>《手术器械标志》</w:t>
            </w:r>
          </w:p>
        </w:tc>
      </w:tr>
      <w:tr w14:paraId="4678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2938177">
            <w:pPr>
              <w:spacing w:line="520" w:lineRule="exact"/>
              <w:rPr>
                <w:rFonts w:ascii="仿宋_GB2312" w:hAnsi="仿宋" w:eastAsia="仿宋_GB2312"/>
                <w:szCs w:val="21"/>
              </w:rPr>
            </w:pPr>
            <w:r>
              <w:rPr>
                <w:rFonts w:hint="eastAsia" w:ascii="仿宋_GB2312" w:hAnsi="仿宋" w:eastAsia="仿宋_GB2312"/>
                <w:szCs w:val="21"/>
              </w:rPr>
              <w:t>YY/T 1297-2015</w:t>
            </w:r>
          </w:p>
        </w:tc>
        <w:tc>
          <w:tcPr>
            <w:tcW w:w="5336" w:type="dxa"/>
            <w:tcBorders>
              <w:top w:val="single" w:color="auto" w:sz="4" w:space="0"/>
              <w:left w:val="single" w:color="auto" w:sz="4" w:space="0"/>
              <w:bottom w:val="single" w:color="auto" w:sz="4" w:space="0"/>
              <w:right w:val="single" w:color="auto" w:sz="4" w:space="0"/>
            </w:tcBorders>
            <w:vAlign w:val="center"/>
          </w:tcPr>
          <w:p w14:paraId="6016AB8B">
            <w:pPr>
              <w:spacing w:line="520" w:lineRule="exact"/>
              <w:rPr>
                <w:rFonts w:ascii="仿宋_GB2312" w:hAnsi="仿宋" w:eastAsia="仿宋_GB2312"/>
                <w:szCs w:val="21"/>
              </w:rPr>
            </w:pPr>
            <w:r>
              <w:rPr>
                <w:rFonts w:hint="eastAsia" w:ascii="仿宋_GB2312" w:hAnsi="仿宋" w:eastAsia="仿宋_GB2312"/>
                <w:szCs w:val="21"/>
              </w:rPr>
              <w:t>《医用关节镜刮匙》</w:t>
            </w:r>
          </w:p>
        </w:tc>
      </w:tr>
      <w:tr w14:paraId="71C7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E463530">
            <w:pPr>
              <w:spacing w:line="520" w:lineRule="exact"/>
              <w:rPr>
                <w:rFonts w:ascii="仿宋_GB2312" w:hAnsi="仿宋" w:eastAsia="仿宋_GB2312"/>
                <w:szCs w:val="21"/>
              </w:rPr>
            </w:pPr>
            <w:r>
              <w:rPr>
                <w:rFonts w:hint="eastAsia" w:ascii="仿宋_GB2312" w:hAnsi="仿宋" w:eastAsia="仿宋_GB2312"/>
                <w:szCs w:val="21"/>
              </w:rPr>
              <w:t>JB/T 7991.4-2001</w:t>
            </w:r>
          </w:p>
        </w:tc>
        <w:tc>
          <w:tcPr>
            <w:tcW w:w="5336" w:type="dxa"/>
            <w:tcBorders>
              <w:top w:val="single" w:color="auto" w:sz="4" w:space="0"/>
              <w:left w:val="single" w:color="auto" w:sz="4" w:space="0"/>
              <w:bottom w:val="single" w:color="auto" w:sz="4" w:space="0"/>
              <w:right w:val="single" w:color="auto" w:sz="4" w:space="0"/>
            </w:tcBorders>
            <w:vAlign w:val="center"/>
          </w:tcPr>
          <w:p w14:paraId="6B8668CE">
            <w:pPr>
              <w:spacing w:line="520" w:lineRule="exact"/>
              <w:rPr>
                <w:rFonts w:ascii="仿宋_GB2312" w:hAnsi="仿宋" w:eastAsia="仿宋_GB2312"/>
                <w:szCs w:val="21"/>
              </w:rPr>
            </w:pPr>
            <w:r>
              <w:rPr>
                <w:rStyle w:val="25"/>
                <w:rFonts w:hint="eastAsia" w:ascii="Arial" w:hAnsi="Arial" w:eastAsia="仿宋_GB2312" w:cs="Arial"/>
                <w:sz w:val="15"/>
                <w:szCs w:val="15"/>
                <w:shd w:val="clear" w:color="auto" w:fill="FFFFFF"/>
              </w:rPr>
              <w:t> </w:t>
            </w:r>
            <w:r>
              <w:rPr>
                <w:rFonts w:hint="eastAsia" w:ascii="仿宋_GB2312" w:hAnsi="仿宋" w:eastAsia="仿宋_GB2312"/>
                <w:szCs w:val="21"/>
              </w:rPr>
              <w:t>《电镀超硬磨料制品磨头》</w:t>
            </w:r>
          </w:p>
        </w:tc>
      </w:tr>
    </w:tbl>
    <w:p w14:paraId="0DC0114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上述标准包括了产品技术要求中经常涉及到的标准。企业还应根据产品的特点引用涉及到的其他标准。在对产品适用及引用标准审查时，首先对引用标准的齐全性和适宜性进行审查，也就是在编写产品技术要求时是否准确参考了与产品相关的国家、行业标准。其次，应注意标准编号、标准名称是否完整规范，年代号是否有效。一般来说，产品技术要求应不低于相应的国家标准及行业标准。</w:t>
      </w:r>
    </w:p>
    <w:p w14:paraId="5CF1830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如有新版强制性国家标准、行业标准发布实施，产品性能指标等要求应执行最新版本的国家标准、行业标准。</w:t>
      </w:r>
    </w:p>
    <w:p w14:paraId="41486741">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（六）产品的适用范围</w:t>
      </w:r>
    </w:p>
    <w:p w14:paraId="4DD6771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关节镜下无源手术器械应按照产品使用部位及预期的使用功能来详细描述产品的适用范围/预期用途，具体产品举例如下：</w:t>
      </w:r>
    </w:p>
    <w:p w14:paraId="270E2AA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关节镜用手术刮匙：该产品供关节微创手术中，对病变组织进行刮削。</w:t>
      </w:r>
    </w:p>
    <w:p w14:paraId="68A8EFF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关节镜用手术剪：供关节微创手术中，对病变组织进行剪切、剥离。</w:t>
      </w:r>
    </w:p>
    <w:p w14:paraId="578AF70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关节镜用手术钳：用于关节微创手术中，对病变组织进行抓取、咬切、分离。</w:t>
      </w:r>
    </w:p>
    <w:p w14:paraId="742288C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关节镜配套手术器械：产品与关节镜配套，供疾病检查和手术治疗用。</w:t>
      </w:r>
    </w:p>
    <w:p w14:paraId="779973C8">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（七）产品的主要风险</w:t>
      </w:r>
    </w:p>
    <w:p w14:paraId="180D943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根据YY/T 0316-2016《医疗器械风险管理对医疗器械的应用》附录E对关节镜下无源手术器械已知或可预见的风险进行判定，在进行风险分析时至少应包括以下的主要危险（源）（见表2）。企业还应根据产品自身特点确定其他危险（源），并采取应对措施，确保风险降到可接收程度。</w:t>
      </w:r>
    </w:p>
    <w:p w14:paraId="52021B3B">
      <w:pPr>
        <w:spacing w:line="52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表2 产品主要危险（源）控制措施内容</w:t>
      </w:r>
    </w:p>
    <w:tbl>
      <w:tblPr>
        <w:tblStyle w:val="9"/>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843"/>
        <w:gridCol w:w="3118"/>
        <w:gridCol w:w="1276"/>
        <w:gridCol w:w="1688"/>
      </w:tblGrid>
      <w:tr w14:paraId="37C8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2880" w:type="dxa"/>
            <w:gridSpan w:val="2"/>
            <w:vAlign w:val="center"/>
          </w:tcPr>
          <w:p w14:paraId="64D2FE11">
            <w:pPr>
              <w:tabs>
                <w:tab w:val="center" w:pos="1407"/>
                <w:tab w:val="right" w:pos="2814"/>
              </w:tabs>
              <w:spacing w:line="400" w:lineRule="exact"/>
              <w:jc w:val="center"/>
              <w:rPr>
                <w:rFonts w:ascii="仿宋_GB2312" w:hAnsi="仿宋" w:eastAsia="仿宋_GB2312" w:cs="Times New Roman"/>
                <w:szCs w:val="21"/>
              </w:rPr>
            </w:pPr>
            <w:r>
              <w:rPr>
                <w:rFonts w:hint="eastAsia" w:ascii="仿宋_GB2312" w:hAnsi="仿宋" w:eastAsia="仿宋_GB2312" w:cs="Times New Roman"/>
                <w:szCs w:val="21"/>
              </w:rPr>
              <w:t>危险（源）的分类</w:t>
            </w:r>
          </w:p>
        </w:tc>
        <w:tc>
          <w:tcPr>
            <w:tcW w:w="3118" w:type="dxa"/>
            <w:vAlign w:val="center"/>
          </w:tcPr>
          <w:p w14:paraId="28B5964D">
            <w:pPr>
              <w:spacing w:line="400" w:lineRule="exact"/>
              <w:jc w:val="center"/>
              <w:rPr>
                <w:rFonts w:ascii="仿宋_GB2312" w:hAnsi="仿宋" w:eastAsia="仿宋_GB2312" w:cs="Times New Roman"/>
                <w:szCs w:val="21"/>
              </w:rPr>
            </w:pPr>
            <w:r>
              <w:rPr>
                <w:rFonts w:hint="eastAsia" w:ascii="仿宋_GB2312" w:hAnsi="仿宋" w:eastAsia="仿宋_GB2312" w:cs="Times New Roman"/>
                <w:szCs w:val="21"/>
              </w:rPr>
              <w:t>危险情况</w:t>
            </w:r>
          </w:p>
        </w:tc>
        <w:tc>
          <w:tcPr>
            <w:tcW w:w="1276" w:type="dxa"/>
            <w:vAlign w:val="center"/>
          </w:tcPr>
          <w:p w14:paraId="3DB5A33E">
            <w:pPr>
              <w:spacing w:line="400" w:lineRule="exact"/>
              <w:jc w:val="center"/>
              <w:rPr>
                <w:rFonts w:ascii="仿宋_GB2312" w:hAnsi="仿宋" w:eastAsia="仿宋_GB2312" w:cs="Times New Roman"/>
                <w:szCs w:val="21"/>
              </w:rPr>
            </w:pPr>
            <w:r>
              <w:rPr>
                <w:rFonts w:hint="eastAsia" w:ascii="仿宋_GB2312" w:hAnsi="仿宋" w:eastAsia="仿宋_GB2312" w:cs="Times New Roman"/>
                <w:szCs w:val="21"/>
              </w:rPr>
              <w:t>产生的后果或伤害</w:t>
            </w:r>
          </w:p>
        </w:tc>
        <w:tc>
          <w:tcPr>
            <w:tcW w:w="1688" w:type="dxa"/>
          </w:tcPr>
          <w:p w14:paraId="0F0C5F30">
            <w:pPr>
              <w:spacing w:line="400" w:lineRule="exact"/>
              <w:jc w:val="center"/>
              <w:rPr>
                <w:rFonts w:ascii="仿宋_GB2312" w:hAnsi="仿宋" w:eastAsia="仿宋_GB2312" w:cs="Times New Roman"/>
                <w:szCs w:val="21"/>
              </w:rPr>
            </w:pPr>
            <w:r>
              <w:rPr>
                <w:rFonts w:hint="eastAsia" w:ascii="仿宋_GB2312" w:hAnsi="仿宋" w:eastAsia="仿宋_GB2312" w:cs="Times New Roman"/>
                <w:szCs w:val="21"/>
              </w:rPr>
              <w:t>控制措施</w:t>
            </w:r>
          </w:p>
        </w:tc>
      </w:tr>
      <w:tr w14:paraId="306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restart"/>
            <w:vAlign w:val="center"/>
          </w:tcPr>
          <w:p w14:paraId="6E380B81">
            <w:pPr>
              <w:spacing w:line="400" w:lineRule="exact"/>
              <w:jc w:val="left"/>
              <w:rPr>
                <w:rFonts w:ascii="仿宋_GB2312" w:hAnsi="仿宋" w:eastAsia="仿宋_GB2312" w:cs="Times New Roman"/>
                <w:szCs w:val="21"/>
              </w:rPr>
            </w:pPr>
            <w:r>
              <w:rPr>
                <w:rFonts w:hint="eastAsia" w:ascii="仿宋_GB2312" w:hAnsi="仿宋" w:eastAsia="仿宋_GB2312" w:cs="Times New Roman"/>
                <w:szCs w:val="21"/>
              </w:rPr>
              <w:t>生物学危险（源）</w:t>
            </w:r>
          </w:p>
          <w:p w14:paraId="00437A32">
            <w:pPr>
              <w:spacing w:line="400" w:lineRule="exact"/>
              <w:rPr>
                <w:rFonts w:ascii="仿宋_GB2312" w:hAnsi="仿宋" w:eastAsia="仿宋_GB2312" w:cs="Times New Roman"/>
                <w:szCs w:val="21"/>
              </w:rPr>
            </w:pPr>
          </w:p>
        </w:tc>
        <w:tc>
          <w:tcPr>
            <w:tcW w:w="1843" w:type="dxa"/>
            <w:vMerge w:val="restart"/>
          </w:tcPr>
          <w:p w14:paraId="48A12195">
            <w:pPr>
              <w:spacing w:line="400" w:lineRule="exact"/>
              <w:rPr>
                <w:rFonts w:ascii="仿宋_GB2312" w:hAnsi="仿宋" w:eastAsia="仿宋_GB2312" w:cs="Times New Roman"/>
                <w:szCs w:val="21"/>
              </w:rPr>
            </w:pPr>
            <w:r>
              <w:rPr>
                <w:rFonts w:hint="eastAsia" w:ascii="仿宋_GB2312" w:hAnsi="仿宋" w:eastAsia="仿宋_GB2312" w:cs="Times New Roman"/>
                <w:szCs w:val="21"/>
              </w:rPr>
              <w:t>生物污染。</w:t>
            </w:r>
          </w:p>
        </w:tc>
        <w:tc>
          <w:tcPr>
            <w:tcW w:w="3118" w:type="dxa"/>
            <w:vAlign w:val="center"/>
          </w:tcPr>
          <w:p w14:paraId="161D74A8">
            <w:pPr>
              <w:spacing w:line="400" w:lineRule="exact"/>
              <w:rPr>
                <w:rFonts w:ascii="仿宋_GB2312" w:hAnsi="仿宋" w:eastAsia="仿宋_GB2312" w:cs="Times New Roman"/>
                <w:szCs w:val="21"/>
              </w:rPr>
            </w:pPr>
            <w:r>
              <w:rPr>
                <w:rFonts w:hint="eastAsia" w:ascii="仿宋_GB2312" w:hAnsi="仿宋" w:eastAsia="仿宋_GB2312" w:cs="Times New Roman"/>
                <w:szCs w:val="21"/>
              </w:rPr>
              <w:t>产品使用后，未按要求进行充分清洗、（使用者）灭菌操作不规范或未灭菌、使用时操作不正规。</w:t>
            </w:r>
          </w:p>
        </w:tc>
        <w:tc>
          <w:tcPr>
            <w:tcW w:w="1276" w:type="dxa"/>
          </w:tcPr>
          <w:p w14:paraId="0687A305">
            <w:pPr>
              <w:spacing w:line="400" w:lineRule="exact"/>
              <w:rPr>
                <w:rFonts w:ascii="仿宋_GB2312" w:hAnsi="仿宋" w:eastAsia="仿宋_GB2312" w:cs="Times New Roman"/>
                <w:szCs w:val="21"/>
              </w:rPr>
            </w:pPr>
            <w:r>
              <w:rPr>
                <w:rFonts w:hint="eastAsia" w:ascii="仿宋_GB2312" w:hAnsi="仿宋" w:eastAsia="仿宋_GB2312" w:cs="Times New Roman"/>
                <w:szCs w:val="21"/>
              </w:rPr>
              <w:t>产品带菌，引起交叉感染。</w:t>
            </w:r>
          </w:p>
        </w:tc>
        <w:tc>
          <w:tcPr>
            <w:tcW w:w="1688" w:type="dxa"/>
          </w:tcPr>
          <w:p w14:paraId="358FBAE3">
            <w:pPr>
              <w:spacing w:line="400" w:lineRule="exact"/>
              <w:rPr>
                <w:rFonts w:ascii="仿宋_GB2312" w:hAnsi="仿宋" w:eastAsia="仿宋_GB2312" w:cs="Times New Roman"/>
                <w:szCs w:val="21"/>
              </w:rPr>
            </w:pPr>
            <w:r>
              <w:rPr>
                <w:rFonts w:hint="eastAsia" w:ascii="仿宋_GB2312" w:hAnsi="仿宋" w:eastAsia="仿宋_GB2312" w:cs="Times New Roman"/>
                <w:szCs w:val="21"/>
              </w:rPr>
              <w:t>按照法规中的要求在产品说明书中标明产品清洗、灭菌方法和产品使用方法。</w:t>
            </w:r>
          </w:p>
        </w:tc>
      </w:tr>
      <w:tr w14:paraId="23B5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14:paraId="0818F0CA">
            <w:pPr>
              <w:spacing w:line="400" w:lineRule="exact"/>
              <w:jc w:val="center"/>
              <w:rPr>
                <w:rFonts w:ascii="仿宋_GB2312" w:hAnsi="仿宋" w:eastAsia="仿宋_GB2312" w:cs="Times New Roman"/>
                <w:szCs w:val="21"/>
              </w:rPr>
            </w:pPr>
          </w:p>
        </w:tc>
        <w:tc>
          <w:tcPr>
            <w:tcW w:w="1843" w:type="dxa"/>
            <w:vMerge w:val="continue"/>
          </w:tcPr>
          <w:p w14:paraId="752625C0">
            <w:pPr>
              <w:spacing w:line="400" w:lineRule="exact"/>
              <w:rPr>
                <w:rFonts w:ascii="仿宋_GB2312" w:hAnsi="仿宋" w:eastAsia="仿宋_GB2312" w:cs="Times New Roman"/>
                <w:szCs w:val="21"/>
              </w:rPr>
            </w:pPr>
          </w:p>
        </w:tc>
        <w:tc>
          <w:tcPr>
            <w:tcW w:w="3118" w:type="dxa"/>
          </w:tcPr>
          <w:p w14:paraId="4901DBB0">
            <w:pPr>
              <w:spacing w:line="400" w:lineRule="exact"/>
              <w:rPr>
                <w:rFonts w:ascii="仿宋_GB2312" w:hAnsi="仿宋" w:eastAsia="仿宋_GB2312" w:cs="Times New Roman"/>
                <w:szCs w:val="21"/>
              </w:rPr>
            </w:pPr>
            <w:r>
              <w:rPr>
                <w:rFonts w:hint="eastAsia" w:ascii="仿宋_GB2312" w:hAnsi="仿宋" w:eastAsia="仿宋_GB2312" w:cs="Times New Roman"/>
                <w:szCs w:val="21"/>
              </w:rPr>
              <w:t>产品未设计成可以充分清洗消毒结构；使用后的产品，无法被轻易的进行充分的清洗与灭菌。</w:t>
            </w:r>
          </w:p>
        </w:tc>
        <w:tc>
          <w:tcPr>
            <w:tcW w:w="1276" w:type="dxa"/>
          </w:tcPr>
          <w:p w14:paraId="69EF23E0">
            <w:pPr>
              <w:spacing w:line="400" w:lineRule="exact"/>
              <w:rPr>
                <w:rFonts w:ascii="仿宋_GB2312" w:hAnsi="仿宋" w:eastAsia="仿宋_GB2312" w:cs="Times New Roman"/>
                <w:szCs w:val="21"/>
              </w:rPr>
            </w:pPr>
            <w:r>
              <w:rPr>
                <w:rFonts w:hint="eastAsia" w:ascii="仿宋_GB2312" w:hAnsi="仿宋" w:eastAsia="仿宋_GB2312" w:cs="Times New Roman"/>
                <w:szCs w:val="21"/>
              </w:rPr>
              <w:t>产品带菌，引起感染与交叉感染。</w:t>
            </w:r>
          </w:p>
        </w:tc>
        <w:tc>
          <w:tcPr>
            <w:tcW w:w="1688" w:type="dxa"/>
          </w:tcPr>
          <w:p w14:paraId="04D8E9BF">
            <w:pPr>
              <w:spacing w:line="400" w:lineRule="exact"/>
              <w:rPr>
                <w:rFonts w:ascii="仿宋_GB2312" w:hAnsi="仿宋" w:eastAsia="仿宋_GB2312" w:cs="Times New Roman"/>
                <w:szCs w:val="21"/>
              </w:rPr>
            </w:pPr>
            <w:r>
              <w:rPr>
                <w:rFonts w:hint="eastAsia" w:ascii="仿宋_GB2312" w:hAnsi="仿宋" w:eastAsia="仿宋_GB2312" w:cs="Times New Roman"/>
                <w:szCs w:val="21"/>
              </w:rPr>
              <w:t>对产品设计进行验证；</w:t>
            </w:r>
          </w:p>
          <w:p w14:paraId="745747DE">
            <w:pPr>
              <w:spacing w:line="400" w:lineRule="exact"/>
              <w:rPr>
                <w:rFonts w:ascii="仿宋_GB2312" w:hAnsi="仿宋" w:eastAsia="仿宋_GB2312" w:cs="Times New Roman"/>
                <w:szCs w:val="21"/>
              </w:rPr>
            </w:pPr>
            <w:r>
              <w:rPr>
                <w:rFonts w:hint="eastAsia" w:ascii="仿宋_GB2312" w:hAnsi="仿宋" w:eastAsia="仿宋_GB2312" w:cs="Times New Roman"/>
                <w:szCs w:val="21"/>
              </w:rPr>
              <w:t>进行灭菌确认。</w:t>
            </w:r>
          </w:p>
        </w:tc>
      </w:tr>
      <w:tr w14:paraId="2457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37" w:type="dxa"/>
            <w:vMerge w:val="continue"/>
            <w:vAlign w:val="center"/>
          </w:tcPr>
          <w:p w14:paraId="17907989">
            <w:pPr>
              <w:spacing w:line="400" w:lineRule="exact"/>
              <w:rPr>
                <w:rFonts w:ascii="仿宋_GB2312" w:hAnsi="仿宋" w:eastAsia="仿宋_GB2312" w:cs="Times New Roman"/>
                <w:szCs w:val="21"/>
              </w:rPr>
            </w:pPr>
          </w:p>
        </w:tc>
        <w:tc>
          <w:tcPr>
            <w:tcW w:w="1843" w:type="dxa"/>
          </w:tcPr>
          <w:p w14:paraId="5D907214">
            <w:pPr>
              <w:spacing w:line="400" w:lineRule="exact"/>
              <w:rPr>
                <w:rFonts w:ascii="仿宋_GB2312" w:hAnsi="仿宋" w:eastAsia="仿宋_GB2312" w:cs="Times New Roman"/>
                <w:szCs w:val="21"/>
              </w:rPr>
            </w:pPr>
            <w:r>
              <w:rPr>
                <w:rFonts w:hint="eastAsia" w:ascii="仿宋_GB2312" w:hAnsi="仿宋" w:eastAsia="仿宋_GB2312" w:cs="Times New Roman"/>
                <w:szCs w:val="21"/>
              </w:rPr>
              <w:t>生物不相容性。</w:t>
            </w:r>
          </w:p>
        </w:tc>
        <w:tc>
          <w:tcPr>
            <w:tcW w:w="3118" w:type="dxa"/>
          </w:tcPr>
          <w:p w14:paraId="4C1AB76E">
            <w:pPr>
              <w:spacing w:line="400" w:lineRule="exact"/>
              <w:rPr>
                <w:rFonts w:ascii="仿宋_GB2312" w:hAnsi="仿宋" w:eastAsia="仿宋_GB2312" w:cs="Times New Roman"/>
                <w:szCs w:val="21"/>
              </w:rPr>
            </w:pPr>
            <w:r>
              <w:rPr>
                <w:rFonts w:hint="eastAsia" w:ascii="仿宋_GB2312" w:hAnsi="仿宋" w:eastAsia="仿宋_GB2312" w:cs="Times New Roman"/>
                <w:szCs w:val="21"/>
              </w:rPr>
              <w:t>与人体接触的材料，不具有良好的生物相容性。</w:t>
            </w:r>
          </w:p>
        </w:tc>
        <w:tc>
          <w:tcPr>
            <w:tcW w:w="1276" w:type="dxa"/>
          </w:tcPr>
          <w:p w14:paraId="6DD26D38">
            <w:pPr>
              <w:spacing w:line="400" w:lineRule="exact"/>
              <w:rPr>
                <w:rFonts w:ascii="仿宋_GB2312" w:hAnsi="仿宋" w:eastAsia="仿宋_GB2312" w:cs="Times New Roman"/>
                <w:szCs w:val="21"/>
              </w:rPr>
            </w:pPr>
            <w:r>
              <w:rPr>
                <w:rFonts w:hint="eastAsia" w:ascii="仿宋_GB2312" w:hAnsi="仿宋" w:eastAsia="仿宋_GB2312" w:cs="Times New Roman"/>
                <w:szCs w:val="21"/>
              </w:rPr>
              <w:t>使用中产生细胞毒性、致敏反应等。</w:t>
            </w:r>
          </w:p>
        </w:tc>
        <w:tc>
          <w:tcPr>
            <w:tcW w:w="1688" w:type="dxa"/>
          </w:tcPr>
          <w:p w14:paraId="0EF90946">
            <w:pPr>
              <w:spacing w:line="400" w:lineRule="exact"/>
              <w:rPr>
                <w:rFonts w:ascii="仿宋_GB2312" w:hAnsi="仿宋" w:eastAsia="仿宋_GB2312" w:cs="Times New Roman"/>
                <w:szCs w:val="21"/>
              </w:rPr>
            </w:pPr>
            <w:r>
              <w:rPr>
                <w:rFonts w:hint="eastAsia" w:ascii="仿宋_GB2312" w:hAnsi="仿宋" w:eastAsia="仿宋_GB2312" w:cs="Times New Roman"/>
                <w:szCs w:val="21"/>
              </w:rPr>
              <w:t>原材料入厂检验；</w:t>
            </w:r>
          </w:p>
          <w:p w14:paraId="656D3AE8">
            <w:pPr>
              <w:spacing w:line="400" w:lineRule="exact"/>
              <w:rPr>
                <w:rFonts w:ascii="仿宋_GB2312" w:hAnsi="仿宋" w:eastAsia="仿宋_GB2312" w:cs="Times New Roman"/>
                <w:szCs w:val="21"/>
              </w:rPr>
            </w:pPr>
            <w:r>
              <w:rPr>
                <w:rFonts w:hint="eastAsia" w:ascii="仿宋_GB2312" w:hAnsi="仿宋" w:eastAsia="仿宋_GB2312" w:cs="Times New Roman"/>
                <w:szCs w:val="21"/>
              </w:rPr>
              <w:t>进行生物相容性评价。</w:t>
            </w:r>
          </w:p>
        </w:tc>
      </w:tr>
      <w:tr w14:paraId="60D9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14:paraId="63DD159F">
            <w:pPr>
              <w:spacing w:line="400" w:lineRule="exact"/>
              <w:rPr>
                <w:rFonts w:ascii="仿宋_GB2312" w:hAnsi="仿宋" w:eastAsia="仿宋_GB2312" w:cs="Times New Roman"/>
                <w:szCs w:val="21"/>
              </w:rPr>
            </w:pPr>
          </w:p>
        </w:tc>
        <w:tc>
          <w:tcPr>
            <w:tcW w:w="1843" w:type="dxa"/>
            <w:vMerge w:val="restart"/>
          </w:tcPr>
          <w:p w14:paraId="6F7766A9">
            <w:pPr>
              <w:spacing w:line="400" w:lineRule="exact"/>
              <w:rPr>
                <w:rFonts w:ascii="仿宋_GB2312" w:hAnsi="仿宋" w:eastAsia="仿宋_GB2312" w:cs="Times New Roman"/>
                <w:szCs w:val="21"/>
              </w:rPr>
            </w:pPr>
            <w:r>
              <w:rPr>
                <w:rFonts w:hint="eastAsia" w:ascii="仿宋_GB2312" w:hAnsi="仿宋" w:eastAsia="仿宋_GB2312" w:cs="Times New Roman"/>
                <w:szCs w:val="21"/>
              </w:rPr>
              <w:t>再感染和/或交叉感染。</w:t>
            </w:r>
          </w:p>
        </w:tc>
        <w:tc>
          <w:tcPr>
            <w:tcW w:w="3118" w:type="dxa"/>
          </w:tcPr>
          <w:p w14:paraId="363AED05">
            <w:pPr>
              <w:spacing w:line="400" w:lineRule="exact"/>
              <w:rPr>
                <w:rFonts w:ascii="仿宋_GB2312" w:hAnsi="仿宋" w:eastAsia="仿宋_GB2312" w:cs="Times New Roman"/>
                <w:szCs w:val="21"/>
              </w:rPr>
            </w:pPr>
            <w:r>
              <w:rPr>
                <w:rFonts w:hint="eastAsia" w:ascii="仿宋_GB2312" w:hAnsi="仿宋" w:eastAsia="仿宋_GB2312" w:cs="Times New Roman"/>
                <w:szCs w:val="21"/>
              </w:rPr>
              <w:t>使用操作不当、未进行有效灭菌。</w:t>
            </w:r>
          </w:p>
        </w:tc>
        <w:tc>
          <w:tcPr>
            <w:tcW w:w="1276" w:type="dxa"/>
          </w:tcPr>
          <w:p w14:paraId="156B9FA4">
            <w:pPr>
              <w:spacing w:line="400" w:lineRule="exact"/>
              <w:rPr>
                <w:rFonts w:ascii="仿宋_GB2312" w:hAnsi="仿宋" w:eastAsia="仿宋_GB2312" w:cs="Times New Roman"/>
                <w:szCs w:val="21"/>
              </w:rPr>
            </w:pPr>
            <w:r>
              <w:rPr>
                <w:rFonts w:hint="eastAsia" w:ascii="仿宋_GB2312" w:hAnsi="仿宋" w:eastAsia="仿宋_GB2312" w:cs="Times New Roman"/>
                <w:szCs w:val="21"/>
              </w:rPr>
              <w:t>引起感染、交叉感染。</w:t>
            </w:r>
          </w:p>
        </w:tc>
        <w:tc>
          <w:tcPr>
            <w:tcW w:w="1688" w:type="dxa"/>
          </w:tcPr>
          <w:p w14:paraId="1F82180F">
            <w:pPr>
              <w:spacing w:line="400" w:lineRule="exact"/>
              <w:rPr>
                <w:rFonts w:ascii="仿宋_GB2312" w:hAnsi="仿宋" w:eastAsia="仿宋_GB2312" w:cs="Times New Roman"/>
                <w:szCs w:val="21"/>
              </w:rPr>
            </w:pPr>
            <w:r>
              <w:rPr>
                <w:rFonts w:hint="eastAsia" w:ascii="仿宋_GB2312" w:hAnsi="仿宋" w:eastAsia="仿宋_GB2312" w:cs="Times New Roman"/>
                <w:szCs w:val="21"/>
              </w:rPr>
              <w:t>按照法规中的要求在产品中提供产品使用方法；</w:t>
            </w:r>
          </w:p>
          <w:p w14:paraId="634BCCE6">
            <w:pPr>
              <w:spacing w:line="400" w:lineRule="exact"/>
              <w:rPr>
                <w:rFonts w:ascii="仿宋_GB2312" w:hAnsi="仿宋" w:eastAsia="仿宋_GB2312" w:cs="Times New Roman"/>
                <w:szCs w:val="21"/>
              </w:rPr>
            </w:pPr>
            <w:r>
              <w:rPr>
                <w:rFonts w:hint="eastAsia" w:ascii="仿宋_GB2312" w:hAnsi="仿宋" w:eastAsia="仿宋_GB2312" w:cs="Times New Roman"/>
                <w:szCs w:val="21"/>
              </w:rPr>
              <w:t>规范灭菌确认过程。</w:t>
            </w:r>
          </w:p>
        </w:tc>
      </w:tr>
      <w:tr w14:paraId="2894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14:paraId="1E2FDDAE">
            <w:pPr>
              <w:spacing w:line="400" w:lineRule="exact"/>
              <w:rPr>
                <w:rFonts w:ascii="仿宋_GB2312" w:hAnsi="仿宋" w:eastAsia="仿宋_GB2312" w:cs="Times New Roman"/>
                <w:szCs w:val="21"/>
              </w:rPr>
            </w:pPr>
          </w:p>
        </w:tc>
        <w:tc>
          <w:tcPr>
            <w:tcW w:w="1843" w:type="dxa"/>
            <w:vMerge w:val="continue"/>
          </w:tcPr>
          <w:p w14:paraId="65AA5B05">
            <w:pPr>
              <w:spacing w:line="400" w:lineRule="exact"/>
              <w:rPr>
                <w:rFonts w:ascii="仿宋_GB2312" w:hAnsi="仿宋" w:eastAsia="仿宋_GB2312" w:cs="Times New Roman"/>
                <w:szCs w:val="21"/>
              </w:rPr>
            </w:pPr>
          </w:p>
        </w:tc>
        <w:tc>
          <w:tcPr>
            <w:tcW w:w="3118" w:type="dxa"/>
          </w:tcPr>
          <w:p w14:paraId="47304213">
            <w:pPr>
              <w:spacing w:line="400" w:lineRule="exact"/>
              <w:rPr>
                <w:rFonts w:ascii="仿宋_GB2312" w:hAnsi="仿宋" w:eastAsia="仿宋_GB2312" w:cs="Times New Roman"/>
                <w:szCs w:val="21"/>
              </w:rPr>
            </w:pPr>
            <w:r>
              <w:rPr>
                <w:rFonts w:hint="eastAsia" w:ascii="仿宋_GB2312" w:hAnsi="仿宋" w:eastAsia="仿宋_GB2312" w:cs="Times New Roman"/>
                <w:szCs w:val="21"/>
              </w:rPr>
              <w:t>无菌屏障包装无法保证或包装不恰当导致产品污染和退化。</w:t>
            </w:r>
          </w:p>
        </w:tc>
        <w:tc>
          <w:tcPr>
            <w:tcW w:w="1276" w:type="dxa"/>
          </w:tcPr>
          <w:p w14:paraId="6A7838C7">
            <w:pPr>
              <w:spacing w:line="400" w:lineRule="exact"/>
              <w:rPr>
                <w:rFonts w:ascii="仿宋_GB2312" w:hAnsi="仿宋" w:eastAsia="仿宋_GB2312" w:cs="Times New Roman"/>
                <w:szCs w:val="21"/>
              </w:rPr>
            </w:pPr>
            <w:r>
              <w:rPr>
                <w:rFonts w:hint="eastAsia" w:ascii="仿宋_GB2312" w:hAnsi="仿宋" w:eastAsia="仿宋_GB2312" w:cs="Times New Roman"/>
                <w:szCs w:val="21"/>
              </w:rPr>
              <w:t>术后感染。</w:t>
            </w:r>
          </w:p>
        </w:tc>
        <w:tc>
          <w:tcPr>
            <w:tcW w:w="1688" w:type="dxa"/>
          </w:tcPr>
          <w:p w14:paraId="466716A3">
            <w:pPr>
              <w:spacing w:line="400" w:lineRule="exact"/>
              <w:rPr>
                <w:rFonts w:ascii="仿宋_GB2312" w:hAnsi="仿宋" w:eastAsia="仿宋_GB2312" w:cs="Times New Roman"/>
                <w:szCs w:val="21"/>
              </w:rPr>
            </w:pPr>
            <w:r>
              <w:rPr>
                <w:rFonts w:hint="eastAsia" w:ascii="仿宋_GB2312" w:hAnsi="仿宋" w:eastAsia="仿宋_GB2312" w:cs="Times New Roman"/>
                <w:szCs w:val="21"/>
              </w:rPr>
              <w:t>进行包装试验；严格控制包装工艺；严格按照出厂检验规范进行检验，合格后方可出厂。</w:t>
            </w:r>
          </w:p>
        </w:tc>
      </w:tr>
      <w:tr w14:paraId="72CB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14:paraId="2214C903">
            <w:pPr>
              <w:spacing w:line="400" w:lineRule="exact"/>
              <w:rPr>
                <w:rFonts w:ascii="仿宋_GB2312" w:hAnsi="仿宋" w:eastAsia="仿宋_GB2312" w:cs="Times New Roman"/>
                <w:szCs w:val="21"/>
              </w:rPr>
            </w:pPr>
          </w:p>
        </w:tc>
        <w:tc>
          <w:tcPr>
            <w:tcW w:w="1843" w:type="dxa"/>
            <w:vMerge w:val="continue"/>
          </w:tcPr>
          <w:p w14:paraId="72001B50">
            <w:pPr>
              <w:spacing w:line="400" w:lineRule="exact"/>
              <w:rPr>
                <w:rFonts w:ascii="仿宋_GB2312" w:hAnsi="仿宋" w:eastAsia="仿宋_GB2312" w:cs="Times New Roman"/>
                <w:szCs w:val="21"/>
              </w:rPr>
            </w:pPr>
          </w:p>
        </w:tc>
        <w:tc>
          <w:tcPr>
            <w:tcW w:w="3118" w:type="dxa"/>
          </w:tcPr>
          <w:p w14:paraId="3B8525FF">
            <w:pPr>
              <w:widowControl/>
              <w:spacing w:line="400" w:lineRule="exact"/>
              <w:rPr>
                <w:rFonts w:ascii="仿宋_GB2312" w:hAnsi="仿宋" w:eastAsia="仿宋_GB2312" w:cs="Times New Roman"/>
                <w:color w:val="000000"/>
                <w:szCs w:val="21"/>
              </w:rPr>
            </w:pPr>
            <w:r>
              <w:rPr>
                <w:rFonts w:hint="eastAsia" w:ascii="仿宋_GB2312" w:hAnsi="仿宋" w:eastAsia="仿宋_GB2312" w:cs="Times New Roman"/>
                <w:color w:val="000000"/>
                <w:szCs w:val="21"/>
              </w:rPr>
              <w:t>产品生物负载超过灭菌过程允许的限制。</w:t>
            </w:r>
          </w:p>
        </w:tc>
        <w:tc>
          <w:tcPr>
            <w:tcW w:w="1276" w:type="dxa"/>
          </w:tcPr>
          <w:p w14:paraId="19D1CFD9">
            <w:pPr>
              <w:spacing w:line="400" w:lineRule="exact"/>
              <w:rPr>
                <w:rFonts w:ascii="仿宋_GB2312" w:hAnsi="仿宋" w:eastAsia="仿宋_GB2312" w:cs="Times New Roman"/>
                <w:szCs w:val="21"/>
              </w:rPr>
            </w:pPr>
            <w:r>
              <w:rPr>
                <w:rFonts w:hint="eastAsia" w:ascii="仿宋_GB2312" w:hAnsi="仿宋" w:eastAsia="仿宋_GB2312" w:cs="Times New Roman"/>
                <w:szCs w:val="21"/>
              </w:rPr>
              <w:t>术后感染。</w:t>
            </w:r>
          </w:p>
        </w:tc>
        <w:tc>
          <w:tcPr>
            <w:tcW w:w="1688" w:type="dxa"/>
          </w:tcPr>
          <w:p w14:paraId="725B87F7">
            <w:pPr>
              <w:spacing w:line="400" w:lineRule="exact"/>
              <w:rPr>
                <w:rFonts w:ascii="仿宋_GB2312" w:hAnsi="仿宋" w:eastAsia="仿宋_GB2312" w:cs="Times New Roman"/>
                <w:szCs w:val="21"/>
              </w:rPr>
            </w:pPr>
            <w:r>
              <w:rPr>
                <w:rFonts w:hint="eastAsia" w:ascii="仿宋_GB2312" w:hAnsi="仿宋" w:eastAsia="仿宋_GB2312" w:cs="Times New Roman"/>
                <w:szCs w:val="21"/>
              </w:rPr>
              <w:t>进行生物负载试验。</w:t>
            </w:r>
          </w:p>
        </w:tc>
      </w:tr>
      <w:tr w14:paraId="2A0C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14:paraId="2C95A8BD">
            <w:pPr>
              <w:spacing w:line="400" w:lineRule="exact"/>
              <w:jc w:val="left"/>
              <w:rPr>
                <w:rFonts w:ascii="仿宋_GB2312" w:hAnsi="仿宋" w:eastAsia="仿宋_GB2312" w:cs="Times New Roman"/>
                <w:szCs w:val="21"/>
              </w:rPr>
            </w:pPr>
            <w:r>
              <w:rPr>
                <w:rFonts w:hint="eastAsia" w:ascii="仿宋_GB2312" w:hAnsi="仿宋" w:eastAsia="仿宋_GB2312" w:cs="Times New Roman"/>
                <w:szCs w:val="21"/>
              </w:rPr>
              <w:t>机械力</w:t>
            </w:r>
          </w:p>
        </w:tc>
        <w:tc>
          <w:tcPr>
            <w:tcW w:w="1843" w:type="dxa"/>
          </w:tcPr>
          <w:p w14:paraId="472D1AB6">
            <w:pPr>
              <w:spacing w:line="400" w:lineRule="exact"/>
              <w:rPr>
                <w:rFonts w:ascii="仿宋_GB2312" w:hAnsi="仿宋" w:eastAsia="仿宋_GB2312" w:cs="Times New Roman"/>
                <w:szCs w:val="21"/>
              </w:rPr>
            </w:pPr>
            <w:r>
              <w:rPr>
                <w:rFonts w:hint="eastAsia" w:ascii="仿宋_GB2312" w:hAnsi="仿宋" w:eastAsia="仿宋_GB2312" w:cs="Times New Roman"/>
                <w:szCs w:val="21"/>
              </w:rPr>
              <w:t>锐边、毛刺。</w:t>
            </w:r>
          </w:p>
        </w:tc>
        <w:tc>
          <w:tcPr>
            <w:tcW w:w="3118" w:type="dxa"/>
          </w:tcPr>
          <w:p w14:paraId="634599F2">
            <w:pPr>
              <w:spacing w:line="400" w:lineRule="exact"/>
              <w:rPr>
                <w:rFonts w:ascii="仿宋_GB2312" w:hAnsi="仿宋" w:eastAsia="仿宋_GB2312" w:cs="Times New Roman"/>
                <w:szCs w:val="21"/>
              </w:rPr>
            </w:pPr>
            <w:r>
              <w:rPr>
                <w:rFonts w:hint="eastAsia" w:ascii="仿宋_GB2312" w:hAnsi="仿宋" w:eastAsia="仿宋_GB2312" w:cs="Times New Roman"/>
                <w:szCs w:val="21"/>
              </w:rPr>
              <w:t>与人体组织接触的部分，存在过大的锐边、毛刺等；与使用者接触的部分，存在锐边、毛刺等。</w:t>
            </w:r>
          </w:p>
        </w:tc>
        <w:tc>
          <w:tcPr>
            <w:tcW w:w="1276" w:type="dxa"/>
          </w:tcPr>
          <w:p w14:paraId="346250C8">
            <w:pPr>
              <w:spacing w:line="400" w:lineRule="exact"/>
              <w:rPr>
                <w:rFonts w:ascii="仿宋_GB2312" w:hAnsi="仿宋" w:eastAsia="仿宋_GB2312" w:cs="Times New Roman"/>
                <w:szCs w:val="21"/>
              </w:rPr>
            </w:pPr>
            <w:r>
              <w:rPr>
                <w:rFonts w:hint="eastAsia" w:ascii="仿宋_GB2312" w:hAnsi="仿宋" w:eastAsia="仿宋_GB2312" w:cs="Times New Roman"/>
                <w:szCs w:val="21"/>
              </w:rPr>
              <w:t>对组织造成意外伤害，对使用者造成损伤。</w:t>
            </w:r>
          </w:p>
        </w:tc>
        <w:tc>
          <w:tcPr>
            <w:tcW w:w="1688" w:type="dxa"/>
          </w:tcPr>
          <w:p w14:paraId="0927C35B">
            <w:pPr>
              <w:spacing w:line="400" w:lineRule="exact"/>
              <w:rPr>
                <w:rFonts w:ascii="仿宋_GB2312" w:hAnsi="仿宋" w:eastAsia="仿宋_GB2312" w:cs="Times New Roman"/>
                <w:szCs w:val="21"/>
              </w:rPr>
            </w:pPr>
            <w:r>
              <w:rPr>
                <w:rFonts w:hint="eastAsia" w:ascii="仿宋_GB2312" w:hAnsi="仿宋" w:eastAsia="仿宋_GB2312" w:cs="Times New Roman"/>
                <w:szCs w:val="21"/>
              </w:rPr>
              <w:t>严格按照作业指导书进行生产制造；严格按照出厂检验规范进行检验，合格后方可出厂。</w:t>
            </w:r>
          </w:p>
        </w:tc>
      </w:tr>
      <w:tr w14:paraId="3AF7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restart"/>
            <w:vAlign w:val="center"/>
          </w:tcPr>
          <w:p w14:paraId="700C93AC">
            <w:pPr>
              <w:spacing w:line="400" w:lineRule="exact"/>
              <w:rPr>
                <w:rFonts w:ascii="仿宋_GB2312" w:hAnsi="仿宋" w:eastAsia="仿宋_GB2312" w:cs="Times New Roman"/>
                <w:szCs w:val="21"/>
              </w:rPr>
            </w:pPr>
            <w:r>
              <w:rPr>
                <w:rFonts w:hint="eastAsia" w:ascii="仿宋_GB2312" w:hAnsi="仿宋" w:eastAsia="仿宋_GB2312" w:cs="Times New Roman"/>
                <w:szCs w:val="21"/>
              </w:rPr>
              <w:t>环境危险（源）</w:t>
            </w:r>
          </w:p>
        </w:tc>
        <w:tc>
          <w:tcPr>
            <w:tcW w:w="1843" w:type="dxa"/>
          </w:tcPr>
          <w:p w14:paraId="1296668C">
            <w:pPr>
              <w:spacing w:line="400" w:lineRule="exact"/>
              <w:rPr>
                <w:rFonts w:ascii="仿宋_GB2312" w:hAnsi="仿宋" w:eastAsia="仿宋_GB2312" w:cs="Times New Roman"/>
                <w:szCs w:val="21"/>
              </w:rPr>
            </w:pPr>
            <w:r>
              <w:rPr>
                <w:rFonts w:hint="eastAsia" w:ascii="仿宋_GB2312" w:hAnsi="仿宋" w:eastAsia="仿宋_GB2312" w:cs="Times New Roman"/>
                <w:szCs w:val="21"/>
              </w:rPr>
              <w:t>储存或运行偏离预计的环境条件。</w:t>
            </w:r>
          </w:p>
        </w:tc>
        <w:tc>
          <w:tcPr>
            <w:tcW w:w="3118" w:type="dxa"/>
          </w:tcPr>
          <w:p w14:paraId="03507A45">
            <w:pPr>
              <w:spacing w:line="400" w:lineRule="exact"/>
              <w:rPr>
                <w:rFonts w:ascii="仿宋_GB2312" w:hAnsi="仿宋" w:eastAsia="仿宋_GB2312" w:cs="Times New Roman"/>
                <w:szCs w:val="21"/>
              </w:rPr>
            </w:pPr>
            <w:r>
              <w:rPr>
                <w:rFonts w:hint="eastAsia" w:ascii="仿宋_GB2312" w:hAnsi="仿宋" w:eastAsia="仿宋_GB2312" w:cs="Times New Roman"/>
                <w:szCs w:val="21"/>
              </w:rPr>
              <w:t>储运条件（如温度、湿度、酸碱度）不符合要求。</w:t>
            </w:r>
          </w:p>
        </w:tc>
        <w:tc>
          <w:tcPr>
            <w:tcW w:w="1276" w:type="dxa"/>
          </w:tcPr>
          <w:p w14:paraId="0211D3B7">
            <w:pPr>
              <w:spacing w:line="400" w:lineRule="exact"/>
              <w:rPr>
                <w:rFonts w:ascii="仿宋_GB2312" w:hAnsi="仿宋" w:eastAsia="仿宋_GB2312" w:cs="Times New Roman"/>
                <w:szCs w:val="21"/>
              </w:rPr>
            </w:pPr>
            <w:r>
              <w:rPr>
                <w:rFonts w:hint="eastAsia" w:ascii="仿宋_GB2312" w:hAnsi="仿宋" w:eastAsia="仿宋_GB2312" w:cs="Times New Roman"/>
                <w:szCs w:val="21"/>
              </w:rPr>
              <w:t>产品老化、锈蚀。</w:t>
            </w:r>
          </w:p>
        </w:tc>
        <w:tc>
          <w:tcPr>
            <w:tcW w:w="1688" w:type="dxa"/>
          </w:tcPr>
          <w:p w14:paraId="593269BB">
            <w:pPr>
              <w:spacing w:line="400" w:lineRule="exact"/>
              <w:rPr>
                <w:rFonts w:ascii="仿宋_GB2312" w:hAnsi="仿宋" w:eastAsia="仿宋_GB2312" w:cs="Times New Roman"/>
                <w:szCs w:val="21"/>
              </w:rPr>
            </w:pPr>
            <w:r>
              <w:rPr>
                <w:rFonts w:hint="eastAsia" w:ascii="仿宋_GB2312" w:hAnsi="仿宋" w:eastAsia="仿宋_GB2312" w:cs="Times New Roman"/>
                <w:szCs w:val="21"/>
              </w:rPr>
              <w:t>按照法规中的要求在说明书中标明储存和使用环境。</w:t>
            </w:r>
          </w:p>
        </w:tc>
      </w:tr>
      <w:tr w14:paraId="2AB2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37" w:type="dxa"/>
            <w:vMerge w:val="continue"/>
            <w:vAlign w:val="center"/>
          </w:tcPr>
          <w:p w14:paraId="33913E79">
            <w:pPr>
              <w:spacing w:line="400" w:lineRule="exact"/>
              <w:rPr>
                <w:rFonts w:ascii="仿宋_GB2312" w:hAnsi="仿宋" w:eastAsia="仿宋_GB2312" w:cs="Times New Roman"/>
                <w:szCs w:val="21"/>
              </w:rPr>
            </w:pPr>
          </w:p>
        </w:tc>
        <w:tc>
          <w:tcPr>
            <w:tcW w:w="1843" w:type="dxa"/>
          </w:tcPr>
          <w:p w14:paraId="2A04267F">
            <w:pPr>
              <w:spacing w:line="400" w:lineRule="exact"/>
              <w:rPr>
                <w:rFonts w:ascii="仿宋_GB2312" w:hAnsi="仿宋" w:eastAsia="仿宋_GB2312" w:cs="Times New Roman"/>
                <w:szCs w:val="21"/>
              </w:rPr>
            </w:pPr>
            <w:r>
              <w:rPr>
                <w:rFonts w:hint="eastAsia" w:ascii="仿宋_GB2312" w:hAnsi="仿宋" w:eastAsia="仿宋_GB2312" w:cs="Times New Roman"/>
                <w:szCs w:val="21"/>
              </w:rPr>
              <w:t>意外的机械破坏。</w:t>
            </w:r>
          </w:p>
        </w:tc>
        <w:tc>
          <w:tcPr>
            <w:tcW w:w="3118" w:type="dxa"/>
          </w:tcPr>
          <w:p w14:paraId="02CB5DB0">
            <w:pPr>
              <w:spacing w:line="400" w:lineRule="exact"/>
              <w:rPr>
                <w:rFonts w:ascii="仿宋_GB2312" w:hAnsi="仿宋" w:eastAsia="仿宋_GB2312" w:cs="Times New Roman"/>
                <w:szCs w:val="21"/>
              </w:rPr>
            </w:pPr>
            <w:r>
              <w:rPr>
                <w:rFonts w:hint="eastAsia" w:ascii="仿宋_GB2312" w:hAnsi="仿宋" w:eastAsia="仿宋_GB2312" w:cs="Times New Roman"/>
                <w:szCs w:val="21"/>
              </w:rPr>
              <w:t>储运、使用过程中发生意外的机械性破坏。</w:t>
            </w:r>
          </w:p>
        </w:tc>
        <w:tc>
          <w:tcPr>
            <w:tcW w:w="1276" w:type="dxa"/>
          </w:tcPr>
          <w:p w14:paraId="74554AEE">
            <w:pPr>
              <w:spacing w:line="400" w:lineRule="exact"/>
              <w:rPr>
                <w:rFonts w:ascii="仿宋_GB2312" w:hAnsi="仿宋" w:eastAsia="仿宋_GB2312" w:cs="Times New Roman"/>
                <w:szCs w:val="21"/>
              </w:rPr>
            </w:pPr>
            <w:r>
              <w:rPr>
                <w:rFonts w:hint="eastAsia" w:ascii="仿宋_GB2312" w:hAnsi="仿宋" w:eastAsia="仿宋_GB2312" w:cs="Times New Roman"/>
                <w:szCs w:val="21"/>
              </w:rPr>
              <w:t>产品使用性能无法得到保证。</w:t>
            </w:r>
          </w:p>
        </w:tc>
        <w:tc>
          <w:tcPr>
            <w:tcW w:w="1688" w:type="dxa"/>
          </w:tcPr>
          <w:p w14:paraId="0DECE975">
            <w:pPr>
              <w:spacing w:line="400" w:lineRule="exact"/>
              <w:rPr>
                <w:rFonts w:ascii="仿宋_GB2312" w:hAnsi="仿宋" w:eastAsia="仿宋_GB2312" w:cs="Times New Roman"/>
                <w:szCs w:val="21"/>
              </w:rPr>
            </w:pPr>
            <w:r>
              <w:rPr>
                <w:rFonts w:hint="eastAsia" w:ascii="仿宋_GB2312" w:hAnsi="仿宋" w:eastAsia="仿宋_GB2312" w:cs="Times New Roman"/>
                <w:szCs w:val="21"/>
              </w:rPr>
              <w:t>按照法规中的要求在说明书中标明产品运输和使用条件和注意事项（产品使用前检查产品包装和产品的完整性，严禁使用产品包装或者产品损坏的产品）。</w:t>
            </w:r>
          </w:p>
        </w:tc>
      </w:tr>
      <w:tr w14:paraId="64D4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037" w:type="dxa"/>
            <w:vMerge w:val="restart"/>
            <w:vAlign w:val="center"/>
          </w:tcPr>
          <w:p w14:paraId="40FB2E2E">
            <w:pPr>
              <w:spacing w:line="400" w:lineRule="exact"/>
              <w:rPr>
                <w:rFonts w:ascii="仿宋_GB2312" w:hAnsi="仿宋" w:eastAsia="仿宋_GB2312" w:cs="Times New Roman"/>
                <w:szCs w:val="21"/>
              </w:rPr>
            </w:pPr>
            <w:r>
              <w:rPr>
                <w:rFonts w:hint="eastAsia" w:ascii="仿宋_GB2312" w:hAnsi="仿宋" w:eastAsia="仿宋_GB2312" w:cs="Times New Roman"/>
                <w:szCs w:val="21"/>
              </w:rPr>
              <w:t>与医疗器械使用有关的危险（源）</w:t>
            </w:r>
          </w:p>
        </w:tc>
        <w:tc>
          <w:tcPr>
            <w:tcW w:w="1843" w:type="dxa"/>
          </w:tcPr>
          <w:p w14:paraId="1F19A3C2">
            <w:pPr>
              <w:spacing w:line="400" w:lineRule="exact"/>
              <w:rPr>
                <w:rFonts w:ascii="仿宋_GB2312" w:hAnsi="仿宋" w:eastAsia="仿宋_GB2312" w:cs="Times New Roman"/>
                <w:szCs w:val="21"/>
              </w:rPr>
            </w:pPr>
            <w:r>
              <w:rPr>
                <w:rFonts w:hint="eastAsia" w:ascii="仿宋_GB2312" w:hAnsi="仿宋" w:eastAsia="仿宋_GB2312" w:cs="Times New Roman"/>
                <w:szCs w:val="21"/>
              </w:rPr>
              <w:t>不适当的标记。</w:t>
            </w:r>
          </w:p>
        </w:tc>
        <w:tc>
          <w:tcPr>
            <w:tcW w:w="3118" w:type="dxa"/>
          </w:tcPr>
          <w:p w14:paraId="0541CE09">
            <w:pPr>
              <w:spacing w:line="400" w:lineRule="exact"/>
              <w:rPr>
                <w:rFonts w:ascii="仿宋_GB2312" w:hAnsi="仿宋" w:eastAsia="仿宋_GB2312" w:cs="Times New Roman"/>
                <w:szCs w:val="21"/>
              </w:rPr>
            </w:pPr>
            <w:r>
              <w:rPr>
                <w:rFonts w:hint="eastAsia" w:ascii="仿宋_GB2312" w:hAnsi="仿宋" w:eastAsia="仿宋_GB2312" w:cs="Times New Roman"/>
                <w:szCs w:val="21"/>
              </w:rPr>
              <w:t>标记不清晰、错误，没有按照要求进行标记。</w:t>
            </w:r>
          </w:p>
        </w:tc>
        <w:tc>
          <w:tcPr>
            <w:tcW w:w="1276" w:type="dxa"/>
          </w:tcPr>
          <w:p w14:paraId="3F99B561">
            <w:pPr>
              <w:spacing w:line="400" w:lineRule="exact"/>
              <w:rPr>
                <w:rFonts w:ascii="仿宋_GB2312" w:hAnsi="仿宋" w:eastAsia="仿宋_GB2312" w:cs="Times New Roman"/>
                <w:szCs w:val="21"/>
              </w:rPr>
            </w:pPr>
            <w:r>
              <w:rPr>
                <w:rFonts w:hint="eastAsia" w:ascii="仿宋_GB2312" w:hAnsi="仿宋" w:eastAsia="仿宋_GB2312" w:cs="Times New Roman"/>
                <w:szCs w:val="21"/>
              </w:rPr>
              <w:t>错误使用、储存错误、产品辨别错误。</w:t>
            </w:r>
          </w:p>
        </w:tc>
        <w:tc>
          <w:tcPr>
            <w:tcW w:w="1688" w:type="dxa"/>
          </w:tcPr>
          <w:p w14:paraId="5B61F004">
            <w:pPr>
              <w:spacing w:line="400" w:lineRule="exact"/>
              <w:rPr>
                <w:rFonts w:ascii="仿宋_GB2312" w:hAnsi="仿宋" w:eastAsia="仿宋_GB2312" w:cs="Times New Roman"/>
                <w:szCs w:val="21"/>
              </w:rPr>
            </w:pPr>
            <w:r>
              <w:rPr>
                <w:rFonts w:hint="eastAsia" w:ascii="仿宋_GB2312" w:hAnsi="仿宋" w:eastAsia="仿宋_GB2312" w:cs="Times New Roman"/>
                <w:szCs w:val="21"/>
              </w:rPr>
              <w:t>严格按照作业指导书进行标识；严格按照出厂检验规范进行检验，合格后方可出厂</w:t>
            </w:r>
          </w:p>
        </w:tc>
      </w:tr>
      <w:tr w14:paraId="7F98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037" w:type="dxa"/>
            <w:vMerge w:val="continue"/>
            <w:vAlign w:val="center"/>
          </w:tcPr>
          <w:p w14:paraId="1F9D259B">
            <w:pPr>
              <w:spacing w:line="400" w:lineRule="exact"/>
              <w:rPr>
                <w:rFonts w:ascii="仿宋_GB2312" w:hAnsi="仿宋" w:eastAsia="仿宋_GB2312" w:cs="Times New Roman"/>
                <w:szCs w:val="21"/>
              </w:rPr>
            </w:pPr>
          </w:p>
        </w:tc>
        <w:tc>
          <w:tcPr>
            <w:tcW w:w="1843" w:type="dxa"/>
          </w:tcPr>
          <w:p w14:paraId="4C11071A">
            <w:pPr>
              <w:spacing w:line="400" w:lineRule="exact"/>
              <w:jc w:val="left"/>
              <w:rPr>
                <w:rFonts w:ascii="仿宋_GB2312" w:hAnsi="仿宋" w:eastAsia="仿宋_GB2312" w:cs="Times New Roman"/>
                <w:szCs w:val="21"/>
              </w:rPr>
            </w:pPr>
            <w:r>
              <w:rPr>
                <w:rFonts w:hint="eastAsia" w:ascii="仿宋_GB2312" w:hAnsi="仿宋" w:eastAsia="仿宋_GB2312" w:cs="Times New Roman"/>
                <w:szCs w:val="21"/>
              </w:rPr>
              <w:t>不适当的操作说明，如：医疗器械一起使用的附件规范不适当、预先检查规范不适当、操作说明书不准确、清晰。</w:t>
            </w:r>
          </w:p>
        </w:tc>
        <w:tc>
          <w:tcPr>
            <w:tcW w:w="3118" w:type="dxa"/>
          </w:tcPr>
          <w:p w14:paraId="0C9C2F36">
            <w:pPr>
              <w:spacing w:line="400" w:lineRule="exact"/>
              <w:rPr>
                <w:rFonts w:ascii="仿宋_GB2312" w:hAnsi="仿宋" w:eastAsia="仿宋_GB2312" w:cs="Times New Roman"/>
                <w:szCs w:val="21"/>
              </w:rPr>
            </w:pPr>
            <w:r>
              <w:rPr>
                <w:rFonts w:hint="eastAsia" w:ascii="仿宋_GB2312" w:hAnsi="仿宋" w:eastAsia="仿宋_GB2312" w:cs="Times New Roman"/>
                <w:szCs w:val="21"/>
              </w:rPr>
              <w:t>标记不清晰或标记缺失、标记错误、操作说明写的过于晦涩，难于理解。</w:t>
            </w:r>
          </w:p>
        </w:tc>
        <w:tc>
          <w:tcPr>
            <w:tcW w:w="1276" w:type="dxa"/>
          </w:tcPr>
          <w:p w14:paraId="0B08C3C3">
            <w:pPr>
              <w:spacing w:line="400" w:lineRule="exact"/>
              <w:rPr>
                <w:rFonts w:ascii="仿宋_GB2312" w:hAnsi="仿宋" w:eastAsia="仿宋_GB2312" w:cs="Times New Roman"/>
                <w:szCs w:val="21"/>
              </w:rPr>
            </w:pPr>
            <w:r>
              <w:rPr>
                <w:rFonts w:hint="eastAsia" w:ascii="仿宋_GB2312" w:hAnsi="仿宋" w:eastAsia="仿宋_GB2312" w:cs="Times New Roman"/>
                <w:szCs w:val="21"/>
              </w:rPr>
              <w:t>无法保证使用安全性、导致操作失误。</w:t>
            </w:r>
          </w:p>
        </w:tc>
        <w:tc>
          <w:tcPr>
            <w:tcW w:w="1688" w:type="dxa"/>
          </w:tcPr>
          <w:p w14:paraId="4F4E8F4A">
            <w:pPr>
              <w:spacing w:line="400" w:lineRule="exact"/>
              <w:rPr>
                <w:rFonts w:ascii="仿宋_GB2312" w:hAnsi="仿宋" w:eastAsia="仿宋_GB2312" w:cs="Times New Roman"/>
                <w:szCs w:val="21"/>
              </w:rPr>
            </w:pPr>
            <w:r>
              <w:rPr>
                <w:rFonts w:hint="eastAsia" w:ascii="仿宋_GB2312" w:hAnsi="仿宋" w:eastAsia="仿宋_GB2312" w:cs="Times New Roman"/>
                <w:szCs w:val="21"/>
              </w:rPr>
              <w:t>严格按照作业指导书进行标识；严格按照出厂检验规范进行检验，合格后方可出厂；按照法规的要求在说明书中标明产品使用方法。</w:t>
            </w:r>
          </w:p>
        </w:tc>
      </w:tr>
      <w:tr w14:paraId="10BD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37" w:type="dxa"/>
            <w:vMerge w:val="continue"/>
            <w:vAlign w:val="center"/>
          </w:tcPr>
          <w:p w14:paraId="01FC5AF8">
            <w:pPr>
              <w:spacing w:line="400" w:lineRule="exact"/>
              <w:rPr>
                <w:rFonts w:ascii="仿宋_GB2312" w:hAnsi="仿宋" w:eastAsia="仿宋_GB2312" w:cs="Times New Roman"/>
                <w:szCs w:val="21"/>
              </w:rPr>
            </w:pPr>
          </w:p>
        </w:tc>
        <w:tc>
          <w:tcPr>
            <w:tcW w:w="1843" w:type="dxa"/>
          </w:tcPr>
          <w:p w14:paraId="37E4406D">
            <w:pPr>
              <w:spacing w:line="400" w:lineRule="exact"/>
              <w:rPr>
                <w:rFonts w:ascii="仿宋_GB2312" w:hAnsi="仿宋" w:eastAsia="仿宋_GB2312" w:cs="Times New Roman"/>
                <w:szCs w:val="21"/>
              </w:rPr>
            </w:pPr>
            <w:r>
              <w:rPr>
                <w:rFonts w:hint="eastAsia" w:ascii="仿宋_GB2312" w:hAnsi="仿宋" w:eastAsia="仿宋_GB2312" w:cs="Times New Roman"/>
                <w:szCs w:val="21"/>
              </w:rPr>
              <w:t>由不熟练/未经培训的人员使用。</w:t>
            </w:r>
          </w:p>
        </w:tc>
        <w:tc>
          <w:tcPr>
            <w:tcW w:w="3118" w:type="dxa"/>
          </w:tcPr>
          <w:p w14:paraId="665E9067">
            <w:pPr>
              <w:spacing w:line="400" w:lineRule="exact"/>
              <w:rPr>
                <w:rFonts w:ascii="仿宋_GB2312" w:hAnsi="仿宋" w:eastAsia="仿宋_GB2312" w:cs="Times New Roman"/>
                <w:szCs w:val="21"/>
              </w:rPr>
            </w:pPr>
            <w:r>
              <w:rPr>
                <w:rFonts w:hint="eastAsia" w:ascii="仿宋_GB2312" w:hAnsi="仿宋" w:eastAsia="仿宋_GB2312" w:cs="Times New Roman"/>
                <w:szCs w:val="21"/>
              </w:rPr>
              <w:t>操作不熟练、操作失误；规格型号选用错误；连接不正确或不到位。</w:t>
            </w:r>
          </w:p>
        </w:tc>
        <w:tc>
          <w:tcPr>
            <w:tcW w:w="1276" w:type="dxa"/>
          </w:tcPr>
          <w:p w14:paraId="49308789">
            <w:pPr>
              <w:spacing w:line="400" w:lineRule="exact"/>
              <w:rPr>
                <w:rFonts w:ascii="仿宋_GB2312" w:hAnsi="仿宋" w:eastAsia="仿宋_GB2312" w:cs="Times New Roman"/>
                <w:szCs w:val="21"/>
              </w:rPr>
            </w:pPr>
            <w:r>
              <w:rPr>
                <w:rFonts w:hint="eastAsia" w:ascii="仿宋_GB2312" w:hAnsi="仿宋" w:eastAsia="仿宋_GB2312" w:cs="Times New Roman"/>
                <w:szCs w:val="21"/>
              </w:rPr>
              <w:t>导致无法正常使用或造成无法预计的其他损伤。</w:t>
            </w:r>
          </w:p>
        </w:tc>
        <w:tc>
          <w:tcPr>
            <w:tcW w:w="1688" w:type="dxa"/>
          </w:tcPr>
          <w:p w14:paraId="59DF30F3">
            <w:pPr>
              <w:spacing w:line="400" w:lineRule="exact"/>
              <w:rPr>
                <w:rFonts w:ascii="仿宋_GB2312" w:hAnsi="仿宋" w:eastAsia="仿宋_GB2312" w:cs="Times New Roman"/>
                <w:szCs w:val="21"/>
              </w:rPr>
            </w:pPr>
            <w:r>
              <w:rPr>
                <w:rFonts w:hint="eastAsia" w:ascii="仿宋_GB2312" w:hAnsi="仿宋" w:eastAsia="仿宋_GB2312" w:cs="Times New Roman"/>
                <w:szCs w:val="21"/>
              </w:rPr>
              <w:t>在产品说明书中标明产品由具有资质的医护人员，经过培训后使用；公司提供培训。</w:t>
            </w:r>
          </w:p>
        </w:tc>
      </w:tr>
      <w:tr w14:paraId="53BC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37" w:type="dxa"/>
            <w:vMerge w:val="continue"/>
            <w:vAlign w:val="center"/>
          </w:tcPr>
          <w:p w14:paraId="33063643">
            <w:pPr>
              <w:spacing w:line="400" w:lineRule="exact"/>
              <w:rPr>
                <w:rFonts w:ascii="仿宋_GB2312" w:hAnsi="仿宋" w:eastAsia="仿宋_GB2312" w:cs="Times New Roman"/>
                <w:szCs w:val="21"/>
              </w:rPr>
            </w:pPr>
          </w:p>
        </w:tc>
        <w:tc>
          <w:tcPr>
            <w:tcW w:w="1843" w:type="dxa"/>
            <w:vMerge w:val="restart"/>
          </w:tcPr>
          <w:p w14:paraId="4704B2C6">
            <w:pPr>
              <w:spacing w:line="400" w:lineRule="exact"/>
              <w:rPr>
                <w:rFonts w:ascii="仿宋_GB2312" w:hAnsi="仿宋" w:eastAsia="仿宋_GB2312" w:cs="Times New Roman"/>
                <w:szCs w:val="21"/>
              </w:rPr>
            </w:pPr>
            <w:r>
              <w:rPr>
                <w:rFonts w:hint="eastAsia" w:ascii="仿宋_GB2312" w:hAnsi="仿宋" w:eastAsia="仿宋_GB2312" w:cs="Times New Roman"/>
                <w:szCs w:val="21"/>
              </w:rPr>
              <w:t>和其他预期使用的医疗器械不相容。</w:t>
            </w:r>
          </w:p>
        </w:tc>
        <w:tc>
          <w:tcPr>
            <w:tcW w:w="3118" w:type="dxa"/>
          </w:tcPr>
          <w:p w14:paraId="207AF059">
            <w:pPr>
              <w:spacing w:line="400" w:lineRule="exact"/>
              <w:rPr>
                <w:rFonts w:ascii="仿宋_GB2312" w:hAnsi="仿宋" w:eastAsia="仿宋_GB2312" w:cs="Times New Roman"/>
                <w:szCs w:val="21"/>
              </w:rPr>
            </w:pPr>
            <w:r>
              <w:rPr>
                <w:rFonts w:hint="eastAsia" w:ascii="仿宋_GB2312" w:hAnsi="仿宋" w:eastAsia="仿宋_GB2312" w:cs="Times New Roman"/>
                <w:szCs w:val="21"/>
              </w:rPr>
              <w:t>与其他器械匹配的关键参数标记不正确；与其他器械匹配的关键尺寸偏差超出标准要求。</w:t>
            </w:r>
          </w:p>
        </w:tc>
        <w:tc>
          <w:tcPr>
            <w:tcW w:w="1276" w:type="dxa"/>
          </w:tcPr>
          <w:p w14:paraId="52BA00EB">
            <w:pPr>
              <w:spacing w:line="400" w:lineRule="exact"/>
              <w:rPr>
                <w:rFonts w:ascii="仿宋_GB2312" w:hAnsi="仿宋" w:eastAsia="仿宋_GB2312" w:cs="Times New Roman"/>
                <w:szCs w:val="21"/>
              </w:rPr>
            </w:pPr>
            <w:r>
              <w:rPr>
                <w:rFonts w:hint="eastAsia" w:ascii="仿宋_GB2312" w:hAnsi="仿宋" w:eastAsia="仿宋_GB2312" w:cs="Times New Roman"/>
                <w:szCs w:val="21"/>
              </w:rPr>
              <w:t>无法与其他器械匹配，造成产品无法使用。</w:t>
            </w:r>
          </w:p>
        </w:tc>
        <w:tc>
          <w:tcPr>
            <w:tcW w:w="1688" w:type="dxa"/>
          </w:tcPr>
          <w:p w14:paraId="636FEE5D">
            <w:pPr>
              <w:spacing w:line="400" w:lineRule="exact"/>
              <w:rPr>
                <w:rFonts w:ascii="仿宋_GB2312" w:hAnsi="仿宋" w:eastAsia="仿宋_GB2312" w:cs="Times New Roman"/>
                <w:szCs w:val="21"/>
              </w:rPr>
            </w:pPr>
            <w:r>
              <w:rPr>
                <w:rFonts w:hint="eastAsia" w:ascii="仿宋_GB2312" w:hAnsi="仿宋" w:eastAsia="仿宋_GB2312" w:cs="Times New Roman"/>
                <w:szCs w:val="21"/>
              </w:rPr>
              <w:t>在产品说明书标明产品配套使用信息。</w:t>
            </w:r>
          </w:p>
        </w:tc>
      </w:tr>
      <w:tr w14:paraId="7E12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37" w:type="dxa"/>
            <w:vMerge w:val="continue"/>
            <w:vAlign w:val="center"/>
          </w:tcPr>
          <w:p w14:paraId="0C0EA5F3">
            <w:pPr>
              <w:spacing w:line="400" w:lineRule="exact"/>
              <w:rPr>
                <w:rFonts w:ascii="仿宋_GB2312" w:hAnsi="仿宋" w:eastAsia="仿宋_GB2312" w:cs="Times New Roman"/>
                <w:szCs w:val="21"/>
              </w:rPr>
            </w:pPr>
          </w:p>
        </w:tc>
        <w:tc>
          <w:tcPr>
            <w:tcW w:w="1843" w:type="dxa"/>
            <w:vMerge w:val="continue"/>
          </w:tcPr>
          <w:p w14:paraId="41CB64A8">
            <w:pPr>
              <w:spacing w:line="400" w:lineRule="exact"/>
              <w:rPr>
                <w:rFonts w:ascii="仿宋_GB2312" w:hAnsi="仿宋" w:eastAsia="仿宋_GB2312" w:cs="Times New Roman"/>
                <w:szCs w:val="21"/>
              </w:rPr>
            </w:pPr>
          </w:p>
        </w:tc>
        <w:tc>
          <w:tcPr>
            <w:tcW w:w="3118" w:type="dxa"/>
          </w:tcPr>
          <w:p w14:paraId="5E8EB2F5">
            <w:pPr>
              <w:spacing w:line="400" w:lineRule="exact"/>
              <w:rPr>
                <w:rFonts w:ascii="仿宋_GB2312" w:hAnsi="仿宋" w:eastAsia="仿宋_GB2312" w:cs="Times New Roman"/>
                <w:szCs w:val="21"/>
              </w:rPr>
            </w:pPr>
            <w:r>
              <w:rPr>
                <w:rFonts w:hint="eastAsia" w:ascii="仿宋_GB2312" w:hAnsi="仿宋" w:eastAsia="仿宋_GB2312" w:cs="Times New Roman"/>
                <w:szCs w:val="21"/>
              </w:rPr>
              <w:t>产品表面被处理得过于光亮。</w:t>
            </w:r>
          </w:p>
        </w:tc>
        <w:tc>
          <w:tcPr>
            <w:tcW w:w="1276" w:type="dxa"/>
          </w:tcPr>
          <w:p w14:paraId="71DB21C0">
            <w:pPr>
              <w:spacing w:line="400" w:lineRule="exact"/>
              <w:rPr>
                <w:rFonts w:ascii="仿宋_GB2312" w:hAnsi="仿宋" w:eastAsia="仿宋_GB2312" w:cs="Times New Roman"/>
                <w:szCs w:val="21"/>
              </w:rPr>
            </w:pPr>
            <w:r>
              <w:rPr>
                <w:rFonts w:hint="eastAsia" w:ascii="仿宋_GB2312" w:hAnsi="仿宋" w:eastAsia="仿宋_GB2312" w:cs="Times New Roman"/>
                <w:szCs w:val="21"/>
              </w:rPr>
              <w:t>使用时产生严重的光污染，影响手术正常进行。</w:t>
            </w:r>
          </w:p>
        </w:tc>
        <w:tc>
          <w:tcPr>
            <w:tcW w:w="1688" w:type="dxa"/>
          </w:tcPr>
          <w:p w14:paraId="019CF912">
            <w:pPr>
              <w:spacing w:line="400" w:lineRule="exact"/>
              <w:rPr>
                <w:rFonts w:ascii="仿宋_GB2312" w:hAnsi="仿宋" w:eastAsia="仿宋_GB2312" w:cs="Times New Roman"/>
                <w:szCs w:val="21"/>
              </w:rPr>
            </w:pPr>
            <w:r>
              <w:rPr>
                <w:rFonts w:hint="eastAsia" w:ascii="仿宋_GB2312" w:hAnsi="仿宋" w:eastAsia="仿宋_GB2312" w:cs="Times New Roman"/>
                <w:szCs w:val="21"/>
              </w:rPr>
              <w:t>对产品设计进行验证；</w:t>
            </w:r>
          </w:p>
          <w:p w14:paraId="0AB9A743">
            <w:pPr>
              <w:spacing w:line="400" w:lineRule="exact"/>
              <w:rPr>
                <w:rFonts w:ascii="仿宋_GB2312" w:hAnsi="仿宋" w:eastAsia="仿宋_GB2312" w:cs="Times New Roman"/>
                <w:szCs w:val="21"/>
              </w:rPr>
            </w:pPr>
            <w:r>
              <w:rPr>
                <w:rFonts w:hint="eastAsia" w:ascii="仿宋_GB2312" w:hAnsi="仿宋" w:eastAsia="仿宋_GB2312" w:cs="Times New Roman"/>
                <w:szCs w:val="21"/>
              </w:rPr>
              <w:t>规范产品生产制造过程；严格按照出厂检验规范进行检验，合格后方可出厂。</w:t>
            </w:r>
          </w:p>
        </w:tc>
      </w:tr>
      <w:tr w14:paraId="3E22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037" w:type="dxa"/>
            <w:vAlign w:val="center"/>
          </w:tcPr>
          <w:p w14:paraId="37B7CF2E">
            <w:pPr>
              <w:spacing w:line="400" w:lineRule="exact"/>
              <w:rPr>
                <w:rFonts w:ascii="仿宋_GB2312" w:hAnsi="仿宋" w:eastAsia="仿宋_GB2312" w:cs="Times New Roman"/>
                <w:szCs w:val="21"/>
              </w:rPr>
            </w:pPr>
            <w:r>
              <w:rPr>
                <w:rFonts w:hint="eastAsia" w:ascii="仿宋_GB2312" w:hAnsi="仿宋" w:eastAsia="仿宋_GB2312" w:cs="Times New Roman"/>
                <w:spacing w:val="-6"/>
                <w:kern w:val="24"/>
                <w:szCs w:val="21"/>
              </w:rPr>
              <w:t>功能性失效</w:t>
            </w:r>
          </w:p>
        </w:tc>
        <w:tc>
          <w:tcPr>
            <w:tcW w:w="1843" w:type="dxa"/>
          </w:tcPr>
          <w:p w14:paraId="1AAB5447">
            <w:pPr>
              <w:spacing w:line="400" w:lineRule="exact"/>
              <w:rPr>
                <w:rFonts w:ascii="仿宋_GB2312" w:hAnsi="仿宋" w:eastAsia="仿宋_GB2312" w:cs="Times New Roman"/>
                <w:szCs w:val="21"/>
              </w:rPr>
            </w:pPr>
            <w:r>
              <w:rPr>
                <w:rFonts w:hint="eastAsia" w:ascii="仿宋_GB2312" w:hAnsi="仿宋" w:eastAsia="仿宋_GB2312" w:cs="Times New Roman"/>
                <w:szCs w:val="21"/>
              </w:rPr>
              <w:t>缺少适当的维护和检查。</w:t>
            </w:r>
          </w:p>
        </w:tc>
        <w:tc>
          <w:tcPr>
            <w:tcW w:w="3118" w:type="dxa"/>
          </w:tcPr>
          <w:p w14:paraId="4A6CF2D5">
            <w:pPr>
              <w:spacing w:line="400" w:lineRule="exact"/>
              <w:rPr>
                <w:rFonts w:ascii="仿宋_GB2312" w:hAnsi="仿宋" w:eastAsia="仿宋_GB2312" w:cs="Times New Roman"/>
                <w:szCs w:val="21"/>
              </w:rPr>
            </w:pPr>
            <w:r>
              <w:rPr>
                <w:rFonts w:hint="eastAsia" w:ascii="仿宋_GB2312" w:hAnsi="仿宋" w:eastAsia="仿宋_GB2312" w:cs="Times New Roman"/>
                <w:szCs w:val="21"/>
              </w:rPr>
              <w:t>说明书中没有提供相关信息，如清洗、灭菌方法、日常维护方法、使用前的检查建议等；</w:t>
            </w:r>
          </w:p>
          <w:p w14:paraId="548272F4">
            <w:pPr>
              <w:spacing w:line="400" w:lineRule="exact"/>
              <w:rPr>
                <w:rFonts w:ascii="仿宋_GB2312" w:hAnsi="仿宋" w:eastAsia="仿宋_GB2312" w:cs="Times New Roman"/>
                <w:szCs w:val="21"/>
              </w:rPr>
            </w:pPr>
            <w:r>
              <w:rPr>
                <w:rFonts w:hint="eastAsia" w:ascii="仿宋_GB2312" w:hAnsi="仿宋" w:eastAsia="仿宋_GB2312" w:cs="Times New Roman"/>
                <w:szCs w:val="21"/>
              </w:rPr>
              <w:t>没有维护或使用了不恰当或者不正确的维护方法。</w:t>
            </w:r>
          </w:p>
        </w:tc>
        <w:tc>
          <w:tcPr>
            <w:tcW w:w="1276" w:type="dxa"/>
          </w:tcPr>
          <w:p w14:paraId="39ACE048">
            <w:pPr>
              <w:spacing w:line="400" w:lineRule="exact"/>
              <w:rPr>
                <w:rFonts w:ascii="仿宋_GB2312" w:hAnsi="仿宋" w:eastAsia="仿宋_GB2312" w:cs="Times New Roman"/>
                <w:szCs w:val="21"/>
              </w:rPr>
            </w:pPr>
            <w:r>
              <w:rPr>
                <w:rFonts w:hint="eastAsia" w:ascii="仿宋_GB2312" w:hAnsi="仿宋" w:eastAsia="仿宋_GB2312" w:cs="Times New Roman"/>
                <w:szCs w:val="21"/>
              </w:rPr>
              <w:t>造成产品意外损坏，产品提前报废，无法使用；产品在使用中，出现关节松动、部件脱落。</w:t>
            </w:r>
          </w:p>
        </w:tc>
        <w:tc>
          <w:tcPr>
            <w:tcW w:w="1688" w:type="dxa"/>
          </w:tcPr>
          <w:p w14:paraId="795AA9D0">
            <w:pPr>
              <w:spacing w:line="400" w:lineRule="exact"/>
              <w:rPr>
                <w:rFonts w:ascii="仿宋_GB2312" w:hAnsi="仿宋" w:eastAsia="仿宋_GB2312" w:cs="Times New Roman"/>
                <w:szCs w:val="21"/>
              </w:rPr>
            </w:pPr>
            <w:r>
              <w:rPr>
                <w:rFonts w:hint="eastAsia" w:ascii="仿宋_GB2312" w:hAnsi="仿宋" w:eastAsia="仿宋_GB2312" w:cs="Times New Roman"/>
                <w:szCs w:val="21"/>
              </w:rPr>
              <w:t>按照法规的要求在说明书中提供产品清洗、灭菌、日常维护方法和使用前检查的建议。</w:t>
            </w:r>
          </w:p>
        </w:tc>
      </w:tr>
    </w:tbl>
    <w:p w14:paraId="3CB96C0B">
      <w:pPr>
        <w:spacing w:line="520" w:lineRule="exact"/>
        <w:ind w:firstLine="640" w:firstLineChars="200"/>
        <w:rPr>
          <w:rFonts w:ascii="楷体_GB2312" w:hAnsi="楷体" w:eastAsia="楷体_GB2312"/>
          <w:sz w:val="32"/>
          <w:szCs w:val="32"/>
        </w:rPr>
      </w:pPr>
      <w:bookmarkStart w:id="0" w:name="_Toc476683310"/>
      <w:r>
        <w:rPr>
          <w:rFonts w:hint="eastAsia" w:ascii="楷体_GB2312" w:hAnsi="楷体" w:eastAsia="楷体_GB2312"/>
          <w:sz w:val="32"/>
          <w:szCs w:val="32"/>
        </w:rPr>
        <w:t>（八）产品的主要性能指标</w:t>
      </w:r>
    </w:p>
    <w:p w14:paraId="3399585D">
      <w:pPr>
        <w:spacing w:line="520" w:lineRule="exact"/>
        <w:ind w:firstLine="640" w:firstLineChars="200"/>
        <w:rPr>
          <w:rFonts w:eastAsia="仿宋_GB2312"/>
          <w:sz w:val="32"/>
        </w:rPr>
      </w:pPr>
      <w:r>
        <w:rPr>
          <w:rFonts w:hint="eastAsia" w:eastAsia="仿宋_GB2312"/>
          <w:sz w:val="32"/>
        </w:rPr>
        <w:t>本条款给出</w:t>
      </w:r>
      <w:r>
        <w:rPr>
          <w:rFonts w:hint="eastAsia" w:ascii="仿宋_GB2312" w:hAnsi="仿宋" w:eastAsia="仿宋_GB2312"/>
          <w:sz w:val="32"/>
          <w:szCs w:val="32"/>
        </w:rPr>
        <w:t>关节镜下无源手术器械</w:t>
      </w:r>
      <w:r>
        <w:rPr>
          <w:rFonts w:hint="eastAsia" w:eastAsia="仿宋_GB2312"/>
          <w:sz w:val="32"/>
        </w:rPr>
        <w:t>产品需要满足的性能要求，其他性能要求企业可参考相应的国家标准、行业标准，根据企业自身产品的技术特点制定相应的要求，但不得低于相关强制性国家标准、行业标准的有关要求。如以下相关性能指标要求（包括国家标准或行业标准中规定的要求）未适用，企业应在提交注册材料的研究资料中对未适用情况进行合理的说明。</w:t>
      </w:r>
    </w:p>
    <w:p w14:paraId="1CC16852">
      <w:pPr>
        <w:spacing w:line="520" w:lineRule="exact"/>
        <w:ind w:firstLine="640" w:firstLineChars="200"/>
        <w:rPr>
          <w:rFonts w:ascii="仿宋_GB2312" w:hAnsi="仿宋" w:eastAsia="仿宋_GB2312"/>
          <w:sz w:val="32"/>
          <w:szCs w:val="32"/>
        </w:rPr>
      </w:pPr>
      <w:r>
        <w:rPr>
          <w:rFonts w:hint="eastAsia" w:eastAsia="仿宋_GB2312"/>
          <w:sz w:val="32"/>
        </w:rPr>
        <w:t>企业在制定产品技术要求时，应明确规格型号的划分、产品结构和组成、各组成部分的主要材料及质量要求等，且性能指标应至少满足以下要求：</w:t>
      </w:r>
    </w:p>
    <w:bookmarkEnd w:id="0"/>
    <w:p w14:paraId="39311FCE">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1.外观</w:t>
      </w:r>
    </w:p>
    <w:p w14:paraId="457BD511">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sz w:val="32"/>
          <w:szCs w:val="32"/>
        </w:rPr>
        <w:t>关节镜下无源手术器械</w:t>
      </w:r>
      <w:r>
        <w:rPr>
          <w:rFonts w:hint="eastAsia" w:ascii="仿宋_GB2312" w:hAnsi="仿宋" w:eastAsia="仿宋_GB2312" w:cs="Times New Roman"/>
          <w:sz w:val="32"/>
          <w:szCs w:val="32"/>
        </w:rPr>
        <w:t>在关节镜视野中可见的头端部分应经过处理，以消除可能存在的定向反射现象；其他部位一般应光滑圆润，表面应无非设计预期的锋棱、裂纹、毛刺等。钳类器械钳头的二片应相互吻合，不得有错位现象，钳齿应清晰、完整，不得有缺齿、烂齿、毛齿等缺陷，剪刀刃面不得有卷刃、崩刃现象。</w:t>
      </w:r>
    </w:p>
    <w:p w14:paraId="1B9681BC">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2.表面粗糙度</w:t>
      </w:r>
    </w:p>
    <w:p w14:paraId="2AB9103E">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sz w:val="32"/>
          <w:szCs w:val="32"/>
        </w:rPr>
        <w:t>关节镜下无源手术器械</w:t>
      </w:r>
      <w:r>
        <w:rPr>
          <w:rFonts w:hint="eastAsia" w:ascii="仿宋_GB2312" w:hAnsi="仿宋" w:eastAsia="仿宋_GB2312" w:cs="Times New Roman"/>
          <w:color w:val="auto"/>
          <w:kern w:val="2"/>
          <w:sz w:val="32"/>
          <w:szCs w:val="32"/>
        </w:rPr>
        <w:t>表面粗糙度如有国家标准、行业标准要求，应按国家标准、行业标准执行；如无相应国家标准、行业标准要求，企业可根据产品实际情况明确表面粗糙度要求，但应满足临床使用要求。</w:t>
      </w:r>
    </w:p>
    <w:p w14:paraId="2EB69288">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如：以不锈钢材料制造的手术器械外表面粗糙度Ra≤3.2μm，刃口部位Ra≤3.2μm，其他Ra≤12.5μm。</w:t>
      </w:r>
    </w:p>
    <w:p w14:paraId="3CAED2E2">
      <w:pPr>
        <w:pStyle w:val="15"/>
        <w:spacing w:line="520" w:lineRule="exact"/>
        <w:ind w:firstLine="707" w:firstLineChars="221"/>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3.耐腐蚀性能</w:t>
      </w:r>
    </w:p>
    <w:p w14:paraId="58C7A597">
      <w:pPr>
        <w:pStyle w:val="15"/>
        <w:spacing w:line="520" w:lineRule="exact"/>
        <w:ind w:firstLine="640"/>
        <w:rPr>
          <w:rFonts w:ascii="仿宋_GB2312" w:hAnsi="仿宋" w:eastAsia="仿宋_GB2312" w:cs="Times New Roman"/>
          <w:bCs/>
          <w:color w:val="auto"/>
          <w:kern w:val="2"/>
          <w:sz w:val="32"/>
          <w:szCs w:val="32"/>
        </w:rPr>
      </w:pPr>
      <w:r>
        <w:rPr>
          <w:rFonts w:hint="eastAsia" w:ascii="仿宋_GB2312" w:hAnsi="仿宋" w:eastAsia="仿宋_GB2312"/>
          <w:sz w:val="32"/>
          <w:szCs w:val="32"/>
        </w:rPr>
        <w:t>关节镜下无源手术器械</w:t>
      </w:r>
      <w:r>
        <w:rPr>
          <w:rFonts w:hint="eastAsia" w:ascii="仿宋_GB2312" w:hAnsi="仿宋" w:eastAsia="仿宋_GB2312" w:cs="Times New Roman"/>
          <w:color w:val="auto"/>
          <w:kern w:val="2"/>
          <w:sz w:val="32"/>
          <w:szCs w:val="32"/>
        </w:rPr>
        <w:t>的不锈钢部位外表面的耐腐蚀性能应不低于YY/T 0149-2006中沸水试验法b级的要求。其他材料</w:t>
      </w:r>
      <w:r>
        <w:rPr>
          <w:rFonts w:hint="eastAsia" w:ascii="仿宋_GB2312" w:hAnsi="仿宋" w:eastAsia="仿宋_GB2312" w:cs="Times New Roman"/>
          <w:bCs/>
          <w:color w:val="auto"/>
          <w:kern w:val="2"/>
          <w:sz w:val="32"/>
          <w:szCs w:val="32"/>
        </w:rPr>
        <w:t>用说明书中指定的灭菌方法灭菌后，应无腐蚀现象。</w:t>
      </w:r>
    </w:p>
    <w:p w14:paraId="73A9F49B">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4.硬度</w:t>
      </w:r>
    </w:p>
    <w:p w14:paraId="1BE16B06">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sz w:val="32"/>
          <w:szCs w:val="32"/>
        </w:rPr>
        <w:t>关节镜下无源手术器械</w:t>
      </w:r>
      <w:r>
        <w:rPr>
          <w:rFonts w:hint="eastAsia" w:ascii="仿宋_GB2312" w:hAnsi="仿宋" w:eastAsia="仿宋_GB2312" w:cs="Times New Roman"/>
          <w:color w:val="auto"/>
          <w:kern w:val="2"/>
          <w:sz w:val="32"/>
          <w:szCs w:val="32"/>
        </w:rPr>
        <w:t>硬度如有国家标准、行业标准要求，应执行相应标准（如：YY/T 0177、YY/T0176、YY/T 0597等）；如无相应标准要求，企业可根据产品实际情况明确硬度要求，但应满足临床使用要求。</w:t>
      </w:r>
    </w:p>
    <w:p w14:paraId="41ECD1EC">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如：采用不锈钢制造的抓钳和穿线钳，除鳃轴外，应经热处理，硬度≥32HRC，且两片硬度值相差应≤4HRC；采用不锈钢制造的线剪应经热处理，硬度≥50HRC，且两片硬度值相差应≤4HRC。</w:t>
      </w:r>
    </w:p>
    <w:p w14:paraId="612B5784">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5.使用性能</w:t>
      </w:r>
    </w:p>
    <w:p w14:paraId="0C99BF61">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sz w:val="32"/>
          <w:szCs w:val="32"/>
        </w:rPr>
        <w:t>关节镜下无源手术器械</w:t>
      </w:r>
      <w:r>
        <w:rPr>
          <w:rFonts w:hint="eastAsia" w:ascii="仿宋_GB2312" w:hAnsi="仿宋" w:eastAsia="仿宋_GB2312" w:cs="Times New Roman"/>
          <w:color w:val="auto"/>
          <w:kern w:val="2"/>
          <w:sz w:val="32"/>
          <w:szCs w:val="32"/>
        </w:rPr>
        <w:t>使用性能如有国家标准、行业标准要求，应执行相应标准（如：YY/T 0176、YY/T 0940、YY/T 0941、YY/ T 0943、YY/T 0944等）；如无相应标准要求，企业可根据产品实际情况明确使用性能要求，但应满足临床使用要求。</w:t>
      </w:r>
    </w:p>
    <w:p w14:paraId="2B348AD9">
      <w:pPr>
        <w:pStyle w:val="15"/>
        <w:spacing w:line="520" w:lineRule="exact"/>
        <w:ind w:firstLine="640"/>
        <w:rPr>
          <w:rFonts w:ascii="仿宋_GB2312" w:hAnsi="仿宋" w:eastAsia="仿宋_GB2312"/>
          <w:sz w:val="32"/>
          <w:szCs w:val="32"/>
        </w:rPr>
      </w:pPr>
      <w:r>
        <w:rPr>
          <w:rFonts w:hint="eastAsia" w:ascii="仿宋_GB2312" w:hAnsi="仿宋" w:eastAsia="仿宋_GB2312"/>
          <w:sz w:val="32"/>
          <w:szCs w:val="32"/>
        </w:rPr>
        <w:t>如：预期用于穿刺操作的穿刺针、缝合钳等器械，应对其头部的锋利度进行要求；预期用于剪切等操作的剪刀、活检钳等器械，应对其刃面的锋利度进行要求。剪刀的剪切性能参照YY/T 0672.2-2011标准中的相关条款要求；预期用于抓取、分离、夹持等操作的抓钳、分离钳等器械，应对其夹持性能进行要求，在器械头部夹住一根直径等于头部鳃轴中心长度1/10的不锈钢丝，在室温下完全夹闭保持3小时后，器械应无裂纹和永久变形。可开合的钳类器械头部应开合顺利，钳杆在开合时应无干扰使用的晃动。钳杆部分设计为可旋转的器械，在旋转钳杆时应顺利，钳杆在旋转时应无干扰使用的晃动。具有锁合装置的器械，应规定锁合的可靠性，包括锁紧性能和松开性能。</w:t>
      </w:r>
    </w:p>
    <w:p w14:paraId="3030C7CC">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6.规格尺寸</w:t>
      </w:r>
    </w:p>
    <w:p w14:paraId="2F859209">
      <w:pPr>
        <w:pStyle w:val="18"/>
        <w:ind w:firstLine="640"/>
        <w:rPr>
          <w:rFonts w:ascii="仿宋_GB2312" w:hAnsi="仿宋" w:eastAsia="仿宋_GB2312"/>
          <w:szCs w:val="32"/>
        </w:rPr>
      </w:pPr>
      <w:r>
        <w:rPr>
          <w:rFonts w:hint="eastAsia" w:ascii="仿宋_GB2312" w:hAnsi="仿宋" w:eastAsia="仿宋_GB2312"/>
          <w:szCs w:val="32"/>
        </w:rPr>
        <w:t>关节镜下无源手术器械应明确产品规格尺寸和公差，应标称器械的工作长度一般采用图表明示。尺寸允许公差参照YY 0672.1、YY 0672.2、YY/T 0940等标准的相关条款。以上标准中没有规定允差的，则由制造商自行设定。</w:t>
      </w:r>
    </w:p>
    <w:p w14:paraId="3125FE0C">
      <w:pPr>
        <w:pStyle w:val="18"/>
        <w:ind w:firstLine="640"/>
        <w:rPr>
          <w:rFonts w:ascii="仿宋_GB2312" w:hAnsi="仿宋" w:eastAsia="仿宋_GB2312"/>
          <w:szCs w:val="32"/>
        </w:rPr>
      </w:pPr>
      <w:r>
        <w:rPr>
          <w:rFonts w:hint="eastAsia" w:ascii="仿宋_GB2312" w:hAnsi="仿宋" w:eastAsia="仿宋_GB2312"/>
          <w:szCs w:val="32"/>
        </w:rPr>
        <w:t>例如：如配合器械用穿刺器产品应标称套管可通过处的最小宽度，与其配合使用的其他器械应标称插入(穿刺套管)部分的最大外径（宽度）。穿刺器套管内径应明确极限偏差(上极限偏差)。</w:t>
      </w:r>
    </w:p>
    <w:p w14:paraId="11385C85">
      <w:pPr>
        <w:pStyle w:val="18"/>
        <w:ind w:firstLine="640"/>
        <w:rPr>
          <w:rFonts w:ascii="仿宋_GB2312" w:hAnsi="仿宋" w:eastAsia="仿宋_GB2312"/>
          <w:szCs w:val="32"/>
        </w:rPr>
      </w:pPr>
      <w:r>
        <w:rPr>
          <w:rFonts w:hint="eastAsia" w:ascii="仿宋_GB2312" w:hAnsi="仿宋" w:eastAsia="仿宋_GB2312"/>
          <w:szCs w:val="32"/>
        </w:rPr>
        <w:t>钳类器械还应标注钳头最大张开幅度。</w:t>
      </w:r>
    </w:p>
    <w:p w14:paraId="57C5CD65">
      <w:pPr>
        <w:pStyle w:val="15"/>
        <w:spacing w:line="520" w:lineRule="exact"/>
        <w:ind w:firstLine="640"/>
        <w:rPr>
          <w:rFonts w:ascii="仿宋_GB2312" w:hAnsi="仿宋" w:eastAsia="仿宋_GB2312" w:cs="Times New Roman"/>
          <w:bCs/>
          <w:sz w:val="32"/>
          <w:szCs w:val="32"/>
        </w:rPr>
      </w:pPr>
      <w:r>
        <w:rPr>
          <w:rFonts w:hint="eastAsia" w:ascii="仿宋_GB2312" w:hAnsi="仿宋" w:eastAsia="仿宋_GB2312" w:cs="Times New Roman"/>
          <w:bCs/>
          <w:sz w:val="32"/>
          <w:szCs w:val="32"/>
        </w:rPr>
        <w:t>7.通畅性</w:t>
      </w:r>
    </w:p>
    <w:p w14:paraId="7ED095C7">
      <w:pPr>
        <w:pStyle w:val="15"/>
        <w:spacing w:line="520" w:lineRule="exact"/>
        <w:ind w:firstLine="640"/>
        <w:rPr>
          <w:rFonts w:ascii="仿宋_GB2312" w:hAnsi="仿宋" w:eastAsia="仿宋_GB2312" w:cs="Times New Roman"/>
          <w:bCs/>
          <w:sz w:val="32"/>
          <w:szCs w:val="32"/>
        </w:rPr>
      </w:pPr>
      <w:r>
        <w:rPr>
          <w:rFonts w:hint="eastAsia" w:ascii="仿宋_GB2312" w:hAnsi="仿宋" w:eastAsia="仿宋_GB2312"/>
          <w:sz w:val="32"/>
          <w:szCs w:val="32"/>
        </w:rPr>
        <w:t>关节镜下无源手术器械</w:t>
      </w:r>
      <w:r>
        <w:rPr>
          <w:rFonts w:hint="eastAsia" w:ascii="仿宋_GB2312" w:hAnsi="仿宋" w:eastAsia="仿宋_GB2312" w:cs="Times New Roman"/>
          <w:bCs/>
          <w:sz w:val="32"/>
          <w:szCs w:val="32"/>
        </w:rPr>
        <w:t>设有内腔预期可进行注（吸）液体（气体）的产品或组件，如关节镜专用吸引管路套等器械的内孔应畅通，不得有堵塞现象。</w:t>
      </w:r>
    </w:p>
    <w:p w14:paraId="2753E704">
      <w:pPr>
        <w:pStyle w:val="15"/>
        <w:spacing w:line="520" w:lineRule="exact"/>
        <w:ind w:firstLine="640"/>
        <w:rPr>
          <w:rFonts w:ascii="仿宋_GB2312" w:hAnsi="仿宋" w:eastAsia="仿宋_GB2312" w:cs="Times New Roman"/>
          <w:bCs/>
          <w:sz w:val="32"/>
          <w:szCs w:val="32"/>
        </w:rPr>
      </w:pPr>
      <w:r>
        <w:rPr>
          <w:rFonts w:hint="eastAsia" w:ascii="仿宋_GB2312" w:hAnsi="仿宋" w:eastAsia="仿宋_GB2312" w:cs="Times New Roman"/>
          <w:bCs/>
          <w:sz w:val="32"/>
          <w:szCs w:val="32"/>
        </w:rPr>
        <w:t>8.连接牢固度</w:t>
      </w:r>
    </w:p>
    <w:p w14:paraId="5B3460BE">
      <w:pPr>
        <w:pStyle w:val="15"/>
        <w:spacing w:line="520" w:lineRule="exact"/>
        <w:ind w:firstLine="640"/>
        <w:rPr>
          <w:rFonts w:ascii="仿宋_GB2312" w:hAnsi="仿宋" w:eastAsia="仿宋_GB2312" w:cs="Times New Roman"/>
          <w:bCs/>
          <w:sz w:val="32"/>
          <w:szCs w:val="32"/>
        </w:rPr>
      </w:pPr>
      <w:bookmarkStart w:id="1" w:name="_Hlk500608660"/>
      <w:r>
        <w:rPr>
          <w:rFonts w:hint="eastAsia" w:ascii="仿宋_GB2312" w:hAnsi="仿宋" w:eastAsia="仿宋_GB2312"/>
          <w:sz w:val="32"/>
          <w:szCs w:val="32"/>
        </w:rPr>
        <w:t>关节镜下</w:t>
      </w:r>
      <w:bookmarkEnd w:id="1"/>
      <w:r>
        <w:rPr>
          <w:rFonts w:hint="eastAsia" w:ascii="仿宋_GB2312" w:hAnsi="仿宋" w:eastAsia="仿宋_GB2312"/>
          <w:sz w:val="32"/>
          <w:szCs w:val="32"/>
        </w:rPr>
        <w:t>无源手术器械</w:t>
      </w:r>
      <w:r>
        <w:rPr>
          <w:rFonts w:hint="eastAsia" w:ascii="仿宋_GB2312" w:hAnsi="仿宋" w:eastAsia="仿宋_GB2312" w:cs="Times New Roman"/>
          <w:bCs/>
          <w:sz w:val="32"/>
          <w:szCs w:val="32"/>
        </w:rPr>
        <w:t>各连接部位应牢固可靠，焊缝应平整光滑，无脱焊或堆焊现象。</w:t>
      </w:r>
      <w:r>
        <w:rPr>
          <w:rFonts w:hint="eastAsia" w:ascii="仿宋_GB2312" w:hAnsi="仿宋" w:eastAsia="仿宋_GB2312"/>
          <w:sz w:val="32"/>
          <w:szCs w:val="32"/>
        </w:rPr>
        <w:t>关节镜下无源手术器械</w:t>
      </w:r>
      <w:r>
        <w:rPr>
          <w:rFonts w:hint="eastAsia" w:ascii="仿宋_GB2312" w:hAnsi="仿宋" w:eastAsia="仿宋_GB2312" w:cs="Times New Roman"/>
          <w:bCs/>
          <w:sz w:val="32"/>
          <w:szCs w:val="32"/>
        </w:rPr>
        <w:t>铆钉应牢固可靠，开闭灵活。</w:t>
      </w:r>
    </w:p>
    <w:p w14:paraId="052EC44A">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9.灭菌</w:t>
      </w:r>
    </w:p>
    <w:p w14:paraId="4810576D">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如</w:t>
      </w:r>
      <w:bookmarkStart w:id="2" w:name="_Hlk501215804"/>
      <w:r>
        <w:rPr>
          <w:rFonts w:hint="eastAsia" w:ascii="仿宋_GB2312" w:hAnsi="仿宋" w:eastAsia="仿宋_GB2312"/>
          <w:sz w:val="32"/>
          <w:szCs w:val="32"/>
        </w:rPr>
        <w:t>关节镜下</w:t>
      </w:r>
      <w:bookmarkEnd w:id="2"/>
      <w:r>
        <w:rPr>
          <w:rFonts w:hint="eastAsia" w:ascii="仿宋_GB2312" w:hAnsi="仿宋" w:eastAsia="仿宋_GB2312"/>
          <w:sz w:val="32"/>
          <w:szCs w:val="32"/>
        </w:rPr>
        <w:t>无源手术器械</w:t>
      </w:r>
      <w:r>
        <w:rPr>
          <w:rFonts w:hint="eastAsia" w:ascii="仿宋_GB2312" w:hAnsi="仿宋" w:eastAsia="仿宋_GB2312" w:cs="Times New Roman"/>
          <w:color w:val="auto"/>
          <w:kern w:val="2"/>
          <w:sz w:val="32"/>
          <w:szCs w:val="32"/>
        </w:rPr>
        <w:t>经确认的方法灭菌后应无菌。若产品经环氧乙烷灭菌，环氧乙烷残留量应不大于10μg/g。</w:t>
      </w:r>
    </w:p>
    <w:p w14:paraId="4B7D1D9A">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10.其他</w:t>
      </w:r>
    </w:p>
    <w:p w14:paraId="0DDA50E5">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sz w:val="32"/>
          <w:szCs w:val="32"/>
        </w:rPr>
        <w:t>关节镜下无源手术器械其它</w:t>
      </w:r>
      <w:r>
        <w:rPr>
          <w:rFonts w:hint="eastAsia" w:ascii="仿宋_GB2312" w:hAnsi="仿宋" w:eastAsia="仿宋_GB2312" w:cs="Times New Roman"/>
          <w:color w:val="auto"/>
          <w:kern w:val="2"/>
          <w:sz w:val="32"/>
          <w:szCs w:val="32"/>
        </w:rPr>
        <w:t>组件应根据自身特性制定专有技术指标，应能满足使用要求。</w:t>
      </w:r>
    </w:p>
    <w:p w14:paraId="56024C27">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（九）同一注册单元内注册检验代表产品确定原则和实例</w:t>
      </w:r>
    </w:p>
    <w:p w14:paraId="329618F3">
      <w:pPr>
        <w:tabs>
          <w:tab w:val="left" w:pos="8040"/>
        </w:tabs>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同一注册单元中的典型产品是指能够代表本注册单元内其他产品安全性和有效性的产品。</w:t>
      </w:r>
    </w:p>
    <w:p w14:paraId="6AC96F96">
      <w:pPr>
        <w:tabs>
          <w:tab w:val="left" w:pos="8040"/>
        </w:tabs>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关节镜下无源手术器械应选择能够覆盖注册单元内全部产品性能的产品，若一个型号不能覆盖，除选择典型型号进行全性能检验外，还应选择其他型号进行差异性检验。如同一注册单元中的无菌提供产品与非无菌提供产品，应选无菌提供的产品作为典型型号产品送检；关节镜下无源手术器械关键部分，如关节镜下抓钳头部，材料类别不同应分别送检。</w:t>
      </w:r>
    </w:p>
    <w:p w14:paraId="61E1FA59">
      <w:pPr>
        <w:tabs>
          <w:tab w:val="left" w:pos="8040"/>
        </w:tabs>
        <w:spacing w:line="520" w:lineRule="exact"/>
        <w:ind w:firstLine="640" w:firstLineChars="200"/>
        <w:jc w:val="left"/>
        <w:rPr>
          <w:rFonts w:ascii="楷体_GB2312" w:hAnsi="仿宋" w:eastAsia="楷体_GB2312"/>
          <w:sz w:val="32"/>
          <w:szCs w:val="32"/>
        </w:rPr>
      </w:pPr>
      <w:r>
        <w:rPr>
          <w:rFonts w:hint="eastAsia" w:ascii="楷体_GB2312" w:hAnsi="楷体" w:eastAsia="楷体_GB2312"/>
          <w:sz w:val="32"/>
          <w:szCs w:val="32"/>
        </w:rPr>
        <w:t>（十）产品生产制造相关要求</w:t>
      </w:r>
    </w:p>
    <w:p w14:paraId="7476EF72">
      <w:pPr>
        <w:tabs>
          <w:tab w:val="left" w:pos="8040"/>
        </w:tabs>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关节镜下无源手术器械生产企业应进行严格的质量控制。首次注册申报材料应明确产品生产工艺过程，可采用流程图的形式，并说明其过程关键控制点，如机加工、装配、表面处理、清洗、封口、灭菌（如适用）等工艺过程；应明确表面处理工艺过程中各类加工助剂的添加、去除和残留控制。</w:t>
      </w:r>
    </w:p>
    <w:p w14:paraId="6CE87825">
      <w:pPr>
        <w:tabs>
          <w:tab w:val="left" w:pos="8040"/>
        </w:tabs>
        <w:spacing w:line="520" w:lineRule="exact"/>
        <w:ind w:firstLine="640" w:firstLineChars="200"/>
        <w:jc w:val="left"/>
        <w:rPr>
          <w:rFonts w:ascii="楷体_GB2312" w:hAnsi="楷体" w:eastAsia="楷体_GB2312"/>
          <w:sz w:val="32"/>
          <w:szCs w:val="32"/>
        </w:rPr>
      </w:pPr>
      <w:r>
        <w:rPr>
          <w:rFonts w:hint="eastAsia" w:ascii="楷体_GB2312" w:hAnsi="楷体" w:eastAsia="楷体_GB2312"/>
          <w:sz w:val="32"/>
          <w:szCs w:val="32"/>
        </w:rPr>
        <w:t>（十一）产品的临床评价细化要求</w:t>
      </w:r>
    </w:p>
    <w:p w14:paraId="20DC5428">
      <w:pPr>
        <w:pStyle w:val="18"/>
        <w:ind w:firstLine="640"/>
        <w:rPr>
          <w:rFonts w:ascii="仿宋_GB2312" w:hAnsi="仿宋" w:eastAsia="仿宋_GB2312"/>
          <w:szCs w:val="32"/>
        </w:rPr>
      </w:pPr>
      <w:r>
        <w:rPr>
          <w:rFonts w:hint="eastAsia" w:ascii="仿宋_GB2312" w:hAnsi="仿宋" w:eastAsia="仿宋_GB2312"/>
          <w:szCs w:val="32"/>
        </w:rPr>
        <w:t>关节镜下无源手术器械产品的临床评价资料应符合《医疗器械临床评价技术指导原则》的规定。</w:t>
      </w:r>
    </w:p>
    <w:p w14:paraId="76E5650B">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依据《关于公布新增和修订的免于进行临床试验医疗器械目录的通告》（2019年第91号）文件的规定，关节镜下无源手术器械属于免于临床试验目录中的产品，临床评价应包括申报产品相关信息与目录所述内容的对比资料，以及申报产品与目录中已获准境内注册医疗器械的对比说明、相应支持性资料。</w:t>
      </w:r>
    </w:p>
    <w:p w14:paraId="0B00E486">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若申报产品与免于临床试验目录中产品不一致的，可通过同品种医疗器械临床试验或临床使用获得的数据进行分析评价；或按照相关要求开展临床试验进行评价。</w:t>
      </w:r>
    </w:p>
    <w:p w14:paraId="4F784C19">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（十二）产品的不良事件历史记录</w:t>
      </w:r>
    </w:p>
    <w:p w14:paraId="37B837AA">
      <w:pPr>
        <w:spacing w:line="520" w:lineRule="exact"/>
        <w:ind w:firstLine="640" w:firstLineChars="200"/>
        <w:rPr>
          <w:rFonts w:ascii="仿宋_GB2312" w:hAnsi="楷体" w:eastAsia="仿宋_GB2312"/>
          <w:sz w:val="32"/>
          <w:szCs w:val="32"/>
        </w:rPr>
      </w:pPr>
      <w:r>
        <w:rPr>
          <w:rFonts w:hint="eastAsia" w:ascii="仿宋_GB2312" w:hAnsi="仿宋" w:eastAsia="仿宋_GB2312"/>
          <w:sz w:val="32"/>
          <w:szCs w:val="32"/>
        </w:rPr>
        <w:t>暂未见相关报道。</w:t>
      </w:r>
    </w:p>
    <w:p w14:paraId="046BA0E6">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（十三）产品说明书和标签要求</w:t>
      </w:r>
    </w:p>
    <w:p w14:paraId="70C7D71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产品说明书和标签的编写要求应符合《医疗器械说明书和标签管理规定》（国家食品药品监督管理总局令第6号）和《医疗器械用于医疗器械标签、标记和提供信息的符号》（YY/T 0466.1-2016）的要求。产品说明书还应包括以下内容：</w:t>
      </w:r>
    </w:p>
    <w:p w14:paraId="307C287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1.应明确非灭菌提供产品使用前的消毒或灭菌方式；</w:t>
      </w:r>
    </w:p>
    <w:p w14:paraId="2CE5309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2.应明确重复使用产品使用后的清洗及灭菌方法；</w:t>
      </w:r>
    </w:p>
    <w:p w14:paraId="690B267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3.应注明产品贮存环境要求；</w:t>
      </w:r>
    </w:p>
    <w:p w14:paraId="7E580EFC">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4.应明确配套、组合产品使用方法；</w:t>
      </w:r>
    </w:p>
    <w:p w14:paraId="24C5BD0B">
      <w:pPr>
        <w:spacing w:line="520" w:lineRule="exact"/>
        <w:ind w:right="-67" w:rightChars="-32" w:firstLine="640" w:firstLineChars="200"/>
        <w:rPr>
          <w:rFonts w:ascii="仿宋_GB2312" w:hAnsi="仿宋" w:eastAsia="仿宋_GB2312"/>
          <w:sz w:val="32"/>
          <w:szCs w:val="32"/>
        </w:rPr>
      </w:pPr>
      <w:r>
        <w:rPr>
          <w:rFonts w:hint="eastAsia" w:ascii="仿宋_GB2312" w:hAnsi="仿宋" w:eastAsia="仿宋_GB2312"/>
          <w:sz w:val="32"/>
          <w:szCs w:val="32"/>
        </w:rPr>
        <w:t>5.应按照相应行业标准，明确关节镜下无源手术器械的标志、标识。</w:t>
      </w:r>
    </w:p>
    <w:p w14:paraId="2304D7AC">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(十四)研究资料</w:t>
      </w:r>
    </w:p>
    <w:p w14:paraId="5EE11195">
      <w:pPr>
        <w:pStyle w:val="15"/>
        <w:numPr>
          <w:ilvl w:val="0"/>
          <w:numId w:val="1"/>
        </w:numPr>
        <w:spacing w:line="520" w:lineRule="exact"/>
        <w:ind w:firstLineChars="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产品性能研究</w:t>
      </w:r>
    </w:p>
    <w:p w14:paraId="0E30ADF0">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在开展产品性能研究时，应当提供产品性能研究资料以及产品技术要求的研究和编写说明，应至少对所申报产品的代表性样件进行功能性、安全性指标研究。注册人应提交与质量控制相关的其他指标的确定依据，所采用的标准或方法、采用的原因及理论基础。</w:t>
      </w:r>
    </w:p>
    <w:p w14:paraId="76934EAF">
      <w:pPr>
        <w:pStyle w:val="15"/>
        <w:spacing w:line="520" w:lineRule="exact"/>
        <w:ind w:firstLine="64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2.生物相容性的评价研究</w:t>
      </w:r>
    </w:p>
    <w:p w14:paraId="7111269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关节镜下无源手术器械直接与人体组织接触，应按照GB/T16886系列标准对产品进行全面的生物学评价，并提交生物学评价报告证明其安全性。在进行生物评价过程中，应明确关节镜下无源器械产品与人体接触组件或部位的材料性质，如材料牌号、化学成分、生产加工中引入的涂层或阳极氧化等。</w:t>
      </w:r>
    </w:p>
    <w:p w14:paraId="0375EB9D">
      <w:pPr>
        <w:pStyle w:val="15"/>
        <w:spacing w:line="520" w:lineRule="exact"/>
        <w:ind w:firstLine="547" w:firstLineChars="171"/>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生物相容性评价研究资料应当包括：生物相容性评价的依据和方法；产品所用材料的描述及与人体接触的性质；实施或豁免生物学试验的理由和论证；对于现有数据或试验结果的评价。</w:t>
      </w:r>
    </w:p>
    <w:p w14:paraId="382775F6">
      <w:pPr>
        <w:pStyle w:val="15"/>
        <w:spacing w:line="520" w:lineRule="exact"/>
        <w:ind w:firstLine="640"/>
        <w:rPr>
          <w:rFonts w:ascii="仿宋_GB2312" w:hAnsi="仿宋" w:eastAsia="仿宋_GB2312"/>
          <w:sz w:val="32"/>
          <w:szCs w:val="32"/>
        </w:rPr>
      </w:pPr>
      <w:r>
        <w:rPr>
          <w:rFonts w:hint="eastAsia" w:ascii="仿宋_GB2312" w:hAnsi="仿宋" w:eastAsia="仿宋_GB2312"/>
          <w:sz w:val="32"/>
          <w:szCs w:val="32"/>
        </w:rPr>
        <w:t>3.产品有效期/使用期限和包装研究</w:t>
      </w:r>
    </w:p>
    <w:p w14:paraId="7F34775F">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无菌有效期是指灭菌器械能够发挥拟定作用的时间段，无菌有效期验证试验可采用加速稳定性试验和实时稳定性试验，企业需在试验方案中设定检测项目、检测方法及判定标准。产品无菌有效期验证资料可包括以下内容：产品原材料/组件、包装材料、生产工艺、灭菌方法、储存运输条件等基本信息，有效期相关影响因素的说明，稳定性试验的试验方案及试验报告等，包装封口工艺验证方案及报告等。关节镜下无源手术器械的有效期可根据产品提供的形式进行考虑，一般以无菌方式提供的产品要考虑无菌屏障效期，可与无菌包装验证研究共同进行；可重复使用的产品或组件，应提交清洗、灭菌过程对产品性能影响的相关验证资料。</w:t>
      </w:r>
    </w:p>
    <w:p w14:paraId="78CC9D4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产品包装主要对产品起到防护和无菌屏障的作用。以无菌形式提供的产品，其包装验证可依据有关国内、国际标准进行（如GB/T 19633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以非无菌形式提供的产品应考虑包装材料对产品的防护性能及相关要求。</w:t>
      </w:r>
    </w:p>
    <w:p w14:paraId="7FBB7B43">
      <w:pPr>
        <w:spacing w:line="520" w:lineRule="exact"/>
        <w:ind w:right="-67" w:rightChars="-32" w:firstLine="640" w:firstLineChars="200"/>
        <w:rPr>
          <w:rFonts w:ascii="黑体" w:hAnsi="黑体" w:eastAsia="黑体"/>
          <w:sz w:val="32"/>
          <w:szCs w:val="32"/>
        </w:rPr>
      </w:pPr>
      <w:r>
        <w:rPr>
          <w:rFonts w:hint="eastAsia" w:ascii="黑体" w:hAnsi="黑体" w:eastAsia="黑体"/>
          <w:sz w:val="32"/>
          <w:szCs w:val="32"/>
        </w:rPr>
        <w:t>三、审查关注点</w:t>
      </w:r>
    </w:p>
    <w:p w14:paraId="6DC5DFF6">
      <w:pPr>
        <w:spacing w:line="520" w:lineRule="exact"/>
        <w:ind w:firstLine="640" w:firstLineChars="200"/>
        <w:jc w:val="left"/>
        <w:rPr>
          <w:rFonts w:ascii="仿宋_GB2312" w:hAnsi="仿宋" w:eastAsia="仿宋_GB2312"/>
          <w:color w:val="FF0000"/>
          <w:sz w:val="32"/>
          <w:szCs w:val="32"/>
        </w:rPr>
      </w:pPr>
      <w:r>
        <w:rPr>
          <w:rFonts w:hint="eastAsia" w:ascii="仿宋_GB2312" w:hAnsi="楷体" w:eastAsia="仿宋_GB2312"/>
          <w:sz w:val="32"/>
          <w:szCs w:val="32"/>
        </w:rPr>
        <w:t>（一）</w:t>
      </w:r>
      <w:r>
        <w:rPr>
          <w:rFonts w:hint="eastAsia" w:ascii="仿宋_GB2312" w:hAnsi="仿宋" w:eastAsia="仿宋_GB2312"/>
          <w:sz w:val="32"/>
          <w:szCs w:val="32"/>
        </w:rPr>
        <w:t>关节镜下无源手术器械主要技术性能是否执行了国家和行业的强制性标准；性能指标的确定是否能满足产品的安全有效性；材料要求、硬度要求、外观要求、尺寸要求、使用性能、表面粗糙度要求等是否做出了规定，特别是关节镜下无源手术器械专有要求。如：关节镜下无源手术器械</w:t>
      </w:r>
      <w:r>
        <w:rPr>
          <w:rFonts w:hint="eastAsia" w:ascii="仿宋_GB2312" w:hAnsi="仿宋" w:eastAsia="仿宋_GB2312" w:cs="Times New Roman"/>
          <w:sz w:val="32"/>
          <w:szCs w:val="32"/>
        </w:rPr>
        <w:t>在关节镜视野中可见的头端部分应经过处理，以消除可能存在的定向反射现象等</w:t>
      </w:r>
      <w:r>
        <w:rPr>
          <w:rFonts w:hint="eastAsia" w:ascii="仿宋_GB2312" w:hAnsi="仿宋" w:eastAsia="仿宋_GB2312"/>
          <w:sz w:val="32"/>
          <w:szCs w:val="32"/>
        </w:rPr>
        <w:t>。应明确产品组件原材料牌号要求或供方出厂报告要求；产品组件硬度要求是否符合相关国家标准、行业标准要求或满足临床使用要求。</w:t>
      </w:r>
    </w:p>
    <w:p w14:paraId="2C3D3BFB">
      <w:pPr>
        <w:spacing w:line="520" w:lineRule="exact"/>
        <w:ind w:firstLine="640" w:firstLineChars="200"/>
        <w:jc w:val="left"/>
        <w:rPr>
          <w:rFonts w:ascii="仿宋_GB2312" w:hAnsi="仿宋" w:eastAsia="仿宋_GB2312"/>
          <w:sz w:val="32"/>
          <w:szCs w:val="32"/>
        </w:rPr>
      </w:pPr>
      <w:r>
        <w:rPr>
          <w:rFonts w:hint="eastAsia" w:ascii="仿宋_GB2312" w:hAnsi="楷体" w:eastAsia="仿宋_GB2312"/>
          <w:sz w:val="32"/>
          <w:szCs w:val="32"/>
        </w:rPr>
        <w:t>（二）</w:t>
      </w:r>
      <w:r>
        <w:rPr>
          <w:rFonts w:hint="eastAsia" w:ascii="仿宋_GB2312" w:hAnsi="仿宋" w:eastAsia="仿宋_GB2312"/>
          <w:sz w:val="32"/>
          <w:szCs w:val="32"/>
        </w:rPr>
        <w:t>说明书中必须告知用户的信息是否完整，如应明确本产品使用说明、注意事项及警示说明。</w:t>
      </w:r>
    </w:p>
    <w:p w14:paraId="6579C3B4">
      <w:pPr>
        <w:spacing w:line="520" w:lineRule="exact"/>
        <w:ind w:firstLine="640" w:firstLineChars="200"/>
        <w:jc w:val="left"/>
        <w:rPr>
          <w:rFonts w:ascii="仿宋_GB2312" w:hAnsi="仿宋" w:eastAsia="仿宋_GB2312"/>
          <w:sz w:val="32"/>
          <w:szCs w:val="32"/>
        </w:rPr>
      </w:pPr>
      <w:r>
        <w:rPr>
          <w:rFonts w:hint="eastAsia" w:ascii="仿宋_GB2312" w:hAnsi="楷体" w:eastAsia="仿宋_GB2312"/>
          <w:sz w:val="32"/>
          <w:szCs w:val="32"/>
        </w:rPr>
        <w:t>（三）</w:t>
      </w:r>
      <w:r>
        <w:rPr>
          <w:rFonts w:hint="eastAsia" w:ascii="仿宋_GB2312" w:hAnsi="仿宋" w:eastAsia="仿宋_GB2312"/>
          <w:sz w:val="32"/>
          <w:szCs w:val="32"/>
        </w:rPr>
        <w:t>产品的主要风险是否已经列举，并通过风险控制措施使产品的安全性在合理可接受的程度之内。</w:t>
      </w:r>
    </w:p>
    <w:p w14:paraId="09AD74A1">
      <w:pPr>
        <w:spacing w:line="520" w:lineRule="exact"/>
        <w:ind w:firstLine="640" w:firstLineChars="200"/>
        <w:rPr>
          <w:rFonts w:ascii="仿宋_GB2312" w:hAnsi="仿宋" w:eastAsia="仿宋_GB2312"/>
          <w:sz w:val="32"/>
          <w:szCs w:val="32"/>
        </w:rPr>
      </w:pPr>
      <w:r>
        <w:rPr>
          <w:rFonts w:hint="eastAsia" w:ascii="仿宋_GB2312" w:hAnsi="楷体" w:eastAsia="仿宋_GB2312"/>
          <w:sz w:val="32"/>
          <w:szCs w:val="32"/>
        </w:rPr>
        <w:t>（四）</w:t>
      </w:r>
      <w:r>
        <w:rPr>
          <w:rFonts w:hint="eastAsia" w:ascii="仿宋_GB2312" w:hAnsi="仿宋" w:eastAsia="仿宋_GB2312"/>
          <w:sz w:val="32"/>
          <w:szCs w:val="32"/>
        </w:rPr>
        <w:t>应关注注册检测产品是否能够代表本注册单元内其他产品安全性和有效性。</w:t>
      </w:r>
    </w:p>
    <w:p w14:paraId="5D692042">
      <w:pPr>
        <w:spacing w:line="520" w:lineRule="exact"/>
        <w:ind w:firstLine="640" w:firstLineChars="200"/>
        <w:rPr>
          <w:rFonts w:ascii="仿宋_GB2312" w:hAnsi="仿宋" w:eastAsia="仿宋_GB2312"/>
          <w:sz w:val="32"/>
          <w:szCs w:val="32"/>
        </w:rPr>
      </w:pPr>
    </w:p>
    <w:p w14:paraId="33E25E78">
      <w:pPr>
        <w:widowControl/>
        <w:jc w:val="left"/>
        <w:rPr>
          <w:rFonts w:ascii="仿宋_GB2312" w:hAnsi="仿宋" w:eastAsia="仿宋_GB2312"/>
          <w:sz w:val="32"/>
          <w:szCs w:val="32"/>
        </w:rPr>
      </w:pPr>
      <w:r>
        <w:rPr>
          <w:rFonts w:ascii="仿宋_GB2312" w:hAnsi="仿宋" w:eastAsia="仿宋_GB2312"/>
          <w:sz w:val="32"/>
          <w:szCs w:val="32"/>
        </w:rPr>
        <w:br w:type="page"/>
      </w:r>
    </w:p>
    <w:p w14:paraId="75E1D642">
      <w:pPr>
        <w:spacing w:after="312" w:afterLines="100" w:line="520" w:lineRule="exact"/>
        <w:ind w:right="-67" w:rightChars="-32"/>
        <w:jc w:val="center"/>
        <w:rPr>
          <w:rFonts w:ascii="方正小标宋简体" w:hAnsi="宋体" w:eastAsia="方正小标宋简体" w:cs="方正小标宋简体"/>
          <w:color w:val="000000"/>
          <w:sz w:val="36"/>
          <w:szCs w:val="36"/>
        </w:rPr>
      </w:pPr>
      <w:r>
        <w:rPr>
          <w:rFonts w:hint="eastAsia" w:ascii="方正小标宋简体" w:hAnsi="宋体" w:eastAsia="方正小标宋简体" w:cs="方正小标宋简体"/>
          <w:color w:val="000000"/>
          <w:sz w:val="36"/>
          <w:szCs w:val="36"/>
        </w:rPr>
        <w:t>关节镜下无源手术器械技术指导原则编制说明</w:t>
      </w:r>
    </w:p>
    <w:p w14:paraId="6EA6D8A2">
      <w:pPr>
        <w:spacing w:line="520" w:lineRule="exact"/>
        <w:ind w:firstLine="640" w:firstLineChars="200"/>
        <w:rPr>
          <w:rFonts w:ascii="黑体" w:hAnsi="黑体" w:eastAsia="黑体"/>
          <w:sz w:val="32"/>
          <w:szCs w:val="32"/>
        </w:rPr>
      </w:pPr>
      <w:r>
        <w:rPr>
          <w:rFonts w:hint="eastAsia" w:ascii="黑体" w:hAnsi="黑体" w:eastAsia="黑体"/>
          <w:sz w:val="32"/>
          <w:szCs w:val="32"/>
        </w:rPr>
        <w:t>一、产品技术指导原则</w:t>
      </w:r>
      <w:r>
        <w:rPr>
          <w:rFonts w:hint="eastAsia" w:ascii="黑体" w:eastAsia="黑体"/>
          <w:color w:val="000000"/>
          <w:sz w:val="32"/>
          <w:szCs w:val="32"/>
        </w:rPr>
        <w:t>起草目的和背景</w:t>
      </w:r>
    </w:p>
    <w:p w14:paraId="573A9A55">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（一）本指导原则编写的目的是用于指导和规范关节镜下无源手术器械产品注册申报过程中审查人员对注册材料的技术审评。</w:t>
      </w:r>
    </w:p>
    <w:p w14:paraId="6558311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本指导原则旨在让初次接触该类产品的注册审查人员对产品原理、结构、主要性能、预期用途等各个方面有个基本了解，同时让技术审查人员在产品注册技术审评时把握基本的尺度，对产品安全性、有效性作出系统评价。</w:t>
      </w:r>
    </w:p>
    <w:p w14:paraId="1EDE4C71">
      <w:pPr>
        <w:spacing w:line="520" w:lineRule="exact"/>
        <w:ind w:firstLine="640" w:firstLineChars="200"/>
        <w:rPr>
          <w:rFonts w:ascii="黑体" w:hAnsi="黑体" w:eastAsia="黑体"/>
          <w:sz w:val="32"/>
          <w:szCs w:val="32"/>
        </w:rPr>
      </w:pPr>
      <w:r>
        <w:rPr>
          <w:rFonts w:hint="eastAsia" w:ascii="黑体" w:hAnsi="黑体" w:eastAsia="黑体"/>
          <w:sz w:val="32"/>
          <w:szCs w:val="32"/>
        </w:rPr>
        <w:t>二、产品技术指导原则</w:t>
      </w:r>
      <w:r>
        <w:rPr>
          <w:rFonts w:hint="eastAsia" w:ascii="黑体" w:eastAsia="黑体"/>
          <w:color w:val="000000"/>
          <w:sz w:val="32"/>
          <w:szCs w:val="32"/>
        </w:rPr>
        <w:t>编写的依据</w:t>
      </w:r>
    </w:p>
    <w:p w14:paraId="08EFDF8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（一）《医疗器械监督管理条例》（国务院令第650号）</w:t>
      </w:r>
    </w:p>
    <w:p w14:paraId="63C5C56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（二）《医疗器械注册管理办法》（国家食品药品监督管理总局令第4号）</w:t>
      </w:r>
    </w:p>
    <w:p w14:paraId="750E0A30">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（三）《医疗器械说明书和标签管理规定》（国家食品药品监督管理总局令第6号）</w:t>
      </w:r>
    </w:p>
    <w:p w14:paraId="3565C53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（四）《关于发布医疗器械产品技术要求编写指导原则的通告》（国家食品药品监督管理总局2014年第9号通告）</w:t>
      </w:r>
    </w:p>
    <w:p w14:paraId="6D42F65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（五）食品药品监管总局关于实施《医疗器械注册管理办法》和《体外诊断试剂注册管理办法》有关事项的通知（食药监械管[2014]144号）</w:t>
      </w:r>
    </w:p>
    <w:p w14:paraId="7EB04F73">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（六）总局关于发布医疗器械分类目录的公告（2017年第104号）</w:t>
      </w:r>
    </w:p>
    <w:p w14:paraId="75A9DEAB">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（七）国家食品药品监督管理总局关于发布医疗器械临床评价技术指导原则的通告（2015年第14号）</w:t>
      </w:r>
    </w:p>
    <w:p w14:paraId="2088ED3A">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（八）《关于公布新增和修订的免于进行临床试验医疗器械目录的通告》（2019年第91号</w:t>
      </w:r>
      <w:r>
        <w:rPr>
          <w:rFonts w:ascii="仿宋_GB2312" w:hAnsi="仿宋" w:eastAsia="仿宋_GB2312"/>
          <w:sz w:val="32"/>
          <w:szCs w:val="32"/>
        </w:rPr>
        <w:t>）</w:t>
      </w:r>
    </w:p>
    <w:p w14:paraId="7560CEF1">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（九）国家食品药品监督管理部门发布的其他规范性文件</w:t>
      </w:r>
    </w:p>
    <w:p w14:paraId="36EF4DDA">
      <w:pPr>
        <w:spacing w:line="520" w:lineRule="exact"/>
        <w:ind w:firstLine="640" w:firstLineChars="200"/>
        <w:rPr>
          <w:rFonts w:ascii="黑体" w:hAnsi="黑体" w:eastAsia="黑体"/>
          <w:sz w:val="32"/>
          <w:szCs w:val="32"/>
        </w:rPr>
      </w:pPr>
      <w:r>
        <w:rPr>
          <w:rFonts w:hint="eastAsia" w:ascii="黑体" w:hAnsi="黑体" w:eastAsia="黑体"/>
          <w:sz w:val="32"/>
          <w:szCs w:val="32"/>
        </w:rPr>
        <w:t>三、产品技术指导原则</w:t>
      </w:r>
      <w:r>
        <w:rPr>
          <w:rFonts w:hint="eastAsia" w:ascii="黑体" w:eastAsia="黑体"/>
          <w:color w:val="000000"/>
          <w:sz w:val="32"/>
          <w:szCs w:val="32"/>
        </w:rPr>
        <w:t>中重点内容说明</w:t>
      </w:r>
    </w:p>
    <w:p w14:paraId="21E22202">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（一）根据《医疗器械分类规则》确定了关节镜下无源手术器械的分类及适用范围。</w:t>
      </w:r>
    </w:p>
    <w:p w14:paraId="67D40DC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（二）关节镜下无源手术器械命名除参照分类界定通知等相关文件外，主要考虑了临床使用的常见名称和已批准上市产品的名称。</w:t>
      </w:r>
    </w:p>
    <w:p w14:paraId="24AA48A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目前暂未有行业标准或指导原则等文件针对非无菌提供的关节镜下无源手术器械使用寿命做出明确规定。依据《医疗器械说明书和标签管理规定》应明确产品的有效期或使用期限。企业在进行产品效期验证时应考虑产品材料、使用频率、清洗消毒方法对产品的影响等因素，结合实际临床使用的情况，获得有效期或使用期限的验证结果。</w:t>
      </w:r>
    </w:p>
    <w:p w14:paraId="48993372">
      <w:pPr>
        <w:snapToGrid w:val="0"/>
        <w:spacing w:line="520" w:lineRule="exact"/>
        <w:ind w:firstLine="640" w:firstLineChars="200"/>
        <w:rPr>
          <w:rFonts w:ascii="黑体" w:hAnsi="宋体" w:eastAsia="黑体"/>
          <w:sz w:val="32"/>
          <w:szCs w:val="32"/>
        </w:rPr>
      </w:pPr>
      <w:r>
        <w:rPr>
          <w:rFonts w:hint="eastAsia" w:ascii="黑体" w:hAnsi="宋体" w:eastAsia="黑体"/>
          <w:sz w:val="32"/>
          <w:szCs w:val="32"/>
        </w:rPr>
        <w:t>四、</w:t>
      </w:r>
      <w:r>
        <w:rPr>
          <w:rFonts w:hint="eastAsia" w:ascii="黑体" w:hAnsi="黑体" w:eastAsia="黑体"/>
          <w:sz w:val="32"/>
          <w:szCs w:val="32"/>
        </w:rPr>
        <w:t>产品技术指导原则</w:t>
      </w:r>
      <w:r>
        <w:rPr>
          <w:rFonts w:hint="eastAsia" w:ascii="黑体" w:hAnsi="宋体" w:eastAsia="黑体"/>
          <w:sz w:val="32"/>
          <w:szCs w:val="32"/>
        </w:rPr>
        <w:t>编写人员</w:t>
      </w:r>
    </w:p>
    <w:p w14:paraId="6BD8585C">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规范的编写成员由注册技术审评人员、医疗器械检验人员、专业厂家代表、临床骨科专家等共同组成，以充分利用各方面的信息资源和专业特长，将产品注册各个环节的有关要求尽可能全面地体现在产品技术指导原则的相关章节中，从而保证指导原则的正确、全面、实用。</w:t>
      </w:r>
    </w:p>
    <w:p w14:paraId="4CF27620">
      <w:pPr>
        <w:spacing w:line="360" w:lineRule="auto"/>
        <w:jc w:val="center"/>
        <w:rPr>
          <w:rFonts w:hint="eastAsia" w:eastAsia="宋体"/>
          <w:lang w:eastAsia="zh-CN"/>
        </w:rPr>
      </w:pPr>
    </w:p>
    <w:p w14:paraId="069693D9">
      <w:pPr>
        <w:spacing w:line="360" w:lineRule="auto"/>
        <w:jc w:val="center"/>
        <w:rPr>
          <w:rFonts w:hint="eastAsia" w:eastAsia="宋体"/>
          <w:lang w:eastAsia="zh-CN"/>
        </w:rPr>
      </w:pPr>
    </w:p>
    <w:p w14:paraId="69D87499">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21"/>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1106"/>
      <w:docPartObj>
        <w:docPartGallery w:val="AutoText"/>
      </w:docPartObj>
    </w:sdtPr>
    <w:sdtContent>
      <w:p w14:paraId="046856FE">
        <w:pPr>
          <w:pStyle w:val="4"/>
          <w:jc w:val="center"/>
        </w:pPr>
        <w:r>
          <w:fldChar w:fldCharType="begin"/>
        </w:r>
        <w:r>
          <w:instrText xml:space="preserve">PAGE   \* MERGEFORMAT</w:instrText>
        </w:r>
        <w:r>
          <w:fldChar w:fldCharType="separate"/>
        </w:r>
        <w:r>
          <w:rPr>
            <w:lang w:val="zh-CN"/>
          </w:rPr>
          <w:t>1</w:t>
        </w:r>
        <w:r>
          <w:fldChar w:fldCharType="end"/>
        </w:r>
      </w:p>
    </w:sdtContent>
  </w:sdt>
  <w:p w14:paraId="380690E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D4D7A"/>
    <w:multiLevelType w:val="multilevel"/>
    <w:tmpl w:val="008D4D7A"/>
    <w:lvl w:ilvl="0" w:tentative="0">
      <w:start w:val="1"/>
      <w:numFmt w:val="decimal"/>
      <w:lvlText w:val="%1."/>
      <w:lvlJc w:val="left"/>
      <w:pPr>
        <w:ind w:left="921" w:hanging="360"/>
      </w:pPr>
      <w:rPr>
        <w:rFonts w:hint="default" w:cs="Times New Roman"/>
      </w:rPr>
    </w:lvl>
    <w:lvl w:ilvl="1" w:tentative="0">
      <w:start w:val="1"/>
      <w:numFmt w:val="lowerLetter"/>
      <w:lvlText w:val="%2)"/>
      <w:lvlJc w:val="left"/>
      <w:pPr>
        <w:ind w:left="1401" w:hanging="420"/>
      </w:pPr>
      <w:rPr>
        <w:rFonts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081"/>
    <w:rsid w:val="00000156"/>
    <w:rsid w:val="00014A05"/>
    <w:rsid w:val="0002764A"/>
    <w:rsid w:val="00035616"/>
    <w:rsid w:val="00035A9C"/>
    <w:rsid w:val="000424A6"/>
    <w:rsid w:val="00043278"/>
    <w:rsid w:val="000515AE"/>
    <w:rsid w:val="000558F6"/>
    <w:rsid w:val="00057D49"/>
    <w:rsid w:val="00065063"/>
    <w:rsid w:val="0007590F"/>
    <w:rsid w:val="0008235F"/>
    <w:rsid w:val="00085112"/>
    <w:rsid w:val="00086CF1"/>
    <w:rsid w:val="000927ED"/>
    <w:rsid w:val="000928F5"/>
    <w:rsid w:val="0009379D"/>
    <w:rsid w:val="00097BDC"/>
    <w:rsid w:val="000A288F"/>
    <w:rsid w:val="000A3759"/>
    <w:rsid w:val="000B17DF"/>
    <w:rsid w:val="000B1AF3"/>
    <w:rsid w:val="000B671B"/>
    <w:rsid w:val="000C1D95"/>
    <w:rsid w:val="000C4153"/>
    <w:rsid w:val="000D4590"/>
    <w:rsid w:val="000E01EC"/>
    <w:rsid w:val="000E4172"/>
    <w:rsid w:val="000F20D3"/>
    <w:rsid w:val="000F540D"/>
    <w:rsid w:val="000F6D74"/>
    <w:rsid w:val="000F7AC0"/>
    <w:rsid w:val="001059D5"/>
    <w:rsid w:val="001118B4"/>
    <w:rsid w:val="00112C41"/>
    <w:rsid w:val="00124C27"/>
    <w:rsid w:val="00137737"/>
    <w:rsid w:val="00144469"/>
    <w:rsid w:val="00151BE9"/>
    <w:rsid w:val="00162D25"/>
    <w:rsid w:val="00165574"/>
    <w:rsid w:val="001675F5"/>
    <w:rsid w:val="001730FC"/>
    <w:rsid w:val="00173E18"/>
    <w:rsid w:val="00181EAF"/>
    <w:rsid w:val="00185CF8"/>
    <w:rsid w:val="00192806"/>
    <w:rsid w:val="00193969"/>
    <w:rsid w:val="001963A6"/>
    <w:rsid w:val="00197512"/>
    <w:rsid w:val="001A2526"/>
    <w:rsid w:val="001B4DE3"/>
    <w:rsid w:val="001B63F7"/>
    <w:rsid w:val="001C0307"/>
    <w:rsid w:val="001C21D3"/>
    <w:rsid w:val="001C6F07"/>
    <w:rsid w:val="001D00EB"/>
    <w:rsid w:val="001D18CE"/>
    <w:rsid w:val="001D3A70"/>
    <w:rsid w:val="001D5223"/>
    <w:rsid w:val="001D6A80"/>
    <w:rsid w:val="001D6DA0"/>
    <w:rsid w:val="001E1B32"/>
    <w:rsid w:val="001E474D"/>
    <w:rsid w:val="00203094"/>
    <w:rsid w:val="00210569"/>
    <w:rsid w:val="002133D8"/>
    <w:rsid w:val="002223A6"/>
    <w:rsid w:val="0022386B"/>
    <w:rsid w:val="002322B7"/>
    <w:rsid w:val="00233A36"/>
    <w:rsid w:val="00233E88"/>
    <w:rsid w:val="00234A64"/>
    <w:rsid w:val="00247F4E"/>
    <w:rsid w:val="0025466A"/>
    <w:rsid w:val="00255949"/>
    <w:rsid w:val="00262DDF"/>
    <w:rsid w:val="00264580"/>
    <w:rsid w:val="0026541C"/>
    <w:rsid w:val="002655B8"/>
    <w:rsid w:val="00272BF5"/>
    <w:rsid w:val="002767A6"/>
    <w:rsid w:val="00276D9D"/>
    <w:rsid w:val="00276EC4"/>
    <w:rsid w:val="00280174"/>
    <w:rsid w:val="00280CBC"/>
    <w:rsid w:val="0028458B"/>
    <w:rsid w:val="002867CD"/>
    <w:rsid w:val="00287C81"/>
    <w:rsid w:val="00294526"/>
    <w:rsid w:val="00295F9B"/>
    <w:rsid w:val="002A06AB"/>
    <w:rsid w:val="002B2874"/>
    <w:rsid w:val="002B46AA"/>
    <w:rsid w:val="002B6B1E"/>
    <w:rsid w:val="002B7D65"/>
    <w:rsid w:val="002C1E18"/>
    <w:rsid w:val="002C1EC1"/>
    <w:rsid w:val="002C2804"/>
    <w:rsid w:val="002C6805"/>
    <w:rsid w:val="002E1335"/>
    <w:rsid w:val="002E4429"/>
    <w:rsid w:val="002E4624"/>
    <w:rsid w:val="002E6805"/>
    <w:rsid w:val="002E7228"/>
    <w:rsid w:val="00303317"/>
    <w:rsid w:val="0030731C"/>
    <w:rsid w:val="00307E9F"/>
    <w:rsid w:val="00314BC1"/>
    <w:rsid w:val="0032428B"/>
    <w:rsid w:val="00330101"/>
    <w:rsid w:val="00331CC3"/>
    <w:rsid w:val="00332D04"/>
    <w:rsid w:val="00336854"/>
    <w:rsid w:val="00336FFC"/>
    <w:rsid w:val="0034049D"/>
    <w:rsid w:val="00343CD4"/>
    <w:rsid w:val="00350A7F"/>
    <w:rsid w:val="00352926"/>
    <w:rsid w:val="00364F1C"/>
    <w:rsid w:val="00380210"/>
    <w:rsid w:val="00381AC8"/>
    <w:rsid w:val="0038660E"/>
    <w:rsid w:val="003909B4"/>
    <w:rsid w:val="003A4D5C"/>
    <w:rsid w:val="003B18E9"/>
    <w:rsid w:val="003B3E1C"/>
    <w:rsid w:val="003C5F7E"/>
    <w:rsid w:val="003C62EA"/>
    <w:rsid w:val="003D5E25"/>
    <w:rsid w:val="003D60A8"/>
    <w:rsid w:val="003E041E"/>
    <w:rsid w:val="003E318F"/>
    <w:rsid w:val="003F292F"/>
    <w:rsid w:val="003F2BC4"/>
    <w:rsid w:val="003F2E59"/>
    <w:rsid w:val="003F368D"/>
    <w:rsid w:val="003F6732"/>
    <w:rsid w:val="00402ECD"/>
    <w:rsid w:val="00403B9B"/>
    <w:rsid w:val="00407F76"/>
    <w:rsid w:val="00413688"/>
    <w:rsid w:val="004163B5"/>
    <w:rsid w:val="004169D7"/>
    <w:rsid w:val="00420AC0"/>
    <w:rsid w:val="0042508C"/>
    <w:rsid w:val="00430D45"/>
    <w:rsid w:val="00431235"/>
    <w:rsid w:val="00437E99"/>
    <w:rsid w:val="0044071D"/>
    <w:rsid w:val="004451BC"/>
    <w:rsid w:val="0045006D"/>
    <w:rsid w:val="0045422D"/>
    <w:rsid w:val="00462AB9"/>
    <w:rsid w:val="00470234"/>
    <w:rsid w:val="00472517"/>
    <w:rsid w:val="004826CB"/>
    <w:rsid w:val="00484A34"/>
    <w:rsid w:val="004861EC"/>
    <w:rsid w:val="0049078B"/>
    <w:rsid w:val="00491F36"/>
    <w:rsid w:val="00497273"/>
    <w:rsid w:val="004A2701"/>
    <w:rsid w:val="004B6064"/>
    <w:rsid w:val="004C181C"/>
    <w:rsid w:val="004C468D"/>
    <w:rsid w:val="004E19EB"/>
    <w:rsid w:val="004E6239"/>
    <w:rsid w:val="00506A63"/>
    <w:rsid w:val="00513C85"/>
    <w:rsid w:val="00522646"/>
    <w:rsid w:val="00527967"/>
    <w:rsid w:val="005360BD"/>
    <w:rsid w:val="005367AF"/>
    <w:rsid w:val="00536BF4"/>
    <w:rsid w:val="0054229A"/>
    <w:rsid w:val="005479A1"/>
    <w:rsid w:val="00553BCC"/>
    <w:rsid w:val="0055578B"/>
    <w:rsid w:val="005579D5"/>
    <w:rsid w:val="00561197"/>
    <w:rsid w:val="005645C4"/>
    <w:rsid w:val="00566A98"/>
    <w:rsid w:val="005704F6"/>
    <w:rsid w:val="00571103"/>
    <w:rsid w:val="00587538"/>
    <w:rsid w:val="00595468"/>
    <w:rsid w:val="005A0576"/>
    <w:rsid w:val="005A0F60"/>
    <w:rsid w:val="005A3B2A"/>
    <w:rsid w:val="005A5C27"/>
    <w:rsid w:val="005B3DF1"/>
    <w:rsid w:val="005B65BC"/>
    <w:rsid w:val="005B7D70"/>
    <w:rsid w:val="005C38BE"/>
    <w:rsid w:val="005C443F"/>
    <w:rsid w:val="005C63D1"/>
    <w:rsid w:val="005D0866"/>
    <w:rsid w:val="005D216D"/>
    <w:rsid w:val="005D2419"/>
    <w:rsid w:val="005D3FF2"/>
    <w:rsid w:val="005E1076"/>
    <w:rsid w:val="005F7AB2"/>
    <w:rsid w:val="0060211C"/>
    <w:rsid w:val="00605C02"/>
    <w:rsid w:val="00616C30"/>
    <w:rsid w:val="006215F3"/>
    <w:rsid w:val="006302E4"/>
    <w:rsid w:val="00642C2B"/>
    <w:rsid w:val="0064414F"/>
    <w:rsid w:val="006453ED"/>
    <w:rsid w:val="006462C6"/>
    <w:rsid w:val="00650DA9"/>
    <w:rsid w:val="00653817"/>
    <w:rsid w:val="00657609"/>
    <w:rsid w:val="00657AA7"/>
    <w:rsid w:val="00670991"/>
    <w:rsid w:val="00672D05"/>
    <w:rsid w:val="00680589"/>
    <w:rsid w:val="00680EF9"/>
    <w:rsid w:val="006819B9"/>
    <w:rsid w:val="00687F0F"/>
    <w:rsid w:val="0069020C"/>
    <w:rsid w:val="00692127"/>
    <w:rsid w:val="00693B13"/>
    <w:rsid w:val="00696D1F"/>
    <w:rsid w:val="006A3930"/>
    <w:rsid w:val="006A5123"/>
    <w:rsid w:val="006B28CA"/>
    <w:rsid w:val="006B4C35"/>
    <w:rsid w:val="006B4CEA"/>
    <w:rsid w:val="006B6981"/>
    <w:rsid w:val="006B74ED"/>
    <w:rsid w:val="006C1D8C"/>
    <w:rsid w:val="006C5081"/>
    <w:rsid w:val="006C510C"/>
    <w:rsid w:val="006C5F42"/>
    <w:rsid w:val="006D4A6F"/>
    <w:rsid w:val="006D4EF7"/>
    <w:rsid w:val="006D5C6F"/>
    <w:rsid w:val="006E5ED6"/>
    <w:rsid w:val="006F0D78"/>
    <w:rsid w:val="006F1BD8"/>
    <w:rsid w:val="006F3145"/>
    <w:rsid w:val="006F4B8B"/>
    <w:rsid w:val="007027B8"/>
    <w:rsid w:val="0071272D"/>
    <w:rsid w:val="007133DA"/>
    <w:rsid w:val="00724BCC"/>
    <w:rsid w:val="007271AD"/>
    <w:rsid w:val="007307E4"/>
    <w:rsid w:val="00730A81"/>
    <w:rsid w:val="00731565"/>
    <w:rsid w:val="00732167"/>
    <w:rsid w:val="0074052A"/>
    <w:rsid w:val="00742156"/>
    <w:rsid w:val="00744D84"/>
    <w:rsid w:val="00752311"/>
    <w:rsid w:val="00757395"/>
    <w:rsid w:val="00760533"/>
    <w:rsid w:val="007653D3"/>
    <w:rsid w:val="007654F7"/>
    <w:rsid w:val="0076630C"/>
    <w:rsid w:val="00767388"/>
    <w:rsid w:val="00774E38"/>
    <w:rsid w:val="00775C7C"/>
    <w:rsid w:val="00786140"/>
    <w:rsid w:val="007A4B4E"/>
    <w:rsid w:val="007C2010"/>
    <w:rsid w:val="007C4BEB"/>
    <w:rsid w:val="007C7FC2"/>
    <w:rsid w:val="007E0586"/>
    <w:rsid w:val="007E11C0"/>
    <w:rsid w:val="007E2996"/>
    <w:rsid w:val="007E5230"/>
    <w:rsid w:val="007E604F"/>
    <w:rsid w:val="007E74AC"/>
    <w:rsid w:val="007F1C9A"/>
    <w:rsid w:val="007F5A2B"/>
    <w:rsid w:val="00803EDC"/>
    <w:rsid w:val="00805A6B"/>
    <w:rsid w:val="00806757"/>
    <w:rsid w:val="0081006E"/>
    <w:rsid w:val="00822E29"/>
    <w:rsid w:val="008236F6"/>
    <w:rsid w:val="00825E12"/>
    <w:rsid w:val="00826298"/>
    <w:rsid w:val="00826F95"/>
    <w:rsid w:val="00827977"/>
    <w:rsid w:val="00831577"/>
    <w:rsid w:val="0083498E"/>
    <w:rsid w:val="008365C3"/>
    <w:rsid w:val="00837756"/>
    <w:rsid w:val="008442D4"/>
    <w:rsid w:val="008520EB"/>
    <w:rsid w:val="00854479"/>
    <w:rsid w:val="008565B8"/>
    <w:rsid w:val="0086244A"/>
    <w:rsid w:val="008628DC"/>
    <w:rsid w:val="008659CB"/>
    <w:rsid w:val="008704C9"/>
    <w:rsid w:val="00877999"/>
    <w:rsid w:val="00880067"/>
    <w:rsid w:val="008807D8"/>
    <w:rsid w:val="00882861"/>
    <w:rsid w:val="00883698"/>
    <w:rsid w:val="00884DB6"/>
    <w:rsid w:val="00886AFF"/>
    <w:rsid w:val="00886BE2"/>
    <w:rsid w:val="0088746B"/>
    <w:rsid w:val="00892AAF"/>
    <w:rsid w:val="00893CF8"/>
    <w:rsid w:val="00893F2D"/>
    <w:rsid w:val="00896465"/>
    <w:rsid w:val="008970D4"/>
    <w:rsid w:val="008A155B"/>
    <w:rsid w:val="008A5757"/>
    <w:rsid w:val="008B0F9C"/>
    <w:rsid w:val="008C38CB"/>
    <w:rsid w:val="008D0879"/>
    <w:rsid w:val="008D4382"/>
    <w:rsid w:val="008F3221"/>
    <w:rsid w:val="008F5350"/>
    <w:rsid w:val="008F7361"/>
    <w:rsid w:val="009000F2"/>
    <w:rsid w:val="00900E94"/>
    <w:rsid w:val="009024DB"/>
    <w:rsid w:val="009106F0"/>
    <w:rsid w:val="0091207E"/>
    <w:rsid w:val="00912686"/>
    <w:rsid w:val="009140F6"/>
    <w:rsid w:val="00915038"/>
    <w:rsid w:val="00926A94"/>
    <w:rsid w:val="0093218A"/>
    <w:rsid w:val="00933F5A"/>
    <w:rsid w:val="00936137"/>
    <w:rsid w:val="00947E2B"/>
    <w:rsid w:val="00953AC0"/>
    <w:rsid w:val="00954D2A"/>
    <w:rsid w:val="009561EF"/>
    <w:rsid w:val="009609A4"/>
    <w:rsid w:val="0097031C"/>
    <w:rsid w:val="00970363"/>
    <w:rsid w:val="00970A1C"/>
    <w:rsid w:val="009757DF"/>
    <w:rsid w:val="009762C1"/>
    <w:rsid w:val="009824A2"/>
    <w:rsid w:val="00982A21"/>
    <w:rsid w:val="0099102D"/>
    <w:rsid w:val="009960C0"/>
    <w:rsid w:val="00997D40"/>
    <w:rsid w:val="009A230B"/>
    <w:rsid w:val="009B08DE"/>
    <w:rsid w:val="009B128C"/>
    <w:rsid w:val="009B23E8"/>
    <w:rsid w:val="009B4ADD"/>
    <w:rsid w:val="009B7D37"/>
    <w:rsid w:val="009C055F"/>
    <w:rsid w:val="009C0A34"/>
    <w:rsid w:val="009C538B"/>
    <w:rsid w:val="009D04E1"/>
    <w:rsid w:val="009D0E79"/>
    <w:rsid w:val="009D173B"/>
    <w:rsid w:val="009E607F"/>
    <w:rsid w:val="009F1006"/>
    <w:rsid w:val="009F374B"/>
    <w:rsid w:val="009F49EA"/>
    <w:rsid w:val="009F65DB"/>
    <w:rsid w:val="009F6E06"/>
    <w:rsid w:val="00A020D9"/>
    <w:rsid w:val="00A075FC"/>
    <w:rsid w:val="00A07F5E"/>
    <w:rsid w:val="00A253A1"/>
    <w:rsid w:val="00A254E5"/>
    <w:rsid w:val="00A25768"/>
    <w:rsid w:val="00A27788"/>
    <w:rsid w:val="00A31310"/>
    <w:rsid w:val="00A416DE"/>
    <w:rsid w:val="00A55E27"/>
    <w:rsid w:val="00A64841"/>
    <w:rsid w:val="00A86F3F"/>
    <w:rsid w:val="00A87EC8"/>
    <w:rsid w:val="00A90662"/>
    <w:rsid w:val="00A907CA"/>
    <w:rsid w:val="00A91F87"/>
    <w:rsid w:val="00A9322D"/>
    <w:rsid w:val="00A949E4"/>
    <w:rsid w:val="00AA0CB1"/>
    <w:rsid w:val="00AB1B96"/>
    <w:rsid w:val="00AB55BC"/>
    <w:rsid w:val="00AC3B68"/>
    <w:rsid w:val="00AD4D52"/>
    <w:rsid w:val="00AE1D81"/>
    <w:rsid w:val="00AE5206"/>
    <w:rsid w:val="00AF25AD"/>
    <w:rsid w:val="00AF5E2F"/>
    <w:rsid w:val="00B05A5E"/>
    <w:rsid w:val="00B07FF6"/>
    <w:rsid w:val="00B16F1A"/>
    <w:rsid w:val="00B17279"/>
    <w:rsid w:val="00B21F75"/>
    <w:rsid w:val="00B22D11"/>
    <w:rsid w:val="00B2503D"/>
    <w:rsid w:val="00B302E3"/>
    <w:rsid w:val="00B40035"/>
    <w:rsid w:val="00B40955"/>
    <w:rsid w:val="00B51A14"/>
    <w:rsid w:val="00B533BA"/>
    <w:rsid w:val="00B533EA"/>
    <w:rsid w:val="00B53EF2"/>
    <w:rsid w:val="00B607D7"/>
    <w:rsid w:val="00B63CAD"/>
    <w:rsid w:val="00B67777"/>
    <w:rsid w:val="00B7141E"/>
    <w:rsid w:val="00B776D2"/>
    <w:rsid w:val="00BA3D1F"/>
    <w:rsid w:val="00BA4B74"/>
    <w:rsid w:val="00BA6292"/>
    <w:rsid w:val="00BA7E9A"/>
    <w:rsid w:val="00BB5930"/>
    <w:rsid w:val="00BC044F"/>
    <w:rsid w:val="00BD17EB"/>
    <w:rsid w:val="00BD6FB9"/>
    <w:rsid w:val="00BE0B49"/>
    <w:rsid w:val="00BE40C8"/>
    <w:rsid w:val="00BE5C92"/>
    <w:rsid w:val="00BE6181"/>
    <w:rsid w:val="00BE663D"/>
    <w:rsid w:val="00BE6974"/>
    <w:rsid w:val="00BF234C"/>
    <w:rsid w:val="00BF48CF"/>
    <w:rsid w:val="00BF716E"/>
    <w:rsid w:val="00C0687C"/>
    <w:rsid w:val="00C10B4D"/>
    <w:rsid w:val="00C1581E"/>
    <w:rsid w:val="00C23E69"/>
    <w:rsid w:val="00C30C6C"/>
    <w:rsid w:val="00C32DD0"/>
    <w:rsid w:val="00C3504B"/>
    <w:rsid w:val="00C35844"/>
    <w:rsid w:val="00C44A19"/>
    <w:rsid w:val="00C46C1C"/>
    <w:rsid w:val="00C50AE8"/>
    <w:rsid w:val="00C52424"/>
    <w:rsid w:val="00C54BE2"/>
    <w:rsid w:val="00C56816"/>
    <w:rsid w:val="00C671B7"/>
    <w:rsid w:val="00C672B1"/>
    <w:rsid w:val="00C700BF"/>
    <w:rsid w:val="00C820D3"/>
    <w:rsid w:val="00C823FB"/>
    <w:rsid w:val="00C8408B"/>
    <w:rsid w:val="00C96700"/>
    <w:rsid w:val="00C972F7"/>
    <w:rsid w:val="00CB040C"/>
    <w:rsid w:val="00CB2313"/>
    <w:rsid w:val="00CC1420"/>
    <w:rsid w:val="00CC2FB5"/>
    <w:rsid w:val="00CC53E4"/>
    <w:rsid w:val="00CD296C"/>
    <w:rsid w:val="00CD2E78"/>
    <w:rsid w:val="00CD63F6"/>
    <w:rsid w:val="00CE0BCB"/>
    <w:rsid w:val="00CE6977"/>
    <w:rsid w:val="00CE72D9"/>
    <w:rsid w:val="00CF0B49"/>
    <w:rsid w:val="00CF0E22"/>
    <w:rsid w:val="00CF3CC4"/>
    <w:rsid w:val="00CF4673"/>
    <w:rsid w:val="00CF5235"/>
    <w:rsid w:val="00CF580F"/>
    <w:rsid w:val="00D032FC"/>
    <w:rsid w:val="00D041FF"/>
    <w:rsid w:val="00D04E61"/>
    <w:rsid w:val="00D209DF"/>
    <w:rsid w:val="00D2258B"/>
    <w:rsid w:val="00D25031"/>
    <w:rsid w:val="00D25882"/>
    <w:rsid w:val="00D4565B"/>
    <w:rsid w:val="00D82713"/>
    <w:rsid w:val="00D82C3A"/>
    <w:rsid w:val="00D9627E"/>
    <w:rsid w:val="00D970AB"/>
    <w:rsid w:val="00DA0435"/>
    <w:rsid w:val="00DA3F0F"/>
    <w:rsid w:val="00DA587B"/>
    <w:rsid w:val="00DA597C"/>
    <w:rsid w:val="00DA64AF"/>
    <w:rsid w:val="00DB27BA"/>
    <w:rsid w:val="00DB3D4D"/>
    <w:rsid w:val="00DB5F04"/>
    <w:rsid w:val="00DC4E40"/>
    <w:rsid w:val="00DD01C2"/>
    <w:rsid w:val="00DD20D7"/>
    <w:rsid w:val="00DE5C6E"/>
    <w:rsid w:val="00DE7838"/>
    <w:rsid w:val="00DF2B57"/>
    <w:rsid w:val="00DF2E90"/>
    <w:rsid w:val="00DF37AA"/>
    <w:rsid w:val="00DF5007"/>
    <w:rsid w:val="00DF6F08"/>
    <w:rsid w:val="00E01508"/>
    <w:rsid w:val="00E02CBD"/>
    <w:rsid w:val="00E12A5D"/>
    <w:rsid w:val="00E150A0"/>
    <w:rsid w:val="00E16EB9"/>
    <w:rsid w:val="00E2067F"/>
    <w:rsid w:val="00E33C93"/>
    <w:rsid w:val="00E34D7F"/>
    <w:rsid w:val="00E36AFC"/>
    <w:rsid w:val="00E45F10"/>
    <w:rsid w:val="00E463C7"/>
    <w:rsid w:val="00E571A1"/>
    <w:rsid w:val="00E6074D"/>
    <w:rsid w:val="00E64D08"/>
    <w:rsid w:val="00E67B42"/>
    <w:rsid w:val="00E74C43"/>
    <w:rsid w:val="00E86519"/>
    <w:rsid w:val="00E920CB"/>
    <w:rsid w:val="00E95A3A"/>
    <w:rsid w:val="00E95BCF"/>
    <w:rsid w:val="00EB1C1A"/>
    <w:rsid w:val="00EB2B08"/>
    <w:rsid w:val="00EB3B24"/>
    <w:rsid w:val="00EB4E5F"/>
    <w:rsid w:val="00EC11BA"/>
    <w:rsid w:val="00EC12CA"/>
    <w:rsid w:val="00EC676D"/>
    <w:rsid w:val="00ED47D6"/>
    <w:rsid w:val="00ED6639"/>
    <w:rsid w:val="00EE3FB0"/>
    <w:rsid w:val="00EE4F5E"/>
    <w:rsid w:val="00EE5013"/>
    <w:rsid w:val="00EF489C"/>
    <w:rsid w:val="00EF7C67"/>
    <w:rsid w:val="00F00A10"/>
    <w:rsid w:val="00F04225"/>
    <w:rsid w:val="00F06B27"/>
    <w:rsid w:val="00F15063"/>
    <w:rsid w:val="00F22CB9"/>
    <w:rsid w:val="00F24157"/>
    <w:rsid w:val="00F26D59"/>
    <w:rsid w:val="00F30DEC"/>
    <w:rsid w:val="00F31D0F"/>
    <w:rsid w:val="00F34C8F"/>
    <w:rsid w:val="00F34E57"/>
    <w:rsid w:val="00F3549E"/>
    <w:rsid w:val="00F37069"/>
    <w:rsid w:val="00F403D7"/>
    <w:rsid w:val="00F4542C"/>
    <w:rsid w:val="00F459A8"/>
    <w:rsid w:val="00F50753"/>
    <w:rsid w:val="00F55525"/>
    <w:rsid w:val="00F5674C"/>
    <w:rsid w:val="00F6039A"/>
    <w:rsid w:val="00F62DDD"/>
    <w:rsid w:val="00F8461B"/>
    <w:rsid w:val="00F8642C"/>
    <w:rsid w:val="00F90299"/>
    <w:rsid w:val="00FA4338"/>
    <w:rsid w:val="00FB16F3"/>
    <w:rsid w:val="00FB244B"/>
    <w:rsid w:val="00FB7AF5"/>
    <w:rsid w:val="00FC37ED"/>
    <w:rsid w:val="00FC5AF8"/>
    <w:rsid w:val="00FD2EB5"/>
    <w:rsid w:val="00FD39E3"/>
    <w:rsid w:val="00FD7D4A"/>
    <w:rsid w:val="00FE04FC"/>
    <w:rsid w:val="00FF02FD"/>
    <w:rsid w:val="00FF147C"/>
    <w:rsid w:val="00FF1DF3"/>
    <w:rsid w:val="207E3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alloon Text"/>
    <w:basedOn w:val="1"/>
    <w:link w:val="24"/>
    <w:semiHidden/>
    <w:unhideWhenUsed/>
    <w:qFormat/>
    <w:uiPriority w:val="99"/>
    <w:rPr>
      <w:sz w:val="18"/>
      <w:szCs w:val="18"/>
    </w:r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630"/>
        <w:tab w:val="right" w:leader="dot" w:pos="8296"/>
      </w:tabs>
    </w:pPr>
  </w:style>
  <w:style w:type="paragraph" w:styleId="7">
    <w:name w:val="Normal (Web)"/>
    <w:basedOn w:val="1"/>
    <w:semiHidden/>
    <w:unhideWhenUsed/>
    <w:qFormat/>
    <w:uiPriority w:val="99"/>
    <w:rPr>
      <w:rFonts w:ascii="Times New Roman" w:hAnsi="Times New Roman" w:cs="Times New Roman"/>
      <w:sz w:val="24"/>
      <w:szCs w:val="24"/>
    </w:rPr>
  </w:style>
  <w:style w:type="paragraph" w:styleId="8">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rPr>
  </w:style>
  <w:style w:type="paragraph" w:styleId="13">
    <w:name w:val="List Paragraph"/>
    <w:basedOn w:val="1"/>
    <w:qFormat/>
    <w:uiPriority w:val="99"/>
    <w:pPr>
      <w:ind w:firstLine="420" w:firstLineChars="200"/>
    </w:pPr>
  </w:style>
  <w:style w:type="character" w:customStyle="1" w:styleId="14">
    <w:name w:val="f101"/>
    <w:uiPriority w:val="0"/>
    <w:rPr>
      <w:spacing w:val="500"/>
      <w:sz w:val="24"/>
      <w:szCs w:val="24"/>
    </w:rPr>
  </w:style>
  <w:style w:type="paragraph" w:customStyle="1" w:styleId="15">
    <w:name w:val="王奕，内文"/>
    <w:basedOn w:val="7"/>
    <w:link w:val="16"/>
    <w:qFormat/>
    <w:uiPriority w:val="0"/>
    <w:pPr>
      <w:widowControl/>
      <w:spacing w:line="360" w:lineRule="auto"/>
      <w:ind w:firstLine="200" w:firstLineChars="200"/>
    </w:pPr>
    <w:rPr>
      <w:rFonts w:eastAsia="宋体" w:cs="MS Shell Dlg"/>
      <w:color w:val="000000"/>
      <w:kern w:val="0"/>
    </w:rPr>
  </w:style>
  <w:style w:type="character" w:customStyle="1" w:styleId="16">
    <w:name w:val="王奕，内文 Char"/>
    <w:basedOn w:val="11"/>
    <w:link w:val="15"/>
    <w:qFormat/>
    <w:locked/>
    <w:uiPriority w:val="99"/>
    <w:rPr>
      <w:rFonts w:ascii="Times New Roman" w:hAnsi="Times New Roman" w:eastAsia="宋体" w:cs="MS Shell Dlg"/>
      <w:color w:val="000000"/>
      <w:kern w:val="0"/>
      <w:sz w:val="24"/>
      <w:szCs w:val="24"/>
    </w:rPr>
  </w:style>
  <w:style w:type="paragraph" w:customStyle="1" w:styleId="17">
    <w:name w:val="二级标题"/>
    <w:basedOn w:val="1"/>
    <w:qFormat/>
    <w:uiPriority w:val="0"/>
    <w:pPr>
      <w:spacing w:line="520" w:lineRule="exact"/>
      <w:ind w:firstLine="200" w:firstLineChars="200"/>
      <w:outlineLvl w:val="0"/>
    </w:pPr>
    <w:rPr>
      <w:rFonts w:ascii="楷体" w:hAnsi="楷体" w:eastAsia="楷体" w:cs="楷体_GB2312"/>
      <w:sz w:val="32"/>
      <w:szCs w:val="28"/>
    </w:rPr>
  </w:style>
  <w:style w:type="paragraph" w:customStyle="1" w:styleId="18">
    <w:name w:val="正文1"/>
    <w:basedOn w:val="1"/>
    <w:qFormat/>
    <w:uiPriority w:val="0"/>
    <w:pPr>
      <w:spacing w:line="520" w:lineRule="exact"/>
      <w:ind w:firstLine="200" w:firstLineChars="200"/>
    </w:pPr>
    <w:rPr>
      <w:rFonts w:ascii="Times New Roman" w:hAnsi="Times New Roman" w:eastAsia="仿宋" w:cs="Times New Roman"/>
      <w:sz w:val="32"/>
      <w:szCs w:val="28"/>
    </w:rPr>
  </w:style>
  <w:style w:type="character" w:customStyle="1" w:styleId="19">
    <w:name w:val="标题 字符"/>
    <w:basedOn w:val="11"/>
    <w:link w:val="8"/>
    <w:qFormat/>
    <w:uiPriority w:val="10"/>
    <w:rPr>
      <w:rFonts w:eastAsia="宋体" w:asciiTheme="majorHAnsi" w:hAnsiTheme="majorHAnsi" w:cstheme="majorBidi"/>
      <w:b/>
      <w:bCs/>
      <w:sz w:val="32"/>
      <w:szCs w:val="32"/>
    </w:rPr>
  </w:style>
  <w:style w:type="character" w:customStyle="1" w:styleId="20">
    <w:name w:val="标题 1 字符"/>
    <w:basedOn w:val="11"/>
    <w:link w:val="2"/>
    <w:qFormat/>
    <w:uiPriority w:val="9"/>
    <w:rPr>
      <w:b/>
      <w:bCs/>
      <w:kern w:val="44"/>
      <w:sz w:val="44"/>
      <w:szCs w:val="44"/>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2">
    <w:name w:val="页眉 字符"/>
    <w:basedOn w:val="11"/>
    <w:link w:val="5"/>
    <w:qFormat/>
    <w:uiPriority w:val="99"/>
    <w:rPr>
      <w:sz w:val="18"/>
      <w:szCs w:val="18"/>
    </w:rPr>
  </w:style>
  <w:style w:type="character" w:customStyle="1" w:styleId="23">
    <w:name w:val="页脚 字符"/>
    <w:basedOn w:val="11"/>
    <w:link w:val="4"/>
    <w:qFormat/>
    <w:uiPriority w:val="99"/>
    <w:rPr>
      <w:sz w:val="18"/>
      <w:szCs w:val="18"/>
    </w:rPr>
  </w:style>
  <w:style w:type="character" w:customStyle="1" w:styleId="24">
    <w:name w:val="批注框文本 字符"/>
    <w:basedOn w:val="11"/>
    <w:link w:val="3"/>
    <w:semiHidden/>
    <w:qFormat/>
    <w:uiPriority w:val="99"/>
    <w:rPr>
      <w:sz w:val="18"/>
      <w:szCs w:val="18"/>
    </w:rPr>
  </w:style>
  <w:style w:type="character" w:customStyle="1" w:styleId="25">
    <w:name w:val="apple-converted-spac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emf"/><Relationship Id="rId16" Type="http://schemas.openxmlformats.org/officeDocument/2006/relationships/image" Target="media/image12.png"/><Relationship Id="rId15" Type="http://schemas.openxmlformats.org/officeDocument/2006/relationships/image" Target="media/image11.emf"/><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507C-D6FD-4A80-A069-0828346C03BF}">
  <ds:schemaRefs/>
</ds:datastoreItem>
</file>

<file path=docProps/app.xml><?xml version="1.0" encoding="utf-8"?>
<Properties xmlns="http://schemas.openxmlformats.org/officeDocument/2006/extended-properties" xmlns:vt="http://schemas.openxmlformats.org/officeDocument/2006/docPropsVTypes">
  <Template>Normal</Template>
  <Pages>20</Pages>
  <Words>8329</Words>
  <Characters>8804</Characters>
  <Lines>65</Lines>
  <Paragraphs>18</Paragraphs>
  <TotalTime>78</TotalTime>
  <ScaleCrop>false</ScaleCrop>
  <LinksUpToDate>false</LinksUpToDate>
  <CharactersWithSpaces>8861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2021-02-24T12:45:00Z</dcterms:created>
  <dc:creator>谭小柳</dc:creator>
  <cp:lastModifiedBy>太极箫客</cp:lastModifiedBy>
  <cp:lastPrinted>2020-09-17T05:26:00Z</cp:lastPrinted>
  <dcterms:modified xsi:type="dcterms:W3CDTF">2025-08-14T06:35:11Z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E1D4FDB4E7044F79A1DD4073CF07A643_12</vt:lpwstr>
  </property>
</Properties>
</file>