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34C62">
      <w:pPr>
        <w:topLinePunct/>
        <w:adjustRightInd w:val="0"/>
        <w:snapToGrid w:val="0"/>
        <w:spacing w:after="270" w:afterLines="75" w:line="288" w:lineRule="auto"/>
        <w:jc w:val="both"/>
        <w:rPr>
          <w:rFonts w:ascii="Arial" w:hAnsi="Arial" w:cs="Arial"/>
          <w:snapToGrid w:val="0"/>
          <w:szCs w:val="19"/>
        </w:rPr>
      </w:pPr>
      <w:bookmarkStart w:id="7" w:name="_GoBack"/>
      <w:bookmarkEnd w:id="7"/>
    </w:p>
    <w:p w14:paraId="5EDCCAF8">
      <w:pPr>
        <w:topLinePunct/>
        <w:adjustRightInd w:val="0"/>
        <w:snapToGrid w:val="0"/>
        <w:spacing w:after="270" w:afterLines="75" w:line="288" w:lineRule="auto"/>
        <w:jc w:val="both"/>
        <w:rPr>
          <w:rFonts w:ascii="Arial" w:hAnsi="Arial" w:cs="Arial"/>
          <w:snapToGrid w:val="0"/>
          <w:szCs w:val="19"/>
        </w:rPr>
      </w:pPr>
    </w:p>
    <w:p w14:paraId="15659CEF">
      <w:pPr>
        <w:pStyle w:val="13"/>
        <w:shd w:val="clear" w:color="auto" w:fill="auto"/>
        <w:topLinePunct/>
        <w:adjustRightInd w:val="0"/>
        <w:snapToGrid w:val="0"/>
        <w:spacing w:after="270" w:afterLines="75" w:line="288" w:lineRule="auto"/>
        <w:jc w:val="both"/>
        <w:rPr>
          <w:snapToGrid w:val="0"/>
          <w:spacing w:val="0"/>
          <w:sz w:val="56"/>
          <w:szCs w:val="72"/>
        </w:rPr>
      </w:pPr>
      <w:r>
        <w:rPr>
          <w:rFonts w:hint="eastAsia"/>
          <w:snapToGrid w:val="0"/>
          <w:spacing w:val="0"/>
          <w:sz w:val="56"/>
          <w:szCs w:val="72"/>
        </w:rPr>
        <w:t>关于</w:t>
      </w:r>
      <w:r>
        <w:rPr>
          <w:rFonts w:hint="eastAsia" w:ascii="宋体" w:hAnsi="宋体"/>
          <w:snapToGrid w:val="0"/>
          <w:spacing w:val="0"/>
          <w:sz w:val="56"/>
          <w:szCs w:val="72"/>
        </w:rPr>
        <w:t>“</w:t>
      </w:r>
      <w:r>
        <w:rPr>
          <w:rFonts w:hint="eastAsia"/>
          <w:snapToGrid w:val="0"/>
          <w:spacing w:val="0"/>
          <w:sz w:val="56"/>
          <w:szCs w:val="72"/>
        </w:rPr>
        <w:t>包含现成（OTS）软件的网络化医疗器械的网络安全</w:t>
      </w:r>
      <w:r>
        <w:rPr>
          <w:rFonts w:hint="eastAsia" w:ascii="宋体" w:hAnsi="宋体"/>
          <w:snapToGrid w:val="0"/>
          <w:spacing w:val="0"/>
          <w:sz w:val="56"/>
          <w:szCs w:val="72"/>
        </w:rPr>
        <w:t>”</w:t>
      </w:r>
      <w:r>
        <w:rPr>
          <w:rFonts w:hint="eastAsia"/>
          <w:snapToGrid w:val="0"/>
          <w:spacing w:val="0"/>
          <w:sz w:val="56"/>
          <w:szCs w:val="72"/>
        </w:rPr>
        <w:t>行业指南的医疗机构用信息</w:t>
      </w:r>
    </w:p>
    <w:p w14:paraId="1A2CD9BC">
      <w:pPr>
        <w:pStyle w:val="18"/>
        <w:shd w:val="clear" w:color="auto" w:fill="auto"/>
        <w:topLinePunct/>
        <w:adjustRightInd w:val="0"/>
        <w:snapToGrid w:val="0"/>
        <w:spacing w:before="0" w:after="270" w:afterLines="75" w:line="288" w:lineRule="auto"/>
        <w:ind w:firstLine="0"/>
        <w:jc w:val="both"/>
        <w:rPr>
          <w:rFonts w:hint="eastAsia"/>
          <w:snapToGrid w:val="0"/>
        </w:rPr>
      </w:pPr>
    </w:p>
    <w:p w14:paraId="59469C37">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FDA器械和放射卫生中心已发行一份关于</w:t>
      </w:r>
      <w:r>
        <w:rPr>
          <w:rStyle w:val="19"/>
          <w:rFonts w:hint="eastAsia"/>
          <w:snapToGrid w:val="0"/>
        </w:rPr>
        <w:t>使用OTS软件的网络化医疗器械网络安全（/</w:t>
      </w:r>
      <w:r>
        <w:rPr>
          <w:rStyle w:val="22"/>
          <w:rFonts w:hint="eastAsia"/>
          <w:snapToGrid w:val="0"/>
        </w:rPr>
        <w:t>MedicalDevices/DeviceRegulationandGuidance/GuidanceDocuments/ucm077812.htm</w:t>
      </w:r>
      <w:r>
        <w:rPr>
          <w:rStyle w:val="19"/>
          <w:rFonts w:hint="eastAsia"/>
          <w:snapToGrid w:val="0"/>
        </w:rPr>
        <w:t>）指导性文件</w:t>
      </w:r>
      <w:r>
        <w:rPr>
          <w:rFonts w:hint="eastAsia"/>
          <w:snapToGrid w:val="0"/>
        </w:rPr>
        <w:t>供制造商使用。</w:t>
      </w:r>
      <w:r>
        <w:rPr>
          <w:snapToGrid w:val="0"/>
        </w:rPr>
        <w:cr/>
      </w:r>
      <w:r>
        <w:rPr>
          <w:snapToGrid w:val="0"/>
        </w:rPr>
        <w:t>(/</w:t>
      </w:r>
      <w:r>
        <w:rPr>
          <w:rStyle w:val="22"/>
          <w:rFonts w:hint="eastAsia"/>
          <w:snapToGrid w:val="0"/>
        </w:rPr>
        <w:t>MedicalDevices/DeviceRegulationandGuidance/GuidanceDocuments/ucm077812.htm</w:t>
      </w:r>
      <w:r>
        <w:rPr>
          <w:snapToGrid w:val="0"/>
        </w:rPr>
        <w:t>)</w:t>
      </w:r>
      <w:r>
        <w:rPr>
          <w:snapToGrid w:val="0"/>
        </w:rPr>
        <w:cr/>
      </w:r>
      <w:r>
        <w:rPr>
          <w:rFonts w:hint="eastAsia"/>
          <w:snapToGrid w:val="0"/>
        </w:rPr>
        <w:t>我们知道您非常关注这一问题，因此我们提供了以下问答帮助您理解本指导性文件。</w:t>
      </w:r>
    </w:p>
    <w:p w14:paraId="2092D57A">
      <w:pPr>
        <w:pStyle w:val="25"/>
        <w:shd w:val="clear" w:color="auto" w:fill="auto"/>
        <w:topLinePunct/>
        <w:adjustRightInd w:val="0"/>
        <w:snapToGrid w:val="0"/>
        <w:spacing w:before="0" w:after="270" w:afterLines="75" w:line="288" w:lineRule="auto"/>
        <w:ind w:firstLine="0"/>
        <w:jc w:val="both"/>
        <w:outlineLvl w:val="9"/>
        <w:rPr>
          <w:snapToGrid w:val="0"/>
        </w:rPr>
      </w:pPr>
      <w:bookmarkStart w:id="0" w:name="bookmark0"/>
      <w:r>
        <w:rPr>
          <w:rFonts w:hint="eastAsia"/>
          <w:snapToGrid w:val="0"/>
        </w:rPr>
        <w:t>本指南涵盖哪些医疗器械？</w:t>
      </w:r>
      <w:bookmarkEnd w:id="0"/>
    </w:p>
    <w:p w14:paraId="29DA7BDA">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本指南涵盖具有以下特征的医疗器械：</w:t>
      </w:r>
    </w:p>
    <w:p w14:paraId="20EF4735">
      <w:pPr>
        <w:pStyle w:val="18"/>
        <w:numPr>
          <w:ilvl w:val="0"/>
          <w:numId w:val="1"/>
        </w:numPr>
        <w:shd w:val="clear" w:color="auto" w:fill="auto"/>
        <w:tabs>
          <w:tab w:val="left" w:pos="282"/>
        </w:tabs>
        <w:topLinePunct/>
        <w:adjustRightInd w:val="0"/>
        <w:snapToGrid w:val="0"/>
        <w:spacing w:before="0" w:after="270" w:afterLines="75" w:line="288" w:lineRule="auto"/>
        <w:ind w:left="282" w:hanging="282"/>
        <w:jc w:val="both"/>
        <w:rPr>
          <w:snapToGrid w:val="0"/>
        </w:rPr>
      </w:pPr>
      <w:r>
        <w:rPr>
          <w:rFonts w:hint="eastAsia"/>
          <w:snapToGrid w:val="0"/>
        </w:rPr>
        <w:t>使用OTS软件</w:t>
      </w:r>
    </w:p>
    <w:p w14:paraId="23580504">
      <w:pPr>
        <w:pStyle w:val="18"/>
        <w:numPr>
          <w:ilvl w:val="0"/>
          <w:numId w:val="1"/>
        </w:numPr>
        <w:shd w:val="clear" w:color="auto" w:fill="auto"/>
        <w:tabs>
          <w:tab w:val="left" w:pos="282"/>
        </w:tabs>
        <w:topLinePunct/>
        <w:adjustRightInd w:val="0"/>
        <w:snapToGrid w:val="0"/>
        <w:spacing w:before="0" w:after="270" w:afterLines="75" w:line="288" w:lineRule="auto"/>
        <w:ind w:left="282" w:hanging="282"/>
        <w:jc w:val="both"/>
        <w:rPr>
          <w:snapToGrid w:val="0"/>
        </w:rPr>
      </w:pPr>
      <w:r>
        <w:rPr>
          <w:rFonts w:hint="eastAsia"/>
          <w:snapToGrid w:val="0"/>
        </w:rPr>
        <w:t>能够连接网络，包括私人局域网和公共网络，且</w:t>
      </w:r>
    </w:p>
    <w:p w14:paraId="7D0CF8FE">
      <w:pPr>
        <w:pStyle w:val="18"/>
        <w:numPr>
          <w:ilvl w:val="0"/>
          <w:numId w:val="1"/>
        </w:numPr>
        <w:shd w:val="clear" w:color="auto" w:fill="auto"/>
        <w:tabs>
          <w:tab w:val="left" w:pos="282"/>
        </w:tabs>
        <w:topLinePunct/>
        <w:adjustRightInd w:val="0"/>
        <w:snapToGrid w:val="0"/>
        <w:spacing w:before="0" w:after="270" w:afterLines="75" w:line="288" w:lineRule="auto"/>
        <w:ind w:left="282" w:hanging="282"/>
        <w:jc w:val="both"/>
        <w:rPr>
          <w:snapToGrid w:val="0"/>
        </w:rPr>
      </w:pPr>
      <w:r>
        <w:rPr>
          <w:rFonts w:hint="eastAsia"/>
          <w:snapToGrid w:val="0"/>
        </w:rPr>
        <w:t>需要升级或补丁，由于其OTS软件容易受到病毒、蠕虫病毒和其他威胁的攻击。</w:t>
      </w:r>
    </w:p>
    <w:p w14:paraId="0ED4A563">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例如：</w:t>
      </w:r>
    </w:p>
    <w:p w14:paraId="373225A8">
      <w:pPr>
        <w:pStyle w:val="18"/>
        <w:numPr>
          <w:ilvl w:val="0"/>
          <w:numId w:val="1"/>
        </w:numPr>
        <w:shd w:val="clear" w:color="auto" w:fill="auto"/>
        <w:tabs>
          <w:tab w:val="left" w:pos="282"/>
        </w:tabs>
        <w:topLinePunct/>
        <w:adjustRightInd w:val="0"/>
        <w:snapToGrid w:val="0"/>
        <w:spacing w:before="0" w:after="270" w:afterLines="75" w:line="288" w:lineRule="auto"/>
        <w:ind w:left="282" w:hanging="282"/>
        <w:jc w:val="both"/>
        <w:rPr>
          <w:snapToGrid w:val="0"/>
        </w:rPr>
      </w:pPr>
      <w:r>
        <w:rPr>
          <w:rFonts w:hint="eastAsia"/>
          <w:snapToGrid w:val="0"/>
        </w:rPr>
        <w:t>在医疗机构内通过网络获取、保存和交流图片的系统，如电子计算机断层扫描（CT）、磁共振（MR）、超声诊断检查（US）、核医学（NM）和内窥镜检查</w:t>
      </w:r>
    </w:p>
    <w:p w14:paraId="2B7F9576">
      <w:pPr>
        <w:pStyle w:val="18"/>
        <w:numPr>
          <w:ilvl w:val="0"/>
          <w:numId w:val="1"/>
        </w:numPr>
        <w:shd w:val="clear" w:color="auto" w:fill="auto"/>
        <w:tabs>
          <w:tab w:val="left" w:pos="282"/>
        </w:tabs>
        <w:topLinePunct/>
        <w:adjustRightInd w:val="0"/>
        <w:snapToGrid w:val="0"/>
        <w:spacing w:before="0" w:after="270" w:afterLines="75" w:line="288" w:lineRule="auto"/>
        <w:ind w:left="282" w:hanging="282"/>
        <w:jc w:val="both"/>
        <w:rPr>
          <w:snapToGrid w:val="0"/>
        </w:rPr>
      </w:pPr>
      <w:r>
        <w:rPr>
          <w:rFonts w:hint="eastAsia"/>
          <w:snapToGrid w:val="0"/>
        </w:rPr>
        <w:t>监控患者活动的系统，如心电图仪（ECG）系统</w:t>
      </w:r>
    </w:p>
    <w:p w14:paraId="4CDFA44D">
      <w:pPr>
        <w:pStyle w:val="18"/>
        <w:numPr>
          <w:ilvl w:val="0"/>
          <w:numId w:val="1"/>
        </w:numPr>
        <w:shd w:val="clear" w:color="auto" w:fill="auto"/>
        <w:tabs>
          <w:tab w:val="left" w:pos="282"/>
        </w:tabs>
        <w:topLinePunct/>
        <w:adjustRightInd w:val="0"/>
        <w:snapToGrid w:val="0"/>
        <w:spacing w:before="0" w:after="270" w:afterLines="75" w:line="288" w:lineRule="auto"/>
        <w:ind w:left="282" w:hanging="282"/>
        <w:jc w:val="both"/>
        <w:rPr>
          <w:snapToGrid w:val="0"/>
        </w:rPr>
      </w:pPr>
      <w:r>
        <w:rPr>
          <w:rFonts w:hint="eastAsia"/>
          <w:snapToGrid w:val="0"/>
        </w:rPr>
        <w:t>与临床实验室分析器沟通的系统，如实验信息系统</w:t>
      </w:r>
    </w:p>
    <w:p w14:paraId="28AEF493">
      <w:pPr>
        <w:pStyle w:val="25"/>
        <w:shd w:val="clear" w:color="auto" w:fill="auto"/>
        <w:topLinePunct/>
        <w:adjustRightInd w:val="0"/>
        <w:snapToGrid w:val="0"/>
        <w:spacing w:before="0" w:after="270" w:afterLines="75" w:line="288" w:lineRule="auto"/>
        <w:ind w:firstLine="0"/>
        <w:jc w:val="both"/>
        <w:outlineLvl w:val="9"/>
        <w:rPr>
          <w:snapToGrid w:val="0"/>
        </w:rPr>
      </w:pPr>
      <w:bookmarkStart w:id="1" w:name="bookmark1"/>
      <w:r>
        <w:rPr>
          <w:rFonts w:hint="eastAsia"/>
          <w:snapToGrid w:val="0"/>
        </w:rPr>
        <w:t>本指南的目标阅读者</w:t>
      </w:r>
      <w:bookmarkEnd w:id="1"/>
    </w:p>
    <w:p w14:paraId="7174E974">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FDA发行本指南以供医疗器械制造商使用。本指南解释了FDA针对使用OTS软件并连接网络的医疗器械制造商的一些条例。但是，本指南也可能为其他负责维持网络化器械免受威胁的人员提供有用信息，如</w:t>
      </w:r>
    </w:p>
    <w:p w14:paraId="1B731F29">
      <w:pPr>
        <w:pStyle w:val="18"/>
        <w:numPr>
          <w:ilvl w:val="0"/>
          <w:numId w:val="1"/>
        </w:numPr>
        <w:shd w:val="clear" w:color="auto" w:fill="auto"/>
        <w:tabs>
          <w:tab w:val="left" w:pos="288"/>
        </w:tabs>
        <w:topLinePunct/>
        <w:adjustRightInd w:val="0"/>
        <w:snapToGrid w:val="0"/>
        <w:spacing w:before="0" w:after="270" w:afterLines="75" w:line="288" w:lineRule="auto"/>
        <w:ind w:left="288" w:hanging="288"/>
        <w:jc w:val="both"/>
        <w:rPr>
          <w:snapToGrid w:val="0"/>
        </w:rPr>
      </w:pPr>
      <w:r>
        <w:rPr>
          <w:rFonts w:hint="eastAsia"/>
          <w:snapToGrid w:val="0"/>
        </w:rPr>
        <w:t>非医疗器械网络软件和硬件，如计算机、路由器、变换器、操作系统、数据库引擎的供应商。</w:t>
      </w:r>
    </w:p>
    <w:p w14:paraId="0377DAF4">
      <w:pPr>
        <w:pStyle w:val="18"/>
        <w:numPr>
          <w:ilvl w:val="0"/>
          <w:numId w:val="1"/>
        </w:numPr>
        <w:shd w:val="clear" w:color="auto" w:fill="auto"/>
        <w:tabs>
          <w:tab w:val="left" w:pos="288"/>
        </w:tabs>
        <w:topLinePunct/>
        <w:adjustRightInd w:val="0"/>
        <w:snapToGrid w:val="0"/>
        <w:spacing w:before="0" w:after="270" w:afterLines="75" w:line="288" w:lineRule="auto"/>
        <w:ind w:left="288" w:hanging="288"/>
        <w:jc w:val="both"/>
        <w:rPr>
          <w:snapToGrid w:val="0"/>
        </w:rPr>
      </w:pPr>
      <w:r>
        <w:rPr>
          <w:rFonts w:hint="eastAsia"/>
          <w:snapToGrid w:val="0"/>
        </w:rPr>
        <w:t>医疗机构及建立和维护连接到医疗器械的计算机网络的医疗机构网络管理员</w:t>
      </w:r>
    </w:p>
    <w:p w14:paraId="2EAEC8B3">
      <w:pPr>
        <w:pStyle w:val="25"/>
        <w:shd w:val="clear" w:color="auto" w:fill="auto"/>
        <w:topLinePunct/>
        <w:adjustRightInd w:val="0"/>
        <w:snapToGrid w:val="0"/>
        <w:spacing w:before="0" w:after="270" w:afterLines="75" w:line="288" w:lineRule="auto"/>
        <w:ind w:firstLine="0"/>
        <w:jc w:val="both"/>
        <w:outlineLvl w:val="9"/>
        <w:rPr>
          <w:snapToGrid w:val="0"/>
        </w:rPr>
      </w:pPr>
      <w:bookmarkStart w:id="2" w:name="bookmark2"/>
      <w:r>
        <w:rPr>
          <w:rFonts w:hint="eastAsia"/>
          <w:snapToGrid w:val="0"/>
        </w:rPr>
        <w:t>FDA为什么担心网络安全？</w:t>
      </w:r>
      <w:bookmarkEnd w:id="2"/>
    </w:p>
    <w:p w14:paraId="385D07A8">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FDA之所以担心网络安全，是因为OTS软件易受攻击，攻击者可能会对网络或医疗器械进行非授权访问，从而降低连接到此网络设备上的器械的安全性和有效性。</w:t>
      </w:r>
    </w:p>
    <w:p w14:paraId="45CE1077">
      <w:pPr>
        <w:pStyle w:val="25"/>
        <w:shd w:val="clear" w:color="auto" w:fill="auto"/>
        <w:topLinePunct/>
        <w:adjustRightInd w:val="0"/>
        <w:snapToGrid w:val="0"/>
        <w:spacing w:before="0" w:after="270" w:afterLines="75" w:line="288" w:lineRule="auto"/>
        <w:ind w:firstLine="0"/>
        <w:jc w:val="both"/>
        <w:outlineLvl w:val="9"/>
        <w:rPr>
          <w:snapToGrid w:val="0"/>
        </w:rPr>
      </w:pPr>
      <w:bookmarkStart w:id="3" w:name="bookmark3"/>
      <w:r>
        <w:rPr>
          <w:rFonts w:hint="eastAsia"/>
          <w:snapToGrid w:val="0"/>
        </w:rPr>
        <w:t>本指南中涵盖了哪些内容？</w:t>
      </w:r>
      <w:bookmarkEnd w:id="3"/>
    </w:p>
    <w:p w14:paraId="309314AF">
      <w:pPr>
        <w:pStyle w:val="18"/>
        <w:shd w:val="clear" w:color="auto" w:fill="auto"/>
        <w:topLinePunct/>
        <w:adjustRightInd w:val="0"/>
        <w:snapToGrid w:val="0"/>
        <w:spacing w:before="0" w:after="270" w:afterLines="75" w:line="288" w:lineRule="auto"/>
        <w:ind w:firstLine="0"/>
        <w:rPr>
          <w:snapToGrid w:val="0"/>
        </w:rPr>
      </w:pPr>
      <w:r>
        <w:rPr>
          <w:rFonts w:hint="eastAsia"/>
          <w:snapToGrid w:val="0"/>
        </w:rPr>
        <w:t>本指南涵盖了包含OTS软件的医疗器械的制造商的主要职责。这些职责是基于FDA的质量体系规章（/</w:t>
      </w:r>
      <w:r>
        <w:rPr>
          <w:rStyle w:val="19"/>
          <w:rFonts w:hint="eastAsia"/>
          <w:snapToGrid w:val="0"/>
        </w:rPr>
        <w:t>MedicalDevices/DeviceRegulationandGuidance/PostmarketRequirements/QualitvSvstem sRegulations/default.htm</w:t>
      </w:r>
      <w:r>
        <w:rPr>
          <w:rFonts w:hint="eastAsia"/>
          <w:snapToGrid w:val="0"/>
        </w:rPr>
        <w:t>）而确立的。FDA已对这些职责向制造商进行了解释。（见FDA关于</w:t>
      </w:r>
      <w:r>
        <w:rPr>
          <w:rStyle w:val="19"/>
          <w:rFonts w:hint="eastAsia"/>
          <w:snapToGrid w:val="0"/>
        </w:rPr>
        <w:t>现成（OTS）软件在医疗器械中的使用的指南（ssLINK/ucm073778.htm）</w:t>
      </w:r>
      <w:r>
        <w:rPr>
          <w:rStyle w:val="26"/>
          <w:rFonts w:hint="eastAsia"/>
          <w:snapToGrid w:val="0"/>
        </w:rPr>
        <w:t>。）</w:t>
      </w:r>
      <w:r>
        <w:rPr>
          <w:rFonts w:hint="eastAsia"/>
          <w:snapToGrid w:val="0"/>
        </w:rPr>
        <w:t>我们预期，本指南仅有助于制造商更好地理解其职责。</w:t>
      </w:r>
    </w:p>
    <w:p w14:paraId="409A850E">
      <w:pPr>
        <w:pStyle w:val="18"/>
        <w:numPr>
          <w:ilvl w:val="0"/>
          <w:numId w:val="1"/>
        </w:numPr>
        <w:shd w:val="clear" w:color="auto" w:fill="auto"/>
        <w:tabs>
          <w:tab w:val="left" w:pos="288"/>
        </w:tabs>
        <w:topLinePunct/>
        <w:adjustRightInd w:val="0"/>
        <w:snapToGrid w:val="0"/>
        <w:spacing w:before="0" w:after="270" w:afterLines="75" w:line="288" w:lineRule="auto"/>
        <w:ind w:left="288" w:hanging="288"/>
        <w:jc w:val="both"/>
        <w:rPr>
          <w:snapToGrid w:val="0"/>
        </w:rPr>
      </w:pPr>
      <w:r>
        <w:rPr>
          <w:rFonts w:hint="eastAsia"/>
          <w:snapToGrid w:val="0"/>
        </w:rPr>
        <w:t>如制造商选择在其器械内使用OTS软件，而OTS软件的缺陷会影响其网络化器械的安全性和有效性，则制造商必须采取行动保持其设备安全有效。</w:t>
      </w:r>
    </w:p>
    <w:p w14:paraId="62ABD85C">
      <w:pPr>
        <w:pStyle w:val="18"/>
        <w:numPr>
          <w:ilvl w:val="0"/>
          <w:numId w:val="1"/>
        </w:numPr>
        <w:shd w:val="clear" w:color="auto" w:fill="auto"/>
        <w:tabs>
          <w:tab w:val="left" w:pos="288"/>
        </w:tabs>
        <w:topLinePunct/>
        <w:adjustRightInd w:val="0"/>
        <w:snapToGrid w:val="0"/>
        <w:spacing w:before="0" w:after="270" w:afterLines="75" w:line="288" w:lineRule="auto"/>
        <w:ind w:left="288" w:hanging="288"/>
        <w:jc w:val="both"/>
        <w:rPr>
          <w:snapToGrid w:val="0"/>
        </w:rPr>
      </w:pPr>
      <w:r>
        <w:rPr>
          <w:rFonts w:hint="eastAsia"/>
          <w:snapToGrid w:val="0"/>
        </w:rPr>
        <w:t>FDA的质量体系规范要求医疗器械制造商检查质量数据的来源，修正或预防质量问题。</w:t>
      </w:r>
    </w:p>
    <w:p w14:paraId="6A0B30CE">
      <w:pPr>
        <w:pStyle w:val="21"/>
        <w:numPr>
          <w:ilvl w:val="0"/>
          <w:numId w:val="1"/>
        </w:numPr>
        <w:shd w:val="clear" w:color="auto" w:fill="auto"/>
        <w:tabs>
          <w:tab w:val="left" w:pos="288"/>
        </w:tabs>
        <w:topLinePunct/>
        <w:adjustRightInd w:val="0"/>
        <w:snapToGrid w:val="0"/>
        <w:spacing w:after="270" w:afterLines="75" w:line="288" w:lineRule="auto"/>
        <w:ind w:left="288" w:hanging="288"/>
        <w:rPr>
          <w:snapToGrid w:val="0"/>
        </w:rPr>
      </w:pPr>
      <w:r>
        <w:rPr>
          <w:rStyle w:val="23"/>
          <w:rFonts w:hint="eastAsia"/>
          <w:b w:val="0"/>
          <w:bCs w:val="0"/>
          <w:snapToGrid w:val="0"/>
        </w:rPr>
        <w:t>通常，在制造商将软件补丁落实到位前，FDA无需对其进行审核。FDA将大部分软件补丁视为设计变更，制造商无需事先与FDA进行讨论即可进行。FDA已就其何时参与其中向制造商给出了建议。（见FDA关于</w:t>
      </w:r>
      <w:r>
        <w:rPr>
          <w:rStyle w:val="22"/>
          <w:rFonts w:hint="eastAsia"/>
          <w:b/>
          <w:bCs/>
          <w:snapToGrid w:val="0"/>
        </w:rPr>
        <w:t>软件确认的一般原则</w:t>
      </w:r>
      <w:r>
        <w:rPr>
          <w:rStyle w:val="22"/>
          <w:rFonts w:hint="eastAsia"/>
          <w:b w:val="0"/>
          <w:bCs/>
          <w:snapToGrid w:val="0"/>
        </w:rPr>
        <w:t>的指南</w:t>
      </w:r>
      <w:r>
        <w:rPr>
          <w:rStyle w:val="22"/>
          <w:rFonts w:hint="eastAsia"/>
          <w:b/>
          <w:bCs/>
          <w:snapToGrid w:val="0"/>
        </w:rPr>
        <w:t>（</w:t>
      </w:r>
      <w:r>
        <w:rPr>
          <w:rStyle w:val="22"/>
          <w:rFonts w:hint="eastAsia"/>
          <w:b w:val="0"/>
          <w:bCs/>
          <w:snapToGrid w:val="0"/>
        </w:rPr>
        <w:t>/</w:t>
      </w:r>
      <w:r>
        <w:rPr>
          <w:rStyle w:val="22"/>
          <w:rFonts w:hint="eastAsia"/>
          <w:b/>
          <w:bCs/>
          <w:snapToGrid w:val="0"/>
        </w:rPr>
        <w:t>downloads/MedicalDevices/DeviceRegulationandGuidance/GuidanceDocuments/UC M085371 .pdf</w:t>
      </w:r>
      <w:r>
        <w:rPr>
          <w:rStyle w:val="22"/>
          <w:rFonts w:hint="eastAsia"/>
          <w:b w:val="0"/>
          <w:bCs/>
          <w:snapToGrid w:val="0"/>
        </w:rPr>
        <w:t>）</w:t>
      </w:r>
      <w:r>
        <w:rPr>
          <w:rStyle w:val="23"/>
          <w:rFonts w:hint="eastAsia"/>
          <w:b w:val="0"/>
          <w:bCs w:val="0"/>
          <w:snapToGrid w:val="0"/>
        </w:rPr>
        <w:t>和</w:t>
      </w:r>
      <w:r>
        <w:rPr>
          <w:rFonts w:hint="eastAsia"/>
          <w:snapToGrid w:val="0"/>
        </w:rPr>
        <w:t>对</w:t>
      </w:r>
      <w:r>
        <w:rPr>
          <w:rStyle w:val="22"/>
          <w:rFonts w:hint="eastAsia"/>
          <w:b/>
          <w:bCs/>
          <w:snapToGrid w:val="0"/>
        </w:rPr>
        <w:t>现有设备的变更的510（k）提交时间的决定（/MedicalDevices/DeviceRegulationandGuidance/GuidanceDocuments/ucm080235.htm）</w:t>
      </w:r>
      <w:r>
        <w:rPr>
          <w:rStyle w:val="23"/>
          <w:rFonts w:hint="eastAsia"/>
          <w:b w:val="0"/>
          <w:bCs w:val="0"/>
          <w:snapToGrid w:val="0"/>
        </w:rPr>
        <w:t>以及关于通知和上市前批准申请</w:t>
      </w:r>
      <w:r>
        <w:rPr>
          <w:rStyle w:val="22"/>
          <w:rFonts w:hint="eastAsia"/>
          <w:b/>
          <w:bCs/>
          <w:snapToGrid w:val="0"/>
        </w:rPr>
        <w:t>补充材料（</w:t>
      </w:r>
      <w:r>
        <w:fldChar w:fldCharType="begin"/>
      </w:r>
      <w:r>
        <w:instrText xml:space="preserve"> HYPERLINK "http://www.accessdata.fda.qov/scripts/cdrh/cfdocs/cfcfr/CFRSearch.cfm?FR=814.39" </w:instrText>
      </w:r>
      <w:r>
        <w:fldChar w:fldCharType="separate"/>
      </w:r>
      <w:r>
        <w:rPr>
          <w:rStyle w:val="7"/>
          <w:rFonts w:hint="eastAsia"/>
          <w:snapToGrid w:val="0"/>
        </w:rPr>
        <w:t>http://www.accessdata.fda.qov/scripts/cdrh/cfdocs/cfcfr/CFRSearch.cfm?FR=814.39</w:t>
      </w:r>
      <w:r>
        <w:rPr>
          <w:rStyle w:val="7"/>
          <w:rFonts w:hint="eastAsia"/>
          <w:snapToGrid w:val="0"/>
        </w:rPr>
        <w:fldChar w:fldCharType="end"/>
      </w:r>
      <w:r>
        <w:rPr>
          <w:rStyle w:val="22"/>
          <w:rFonts w:hint="eastAsia"/>
          <w:b/>
          <w:bCs/>
          <w:snapToGrid w:val="0"/>
        </w:rPr>
        <w:t>）</w:t>
      </w:r>
      <w:r>
        <w:rPr>
          <w:rStyle w:val="23"/>
          <w:rFonts w:hint="eastAsia"/>
          <w:b w:val="0"/>
          <w:bCs w:val="0"/>
          <w:snapToGrid w:val="0"/>
        </w:rPr>
        <w:t>和</w:t>
      </w:r>
      <w:r>
        <w:rPr>
          <w:rStyle w:val="22"/>
          <w:rFonts w:hint="eastAsia"/>
          <w:b/>
          <w:bCs/>
          <w:snapToGrid w:val="0"/>
        </w:rPr>
        <w:t>报告（</w:t>
      </w:r>
      <w:r>
        <w:fldChar w:fldCharType="begin"/>
      </w:r>
      <w:r>
        <w:instrText xml:space="preserve"> HYPERLINK "http://www.accessdata.fda.gov/scripts/cdrh/cfdocs/cfcfr/CFRSearch.cfm?fr=814.84" </w:instrText>
      </w:r>
      <w:r>
        <w:fldChar w:fldCharType="separate"/>
      </w:r>
      <w:r>
        <w:rPr>
          <w:rStyle w:val="7"/>
          <w:rFonts w:hint="eastAsia"/>
          <w:snapToGrid w:val="0"/>
        </w:rPr>
        <w:t>http://www.accessdata.fda.gov/scripts/cdrh/cfdocs/cfcfr/CFRSearch.cfm?fr=814.84</w:t>
      </w:r>
      <w:r>
        <w:rPr>
          <w:rStyle w:val="7"/>
          <w:rFonts w:hint="eastAsia"/>
          <w:snapToGrid w:val="0"/>
        </w:rPr>
        <w:fldChar w:fldCharType="end"/>
      </w:r>
      <w:r>
        <w:rPr>
          <w:rStyle w:val="27"/>
          <w:rFonts w:hint="eastAsia"/>
          <w:b/>
          <w:bCs/>
          <w:snapToGrid w:val="0"/>
        </w:rPr>
        <w:t>）的规范。</w:t>
      </w:r>
      <w:r>
        <w:rPr>
          <w:rStyle w:val="23"/>
          <w:rFonts w:hint="eastAsia"/>
          <w:b/>
          <w:bCs w:val="0"/>
          <w:snapToGrid w:val="0"/>
        </w:rPr>
        <w:t>）</w:t>
      </w:r>
      <w:r>
        <w:rPr>
          <w:rFonts w:hint="eastAsia"/>
          <w:snapToGrid w:val="0"/>
        </w:rPr>
        <w:br w:type="page"/>
      </w:r>
    </w:p>
    <w:p w14:paraId="0D24979E">
      <w:pPr>
        <w:pStyle w:val="18"/>
        <w:shd w:val="clear" w:color="auto" w:fill="auto"/>
        <w:topLinePunct/>
        <w:adjustRightInd w:val="0"/>
        <w:snapToGrid w:val="0"/>
        <w:spacing w:before="0" w:after="270" w:afterLines="75" w:line="288" w:lineRule="auto"/>
        <w:ind w:left="288" w:leftChars="120" w:firstLine="0"/>
        <w:jc w:val="both"/>
        <w:rPr>
          <w:snapToGrid w:val="0"/>
        </w:rPr>
      </w:pPr>
      <w:r>
        <w:rPr>
          <w:rFonts w:hint="eastAsia"/>
          <w:snapToGrid w:val="0"/>
        </w:rPr>
        <w:t>例如，下列情况下，制造商需要在安装软件补丁前获得FDA的批准或许可。</w:t>
      </w:r>
    </w:p>
    <w:p w14:paraId="639B3DB7">
      <w:pPr>
        <w:pStyle w:val="18"/>
        <w:numPr>
          <w:ilvl w:val="0"/>
          <w:numId w:val="2"/>
        </w:numPr>
        <w:shd w:val="clear" w:color="auto" w:fill="auto"/>
        <w:topLinePunct/>
        <w:adjustRightInd w:val="0"/>
        <w:snapToGrid w:val="0"/>
        <w:spacing w:before="0" w:after="270" w:afterLines="75" w:line="288" w:lineRule="auto"/>
        <w:ind w:left="780" w:leftChars="175"/>
        <w:jc w:val="both"/>
        <w:rPr>
          <w:snapToGrid w:val="0"/>
        </w:rPr>
      </w:pPr>
      <w:r>
        <w:rPr>
          <w:rFonts w:hint="eastAsia"/>
          <w:snapToGrid w:val="0"/>
        </w:rPr>
        <w:t>该软件补丁将改变使用者、用途或工作方式（使用的适应症发生改变），和／或</w:t>
      </w:r>
    </w:p>
    <w:p w14:paraId="7FA6E38D">
      <w:pPr>
        <w:pStyle w:val="18"/>
        <w:numPr>
          <w:ilvl w:val="0"/>
          <w:numId w:val="2"/>
        </w:numPr>
        <w:shd w:val="clear" w:color="auto" w:fill="auto"/>
        <w:topLinePunct/>
        <w:adjustRightInd w:val="0"/>
        <w:snapToGrid w:val="0"/>
        <w:spacing w:before="0" w:after="270" w:afterLines="75" w:line="288" w:lineRule="auto"/>
        <w:ind w:left="780" w:leftChars="175"/>
        <w:jc w:val="both"/>
        <w:rPr>
          <w:snapToGrid w:val="0"/>
        </w:rPr>
      </w:pPr>
      <w:r>
        <w:rPr>
          <w:rFonts w:hint="eastAsia"/>
          <w:snapToGrid w:val="0"/>
        </w:rPr>
        <w:t>该软件补丁降低了器械的安全性和有效性。</w:t>
      </w:r>
    </w:p>
    <w:p w14:paraId="564C2ADE">
      <w:pPr>
        <w:pStyle w:val="18"/>
        <w:numPr>
          <w:ilvl w:val="0"/>
          <w:numId w:val="1"/>
        </w:numPr>
        <w:shd w:val="clear" w:color="auto" w:fill="auto"/>
        <w:tabs>
          <w:tab w:val="left" w:pos="281"/>
        </w:tabs>
        <w:topLinePunct/>
        <w:adjustRightInd w:val="0"/>
        <w:snapToGrid w:val="0"/>
        <w:spacing w:before="0" w:after="270" w:afterLines="75" w:line="288" w:lineRule="auto"/>
        <w:ind w:left="281" w:hanging="281"/>
        <w:rPr>
          <w:snapToGrid w:val="0"/>
        </w:rPr>
      </w:pPr>
      <w:r>
        <w:rPr>
          <w:rFonts w:hint="eastAsia"/>
          <w:snapToGrid w:val="0"/>
        </w:rPr>
        <w:t>制造商必须根据质量体系规范对软件变更进行确认。这意味着，制造商应考虑变更的用途，有材料证明变更后的软件符合用户需求并能始终保持其功能。（见</w:t>
      </w:r>
      <w:r>
        <w:rPr>
          <w:rStyle w:val="26"/>
          <w:rFonts w:hint="eastAsia" w:ascii="宋体" w:hAnsi="宋体"/>
          <w:snapToGrid w:val="0"/>
        </w:rPr>
        <w:t>“</w:t>
      </w:r>
      <w:r>
        <w:rPr>
          <w:rStyle w:val="19"/>
          <w:rFonts w:hint="eastAsia"/>
          <w:snapToGrid w:val="0"/>
        </w:rPr>
        <w:t>软件确认...</w:t>
      </w:r>
      <w:r>
        <w:rPr>
          <w:rStyle w:val="22"/>
          <w:rFonts w:hint="eastAsia"/>
          <w:snapToGrid w:val="0"/>
        </w:rPr>
        <w:t>根据FDA关于软件确认的一般原则的指南（ssLINK/ucm085281.htm#_toc517237938。</w:t>
      </w:r>
      <w:r>
        <w:rPr>
          <w:rFonts w:hint="eastAsia"/>
          <w:snapToGrid w:val="0"/>
        </w:rPr>
        <w:t>）</w:t>
      </w:r>
    </w:p>
    <w:p w14:paraId="3BBBB364">
      <w:pPr>
        <w:pStyle w:val="18"/>
        <w:numPr>
          <w:ilvl w:val="0"/>
          <w:numId w:val="1"/>
        </w:numPr>
        <w:shd w:val="clear" w:color="auto" w:fill="auto"/>
        <w:tabs>
          <w:tab w:val="left" w:pos="281"/>
        </w:tabs>
        <w:topLinePunct/>
        <w:adjustRightInd w:val="0"/>
        <w:snapToGrid w:val="0"/>
        <w:spacing w:before="0" w:after="270" w:afterLines="75" w:line="288" w:lineRule="auto"/>
        <w:ind w:left="281" w:hanging="281"/>
        <w:jc w:val="both"/>
        <w:rPr>
          <w:snapToGrid w:val="0"/>
        </w:rPr>
      </w:pPr>
      <w:r>
        <w:rPr>
          <w:rFonts w:hint="eastAsia"/>
          <w:snapToGrid w:val="0"/>
        </w:rPr>
        <w:t>虽然制造商只需将补丁作为控制计划的一部分请求FDA批准，但仍需对如何进行和跟进这些变更做好计划。</w:t>
      </w:r>
    </w:p>
    <w:p w14:paraId="610FF120">
      <w:pPr>
        <w:pStyle w:val="25"/>
        <w:shd w:val="clear" w:color="auto" w:fill="auto"/>
        <w:topLinePunct/>
        <w:adjustRightInd w:val="0"/>
        <w:snapToGrid w:val="0"/>
        <w:spacing w:before="0" w:after="270" w:afterLines="75" w:line="288" w:lineRule="auto"/>
        <w:ind w:firstLine="0"/>
        <w:jc w:val="both"/>
        <w:outlineLvl w:val="9"/>
        <w:rPr>
          <w:snapToGrid w:val="0"/>
        </w:rPr>
      </w:pPr>
      <w:bookmarkStart w:id="4" w:name="bookmark5"/>
      <w:r>
        <w:rPr>
          <w:rFonts w:hint="eastAsia"/>
          <w:snapToGrid w:val="0"/>
        </w:rPr>
        <w:t>医疗机构何时可以将不是来自医疗器械制造商的软件补丁应用到医疗器械中？</w:t>
      </w:r>
      <w:bookmarkEnd w:id="4"/>
    </w:p>
    <w:p w14:paraId="09EF9C11">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在我们看来，医疗机构有能够用以独立维护医疗器械软件的技术资源和关于医疗器械设计的信息的情况非常少见。因此，大多数医疗机构需要依靠医疗器械制造商的建议。</w:t>
      </w:r>
    </w:p>
    <w:p w14:paraId="4DF6EC7A">
      <w:pPr>
        <w:pStyle w:val="25"/>
        <w:shd w:val="clear" w:color="auto" w:fill="auto"/>
        <w:topLinePunct/>
        <w:adjustRightInd w:val="0"/>
        <w:snapToGrid w:val="0"/>
        <w:spacing w:before="0" w:after="270" w:afterLines="75" w:line="288" w:lineRule="auto"/>
        <w:ind w:firstLine="0"/>
        <w:jc w:val="both"/>
        <w:outlineLvl w:val="9"/>
        <w:rPr>
          <w:snapToGrid w:val="0"/>
        </w:rPr>
      </w:pPr>
      <w:bookmarkStart w:id="5" w:name="bookmark6"/>
      <w:r>
        <w:rPr>
          <w:rFonts w:hint="eastAsia"/>
          <w:snapToGrid w:val="0"/>
        </w:rPr>
        <w:t>我在解决这一问题的过程中有何作用？</w:t>
      </w:r>
      <w:bookmarkEnd w:id="5"/>
    </w:p>
    <w:p w14:paraId="7449D49A">
      <w:pPr>
        <w:pStyle w:val="18"/>
        <w:shd w:val="clear" w:color="auto" w:fill="auto"/>
        <w:topLinePunct/>
        <w:adjustRightInd w:val="0"/>
        <w:snapToGrid w:val="0"/>
        <w:spacing w:before="0" w:after="270" w:afterLines="75" w:line="288" w:lineRule="auto"/>
        <w:ind w:firstLine="0"/>
        <w:jc w:val="both"/>
        <w:rPr>
          <w:snapToGrid w:val="0"/>
        </w:rPr>
      </w:pPr>
      <w:r>
        <w:rPr>
          <w:rFonts w:hint="eastAsia"/>
          <w:snapToGrid w:val="0"/>
        </w:rPr>
        <w:t>既然您已经了解制造商的指责，请和制造商以及您的机构共同合作，设计并实施一套计划解决您的机构中可能存在的网络安全缺陷。</w:t>
      </w:r>
    </w:p>
    <w:p w14:paraId="32C4F5C7">
      <w:pPr>
        <w:pStyle w:val="25"/>
        <w:shd w:val="clear" w:color="auto" w:fill="auto"/>
        <w:topLinePunct/>
        <w:adjustRightInd w:val="0"/>
        <w:snapToGrid w:val="0"/>
        <w:spacing w:before="0" w:after="270" w:afterLines="75" w:line="288" w:lineRule="auto"/>
        <w:ind w:firstLine="0"/>
        <w:jc w:val="both"/>
        <w:outlineLvl w:val="9"/>
        <w:rPr>
          <w:snapToGrid w:val="0"/>
          <w:color w:val="auto"/>
        </w:rPr>
      </w:pPr>
      <w:bookmarkStart w:id="6" w:name="bookmark7"/>
      <w:r>
        <w:rPr>
          <w:rFonts w:hint="eastAsia"/>
          <w:snapToGrid w:val="0"/>
        </w:rPr>
        <w:t>如有关于本文件的任何问题，请联系John F. Murray Jr.电话：301-796-5543，</w:t>
      </w:r>
      <w:r>
        <w:rPr>
          <w:rStyle w:val="7"/>
          <w:rFonts w:hint="eastAsia"/>
          <w:snapToGrid w:val="0"/>
          <w:color w:val="auto"/>
        </w:rPr>
        <w:t>j</w:t>
      </w:r>
      <w:r>
        <w:fldChar w:fldCharType="begin"/>
      </w:r>
      <w:r>
        <w:instrText xml:space="preserve"> HYPERLINK "quot;john.murrav@fda.hhs.gov&amp;quot" </w:instrText>
      </w:r>
      <w:r>
        <w:fldChar w:fldCharType="separate"/>
      </w:r>
      <w:r>
        <w:rPr>
          <w:rStyle w:val="7"/>
          <w:rFonts w:hint="eastAsia"/>
          <w:snapToGrid w:val="0"/>
          <w:color w:val="auto"/>
        </w:rPr>
        <w:t>ohn.murrav@fda.hhs.gov</w:t>
      </w:r>
      <w:r>
        <w:rPr>
          <w:rStyle w:val="7"/>
          <w:rFonts w:hint="eastAsia"/>
          <w:snapToGrid w:val="0"/>
          <w:color w:val="auto"/>
        </w:rPr>
        <w:fldChar w:fldCharType="end"/>
      </w:r>
      <w:r>
        <w:rPr>
          <w:rStyle w:val="27"/>
          <w:rFonts w:hint="eastAsia"/>
          <w:b/>
          <w:bCs/>
          <w:snapToGrid w:val="0"/>
          <w:color w:val="auto"/>
        </w:rPr>
        <w:t>（</w:t>
      </w:r>
      <w:r>
        <w:fldChar w:fldCharType="begin"/>
      </w:r>
      <w:r>
        <w:instrText xml:space="preserve"> HYPERLINK "quot;发送邮件至：jiohn.murrav@fda.hhs.gov&amp;quot" </w:instrText>
      </w:r>
      <w:r>
        <w:fldChar w:fldCharType="separate"/>
      </w:r>
      <w:r>
        <w:rPr>
          <w:rStyle w:val="7"/>
          <w:rFonts w:hint="eastAsia"/>
          <w:snapToGrid w:val="0"/>
          <w:color w:val="auto"/>
        </w:rPr>
        <w:t>发送邮件至：john.murrav@fda.hhs.gov</w:t>
      </w:r>
      <w:r>
        <w:rPr>
          <w:rStyle w:val="7"/>
          <w:rFonts w:hint="eastAsia"/>
          <w:snapToGrid w:val="0"/>
          <w:color w:val="auto"/>
        </w:rPr>
        <w:fldChar w:fldCharType="end"/>
      </w:r>
      <w:r>
        <w:rPr>
          <w:rStyle w:val="27"/>
          <w:rFonts w:hint="eastAsia"/>
          <w:b/>
          <w:bCs/>
          <w:snapToGrid w:val="0"/>
          <w:color w:val="auto"/>
        </w:rPr>
        <w:t>）</w:t>
      </w:r>
      <w:r>
        <w:rPr>
          <w:rFonts w:hint="eastAsia"/>
          <w:snapToGrid w:val="0"/>
          <w:color w:val="auto"/>
        </w:rPr>
        <w:t>.</w:t>
      </w:r>
      <w:bookmarkEnd w:id="6"/>
    </w:p>
    <w:tbl>
      <w:tblPr>
        <w:tblStyle w:val="5"/>
        <w:tblW w:w="0" w:type="auto"/>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9236"/>
      </w:tblGrid>
      <w:tr w14:paraId="2E2CE33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Borders>
              <w:top w:val="single" w:color="0070C0" w:sz="4" w:space="0"/>
              <w:left w:val="single" w:color="0070C0" w:sz="4" w:space="0"/>
              <w:bottom w:val="single" w:color="0070C0" w:sz="4" w:space="0"/>
              <w:right w:val="single" w:color="0070C0" w:sz="4" w:space="0"/>
            </w:tcBorders>
          </w:tcPr>
          <w:p w14:paraId="5F6FE85D">
            <w:pPr>
              <w:pStyle w:val="11"/>
              <w:shd w:val="clear" w:color="auto" w:fill="auto"/>
              <w:topLinePunct/>
              <w:adjustRightInd w:val="0"/>
              <w:snapToGrid w:val="0"/>
              <w:spacing w:before="180" w:beforeLines="50" w:after="0" w:line="288" w:lineRule="auto"/>
              <w:rPr>
                <w:rStyle w:val="28"/>
                <w:rFonts w:hint="eastAsia"/>
                <w:b/>
                <w:bCs/>
                <w:snapToGrid w:val="0"/>
                <w:sz w:val="24"/>
              </w:rPr>
            </w:pPr>
            <w:r>
              <w:rPr>
                <w:rStyle w:val="28"/>
                <w:rFonts w:hint="eastAsia"/>
                <w:b/>
                <w:bCs/>
                <w:snapToGrid w:val="0"/>
                <w:sz w:val="24"/>
                <w:u w:val="none"/>
              </w:rPr>
              <w:t>更多</w:t>
            </w:r>
            <w:r>
              <w:rPr>
                <w:rStyle w:val="28"/>
                <w:rFonts w:hint="eastAsia"/>
                <w:b/>
                <w:bCs/>
                <w:snapToGrid w:val="0"/>
                <w:sz w:val="24"/>
              </w:rPr>
              <w:t>请见指导性文件（医疗器械和辐射发射产品）（/MedicalDevices/DeviceRegulationandGuidance/GuidanceDocuments/default.htm）</w:t>
            </w:r>
          </w:p>
        </w:tc>
      </w:tr>
      <w:tr w14:paraId="521DA38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Borders>
              <w:top w:val="single" w:color="0070C0" w:sz="4" w:space="0"/>
            </w:tcBorders>
          </w:tcPr>
          <w:p w14:paraId="46691CA9">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交流中心最终指南</w:t>
            </w:r>
            <w:r>
              <w:rPr>
                <w:rStyle w:val="28"/>
                <w:b/>
                <w:bCs/>
                <w:snapToGrid w:val="0"/>
                <w:sz w:val="24"/>
              </w:rPr>
              <w:br w:type="textWrapping"/>
            </w:r>
            <w:r>
              <w:rPr>
                <w:rStyle w:val="28"/>
                <w:rFonts w:hint="eastAsia"/>
                <w:b/>
                <w:bCs/>
                <w:snapToGrid w:val="0"/>
                <w:sz w:val="24"/>
              </w:rPr>
              <w:t>（/MedicalDevices/DeviceRegulationandGuidance/GuidanceDocuments/ucm081752.htm）</w:t>
            </w:r>
          </w:p>
        </w:tc>
      </w:tr>
      <w:tr w14:paraId="4EA6D61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38B0FD07">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合规办公室最终指南</w:t>
            </w:r>
            <w:r>
              <w:rPr>
                <w:rStyle w:val="28"/>
                <w:b/>
                <w:bCs/>
                <w:snapToGrid w:val="0"/>
                <w:sz w:val="24"/>
              </w:rPr>
              <w:br w:type="textWrapping"/>
            </w:r>
            <w:r>
              <w:rPr>
                <w:rStyle w:val="28"/>
                <w:rFonts w:hint="eastAsia"/>
                <w:b/>
                <w:bCs/>
                <w:snapToGrid w:val="0"/>
                <w:sz w:val="24"/>
              </w:rPr>
              <w:t>（/MedicalDevices/DeviceRegulationandGuidance/GuidanceDocuments/ucm070269.htm）</w:t>
            </w:r>
          </w:p>
        </w:tc>
      </w:tr>
      <w:tr w14:paraId="7D3D710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5E30058A">
            <w:pPr>
              <w:pStyle w:val="11"/>
              <w:shd w:val="clear" w:color="auto" w:fill="auto"/>
              <w:topLinePunct/>
              <w:adjustRightInd w:val="0"/>
              <w:snapToGrid w:val="0"/>
              <w:spacing w:before="180" w:beforeLines="50" w:after="0" w:line="288" w:lineRule="auto"/>
              <w:jc w:val="both"/>
              <w:rPr>
                <w:snapToGrid w:val="0"/>
                <w:sz w:val="24"/>
              </w:rPr>
            </w:pPr>
            <w:r>
              <w:rPr>
                <w:rStyle w:val="28"/>
                <w:rFonts w:hint="eastAsia"/>
                <w:b/>
                <w:bCs/>
                <w:snapToGrid w:val="0"/>
                <w:sz w:val="24"/>
              </w:rPr>
              <w:t>中心主任最终指南</w:t>
            </w:r>
            <w:r>
              <w:rPr>
                <w:rStyle w:val="28"/>
                <w:b/>
                <w:bCs/>
                <w:snapToGrid w:val="0"/>
                <w:sz w:val="24"/>
              </w:rPr>
              <w:br w:type="textWrapping"/>
            </w:r>
            <w:r>
              <w:rPr>
                <w:snapToGrid w:val="0"/>
                <w:sz w:val="24"/>
              </w:rPr>
              <w:t>(/</w:t>
            </w:r>
            <w:r>
              <w:rPr>
                <w:rStyle w:val="28"/>
                <w:rFonts w:hint="eastAsia"/>
                <w:b/>
                <w:bCs/>
                <w:snapToGrid w:val="0"/>
                <w:sz w:val="24"/>
              </w:rPr>
              <w:t xml:space="preserve">MedicalDevices/DeviceRegulationandGuidance/GuidanceDocuments/ucm110228.htm) </w:t>
            </w:r>
          </w:p>
        </w:tc>
      </w:tr>
      <w:tr w14:paraId="281D4E9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4514FDAB">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通信与教育办公室最终指南</w:t>
            </w:r>
            <w:r>
              <w:rPr>
                <w:rStyle w:val="28"/>
                <w:b/>
                <w:bCs/>
                <w:snapToGrid w:val="0"/>
                <w:sz w:val="24"/>
              </w:rPr>
              <w:br w:type="textWrapping"/>
            </w:r>
            <w:r>
              <w:rPr>
                <w:rStyle w:val="28"/>
                <w:rFonts w:hint="eastAsia"/>
                <w:b/>
                <w:bCs/>
                <w:snapToGrid w:val="0"/>
                <w:sz w:val="24"/>
              </w:rPr>
              <w:t>（/MedicalDevices/DeviceRegulationandGuidance/GuidanceDocuments/ucm070271.htm）</w:t>
            </w:r>
          </w:p>
        </w:tc>
      </w:tr>
      <w:tr w14:paraId="2462482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00C71DF6">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器械评价办公室最终指南2010-2016</w:t>
            </w:r>
            <w:r>
              <w:rPr>
                <w:rStyle w:val="28"/>
                <w:b/>
                <w:bCs/>
                <w:snapToGrid w:val="0"/>
                <w:sz w:val="24"/>
              </w:rPr>
              <w:br w:type="textWrapping"/>
            </w:r>
            <w:r>
              <w:rPr>
                <w:rStyle w:val="28"/>
                <w:rFonts w:hint="eastAsia"/>
                <w:b/>
                <w:bCs/>
                <w:snapToGrid w:val="0"/>
                <w:sz w:val="24"/>
              </w:rPr>
              <w:t>（/MedicalDevices/DeviceRegulationandGuidance/GuidanceDocuments/ucm198577.htm）</w:t>
            </w:r>
          </w:p>
        </w:tc>
      </w:tr>
      <w:tr w14:paraId="7FAA9D0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6C40B92F">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器械评价办公室最终指南1998-2009</w:t>
            </w:r>
            <w:r>
              <w:rPr>
                <w:rStyle w:val="28"/>
                <w:b/>
                <w:bCs/>
                <w:snapToGrid w:val="0"/>
                <w:sz w:val="24"/>
              </w:rPr>
              <w:br w:type="textWrapping"/>
            </w:r>
            <w:r>
              <w:rPr>
                <w:rStyle w:val="28"/>
                <w:rFonts w:hint="eastAsia"/>
                <w:b/>
                <w:bCs/>
                <w:snapToGrid w:val="0"/>
                <w:sz w:val="24"/>
              </w:rPr>
              <w:t>（/MedicalDevices/DeviceRegulationandGuidance/GuidanceDocuments/ucm070272.htin）</w:t>
            </w:r>
          </w:p>
        </w:tc>
      </w:tr>
      <w:tr w14:paraId="45064CB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2D833335">
            <w:pPr>
              <w:pStyle w:val="11"/>
              <w:shd w:val="clear" w:color="auto" w:fill="auto"/>
              <w:topLinePunct/>
              <w:adjustRightInd w:val="0"/>
              <w:snapToGrid w:val="0"/>
              <w:spacing w:before="180" w:beforeLines="50" w:after="0" w:line="288" w:lineRule="auto"/>
              <w:jc w:val="both"/>
              <w:rPr>
                <w:rFonts w:hint="eastAsia"/>
                <w:snapToGrid w:val="0"/>
                <w:sz w:val="24"/>
              </w:rPr>
            </w:pPr>
            <w:r>
              <w:rPr>
                <w:rStyle w:val="28"/>
                <w:rFonts w:hint="eastAsia"/>
                <w:b/>
                <w:bCs/>
                <w:snapToGrid w:val="0"/>
                <w:sz w:val="24"/>
              </w:rPr>
              <w:t>器械评价办公室最终指南1976-1997</w:t>
            </w:r>
            <w:r>
              <w:rPr>
                <w:rStyle w:val="28"/>
                <w:b/>
                <w:bCs/>
                <w:snapToGrid w:val="0"/>
                <w:sz w:val="24"/>
              </w:rPr>
              <w:br w:type="textWrapping"/>
            </w:r>
            <w:r>
              <w:rPr>
                <w:snapToGrid w:val="0"/>
                <w:sz w:val="24"/>
              </w:rPr>
              <w:t>(/</w:t>
            </w:r>
            <w:r>
              <w:rPr>
                <w:rStyle w:val="28"/>
                <w:rFonts w:hint="eastAsia"/>
                <w:b/>
                <w:bCs/>
                <w:snapToGrid w:val="0"/>
                <w:sz w:val="24"/>
              </w:rPr>
              <w:t>MedicalDevices/DeviceRegulationandGuidance/GuidanceDocuments/ucm080283.htm</w:t>
            </w:r>
            <w:r>
              <w:rPr>
                <w:snapToGrid w:val="0"/>
                <w:sz w:val="24"/>
              </w:rPr>
              <w:t>)</w:t>
            </w:r>
          </w:p>
        </w:tc>
      </w:tr>
      <w:tr w14:paraId="6754AB9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05471195">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体外诊断和放射卫生办公室最终指南</w:t>
            </w:r>
            <w:r>
              <w:rPr>
                <w:rStyle w:val="28"/>
                <w:b/>
                <w:bCs/>
                <w:snapToGrid w:val="0"/>
                <w:sz w:val="24"/>
              </w:rPr>
              <w:br w:type="textWrapping"/>
            </w:r>
            <w:r>
              <w:rPr>
                <w:rStyle w:val="28"/>
                <w:rFonts w:hint="eastAsia"/>
                <w:b/>
                <w:bCs/>
                <w:snapToGrid w:val="0"/>
                <w:sz w:val="24"/>
              </w:rPr>
              <w:t>(/MedicalDevices/DeviceRegulationandGuidance/GuidanceDocuments/ucm070274.htm)</w:t>
            </w:r>
          </w:p>
        </w:tc>
      </w:tr>
      <w:tr w14:paraId="0055876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0A12A0CC">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监督和生物计量办公室最终指南</w:t>
            </w:r>
            <w:r>
              <w:rPr>
                <w:rStyle w:val="28"/>
                <w:b/>
                <w:bCs/>
                <w:snapToGrid w:val="0"/>
                <w:sz w:val="24"/>
              </w:rPr>
              <w:br w:type="textWrapping"/>
            </w:r>
            <w:r>
              <w:rPr>
                <w:rStyle w:val="28"/>
                <w:rFonts w:hint="eastAsia"/>
                <w:b/>
                <w:bCs/>
                <w:snapToGrid w:val="0"/>
                <w:sz w:val="24"/>
              </w:rPr>
              <w:t>（/MedicalDevices/DeviceRegulationandGuidance/GuidanceDocuments/ucm070275.htm）</w:t>
            </w:r>
          </w:p>
        </w:tc>
      </w:tr>
      <w:tr w14:paraId="702747C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4419E524">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科学和工程实验室办公室最终指南</w:t>
            </w:r>
            <w:r>
              <w:rPr>
                <w:rStyle w:val="28"/>
                <w:b/>
                <w:bCs/>
                <w:snapToGrid w:val="0"/>
                <w:sz w:val="24"/>
              </w:rPr>
              <w:br w:type="textWrapping"/>
            </w:r>
            <w:r>
              <w:rPr>
                <w:rStyle w:val="28"/>
                <w:rFonts w:hint="eastAsia"/>
                <w:b/>
                <w:bCs/>
                <w:snapToGrid w:val="0"/>
                <w:sz w:val="24"/>
              </w:rPr>
              <w:t>（/MedicalDevices/DeviceRegulationandGuidance/GuidanceDocuments/ucm070277.htm）</w:t>
            </w:r>
          </w:p>
        </w:tc>
      </w:tr>
      <w:tr w14:paraId="092FBDC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01893F78">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草案指南</w:t>
            </w:r>
            <w:r>
              <w:rPr>
                <w:rStyle w:val="28"/>
                <w:b/>
                <w:bCs/>
                <w:snapToGrid w:val="0"/>
                <w:sz w:val="24"/>
              </w:rPr>
              <w:br w:type="textWrapping"/>
            </w:r>
            <w:r>
              <w:rPr>
                <w:rStyle w:val="28"/>
                <w:rFonts w:hint="eastAsia"/>
                <w:b/>
                <w:bCs/>
                <w:snapToGrid w:val="0"/>
                <w:sz w:val="24"/>
              </w:rPr>
              <w:t>（/MedicalDevices/DeviceRegulationandGuidance/GuidanceDocuments/ucm407274.htm）</w:t>
            </w:r>
          </w:p>
        </w:tc>
      </w:tr>
      <w:tr w14:paraId="62BEAC1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31E4BB8E">
            <w:pPr>
              <w:pStyle w:val="11"/>
              <w:shd w:val="clear" w:color="auto" w:fill="auto"/>
              <w:topLinePunct/>
              <w:adjustRightInd w:val="0"/>
              <w:snapToGrid w:val="0"/>
              <w:spacing w:before="180" w:beforeLines="50" w:after="0" w:line="288" w:lineRule="auto"/>
              <w:jc w:val="both"/>
              <w:rPr>
                <w:rStyle w:val="28"/>
                <w:rFonts w:hint="eastAsia"/>
                <w:b/>
                <w:bCs/>
                <w:snapToGrid w:val="0"/>
                <w:sz w:val="24"/>
              </w:rPr>
            </w:pPr>
            <w:r>
              <w:rPr>
                <w:rStyle w:val="28"/>
                <w:rFonts w:hint="eastAsia"/>
                <w:b/>
                <w:bCs/>
                <w:snapToGrid w:val="0"/>
                <w:sz w:val="24"/>
              </w:rPr>
              <w:t>辐射发射产品指南</w:t>
            </w:r>
            <w:r>
              <w:rPr>
                <w:rStyle w:val="28"/>
                <w:b/>
                <w:bCs/>
                <w:snapToGrid w:val="0"/>
                <w:sz w:val="24"/>
              </w:rPr>
              <w:br w:type="textWrapping"/>
            </w:r>
            <w:r>
              <w:rPr>
                <w:rStyle w:val="28"/>
                <w:rFonts w:hint="eastAsia"/>
                <w:b/>
                <w:bCs/>
                <w:snapToGrid w:val="0"/>
                <w:sz w:val="24"/>
              </w:rPr>
              <w:t>（/MedicalDevices/DeviceRegulationandGuidance/GuidanceDocuments/ucm283507.htm）</w:t>
            </w:r>
          </w:p>
        </w:tc>
      </w:tr>
      <w:tr w14:paraId="6A32A60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36" w:type="dxa"/>
          </w:tcPr>
          <w:p w14:paraId="33E68617">
            <w:pPr>
              <w:pStyle w:val="11"/>
              <w:shd w:val="clear" w:color="auto" w:fill="auto"/>
              <w:topLinePunct/>
              <w:adjustRightInd w:val="0"/>
              <w:snapToGrid w:val="0"/>
              <w:spacing w:before="180" w:beforeLines="50" w:after="0" w:line="288" w:lineRule="auto"/>
              <w:jc w:val="both"/>
              <w:rPr>
                <w:snapToGrid w:val="0"/>
                <w:sz w:val="24"/>
              </w:rPr>
            </w:pPr>
            <w:r>
              <w:rPr>
                <w:rStyle w:val="28"/>
                <w:rFonts w:hint="eastAsia"/>
                <w:b/>
                <w:bCs/>
                <w:snapToGrid w:val="0"/>
                <w:sz w:val="24"/>
              </w:rPr>
              <w:t>撤回指南</w:t>
            </w:r>
            <w:r>
              <w:rPr>
                <w:rStyle w:val="28"/>
                <w:b/>
                <w:bCs/>
                <w:snapToGrid w:val="0"/>
                <w:sz w:val="24"/>
              </w:rPr>
              <w:br w:type="textWrapping"/>
            </w:r>
            <w:r>
              <w:rPr>
                <w:snapToGrid w:val="0"/>
                <w:sz w:val="24"/>
              </w:rPr>
              <w:t>(/</w:t>
            </w:r>
            <w:r>
              <w:rPr>
                <w:rStyle w:val="28"/>
                <w:rFonts w:hint="eastAsia"/>
                <w:b/>
                <w:bCs/>
                <w:snapToGrid w:val="0"/>
                <w:sz w:val="24"/>
              </w:rPr>
              <w:t>MedicalDevices/DeviceRegulationandGuidance/GuidanceDocuments/ucm425025.htm</w:t>
            </w:r>
            <w:r>
              <w:rPr>
                <w:snapToGrid w:val="0"/>
                <w:sz w:val="24"/>
              </w:rPr>
              <w:t>)</w:t>
            </w:r>
          </w:p>
        </w:tc>
      </w:tr>
    </w:tbl>
    <w:p w14:paraId="03DDFE3A">
      <w:pPr>
        <w:pStyle w:val="11"/>
        <w:shd w:val="clear" w:color="auto" w:fill="auto"/>
        <w:topLinePunct/>
        <w:adjustRightInd w:val="0"/>
        <w:snapToGrid w:val="0"/>
        <w:spacing w:before="0" w:after="270" w:afterLines="75" w:line="288" w:lineRule="auto"/>
        <w:jc w:val="both"/>
        <w:rPr>
          <w:snapToGrid w:val="0"/>
          <w:sz w:val="24"/>
        </w:rPr>
      </w:pPr>
    </w:p>
    <w:p w14:paraId="671D184A">
      <w:pPr>
        <w:topLinePunct/>
        <w:adjustRightInd w:val="0"/>
        <w:snapToGrid w:val="0"/>
        <w:spacing w:after="270" w:afterLines="75" w:line="288" w:lineRule="auto"/>
        <w:jc w:val="both"/>
        <w:rPr>
          <w:rFonts w:hint="eastAsia" w:eastAsia="宋体"/>
          <w:lang w:eastAsia="zh-CN"/>
        </w:rPr>
      </w:pPr>
    </w:p>
    <w:p w14:paraId="0E2C2D17">
      <w:pPr>
        <w:topLinePunct/>
        <w:adjustRightInd w:val="0"/>
        <w:snapToGrid w:val="0"/>
        <w:spacing w:after="270" w:afterLines="75" w:line="288" w:lineRule="auto"/>
        <w:jc w:val="center"/>
        <w:rPr>
          <w:rFonts w:hint="eastAsia" w:eastAsia="宋体"/>
          <w:lang w:eastAsia="zh-CN"/>
        </w:rPr>
      </w:pPr>
    </w:p>
    <w:p w14:paraId="38B5AF91">
      <w:pPr>
        <w:topLinePunct/>
        <w:adjustRightInd w:val="0"/>
        <w:snapToGrid w:val="0"/>
        <w:spacing w:after="270"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0" w:h="16840"/>
      <w:pgMar w:top="1134" w:right="1440" w:bottom="1134" w:left="1440" w:header="283" w:footer="283"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268D">
    <w:pPr>
      <w:pStyle w:val="15"/>
      <w:shd w:val="clear" w:color="auto" w:fill="auto"/>
      <w:tabs>
        <w:tab w:val="right" w:pos="10891"/>
      </w:tabs>
      <w:spacing w:line="240" w:lineRule="auto"/>
      <w:rPr>
        <w:rFonts w:hint="eastAsia"/>
        <w:b w:val="0"/>
        <w:sz w:val="16"/>
      </w:rPr>
    </w:pPr>
  </w:p>
  <w:p w14:paraId="32DB0849">
    <w:pPr>
      <w:pStyle w:val="15"/>
      <w:shd w:val="clear" w:color="auto" w:fill="auto"/>
      <w:tabs>
        <w:tab w:val="right" w:pos="10891"/>
      </w:tabs>
      <w:spacing w:line="240" w:lineRule="auto"/>
      <w:rPr>
        <w:rFonts w:hint="eastAsia"/>
        <w:b w:val="0"/>
        <w:sz w:val="16"/>
      </w:rPr>
    </w:pPr>
  </w:p>
  <w:p w14:paraId="120E4047">
    <w:pPr>
      <w:pStyle w:val="15"/>
      <w:shd w:val="clear" w:color="auto" w:fill="auto"/>
      <w:tabs>
        <w:tab w:val="right" w:pos="10891"/>
      </w:tabs>
      <w:spacing w:line="240" w:lineRule="auto"/>
      <w:rPr>
        <w:rFonts w:hint="eastAsia"/>
        <w:b w:val="0"/>
        <w:sz w:val="16"/>
      </w:rPr>
    </w:pPr>
  </w:p>
  <w:p w14:paraId="4B3D9A88">
    <w:pPr>
      <w:pStyle w:val="15"/>
      <w:shd w:val="clear" w:color="auto" w:fill="auto"/>
      <w:tabs>
        <w:tab w:val="right" w:pos="10891"/>
      </w:tabs>
      <w:spacing w:line="240" w:lineRule="auto"/>
      <w:rPr>
        <w:b w:val="0"/>
        <w:sz w:val="16"/>
      </w:rPr>
    </w:pPr>
  </w:p>
  <w:p w14:paraId="44D99865">
    <w:pPr>
      <w:pStyle w:val="15"/>
      <w:shd w:val="clear" w:color="auto" w:fill="auto"/>
      <w:tabs>
        <w:tab w:val="right" w:pos="10891"/>
      </w:tabs>
      <w:spacing w:line="240" w:lineRule="auto"/>
      <w:rPr>
        <w:b w:val="0"/>
        <w:sz w:val="16"/>
      </w:rPr>
    </w:pPr>
  </w:p>
  <w:p w14:paraId="3E9F254D">
    <w:pPr>
      <w:pStyle w:val="15"/>
      <w:shd w:val="clear" w:color="auto" w:fill="auto"/>
      <w:tabs>
        <w:tab w:val="right" w:pos="9015"/>
      </w:tabs>
      <w:spacing w:line="240" w:lineRule="auto"/>
      <w:rPr>
        <w:b w:val="0"/>
        <w:sz w:val="16"/>
      </w:rPr>
    </w:pPr>
    <w:r>
      <w:rPr>
        <w:b w:val="0"/>
        <w:sz w:val="16"/>
      </w:rPr>
      <w:t>https://www.fda.gov/MedicalDevices/DeviceRegulationandGuidance/GuidanceDocuments/ucm070634.htm</w:t>
    </w:r>
    <w:r>
      <w:rPr>
        <w:rFonts w:hint="eastAsia"/>
        <w:b w:val="0"/>
        <w:sz w:val="16"/>
      </w:rPr>
      <w:tab/>
    </w:r>
    <w:r>
      <w:rPr>
        <w:b w:val="0"/>
        <w:sz w:val="16"/>
      </w:rPr>
      <w:fldChar w:fldCharType="begin"/>
    </w:r>
    <w:r>
      <w:rPr>
        <w:b w:val="0"/>
        <w:sz w:val="16"/>
      </w:rPr>
      <w:instrText xml:space="preserve">PAGE  \* Arabic  \* MERGEFORMAT</w:instrText>
    </w:r>
    <w:r>
      <w:rPr>
        <w:b w:val="0"/>
        <w:sz w:val="16"/>
      </w:rPr>
      <w:fldChar w:fldCharType="separate"/>
    </w:r>
    <w:r>
      <w:rPr>
        <w:b w:val="0"/>
        <w:sz w:val="16"/>
      </w:rPr>
      <w:t>4</w:t>
    </w:r>
    <w:r>
      <w:rPr>
        <w:b w:val="0"/>
        <w:sz w:val="16"/>
      </w:rPr>
      <w:fldChar w:fldCharType="end"/>
    </w:r>
    <w:r>
      <w:rPr>
        <w:b w:val="0"/>
        <w:sz w:val="16"/>
      </w:rPr>
      <w:t xml:space="preserve">/ </w:t>
    </w:r>
    <w:r>
      <w:rPr>
        <w:b w:val="0"/>
        <w:sz w:val="16"/>
      </w:rPr>
      <w:fldChar w:fldCharType="begin"/>
    </w:r>
    <w:r>
      <w:rPr>
        <w:b w:val="0"/>
        <w:sz w:val="16"/>
      </w:rPr>
      <w:instrText xml:space="preserve">NUMPAGES  \* Arabic  \* MERGEFORMAT</w:instrText>
    </w:r>
    <w:r>
      <w:rPr>
        <w:b w:val="0"/>
        <w:sz w:val="16"/>
      </w:rPr>
      <w:fldChar w:fldCharType="separate"/>
    </w:r>
    <w:r>
      <w:rPr>
        <w:b w:val="0"/>
        <w:sz w:val="16"/>
      </w:rPr>
      <w:t>4</w:t>
    </w:r>
    <w:r>
      <w:rPr>
        <w:b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D0A2">
    <w:pPr>
      <w:pStyle w:val="3"/>
      <w:pBdr>
        <w:bottom w:val="none" w:color="auto" w:sz="0" w:space="0"/>
      </w:pBdr>
      <w:jc w:val="both"/>
      <w:rPr>
        <w:rFonts w:hint="eastAsia" w:ascii="Arial" w:hAnsi="Arial" w:cs="Arial"/>
        <w:snapToGrid w:val="0"/>
        <w:szCs w:val="19"/>
      </w:rPr>
    </w:pPr>
    <w:r>
      <w:rPr>
        <w:rFonts w:hint="eastAsia" w:ascii="Arial" w:hAnsi="Arial" w:cs="Arial"/>
        <w:snapToGrid w:val="0"/>
        <w:szCs w:val="19"/>
      </w:rPr>
      <w:t>2017/8/9 关于“包含现成（OTS）软件的网络化医疗器械的网络安全”FDA指南的医疗机构用信息</w:t>
    </w:r>
  </w:p>
  <w:p w14:paraId="227BB755">
    <w:pPr>
      <w:pStyle w:val="3"/>
      <w:pBdr>
        <w:bottom w:val="none" w:color="auto" w:sz="0" w:space="0"/>
      </w:pBdr>
      <w:jc w:val="both"/>
      <w:rPr>
        <w:rFonts w:hint="eastAsia"/>
      </w:rPr>
    </w:pPr>
  </w:p>
  <w:p w14:paraId="46CCD35C">
    <w:pPr>
      <w:pStyle w:val="3"/>
      <w:pBdr>
        <w:bottom w:val="none" w:color="auto" w:sz="0" w:space="0"/>
      </w:pBdr>
      <w:jc w:val="both"/>
      <w:rPr>
        <w:rFonts w:hint="eastAsia"/>
      </w:rPr>
    </w:pPr>
  </w:p>
  <w:p w14:paraId="40DFB7F3">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85C6D"/>
    <w:multiLevelType w:val="multilevel"/>
    <w:tmpl w:val="42A85C6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8277FA3"/>
    <w:multiLevelType w:val="multilevel"/>
    <w:tmpl w:val="68277FA3"/>
    <w:lvl w:ilvl="0" w:tentative="0">
      <w:start w:val="1"/>
      <w:numFmt w:val="bullet"/>
      <w:lvlText w:val="●"/>
      <w:lvlJc w:val="left"/>
      <w:rPr>
        <w:rFonts w:hint="default" w:ascii="Arial" w:hAnsi="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551CA1"/>
    <w:rsid w:val="00126F8B"/>
    <w:rsid w:val="001E572A"/>
    <w:rsid w:val="0041222F"/>
    <w:rsid w:val="0043712C"/>
    <w:rsid w:val="00551CA1"/>
    <w:rsid w:val="00552838"/>
    <w:rsid w:val="006140DE"/>
    <w:rsid w:val="00647CDB"/>
    <w:rsid w:val="006B1BA0"/>
    <w:rsid w:val="006D0728"/>
    <w:rsid w:val="00800427"/>
    <w:rsid w:val="008E1B08"/>
    <w:rsid w:val="00921B21"/>
    <w:rsid w:val="00A50904"/>
    <w:rsid w:val="00A74E29"/>
    <w:rsid w:val="00AA3568"/>
    <w:rsid w:val="00B136AA"/>
    <w:rsid w:val="00BB5DD8"/>
    <w:rsid w:val="00C75B96"/>
    <w:rsid w:val="00C932AF"/>
    <w:rsid w:val="00D07844"/>
    <w:rsid w:val="00DA02C0"/>
    <w:rsid w:val="00E73920"/>
    <w:rsid w:val="00E84D7F"/>
    <w:rsid w:val="452C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宋体"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宋体" w:cs="Microsoft JhengHei Light"/>
      <w:color w:val="000000"/>
      <w:sz w:val="24"/>
      <w:szCs w:val="24"/>
      <w:lang w:val="en-US" w:eastAsia="zh-CN" w:bidi="en-US"/>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0"/>
    <w:unhideWhenUsed/>
    <w:qFormat/>
    <w:uiPriority w:val="99"/>
    <w:pPr>
      <w:tabs>
        <w:tab w:val="center" w:pos="4153"/>
        <w:tab w:val="right" w:pos="8306"/>
      </w:tabs>
      <w:snapToGrid w:val="0"/>
    </w:pPr>
    <w:rPr>
      <w:sz w:val="18"/>
      <w:szCs w:val="18"/>
    </w:rPr>
  </w:style>
  <w:style w:type="paragraph" w:styleId="3">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66CC"/>
      <w:u w:val="single"/>
    </w:rPr>
  </w:style>
  <w:style w:type="character" w:customStyle="1" w:styleId="8">
    <w:name w:val="正文文本 (5) Exact"/>
    <w:basedOn w:val="6"/>
    <w:uiPriority w:val="0"/>
    <w:rPr>
      <w:rFonts w:ascii="Arial" w:hAnsi="Arial" w:eastAsia="宋体" w:cs="Arial"/>
      <w:b/>
      <w:bCs/>
      <w:sz w:val="22"/>
      <w:szCs w:val="22"/>
      <w:u w:val="none"/>
    </w:rPr>
  </w:style>
  <w:style w:type="character" w:customStyle="1" w:styleId="9">
    <w:name w:val="正文文本 (5) Exact1"/>
    <w:basedOn w:val="10"/>
    <w:uiPriority w:val="0"/>
    <w:rPr>
      <w:rFonts w:ascii="Arial" w:hAnsi="Arial" w:eastAsia="宋体" w:cs="Arial"/>
      <w:sz w:val="22"/>
      <w:szCs w:val="22"/>
      <w:u w:val="single"/>
    </w:rPr>
  </w:style>
  <w:style w:type="character" w:customStyle="1" w:styleId="10">
    <w:name w:val="正文文本 (5)_"/>
    <w:basedOn w:val="6"/>
    <w:link w:val="11"/>
    <w:uiPriority w:val="0"/>
    <w:rPr>
      <w:rFonts w:ascii="Arial" w:hAnsi="Arial" w:eastAsia="宋体" w:cs="Arial"/>
      <w:b/>
      <w:bCs/>
      <w:sz w:val="22"/>
      <w:szCs w:val="22"/>
      <w:u w:val="none"/>
    </w:rPr>
  </w:style>
  <w:style w:type="paragraph" w:customStyle="1" w:styleId="11">
    <w:name w:val="正文文本 (5)1"/>
    <w:basedOn w:val="1"/>
    <w:link w:val="10"/>
    <w:qFormat/>
    <w:uiPriority w:val="0"/>
    <w:pPr>
      <w:shd w:val="clear" w:color="auto" w:fill="FFFFFF"/>
      <w:spacing w:before="360" w:after="60" w:line="0" w:lineRule="atLeast"/>
    </w:pPr>
    <w:rPr>
      <w:rFonts w:ascii="Arial" w:hAnsi="Arial" w:cs="Arial"/>
      <w:b/>
      <w:bCs/>
      <w:sz w:val="22"/>
      <w:szCs w:val="22"/>
    </w:rPr>
  </w:style>
  <w:style w:type="character" w:customStyle="1" w:styleId="12">
    <w:name w:val="正文文本 (3)_"/>
    <w:basedOn w:val="6"/>
    <w:link w:val="13"/>
    <w:uiPriority w:val="0"/>
    <w:rPr>
      <w:rFonts w:ascii="Arial" w:hAnsi="Arial" w:eastAsia="宋体" w:cs="Arial"/>
      <w:b/>
      <w:bCs/>
      <w:spacing w:val="-10"/>
      <w:sz w:val="62"/>
      <w:szCs w:val="62"/>
      <w:u w:val="none"/>
    </w:rPr>
  </w:style>
  <w:style w:type="paragraph" w:customStyle="1" w:styleId="13">
    <w:name w:val="正文文本 (3)"/>
    <w:basedOn w:val="1"/>
    <w:link w:val="12"/>
    <w:uiPriority w:val="0"/>
    <w:pPr>
      <w:shd w:val="clear" w:color="auto" w:fill="FFFFFF"/>
      <w:spacing w:after="60" w:line="638" w:lineRule="exact"/>
    </w:pPr>
    <w:rPr>
      <w:rFonts w:ascii="Arial" w:hAnsi="Arial" w:cs="Arial"/>
      <w:b/>
      <w:bCs/>
      <w:spacing w:val="-10"/>
      <w:sz w:val="62"/>
      <w:szCs w:val="62"/>
    </w:rPr>
  </w:style>
  <w:style w:type="character" w:customStyle="1" w:styleId="14">
    <w:name w:val="页眉或页脚_"/>
    <w:basedOn w:val="6"/>
    <w:link w:val="15"/>
    <w:uiPriority w:val="0"/>
    <w:rPr>
      <w:rFonts w:ascii="Arial" w:hAnsi="Arial" w:eastAsia="宋体" w:cs="Arial"/>
      <w:b/>
      <w:bCs/>
      <w:sz w:val="13"/>
      <w:szCs w:val="13"/>
      <w:u w:val="none"/>
    </w:rPr>
  </w:style>
  <w:style w:type="paragraph" w:customStyle="1" w:styleId="15">
    <w:name w:val="页眉或页脚1"/>
    <w:basedOn w:val="1"/>
    <w:link w:val="14"/>
    <w:uiPriority w:val="0"/>
    <w:pPr>
      <w:shd w:val="clear" w:color="auto" w:fill="FFFFFF"/>
      <w:spacing w:line="0" w:lineRule="atLeast"/>
    </w:pPr>
    <w:rPr>
      <w:rFonts w:ascii="Arial" w:hAnsi="Arial" w:cs="Arial"/>
      <w:b/>
      <w:bCs/>
      <w:sz w:val="13"/>
      <w:szCs w:val="13"/>
    </w:rPr>
  </w:style>
  <w:style w:type="character" w:customStyle="1" w:styleId="16">
    <w:name w:val="页眉或页脚"/>
    <w:basedOn w:val="14"/>
    <w:uiPriority w:val="0"/>
    <w:rPr>
      <w:rFonts w:ascii="Arial" w:hAnsi="Arial" w:eastAsia="宋体" w:cs="Arial"/>
      <w:color w:val="000000"/>
      <w:spacing w:val="0"/>
      <w:w w:val="100"/>
      <w:position w:val="0"/>
      <w:sz w:val="13"/>
      <w:szCs w:val="13"/>
      <w:u w:val="none"/>
      <w:lang w:val="en-US" w:eastAsia="zh-CN" w:bidi="en-US"/>
    </w:rPr>
  </w:style>
  <w:style w:type="character" w:customStyle="1" w:styleId="17">
    <w:name w:val="正文文本 (2)_"/>
    <w:basedOn w:val="6"/>
    <w:link w:val="18"/>
    <w:uiPriority w:val="0"/>
    <w:rPr>
      <w:rFonts w:ascii="Arial" w:hAnsi="Arial" w:eastAsia="宋体" w:cs="Arial"/>
      <w:spacing w:val="0"/>
      <w:u w:val="none"/>
    </w:rPr>
  </w:style>
  <w:style w:type="paragraph" w:customStyle="1" w:styleId="18">
    <w:name w:val="正文文本 (2)"/>
    <w:basedOn w:val="1"/>
    <w:link w:val="17"/>
    <w:qFormat/>
    <w:uiPriority w:val="0"/>
    <w:pPr>
      <w:shd w:val="clear" w:color="auto" w:fill="FFFFFF"/>
      <w:spacing w:before="60" w:line="370" w:lineRule="exact"/>
      <w:ind w:hanging="360"/>
    </w:pPr>
    <w:rPr>
      <w:rFonts w:ascii="Arial" w:hAnsi="Arial" w:cs="Arial"/>
    </w:rPr>
  </w:style>
  <w:style w:type="character" w:customStyle="1" w:styleId="19">
    <w:name w:val="正文文本 (2) + 粗体"/>
    <w:basedOn w:val="17"/>
    <w:uiPriority w:val="0"/>
    <w:rPr>
      <w:rFonts w:ascii="Arial" w:hAnsi="Arial" w:eastAsia="宋体" w:cs="Arial"/>
      <w:b/>
      <w:bCs/>
      <w:color w:val="000000"/>
      <w:spacing w:val="0"/>
      <w:w w:val="100"/>
      <w:position w:val="0"/>
      <w:sz w:val="24"/>
      <w:szCs w:val="24"/>
      <w:u w:val="single"/>
      <w:lang w:val="en-US" w:eastAsia="zh-CN" w:bidi="en-US"/>
    </w:rPr>
  </w:style>
  <w:style w:type="character" w:customStyle="1" w:styleId="20">
    <w:name w:val="正文文本 (4)_"/>
    <w:basedOn w:val="6"/>
    <w:link w:val="21"/>
    <w:uiPriority w:val="0"/>
    <w:rPr>
      <w:rFonts w:ascii="Arial" w:hAnsi="Arial" w:eastAsia="宋体" w:cs="Arial"/>
      <w:b/>
      <w:bCs/>
      <w:u w:val="none"/>
    </w:rPr>
  </w:style>
  <w:style w:type="paragraph" w:customStyle="1" w:styleId="21">
    <w:name w:val="正文文本 (4)1"/>
    <w:basedOn w:val="1"/>
    <w:link w:val="20"/>
    <w:qFormat/>
    <w:uiPriority w:val="0"/>
    <w:pPr>
      <w:shd w:val="clear" w:color="auto" w:fill="FFFFFF"/>
      <w:spacing w:line="355" w:lineRule="exact"/>
      <w:ind w:hanging="360"/>
    </w:pPr>
    <w:rPr>
      <w:rFonts w:ascii="Arial" w:hAnsi="Arial" w:cs="Arial"/>
      <w:b/>
      <w:bCs/>
    </w:rPr>
  </w:style>
  <w:style w:type="character" w:customStyle="1" w:styleId="22">
    <w:name w:val="正文文本 (4)"/>
    <w:basedOn w:val="20"/>
    <w:uiPriority w:val="0"/>
    <w:rPr>
      <w:rFonts w:ascii="Arial" w:hAnsi="Arial" w:eastAsia="宋体" w:cs="Arial"/>
      <w:color w:val="000000"/>
      <w:spacing w:val="0"/>
      <w:w w:val="100"/>
      <w:position w:val="0"/>
      <w:sz w:val="24"/>
      <w:szCs w:val="24"/>
      <w:u w:val="single"/>
      <w:lang w:val="en-US" w:eastAsia="zh-CN" w:bidi="en-US"/>
    </w:rPr>
  </w:style>
  <w:style w:type="character" w:customStyle="1" w:styleId="23">
    <w:name w:val="正文文本 (4) + 非粗体"/>
    <w:basedOn w:val="20"/>
    <w:uiPriority w:val="0"/>
    <w:rPr>
      <w:rFonts w:ascii="Arial" w:hAnsi="Arial" w:eastAsia="宋体" w:cs="Arial"/>
      <w:color w:val="000000"/>
      <w:spacing w:val="0"/>
      <w:w w:val="100"/>
      <w:position w:val="0"/>
      <w:sz w:val="24"/>
      <w:szCs w:val="24"/>
      <w:u w:val="none"/>
      <w:lang w:val="en-US" w:eastAsia="zh-CN" w:bidi="en-US"/>
    </w:rPr>
  </w:style>
  <w:style w:type="character" w:customStyle="1" w:styleId="24">
    <w:name w:val="标题 #1_"/>
    <w:basedOn w:val="6"/>
    <w:link w:val="25"/>
    <w:uiPriority w:val="0"/>
    <w:rPr>
      <w:rFonts w:ascii="Arial" w:hAnsi="Arial" w:eastAsia="宋体" w:cs="Arial"/>
      <w:b/>
      <w:bCs/>
      <w:u w:val="none"/>
    </w:rPr>
  </w:style>
  <w:style w:type="paragraph" w:customStyle="1" w:styleId="25">
    <w:name w:val="标题 #11"/>
    <w:basedOn w:val="1"/>
    <w:link w:val="24"/>
    <w:uiPriority w:val="0"/>
    <w:pPr>
      <w:shd w:val="clear" w:color="auto" w:fill="FFFFFF"/>
      <w:spacing w:before="240" w:after="240" w:line="0" w:lineRule="atLeast"/>
      <w:ind w:hanging="360"/>
      <w:outlineLvl w:val="0"/>
    </w:pPr>
    <w:rPr>
      <w:rFonts w:ascii="Arial" w:hAnsi="Arial" w:cs="Arial"/>
      <w:b/>
      <w:bCs/>
    </w:rPr>
  </w:style>
  <w:style w:type="character" w:customStyle="1" w:styleId="26">
    <w:name w:val="正文文本 (2) + 粗体1"/>
    <w:basedOn w:val="17"/>
    <w:uiPriority w:val="0"/>
    <w:rPr>
      <w:rFonts w:ascii="Arial" w:hAnsi="Arial" w:eastAsia="宋体" w:cs="Arial"/>
      <w:b/>
      <w:bCs/>
      <w:color w:val="000000"/>
      <w:spacing w:val="0"/>
      <w:w w:val="100"/>
      <w:position w:val="0"/>
      <w:sz w:val="24"/>
      <w:szCs w:val="24"/>
      <w:u w:val="none"/>
      <w:lang w:val="en-US" w:eastAsia="zh-CN" w:bidi="en-US"/>
    </w:rPr>
  </w:style>
  <w:style w:type="character" w:customStyle="1" w:styleId="27">
    <w:name w:val="标题 #1"/>
    <w:basedOn w:val="24"/>
    <w:uiPriority w:val="0"/>
    <w:rPr>
      <w:rFonts w:ascii="Arial" w:hAnsi="Arial" w:eastAsia="宋体" w:cs="Arial"/>
      <w:color w:val="000000"/>
      <w:spacing w:val="0"/>
      <w:w w:val="100"/>
      <w:position w:val="0"/>
      <w:sz w:val="24"/>
      <w:szCs w:val="24"/>
      <w:u w:val="single"/>
      <w:lang w:val="en-US" w:eastAsia="zh-CN" w:bidi="en-US"/>
    </w:rPr>
  </w:style>
  <w:style w:type="character" w:customStyle="1" w:styleId="28">
    <w:name w:val="正文文本 (5)"/>
    <w:basedOn w:val="10"/>
    <w:uiPriority w:val="0"/>
    <w:rPr>
      <w:rFonts w:ascii="Arial" w:hAnsi="Arial" w:eastAsia="宋体" w:cs="Arial"/>
      <w:color w:val="000000"/>
      <w:spacing w:val="0"/>
      <w:w w:val="100"/>
      <w:position w:val="0"/>
      <w:sz w:val="22"/>
      <w:szCs w:val="22"/>
      <w:u w:val="single"/>
      <w:lang w:val="en-US" w:eastAsia="zh-CN" w:bidi="en-US"/>
    </w:rPr>
  </w:style>
  <w:style w:type="character" w:customStyle="1" w:styleId="29">
    <w:name w:val="页眉 Char"/>
    <w:basedOn w:val="6"/>
    <w:link w:val="3"/>
    <w:qFormat/>
    <w:uiPriority w:val="99"/>
    <w:rPr>
      <w:color w:val="000000"/>
      <w:sz w:val="18"/>
      <w:szCs w:val="18"/>
    </w:rPr>
  </w:style>
  <w:style w:type="character" w:customStyle="1" w:styleId="30">
    <w:name w:val="页脚 Char"/>
    <w:basedOn w:val="6"/>
    <w:link w:val="2"/>
    <w:qFormat/>
    <w:uiPriority w:val="99"/>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1605</Words>
  <Characters>3433</Characters>
  <Lines>26</Lines>
  <Paragraphs>7</Paragraphs>
  <TotalTime>30</TotalTime>
  <ScaleCrop>false</ScaleCrop>
  <LinksUpToDate>false</LinksUpToDate>
  <CharactersWithSpaces>3440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2017-11-27T01:05:00Z</dcterms:created>
  <cp:lastModifiedBy>太极箫客</cp:lastModifiedBy>
  <dcterms:modified xsi:type="dcterms:W3CDTF">2025-08-14T06:34:27Z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736159DC0D2045B2AF61541C8A9D0EB6_12</vt:lpwstr>
  </property>
</Properties>
</file>