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001E1">
      <w:pPr>
        <w:topLinePunct/>
        <w:adjustRightInd w:val="0"/>
        <w:snapToGrid w:val="0"/>
        <w:spacing w:after="234" w:afterLines="75" w:line="288" w:lineRule="auto"/>
        <w:rPr>
          <w:rFonts w:hint="eastAsia" w:ascii="Arial" w:hAnsi="Arial" w:eastAsia="宋体" w:cs="Arial"/>
          <w:snapToGrid w:val="0"/>
          <w:kern w:val="0"/>
          <w:sz w:val="24"/>
        </w:rPr>
      </w:pPr>
      <w:bookmarkStart w:id="1" w:name="_GoBack"/>
      <w:bookmarkEnd w:id="1"/>
    </w:p>
    <w:p w14:paraId="798BE19E">
      <w:pPr>
        <w:topLinePunct/>
        <w:adjustRightInd w:val="0"/>
        <w:snapToGrid w:val="0"/>
        <w:spacing w:after="234" w:afterLines="75" w:line="288" w:lineRule="auto"/>
        <w:rPr>
          <w:rFonts w:ascii="Arial" w:hAnsi="Arial" w:eastAsia="宋体" w:cs="Arial"/>
          <w:snapToGrid w:val="0"/>
          <w:kern w:val="0"/>
          <w:sz w:val="24"/>
        </w:rPr>
      </w:pPr>
    </w:p>
    <w:p w14:paraId="634A44B9">
      <w:pPr>
        <w:topLinePunct/>
        <w:adjustRightInd w:val="0"/>
        <w:snapToGrid w:val="0"/>
        <w:spacing w:after="234" w:afterLines="75" w:line="288" w:lineRule="auto"/>
        <w:rPr>
          <w:rFonts w:ascii="Arial" w:hAnsi="Arial" w:eastAsia="宋体" w:cs="Arial"/>
          <w:snapToGrid w:val="0"/>
          <w:kern w:val="0"/>
          <w:sz w:val="24"/>
        </w:rPr>
      </w:pPr>
    </w:p>
    <w:p w14:paraId="4E9CC919">
      <w:pPr>
        <w:topLinePunct/>
        <w:adjustRightInd w:val="0"/>
        <w:snapToGrid w:val="0"/>
        <w:spacing w:after="234" w:afterLines="75" w:line="288" w:lineRule="auto"/>
        <w:rPr>
          <w:rFonts w:ascii="Arial" w:hAnsi="Arial" w:eastAsia="宋体" w:cs="Arial"/>
          <w:snapToGrid w:val="0"/>
          <w:kern w:val="0"/>
          <w:sz w:val="24"/>
        </w:rPr>
      </w:pPr>
    </w:p>
    <w:p w14:paraId="1D0579C0">
      <w:pPr>
        <w:topLinePunct/>
        <w:adjustRightInd w:val="0"/>
        <w:snapToGrid w:val="0"/>
        <w:spacing w:after="234" w:afterLines="75" w:line="288" w:lineRule="auto"/>
        <w:rPr>
          <w:rFonts w:ascii="Arial" w:hAnsi="Arial" w:eastAsia="宋体" w:cs="Arial"/>
          <w:snapToGrid w:val="0"/>
          <w:kern w:val="0"/>
          <w:sz w:val="24"/>
        </w:rPr>
      </w:pPr>
    </w:p>
    <w:p w14:paraId="0A4A717F">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本指南完成于1997年2月27日FDA良好指南规范（GGP）实施前。其不会为任何人创造或赋予任何权利，也不对FDA或公众具有约束力。如果替代方法满足适用的法律、法规或其两者的要求，可以使用替代方法。本指南将在下个版本更新中纳入GGP的标准要素。</w:t>
      </w:r>
    </w:p>
    <w:p w14:paraId="65F73F7E">
      <w:pPr>
        <w:widowControl/>
        <w:jc w:val="left"/>
        <w:rPr>
          <w:rFonts w:ascii="Arial" w:hAnsi="Arial" w:eastAsia="宋体" w:cs="Arial"/>
          <w:snapToGrid w:val="0"/>
          <w:kern w:val="0"/>
          <w:sz w:val="24"/>
        </w:rPr>
      </w:pPr>
      <w:r>
        <w:rPr>
          <w:rFonts w:ascii="Arial" w:hAnsi="Arial" w:eastAsia="宋体" w:cs="Arial"/>
          <w:snapToGrid w:val="0"/>
          <w:kern w:val="0"/>
          <w:sz w:val="24"/>
        </w:rPr>
        <w:br w:type="page"/>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45"/>
        <w:gridCol w:w="2897"/>
      </w:tblGrid>
      <w:tr w14:paraId="3AF5B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345" w:type="dxa"/>
            <w:tcBorders>
              <w:bottom w:val="single" w:color="auto" w:sz="4" w:space="0"/>
            </w:tcBorders>
          </w:tcPr>
          <w:p w14:paraId="0AD15091">
            <w:pPr>
              <w:topLinePunct/>
              <w:adjustRightInd w:val="0"/>
              <w:snapToGrid w:val="0"/>
              <w:spacing w:after="156" w:afterLines="50" w:line="276" w:lineRule="auto"/>
              <w:rPr>
                <w:rFonts w:ascii="Arial" w:hAnsi="Arial" w:eastAsia="宋体" w:cs="Arial"/>
                <w:b/>
                <w:snapToGrid w:val="0"/>
                <w:kern w:val="0"/>
              </w:rPr>
            </w:pPr>
            <w:r>
              <w:rPr>
                <w:rFonts w:hint="eastAsia" w:ascii="Arial" w:hAnsi="Arial" w:eastAsia="宋体" w:cs="Arial"/>
                <w:b/>
                <w:kern w:val="0"/>
                <w:sz w:val="24"/>
              </w:rPr>
              <w:drawing>
                <wp:anchor distT="0" distB="0" distL="114300" distR="114300" simplePos="0" relativeHeight="251659264" behindDoc="1" locked="0" layoutInCell="0" allowOverlap="1">
                  <wp:simplePos x="0" y="0"/>
                  <wp:positionH relativeFrom="column">
                    <wp:posOffset>-809625</wp:posOffset>
                  </wp:positionH>
                  <wp:positionV relativeFrom="paragraph">
                    <wp:posOffset>-272415</wp:posOffset>
                  </wp:positionV>
                  <wp:extent cx="712470" cy="7702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12470" cy="770255"/>
                          </a:xfrm>
                          <a:prstGeom prst="rect">
                            <a:avLst/>
                          </a:prstGeom>
                          <a:noFill/>
                          <a:ln>
                            <a:noFill/>
                          </a:ln>
                        </pic:spPr>
                      </pic:pic>
                    </a:graphicData>
                  </a:graphic>
                </wp:anchor>
              </w:drawing>
            </w:r>
            <w:r>
              <w:rPr>
                <w:rFonts w:hint="eastAsia" w:ascii="Arial" w:hAnsi="Arial" w:eastAsia="宋体" w:cs="Arial"/>
                <w:b/>
                <w:snapToGrid w:val="0"/>
                <w:kern w:val="0"/>
              </w:rPr>
              <w:t>卫生和人类服务署</w:t>
            </w:r>
          </w:p>
        </w:tc>
        <w:tc>
          <w:tcPr>
            <w:tcW w:w="2897" w:type="dxa"/>
            <w:tcBorders>
              <w:bottom w:val="single" w:color="auto" w:sz="4" w:space="0"/>
            </w:tcBorders>
          </w:tcPr>
          <w:p w14:paraId="3EAAEF96">
            <w:pPr>
              <w:topLinePunct/>
              <w:adjustRightInd w:val="0"/>
              <w:snapToGrid w:val="0"/>
              <w:spacing w:after="156" w:afterLines="50" w:line="276" w:lineRule="auto"/>
              <w:rPr>
                <w:rFonts w:ascii="Arial" w:hAnsi="Arial" w:eastAsia="宋体" w:cs="Arial"/>
                <w:snapToGrid w:val="0"/>
                <w:kern w:val="0"/>
                <w:sz w:val="18"/>
              </w:rPr>
            </w:pPr>
            <w:r>
              <w:rPr>
                <w:rFonts w:hint="eastAsia" w:ascii="Arial" w:hAnsi="Arial" w:eastAsia="宋体" w:cs="Arial"/>
                <w:snapToGrid w:val="0"/>
                <w:kern w:val="0"/>
                <w:sz w:val="18"/>
              </w:rPr>
              <w:t>公共卫生服务部</w:t>
            </w:r>
          </w:p>
        </w:tc>
      </w:tr>
      <w:tr w14:paraId="105B6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345" w:type="dxa"/>
            <w:tcBorders>
              <w:top w:val="single" w:color="auto" w:sz="4" w:space="0"/>
            </w:tcBorders>
          </w:tcPr>
          <w:p w14:paraId="37BC7AB6">
            <w:pPr>
              <w:topLinePunct/>
              <w:adjustRightInd w:val="0"/>
              <w:snapToGrid w:val="0"/>
              <w:spacing w:after="156" w:afterLines="50" w:line="276" w:lineRule="auto"/>
              <w:jc w:val="center"/>
              <w:rPr>
                <w:rFonts w:ascii="Arial" w:hAnsi="Arial" w:eastAsia="宋体" w:cs="Arial"/>
                <w:b/>
                <w:snapToGrid w:val="0"/>
                <w:kern w:val="0"/>
              </w:rPr>
            </w:pPr>
          </w:p>
        </w:tc>
        <w:tc>
          <w:tcPr>
            <w:tcW w:w="2897" w:type="dxa"/>
            <w:tcBorders>
              <w:top w:val="single" w:color="auto" w:sz="4" w:space="0"/>
            </w:tcBorders>
          </w:tcPr>
          <w:p w14:paraId="08245263">
            <w:pPr>
              <w:topLinePunct/>
              <w:adjustRightInd w:val="0"/>
              <w:snapToGrid w:val="0"/>
              <w:spacing w:line="276" w:lineRule="auto"/>
              <w:rPr>
                <w:rFonts w:ascii="Arial" w:hAnsi="Arial" w:eastAsia="宋体" w:cs="Arial"/>
                <w:snapToGrid w:val="0"/>
                <w:kern w:val="0"/>
                <w:sz w:val="18"/>
              </w:rPr>
            </w:pPr>
            <w:r>
              <w:rPr>
                <w:rFonts w:hint="eastAsia" w:ascii="Arial" w:hAnsi="Arial" w:eastAsia="宋体" w:cs="Arial"/>
                <w:snapToGrid w:val="0"/>
                <w:kern w:val="0"/>
                <w:sz w:val="18"/>
              </w:rPr>
              <w:t>食品药品监督管理局</w:t>
            </w:r>
          </w:p>
          <w:p w14:paraId="6571FF2F">
            <w:pPr>
              <w:topLinePunct/>
              <w:adjustRightInd w:val="0"/>
              <w:snapToGrid w:val="0"/>
              <w:spacing w:after="156" w:afterLines="50" w:line="276" w:lineRule="auto"/>
              <w:rPr>
                <w:rFonts w:ascii="Arial" w:hAnsi="Arial" w:eastAsia="宋体" w:cs="Arial"/>
                <w:snapToGrid w:val="0"/>
                <w:kern w:val="0"/>
                <w:sz w:val="18"/>
              </w:rPr>
            </w:pPr>
            <w:r>
              <w:rPr>
                <w:rFonts w:ascii="Arial" w:hAnsi="Arial" w:eastAsia="宋体" w:cs="Arial"/>
                <w:snapToGrid w:val="0"/>
                <w:kern w:val="0"/>
                <w:sz w:val="18"/>
              </w:rPr>
              <w:t>Rockville MD 20857</w:t>
            </w:r>
          </w:p>
        </w:tc>
      </w:tr>
    </w:tbl>
    <w:p w14:paraId="1C933977">
      <w:pPr>
        <w:topLinePunct/>
        <w:adjustRightInd w:val="0"/>
        <w:snapToGrid w:val="0"/>
        <w:spacing w:after="234" w:afterLines="75" w:line="288" w:lineRule="auto"/>
        <w:jc w:val="center"/>
        <w:rPr>
          <w:rFonts w:ascii="Arial" w:hAnsi="Arial" w:eastAsia="宋体" w:cs="Arial"/>
          <w:b/>
          <w:snapToGrid w:val="0"/>
          <w:kern w:val="0"/>
          <w:sz w:val="24"/>
        </w:rPr>
      </w:pPr>
    </w:p>
    <w:p w14:paraId="3A7A3846">
      <w:pPr>
        <w:topLinePunct/>
        <w:adjustRightInd w:val="0"/>
        <w:snapToGrid w:val="0"/>
        <w:spacing w:after="234" w:afterLines="75" w:line="288" w:lineRule="auto"/>
        <w:jc w:val="center"/>
        <w:rPr>
          <w:rFonts w:ascii="Arial" w:hAnsi="Arial" w:eastAsia="宋体" w:cs="Arial"/>
          <w:b/>
          <w:snapToGrid w:val="0"/>
          <w:kern w:val="0"/>
          <w:sz w:val="28"/>
        </w:rPr>
      </w:pPr>
      <w:r>
        <w:rPr>
          <w:rFonts w:hint="eastAsia" w:ascii="Arial" w:hAnsi="Arial" w:eastAsia="宋体" w:cs="Arial"/>
          <w:b/>
          <w:snapToGrid w:val="0"/>
          <w:kern w:val="0"/>
          <w:sz w:val="28"/>
        </w:rPr>
        <w:t>关于</w:t>
      </w:r>
      <w:bookmarkStart w:id="0" w:name="OLE_LINK11"/>
      <w:r>
        <w:rPr>
          <w:rFonts w:hint="eastAsia" w:ascii="Arial" w:hAnsi="Arial" w:eastAsia="宋体" w:cs="Arial"/>
          <w:b/>
          <w:snapToGrid w:val="0"/>
          <w:kern w:val="0"/>
          <w:sz w:val="28"/>
        </w:rPr>
        <w:t>Rophae</w:t>
      </w:r>
      <w:bookmarkEnd w:id="0"/>
      <w:r>
        <w:rPr>
          <w:rFonts w:hint="eastAsia" w:ascii="Arial" w:hAnsi="Arial" w:eastAsia="宋体" w:cs="Arial"/>
          <w:b/>
          <w:snapToGrid w:val="0"/>
          <w:kern w:val="0"/>
          <w:sz w:val="28"/>
        </w:rPr>
        <w:t>人工晶体的重要信息</w:t>
      </w:r>
    </w:p>
    <w:p w14:paraId="28E5536C">
      <w:pPr>
        <w:topLinePunct/>
        <w:adjustRightInd w:val="0"/>
        <w:snapToGrid w:val="0"/>
        <w:spacing w:after="234" w:afterLines="75" w:line="288" w:lineRule="auto"/>
        <w:jc w:val="right"/>
        <w:rPr>
          <w:rFonts w:ascii="Arial" w:hAnsi="Arial" w:eastAsia="宋体" w:cs="Arial"/>
          <w:snapToGrid w:val="0"/>
          <w:kern w:val="0"/>
          <w:sz w:val="24"/>
        </w:rPr>
      </w:pPr>
      <w:r>
        <w:rPr>
          <w:rFonts w:hint="eastAsia" w:ascii="Arial" w:hAnsi="Arial" w:eastAsia="宋体" w:cs="Arial"/>
          <w:snapToGrid w:val="0"/>
          <w:kern w:val="0"/>
          <w:sz w:val="24"/>
        </w:rPr>
        <w:t>1992年8月20日</w:t>
      </w:r>
    </w:p>
    <w:p w14:paraId="33F0315B">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尊敬的眼科医生：</w:t>
      </w:r>
    </w:p>
    <w:p w14:paraId="43DE393E">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本文件旨在向您警告与Rophae人工晶体（IOL）相关的一个严重问题，该人工晶体于1986-</w:t>
      </w:r>
      <w:r>
        <w:rPr>
          <w:rFonts w:ascii="Arial" w:hAnsi="Arial" w:eastAsia="宋体" w:cs="Arial"/>
          <w:snapToGrid w:val="0"/>
          <w:kern w:val="0"/>
          <w:sz w:val="24"/>
        </w:rPr>
        <w:t>1987</w:t>
      </w:r>
      <w:r>
        <w:rPr>
          <w:rFonts w:hint="eastAsia" w:ascii="Arial" w:hAnsi="Arial" w:eastAsia="宋体" w:cs="Arial"/>
          <w:snapToGrid w:val="0"/>
          <w:kern w:val="0"/>
          <w:sz w:val="24"/>
        </w:rPr>
        <w:t>年间的调查性研究中植入。这类IOL的质量很差，患者的视力可能严重受损。在美国植入的Rophae</w:t>
      </w:r>
      <w:r>
        <w:rPr>
          <w:rFonts w:ascii="Arial" w:hAnsi="Arial" w:eastAsia="宋体" w:cs="Arial"/>
          <w:snapToGrid w:val="0"/>
          <w:kern w:val="0"/>
          <w:sz w:val="24"/>
        </w:rPr>
        <w:t xml:space="preserve"> </w:t>
      </w:r>
      <w:r>
        <w:rPr>
          <w:rFonts w:hint="eastAsia" w:ascii="Arial" w:hAnsi="Arial" w:eastAsia="宋体" w:cs="Arial"/>
          <w:snapToGrid w:val="0"/>
          <w:kern w:val="0"/>
          <w:sz w:val="24"/>
        </w:rPr>
        <w:t>IOL中，有超过95%的植入均完成于St.</w:t>
      </w:r>
      <w:r>
        <w:rPr>
          <w:rFonts w:ascii="Arial" w:hAnsi="Arial" w:eastAsia="宋体" w:cs="Arial"/>
          <w:snapToGrid w:val="0"/>
          <w:kern w:val="0"/>
          <w:sz w:val="24"/>
        </w:rPr>
        <w:t xml:space="preserve"> </w:t>
      </w:r>
      <w:r>
        <w:rPr>
          <w:rFonts w:hint="eastAsia" w:ascii="Arial" w:hAnsi="Arial" w:eastAsia="宋体" w:cs="Arial"/>
          <w:snapToGrid w:val="0"/>
          <w:kern w:val="0"/>
          <w:sz w:val="24"/>
        </w:rPr>
        <w:t>Luke</w:t>
      </w:r>
      <w:r>
        <w:rPr>
          <w:rFonts w:ascii="Arial" w:hAnsi="Arial" w:eastAsia="宋体" w:cs="Arial"/>
          <w:snapToGrid w:val="0"/>
          <w:kern w:val="0"/>
          <w:sz w:val="24"/>
        </w:rPr>
        <w:t>’</w:t>
      </w:r>
      <w:r>
        <w:rPr>
          <w:rFonts w:hint="eastAsia" w:ascii="Arial" w:hAnsi="Arial" w:eastAsia="宋体" w:cs="Arial"/>
          <w:snapToGrid w:val="0"/>
          <w:kern w:val="0"/>
          <w:sz w:val="24"/>
        </w:rPr>
        <w:t>s白内障和人工晶体研究所（Tarpon</w:t>
      </w:r>
      <w:r>
        <w:rPr>
          <w:rFonts w:ascii="Arial" w:hAnsi="Arial" w:eastAsia="宋体" w:cs="Arial"/>
          <w:snapToGrid w:val="0"/>
          <w:kern w:val="0"/>
          <w:sz w:val="24"/>
        </w:rPr>
        <w:t xml:space="preserve"> </w:t>
      </w:r>
      <w:r>
        <w:rPr>
          <w:rFonts w:hint="eastAsia" w:ascii="Arial" w:hAnsi="Arial" w:eastAsia="宋体" w:cs="Arial"/>
          <w:snapToGrid w:val="0"/>
          <w:kern w:val="0"/>
          <w:sz w:val="24"/>
        </w:rPr>
        <w:t>Springs，Florida）。</w:t>
      </w:r>
    </w:p>
    <w:p w14:paraId="1389C52F">
      <w:pPr>
        <w:topLinePunct/>
        <w:adjustRightInd w:val="0"/>
        <w:snapToGrid w:val="0"/>
        <w:spacing w:after="234" w:afterLines="75" w:line="288" w:lineRule="auto"/>
        <w:rPr>
          <w:rFonts w:ascii="Arial" w:hAnsi="Arial" w:eastAsia="宋体" w:cs="Arial"/>
          <w:snapToGrid w:val="0"/>
          <w:kern w:val="0"/>
          <w:sz w:val="24"/>
          <w:u w:val="single"/>
        </w:rPr>
      </w:pPr>
      <w:r>
        <w:rPr>
          <w:rFonts w:hint="eastAsia" w:ascii="Arial" w:hAnsi="Arial" w:eastAsia="宋体" w:cs="Arial"/>
          <w:snapToGrid w:val="0"/>
          <w:kern w:val="0"/>
          <w:sz w:val="24"/>
          <w:u w:val="single"/>
        </w:rPr>
        <w:t>背景</w:t>
      </w:r>
    </w:p>
    <w:p w14:paraId="468EFE27">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1987年8月10日，FDA撤销了Rophae晶体公司销售IOL的研究性器械豁免（IDE）申请批准。在1986-</w:t>
      </w:r>
      <w:r>
        <w:rPr>
          <w:rFonts w:ascii="Arial" w:hAnsi="Arial" w:eastAsia="宋体" w:cs="Arial"/>
          <w:snapToGrid w:val="0"/>
          <w:kern w:val="0"/>
          <w:sz w:val="24"/>
        </w:rPr>
        <w:t>1987</w:t>
      </w:r>
      <w:r>
        <w:rPr>
          <w:rFonts w:hint="eastAsia" w:ascii="Arial" w:hAnsi="Arial" w:eastAsia="宋体" w:cs="Arial"/>
          <w:snapToGrid w:val="0"/>
          <w:kern w:val="0"/>
          <w:sz w:val="24"/>
        </w:rPr>
        <w:t>年间，该IDE项目在美国境内约有3000例</w:t>
      </w:r>
      <w:r>
        <w:rPr>
          <w:rFonts w:ascii="Arial" w:hAnsi="Arial" w:eastAsia="宋体" w:cs="Arial"/>
          <w:snapToGrid w:val="0"/>
          <w:kern w:val="0"/>
          <w:sz w:val="24"/>
        </w:rPr>
        <w:t xml:space="preserve">Rophae </w:t>
      </w:r>
      <w:r>
        <w:rPr>
          <w:rFonts w:hint="eastAsia" w:ascii="Arial" w:hAnsi="Arial" w:eastAsia="宋体" w:cs="Arial"/>
          <w:snapToGrid w:val="0"/>
          <w:kern w:val="0"/>
          <w:sz w:val="24"/>
        </w:rPr>
        <w:t>IOL植入，自1985年以来美国境外的植入数量未知。所有的Rophae</w:t>
      </w:r>
      <w:r>
        <w:rPr>
          <w:rFonts w:ascii="Arial" w:hAnsi="Arial" w:eastAsia="宋体" w:cs="Arial"/>
          <w:snapToGrid w:val="0"/>
          <w:kern w:val="0"/>
          <w:sz w:val="24"/>
        </w:rPr>
        <w:t xml:space="preserve"> </w:t>
      </w:r>
      <w:r>
        <w:rPr>
          <w:rFonts w:hint="eastAsia" w:ascii="Arial" w:hAnsi="Arial" w:eastAsia="宋体" w:cs="Arial"/>
          <w:snapToGrid w:val="0"/>
          <w:kern w:val="0"/>
          <w:sz w:val="24"/>
        </w:rPr>
        <w:t>IOL均使用单件式设计，美国境内植入的Rophae</w:t>
      </w:r>
      <w:r>
        <w:rPr>
          <w:rFonts w:ascii="Arial" w:hAnsi="Arial" w:eastAsia="宋体" w:cs="Arial"/>
          <w:snapToGrid w:val="0"/>
          <w:kern w:val="0"/>
          <w:sz w:val="24"/>
        </w:rPr>
        <w:t xml:space="preserve"> </w:t>
      </w:r>
      <w:r>
        <w:rPr>
          <w:rFonts w:hint="eastAsia" w:ascii="Arial" w:hAnsi="Arial" w:eastAsia="宋体" w:cs="Arial"/>
          <w:snapToGrid w:val="0"/>
          <w:kern w:val="0"/>
          <w:sz w:val="24"/>
        </w:rPr>
        <w:t>IOL有超过97%的均为眼后房植入模式。附件为美国境内植入的5种Rophae模式的图例。</w:t>
      </w:r>
    </w:p>
    <w:p w14:paraId="394E2C62">
      <w:pPr>
        <w:topLinePunct/>
        <w:adjustRightInd w:val="0"/>
        <w:snapToGrid w:val="0"/>
        <w:spacing w:after="234" w:afterLines="75" w:line="288" w:lineRule="auto"/>
        <w:rPr>
          <w:rFonts w:ascii="Arial" w:hAnsi="Arial" w:eastAsia="宋体" w:cs="Arial"/>
          <w:snapToGrid w:val="0"/>
          <w:kern w:val="0"/>
          <w:sz w:val="24"/>
          <w:u w:val="single"/>
        </w:rPr>
      </w:pPr>
      <w:r>
        <w:rPr>
          <w:rFonts w:hint="eastAsia" w:ascii="Arial" w:hAnsi="Arial" w:eastAsia="宋体" w:cs="Arial"/>
          <w:snapToGrid w:val="0"/>
          <w:kern w:val="0"/>
          <w:sz w:val="24"/>
          <w:u w:val="single"/>
        </w:rPr>
        <w:t>视觉问题</w:t>
      </w:r>
    </w:p>
    <w:p w14:paraId="72D2D345">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由于患者投诉视力质量差，超过60例Rophae</w:t>
      </w:r>
      <w:r>
        <w:rPr>
          <w:rFonts w:ascii="Arial" w:hAnsi="Arial" w:eastAsia="宋体" w:cs="Arial"/>
          <w:snapToGrid w:val="0"/>
          <w:kern w:val="0"/>
          <w:sz w:val="24"/>
        </w:rPr>
        <w:t xml:space="preserve"> </w:t>
      </w:r>
      <w:r>
        <w:rPr>
          <w:rFonts w:hint="eastAsia" w:ascii="Arial" w:hAnsi="Arial" w:eastAsia="宋体" w:cs="Arial"/>
          <w:snapToGrid w:val="0"/>
          <w:kern w:val="0"/>
          <w:sz w:val="24"/>
        </w:rPr>
        <w:t>IOL被取出。根据1991年FDA指定的方法，FDA对43例取出的Rophae</w:t>
      </w:r>
      <w:r>
        <w:rPr>
          <w:rFonts w:ascii="Arial" w:hAnsi="Arial" w:eastAsia="宋体" w:cs="Arial"/>
          <w:snapToGrid w:val="0"/>
          <w:kern w:val="0"/>
          <w:sz w:val="24"/>
        </w:rPr>
        <w:t xml:space="preserve"> </w:t>
      </w:r>
      <w:r>
        <w:rPr>
          <w:rFonts w:hint="eastAsia" w:ascii="Arial" w:hAnsi="Arial" w:eastAsia="宋体" w:cs="Arial"/>
          <w:snapToGrid w:val="0"/>
          <w:kern w:val="0"/>
          <w:sz w:val="24"/>
        </w:rPr>
        <w:t>IOL进行了光学检测。检测结果表明，IOL中大多数（约70%）质量极差。FDA针对Rophae</w:t>
      </w:r>
      <w:r>
        <w:rPr>
          <w:rFonts w:ascii="Arial" w:hAnsi="Arial" w:eastAsia="宋体" w:cs="Arial"/>
          <w:snapToGrid w:val="0"/>
          <w:kern w:val="0"/>
          <w:sz w:val="24"/>
        </w:rPr>
        <w:t xml:space="preserve"> </w:t>
      </w:r>
      <w:r>
        <w:rPr>
          <w:rFonts w:hint="eastAsia" w:ascii="Arial" w:hAnsi="Arial" w:eastAsia="宋体" w:cs="Arial"/>
          <w:snapToGrid w:val="0"/>
          <w:kern w:val="0"/>
          <w:sz w:val="24"/>
        </w:rPr>
        <w:t>IOL的检测证明其会限制视力，可能导致图像形变、模糊和重影。</w:t>
      </w:r>
    </w:p>
    <w:p w14:paraId="372815DC">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u w:val="single"/>
        </w:rPr>
        <w:t>因此，使用Rophae</w:t>
      </w:r>
      <w:r>
        <w:rPr>
          <w:rFonts w:ascii="Arial" w:hAnsi="Arial" w:eastAsia="宋体" w:cs="Arial"/>
          <w:snapToGrid w:val="0"/>
          <w:kern w:val="0"/>
          <w:sz w:val="24"/>
          <w:u w:val="single"/>
        </w:rPr>
        <w:t xml:space="preserve"> </w:t>
      </w:r>
      <w:r>
        <w:rPr>
          <w:rFonts w:hint="eastAsia" w:ascii="Arial" w:hAnsi="Arial" w:eastAsia="宋体" w:cs="Arial"/>
          <w:snapToGrid w:val="0"/>
          <w:kern w:val="0"/>
          <w:sz w:val="24"/>
          <w:u w:val="single"/>
        </w:rPr>
        <w:t>IOL对患者进行评估的医生应当意识到视力下降或视觉障碍可能与植入物的质量直接相关。</w:t>
      </w:r>
      <w:r>
        <w:rPr>
          <w:rFonts w:hint="eastAsia" w:ascii="Arial" w:hAnsi="Arial" w:eastAsia="宋体" w:cs="Arial"/>
          <w:snapToGrid w:val="0"/>
          <w:kern w:val="0"/>
          <w:sz w:val="24"/>
        </w:rPr>
        <w:t>应当提醒患者，Rophae</w:t>
      </w:r>
      <w:r>
        <w:rPr>
          <w:rFonts w:ascii="Arial" w:hAnsi="Arial" w:eastAsia="宋体" w:cs="Arial"/>
          <w:snapToGrid w:val="0"/>
          <w:kern w:val="0"/>
          <w:sz w:val="24"/>
        </w:rPr>
        <w:t xml:space="preserve"> </w:t>
      </w:r>
      <w:r>
        <w:rPr>
          <w:rFonts w:hint="eastAsia" w:ascii="Arial" w:hAnsi="Arial" w:eastAsia="宋体" w:cs="Arial"/>
          <w:snapToGrid w:val="0"/>
          <w:kern w:val="0"/>
          <w:sz w:val="24"/>
        </w:rPr>
        <w:t>IOL产生的低质量、低亮度图像可能会严重影响低亮度水平下的任务，或需要较高视敏度或良好的深度知觉的任务。这些任务包括夜间或恶劣天气下开车，或在扬尘或夜晚环境下穿过马路等。</w:t>
      </w:r>
    </w:p>
    <w:p w14:paraId="022AE908">
      <w:pPr>
        <w:topLinePunct/>
        <w:adjustRightInd w:val="0"/>
        <w:snapToGrid w:val="0"/>
        <w:spacing w:after="234" w:afterLines="75" w:line="288" w:lineRule="auto"/>
        <w:rPr>
          <w:rFonts w:ascii="Arial" w:hAnsi="Arial" w:eastAsia="宋体" w:cs="Arial"/>
          <w:snapToGrid w:val="0"/>
          <w:kern w:val="0"/>
          <w:sz w:val="24"/>
          <w:u w:val="single"/>
        </w:rPr>
      </w:pPr>
      <w:r>
        <w:rPr>
          <w:rFonts w:hint="eastAsia" w:ascii="Arial" w:hAnsi="Arial" w:eastAsia="宋体" w:cs="Arial"/>
          <w:snapToGrid w:val="0"/>
          <w:kern w:val="0"/>
          <w:sz w:val="24"/>
          <w:u w:val="single"/>
        </w:rPr>
        <w:t>诊断性评估</w:t>
      </w:r>
    </w:p>
    <w:p w14:paraId="79D56F52">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对可能使用Rophae</w:t>
      </w:r>
      <w:r>
        <w:rPr>
          <w:rFonts w:ascii="Arial" w:hAnsi="Arial" w:eastAsia="宋体" w:cs="Arial"/>
          <w:snapToGrid w:val="0"/>
          <w:kern w:val="0"/>
          <w:sz w:val="24"/>
        </w:rPr>
        <w:t xml:space="preserve"> </w:t>
      </w:r>
      <w:r>
        <w:rPr>
          <w:rFonts w:hint="eastAsia" w:ascii="Arial" w:hAnsi="Arial" w:eastAsia="宋体" w:cs="Arial"/>
          <w:snapToGrid w:val="0"/>
          <w:kern w:val="0"/>
          <w:sz w:val="24"/>
        </w:rPr>
        <w:t>IOL的患者眼底进行</w:t>
      </w:r>
      <w:r>
        <w:rPr>
          <w:rFonts w:hint="eastAsia" w:ascii="Arial" w:hAnsi="Arial" w:eastAsia="宋体" w:cs="Arial"/>
          <w:snapToGrid w:val="0"/>
          <w:kern w:val="0"/>
          <w:sz w:val="24"/>
          <w:u w:val="single"/>
        </w:rPr>
        <w:t>直接</w:t>
      </w:r>
      <w:r>
        <w:rPr>
          <w:rFonts w:hint="eastAsia" w:ascii="Arial" w:hAnsi="Arial" w:eastAsia="宋体" w:cs="Arial"/>
          <w:snapToGrid w:val="0"/>
          <w:kern w:val="0"/>
          <w:sz w:val="24"/>
        </w:rPr>
        <w:t>的眼底检查可以对植入物的质量提供重要的诊断性信息。如果裂隙灯检查未发现其他介质性问题，则眼底图像质量差可能表示植入的IOL质量很差。</w:t>
      </w:r>
    </w:p>
    <w:p w14:paraId="5AC74373">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在评估植入Rophae</w:t>
      </w:r>
      <w:r>
        <w:rPr>
          <w:rFonts w:ascii="Arial" w:hAnsi="Arial" w:eastAsia="宋体" w:cs="Arial"/>
          <w:snapToGrid w:val="0"/>
          <w:kern w:val="0"/>
          <w:sz w:val="24"/>
        </w:rPr>
        <w:t xml:space="preserve"> </w:t>
      </w:r>
      <w:r>
        <w:rPr>
          <w:rFonts w:hint="eastAsia" w:ascii="Arial" w:hAnsi="Arial" w:eastAsia="宋体" w:cs="Arial"/>
          <w:snapToGrid w:val="0"/>
          <w:kern w:val="0"/>
          <w:sz w:val="24"/>
        </w:rPr>
        <w:t>IOL的患者时，医生不应只依赖于Snellen视敏度测试。Snellen测试对于确定与患者植入的IOL质量相关的视觉变化方面敏感性不高。在Snellen测试的高空间频率和亮度情况下，人类视觉系统有很强的恢复能力，植入的IOL质量低可能只会小幅度降低Snellen视敏度。</w:t>
      </w:r>
    </w:p>
    <w:p w14:paraId="7826649F">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患者诉视觉形变或模糊、重影，或其他与视觉质量相关的主诉应作为植入的Rophae晶体存在缺陷的主要指标。对于无其他影响视力的器质性病变的患者，对比度敏感性测试可以提供视力受损的证据。但FDA没有可用的接受Rophae晶体植入患者的对比敏感度数据用于比较。</w:t>
      </w:r>
    </w:p>
    <w:p w14:paraId="2F4D8F53">
      <w:pPr>
        <w:topLinePunct/>
        <w:adjustRightInd w:val="0"/>
        <w:snapToGrid w:val="0"/>
        <w:spacing w:after="234" w:afterLines="75" w:line="288" w:lineRule="auto"/>
        <w:rPr>
          <w:rFonts w:ascii="Arial" w:hAnsi="Arial" w:eastAsia="宋体" w:cs="Arial"/>
          <w:snapToGrid w:val="0"/>
          <w:kern w:val="0"/>
          <w:sz w:val="24"/>
          <w:u w:val="single"/>
        </w:rPr>
      </w:pPr>
      <w:r>
        <w:rPr>
          <w:rFonts w:hint="eastAsia" w:ascii="Arial" w:hAnsi="Arial" w:eastAsia="宋体" w:cs="Arial"/>
          <w:snapToGrid w:val="0"/>
          <w:kern w:val="0"/>
          <w:sz w:val="24"/>
          <w:u w:val="single"/>
        </w:rPr>
        <w:t>患者管理</w:t>
      </w:r>
    </w:p>
    <w:p w14:paraId="6B596858">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由于Rophae</w:t>
      </w:r>
      <w:r>
        <w:rPr>
          <w:rFonts w:ascii="Arial" w:hAnsi="Arial" w:eastAsia="宋体" w:cs="Arial"/>
          <w:snapToGrid w:val="0"/>
          <w:kern w:val="0"/>
          <w:sz w:val="24"/>
        </w:rPr>
        <w:t xml:space="preserve"> </w:t>
      </w:r>
      <w:r>
        <w:rPr>
          <w:rFonts w:hint="eastAsia" w:ascii="Arial" w:hAnsi="Arial" w:eastAsia="宋体" w:cs="Arial"/>
          <w:snapToGrid w:val="0"/>
          <w:kern w:val="0"/>
          <w:sz w:val="24"/>
        </w:rPr>
        <w:t>IOL引起视力水平或功能出现临床显著降低的患者可能会要求进行更换。在确定是否需要取出IOL时，医生应当考虑下列因素：</w:t>
      </w:r>
    </w:p>
    <w:p w14:paraId="181FCEB6">
      <w:pPr>
        <w:pStyle w:val="13"/>
        <w:numPr>
          <w:ilvl w:val="0"/>
          <w:numId w:val="1"/>
        </w:numPr>
        <w:topLinePunct/>
        <w:adjustRightInd w:val="0"/>
        <w:snapToGrid w:val="0"/>
        <w:spacing w:after="234" w:afterLines="75" w:line="288" w:lineRule="auto"/>
        <w:ind w:firstLineChars="0"/>
        <w:rPr>
          <w:rFonts w:ascii="Arial" w:hAnsi="Arial" w:eastAsia="宋体" w:cs="Arial"/>
          <w:snapToGrid w:val="0"/>
          <w:kern w:val="0"/>
          <w:sz w:val="24"/>
        </w:rPr>
      </w:pPr>
      <w:r>
        <w:rPr>
          <w:rFonts w:hint="eastAsia" w:ascii="Arial" w:hAnsi="Arial" w:eastAsia="宋体" w:cs="Arial"/>
          <w:snapToGrid w:val="0"/>
          <w:kern w:val="0"/>
          <w:sz w:val="24"/>
        </w:rPr>
        <w:t>患者的生活方式，以及是否需要在低亮度环境下完成任务（尤其是夜间驾驶）；</w:t>
      </w:r>
    </w:p>
    <w:p w14:paraId="39EB0D0C">
      <w:pPr>
        <w:pStyle w:val="13"/>
        <w:numPr>
          <w:ilvl w:val="0"/>
          <w:numId w:val="1"/>
        </w:numPr>
        <w:topLinePunct/>
        <w:adjustRightInd w:val="0"/>
        <w:snapToGrid w:val="0"/>
        <w:spacing w:after="234" w:afterLines="75" w:line="288" w:lineRule="auto"/>
        <w:ind w:firstLineChars="0"/>
        <w:rPr>
          <w:rFonts w:ascii="Arial" w:hAnsi="Arial" w:eastAsia="宋体" w:cs="Arial"/>
          <w:snapToGrid w:val="0"/>
          <w:kern w:val="0"/>
          <w:sz w:val="24"/>
        </w:rPr>
      </w:pPr>
      <w:r>
        <w:rPr>
          <w:rFonts w:hint="eastAsia" w:ascii="Arial" w:hAnsi="Arial" w:eastAsia="宋体" w:cs="Arial"/>
          <w:snapToGrid w:val="0"/>
          <w:kern w:val="0"/>
          <w:sz w:val="24"/>
        </w:rPr>
        <w:t>患者对立体觉的需要（因植入低质量IOL眼部的潜在视觉抑制而出现的因素）；和</w:t>
      </w:r>
    </w:p>
    <w:p w14:paraId="37E213BB">
      <w:pPr>
        <w:pStyle w:val="13"/>
        <w:numPr>
          <w:ilvl w:val="0"/>
          <w:numId w:val="1"/>
        </w:numPr>
        <w:topLinePunct/>
        <w:adjustRightInd w:val="0"/>
        <w:snapToGrid w:val="0"/>
        <w:spacing w:after="234" w:afterLines="75" w:line="288" w:lineRule="auto"/>
        <w:ind w:firstLineChars="0"/>
        <w:rPr>
          <w:rFonts w:ascii="Arial" w:hAnsi="Arial" w:eastAsia="宋体" w:cs="Arial"/>
          <w:snapToGrid w:val="0"/>
          <w:kern w:val="0"/>
          <w:sz w:val="24"/>
        </w:rPr>
      </w:pPr>
      <w:r>
        <w:rPr>
          <w:rFonts w:hint="eastAsia" w:ascii="Arial" w:hAnsi="Arial" w:eastAsia="宋体" w:cs="Arial"/>
          <w:snapToGrid w:val="0"/>
          <w:kern w:val="0"/>
          <w:sz w:val="24"/>
        </w:rPr>
        <w:t>对于该特定患者，与取出相关的风险／收益比。</w:t>
      </w:r>
    </w:p>
    <w:p w14:paraId="7E94B837">
      <w:pPr>
        <w:topLinePunct/>
        <w:adjustRightInd w:val="0"/>
        <w:snapToGrid w:val="0"/>
        <w:spacing w:after="234" w:afterLines="75" w:line="288" w:lineRule="auto"/>
        <w:rPr>
          <w:rFonts w:ascii="Arial" w:hAnsi="Arial" w:eastAsia="宋体" w:cs="Arial"/>
          <w:snapToGrid w:val="0"/>
          <w:kern w:val="0"/>
          <w:sz w:val="24"/>
          <w:u w:val="single"/>
        </w:rPr>
      </w:pPr>
      <w:r>
        <w:rPr>
          <w:rFonts w:hint="eastAsia" w:ascii="Arial" w:hAnsi="Arial" w:eastAsia="宋体" w:cs="Arial"/>
          <w:snapToGrid w:val="0"/>
          <w:kern w:val="0"/>
          <w:sz w:val="24"/>
          <w:u w:val="single"/>
        </w:rPr>
        <w:t>其他信息</w:t>
      </w:r>
    </w:p>
    <w:p w14:paraId="28D2C40A">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FDA最近的检测已经证实，除了Rophae</w:t>
      </w:r>
      <w:r>
        <w:rPr>
          <w:rFonts w:ascii="Arial" w:hAnsi="Arial" w:eastAsia="宋体" w:cs="Arial"/>
          <w:snapToGrid w:val="0"/>
          <w:kern w:val="0"/>
          <w:sz w:val="24"/>
        </w:rPr>
        <w:t xml:space="preserve"> </w:t>
      </w:r>
      <w:r>
        <w:rPr>
          <w:rFonts w:hint="eastAsia" w:ascii="Arial" w:hAnsi="Arial" w:eastAsia="宋体" w:cs="Arial"/>
          <w:snapToGrid w:val="0"/>
          <w:kern w:val="0"/>
          <w:sz w:val="24"/>
        </w:rPr>
        <w:t>IOL，在美国境内销售的大多数IOL质量很高。现有的数据未表明其他公司存在类似问题。FDA批准的供IOL制造商遵守质量控制流程可以有效保护公众免受低质量IOL的危害。</w:t>
      </w:r>
    </w:p>
    <w:p w14:paraId="78D8FD7E">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任何问题请联系：</w:t>
      </w:r>
    </w:p>
    <w:p w14:paraId="458133E5">
      <w:pPr>
        <w:topLinePunct/>
        <w:adjustRightInd w:val="0"/>
        <w:snapToGrid w:val="0"/>
        <w:spacing w:line="288" w:lineRule="auto"/>
        <w:ind w:left="840" w:leftChars="400"/>
        <w:rPr>
          <w:rFonts w:ascii="Arial" w:hAnsi="Arial" w:eastAsia="宋体" w:cs="Arial"/>
          <w:snapToGrid w:val="0"/>
          <w:kern w:val="0"/>
          <w:sz w:val="24"/>
        </w:rPr>
      </w:pPr>
      <w:r>
        <w:rPr>
          <w:rFonts w:hint="eastAsia" w:ascii="Arial" w:hAnsi="Arial" w:eastAsia="宋体" w:cs="Arial"/>
          <w:snapToGrid w:val="0"/>
          <w:kern w:val="0"/>
          <w:sz w:val="24"/>
        </w:rPr>
        <w:t>眼科器械分部（HFZ-460）</w:t>
      </w:r>
    </w:p>
    <w:p w14:paraId="06580D04">
      <w:pPr>
        <w:topLinePunct/>
        <w:adjustRightInd w:val="0"/>
        <w:snapToGrid w:val="0"/>
        <w:spacing w:line="288" w:lineRule="auto"/>
        <w:ind w:left="840" w:leftChars="400"/>
        <w:rPr>
          <w:rFonts w:ascii="Arial" w:hAnsi="Arial" w:eastAsia="宋体" w:cs="Arial"/>
          <w:snapToGrid w:val="0"/>
          <w:kern w:val="0"/>
          <w:sz w:val="24"/>
        </w:rPr>
      </w:pPr>
      <w:r>
        <w:rPr>
          <w:rFonts w:hint="eastAsia" w:ascii="Arial" w:hAnsi="Arial" w:eastAsia="宋体" w:cs="Arial"/>
          <w:snapToGrid w:val="0"/>
          <w:kern w:val="0"/>
          <w:sz w:val="24"/>
        </w:rPr>
        <w:t>器械和放射卫生中心</w:t>
      </w:r>
    </w:p>
    <w:p w14:paraId="2652A4C3">
      <w:pPr>
        <w:topLinePunct/>
        <w:adjustRightInd w:val="0"/>
        <w:snapToGrid w:val="0"/>
        <w:spacing w:line="288" w:lineRule="auto"/>
        <w:ind w:left="840" w:leftChars="400"/>
        <w:rPr>
          <w:rFonts w:ascii="Arial" w:hAnsi="Arial" w:eastAsia="宋体" w:cs="Arial"/>
          <w:snapToGrid w:val="0"/>
          <w:kern w:val="0"/>
          <w:sz w:val="24"/>
        </w:rPr>
      </w:pPr>
      <w:r>
        <w:rPr>
          <w:rFonts w:hint="eastAsia" w:ascii="Arial" w:hAnsi="Arial" w:eastAsia="宋体" w:cs="Arial"/>
          <w:snapToGrid w:val="0"/>
          <w:kern w:val="0"/>
          <w:sz w:val="24"/>
        </w:rPr>
        <w:t>食品药品监督管理局</w:t>
      </w:r>
    </w:p>
    <w:p w14:paraId="6B2E6F0C">
      <w:pPr>
        <w:topLinePunct/>
        <w:adjustRightInd w:val="0"/>
        <w:snapToGrid w:val="0"/>
        <w:spacing w:line="288" w:lineRule="auto"/>
        <w:ind w:left="840" w:leftChars="400"/>
        <w:rPr>
          <w:rFonts w:ascii="Arial" w:hAnsi="Arial" w:eastAsia="宋体" w:cs="Arial"/>
          <w:snapToGrid w:val="0"/>
          <w:kern w:val="0"/>
          <w:sz w:val="24"/>
        </w:rPr>
      </w:pPr>
      <w:r>
        <w:rPr>
          <w:rFonts w:hint="eastAsia" w:ascii="Arial" w:hAnsi="Arial" w:eastAsia="宋体" w:cs="Arial"/>
          <w:snapToGrid w:val="0"/>
          <w:kern w:val="0"/>
          <w:sz w:val="24"/>
        </w:rPr>
        <w:t>1390 Piccard</w:t>
      </w:r>
      <w:r>
        <w:rPr>
          <w:rFonts w:ascii="Arial" w:hAnsi="Arial" w:eastAsia="宋体" w:cs="Arial"/>
          <w:snapToGrid w:val="0"/>
          <w:kern w:val="0"/>
          <w:sz w:val="24"/>
        </w:rPr>
        <w:t xml:space="preserve"> </w:t>
      </w:r>
      <w:r>
        <w:rPr>
          <w:rFonts w:hint="eastAsia" w:ascii="Arial" w:hAnsi="Arial" w:eastAsia="宋体" w:cs="Arial"/>
          <w:snapToGrid w:val="0"/>
          <w:kern w:val="0"/>
          <w:sz w:val="24"/>
        </w:rPr>
        <w:t>Drive</w:t>
      </w:r>
    </w:p>
    <w:p w14:paraId="4AAF63E0">
      <w:pPr>
        <w:topLinePunct/>
        <w:adjustRightInd w:val="0"/>
        <w:snapToGrid w:val="0"/>
        <w:spacing w:line="288" w:lineRule="auto"/>
        <w:ind w:left="840" w:leftChars="400"/>
        <w:rPr>
          <w:rFonts w:ascii="Arial" w:hAnsi="Arial" w:eastAsia="宋体" w:cs="Arial"/>
          <w:snapToGrid w:val="0"/>
          <w:kern w:val="0"/>
          <w:sz w:val="24"/>
        </w:rPr>
      </w:pPr>
      <w:r>
        <w:rPr>
          <w:rFonts w:hint="eastAsia" w:ascii="Arial" w:hAnsi="Arial" w:eastAsia="宋体" w:cs="Arial"/>
          <w:snapToGrid w:val="0"/>
          <w:kern w:val="0"/>
          <w:sz w:val="24"/>
        </w:rPr>
        <w:t>Rockville，MD</w:t>
      </w:r>
      <w:r>
        <w:rPr>
          <w:rFonts w:ascii="Arial" w:hAnsi="Arial" w:eastAsia="宋体" w:cs="Arial"/>
          <w:snapToGrid w:val="0"/>
          <w:kern w:val="0"/>
          <w:sz w:val="24"/>
        </w:rPr>
        <w:t xml:space="preserve"> 20850</w:t>
      </w:r>
    </w:p>
    <w:p w14:paraId="128F2311">
      <w:pPr>
        <w:topLinePunct/>
        <w:adjustRightInd w:val="0"/>
        <w:snapToGrid w:val="0"/>
        <w:spacing w:line="288" w:lineRule="auto"/>
        <w:ind w:left="4677" w:leftChars="2227"/>
        <w:rPr>
          <w:rFonts w:ascii="Arial" w:hAnsi="Arial" w:eastAsia="宋体" w:cs="Arial"/>
          <w:snapToGrid w:val="0"/>
          <w:kern w:val="0"/>
          <w:sz w:val="24"/>
        </w:rPr>
      </w:pPr>
      <w:r>
        <w:rPr>
          <w:rFonts w:ascii="Arial" w:hAnsi="Arial" w:eastAsia="宋体" w:cs="Arial"/>
          <w:kern w:val="0"/>
          <w:sz w:val="24"/>
        </w:rPr>
        <w:drawing>
          <wp:anchor distT="0" distB="0" distL="114300" distR="114300" simplePos="0" relativeHeight="251660288" behindDoc="1" locked="0" layoutInCell="0" allowOverlap="1">
            <wp:simplePos x="0" y="0"/>
            <wp:positionH relativeFrom="column">
              <wp:posOffset>2400300</wp:posOffset>
            </wp:positionH>
            <wp:positionV relativeFrom="paragraph">
              <wp:posOffset>187325</wp:posOffset>
            </wp:positionV>
            <wp:extent cx="2494280" cy="1065530"/>
            <wp:effectExtent l="0" t="0" r="1270" b="127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494280" cy="1065530"/>
                    </a:xfrm>
                    <a:prstGeom prst="rect">
                      <a:avLst/>
                    </a:prstGeom>
                    <a:noFill/>
                    <a:ln>
                      <a:noFill/>
                    </a:ln>
                  </pic:spPr>
                </pic:pic>
              </a:graphicData>
            </a:graphic>
          </wp:anchor>
        </w:drawing>
      </w:r>
      <w:r>
        <w:rPr>
          <w:rFonts w:hint="eastAsia" w:ascii="Arial" w:hAnsi="Arial" w:eastAsia="宋体" w:cs="Arial"/>
          <w:snapToGrid w:val="0"/>
          <w:kern w:val="0"/>
          <w:sz w:val="24"/>
        </w:rPr>
        <w:t>顺祝商祺，</w:t>
      </w:r>
    </w:p>
    <w:p w14:paraId="6C0F4F9B">
      <w:pPr>
        <w:topLinePunct/>
        <w:adjustRightInd w:val="0"/>
        <w:snapToGrid w:val="0"/>
        <w:spacing w:line="288" w:lineRule="auto"/>
        <w:ind w:left="4677" w:leftChars="2227"/>
        <w:rPr>
          <w:rFonts w:ascii="Arial" w:hAnsi="Arial" w:eastAsia="宋体" w:cs="Arial"/>
          <w:snapToGrid w:val="0"/>
          <w:kern w:val="0"/>
          <w:sz w:val="24"/>
        </w:rPr>
      </w:pPr>
    </w:p>
    <w:p w14:paraId="3759FAC7">
      <w:pPr>
        <w:topLinePunct/>
        <w:adjustRightInd w:val="0"/>
        <w:snapToGrid w:val="0"/>
        <w:spacing w:line="288" w:lineRule="auto"/>
        <w:ind w:left="4677" w:leftChars="2227"/>
        <w:rPr>
          <w:rFonts w:ascii="Arial" w:hAnsi="Arial" w:eastAsia="宋体" w:cs="Arial"/>
          <w:snapToGrid w:val="0"/>
          <w:kern w:val="0"/>
          <w:sz w:val="24"/>
        </w:rPr>
      </w:pPr>
    </w:p>
    <w:p w14:paraId="670E36A9">
      <w:pPr>
        <w:topLinePunct/>
        <w:adjustRightInd w:val="0"/>
        <w:snapToGrid w:val="0"/>
        <w:spacing w:line="288" w:lineRule="auto"/>
        <w:ind w:left="4677" w:leftChars="2227"/>
        <w:rPr>
          <w:rFonts w:ascii="Arial" w:hAnsi="Arial" w:eastAsia="宋体" w:cs="Arial"/>
          <w:snapToGrid w:val="0"/>
          <w:kern w:val="0"/>
          <w:sz w:val="24"/>
        </w:rPr>
      </w:pPr>
      <w:r>
        <w:rPr>
          <w:rFonts w:hint="eastAsia" w:ascii="Arial" w:hAnsi="Arial" w:eastAsia="宋体" w:cs="Arial"/>
          <w:snapToGrid w:val="0"/>
          <w:kern w:val="0"/>
          <w:sz w:val="24"/>
        </w:rPr>
        <w:t>James</w:t>
      </w:r>
      <w:r>
        <w:rPr>
          <w:rFonts w:ascii="Arial" w:hAnsi="Arial" w:eastAsia="宋体" w:cs="Arial"/>
          <w:snapToGrid w:val="0"/>
          <w:kern w:val="0"/>
          <w:sz w:val="24"/>
        </w:rPr>
        <w:t xml:space="preserve"> </w:t>
      </w:r>
      <w:r>
        <w:rPr>
          <w:rFonts w:hint="eastAsia" w:ascii="Arial" w:hAnsi="Arial" w:eastAsia="宋体" w:cs="Arial"/>
          <w:snapToGrid w:val="0"/>
          <w:kern w:val="0"/>
          <w:sz w:val="24"/>
        </w:rPr>
        <w:t>S</w:t>
      </w:r>
      <w:r>
        <w:rPr>
          <w:rFonts w:ascii="Arial" w:hAnsi="Arial" w:eastAsia="宋体" w:cs="Arial"/>
          <w:snapToGrid w:val="0"/>
          <w:kern w:val="0"/>
          <w:sz w:val="24"/>
        </w:rPr>
        <w:t>. Benson</w:t>
      </w:r>
    </w:p>
    <w:p w14:paraId="4A51524E">
      <w:pPr>
        <w:topLinePunct/>
        <w:adjustRightInd w:val="0"/>
        <w:snapToGrid w:val="0"/>
        <w:spacing w:line="288" w:lineRule="auto"/>
        <w:ind w:left="4677" w:leftChars="2227"/>
        <w:rPr>
          <w:rFonts w:ascii="Arial" w:hAnsi="Arial" w:eastAsia="宋体" w:cs="Arial"/>
          <w:snapToGrid w:val="0"/>
          <w:kern w:val="0"/>
          <w:sz w:val="24"/>
        </w:rPr>
      </w:pPr>
      <w:r>
        <w:rPr>
          <w:rFonts w:hint="eastAsia" w:ascii="Arial" w:hAnsi="Arial" w:eastAsia="宋体" w:cs="Arial"/>
          <w:snapToGrid w:val="0"/>
          <w:kern w:val="0"/>
          <w:sz w:val="24"/>
        </w:rPr>
        <w:t>主任</w:t>
      </w:r>
    </w:p>
    <w:p w14:paraId="29C03CED">
      <w:pPr>
        <w:topLinePunct/>
        <w:adjustRightInd w:val="0"/>
        <w:snapToGrid w:val="0"/>
        <w:spacing w:line="288" w:lineRule="auto"/>
        <w:ind w:left="4677" w:leftChars="2227"/>
        <w:rPr>
          <w:rFonts w:ascii="Arial" w:hAnsi="Arial" w:eastAsia="宋体" w:cs="Arial"/>
          <w:snapToGrid w:val="0"/>
          <w:kern w:val="0"/>
          <w:sz w:val="24"/>
        </w:rPr>
      </w:pPr>
      <w:r>
        <w:rPr>
          <w:rFonts w:hint="eastAsia" w:ascii="Arial" w:hAnsi="Arial" w:eastAsia="宋体" w:cs="Arial"/>
          <w:snapToGrid w:val="0"/>
          <w:kern w:val="0"/>
          <w:sz w:val="24"/>
        </w:rPr>
        <w:t>器械和放射卫生中心</w:t>
      </w:r>
    </w:p>
    <w:p w14:paraId="5483B7D7">
      <w:pPr>
        <w:topLinePunct/>
        <w:adjustRightInd w:val="0"/>
        <w:snapToGrid w:val="0"/>
        <w:spacing w:line="288" w:lineRule="auto"/>
        <w:rPr>
          <w:rFonts w:ascii="Arial" w:hAnsi="Arial" w:eastAsia="宋体" w:cs="Arial"/>
          <w:snapToGrid w:val="0"/>
          <w:kern w:val="0"/>
          <w:highlight w:val="red"/>
        </w:rPr>
      </w:pPr>
    </w:p>
    <w:p w14:paraId="7E46C79D">
      <w:pPr>
        <w:topLinePunct/>
        <w:adjustRightInd w:val="0"/>
        <w:snapToGrid w:val="0"/>
        <w:spacing w:line="288" w:lineRule="auto"/>
        <w:rPr>
          <w:rFonts w:ascii="Arial" w:hAnsi="Arial" w:eastAsia="宋体" w:cs="Arial"/>
          <w:snapToGrid w:val="0"/>
          <w:kern w:val="0"/>
          <w:highlight w:val="red"/>
        </w:rPr>
      </w:pPr>
    </w:p>
    <w:p w14:paraId="34FFB14E">
      <w:pPr>
        <w:topLinePunct/>
        <w:adjustRightInd w:val="0"/>
        <w:snapToGrid w:val="0"/>
        <w:spacing w:line="288" w:lineRule="auto"/>
        <w:rPr>
          <w:rFonts w:ascii="Arial" w:hAnsi="Arial" w:eastAsia="宋体" w:cs="Arial"/>
          <w:snapToGrid w:val="0"/>
          <w:kern w:val="0"/>
        </w:rPr>
      </w:pPr>
      <w:r>
        <w:rPr>
          <w:rFonts w:hint="eastAsia" w:ascii="Arial" w:hAnsi="Arial" w:eastAsia="宋体" w:cs="Arial"/>
          <w:snapToGrid w:val="0"/>
          <w:kern w:val="0"/>
        </w:rPr>
        <w:t>附录</w:t>
      </w:r>
    </w:p>
    <w:p w14:paraId="2C9996C9">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br w:type="page"/>
      </w:r>
    </w:p>
    <w:p w14:paraId="2A0B6EC8">
      <w:pPr>
        <w:topLinePunct/>
        <w:adjustRightInd w:val="0"/>
        <w:snapToGrid w:val="0"/>
        <w:spacing w:after="234" w:afterLines="75" w:line="288" w:lineRule="auto"/>
        <w:jc w:val="center"/>
        <w:rPr>
          <w:rFonts w:ascii="Arial" w:hAnsi="Arial" w:eastAsia="宋体" w:cs="Arial"/>
          <w:b/>
          <w:snapToGrid w:val="0"/>
          <w:kern w:val="0"/>
          <w:sz w:val="28"/>
        </w:rPr>
      </w:pPr>
      <w:r>
        <w:rPr>
          <w:rFonts w:hint="eastAsia" w:ascii="Arial" w:hAnsi="Arial" w:eastAsia="宋体" w:cs="Arial"/>
          <w:b/>
          <w:snapToGrid w:val="0"/>
          <w:kern w:val="0"/>
          <w:sz w:val="28"/>
        </w:rPr>
        <w:t>附录</w:t>
      </w:r>
    </w:p>
    <w:p w14:paraId="6B3A19C3">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下列图像为美国境内植入的Rophae模式。其中型号RLC</w:t>
      </w:r>
      <w:r>
        <w:rPr>
          <w:rFonts w:ascii="Arial" w:hAnsi="Arial" w:eastAsia="宋体" w:cs="Arial"/>
          <w:snapToGrid w:val="0"/>
          <w:kern w:val="0"/>
          <w:sz w:val="24"/>
        </w:rPr>
        <w:t>001</w:t>
      </w:r>
      <w:r>
        <w:rPr>
          <w:rFonts w:hint="eastAsia" w:ascii="Arial" w:hAnsi="Arial" w:eastAsia="宋体" w:cs="Arial"/>
          <w:snapToGrid w:val="0"/>
          <w:kern w:val="0"/>
          <w:sz w:val="24"/>
        </w:rPr>
        <w:t>模式为前房设计，型号RLF</w:t>
      </w:r>
      <w:r>
        <w:rPr>
          <w:rFonts w:ascii="Arial" w:hAnsi="Arial" w:eastAsia="宋体" w:cs="Arial"/>
          <w:snapToGrid w:val="0"/>
          <w:kern w:val="0"/>
          <w:sz w:val="24"/>
        </w:rPr>
        <w:t>004</w:t>
      </w:r>
      <w:r>
        <w:rPr>
          <w:rFonts w:hint="eastAsia" w:ascii="Arial" w:hAnsi="Arial" w:eastAsia="宋体" w:cs="Arial"/>
          <w:snapToGrid w:val="0"/>
          <w:kern w:val="0"/>
          <w:sz w:val="24"/>
        </w:rPr>
        <w:t>模式可以植入前房或后房，除此之外所有的模式均为后房设计。列出的数据单位为毫米。</w:t>
      </w:r>
    </w:p>
    <w:p w14:paraId="020E5FC7">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mc:AlternateContent>
          <mc:Choice Requires="wps">
            <w:drawing>
              <wp:anchor distT="0" distB="0" distL="114300" distR="114300" simplePos="0" relativeHeight="251666432" behindDoc="0" locked="0" layoutInCell="0" allowOverlap="1">
                <wp:simplePos x="0" y="0"/>
                <wp:positionH relativeFrom="column">
                  <wp:posOffset>3743325</wp:posOffset>
                </wp:positionH>
                <wp:positionV relativeFrom="paragraph">
                  <wp:posOffset>4615180</wp:posOffset>
                </wp:positionV>
                <wp:extent cx="1228725" cy="1403985"/>
                <wp:effectExtent l="0" t="0" r="9525"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28725" cy="1403985"/>
                        </a:xfrm>
                        <a:prstGeom prst="rect">
                          <a:avLst/>
                        </a:prstGeom>
                        <a:solidFill>
                          <a:srgbClr val="FFFFFF"/>
                        </a:solidFill>
                        <a:ln w="9525">
                          <a:noFill/>
                          <a:miter lim="800000"/>
                        </a:ln>
                      </wps:spPr>
                      <wps:txbx>
                        <w:txbxContent>
                          <w:p w14:paraId="27721E7D">
                            <w:pPr>
                              <w:snapToGrid w:val="0"/>
                              <w:spacing w:line="300" w:lineRule="auto"/>
                              <w:jc w:val="center"/>
                              <w:rPr>
                                <w:sz w:val="20"/>
                              </w:rPr>
                            </w:pPr>
                            <w:r>
                              <w:rPr>
                                <w:rFonts w:hint="eastAsia" w:ascii="Arial" w:hAnsi="Arial" w:eastAsia="宋体" w:cs="Arial"/>
                                <w:snapToGrid w:val="0"/>
                                <w:kern w:val="0"/>
                                <w:sz w:val="18"/>
                              </w:rPr>
                              <w:t>型号</w:t>
                            </w:r>
                            <w:r>
                              <w:rPr>
                                <w:rFonts w:ascii="Arial" w:hAnsi="Arial" w:eastAsia="宋体" w:cs="Arial"/>
                                <w:snapToGrid w:val="0"/>
                                <w:kern w:val="0"/>
                                <w:sz w:val="18"/>
                              </w:rPr>
                              <w:t>RLC7</w:t>
                            </w:r>
                          </w:p>
                        </w:txbxContent>
                      </wps:txbx>
                      <wps:bodyPr rot="0" vert="horz" wrap="square" lIns="0" tIns="0" rIns="0" bIns="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94.75pt;margin-top:363.4pt;height:110.55pt;width:96.75pt;z-index:251666432;mso-width-relative:page;mso-height-relative:margin;mso-height-percent:200;" fillcolor="#FFFFFF" filled="t" stroked="f" coordsize="21600,21600" o:allowincell="f" o:gfxdata="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QGswX2gAAAAsBAAAPAAAAAAAAAAEAIAAAACIAAABkcnMvZG93bnJldi54bWxQ&#10;SwECFAAUAAAACACHTuJAJq+Xzi4CAABDBAAADgAAAAAAAAABACAAAAApAQAAZHJzL2Uyb0RvYy54&#10;bWxQSwUGAAAAAAYABgBZAQAAyQUAAAAA&#10;">
                <v:fill on="t" focussize="0,0"/>
                <v:stroke on="f" miterlimit="8" joinstyle="miter"/>
                <v:imagedata o:title=""/>
                <o:lock v:ext="edit" aspectratio="f"/>
                <v:textbox inset="0mm,0mm,0mm,0mm" style="mso-fit-shape-to-text:t;">
                  <w:txbxContent>
                    <w:p w14:paraId="27721E7D">
                      <w:pPr>
                        <w:snapToGrid w:val="0"/>
                        <w:spacing w:line="300" w:lineRule="auto"/>
                        <w:jc w:val="center"/>
                        <w:rPr>
                          <w:sz w:val="20"/>
                        </w:rPr>
                      </w:pPr>
                      <w:r>
                        <w:rPr>
                          <w:rFonts w:hint="eastAsia" w:ascii="Arial" w:hAnsi="Arial" w:eastAsia="宋体" w:cs="Arial"/>
                          <w:snapToGrid w:val="0"/>
                          <w:kern w:val="0"/>
                          <w:sz w:val="18"/>
                        </w:rPr>
                        <w:t>型号</w:t>
                      </w:r>
                      <w:r>
                        <w:rPr>
                          <w:rFonts w:ascii="Arial" w:hAnsi="Arial" w:eastAsia="宋体" w:cs="Arial"/>
                          <w:snapToGrid w:val="0"/>
                          <w:kern w:val="0"/>
                          <w:sz w:val="18"/>
                        </w:rPr>
                        <w:t>RLC7</w:t>
                      </w:r>
                    </w:p>
                  </w:txbxContent>
                </v:textbox>
              </v:shape>
            </w:pict>
          </mc:Fallback>
        </mc:AlternateContent>
      </w:r>
      <w:r>
        <w:rPr>
          <w:rFonts w:ascii="Arial" w:hAnsi="Arial" w:eastAsia="宋体" w:cs="Arial"/>
          <w:snapToGrid w:val="0"/>
          <w:kern w:val="0"/>
          <w:sz w:val="24"/>
        </w:rPr>
        <mc:AlternateContent>
          <mc:Choice Requires="wps">
            <w:drawing>
              <wp:anchor distT="0" distB="0" distL="114300" distR="114300" simplePos="0" relativeHeight="251665408" behindDoc="0" locked="0" layoutInCell="0" allowOverlap="1">
                <wp:simplePos x="0" y="0"/>
                <wp:positionH relativeFrom="column">
                  <wp:posOffset>428625</wp:posOffset>
                </wp:positionH>
                <wp:positionV relativeFrom="paragraph">
                  <wp:posOffset>4653280</wp:posOffset>
                </wp:positionV>
                <wp:extent cx="1228725" cy="1403985"/>
                <wp:effectExtent l="0" t="0" r="9525"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28725" cy="1403985"/>
                        </a:xfrm>
                        <a:prstGeom prst="rect">
                          <a:avLst/>
                        </a:prstGeom>
                        <a:solidFill>
                          <a:srgbClr val="FFFFFF"/>
                        </a:solidFill>
                        <a:ln w="9525">
                          <a:noFill/>
                          <a:miter lim="800000"/>
                        </a:ln>
                      </wps:spPr>
                      <wps:txbx>
                        <w:txbxContent>
                          <w:p w14:paraId="0975297D">
                            <w:pPr>
                              <w:snapToGrid w:val="0"/>
                              <w:spacing w:line="300" w:lineRule="auto"/>
                              <w:jc w:val="center"/>
                              <w:rPr>
                                <w:sz w:val="20"/>
                              </w:rPr>
                            </w:pPr>
                            <w:r>
                              <w:rPr>
                                <w:rFonts w:hint="eastAsia" w:ascii="Arial" w:hAnsi="Arial" w:eastAsia="宋体" w:cs="Arial"/>
                                <w:snapToGrid w:val="0"/>
                                <w:kern w:val="0"/>
                                <w:sz w:val="18"/>
                              </w:rPr>
                              <w:t>型号</w:t>
                            </w:r>
                            <w:r>
                              <w:rPr>
                                <w:rFonts w:ascii="Arial" w:hAnsi="Arial" w:eastAsia="宋体" w:cs="Arial"/>
                                <w:snapToGrid w:val="0"/>
                                <w:kern w:val="0"/>
                                <w:sz w:val="18"/>
                              </w:rPr>
                              <w:t>RLC001</w:t>
                            </w:r>
                          </w:p>
                        </w:txbxContent>
                      </wps:txbx>
                      <wps:bodyPr rot="0" vert="horz" wrap="square" lIns="0" tIns="0" rIns="0" bIns="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3.75pt;margin-top:366.4pt;height:110.55pt;width:96.75pt;z-index:251665408;mso-width-relative:page;mso-height-relative:margin;mso-height-percent:200;" fillcolor="#FFFFFF" filled="t" stroked="f" coordsize="21600,21600" o:allowincell="f" o:gfxdata="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HcHSn2QAAAAoBAAAPAAAAAAAAAAEAIAAAACIAAABkcnMvZG93bnJldi54bWxQ&#10;SwECFAAUAAAACACHTuJAxrNxIS8CAABDBAAADgAAAAAAAAABACAAAAAoAQAAZHJzL2Uyb0RvYy54&#10;bWxQSwUGAAAAAAYABgBZAQAAyQUAAAAA&#10;">
                <v:fill on="t" focussize="0,0"/>
                <v:stroke on="f" miterlimit="8" joinstyle="miter"/>
                <v:imagedata o:title=""/>
                <o:lock v:ext="edit" aspectratio="f"/>
                <v:textbox inset="0mm,0mm,0mm,0mm" style="mso-fit-shape-to-text:t;">
                  <w:txbxContent>
                    <w:p w14:paraId="0975297D">
                      <w:pPr>
                        <w:snapToGrid w:val="0"/>
                        <w:spacing w:line="300" w:lineRule="auto"/>
                        <w:jc w:val="center"/>
                        <w:rPr>
                          <w:sz w:val="20"/>
                        </w:rPr>
                      </w:pPr>
                      <w:r>
                        <w:rPr>
                          <w:rFonts w:hint="eastAsia" w:ascii="Arial" w:hAnsi="Arial" w:eastAsia="宋体" w:cs="Arial"/>
                          <w:snapToGrid w:val="0"/>
                          <w:kern w:val="0"/>
                          <w:sz w:val="18"/>
                        </w:rPr>
                        <w:t>型号</w:t>
                      </w:r>
                      <w:r>
                        <w:rPr>
                          <w:rFonts w:ascii="Arial" w:hAnsi="Arial" w:eastAsia="宋体" w:cs="Arial"/>
                          <w:snapToGrid w:val="0"/>
                          <w:kern w:val="0"/>
                          <w:sz w:val="18"/>
                        </w:rPr>
                        <w:t>RLC001</w:t>
                      </w:r>
                    </w:p>
                  </w:txbxContent>
                </v:textbox>
              </v:shape>
            </w:pict>
          </mc:Fallback>
        </mc:AlternateContent>
      </w:r>
      <w:r>
        <w:rPr>
          <w:rFonts w:ascii="Arial" w:hAnsi="Arial" w:eastAsia="宋体" w:cs="Arial"/>
          <w:snapToGrid w:val="0"/>
          <w:kern w:val="0"/>
          <w:sz w:val="24"/>
        </w:rPr>
        <mc:AlternateContent>
          <mc:Choice Requires="wps">
            <w:drawing>
              <wp:anchor distT="0" distB="0" distL="114300" distR="114300" simplePos="0" relativeHeight="251664384" behindDoc="0" locked="0" layoutInCell="0" allowOverlap="1">
                <wp:simplePos x="0" y="0"/>
                <wp:positionH relativeFrom="column">
                  <wp:posOffset>3638550</wp:posOffset>
                </wp:positionH>
                <wp:positionV relativeFrom="paragraph">
                  <wp:posOffset>2460625</wp:posOffset>
                </wp:positionV>
                <wp:extent cx="1228725" cy="1403985"/>
                <wp:effectExtent l="0" t="0" r="9525" b="0"/>
                <wp:wrapNone/>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28725" cy="1403985"/>
                        </a:xfrm>
                        <a:prstGeom prst="rect">
                          <a:avLst/>
                        </a:prstGeom>
                        <a:solidFill>
                          <a:srgbClr val="FFFFFF"/>
                        </a:solidFill>
                        <a:ln w="9525">
                          <a:noFill/>
                          <a:miter lim="800000"/>
                        </a:ln>
                      </wps:spPr>
                      <wps:txbx>
                        <w:txbxContent>
                          <w:p w14:paraId="5D114105">
                            <w:pPr>
                              <w:snapToGrid w:val="0"/>
                              <w:spacing w:line="300" w:lineRule="auto"/>
                              <w:jc w:val="center"/>
                              <w:rPr>
                                <w:sz w:val="20"/>
                              </w:rPr>
                            </w:pPr>
                            <w:r>
                              <w:rPr>
                                <w:rFonts w:hint="eastAsia" w:ascii="Arial" w:hAnsi="Arial" w:eastAsia="宋体" w:cs="Arial"/>
                                <w:snapToGrid w:val="0"/>
                                <w:kern w:val="0"/>
                                <w:sz w:val="18"/>
                              </w:rPr>
                              <w:t>型号</w:t>
                            </w:r>
                            <w:r>
                              <w:rPr>
                                <w:rFonts w:ascii="Arial" w:hAnsi="Arial" w:eastAsia="宋体" w:cs="Arial"/>
                                <w:snapToGrid w:val="0"/>
                                <w:kern w:val="0"/>
                                <w:sz w:val="18"/>
                              </w:rPr>
                              <w:t>RLC6</w:t>
                            </w:r>
                          </w:p>
                        </w:txbxContent>
                      </wps:txbx>
                      <wps:bodyPr rot="0" vert="horz" wrap="square" lIns="0" tIns="0" rIns="0" bIns="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86.5pt;margin-top:193.75pt;height:110.55pt;width:96.75pt;z-index:251664384;mso-width-relative:page;mso-height-relative:margin;mso-height-percent:200;" fillcolor="#FFFFFF" filled="t" stroked="f" coordsize="21600,21600" o:allowincell="f" o:gfxdata="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ED4fdoAAAALAQAADwAAAAAAAAABACAAAAAiAAAAZHJzL2Rvd25yZXYueG1s&#10;UEsBAhQAFAAAAAgAh07iQNnmgYUvAgAAQwQAAA4AAAAAAAAAAQAgAAAAKQEAAGRycy9lMm9Eb2Mu&#10;eG1sUEsFBgAAAAAGAAYAWQEAAMoFAAAAAA==&#10;">
                <v:fill on="t" focussize="0,0"/>
                <v:stroke on="f" miterlimit="8" joinstyle="miter"/>
                <v:imagedata o:title=""/>
                <o:lock v:ext="edit" aspectratio="f"/>
                <v:textbox inset="0mm,0mm,0mm,0mm" style="mso-fit-shape-to-text:t;">
                  <w:txbxContent>
                    <w:p w14:paraId="5D114105">
                      <w:pPr>
                        <w:snapToGrid w:val="0"/>
                        <w:spacing w:line="300" w:lineRule="auto"/>
                        <w:jc w:val="center"/>
                        <w:rPr>
                          <w:sz w:val="20"/>
                        </w:rPr>
                      </w:pPr>
                      <w:r>
                        <w:rPr>
                          <w:rFonts w:hint="eastAsia" w:ascii="Arial" w:hAnsi="Arial" w:eastAsia="宋体" w:cs="Arial"/>
                          <w:snapToGrid w:val="0"/>
                          <w:kern w:val="0"/>
                          <w:sz w:val="18"/>
                        </w:rPr>
                        <w:t>型号</w:t>
                      </w:r>
                      <w:r>
                        <w:rPr>
                          <w:rFonts w:ascii="Arial" w:hAnsi="Arial" w:eastAsia="宋体" w:cs="Arial"/>
                          <w:snapToGrid w:val="0"/>
                          <w:kern w:val="0"/>
                          <w:sz w:val="18"/>
                        </w:rPr>
                        <w:t>RLC6</w:t>
                      </w:r>
                    </w:p>
                  </w:txbxContent>
                </v:textbox>
              </v:shape>
            </w:pict>
          </mc:Fallback>
        </mc:AlternateContent>
      </w:r>
      <w:r>
        <w:rPr>
          <w:rFonts w:ascii="Arial" w:hAnsi="Arial" w:eastAsia="宋体" w:cs="Arial"/>
          <w:snapToGrid w:val="0"/>
          <w:kern w:val="0"/>
          <w:sz w:val="24"/>
        </w:rPr>
        <mc:AlternateContent>
          <mc:Choice Requires="wps">
            <w:drawing>
              <wp:anchor distT="0" distB="0" distL="114300" distR="114300" simplePos="0" relativeHeight="251663360" behindDoc="0" locked="0" layoutInCell="0" allowOverlap="1">
                <wp:simplePos x="0" y="0"/>
                <wp:positionH relativeFrom="column">
                  <wp:posOffset>428625</wp:posOffset>
                </wp:positionH>
                <wp:positionV relativeFrom="paragraph">
                  <wp:posOffset>2460625</wp:posOffset>
                </wp:positionV>
                <wp:extent cx="1228725" cy="1403985"/>
                <wp:effectExtent l="0" t="0" r="9525" b="0"/>
                <wp:wrapNone/>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28725" cy="1403985"/>
                        </a:xfrm>
                        <a:prstGeom prst="rect">
                          <a:avLst/>
                        </a:prstGeom>
                        <a:solidFill>
                          <a:srgbClr val="FFFFFF"/>
                        </a:solidFill>
                        <a:ln w="9525">
                          <a:noFill/>
                          <a:miter lim="800000"/>
                        </a:ln>
                      </wps:spPr>
                      <wps:txbx>
                        <w:txbxContent>
                          <w:p w14:paraId="3C528B22">
                            <w:pPr>
                              <w:snapToGrid w:val="0"/>
                              <w:spacing w:line="300" w:lineRule="auto"/>
                              <w:jc w:val="center"/>
                              <w:rPr>
                                <w:sz w:val="20"/>
                              </w:rPr>
                            </w:pPr>
                            <w:r>
                              <w:rPr>
                                <w:rFonts w:hint="eastAsia" w:ascii="Arial" w:hAnsi="Arial" w:eastAsia="宋体" w:cs="Arial"/>
                                <w:snapToGrid w:val="0"/>
                                <w:kern w:val="0"/>
                                <w:sz w:val="18"/>
                              </w:rPr>
                              <w:t>型号</w:t>
                            </w:r>
                            <w:r>
                              <w:rPr>
                                <w:rFonts w:ascii="Arial" w:hAnsi="Arial" w:eastAsia="宋体" w:cs="Arial"/>
                                <w:snapToGrid w:val="0"/>
                                <w:kern w:val="0"/>
                                <w:sz w:val="18"/>
                              </w:rPr>
                              <w:t>RLF004</w:t>
                            </w:r>
                          </w:p>
                        </w:txbxContent>
                      </wps:txbx>
                      <wps:bodyPr rot="0" vert="horz" wrap="square" lIns="0" tIns="0" rIns="0" bIns="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3.75pt;margin-top:193.75pt;height:110.55pt;width:96.75pt;z-index:251663360;mso-width-relative:page;mso-height-relative:margin;mso-height-percent:200;" fillcolor="#FFFFFF" filled="t" stroked="f" coordsize="21600,21600" o:allowincell="f" o:gfxdata="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AbcedgAAAAKAQAADwAAAAAAAAABACAAAAAiAAAAZHJzL2Rvd25yZXYueG1sUEsB&#10;AhQAFAAAAAgAh07iQLkf4LMuAgAAQwQAAA4AAAAAAAAAAQAgAAAAJwEAAGRycy9lMm9Eb2MueG1s&#10;UEsFBgAAAAAGAAYAWQEAAMcFAAAAAA==&#10;">
                <v:fill on="t" focussize="0,0"/>
                <v:stroke on="f" miterlimit="8" joinstyle="miter"/>
                <v:imagedata o:title=""/>
                <o:lock v:ext="edit" aspectratio="f"/>
                <v:textbox inset="0mm,0mm,0mm,0mm" style="mso-fit-shape-to-text:t;">
                  <w:txbxContent>
                    <w:p w14:paraId="3C528B22">
                      <w:pPr>
                        <w:snapToGrid w:val="0"/>
                        <w:spacing w:line="300" w:lineRule="auto"/>
                        <w:jc w:val="center"/>
                        <w:rPr>
                          <w:sz w:val="20"/>
                        </w:rPr>
                      </w:pPr>
                      <w:r>
                        <w:rPr>
                          <w:rFonts w:hint="eastAsia" w:ascii="Arial" w:hAnsi="Arial" w:eastAsia="宋体" w:cs="Arial"/>
                          <w:snapToGrid w:val="0"/>
                          <w:kern w:val="0"/>
                          <w:sz w:val="18"/>
                        </w:rPr>
                        <w:t>型号</w:t>
                      </w:r>
                      <w:r>
                        <w:rPr>
                          <w:rFonts w:ascii="Arial" w:hAnsi="Arial" w:eastAsia="宋体" w:cs="Arial"/>
                          <w:snapToGrid w:val="0"/>
                          <w:kern w:val="0"/>
                          <w:sz w:val="18"/>
                        </w:rPr>
                        <w:t>RLF004</w:t>
                      </w:r>
                    </w:p>
                  </w:txbxContent>
                </v:textbox>
              </v:shape>
            </w:pict>
          </mc:Fallback>
        </mc:AlternateContent>
      </w:r>
      <w:r>
        <w:rPr>
          <w:rFonts w:ascii="Arial" w:hAnsi="Arial" w:eastAsia="宋体" w:cs="Arial"/>
          <w:snapToGrid w:val="0"/>
          <w:kern w:val="0"/>
          <w:sz w:val="24"/>
        </w:rPr>
        <mc:AlternateContent>
          <mc:Choice Requires="wps">
            <w:drawing>
              <wp:anchor distT="0" distB="0" distL="114300" distR="114300" simplePos="0" relativeHeight="251662336" behindDoc="0" locked="0" layoutInCell="0" allowOverlap="1">
                <wp:simplePos x="0" y="0"/>
                <wp:positionH relativeFrom="column">
                  <wp:posOffset>2133600</wp:posOffset>
                </wp:positionH>
                <wp:positionV relativeFrom="paragraph">
                  <wp:posOffset>31750</wp:posOffset>
                </wp:positionV>
                <wp:extent cx="1228725" cy="1403985"/>
                <wp:effectExtent l="0" t="0" r="9525"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28725" cy="1403985"/>
                        </a:xfrm>
                        <a:prstGeom prst="rect">
                          <a:avLst/>
                        </a:prstGeom>
                        <a:solidFill>
                          <a:srgbClr val="FFFFFF"/>
                        </a:solidFill>
                        <a:ln w="9525">
                          <a:noFill/>
                          <a:miter lim="800000"/>
                        </a:ln>
                      </wps:spPr>
                      <wps:txbx>
                        <w:txbxContent>
                          <w:p w14:paraId="0B24117A">
                            <w:pPr>
                              <w:snapToGrid w:val="0"/>
                              <w:spacing w:line="300" w:lineRule="auto"/>
                              <w:jc w:val="center"/>
                              <w:rPr>
                                <w:sz w:val="20"/>
                              </w:rPr>
                            </w:pPr>
                            <w:r>
                              <w:rPr>
                                <w:rFonts w:hint="eastAsia" w:ascii="Arial" w:hAnsi="Arial" w:eastAsia="宋体" w:cs="Arial"/>
                                <w:snapToGrid w:val="0"/>
                                <w:kern w:val="0"/>
                                <w:sz w:val="18"/>
                              </w:rPr>
                              <w:t>型号</w:t>
                            </w:r>
                            <w:r>
                              <w:rPr>
                                <w:rFonts w:ascii="Arial" w:hAnsi="Arial" w:eastAsia="宋体" w:cs="Arial"/>
                                <w:snapToGrid w:val="0"/>
                                <w:kern w:val="0"/>
                                <w:sz w:val="18"/>
                              </w:rPr>
                              <w:t>RLC003</w:t>
                            </w:r>
                          </w:p>
                        </w:txbxContent>
                      </wps:txbx>
                      <wps:bodyPr rot="0" vert="horz" wrap="square" lIns="0" tIns="0" rIns="0" bIns="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168pt;margin-top:2.5pt;height:110.55pt;width:96.75pt;z-index:251662336;mso-width-relative:page;mso-height-relative:margin;mso-height-percent:200;" fillcolor="#FFFFFF" filled="t" stroked="f" coordsize="21600,21600" o:allowincell="f" o:gfxdata="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o6lIV2QAAAAkBAAAPAAAAAAAAAAEAIAAAACIAAABkcnMvZG93bnJldi54bWxQ&#10;SwECFAAUAAAACACHTuJApkoQFy8CAABDBAAADgAAAAAAAAABACAAAAAoAQAAZHJzL2Uyb0RvYy54&#10;bWxQSwUGAAAAAAYABgBZAQAAyQUAAAAA&#10;">
                <v:fill on="t" focussize="0,0"/>
                <v:stroke on="f" miterlimit="8" joinstyle="miter"/>
                <v:imagedata o:title=""/>
                <o:lock v:ext="edit" aspectratio="f"/>
                <v:textbox inset="0mm,0mm,0mm,0mm" style="mso-fit-shape-to-text:t;">
                  <w:txbxContent>
                    <w:p w14:paraId="0B24117A">
                      <w:pPr>
                        <w:snapToGrid w:val="0"/>
                        <w:spacing w:line="300" w:lineRule="auto"/>
                        <w:jc w:val="center"/>
                        <w:rPr>
                          <w:sz w:val="20"/>
                        </w:rPr>
                      </w:pPr>
                      <w:r>
                        <w:rPr>
                          <w:rFonts w:hint="eastAsia" w:ascii="Arial" w:hAnsi="Arial" w:eastAsia="宋体" w:cs="Arial"/>
                          <w:snapToGrid w:val="0"/>
                          <w:kern w:val="0"/>
                          <w:sz w:val="18"/>
                        </w:rPr>
                        <w:t>型号</w:t>
                      </w:r>
                      <w:r>
                        <w:rPr>
                          <w:rFonts w:ascii="Arial" w:hAnsi="Arial" w:eastAsia="宋体" w:cs="Arial"/>
                          <w:snapToGrid w:val="0"/>
                          <w:kern w:val="0"/>
                          <w:sz w:val="18"/>
                        </w:rPr>
                        <w:t>RLC003</w:t>
                      </w:r>
                    </w:p>
                  </w:txbxContent>
                </v:textbox>
              </v:shape>
            </w:pict>
          </mc:Fallback>
        </mc:AlternateContent>
      </w:r>
      <w:r>
        <w:rPr>
          <w:rFonts w:ascii="Arial" w:hAnsi="Arial" w:eastAsia="宋体" w:cs="Arial"/>
          <w:kern w:val="0"/>
          <w:sz w:val="24"/>
        </w:rPr>
        <w:drawing>
          <wp:inline distT="0" distB="0" distL="0" distR="0">
            <wp:extent cx="5731510" cy="6887845"/>
            <wp:effectExtent l="0" t="0" r="254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31510" cy="6888249"/>
                    </a:xfrm>
                    <a:prstGeom prst="rect">
                      <a:avLst/>
                    </a:prstGeom>
                    <a:noFill/>
                    <a:ln>
                      <a:noFill/>
                    </a:ln>
                  </pic:spPr>
                </pic:pic>
              </a:graphicData>
            </a:graphic>
          </wp:inline>
        </w:drawing>
      </w:r>
    </w:p>
    <w:p w14:paraId="2C6B7B25">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4A92DCDA">
      <w:pPr>
        <w:topLinePunct/>
        <w:adjustRightInd w:val="0"/>
        <w:snapToGrid w:val="0"/>
        <w:spacing w:after="234" w:afterLines="75" w:line="288" w:lineRule="auto"/>
        <w:rPr>
          <w:rFonts w:ascii="Arial" w:hAnsi="Arial" w:eastAsia="宋体" w:cs="Arial"/>
          <w:snapToGrid w:val="0"/>
          <w:kern w:val="0"/>
          <w:sz w:val="24"/>
        </w:rPr>
      </w:pPr>
    </w:p>
    <w:p w14:paraId="2A989215">
      <w:pPr>
        <w:topLinePunct/>
        <w:adjustRightInd w:val="0"/>
        <w:snapToGrid w:val="0"/>
        <w:spacing w:after="234" w:afterLines="75" w:line="288" w:lineRule="auto"/>
        <w:rPr>
          <w:rFonts w:ascii="Arial" w:hAnsi="Arial" w:eastAsia="宋体" w:cs="Arial"/>
          <w:snapToGrid w:val="0"/>
          <w:kern w:val="0"/>
          <w:sz w:val="24"/>
        </w:rPr>
      </w:pPr>
    </w:p>
    <w:p w14:paraId="4EC44638">
      <w:pPr>
        <w:topLinePunct/>
        <w:adjustRightInd w:val="0"/>
        <w:snapToGrid w:val="0"/>
        <w:spacing w:after="234" w:afterLines="75" w:line="288" w:lineRule="auto"/>
        <w:rPr>
          <w:rFonts w:ascii="Arial" w:hAnsi="Arial" w:eastAsia="宋体" w:cs="Arial"/>
          <w:snapToGrid w:val="0"/>
          <w:kern w:val="0"/>
          <w:sz w:val="24"/>
        </w:rPr>
      </w:pPr>
    </w:p>
    <w:p w14:paraId="34A97E2D">
      <w:pPr>
        <w:topLinePunct/>
        <w:adjustRightInd w:val="0"/>
        <w:snapToGrid w:val="0"/>
        <w:spacing w:after="234" w:afterLines="75" w:line="288" w:lineRule="auto"/>
        <w:rPr>
          <w:rFonts w:ascii="Arial" w:hAnsi="Arial" w:eastAsia="宋体" w:cs="Arial"/>
          <w:snapToGrid w:val="0"/>
          <w:kern w:val="0"/>
          <w:sz w:val="24"/>
        </w:rPr>
      </w:pPr>
    </w:p>
    <w:p w14:paraId="3F1EB8D9">
      <w:pPr>
        <w:topLinePunct/>
        <w:adjustRightInd w:val="0"/>
        <w:snapToGrid w:val="0"/>
        <w:spacing w:after="234" w:afterLines="75" w:line="288" w:lineRule="auto"/>
        <w:rPr>
          <w:rFonts w:ascii="Arial" w:hAnsi="Arial" w:eastAsia="宋体" w:cs="Arial"/>
          <w:snapToGrid w:val="0"/>
          <w:kern w:val="0"/>
          <w:sz w:val="24"/>
        </w:rPr>
      </w:pPr>
    </w:p>
    <w:p w14:paraId="38F6C640">
      <w:pPr>
        <w:topLinePunct/>
        <w:adjustRightInd w:val="0"/>
        <w:snapToGrid w:val="0"/>
        <w:spacing w:after="234" w:afterLines="75" w:line="288" w:lineRule="auto"/>
        <w:rPr>
          <w:rFonts w:ascii="Arial" w:hAnsi="Arial" w:eastAsia="宋体" w:cs="Arial"/>
          <w:snapToGrid w:val="0"/>
          <w:kern w:val="0"/>
          <w:sz w:val="24"/>
        </w:rPr>
      </w:pPr>
    </w:p>
    <w:p w14:paraId="29F8359D">
      <w:pPr>
        <w:topLinePunct/>
        <w:adjustRightInd w:val="0"/>
        <w:snapToGrid w:val="0"/>
        <w:spacing w:after="234" w:afterLines="75" w:line="288" w:lineRule="auto"/>
        <w:rPr>
          <w:rFonts w:ascii="Arial" w:hAnsi="Arial" w:eastAsia="宋体" w:cs="Arial"/>
          <w:snapToGrid w:val="0"/>
          <w:kern w:val="0"/>
          <w:sz w:val="24"/>
        </w:rPr>
      </w:pPr>
    </w:p>
    <w:p w14:paraId="5CBDA47C">
      <w:pPr>
        <w:topLinePunct/>
        <w:adjustRightInd w:val="0"/>
        <w:snapToGrid w:val="0"/>
        <w:spacing w:after="234" w:afterLines="75" w:line="288" w:lineRule="auto"/>
        <w:rPr>
          <w:rFonts w:ascii="Arial" w:hAnsi="Arial" w:eastAsia="宋体" w:cs="Arial"/>
          <w:snapToGrid w:val="0"/>
          <w:kern w:val="0"/>
          <w:sz w:val="24"/>
        </w:rPr>
      </w:pPr>
    </w:p>
    <w:p w14:paraId="715CE60B">
      <w:pPr>
        <w:topLinePunct/>
        <w:adjustRightInd w:val="0"/>
        <w:snapToGrid w:val="0"/>
        <w:spacing w:after="234" w:afterLines="75" w:line="288" w:lineRule="auto"/>
        <w:rPr>
          <w:rFonts w:ascii="Arial" w:hAnsi="Arial" w:eastAsia="宋体" w:cs="Arial"/>
          <w:snapToGrid w:val="0"/>
          <w:kern w:val="0"/>
          <w:sz w:val="24"/>
        </w:rPr>
      </w:pPr>
    </w:p>
    <w:p w14:paraId="4F441484">
      <w:pPr>
        <w:topLinePunct/>
        <w:adjustRightInd w:val="0"/>
        <w:snapToGrid w:val="0"/>
        <w:spacing w:after="234" w:afterLines="75" w:line="288" w:lineRule="auto"/>
        <w:rPr>
          <w:rFonts w:ascii="Arial" w:hAnsi="Arial" w:eastAsia="宋体" w:cs="Arial"/>
          <w:snapToGrid w:val="0"/>
          <w:kern w:val="0"/>
          <w:sz w:val="24"/>
        </w:rPr>
      </w:pPr>
    </w:p>
    <w:p w14:paraId="0767CD21">
      <w:pPr>
        <w:topLinePunct/>
        <w:adjustRightInd w:val="0"/>
        <w:snapToGrid w:val="0"/>
        <w:spacing w:after="234" w:afterLines="75" w:line="288" w:lineRule="auto"/>
        <w:rPr>
          <w:rFonts w:ascii="Arial" w:hAnsi="Arial" w:eastAsia="宋体" w:cs="Arial"/>
          <w:snapToGrid w:val="0"/>
          <w:kern w:val="0"/>
          <w:sz w:val="24"/>
        </w:rPr>
      </w:pPr>
    </w:p>
    <w:p w14:paraId="414F9026">
      <w:pPr>
        <w:topLinePunct/>
        <w:adjustRightInd w:val="0"/>
        <w:snapToGrid w:val="0"/>
        <w:spacing w:after="234" w:afterLines="75" w:line="288" w:lineRule="auto"/>
        <w:rPr>
          <w:rFonts w:ascii="Arial" w:hAnsi="Arial" w:eastAsia="宋体" w:cs="Arial"/>
          <w:snapToGrid w:val="0"/>
          <w:kern w:val="0"/>
          <w:sz w:val="24"/>
        </w:rPr>
      </w:pPr>
    </w:p>
    <w:p w14:paraId="22510695">
      <w:pPr>
        <w:topLinePunct/>
        <w:adjustRightInd w:val="0"/>
        <w:snapToGrid w:val="0"/>
        <w:spacing w:after="234" w:afterLines="75" w:line="288" w:lineRule="auto"/>
        <w:rPr>
          <w:rFonts w:ascii="Arial" w:hAnsi="Arial" w:eastAsia="宋体" w:cs="Arial"/>
          <w:snapToGrid w:val="0"/>
          <w:kern w:val="0"/>
          <w:sz w:val="24"/>
        </w:rPr>
      </w:pPr>
    </w:p>
    <w:p w14:paraId="65496A91">
      <w:pPr>
        <w:topLinePunct/>
        <w:adjustRightInd w:val="0"/>
        <w:snapToGrid w:val="0"/>
        <w:spacing w:after="234" w:afterLines="75" w:line="288" w:lineRule="auto"/>
        <w:rPr>
          <w:rFonts w:ascii="Arial" w:hAnsi="Arial" w:eastAsia="宋体" w:cs="Arial"/>
          <w:snapToGrid w:val="0"/>
          <w:kern w:val="0"/>
          <w:sz w:val="24"/>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19"/>
        <w:gridCol w:w="2410"/>
        <w:gridCol w:w="2613"/>
      </w:tblGrid>
      <w:tr w14:paraId="41426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19" w:type="dxa"/>
            <w:vMerge w:val="restart"/>
          </w:tcPr>
          <w:p w14:paraId="02CF6551">
            <w:pPr>
              <w:topLinePunct/>
              <w:adjustRightInd w:val="0"/>
              <w:snapToGrid w:val="0"/>
              <w:spacing w:line="288" w:lineRule="auto"/>
              <w:jc w:val="center"/>
              <w:rPr>
                <w:rFonts w:ascii="Arial" w:hAnsi="Arial" w:eastAsia="宋体" w:cs="Arial"/>
                <w:b/>
                <w:snapToGrid w:val="0"/>
                <w:kern w:val="0"/>
              </w:rPr>
            </w:pPr>
            <w:r>
              <w:rPr>
                <w:rFonts w:ascii="Arial" w:hAnsi="Arial" w:eastAsia="宋体" w:cs="Arial"/>
                <w:b/>
                <w:snapToGrid w:val="0"/>
                <w:kern w:val="0"/>
              </w:rPr>
              <w:t>HFZ-460</w:t>
            </w:r>
          </w:p>
          <w:p w14:paraId="1A67CE22">
            <w:pPr>
              <w:topLinePunct/>
              <w:adjustRightInd w:val="0"/>
              <w:snapToGrid w:val="0"/>
              <w:spacing w:line="288" w:lineRule="auto"/>
              <w:rPr>
                <w:rFonts w:ascii="Arial" w:hAnsi="Arial" w:eastAsia="宋体" w:cs="Arial"/>
                <w:snapToGrid w:val="0"/>
                <w:kern w:val="0"/>
              </w:rPr>
            </w:pPr>
            <w:r>
              <w:rPr>
                <w:rFonts w:hint="eastAsia" w:ascii="Arial" w:hAnsi="Arial" w:eastAsia="宋体" w:cs="Arial"/>
                <w:snapToGrid w:val="0"/>
                <w:kern w:val="0"/>
              </w:rPr>
              <w:t>美国卫生和人类服务署</w:t>
            </w:r>
          </w:p>
          <w:p w14:paraId="7BDAFF5F">
            <w:pPr>
              <w:topLinePunct/>
              <w:adjustRightInd w:val="0"/>
              <w:snapToGrid w:val="0"/>
              <w:spacing w:line="288" w:lineRule="auto"/>
              <w:rPr>
                <w:rFonts w:ascii="Arial" w:hAnsi="Arial" w:eastAsia="宋体" w:cs="Arial"/>
                <w:snapToGrid w:val="0"/>
                <w:kern w:val="0"/>
              </w:rPr>
            </w:pPr>
            <w:r>
              <w:rPr>
                <w:rFonts w:hint="eastAsia" w:ascii="Arial" w:hAnsi="Arial" w:eastAsia="宋体" w:cs="Arial"/>
                <w:snapToGrid w:val="0"/>
                <w:kern w:val="0"/>
              </w:rPr>
              <w:t>公共卫生服务部</w:t>
            </w:r>
          </w:p>
          <w:p w14:paraId="6312C11B">
            <w:pPr>
              <w:topLinePunct/>
              <w:adjustRightInd w:val="0"/>
              <w:snapToGrid w:val="0"/>
              <w:spacing w:line="288" w:lineRule="auto"/>
              <w:rPr>
                <w:rFonts w:ascii="Arial" w:hAnsi="Arial" w:eastAsia="宋体" w:cs="Arial"/>
                <w:snapToGrid w:val="0"/>
                <w:kern w:val="0"/>
              </w:rPr>
            </w:pPr>
            <w:r>
              <w:rPr>
                <w:rFonts w:hint="eastAsia" w:ascii="Arial" w:hAnsi="Arial" w:eastAsia="宋体" w:cs="Arial"/>
                <w:snapToGrid w:val="0"/>
                <w:kern w:val="0"/>
              </w:rPr>
              <w:t>食品药品监督管理局</w:t>
            </w:r>
          </w:p>
          <w:p w14:paraId="09E6D53E">
            <w:pPr>
              <w:topLinePunct/>
              <w:adjustRightInd w:val="0"/>
              <w:snapToGrid w:val="0"/>
              <w:spacing w:line="288" w:lineRule="auto"/>
              <w:rPr>
                <w:rFonts w:ascii="Arial" w:hAnsi="Arial" w:eastAsia="宋体" w:cs="Arial"/>
                <w:snapToGrid w:val="0"/>
                <w:kern w:val="0"/>
              </w:rPr>
            </w:pPr>
            <w:r>
              <w:rPr>
                <w:rFonts w:hint="eastAsia" w:ascii="Arial" w:hAnsi="Arial" w:eastAsia="宋体" w:cs="Arial"/>
                <w:snapToGrid w:val="0"/>
                <w:kern w:val="0"/>
              </w:rPr>
              <w:t>器械和放射卫生中心</w:t>
            </w:r>
          </w:p>
          <w:p w14:paraId="49087191">
            <w:pPr>
              <w:pBdr>
                <w:bottom w:val="double" w:color="auto" w:sz="6" w:space="1"/>
              </w:pBdr>
              <w:topLinePunct/>
              <w:adjustRightInd w:val="0"/>
              <w:snapToGrid w:val="0"/>
              <w:spacing w:line="288" w:lineRule="auto"/>
              <w:rPr>
                <w:rFonts w:ascii="Arial" w:hAnsi="Arial" w:eastAsia="宋体" w:cs="Arial"/>
                <w:snapToGrid w:val="0"/>
                <w:kern w:val="0"/>
              </w:rPr>
            </w:pPr>
            <w:r>
              <w:rPr>
                <w:rFonts w:ascii="Arial" w:hAnsi="Arial" w:eastAsia="宋体" w:cs="Arial"/>
                <w:snapToGrid w:val="0"/>
                <w:kern w:val="0"/>
              </w:rPr>
              <w:t>Rockville</w:t>
            </w:r>
            <w:r>
              <w:rPr>
                <w:rFonts w:hint="eastAsia" w:ascii="Arial" w:hAnsi="Arial" w:eastAsia="宋体" w:cs="Arial"/>
                <w:snapToGrid w:val="0"/>
                <w:kern w:val="0"/>
              </w:rPr>
              <w:t>，</w:t>
            </w:r>
            <w:r>
              <w:rPr>
                <w:rFonts w:ascii="Arial" w:hAnsi="Arial" w:eastAsia="宋体" w:cs="Arial"/>
                <w:snapToGrid w:val="0"/>
                <w:kern w:val="0"/>
              </w:rPr>
              <w:t>Maryland 20857</w:t>
            </w:r>
          </w:p>
          <w:p w14:paraId="62602322">
            <w:pPr>
              <w:topLinePunct/>
              <w:adjustRightInd w:val="0"/>
              <w:snapToGrid w:val="0"/>
              <w:spacing w:line="288" w:lineRule="auto"/>
              <w:rPr>
                <w:rFonts w:ascii="Arial" w:hAnsi="Arial" w:eastAsia="宋体" w:cs="Arial"/>
                <w:snapToGrid w:val="0"/>
                <w:kern w:val="0"/>
                <w:sz w:val="2"/>
                <w:szCs w:val="2"/>
              </w:rPr>
            </w:pPr>
          </w:p>
          <w:p w14:paraId="2DB4D3DC">
            <w:pPr>
              <w:topLinePunct/>
              <w:adjustRightInd w:val="0"/>
              <w:snapToGrid w:val="0"/>
              <w:spacing w:line="288" w:lineRule="auto"/>
              <w:rPr>
                <w:rFonts w:ascii="Arial" w:hAnsi="Arial" w:eastAsia="宋体" w:cs="Arial"/>
                <w:snapToGrid w:val="0"/>
                <w:kern w:val="0"/>
              </w:rPr>
            </w:pPr>
            <w:r>
              <w:rPr>
                <w:rFonts w:hint="eastAsia" w:ascii="Arial" w:hAnsi="Arial" w:eastAsia="宋体" w:cs="Arial"/>
                <w:snapToGrid w:val="0"/>
                <w:kern w:val="0"/>
              </w:rPr>
              <w:t>公务</w:t>
            </w:r>
          </w:p>
          <w:p w14:paraId="097C15B0">
            <w:pPr>
              <w:topLinePunct/>
              <w:adjustRightInd w:val="0"/>
              <w:snapToGrid w:val="0"/>
              <w:spacing w:line="288" w:lineRule="auto"/>
              <w:rPr>
                <w:rFonts w:ascii="Arial" w:hAnsi="Arial" w:eastAsia="宋体" w:cs="Arial"/>
                <w:snapToGrid w:val="0"/>
                <w:kern w:val="0"/>
                <w:highlight w:val="red"/>
              </w:rPr>
            </w:pPr>
            <w:r>
              <w:rPr>
                <w:rFonts w:hint="eastAsia" w:ascii="Arial" w:hAnsi="Arial" w:eastAsia="宋体" w:cs="Arial"/>
                <w:b/>
                <w:snapToGrid w:val="0"/>
                <w:kern w:val="0"/>
              </w:rPr>
              <w:t>私人使用罚款：</w:t>
            </w:r>
            <w:r>
              <w:rPr>
                <w:rFonts w:ascii="Arial" w:hAnsi="Arial" w:eastAsia="宋体" w:cs="Arial"/>
                <w:b/>
                <w:snapToGrid w:val="0"/>
                <w:kern w:val="0"/>
              </w:rPr>
              <w:t>$300</w:t>
            </w:r>
          </w:p>
        </w:tc>
        <w:tc>
          <w:tcPr>
            <w:tcW w:w="2410" w:type="dxa"/>
            <w:tcBorders>
              <w:right w:val="single" w:color="auto" w:sz="4" w:space="0"/>
            </w:tcBorders>
          </w:tcPr>
          <w:p w14:paraId="668B3906">
            <w:pPr>
              <w:topLinePunct/>
              <w:adjustRightInd w:val="0"/>
              <w:snapToGrid w:val="0"/>
              <w:spacing w:after="234" w:afterLines="75" w:line="288" w:lineRule="auto"/>
              <w:ind w:firstLine="480" w:firstLineChars="200"/>
              <w:rPr>
                <w:rFonts w:ascii="Arial" w:hAnsi="Arial" w:eastAsia="宋体" w:cs="Arial"/>
                <w:snapToGrid w:val="0"/>
                <w:kern w:val="0"/>
                <w:sz w:val="24"/>
                <w:highlight w:val="red"/>
              </w:rPr>
            </w:pPr>
          </w:p>
        </w:tc>
        <w:tc>
          <w:tcPr>
            <w:tcW w:w="2613" w:type="dxa"/>
            <w:tcBorders>
              <w:top w:val="single" w:color="auto" w:sz="4" w:space="0"/>
              <w:left w:val="single" w:color="auto" w:sz="4" w:space="0"/>
              <w:bottom w:val="single" w:color="auto" w:sz="4" w:space="0"/>
              <w:right w:val="single" w:color="auto" w:sz="4" w:space="0"/>
            </w:tcBorders>
          </w:tcPr>
          <w:p w14:paraId="12D0C87A">
            <w:pPr>
              <w:topLinePunct/>
              <w:adjustRightInd w:val="0"/>
              <w:snapToGrid w:val="0"/>
              <w:spacing w:before="156" w:beforeLines="50" w:line="288" w:lineRule="auto"/>
              <w:jc w:val="center"/>
              <w:rPr>
                <w:rFonts w:ascii="Arial" w:hAnsi="Arial" w:eastAsia="宋体" w:cs="Arial"/>
                <w:snapToGrid w:val="0"/>
                <w:kern w:val="0"/>
                <w:sz w:val="18"/>
              </w:rPr>
            </w:pPr>
            <w:r>
              <w:rPr>
                <w:rFonts w:hint="eastAsia" w:ascii="Arial" w:hAnsi="Arial" w:eastAsia="宋体" w:cs="Arial"/>
                <w:snapToGrid w:val="0"/>
                <w:kern w:val="0"/>
                <w:sz w:val="18"/>
              </w:rPr>
              <w:t>头等邮件邮资和邮费</w:t>
            </w:r>
            <w:r>
              <w:rPr>
                <w:rFonts w:ascii="Arial" w:hAnsi="Arial" w:eastAsia="宋体" w:cs="Arial"/>
                <w:snapToGrid w:val="0"/>
                <w:kern w:val="0"/>
                <w:sz w:val="18"/>
              </w:rPr>
              <w:t>PHS/FDA</w:t>
            </w:r>
          </w:p>
          <w:p w14:paraId="46C36FB9">
            <w:pPr>
              <w:topLinePunct/>
              <w:adjustRightInd w:val="0"/>
              <w:snapToGrid w:val="0"/>
              <w:spacing w:line="288" w:lineRule="auto"/>
              <w:jc w:val="center"/>
              <w:rPr>
                <w:rFonts w:ascii="Arial" w:hAnsi="Arial" w:eastAsia="宋体" w:cs="Arial"/>
                <w:snapToGrid w:val="0"/>
                <w:kern w:val="0"/>
                <w:sz w:val="24"/>
                <w:highlight w:val="red"/>
              </w:rPr>
            </w:pPr>
            <w:r>
              <w:rPr>
                <w:rFonts w:hint="eastAsia" w:ascii="Arial" w:hAnsi="Arial" w:eastAsia="宋体" w:cs="Arial"/>
                <w:snapToGrid w:val="0"/>
                <w:kern w:val="0"/>
                <w:sz w:val="18"/>
              </w:rPr>
              <w:t>许可号</w:t>
            </w:r>
            <w:r>
              <w:rPr>
                <w:rFonts w:ascii="Arial" w:hAnsi="Arial" w:eastAsia="宋体" w:cs="Arial"/>
                <w:snapToGrid w:val="0"/>
                <w:kern w:val="0"/>
                <w:sz w:val="18"/>
              </w:rPr>
              <w:t>G</w:t>
            </w:r>
            <w:r>
              <w:rPr>
                <w:rFonts w:hint="eastAsia" w:ascii="Arial" w:hAnsi="Arial" w:eastAsia="宋体" w:cs="Arial"/>
                <w:snapToGrid w:val="0"/>
                <w:kern w:val="0"/>
                <w:sz w:val="18"/>
              </w:rPr>
              <w:t>.</w:t>
            </w:r>
            <w:r>
              <w:rPr>
                <w:rFonts w:ascii="Arial" w:hAnsi="Arial" w:eastAsia="宋体" w:cs="Arial"/>
                <w:snapToGrid w:val="0"/>
                <w:kern w:val="0"/>
                <w:sz w:val="18"/>
              </w:rPr>
              <w:t>285</w:t>
            </w:r>
          </w:p>
        </w:tc>
      </w:tr>
      <w:tr w14:paraId="3ED46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19" w:type="dxa"/>
            <w:vMerge w:val="continue"/>
          </w:tcPr>
          <w:p w14:paraId="568BEA72">
            <w:pPr>
              <w:topLinePunct/>
              <w:adjustRightInd w:val="0"/>
              <w:snapToGrid w:val="0"/>
              <w:spacing w:after="234" w:afterLines="75" w:line="288" w:lineRule="auto"/>
              <w:rPr>
                <w:rFonts w:ascii="Arial" w:hAnsi="Arial" w:eastAsia="宋体" w:cs="Arial"/>
                <w:snapToGrid w:val="0"/>
                <w:kern w:val="0"/>
                <w:sz w:val="24"/>
              </w:rPr>
            </w:pPr>
          </w:p>
        </w:tc>
        <w:tc>
          <w:tcPr>
            <w:tcW w:w="2410" w:type="dxa"/>
          </w:tcPr>
          <w:p w14:paraId="76E45DBC">
            <w:pPr>
              <w:topLinePunct/>
              <w:adjustRightInd w:val="0"/>
              <w:snapToGrid w:val="0"/>
              <w:spacing w:after="234" w:afterLines="75" w:line="288" w:lineRule="auto"/>
              <w:rPr>
                <w:rFonts w:ascii="Arial" w:hAnsi="Arial" w:eastAsia="宋体" w:cs="Arial"/>
                <w:snapToGrid w:val="0"/>
                <w:kern w:val="0"/>
                <w:sz w:val="24"/>
              </w:rPr>
            </w:pPr>
          </w:p>
        </w:tc>
        <w:tc>
          <w:tcPr>
            <w:tcW w:w="2613" w:type="dxa"/>
            <w:tcBorders>
              <w:top w:val="single" w:color="auto" w:sz="4" w:space="0"/>
            </w:tcBorders>
          </w:tcPr>
          <w:p w14:paraId="0E8E2727">
            <w:pPr>
              <w:topLinePunct/>
              <w:adjustRightInd w:val="0"/>
              <w:snapToGrid w:val="0"/>
              <w:spacing w:after="234" w:afterLines="75" w:line="288" w:lineRule="auto"/>
              <w:rPr>
                <w:rFonts w:ascii="Arial" w:hAnsi="Arial" w:eastAsia="宋体" w:cs="Arial"/>
                <w:snapToGrid w:val="0"/>
                <w:kern w:val="0"/>
                <w:sz w:val="24"/>
              </w:rPr>
            </w:pPr>
          </w:p>
        </w:tc>
      </w:tr>
    </w:tbl>
    <w:p w14:paraId="1CF9FE3C">
      <w:pPr>
        <w:topLinePunct/>
        <w:adjustRightInd w:val="0"/>
        <w:snapToGrid w:val="0"/>
        <w:spacing w:line="288" w:lineRule="auto"/>
        <w:rPr>
          <w:rFonts w:ascii="Arial" w:hAnsi="Arial" w:eastAsia="宋体" w:cs="Arial"/>
          <w:b/>
          <w:snapToGrid w:val="0"/>
          <w:kern w:val="0"/>
          <w:sz w:val="24"/>
        </w:rPr>
      </w:pPr>
      <w:r>
        <w:rPr>
          <w:rFonts w:ascii="Arial" w:hAnsi="Arial" w:eastAsia="宋体" w:cs="Arial"/>
          <w:snapToGrid w:val="0"/>
          <w:kern w:val="0"/>
          <w:sz w:val="24"/>
        </w:rPr>
        <mc:AlternateContent>
          <mc:Choice Requires="wps">
            <w:drawing>
              <wp:anchor distT="0" distB="0" distL="114300" distR="114300" simplePos="0" relativeHeight="251661312" behindDoc="0" locked="0" layoutInCell="0" allowOverlap="1">
                <wp:simplePos x="0" y="0"/>
                <wp:positionH relativeFrom="column">
                  <wp:posOffset>588010</wp:posOffset>
                </wp:positionH>
                <wp:positionV relativeFrom="paragraph">
                  <wp:posOffset>579120</wp:posOffset>
                </wp:positionV>
                <wp:extent cx="2952115" cy="1779270"/>
                <wp:effectExtent l="57150" t="647700" r="96520" b="659765"/>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rot="19357862">
                          <a:off x="0" y="0"/>
                          <a:ext cx="2951828" cy="1779132"/>
                        </a:xfrm>
                        <a:prstGeom prst="rect">
                          <a:avLst/>
                        </a:prstGeom>
                        <a:noFill/>
                        <a:ln w="9525">
                          <a:noFill/>
                          <a:miter lim="800000"/>
                        </a:ln>
                      </wps:spPr>
                      <wps:txbx>
                        <w:txbxContent>
                          <w:p w14:paraId="633F208C">
                            <w:pPr>
                              <w:snapToGrid w:val="0"/>
                              <w:spacing w:line="300" w:lineRule="auto"/>
                              <w:jc w:val="center"/>
                              <w:rPr>
                                <w:b/>
                                <w:sz w:val="32"/>
                              </w:rPr>
                            </w:pPr>
                            <w:r>
                              <w:rPr>
                                <w:rFonts w:hint="eastAsia" w:ascii="Arial" w:hAnsi="Arial" w:eastAsia="宋体" w:cs="Arial"/>
                                <w:b/>
                                <w:snapToGrid w:val="0"/>
                                <w:kern w:val="0"/>
                                <w:sz w:val="28"/>
                              </w:rPr>
                              <w:t>关于</w:t>
                            </w:r>
                            <w:r>
                              <w:rPr>
                                <w:rFonts w:ascii="Arial" w:hAnsi="Arial" w:eastAsia="宋体" w:cs="Arial"/>
                                <w:b/>
                                <w:snapToGrid w:val="0"/>
                                <w:kern w:val="0"/>
                                <w:sz w:val="28"/>
                              </w:rPr>
                              <w:t>Rophae人工晶体的重要信息</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3pt;margin-top:45.6pt;height:140.1pt;width:232.45pt;rotation:-2449013f;z-index:251661312;mso-width-relative:page;mso-height-relative:page;" filled="f" stroked="f" coordsize="21600,21600" o:allowincell="f" o:gfxdata="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uqgGI2QAAAAkBAAAPAAAAAAAAAAEAIAAAACIAAABkcnMvZG93bnJldi54&#10;bWxQSwECFAAUAAAACACHTuJAC7bYijICAAA7BAAADgAAAAAAAAABACAAAAAoAQAAZHJzL2Uyb0Rv&#10;Yy54bWxQSwUGAAAAAAYABgBZAQAAzAUAAAAA&#10;">
                <v:fill on="f" focussize="0,0"/>
                <v:stroke on="f" miterlimit="8" joinstyle="miter"/>
                <v:imagedata o:title=""/>
                <o:lock v:ext="edit" aspectratio="f"/>
                <v:textbox>
                  <w:txbxContent>
                    <w:p w14:paraId="633F208C">
                      <w:pPr>
                        <w:snapToGrid w:val="0"/>
                        <w:spacing w:line="300" w:lineRule="auto"/>
                        <w:jc w:val="center"/>
                        <w:rPr>
                          <w:b/>
                          <w:sz w:val="32"/>
                        </w:rPr>
                      </w:pPr>
                      <w:r>
                        <w:rPr>
                          <w:rFonts w:hint="eastAsia" w:ascii="Arial" w:hAnsi="Arial" w:eastAsia="宋体" w:cs="Arial"/>
                          <w:b/>
                          <w:snapToGrid w:val="0"/>
                          <w:kern w:val="0"/>
                          <w:sz w:val="28"/>
                        </w:rPr>
                        <w:t>关于</w:t>
                      </w:r>
                      <w:r>
                        <w:rPr>
                          <w:rFonts w:ascii="Arial" w:hAnsi="Arial" w:eastAsia="宋体" w:cs="Arial"/>
                          <w:b/>
                          <w:snapToGrid w:val="0"/>
                          <w:kern w:val="0"/>
                          <w:sz w:val="28"/>
                        </w:rPr>
                        <w:t>Rophae人工晶体的重要信息</w:t>
                      </w:r>
                    </w:p>
                  </w:txbxContent>
                </v:textbox>
              </v:shape>
            </w:pict>
          </mc:Fallback>
        </mc:AlternateContent>
      </w:r>
    </w:p>
    <w:p w14:paraId="11BDEC0D">
      <w:pPr>
        <w:topLinePunct/>
        <w:adjustRightInd w:val="0"/>
        <w:snapToGrid w:val="0"/>
        <w:spacing w:after="234" w:afterLines="75" w:line="288" w:lineRule="auto"/>
        <w:rPr>
          <w:rFonts w:hint="eastAsia" w:eastAsia="等线"/>
          <w:lang w:eastAsia="zh-CN"/>
        </w:rPr>
      </w:pPr>
    </w:p>
    <w:p w14:paraId="2C5F3869">
      <w:pPr>
        <w:topLinePunct/>
        <w:adjustRightInd w:val="0"/>
        <w:snapToGrid w:val="0"/>
        <w:spacing w:after="234" w:afterLines="75" w:line="288" w:lineRule="auto"/>
        <w:jc w:val="center"/>
        <w:rPr>
          <w:rFonts w:hint="eastAsia" w:eastAsia="等线"/>
          <w:lang w:eastAsia="zh-CN"/>
        </w:rPr>
      </w:pPr>
    </w:p>
    <w:p w14:paraId="4BDB4B3B">
      <w:pPr>
        <w:topLinePunct/>
        <w:adjustRightInd w:val="0"/>
        <w:snapToGrid w:val="0"/>
        <w:spacing w:after="234" w:afterLines="75" w:line="288"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9" name="图片 9" descr="2"/>
            <wp:cNvGraphicFramePr/>
            <a:graphic xmlns:a="http://schemas.openxmlformats.org/drawingml/2006/main">
              <a:graphicData uri="http://schemas.openxmlformats.org/drawingml/2006/picture">
                <pic:pic xmlns:pic="http://schemas.openxmlformats.org/drawingml/2006/picture">
                  <pic:nvPicPr>
                    <pic:cNvPr id="9" name="图片 9" descr="2"/>
                    <pic:cNvPicPr/>
                  </pic:nvPicPr>
                  <pic:blipFill>
                    <a:blip r:embed="rId7"/>
                    <a:stretch>
                      <a:fillRect/>
                    </a:stretch>
                  </pic:blipFill>
                  <pic:spPr>
                    <a:xfrm>
                      <a:off x="0" y="0"/>
                      <a:ext cx="5210175" cy="7343775"/>
                    </a:xfrm>
                    <a:prstGeom prst="rect">
                      <a:avLst/>
                    </a:prstGeom>
                  </pic:spPr>
                </pic:pic>
              </a:graphicData>
            </a:graphic>
          </wp:inline>
        </w:drawing>
      </w:r>
    </w:p>
    <w:sectPr>
      <w:pgSz w:w="11906" w:h="16838"/>
      <w:pgMar w:top="1134" w:right="1440" w:bottom="1134" w:left="144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2631A5"/>
    <w:multiLevelType w:val="multilevel"/>
    <w:tmpl w:val="312631A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4E5"/>
    <w:rsid w:val="00012071"/>
    <w:rsid w:val="000232FA"/>
    <w:rsid w:val="000408F5"/>
    <w:rsid w:val="00052410"/>
    <w:rsid w:val="0009257A"/>
    <w:rsid w:val="000E2251"/>
    <w:rsid w:val="00170AEB"/>
    <w:rsid w:val="001E5FB8"/>
    <w:rsid w:val="002C5FD8"/>
    <w:rsid w:val="002D6142"/>
    <w:rsid w:val="003753E5"/>
    <w:rsid w:val="003B6B89"/>
    <w:rsid w:val="003C26FC"/>
    <w:rsid w:val="003E60EC"/>
    <w:rsid w:val="004447DA"/>
    <w:rsid w:val="00455AC3"/>
    <w:rsid w:val="004E3F2F"/>
    <w:rsid w:val="00572998"/>
    <w:rsid w:val="005B54C6"/>
    <w:rsid w:val="005B64FA"/>
    <w:rsid w:val="0064575B"/>
    <w:rsid w:val="00657D45"/>
    <w:rsid w:val="007169B0"/>
    <w:rsid w:val="00743D03"/>
    <w:rsid w:val="00794374"/>
    <w:rsid w:val="007B4767"/>
    <w:rsid w:val="00805C79"/>
    <w:rsid w:val="00812249"/>
    <w:rsid w:val="008219D2"/>
    <w:rsid w:val="0083757A"/>
    <w:rsid w:val="00852A59"/>
    <w:rsid w:val="00856383"/>
    <w:rsid w:val="008626E2"/>
    <w:rsid w:val="00875163"/>
    <w:rsid w:val="009111CD"/>
    <w:rsid w:val="00921183"/>
    <w:rsid w:val="009714B4"/>
    <w:rsid w:val="009A11A9"/>
    <w:rsid w:val="009F37EF"/>
    <w:rsid w:val="00A4761D"/>
    <w:rsid w:val="00AA7F28"/>
    <w:rsid w:val="00AB5346"/>
    <w:rsid w:val="00AE339E"/>
    <w:rsid w:val="00B33134"/>
    <w:rsid w:val="00B61ED8"/>
    <w:rsid w:val="00BA5759"/>
    <w:rsid w:val="00BB6C09"/>
    <w:rsid w:val="00BC091C"/>
    <w:rsid w:val="00C0008C"/>
    <w:rsid w:val="00C10BE5"/>
    <w:rsid w:val="00C13877"/>
    <w:rsid w:val="00EF2815"/>
    <w:rsid w:val="00EF3227"/>
    <w:rsid w:val="00F02090"/>
    <w:rsid w:val="00F312EB"/>
    <w:rsid w:val="00F34710"/>
    <w:rsid w:val="00F444E5"/>
    <w:rsid w:val="00FB7A34"/>
    <w:rsid w:val="2EAD1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Balloon Text"/>
    <w:basedOn w:val="1"/>
    <w:link w:val="12"/>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日期 Char"/>
    <w:basedOn w:val="8"/>
    <w:link w:val="2"/>
    <w:semiHidden/>
    <w:uiPriority w:val="99"/>
  </w:style>
  <w:style w:type="character" w:customStyle="1" w:styleId="10">
    <w:name w:val="页眉 Char"/>
    <w:basedOn w:val="8"/>
    <w:link w:val="5"/>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1402</Words>
  <Characters>1780</Characters>
  <Lines>13</Lines>
  <Paragraphs>3</Paragraphs>
  <TotalTime>1</TotalTime>
  <ScaleCrop>false</ScaleCrop>
  <LinksUpToDate>false</LinksUpToDate>
  <CharactersWithSpaces>1803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2017-12-18T15:06:00Z</dcterms:created>
  <dc:creator>Guozhen Liu</dc:creator>
  <cp:lastModifiedBy>太极箫客</cp:lastModifiedBy>
  <dcterms:modified xsi:type="dcterms:W3CDTF">2025-08-14T06:34:26Z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CBDE100E6D024A9099C1F482CF03001C_12</vt:lpwstr>
  </property>
</Properties>
</file>