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A853">
      <w:pPr>
        <w:overflowPunct w:val="0"/>
        <w:spacing w:before="120" w:beforeLines="50" w:line="300" w:lineRule="auto"/>
        <w:jc w:val="center"/>
        <w:rPr>
          <w:rFonts w:cs="Times New Roman"/>
          <w:b/>
          <w:sz w:val="44"/>
          <w:szCs w:val="24"/>
          <w:lang w:eastAsia="zh-CN"/>
        </w:rPr>
      </w:pPr>
      <w:bookmarkStart w:id="14" w:name="_GoBack"/>
      <w:bookmarkEnd w:id="14"/>
      <w:r>
        <w:rPr>
          <w:rFonts w:cs="宋体"/>
          <w:b/>
          <w:sz w:val="44"/>
          <w:lang w:eastAsia="zh-CN"/>
        </w:rPr>
        <w:t>关于FDA对组合产品的反馈请求</w:t>
      </w:r>
    </w:p>
    <w:p w14:paraId="773B43AD">
      <w:pPr>
        <w:overflowPunct w:val="0"/>
        <w:spacing w:before="120" w:beforeLines="50" w:line="300" w:lineRule="auto"/>
        <w:jc w:val="center"/>
        <w:rPr>
          <w:rFonts w:cs="Times New Roman"/>
          <w:b/>
          <w:sz w:val="44"/>
          <w:szCs w:val="24"/>
          <w:lang w:eastAsia="zh-CN"/>
        </w:rPr>
      </w:pPr>
      <w:r>
        <w:rPr>
          <w:rFonts w:cs="宋体"/>
          <w:b/>
          <w:sz w:val="44"/>
          <w:lang w:eastAsia="zh-CN"/>
        </w:rPr>
        <w:t>行业和FDA工作人员指南</w:t>
      </w:r>
    </w:p>
    <w:p w14:paraId="37A047A6">
      <w:pPr>
        <w:overflowPunct w:val="0"/>
        <w:spacing w:before="120" w:beforeLines="50" w:line="300" w:lineRule="auto"/>
        <w:rPr>
          <w:rFonts w:cs="Times New Roman"/>
          <w:i/>
          <w:sz w:val="24"/>
          <w:szCs w:val="24"/>
          <w:lang w:eastAsia="zh-CN"/>
        </w:rPr>
      </w:pPr>
    </w:p>
    <w:p w14:paraId="1AE97244">
      <w:pPr>
        <w:overflowPunct w:val="0"/>
        <w:spacing w:before="120" w:beforeLines="50" w:line="300" w:lineRule="auto"/>
        <w:rPr>
          <w:rFonts w:cs="Times New Roman"/>
          <w:i/>
          <w:sz w:val="24"/>
          <w:szCs w:val="24"/>
          <w:lang w:eastAsia="zh-CN"/>
        </w:rPr>
      </w:pPr>
    </w:p>
    <w:p w14:paraId="08D14EB5">
      <w:pPr>
        <w:overflowPunct w:val="0"/>
        <w:spacing w:before="120" w:beforeLines="50" w:line="300" w:lineRule="auto"/>
        <w:jc w:val="center"/>
        <w:rPr>
          <w:rFonts w:cs="Times New Roman"/>
          <w:i/>
          <w:sz w:val="24"/>
          <w:szCs w:val="24"/>
          <w:lang w:eastAsia="zh-CN"/>
        </w:rPr>
      </w:pPr>
      <w:r>
        <w:rPr>
          <w:rFonts w:cs="宋体"/>
          <w:i/>
          <w:sz w:val="24"/>
          <w:lang w:eastAsia="zh-CN"/>
        </w:rPr>
        <w:t>如需获取更多副本，请联系：</w:t>
      </w:r>
    </w:p>
    <w:p w14:paraId="60C52B7A">
      <w:pPr>
        <w:overflowPunct w:val="0"/>
        <w:spacing w:before="120" w:beforeLines="50" w:line="300" w:lineRule="auto"/>
        <w:jc w:val="center"/>
        <w:rPr>
          <w:rFonts w:cs="Times New Roman"/>
          <w:i/>
          <w:sz w:val="24"/>
          <w:szCs w:val="24"/>
          <w:lang w:eastAsia="zh-CN"/>
        </w:rPr>
      </w:pPr>
      <w:r>
        <w:rPr>
          <w:rFonts w:cs="宋体"/>
          <w:i/>
          <w:sz w:val="24"/>
          <w:lang w:eastAsia="zh-CN"/>
        </w:rPr>
        <w:t>组合产品办公室</w:t>
      </w:r>
    </w:p>
    <w:p w14:paraId="0721CA3B">
      <w:pPr>
        <w:overflowPunct w:val="0"/>
        <w:spacing w:before="120" w:beforeLines="50" w:line="300" w:lineRule="auto"/>
        <w:jc w:val="center"/>
        <w:rPr>
          <w:rFonts w:cs="Times New Roman"/>
          <w:i/>
          <w:sz w:val="24"/>
          <w:szCs w:val="24"/>
          <w:lang w:eastAsia="zh-CN"/>
        </w:rPr>
      </w:pPr>
      <w:r>
        <w:rPr>
          <w:rFonts w:cs="宋体"/>
          <w:i/>
          <w:sz w:val="24"/>
          <w:lang w:eastAsia="zh-CN"/>
        </w:rPr>
        <w:t>美国食品药品监督管理局</w:t>
      </w:r>
    </w:p>
    <w:p w14:paraId="3657E3EB">
      <w:pPr>
        <w:overflowPunct w:val="0"/>
        <w:spacing w:before="120" w:beforeLines="50" w:line="300" w:lineRule="auto"/>
        <w:jc w:val="center"/>
        <w:rPr>
          <w:rFonts w:cs="Times New Roman"/>
          <w:i/>
          <w:sz w:val="24"/>
          <w:szCs w:val="24"/>
        </w:rPr>
      </w:pPr>
      <w:r>
        <w:rPr>
          <w:rFonts w:cs="Times New Roman"/>
          <w:i/>
          <w:sz w:val="24"/>
          <w:szCs w:val="24"/>
        </w:rPr>
        <w:t>WO32, Hub/Mail Room #5129</w:t>
      </w:r>
    </w:p>
    <w:p w14:paraId="64CF87D5">
      <w:pPr>
        <w:overflowPunct w:val="0"/>
        <w:spacing w:before="120" w:beforeLines="50" w:line="300" w:lineRule="auto"/>
        <w:jc w:val="center"/>
        <w:rPr>
          <w:rFonts w:cs="Times New Roman"/>
          <w:i/>
          <w:sz w:val="24"/>
          <w:szCs w:val="24"/>
          <w:lang w:eastAsia="zh-CN"/>
        </w:rPr>
      </w:pPr>
      <w:r>
        <w:rPr>
          <w:rFonts w:cs="Times New Roman"/>
          <w:i/>
          <w:sz w:val="24"/>
          <w:szCs w:val="24"/>
        </w:rPr>
        <w:t>10903 New Hampshire Avenue</w:t>
      </w:r>
    </w:p>
    <w:p w14:paraId="089AF1F0">
      <w:pPr>
        <w:overflowPunct w:val="0"/>
        <w:spacing w:before="120" w:beforeLines="50" w:line="300" w:lineRule="auto"/>
        <w:jc w:val="center"/>
        <w:rPr>
          <w:rFonts w:cs="Times New Roman"/>
          <w:i/>
          <w:sz w:val="24"/>
          <w:szCs w:val="24"/>
        </w:rPr>
      </w:pPr>
      <w:r>
        <w:rPr>
          <w:rFonts w:cs="Times New Roman"/>
          <w:i/>
          <w:sz w:val="24"/>
          <w:szCs w:val="24"/>
        </w:rPr>
        <w:t>Silver Spring, MD 20993</w:t>
      </w:r>
    </w:p>
    <w:p w14:paraId="3B404BD2">
      <w:pPr>
        <w:overflowPunct w:val="0"/>
        <w:spacing w:before="120" w:beforeLines="50" w:line="300" w:lineRule="auto"/>
        <w:jc w:val="center"/>
        <w:rPr>
          <w:rFonts w:cs="Times New Roman"/>
          <w:i/>
          <w:sz w:val="24"/>
          <w:szCs w:val="24"/>
        </w:rPr>
      </w:pPr>
      <w:r>
        <w:rPr>
          <w:rFonts w:cs="Times New Roman"/>
          <w:i/>
          <w:sz w:val="24"/>
          <w:szCs w:val="24"/>
        </w:rPr>
        <w:t>（</w:t>
      </w:r>
      <w:r>
        <w:rPr>
          <w:rFonts w:hint="eastAsia" w:cs="Times New Roman"/>
          <w:i/>
          <w:sz w:val="24"/>
          <w:szCs w:val="24"/>
          <w:lang w:eastAsia="zh-CN"/>
        </w:rPr>
        <w:t>电话</w:t>
      </w:r>
      <w:r>
        <w:rPr>
          <w:rFonts w:cs="Times New Roman"/>
          <w:i/>
          <w:sz w:val="24"/>
          <w:szCs w:val="24"/>
        </w:rPr>
        <w:t>）301-796-8930</w:t>
      </w:r>
    </w:p>
    <w:p w14:paraId="2CA983A4">
      <w:pPr>
        <w:overflowPunct w:val="0"/>
        <w:spacing w:before="120" w:beforeLines="50" w:line="300" w:lineRule="auto"/>
        <w:jc w:val="center"/>
        <w:rPr>
          <w:rFonts w:cs="Times New Roman"/>
          <w:i/>
          <w:sz w:val="24"/>
          <w:szCs w:val="24"/>
          <w:lang w:eastAsia="zh-CN"/>
        </w:rPr>
      </w:pPr>
      <w:r>
        <w:rPr>
          <w:rFonts w:cs="Times New Roman"/>
          <w:i/>
          <w:sz w:val="24"/>
          <w:szCs w:val="24"/>
        </w:rPr>
        <w:t>（</w:t>
      </w:r>
      <w:r>
        <w:rPr>
          <w:rFonts w:hint="eastAsia" w:cs="Times New Roman"/>
          <w:i/>
          <w:sz w:val="24"/>
          <w:szCs w:val="24"/>
          <w:lang w:eastAsia="zh-CN"/>
        </w:rPr>
        <w:t>传真</w:t>
      </w:r>
      <w:r>
        <w:rPr>
          <w:rFonts w:cs="Times New Roman"/>
          <w:i/>
          <w:sz w:val="24"/>
          <w:szCs w:val="24"/>
        </w:rPr>
        <w:t>）</w:t>
      </w:r>
      <w:r>
        <w:rPr>
          <w:rFonts w:cs="Times New Roman"/>
          <w:i/>
          <w:sz w:val="24"/>
          <w:szCs w:val="24"/>
          <w:lang w:eastAsia="zh-CN"/>
        </w:rPr>
        <w:t>301-847-8619</w:t>
      </w:r>
    </w:p>
    <w:p w14:paraId="7E2C07EF">
      <w:pPr>
        <w:overflowPunct w:val="0"/>
        <w:spacing w:before="120" w:beforeLines="50" w:line="300" w:lineRule="auto"/>
        <w:jc w:val="center"/>
        <w:rPr>
          <w:rFonts w:cs="Times New Roman"/>
          <w:i/>
          <w:sz w:val="24"/>
          <w:szCs w:val="24"/>
          <w:lang w:eastAsia="zh-CN"/>
        </w:rPr>
      </w:pPr>
      <w:r>
        <w:rPr>
          <w:rFonts w:cs="Times New Roman"/>
          <w:i/>
          <w:color w:val="0000FF"/>
          <w:sz w:val="24"/>
          <w:szCs w:val="24"/>
          <w:u w:val="single" w:color="0000FF"/>
          <w:lang w:eastAsia="zh-CN"/>
        </w:rPr>
        <w:t>https://www.fda.gov/combination-products</w:t>
      </w:r>
    </w:p>
    <w:p w14:paraId="7A396876">
      <w:pPr>
        <w:overflowPunct w:val="0"/>
        <w:spacing w:before="120" w:beforeLines="50" w:line="300" w:lineRule="auto"/>
        <w:rPr>
          <w:rFonts w:cs="Times New Roman"/>
          <w:sz w:val="24"/>
          <w:szCs w:val="24"/>
        </w:rPr>
      </w:pPr>
      <w:r>
        <w:rPr>
          <w:rFonts w:cs="宋体"/>
          <w:sz w:val="24"/>
        </w:rPr>
        <w:t>如对本文件有任何疑问，请联系组合产品办公室，电话：301-796-8930，或发送电子邮件至</w:t>
      </w:r>
      <w:r>
        <w:rPr>
          <w:rFonts w:cs="宋体"/>
          <w:color w:val="0000FF"/>
          <w:sz w:val="24"/>
          <w:u w:val="single"/>
        </w:rPr>
        <w:t>combination@fda.gov</w:t>
      </w:r>
      <w:r>
        <w:rPr>
          <w:rFonts w:hint="eastAsia"/>
        </w:rPr>
        <w:t>。</w:t>
      </w:r>
    </w:p>
    <w:p w14:paraId="076974D3">
      <w:pPr>
        <w:overflowPunct w:val="0"/>
        <w:spacing w:before="120" w:beforeLines="50" w:line="300" w:lineRule="auto"/>
        <w:jc w:val="center"/>
        <w:rPr>
          <w:rFonts w:cs="Times New Roman"/>
          <w:b/>
          <w:sz w:val="24"/>
          <w:szCs w:val="24"/>
          <w:lang w:eastAsia="zh-CN"/>
        </w:rPr>
      </w:pPr>
    </w:p>
    <w:p w14:paraId="73B3832A">
      <w:pPr>
        <w:overflowPunct w:val="0"/>
        <w:spacing w:before="120" w:beforeLines="50" w:line="300" w:lineRule="auto"/>
        <w:jc w:val="center"/>
        <w:rPr>
          <w:rFonts w:cs="Times New Roman"/>
          <w:b/>
          <w:sz w:val="24"/>
          <w:szCs w:val="24"/>
          <w:lang w:eastAsia="zh-CN"/>
        </w:rPr>
      </w:pPr>
      <w:r>
        <w:rPr>
          <w:rFonts w:cs="宋体"/>
          <w:b/>
          <w:sz w:val="24"/>
          <w:lang w:eastAsia="zh-CN"/>
        </w:rPr>
        <w:t>美国卫生与公共服务部</w:t>
      </w:r>
    </w:p>
    <w:p w14:paraId="48BBCB28">
      <w:pPr>
        <w:overflowPunct w:val="0"/>
        <w:spacing w:before="120" w:beforeLines="50" w:line="300" w:lineRule="auto"/>
        <w:jc w:val="center"/>
        <w:rPr>
          <w:rFonts w:cs="Times New Roman"/>
          <w:b/>
          <w:sz w:val="24"/>
          <w:szCs w:val="24"/>
          <w:lang w:eastAsia="zh-CN"/>
        </w:rPr>
      </w:pPr>
      <w:r>
        <w:rPr>
          <w:rFonts w:cs="宋体"/>
          <w:b/>
          <w:sz w:val="24"/>
          <w:lang w:eastAsia="zh-CN"/>
        </w:rPr>
        <w:t>美国食品药品监督管理局</w:t>
      </w:r>
    </w:p>
    <w:p w14:paraId="676DA2C2">
      <w:pPr>
        <w:overflowPunct w:val="0"/>
        <w:spacing w:before="120" w:beforeLines="50" w:line="300" w:lineRule="auto"/>
        <w:jc w:val="center"/>
        <w:rPr>
          <w:rFonts w:cs="Times New Roman"/>
          <w:b/>
          <w:sz w:val="24"/>
          <w:szCs w:val="24"/>
          <w:lang w:eastAsia="zh-CN"/>
        </w:rPr>
      </w:pPr>
      <w:r>
        <w:rPr>
          <w:rFonts w:cs="宋体"/>
          <w:b/>
          <w:sz w:val="24"/>
          <w:lang w:eastAsia="zh-CN"/>
        </w:rPr>
        <w:t>组合产品办公室（OCP）</w:t>
      </w:r>
    </w:p>
    <w:p w14:paraId="7409D586">
      <w:pPr>
        <w:overflowPunct w:val="0"/>
        <w:spacing w:before="120" w:beforeLines="50" w:line="300" w:lineRule="auto"/>
        <w:jc w:val="center"/>
        <w:rPr>
          <w:rFonts w:cs="Times New Roman"/>
          <w:b/>
          <w:sz w:val="24"/>
          <w:szCs w:val="24"/>
          <w:lang w:eastAsia="zh-CN"/>
        </w:rPr>
      </w:pPr>
      <w:r>
        <w:rPr>
          <w:rFonts w:cs="宋体"/>
          <w:b/>
          <w:sz w:val="24"/>
          <w:lang w:eastAsia="zh-CN"/>
        </w:rPr>
        <w:t>生物制品评价与研究中心（CBER）</w:t>
      </w:r>
    </w:p>
    <w:p w14:paraId="385168D8">
      <w:pPr>
        <w:overflowPunct w:val="0"/>
        <w:spacing w:before="120" w:beforeLines="50" w:line="300" w:lineRule="auto"/>
        <w:jc w:val="center"/>
        <w:rPr>
          <w:rFonts w:cs="Times New Roman"/>
          <w:b/>
          <w:sz w:val="24"/>
          <w:szCs w:val="24"/>
          <w:lang w:eastAsia="zh-CN"/>
        </w:rPr>
      </w:pPr>
      <w:r>
        <w:rPr>
          <w:rFonts w:cs="宋体"/>
          <w:b/>
          <w:sz w:val="24"/>
          <w:lang w:eastAsia="zh-CN"/>
        </w:rPr>
        <w:t>药品评价与研究中心（CDER）</w:t>
      </w:r>
    </w:p>
    <w:p w14:paraId="2630075A">
      <w:pPr>
        <w:overflowPunct w:val="0"/>
        <w:spacing w:before="120" w:beforeLines="50" w:line="300" w:lineRule="auto"/>
        <w:jc w:val="center"/>
        <w:rPr>
          <w:rFonts w:cs="Times New Roman"/>
          <w:b/>
          <w:sz w:val="24"/>
          <w:szCs w:val="24"/>
          <w:lang w:eastAsia="zh-CN"/>
        </w:rPr>
      </w:pPr>
      <w:r>
        <w:rPr>
          <w:rFonts w:cs="宋体"/>
          <w:b/>
          <w:sz w:val="24"/>
          <w:lang w:eastAsia="zh-CN"/>
        </w:rPr>
        <w:t>医疗器械和辐射健康中心（CDRH）</w:t>
      </w:r>
    </w:p>
    <w:p w14:paraId="1B96DC38">
      <w:pPr>
        <w:overflowPunct w:val="0"/>
        <w:spacing w:before="120" w:beforeLines="50" w:line="300" w:lineRule="auto"/>
        <w:jc w:val="center"/>
        <w:rPr>
          <w:rFonts w:cs="Times New Roman"/>
          <w:b/>
          <w:sz w:val="24"/>
          <w:szCs w:val="24"/>
        </w:rPr>
      </w:pPr>
      <w:r>
        <w:rPr>
          <w:rFonts w:cs="宋体"/>
          <w:b/>
          <w:sz w:val="24"/>
        </w:rPr>
        <w:t>2020年12月</w:t>
      </w:r>
    </w:p>
    <w:p w14:paraId="058AFFA1">
      <w:pPr>
        <w:overflowPunct w:val="0"/>
        <w:spacing w:before="120" w:beforeLines="50" w:line="300" w:lineRule="auto"/>
        <w:rPr>
          <w:rFonts w:cs="Times New Roman"/>
          <w:b/>
          <w:sz w:val="24"/>
          <w:szCs w:val="24"/>
          <w:lang w:eastAsia="zh-CN"/>
        </w:rPr>
      </w:pPr>
    </w:p>
    <w:p w14:paraId="407D6834">
      <w:pPr>
        <w:overflowPunct w:val="0"/>
        <w:spacing w:before="120" w:beforeLines="50" w:line="300" w:lineRule="auto"/>
        <w:rPr>
          <w:rFonts w:cs="Times New Roman"/>
          <w:b/>
          <w:sz w:val="24"/>
          <w:szCs w:val="24"/>
        </w:rPr>
        <w:sectPr>
          <w:headerReference r:id="rId3" w:type="default"/>
          <w:footerReference r:id="rId4" w:type="default"/>
          <w:pgSz w:w="11907" w:h="16840"/>
          <w:pgMar w:top="1418" w:right="1418" w:bottom="1418" w:left="1418" w:header="720" w:footer="720" w:gutter="0"/>
          <w:pgNumType w:start="1"/>
          <w:cols w:space="720" w:num="1"/>
          <w:docGrid w:linePitch="286" w:charSpace="0"/>
        </w:sectPr>
      </w:pPr>
    </w:p>
    <w:p w14:paraId="26136CE2">
      <w:pPr>
        <w:overflowPunct w:val="0"/>
        <w:spacing w:before="120" w:beforeLines="50" w:line="300" w:lineRule="auto"/>
        <w:jc w:val="center"/>
        <w:rPr>
          <w:rFonts w:cs="Times New Roman"/>
          <w:b/>
          <w:sz w:val="24"/>
          <w:szCs w:val="24"/>
        </w:rPr>
      </w:pPr>
      <w:r>
        <w:rPr>
          <w:rFonts w:cs="宋体"/>
          <w:b/>
          <w:sz w:val="24"/>
        </w:rPr>
        <w:t>目录</w:t>
      </w:r>
    </w:p>
    <w:p w14:paraId="025DFC25">
      <w:pPr>
        <w:pStyle w:val="11"/>
        <w:rPr>
          <w:rFonts w:asciiTheme="minorHAnsi" w:hAnsiTheme="minorHAnsi" w:eastAsiaTheme="minorEastAsia"/>
          <w:kern w:val="2"/>
          <w:sz w:val="21"/>
          <w:szCs w:val="22"/>
          <w:lang w:eastAsia="zh-CN"/>
        </w:rPr>
      </w:pPr>
      <w:r>
        <w:rPr>
          <w:rFonts w:cs="宋体"/>
          <w:lang w:eastAsia="zh-CN"/>
        </w:rPr>
        <w:fldChar w:fldCharType="begin"/>
      </w:r>
      <w:r>
        <w:rPr>
          <w:rFonts w:cs="宋体"/>
          <w:lang w:eastAsia="zh-CN"/>
        </w:rPr>
        <w:instrText xml:space="preserve"> TOC \o "1-3" \h \z \u </w:instrText>
      </w:r>
      <w:r>
        <w:rPr>
          <w:rFonts w:cs="宋体"/>
          <w:lang w:eastAsia="zh-CN"/>
        </w:rPr>
        <w:fldChar w:fldCharType="separate"/>
      </w:r>
      <w:r>
        <w:fldChar w:fldCharType="begin"/>
      </w:r>
      <w:r>
        <w:instrText xml:space="preserve"> HYPERLINK \l "_Toc97888806" </w:instrText>
      </w:r>
      <w:r>
        <w:fldChar w:fldCharType="separate"/>
      </w:r>
      <w:r>
        <w:rPr>
          <w:rStyle w:val="17"/>
          <w:rFonts w:cs="宋体"/>
          <w:lang w:eastAsia="zh-CN"/>
        </w:rPr>
        <w:t>I.</w:t>
      </w:r>
      <w:r>
        <w:rPr>
          <w:rFonts w:asciiTheme="minorHAnsi" w:hAnsiTheme="minorHAnsi" w:eastAsiaTheme="minorEastAsia"/>
          <w:kern w:val="2"/>
          <w:sz w:val="21"/>
          <w:szCs w:val="22"/>
          <w:lang w:eastAsia="zh-CN"/>
        </w:rPr>
        <w:tab/>
      </w:r>
      <w:r>
        <w:rPr>
          <w:rStyle w:val="17"/>
          <w:rFonts w:hint="eastAsia" w:cs="宋体"/>
          <w:lang w:eastAsia="zh-CN"/>
        </w:rPr>
        <w:t>引言</w:t>
      </w:r>
      <w:r>
        <w:tab/>
      </w:r>
      <w:r>
        <w:fldChar w:fldCharType="begin"/>
      </w:r>
      <w:r>
        <w:instrText xml:space="preserve"> PAGEREF _Toc97888806 \h </w:instrText>
      </w:r>
      <w:r>
        <w:fldChar w:fldCharType="separate"/>
      </w:r>
      <w:r>
        <w:t>2</w:t>
      </w:r>
      <w:r>
        <w:fldChar w:fldCharType="end"/>
      </w:r>
      <w:r>
        <w:fldChar w:fldCharType="end"/>
      </w:r>
    </w:p>
    <w:p w14:paraId="6A9ED495">
      <w:pPr>
        <w:pStyle w:val="11"/>
        <w:rPr>
          <w:rFonts w:asciiTheme="minorHAnsi" w:hAnsiTheme="minorHAnsi" w:eastAsiaTheme="minorEastAsia"/>
          <w:kern w:val="2"/>
          <w:sz w:val="21"/>
          <w:szCs w:val="22"/>
          <w:lang w:eastAsia="zh-CN"/>
        </w:rPr>
      </w:pPr>
      <w:r>
        <w:fldChar w:fldCharType="begin"/>
      </w:r>
      <w:r>
        <w:instrText xml:space="preserve"> HYPERLINK \l "_Toc97888807" </w:instrText>
      </w:r>
      <w:r>
        <w:fldChar w:fldCharType="separate"/>
      </w:r>
      <w:r>
        <w:rPr>
          <w:rStyle w:val="17"/>
          <w:rFonts w:cs="宋体"/>
          <w:lang w:eastAsia="zh-CN"/>
        </w:rPr>
        <w:t>II.</w:t>
      </w:r>
      <w:r>
        <w:rPr>
          <w:rFonts w:asciiTheme="minorHAnsi" w:hAnsiTheme="minorHAnsi" w:eastAsiaTheme="minorEastAsia"/>
          <w:kern w:val="2"/>
          <w:sz w:val="21"/>
          <w:szCs w:val="22"/>
          <w:lang w:eastAsia="zh-CN"/>
        </w:rPr>
        <w:tab/>
      </w:r>
      <w:r>
        <w:rPr>
          <w:rStyle w:val="17"/>
          <w:rFonts w:hint="eastAsia" w:cs="宋体"/>
          <w:lang w:eastAsia="zh-CN"/>
        </w:rPr>
        <w:t>背景</w:t>
      </w:r>
      <w:r>
        <w:tab/>
      </w:r>
      <w:r>
        <w:fldChar w:fldCharType="begin"/>
      </w:r>
      <w:r>
        <w:instrText xml:space="preserve"> PAGEREF _Toc97888807 \h </w:instrText>
      </w:r>
      <w:r>
        <w:fldChar w:fldCharType="separate"/>
      </w:r>
      <w:r>
        <w:t>3</w:t>
      </w:r>
      <w:r>
        <w:fldChar w:fldCharType="end"/>
      </w:r>
      <w:r>
        <w:fldChar w:fldCharType="end"/>
      </w:r>
    </w:p>
    <w:p w14:paraId="6A4E3A5C">
      <w:pPr>
        <w:pStyle w:val="12"/>
        <w:rPr>
          <w:rFonts w:asciiTheme="minorHAnsi" w:hAnsiTheme="minorHAnsi" w:eastAsiaTheme="minorEastAsia"/>
          <w:kern w:val="2"/>
          <w:sz w:val="21"/>
          <w:szCs w:val="22"/>
          <w:lang w:eastAsia="zh-CN"/>
        </w:rPr>
      </w:pPr>
      <w:r>
        <w:fldChar w:fldCharType="begin"/>
      </w:r>
      <w:r>
        <w:instrText xml:space="preserve"> HYPERLINK \l "_Toc97888808"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什么是组合产品，</w:t>
      </w:r>
      <w:r>
        <w:rPr>
          <w:rStyle w:val="17"/>
          <w:rFonts w:cs="宋体"/>
          <w:lang w:eastAsia="zh-CN"/>
        </w:rPr>
        <w:t>FDA</w:t>
      </w:r>
      <w:r>
        <w:rPr>
          <w:rStyle w:val="17"/>
          <w:rFonts w:hint="eastAsia" w:cs="宋体"/>
          <w:lang w:eastAsia="zh-CN"/>
        </w:rPr>
        <w:t>如何监管该类产品？</w:t>
      </w:r>
      <w:r>
        <w:tab/>
      </w:r>
      <w:r>
        <w:fldChar w:fldCharType="begin"/>
      </w:r>
      <w:r>
        <w:instrText xml:space="preserve"> PAGEREF _Toc97888808 \h </w:instrText>
      </w:r>
      <w:r>
        <w:fldChar w:fldCharType="separate"/>
      </w:r>
      <w:r>
        <w:t>3</w:t>
      </w:r>
      <w:r>
        <w:fldChar w:fldCharType="end"/>
      </w:r>
      <w:r>
        <w:fldChar w:fldCharType="end"/>
      </w:r>
    </w:p>
    <w:p w14:paraId="5621D148">
      <w:pPr>
        <w:pStyle w:val="12"/>
        <w:rPr>
          <w:rFonts w:asciiTheme="minorHAnsi" w:hAnsiTheme="minorHAnsi" w:eastAsiaTheme="minorEastAsia"/>
          <w:kern w:val="2"/>
          <w:sz w:val="21"/>
          <w:szCs w:val="22"/>
          <w:lang w:eastAsia="zh-CN"/>
        </w:rPr>
      </w:pPr>
      <w:r>
        <w:fldChar w:fldCharType="begin"/>
      </w:r>
      <w:r>
        <w:instrText xml:space="preserve"> HYPERLINK \l "_Toc97888809"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hint="eastAsia" w:cs="宋体"/>
          <w:lang w:eastAsia="zh-CN"/>
        </w:rPr>
        <w:t>如有初步或一般问题，应该联系谁？</w:t>
      </w:r>
      <w:r>
        <w:tab/>
      </w:r>
      <w:r>
        <w:fldChar w:fldCharType="begin"/>
      </w:r>
      <w:r>
        <w:instrText xml:space="preserve"> PAGEREF _Toc97888809 \h </w:instrText>
      </w:r>
      <w:r>
        <w:fldChar w:fldCharType="separate"/>
      </w:r>
      <w:r>
        <w:t>3</w:t>
      </w:r>
      <w:r>
        <w:fldChar w:fldCharType="end"/>
      </w:r>
      <w:r>
        <w:fldChar w:fldCharType="end"/>
      </w:r>
    </w:p>
    <w:p w14:paraId="6A66ACA4">
      <w:pPr>
        <w:pStyle w:val="11"/>
        <w:rPr>
          <w:rFonts w:asciiTheme="minorHAnsi" w:hAnsiTheme="minorHAnsi" w:eastAsiaTheme="minorEastAsia"/>
          <w:kern w:val="2"/>
          <w:sz w:val="21"/>
          <w:szCs w:val="22"/>
          <w:lang w:eastAsia="zh-CN"/>
        </w:rPr>
      </w:pPr>
      <w:r>
        <w:fldChar w:fldCharType="begin"/>
      </w:r>
      <w:r>
        <w:instrText xml:space="preserve"> HYPERLINK \l "_Toc97888810" </w:instrText>
      </w:r>
      <w:r>
        <w:fldChar w:fldCharType="separate"/>
      </w:r>
      <w:r>
        <w:rPr>
          <w:rStyle w:val="17"/>
          <w:rFonts w:cs="宋体"/>
          <w:lang w:eastAsia="zh-CN"/>
        </w:rPr>
        <w:t>III.</w:t>
      </w:r>
      <w:r>
        <w:rPr>
          <w:rFonts w:asciiTheme="minorHAnsi" w:hAnsiTheme="minorHAnsi" w:eastAsiaTheme="minorEastAsia"/>
          <w:kern w:val="2"/>
          <w:sz w:val="21"/>
          <w:szCs w:val="22"/>
          <w:lang w:eastAsia="zh-CN"/>
        </w:rPr>
        <w:tab/>
      </w:r>
      <w:r>
        <w:rPr>
          <w:rStyle w:val="17"/>
          <w:rFonts w:hint="eastAsia" w:cs="宋体"/>
          <w:lang w:eastAsia="zh-CN"/>
        </w:rPr>
        <w:t>关于</w:t>
      </w:r>
      <w:r>
        <w:rPr>
          <w:rStyle w:val="17"/>
          <w:rFonts w:cs="宋体"/>
          <w:lang w:eastAsia="zh-CN"/>
        </w:rPr>
        <w:t>FDA</w:t>
      </w:r>
      <w:r>
        <w:rPr>
          <w:rStyle w:val="17"/>
          <w:rFonts w:hint="eastAsia" w:cs="宋体"/>
          <w:lang w:eastAsia="zh-CN"/>
        </w:rPr>
        <w:t>与组合产品申请人之间交流的最佳实践</w:t>
      </w:r>
      <w:r>
        <w:tab/>
      </w:r>
      <w:r>
        <w:fldChar w:fldCharType="begin"/>
      </w:r>
      <w:r>
        <w:instrText xml:space="preserve"> PAGEREF _Toc97888810 \h </w:instrText>
      </w:r>
      <w:r>
        <w:fldChar w:fldCharType="separate"/>
      </w:r>
      <w:r>
        <w:t>4</w:t>
      </w:r>
      <w:r>
        <w:fldChar w:fldCharType="end"/>
      </w:r>
      <w:r>
        <w:fldChar w:fldCharType="end"/>
      </w:r>
    </w:p>
    <w:p w14:paraId="7FFA0895">
      <w:pPr>
        <w:pStyle w:val="12"/>
        <w:rPr>
          <w:rFonts w:asciiTheme="minorHAnsi" w:hAnsiTheme="minorHAnsi" w:eastAsiaTheme="minorEastAsia"/>
          <w:kern w:val="2"/>
          <w:sz w:val="21"/>
          <w:szCs w:val="22"/>
          <w:lang w:eastAsia="zh-CN"/>
        </w:rPr>
      </w:pPr>
      <w:r>
        <w:fldChar w:fldCharType="begin"/>
      </w:r>
      <w:r>
        <w:instrText xml:space="preserve"> HYPERLINK \l "_Toc97888811"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申请人最佳实践</w:t>
      </w:r>
      <w:r>
        <w:tab/>
      </w:r>
      <w:r>
        <w:fldChar w:fldCharType="begin"/>
      </w:r>
      <w:r>
        <w:instrText xml:space="preserve"> PAGEREF _Toc97888811 \h </w:instrText>
      </w:r>
      <w:r>
        <w:fldChar w:fldCharType="separate"/>
      </w:r>
      <w:r>
        <w:t>5</w:t>
      </w:r>
      <w:r>
        <w:fldChar w:fldCharType="end"/>
      </w:r>
      <w:r>
        <w:fldChar w:fldCharType="end"/>
      </w:r>
    </w:p>
    <w:p w14:paraId="362849BF">
      <w:pPr>
        <w:pStyle w:val="12"/>
        <w:rPr>
          <w:rFonts w:asciiTheme="minorHAnsi" w:hAnsiTheme="minorHAnsi" w:eastAsiaTheme="minorEastAsia"/>
          <w:kern w:val="2"/>
          <w:sz w:val="21"/>
          <w:szCs w:val="22"/>
          <w:lang w:eastAsia="zh-CN"/>
        </w:rPr>
      </w:pPr>
      <w:r>
        <w:fldChar w:fldCharType="begin"/>
      </w:r>
      <w:r>
        <w:instrText xml:space="preserve"> HYPERLINK \l "_Toc97888812"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cs="宋体"/>
          <w:lang w:eastAsia="zh-CN"/>
        </w:rPr>
        <w:t>FDA</w:t>
      </w:r>
      <w:r>
        <w:rPr>
          <w:rStyle w:val="17"/>
          <w:rFonts w:hint="eastAsia" w:cs="宋体"/>
          <w:lang w:eastAsia="zh-CN"/>
        </w:rPr>
        <w:t>最佳实践</w:t>
      </w:r>
      <w:r>
        <w:tab/>
      </w:r>
      <w:r>
        <w:fldChar w:fldCharType="begin"/>
      </w:r>
      <w:r>
        <w:instrText xml:space="preserve"> PAGEREF _Toc97888812 \h </w:instrText>
      </w:r>
      <w:r>
        <w:fldChar w:fldCharType="separate"/>
      </w:r>
      <w:r>
        <w:t>6</w:t>
      </w:r>
      <w:r>
        <w:fldChar w:fldCharType="end"/>
      </w:r>
      <w:r>
        <w:fldChar w:fldCharType="end"/>
      </w:r>
    </w:p>
    <w:p w14:paraId="42A1E367">
      <w:pPr>
        <w:pStyle w:val="11"/>
        <w:rPr>
          <w:rFonts w:asciiTheme="minorHAnsi" w:hAnsiTheme="minorHAnsi" w:eastAsiaTheme="minorEastAsia"/>
          <w:kern w:val="2"/>
          <w:sz w:val="21"/>
          <w:szCs w:val="22"/>
          <w:lang w:eastAsia="zh-CN"/>
        </w:rPr>
      </w:pPr>
      <w:r>
        <w:fldChar w:fldCharType="begin"/>
      </w:r>
      <w:r>
        <w:instrText xml:space="preserve"> HYPERLINK \l "_Toc97888813" </w:instrText>
      </w:r>
      <w:r>
        <w:fldChar w:fldCharType="separate"/>
      </w:r>
      <w:r>
        <w:rPr>
          <w:rStyle w:val="17"/>
          <w:rFonts w:cs="宋体"/>
          <w:lang w:eastAsia="zh-CN"/>
        </w:rPr>
        <w:t>IV.</w:t>
      </w:r>
      <w:r>
        <w:rPr>
          <w:rFonts w:asciiTheme="minorHAnsi" w:hAnsiTheme="minorHAnsi" w:eastAsiaTheme="minorEastAsia"/>
          <w:kern w:val="2"/>
          <w:sz w:val="21"/>
          <w:szCs w:val="22"/>
          <w:lang w:eastAsia="zh-CN"/>
        </w:rPr>
        <w:tab/>
      </w:r>
      <w:r>
        <w:rPr>
          <w:rStyle w:val="17"/>
          <w:rFonts w:hint="eastAsia" w:cs="宋体"/>
          <w:lang w:eastAsia="zh-CN"/>
        </w:rPr>
        <w:t>组合产品的可用反馈机制</w:t>
      </w:r>
      <w:r>
        <w:tab/>
      </w:r>
      <w:r>
        <w:fldChar w:fldCharType="begin"/>
      </w:r>
      <w:r>
        <w:instrText xml:space="preserve"> PAGEREF _Toc97888813 \h </w:instrText>
      </w:r>
      <w:r>
        <w:fldChar w:fldCharType="separate"/>
      </w:r>
      <w:r>
        <w:t>7</w:t>
      </w:r>
      <w:r>
        <w:fldChar w:fldCharType="end"/>
      </w:r>
      <w:r>
        <w:fldChar w:fldCharType="end"/>
      </w:r>
    </w:p>
    <w:p w14:paraId="579DB70A">
      <w:pPr>
        <w:pStyle w:val="12"/>
        <w:rPr>
          <w:rFonts w:asciiTheme="minorHAnsi" w:hAnsiTheme="minorHAnsi" w:eastAsiaTheme="minorEastAsia"/>
          <w:kern w:val="2"/>
          <w:sz w:val="21"/>
          <w:szCs w:val="22"/>
          <w:lang w:eastAsia="zh-CN"/>
        </w:rPr>
      </w:pPr>
      <w:r>
        <w:fldChar w:fldCharType="begin"/>
      </w:r>
      <w:r>
        <w:instrText xml:space="preserve"> HYPERLINK \l "_Toc97888814"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基于申请的机制</w:t>
      </w:r>
      <w:r>
        <w:tab/>
      </w:r>
      <w:r>
        <w:fldChar w:fldCharType="begin"/>
      </w:r>
      <w:r>
        <w:instrText xml:space="preserve"> PAGEREF _Toc97888814 \h </w:instrText>
      </w:r>
      <w:r>
        <w:fldChar w:fldCharType="separate"/>
      </w:r>
      <w:r>
        <w:t>7</w:t>
      </w:r>
      <w:r>
        <w:fldChar w:fldCharType="end"/>
      </w:r>
      <w:r>
        <w:fldChar w:fldCharType="end"/>
      </w:r>
    </w:p>
    <w:p w14:paraId="5883E58E">
      <w:pPr>
        <w:pStyle w:val="12"/>
        <w:rPr>
          <w:rFonts w:asciiTheme="minorHAnsi" w:hAnsiTheme="minorHAnsi" w:eastAsiaTheme="minorEastAsia"/>
          <w:kern w:val="2"/>
          <w:sz w:val="21"/>
          <w:szCs w:val="22"/>
          <w:lang w:eastAsia="zh-CN"/>
        </w:rPr>
      </w:pPr>
      <w:r>
        <w:fldChar w:fldCharType="begin"/>
      </w:r>
      <w:r>
        <w:instrText xml:space="preserve"> HYPERLINK \l "_Toc97888815"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hint="eastAsia" w:cs="宋体"/>
          <w:lang w:eastAsia="zh-CN"/>
        </w:rPr>
        <w:t>组合产品协议会议（</w:t>
      </w:r>
      <w:r>
        <w:rPr>
          <w:rStyle w:val="17"/>
          <w:rFonts w:cs="宋体"/>
          <w:lang w:eastAsia="zh-CN"/>
        </w:rPr>
        <w:t>CPAM</w:t>
      </w:r>
      <w:r>
        <w:rPr>
          <w:rStyle w:val="17"/>
          <w:rFonts w:hint="eastAsia" w:cs="宋体"/>
          <w:lang w:eastAsia="zh-CN"/>
        </w:rPr>
        <w:t>）</w:t>
      </w:r>
      <w:r>
        <w:tab/>
      </w:r>
      <w:r>
        <w:fldChar w:fldCharType="begin"/>
      </w:r>
      <w:r>
        <w:instrText xml:space="preserve"> PAGEREF _Toc97888815 \h </w:instrText>
      </w:r>
      <w:r>
        <w:fldChar w:fldCharType="separate"/>
      </w:r>
      <w:r>
        <w:t>9</w:t>
      </w:r>
      <w:r>
        <w:fldChar w:fldCharType="end"/>
      </w:r>
      <w:r>
        <w:fldChar w:fldCharType="end"/>
      </w:r>
    </w:p>
    <w:p w14:paraId="570A5A24">
      <w:pPr>
        <w:pStyle w:val="12"/>
        <w:rPr>
          <w:rFonts w:asciiTheme="minorHAnsi" w:hAnsiTheme="minorHAnsi" w:eastAsiaTheme="minorEastAsia"/>
          <w:kern w:val="2"/>
          <w:sz w:val="21"/>
          <w:szCs w:val="22"/>
          <w:lang w:eastAsia="zh-CN"/>
        </w:rPr>
      </w:pPr>
      <w:r>
        <w:fldChar w:fldCharType="begin"/>
      </w:r>
      <w:r>
        <w:instrText xml:space="preserve"> HYPERLINK \l "_Toc97888816" </w:instrText>
      </w:r>
      <w:r>
        <w:fldChar w:fldCharType="separate"/>
      </w:r>
      <w:r>
        <w:rPr>
          <w:rStyle w:val="17"/>
          <w:rFonts w:cs="宋体"/>
          <w:lang w:eastAsia="zh-CN"/>
        </w:rPr>
        <w:t>C.</w:t>
      </w:r>
      <w:r>
        <w:rPr>
          <w:rFonts w:asciiTheme="minorHAnsi" w:hAnsiTheme="minorHAnsi" w:eastAsiaTheme="minorEastAsia"/>
          <w:kern w:val="2"/>
          <w:sz w:val="21"/>
          <w:szCs w:val="22"/>
          <w:lang w:eastAsia="zh-CN"/>
        </w:rPr>
        <w:tab/>
      </w:r>
      <w:r>
        <w:rPr>
          <w:rStyle w:val="17"/>
          <w:rFonts w:hint="eastAsia" w:cs="宋体"/>
          <w:lang w:eastAsia="zh-CN"/>
        </w:rPr>
        <w:t>使用基于申请的机制、</w:t>
      </w:r>
      <w:r>
        <w:rPr>
          <w:rStyle w:val="17"/>
          <w:rFonts w:cs="宋体"/>
          <w:lang w:eastAsia="zh-CN"/>
        </w:rPr>
        <w:t>CPAM</w:t>
      </w:r>
      <w:r>
        <w:rPr>
          <w:rStyle w:val="17"/>
          <w:rFonts w:hint="eastAsia" w:cs="宋体"/>
          <w:lang w:eastAsia="zh-CN"/>
        </w:rPr>
        <w:t>和争议解决方案</w:t>
      </w:r>
      <w:r>
        <w:tab/>
      </w:r>
      <w:r>
        <w:fldChar w:fldCharType="begin"/>
      </w:r>
      <w:r>
        <w:instrText xml:space="preserve"> PAGEREF _Toc97888816 \h </w:instrText>
      </w:r>
      <w:r>
        <w:fldChar w:fldCharType="separate"/>
      </w:r>
      <w:r>
        <w:t>15</w:t>
      </w:r>
      <w:r>
        <w:fldChar w:fldCharType="end"/>
      </w:r>
      <w:r>
        <w:fldChar w:fldCharType="end"/>
      </w:r>
    </w:p>
    <w:p w14:paraId="433103F3">
      <w:pPr>
        <w:pStyle w:val="11"/>
        <w:rPr>
          <w:rFonts w:asciiTheme="minorHAnsi" w:hAnsiTheme="minorHAnsi" w:eastAsiaTheme="minorEastAsia"/>
          <w:kern w:val="2"/>
          <w:sz w:val="21"/>
          <w:szCs w:val="22"/>
          <w:lang w:eastAsia="zh-CN"/>
        </w:rPr>
      </w:pPr>
      <w:r>
        <w:fldChar w:fldCharType="begin"/>
      </w:r>
      <w:r>
        <w:instrText xml:space="preserve"> HYPERLINK \l "_Toc97888817" </w:instrText>
      </w:r>
      <w:r>
        <w:fldChar w:fldCharType="separate"/>
      </w:r>
      <w:r>
        <w:rPr>
          <w:rStyle w:val="17"/>
          <w:rFonts w:hint="eastAsia" w:cs="宋体"/>
          <w:lang w:eastAsia="zh-CN"/>
        </w:rPr>
        <w:t>附录</w:t>
      </w:r>
      <w:r>
        <w:rPr>
          <w:rStyle w:val="17"/>
          <w:rFonts w:cs="宋体"/>
          <w:lang w:eastAsia="zh-CN"/>
        </w:rPr>
        <w:t xml:space="preserve">1. </w:t>
      </w:r>
      <w:r>
        <w:rPr>
          <w:rStyle w:val="17"/>
          <w:rFonts w:hint="eastAsia" w:cs="宋体"/>
          <w:lang w:eastAsia="zh-CN"/>
        </w:rPr>
        <w:t>器械主导型组合产品的基于申请的机制示例</w:t>
      </w:r>
      <w:r>
        <w:tab/>
      </w:r>
      <w:r>
        <w:fldChar w:fldCharType="begin"/>
      </w:r>
      <w:r>
        <w:instrText xml:space="preserve"> PAGEREF _Toc97888817 \h </w:instrText>
      </w:r>
      <w:r>
        <w:fldChar w:fldCharType="separate"/>
      </w:r>
      <w:r>
        <w:t>16</w:t>
      </w:r>
      <w:r>
        <w:fldChar w:fldCharType="end"/>
      </w:r>
      <w:r>
        <w:fldChar w:fldCharType="end"/>
      </w:r>
    </w:p>
    <w:p w14:paraId="4A715832">
      <w:pPr>
        <w:pStyle w:val="11"/>
        <w:rPr>
          <w:rFonts w:asciiTheme="minorHAnsi" w:hAnsiTheme="minorHAnsi" w:eastAsiaTheme="minorEastAsia"/>
          <w:kern w:val="2"/>
          <w:sz w:val="21"/>
          <w:szCs w:val="22"/>
          <w:lang w:eastAsia="zh-CN"/>
        </w:rPr>
      </w:pPr>
      <w:r>
        <w:fldChar w:fldCharType="begin"/>
      </w:r>
      <w:r>
        <w:instrText xml:space="preserve"> HYPERLINK \l "_Toc97888818" </w:instrText>
      </w:r>
      <w:r>
        <w:fldChar w:fldCharType="separate"/>
      </w:r>
      <w:r>
        <w:rPr>
          <w:rStyle w:val="17"/>
          <w:rFonts w:hint="eastAsia" w:cs="宋体"/>
          <w:lang w:eastAsia="zh-CN"/>
        </w:rPr>
        <w:t>附录</w:t>
      </w:r>
      <w:r>
        <w:rPr>
          <w:rStyle w:val="17"/>
          <w:rFonts w:cs="宋体"/>
          <w:lang w:eastAsia="zh-CN"/>
        </w:rPr>
        <w:t xml:space="preserve">2. </w:t>
      </w:r>
      <w:r>
        <w:rPr>
          <w:rStyle w:val="17"/>
          <w:rFonts w:hint="eastAsia" w:cs="宋体"/>
          <w:lang w:eastAsia="zh-CN"/>
        </w:rPr>
        <w:t>药物或生物制品主导型组合产品可用的基于申请的机制示例</w:t>
      </w:r>
      <w:r>
        <w:tab/>
      </w:r>
      <w:r>
        <w:fldChar w:fldCharType="begin"/>
      </w:r>
      <w:r>
        <w:instrText xml:space="preserve"> PAGEREF _Toc97888818 \h </w:instrText>
      </w:r>
      <w:r>
        <w:fldChar w:fldCharType="separate"/>
      </w:r>
      <w:r>
        <w:t>17</w:t>
      </w:r>
      <w:r>
        <w:fldChar w:fldCharType="end"/>
      </w:r>
      <w:r>
        <w:fldChar w:fldCharType="end"/>
      </w:r>
    </w:p>
    <w:p w14:paraId="3D7C39CF">
      <w:pPr>
        <w:overflowPunct w:val="0"/>
        <w:spacing w:before="120" w:beforeLines="50" w:line="300" w:lineRule="auto"/>
        <w:jc w:val="center"/>
        <w:rPr>
          <w:rFonts w:cs="Times New Roman"/>
          <w:b/>
          <w:sz w:val="44"/>
          <w:szCs w:val="24"/>
          <w:lang w:eastAsia="zh-CN"/>
        </w:rPr>
      </w:pPr>
      <w:r>
        <w:rPr>
          <w:rFonts w:cs="宋体"/>
          <w:sz w:val="24"/>
          <w:lang w:eastAsia="zh-CN"/>
        </w:rPr>
        <w:fldChar w:fldCharType="end"/>
      </w:r>
      <w:r>
        <w:rPr>
          <w:rFonts w:cs="宋体"/>
          <w:sz w:val="24"/>
          <w:lang w:eastAsia="zh-CN"/>
        </w:rPr>
        <w:br w:type="page"/>
      </w:r>
      <w:r>
        <w:rPr>
          <w:rFonts w:cs="宋体"/>
          <w:b/>
          <w:sz w:val="24"/>
          <w:lang w:eastAsia="zh-CN"/>
        </w:rPr>
        <w:t>关于FDA对组合产品的反馈请求</w:t>
      </w:r>
    </w:p>
    <w:p w14:paraId="61C28833">
      <w:pPr>
        <w:overflowPunct w:val="0"/>
        <w:spacing w:before="120" w:beforeLines="50" w:line="300" w:lineRule="auto"/>
        <w:jc w:val="center"/>
        <w:rPr>
          <w:rFonts w:cs="Times New Roman"/>
          <w:b/>
          <w:sz w:val="44"/>
          <w:szCs w:val="24"/>
          <w:lang w:eastAsia="zh-CN"/>
        </w:rPr>
      </w:pPr>
      <w:r>
        <w:rPr>
          <w:rFonts w:cs="宋体"/>
          <w:b/>
          <w:sz w:val="44"/>
          <w:lang w:eastAsia="zh-CN"/>
        </w:rPr>
        <w:t>行业和FDA工作人员指南</w:t>
      </w:r>
    </w:p>
    <w:p w14:paraId="7EEFE9BC">
      <w:pPr>
        <w:pBdr>
          <w:top w:val="single" w:color="auto" w:sz="4" w:space="1"/>
          <w:left w:val="single" w:color="auto" w:sz="4" w:space="4"/>
          <w:bottom w:val="single" w:color="auto" w:sz="4" w:space="1"/>
          <w:right w:val="single" w:color="auto" w:sz="4" w:space="4"/>
        </w:pBdr>
        <w:overflowPunct w:val="0"/>
        <w:spacing w:before="120" w:beforeLines="50" w:line="300" w:lineRule="auto"/>
        <w:rPr>
          <w:rFonts w:cs="Times New Roman"/>
          <w:sz w:val="24"/>
          <w:szCs w:val="24"/>
          <w:lang w:eastAsia="zh-CN"/>
        </w:rPr>
      </w:pPr>
      <w:r>
        <w:rPr>
          <w:rFonts w:hint="eastAsia" w:cs="宋体"/>
          <w:sz w:val="24"/>
          <w:lang w:eastAsia="zh-CN"/>
        </w:rPr>
        <w:t>本指南的定稿将代表美国食品药品监督管理局（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p w14:paraId="54E6D000">
      <w:pPr>
        <w:pStyle w:val="2"/>
        <w:overflowPunct w:val="0"/>
        <w:rPr>
          <w:lang w:eastAsia="zh-CN"/>
        </w:rPr>
      </w:pPr>
      <w:bookmarkStart w:id="0" w:name="_Toc97888806"/>
      <w:r>
        <w:rPr>
          <w:rFonts w:cs="宋体"/>
          <w:lang w:eastAsia="zh-CN"/>
        </w:rPr>
        <w:t>I.</w:t>
      </w:r>
      <w:r>
        <w:rPr>
          <w:rFonts w:cs="宋体"/>
          <w:lang w:eastAsia="zh-CN"/>
        </w:rPr>
        <w:tab/>
      </w:r>
      <w:r>
        <w:rPr>
          <w:rFonts w:cs="宋体"/>
          <w:lang w:eastAsia="zh-CN"/>
        </w:rPr>
        <w:t>引言</w:t>
      </w:r>
      <w:bookmarkEnd w:id="0"/>
    </w:p>
    <w:p w14:paraId="35C66FD6">
      <w:pPr>
        <w:overflowPunct w:val="0"/>
        <w:spacing w:before="120" w:beforeLines="50" w:line="300" w:lineRule="auto"/>
        <w:rPr>
          <w:rFonts w:cs="Times New Roman"/>
          <w:sz w:val="24"/>
          <w:szCs w:val="24"/>
          <w:lang w:eastAsia="zh-CN"/>
        </w:rPr>
      </w:pPr>
      <w:r>
        <w:rPr>
          <w:rFonts w:cs="宋体"/>
          <w:sz w:val="24"/>
          <w:lang w:eastAsia="zh-CN"/>
        </w:rPr>
        <w:t>本指南的目的是讨论组合产品申请人</w:t>
      </w:r>
      <w:r>
        <w:rPr>
          <w:rFonts w:cs="宋体"/>
          <w:sz w:val="24"/>
          <w:vertAlign w:val="superscript"/>
          <w:lang w:eastAsia="zh-CN"/>
        </w:rPr>
        <w:t>1</w:t>
      </w:r>
      <w:r>
        <w:rPr>
          <w:rFonts w:cs="宋体"/>
          <w:sz w:val="24"/>
          <w:lang w:eastAsia="zh-CN"/>
        </w:rPr>
        <w:t>获得FDA关于科学和监管问题的反馈的方式，并描述FDA和申请人就此类主题进行交流时的最佳实践。</w:t>
      </w:r>
      <w:r>
        <w:rPr>
          <w:rFonts w:cs="宋体"/>
          <w:sz w:val="24"/>
          <w:vertAlign w:val="superscript"/>
          <w:lang w:eastAsia="zh-CN"/>
        </w:rPr>
        <w:t>2</w:t>
      </w:r>
      <w:r>
        <w:rPr>
          <w:rFonts w:cs="宋体"/>
          <w:sz w:val="24"/>
          <w:lang w:eastAsia="zh-CN"/>
        </w:rPr>
        <w:t>这些交流可以通过基于申请的机制，例如医疗器械和辐射健康中心（CDRH）和生物制品评价与研究中心（CBER）</w:t>
      </w:r>
      <w:r>
        <w:rPr>
          <w:rFonts w:cs="宋体"/>
          <w:sz w:val="24"/>
          <w:vertAlign w:val="superscript"/>
          <w:lang w:eastAsia="zh-CN"/>
        </w:rPr>
        <w:t>3</w:t>
      </w:r>
      <w:r>
        <w:rPr>
          <w:rFonts w:cs="宋体"/>
          <w:sz w:val="24"/>
          <w:lang w:eastAsia="zh-CN"/>
        </w:rPr>
        <w:t>采用的预申请过程，以及药品评价与研究中心（CDER）和CBER采用的正式会议，</w:t>
      </w:r>
      <w:r>
        <w:rPr>
          <w:rFonts w:cs="宋体"/>
          <w:sz w:val="24"/>
          <w:vertAlign w:val="superscript"/>
          <w:lang w:eastAsia="zh-CN"/>
        </w:rPr>
        <w:t>4</w:t>
      </w:r>
      <w:r>
        <w:rPr>
          <w:rFonts w:cs="宋体"/>
          <w:sz w:val="24"/>
          <w:lang w:eastAsia="zh-CN"/>
        </w:rPr>
        <w:t>或通过组合产品协议会议（CPAM）</w:t>
      </w:r>
      <w:r>
        <w:rPr>
          <w:rFonts w:cs="宋体"/>
          <w:sz w:val="24"/>
          <w:vertAlign w:val="superscript"/>
          <w:lang w:eastAsia="zh-CN"/>
        </w:rPr>
        <w:t>5</w:t>
      </w:r>
      <w:r>
        <w:rPr>
          <w:rFonts w:cs="宋体"/>
          <w:sz w:val="24"/>
          <w:lang w:eastAsia="zh-CN"/>
        </w:rPr>
        <w:t>（如适用）进行。</w:t>
      </w:r>
    </w:p>
    <w:p w14:paraId="18BD246F">
      <w:pPr>
        <w:pStyle w:val="23"/>
        <w:overflowPunct w:val="0"/>
        <w:rPr>
          <w:lang w:eastAsia="zh-CN"/>
        </w:rPr>
      </w:pPr>
      <w:r>
        <w:rPr>
          <w:rFonts w:cs="宋体"/>
          <w:lang w:eastAsia="zh-CN"/>
        </w:rPr>
        <w:t>______________________</w:t>
      </w:r>
    </w:p>
    <w:p w14:paraId="2B2B78F0">
      <w:pPr>
        <w:pStyle w:val="23"/>
        <w:overflowPunct w:val="0"/>
        <w:rPr>
          <w:sz w:val="18"/>
          <w:szCs w:val="18"/>
          <w:lang w:eastAsia="zh-CN"/>
        </w:rPr>
      </w:pPr>
      <w:r>
        <w:rPr>
          <w:rFonts w:cs="宋体"/>
          <w:sz w:val="18"/>
          <w:szCs w:val="18"/>
          <w:vertAlign w:val="superscript"/>
          <w:lang w:eastAsia="zh-CN"/>
        </w:rPr>
        <w:t xml:space="preserve">1 </w:t>
      </w:r>
      <w:r>
        <w:rPr>
          <w:rFonts w:cs="宋体"/>
          <w:sz w:val="18"/>
          <w:szCs w:val="18"/>
          <w:lang w:eastAsia="zh-CN"/>
        </w:rPr>
        <w:tab/>
      </w:r>
      <w:r>
        <w:rPr>
          <w:rFonts w:cs="宋体"/>
          <w:sz w:val="18"/>
          <w:szCs w:val="18"/>
          <w:lang w:eastAsia="zh-CN"/>
        </w:rPr>
        <w:t>根据21 CFR 3.2中的定义，“申请人”是指向FDA提交或计划提交上市前审查申请的任何人（例如，正在为未来的申请开发组合产品并希望就其组合产品的相关科学或监管问题与FDA进行交流的实体）。在本指南中，术语“申请”包括研究性新药申请（IND）、新药申请（NDA）、简化新药申请（ANDA）、试验用器械豁免（IDE）申请、上市前批准申请（PMA）、上市前通知（510(k)）、人道主义器械豁免（HDE）申请、产品开发计划（PDP）、根据《联邦食品、药品和化妆品法案》（《FD&amp;C法案》）第513(f)(2)节提交的分类请求（创新产品分类及申请）和生物制品许可申请（BLA）。</w:t>
      </w:r>
    </w:p>
    <w:p w14:paraId="3DCB5505">
      <w:pPr>
        <w:pStyle w:val="23"/>
        <w:overflowPunct w:val="0"/>
        <w:rPr>
          <w:sz w:val="18"/>
          <w:szCs w:val="18"/>
          <w:lang w:eastAsia="zh-CN"/>
        </w:rPr>
      </w:pPr>
      <w:r>
        <w:rPr>
          <w:rFonts w:cs="宋体"/>
          <w:sz w:val="18"/>
          <w:szCs w:val="18"/>
          <w:lang w:eastAsia="zh-CN"/>
        </w:rPr>
        <w:t>请注意，HDE可能不是组合产品的适当上市途径。如对组合产品HDE途径的可用性有任何疑问，请发送电子邮件至</w:t>
      </w:r>
      <w:r>
        <w:rPr>
          <w:rFonts w:cs="宋体"/>
          <w:color w:val="0000FF"/>
          <w:sz w:val="18"/>
          <w:szCs w:val="18"/>
          <w:u w:val="single"/>
          <w:lang w:eastAsia="zh-CN"/>
        </w:rPr>
        <w:t>atcombination@fda.gov</w:t>
      </w:r>
      <w:r>
        <w:rPr>
          <w:rFonts w:cs="宋体"/>
          <w:sz w:val="18"/>
          <w:szCs w:val="18"/>
          <w:lang w:eastAsia="zh-CN"/>
        </w:rPr>
        <w:t>联系组合产品办公室。</w:t>
      </w:r>
    </w:p>
    <w:p w14:paraId="3C8985BF">
      <w:pPr>
        <w:pStyle w:val="23"/>
        <w:overflowPunct w:val="0"/>
        <w:rPr>
          <w:sz w:val="18"/>
          <w:szCs w:val="18"/>
          <w:lang w:eastAsia="zh-CN"/>
        </w:rPr>
      </w:pPr>
      <w:r>
        <w:rPr>
          <w:rFonts w:cs="宋体"/>
          <w:sz w:val="18"/>
          <w:szCs w:val="18"/>
          <w:vertAlign w:val="superscript"/>
          <w:lang w:eastAsia="zh-CN"/>
        </w:rPr>
        <w:t xml:space="preserve">2 </w:t>
      </w:r>
      <w:r>
        <w:rPr>
          <w:rFonts w:cs="宋体"/>
          <w:sz w:val="18"/>
          <w:szCs w:val="18"/>
          <w:lang w:eastAsia="zh-CN"/>
        </w:rPr>
        <w:tab/>
      </w:r>
      <w:r>
        <w:rPr>
          <w:rFonts w:cs="宋体"/>
          <w:sz w:val="18"/>
          <w:szCs w:val="18"/>
          <w:lang w:eastAsia="zh-CN"/>
        </w:rPr>
        <w:t>有关组合产品上市前审查原则的更多信息，包括如何确定哪种类型的申请适合产品，参见《</w:t>
      </w:r>
      <w:r>
        <w:rPr>
          <w:rFonts w:cs="宋体"/>
          <w:color w:val="0000FF"/>
          <w:sz w:val="18"/>
          <w:szCs w:val="18"/>
          <w:u w:val="single"/>
          <w:lang w:eastAsia="zh-CN"/>
        </w:rPr>
        <w:t>组合产品上市前途径原则：行业和FDA工作人员指南草案</w:t>
      </w:r>
      <w:r>
        <w:rPr>
          <w:rFonts w:cs="宋体"/>
          <w:sz w:val="18"/>
          <w:szCs w:val="18"/>
          <w:lang w:eastAsia="zh-CN"/>
        </w:rPr>
        <w:t>》，该草案在最终定稿后将代表FDA目前对该议题的观点。</w:t>
      </w:r>
    </w:p>
    <w:p w14:paraId="02DCBD91">
      <w:pPr>
        <w:pStyle w:val="23"/>
        <w:overflowPunct w:val="0"/>
        <w:rPr>
          <w:i/>
          <w:sz w:val="18"/>
          <w:szCs w:val="18"/>
          <w:lang w:eastAsia="zh-CN"/>
        </w:rPr>
      </w:pPr>
      <w:r>
        <w:rPr>
          <w:rFonts w:cs="宋体"/>
          <w:sz w:val="18"/>
          <w:szCs w:val="18"/>
          <w:vertAlign w:val="superscript"/>
          <w:lang w:eastAsia="zh-CN"/>
        </w:rPr>
        <w:t xml:space="preserve">3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医疗器械申请的反馈和会议申请：预申请程序-面向行业和美国食品药品监督管理局工作人员的指南草案</w:t>
      </w:r>
      <w:r>
        <w:rPr>
          <w:rFonts w:cs="宋体"/>
          <w:sz w:val="18"/>
          <w:szCs w:val="18"/>
          <w:lang w:eastAsia="zh-CN"/>
        </w:rPr>
        <w:t>》。</w:t>
      </w:r>
    </w:p>
    <w:p w14:paraId="69611A99">
      <w:pPr>
        <w:pStyle w:val="23"/>
        <w:overflowPunct w:val="0"/>
        <w:rPr>
          <w:sz w:val="18"/>
          <w:szCs w:val="18"/>
          <w:lang w:eastAsia="zh-CN"/>
        </w:rPr>
      </w:pPr>
      <w:r>
        <w:rPr>
          <w:rFonts w:cs="宋体"/>
          <w:sz w:val="18"/>
          <w:szCs w:val="18"/>
          <w:vertAlign w:val="superscript"/>
          <w:lang w:eastAsia="zh-CN"/>
        </w:rPr>
        <w:t xml:space="preserve">4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FDA与PDUFA产品申请人或申请人之间的正式会议：行业指南草案</w:t>
      </w:r>
      <w:r>
        <w:rPr>
          <w:rFonts w:cs="宋体"/>
          <w:sz w:val="18"/>
          <w:szCs w:val="18"/>
          <w:lang w:eastAsia="zh-CN"/>
        </w:rPr>
        <w:t>》、《</w:t>
      </w:r>
      <w:r>
        <w:rPr>
          <w:rFonts w:cs="宋体"/>
          <w:color w:val="0000FF"/>
          <w:sz w:val="18"/>
          <w:szCs w:val="18"/>
          <w:u w:val="single"/>
          <w:lang w:eastAsia="zh-CN"/>
        </w:rPr>
        <w:t>FDA与BsUFA产品申请人或申请人之间的正式会议：行业指南草案</w:t>
      </w:r>
      <w:r>
        <w:rPr>
          <w:rFonts w:cs="宋体"/>
          <w:sz w:val="18"/>
          <w:szCs w:val="18"/>
          <w:lang w:eastAsia="zh-CN"/>
        </w:rPr>
        <w:t>》以及《</w:t>
      </w:r>
      <w:r>
        <w:rPr>
          <w:rFonts w:cs="宋体"/>
          <w:color w:val="0000FF"/>
          <w:sz w:val="18"/>
          <w:szCs w:val="18"/>
          <w:u w:val="single"/>
          <w:lang w:eastAsia="zh-CN"/>
        </w:rPr>
        <w:t>FDA与GDUFA项下复杂产品的ANDA申请人之间的正式会议</w:t>
      </w:r>
      <w:r>
        <w:rPr>
          <w:rFonts w:cs="宋体"/>
          <w:sz w:val="18"/>
          <w:szCs w:val="18"/>
          <w:lang w:eastAsia="zh-CN"/>
        </w:rPr>
        <w:t>》。最终定稿后，此类指南可代表FDA目前关于此类议题的看法。</w:t>
      </w:r>
    </w:p>
    <w:p w14:paraId="4D463EE5">
      <w:pPr>
        <w:pStyle w:val="23"/>
        <w:overflowPunct w:val="0"/>
        <w:rPr>
          <w:sz w:val="18"/>
          <w:szCs w:val="18"/>
          <w:lang w:eastAsia="zh-CN"/>
        </w:rPr>
      </w:pPr>
      <w:r>
        <w:rPr>
          <w:rFonts w:cs="宋体"/>
          <w:sz w:val="18"/>
          <w:szCs w:val="18"/>
          <w:vertAlign w:val="superscript"/>
          <w:lang w:eastAsia="zh-CN"/>
        </w:rPr>
        <w:t xml:space="preserve">5 </w:t>
      </w:r>
      <w:r>
        <w:rPr>
          <w:rFonts w:cs="宋体"/>
          <w:sz w:val="18"/>
          <w:szCs w:val="18"/>
          <w:lang w:eastAsia="zh-CN"/>
        </w:rPr>
        <w:tab/>
      </w:r>
      <w:r>
        <w:rPr>
          <w:rFonts w:cs="宋体"/>
          <w:sz w:val="18"/>
          <w:szCs w:val="18"/>
          <w:lang w:eastAsia="zh-CN"/>
        </w:rPr>
        <w:t>《21世纪治愈法案》（公法第114-255号）（《治愈法案》）修订了《FD&amp;C法案》（21 USC 353(g)）第503(g)节，新增第503(g)(2)(A)节，为组合产品申请人设立了其他会议类型CPAM，以涉及组合产品上市授权（如批准、许可）的标准和要求和/或与组合产品有关的其他问题，比如与产品上市后修改或现行药品生产质量管理规范（CGMP）有关的要求。</w:t>
      </w:r>
    </w:p>
    <w:p w14:paraId="1AE7A379">
      <w:pPr>
        <w:overflowPunct w:val="0"/>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FDA发布本指南的目的是为了履行FDA一直以来的承诺，即提高对组合产品监管考虑因素的清晰度和透明度，并符合《FD&amp;C法案》第503(g)(8)(C)(vi)节的规定（21 USC 353(g)(8)(C)(vi)），该规定由《治愈法案》第3038节添加。第503(g)(8)(C)(vi)节要求FDA发布最终指南以解决以下问题：（1）管理与开发组合产品的申请人进行预申请交流的结构化过程；（2）确保FDA在此类预申请交流中的反馈代表了管理局基于预申请交流期间所提供信息的最佳建议的最佳实践；以及（3）CPAM与FDA其他会议类型的关系，申请CPAM请求时应提交哪些信息，以及通过CPAM达成协议的形式和内容。</w:t>
      </w:r>
    </w:p>
    <w:p w14:paraId="437708FC">
      <w:pPr>
        <w:pStyle w:val="2"/>
        <w:overflowPunct w:val="0"/>
        <w:rPr>
          <w:lang w:eastAsia="zh-CN"/>
        </w:rPr>
      </w:pPr>
      <w:bookmarkStart w:id="1" w:name="_Toc97888807"/>
      <w:r>
        <w:rPr>
          <w:rFonts w:cs="宋体"/>
          <w:lang w:eastAsia="zh-CN"/>
        </w:rPr>
        <w:t>II.</w:t>
      </w:r>
      <w:r>
        <w:rPr>
          <w:rFonts w:cs="宋体"/>
          <w:lang w:eastAsia="zh-CN"/>
        </w:rPr>
        <w:tab/>
      </w:r>
      <w:r>
        <w:rPr>
          <w:rFonts w:cs="宋体"/>
          <w:lang w:eastAsia="zh-CN"/>
        </w:rPr>
        <w:t>背景</w:t>
      </w:r>
      <w:bookmarkEnd w:id="1"/>
    </w:p>
    <w:p w14:paraId="48A095F2">
      <w:pPr>
        <w:overflowPunct w:val="0"/>
        <w:spacing w:before="120" w:beforeLines="50" w:line="300" w:lineRule="auto"/>
        <w:rPr>
          <w:rFonts w:cs="Times New Roman"/>
          <w:sz w:val="24"/>
          <w:szCs w:val="24"/>
          <w:lang w:eastAsia="zh-CN"/>
        </w:rPr>
      </w:pPr>
      <w:r>
        <w:rPr>
          <w:rFonts w:cs="宋体"/>
          <w:sz w:val="24"/>
          <w:lang w:eastAsia="zh-CN"/>
        </w:rPr>
        <w:t>本节讨论了的议题有：组合产品的定义；组合产品分配至“牵头中心”的方法；上市前审查的中心之间的协调；以及有关组合产品问题，与FDA相关负责人取得联系的方式。</w:t>
      </w:r>
    </w:p>
    <w:p w14:paraId="53A53C0E">
      <w:pPr>
        <w:pStyle w:val="3"/>
        <w:overflowPunct w:val="0"/>
        <w:rPr>
          <w:lang w:eastAsia="zh-CN"/>
        </w:rPr>
      </w:pPr>
      <w:bookmarkStart w:id="2" w:name="_Toc97888808"/>
      <w:r>
        <w:rPr>
          <w:rFonts w:cs="宋体"/>
          <w:lang w:eastAsia="zh-CN"/>
        </w:rPr>
        <w:t>A.</w:t>
      </w:r>
      <w:r>
        <w:rPr>
          <w:rFonts w:cs="宋体"/>
          <w:lang w:eastAsia="zh-CN"/>
        </w:rPr>
        <w:tab/>
      </w:r>
      <w:r>
        <w:rPr>
          <w:rFonts w:cs="宋体"/>
          <w:lang w:eastAsia="zh-CN"/>
        </w:rPr>
        <w:t>什么是组合产品</w:t>
      </w:r>
      <w:r>
        <w:rPr>
          <w:rFonts w:hint="eastAsia" w:cs="宋体"/>
          <w:lang w:eastAsia="zh-CN"/>
        </w:rPr>
        <w:t>，</w:t>
      </w:r>
      <w:r>
        <w:rPr>
          <w:rFonts w:cs="宋体"/>
          <w:lang w:eastAsia="zh-CN"/>
        </w:rPr>
        <w:t>FDA如何监管</w:t>
      </w:r>
      <w:r>
        <w:rPr>
          <w:rFonts w:hint="eastAsia" w:cs="宋体"/>
          <w:lang w:eastAsia="zh-CN"/>
        </w:rPr>
        <w:t>该类产品</w:t>
      </w:r>
      <w:r>
        <w:rPr>
          <w:rFonts w:cs="宋体"/>
          <w:lang w:eastAsia="zh-CN"/>
        </w:rPr>
        <w:t>？</w:t>
      </w:r>
      <w:bookmarkEnd w:id="2"/>
    </w:p>
    <w:p w14:paraId="04FDC872">
      <w:pPr>
        <w:overflowPunct w:val="0"/>
        <w:spacing w:before="120" w:beforeLines="50" w:line="300" w:lineRule="auto"/>
        <w:rPr>
          <w:rFonts w:cs="Times New Roman"/>
          <w:sz w:val="24"/>
          <w:szCs w:val="24"/>
          <w:lang w:eastAsia="zh-CN"/>
        </w:rPr>
      </w:pPr>
      <w:r>
        <w:rPr>
          <w:rFonts w:cs="宋体"/>
          <w:sz w:val="24"/>
          <w:lang w:eastAsia="zh-CN"/>
        </w:rPr>
        <w:t>组合产品是指由药物、器械和/或生物制品的任何组合组成的产品（参见21 CFR 3.2(e)）。</w:t>
      </w:r>
      <w:r>
        <w:rPr>
          <w:rFonts w:cs="宋体"/>
          <w:sz w:val="24"/>
          <w:vertAlign w:val="superscript"/>
          <w:lang w:eastAsia="zh-CN"/>
        </w:rPr>
        <w:t>6</w:t>
      </w:r>
      <w:r>
        <w:rPr>
          <w:rFonts w:cs="宋体"/>
          <w:sz w:val="24"/>
          <w:lang w:eastAsia="zh-CN"/>
        </w:rPr>
        <w:t>包括在组合产品中的药品、器械和生物制品被称为组合产品的“组成部分”（参见21 CFR 3.2(k)）。</w:t>
      </w:r>
    </w:p>
    <w:p w14:paraId="16FF6B59">
      <w:pPr>
        <w:overflowPunct w:val="0"/>
        <w:spacing w:before="120" w:beforeLines="50" w:line="300" w:lineRule="auto"/>
        <w:rPr>
          <w:rFonts w:cs="Times New Roman"/>
          <w:sz w:val="24"/>
          <w:szCs w:val="24"/>
          <w:lang w:eastAsia="zh-CN"/>
        </w:rPr>
      </w:pPr>
      <w:r>
        <w:rPr>
          <w:rFonts w:cs="宋体"/>
          <w:sz w:val="24"/>
          <w:lang w:eastAsia="zh-CN"/>
        </w:rPr>
        <w:t>将组合产品分配给对该组合产品的上市前审查和监管具有主要管辖权的FDA中心（即“牵头中心”）。根据《FD&amp;C法案》第503(g)(1)节（21 USC 353(g)(1)），将组合产品分配至牵头中心的依据是确定哪个组成部分提供了组合产品的主要作用方式（PMOA）。</w:t>
      </w:r>
      <w:r>
        <w:rPr>
          <w:rFonts w:cs="宋体"/>
          <w:sz w:val="24"/>
          <w:vertAlign w:val="superscript"/>
          <w:lang w:eastAsia="zh-CN"/>
        </w:rPr>
        <w:t>7</w:t>
      </w:r>
      <w:r>
        <w:rPr>
          <w:rFonts w:cs="宋体"/>
          <w:sz w:val="24"/>
          <w:lang w:eastAsia="zh-CN"/>
        </w:rPr>
        <w:t>对组合产品进行上市前审查的牵头中心也是上市后监管的牵头机构。无论PMOA归属如何，FDA各部门应进行适当协调，以确保对组合产品进行高效、有效的监管。</w:t>
      </w:r>
    </w:p>
    <w:p w14:paraId="5FC5F612">
      <w:pPr>
        <w:pStyle w:val="3"/>
        <w:overflowPunct w:val="0"/>
        <w:rPr>
          <w:lang w:eastAsia="zh-CN"/>
        </w:rPr>
      </w:pPr>
      <w:bookmarkStart w:id="3" w:name="_Toc97888809"/>
      <w:r>
        <w:rPr>
          <w:rFonts w:cs="宋体"/>
          <w:lang w:eastAsia="zh-CN"/>
        </w:rPr>
        <w:t>B.</w:t>
      </w:r>
      <w:r>
        <w:rPr>
          <w:rFonts w:cs="宋体"/>
          <w:lang w:eastAsia="zh-CN"/>
        </w:rPr>
        <w:tab/>
      </w:r>
      <w:r>
        <w:rPr>
          <w:rFonts w:cs="宋体"/>
          <w:lang w:eastAsia="zh-CN"/>
        </w:rPr>
        <w:t>如有初步或一般问题，应该联系谁？</w:t>
      </w:r>
      <w:bookmarkEnd w:id="3"/>
    </w:p>
    <w:p w14:paraId="487DE7FB">
      <w:pPr>
        <w:overflowPunct w:val="0"/>
        <w:spacing w:before="120" w:beforeLines="50" w:line="300" w:lineRule="auto"/>
        <w:rPr>
          <w:rFonts w:cs="Times New Roman"/>
          <w:sz w:val="24"/>
          <w:szCs w:val="24"/>
          <w:lang w:eastAsia="zh-CN"/>
        </w:rPr>
      </w:pPr>
      <w:r>
        <w:rPr>
          <w:rFonts w:cs="宋体"/>
          <w:sz w:val="24"/>
        </w:rPr>
        <w:t>如果不确定产品是组合产品还是组合产品的组成部分，或者哪个中心有主要管辖权，可以联系组合产品办公室（OCP）（</w:t>
      </w:r>
      <w:r>
        <w:rPr>
          <w:rFonts w:cs="宋体"/>
          <w:color w:val="0000FF"/>
          <w:sz w:val="24"/>
          <w:u w:val="single"/>
        </w:rPr>
        <w:t>combination@fda.gov</w:t>
      </w:r>
      <w:r>
        <w:rPr>
          <w:rFonts w:cs="宋体"/>
          <w:sz w:val="24"/>
        </w:rPr>
        <w:t>）。</w:t>
      </w:r>
      <w:r>
        <w:rPr>
          <w:rFonts w:cs="宋体"/>
          <w:sz w:val="24"/>
          <w:lang w:eastAsia="zh-CN"/>
        </w:rPr>
        <w:t>如果希望从FDA获得关于分类</w:t>
      </w:r>
      <w:r>
        <w:rPr>
          <w:rFonts w:cs="宋体"/>
          <w:sz w:val="24"/>
          <w:vertAlign w:val="superscript"/>
          <w:lang w:eastAsia="zh-CN"/>
        </w:rPr>
        <w:t>8</w:t>
      </w:r>
      <w:r>
        <w:rPr>
          <w:rFonts w:cs="宋体"/>
          <w:sz w:val="24"/>
          <w:lang w:eastAsia="zh-CN"/>
        </w:rPr>
        <w:t>和/或中心分配的有约束力决定，可以向OCP提交指定请求（RFD），或者如果希望获得非正式反馈，可以向OCP提交预RFD。</w:t>
      </w:r>
      <w:r>
        <w:rPr>
          <w:rFonts w:cs="宋体"/>
          <w:sz w:val="24"/>
          <w:vertAlign w:val="superscript"/>
          <w:lang w:eastAsia="zh-CN"/>
        </w:rPr>
        <w:t>9</w:t>
      </w:r>
    </w:p>
    <w:p w14:paraId="2139610D">
      <w:pPr>
        <w:pStyle w:val="23"/>
        <w:overflowPunct w:val="0"/>
        <w:rPr>
          <w:lang w:eastAsia="zh-CN"/>
        </w:rPr>
      </w:pPr>
      <w:r>
        <w:rPr>
          <w:rFonts w:cs="宋体"/>
          <w:lang w:eastAsia="zh-CN"/>
        </w:rPr>
        <w:t>______________________</w:t>
      </w:r>
    </w:p>
    <w:p w14:paraId="314CF389">
      <w:pPr>
        <w:pStyle w:val="23"/>
        <w:overflowPunct w:val="0"/>
        <w:rPr>
          <w:sz w:val="18"/>
          <w:szCs w:val="18"/>
          <w:lang w:eastAsia="zh-CN"/>
        </w:rPr>
      </w:pPr>
      <w:r>
        <w:rPr>
          <w:rFonts w:cs="宋体"/>
          <w:sz w:val="18"/>
          <w:szCs w:val="18"/>
          <w:vertAlign w:val="superscript"/>
          <w:lang w:eastAsia="zh-CN"/>
        </w:rPr>
        <w:t xml:space="preserve">6 </w:t>
      </w:r>
      <w:r>
        <w:rPr>
          <w:rFonts w:cs="宋体"/>
          <w:sz w:val="18"/>
          <w:szCs w:val="18"/>
          <w:lang w:eastAsia="zh-CN"/>
        </w:rPr>
        <w:tab/>
      </w:r>
      <w:r>
        <w:rPr>
          <w:rFonts w:cs="宋体"/>
          <w:sz w:val="18"/>
          <w:szCs w:val="18"/>
          <w:lang w:eastAsia="zh-CN"/>
        </w:rPr>
        <w:t>根据《FD&amp;C法案》第503(g)节和21 CFR 3.2(e)的规定，仅包含两种或两种以上</w:t>
      </w:r>
      <w:r>
        <w:rPr>
          <w:rFonts w:cs="宋体"/>
          <w:i/>
          <w:sz w:val="18"/>
          <w:szCs w:val="18"/>
          <w:lang w:eastAsia="zh-CN"/>
        </w:rPr>
        <w:t>相同</w:t>
      </w:r>
      <w:r>
        <w:rPr>
          <w:rFonts w:cs="宋体"/>
          <w:sz w:val="18"/>
          <w:szCs w:val="18"/>
          <w:lang w:eastAsia="zh-CN"/>
        </w:rPr>
        <w:t>类型的医疗产品的组合</w:t>
      </w:r>
      <w:r>
        <w:rPr>
          <w:rFonts w:cs="宋体"/>
          <w:i/>
          <w:sz w:val="18"/>
          <w:szCs w:val="18"/>
          <w:lang w:eastAsia="zh-CN"/>
        </w:rPr>
        <w:t>不是</w:t>
      </w:r>
      <w:r>
        <w:rPr>
          <w:rFonts w:cs="宋体"/>
          <w:sz w:val="18"/>
          <w:szCs w:val="18"/>
          <w:lang w:eastAsia="zh-CN"/>
        </w:rPr>
        <w:t>“组合产品”。例如，两种药物合并成一个剂型或多个器械组成的一个套装并不是组合产品。</w:t>
      </w:r>
    </w:p>
    <w:p w14:paraId="70279101">
      <w:pPr>
        <w:pStyle w:val="23"/>
        <w:overflowPunct w:val="0"/>
        <w:rPr>
          <w:sz w:val="18"/>
          <w:szCs w:val="18"/>
          <w:lang w:eastAsia="zh-CN"/>
        </w:rPr>
      </w:pPr>
      <w:r>
        <w:rPr>
          <w:rFonts w:cs="宋体"/>
          <w:sz w:val="18"/>
          <w:szCs w:val="18"/>
          <w:vertAlign w:val="superscript"/>
          <w:lang w:eastAsia="zh-CN"/>
        </w:rPr>
        <w:t>7</w:t>
      </w:r>
      <w:r>
        <w:rPr>
          <w:rFonts w:cs="宋体"/>
          <w:sz w:val="18"/>
          <w:szCs w:val="18"/>
          <w:lang w:eastAsia="zh-CN"/>
        </w:rPr>
        <w:tab/>
      </w:r>
      <w:r>
        <w:rPr>
          <w:rFonts w:cs="宋体"/>
          <w:sz w:val="18"/>
          <w:szCs w:val="18"/>
          <w:lang w:eastAsia="zh-CN"/>
        </w:rPr>
        <w:t>组合产品的“主要作用方式”是指“预计使组合产品产生最大整体预期治疗效果的单一作用方式”。</w:t>
      </w:r>
      <w:r>
        <w:rPr>
          <w:rFonts w:cs="宋体"/>
          <w:color w:val="000000"/>
          <w:sz w:val="18"/>
          <w:szCs w:val="18"/>
          <w:lang w:eastAsia="zh-CN"/>
        </w:rPr>
        <w:t>《FD&amp;C法案》第503(g)(1)(C)节（21 USC 353(g)(1)(C)）；另参见21 CFR 3.2(k)（定义“作用方式”）、(m)（定义“主要作用方式”）。</w:t>
      </w:r>
    </w:p>
    <w:p w14:paraId="38F2C315">
      <w:pPr>
        <w:overflowPunct w:val="0"/>
        <w:spacing w:before="120" w:beforeLines="50" w:line="300" w:lineRule="auto"/>
        <w:rPr>
          <w:rFonts w:cs="Times New Roman"/>
          <w:sz w:val="24"/>
          <w:szCs w:val="24"/>
          <w:lang w:eastAsia="zh-CN"/>
        </w:rPr>
      </w:pPr>
      <w:r>
        <w:rPr>
          <w:rFonts w:cs="宋体"/>
          <w:sz w:val="24"/>
          <w:lang w:eastAsia="zh-CN"/>
        </w:rPr>
        <w:br w:type="page"/>
      </w:r>
    </w:p>
    <w:p w14:paraId="5432CFE0">
      <w:pPr>
        <w:overflowPunct w:val="0"/>
        <w:spacing w:before="120" w:beforeLines="50" w:line="300" w:lineRule="auto"/>
        <w:rPr>
          <w:rFonts w:cs="Times New Roman"/>
          <w:sz w:val="24"/>
          <w:szCs w:val="24"/>
          <w:lang w:eastAsia="zh-CN"/>
        </w:rPr>
      </w:pPr>
      <w:r>
        <w:rPr>
          <w:rFonts w:cs="宋体"/>
          <w:sz w:val="24"/>
          <w:lang w:eastAsia="zh-CN"/>
        </w:rPr>
        <w:t>如果知道组合产品的牵头中心（例如，有待定申请），请联系FDA联络点（POC）（见下文第III.B节），或者如果尚无FDA的POC，请联系牵头中心产品管辖官员（PJO）。</w:t>
      </w:r>
      <w:r>
        <w:rPr>
          <w:rFonts w:cs="宋体"/>
          <w:sz w:val="24"/>
          <w:vertAlign w:val="superscript"/>
          <w:lang w:eastAsia="zh-CN"/>
        </w:rPr>
        <w:t>10</w:t>
      </w:r>
      <w:r>
        <w:rPr>
          <w:rFonts w:cs="宋体"/>
          <w:sz w:val="24"/>
          <w:lang w:eastAsia="zh-CN"/>
        </w:rPr>
        <w:t>在某些情况下，组合产品可能无需上市前授权（例如，某些套装），在这些情况下，应联系牵头中心PJO。如果不确定牵头中心，如果对组合产品的中心间合作、组合产品法规、组合产品指南或政策有一般疑问，或者如果在浏览FDA的组合产品审查程序时需要帮助，请联系OCP（</w:t>
      </w:r>
      <w:r>
        <w:rPr>
          <w:rFonts w:cs="宋体"/>
          <w:color w:val="0000FF"/>
          <w:sz w:val="24"/>
          <w:u w:val="single"/>
          <w:lang w:eastAsia="zh-CN"/>
        </w:rPr>
        <w:t>combination@fda.gov</w:t>
      </w:r>
      <w:r>
        <w:rPr>
          <w:rFonts w:cs="宋体"/>
          <w:sz w:val="24"/>
          <w:lang w:eastAsia="zh-CN"/>
        </w:rPr>
        <w:t>）。</w:t>
      </w:r>
      <w:r>
        <w:rPr>
          <w:rFonts w:cs="宋体"/>
          <w:sz w:val="24"/>
          <w:vertAlign w:val="superscript"/>
          <w:lang w:eastAsia="zh-CN"/>
        </w:rPr>
        <w:t>11</w:t>
      </w:r>
    </w:p>
    <w:p w14:paraId="3C5D96A6">
      <w:pPr>
        <w:pStyle w:val="2"/>
        <w:overflowPunct w:val="0"/>
        <w:rPr>
          <w:lang w:eastAsia="zh-CN"/>
        </w:rPr>
      </w:pPr>
      <w:bookmarkStart w:id="4" w:name="_Toc97888810"/>
      <w:r>
        <w:rPr>
          <w:rFonts w:cs="宋体"/>
          <w:lang w:eastAsia="zh-CN"/>
        </w:rPr>
        <w:t>III.</w:t>
      </w:r>
      <w:r>
        <w:rPr>
          <w:rFonts w:cs="宋体"/>
          <w:lang w:eastAsia="zh-CN"/>
        </w:rPr>
        <w:tab/>
      </w:r>
      <w:r>
        <w:rPr>
          <w:rFonts w:cs="宋体"/>
          <w:lang w:eastAsia="zh-CN"/>
        </w:rPr>
        <w:t>关于FDA与组合产品申请人之间交流的最佳实践</w:t>
      </w:r>
      <w:bookmarkEnd w:id="4"/>
    </w:p>
    <w:p w14:paraId="6D6922B6">
      <w:pPr>
        <w:overflowPunct w:val="0"/>
        <w:spacing w:before="120" w:beforeLines="50" w:line="300" w:lineRule="auto"/>
        <w:rPr>
          <w:rFonts w:cs="Times New Roman"/>
          <w:sz w:val="24"/>
          <w:szCs w:val="24"/>
          <w:lang w:eastAsia="zh-CN"/>
        </w:rPr>
      </w:pPr>
      <w:r>
        <w:rPr>
          <w:rFonts w:cs="宋体"/>
          <w:sz w:val="24"/>
          <w:lang w:eastAsia="zh-CN"/>
        </w:rPr>
        <w:t>组合产品申请人和FDA有共同的目标，即确保组合产品的安全性和有效性，以及确保与其上市前审查和上市后监管的相关监管要求和流程清晰、高效、有效和适当实施。当申请人要求对组合产品进行反馈时，及时沟通和稳健信息共享是帮助确保FDA和申请人之间高效率且有效果的交流的关键因素。以下章节强调了具体的考虑因素，以帮助确保组合产品的交流有效果：</w:t>
      </w:r>
    </w:p>
    <w:p w14:paraId="75659A19">
      <w:pPr>
        <w:pStyle w:val="24"/>
        <w:numPr>
          <w:ilvl w:val="0"/>
          <w:numId w:val="1"/>
        </w:numPr>
        <w:overflowPunct w:val="0"/>
        <w:spacing w:before="120" w:beforeLines="50" w:line="300" w:lineRule="auto"/>
        <w:ind w:firstLineChars="0"/>
        <w:rPr>
          <w:rFonts w:cs="Times New Roman"/>
          <w:sz w:val="24"/>
          <w:szCs w:val="24"/>
          <w:lang w:eastAsia="zh-CN"/>
        </w:rPr>
      </w:pPr>
      <w:r>
        <w:rPr>
          <w:rFonts w:cs="宋体"/>
          <w:sz w:val="24"/>
          <w:u w:val="single"/>
          <w:lang w:eastAsia="zh-CN"/>
        </w:rPr>
        <w:t>适当的申请和处理</w:t>
      </w:r>
      <w:r>
        <w:rPr>
          <w:rFonts w:cs="宋体"/>
          <w:sz w:val="24"/>
          <w:lang w:eastAsia="zh-CN"/>
        </w:rPr>
        <w:t>。应将基于申请的机制项下的申请及CPAM请求（以下简称“申请/请求”）提交给适当的牵头中心，将产品确定为组合产品</w:t>
      </w:r>
      <w:r>
        <w:rPr>
          <w:rFonts w:cs="宋体"/>
          <w:sz w:val="24"/>
          <w:vertAlign w:val="superscript"/>
          <w:lang w:eastAsia="zh-CN"/>
        </w:rPr>
        <w:t>12</w:t>
      </w:r>
      <w:r>
        <w:rPr>
          <w:rFonts w:cs="宋体"/>
          <w:sz w:val="24"/>
          <w:lang w:eastAsia="zh-CN"/>
        </w:rPr>
        <w:t>，并由FDA适当地转交给各中心的工作人员进行审查。</w:t>
      </w:r>
    </w:p>
    <w:p w14:paraId="55D5A632">
      <w:pPr>
        <w:pStyle w:val="23"/>
        <w:overflowPunct w:val="0"/>
        <w:rPr>
          <w:lang w:eastAsia="zh-CN"/>
        </w:rPr>
      </w:pPr>
      <w:r>
        <w:rPr>
          <w:rFonts w:cs="宋体"/>
          <w:lang w:eastAsia="zh-CN"/>
        </w:rPr>
        <w:t>______________________</w:t>
      </w:r>
    </w:p>
    <w:p w14:paraId="0055A269">
      <w:pPr>
        <w:pStyle w:val="23"/>
        <w:overflowPunct w:val="0"/>
        <w:rPr>
          <w:sz w:val="18"/>
          <w:szCs w:val="18"/>
          <w:lang w:eastAsia="zh-CN"/>
        </w:rPr>
      </w:pPr>
      <w:r>
        <w:rPr>
          <w:rFonts w:cs="宋体"/>
          <w:sz w:val="18"/>
          <w:szCs w:val="18"/>
          <w:vertAlign w:val="superscript"/>
          <w:lang w:eastAsia="zh-CN"/>
        </w:rPr>
        <w:t xml:space="preserve">8 </w:t>
      </w:r>
      <w:r>
        <w:rPr>
          <w:rFonts w:cs="宋体"/>
          <w:sz w:val="18"/>
          <w:szCs w:val="18"/>
          <w:lang w:eastAsia="zh-CN"/>
        </w:rPr>
        <w:tab/>
      </w:r>
      <w:r>
        <w:rPr>
          <w:rFonts w:cs="宋体"/>
          <w:sz w:val="18"/>
          <w:szCs w:val="18"/>
          <w:lang w:eastAsia="zh-CN"/>
        </w:rPr>
        <w:t>请注意，本指南中所用的“分类”是指产品被指定为药品、器械、生物制品或组合产品。这有别于《联邦食品、药品和化妆品法案》（《FD&amp;C法案》）第513(a)节所述的使用术语“分类”来指定器械类别（I类、II类或III类）。</w:t>
      </w:r>
    </w:p>
    <w:p w14:paraId="70444C3D">
      <w:pPr>
        <w:pStyle w:val="23"/>
        <w:overflowPunct w:val="0"/>
        <w:rPr>
          <w:sz w:val="18"/>
          <w:szCs w:val="18"/>
          <w:lang w:eastAsia="zh-CN"/>
        </w:rPr>
      </w:pPr>
      <w:r>
        <w:rPr>
          <w:rFonts w:cs="宋体"/>
          <w:sz w:val="18"/>
          <w:szCs w:val="18"/>
          <w:vertAlign w:val="superscript"/>
          <w:lang w:eastAsia="zh-CN"/>
        </w:rPr>
        <w:t xml:space="preserve">9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如何撰写指定请求（RFD）：行业指南</w:t>
      </w:r>
      <w:r>
        <w:rPr>
          <w:rFonts w:cs="宋体"/>
          <w:sz w:val="18"/>
          <w:szCs w:val="18"/>
          <w:lang w:eastAsia="zh-CN"/>
        </w:rPr>
        <w:t>》和《</w:t>
      </w:r>
      <w:r>
        <w:rPr>
          <w:rFonts w:cs="宋体"/>
          <w:color w:val="0000FF"/>
          <w:sz w:val="18"/>
          <w:szCs w:val="18"/>
          <w:u w:val="single"/>
          <w:lang w:eastAsia="zh-CN"/>
        </w:rPr>
        <w:t>如何准备指定预申请（Pre-RFD）：行业指南</w:t>
      </w:r>
      <w:r>
        <w:rPr>
          <w:rFonts w:cs="宋体"/>
          <w:sz w:val="18"/>
          <w:szCs w:val="18"/>
          <w:lang w:eastAsia="zh-CN"/>
        </w:rPr>
        <w:t>》；另见《</w:t>
      </w:r>
      <w:r>
        <w:rPr>
          <w:rFonts w:cs="宋体"/>
          <w:color w:val="0000FF"/>
          <w:sz w:val="18"/>
          <w:szCs w:val="18"/>
          <w:u w:val="single"/>
          <w:lang w:eastAsia="zh-CN"/>
        </w:rPr>
        <w:t>产品作为药品和器械的分类及其他产品分类问题：行业和FDA工作人员指南</w:t>
      </w:r>
      <w:r>
        <w:rPr>
          <w:rFonts w:cs="宋体"/>
          <w:sz w:val="18"/>
          <w:szCs w:val="18"/>
          <w:lang w:eastAsia="zh-CN"/>
        </w:rPr>
        <w:t>》。</w:t>
      </w:r>
    </w:p>
    <w:p w14:paraId="072DC5EA">
      <w:pPr>
        <w:pStyle w:val="23"/>
        <w:overflowPunct w:val="0"/>
        <w:rPr>
          <w:sz w:val="18"/>
          <w:szCs w:val="18"/>
          <w:lang w:eastAsia="zh-CN"/>
        </w:rPr>
      </w:pPr>
      <w:r>
        <w:rPr>
          <w:rFonts w:cs="宋体"/>
          <w:sz w:val="18"/>
          <w:szCs w:val="18"/>
          <w:vertAlign w:val="superscript"/>
          <w:lang w:eastAsia="zh-CN"/>
        </w:rPr>
        <w:t xml:space="preserve">10 </w:t>
      </w:r>
      <w:r>
        <w:rPr>
          <w:rFonts w:cs="宋体"/>
          <w:sz w:val="18"/>
          <w:szCs w:val="18"/>
          <w:lang w:eastAsia="zh-CN"/>
        </w:rPr>
        <w:tab/>
      </w:r>
      <w:r>
        <w:rPr>
          <w:rFonts w:cs="宋体"/>
          <w:sz w:val="18"/>
          <w:szCs w:val="18"/>
          <w:lang w:eastAsia="zh-CN"/>
        </w:rPr>
        <w:t xml:space="preserve">可联系牵头中心PJO </w:t>
      </w:r>
      <w:r>
        <w:fldChar w:fldCharType="begin"/>
      </w:r>
      <w:r>
        <w:instrText xml:space="preserve"> HYPERLINK "mailto:CBERProductJurisdiction@fda.hhs.gov" </w:instrText>
      </w:r>
      <w:r>
        <w:fldChar w:fldCharType="separate"/>
      </w:r>
      <w:r>
        <w:rPr>
          <w:rStyle w:val="17"/>
          <w:rFonts w:cs="宋体"/>
          <w:sz w:val="18"/>
          <w:szCs w:val="18"/>
          <w:lang w:eastAsia="zh-CN"/>
        </w:rPr>
        <w:t>CBERProductJurisdiction@fda.hhs.gov</w:t>
      </w:r>
      <w:r>
        <w:rPr>
          <w:rStyle w:val="17"/>
          <w:rFonts w:cs="宋体"/>
          <w:sz w:val="18"/>
          <w:szCs w:val="18"/>
          <w:lang w:eastAsia="zh-CN"/>
        </w:rPr>
        <w:fldChar w:fldCharType="end"/>
      </w:r>
      <w:r>
        <w:rPr>
          <w:rFonts w:hint="eastAsia" w:cs="宋体"/>
          <w:color w:val="0000FF"/>
          <w:sz w:val="18"/>
          <w:szCs w:val="18"/>
          <w:u w:val="single"/>
          <w:lang w:eastAsia="zh-CN"/>
        </w:rPr>
        <w:t>、</w:t>
      </w:r>
      <w:r>
        <w:rPr>
          <w:rFonts w:cs="宋体"/>
          <w:color w:val="0000FF"/>
          <w:sz w:val="18"/>
          <w:szCs w:val="18"/>
          <w:u w:val="single"/>
          <w:lang w:eastAsia="zh-CN"/>
        </w:rPr>
        <w:t>CDERProductJurisdiction@fda.hhs.gov</w:t>
      </w:r>
      <w:r>
        <w:rPr>
          <w:rFonts w:cs="宋体"/>
          <w:color w:val="0000FF"/>
          <w:sz w:val="18"/>
          <w:szCs w:val="18"/>
          <w:lang w:eastAsia="zh-CN"/>
        </w:rPr>
        <w:t>或</w:t>
      </w:r>
      <w:r>
        <w:rPr>
          <w:rFonts w:cs="宋体"/>
          <w:color w:val="0000FF"/>
          <w:sz w:val="18"/>
          <w:szCs w:val="18"/>
          <w:u w:val="single"/>
          <w:lang w:eastAsia="zh-CN"/>
        </w:rPr>
        <w:t>CDRHProductJurisdiction@fda.hhs.gov</w:t>
      </w:r>
      <w:r>
        <w:rPr>
          <w:rFonts w:cs="宋体"/>
          <w:sz w:val="18"/>
          <w:szCs w:val="18"/>
          <w:lang w:eastAsia="zh-CN"/>
        </w:rPr>
        <w:t>。</w:t>
      </w:r>
    </w:p>
    <w:p w14:paraId="020E465A">
      <w:pPr>
        <w:pStyle w:val="23"/>
        <w:overflowPunct w:val="0"/>
        <w:rPr>
          <w:sz w:val="18"/>
          <w:szCs w:val="18"/>
          <w:lang w:eastAsia="zh-CN"/>
        </w:rPr>
      </w:pPr>
      <w:r>
        <w:rPr>
          <w:rFonts w:cs="宋体"/>
          <w:sz w:val="18"/>
          <w:szCs w:val="18"/>
          <w:vertAlign w:val="superscript"/>
          <w:lang w:eastAsia="zh-CN"/>
        </w:rPr>
        <w:t xml:space="preserve">11 </w:t>
      </w:r>
      <w:r>
        <w:rPr>
          <w:rFonts w:cs="宋体"/>
          <w:sz w:val="18"/>
          <w:szCs w:val="18"/>
          <w:lang w:eastAsia="zh-CN"/>
        </w:rPr>
        <w:tab/>
      </w:r>
      <w:r>
        <w:rPr>
          <w:rFonts w:cs="宋体"/>
          <w:sz w:val="18"/>
          <w:szCs w:val="18"/>
          <w:lang w:eastAsia="zh-CN"/>
        </w:rPr>
        <w:t>OCP需要：协调组合产品的上市前审查；监督上市前审查的及时性和对申请人反馈的一致性；确保牵头中心有主要POC；如需要，协调牵头中心和咨询中心之间的沟通；确保参与审查的每个中心均酌情参加与申请人的会议；确保咨询中心就相关法规、指南和政策提供适当建议并遵循该指南。OCP还需要确保组合产品上市后监管的一致性和适当性。参见《FD&amp;C法案》第503(g)(8)节（21 USC 353(g)(8)）。</w:t>
      </w:r>
    </w:p>
    <w:p w14:paraId="78ADA1D7">
      <w:pPr>
        <w:overflowPunct w:val="0"/>
        <w:spacing w:before="120" w:beforeLines="50" w:line="300" w:lineRule="auto"/>
        <w:rPr>
          <w:rFonts w:cs="Times New Roman"/>
          <w:sz w:val="24"/>
          <w:szCs w:val="24"/>
          <w:lang w:eastAsia="zh-CN"/>
        </w:rPr>
      </w:pPr>
      <w:r>
        <w:rPr>
          <w:rFonts w:cs="宋体"/>
          <w:sz w:val="24"/>
          <w:lang w:eastAsia="zh-CN"/>
        </w:rPr>
        <w:br w:type="page"/>
      </w:r>
    </w:p>
    <w:p w14:paraId="3826A953">
      <w:pPr>
        <w:pStyle w:val="24"/>
        <w:numPr>
          <w:ilvl w:val="0"/>
          <w:numId w:val="2"/>
        </w:numPr>
        <w:overflowPunct w:val="0"/>
        <w:spacing w:before="120" w:beforeLines="50" w:line="300" w:lineRule="auto"/>
        <w:ind w:firstLineChars="0"/>
        <w:rPr>
          <w:rFonts w:cs="Times New Roman"/>
          <w:sz w:val="24"/>
          <w:szCs w:val="24"/>
          <w:lang w:eastAsia="zh-CN"/>
        </w:rPr>
      </w:pPr>
      <w:r>
        <w:rPr>
          <w:rFonts w:cs="宋体"/>
          <w:sz w:val="24"/>
          <w:u w:val="single"/>
          <w:lang w:eastAsia="zh-CN"/>
        </w:rPr>
        <w:t>及时使用适当的沟通程序</w:t>
      </w:r>
      <w:r>
        <w:rPr>
          <w:rFonts w:cs="宋体"/>
          <w:sz w:val="24"/>
          <w:lang w:eastAsia="zh-CN"/>
        </w:rPr>
        <w:t>。FDA和申请人之间应及时沟通，此类沟通的机制（面对面会议、电话会议、书面回复等）应是FDA指南中规定的机制。</w:t>
      </w:r>
    </w:p>
    <w:p w14:paraId="3E3A9511">
      <w:pPr>
        <w:pStyle w:val="24"/>
        <w:numPr>
          <w:ilvl w:val="0"/>
          <w:numId w:val="2"/>
        </w:numPr>
        <w:overflowPunct w:val="0"/>
        <w:spacing w:before="120" w:beforeLines="50" w:line="300" w:lineRule="auto"/>
        <w:ind w:firstLineChars="0"/>
        <w:rPr>
          <w:rFonts w:cs="Times New Roman"/>
          <w:sz w:val="24"/>
          <w:szCs w:val="24"/>
          <w:lang w:eastAsia="zh-CN"/>
        </w:rPr>
      </w:pPr>
      <w:r>
        <w:rPr>
          <w:rFonts w:cs="宋体"/>
          <w:sz w:val="24"/>
          <w:u w:val="single"/>
          <w:lang w:eastAsia="zh-CN"/>
        </w:rPr>
        <w:t>明确、稳健的信息共享</w:t>
      </w:r>
      <w:r>
        <w:rPr>
          <w:rFonts w:cs="宋体"/>
          <w:sz w:val="24"/>
          <w:lang w:eastAsia="zh-CN"/>
        </w:rPr>
        <w:t>。申请人和FDA之间的信息共享（包括关于申请人提交的信息和FDA发起的问题和信息请求的沟通）应明确且足够稳健，以减少对同一问题的重复交流并使FDA能够及时提供清晰的反馈。</w:t>
      </w:r>
    </w:p>
    <w:p w14:paraId="687584B1">
      <w:pPr>
        <w:overflowPunct w:val="0"/>
        <w:spacing w:before="120" w:beforeLines="50" w:line="300" w:lineRule="auto"/>
        <w:rPr>
          <w:rFonts w:cs="Times New Roman"/>
          <w:sz w:val="24"/>
          <w:szCs w:val="24"/>
          <w:lang w:eastAsia="zh-CN"/>
        </w:rPr>
      </w:pPr>
      <w:r>
        <w:rPr>
          <w:rFonts w:cs="宋体"/>
          <w:sz w:val="24"/>
          <w:lang w:eastAsia="zh-CN"/>
        </w:rPr>
        <w:t>以下各章节为申请人和FDA提供了最佳实践，以使组合产品在基于申请的机制或CPAM背景下进行此类交流。</w:t>
      </w:r>
    </w:p>
    <w:p w14:paraId="7F705A21">
      <w:pPr>
        <w:pStyle w:val="3"/>
        <w:overflowPunct w:val="0"/>
        <w:rPr>
          <w:lang w:eastAsia="zh-CN"/>
        </w:rPr>
      </w:pPr>
      <w:bookmarkStart w:id="5" w:name="_Toc97888811"/>
      <w:r>
        <w:rPr>
          <w:rFonts w:cs="宋体"/>
          <w:lang w:eastAsia="zh-CN"/>
        </w:rPr>
        <w:t>A.</w:t>
      </w:r>
      <w:r>
        <w:rPr>
          <w:rFonts w:cs="宋体"/>
          <w:lang w:eastAsia="zh-CN"/>
        </w:rPr>
        <w:tab/>
      </w:r>
      <w:r>
        <w:rPr>
          <w:rFonts w:cs="宋体"/>
          <w:lang w:eastAsia="zh-CN"/>
        </w:rPr>
        <w:t>申请人最佳实践</w:t>
      </w:r>
      <w:bookmarkEnd w:id="5"/>
    </w:p>
    <w:p w14:paraId="143EB068">
      <w:pPr>
        <w:overflowPunct w:val="0"/>
        <w:spacing w:before="120" w:beforeLines="50" w:line="300" w:lineRule="auto"/>
        <w:rPr>
          <w:rFonts w:cs="Times New Roman"/>
          <w:sz w:val="24"/>
          <w:szCs w:val="24"/>
          <w:lang w:eastAsia="zh-CN"/>
        </w:rPr>
      </w:pPr>
      <w:r>
        <w:rPr>
          <w:rFonts w:cs="宋体"/>
          <w:sz w:val="24"/>
          <w:lang w:eastAsia="zh-CN"/>
        </w:rPr>
        <w:t>以下是对申请人的建议，FDA认为这将有助于确保交流的效率和成果。</w:t>
      </w:r>
    </w:p>
    <w:p w14:paraId="4402488B">
      <w:pPr>
        <w:pStyle w:val="24"/>
        <w:numPr>
          <w:ilvl w:val="0"/>
          <w:numId w:val="3"/>
        </w:numPr>
        <w:overflowPunct w:val="0"/>
        <w:spacing w:before="120" w:beforeLines="50" w:line="300" w:lineRule="auto"/>
        <w:ind w:firstLineChars="0"/>
        <w:rPr>
          <w:rFonts w:cs="Times New Roman"/>
          <w:sz w:val="24"/>
          <w:szCs w:val="24"/>
          <w:lang w:eastAsia="zh-CN"/>
        </w:rPr>
      </w:pPr>
      <w:r>
        <w:rPr>
          <w:rFonts w:cs="宋体"/>
          <w:sz w:val="24"/>
          <w:u w:val="single"/>
          <w:lang w:eastAsia="zh-CN"/>
        </w:rPr>
        <w:t>组合产品的申请</w:t>
      </w:r>
      <w:r>
        <w:rPr>
          <w:rFonts w:cs="宋体"/>
          <w:sz w:val="24"/>
          <w:lang w:eastAsia="zh-CN"/>
        </w:rPr>
        <w:t>。申请/请求应提交给适当的牵头中心。正如下文第IV.B节所述，CPAM仅适用于有明确牵头中心的组合产品。组合产品申请人在CPAM请求中以及在利用基于申请的机制时将其产品确定为组合产品显得尤为重要。</w:t>
      </w:r>
    </w:p>
    <w:p w14:paraId="26A5D045">
      <w:pPr>
        <w:pStyle w:val="24"/>
        <w:numPr>
          <w:ilvl w:val="0"/>
          <w:numId w:val="3"/>
        </w:numPr>
        <w:overflowPunct w:val="0"/>
        <w:spacing w:before="120" w:beforeLines="50" w:line="300" w:lineRule="auto"/>
        <w:ind w:firstLineChars="0"/>
        <w:rPr>
          <w:rFonts w:cs="Times New Roman"/>
          <w:sz w:val="24"/>
          <w:szCs w:val="24"/>
          <w:lang w:eastAsia="zh-CN"/>
        </w:rPr>
      </w:pPr>
      <w:r>
        <w:rPr>
          <w:rFonts w:cs="宋体"/>
          <w:sz w:val="24"/>
          <w:u w:val="single"/>
          <w:lang w:eastAsia="zh-CN"/>
        </w:rPr>
        <w:t>明确和适当的问题</w:t>
      </w:r>
      <w:r>
        <w:rPr>
          <w:rFonts w:cs="宋体"/>
          <w:sz w:val="24"/>
          <w:lang w:eastAsia="zh-CN"/>
        </w:rPr>
        <w:t>。在提出的问题中应明确所请求的具体反馈。此外，问题应适合于组合产品的开发阶段。例如，如果组合产品的组成/设计仍在开发中，则提出与全面制造过程控制相关的问题是无用的。</w:t>
      </w:r>
    </w:p>
    <w:p w14:paraId="42339D64">
      <w:pPr>
        <w:pStyle w:val="24"/>
        <w:numPr>
          <w:ilvl w:val="0"/>
          <w:numId w:val="3"/>
        </w:numPr>
        <w:overflowPunct w:val="0"/>
        <w:spacing w:before="120" w:beforeLines="50" w:line="300" w:lineRule="auto"/>
        <w:ind w:firstLineChars="0"/>
        <w:rPr>
          <w:rFonts w:hint="eastAsia" w:cs="Times New Roman"/>
          <w:sz w:val="24"/>
          <w:szCs w:val="24"/>
          <w:lang w:eastAsia="zh-CN"/>
        </w:rPr>
      </w:pPr>
      <w:r>
        <w:rPr>
          <w:rFonts w:cs="宋体"/>
          <w:sz w:val="24"/>
          <w:u w:val="single"/>
          <w:lang w:eastAsia="zh-CN"/>
        </w:rPr>
        <w:t>全面的依据和支持信息</w:t>
      </w:r>
      <w:r>
        <w:rPr>
          <w:rFonts w:cs="宋体"/>
          <w:sz w:val="24"/>
          <w:lang w:eastAsia="zh-CN"/>
        </w:rPr>
        <w:t>。申请/请求应包括足够的信息，使FDA能够考虑问题并提供反馈，而无需大量其他信息请求（另见下文第IV.A和IV.B节以及附录1和2中提及的相关指南）。在请求FDA就某一特定问题提供反馈意见时，申请人应提供充足的信息（如适用），说明该问题与组成部分以及整体组合产品的相关性。</w:t>
      </w:r>
    </w:p>
    <w:p w14:paraId="0CF57513">
      <w:pPr>
        <w:overflowPunct w:val="0"/>
        <w:spacing w:before="120" w:beforeLines="50" w:line="300" w:lineRule="auto"/>
        <w:rPr>
          <w:rFonts w:hint="eastAsia" w:cs="Times New Roman"/>
          <w:sz w:val="24"/>
          <w:szCs w:val="24"/>
          <w:lang w:eastAsia="zh-CN"/>
        </w:rPr>
      </w:pPr>
    </w:p>
    <w:p w14:paraId="75EB2D8D">
      <w:pPr>
        <w:overflowPunct w:val="0"/>
        <w:spacing w:before="120" w:beforeLines="50" w:line="300" w:lineRule="auto"/>
        <w:rPr>
          <w:rFonts w:hint="eastAsia" w:cs="Times New Roman"/>
          <w:sz w:val="24"/>
          <w:szCs w:val="24"/>
          <w:lang w:eastAsia="zh-CN"/>
        </w:rPr>
      </w:pPr>
    </w:p>
    <w:p w14:paraId="5A3F7FE5">
      <w:pPr>
        <w:overflowPunct w:val="0"/>
        <w:spacing w:before="120" w:beforeLines="50" w:line="300" w:lineRule="auto"/>
        <w:rPr>
          <w:rFonts w:hint="eastAsia" w:cs="Times New Roman"/>
          <w:sz w:val="24"/>
          <w:szCs w:val="24"/>
          <w:lang w:eastAsia="zh-CN"/>
        </w:rPr>
      </w:pPr>
    </w:p>
    <w:p w14:paraId="511A4FD4">
      <w:pPr>
        <w:overflowPunct w:val="0"/>
        <w:spacing w:before="120" w:beforeLines="50" w:line="300" w:lineRule="auto"/>
        <w:rPr>
          <w:rFonts w:hint="eastAsia" w:cs="Times New Roman"/>
          <w:sz w:val="24"/>
          <w:szCs w:val="24"/>
          <w:lang w:eastAsia="zh-CN"/>
        </w:rPr>
      </w:pPr>
    </w:p>
    <w:p w14:paraId="79755779">
      <w:pPr>
        <w:overflowPunct w:val="0"/>
        <w:spacing w:before="120" w:beforeLines="50" w:line="300" w:lineRule="auto"/>
        <w:rPr>
          <w:rFonts w:hint="eastAsia" w:cs="Times New Roman"/>
          <w:sz w:val="24"/>
          <w:szCs w:val="24"/>
          <w:lang w:eastAsia="zh-CN"/>
        </w:rPr>
      </w:pPr>
    </w:p>
    <w:p w14:paraId="25A9A688">
      <w:pPr>
        <w:overflowPunct w:val="0"/>
        <w:spacing w:before="120" w:beforeLines="50" w:line="300" w:lineRule="auto"/>
        <w:rPr>
          <w:rFonts w:hint="eastAsia" w:cs="Times New Roman"/>
          <w:sz w:val="24"/>
          <w:szCs w:val="24"/>
          <w:lang w:eastAsia="zh-CN"/>
        </w:rPr>
      </w:pPr>
    </w:p>
    <w:p w14:paraId="104A4BF5">
      <w:pPr>
        <w:overflowPunct w:val="0"/>
        <w:spacing w:before="120" w:beforeLines="50" w:line="300" w:lineRule="auto"/>
        <w:rPr>
          <w:rFonts w:cs="Times New Roman"/>
          <w:sz w:val="24"/>
          <w:szCs w:val="24"/>
          <w:lang w:eastAsia="zh-CN"/>
        </w:rPr>
      </w:pPr>
    </w:p>
    <w:p w14:paraId="5129D341">
      <w:pPr>
        <w:pStyle w:val="23"/>
        <w:overflowPunct w:val="0"/>
        <w:rPr>
          <w:lang w:eastAsia="zh-CN"/>
        </w:rPr>
      </w:pPr>
      <w:r>
        <w:rPr>
          <w:rFonts w:cs="宋体"/>
          <w:lang w:eastAsia="zh-CN"/>
        </w:rPr>
        <w:t>______________________</w:t>
      </w:r>
    </w:p>
    <w:p w14:paraId="4C9A3ADB">
      <w:pPr>
        <w:pStyle w:val="23"/>
        <w:overflowPunct w:val="0"/>
        <w:rPr>
          <w:sz w:val="18"/>
          <w:szCs w:val="18"/>
          <w:lang w:eastAsia="zh-CN"/>
        </w:rPr>
      </w:pPr>
      <w:r>
        <w:rPr>
          <w:rFonts w:cs="宋体"/>
          <w:sz w:val="18"/>
          <w:szCs w:val="18"/>
          <w:vertAlign w:val="superscript"/>
          <w:lang w:eastAsia="zh-CN"/>
        </w:rPr>
        <w:t xml:space="preserve">12 </w:t>
      </w:r>
      <w:r>
        <w:rPr>
          <w:rFonts w:cs="宋体"/>
          <w:sz w:val="18"/>
          <w:szCs w:val="18"/>
          <w:lang w:eastAsia="zh-CN"/>
        </w:rPr>
        <w:tab/>
      </w:r>
      <w:r>
        <w:rPr>
          <w:rFonts w:cs="宋体"/>
          <w:sz w:val="18"/>
          <w:szCs w:val="18"/>
          <w:lang w:eastAsia="zh-CN"/>
        </w:rPr>
        <w:t>《治愈法案》修订了《FD&amp;C法案》第503(g)节，要求申请人寻求组合产品“FDA行动”，以注明产品为组合产品。参见《FD&amp;C法案》第503(g)(8)(C)(v)(I)节（21 USC 503(g)(8)(C)(v)(I)）。本机构认为，CPAM请求在此条款范围内。因此，在CPAM请求中，申请人必须注明其产品为组合产品。此外，即使并非所有通过基于申请的机制请求反馈的申请都需要提交，但本机构仍建议申请人在此类申请中注明其产品为组合产品，以便于组合产品的审查。</w:t>
      </w:r>
    </w:p>
    <w:p w14:paraId="53D0C005">
      <w:pPr>
        <w:overflowPunct w:val="0"/>
        <w:spacing w:before="120" w:beforeLines="50" w:line="300" w:lineRule="auto"/>
        <w:rPr>
          <w:rFonts w:cs="Times New Roman"/>
          <w:sz w:val="24"/>
          <w:szCs w:val="24"/>
          <w:lang w:eastAsia="zh-CN"/>
        </w:rPr>
      </w:pPr>
      <w:r>
        <w:rPr>
          <w:rFonts w:cs="宋体"/>
          <w:sz w:val="24"/>
          <w:lang w:eastAsia="zh-CN"/>
        </w:rPr>
        <w:br w:type="page"/>
      </w:r>
    </w:p>
    <w:p w14:paraId="0A635F34">
      <w:pPr>
        <w:pStyle w:val="24"/>
        <w:numPr>
          <w:ilvl w:val="0"/>
          <w:numId w:val="4"/>
        </w:numPr>
        <w:overflowPunct w:val="0"/>
        <w:spacing w:before="120" w:beforeLines="50" w:line="300" w:lineRule="auto"/>
        <w:ind w:firstLineChars="0"/>
        <w:rPr>
          <w:rFonts w:cs="Times New Roman"/>
          <w:sz w:val="24"/>
          <w:szCs w:val="24"/>
          <w:lang w:eastAsia="zh-CN"/>
        </w:rPr>
      </w:pPr>
      <w:r>
        <w:rPr>
          <w:rFonts w:cs="宋体"/>
          <w:sz w:val="24"/>
          <w:u w:val="single"/>
          <w:lang w:eastAsia="zh-CN"/>
        </w:rPr>
        <w:t>通过确定的FDA POC进行沟通</w:t>
      </w:r>
      <w:r>
        <w:rPr>
          <w:rFonts w:cs="宋体"/>
          <w:sz w:val="24"/>
          <w:lang w:eastAsia="zh-CN"/>
        </w:rPr>
        <w:t>。申请人应通过指定的POC与FDA沟通。即使在请求重点是主要由牵头中心以外的专家负责的问题的情况下，沟通也应指向牵头中心内部确定的POC，该中心将聘请适当的专家担任POC（参见下文第III.B节）。申请人可联系牵头中心内部的POC，要求聘请适当的工作人员以帮助确保必要专业知识的可得性，并在会议计划的早期解决日程安排问题。</w:t>
      </w:r>
    </w:p>
    <w:p w14:paraId="21480A23">
      <w:pPr>
        <w:pStyle w:val="3"/>
        <w:overflowPunct w:val="0"/>
        <w:rPr>
          <w:lang w:eastAsia="zh-CN"/>
        </w:rPr>
      </w:pPr>
      <w:bookmarkStart w:id="6" w:name="_Toc97888812"/>
      <w:r>
        <w:rPr>
          <w:rFonts w:cs="宋体"/>
          <w:lang w:eastAsia="zh-CN"/>
        </w:rPr>
        <w:t>B.</w:t>
      </w:r>
      <w:r>
        <w:rPr>
          <w:rFonts w:cs="宋体"/>
          <w:lang w:eastAsia="zh-CN"/>
        </w:rPr>
        <w:tab/>
      </w:r>
      <w:r>
        <w:rPr>
          <w:rFonts w:cs="宋体"/>
          <w:lang w:eastAsia="zh-CN"/>
        </w:rPr>
        <w:t>FDA最佳实践</w:t>
      </w:r>
      <w:bookmarkEnd w:id="6"/>
    </w:p>
    <w:p w14:paraId="63B995B0">
      <w:pPr>
        <w:overflowPunct w:val="0"/>
        <w:spacing w:before="120" w:beforeLines="50" w:line="300" w:lineRule="auto"/>
        <w:rPr>
          <w:rFonts w:cs="Times New Roman"/>
          <w:sz w:val="24"/>
          <w:szCs w:val="24"/>
          <w:lang w:eastAsia="zh-CN"/>
        </w:rPr>
      </w:pPr>
      <w:r>
        <w:rPr>
          <w:rFonts w:cs="宋体"/>
          <w:sz w:val="24"/>
          <w:lang w:eastAsia="zh-CN"/>
        </w:rPr>
        <w:t>以下是FDA的最佳实践，FDA认为这将有助于确保审查申请/请求</w:t>
      </w:r>
      <w:r>
        <w:rPr>
          <w:rFonts w:hint="eastAsia" w:cs="宋体"/>
          <w:sz w:val="24"/>
          <w:lang w:eastAsia="zh-CN"/>
        </w:rPr>
        <w:t>有效率和有效果</w:t>
      </w:r>
      <w:r>
        <w:rPr>
          <w:rFonts w:cs="宋体"/>
          <w:sz w:val="24"/>
          <w:lang w:eastAsia="zh-CN"/>
        </w:rPr>
        <w:t>。</w:t>
      </w:r>
    </w:p>
    <w:p w14:paraId="61B06AE2">
      <w:pPr>
        <w:pStyle w:val="24"/>
        <w:numPr>
          <w:ilvl w:val="0"/>
          <w:numId w:val="4"/>
        </w:numPr>
        <w:overflowPunct w:val="0"/>
        <w:spacing w:before="120" w:beforeLines="50" w:line="300" w:lineRule="auto"/>
        <w:ind w:firstLineChars="0"/>
        <w:rPr>
          <w:rFonts w:cs="Times New Roman"/>
          <w:sz w:val="24"/>
          <w:szCs w:val="24"/>
          <w:lang w:eastAsia="zh-CN"/>
        </w:rPr>
      </w:pPr>
      <w:r>
        <w:rPr>
          <w:rFonts w:cs="宋体"/>
          <w:sz w:val="24"/>
          <w:u w:val="single"/>
          <w:lang w:eastAsia="zh-CN"/>
        </w:rPr>
        <w:t>通知申请人有关FDA的POC</w:t>
      </w:r>
      <w:r>
        <w:rPr>
          <w:rFonts w:cs="宋体"/>
          <w:sz w:val="24"/>
          <w:lang w:eastAsia="zh-CN"/>
        </w:rPr>
        <w:t>。</w:t>
      </w:r>
      <w:r>
        <w:rPr>
          <w:rFonts w:cs="宋体"/>
          <w:sz w:val="24"/>
          <w:vertAlign w:val="superscript"/>
          <w:lang w:eastAsia="zh-CN"/>
        </w:rPr>
        <w:t>13</w:t>
      </w:r>
      <w:r>
        <w:rPr>
          <w:rFonts w:cs="宋体"/>
          <w:sz w:val="24"/>
          <w:lang w:eastAsia="zh-CN"/>
        </w:rPr>
        <w:t>一旦受理申请/请求，根据中心指南和过程，牵头中心应确保向申请人通知FDA的POC。</w:t>
      </w:r>
      <w:r>
        <w:rPr>
          <w:rFonts w:cs="宋体"/>
          <w:sz w:val="24"/>
          <w:vertAlign w:val="superscript"/>
          <w:lang w:eastAsia="zh-CN"/>
        </w:rPr>
        <w:t>14</w:t>
      </w:r>
      <w:r>
        <w:rPr>
          <w:rFonts w:cs="宋体"/>
          <w:sz w:val="24"/>
          <w:lang w:eastAsia="zh-CN"/>
        </w:rPr>
        <w:t>POC应协调申请人和FDA工作人员之间的沟通（包括确保与非牵头中心的有效沟通），并随时了解FDA工作人员和申请人之间的任何沟通结果。</w:t>
      </w:r>
    </w:p>
    <w:p w14:paraId="48015A29">
      <w:pPr>
        <w:pStyle w:val="24"/>
        <w:numPr>
          <w:ilvl w:val="0"/>
          <w:numId w:val="4"/>
        </w:numPr>
        <w:overflowPunct w:val="0"/>
        <w:spacing w:before="120" w:beforeLines="50" w:line="300" w:lineRule="auto"/>
        <w:ind w:firstLineChars="0"/>
        <w:rPr>
          <w:rFonts w:cs="Times New Roman"/>
          <w:sz w:val="24"/>
          <w:szCs w:val="24"/>
          <w:lang w:eastAsia="zh-CN"/>
        </w:rPr>
      </w:pPr>
      <w:r>
        <w:rPr>
          <w:rFonts w:cs="宋体"/>
          <w:sz w:val="24"/>
          <w:u w:val="single"/>
          <w:lang w:eastAsia="zh-CN"/>
        </w:rPr>
        <w:t>聘用相关专家</w:t>
      </w:r>
      <w:r>
        <w:rPr>
          <w:rFonts w:cs="宋体"/>
          <w:sz w:val="24"/>
          <w:lang w:eastAsia="zh-CN"/>
        </w:rPr>
        <w:t>。牵头中心应根据需要从其他医疗产品中心和OCP聘请适当的专家，以支持对申请/请求进行全面审查和反馈。应在审查过程的早期纳入此类人员，并酌情邀请他们参加相关会议或与申请人的其他交流。</w:t>
      </w:r>
      <w:r>
        <w:rPr>
          <w:rFonts w:cs="宋体"/>
          <w:sz w:val="24"/>
          <w:vertAlign w:val="superscript"/>
          <w:lang w:eastAsia="zh-CN"/>
        </w:rPr>
        <w:t>15</w:t>
      </w:r>
      <w:r>
        <w:rPr>
          <w:rFonts w:cs="宋体"/>
          <w:sz w:val="24"/>
          <w:lang w:eastAsia="zh-CN"/>
        </w:rPr>
        <w:t>申请人如果申请人要求具有特殊专长的参与者参与有关产</w:t>
      </w:r>
      <w:r>
        <w:rPr>
          <w:rFonts w:hint="eastAsia" w:cs="宋体"/>
          <w:sz w:val="24"/>
          <w:lang w:eastAsia="zh-CN"/>
        </w:rPr>
        <w:t>品的事项，</w:t>
      </w:r>
      <w:r>
        <w:rPr>
          <w:rFonts w:cs="宋体"/>
          <w:sz w:val="24"/>
          <w:lang w:eastAsia="zh-CN"/>
        </w:rPr>
        <w:t>FDA</w:t>
      </w:r>
      <w:r>
        <w:rPr>
          <w:rFonts w:hint="eastAsia" w:cs="宋体"/>
          <w:sz w:val="24"/>
          <w:lang w:eastAsia="zh-CN"/>
        </w:rPr>
        <w:t>通常预期酌情让此类工作人员参加会议和其他交流（例如，他们具有与正在讨论的问题有关的专长）。</w:t>
      </w:r>
      <w:r>
        <w:rPr>
          <w:rFonts w:cs="宋体"/>
          <w:sz w:val="24"/>
          <w:lang w:eastAsia="zh-CN"/>
        </w:rPr>
        <w:t>申请人</w:t>
      </w:r>
      <w:r>
        <w:rPr>
          <w:rFonts w:hint="eastAsia" w:cs="宋体"/>
          <w:sz w:val="24"/>
          <w:lang w:eastAsia="zh-CN"/>
        </w:rPr>
        <w:t>也可以要求</w:t>
      </w:r>
      <w:r>
        <w:rPr>
          <w:rFonts w:cs="宋体"/>
          <w:sz w:val="24"/>
          <w:lang w:eastAsia="zh-CN"/>
        </w:rPr>
        <w:t>OCP</w:t>
      </w:r>
      <w:r>
        <w:rPr>
          <w:rFonts w:hint="eastAsia" w:cs="宋体"/>
          <w:sz w:val="24"/>
          <w:lang w:eastAsia="zh-CN"/>
        </w:rPr>
        <w:t>参加会议或以其他方式参与有关组合产品的监管事宜（参见《</w:t>
      </w:r>
      <w:r>
        <w:rPr>
          <w:rFonts w:cs="宋体"/>
          <w:sz w:val="24"/>
          <w:lang w:eastAsia="zh-CN"/>
        </w:rPr>
        <w:t>FD&amp;C</w:t>
      </w:r>
      <w:r>
        <w:rPr>
          <w:rFonts w:hint="eastAsia" w:cs="宋体"/>
          <w:sz w:val="24"/>
          <w:lang w:eastAsia="zh-CN"/>
        </w:rPr>
        <w:t>法案》第</w:t>
      </w:r>
      <w:r>
        <w:rPr>
          <w:rFonts w:cs="宋体"/>
          <w:sz w:val="24"/>
          <w:lang w:eastAsia="zh-CN"/>
        </w:rPr>
        <w:t>503(g)(8)(C)(v)(II)</w:t>
      </w:r>
      <w:r>
        <w:rPr>
          <w:rFonts w:hint="eastAsia" w:cs="宋体"/>
          <w:sz w:val="24"/>
          <w:lang w:eastAsia="zh-CN"/>
        </w:rPr>
        <w:t>节（</w:t>
      </w:r>
      <w:r>
        <w:rPr>
          <w:rFonts w:cs="宋体"/>
          <w:sz w:val="24"/>
          <w:lang w:eastAsia="zh-CN"/>
        </w:rPr>
        <w:t>21 USC 353(g)(8)(C)(v)(II)</w:t>
      </w:r>
      <w:r>
        <w:rPr>
          <w:rFonts w:hint="eastAsia" w:cs="宋体"/>
          <w:sz w:val="24"/>
          <w:lang w:eastAsia="zh-CN"/>
        </w:rPr>
        <w:t>））。在反馈请求仅与非牵头中心审查的问题有关的情况下，牵头中心将努力确保信息及时传递给其他中心。</w:t>
      </w:r>
    </w:p>
    <w:p w14:paraId="76ECAC9C">
      <w:pPr>
        <w:pStyle w:val="24"/>
        <w:numPr>
          <w:ilvl w:val="0"/>
          <w:numId w:val="4"/>
        </w:numPr>
        <w:overflowPunct w:val="0"/>
        <w:spacing w:before="120" w:beforeLines="50" w:line="300" w:lineRule="auto"/>
        <w:ind w:firstLineChars="0"/>
        <w:rPr>
          <w:rFonts w:hint="eastAsia" w:cs="Times New Roman"/>
          <w:sz w:val="24"/>
          <w:szCs w:val="24"/>
          <w:lang w:eastAsia="zh-CN"/>
        </w:rPr>
      </w:pPr>
      <w:r>
        <w:rPr>
          <w:rFonts w:cs="宋体"/>
          <w:sz w:val="24"/>
          <w:u w:val="single"/>
          <w:lang w:eastAsia="zh-CN"/>
        </w:rPr>
        <w:t>综合、一致和可靠的反馈</w:t>
      </w:r>
      <w:r>
        <w:rPr>
          <w:rFonts w:cs="宋体"/>
          <w:sz w:val="24"/>
          <w:lang w:eastAsia="zh-CN"/>
        </w:rPr>
        <w:t>。FDA应根据所提供的信息尽可能对申请/请求中提出的问题提供全面的答复。提供给申请人的反馈应代表FDA目前基于所提供信息的观点，并包括所有参与审查申请/请求的FDA中心和小组的相关意见。除非新信息或最新科学思维（例如，反映在随后发布的指南、法规或法律中的信息）影响之前提供的反馈意见的有效性，否则FDA通常不应改变其提供给申请人的反馈意见。</w:t>
      </w:r>
    </w:p>
    <w:p w14:paraId="0D50C20F">
      <w:pPr>
        <w:overflowPunct w:val="0"/>
        <w:spacing w:before="120" w:beforeLines="50" w:line="300" w:lineRule="auto"/>
        <w:rPr>
          <w:rFonts w:cs="Times New Roman"/>
          <w:sz w:val="24"/>
          <w:szCs w:val="24"/>
          <w:lang w:eastAsia="zh-CN"/>
        </w:rPr>
      </w:pPr>
    </w:p>
    <w:p w14:paraId="70A6D514">
      <w:pPr>
        <w:pStyle w:val="23"/>
        <w:overflowPunct w:val="0"/>
        <w:rPr>
          <w:lang w:eastAsia="zh-CN"/>
        </w:rPr>
      </w:pPr>
      <w:r>
        <w:rPr>
          <w:rFonts w:cs="宋体"/>
          <w:lang w:eastAsia="zh-CN"/>
        </w:rPr>
        <w:t>______________________</w:t>
      </w:r>
    </w:p>
    <w:p w14:paraId="4B495C92">
      <w:pPr>
        <w:pStyle w:val="23"/>
        <w:overflowPunct w:val="0"/>
        <w:rPr>
          <w:sz w:val="18"/>
          <w:szCs w:val="18"/>
          <w:lang w:eastAsia="zh-CN"/>
        </w:rPr>
      </w:pPr>
      <w:r>
        <w:rPr>
          <w:rFonts w:cs="宋体"/>
          <w:sz w:val="18"/>
          <w:szCs w:val="18"/>
          <w:vertAlign w:val="superscript"/>
          <w:lang w:eastAsia="zh-CN"/>
        </w:rPr>
        <w:t xml:space="preserve">13 </w:t>
      </w:r>
      <w:r>
        <w:rPr>
          <w:rFonts w:cs="宋体"/>
          <w:sz w:val="18"/>
          <w:szCs w:val="18"/>
          <w:lang w:eastAsia="zh-CN"/>
        </w:rPr>
        <w:tab/>
      </w:r>
      <w:r>
        <w:rPr>
          <w:rFonts w:cs="宋体"/>
          <w:sz w:val="18"/>
          <w:szCs w:val="18"/>
          <w:lang w:eastAsia="zh-CN"/>
        </w:rPr>
        <w:t>根据《FD&amp;C法案》第503(g)(8)(C)(iii)节（21 USC 353(g)(8)(C)(iii)），OCP必须确保主要FDA中心的指定人员是组合产品申请人的主要POC。</w:t>
      </w:r>
    </w:p>
    <w:p w14:paraId="58713410">
      <w:pPr>
        <w:pStyle w:val="23"/>
        <w:overflowPunct w:val="0"/>
        <w:rPr>
          <w:sz w:val="18"/>
          <w:szCs w:val="18"/>
          <w:lang w:eastAsia="zh-CN"/>
        </w:rPr>
      </w:pPr>
      <w:r>
        <w:rPr>
          <w:rFonts w:cs="宋体"/>
          <w:sz w:val="18"/>
          <w:szCs w:val="18"/>
          <w:vertAlign w:val="superscript"/>
          <w:lang w:eastAsia="zh-CN"/>
        </w:rPr>
        <w:t xml:space="preserve">14 </w:t>
      </w:r>
      <w:r>
        <w:rPr>
          <w:rFonts w:cs="宋体"/>
          <w:sz w:val="18"/>
          <w:szCs w:val="18"/>
          <w:lang w:eastAsia="zh-CN"/>
        </w:rPr>
        <w:tab/>
      </w:r>
      <w:r>
        <w:rPr>
          <w:rFonts w:cs="宋体"/>
          <w:sz w:val="18"/>
          <w:szCs w:val="18"/>
          <w:lang w:eastAsia="zh-CN"/>
        </w:rPr>
        <w:t>在CBER和CDER，FDA POC通常是法规项目经理（RPM），在CDRH，FDA POC通常是审查负责人。</w:t>
      </w:r>
    </w:p>
    <w:p w14:paraId="09E740A7">
      <w:pPr>
        <w:pStyle w:val="23"/>
        <w:overflowPunct w:val="0"/>
        <w:rPr>
          <w:sz w:val="18"/>
          <w:szCs w:val="18"/>
          <w:lang w:eastAsia="zh-CN"/>
        </w:rPr>
      </w:pPr>
      <w:r>
        <w:rPr>
          <w:rFonts w:cs="宋体"/>
          <w:sz w:val="18"/>
          <w:szCs w:val="18"/>
          <w:vertAlign w:val="superscript"/>
          <w:lang w:eastAsia="zh-CN"/>
        </w:rPr>
        <w:t xml:space="preserve">15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工作人员手册指南（SMG）4101，中心间咨询请求过程</w:t>
      </w:r>
      <w:r>
        <w:rPr>
          <w:rFonts w:cs="宋体"/>
          <w:sz w:val="18"/>
          <w:szCs w:val="18"/>
          <w:lang w:eastAsia="zh-CN"/>
        </w:rPr>
        <w:t>》中关于组合产品的中心间咨询预期和流程等内容；另参见《</w:t>
      </w:r>
      <w:r>
        <w:rPr>
          <w:rFonts w:cs="宋体"/>
          <w:color w:val="0000FF"/>
          <w:sz w:val="18"/>
          <w:szCs w:val="18"/>
          <w:u w:val="single"/>
          <w:lang w:eastAsia="zh-CN"/>
        </w:rPr>
        <w:t>SMG 4103，医疗产品中心和组合产品办公室关于组合产品相关法规和指南的参与预期和程序</w:t>
      </w:r>
      <w:r>
        <w:rPr>
          <w:rFonts w:cs="宋体"/>
          <w:sz w:val="18"/>
          <w:szCs w:val="18"/>
          <w:lang w:eastAsia="zh-CN"/>
        </w:rPr>
        <w:t>》。</w:t>
      </w:r>
    </w:p>
    <w:p w14:paraId="07A7FD4B">
      <w:pPr>
        <w:overflowPunct w:val="0"/>
        <w:spacing w:before="120" w:beforeLines="50" w:line="300" w:lineRule="auto"/>
        <w:rPr>
          <w:rFonts w:cs="Times New Roman"/>
          <w:sz w:val="24"/>
          <w:szCs w:val="24"/>
          <w:lang w:eastAsia="zh-CN"/>
        </w:rPr>
      </w:pPr>
      <w:r>
        <w:rPr>
          <w:rFonts w:cs="宋体"/>
          <w:sz w:val="24"/>
          <w:lang w:eastAsia="zh-CN"/>
        </w:rPr>
        <w:br w:type="page"/>
      </w:r>
    </w:p>
    <w:p w14:paraId="52ACE9AE">
      <w:pPr>
        <w:pStyle w:val="2"/>
        <w:overflowPunct w:val="0"/>
        <w:rPr>
          <w:lang w:eastAsia="zh-CN"/>
        </w:rPr>
      </w:pPr>
      <w:bookmarkStart w:id="7" w:name="_Toc97888813"/>
      <w:r>
        <w:rPr>
          <w:rFonts w:cs="宋体"/>
          <w:lang w:eastAsia="zh-CN"/>
        </w:rPr>
        <w:t>IV.</w:t>
      </w:r>
      <w:r>
        <w:rPr>
          <w:rFonts w:cs="宋体"/>
          <w:lang w:eastAsia="zh-CN"/>
        </w:rPr>
        <w:tab/>
      </w:r>
      <w:r>
        <w:rPr>
          <w:rFonts w:cs="宋体"/>
          <w:lang w:eastAsia="zh-CN"/>
        </w:rPr>
        <w:t>组合产品的可用反馈机制</w:t>
      </w:r>
      <w:bookmarkEnd w:id="7"/>
    </w:p>
    <w:p w14:paraId="4E8DA455">
      <w:pPr>
        <w:overflowPunct w:val="0"/>
        <w:spacing w:before="120" w:beforeLines="50" w:line="300" w:lineRule="auto"/>
        <w:rPr>
          <w:rFonts w:cs="Times New Roman"/>
          <w:sz w:val="24"/>
          <w:szCs w:val="24"/>
          <w:lang w:eastAsia="zh-CN"/>
        </w:rPr>
      </w:pPr>
      <w:r>
        <w:rPr>
          <w:rFonts w:cs="宋体"/>
          <w:sz w:val="24"/>
          <w:lang w:eastAsia="zh-CN"/>
        </w:rPr>
        <w:t>下文讨论了申请人通过基于申请的机制或CPAM与FDA交流的各种方式，以讨论组合产品问题。</w:t>
      </w:r>
      <w:r>
        <w:rPr>
          <w:rFonts w:cs="宋体"/>
          <w:sz w:val="24"/>
          <w:vertAlign w:val="superscript"/>
          <w:lang w:eastAsia="zh-CN"/>
        </w:rPr>
        <w:t>16</w:t>
      </w:r>
    </w:p>
    <w:p w14:paraId="2AE62ED7">
      <w:pPr>
        <w:pStyle w:val="3"/>
        <w:overflowPunct w:val="0"/>
        <w:rPr>
          <w:lang w:eastAsia="zh-CN"/>
        </w:rPr>
      </w:pPr>
      <w:bookmarkStart w:id="8" w:name="_Toc97888814"/>
      <w:r>
        <w:rPr>
          <w:rFonts w:cs="宋体"/>
          <w:lang w:eastAsia="zh-CN"/>
        </w:rPr>
        <w:t>A.</w:t>
      </w:r>
      <w:r>
        <w:rPr>
          <w:rFonts w:cs="宋体"/>
          <w:lang w:eastAsia="zh-CN"/>
        </w:rPr>
        <w:tab/>
      </w:r>
      <w:r>
        <w:rPr>
          <w:rFonts w:cs="宋体"/>
          <w:lang w:eastAsia="zh-CN"/>
        </w:rPr>
        <w:t>基于申请的机制</w:t>
      </w:r>
      <w:bookmarkEnd w:id="8"/>
    </w:p>
    <w:p w14:paraId="5B9FBF67">
      <w:pPr>
        <w:overflowPunct w:val="0"/>
        <w:spacing w:before="120" w:beforeLines="50" w:line="300" w:lineRule="auto"/>
        <w:rPr>
          <w:rFonts w:cs="Times New Roman"/>
          <w:sz w:val="24"/>
          <w:szCs w:val="24"/>
          <w:lang w:eastAsia="zh-CN"/>
        </w:rPr>
      </w:pPr>
      <w:r>
        <w:rPr>
          <w:rFonts w:cs="宋体"/>
          <w:sz w:val="24"/>
          <w:lang w:eastAsia="zh-CN"/>
        </w:rPr>
        <w:t>可用于药物、器械和生物制品的基于申请的与FDA交流机制也可用于组合产品。这些机制通常是与FDA沟通的最高效和最有效方式，并且是基于将提交给组合产品的申请类型。</w:t>
      </w:r>
      <w:r>
        <w:rPr>
          <w:rFonts w:cs="宋体"/>
          <w:sz w:val="24"/>
          <w:vertAlign w:val="superscript"/>
          <w:lang w:eastAsia="zh-CN"/>
        </w:rPr>
        <w:t>17</w:t>
      </w:r>
      <w:r>
        <w:rPr>
          <w:rFonts w:cs="宋体"/>
          <w:sz w:val="24"/>
          <w:lang w:eastAsia="zh-CN"/>
        </w:rPr>
        <w:t>本节提供了用于解决组合产品问题的基于申请的机制的考虑因素。申请人也应审查与基于申请的特定机制相关的指南（参见附录1和2）。</w:t>
      </w:r>
    </w:p>
    <w:p w14:paraId="1A7EAF55">
      <w:pPr>
        <w:overflowPunct w:val="0"/>
        <w:spacing w:before="120" w:beforeLines="50" w:line="300" w:lineRule="auto"/>
        <w:rPr>
          <w:rFonts w:cs="Times New Roman"/>
          <w:sz w:val="24"/>
          <w:szCs w:val="24"/>
          <w:lang w:eastAsia="zh-CN"/>
        </w:rPr>
      </w:pPr>
      <w:r>
        <w:rPr>
          <w:rFonts w:cs="宋体"/>
          <w:sz w:val="24"/>
          <w:lang w:eastAsia="zh-CN"/>
        </w:rPr>
        <w:t>与FDA的所有交流均应通过组合产品的牵头中心（参见上文第III.A节）进行协调，</w:t>
      </w:r>
      <w:r>
        <w:rPr>
          <w:rFonts w:hint="eastAsia" w:cs="宋体"/>
          <w:sz w:val="24"/>
          <w:lang w:eastAsia="zh-CN"/>
        </w:rPr>
        <w:t>无论所要求的反馈如何，并使用该中心基于申请的机制</w:t>
      </w:r>
      <w:r>
        <w:rPr>
          <w:rFonts w:cs="宋体"/>
          <w:sz w:val="24"/>
          <w:lang w:eastAsia="zh-CN"/>
        </w:rPr>
        <w:t>。例如，如果申请人对器械主导型组合产品的药物部分有一般问题，则通过CDRH进行交流，合适的基于申请的机制是预申请会议流程。</w:t>
      </w:r>
      <w:r>
        <w:rPr>
          <w:rFonts w:cs="宋体"/>
          <w:sz w:val="24"/>
          <w:vertAlign w:val="superscript"/>
          <w:lang w:eastAsia="zh-CN"/>
        </w:rPr>
        <w:t>18</w:t>
      </w:r>
      <w:r>
        <w:rPr>
          <w:rFonts w:cs="宋体"/>
          <w:sz w:val="24"/>
          <w:lang w:eastAsia="zh-CN"/>
        </w:rPr>
        <w:t>通过牵头中心协调交流有助于确保审查小组所有成员的适当参与（包括适当的其他中心的审查小组成员），并确保交流（包括那些通过电子邮件和电话发生的交流）适当地记录在行政记录中。基于申请的机制包括用于解决特定请求（如对某一器械的突破性指定）和产品类型（如复杂的仿制药）的专门会议类型和机会。附录1和2列出了组合产品申请人在获取FDA反馈时使用的常见问题和基于申请的机制示例。</w:t>
      </w:r>
    </w:p>
    <w:p w14:paraId="09190C5A">
      <w:pPr>
        <w:pStyle w:val="23"/>
        <w:overflowPunct w:val="0"/>
        <w:rPr>
          <w:lang w:eastAsia="zh-CN"/>
        </w:rPr>
      </w:pPr>
      <w:r>
        <w:rPr>
          <w:rFonts w:cs="宋体"/>
          <w:lang w:eastAsia="zh-CN"/>
        </w:rPr>
        <w:t>______________________</w:t>
      </w:r>
    </w:p>
    <w:p w14:paraId="20FB7C37">
      <w:pPr>
        <w:pStyle w:val="23"/>
        <w:overflowPunct w:val="0"/>
        <w:rPr>
          <w:sz w:val="18"/>
          <w:szCs w:val="18"/>
          <w:lang w:eastAsia="zh-CN"/>
        </w:rPr>
      </w:pPr>
      <w:r>
        <w:rPr>
          <w:rFonts w:cs="宋体"/>
          <w:sz w:val="18"/>
          <w:szCs w:val="18"/>
          <w:vertAlign w:val="superscript"/>
          <w:lang w:eastAsia="zh-CN"/>
        </w:rPr>
        <w:t>16</w:t>
      </w:r>
      <w:r>
        <w:rPr>
          <w:rFonts w:cs="宋体"/>
          <w:sz w:val="18"/>
          <w:szCs w:val="18"/>
          <w:lang w:eastAsia="zh-CN"/>
        </w:rPr>
        <w:tab/>
      </w:r>
      <w:r>
        <w:rPr>
          <w:rFonts w:cs="宋体"/>
          <w:sz w:val="18"/>
          <w:szCs w:val="18"/>
          <w:lang w:eastAsia="zh-CN"/>
        </w:rPr>
        <w:t>虽然FDA只能与产品申请人和申请人指定人员讨论特定产品的问题，但参与组合产品开发和制造的其他实体（例如，组成部分开发商、主文件持有人）可要求FDA提供与其受监管活动有关的反馈。虽然这些实体不能使用基于申请的机制或CPAM，但这些实体可使用现有一般查询过程（</w:t>
      </w:r>
      <w:r>
        <w:rPr>
          <w:rFonts w:cs="宋体"/>
          <w:color w:val="0000FF"/>
          <w:sz w:val="18"/>
          <w:szCs w:val="18"/>
          <w:u w:val="single"/>
          <w:lang w:eastAsia="zh-CN"/>
        </w:rPr>
        <w:t>CBER制造商协助、CDER药物信息、CDRH行业和消费者教育司</w:t>
      </w:r>
      <w:r>
        <w:rPr>
          <w:rFonts w:cs="宋体"/>
          <w:sz w:val="18"/>
          <w:szCs w:val="18"/>
          <w:lang w:eastAsia="zh-CN"/>
        </w:rPr>
        <w:t>）联系组合产品的牵头中心。如果这些实体不知道牵头中心，可以联系OCP寻求帮助（</w:t>
      </w:r>
      <w:r>
        <w:rPr>
          <w:rFonts w:cs="宋体"/>
          <w:color w:val="0000FF"/>
          <w:sz w:val="18"/>
          <w:szCs w:val="18"/>
          <w:u w:val="single"/>
          <w:lang w:eastAsia="zh-CN"/>
        </w:rPr>
        <w:t>combination@fda.gov</w:t>
      </w:r>
      <w:r>
        <w:rPr>
          <w:rFonts w:cs="宋体"/>
          <w:sz w:val="18"/>
          <w:szCs w:val="18"/>
          <w:lang w:eastAsia="zh-CN"/>
        </w:rPr>
        <w:t>）。该中心或OCP将在必要时进行协调，以提供反馈或将该实体引向适当机制以获得更多反馈。</w:t>
      </w:r>
    </w:p>
    <w:p w14:paraId="6AD90133">
      <w:pPr>
        <w:pStyle w:val="23"/>
        <w:overflowPunct w:val="0"/>
        <w:rPr>
          <w:sz w:val="18"/>
          <w:szCs w:val="18"/>
          <w:lang w:eastAsia="zh-CN"/>
        </w:rPr>
      </w:pPr>
      <w:r>
        <w:rPr>
          <w:rFonts w:cs="宋体"/>
          <w:sz w:val="18"/>
          <w:szCs w:val="18"/>
          <w:vertAlign w:val="superscript"/>
          <w:lang w:eastAsia="zh-CN"/>
        </w:rPr>
        <w:t xml:space="preserve">17 </w:t>
      </w:r>
      <w:r>
        <w:rPr>
          <w:rFonts w:cs="宋体"/>
          <w:sz w:val="18"/>
          <w:szCs w:val="18"/>
          <w:lang w:eastAsia="zh-CN"/>
        </w:rPr>
        <w:tab/>
      </w:r>
      <w:r>
        <w:rPr>
          <w:rFonts w:cs="宋体"/>
          <w:sz w:val="18"/>
          <w:szCs w:val="18"/>
          <w:lang w:eastAsia="zh-CN"/>
        </w:rPr>
        <w:t>虽然基于申请的机制可用，并且通常对于所有组合产品应加以利用，但如果为交叉标记组合产品的组成部分寻求单独上市授权（例如，药物的新药申请（NDA）和器械的上市前通知（510(k)）），可能会引起不同的考虑因素。在提交单独上市授权申请之前，与FDA的所有交流均应通过这些组合产品的牵头中心进行协调，无论所要求的反馈如何。申请人可能希望与各中心（必要时与OCP）讨论如何最好地确保在审查上市授权申请期间进行高效、协调的参与（例如，考虑到与每个组成部分的申请类型相关的不同用户费用性能目标）。</w:t>
      </w:r>
    </w:p>
    <w:p w14:paraId="220FFCB6">
      <w:pPr>
        <w:pStyle w:val="23"/>
        <w:overflowPunct w:val="0"/>
        <w:rPr>
          <w:i/>
          <w:sz w:val="18"/>
          <w:szCs w:val="18"/>
          <w:lang w:eastAsia="zh-CN"/>
        </w:rPr>
      </w:pPr>
      <w:r>
        <w:rPr>
          <w:rFonts w:cs="宋体"/>
          <w:sz w:val="18"/>
          <w:szCs w:val="18"/>
          <w:vertAlign w:val="superscript"/>
          <w:lang w:eastAsia="zh-CN"/>
        </w:rPr>
        <w:t xml:space="preserve">18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医疗器械申请的反馈和会议申请：预申请程序-面向行业和美国食品药品监督管理局工作人员的指南草案</w:t>
      </w:r>
      <w:r>
        <w:rPr>
          <w:rFonts w:cs="宋体"/>
          <w:sz w:val="18"/>
          <w:szCs w:val="18"/>
          <w:lang w:eastAsia="zh-CN"/>
        </w:rPr>
        <w:t>》。</w:t>
      </w:r>
    </w:p>
    <w:p w14:paraId="5A5E9D45">
      <w:pPr>
        <w:overflowPunct w:val="0"/>
        <w:spacing w:before="120" w:beforeLines="50" w:line="300" w:lineRule="auto"/>
        <w:rPr>
          <w:rFonts w:cs="Times New Roman"/>
          <w:sz w:val="24"/>
          <w:szCs w:val="24"/>
          <w:lang w:eastAsia="zh-CN"/>
        </w:rPr>
      </w:pPr>
      <w:r>
        <w:rPr>
          <w:rFonts w:cs="宋体"/>
          <w:sz w:val="24"/>
          <w:lang w:eastAsia="zh-CN"/>
        </w:rPr>
        <w:br w:type="page"/>
      </w:r>
    </w:p>
    <w:p w14:paraId="7AC44105">
      <w:pPr>
        <w:overflowPunct w:val="0"/>
        <w:spacing w:before="120" w:beforeLines="50" w:line="300" w:lineRule="auto"/>
        <w:rPr>
          <w:rFonts w:cs="Times New Roman"/>
          <w:sz w:val="24"/>
          <w:szCs w:val="24"/>
          <w:lang w:eastAsia="zh-CN"/>
        </w:rPr>
      </w:pPr>
      <w:r>
        <w:rPr>
          <w:rFonts w:cs="宋体"/>
          <w:sz w:val="24"/>
          <w:lang w:eastAsia="zh-CN"/>
        </w:rPr>
        <w:t>对于基于申请的机制，FDA的处理和FDA对组合产品申请人的反馈应与该交流类型所概述的现有过程一致（参见附录1和2中提及的相关指南；另参见关于</w:t>
      </w:r>
      <w:r>
        <w:rPr>
          <w:rFonts w:cs="宋体"/>
          <w:color w:val="0000FF"/>
          <w:sz w:val="24"/>
          <w:u w:val="single"/>
          <w:lang w:eastAsia="zh-CN"/>
        </w:rPr>
        <w:t>电子申请</w:t>
      </w:r>
      <w:r>
        <w:rPr>
          <w:rFonts w:cs="宋体"/>
          <w:sz w:val="24"/>
          <w:lang w:eastAsia="zh-CN"/>
        </w:rPr>
        <w:t>的信息）。</w:t>
      </w:r>
    </w:p>
    <w:p w14:paraId="55FF5EAB">
      <w:pPr>
        <w:overflowPunct w:val="0"/>
        <w:spacing w:before="120" w:beforeLines="50" w:line="300" w:lineRule="auto"/>
        <w:ind w:left="1322" w:leftChars="400" w:hanging="482" w:hangingChars="200"/>
        <w:rPr>
          <w:rFonts w:cs="Times New Roman"/>
          <w:b/>
          <w:sz w:val="24"/>
          <w:szCs w:val="24"/>
          <w:lang w:eastAsia="zh-CN"/>
        </w:rPr>
      </w:pPr>
      <w:r>
        <w:rPr>
          <w:rFonts w:cs="宋体"/>
          <w:b/>
          <w:sz w:val="24"/>
          <w:lang w:eastAsia="zh-CN"/>
        </w:rPr>
        <w:t>1.</w:t>
      </w:r>
      <w:r>
        <w:rPr>
          <w:rFonts w:cs="宋体"/>
          <w:sz w:val="24"/>
          <w:lang w:eastAsia="zh-CN"/>
        </w:rPr>
        <w:tab/>
      </w:r>
      <w:r>
        <w:rPr>
          <w:rFonts w:cs="宋体"/>
          <w:b/>
          <w:sz w:val="24"/>
          <w:lang w:eastAsia="zh-CN"/>
        </w:rPr>
        <w:t>通过基于申请的机制请求提供组合产品反馈时应包括的信息</w:t>
      </w:r>
    </w:p>
    <w:p w14:paraId="40DF97B8">
      <w:pPr>
        <w:overflowPunct w:val="0"/>
        <w:spacing w:before="120" w:beforeLines="50" w:line="300" w:lineRule="auto"/>
        <w:rPr>
          <w:rFonts w:cs="Times New Roman"/>
          <w:sz w:val="24"/>
          <w:szCs w:val="24"/>
          <w:lang w:eastAsia="zh-CN"/>
        </w:rPr>
      </w:pPr>
      <w:r>
        <w:rPr>
          <w:rFonts w:cs="宋体"/>
          <w:sz w:val="24"/>
          <w:lang w:eastAsia="zh-CN"/>
        </w:rPr>
        <w:t>对于基于申请的机制，申请人应参考适用指南（参见附录1和2中参考的指南），将其作为向FDA提交哪些信息的主要参考文件。申请应确定要求反馈的产品为组合产品（参见《FD&amp;C法案》第503(g)(8)(C)(v)(I)节（21 USC 353(g)(8)(C)(v)(I)）和脚注12）。除在基于申请的机制下通常提供的信息外，非主导组成部分也应包括以下信息，以使FDA在基于申请的机制下有效地审查组合产品的申请：</w:t>
      </w:r>
    </w:p>
    <w:p w14:paraId="5CCC4043">
      <w:pPr>
        <w:pStyle w:val="24"/>
        <w:numPr>
          <w:ilvl w:val="0"/>
          <w:numId w:val="5"/>
        </w:numPr>
        <w:overflowPunct w:val="0"/>
        <w:spacing w:before="120" w:beforeLines="50" w:line="300" w:lineRule="auto"/>
        <w:ind w:firstLineChars="0"/>
        <w:rPr>
          <w:rFonts w:cs="Times New Roman"/>
          <w:sz w:val="24"/>
          <w:szCs w:val="24"/>
          <w:lang w:eastAsia="zh-CN"/>
        </w:rPr>
      </w:pPr>
      <w:r>
        <w:rPr>
          <w:rFonts w:cs="宋体"/>
          <w:sz w:val="24"/>
          <w:lang w:eastAsia="zh-CN"/>
        </w:rPr>
        <w:t>对于包括器械组成部分的药物或生物制品主导型组合产品：</w:t>
      </w:r>
    </w:p>
    <w:p w14:paraId="22CA430D">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器械描述、设计图或其他图像，</w:t>
      </w:r>
    </w:p>
    <w:p w14:paraId="447B151A">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属于器械的部件的标识，以及</w:t>
      </w:r>
    </w:p>
    <w:p w14:paraId="40E555F2">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如果组合产品包含的器械组成部分是申请人希望交叉参考的已许可或已批准器械，则应确定之前已许可或已批准器械的申请或提交号。</w:t>
      </w:r>
    </w:p>
    <w:p w14:paraId="391EF40A">
      <w:pPr>
        <w:pStyle w:val="24"/>
        <w:numPr>
          <w:ilvl w:val="0"/>
          <w:numId w:val="5"/>
        </w:numPr>
        <w:overflowPunct w:val="0"/>
        <w:spacing w:before="120" w:beforeLines="50" w:line="300" w:lineRule="auto"/>
        <w:ind w:firstLineChars="0"/>
        <w:rPr>
          <w:rFonts w:cs="Times New Roman"/>
          <w:sz w:val="24"/>
          <w:szCs w:val="24"/>
          <w:lang w:eastAsia="zh-CN"/>
        </w:rPr>
      </w:pPr>
      <w:r>
        <w:rPr>
          <w:rFonts w:cs="宋体"/>
          <w:sz w:val="24"/>
          <w:lang w:eastAsia="zh-CN"/>
        </w:rPr>
        <w:t>对于器械主导型组合产品：</w:t>
      </w:r>
    </w:p>
    <w:p w14:paraId="7384F647">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识别和描述药物和/或生物制品组成部分的信息，包括（如适用）化学名称、既定或适当的名称和结构，</w:t>
      </w:r>
    </w:p>
    <w:p w14:paraId="4EE8E90B">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药物和/或生物制品组成部分的给药途径和/或剂量信息，以及</w:t>
      </w:r>
    </w:p>
    <w:p w14:paraId="58413086">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如果组合产品含有已批准药品中的活性成分，而申请人希望在其申请中交叉引用或依赖该活性成分，则应提供已批准产品的申请号。</w:t>
      </w:r>
    </w:p>
    <w:p w14:paraId="57EF633D">
      <w:pPr>
        <w:pStyle w:val="3"/>
        <w:overflowPunct w:val="0"/>
        <w:rPr>
          <w:lang w:eastAsia="zh-CN"/>
        </w:rPr>
      </w:pPr>
      <w:r>
        <w:rPr>
          <w:rFonts w:cs="宋体"/>
          <w:lang w:eastAsia="zh-CN"/>
        </w:rPr>
        <w:br w:type="page"/>
      </w:r>
      <w:bookmarkStart w:id="9" w:name="_Toc97888815"/>
      <w:r>
        <w:rPr>
          <w:rFonts w:cs="宋体"/>
          <w:lang w:eastAsia="zh-CN"/>
        </w:rPr>
        <w:t>B.</w:t>
      </w:r>
      <w:r>
        <w:rPr>
          <w:rFonts w:cs="宋体"/>
          <w:lang w:eastAsia="zh-CN"/>
        </w:rPr>
        <w:tab/>
      </w:r>
      <w:r>
        <w:rPr>
          <w:rFonts w:cs="宋体"/>
          <w:lang w:eastAsia="zh-CN"/>
        </w:rPr>
        <w:t>组合产品协议会议（CPAM）</w:t>
      </w:r>
      <w:bookmarkEnd w:id="9"/>
    </w:p>
    <w:p w14:paraId="15BEFDD8">
      <w:pPr>
        <w:overflowPunct w:val="0"/>
        <w:spacing w:before="120" w:beforeLines="50" w:line="300" w:lineRule="auto"/>
        <w:rPr>
          <w:rFonts w:cs="Times New Roman"/>
          <w:sz w:val="24"/>
          <w:szCs w:val="24"/>
          <w:lang w:eastAsia="zh-CN"/>
        </w:rPr>
      </w:pPr>
      <w:r>
        <w:rPr>
          <w:rFonts w:cs="宋体"/>
          <w:sz w:val="24"/>
          <w:lang w:eastAsia="zh-CN"/>
        </w:rPr>
        <w:t>CPAM旨在作为一种手段（除基于申请的机制外）让申请人获得清晰度和确定性，可用于牵头中心分配明确的组合产品。</w:t>
      </w:r>
      <w:r>
        <w:rPr>
          <w:rFonts w:cs="宋体"/>
          <w:sz w:val="24"/>
          <w:vertAlign w:val="superscript"/>
          <w:lang w:eastAsia="zh-CN"/>
        </w:rPr>
        <w:t>19</w:t>
      </w:r>
      <w:r>
        <w:rPr>
          <w:rFonts w:cs="宋体"/>
          <w:sz w:val="24"/>
          <w:lang w:eastAsia="zh-CN"/>
        </w:rPr>
        <w:t>CPAM旨在解决组合产品上市授权的标准和要求以及与组合产品相关的其他问题，如与产品上市后修改或CGMP相关的要求。</w:t>
      </w:r>
    </w:p>
    <w:p w14:paraId="5B1D0369">
      <w:pPr>
        <w:overflowPunct w:val="0"/>
        <w:spacing w:before="120" w:beforeLines="50" w:line="300" w:lineRule="auto"/>
        <w:rPr>
          <w:rFonts w:cs="Times New Roman"/>
          <w:sz w:val="24"/>
          <w:szCs w:val="24"/>
          <w:lang w:eastAsia="zh-CN"/>
        </w:rPr>
      </w:pPr>
      <w:r>
        <w:rPr>
          <w:rFonts w:cs="宋体"/>
          <w:sz w:val="24"/>
          <w:lang w:eastAsia="zh-CN"/>
        </w:rPr>
        <w:t>作为对书面CPAM请求的回应，FDA必须：</w:t>
      </w:r>
    </w:p>
    <w:p w14:paraId="0318B8FA">
      <w:pPr>
        <w:pStyle w:val="24"/>
        <w:numPr>
          <w:ilvl w:val="0"/>
          <w:numId w:val="6"/>
        </w:numPr>
        <w:overflowPunct w:val="0"/>
        <w:spacing w:before="120" w:beforeLines="50" w:line="300" w:lineRule="auto"/>
        <w:ind w:firstLineChars="0"/>
        <w:rPr>
          <w:rFonts w:cs="Times New Roman"/>
          <w:sz w:val="24"/>
          <w:szCs w:val="24"/>
          <w:lang w:eastAsia="zh-CN"/>
        </w:rPr>
      </w:pPr>
      <w:r>
        <w:rPr>
          <w:rFonts w:cs="宋体"/>
          <w:sz w:val="24"/>
          <w:lang w:eastAsia="zh-CN"/>
        </w:rPr>
        <w:t>在收到请求后的75个日历日</w:t>
      </w:r>
      <w:r>
        <w:rPr>
          <w:rFonts w:cs="宋体"/>
          <w:sz w:val="24"/>
          <w:vertAlign w:val="superscript"/>
          <w:lang w:eastAsia="zh-CN"/>
        </w:rPr>
        <w:t>20</w:t>
      </w:r>
      <w:r>
        <w:rPr>
          <w:rFonts w:cs="宋体"/>
          <w:sz w:val="24"/>
          <w:lang w:eastAsia="zh-CN"/>
        </w:rPr>
        <w:t>内与申请人举行会议；以及</w:t>
      </w:r>
    </w:p>
    <w:p w14:paraId="667CFC86">
      <w:pPr>
        <w:pStyle w:val="24"/>
        <w:numPr>
          <w:ilvl w:val="0"/>
          <w:numId w:val="6"/>
        </w:numPr>
        <w:overflowPunct w:val="0"/>
        <w:spacing w:before="120" w:beforeLines="50" w:line="300" w:lineRule="auto"/>
        <w:ind w:firstLineChars="0"/>
        <w:rPr>
          <w:rFonts w:cs="Times New Roman"/>
          <w:sz w:val="24"/>
          <w:szCs w:val="24"/>
          <w:lang w:eastAsia="zh-CN"/>
        </w:rPr>
      </w:pPr>
      <w:r>
        <w:rPr>
          <w:rFonts w:cs="宋体"/>
          <w:sz w:val="24"/>
          <w:lang w:eastAsia="zh-CN"/>
        </w:rPr>
        <w:t>以书面形式记录与申请人达成的协议，并将其作为管理记录的一部分。</w:t>
      </w:r>
    </w:p>
    <w:p w14:paraId="63F0993D">
      <w:pPr>
        <w:overflowPunct w:val="0"/>
        <w:spacing w:before="120" w:beforeLines="50" w:line="300" w:lineRule="auto"/>
        <w:rPr>
          <w:rFonts w:cs="Times New Roman"/>
          <w:sz w:val="24"/>
          <w:szCs w:val="24"/>
          <w:lang w:eastAsia="zh-CN"/>
        </w:rPr>
      </w:pPr>
      <w:r>
        <w:rPr>
          <w:rFonts w:cs="宋体"/>
          <w:sz w:val="24"/>
        </w:rPr>
        <w:t>另参见《FD&amp;C法案》第503(g)(2)(A)(i)和(iii)节（21 USC 353(g)(2)(A)(i)和(iii)）。</w:t>
      </w:r>
    </w:p>
    <w:p w14:paraId="2033B3F8">
      <w:pPr>
        <w:overflowPunct w:val="0"/>
        <w:spacing w:before="120" w:beforeLines="50" w:line="300" w:lineRule="auto"/>
        <w:rPr>
          <w:rFonts w:cs="Times New Roman"/>
          <w:sz w:val="24"/>
          <w:szCs w:val="24"/>
          <w:lang w:eastAsia="zh-CN"/>
        </w:rPr>
      </w:pPr>
      <w:r>
        <w:rPr>
          <w:rFonts w:cs="宋体"/>
          <w:sz w:val="24"/>
          <w:lang w:eastAsia="zh-CN"/>
        </w:rPr>
        <w:t>第503(g)(2)(A)节规定的任何协议应继续有效，除非存在下述偏离：</w:t>
      </w:r>
    </w:p>
    <w:p w14:paraId="7A8BFFC4">
      <w:pPr>
        <w:pStyle w:val="24"/>
        <w:numPr>
          <w:ilvl w:val="0"/>
          <w:numId w:val="6"/>
        </w:numPr>
        <w:overflowPunct w:val="0"/>
        <w:spacing w:before="120" w:beforeLines="50" w:line="300" w:lineRule="auto"/>
        <w:ind w:firstLineChars="0"/>
        <w:rPr>
          <w:rFonts w:cs="Times New Roman"/>
          <w:sz w:val="24"/>
          <w:szCs w:val="24"/>
          <w:lang w:eastAsia="zh-CN"/>
        </w:rPr>
      </w:pPr>
      <w:r>
        <w:rPr>
          <w:rFonts w:cs="宋体"/>
          <w:sz w:val="24"/>
          <w:lang w:eastAsia="zh-CN"/>
        </w:rPr>
        <w:t>FDA和申请人书面同意；或</w:t>
      </w:r>
    </w:p>
    <w:p w14:paraId="67DFF7C3">
      <w:pPr>
        <w:pStyle w:val="24"/>
        <w:numPr>
          <w:ilvl w:val="0"/>
          <w:numId w:val="6"/>
        </w:numPr>
        <w:overflowPunct w:val="0"/>
        <w:spacing w:before="120" w:beforeLines="50" w:line="300" w:lineRule="auto"/>
        <w:ind w:firstLineChars="0"/>
        <w:rPr>
          <w:rFonts w:cs="Times New Roman"/>
          <w:sz w:val="24"/>
          <w:szCs w:val="24"/>
          <w:lang w:eastAsia="zh-CN"/>
        </w:rPr>
      </w:pPr>
      <w:r>
        <w:rPr>
          <w:rFonts w:cs="宋体"/>
          <w:sz w:val="24"/>
          <w:lang w:eastAsia="zh-CN"/>
        </w:rPr>
        <w:t>根据法规中指定的某些人的决定（视情况而定）：（1）自协议达成后发现一个问题，该问题对确定是否已达到上市标准至关重要，</w:t>
      </w:r>
      <w:r>
        <w:rPr>
          <w:rFonts w:cs="宋体"/>
          <w:sz w:val="24"/>
          <w:vertAlign w:val="superscript"/>
          <w:lang w:eastAsia="zh-CN"/>
        </w:rPr>
        <w:t>21</w:t>
      </w:r>
      <w:r>
        <w:rPr>
          <w:rFonts w:cs="宋体"/>
          <w:sz w:val="24"/>
          <w:lang w:eastAsia="zh-CN"/>
        </w:rPr>
        <w:t>或（2）基于科学证据，出于公共健康原因合理偏离协议。</w:t>
      </w:r>
    </w:p>
    <w:p w14:paraId="1630F3E5">
      <w:pPr>
        <w:overflowPunct w:val="0"/>
        <w:spacing w:before="120" w:beforeLines="50" w:line="300" w:lineRule="auto"/>
        <w:rPr>
          <w:rFonts w:cs="Times New Roman"/>
          <w:sz w:val="24"/>
          <w:szCs w:val="24"/>
        </w:rPr>
      </w:pPr>
      <w:r>
        <w:rPr>
          <w:rFonts w:cs="宋体"/>
          <w:sz w:val="24"/>
        </w:rPr>
        <w:t>参见《FD&amp;C法案》第503(g)(2)(A)(iv)节（21 USC 353(g)(2)(A)(iv)）。</w:t>
      </w:r>
    </w:p>
    <w:p w14:paraId="6F095BED">
      <w:pPr>
        <w:overflowPunct w:val="0"/>
        <w:spacing w:before="120" w:beforeLines="50" w:line="300" w:lineRule="auto"/>
        <w:rPr>
          <w:rFonts w:hint="eastAsia" w:cs="宋体"/>
          <w:sz w:val="24"/>
          <w:lang w:eastAsia="zh-CN"/>
        </w:rPr>
      </w:pPr>
      <w:r>
        <w:rPr>
          <w:rFonts w:cs="宋体"/>
          <w:sz w:val="24"/>
        </w:rPr>
        <w:t>如上文第IV.A节所述，FDA鼓励使用基于申请的机制，因为此类机制通常可提供获得反馈的最高效和有效的方式。</w:t>
      </w:r>
    </w:p>
    <w:p w14:paraId="37777203">
      <w:pPr>
        <w:overflowPunct w:val="0"/>
        <w:spacing w:before="120" w:beforeLines="50" w:line="300" w:lineRule="auto"/>
        <w:rPr>
          <w:rFonts w:hint="eastAsia" w:cs="宋体"/>
          <w:sz w:val="24"/>
          <w:lang w:eastAsia="zh-CN"/>
        </w:rPr>
      </w:pPr>
    </w:p>
    <w:p w14:paraId="7C5DBFD8">
      <w:pPr>
        <w:overflowPunct w:val="0"/>
        <w:spacing w:before="120" w:beforeLines="50" w:line="300" w:lineRule="auto"/>
        <w:rPr>
          <w:rFonts w:hint="eastAsia" w:cs="宋体"/>
          <w:sz w:val="24"/>
          <w:lang w:eastAsia="zh-CN"/>
        </w:rPr>
      </w:pPr>
    </w:p>
    <w:p w14:paraId="3395AABE">
      <w:pPr>
        <w:overflowPunct w:val="0"/>
        <w:spacing w:before="120" w:beforeLines="50" w:line="300" w:lineRule="auto"/>
        <w:rPr>
          <w:rFonts w:hint="eastAsia" w:cs="宋体"/>
          <w:sz w:val="24"/>
          <w:lang w:eastAsia="zh-CN"/>
        </w:rPr>
      </w:pPr>
    </w:p>
    <w:p w14:paraId="0FC41CCF">
      <w:pPr>
        <w:overflowPunct w:val="0"/>
        <w:spacing w:before="120" w:beforeLines="50" w:line="300" w:lineRule="auto"/>
        <w:rPr>
          <w:rFonts w:hint="eastAsia" w:cs="宋体"/>
          <w:sz w:val="24"/>
          <w:lang w:eastAsia="zh-CN"/>
        </w:rPr>
      </w:pPr>
    </w:p>
    <w:p w14:paraId="7191E63F">
      <w:pPr>
        <w:overflowPunct w:val="0"/>
        <w:spacing w:before="120" w:beforeLines="50" w:line="300" w:lineRule="auto"/>
        <w:rPr>
          <w:rFonts w:hint="eastAsia" w:cs="宋体"/>
          <w:sz w:val="24"/>
          <w:lang w:eastAsia="zh-CN"/>
        </w:rPr>
      </w:pPr>
    </w:p>
    <w:p w14:paraId="053AEFCF">
      <w:pPr>
        <w:overflowPunct w:val="0"/>
        <w:spacing w:before="120" w:beforeLines="50" w:line="300" w:lineRule="auto"/>
        <w:rPr>
          <w:rFonts w:hint="eastAsia" w:cs="Times New Roman"/>
          <w:sz w:val="24"/>
          <w:szCs w:val="24"/>
          <w:lang w:eastAsia="zh-CN"/>
        </w:rPr>
      </w:pPr>
    </w:p>
    <w:p w14:paraId="551874BA">
      <w:pPr>
        <w:pStyle w:val="23"/>
        <w:overflowPunct w:val="0"/>
        <w:rPr>
          <w:lang w:eastAsia="zh-CN"/>
        </w:rPr>
      </w:pPr>
      <w:r>
        <w:rPr>
          <w:rFonts w:cs="宋体"/>
          <w:lang w:eastAsia="zh-CN"/>
        </w:rPr>
        <w:t>______________________</w:t>
      </w:r>
    </w:p>
    <w:p w14:paraId="2642F77C">
      <w:pPr>
        <w:pStyle w:val="23"/>
        <w:overflowPunct w:val="0"/>
        <w:rPr>
          <w:sz w:val="18"/>
          <w:szCs w:val="18"/>
          <w:lang w:eastAsia="zh-CN"/>
        </w:rPr>
      </w:pPr>
      <w:r>
        <w:rPr>
          <w:rFonts w:cs="宋体"/>
          <w:sz w:val="18"/>
          <w:szCs w:val="18"/>
          <w:vertAlign w:val="superscript"/>
          <w:lang w:eastAsia="zh-CN"/>
        </w:rPr>
        <w:t xml:space="preserve">19 </w:t>
      </w:r>
      <w:r>
        <w:rPr>
          <w:rFonts w:cs="宋体"/>
          <w:sz w:val="18"/>
          <w:szCs w:val="18"/>
          <w:lang w:eastAsia="zh-CN"/>
        </w:rPr>
        <w:tab/>
      </w:r>
      <w:r>
        <w:rPr>
          <w:rFonts w:cs="宋体"/>
          <w:sz w:val="18"/>
          <w:szCs w:val="18"/>
          <w:lang w:eastAsia="zh-CN"/>
        </w:rPr>
        <w:t>如果FDA认为需要确定PMOA，在FDA确定PMOA之前，申请人不能提出CPAM请求。参见《FD&amp;C法案》第503(g)(2)(A)(i)节（21 USC 353(g)(2)(A)(i)）；另参见第II.C节关于如何获得分类或PMOA确定的内容。</w:t>
      </w:r>
    </w:p>
    <w:p w14:paraId="721D29CF">
      <w:pPr>
        <w:pStyle w:val="23"/>
        <w:overflowPunct w:val="0"/>
        <w:rPr>
          <w:sz w:val="18"/>
          <w:szCs w:val="18"/>
          <w:lang w:eastAsia="zh-CN"/>
        </w:rPr>
      </w:pPr>
      <w:r>
        <w:rPr>
          <w:rFonts w:cs="宋体"/>
          <w:sz w:val="18"/>
          <w:szCs w:val="18"/>
          <w:vertAlign w:val="superscript"/>
          <w:lang w:eastAsia="zh-CN"/>
        </w:rPr>
        <w:t xml:space="preserve">20 </w:t>
      </w:r>
      <w:r>
        <w:rPr>
          <w:rFonts w:cs="宋体"/>
          <w:sz w:val="18"/>
          <w:szCs w:val="18"/>
          <w:lang w:eastAsia="zh-CN"/>
        </w:rPr>
        <w:tab/>
      </w:r>
      <w:r>
        <w:rPr>
          <w:rFonts w:cs="宋体"/>
          <w:sz w:val="18"/>
          <w:szCs w:val="18"/>
          <w:lang w:eastAsia="zh-CN"/>
        </w:rPr>
        <w:t>《FD&amp;C法案》第503(g)(2)(A)(i)节（21 USC 353(g)(2)(A)(i)）指出，“如果申请人提交了书面会议请求，部长应在收到该请求后不迟于75个日历日与该组合产品的申请人举行会议”。</w:t>
      </w:r>
    </w:p>
    <w:p w14:paraId="63D9DB44">
      <w:pPr>
        <w:pStyle w:val="23"/>
        <w:overflowPunct w:val="0"/>
        <w:rPr>
          <w:sz w:val="18"/>
          <w:szCs w:val="18"/>
          <w:lang w:eastAsia="zh-CN"/>
        </w:rPr>
      </w:pPr>
      <w:r>
        <w:rPr>
          <w:rFonts w:cs="宋体"/>
          <w:sz w:val="18"/>
          <w:szCs w:val="18"/>
          <w:vertAlign w:val="superscript"/>
          <w:lang w:eastAsia="zh-CN"/>
        </w:rPr>
        <w:t>21</w:t>
      </w:r>
      <w:r>
        <w:rPr>
          <w:rFonts w:cs="宋体"/>
          <w:sz w:val="18"/>
          <w:szCs w:val="18"/>
          <w:lang w:eastAsia="zh-CN"/>
        </w:rPr>
        <w:tab/>
      </w:r>
      <w:r>
        <w:rPr>
          <w:rFonts w:cs="宋体"/>
          <w:sz w:val="18"/>
          <w:szCs w:val="18"/>
          <w:lang w:eastAsia="zh-CN"/>
        </w:rPr>
        <w:t>第503(g)(2)(A)(iv)节中指出：“任何此类协议均应继续有效，除非—</w:t>
      </w:r>
    </w:p>
    <w:p w14:paraId="37BD9D4A">
      <w:pPr>
        <w:pStyle w:val="23"/>
        <w:overflowPunct w:val="0"/>
        <w:ind w:left="840" w:leftChars="400"/>
        <w:rPr>
          <w:sz w:val="18"/>
          <w:szCs w:val="18"/>
          <w:lang w:eastAsia="zh-CN"/>
        </w:rPr>
      </w:pPr>
      <w:r>
        <w:rPr>
          <w:rFonts w:cs="宋体"/>
          <w:sz w:val="18"/>
          <w:szCs w:val="18"/>
          <w:lang w:eastAsia="zh-CN"/>
        </w:rPr>
        <w:t>（I）根据部长和申请人或申请人的书面协议；或</w:t>
      </w:r>
    </w:p>
    <w:p w14:paraId="0047F4B5">
      <w:pPr>
        <w:pStyle w:val="23"/>
        <w:overflowPunct w:val="0"/>
        <w:ind w:left="840" w:leftChars="400"/>
        <w:rPr>
          <w:sz w:val="18"/>
          <w:szCs w:val="18"/>
          <w:lang w:eastAsia="zh-CN"/>
        </w:rPr>
      </w:pPr>
      <w:r>
        <w:rPr>
          <w:rFonts w:cs="宋体"/>
          <w:sz w:val="18"/>
          <w:szCs w:val="18"/>
          <w:lang w:eastAsia="zh-CN"/>
        </w:rPr>
        <w:t>（II）根据初级机构中心审查部门的主任或比该主任更高级的人员在与咨询中心和办公室（视情况而定）协商后决定，自达成协议以来，已发现一个对确定本法案或《公共健康服务法案》规定的适用于该组合产品的上市许可标准或其他适用标准至关重要的问题，或者基于科学证据，出于公共健康原因合理偏离协议。”</w:t>
      </w:r>
    </w:p>
    <w:p w14:paraId="6383688B">
      <w:pPr>
        <w:pStyle w:val="23"/>
        <w:overflowPunct w:val="0"/>
        <w:rPr>
          <w:sz w:val="18"/>
          <w:szCs w:val="18"/>
          <w:lang w:eastAsia="zh-CN"/>
        </w:rPr>
      </w:pPr>
      <w:r>
        <w:rPr>
          <w:rFonts w:cs="宋体"/>
          <w:sz w:val="18"/>
          <w:szCs w:val="18"/>
          <w:lang w:eastAsia="zh-CN"/>
        </w:rPr>
        <w:t>本机构注意到，尽管该条款并未明确提及是否“已满足”上市许可或其他适用标准，这似乎是该法规条款的含义。</w:t>
      </w:r>
    </w:p>
    <w:p w14:paraId="434E7D74">
      <w:pPr>
        <w:overflowPunct w:val="0"/>
        <w:spacing w:before="120" w:beforeLines="50" w:line="300" w:lineRule="auto"/>
        <w:ind w:left="1320" w:leftChars="400" w:hanging="480" w:hangingChars="200"/>
        <w:rPr>
          <w:rFonts w:cs="Times New Roman"/>
          <w:b/>
          <w:sz w:val="24"/>
          <w:szCs w:val="24"/>
          <w:lang w:eastAsia="zh-CN"/>
        </w:rPr>
      </w:pPr>
      <w:r>
        <w:rPr>
          <w:rFonts w:cs="宋体"/>
          <w:sz w:val="24"/>
          <w:lang w:eastAsia="zh-CN"/>
        </w:rPr>
        <w:br w:type="page"/>
      </w:r>
      <w:r>
        <w:rPr>
          <w:rFonts w:cs="宋体"/>
          <w:b/>
          <w:sz w:val="24"/>
          <w:lang w:eastAsia="zh-CN"/>
        </w:rPr>
        <w:t>1.</w:t>
      </w:r>
      <w:r>
        <w:rPr>
          <w:rFonts w:cs="宋体"/>
          <w:sz w:val="24"/>
          <w:lang w:eastAsia="zh-CN"/>
        </w:rPr>
        <w:tab/>
      </w:r>
      <w:r>
        <w:rPr>
          <w:rFonts w:cs="宋体"/>
          <w:b/>
          <w:sz w:val="24"/>
          <w:lang w:eastAsia="zh-CN"/>
        </w:rPr>
        <w:t>通过CPAM请求提供组合产品反馈时应包括的信息</w:t>
      </w:r>
    </w:p>
    <w:p w14:paraId="352FB504">
      <w:pPr>
        <w:overflowPunct w:val="0"/>
        <w:spacing w:before="120" w:beforeLines="50" w:line="300" w:lineRule="auto"/>
        <w:rPr>
          <w:rFonts w:cs="Times New Roman"/>
          <w:sz w:val="24"/>
          <w:szCs w:val="24"/>
          <w:lang w:eastAsia="zh-CN"/>
        </w:rPr>
      </w:pPr>
      <w:r>
        <w:rPr>
          <w:rFonts w:cs="宋体"/>
          <w:sz w:val="24"/>
          <w:lang w:eastAsia="zh-CN"/>
        </w:rPr>
        <w:t>以下是关于</w:t>
      </w:r>
      <w:r>
        <w:rPr>
          <w:rFonts w:cs="宋体"/>
          <w:i/>
          <w:sz w:val="24"/>
          <w:lang w:eastAsia="zh-CN"/>
        </w:rPr>
        <w:t>在提交CPAM请求时请求</w:t>
      </w:r>
      <w:r>
        <w:rPr>
          <w:rFonts w:cs="宋体"/>
          <w:sz w:val="24"/>
          <w:lang w:eastAsia="zh-CN"/>
        </w:rPr>
        <w:t>应包括哪些内容的建议（另见下文第IV.B.2节）。</w:t>
      </w:r>
    </w:p>
    <w:p w14:paraId="0240272F">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lang w:eastAsia="zh-CN"/>
        </w:rPr>
        <w:t>产品信息。申请人：</w:t>
      </w:r>
    </w:p>
    <w:p w14:paraId="722BE98C">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应包括产品名称、整个组合产品和组成部分的描述、适用范围声明，以及给药途径和剂量信息（视情况而定）。</w:t>
      </w:r>
    </w:p>
    <w:p w14:paraId="19AB97E6">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在相关情况下，应包括上文第IV.A.1节中提及的关于组合产品组成部分的相同信息。</w:t>
      </w:r>
    </w:p>
    <w:p w14:paraId="66EF1CA8">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必须确定其产品为组合产品（参见脚注12）。</w:t>
      </w:r>
    </w:p>
    <w:p w14:paraId="7E2B4B85">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lang w:eastAsia="zh-CN"/>
        </w:rPr>
        <w:t>背景。申请人应描述产品开发状况，总结之前与FDA就该产品进行的任何交流（包括申请、基于申请的机制、其他会议、RFD或预RFD），并确定拟定监管途径（如果尚未建立）。</w:t>
      </w:r>
    </w:p>
    <w:p w14:paraId="5DFD1C22">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u w:val="single"/>
          <w:lang w:eastAsia="zh-CN"/>
        </w:rPr>
        <w:t>会议请求</w:t>
      </w:r>
      <w:r>
        <w:rPr>
          <w:rFonts w:cs="宋体"/>
          <w:sz w:val="24"/>
          <w:lang w:eastAsia="zh-CN"/>
        </w:rPr>
        <w:t>。申请人应包括所要求的沟通形式（即面对面会议、电话会议或书面答复）。如果提议举行面对面会议或电话会议，请在75天时限内提供三个拟定会议日期和时间，并提供包括讨论每个提案的分配时间的拟定议程。</w:t>
      </w:r>
    </w:p>
    <w:p w14:paraId="522D3711">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u w:val="single"/>
          <w:lang w:eastAsia="zh-CN"/>
        </w:rPr>
        <w:t>协议提案</w:t>
      </w:r>
      <w:r>
        <w:rPr>
          <w:rFonts w:cs="宋体"/>
          <w:sz w:val="24"/>
          <w:lang w:eastAsia="zh-CN"/>
        </w:rPr>
        <w:t>。申请人应确定申请人寻求FDA同意的具体提案和/或提案的项目。在可能的情况下，这些应按学科分类（例如药理学/毒理学、药品质量/化学和制造控制（CMC）、工程、人为因素）。这些问题应限于申请人正在寻求FDA同意的问题。</w:t>
      </w:r>
    </w:p>
    <w:p w14:paraId="2BA6648A">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u w:val="single"/>
          <w:lang w:eastAsia="zh-CN"/>
        </w:rPr>
        <w:t>支持提案的理由和数据</w:t>
      </w:r>
      <w:r>
        <w:rPr>
          <w:rFonts w:cs="宋体"/>
          <w:sz w:val="24"/>
          <w:lang w:eastAsia="zh-CN"/>
        </w:rPr>
        <w:t>。申请人应提供充分的理由和数据，以支持FDA对协议提案的审查，并在适当时按议题组织理由和数据。</w:t>
      </w:r>
    </w:p>
    <w:p w14:paraId="296BC20C">
      <w:pPr>
        <w:pStyle w:val="24"/>
        <w:numPr>
          <w:ilvl w:val="0"/>
          <w:numId w:val="7"/>
        </w:numPr>
        <w:overflowPunct w:val="0"/>
        <w:spacing w:before="120" w:beforeLines="50" w:line="300" w:lineRule="auto"/>
        <w:ind w:firstLineChars="0"/>
        <w:rPr>
          <w:rFonts w:cs="Times New Roman"/>
          <w:sz w:val="24"/>
          <w:szCs w:val="24"/>
          <w:lang w:eastAsia="zh-CN"/>
        </w:rPr>
      </w:pPr>
      <w:r>
        <w:rPr>
          <w:rFonts w:cs="宋体"/>
          <w:sz w:val="24"/>
          <w:u w:val="single"/>
          <w:lang w:eastAsia="zh-CN"/>
        </w:rPr>
        <w:t>与会人员</w:t>
      </w:r>
      <w:r>
        <w:rPr>
          <w:rFonts w:cs="宋体"/>
          <w:sz w:val="24"/>
          <w:lang w:eastAsia="zh-CN"/>
        </w:rPr>
        <w:t>。申请人应包括申请人组织的计划参与者名单（包括姓名和职务）。还应包括顾问和口译员的姓名、职务和所属机构的清单。如果该信息发生变化，应在会议前至少5个工作日进行更新。在FDA的会场参加会议的所有非美国公民需进行其他的安全审查。应在会议前至少两周通知FDA POC是否有非美国公民参加会议，以确保提供适当信息。如果申请人希望要求在会议中包括特定FDA工作人员或专业知识，应将该信息包括在CPAM请求中（另参见上文第III节）。</w:t>
      </w:r>
    </w:p>
    <w:p w14:paraId="26001DE1">
      <w:pPr>
        <w:overflowPunct w:val="0"/>
        <w:spacing w:before="120" w:beforeLines="50" w:line="300" w:lineRule="auto"/>
        <w:rPr>
          <w:rFonts w:cs="Times New Roman"/>
          <w:sz w:val="24"/>
          <w:szCs w:val="24"/>
          <w:lang w:eastAsia="zh-CN"/>
        </w:rPr>
      </w:pPr>
      <w:r>
        <w:rPr>
          <w:rFonts w:cs="宋体"/>
          <w:sz w:val="24"/>
          <w:lang w:eastAsia="zh-CN"/>
        </w:rPr>
        <w:br w:type="page"/>
      </w:r>
    </w:p>
    <w:p w14:paraId="6D86FA35">
      <w:pPr>
        <w:overflowPunct w:val="0"/>
        <w:spacing w:before="120" w:beforeLines="50" w:line="300" w:lineRule="auto"/>
        <w:ind w:left="1322" w:leftChars="400" w:hanging="482" w:hangingChars="200"/>
        <w:rPr>
          <w:rFonts w:cs="Times New Roman"/>
          <w:b/>
          <w:sz w:val="24"/>
          <w:szCs w:val="24"/>
          <w:lang w:eastAsia="zh-CN"/>
        </w:rPr>
      </w:pPr>
      <w:r>
        <w:rPr>
          <w:rFonts w:cs="宋体"/>
          <w:b/>
          <w:sz w:val="24"/>
          <w:lang w:eastAsia="zh-CN"/>
        </w:rPr>
        <w:t>2.</w:t>
      </w:r>
      <w:r>
        <w:rPr>
          <w:rFonts w:cs="宋体"/>
          <w:sz w:val="24"/>
          <w:lang w:eastAsia="zh-CN"/>
        </w:rPr>
        <w:tab/>
      </w:r>
      <w:r>
        <w:rPr>
          <w:rFonts w:cs="宋体"/>
          <w:b/>
          <w:sz w:val="24"/>
          <w:lang w:eastAsia="zh-CN"/>
        </w:rPr>
        <w:t>提交CPAM请求</w:t>
      </w:r>
    </w:p>
    <w:p w14:paraId="6E39A94E">
      <w:pPr>
        <w:overflowPunct w:val="0"/>
        <w:spacing w:before="120" w:beforeLines="50" w:line="300" w:lineRule="auto"/>
        <w:rPr>
          <w:rFonts w:cs="Times New Roman"/>
          <w:sz w:val="24"/>
          <w:szCs w:val="24"/>
          <w:lang w:eastAsia="zh-CN"/>
        </w:rPr>
      </w:pPr>
      <w:r>
        <w:rPr>
          <w:rFonts w:cs="宋体"/>
          <w:sz w:val="24"/>
          <w:lang w:eastAsia="zh-CN"/>
        </w:rPr>
        <w:t>CPAM请求应：</w:t>
      </w:r>
    </w:p>
    <w:p w14:paraId="3520FE76">
      <w:pPr>
        <w:pStyle w:val="24"/>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使用下文表1中所述的过程提交给组合产品牵头中心；</w:t>
      </w:r>
    </w:p>
    <w:p w14:paraId="4DCEC8B6">
      <w:pPr>
        <w:pStyle w:val="24"/>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在封面信中注明提交的是《组合产品协议会议请求》；</w:t>
      </w:r>
    </w:p>
    <w:p w14:paraId="10F6D1C6">
      <w:pPr>
        <w:pStyle w:val="24"/>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标明所请求的参与类型（面对面会议、电话会议或书面答复）；以及</w:t>
      </w:r>
    </w:p>
    <w:p w14:paraId="67DA62BB">
      <w:pPr>
        <w:pStyle w:val="24"/>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提供上文第IV.B.1节所述的完整信息，以便FDA能够评估CPAM是否是最有效的交流机制，在各中心之间进行协调，并确保FDA有足够信息评价协议提案或其中的具体项目。</w:t>
      </w:r>
    </w:p>
    <w:p w14:paraId="400A9CEA">
      <w:pPr>
        <w:overflowPunct w:val="0"/>
        <w:spacing w:before="120" w:beforeLines="50" w:line="300" w:lineRule="auto"/>
        <w:rPr>
          <w:rFonts w:cs="Times New Roman"/>
          <w:sz w:val="24"/>
          <w:szCs w:val="24"/>
          <w:lang w:eastAsia="zh-CN"/>
        </w:rPr>
      </w:pPr>
      <w:r>
        <w:rPr>
          <w:rFonts w:cs="宋体"/>
          <w:sz w:val="24"/>
          <w:lang w:eastAsia="zh-CN"/>
        </w:rPr>
        <w:t>FDA鼓励申请人尽可能将准备考虑的组合产品的相关问题合并到单个CPAM请求中，而不是提交多个CPAM请求。FDA不鼓励就相关问题提交多个CPAM请求，因为FDA很可能无法独立就申请人的提案达成协议。如果组合产品的申请正处于FDA审查中，FDA也不鼓励提交CPAM请求；在该阶段应酌情使用基于申请的机制。</w:t>
      </w:r>
    </w:p>
    <w:p w14:paraId="723295F2">
      <w:pPr>
        <w:overflowPunct w:val="0"/>
        <w:spacing w:before="120" w:beforeLines="50" w:line="300" w:lineRule="auto"/>
        <w:rPr>
          <w:rFonts w:cs="Times New Roman"/>
          <w:sz w:val="24"/>
          <w:szCs w:val="24"/>
          <w:lang w:eastAsia="zh-CN"/>
        </w:rPr>
      </w:pPr>
      <w:r>
        <w:rPr>
          <w:rFonts w:cs="宋体"/>
          <w:sz w:val="24"/>
          <w:lang w:eastAsia="zh-CN"/>
        </w:rPr>
        <w:t>申请人应遵循表1中描述的申请流程，以确保CPAM请求的适当接收和提交。</w:t>
      </w:r>
    </w:p>
    <w:p w14:paraId="19AF560F">
      <w:pPr>
        <w:overflowPunct w:val="0"/>
        <w:spacing w:before="120" w:beforeLines="50" w:line="300" w:lineRule="auto"/>
        <w:rPr>
          <w:rFonts w:cs="Times New Roman"/>
          <w:b/>
          <w:sz w:val="24"/>
          <w:szCs w:val="24"/>
          <w:lang w:eastAsia="zh-CN"/>
        </w:rPr>
      </w:pPr>
      <w:r>
        <w:rPr>
          <w:rFonts w:cs="宋体"/>
          <w:sz w:val="24"/>
          <w:lang w:eastAsia="zh-CN"/>
        </w:rPr>
        <w:br w:type="page"/>
      </w:r>
      <w:r>
        <w:rPr>
          <w:rFonts w:cs="宋体"/>
          <w:b/>
          <w:sz w:val="24"/>
          <w:lang w:eastAsia="zh-CN"/>
        </w:rPr>
        <w:t>表1.CPAM请求的提交过程</w:t>
      </w:r>
      <w:r>
        <w:rPr>
          <w:rFonts w:cs="宋体"/>
          <w:b/>
          <w:sz w:val="24"/>
          <w:vertAlign w:val="superscript"/>
          <w:lang w:eastAsia="zh-CN"/>
        </w:rPr>
        <w:t>22</w:t>
      </w:r>
    </w:p>
    <w:tbl>
      <w:tblPr>
        <w:tblStyle w:val="1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47"/>
        <w:gridCol w:w="2064"/>
        <w:gridCol w:w="6276"/>
      </w:tblGrid>
      <w:tr w14:paraId="7F4A3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0" w:type="pct"/>
          </w:tcPr>
          <w:p w14:paraId="76853BB6">
            <w:pPr>
              <w:overflowPunct w:val="0"/>
              <w:spacing w:before="36" w:beforeLines="15" w:line="276" w:lineRule="auto"/>
              <w:rPr>
                <w:rFonts w:cs="Times New Roman"/>
                <w:b/>
                <w:szCs w:val="24"/>
              </w:rPr>
            </w:pPr>
            <w:r>
              <w:rPr>
                <w:rFonts w:cs="宋体"/>
                <w:b/>
              </w:rPr>
              <w:t>牵头中心</w:t>
            </w:r>
          </w:p>
        </w:tc>
        <w:tc>
          <w:tcPr>
            <w:tcW w:w="1111" w:type="pct"/>
          </w:tcPr>
          <w:p w14:paraId="7050B325">
            <w:pPr>
              <w:overflowPunct w:val="0"/>
              <w:spacing w:before="36" w:beforeLines="15" w:line="276" w:lineRule="auto"/>
              <w:rPr>
                <w:rFonts w:cs="Times New Roman"/>
                <w:b/>
                <w:szCs w:val="24"/>
              </w:rPr>
            </w:pPr>
            <w:r>
              <w:rPr>
                <w:rFonts w:cs="宋体"/>
                <w:b/>
              </w:rPr>
              <w:t>组合产品申请类型</w:t>
            </w:r>
          </w:p>
        </w:tc>
        <w:tc>
          <w:tcPr>
            <w:tcW w:w="3379" w:type="pct"/>
          </w:tcPr>
          <w:p w14:paraId="62F5805C">
            <w:pPr>
              <w:overflowPunct w:val="0"/>
              <w:spacing w:before="36" w:beforeLines="15" w:line="276" w:lineRule="auto"/>
              <w:rPr>
                <w:rFonts w:cs="Times New Roman"/>
                <w:b/>
                <w:szCs w:val="24"/>
              </w:rPr>
            </w:pPr>
            <w:r>
              <w:rPr>
                <w:rFonts w:cs="宋体"/>
                <w:b/>
              </w:rPr>
              <w:t>CPAM请求流程</w:t>
            </w:r>
          </w:p>
        </w:tc>
      </w:tr>
      <w:tr w14:paraId="30B7A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0" w:type="pct"/>
            <w:vMerge w:val="restart"/>
          </w:tcPr>
          <w:p w14:paraId="5CE973F9">
            <w:pPr>
              <w:overflowPunct w:val="0"/>
              <w:spacing w:before="36" w:beforeLines="15" w:line="276" w:lineRule="auto"/>
              <w:rPr>
                <w:rFonts w:cs="Times New Roman"/>
                <w:vanish/>
                <w:szCs w:val="24"/>
              </w:rPr>
            </w:pPr>
            <w:r>
              <w:rPr>
                <w:rFonts w:cs="Times New Roman"/>
                <w:szCs w:val="24"/>
              </w:rPr>
              <w:t>CBER</w:t>
            </w:r>
          </w:p>
        </w:tc>
        <w:tc>
          <w:tcPr>
            <w:tcW w:w="1111" w:type="pct"/>
          </w:tcPr>
          <w:p w14:paraId="0312F964">
            <w:pPr>
              <w:overflowPunct w:val="0"/>
              <w:spacing w:before="36" w:beforeLines="15" w:line="276" w:lineRule="auto"/>
              <w:rPr>
                <w:rFonts w:cs="Times New Roman"/>
                <w:szCs w:val="24"/>
              </w:rPr>
            </w:pPr>
            <w:r>
              <w:rPr>
                <w:rFonts w:cs="Times New Roman"/>
                <w:szCs w:val="24"/>
              </w:rPr>
              <w:t>IND, NDA, BLA,</w:t>
            </w:r>
            <w:r>
              <w:rPr>
                <w:rFonts w:cs="Times New Roman"/>
                <w:szCs w:val="24"/>
                <w:lang w:eastAsia="zh-CN"/>
              </w:rPr>
              <w:t xml:space="preserve"> </w:t>
            </w:r>
            <w:r>
              <w:rPr>
                <w:rFonts w:cs="Times New Roman"/>
                <w:szCs w:val="24"/>
              </w:rPr>
              <w:t>ANDA</w:t>
            </w:r>
          </w:p>
        </w:tc>
        <w:tc>
          <w:tcPr>
            <w:tcW w:w="3379" w:type="pct"/>
          </w:tcPr>
          <w:p w14:paraId="09F63451">
            <w:pPr>
              <w:overflowPunct w:val="0"/>
              <w:spacing w:before="36" w:beforeLines="15" w:line="276" w:lineRule="auto"/>
              <w:rPr>
                <w:rFonts w:cs="Times New Roman"/>
                <w:szCs w:val="24"/>
                <w:lang w:eastAsia="zh-CN"/>
              </w:rPr>
            </w:pPr>
            <w:r>
              <w:rPr>
                <w:rFonts w:cs="宋体"/>
                <w:lang w:eastAsia="zh-CN"/>
              </w:rPr>
              <w:t>提交CPAM请求：</w:t>
            </w:r>
          </w:p>
          <w:p w14:paraId="4541C9BD">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以电子方式提交，或提交给CBER文件控制中心；</w:t>
            </w:r>
            <w:r>
              <w:rPr>
                <w:rFonts w:cs="宋体"/>
                <w:vertAlign w:val="superscript"/>
                <w:lang w:eastAsia="zh-CN"/>
              </w:rPr>
              <w:t>23</w:t>
            </w:r>
          </w:p>
          <w:p w14:paraId="07E53EFB">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向相关审查部门提出CPAM请求；以及</w:t>
            </w:r>
          </w:p>
          <w:p w14:paraId="00ADD9E3">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如适用，在附信中注明申请编号。</w:t>
            </w:r>
            <w:r>
              <w:rPr>
                <w:rFonts w:cs="宋体"/>
                <w:vertAlign w:val="superscript"/>
                <w:lang w:eastAsia="zh-CN"/>
              </w:rPr>
              <w:t>24</w:t>
            </w:r>
          </w:p>
          <w:p w14:paraId="288C7D82">
            <w:pPr>
              <w:overflowPunct w:val="0"/>
              <w:spacing w:before="36" w:beforeLines="15" w:line="276" w:lineRule="auto"/>
              <w:rPr>
                <w:rFonts w:cs="Times New Roman"/>
                <w:szCs w:val="24"/>
                <w:lang w:eastAsia="zh-CN"/>
              </w:rPr>
            </w:pPr>
            <w:r>
              <w:rPr>
                <w:rFonts w:cs="宋体"/>
                <w:lang w:eastAsia="zh-CN"/>
              </w:rPr>
              <w:t>注：CPAM包（包括审查所需的所有信息）应与初始请求</w:t>
            </w:r>
            <w:r>
              <w:rPr>
                <w:rFonts w:cs="宋体"/>
                <w:i/>
                <w:lang w:eastAsia="zh-CN"/>
              </w:rPr>
              <w:t>一起</w:t>
            </w:r>
            <w:r>
              <w:rPr>
                <w:rFonts w:cs="宋体"/>
                <w:lang w:eastAsia="zh-CN"/>
              </w:rPr>
              <w:t>提供。</w:t>
            </w:r>
          </w:p>
        </w:tc>
      </w:tr>
      <w:tr w14:paraId="13C1A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0" w:type="pct"/>
            <w:vMerge w:val="continue"/>
            <w:tcBorders>
              <w:top w:val="nil"/>
            </w:tcBorders>
          </w:tcPr>
          <w:p w14:paraId="1062F920">
            <w:pPr>
              <w:overflowPunct w:val="0"/>
              <w:spacing w:before="36" w:beforeLines="15" w:line="276" w:lineRule="auto"/>
              <w:rPr>
                <w:rFonts w:cs="Times New Roman"/>
                <w:szCs w:val="24"/>
                <w:lang w:eastAsia="zh-CN"/>
              </w:rPr>
            </w:pPr>
          </w:p>
        </w:tc>
        <w:tc>
          <w:tcPr>
            <w:tcW w:w="1111" w:type="pct"/>
          </w:tcPr>
          <w:p w14:paraId="3FFBF6B0">
            <w:pPr>
              <w:overflowPunct w:val="0"/>
              <w:spacing w:before="36" w:beforeLines="15" w:line="276" w:lineRule="auto"/>
              <w:rPr>
                <w:rFonts w:cs="Times New Roman"/>
                <w:szCs w:val="24"/>
                <w:lang w:val="de-DE"/>
              </w:rPr>
            </w:pPr>
            <w:r>
              <w:rPr>
                <w:rFonts w:cs="宋体"/>
              </w:rPr>
              <w:t>ID</w:t>
            </w:r>
            <w:r>
              <w:rPr>
                <w:rFonts w:hint="eastAsia" w:cs="宋体"/>
                <w:lang w:eastAsia="zh-CN"/>
              </w:rPr>
              <w:t xml:space="preserve">, </w:t>
            </w:r>
            <w:r>
              <w:rPr>
                <w:rFonts w:cs="宋体"/>
              </w:rPr>
              <w:t>PMA</w:t>
            </w:r>
            <w:r>
              <w:rPr>
                <w:rFonts w:hint="eastAsia" w:cs="宋体"/>
                <w:lang w:eastAsia="zh-CN"/>
              </w:rPr>
              <w:t xml:space="preserve">, </w:t>
            </w:r>
            <w:r>
              <w:rPr>
                <w:rFonts w:cs="宋体"/>
              </w:rPr>
              <w:t>510(k)</w:t>
            </w:r>
            <w:r>
              <w:rPr>
                <w:rFonts w:hint="eastAsia" w:cs="宋体"/>
                <w:lang w:eastAsia="zh-CN"/>
              </w:rPr>
              <w:t xml:space="preserve">, </w:t>
            </w:r>
            <w:r>
              <w:rPr>
                <w:rFonts w:cs="宋体"/>
              </w:rPr>
              <w:t>De Novo</w:t>
            </w:r>
            <w:r>
              <w:rPr>
                <w:rFonts w:hint="eastAsia" w:cs="宋体"/>
                <w:lang w:eastAsia="zh-CN"/>
              </w:rPr>
              <w:t xml:space="preserve">, </w:t>
            </w:r>
            <w:r>
              <w:rPr>
                <w:rFonts w:cs="宋体"/>
              </w:rPr>
              <w:t>HDE</w:t>
            </w:r>
            <w:r>
              <w:rPr>
                <w:rFonts w:hint="eastAsia" w:cs="宋体"/>
                <w:lang w:eastAsia="zh-CN"/>
              </w:rPr>
              <w:t xml:space="preserve">, </w:t>
            </w:r>
            <w:r>
              <w:rPr>
                <w:rFonts w:cs="宋体"/>
              </w:rPr>
              <w:t>PDP</w:t>
            </w:r>
          </w:p>
        </w:tc>
        <w:tc>
          <w:tcPr>
            <w:tcW w:w="3379" w:type="pct"/>
          </w:tcPr>
          <w:p w14:paraId="403386A8">
            <w:pPr>
              <w:overflowPunct w:val="0"/>
              <w:spacing w:before="36" w:beforeLines="15" w:line="276" w:lineRule="auto"/>
              <w:rPr>
                <w:rFonts w:cs="Times New Roman"/>
                <w:szCs w:val="24"/>
                <w:lang w:eastAsia="zh-CN"/>
              </w:rPr>
            </w:pPr>
            <w:r>
              <w:rPr>
                <w:rFonts w:cs="宋体"/>
                <w:lang w:eastAsia="zh-CN"/>
              </w:rPr>
              <w:t>向CBER文件控制中心提交有效的电子副本</w:t>
            </w:r>
            <w:r>
              <w:rPr>
                <w:rFonts w:cs="宋体"/>
                <w:vertAlign w:val="superscript"/>
                <w:lang w:eastAsia="zh-CN"/>
              </w:rPr>
              <w:t>25</w:t>
            </w:r>
            <w:r>
              <w:rPr>
                <w:rFonts w:cs="宋体"/>
                <w:lang w:eastAsia="zh-CN"/>
              </w:rPr>
              <w:t>。如适用，在附信中注明申请编号。</w:t>
            </w:r>
          </w:p>
        </w:tc>
      </w:tr>
      <w:tr w14:paraId="1DB90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0" w:type="pct"/>
            <w:vMerge w:val="restart"/>
          </w:tcPr>
          <w:p w14:paraId="08058F0B">
            <w:pPr>
              <w:overflowPunct w:val="0"/>
              <w:spacing w:before="36" w:beforeLines="15" w:line="276" w:lineRule="auto"/>
              <w:rPr>
                <w:rFonts w:cs="Times New Roman"/>
                <w:vanish/>
                <w:szCs w:val="24"/>
              </w:rPr>
            </w:pPr>
            <w:r>
              <w:rPr>
                <w:rFonts w:cs="Times New Roman"/>
                <w:szCs w:val="24"/>
              </w:rPr>
              <w:t>CDER</w:t>
            </w:r>
          </w:p>
        </w:tc>
        <w:tc>
          <w:tcPr>
            <w:tcW w:w="1111" w:type="pct"/>
          </w:tcPr>
          <w:p w14:paraId="584D4919">
            <w:pPr>
              <w:overflowPunct w:val="0"/>
              <w:spacing w:before="36" w:beforeLines="15" w:line="276" w:lineRule="auto"/>
              <w:rPr>
                <w:rFonts w:cs="Times New Roman"/>
                <w:szCs w:val="24"/>
              </w:rPr>
            </w:pPr>
            <w:r>
              <w:rPr>
                <w:rFonts w:cs="Times New Roman"/>
                <w:szCs w:val="24"/>
              </w:rPr>
              <w:t>IND, NDA, BLA</w:t>
            </w:r>
          </w:p>
        </w:tc>
        <w:tc>
          <w:tcPr>
            <w:tcW w:w="3379" w:type="pct"/>
          </w:tcPr>
          <w:p w14:paraId="27FA3573">
            <w:pPr>
              <w:overflowPunct w:val="0"/>
              <w:spacing w:before="36" w:beforeLines="15" w:line="276" w:lineRule="auto"/>
              <w:rPr>
                <w:rFonts w:cs="Times New Roman"/>
                <w:szCs w:val="24"/>
                <w:lang w:eastAsia="zh-CN"/>
              </w:rPr>
            </w:pPr>
            <w:r>
              <w:rPr>
                <w:rFonts w:cs="宋体"/>
                <w:lang w:eastAsia="zh-CN"/>
              </w:rPr>
              <w:t>提交CPAM请求：</w:t>
            </w:r>
          </w:p>
          <w:p w14:paraId="44E14FCC">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 xml:space="preserve">以电子方式提交，或提交给CDER文件控制中心； </w:t>
            </w:r>
            <w:r>
              <w:rPr>
                <w:rFonts w:cs="宋体"/>
                <w:vertAlign w:val="superscript"/>
                <w:lang w:eastAsia="zh-CN"/>
              </w:rPr>
              <w:t>23</w:t>
            </w:r>
          </w:p>
          <w:p w14:paraId="12BF28D8">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向相关审查部门提出CPAM请求；以及</w:t>
            </w:r>
          </w:p>
          <w:p w14:paraId="4A8E90E1">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如适用，在附信中注明申请编号。</w:t>
            </w:r>
            <w:r>
              <w:rPr>
                <w:rFonts w:cs="宋体"/>
                <w:vertAlign w:val="superscript"/>
                <w:lang w:eastAsia="zh-CN"/>
              </w:rPr>
              <w:t>24</w:t>
            </w:r>
          </w:p>
          <w:p w14:paraId="5A58DA3C">
            <w:pPr>
              <w:overflowPunct w:val="0"/>
              <w:spacing w:before="36" w:beforeLines="15" w:line="276" w:lineRule="auto"/>
              <w:rPr>
                <w:rFonts w:cs="Times New Roman"/>
                <w:szCs w:val="24"/>
                <w:lang w:eastAsia="zh-CN"/>
              </w:rPr>
            </w:pPr>
            <w:r>
              <w:rPr>
                <w:rFonts w:cs="宋体"/>
                <w:lang w:eastAsia="zh-CN"/>
              </w:rPr>
              <w:t>注：CPAM包（包括审查所需的所有信息）应与初始请求</w:t>
            </w:r>
            <w:r>
              <w:rPr>
                <w:rFonts w:cs="宋体"/>
                <w:i/>
                <w:lang w:eastAsia="zh-CN"/>
              </w:rPr>
              <w:t>一起</w:t>
            </w:r>
            <w:r>
              <w:rPr>
                <w:rFonts w:cs="宋体"/>
                <w:lang w:eastAsia="zh-CN"/>
              </w:rPr>
              <w:t>提供。</w:t>
            </w:r>
          </w:p>
        </w:tc>
      </w:tr>
      <w:tr w14:paraId="06C14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0" w:type="pct"/>
            <w:vMerge w:val="continue"/>
            <w:tcBorders>
              <w:top w:val="nil"/>
            </w:tcBorders>
          </w:tcPr>
          <w:p w14:paraId="5E9F64CA">
            <w:pPr>
              <w:overflowPunct w:val="0"/>
              <w:spacing w:before="36" w:beforeLines="15" w:line="276" w:lineRule="auto"/>
              <w:rPr>
                <w:rFonts w:cs="Times New Roman"/>
                <w:szCs w:val="24"/>
                <w:lang w:eastAsia="zh-CN"/>
              </w:rPr>
            </w:pPr>
          </w:p>
        </w:tc>
        <w:tc>
          <w:tcPr>
            <w:tcW w:w="1111" w:type="pct"/>
          </w:tcPr>
          <w:p w14:paraId="23EA8F9F">
            <w:pPr>
              <w:overflowPunct w:val="0"/>
              <w:spacing w:before="36" w:beforeLines="15" w:line="276" w:lineRule="auto"/>
              <w:rPr>
                <w:rFonts w:cs="Times New Roman"/>
                <w:szCs w:val="24"/>
              </w:rPr>
            </w:pPr>
            <w:r>
              <w:rPr>
                <w:rFonts w:cs="Times New Roman"/>
                <w:szCs w:val="24"/>
              </w:rPr>
              <w:t>ANDA</w:t>
            </w:r>
          </w:p>
        </w:tc>
        <w:tc>
          <w:tcPr>
            <w:tcW w:w="3379" w:type="pct"/>
          </w:tcPr>
          <w:p w14:paraId="7894925C">
            <w:pPr>
              <w:overflowPunct w:val="0"/>
              <w:spacing w:before="36" w:beforeLines="15" w:line="276" w:lineRule="auto"/>
              <w:rPr>
                <w:rFonts w:cs="Times New Roman"/>
                <w:szCs w:val="24"/>
                <w:lang w:eastAsia="zh-CN"/>
              </w:rPr>
            </w:pPr>
            <w:r>
              <w:rPr>
                <w:rFonts w:cs="宋体"/>
                <w:lang w:eastAsia="zh-CN"/>
              </w:rPr>
              <w:t>如果尚未向FDA提交ANDA，则提交CPAM请求：</w:t>
            </w:r>
          </w:p>
          <w:p w14:paraId="76BFDE30">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以电子方式提交给</w:t>
            </w:r>
            <w:r>
              <w:rPr>
                <w:rFonts w:cs="宋体"/>
                <w:color w:val="0000FF"/>
                <w:u w:val="single"/>
                <w:lang w:eastAsia="zh-CN"/>
              </w:rPr>
              <w:t>CDER新一代协作门户网站</w:t>
            </w:r>
            <w:r>
              <w:rPr>
                <w:rFonts w:cs="宋体"/>
                <w:lang w:eastAsia="zh-CN"/>
              </w:rPr>
              <w:t>。</w:t>
            </w:r>
          </w:p>
          <w:p w14:paraId="39BBC090">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说明申请号。</w:t>
            </w:r>
            <w:r>
              <w:rPr>
                <w:rFonts w:cs="宋体"/>
                <w:vertAlign w:val="superscript"/>
                <w:lang w:eastAsia="zh-CN"/>
              </w:rPr>
              <w:t>24</w:t>
            </w:r>
          </w:p>
          <w:p w14:paraId="72D72828">
            <w:pPr>
              <w:overflowPunct w:val="0"/>
              <w:spacing w:before="36" w:beforeLines="15" w:line="276" w:lineRule="auto"/>
              <w:rPr>
                <w:rFonts w:cs="Times New Roman"/>
                <w:szCs w:val="24"/>
                <w:lang w:eastAsia="zh-CN"/>
              </w:rPr>
            </w:pPr>
            <w:r>
              <w:rPr>
                <w:rFonts w:cs="宋体"/>
                <w:lang w:eastAsia="zh-CN"/>
              </w:rPr>
              <w:t>如果同时提交ANDA与CPAM请求，或者已向FDA提交ANDA，则提交CPAM请求：</w:t>
            </w:r>
          </w:p>
          <w:p w14:paraId="432C6A30">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通过FDA电子提交网关（ESG）提交。</w:t>
            </w:r>
          </w:p>
          <w:p w14:paraId="19F27D65">
            <w:pPr>
              <w:overflowPunct w:val="0"/>
              <w:spacing w:before="36" w:beforeLines="15" w:line="276" w:lineRule="auto"/>
              <w:ind w:left="420" w:hanging="420" w:hangingChars="200"/>
              <w:rPr>
                <w:rFonts w:cs="Times New Roman"/>
                <w:szCs w:val="24"/>
              </w:rPr>
            </w:pPr>
            <w:r>
              <w:rPr>
                <w:rFonts w:cs="宋体"/>
              </w:rPr>
              <w:t>●</w:t>
            </w:r>
            <w:r>
              <w:rPr>
                <w:rFonts w:cs="宋体"/>
              </w:rPr>
              <w:tab/>
            </w:r>
            <w:r>
              <w:rPr>
                <w:rFonts w:cs="宋体"/>
              </w:rPr>
              <w:t>说明申请号。</w:t>
            </w:r>
            <w:r>
              <w:rPr>
                <w:rFonts w:cs="宋体"/>
                <w:vertAlign w:val="superscript"/>
              </w:rPr>
              <w:t>24</w:t>
            </w:r>
          </w:p>
        </w:tc>
      </w:tr>
    </w:tbl>
    <w:p w14:paraId="403C33CD">
      <w:pPr>
        <w:pStyle w:val="23"/>
        <w:overflowPunct w:val="0"/>
        <w:rPr>
          <w:lang w:eastAsia="zh-CN"/>
        </w:rPr>
      </w:pPr>
      <w:r>
        <w:rPr>
          <w:rFonts w:cs="宋体"/>
        </w:rPr>
        <w:t>______________________</w:t>
      </w:r>
    </w:p>
    <w:p w14:paraId="609C0B00">
      <w:pPr>
        <w:pStyle w:val="23"/>
        <w:overflowPunct w:val="0"/>
        <w:rPr>
          <w:sz w:val="18"/>
          <w:szCs w:val="18"/>
          <w:lang w:eastAsia="zh-CN"/>
        </w:rPr>
      </w:pPr>
      <w:r>
        <w:rPr>
          <w:rFonts w:cs="宋体"/>
          <w:sz w:val="18"/>
          <w:szCs w:val="18"/>
          <w:vertAlign w:val="superscript"/>
          <w:lang w:eastAsia="zh-CN"/>
        </w:rPr>
        <w:t xml:space="preserve">22 </w:t>
      </w:r>
      <w:r>
        <w:rPr>
          <w:rFonts w:cs="宋体"/>
          <w:sz w:val="18"/>
          <w:szCs w:val="18"/>
          <w:lang w:eastAsia="zh-CN"/>
        </w:rPr>
        <w:tab/>
      </w:r>
      <w:r>
        <w:rPr>
          <w:rFonts w:cs="宋体"/>
          <w:sz w:val="18"/>
          <w:szCs w:val="18"/>
          <w:lang w:eastAsia="zh-CN"/>
        </w:rPr>
        <w:t>向牵头中心提交CPAM请求适用于任何组合产品，包括申请人可能就每个组成部分预计提交或已提交单独申请的交叉标签组合产品。</w:t>
      </w:r>
    </w:p>
    <w:p w14:paraId="1B3B7B92">
      <w:pPr>
        <w:pStyle w:val="23"/>
        <w:overflowPunct w:val="0"/>
        <w:rPr>
          <w:sz w:val="18"/>
          <w:szCs w:val="18"/>
          <w:lang w:eastAsia="zh-CN"/>
        </w:rPr>
      </w:pPr>
      <w:r>
        <w:rPr>
          <w:rFonts w:cs="宋体"/>
          <w:sz w:val="18"/>
          <w:szCs w:val="18"/>
          <w:vertAlign w:val="superscript"/>
          <w:lang w:eastAsia="zh-CN"/>
        </w:rPr>
        <w:t xml:space="preserve">23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以电子格式提供监管材料 - 使用eCTD规范的某些人用药品申请及相关材料：行业指南</w:t>
      </w:r>
      <w:r>
        <w:rPr>
          <w:rFonts w:cs="宋体"/>
          <w:sz w:val="18"/>
          <w:szCs w:val="18"/>
          <w:lang w:eastAsia="zh-CN"/>
        </w:rPr>
        <w:t>》。</w:t>
      </w:r>
    </w:p>
    <w:p w14:paraId="5400636F">
      <w:pPr>
        <w:pStyle w:val="23"/>
        <w:overflowPunct w:val="0"/>
        <w:rPr>
          <w:sz w:val="18"/>
          <w:szCs w:val="18"/>
        </w:rPr>
      </w:pPr>
      <w:r>
        <w:rPr>
          <w:rFonts w:cs="宋体"/>
          <w:sz w:val="18"/>
          <w:szCs w:val="18"/>
          <w:vertAlign w:val="superscript"/>
        </w:rPr>
        <w:t xml:space="preserve">24 </w:t>
      </w:r>
      <w:r>
        <w:rPr>
          <w:rFonts w:cs="宋体"/>
          <w:sz w:val="18"/>
          <w:szCs w:val="18"/>
        </w:rPr>
        <w:tab/>
      </w:r>
      <w:r>
        <w:rPr>
          <w:rFonts w:cs="宋体"/>
          <w:sz w:val="18"/>
          <w:szCs w:val="18"/>
        </w:rPr>
        <w:t>如果尚未分配申请编号，请参阅FDA网站上提供的关于预分配申请编号请求的信息，网址为：</w:t>
      </w:r>
      <w:r>
        <w:rPr>
          <w:rFonts w:cs="宋体"/>
          <w:color w:val="0000FF"/>
          <w:sz w:val="18"/>
          <w:szCs w:val="18"/>
          <w:u w:val="single"/>
        </w:rPr>
        <w:t>https://www.fda.gov/drugs/electronic-regulatory-submission-and- review/requesting-pre-assigned-application-number</w:t>
      </w:r>
      <w:r>
        <w:rPr>
          <w:rFonts w:cs="宋体"/>
          <w:sz w:val="18"/>
          <w:szCs w:val="18"/>
        </w:rPr>
        <w:t>。</w:t>
      </w:r>
    </w:p>
    <w:p w14:paraId="2DF37989">
      <w:pPr>
        <w:pStyle w:val="23"/>
        <w:overflowPunct w:val="0"/>
        <w:rPr>
          <w:i/>
          <w:sz w:val="18"/>
          <w:szCs w:val="18"/>
          <w:lang w:eastAsia="zh-CN"/>
        </w:rPr>
      </w:pPr>
      <w:r>
        <w:rPr>
          <w:rFonts w:cs="宋体"/>
          <w:sz w:val="18"/>
          <w:szCs w:val="18"/>
          <w:vertAlign w:val="superscript"/>
          <w:lang w:eastAsia="zh-CN"/>
        </w:rPr>
        <w:t xml:space="preserve">25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医疗器械提交的电子副本程序-面向行业和美国食品药品监督管理局工作人员的指南</w:t>
      </w:r>
      <w:r>
        <w:rPr>
          <w:rFonts w:cs="宋体"/>
          <w:sz w:val="18"/>
          <w:szCs w:val="18"/>
          <w:lang w:eastAsia="zh-CN"/>
        </w:rPr>
        <w:t>》。</w:t>
      </w:r>
    </w:p>
    <w:p w14:paraId="708A38EF">
      <w:pPr>
        <w:overflowPunct w:val="0"/>
        <w:spacing w:before="120" w:beforeLines="50" w:line="300" w:lineRule="auto"/>
        <w:rPr>
          <w:rFonts w:cs="Times New Roman"/>
          <w:i/>
          <w:sz w:val="24"/>
          <w:szCs w:val="24"/>
          <w:lang w:eastAsia="zh-CN"/>
        </w:rPr>
      </w:pPr>
      <w:r>
        <w:rPr>
          <w:rFonts w:cs="宋体"/>
          <w:sz w:val="24"/>
          <w:lang w:eastAsia="zh-CN"/>
        </w:rPr>
        <w:br w:type="page"/>
      </w:r>
    </w:p>
    <w:tbl>
      <w:tblPr>
        <w:tblStyle w:val="1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49"/>
        <w:gridCol w:w="2067"/>
        <w:gridCol w:w="6271"/>
      </w:tblGrid>
      <w:tr w14:paraId="075D8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1" w:type="pct"/>
          </w:tcPr>
          <w:p w14:paraId="01B72390">
            <w:pPr>
              <w:overflowPunct w:val="0"/>
              <w:spacing w:before="36" w:beforeLines="15" w:line="276" w:lineRule="auto"/>
              <w:rPr>
                <w:rFonts w:cs="Times New Roman"/>
                <w:b/>
                <w:szCs w:val="24"/>
              </w:rPr>
            </w:pPr>
            <w:r>
              <w:rPr>
                <w:rFonts w:cs="宋体"/>
                <w:b/>
              </w:rPr>
              <w:t>牵头中心</w:t>
            </w:r>
          </w:p>
        </w:tc>
        <w:tc>
          <w:tcPr>
            <w:tcW w:w="1113" w:type="pct"/>
          </w:tcPr>
          <w:p w14:paraId="69DBECCE">
            <w:pPr>
              <w:overflowPunct w:val="0"/>
              <w:spacing w:before="36" w:beforeLines="15" w:line="276" w:lineRule="auto"/>
              <w:rPr>
                <w:rFonts w:cs="Times New Roman"/>
                <w:b/>
                <w:szCs w:val="24"/>
              </w:rPr>
            </w:pPr>
            <w:r>
              <w:rPr>
                <w:rFonts w:cs="宋体"/>
                <w:b/>
              </w:rPr>
              <w:t>组合产品申请类型</w:t>
            </w:r>
          </w:p>
        </w:tc>
        <w:tc>
          <w:tcPr>
            <w:tcW w:w="3376" w:type="pct"/>
          </w:tcPr>
          <w:p w14:paraId="35187C19">
            <w:pPr>
              <w:overflowPunct w:val="0"/>
              <w:spacing w:before="36" w:beforeLines="15" w:line="276" w:lineRule="auto"/>
              <w:rPr>
                <w:rFonts w:cs="Times New Roman"/>
                <w:b/>
                <w:szCs w:val="24"/>
              </w:rPr>
            </w:pPr>
            <w:r>
              <w:rPr>
                <w:rFonts w:cs="宋体"/>
                <w:b/>
              </w:rPr>
              <w:t>CPAM请求流程</w:t>
            </w:r>
          </w:p>
        </w:tc>
      </w:tr>
      <w:tr w14:paraId="27B32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11" w:type="pct"/>
          </w:tcPr>
          <w:p w14:paraId="2AEC4D2E">
            <w:pPr>
              <w:overflowPunct w:val="0"/>
              <w:spacing w:before="36" w:beforeLines="15" w:line="276" w:lineRule="auto"/>
              <w:rPr>
                <w:rFonts w:cs="Times New Roman"/>
                <w:vanish/>
                <w:szCs w:val="24"/>
              </w:rPr>
            </w:pPr>
            <w:r>
              <w:rPr>
                <w:rFonts w:cs="Times New Roman"/>
                <w:szCs w:val="24"/>
              </w:rPr>
              <w:t>CDRH</w:t>
            </w:r>
          </w:p>
        </w:tc>
        <w:tc>
          <w:tcPr>
            <w:tcW w:w="1113" w:type="pct"/>
          </w:tcPr>
          <w:p w14:paraId="4659AB7D">
            <w:pPr>
              <w:overflowPunct w:val="0"/>
              <w:spacing w:before="36" w:beforeLines="15" w:line="276" w:lineRule="auto"/>
              <w:rPr>
                <w:rFonts w:cs="Times New Roman"/>
                <w:szCs w:val="24"/>
                <w:lang w:val="de-DE"/>
              </w:rPr>
            </w:pPr>
            <w:r>
              <w:rPr>
                <w:rFonts w:cs="Times New Roman"/>
                <w:szCs w:val="24"/>
                <w:lang w:val="de-DE"/>
              </w:rPr>
              <w:t>IDE, PMA,</w:t>
            </w:r>
            <w:r>
              <w:rPr>
                <w:rFonts w:cs="Times New Roman"/>
                <w:szCs w:val="24"/>
                <w:lang w:val="de-DE" w:eastAsia="zh-CN"/>
              </w:rPr>
              <w:t xml:space="preserve"> </w:t>
            </w:r>
            <w:r>
              <w:rPr>
                <w:rFonts w:cs="Times New Roman"/>
                <w:szCs w:val="24"/>
                <w:lang w:val="de-DE"/>
              </w:rPr>
              <w:t>510(k), De Novo, HDE, PDP</w:t>
            </w:r>
          </w:p>
        </w:tc>
        <w:tc>
          <w:tcPr>
            <w:tcW w:w="3376" w:type="pct"/>
          </w:tcPr>
          <w:p w14:paraId="7914A2B6">
            <w:pPr>
              <w:overflowPunct w:val="0"/>
              <w:spacing w:before="36" w:beforeLines="15" w:line="276" w:lineRule="auto"/>
              <w:rPr>
                <w:rFonts w:cs="Times New Roman"/>
                <w:szCs w:val="24"/>
                <w:lang w:eastAsia="zh-CN"/>
              </w:rPr>
            </w:pPr>
            <w:r>
              <w:rPr>
                <w:rFonts w:cs="宋体"/>
                <w:lang w:eastAsia="zh-CN"/>
              </w:rPr>
              <w:t>向CDRH文件控制中心提交有效的电子副本</w:t>
            </w:r>
            <w:r>
              <w:rPr>
                <w:rFonts w:cs="宋体"/>
                <w:vertAlign w:val="superscript"/>
                <w:lang w:eastAsia="zh-CN"/>
              </w:rPr>
              <w:t>25</w:t>
            </w:r>
            <w:r>
              <w:rPr>
                <w:rFonts w:cs="宋体"/>
                <w:lang w:eastAsia="zh-CN"/>
              </w:rPr>
              <w:t>。如适用，在附信中注明申请编号。</w:t>
            </w:r>
          </w:p>
        </w:tc>
      </w:tr>
    </w:tbl>
    <w:p w14:paraId="1F8C88B6">
      <w:pPr>
        <w:overflowPunct w:val="0"/>
        <w:spacing w:before="120" w:beforeLines="50" w:line="300" w:lineRule="auto"/>
        <w:ind w:left="1322" w:leftChars="400" w:hanging="482" w:hangingChars="200"/>
        <w:rPr>
          <w:rFonts w:cs="Times New Roman"/>
          <w:b/>
          <w:sz w:val="24"/>
          <w:szCs w:val="24"/>
          <w:lang w:eastAsia="zh-CN"/>
        </w:rPr>
      </w:pPr>
      <w:r>
        <w:rPr>
          <w:rFonts w:cs="宋体"/>
          <w:b/>
          <w:sz w:val="24"/>
          <w:lang w:eastAsia="zh-CN"/>
        </w:rPr>
        <w:t>3.</w:t>
      </w:r>
      <w:r>
        <w:rPr>
          <w:rFonts w:cs="宋体"/>
          <w:sz w:val="24"/>
          <w:lang w:eastAsia="zh-CN"/>
        </w:rPr>
        <w:tab/>
      </w:r>
      <w:r>
        <w:rPr>
          <w:rFonts w:cs="宋体"/>
          <w:b/>
          <w:sz w:val="24"/>
          <w:lang w:eastAsia="zh-CN"/>
        </w:rPr>
        <w:t>FDA对CPAM的回复</w:t>
      </w:r>
    </w:p>
    <w:p w14:paraId="6D657166">
      <w:pPr>
        <w:overflowPunct w:val="0"/>
        <w:spacing w:before="120" w:beforeLines="50" w:line="300" w:lineRule="auto"/>
        <w:rPr>
          <w:rFonts w:cs="Times New Roman"/>
          <w:sz w:val="24"/>
          <w:szCs w:val="24"/>
          <w:lang w:eastAsia="zh-CN"/>
        </w:rPr>
      </w:pPr>
      <w:r>
        <w:rPr>
          <w:rFonts w:cs="宋体"/>
          <w:sz w:val="24"/>
          <w:lang w:eastAsia="zh-CN"/>
        </w:rPr>
        <w:t>下文概述了CPAM流程步骤：</w:t>
      </w:r>
    </w:p>
    <w:p w14:paraId="67BC5A9A">
      <w:pPr>
        <w:pStyle w:val="24"/>
        <w:numPr>
          <w:ilvl w:val="0"/>
          <w:numId w:val="9"/>
        </w:numPr>
        <w:overflowPunct w:val="0"/>
        <w:spacing w:before="120" w:beforeLines="50" w:line="300" w:lineRule="auto"/>
        <w:ind w:firstLineChars="0"/>
        <w:rPr>
          <w:rFonts w:cs="Times New Roman"/>
          <w:sz w:val="24"/>
          <w:szCs w:val="24"/>
          <w:lang w:eastAsia="zh-CN"/>
        </w:rPr>
      </w:pPr>
      <w:r>
        <w:rPr>
          <w:rFonts w:cs="宋体"/>
          <w:sz w:val="24"/>
          <w:u w:val="single"/>
          <w:lang w:eastAsia="zh-CN"/>
        </w:rPr>
        <w:t>受理CPAM请求</w:t>
      </w:r>
      <w:r>
        <w:rPr>
          <w:rFonts w:cs="宋体"/>
          <w:sz w:val="24"/>
          <w:lang w:eastAsia="zh-CN"/>
        </w:rPr>
        <w:t>。一般情况下CPAM请求会得到批准，除非申请不是针对组合产品或组合产品的PMOA尚未确定（参见《FD&amp;C法案》第503(g)(2)(a)(i)节（21 USC 353(g)(2)(A)(i)）。然而，FDA注意到使用CPAM来解决本应由牵头中心的争议解决方案和/或上诉程序来审查的争议不适用（另见下文第IV.C 节）。</w:t>
      </w:r>
      <w:r>
        <w:rPr>
          <w:rFonts w:cs="宋体"/>
          <w:sz w:val="24"/>
          <w:vertAlign w:val="superscript"/>
          <w:lang w:eastAsia="zh-CN"/>
        </w:rPr>
        <w:t>26</w:t>
      </w:r>
      <w:r>
        <w:rPr>
          <w:rFonts w:cs="宋体"/>
          <w:sz w:val="24"/>
          <w:lang w:eastAsia="zh-CN"/>
        </w:rPr>
        <w:t>本机构还注意到，如果申请人的请求中未提供足够的信息，无法进行有意义的讨论或提供反馈，FDA可能无法就申请人的提议达成协议。</w:t>
      </w:r>
    </w:p>
    <w:p w14:paraId="3FECAC39">
      <w:pPr>
        <w:overflowPunct w:val="0"/>
        <w:spacing w:before="120" w:beforeLines="50" w:line="300" w:lineRule="auto"/>
        <w:ind w:left="901" w:leftChars="429"/>
        <w:rPr>
          <w:rFonts w:cs="Times New Roman"/>
          <w:sz w:val="24"/>
          <w:szCs w:val="24"/>
          <w:lang w:eastAsia="zh-CN"/>
        </w:rPr>
      </w:pPr>
      <w:r>
        <w:rPr>
          <w:rFonts w:cs="宋体"/>
          <w:sz w:val="24"/>
          <w:lang w:eastAsia="zh-CN"/>
        </w:rPr>
        <w:t>FDA会在收到CPAM请求后21个日历日内联系申请人，确认收到，并提供会议时间（如要求）或提供不同意CPAM的实质性依据。如果FDA认为基于申请的机制可能更有效和/或提供更多清晰度，FDA可以联系申请人并提出转换为基于申请的机制。如果申请人同意基于申请的机制，FDA将与申请人合作，以便申请人能够有效地采用该机制。</w:t>
      </w:r>
    </w:p>
    <w:p w14:paraId="7597DE38">
      <w:pPr>
        <w:pStyle w:val="24"/>
        <w:numPr>
          <w:ilvl w:val="0"/>
          <w:numId w:val="9"/>
        </w:numPr>
        <w:overflowPunct w:val="0"/>
        <w:spacing w:before="120" w:beforeLines="50" w:line="300" w:lineRule="auto"/>
        <w:ind w:firstLineChars="0"/>
        <w:rPr>
          <w:rFonts w:cs="Times New Roman"/>
          <w:sz w:val="24"/>
          <w:szCs w:val="24"/>
          <w:lang w:eastAsia="zh-CN"/>
        </w:rPr>
      </w:pPr>
      <w:r>
        <w:rPr>
          <w:rFonts w:cs="宋体"/>
          <w:sz w:val="24"/>
          <w:u w:val="single"/>
          <w:lang w:eastAsia="zh-CN"/>
        </w:rPr>
        <w:t>CPAM交流</w:t>
      </w:r>
      <w:r>
        <w:rPr>
          <w:rFonts w:cs="宋体"/>
          <w:sz w:val="24"/>
          <w:lang w:eastAsia="zh-CN"/>
        </w:rPr>
        <w:t>。申请人可以选择提交面对面会议、电话会议或书面反馈请求。如果申请人提交面对面会议或电话会议请求，并且FDA接受该请求，FDA将在收到CPAM请求后75个日历日内安排会议。会议通常持续一小时。如果FDA认为仅提供书面反馈意见适用，FDA可能联系申请人。FDA预期在面对面会议或电话会议（参见下文）之前向申请人提供初步答复。收到此类答复后，申请人应在收到后3个日历日内通知FDA无需举行面对面会议或电话会议，或确定申请人希望在会议/电话会议上进一步讨论的问题。</w:t>
      </w:r>
    </w:p>
    <w:p w14:paraId="5E35108A">
      <w:pPr>
        <w:pStyle w:val="23"/>
        <w:overflowPunct w:val="0"/>
        <w:rPr>
          <w:lang w:eastAsia="zh-CN"/>
        </w:rPr>
      </w:pPr>
      <w:r>
        <w:rPr>
          <w:rFonts w:cs="宋体"/>
          <w:lang w:eastAsia="zh-CN"/>
        </w:rPr>
        <w:t>______________________</w:t>
      </w:r>
    </w:p>
    <w:p w14:paraId="34C86443">
      <w:pPr>
        <w:pStyle w:val="23"/>
        <w:overflowPunct w:val="0"/>
        <w:rPr>
          <w:sz w:val="18"/>
          <w:szCs w:val="18"/>
          <w:lang w:eastAsia="zh-CN"/>
        </w:rPr>
      </w:pPr>
      <w:r>
        <w:rPr>
          <w:rFonts w:cs="宋体"/>
          <w:sz w:val="18"/>
          <w:szCs w:val="18"/>
          <w:vertAlign w:val="superscript"/>
          <w:lang w:eastAsia="zh-CN"/>
        </w:rPr>
        <w:t xml:space="preserve">26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根据GDUFA提交部门级复议申请：行业指南草案</w:t>
      </w:r>
      <w:r>
        <w:rPr>
          <w:rFonts w:cs="宋体"/>
          <w:sz w:val="18"/>
          <w:szCs w:val="18"/>
          <w:lang w:eastAsia="zh-CN"/>
        </w:rPr>
        <w:t>》（针对CDER的仿制药办公室，该指南定稿后将代表FDA目前对该议题的看法）、《</w:t>
      </w:r>
      <w:r>
        <w:rPr>
          <w:rFonts w:cs="宋体"/>
          <w:color w:val="0000FF"/>
          <w:sz w:val="18"/>
          <w:szCs w:val="18"/>
          <w:u w:val="single"/>
          <w:lang w:eastAsia="zh-CN"/>
        </w:rPr>
        <w:t>正式争议解决：部门级以上的申请人申诉：面向行业和审查人员的指南</w:t>
      </w:r>
      <w:r>
        <w:rPr>
          <w:rFonts w:cs="宋体"/>
          <w:sz w:val="18"/>
          <w:szCs w:val="18"/>
          <w:lang w:eastAsia="zh-CN"/>
        </w:rPr>
        <w:t>》（适用于CBER和CDER）以及《</w:t>
      </w:r>
      <w:r>
        <w:rPr>
          <w:rFonts w:cs="宋体"/>
          <w:color w:val="0000FF"/>
          <w:sz w:val="18"/>
          <w:szCs w:val="18"/>
          <w:u w:val="single"/>
          <w:lang w:eastAsia="zh-CN"/>
        </w:rPr>
        <w:t>医疗器械和辐射健康中心申诉流程：面向行业和美国食品药品监督管理局工作人员的指南</w:t>
      </w:r>
      <w:r>
        <w:rPr>
          <w:rFonts w:cs="宋体"/>
          <w:sz w:val="18"/>
          <w:szCs w:val="18"/>
          <w:lang w:eastAsia="zh-CN"/>
        </w:rPr>
        <w:t>》。</w:t>
      </w:r>
      <w:r>
        <w:rPr>
          <w:rFonts w:cs="宋体"/>
          <w:sz w:val="18"/>
          <w:szCs w:val="18"/>
        </w:rPr>
        <w:t>组合产品申请人可以从牵头中心监察员处获得关于非正式争议解决方式的信息（参见</w:t>
      </w:r>
      <w:r>
        <w:rPr>
          <w:rFonts w:cs="宋体"/>
          <w:color w:val="0000FF"/>
          <w:sz w:val="18"/>
          <w:szCs w:val="18"/>
          <w:u w:val="single"/>
        </w:rPr>
        <w:t>https://www.fda.gov/about-fda/office-chief-scientist/contact-</w:t>
      </w:r>
      <w:r>
        <w:rPr>
          <w:rFonts w:cs="宋体"/>
          <w:color w:val="0000FF"/>
          <w:sz w:val="18"/>
          <w:szCs w:val="18"/>
        </w:rPr>
        <w:t xml:space="preserve"> </w:t>
      </w:r>
      <w:r>
        <w:rPr>
          <w:rFonts w:cs="宋体"/>
          <w:color w:val="0000FF"/>
          <w:sz w:val="18"/>
          <w:szCs w:val="18"/>
          <w:u w:val="single"/>
        </w:rPr>
        <w:t>ombudsman-fda</w:t>
      </w:r>
      <w:r>
        <w:rPr>
          <w:rFonts w:cs="宋体"/>
          <w:sz w:val="18"/>
          <w:szCs w:val="18"/>
        </w:rPr>
        <w:t>）。</w:t>
      </w:r>
      <w:r>
        <w:rPr>
          <w:rFonts w:cs="宋体"/>
          <w:sz w:val="18"/>
          <w:szCs w:val="18"/>
          <w:lang w:eastAsia="zh-CN"/>
        </w:rPr>
        <w:t>OCP也可以协助FDA监管实体解决他们与中心或FDA其他部门之间可能出现的组合产品上市前审查或其他监管问题相关问题。协助请求可发送至OCP的邮箱</w:t>
      </w:r>
      <w:r>
        <w:rPr>
          <w:rFonts w:cs="宋体"/>
          <w:color w:val="0000FF"/>
          <w:sz w:val="18"/>
          <w:szCs w:val="18"/>
          <w:u w:val="single"/>
          <w:lang w:eastAsia="zh-CN"/>
        </w:rPr>
        <w:t>combination@fda.gov</w:t>
      </w:r>
      <w:r>
        <w:rPr>
          <w:rFonts w:cs="宋体"/>
          <w:sz w:val="18"/>
          <w:szCs w:val="18"/>
          <w:lang w:eastAsia="zh-CN"/>
        </w:rPr>
        <w:t>。</w:t>
      </w:r>
    </w:p>
    <w:p w14:paraId="06BB27EC">
      <w:pPr>
        <w:overflowPunct w:val="0"/>
        <w:spacing w:before="120" w:beforeLines="50" w:line="300" w:lineRule="auto"/>
        <w:rPr>
          <w:rFonts w:cs="Times New Roman"/>
          <w:sz w:val="24"/>
          <w:szCs w:val="24"/>
          <w:lang w:eastAsia="zh-CN"/>
        </w:rPr>
      </w:pPr>
      <w:r>
        <w:rPr>
          <w:rFonts w:cs="宋体"/>
          <w:sz w:val="24"/>
          <w:lang w:eastAsia="zh-CN"/>
        </w:rPr>
        <w:br w:type="page"/>
      </w:r>
    </w:p>
    <w:p w14:paraId="54F74A72">
      <w:pPr>
        <w:pStyle w:val="24"/>
        <w:numPr>
          <w:ilvl w:val="0"/>
          <w:numId w:val="10"/>
        </w:numPr>
        <w:overflowPunct w:val="0"/>
        <w:spacing w:before="120" w:beforeLines="50" w:line="300" w:lineRule="auto"/>
        <w:ind w:firstLineChars="0"/>
        <w:rPr>
          <w:rFonts w:cs="Times New Roman"/>
          <w:sz w:val="24"/>
          <w:szCs w:val="24"/>
          <w:lang w:eastAsia="zh-CN"/>
        </w:rPr>
      </w:pPr>
      <w:r>
        <w:rPr>
          <w:rFonts w:cs="宋体"/>
          <w:sz w:val="24"/>
          <w:u w:val="single"/>
          <w:lang w:eastAsia="zh-CN"/>
        </w:rPr>
        <w:t>初步答复、书面反馈和CPAM协议</w:t>
      </w:r>
      <w:r>
        <w:rPr>
          <w:rFonts w:cs="宋体"/>
          <w:sz w:val="24"/>
          <w:lang w:eastAsia="zh-CN"/>
        </w:rPr>
        <w:t>。如果申请人仅要求书面反馈，FDA预期在收到请求后75个日历日内向申请人提供最终书面反馈。如果申请人要求举行面对面会议或电话会议，FDA预期在会议/电话会议前5个日历日内向申请人提供对CPAM要求的初步答复。如果申请人决定无需会议/电话会议或仅需讨论某些问题（参见上文），FDA的初步答复将代表FDA对CPAM的最终书面反馈（关于所有问题或已解决的问题）。如果举行会议/电话会议，FDA预期在会议后30个日历日内向申请人提供最终书面反馈。</w:t>
      </w:r>
    </w:p>
    <w:p w14:paraId="2DEFDCB8">
      <w:pPr>
        <w:overflowPunct w:val="0"/>
        <w:spacing w:before="120" w:beforeLines="50" w:line="300" w:lineRule="auto"/>
        <w:rPr>
          <w:rFonts w:cs="Times New Roman"/>
          <w:sz w:val="24"/>
          <w:szCs w:val="24"/>
          <w:lang w:eastAsia="zh-CN"/>
        </w:rPr>
      </w:pPr>
      <w:r>
        <w:rPr>
          <w:rFonts w:cs="宋体"/>
          <w:sz w:val="24"/>
          <w:lang w:eastAsia="zh-CN"/>
        </w:rPr>
        <w:t>FDA的最终书面反馈意见应包括商定的提案，并就申请人寻求FDA同意的每项提案或其项目指出：</w:t>
      </w:r>
    </w:p>
    <w:p w14:paraId="65F3487F">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FDA同意该提案或其项目；</w:t>
      </w:r>
    </w:p>
    <w:p w14:paraId="41311F2E">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FDA不同意申请人的提案或其项目，以及FDA认为申请人的提案或其项目不可接受的原因；或</w:t>
      </w:r>
    </w:p>
    <w:p w14:paraId="148608E5">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由于信息不足或不充分，FDA在答复时不能同意该提案或其项目。此类答复应包括其他科学数据或其他信息的摘要，以支持进一步审查申请人的提案或其项目。如果申请人想提交信息以答复已确定的不足/缺陷，申请人可以通过使用基于申请的机制或提交新CPAM请求来实现。</w:t>
      </w:r>
    </w:p>
    <w:p w14:paraId="75100338">
      <w:pPr>
        <w:overflowPunct w:val="0"/>
        <w:spacing w:before="120" w:beforeLines="50" w:line="300" w:lineRule="auto"/>
        <w:rPr>
          <w:rFonts w:cs="Times New Roman"/>
          <w:sz w:val="24"/>
          <w:szCs w:val="24"/>
          <w:lang w:eastAsia="zh-CN"/>
        </w:rPr>
      </w:pPr>
      <w:r>
        <w:rPr>
          <w:rFonts w:cs="宋体"/>
          <w:sz w:val="24"/>
          <w:lang w:eastAsia="zh-CN"/>
        </w:rPr>
        <w:t>如果申请人希望澄清FDA对CPAM请求的答复（包括CPAM或其他机制是否适合未来交流），他们应及时联系FDA POC。</w:t>
      </w:r>
    </w:p>
    <w:p w14:paraId="025866DF">
      <w:pPr>
        <w:overflowPunct w:val="0"/>
        <w:spacing w:before="120" w:beforeLines="50" w:line="300" w:lineRule="auto"/>
        <w:ind w:left="1322" w:leftChars="400" w:hanging="482" w:hangingChars="200"/>
        <w:rPr>
          <w:rFonts w:cs="Times New Roman"/>
          <w:b/>
          <w:sz w:val="24"/>
          <w:szCs w:val="24"/>
          <w:lang w:eastAsia="zh-CN"/>
        </w:rPr>
      </w:pPr>
      <w:r>
        <w:rPr>
          <w:rFonts w:cs="宋体"/>
          <w:b/>
          <w:sz w:val="24"/>
          <w:lang w:eastAsia="zh-CN"/>
        </w:rPr>
        <w:t>4.</w:t>
      </w:r>
      <w:r>
        <w:rPr>
          <w:rFonts w:cs="宋体"/>
          <w:sz w:val="24"/>
          <w:lang w:eastAsia="zh-CN"/>
        </w:rPr>
        <w:tab/>
      </w:r>
      <w:r>
        <w:rPr>
          <w:rFonts w:cs="宋体"/>
          <w:b/>
          <w:sz w:val="24"/>
          <w:lang w:eastAsia="zh-CN"/>
        </w:rPr>
        <w:t>通过CPAM达成的协议的有效性</w:t>
      </w:r>
    </w:p>
    <w:p w14:paraId="146F1F4E">
      <w:pPr>
        <w:overflowPunct w:val="0"/>
        <w:spacing w:before="120" w:beforeLines="50" w:line="300" w:lineRule="auto"/>
        <w:rPr>
          <w:rFonts w:cs="Times New Roman"/>
          <w:sz w:val="24"/>
          <w:szCs w:val="24"/>
          <w:lang w:eastAsia="zh-CN"/>
        </w:rPr>
      </w:pPr>
      <w:r>
        <w:rPr>
          <w:rFonts w:cs="宋体"/>
          <w:sz w:val="24"/>
          <w:lang w:eastAsia="zh-CN"/>
        </w:rPr>
        <w:t>通过CPAM流程达成的任何协议应继续有效，但如上文第IV.B节中讨论的《FD&amp;C法案》第503(g)(2)(A)(iv)节（21 USC 353(g)(2)(A)(iv)）中所述的有限情况除外。例如，新信息或最新科学思维（包括反映在随后发布的指南中）可能导致FDA发现对确定是否已达到上市授权标准至关重要的问题。此外，正式协议是特定产品协议，其前提是申请人不改变协议依据（如不遵循商定的临床前或临床提案），不对终点进行实质变更，不改变拟定预期用途或适应症或产品设计/内容，不变更制造过程或控制，或不变更研究计划。申请人后续未遵守的CPAM协议不再有效，但FDA可以考虑其认为适合上市前审查或上市后监管的数据或信息（如适用）。例如，当FDA确定在审查后续相关申请时，全部或部分CPAM协议根据第503(g)(2)(A)(iv)节不再有效，FDA预期书面通知申请人协议的哪些部分不再有效以及决定的依据。</w:t>
      </w:r>
    </w:p>
    <w:p w14:paraId="06109FD9">
      <w:pPr>
        <w:overflowPunct w:val="0"/>
        <w:rPr>
          <w:rFonts w:cs="Times New Roman"/>
          <w:b/>
          <w:sz w:val="24"/>
          <w:szCs w:val="24"/>
          <w:lang w:eastAsia="zh-CN"/>
        </w:rPr>
      </w:pPr>
      <w:r>
        <w:rPr>
          <w:rFonts w:cs="宋体"/>
          <w:b/>
          <w:sz w:val="24"/>
          <w:lang w:eastAsia="zh-CN"/>
        </w:rPr>
        <w:br w:type="page"/>
      </w:r>
    </w:p>
    <w:p w14:paraId="46D10E44">
      <w:pPr>
        <w:pStyle w:val="3"/>
        <w:overflowPunct w:val="0"/>
        <w:rPr>
          <w:lang w:eastAsia="zh-CN"/>
        </w:rPr>
      </w:pPr>
      <w:bookmarkStart w:id="10" w:name="_Toc97888816"/>
      <w:r>
        <w:rPr>
          <w:rFonts w:cs="宋体"/>
          <w:lang w:eastAsia="zh-CN"/>
        </w:rPr>
        <w:t>C.</w:t>
      </w:r>
      <w:r>
        <w:rPr>
          <w:rFonts w:cs="宋体"/>
          <w:lang w:eastAsia="zh-CN"/>
        </w:rPr>
        <w:tab/>
      </w:r>
      <w:r>
        <w:rPr>
          <w:rFonts w:cs="宋体"/>
          <w:lang w:eastAsia="zh-CN"/>
        </w:rPr>
        <w:t>使用基于申请的机制、CPAM和争议解决方案</w:t>
      </w:r>
      <w:bookmarkEnd w:id="10"/>
    </w:p>
    <w:p w14:paraId="5D1D16A6">
      <w:pPr>
        <w:overflowPunct w:val="0"/>
        <w:spacing w:before="120" w:beforeLines="50" w:line="300" w:lineRule="auto"/>
        <w:rPr>
          <w:rFonts w:cs="Times New Roman"/>
          <w:sz w:val="24"/>
          <w:szCs w:val="24"/>
          <w:lang w:eastAsia="zh-CN"/>
        </w:rPr>
      </w:pPr>
      <w:r>
        <w:rPr>
          <w:rFonts w:cs="宋体"/>
          <w:sz w:val="24"/>
          <w:lang w:eastAsia="zh-CN"/>
        </w:rPr>
        <w:t>与FDA既往实践一致，FDA预期继续根据所提供的信息尽可能地提供可靠和明确的反馈。FDA鼓励组合产品申请人通过基于申请的机制进行交流，在考虑CPAM</w:t>
      </w:r>
      <w:r>
        <w:rPr>
          <w:rFonts w:cs="宋体"/>
          <w:i/>
          <w:sz w:val="24"/>
          <w:lang w:eastAsia="zh-CN"/>
        </w:rPr>
        <w:t>之前</w:t>
      </w:r>
      <w:r>
        <w:rPr>
          <w:rFonts w:cs="宋体"/>
          <w:sz w:val="24"/>
          <w:lang w:eastAsia="zh-CN"/>
        </w:rPr>
        <w:t>为FDA提供评价技术数据或参与科学讨论的机会。</w:t>
      </w:r>
    </w:p>
    <w:p w14:paraId="3FFAD73D">
      <w:pPr>
        <w:overflowPunct w:val="0"/>
        <w:spacing w:before="120" w:beforeLines="50" w:line="300" w:lineRule="auto"/>
        <w:rPr>
          <w:rFonts w:cs="Times New Roman"/>
          <w:sz w:val="24"/>
          <w:szCs w:val="24"/>
          <w:lang w:eastAsia="zh-CN"/>
        </w:rPr>
      </w:pPr>
      <w:r>
        <w:rPr>
          <w:rFonts w:cs="宋体"/>
          <w:sz w:val="24"/>
          <w:u w:val="single"/>
          <w:lang w:eastAsia="zh-CN"/>
        </w:rPr>
        <w:t>适合基于申请的机制的问题</w:t>
      </w:r>
      <w:r>
        <w:rPr>
          <w:rFonts w:cs="宋体"/>
          <w:sz w:val="24"/>
          <w:lang w:eastAsia="zh-CN"/>
        </w:rPr>
        <w:t>。基于申请的机制通常适用于要求对科学问题、研究设计、测试方法或组合产品的申请准备考虑因素提供反馈，或阐明FDA已发布技术指南的议题（参见附录1和2中适合基于申请的机制的问题类型示例）。如果申请人对哪种基于申请的机制适用有疑问，他们应联系牵头中心POC（如已知），如果申请人之前尚未与FDA就组合产品进行交流，则应联系牵头中心PJO</w:t>
      </w:r>
      <w:r>
        <w:rPr>
          <w:rFonts w:cs="宋体"/>
          <w:sz w:val="24"/>
          <w:vertAlign w:val="superscript"/>
          <w:lang w:eastAsia="zh-CN"/>
        </w:rPr>
        <w:t>10</w:t>
      </w:r>
      <w:r>
        <w:rPr>
          <w:rFonts w:cs="宋体"/>
          <w:sz w:val="24"/>
          <w:lang w:eastAsia="zh-CN"/>
        </w:rPr>
        <w:t>。</w:t>
      </w:r>
    </w:p>
    <w:p w14:paraId="15201F72">
      <w:pPr>
        <w:overflowPunct w:val="0"/>
        <w:spacing w:before="120" w:beforeLines="50" w:line="300" w:lineRule="auto"/>
        <w:rPr>
          <w:rFonts w:cs="Times New Roman"/>
          <w:sz w:val="24"/>
          <w:szCs w:val="24"/>
          <w:lang w:eastAsia="zh-CN"/>
        </w:rPr>
      </w:pPr>
      <w:r>
        <w:rPr>
          <w:rFonts w:cs="宋体"/>
          <w:sz w:val="24"/>
          <w:u w:val="single"/>
          <w:lang w:eastAsia="zh-CN"/>
        </w:rPr>
        <w:t>适合CPAM的问题</w:t>
      </w:r>
      <w:r>
        <w:rPr>
          <w:rFonts w:cs="宋体"/>
          <w:sz w:val="24"/>
          <w:lang w:eastAsia="zh-CN"/>
        </w:rPr>
        <w:t>。如果之前在基于申请的机制下的反馈未提供足够的确定性，CPAM可能适合于寻求FDA对方法的同意。CPAM不应用于解决那些本来可以在牵头中心的争议解决方案或上诉程序下解决的争议（参见下文）。</w:t>
      </w:r>
    </w:p>
    <w:p w14:paraId="0C631B8E">
      <w:pPr>
        <w:overflowPunct w:val="0"/>
        <w:spacing w:before="120" w:beforeLines="50" w:line="300" w:lineRule="auto"/>
        <w:rPr>
          <w:rFonts w:cs="Times New Roman"/>
          <w:sz w:val="24"/>
          <w:szCs w:val="24"/>
          <w:lang w:eastAsia="zh-CN"/>
        </w:rPr>
      </w:pPr>
      <w:r>
        <w:rPr>
          <w:rFonts w:cs="宋体"/>
          <w:sz w:val="24"/>
          <w:lang w:eastAsia="zh-CN"/>
        </w:rPr>
        <w:t>由于CPAM的目标是就申请人的提案或其项目达成</w:t>
      </w:r>
      <w:r>
        <w:rPr>
          <w:rFonts w:cs="宋体"/>
          <w:i/>
          <w:sz w:val="24"/>
          <w:lang w:eastAsia="zh-CN"/>
        </w:rPr>
        <w:t>协议</w:t>
      </w:r>
      <w:r>
        <w:rPr>
          <w:rFonts w:cs="宋体"/>
          <w:sz w:val="24"/>
          <w:lang w:eastAsia="zh-CN"/>
        </w:rPr>
        <w:t>，与基于申请的机制提交相比，CPAM申请中可能需要更多信息和数据以提高达成协议的可能性。同样，申请人仅在他们认为已确定组合产品的适用范围和设计时才应提交CPAM请求，并且申请人应能就所作提案的优点提供足够稳健的信息，以确保所有相关学科和中心的有效审查（另见上文第IV.B.1节）。对于科学证据有限和/或科学思维不断发展的问题，CPAM不太可能</w:t>
      </w:r>
      <w:r>
        <w:rPr>
          <w:rFonts w:hint="eastAsia" w:cs="宋体"/>
          <w:sz w:val="24"/>
          <w:lang w:eastAsia="zh-CN"/>
        </w:rPr>
        <w:t>有效果</w:t>
      </w:r>
      <w:r>
        <w:rPr>
          <w:rFonts w:cs="宋体"/>
          <w:sz w:val="24"/>
          <w:lang w:eastAsia="zh-CN"/>
        </w:rPr>
        <w:t>（另见上文第IV.B.4节）。</w:t>
      </w:r>
    </w:p>
    <w:p w14:paraId="5124C078">
      <w:pPr>
        <w:overflowPunct w:val="0"/>
        <w:spacing w:before="120" w:beforeLines="50" w:line="300" w:lineRule="auto"/>
        <w:rPr>
          <w:rFonts w:cs="Times New Roman"/>
          <w:sz w:val="24"/>
          <w:szCs w:val="24"/>
          <w:lang w:eastAsia="zh-CN"/>
        </w:rPr>
      </w:pPr>
      <w:r>
        <w:rPr>
          <w:rFonts w:cs="宋体"/>
          <w:sz w:val="24"/>
          <w:u w:val="single"/>
          <w:lang w:eastAsia="zh-CN"/>
        </w:rPr>
        <w:t>适合通过牵头中心的争议解决方案或上诉程序进行争议解决方案/上诉的问题</w:t>
      </w:r>
      <w:r>
        <w:rPr>
          <w:rFonts w:cs="宋体"/>
          <w:sz w:val="24"/>
          <w:lang w:eastAsia="zh-CN"/>
        </w:rPr>
        <w:t>。使用牵头中心的争议解决方案/上诉程序适合于解决对作为FDA行动一部分的组成部分或组合产品问题的分歧或争议（例如，确定产品不能上市、完整答复行动、临床暂停、拒绝接收等）。</w:t>
      </w:r>
      <w:r>
        <w:rPr>
          <w:rFonts w:cs="宋体"/>
          <w:sz w:val="24"/>
          <w:vertAlign w:val="superscript"/>
          <w:lang w:eastAsia="zh-CN"/>
        </w:rPr>
        <w:t>26</w:t>
      </w:r>
      <w:r>
        <w:rPr>
          <w:rFonts w:cs="宋体"/>
          <w:sz w:val="24"/>
          <w:lang w:eastAsia="zh-CN"/>
        </w:rPr>
        <w:t>例如，如果组合产品的申请人收到一封与组成部分问题有关的完整答复（CR）信函，而它认为该问题已在申请中得到充分解决，则申请人可以按照适当程序对CR行动进行上诉。</w:t>
      </w:r>
    </w:p>
    <w:p w14:paraId="09F8AA0B">
      <w:pPr>
        <w:pStyle w:val="2"/>
        <w:overflowPunct w:val="0"/>
        <w:ind w:left="0" w:firstLine="0"/>
        <w:rPr>
          <w:lang w:eastAsia="zh-CN"/>
        </w:rPr>
      </w:pPr>
      <w:r>
        <w:rPr>
          <w:rFonts w:cs="宋体"/>
          <w:lang w:eastAsia="zh-CN"/>
        </w:rPr>
        <w:br w:type="page"/>
      </w:r>
      <w:bookmarkStart w:id="11" w:name="_Toc97888817"/>
      <w:r>
        <w:rPr>
          <w:rFonts w:cs="宋体"/>
          <w:lang w:eastAsia="zh-CN"/>
        </w:rPr>
        <w:t>附录1.</w:t>
      </w:r>
      <w:r>
        <w:rPr>
          <w:rFonts w:hint="eastAsia" w:cs="宋体"/>
          <w:lang w:eastAsia="zh-CN"/>
        </w:rPr>
        <w:t xml:space="preserve"> </w:t>
      </w:r>
      <w:r>
        <w:rPr>
          <w:rFonts w:cs="宋体"/>
          <w:lang w:eastAsia="zh-CN"/>
        </w:rPr>
        <w:t>器械主导型组合产品的基于申请的机制示例</w:t>
      </w:r>
      <w:bookmarkEnd w:id="11"/>
    </w:p>
    <w:p w14:paraId="23A0116F">
      <w:pPr>
        <w:overflowPunct w:val="0"/>
        <w:spacing w:before="120" w:beforeLines="50" w:line="300" w:lineRule="auto"/>
        <w:rPr>
          <w:rFonts w:cs="Times New Roman"/>
          <w:sz w:val="24"/>
          <w:szCs w:val="24"/>
          <w:lang w:eastAsia="zh-CN"/>
        </w:rPr>
      </w:pPr>
      <w:r>
        <w:rPr>
          <w:rFonts w:cs="宋体"/>
          <w:sz w:val="24"/>
          <w:lang w:eastAsia="zh-CN"/>
        </w:rPr>
        <w:t>下表提供了器械主导型组合产品的基于申请的机制示例。与FDA的所有交流均应通过组合产品牵头中心进行，无论所要求的反馈如何（例如，以下基于申请的机制应用于器械主导型组合产品交流，无论问题涉及器械、药物和/或生物制品组成部分，还是整个组合产品）。</w:t>
      </w:r>
    </w:p>
    <w:tbl>
      <w:tblPr>
        <w:tblStyle w:val="1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165"/>
        <w:gridCol w:w="4644"/>
        <w:gridCol w:w="2478"/>
      </w:tblGrid>
      <w:tr w14:paraId="2C87B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6" w:type="pct"/>
          </w:tcPr>
          <w:p w14:paraId="4EC993F5">
            <w:pPr>
              <w:overflowPunct w:val="0"/>
              <w:spacing w:before="36" w:beforeLines="15" w:line="276" w:lineRule="auto"/>
              <w:rPr>
                <w:rFonts w:cs="Times New Roman"/>
                <w:b/>
                <w:szCs w:val="24"/>
              </w:rPr>
            </w:pPr>
            <w:r>
              <w:rPr>
                <w:rFonts w:cs="宋体"/>
                <w:b/>
              </w:rPr>
              <w:t>申请类型</w:t>
            </w:r>
          </w:p>
        </w:tc>
        <w:tc>
          <w:tcPr>
            <w:tcW w:w="2500" w:type="pct"/>
          </w:tcPr>
          <w:p w14:paraId="263E0688">
            <w:pPr>
              <w:overflowPunct w:val="0"/>
              <w:spacing w:before="36" w:beforeLines="15" w:line="276" w:lineRule="auto"/>
              <w:rPr>
                <w:rFonts w:cs="Times New Roman"/>
                <w:b/>
                <w:szCs w:val="24"/>
              </w:rPr>
            </w:pPr>
            <w:r>
              <w:rPr>
                <w:rFonts w:cs="宋体"/>
                <w:b/>
              </w:rPr>
              <w:t>问题类型示例</w:t>
            </w:r>
          </w:p>
        </w:tc>
        <w:tc>
          <w:tcPr>
            <w:tcW w:w="1334" w:type="pct"/>
          </w:tcPr>
          <w:p w14:paraId="348D51CB">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31E89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6" w:type="pct"/>
            <w:vMerge w:val="restart"/>
          </w:tcPr>
          <w:p w14:paraId="6C793A8F">
            <w:pPr>
              <w:overflowPunct w:val="0"/>
              <w:spacing w:before="36" w:beforeLines="15" w:line="276" w:lineRule="auto"/>
              <w:rPr>
                <w:rFonts w:cs="Times New Roman"/>
                <w:szCs w:val="24"/>
                <w:lang w:eastAsia="zh-CN"/>
              </w:rPr>
            </w:pPr>
            <w:r>
              <w:rPr>
                <w:rFonts w:cs="宋体"/>
                <w:lang w:eastAsia="zh-CN"/>
              </w:rPr>
              <w:t>上市前批准申请（PMA）</w:t>
            </w:r>
          </w:p>
          <w:p w14:paraId="01C8725E">
            <w:pPr>
              <w:overflowPunct w:val="0"/>
              <w:spacing w:before="36" w:beforeLines="15" w:line="276" w:lineRule="auto"/>
              <w:rPr>
                <w:rFonts w:cs="Times New Roman"/>
                <w:szCs w:val="24"/>
                <w:lang w:eastAsia="zh-CN"/>
              </w:rPr>
            </w:pPr>
            <w:r>
              <w:rPr>
                <w:rFonts w:cs="宋体"/>
                <w:lang w:eastAsia="zh-CN"/>
              </w:rPr>
              <w:t>上市前通知（510(k)）</w:t>
            </w:r>
          </w:p>
          <w:p w14:paraId="01D841B7">
            <w:pPr>
              <w:overflowPunct w:val="0"/>
              <w:spacing w:before="36" w:beforeLines="15" w:line="276" w:lineRule="auto"/>
              <w:rPr>
                <w:rFonts w:cs="Times New Roman"/>
                <w:szCs w:val="24"/>
                <w:lang w:eastAsia="zh-CN"/>
              </w:rPr>
            </w:pPr>
            <w:r>
              <w:rPr>
                <w:rFonts w:cs="宋体"/>
                <w:lang w:eastAsia="zh-CN"/>
              </w:rPr>
              <w:t>创新产品分类及申请</w:t>
            </w:r>
          </w:p>
          <w:p w14:paraId="605DBA7C">
            <w:pPr>
              <w:overflowPunct w:val="0"/>
              <w:spacing w:before="36" w:beforeLines="15" w:line="276" w:lineRule="auto"/>
              <w:rPr>
                <w:rFonts w:cs="Times New Roman"/>
                <w:szCs w:val="24"/>
                <w:lang w:eastAsia="zh-CN"/>
              </w:rPr>
            </w:pPr>
            <w:r>
              <w:rPr>
                <w:rFonts w:cs="宋体"/>
                <w:lang w:eastAsia="zh-CN"/>
              </w:rPr>
              <w:t>人道主义器械豁免（HDE）</w:t>
            </w:r>
          </w:p>
          <w:p w14:paraId="06C80FF2">
            <w:pPr>
              <w:overflowPunct w:val="0"/>
              <w:spacing w:before="36" w:beforeLines="15" w:line="276" w:lineRule="auto"/>
              <w:rPr>
                <w:rFonts w:cs="Times New Roman"/>
                <w:szCs w:val="24"/>
                <w:lang w:eastAsia="zh-CN"/>
              </w:rPr>
            </w:pPr>
            <w:r>
              <w:rPr>
                <w:rFonts w:cs="宋体"/>
                <w:lang w:eastAsia="zh-CN"/>
              </w:rPr>
              <w:t>试验用器械豁免（IDE）申请</w:t>
            </w:r>
          </w:p>
        </w:tc>
        <w:tc>
          <w:tcPr>
            <w:tcW w:w="2500" w:type="pct"/>
          </w:tcPr>
          <w:p w14:paraId="44186E23">
            <w:pPr>
              <w:overflowPunct w:val="0"/>
              <w:spacing w:before="36" w:beforeLines="15" w:line="276" w:lineRule="auto"/>
              <w:rPr>
                <w:rFonts w:cs="Times New Roman"/>
                <w:szCs w:val="24"/>
                <w:lang w:eastAsia="zh-CN"/>
              </w:rPr>
            </w:pPr>
            <w:r>
              <w:rPr>
                <w:rFonts w:cs="宋体"/>
                <w:lang w:eastAsia="zh-CN"/>
              </w:rPr>
              <w:t>关于产品开发、申请准备或上市后问题的一般问题和反馈请求</w:t>
            </w:r>
          </w:p>
        </w:tc>
        <w:tc>
          <w:tcPr>
            <w:tcW w:w="1334" w:type="pct"/>
          </w:tcPr>
          <w:p w14:paraId="78460988">
            <w:pPr>
              <w:overflowPunct w:val="0"/>
              <w:spacing w:before="36" w:beforeLines="15" w:line="276" w:lineRule="auto"/>
              <w:rPr>
                <w:rFonts w:cs="Times New Roman"/>
                <w:szCs w:val="24"/>
                <w:lang w:eastAsia="zh-CN"/>
              </w:rPr>
            </w:pPr>
            <w:r>
              <w:rPr>
                <w:rFonts w:cs="宋体"/>
                <w:lang w:eastAsia="zh-CN"/>
              </w:rPr>
              <w:t>预申请 - 会议和书面反馈或仅书面反馈</w:t>
            </w:r>
            <w:r>
              <w:rPr>
                <w:rFonts w:cs="宋体"/>
                <w:vertAlign w:val="superscript"/>
                <w:lang w:eastAsia="zh-CN"/>
              </w:rPr>
              <w:t>27</w:t>
            </w:r>
          </w:p>
        </w:tc>
      </w:tr>
      <w:tr w14:paraId="2BF48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6" w:type="pct"/>
            <w:vMerge w:val="continue"/>
            <w:tcBorders>
              <w:top w:val="nil"/>
            </w:tcBorders>
          </w:tcPr>
          <w:p w14:paraId="431919C4">
            <w:pPr>
              <w:overflowPunct w:val="0"/>
              <w:spacing w:before="36" w:beforeLines="15" w:line="276" w:lineRule="auto"/>
              <w:rPr>
                <w:rFonts w:cs="Times New Roman"/>
                <w:szCs w:val="24"/>
                <w:lang w:eastAsia="zh-CN"/>
              </w:rPr>
            </w:pPr>
          </w:p>
        </w:tc>
        <w:tc>
          <w:tcPr>
            <w:tcW w:w="2500" w:type="pct"/>
          </w:tcPr>
          <w:p w14:paraId="34FE56A9">
            <w:pPr>
              <w:overflowPunct w:val="0"/>
              <w:spacing w:before="36" w:beforeLines="15" w:line="276" w:lineRule="auto"/>
              <w:rPr>
                <w:rFonts w:cs="Times New Roman"/>
                <w:szCs w:val="24"/>
                <w:lang w:eastAsia="zh-CN"/>
              </w:rPr>
            </w:pPr>
            <w:r>
              <w:rPr>
                <w:rFonts w:cs="宋体"/>
                <w:lang w:eastAsia="zh-CN"/>
              </w:rPr>
              <w:t>讨论用于解决在审查某些类型的器械申请过程中发现的具体缺陷的拟议方法，其中申请目前被搁置（例如，510(k)要求提供更多信息），或者存在与临床研究设计相关的问题</w:t>
            </w:r>
          </w:p>
        </w:tc>
        <w:tc>
          <w:tcPr>
            <w:tcW w:w="1334" w:type="pct"/>
          </w:tcPr>
          <w:p w14:paraId="1C4F5ECC">
            <w:pPr>
              <w:overflowPunct w:val="0"/>
              <w:spacing w:before="36" w:beforeLines="15" w:line="276" w:lineRule="auto"/>
              <w:rPr>
                <w:rFonts w:cs="Times New Roman"/>
                <w:szCs w:val="24"/>
                <w:lang w:eastAsia="zh-CN"/>
              </w:rPr>
            </w:pPr>
            <w:r>
              <w:rPr>
                <w:rFonts w:cs="宋体"/>
                <w:lang w:eastAsia="zh-CN"/>
              </w:rPr>
              <w:t>提交问题请求 - 会议或书面反馈</w:t>
            </w:r>
            <w:r>
              <w:rPr>
                <w:rFonts w:cs="宋体"/>
                <w:vertAlign w:val="superscript"/>
                <w:lang w:eastAsia="zh-CN"/>
              </w:rPr>
              <w:t>27</w:t>
            </w:r>
          </w:p>
        </w:tc>
      </w:tr>
      <w:tr w14:paraId="121AE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6" w:type="pct"/>
            <w:vMerge w:val="continue"/>
            <w:tcBorders>
              <w:top w:val="nil"/>
            </w:tcBorders>
          </w:tcPr>
          <w:p w14:paraId="5E766122">
            <w:pPr>
              <w:overflowPunct w:val="0"/>
              <w:spacing w:before="36" w:beforeLines="15" w:line="276" w:lineRule="auto"/>
              <w:rPr>
                <w:rFonts w:cs="Times New Roman"/>
                <w:szCs w:val="24"/>
                <w:lang w:eastAsia="zh-CN"/>
              </w:rPr>
            </w:pPr>
          </w:p>
        </w:tc>
        <w:tc>
          <w:tcPr>
            <w:tcW w:w="2500" w:type="pct"/>
          </w:tcPr>
          <w:p w14:paraId="7E79321C">
            <w:pPr>
              <w:overflowPunct w:val="0"/>
              <w:spacing w:before="36" w:beforeLines="15" w:line="276" w:lineRule="auto"/>
              <w:rPr>
                <w:rFonts w:cs="Times New Roman"/>
                <w:szCs w:val="24"/>
                <w:lang w:eastAsia="zh-CN"/>
              </w:rPr>
            </w:pPr>
            <w:r>
              <w:rPr>
                <w:rFonts w:cs="宋体"/>
                <w:lang w:eastAsia="zh-CN"/>
              </w:rPr>
              <w:t>根据《FD&amp;C法案》第515B节规定的合格标准，请求将器械主导型组合产品认定为突破性器械</w:t>
            </w:r>
          </w:p>
        </w:tc>
        <w:tc>
          <w:tcPr>
            <w:tcW w:w="1334" w:type="pct"/>
          </w:tcPr>
          <w:p w14:paraId="0A84576F">
            <w:pPr>
              <w:overflowPunct w:val="0"/>
              <w:spacing w:before="36" w:beforeLines="15" w:line="276" w:lineRule="auto"/>
              <w:rPr>
                <w:rFonts w:cs="Times New Roman"/>
                <w:szCs w:val="24"/>
                <w:lang w:eastAsia="zh-CN"/>
              </w:rPr>
            </w:pPr>
            <w:r>
              <w:rPr>
                <w:rFonts w:cs="宋体"/>
                <w:lang w:eastAsia="zh-CN"/>
              </w:rPr>
              <w:t>突破性器械Q-申请认定请求</w:t>
            </w:r>
            <w:r>
              <w:rPr>
                <w:rFonts w:cs="宋体"/>
                <w:vertAlign w:val="superscript"/>
                <w:lang w:eastAsia="zh-CN"/>
              </w:rPr>
              <w:t>28</w:t>
            </w:r>
          </w:p>
        </w:tc>
      </w:tr>
    </w:tbl>
    <w:p w14:paraId="2D6F8756">
      <w:pPr>
        <w:pStyle w:val="23"/>
        <w:overflowPunct w:val="0"/>
        <w:rPr>
          <w:lang w:eastAsia="zh-CN"/>
        </w:rPr>
      </w:pPr>
      <w:r>
        <w:rPr>
          <w:rFonts w:cs="宋体"/>
          <w:lang w:eastAsia="zh-CN"/>
        </w:rPr>
        <w:t>______________________</w:t>
      </w:r>
    </w:p>
    <w:p w14:paraId="2AA7C5FC">
      <w:pPr>
        <w:pStyle w:val="23"/>
        <w:overflowPunct w:val="0"/>
        <w:rPr>
          <w:i/>
          <w:sz w:val="18"/>
          <w:szCs w:val="18"/>
          <w:lang w:eastAsia="zh-CN"/>
        </w:rPr>
      </w:pPr>
      <w:r>
        <w:rPr>
          <w:rFonts w:cs="宋体"/>
          <w:sz w:val="18"/>
          <w:szCs w:val="18"/>
          <w:vertAlign w:val="superscript"/>
          <w:lang w:eastAsia="zh-CN"/>
        </w:rPr>
        <w:t xml:space="preserve">27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医疗器械申请的反馈和会议申请：Q-申请程序 - 面向行业和美国食品药品监督管理局工作人员的指南</w:t>
      </w:r>
      <w:r>
        <w:rPr>
          <w:rFonts w:cs="宋体"/>
          <w:sz w:val="18"/>
          <w:szCs w:val="18"/>
          <w:lang w:eastAsia="zh-CN"/>
        </w:rPr>
        <w:t>》。</w:t>
      </w:r>
    </w:p>
    <w:p w14:paraId="016322ED">
      <w:pPr>
        <w:pStyle w:val="23"/>
        <w:overflowPunct w:val="0"/>
        <w:rPr>
          <w:i/>
          <w:sz w:val="18"/>
          <w:szCs w:val="18"/>
          <w:lang w:eastAsia="zh-CN"/>
        </w:rPr>
      </w:pPr>
      <w:r>
        <w:rPr>
          <w:rFonts w:cs="宋体"/>
          <w:sz w:val="18"/>
          <w:szCs w:val="18"/>
          <w:vertAlign w:val="superscript"/>
          <w:lang w:eastAsia="zh-CN"/>
        </w:rPr>
        <w:t xml:space="preserve">28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突破性器械计划 - 面向行业和美国食品药品监督管理局工作人员的指南</w:t>
      </w:r>
      <w:r>
        <w:rPr>
          <w:rFonts w:cs="宋体"/>
          <w:sz w:val="18"/>
          <w:szCs w:val="18"/>
          <w:lang w:eastAsia="zh-CN"/>
        </w:rPr>
        <w:t>》。</w:t>
      </w:r>
    </w:p>
    <w:p w14:paraId="533F916C">
      <w:pPr>
        <w:pStyle w:val="2"/>
        <w:overflowPunct w:val="0"/>
        <w:ind w:left="0" w:firstLine="0"/>
        <w:rPr>
          <w:lang w:eastAsia="zh-CN"/>
        </w:rPr>
      </w:pPr>
      <w:r>
        <w:rPr>
          <w:rFonts w:cs="宋体"/>
          <w:lang w:eastAsia="zh-CN"/>
        </w:rPr>
        <w:br w:type="page"/>
      </w:r>
      <w:bookmarkStart w:id="12" w:name="_Toc97888818"/>
      <w:r>
        <w:rPr>
          <w:rFonts w:cs="宋体"/>
          <w:lang w:eastAsia="zh-CN"/>
        </w:rPr>
        <w:t>附录2.</w:t>
      </w:r>
      <w:r>
        <w:rPr>
          <w:rFonts w:hint="eastAsia" w:cs="宋体"/>
          <w:lang w:eastAsia="zh-CN"/>
        </w:rPr>
        <w:t xml:space="preserve"> </w:t>
      </w:r>
      <w:r>
        <w:rPr>
          <w:rFonts w:cs="宋体"/>
          <w:b w:val="0"/>
          <w:lang w:eastAsia="zh-CN"/>
        </w:rPr>
        <w:t>药物或生物制品主导型组合产品可用的基于申请的机制示例</w:t>
      </w:r>
      <w:bookmarkEnd w:id="12"/>
    </w:p>
    <w:p w14:paraId="48BAC655">
      <w:pPr>
        <w:overflowPunct w:val="0"/>
        <w:spacing w:before="120" w:beforeLines="50" w:line="300" w:lineRule="auto"/>
        <w:rPr>
          <w:rFonts w:cs="Times New Roman"/>
          <w:sz w:val="24"/>
          <w:szCs w:val="24"/>
          <w:lang w:eastAsia="zh-CN"/>
        </w:rPr>
      </w:pPr>
      <w:r>
        <w:rPr>
          <w:rFonts w:cs="宋体"/>
          <w:sz w:val="24"/>
          <w:lang w:eastAsia="zh-CN"/>
        </w:rPr>
        <w:t>下表提供了药物和生物制品主导型组合产品可用的基于申请的机制示例。所有与FDA的交流均应通过组合产品牵头中心基于申请的机制进行，无论所要求的反馈如何（例如，以下基于申请的机制应用于药物和生物制品主导型组合产品的交流，无论问题涉及器械、药物和/或生物制品组成部分，还是整个组合产品）。</w:t>
      </w:r>
    </w:p>
    <w:tbl>
      <w:tblPr>
        <w:tblStyle w:val="14"/>
        <w:tblW w:w="5000" w:type="pct"/>
        <w:tblInd w:w="0" w:type="dxa"/>
        <w:tblLayout w:type="autofit"/>
        <w:tblCellMar>
          <w:top w:w="0" w:type="dxa"/>
          <w:left w:w="108" w:type="dxa"/>
          <w:bottom w:w="0" w:type="dxa"/>
          <w:right w:w="108" w:type="dxa"/>
        </w:tblCellMar>
      </w:tblPr>
      <w:tblGrid>
        <w:gridCol w:w="2166"/>
        <w:gridCol w:w="4454"/>
        <w:gridCol w:w="2667"/>
      </w:tblGrid>
      <w:tr w14:paraId="4AD71774">
        <w:tblPrEx>
          <w:tblCellMar>
            <w:top w:w="0" w:type="dxa"/>
            <w:left w:w="108" w:type="dxa"/>
            <w:bottom w:w="0" w:type="dxa"/>
            <w:right w:w="108" w:type="dxa"/>
          </w:tblCellMar>
        </w:tblPrEx>
        <w:trPr>
          <w:trHeight w:val="20" w:hRule="atLeast"/>
        </w:trPr>
        <w:tc>
          <w:tcPr>
            <w:tcW w:w="1166" w:type="pct"/>
            <w:tcBorders>
              <w:top w:val="single" w:color="auto" w:sz="4" w:space="0"/>
              <w:left w:val="single" w:color="auto" w:sz="4" w:space="0"/>
              <w:bottom w:val="nil"/>
              <w:right w:val="nil"/>
            </w:tcBorders>
            <w:shd w:val="clear" w:color="auto" w:fill="FFFFFF"/>
          </w:tcPr>
          <w:p w14:paraId="405797FA">
            <w:pPr>
              <w:overflowPunct w:val="0"/>
              <w:autoSpaceDE/>
              <w:autoSpaceDN/>
              <w:spacing w:before="36" w:beforeLines="15" w:line="276" w:lineRule="auto"/>
              <w:rPr>
                <w:rFonts w:cs="Times New Roman"/>
                <w:szCs w:val="24"/>
                <w:lang w:eastAsia="zh-CN"/>
              </w:rPr>
            </w:pPr>
            <w:r>
              <w:rPr>
                <w:rFonts w:cs="宋体"/>
                <w:b/>
                <w:color w:val="000000"/>
              </w:rPr>
              <w:t>申请类型</w:t>
            </w:r>
          </w:p>
        </w:tc>
        <w:tc>
          <w:tcPr>
            <w:tcW w:w="2398" w:type="pct"/>
            <w:tcBorders>
              <w:top w:val="single" w:color="auto" w:sz="4" w:space="0"/>
              <w:left w:val="single" w:color="auto" w:sz="4" w:space="0"/>
              <w:bottom w:val="nil"/>
              <w:right w:val="nil"/>
            </w:tcBorders>
            <w:shd w:val="clear" w:color="auto" w:fill="FFFFFF"/>
          </w:tcPr>
          <w:p w14:paraId="7B6E1747">
            <w:pPr>
              <w:overflowPunct w:val="0"/>
              <w:autoSpaceDE/>
              <w:autoSpaceDN/>
              <w:spacing w:before="36" w:beforeLines="15" w:line="276" w:lineRule="auto"/>
              <w:rPr>
                <w:rFonts w:cs="Times New Roman"/>
                <w:szCs w:val="24"/>
                <w:lang w:eastAsia="zh-CN"/>
              </w:rPr>
            </w:pPr>
            <w:r>
              <w:rPr>
                <w:rFonts w:cs="宋体"/>
                <w:b/>
                <w:color w:val="000000"/>
              </w:rPr>
              <w:t>问题类型示例</w:t>
            </w:r>
          </w:p>
        </w:tc>
        <w:tc>
          <w:tcPr>
            <w:tcW w:w="1436" w:type="pct"/>
            <w:tcBorders>
              <w:top w:val="single" w:color="auto" w:sz="4" w:space="0"/>
              <w:left w:val="single" w:color="auto" w:sz="4" w:space="0"/>
              <w:bottom w:val="nil"/>
              <w:right w:val="single" w:color="auto" w:sz="4" w:space="0"/>
            </w:tcBorders>
            <w:shd w:val="clear" w:color="auto" w:fill="FFFFFF"/>
          </w:tcPr>
          <w:p w14:paraId="497FE73E">
            <w:pPr>
              <w:overflowPunct w:val="0"/>
              <w:autoSpaceDE/>
              <w:autoSpaceDN/>
              <w:spacing w:before="36" w:beforeLines="15" w:line="276" w:lineRule="auto"/>
              <w:rPr>
                <w:rFonts w:cs="Times New Roman"/>
                <w:szCs w:val="24"/>
                <w:lang w:eastAsia="zh-CN"/>
              </w:rPr>
            </w:pPr>
            <w:r>
              <w:rPr>
                <w:rFonts w:cs="宋体"/>
                <w:b/>
                <w:color w:val="000000"/>
              </w:rPr>
              <w:t>基于申请的机制</w:t>
            </w:r>
            <w:r>
              <w:rPr>
                <w:rFonts w:cs="宋体"/>
                <w:b/>
                <w:color w:val="000000"/>
                <w:vertAlign w:val="superscript"/>
              </w:rPr>
              <w:t>17</w:t>
            </w:r>
          </w:p>
        </w:tc>
      </w:tr>
      <w:tr w14:paraId="3B612902">
        <w:tblPrEx>
          <w:tblCellMar>
            <w:top w:w="0" w:type="dxa"/>
            <w:left w:w="108" w:type="dxa"/>
            <w:bottom w:w="0" w:type="dxa"/>
            <w:right w:w="108" w:type="dxa"/>
          </w:tblCellMar>
        </w:tblPrEx>
        <w:trPr>
          <w:trHeight w:val="20" w:hRule="atLeast"/>
        </w:trPr>
        <w:tc>
          <w:tcPr>
            <w:tcW w:w="1166" w:type="pct"/>
            <w:vMerge w:val="restart"/>
            <w:tcBorders>
              <w:top w:val="single" w:color="auto" w:sz="4" w:space="0"/>
              <w:left w:val="single" w:color="auto" w:sz="4" w:space="0"/>
              <w:bottom w:val="nil"/>
              <w:right w:val="nil"/>
            </w:tcBorders>
            <w:shd w:val="clear" w:color="auto" w:fill="FFFFFF"/>
          </w:tcPr>
          <w:p w14:paraId="38ABA67E">
            <w:pPr>
              <w:overflowPunct w:val="0"/>
              <w:autoSpaceDE/>
              <w:autoSpaceDN/>
              <w:spacing w:before="36" w:beforeLines="15" w:line="276" w:lineRule="auto"/>
              <w:rPr>
                <w:rFonts w:cs="Times New Roman"/>
                <w:szCs w:val="24"/>
                <w:lang w:eastAsia="zh-CN"/>
              </w:rPr>
            </w:pPr>
            <w:r>
              <w:rPr>
                <w:rFonts w:cs="宋体"/>
                <w:color w:val="000000"/>
                <w:lang w:eastAsia="zh-CN"/>
              </w:rPr>
              <w:t>PDUFA29产品的新药临床试验申请（IND）</w:t>
            </w:r>
          </w:p>
          <w:p w14:paraId="2C1EF216">
            <w:pPr>
              <w:overflowPunct w:val="0"/>
              <w:autoSpaceDE/>
              <w:autoSpaceDN/>
              <w:spacing w:before="36" w:beforeLines="15" w:line="276" w:lineRule="auto"/>
              <w:rPr>
                <w:rFonts w:cs="Times New Roman"/>
                <w:szCs w:val="24"/>
                <w:lang w:eastAsia="zh-CN"/>
              </w:rPr>
            </w:pPr>
            <w:r>
              <w:rPr>
                <w:rFonts w:cs="宋体"/>
                <w:color w:val="000000"/>
              </w:rPr>
              <w:t>新药申请（NDA）</w:t>
            </w:r>
          </w:p>
          <w:p w14:paraId="3A3A0651">
            <w:pPr>
              <w:overflowPunct w:val="0"/>
              <w:autoSpaceDE/>
              <w:autoSpaceDN/>
              <w:spacing w:before="36" w:beforeLines="15" w:line="276" w:lineRule="auto"/>
              <w:rPr>
                <w:rFonts w:cs="Times New Roman"/>
                <w:szCs w:val="24"/>
                <w:lang w:eastAsia="zh-CN"/>
              </w:rPr>
            </w:pPr>
            <w:r>
              <w:rPr>
                <w:rFonts w:cs="宋体"/>
                <w:color w:val="000000"/>
              </w:rPr>
              <w:t>351(a)生物制品许可申请（BLA）</w:t>
            </w:r>
            <w:r>
              <w:rPr>
                <w:rFonts w:cs="宋体"/>
                <w:color w:val="000000"/>
                <w:vertAlign w:val="superscript"/>
              </w:rPr>
              <w:t>30</w:t>
            </w:r>
          </w:p>
        </w:tc>
        <w:tc>
          <w:tcPr>
            <w:tcW w:w="2398" w:type="pct"/>
            <w:tcBorders>
              <w:top w:val="single" w:color="auto" w:sz="4" w:space="0"/>
              <w:left w:val="single" w:color="auto" w:sz="4" w:space="0"/>
              <w:bottom w:val="nil"/>
              <w:right w:val="nil"/>
            </w:tcBorders>
            <w:shd w:val="clear" w:color="auto" w:fill="FFFFFF"/>
          </w:tcPr>
          <w:p w14:paraId="5F112079">
            <w:pPr>
              <w:overflowPunct w:val="0"/>
              <w:autoSpaceDE/>
              <w:autoSpaceDN/>
              <w:spacing w:before="36" w:beforeLines="15" w:line="276" w:lineRule="auto"/>
              <w:rPr>
                <w:rFonts w:cs="Times New Roman"/>
                <w:szCs w:val="24"/>
                <w:lang w:eastAsia="zh-CN"/>
              </w:rPr>
            </w:pPr>
            <w:r>
              <w:rPr>
                <w:rFonts w:cs="宋体"/>
                <w:color w:val="000000"/>
                <w:lang w:eastAsia="zh-CN"/>
              </w:rPr>
              <w:t>为继续进行产品开发计划（否则会停滞）或为解决重要安全性问题而举行的会议</w:t>
            </w:r>
          </w:p>
        </w:tc>
        <w:tc>
          <w:tcPr>
            <w:tcW w:w="1436" w:type="pct"/>
            <w:tcBorders>
              <w:top w:val="single" w:color="auto" w:sz="4" w:space="0"/>
              <w:left w:val="single" w:color="auto" w:sz="4" w:space="0"/>
              <w:bottom w:val="nil"/>
              <w:right w:val="single" w:color="auto" w:sz="4" w:space="0"/>
            </w:tcBorders>
            <w:shd w:val="clear" w:color="auto" w:fill="FFFFFF"/>
          </w:tcPr>
          <w:p w14:paraId="2F17B400">
            <w:pPr>
              <w:overflowPunct w:val="0"/>
              <w:autoSpaceDE/>
              <w:autoSpaceDN/>
              <w:spacing w:before="36" w:beforeLines="15" w:line="276" w:lineRule="auto"/>
              <w:rPr>
                <w:rFonts w:cs="Times New Roman"/>
                <w:szCs w:val="24"/>
                <w:lang w:eastAsia="zh-CN"/>
              </w:rPr>
            </w:pPr>
            <w:r>
              <w:rPr>
                <w:rFonts w:cs="宋体"/>
                <w:color w:val="000000"/>
              </w:rPr>
              <w:t>A类会议</w:t>
            </w:r>
            <w:r>
              <w:rPr>
                <w:rFonts w:cs="宋体"/>
                <w:color w:val="000000"/>
                <w:vertAlign w:val="superscript"/>
              </w:rPr>
              <w:t>31</w:t>
            </w:r>
          </w:p>
        </w:tc>
      </w:tr>
      <w:tr w14:paraId="564F6BA5">
        <w:tblPrEx>
          <w:tblCellMar>
            <w:top w:w="0" w:type="dxa"/>
            <w:left w:w="108" w:type="dxa"/>
            <w:bottom w:w="0" w:type="dxa"/>
            <w:right w:w="108" w:type="dxa"/>
          </w:tblCellMar>
        </w:tblPrEx>
        <w:trPr>
          <w:trHeight w:val="20" w:hRule="atLeast"/>
        </w:trPr>
        <w:tc>
          <w:tcPr>
            <w:tcW w:w="1166" w:type="pct"/>
            <w:vMerge w:val="continue"/>
            <w:tcBorders>
              <w:top w:val="nil"/>
              <w:left w:val="single" w:color="auto" w:sz="4" w:space="0"/>
              <w:bottom w:val="nil"/>
              <w:right w:val="nil"/>
            </w:tcBorders>
            <w:shd w:val="clear" w:color="auto" w:fill="FFFFFF"/>
          </w:tcPr>
          <w:p w14:paraId="196F16BC">
            <w:pPr>
              <w:overflowPunct w:val="0"/>
              <w:autoSpaceDE/>
              <w:autoSpaceDN/>
              <w:spacing w:before="36" w:beforeLines="15" w:line="276" w:lineRule="auto"/>
              <w:rPr>
                <w:rFonts w:cs="Times New Roman"/>
                <w:szCs w:val="24"/>
                <w:lang w:eastAsia="zh-CN"/>
              </w:rPr>
            </w:pPr>
          </w:p>
        </w:tc>
        <w:tc>
          <w:tcPr>
            <w:tcW w:w="2398" w:type="pct"/>
            <w:tcBorders>
              <w:top w:val="single" w:color="auto" w:sz="4" w:space="0"/>
              <w:left w:val="single" w:color="auto" w:sz="4" w:space="0"/>
              <w:bottom w:val="nil"/>
              <w:right w:val="nil"/>
            </w:tcBorders>
            <w:shd w:val="clear" w:color="auto" w:fill="FFFFFF"/>
          </w:tcPr>
          <w:p w14:paraId="55C7D814">
            <w:pPr>
              <w:overflowPunct w:val="0"/>
              <w:autoSpaceDE/>
              <w:autoSpaceDN/>
              <w:spacing w:before="36" w:beforeLines="15" w:line="276" w:lineRule="auto"/>
              <w:rPr>
                <w:rFonts w:cs="Times New Roman"/>
                <w:szCs w:val="24"/>
                <w:lang w:eastAsia="zh-CN"/>
              </w:rPr>
            </w:pPr>
            <w:r>
              <w:rPr>
                <w:rFonts w:cs="宋体"/>
                <w:color w:val="000000"/>
                <w:lang w:eastAsia="zh-CN"/>
              </w:rPr>
              <w:t>IND、BLA、NDA预申请会议，用于讨论拟议的上市或试验申请的内容和格式</w:t>
            </w:r>
          </w:p>
        </w:tc>
        <w:tc>
          <w:tcPr>
            <w:tcW w:w="1436" w:type="pct"/>
            <w:tcBorders>
              <w:top w:val="single" w:color="auto" w:sz="4" w:space="0"/>
              <w:left w:val="single" w:color="auto" w:sz="4" w:space="0"/>
              <w:bottom w:val="nil"/>
              <w:right w:val="single" w:color="auto" w:sz="4" w:space="0"/>
            </w:tcBorders>
            <w:shd w:val="clear" w:color="auto" w:fill="FFFFFF"/>
          </w:tcPr>
          <w:p w14:paraId="6EB9506E">
            <w:pPr>
              <w:overflowPunct w:val="0"/>
              <w:autoSpaceDE/>
              <w:autoSpaceDN/>
              <w:spacing w:before="36" w:beforeLines="15" w:line="276" w:lineRule="auto"/>
              <w:rPr>
                <w:rFonts w:cs="Times New Roman"/>
                <w:szCs w:val="24"/>
                <w:lang w:eastAsia="zh-CN"/>
              </w:rPr>
            </w:pPr>
            <w:r>
              <w:rPr>
                <w:rFonts w:cs="宋体"/>
                <w:color w:val="000000"/>
              </w:rPr>
              <w:t>B类会议</w:t>
            </w:r>
            <w:r>
              <w:rPr>
                <w:rFonts w:cs="宋体"/>
                <w:color w:val="000000"/>
                <w:vertAlign w:val="superscript"/>
              </w:rPr>
              <w:t>31</w:t>
            </w:r>
          </w:p>
        </w:tc>
      </w:tr>
      <w:tr w14:paraId="6989D50B">
        <w:tblPrEx>
          <w:tblCellMar>
            <w:top w:w="0" w:type="dxa"/>
            <w:left w:w="108" w:type="dxa"/>
            <w:bottom w:w="0" w:type="dxa"/>
            <w:right w:w="108" w:type="dxa"/>
          </w:tblCellMar>
        </w:tblPrEx>
        <w:trPr>
          <w:trHeight w:val="20" w:hRule="atLeast"/>
        </w:trPr>
        <w:tc>
          <w:tcPr>
            <w:tcW w:w="1166" w:type="pct"/>
            <w:vMerge w:val="continue"/>
            <w:tcBorders>
              <w:top w:val="nil"/>
              <w:left w:val="single" w:color="auto" w:sz="4" w:space="0"/>
              <w:bottom w:val="nil"/>
              <w:right w:val="nil"/>
            </w:tcBorders>
            <w:shd w:val="clear" w:color="auto" w:fill="FFFFFF"/>
          </w:tcPr>
          <w:p w14:paraId="3FE17122">
            <w:pPr>
              <w:overflowPunct w:val="0"/>
              <w:autoSpaceDE/>
              <w:autoSpaceDN/>
              <w:spacing w:before="36" w:beforeLines="15" w:line="276" w:lineRule="auto"/>
              <w:rPr>
                <w:rFonts w:cs="Times New Roman"/>
                <w:szCs w:val="24"/>
                <w:lang w:eastAsia="zh-CN"/>
              </w:rPr>
            </w:pPr>
          </w:p>
        </w:tc>
        <w:tc>
          <w:tcPr>
            <w:tcW w:w="2398" w:type="pct"/>
            <w:tcBorders>
              <w:top w:val="single" w:color="auto" w:sz="4" w:space="0"/>
              <w:left w:val="single" w:color="auto" w:sz="4" w:space="0"/>
              <w:bottom w:val="nil"/>
              <w:right w:val="nil"/>
            </w:tcBorders>
            <w:shd w:val="clear" w:color="auto" w:fill="FFFFFF"/>
          </w:tcPr>
          <w:p w14:paraId="46BDF72C">
            <w:pPr>
              <w:overflowPunct w:val="0"/>
              <w:autoSpaceDE/>
              <w:autoSpaceDN/>
              <w:spacing w:before="36" w:beforeLines="15" w:line="276" w:lineRule="auto"/>
              <w:rPr>
                <w:rFonts w:cs="Times New Roman"/>
                <w:szCs w:val="24"/>
                <w:lang w:eastAsia="zh-CN"/>
              </w:rPr>
            </w:pPr>
            <w:r>
              <w:rPr>
                <w:rFonts w:cs="宋体"/>
                <w:color w:val="000000"/>
                <w:lang w:eastAsia="zh-CN"/>
              </w:rPr>
              <w:t>关于产品开发或上市后问题或使用生物标志物作为新的替代终点的一般问题和反馈请求</w:t>
            </w:r>
          </w:p>
        </w:tc>
        <w:tc>
          <w:tcPr>
            <w:tcW w:w="1436" w:type="pct"/>
            <w:tcBorders>
              <w:top w:val="single" w:color="auto" w:sz="4" w:space="0"/>
              <w:left w:val="single" w:color="auto" w:sz="4" w:space="0"/>
              <w:bottom w:val="nil"/>
              <w:right w:val="single" w:color="auto" w:sz="4" w:space="0"/>
            </w:tcBorders>
            <w:shd w:val="clear" w:color="auto" w:fill="FFFFFF"/>
          </w:tcPr>
          <w:p w14:paraId="00C03A51">
            <w:pPr>
              <w:overflowPunct w:val="0"/>
              <w:autoSpaceDE/>
              <w:autoSpaceDN/>
              <w:spacing w:before="36" w:beforeLines="15" w:line="276" w:lineRule="auto"/>
              <w:rPr>
                <w:rFonts w:cs="Times New Roman"/>
                <w:szCs w:val="24"/>
                <w:lang w:eastAsia="zh-CN"/>
              </w:rPr>
            </w:pPr>
            <w:r>
              <w:rPr>
                <w:rFonts w:cs="宋体"/>
                <w:color w:val="000000"/>
              </w:rPr>
              <w:t>C类会议</w:t>
            </w:r>
            <w:r>
              <w:rPr>
                <w:rFonts w:cs="宋体"/>
                <w:color w:val="000000"/>
                <w:vertAlign w:val="superscript"/>
              </w:rPr>
              <w:t>31</w:t>
            </w:r>
          </w:p>
        </w:tc>
      </w:tr>
      <w:tr w14:paraId="0A96BCC7">
        <w:tblPrEx>
          <w:tblCellMar>
            <w:top w:w="0" w:type="dxa"/>
            <w:left w:w="108" w:type="dxa"/>
            <w:bottom w:w="0" w:type="dxa"/>
            <w:right w:w="108" w:type="dxa"/>
          </w:tblCellMar>
        </w:tblPrEx>
        <w:trPr>
          <w:trHeight w:val="20" w:hRule="atLeast"/>
        </w:trPr>
        <w:tc>
          <w:tcPr>
            <w:tcW w:w="1166" w:type="pct"/>
            <w:vMerge w:val="continue"/>
            <w:tcBorders>
              <w:top w:val="nil"/>
              <w:left w:val="single" w:color="auto" w:sz="4" w:space="0"/>
              <w:bottom w:val="nil"/>
              <w:right w:val="nil"/>
            </w:tcBorders>
            <w:shd w:val="clear" w:color="auto" w:fill="FFFFFF"/>
          </w:tcPr>
          <w:p w14:paraId="67BEF9DC">
            <w:pPr>
              <w:overflowPunct w:val="0"/>
              <w:autoSpaceDE/>
              <w:autoSpaceDN/>
              <w:spacing w:before="36" w:beforeLines="15" w:line="276" w:lineRule="auto"/>
              <w:rPr>
                <w:rFonts w:cs="Times New Roman"/>
                <w:szCs w:val="24"/>
                <w:lang w:eastAsia="zh-CN"/>
              </w:rPr>
            </w:pPr>
          </w:p>
        </w:tc>
        <w:tc>
          <w:tcPr>
            <w:tcW w:w="2398" w:type="pct"/>
            <w:tcBorders>
              <w:top w:val="single" w:color="auto" w:sz="4" w:space="0"/>
              <w:left w:val="single" w:color="auto" w:sz="4" w:space="0"/>
              <w:bottom w:val="nil"/>
              <w:right w:val="nil"/>
            </w:tcBorders>
            <w:shd w:val="clear" w:color="auto" w:fill="FFFFFF"/>
          </w:tcPr>
          <w:p w14:paraId="248463AF">
            <w:pPr>
              <w:overflowPunct w:val="0"/>
              <w:autoSpaceDE/>
              <w:autoSpaceDN/>
              <w:spacing w:before="36" w:beforeLines="15" w:line="276" w:lineRule="auto"/>
              <w:rPr>
                <w:rFonts w:cs="Times New Roman"/>
                <w:szCs w:val="24"/>
                <w:lang w:eastAsia="zh-CN"/>
              </w:rPr>
            </w:pPr>
            <w:r>
              <w:rPr>
                <w:rFonts w:cs="宋体"/>
                <w:color w:val="000000"/>
                <w:lang w:eastAsia="zh-CN"/>
              </w:rPr>
              <w:t>某些临床试验、临床研究或动物研究的设计和规模</w:t>
            </w:r>
          </w:p>
        </w:tc>
        <w:tc>
          <w:tcPr>
            <w:tcW w:w="1436" w:type="pct"/>
            <w:tcBorders>
              <w:top w:val="single" w:color="auto" w:sz="4" w:space="0"/>
              <w:left w:val="single" w:color="auto" w:sz="4" w:space="0"/>
              <w:bottom w:val="nil"/>
              <w:right w:val="single" w:color="auto" w:sz="4" w:space="0"/>
            </w:tcBorders>
            <w:shd w:val="clear" w:color="auto" w:fill="FFFFFF"/>
          </w:tcPr>
          <w:p w14:paraId="05F10699">
            <w:pPr>
              <w:overflowPunct w:val="0"/>
              <w:autoSpaceDE/>
              <w:autoSpaceDN/>
              <w:spacing w:before="36" w:beforeLines="15" w:line="276" w:lineRule="auto"/>
              <w:rPr>
                <w:rFonts w:cs="Times New Roman"/>
                <w:szCs w:val="24"/>
                <w:lang w:eastAsia="zh-CN"/>
              </w:rPr>
            </w:pPr>
            <w:r>
              <w:rPr>
                <w:rFonts w:cs="宋体"/>
                <w:color w:val="000000"/>
              </w:rPr>
              <w:t>特殊方案评估</w:t>
            </w:r>
            <w:r>
              <w:rPr>
                <w:rFonts w:cs="宋体"/>
                <w:color w:val="000000"/>
                <w:vertAlign w:val="superscript"/>
              </w:rPr>
              <w:t>32</w:t>
            </w:r>
          </w:p>
        </w:tc>
      </w:tr>
      <w:tr w14:paraId="72D51CE8">
        <w:tblPrEx>
          <w:tblCellMar>
            <w:top w:w="0" w:type="dxa"/>
            <w:left w:w="108" w:type="dxa"/>
            <w:bottom w:w="0" w:type="dxa"/>
            <w:right w:w="108" w:type="dxa"/>
          </w:tblCellMar>
        </w:tblPrEx>
        <w:trPr>
          <w:trHeight w:val="20" w:hRule="atLeast"/>
        </w:trPr>
        <w:tc>
          <w:tcPr>
            <w:tcW w:w="1166" w:type="pct"/>
            <w:vMerge w:val="continue"/>
            <w:tcBorders>
              <w:top w:val="nil"/>
              <w:left w:val="single" w:color="auto" w:sz="4" w:space="0"/>
              <w:bottom w:val="nil"/>
              <w:right w:val="nil"/>
            </w:tcBorders>
            <w:shd w:val="clear" w:color="auto" w:fill="FFFFFF"/>
          </w:tcPr>
          <w:p w14:paraId="53D4E3AD">
            <w:pPr>
              <w:overflowPunct w:val="0"/>
              <w:autoSpaceDE/>
              <w:autoSpaceDN/>
              <w:spacing w:before="36" w:beforeLines="15" w:line="276" w:lineRule="auto"/>
              <w:rPr>
                <w:rFonts w:cs="Times New Roman"/>
                <w:szCs w:val="24"/>
                <w:lang w:eastAsia="zh-CN"/>
              </w:rPr>
            </w:pPr>
          </w:p>
        </w:tc>
        <w:tc>
          <w:tcPr>
            <w:tcW w:w="2398" w:type="pct"/>
            <w:tcBorders>
              <w:top w:val="single" w:color="auto" w:sz="4" w:space="0"/>
              <w:left w:val="single" w:color="auto" w:sz="4" w:space="0"/>
              <w:bottom w:val="nil"/>
              <w:right w:val="nil"/>
            </w:tcBorders>
            <w:shd w:val="clear" w:color="auto" w:fill="FFFFFF"/>
          </w:tcPr>
          <w:p w14:paraId="292F4555">
            <w:pPr>
              <w:overflowPunct w:val="0"/>
              <w:autoSpaceDE/>
              <w:autoSpaceDN/>
              <w:spacing w:before="36" w:beforeLines="15" w:line="276" w:lineRule="auto"/>
              <w:rPr>
                <w:rFonts w:cs="Times New Roman"/>
                <w:szCs w:val="24"/>
                <w:lang w:eastAsia="zh-CN"/>
              </w:rPr>
            </w:pPr>
            <w:r>
              <w:rPr>
                <w:rFonts w:cs="宋体"/>
                <w:color w:val="000000"/>
                <w:lang w:eastAsia="zh-CN"/>
              </w:rPr>
              <w:t>快速通道资格认定、突破性疗法认定或优先审查资格认定</w:t>
            </w:r>
          </w:p>
        </w:tc>
        <w:tc>
          <w:tcPr>
            <w:tcW w:w="1436" w:type="pct"/>
            <w:tcBorders>
              <w:top w:val="single" w:color="auto" w:sz="4" w:space="0"/>
              <w:left w:val="single" w:color="auto" w:sz="4" w:space="0"/>
              <w:bottom w:val="nil"/>
              <w:right w:val="single" w:color="auto" w:sz="4" w:space="0"/>
            </w:tcBorders>
            <w:shd w:val="clear" w:color="auto" w:fill="FFFFFF"/>
          </w:tcPr>
          <w:p w14:paraId="15838D6C">
            <w:pPr>
              <w:overflowPunct w:val="0"/>
              <w:autoSpaceDE/>
              <w:autoSpaceDN/>
              <w:spacing w:before="36" w:beforeLines="15" w:line="276" w:lineRule="auto"/>
              <w:rPr>
                <w:rFonts w:cs="Times New Roman"/>
                <w:szCs w:val="24"/>
                <w:lang w:eastAsia="zh-CN"/>
              </w:rPr>
            </w:pPr>
            <w:r>
              <w:rPr>
                <w:rFonts w:cs="宋体"/>
                <w:color w:val="000000"/>
              </w:rPr>
              <w:t>指定申请</w:t>
            </w:r>
            <w:r>
              <w:rPr>
                <w:rFonts w:cs="宋体"/>
                <w:color w:val="000000"/>
                <w:vertAlign w:val="superscript"/>
              </w:rPr>
              <w:t>33</w:t>
            </w:r>
          </w:p>
        </w:tc>
      </w:tr>
      <w:tr w14:paraId="46D351EA">
        <w:tblPrEx>
          <w:tblCellMar>
            <w:top w:w="0" w:type="dxa"/>
            <w:left w:w="108" w:type="dxa"/>
            <w:bottom w:w="0" w:type="dxa"/>
            <w:right w:w="108" w:type="dxa"/>
          </w:tblCellMar>
        </w:tblPrEx>
        <w:trPr>
          <w:trHeight w:val="20" w:hRule="atLeast"/>
        </w:trPr>
        <w:tc>
          <w:tcPr>
            <w:tcW w:w="1166" w:type="pct"/>
            <w:vMerge w:val="continue"/>
            <w:tcBorders>
              <w:top w:val="nil"/>
              <w:left w:val="single" w:color="auto" w:sz="4" w:space="0"/>
              <w:bottom w:val="nil"/>
              <w:right w:val="nil"/>
            </w:tcBorders>
            <w:shd w:val="clear" w:color="auto" w:fill="FFFFFF"/>
          </w:tcPr>
          <w:p w14:paraId="74C2E4B8">
            <w:pPr>
              <w:overflowPunct w:val="0"/>
              <w:autoSpaceDE/>
              <w:autoSpaceDN/>
              <w:spacing w:before="36" w:beforeLines="15" w:line="276" w:lineRule="auto"/>
              <w:rPr>
                <w:rFonts w:cs="Times New Roman"/>
                <w:szCs w:val="24"/>
                <w:lang w:eastAsia="zh-CN"/>
              </w:rPr>
            </w:pPr>
          </w:p>
        </w:tc>
        <w:tc>
          <w:tcPr>
            <w:tcW w:w="2398" w:type="pct"/>
            <w:tcBorders>
              <w:top w:val="single" w:color="auto" w:sz="4" w:space="0"/>
              <w:left w:val="single" w:color="auto" w:sz="4" w:space="0"/>
              <w:bottom w:val="nil"/>
              <w:right w:val="nil"/>
            </w:tcBorders>
            <w:shd w:val="clear" w:color="auto" w:fill="FFFFFF"/>
          </w:tcPr>
          <w:p w14:paraId="73CD4B2B">
            <w:pPr>
              <w:overflowPunct w:val="0"/>
              <w:autoSpaceDE/>
              <w:autoSpaceDN/>
              <w:spacing w:before="36" w:beforeLines="15" w:line="276" w:lineRule="auto"/>
              <w:rPr>
                <w:rFonts w:cs="Times New Roman"/>
                <w:szCs w:val="24"/>
                <w:lang w:eastAsia="zh-CN"/>
              </w:rPr>
            </w:pPr>
            <w:r>
              <w:rPr>
                <w:rFonts w:cs="宋体"/>
                <w:i/>
                <w:color w:val="000000"/>
                <w:lang w:eastAsia="zh-CN"/>
              </w:rPr>
              <w:t>[CBER申请]</w:t>
            </w:r>
            <w:r>
              <w:rPr>
                <w:rFonts w:cs="宋体"/>
                <w:color w:val="000000"/>
                <w:lang w:eastAsia="zh-CN"/>
              </w:rPr>
              <w:t>指定为再生医学高级疗法（RMAT）</w:t>
            </w:r>
          </w:p>
        </w:tc>
        <w:tc>
          <w:tcPr>
            <w:tcW w:w="1436" w:type="pct"/>
            <w:tcBorders>
              <w:top w:val="single" w:color="auto" w:sz="4" w:space="0"/>
              <w:left w:val="single" w:color="auto" w:sz="4" w:space="0"/>
              <w:bottom w:val="nil"/>
              <w:right w:val="single" w:color="auto" w:sz="4" w:space="0"/>
            </w:tcBorders>
            <w:shd w:val="clear" w:color="auto" w:fill="FFFFFF"/>
          </w:tcPr>
          <w:p w14:paraId="25C9B938">
            <w:pPr>
              <w:overflowPunct w:val="0"/>
              <w:autoSpaceDE/>
              <w:autoSpaceDN/>
              <w:spacing w:before="36" w:beforeLines="15" w:line="276" w:lineRule="auto"/>
              <w:rPr>
                <w:rFonts w:cs="Times New Roman"/>
                <w:szCs w:val="24"/>
                <w:lang w:eastAsia="zh-CN"/>
              </w:rPr>
            </w:pPr>
            <w:r>
              <w:rPr>
                <w:rFonts w:cs="宋体"/>
                <w:color w:val="000000"/>
              </w:rPr>
              <w:t>RMAT指定</w:t>
            </w:r>
            <w:r>
              <w:rPr>
                <w:rFonts w:cs="宋体"/>
                <w:color w:val="000000"/>
                <w:vertAlign w:val="superscript"/>
              </w:rPr>
              <w:t>34</w:t>
            </w:r>
          </w:p>
        </w:tc>
      </w:tr>
      <w:tr w14:paraId="6CB7B93C">
        <w:tblPrEx>
          <w:tblCellMar>
            <w:top w:w="0" w:type="dxa"/>
            <w:left w:w="108" w:type="dxa"/>
            <w:bottom w:w="0" w:type="dxa"/>
            <w:right w:w="108" w:type="dxa"/>
          </w:tblCellMar>
        </w:tblPrEx>
        <w:trPr>
          <w:trHeight w:val="20" w:hRule="atLeast"/>
        </w:trPr>
        <w:tc>
          <w:tcPr>
            <w:tcW w:w="1166" w:type="pct"/>
            <w:tcBorders>
              <w:top w:val="single" w:color="auto" w:sz="4" w:space="0"/>
              <w:left w:val="single" w:color="auto" w:sz="4" w:space="0"/>
              <w:bottom w:val="single" w:color="auto" w:sz="4" w:space="0"/>
              <w:right w:val="nil"/>
            </w:tcBorders>
            <w:shd w:val="clear" w:color="auto" w:fill="FFFFFF"/>
          </w:tcPr>
          <w:p w14:paraId="33FA5D2B">
            <w:pPr>
              <w:overflowPunct w:val="0"/>
              <w:autoSpaceDE/>
              <w:autoSpaceDN/>
              <w:spacing w:before="36" w:beforeLines="15" w:line="276" w:lineRule="auto"/>
              <w:rPr>
                <w:rFonts w:cs="Times New Roman"/>
                <w:szCs w:val="24"/>
                <w:lang w:eastAsia="zh-CN"/>
              </w:rPr>
            </w:pPr>
            <w:r>
              <w:rPr>
                <w:rFonts w:cs="宋体"/>
                <w:color w:val="000000"/>
              </w:rPr>
              <w:t>BsUFA</w:t>
            </w:r>
            <w:r>
              <w:rPr>
                <w:rFonts w:cs="宋体"/>
                <w:color w:val="000000"/>
                <w:vertAlign w:val="superscript"/>
              </w:rPr>
              <w:t>35</w:t>
            </w:r>
            <w:r>
              <w:rPr>
                <w:rFonts w:cs="宋体"/>
                <w:color w:val="000000"/>
              </w:rPr>
              <w:t>产品的IND</w:t>
            </w:r>
          </w:p>
        </w:tc>
        <w:tc>
          <w:tcPr>
            <w:tcW w:w="2398" w:type="pct"/>
            <w:tcBorders>
              <w:top w:val="single" w:color="auto" w:sz="4" w:space="0"/>
              <w:left w:val="single" w:color="auto" w:sz="4" w:space="0"/>
              <w:bottom w:val="single" w:color="auto" w:sz="4" w:space="0"/>
              <w:right w:val="nil"/>
            </w:tcBorders>
            <w:shd w:val="clear" w:color="auto" w:fill="FFFFFF"/>
          </w:tcPr>
          <w:p w14:paraId="26D50853">
            <w:pPr>
              <w:overflowPunct w:val="0"/>
              <w:autoSpaceDE/>
              <w:autoSpaceDN/>
              <w:spacing w:before="36" w:beforeLines="15" w:line="276" w:lineRule="auto"/>
              <w:rPr>
                <w:rFonts w:cs="Times New Roman"/>
                <w:szCs w:val="24"/>
                <w:lang w:eastAsia="zh-CN"/>
              </w:rPr>
            </w:pPr>
            <w:r>
              <w:rPr>
                <w:rFonts w:cs="宋体"/>
                <w:color w:val="000000"/>
                <w:lang w:eastAsia="zh-CN"/>
              </w:rPr>
              <w:t>初步评估仅限于关于根据《PHS法案》第351(k)节获得许可的可行性的一般讨论</w:t>
            </w:r>
          </w:p>
        </w:tc>
        <w:tc>
          <w:tcPr>
            <w:tcW w:w="1436" w:type="pct"/>
            <w:tcBorders>
              <w:top w:val="single" w:color="auto" w:sz="4" w:space="0"/>
              <w:left w:val="single" w:color="auto" w:sz="4" w:space="0"/>
              <w:bottom w:val="single" w:color="auto" w:sz="4" w:space="0"/>
              <w:right w:val="single" w:color="auto" w:sz="4" w:space="0"/>
            </w:tcBorders>
            <w:shd w:val="clear" w:color="auto" w:fill="FFFFFF"/>
          </w:tcPr>
          <w:p w14:paraId="55AD197D">
            <w:pPr>
              <w:overflowPunct w:val="0"/>
              <w:autoSpaceDE/>
              <w:autoSpaceDN/>
              <w:spacing w:before="36" w:beforeLines="15" w:line="276" w:lineRule="auto"/>
              <w:rPr>
                <w:rFonts w:cs="Times New Roman"/>
                <w:szCs w:val="24"/>
                <w:lang w:eastAsia="zh-CN"/>
              </w:rPr>
            </w:pPr>
            <w:r>
              <w:rPr>
                <w:rFonts w:cs="宋体"/>
                <w:color w:val="000000"/>
              </w:rPr>
              <w:t>生物仿制药初步咨询</w:t>
            </w:r>
            <w:r>
              <w:rPr>
                <w:rFonts w:cs="宋体"/>
                <w:color w:val="000000"/>
                <w:vertAlign w:val="superscript"/>
              </w:rPr>
              <w:t>37</w:t>
            </w:r>
          </w:p>
        </w:tc>
      </w:tr>
    </w:tbl>
    <w:p w14:paraId="5F4A110E">
      <w:pPr>
        <w:pStyle w:val="23"/>
        <w:overflowPunct w:val="0"/>
        <w:rPr>
          <w:lang w:eastAsia="zh-CN"/>
        </w:rPr>
      </w:pPr>
      <w:r>
        <w:rPr>
          <w:rFonts w:cs="宋体"/>
        </w:rPr>
        <w:t>______________________</w:t>
      </w:r>
    </w:p>
    <w:p w14:paraId="377D3368">
      <w:pPr>
        <w:pStyle w:val="23"/>
        <w:overflowPunct w:val="0"/>
        <w:rPr>
          <w:sz w:val="18"/>
          <w:szCs w:val="18"/>
          <w:lang w:eastAsia="zh-CN"/>
        </w:rPr>
      </w:pPr>
      <w:r>
        <w:rPr>
          <w:rFonts w:cs="宋体"/>
          <w:sz w:val="18"/>
          <w:szCs w:val="18"/>
          <w:vertAlign w:val="superscript"/>
          <w:lang w:eastAsia="zh-CN"/>
        </w:rPr>
        <w:t xml:space="preserve">29 </w:t>
      </w:r>
      <w:r>
        <w:rPr>
          <w:rFonts w:cs="宋体"/>
          <w:sz w:val="18"/>
          <w:szCs w:val="18"/>
          <w:lang w:eastAsia="zh-CN"/>
        </w:rPr>
        <w:tab/>
      </w:r>
      <w:r>
        <w:rPr>
          <w:rFonts w:cs="宋体"/>
          <w:sz w:val="18"/>
          <w:szCs w:val="18"/>
          <w:lang w:eastAsia="zh-CN"/>
        </w:rPr>
        <w:t>《处方药用户费用法案》（PDUFA）</w:t>
      </w:r>
    </w:p>
    <w:p w14:paraId="5929F725">
      <w:pPr>
        <w:pStyle w:val="23"/>
        <w:overflowPunct w:val="0"/>
        <w:rPr>
          <w:sz w:val="18"/>
          <w:szCs w:val="18"/>
          <w:lang w:eastAsia="zh-CN"/>
        </w:rPr>
      </w:pPr>
      <w:r>
        <w:rPr>
          <w:rFonts w:cs="宋体"/>
          <w:sz w:val="18"/>
          <w:szCs w:val="18"/>
          <w:vertAlign w:val="superscript"/>
          <w:lang w:eastAsia="zh-CN"/>
        </w:rPr>
        <w:t xml:space="preserve">30 </w:t>
      </w:r>
      <w:r>
        <w:rPr>
          <w:rFonts w:cs="宋体"/>
          <w:sz w:val="18"/>
          <w:szCs w:val="18"/>
          <w:lang w:eastAsia="zh-CN"/>
        </w:rPr>
        <w:tab/>
      </w:r>
      <w:r>
        <w:rPr>
          <w:rFonts w:cs="宋体"/>
          <w:sz w:val="18"/>
          <w:szCs w:val="18"/>
          <w:lang w:eastAsia="zh-CN"/>
        </w:rPr>
        <w:t>“351(a) BLA”是根据《公共卫生服务（PHS）法案》第351(a)节提交的申报生物制品的许可申请，也称为“独立BLA”。</w:t>
      </w:r>
    </w:p>
    <w:p w14:paraId="39FB2287">
      <w:pPr>
        <w:pStyle w:val="23"/>
        <w:overflowPunct w:val="0"/>
        <w:rPr>
          <w:sz w:val="18"/>
          <w:szCs w:val="18"/>
          <w:lang w:eastAsia="zh-CN"/>
        </w:rPr>
      </w:pPr>
      <w:r>
        <w:rPr>
          <w:rFonts w:cs="宋体"/>
          <w:sz w:val="18"/>
          <w:szCs w:val="18"/>
          <w:vertAlign w:val="superscript"/>
          <w:lang w:eastAsia="zh-CN"/>
        </w:rPr>
        <w:t>31</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FDA与PDUFA产品申请人或申请人之间的正式会议：行业指南草案</w:t>
      </w:r>
      <w:r>
        <w:rPr>
          <w:rFonts w:cs="宋体"/>
          <w:sz w:val="18"/>
          <w:szCs w:val="18"/>
          <w:lang w:eastAsia="zh-CN"/>
        </w:rPr>
        <w:t>》，该草案在最终定稿后将代表FDA目前对该议题的观点。</w:t>
      </w:r>
    </w:p>
    <w:p w14:paraId="726877F2">
      <w:pPr>
        <w:pStyle w:val="23"/>
        <w:overflowPunct w:val="0"/>
        <w:rPr>
          <w:sz w:val="18"/>
          <w:szCs w:val="18"/>
          <w:lang w:eastAsia="zh-CN"/>
        </w:rPr>
      </w:pPr>
      <w:r>
        <w:rPr>
          <w:rFonts w:cs="宋体"/>
          <w:sz w:val="18"/>
          <w:szCs w:val="18"/>
          <w:vertAlign w:val="superscript"/>
          <w:lang w:eastAsia="zh-CN"/>
        </w:rPr>
        <w:t xml:space="preserve">32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特殊方案评估：行业指南</w:t>
      </w:r>
      <w:r>
        <w:rPr>
          <w:rFonts w:cs="宋体"/>
          <w:sz w:val="18"/>
          <w:szCs w:val="18"/>
          <w:lang w:eastAsia="zh-CN"/>
        </w:rPr>
        <w:t>》。</w:t>
      </w:r>
    </w:p>
    <w:p w14:paraId="2CCE7620">
      <w:pPr>
        <w:pStyle w:val="23"/>
        <w:overflowPunct w:val="0"/>
        <w:rPr>
          <w:sz w:val="18"/>
          <w:szCs w:val="18"/>
          <w:lang w:eastAsia="zh-CN"/>
        </w:rPr>
      </w:pPr>
      <w:r>
        <w:rPr>
          <w:rFonts w:cs="宋体"/>
          <w:sz w:val="18"/>
          <w:szCs w:val="18"/>
          <w:vertAlign w:val="superscript"/>
          <w:lang w:eastAsia="zh-CN"/>
        </w:rPr>
        <w:t xml:space="preserve">33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严重疾病的加速程序 – 药品和生物制品：行业指南</w:t>
      </w:r>
      <w:r>
        <w:rPr>
          <w:rFonts w:cs="宋体"/>
          <w:sz w:val="18"/>
          <w:szCs w:val="18"/>
          <w:lang w:eastAsia="zh-CN"/>
        </w:rPr>
        <w:t>》。</w:t>
      </w:r>
    </w:p>
    <w:p w14:paraId="0796832B">
      <w:pPr>
        <w:pStyle w:val="23"/>
        <w:overflowPunct w:val="0"/>
        <w:rPr>
          <w:sz w:val="18"/>
          <w:szCs w:val="18"/>
          <w:lang w:eastAsia="zh-CN"/>
        </w:rPr>
      </w:pPr>
      <w:r>
        <w:rPr>
          <w:rFonts w:cs="宋体"/>
          <w:sz w:val="18"/>
          <w:szCs w:val="18"/>
          <w:vertAlign w:val="superscript"/>
          <w:lang w:eastAsia="zh-CN"/>
        </w:rPr>
        <w:t xml:space="preserve">34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再生医学治疗严重疾病的快速计划：行业指南</w:t>
      </w:r>
      <w:r>
        <w:rPr>
          <w:rFonts w:cs="宋体"/>
          <w:sz w:val="18"/>
          <w:szCs w:val="18"/>
          <w:lang w:eastAsia="zh-CN"/>
        </w:rPr>
        <w:t>》。</w:t>
      </w:r>
    </w:p>
    <w:p w14:paraId="3432BE6C">
      <w:pPr>
        <w:pStyle w:val="23"/>
        <w:overflowPunct w:val="0"/>
        <w:rPr>
          <w:sz w:val="18"/>
          <w:szCs w:val="18"/>
          <w:lang w:eastAsia="zh-CN"/>
        </w:rPr>
      </w:pPr>
      <w:r>
        <w:rPr>
          <w:rFonts w:cs="宋体"/>
          <w:sz w:val="18"/>
          <w:szCs w:val="18"/>
          <w:vertAlign w:val="superscript"/>
          <w:lang w:eastAsia="zh-CN"/>
        </w:rPr>
        <w:t xml:space="preserve">35 </w:t>
      </w:r>
      <w:r>
        <w:rPr>
          <w:rFonts w:cs="宋体"/>
          <w:sz w:val="18"/>
          <w:szCs w:val="18"/>
          <w:lang w:eastAsia="zh-CN"/>
        </w:rPr>
        <w:tab/>
      </w:r>
      <w:r>
        <w:rPr>
          <w:rFonts w:cs="宋体"/>
          <w:sz w:val="18"/>
          <w:szCs w:val="18"/>
          <w:lang w:eastAsia="zh-CN"/>
        </w:rPr>
        <w:t>《生物仿制药用户费用法案》（BsUFA）</w:t>
      </w:r>
    </w:p>
    <w:p w14:paraId="19BFF8BF">
      <w:pPr>
        <w:pStyle w:val="23"/>
        <w:overflowPunct w:val="0"/>
        <w:rPr>
          <w:sz w:val="18"/>
          <w:szCs w:val="18"/>
          <w:lang w:eastAsia="zh-CN"/>
        </w:rPr>
      </w:pPr>
      <w:r>
        <w:rPr>
          <w:rFonts w:cs="宋体"/>
          <w:sz w:val="18"/>
          <w:szCs w:val="18"/>
          <w:vertAlign w:val="superscript"/>
          <w:lang w:eastAsia="zh-CN"/>
        </w:rPr>
        <w:t xml:space="preserve">37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FDA与BsUFA产品申请人或申请人之间的正式会议：行业指南草案</w:t>
      </w:r>
      <w:r>
        <w:rPr>
          <w:rFonts w:cs="宋体"/>
          <w:sz w:val="18"/>
          <w:szCs w:val="18"/>
          <w:lang w:eastAsia="zh-CN"/>
        </w:rPr>
        <w:t>》，该草案在最终定稿后将代表FDA目前对该议题的观点。</w:t>
      </w:r>
    </w:p>
    <w:p w14:paraId="74B6841C">
      <w:pPr>
        <w:overflowPunct w:val="0"/>
        <w:spacing w:before="120" w:beforeLines="50" w:line="300" w:lineRule="auto"/>
        <w:rPr>
          <w:rFonts w:cs="Times New Roman"/>
          <w:sz w:val="24"/>
          <w:szCs w:val="24"/>
          <w:lang w:eastAsia="zh-CN"/>
        </w:rPr>
      </w:pPr>
      <w:r>
        <w:rPr>
          <w:rFonts w:cs="宋体"/>
          <w:sz w:val="24"/>
          <w:lang w:eastAsia="zh-CN"/>
        </w:rPr>
        <w:br w:type="page"/>
      </w:r>
    </w:p>
    <w:tbl>
      <w:tblPr>
        <w:tblStyle w:val="1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156"/>
        <w:gridCol w:w="4437"/>
        <w:gridCol w:w="2694"/>
      </w:tblGrid>
      <w:tr w14:paraId="78626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tcPr>
          <w:p w14:paraId="18F72660">
            <w:pPr>
              <w:overflowPunct w:val="0"/>
              <w:spacing w:before="36" w:beforeLines="15" w:line="276" w:lineRule="auto"/>
              <w:rPr>
                <w:rFonts w:cs="Times New Roman"/>
                <w:b/>
                <w:szCs w:val="24"/>
              </w:rPr>
            </w:pPr>
            <w:r>
              <w:rPr>
                <w:rFonts w:cs="宋体"/>
                <w:b/>
              </w:rPr>
              <w:t>申请类型</w:t>
            </w:r>
          </w:p>
        </w:tc>
        <w:tc>
          <w:tcPr>
            <w:tcW w:w="2389" w:type="pct"/>
          </w:tcPr>
          <w:p w14:paraId="5C88029F">
            <w:pPr>
              <w:overflowPunct w:val="0"/>
              <w:spacing w:before="36" w:beforeLines="15" w:line="276" w:lineRule="auto"/>
              <w:rPr>
                <w:rFonts w:cs="Times New Roman"/>
                <w:b/>
                <w:szCs w:val="24"/>
              </w:rPr>
            </w:pPr>
            <w:r>
              <w:rPr>
                <w:rFonts w:cs="宋体"/>
                <w:b/>
              </w:rPr>
              <w:t>问题类型示例</w:t>
            </w:r>
          </w:p>
        </w:tc>
        <w:tc>
          <w:tcPr>
            <w:tcW w:w="1450" w:type="pct"/>
          </w:tcPr>
          <w:p w14:paraId="68D96E1E">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36259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restart"/>
          </w:tcPr>
          <w:p w14:paraId="71D79346">
            <w:pPr>
              <w:overflowPunct w:val="0"/>
              <w:spacing w:before="36" w:beforeLines="15" w:line="276" w:lineRule="auto"/>
              <w:rPr>
                <w:rFonts w:cs="Times New Roman"/>
                <w:szCs w:val="24"/>
              </w:rPr>
            </w:pPr>
            <w:r>
              <w:rPr>
                <w:rFonts w:cs="宋体"/>
              </w:rPr>
              <w:t>351(k) BLA</w:t>
            </w:r>
            <w:r>
              <w:rPr>
                <w:rFonts w:cs="宋体"/>
                <w:vertAlign w:val="superscript"/>
              </w:rPr>
              <w:t>36</w:t>
            </w:r>
          </w:p>
        </w:tc>
        <w:tc>
          <w:tcPr>
            <w:tcW w:w="2389" w:type="pct"/>
          </w:tcPr>
          <w:p w14:paraId="7639D33F">
            <w:pPr>
              <w:overflowPunct w:val="0"/>
              <w:spacing w:before="36" w:beforeLines="15" w:line="276" w:lineRule="auto"/>
              <w:rPr>
                <w:rFonts w:cs="Times New Roman"/>
                <w:szCs w:val="24"/>
                <w:lang w:eastAsia="zh-CN"/>
              </w:rPr>
            </w:pPr>
            <w:r>
              <w:rPr>
                <w:rFonts w:cs="宋体"/>
                <w:lang w:eastAsia="zh-CN"/>
              </w:rPr>
              <w:t>为继续进行开发计划（否则会停滞）或为解决重要安全性问题而举行的会议。</w:t>
            </w:r>
          </w:p>
        </w:tc>
        <w:tc>
          <w:tcPr>
            <w:tcW w:w="1450" w:type="pct"/>
          </w:tcPr>
          <w:p w14:paraId="236A0A9B">
            <w:pPr>
              <w:overflowPunct w:val="0"/>
              <w:spacing w:before="36" w:beforeLines="15" w:line="276" w:lineRule="auto"/>
              <w:rPr>
                <w:rFonts w:cs="Times New Roman"/>
                <w:szCs w:val="24"/>
                <w:lang w:eastAsia="zh-CN"/>
              </w:rPr>
            </w:pPr>
            <w:r>
              <w:rPr>
                <w:rFonts w:cs="宋体"/>
                <w:lang w:eastAsia="zh-CN"/>
              </w:rPr>
              <w:t>生物制品开发（BPD）1类会议</w:t>
            </w:r>
            <w:r>
              <w:rPr>
                <w:rFonts w:cs="宋体"/>
                <w:vertAlign w:val="superscript"/>
                <w:lang w:eastAsia="zh-CN"/>
              </w:rPr>
              <w:t>37</w:t>
            </w:r>
          </w:p>
        </w:tc>
      </w:tr>
      <w:tr w14:paraId="65A0F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5A93DD7C">
            <w:pPr>
              <w:overflowPunct w:val="0"/>
              <w:spacing w:before="36" w:beforeLines="15" w:line="276" w:lineRule="auto"/>
              <w:rPr>
                <w:rFonts w:cs="Times New Roman"/>
                <w:szCs w:val="24"/>
                <w:lang w:eastAsia="zh-CN"/>
              </w:rPr>
            </w:pPr>
          </w:p>
        </w:tc>
        <w:tc>
          <w:tcPr>
            <w:tcW w:w="2389" w:type="pct"/>
          </w:tcPr>
          <w:p w14:paraId="75A4B170">
            <w:pPr>
              <w:overflowPunct w:val="0"/>
              <w:spacing w:before="36" w:beforeLines="15" w:line="276" w:lineRule="auto"/>
              <w:rPr>
                <w:rFonts w:cs="Times New Roman"/>
                <w:szCs w:val="24"/>
                <w:lang w:eastAsia="zh-CN"/>
              </w:rPr>
            </w:pPr>
            <w:r>
              <w:rPr>
                <w:rFonts w:cs="宋体"/>
                <w:lang w:eastAsia="zh-CN"/>
              </w:rPr>
              <w:t>讨论与化学、制造、CMC、研究设计等相关的具体问题。</w:t>
            </w:r>
          </w:p>
        </w:tc>
        <w:tc>
          <w:tcPr>
            <w:tcW w:w="1450" w:type="pct"/>
          </w:tcPr>
          <w:p w14:paraId="4A381C42">
            <w:pPr>
              <w:overflowPunct w:val="0"/>
              <w:spacing w:before="36" w:beforeLines="15" w:line="276" w:lineRule="auto"/>
              <w:rPr>
                <w:rFonts w:cs="Times New Roman"/>
                <w:szCs w:val="24"/>
              </w:rPr>
            </w:pPr>
            <w:r>
              <w:rPr>
                <w:rFonts w:cs="宋体"/>
              </w:rPr>
              <w:t>BPD 2类会议</w:t>
            </w:r>
            <w:r>
              <w:rPr>
                <w:rFonts w:cs="宋体"/>
                <w:vertAlign w:val="superscript"/>
              </w:rPr>
              <w:t>37</w:t>
            </w:r>
          </w:p>
        </w:tc>
      </w:tr>
      <w:tr w14:paraId="1247E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6A843998">
            <w:pPr>
              <w:overflowPunct w:val="0"/>
              <w:spacing w:before="36" w:beforeLines="15" w:line="276" w:lineRule="auto"/>
              <w:rPr>
                <w:rFonts w:cs="Times New Roman"/>
                <w:szCs w:val="24"/>
              </w:rPr>
            </w:pPr>
          </w:p>
        </w:tc>
        <w:tc>
          <w:tcPr>
            <w:tcW w:w="2389" w:type="pct"/>
          </w:tcPr>
          <w:p w14:paraId="6DA26A49">
            <w:pPr>
              <w:overflowPunct w:val="0"/>
              <w:spacing w:before="36" w:beforeLines="15" w:line="276" w:lineRule="auto"/>
              <w:rPr>
                <w:rFonts w:cs="Times New Roman"/>
                <w:szCs w:val="24"/>
                <w:lang w:eastAsia="zh-CN"/>
              </w:rPr>
            </w:pPr>
            <w:r>
              <w:rPr>
                <w:rFonts w:cs="宋体"/>
                <w:lang w:eastAsia="zh-CN"/>
              </w:rPr>
              <w:t>关于正在进行的生物类似药开发计划的深入数据审查和建议。</w:t>
            </w:r>
          </w:p>
        </w:tc>
        <w:tc>
          <w:tcPr>
            <w:tcW w:w="1450" w:type="pct"/>
          </w:tcPr>
          <w:p w14:paraId="0AD46C35">
            <w:pPr>
              <w:overflowPunct w:val="0"/>
              <w:spacing w:before="36" w:beforeLines="15" w:line="276" w:lineRule="auto"/>
              <w:rPr>
                <w:rFonts w:cs="Times New Roman"/>
                <w:szCs w:val="24"/>
              </w:rPr>
            </w:pPr>
            <w:r>
              <w:rPr>
                <w:rFonts w:cs="宋体"/>
              </w:rPr>
              <w:t>BPD 3类会议</w:t>
            </w:r>
            <w:r>
              <w:rPr>
                <w:rFonts w:cs="宋体"/>
                <w:vertAlign w:val="superscript"/>
              </w:rPr>
              <w:t>37</w:t>
            </w:r>
          </w:p>
        </w:tc>
      </w:tr>
      <w:tr w14:paraId="40474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6A6E38A3">
            <w:pPr>
              <w:overflowPunct w:val="0"/>
              <w:spacing w:before="36" w:beforeLines="15" w:line="276" w:lineRule="auto"/>
              <w:rPr>
                <w:rFonts w:cs="Times New Roman"/>
                <w:szCs w:val="24"/>
              </w:rPr>
            </w:pPr>
          </w:p>
        </w:tc>
        <w:tc>
          <w:tcPr>
            <w:tcW w:w="2389" w:type="pct"/>
          </w:tcPr>
          <w:p w14:paraId="217FBF93">
            <w:pPr>
              <w:overflowPunct w:val="0"/>
              <w:spacing w:before="36" w:beforeLines="15" w:line="276" w:lineRule="auto"/>
              <w:rPr>
                <w:rFonts w:cs="Times New Roman"/>
                <w:szCs w:val="24"/>
                <w:lang w:eastAsia="zh-CN"/>
              </w:rPr>
            </w:pPr>
            <w:r>
              <w:rPr>
                <w:rFonts w:cs="宋体"/>
                <w:lang w:eastAsia="zh-CN"/>
              </w:rPr>
              <w:t>完整申请或补充申请的格式和内容。</w:t>
            </w:r>
          </w:p>
        </w:tc>
        <w:tc>
          <w:tcPr>
            <w:tcW w:w="1450" w:type="pct"/>
          </w:tcPr>
          <w:p w14:paraId="3CE535A2">
            <w:pPr>
              <w:overflowPunct w:val="0"/>
              <w:spacing w:before="36" w:beforeLines="15" w:line="276" w:lineRule="auto"/>
              <w:rPr>
                <w:rFonts w:cs="Times New Roman"/>
                <w:szCs w:val="24"/>
              </w:rPr>
            </w:pPr>
            <w:r>
              <w:rPr>
                <w:rFonts w:cs="宋体"/>
              </w:rPr>
              <w:t>BPD 4类会议</w:t>
            </w:r>
            <w:r>
              <w:rPr>
                <w:rFonts w:cs="宋体"/>
                <w:vertAlign w:val="superscript"/>
              </w:rPr>
              <w:t>37</w:t>
            </w:r>
          </w:p>
        </w:tc>
      </w:tr>
      <w:tr w14:paraId="15F8B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09D83EE1">
            <w:pPr>
              <w:overflowPunct w:val="0"/>
              <w:spacing w:before="36" w:beforeLines="15" w:line="276" w:lineRule="auto"/>
              <w:rPr>
                <w:rFonts w:cs="Times New Roman"/>
                <w:szCs w:val="24"/>
              </w:rPr>
            </w:pPr>
          </w:p>
        </w:tc>
        <w:tc>
          <w:tcPr>
            <w:tcW w:w="2389" w:type="pct"/>
          </w:tcPr>
          <w:p w14:paraId="47F0E945">
            <w:pPr>
              <w:overflowPunct w:val="0"/>
              <w:spacing w:before="36" w:beforeLines="15" w:line="276" w:lineRule="auto"/>
              <w:rPr>
                <w:rFonts w:cs="Times New Roman"/>
                <w:szCs w:val="24"/>
                <w:lang w:eastAsia="zh-CN"/>
              </w:rPr>
            </w:pPr>
            <w:r>
              <w:rPr>
                <w:rFonts w:cs="宋体"/>
                <w:lang w:eastAsia="zh-CN"/>
              </w:rPr>
              <w:t>某些临床试验、临床研究或动物研究的设计和规模</w:t>
            </w:r>
          </w:p>
        </w:tc>
        <w:tc>
          <w:tcPr>
            <w:tcW w:w="1450" w:type="pct"/>
          </w:tcPr>
          <w:p w14:paraId="0031EA5D">
            <w:pPr>
              <w:overflowPunct w:val="0"/>
              <w:spacing w:before="36" w:beforeLines="15" w:line="276" w:lineRule="auto"/>
              <w:rPr>
                <w:rFonts w:cs="Times New Roman"/>
                <w:szCs w:val="24"/>
              </w:rPr>
            </w:pPr>
            <w:r>
              <w:rPr>
                <w:rFonts w:cs="宋体"/>
              </w:rPr>
              <w:t>特殊方案评估</w:t>
            </w:r>
            <w:r>
              <w:rPr>
                <w:rFonts w:cs="宋体"/>
                <w:vertAlign w:val="superscript"/>
              </w:rPr>
              <w:t>32</w:t>
            </w:r>
          </w:p>
        </w:tc>
      </w:tr>
      <w:tr w14:paraId="3E909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restart"/>
          </w:tcPr>
          <w:p w14:paraId="0110B430">
            <w:pPr>
              <w:overflowPunct w:val="0"/>
              <w:spacing w:before="36" w:beforeLines="15" w:line="276" w:lineRule="auto"/>
              <w:rPr>
                <w:rFonts w:cs="Times New Roman"/>
                <w:szCs w:val="24"/>
                <w:lang w:eastAsia="zh-CN"/>
              </w:rPr>
            </w:pPr>
            <w:r>
              <w:rPr>
                <w:rFonts w:cs="宋体"/>
                <w:lang w:eastAsia="zh-CN"/>
              </w:rPr>
              <w:t>简化新药申请（ANDA）</w:t>
            </w:r>
          </w:p>
        </w:tc>
        <w:tc>
          <w:tcPr>
            <w:tcW w:w="2389" w:type="pct"/>
          </w:tcPr>
          <w:p w14:paraId="78DD3EDA">
            <w:pPr>
              <w:overflowPunct w:val="0"/>
              <w:spacing w:before="36" w:beforeLines="15" w:line="276" w:lineRule="auto"/>
              <w:rPr>
                <w:rFonts w:cs="Times New Roman"/>
                <w:szCs w:val="24"/>
                <w:lang w:eastAsia="zh-CN"/>
              </w:rPr>
            </w:pPr>
            <w:r>
              <w:rPr>
                <w:rFonts w:cs="宋体"/>
                <w:lang w:eastAsia="zh-CN"/>
              </w:rPr>
              <w:t>关于仿制药产品开发特定要素和某些批准后申请要求的信息</w:t>
            </w:r>
          </w:p>
        </w:tc>
        <w:tc>
          <w:tcPr>
            <w:tcW w:w="1450" w:type="pct"/>
          </w:tcPr>
          <w:p w14:paraId="5AC1240B">
            <w:pPr>
              <w:overflowPunct w:val="0"/>
              <w:spacing w:before="36" w:beforeLines="15" w:line="276" w:lineRule="auto"/>
              <w:rPr>
                <w:rFonts w:cs="Times New Roman"/>
                <w:szCs w:val="24"/>
              </w:rPr>
            </w:pPr>
            <w:r>
              <w:rPr>
                <w:rFonts w:cs="宋体"/>
              </w:rPr>
              <w:t>受控</w:t>
            </w:r>
            <w:r>
              <w:rPr>
                <w:rFonts w:hint="eastAsia" w:cs="宋体"/>
                <w:lang w:eastAsia="zh-CN"/>
              </w:rPr>
              <w:t>沟通</w:t>
            </w:r>
            <w:r>
              <w:rPr>
                <w:rFonts w:cs="宋体"/>
                <w:vertAlign w:val="superscript"/>
              </w:rPr>
              <w:t>38</w:t>
            </w:r>
          </w:p>
        </w:tc>
      </w:tr>
      <w:tr w14:paraId="51074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4B4ACD00">
            <w:pPr>
              <w:overflowPunct w:val="0"/>
              <w:spacing w:before="36" w:beforeLines="15" w:line="276" w:lineRule="auto"/>
              <w:rPr>
                <w:rFonts w:cs="Times New Roman"/>
                <w:szCs w:val="24"/>
              </w:rPr>
            </w:pPr>
          </w:p>
        </w:tc>
        <w:tc>
          <w:tcPr>
            <w:tcW w:w="2389" w:type="pct"/>
          </w:tcPr>
          <w:p w14:paraId="0FA75816">
            <w:pPr>
              <w:overflowPunct w:val="0"/>
              <w:spacing w:before="36" w:beforeLines="15" w:line="276" w:lineRule="auto"/>
              <w:rPr>
                <w:rFonts w:cs="Times New Roman"/>
                <w:szCs w:val="24"/>
                <w:lang w:eastAsia="zh-CN"/>
              </w:rPr>
            </w:pPr>
            <w:r>
              <w:rPr>
                <w:rFonts w:cs="宋体"/>
                <w:lang w:eastAsia="zh-CN"/>
              </w:rPr>
              <w:t>提交ANDA前的具体科学问题或疑问</w:t>
            </w:r>
          </w:p>
        </w:tc>
        <w:tc>
          <w:tcPr>
            <w:tcW w:w="1450" w:type="pct"/>
          </w:tcPr>
          <w:p w14:paraId="21EB0ABA">
            <w:pPr>
              <w:overflowPunct w:val="0"/>
              <w:spacing w:before="36" w:beforeLines="15" w:line="276" w:lineRule="auto"/>
              <w:rPr>
                <w:rFonts w:cs="Times New Roman"/>
                <w:szCs w:val="24"/>
                <w:lang w:eastAsia="zh-CN"/>
              </w:rPr>
            </w:pPr>
            <w:r>
              <w:rPr>
                <w:rFonts w:cs="宋体"/>
                <w:lang w:eastAsia="zh-CN"/>
              </w:rPr>
              <w:t>产品开发会议</w:t>
            </w:r>
            <w:r>
              <w:rPr>
                <w:rFonts w:cs="宋体"/>
                <w:vertAlign w:val="superscript"/>
                <w:lang w:eastAsia="zh-CN"/>
              </w:rPr>
              <w:t>39</w:t>
            </w:r>
            <w:r>
              <w:rPr>
                <w:rFonts w:cs="宋体"/>
                <w:lang w:eastAsia="zh-CN"/>
              </w:rPr>
              <w:t>（适用于《2017年仿制药用户费用修正案》（GDUFA II）</w:t>
            </w:r>
            <w:r>
              <w:rPr>
                <w:rFonts w:cs="宋体"/>
                <w:vertAlign w:val="superscript"/>
                <w:lang w:eastAsia="zh-CN"/>
              </w:rPr>
              <w:t>40</w:t>
            </w:r>
            <w:r>
              <w:rPr>
                <w:rFonts w:cs="宋体"/>
                <w:lang w:eastAsia="zh-CN"/>
              </w:rPr>
              <w:t>下的复杂产品）</w:t>
            </w:r>
          </w:p>
        </w:tc>
      </w:tr>
      <w:tr w14:paraId="2BD85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1F3CBFFF">
            <w:pPr>
              <w:overflowPunct w:val="0"/>
              <w:spacing w:before="36" w:beforeLines="15" w:line="276" w:lineRule="auto"/>
              <w:rPr>
                <w:rFonts w:cs="Times New Roman"/>
                <w:szCs w:val="24"/>
                <w:lang w:eastAsia="zh-CN"/>
              </w:rPr>
            </w:pPr>
          </w:p>
        </w:tc>
        <w:tc>
          <w:tcPr>
            <w:tcW w:w="2389" w:type="pct"/>
          </w:tcPr>
          <w:p w14:paraId="789E550D">
            <w:pPr>
              <w:overflowPunct w:val="0"/>
              <w:spacing w:before="36" w:beforeLines="15" w:line="276" w:lineRule="auto"/>
              <w:rPr>
                <w:rFonts w:cs="Times New Roman"/>
                <w:szCs w:val="24"/>
              </w:rPr>
            </w:pPr>
            <w:r>
              <w:rPr>
                <w:rFonts w:cs="宋体"/>
              </w:rPr>
              <w:t>待提交的ANDA的格式和内容</w:t>
            </w:r>
          </w:p>
        </w:tc>
        <w:tc>
          <w:tcPr>
            <w:tcW w:w="1450" w:type="pct"/>
          </w:tcPr>
          <w:p w14:paraId="6D31D57F">
            <w:pPr>
              <w:overflowPunct w:val="0"/>
              <w:spacing w:before="36" w:beforeLines="15" w:line="276" w:lineRule="auto"/>
              <w:rPr>
                <w:rFonts w:cs="Times New Roman"/>
                <w:szCs w:val="24"/>
                <w:lang w:eastAsia="zh-CN"/>
              </w:rPr>
            </w:pPr>
            <w:r>
              <w:rPr>
                <w:rFonts w:cs="宋体"/>
                <w:lang w:eastAsia="zh-CN"/>
              </w:rPr>
              <w:t>预申请会议</w:t>
            </w:r>
            <w:r>
              <w:rPr>
                <w:rFonts w:cs="宋体"/>
                <w:vertAlign w:val="superscript"/>
                <w:lang w:eastAsia="zh-CN"/>
              </w:rPr>
              <w:t>39</w:t>
            </w:r>
            <w:r>
              <w:rPr>
                <w:rFonts w:cs="宋体"/>
                <w:lang w:eastAsia="zh-CN"/>
              </w:rPr>
              <w:t>（适用于GDUFA II</w:t>
            </w:r>
            <w:r>
              <w:rPr>
                <w:rFonts w:cs="宋体"/>
                <w:vertAlign w:val="superscript"/>
                <w:lang w:eastAsia="zh-CN"/>
              </w:rPr>
              <w:t>40</w:t>
            </w:r>
            <w:r>
              <w:rPr>
                <w:rFonts w:cs="宋体"/>
                <w:lang w:eastAsia="zh-CN"/>
              </w:rPr>
              <w:t>下的复杂产品）</w:t>
            </w:r>
          </w:p>
        </w:tc>
      </w:tr>
      <w:tr w14:paraId="37E50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1" w:type="pct"/>
            <w:vMerge w:val="continue"/>
            <w:tcBorders>
              <w:top w:val="nil"/>
            </w:tcBorders>
          </w:tcPr>
          <w:p w14:paraId="26039ABD">
            <w:pPr>
              <w:overflowPunct w:val="0"/>
              <w:spacing w:before="36" w:beforeLines="15" w:line="276" w:lineRule="auto"/>
              <w:rPr>
                <w:rFonts w:cs="Times New Roman"/>
                <w:szCs w:val="24"/>
                <w:lang w:eastAsia="zh-CN"/>
              </w:rPr>
            </w:pPr>
          </w:p>
        </w:tc>
        <w:tc>
          <w:tcPr>
            <w:tcW w:w="2389" w:type="pct"/>
          </w:tcPr>
          <w:p w14:paraId="7353FB5B">
            <w:pPr>
              <w:overflowPunct w:val="0"/>
              <w:spacing w:before="36" w:beforeLines="15" w:line="276" w:lineRule="auto"/>
              <w:rPr>
                <w:rFonts w:cs="Times New Roman"/>
                <w:szCs w:val="24"/>
                <w:lang w:eastAsia="zh-CN"/>
              </w:rPr>
            </w:pPr>
            <w:r>
              <w:rPr>
                <w:rFonts w:cs="宋体"/>
                <w:lang w:eastAsia="zh-CN"/>
              </w:rPr>
              <w:t>申请审查过程中发现的具体问题/缺陷</w:t>
            </w:r>
          </w:p>
        </w:tc>
        <w:tc>
          <w:tcPr>
            <w:tcW w:w="1450" w:type="pct"/>
          </w:tcPr>
          <w:p w14:paraId="77DEC2D3">
            <w:pPr>
              <w:overflowPunct w:val="0"/>
              <w:spacing w:before="36" w:beforeLines="15" w:line="276" w:lineRule="auto"/>
              <w:rPr>
                <w:rFonts w:cs="Times New Roman"/>
                <w:szCs w:val="24"/>
                <w:lang w:eastAsia="zh-CN"/>
              </w:rPr>
            </w:pPr>
            <w:r>
              <w:rPr>
                <w:rFonts w:cs="宋体"/>
                <w:lang w:eastAsia="zh-CN"/>
              </w:rPr>
              <w:t>审查周期中期会议</w:t>
            </w:r>
            <w:r>
              <w:rPr>
                <w:rFonts w:cs="宋体"/>
                <w:vertAlign w:val="superscript"/>
                <w:lang w:eastAsia="zh-CN"/>
              </w:rPr>
              <w:t>39</w:t>
            </w:r>
            <w:r>
              <w:rPr>
                <w:rFonts w:cs="宋体"/>
                <w:lang w:eastAsia="zh-CN"/>
              </w:rPr>
              <w:t>（适用于GDUFA II</w:t>
            </w:r>
            <w:r>
              <w:rPr>
                <w:rFonts w:cs="宋体"/>
                <w:vertAlign w:val="superscript"/>
                <w:lang w:eastAsia="zh-CN"/>
              </w:rPr>
              <w:t>40</w:t>
            </w:r>
            <w:r>
              <w:rPr>
                <w:rFonts w:cs="宋体"/>
                <w:lang w:eastAsia="zh-CN"/>
              </w:rPr>
              <w:t>下的复杂产品）</w:t>
            </w:r>
          </w:p>
        </w:tc>
      </w:tr>
    </w:tbl>
    <w:p w14:paraId="6759C4F2">
      <w:pPr>
        <w:pStyle w:val="23"/>
        <w:overflowPunct w:val="0"/>
        <w:rPr>
          <w:lang w:eastAsia="zh-CN"/>
        </w:rPr>
      </w:pPr>
      <w:r>
        <w:rPr>
          <w:rFonts w:cs="宋体"/>
        </w:rPr>
        <w:t>______________________</w:t>
      </w:r>
    </w:p>
    <w:p w14:paraId="79E56EE6">
      <w:pPr>
        <w:pStyle w:val="23"/>
        <w:overflowPunct w:val="0"/>
        <w:rPr>
          <w:sz w:val="18"/>
          <w:szCs w:val="18"/>
        </w:rPr>
      </w:pPr>
      <w:r>
        <w:rPr>
          <w:rFonts w:cs="宋体"/>
          <w:sz w:val="18"/>
          <w:szCs w:val="18"/>
          <w:vertAlign w:val="superscript"/>
        </w:rPr>
        <w:t xml:space="preserve">36 </w:t>
      </w:r>
      <w:r>
        <w:rPr>
          <w:rFonts w:cs="宋体"/>
          <w:sz w:val="18"/>
          <w:szCs w:val="18"/>
        </w:rPr>
        <w:tab/>
      </w:r>
      <w:r>
        <w:rPr>
          <w:rFonts w:cs="宋体"/>
          <w:sz w:val="18"/>
          <w:szCs w:val="18"/>
        </w:rPr>
        <w:t>关于根据《PHS法案》第351(k)节提交的更多信息，包括生物仿制药和可互换产品的申请，参见</w:t>
      </w:r>
      <w:r>
        <w:rPr>
          <w:rFonts w:cs="宋体"/>
          <w:color w:val="0000FF"/>
          <w:sz w:val="18"/>
          <w:szCs w:val="18"/>
          <w:u w:val="single"/>
        </w:rPr>
        <w:t>https://www.fda.gov/drugs/biosimilars/biosimilar-and-interchangeable-products</w:t>
      </w:r>
      <w:r>
        <w:rPr>
          <w:rFonts w:cs="宋体"/>
          <w:sz w:val="18"/>
          <w:szCs w:val="18"/>
        </w:rPr>
        <w:t>。</w:t>
      </w:r>
    </w:p>
    <w:p w14:paraId="71DC587A">
      <w:pPr>
        <w:pStyle w:val="23"/>
        <w:overflowPunct w:val="0"/>
        <w:rPr>
          <w:sz w:val="18"/>
          <w:szCs w:val="18"/>
          <w:lang w:eastAsia="zh-CN"/>
        </w:rPr>
      </w:pPr>
      <w:r>
        <w:rPr>
          <w:rFonts w:cs="宋体"/>
          <w:sz w:val="18"/>
          <w:szCs w:val="18"/>
          <w:vertAlign w:val="superscript"/>
          <w:lang w:eastAsia="zh-CN"/>
        </w:rPr>
        <w:t xml:space="preserve">38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与仿制药开发有关的受控</w:t>
      </w:r>
      <w:r>
        <w:rPr>
          <w:rFonts w:hint="eastAsia" w:cs="宋体"/>
          <w:color w:val="0000FF"/>
          <w:sz w:val="18"/>
          <w:szCs w:val="18"/>
          <w:u w:val="single"/>
          <w:lang w:eastAsia="zh-CN"/>
        </w:rPr>
        <w:t>沟通</w:t>
      </w:r>
      <w:r>
        <w:rPr>
          <w:rFonts w:cs="宋体"/>
          <w:color w:val="0000FF"/>
          <w:sz w:val="18"/>
          <w:szCs w:val="18"/>
          <w:u w:val="single"/>
          <w:lang w:eastAsia="zh-CN"/>
        </w:rPr>
        <w:t>：行业指南草案</w:t>
      </w:r>
      <w:r>
        <w:rPr>
          <w:rFonts w:cs="宋体"/>
          <w:sz w:val="18"/>
          <w:szCs w:val="18"/>
          <w:lang w:eastAsia="zh-CN"/>
        </w:rPr>
        <w:t>》，该草案在最终定稿后将代表FDA目前对该议题的观点。</w:t>
      </w:r>
    </w:p>
    <w:p w14:paraId="2D3B21F4">
      <w:pPr>
        <w:pStyle w:val="23"/>
        <w:overflowPunct w:val="0"/>
        <w:rPr>
          <w:sz w:val="18"/>
          <w:szCs w:val="18"/>
          <w:lang w:eastAsia="zh-CN"/>
        </w:rPr>
      </w:pPr>
      <w:r>
        <w:rPr>
          <w:rFonts w:cs="宋体"/>
          <w:sz w:val="18"/>
          <w:szCs w:val="18"/>
          <w:vertAlign w:val="superscript"/>
          <w:lang w:eastAsia="zh-CN"/>
        </w:rPr>
        <w:t xml:space="preserve">39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FDA与GDUFA下复杂产品的ANDA申请人之间的正式会议：行业指南</w:t>
      </w:r>
      <w:r>
        <w:rPr>
          <w:rFonts w:cs="宋体"/>
          <w:sz w:val="18"/>
          <w:szCs w:val="18"/>
          <w:lang w:eastAsia="zh-CN"/>
        </w:rPr>
        <w:t>》。</w:t>
      </w:r>
    </w:p>
    <w:p w14:paraId="50925B31">
      <w:pPr>
        <w:pStyle w:val="23"/>
        <w:overflowPunct w:val="0"/>
        <w:rPr>
          <w:sz w:val="18"/>
          <w:szCs w:val="18"/>
        </w:rPr>
      </w:pPr>
      <w:r>
        <w:rPr>
          <w:rFonts w:cs="宋体"/>
          <w:sz w:val="18"/>
          <w:szCs w:val="18"/>
          <w:vertAlign w:val="superscript"/>
          <w:lang w:eastAsia="zh-CN"/>
        </w:rPr>
        <w:t>40</w:t>
      </w:r>
      <w:r>
        <w:rPr>
          <w:rFonts w:cs="宋体"/>
          <w:sz w:val="18"/>
          <w:szCs w:val="18"/>
          <w:lang w:eastAsia="zh-CN"/>
        </w:rPr>
        <w:tab/>
      </w:r>
      <w:r>
        <w:rPr>
          <w:rFonts w:cs="宋体"/>
          <w:color w:val="0000FF"/>
          <w:sz w:val="18"/>
          <w:szCs w:val="18"/>
          <w:u w:val="single"/>
          <w:lang w:eastAsia="zh-CN"/>
        </w:rPr>
        <w:t>GDUFA II承诺书</w:t>
      </w:r>
      <w:r>
        <w:rPr>
          <w:rFonts w:cs="宋体"/>
          <w:sz w:val="18"/>
          <w:szCs w:val="18"/>
          <w:lang w:eastAsia="zh-CN"/>
        </w:rPr>
        <w:t>对“复杂产品”进行了定义，其中包括复杂药物器械组合产品（例如预充式自动注射器、计量吸入器、缓释注射剂）。</w:t>
      </w:r>
      <w:r>
        <w:rPr>
          <w:rFonts w:cs="宋体"/>
          <w:sz w:val="18"/>
          <w:szCs w:val="18"/>
        </w:rPr>
        <w:t>并非所有组合产品都被视为复杂产品。</w:t>
      </w:r>
    </w:p>
    <w:p w14:paraId="19C14091">
      <w:pPr>
        <w:overflowPunct w:val="0"/>
        <w:spacing w:before="120" w:beforeLines="50" w:line="300" w:lineRule="auto"/>
        <w:rPr>
          <w:rFonts w:cs="Times New Roman"/>
          <w:sz w:val="24"/>
          <w:szCs w:val="24"/>
        </w:rPr>
      </w:pPr>
      <w:r>
        <w:rPr>
          <w:rFonts w:cs="宋体"/>
          <w:sz w:val="24"/>
        </w:rPr>
        <w:br w:type="page"/>
      </w:r>
    </w:p>
    <w:tbl>
      <w:tblPr>
        <w:tblStyle w:val="1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171"/>
        <w:gridCol w:w="4443"/>
        <w:gridCol w:w="2673"/>
      </w:tblGrid>
      <w:tr w14:paraId="27FB3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9" w:type="pct"/>
          </w:tcPr>
          <w:p w14:paraId="25D6C562">
            <w:pPr>
              <w:overflowPunct w:val="0"/>
              <w:spacing w:before="36" w:beforeLines="15" w:line="276" w:lineRule="auto"/>
              <w:rPr>
                <w:rFonts w:cs="Times New Roman"/>
                <w:b/>
                <w:szCs w:val="24"/>
              </w:rPr>
            </w:pPr>
            <w:r>
              <w:rPr>
                <w:rFonts w:cs="宋体"/>
                <w:b/>
              </w:rPr>
              <w:t>申请类型</w:t>
            </w:r>
          </w:p>
        </w:tc>
        <w:tc>
          <w:tcPr>
            <w:tcW w:w="2392" w:type="pct"/>
          </w:tcPr>
          <w:p w14:paraId="3B5EF7C0">
            <w:pPr>
              <w:overflowPunct w:val="0"/>
              <w:spacing w:before="36" w:beforeLines="15" w:line="276" w:lineRule="auto"/>
              <w:rPr>
                <w:rFonts w:cs="Times New Roman"/>
                <w:b/>
                <w:szCs w:val="24"/>
              </w:rPr>
            </w:pPr>
            <w:r>
              <w:rPr>
                <w:rFonts w:cs="宋体"/>
                <w:b/>
              </w:rPr>
              <w:t>问题类型示例</w:t>
            </w:r>
          </w:p>
        </w:tc>
        <w:tc>
          <w:tcPr>
            <w:tcW w:w="1439" w:type="pct"/>
          </w:tcPr>
          <w:p w14:paraId="45534E9A">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6BC5E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9" w:type="pct"/>
            <w:vMerge w:val="restart"/>
          </w:tcPr>
          <w:p w14:paraId="6BCEF9ED">
            <w:pPr>
              <w:overflowPunct w:val="0"/>
              <w:spacing w:before="36" w:beforeLines="15" w:line="276" w:lineRule="auto"/>
              <w:rPr>
                <w:rFonts w:cs="Times New Roman"/>
                <w:szCs w:val="24"/>
                <w:lang w:eastAsia="zh-CN"/>
              </w:rPr>
            </w:pPr>
            <w:r>
              <w:rPr>
                <w:rFonts w:cs="宋体"/>
                <w:lang w:eastAsia="zh-CN"/>
              </w:rPr>
              <w:t>在进行预IND（用于CBER产品监管建议的初始目标参与）或计划但尚未提交NDA、BLA、ANDA或IND（用于新兴技术项目）之前</w:t>
            </w:r>
          </w:p>
        </w:tc>
        <w:tc>
          <w:tcPr>
            <w:tcW w:w="2392" w:type="pct"/>
          </w:tcPr>
          <w:p w14:paraId="7E56D81A">
            <w:pPr>
              <w:overflowPunct w:val="0"/>
              <w:spacing w:before="36" w:beforeLines="15" w:line="276" w:lineRule="auto"/>
              <w:rPr>
                <w:rFonts w:cs="Times New Roman"/>
                <w:szCs w:val="24"/>
                <w:lang w:eastAsia="zh-CN"/>
              </w:rPr>
            </w:pPr>
            <w:r>
              <w:rPr>
                <w:rFonts w:cs="宋体"/>
                <w:i/>
                <w:lang w:eastAsia="zh-CN"/>
              </w:rPr>
              <w:t>[CBER申请]</w:t>
            </w:r>
            <w:r>
              <w:rPr>
                <w:rFonts w:cs="宋体"/>
                <w:lang w:eastAsia="zh-CN"/>
              </w:rPr>
              <w:t>对处于早期开发阶段的创新研究性产品的初步咨询（在预IND前）</w:t>
            </w:r>
          </w:p>
        </w:tc>
        <w:tc>
          <w:tcPr>
            <w:tcW w:w="1439" w:type="pct"/>
          </w:tcPr>
          <w:p w14:paraId="64AD69EF">
            <w:pPr>
              <w:overflowPunct w:val="0"/>
              <w:spacing w:before="36" w:beforeLines="15" w:line="276" w:lineRule="auto"/>
              <w:rPr>
                <w:rFonts w:cs="Times New Roman"/>
                <w:szCs w:val="24"/>
                <w:lang w:eastAsia="zh-CN"/>
              </w:rPr>
            </w:pPr>
            <w:r>
              <w:rPr>
                <w:rFonts w:cs="宋体"/>
                <w:lang w:eastAsia="zh-CN"/>
              </w:rPr>
              <w:t>CBER产品监管建议的初始目标参与会议</w:t>
            </w:r>
            <w:r>
              <w:rPr>
                <w:rFonts w:cs="宋体"/>
                <w:vertAlign w:val="superscript"/>
                <w:lang w:eastAsia="zh-CN"/>
              </w:rPr>
              <w:t>41</w:t>
            </w:r>
          </w:p>
        </w:tc>
      </w:tr>
      <w:tr w14:paraId="74261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169" w:type="pct"/>
            <w:vMerge w:val="continue"/>
            <w:tcBorders>
              <w:top w:val="nil"/>
            </w:tcBorders>
          </w:tcPr>
          <w:p w14:paraId="220F5827">
            <w:pPr>
              <w:overflowPunct w:val="0"/>
              <w:spacing w:before="36" w:beforeLines="15" w:line="276" w:lineRule="auto"/>
              <w:rPr>
                <w:rFonts w:cs="Times New Roman"/>
                <w:szCs w:val="24"/>
                <w:lang w:eastAsia="zh-CN"/>
              </w:rPr>
            </w:pPr>
          </w:p>
        </w:tc>
        <w:tc>
          <w:tcPr>
            <w:tcW w:w="2392" w:type="pct"/>
          </w:tcPr>
          <w:p w14:paraId="41B58B23">
            <w:pPr>
              <w:overflowPunct w:val="0"/>
              <w:spacing w:before="36" w:beforeLines="15" w:line="276" w:lineRule="auto"/>
              <w:rPr>
                <w:rFonts w:cs="Times New Roman"/>
                <w:szCs w:val="24"/>
                <w:lang w:eastAsia="zh-CN"/>
              </w:rPr>
            </w:pPr>
            <w:r>
              <w:rPr>
                <w:rFonts w:cs="宋体"/>
                <w:i/>
                <w:lang w:eastAsia="zh-CN"/>
              </w:rPr>
              <w:t>[向CDER申请]</w:t>
            </w:r>
            <w:r>
              <w:rPr>
                <w:rFonts w:cs="宋体"/>
                <w:lang w:eastAsia="zh-CN"/>
              </w:rPr>
              <w:t>在提交监管申请之前，对新产品或生产技术开发和实施的潜在担忧</w:t>
            </w:r>
          </w:p>
        </w:tc>
        <w:tc>
          <w:tcPr>
            <w:tcW w:w="1439" w:type="pct"/>
          </w:tcPr>
          <w:p w14:paraId="6CA795AE">
            <w:pPr>
              <w:overflowPunct w:val="0"/>
              <w:spacing w:before="36" w:beforeLines="15" w:line="276" w:lineRule="auto"/>
              <w:rPr>
                <w:rFonts w:cs="Times New Roman"/>
                <w:szCs w:val="24"/>
              </w:rPr>
            </w:pPr>
            <w:r>
              <w:rPr>
                <w:rFonts w:cs="宋体"/>
              </w:rPr>
              <w:t>新兴技术项目会议</w:t>
            </w:r>
            <w:r>
              <w:rPr>
                <w:rFonts w:cs="宋体"/>
                <w:vertAlign w:val="superscript"/>
              </w:rPr>
              <w:t>42</w:t>
            </w:r>
          </w:p>
        </w:tc>
      </w:tr>
    </w:tbl>
    <w:p w14:paraId="74600A2C">
      <w:pPr>
        <w:pStyle w:val="23"/>
        <w:overflowPunct w:val="0"/>
        <w:rPr>
          <w:lang w:eastAsia="zh-CN"/>
        </w:rPr>
      </w:pPr>
      <w:bookmarkStart w:id="13" w:name="_bookmark71"/>
      <w:bookmarkEnd w:id="13"/>
    </w:p>
    <w:p w14:paraId="23732C41">
      <w:pPr>
        <w:pStyle w:val="23"/>
        <w:overflowPunct w:val="0"/>
        <w:rPr>
          <w:lang w:eastAsia="zh-CN"/>
        </w:rPr>
      </w:pPr>
    </w:p>
    <w:p w14:paraId="14756D3E">
      <w:pPr>
        <w:pStyle w:val="23"/>
        <w:overflowPunct w:val="0"/>
        <w:rPr>
          <w:lang w:eastAsia="zh-CN"/>
        </w:rPr>
      </w:pPr>
    </w:p>
    <w:p w14:paraId="77EC9CC4">
      <w:pPr>
        <w:pStyle w:val="23"/>
        <w:overflowPunct w:val="0"/>
        <w:rPr>
          <w:lang w:eastAsia="zh-CN"/>
        </w:rPr>
      </w:pPr>
    </w:p>
    <w:p w14:paraId="4B4702B7">
      <w:pPr>
        <w:pStyle w:val="23"/>
        <w:overflowPunct w:val="0"/>
        <w:rPr>
          <w:lang w:eastAsia="zh-CN"/>
        </w:rPr>
      </w:pPr>
    </w:p>
    <w:p w14:paraId="7E3FF587">
      <w:pPr>
        <w:pStyle w:val="23"/>
        <w:overflowPunct w:val="0"/>
        <w:rPr>
          <w:lang w:eastAsia="zh-CN"/>
        </w:rPr>
      </w:pPr>
    </w:p>
    <w:p w14:paraId="76BB2E15">
      <w:pPr>
        <w:pStyle w:val="23"/>
        <w:overflowPunct w:val="0"/>
        <w:rPr>
          <w:lang w:eastAsia="zh-CN"/>
        </w:rPr>
      </w:pPr>
    </w:p>
    <w:p w14:paraId="05E3C728">
      <w:pPr>
        <w:pStyle w:val="23"/>
        <w:overflowPunct w:val="0"/>
        <w:rPr>
          <w:lang w:eastAsia="zh-CN"/>
        </w:rPr>
      </w:pPr>
    </w:p>
    <w:p w14:paraId="0E5BEFD3">
      <w:pPr>
        <w:pStyle w:val="23"/>
        <w:overflowPunct w:val="0"/>
        <w:rPr>
          <w:lang w:eastAsia="zh-CN"/>
        </w:rPr>
      </w:pPr>
    </w:p>
    <w:p w14:paraId="780C1E28">
      <w:pPr>
        <w:pStyle w:val="23"/>
        <w:overflowPunct w:val="0"/>
        <w:rPr>
          <w:lang w:eastAsia="zh-CN"/>
        </w:rPr>
      </w:pPr>
    </w:p>
    <w:p w14:paraId="03EDE0B1">
      <w:pPr>
        <w:pStyle w:val="23"/>
        <w:overflowPunct w:val="0"/>
        <w:rPr>
          <w:lang w:eastAsia="zh-CN"/>
        </w:rPr>
      </w:pPr>
    </w:p>
    <w:p w14:paraId="57D19907">
      <w:pPr>
        <w:pStyle w:val="23"/>
        <w:overflowPunct w:val="0"/>
        <w:rPr>
          <w:lang w:eastAsia="zh-CN"/>
        </w:rPr>
      </w:pPr>
    </w:p>
    <w:p w14:paraId="1EE87A43">
      <w:pPr>
        <w:pStyle w:val="23"/>
        <w:overflowPunct w:val="0"/>
        <w:rPr>
          <w:lang w:eastAsia="zh-CN"/>
        </w:rPr>
      </w:pPr>
    </w:p>
    <w:p w14:paraId="57A71236">
      <w:pPr>
        <w:pStyle w:val="23"/>
        <w:overflowPunct w:val="0"/>
        <w:rPr>
          <w:lang w:eastAsia="zh-CN"/>
        </w:rPr>
      </w:pPr>
    </w:p>
    <w:p w14:paraId="3F729276">
      <w:pPr>
        <w:pStyle w:val="23"/>
        <w:overflowPunct w:val="0"/>
        <w:rPr>
          <w:lang w:eastAsia="zh-CN"/>
        </w:rPr>
      </w:pPr>
    </w:p>
    <w:p w14:paraId="29698179">
      <w:pPr>
        <w:pStyle w:val="23"/>
        <w:overflowPunct w:val="0"/>
        <w:rPr>
          <w:lang w:eastAsia="zh-CN"/>
        </w:rPr>
      </w:pPr>
    </w:p>
    <w:p w14:paraId="4F98D92C">
      <w:pPr>
        <w:pStyle w:val="23"/>
        <w:overflowPunct w:val="0"/>
        <w:rPr>
          <w:lang w:eastAsia="zh-CN"/>
        </w:rPr>
      </w:pPr>
    </w:p>
    <w:p w14:paraId="35D03B23">
      <w:pPr>
        <w:pStyle w:val="23"/>
        <w:overflowPunct w:val="0"/>
        <w:rPr>
          <w:lang w:eastAsia="zh-CN"/>
        </w:rPr>
      </w:pPr>
    </w:p>
    <w:p w14:paraId="10797281">
      <w:pPr>
        <w:pStyle w:val="23"/>
        <w:overflowPunct w:val="0"/>
        <w:rPr>
          <w:lang w:eastAsia="zh-CN"/>
        </w:rPr>
      </w:pPr>
    </w:p>
    <w:p w14:paraId="1E2A689A">
      <w:pPr>
        <w:pStyle w:val="23"/>
        <w:overflowPunct w:val="0"/>
        <w:rPr>
          <w:lang w:eastAsia="zh-CN"/>
        </w:rPr>
      </w:pPr>
    </w:p>
    <w:p w14:paraId="5BFB9617">
      <w:pPr>
        <w:pStyle w:val="23"/>
        <w:overflowPunct w:val="0"/>
        <w:rPr>
          <w:lang w:eastAsia="zh-CN"/>
        </w:rPr>
      </w:pPr>
    </w:p>
    <w:p w14:paraId="5DB9C865">
      <w:pPr>
        <w:pStyle w:val="23"/>
        <w:overflowPunct w:val="0"/>
        <w:rPr>
          <w:lang w:eastAsia="zh-CN"/>
        </w:rPr>
      </w:pPr>
    </w:p>
    <w:p w14:paraId="3B49B4F1">
      <w:pPr>
        <w:pStyle w:val="23"/>
        <w:overflowPunct w:val="0"/>
        <w:rPr>
          <w:lang w:eastAsia="zh-CN"/>
        </w:rPr>
      </w:pPr>
    </w:p>
    <w:p w14:paraId="15AF4AC2">
      <w:pPr>
        <w:pStyle w:val="23"/>
        <w:overflowPunct w:val="0"/>
        <w:rPr>
          <w:lang w:eastAsia="zh-CN"/>
        </w:rPr>
      </w:pPr>
    </w:p>
    <w:p w14:paraId="00D3B9B7">
      <w:pPr>
        <w:pStyle w:val="23"/>
        <w:overflowPunct w:val="0"/>
        <w:rPr>
          <w:lang w:eastAsia="zh-CN"/>
        </w:rPr>
      </w:pPr>
    </w:p>
    <w:p w14:paraId="55884EA9">
      <w:pPr>
        <w:pStyle w:val="23"/>
        <w:overflowPunct w:val="0"/>
        <w:rPr>
          <w:lang w:eastAsia="zh-CN"/>
        </w:rPr>
      </w:pPr>
    </w:p>
    <w:p w14:paraId="693E978A">
      <w:pPr>
        <w:pStyle w:val="23"/>
        <w:overflowPunct w:val="0"/>
        <w:rPr>
          <w:lang w:eastAsia="zh-CN"/>
        </w:rPr>
      </w:pPr>
      <w:r>
        <w:rPr>
          <w:rFonts w:cs="宋体"/>
        </w:rPr>
        <w:t>______________________</w:t>
      </w:r>
    </w:p>
    <w:p w14:paraId="21486EE3">
      <w:pPr>
        <w:pStyle w:val="23"/>
        <w:overflowPunct w:val="0"/>
        <w:rPr>
          <w:sz w:val="18"/>
          <w:szCs w:val="18"/>
        </w:rPr>
      </w:pPr>
      <w:r>
        <w:rPr>
          <w:rFonts w:cs="宋体"/>
          <w:sz w:val="18"/>
          <w:szCs w:val="18"/>
          <w:vertAlign w:val="superscript"/>
        </w:rPr>
        <w:t xml:space="preserve">41 </w:t>
      </w:r>
      <w:r>
        <w:rPr>
          <w:rFonts w:cs="宋体"/>
          <w:sz w:val="18"/>
          <w:szCs w:val="18"/>
        </w:rPr>
        <w:tab/>
      </w:r>
      <w:r>
        <w:rPr>
          <w:rFonts w:cs="宋体"/>
          <w:sz w:val="18"/>
          <w:szCs w:val="18"/>
        </w:rPr>
        <w:t>参见CBER产品监管建议的初始目标参与（INTERACT）项目：</w:t>
      </w:r>
      <w:r>
        <w:rPr>
          <w:rFonts w:cs="宋体"/>
          <w:color w:val="0000FF"/>
          <w:sz w:val="18"/>
          <w:szCs w:val="18"/>
          <w:u w:val="single"/>
        </w:rPr>
        <w:t>https://www.fda.gov/vaccines-blood-biologics/industry-biologics/interact-meetings-initial-targeted-engagement-regulatory-advice-cber-products</w:t>
      </w:r>
      <w:r>
        <w:rPr>
          <w:rFonts w:cs="宋体"/>
          <w:sz w:val="18"/>
          <w:szCs w:val="18"/>
        </w:rPr>
        <w:t>。</w:t>
      </w:r>
    </w:p>
    <w:p w14:paraId="72D2C790">
      <w:pPr>
        <w:pStyle w:val="23"/>
        <w:overflowPunct w:val="0"/>
        <w:rPr>
          <w:sz w:val="18"/>
          <w:szCs w:val="18"/>
          <w:lang w:eastAsia="zh-CN"/>
        </w:rPr>
      </w:pPr>
      <w:r>
        <w:rPr>
          <w:rFonts w:cs="宋体"/>
          <w:sz w:val="18"/>
          <w:szCs w:val="18"/>
          <w:vertAlign w:val="superscript"/>
        </w:rPr>
        <w:t xml:space="preserve">42 </w:t>
      </w:r>
      <w:r>
        <w:rPr>
          <w:rFonts w:cs="宋体"/>
          <w:sz w:val="18"/>
          <w:szCs w:val="18"/>
        </w:rPr>
        <w:tab/>
      </w:r>
      <w:r>
        <w:rPr>
          <w:rFonts w:cs="宋体"/>
          <w:sz w:val="18"/>
          <w:szCs w:val="18"/>
        </w:rPr>
        <w:t>参见CDER产品新兴技术项目：</w:t>
      </w:r>
      <w:r>
        <w:rPr>
          <w:rFonts w:cs="宋体"/>
          <w:color w:val="0000FF"/>
          <w:sz w:val="18"/>
          <w:szCs w:val="18"/>
          <w:u w:val="single"/>
        </w:rPr>
        <w:t>https://www.fda.gov/about-fda/center-drug-evaluation-and-research/emerging-technology-program</w:t>
      </w:r>
      <w:r>
        <w:rPr>
          <w:rFonts w:cs="宋体"/>
          <w:sz w:val="18"/>
          <w:szCs w:val="18"/>
        </w:rPr>
        <w:t>。</w:t>
      </w:r>
    </w:p>
    <w:p w14:paraId="6EBD254D">
      <w:pPr>
        <w:overflowPunct w:val="0"/>
        <w:spacing w:before="120" w:beforeLines="50" w:line="300" w:lineRule="auto"/>
        <w:jc w:val="center"/>
        <w:rPr>
          <w:rFonts w:hint="eastAsia" w:eastAsia="宋体"/>
          <w:lang w:eastAsia="zh-CN"/>
        </w:rPr>
      </w:pPr>
    </w:p>
    <w:p w14:paraId="19DF71E1">
      <w:pPr>
        <w:overflowPunct w:val="0"/>
        <w:spacing w:before="120" w:beforeLines="50" w:line="300" w:lineRule="auto"/>
        <w:jc w:val="center"/>
        <w:rPr>
          <w:rFonts w:hint="eastAsia" w:eastAsia="宋体"/>
          <w:lang w:eastAsia="zh-CN"/>
        </w:rPr>
      </w:pPr>
    </w:p>
    <w:p w14:paraId="6243AC4B">
      <w:pPr>
        <w:overflowPunct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40"/>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ECB1">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3AD8">
    <w:pPr>
      <w:pStyle w:val="9"/>
      <w:jc w:val="right"/>
      <w:rPr>
        <w:sz w:val="21"/>
      </w:rPr>
    </w:pPr>
    <w:r>
      <w:rPr>
        <w:rStyle w:val="16"/>
        <w:sz w:val="21"/>
      </w:rPr>
      <w:fldChar w:fldCharType="begin"/>
    </w:r>
    <w:r>
      <w:rPr>
        <w:rStyle w:val="16"/>
        <w:sz w:val="21"/>
      </w:rPr>
      <w:instrText xml:space="preserve"> PAGE </w:instrText>
    </w:r>
    <w:r>
      <w:rPr>
        <w:rStyle w:val="16"/>
        <w:sz w:val="21"/>
      </w:rPr>
      <w:fldChar w:fldCharType="separate"/>
    </w:r>
    <w:r>
      <w:rPr>
        <w:rStyle w:val="16"/>
        <w:sz w:val="21"/>
      </w:rPr>
      <w:t>19</w:t>
    </w:r>
    <w:r>
      <w:rPr>
        <w:rStyle w:val="16"/>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85F1">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5427">
    <w:pPr>
      <w:jc w:val="center"/>
      <w:rPr>
        <w:i/>
      </w:rPr>
    </w:pPr>
    <w:r>
      <w:rPr>
        <w:rFonts w:hint="eastAsia" w:cs="宋体"/>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10880"/>
    <w:multiLevelType w:val="multilevel"/>
    <w:tmpl w:val="1E71088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47C6831"/>
    <w:multiLevelType w:val="multilevel"/>
    <w:tmpl w:val="247C683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B8923B0"/>
    <w:multiLevelType w:val="multilevel"/>
    <w:tmpl w:val="3B8923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45CA24EF"/>
    <w:multiLevelType w:val="multilevel"/>
    <w:tmpl w:val="45CA24E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EA113F7"/>
    <w:multiLevelType w:val="multilevel"/>
    <w:tmpl w:val="5EA113F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2547D8"/>
    <w:multiLevelType w:val="multilevel"/>
    <w:tmpl w:val="6B2547D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B7231C7"/>
    <w:multiLevelType w:val="multilevel"/>
    <w:tmpl w:val="6B7231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3346133"/>
    <w:multiLevelType w:val="multilevel"/>
    <w:tmpl w:val="7334613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4135922"/>
    <w:multiLevelType w:val="multilevel"/>
    <w:tmpl w:val="741359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65270C4"/>
    <w:multiLevelType w:val="multilevel"/>
    <w:tmpl w:val="765270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5"/>
  </w:num>
  <w:num w:numId="3">
    <w:abstractNumId w:val="9"/>
  </w:num>
  <w:num w:numId="4">
    <w:abstractNumId w:val="6"/>
  </w:num>
  <w:num w:numId="5">
    <w:abstractNumId w:val="7"/>
  </w:num>
  <w:num w:numId="6">
    <w:abstractNumId w:val="1"/>
  </w:num>
  <w:num w:numId="7">
    <w:abstractNumId w:val="4"/>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F"/>
    <w:rsid w:val="00010452"/>
    <w:rsid w:val="00012C6F"/>
    <w:rsid w:val="000260BA"/>
    <w:rsid w:val="000329BA"/>
    <w:rsid w:val="00071FFF"/>
    <w:rsid w:val="00133F16"/>
    <w:rsid w:val="00142CA8"/>
    <w:rsid w:val="001442F2"/>
    <w:rsid w:val="001742BB"/>
    <w:rsid w:val="00190A7D"/>
    <w:rsid w:val="001A2671"/>
    <w:rsid w:val="001B5115"/>
    <w:rsid w:val="00241A0D"/>
    <w:rsid w:val="002573BD"/>
    <w:rsid w:val="00296819"/>
    <w:rsid w:val="002D0AA6"/>
    <w:rsid w:val="002F3FA7"/>
    <w:rsid w:val="00314F13"/>
    <w:rsid w:val="00336D54"/>
    <w:rsid w:val="00355166"/>
    <w:rsid w:val="00356423"/>
    <w:rsid w:val="00375489"/>
    <w:rsid w:val="00390AA0"/>
    <w:rsid w:val="003D06B9"/>
    <w:rsid w:val="00414FC2"/>
    <w:rsid w:val="00417572"/>
    <w:rsid w:val="004330C6"/>
    <w:rsid w:val="00460B74"/>
    <w:rsid w:val="004A1874"/>
    <w:rsid w:val="004B17AD"/>
    <w:rsid w:val="004B2688"/>
    <w:rsid w:val="004B2E40"/>
    <w:rsid w:val="004F181F"/>
    <w:rsid w:val="00535D43"/>
    <w:rsid w:val="00542B1C"/>
    <w:rsid w:val="00543442"/>
    <w:rsid w:val="00547709"/>
    <w:rsid w:val="00562463"/>
    <w:rsid w:val="005A4D18"/>
    <w:rsid w:val="005C444E"/>
    <w:rsid w:val="005D1D34"/>
    <w:rsid w:val="005D65D0"/>
    <w:rsid w:val="005F18CE"/>
    <w:rsid w:val="006007B8"/>
    <w:rsid w:val="00602179"/>
    <w:rsid w:val="006205AD"/>
    <w:rsid w:val="00636064"/>
    <w:rsid w:val="006401BB"/>
    <w:rsid w:val="00684CA5"/>
    <w:rsid w:val="006A2AF3"/>
    <w:rsid w:val="006C29A3"/>
    <w:rsid w:val="006E31AC"/>
    <w:rsid w:val="0070485B"/>
    <w:rsid w:val="00705855"/>
    <w:rsid w:val="007220C9"/>
    <w:rsid w:val="00773070"/>
    <w:rsid w:val="007B786A"/>
    <w:rsid w:val="007C54FE"/>
    <w:rsid w:val="007C6756"/>
    <w:rsid w:val="007D4808"/>
    <w:rsid w:val="007F0E96"/>
    <w:rsid w:val="0081368F"/>
    <w:rsid w:val="00832B17"/>
    <w:rsid w:val="00835F26"/>
    <w:rsid w:val="00881496"/>
    <w:rsid w:val="00883086"/>
    <w:rsid w:val="00887862"/>
    <w:rsid w:val="008C65CF"/>
    <w:rsid w:val="008D2A5F"/>
    <w:rsid w:val="008D704A"/>
    <w:rsid w:val="008E0A1A"/>
    <w:rsid w:val="008E3963"/>
    <w:rsid w:val="008F74EC"/>
    <w:rsid w:val="00944523"/>
    <w:rsid w:val="00974C2C"/>
    <w:rsid w:val="009B0127"/>
    <w:rsid w:val="009B3542"/>
    <w:rsid w:val="009C3DA1"/>
    <w:rsid w:val="009C6573"/>
    <w:rsid w:val="009E67E4"/>
    <w:rsid w:val="009F0288"/>
    <w:rsid w:val="00A045F4"/>
    <w:rsid w:val="00A2207B"/>
    <w:rsid w:val="00A2626E"/>
    <w:rsid w:val="00A352C7"/>
    <w:rsid w:val="00A40E04"/>
    <w:rsid w:val="00A51B94"/>
    <w:rsid w:val="00A53A5C"/>
    <w:rsid w:val="00A542AC"/>
    <w:rsid w:val="00A82F43"/>
    <w:rsid w:val="00A91378"/>
    <w:rsid w:val="00A92A59"/>
    <w:rsid w:val="00AA0343"/>
    <w:rsid w:val="00AC7727"/>
    <w:rsid w:val="00AE5465"/>
    <w:rsid w:val="00B0742E"/>
    <w:rsid w:val="00B4566F"/>
    <w:rsid w:val="00B76B82"/>
    <w:rsid w:val="00B9323F"/>
    <w:rsid w:val="00BC36B7"/>
    <w:rsid w:val="00BE14CF"/>
    <w:rsid w:val="00BE23A2"/>
    <w:rsid w:val="00C05998"/>
    <w:rsid w:val="00C20C27"/>
    <w:rsid w:val="00C615FB"/>
    <w:rsid w:val="00C832D2"/>
    <w:rsid w:val="00C90B4C"/>
    <w:rsid w:val="00C9793E"/>
    <w:rsid w:val="00CA3F7B"/>
    <w:rsid w:val="00CB1B2E"/>
    <w:rsid w:val="00CE0210"/>
    <w:rsid w:val="00D207C7"/>
    <w:rsid w:val="00D545E9"/>
    <w:rsid w:val="00D63586"/>
    <w:rsid w:val="00D9713C"/>
    <w:rsid w:val="00DA7007"/>
    <w:rsid w:val="00DC3B3B"/>
    <w:rsid w:val="00DD453A"/>
    <w:rsid w:val="00DD4EE1"/>
    <w:rsid w:val="00DF4430"/>
    <w:rsid w:val="00E0208F"/>
    <w:rsid w:val="00E203E2"/>
    <w:rsid w:val="00E211FA"/>
    <w:rsid w:val="00E35ECA"/>
    <w:rsid w:val="00E80F5B"/>
    <w:rsid w:val="00E87B89"/>
    <w:rsid w:val="00EB03C3"/>
    <w:rsid w:val="00EC7B3F"/>
    <w:rsid w:val="00F029DC"/>
    <w:rsid w:val="00F26FEA"/>
    <w:rsid w:val="00F62B83"/>
    <w:rsid w:val="00FB0EB9"/>
    <w:rsid w:val="00FB4A72"/>
    <w:rsid w:val="00FE5DBE"/>
    <w:rsid w:val="5730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ind w:left="840" w:hanging="840"/>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22"/>
    <w:qFormat/>
    <w:uiPriority w:val="1"/>
    <w:pPr>
      <w:ind w:left="1680" w:hanging="360"/>
      <w:outlineLvl w:val="4"/>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uiPriority w:val="99"/>
    <w:rPr>
      <w:sz w:val="20"/>
      <w:szCs w:val="20"/>
    </w:rPr>
  </w:style>
  <w:style w:type="paragraph" w:styleId="8">
    <w:name w:val="Balloon Text"/>
    <w:basedOn w:val="1"/>
    <w:link w:val="19"/>
    <w:semiHidden/>
    <w:unhideWhenUsed/>
    <w:qFormat/>
    <w:uiPriority w:val="99"/>
    <w:rPr>
      <w:sz w:val="18"/>
      <w:szCs w:val="18"/>
    </w:rPr>
  </w:style>
  <w:style w:type="paragraph" w:styleId="9">
    <w:name w:val="footer"/>
    <w:basedOn w:val="1"/>
    <w:link w:val="21"/>
    <w:unhideWhenUsed/>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2">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paragraph" w:styleId="13">
    <w:name w:val="annotation subject"/>
    <w:basedOn w:val="7"/>
    <w:next w:val="7"/>
    <w:link w:val="27"/>
    <w:semiHidden/>
    <w:unhideWhenUsed/>
    <w:qFormat/>
    <w:uiPriority w:val="99"/>
    <w:rPr>
      <w:b/>
      <w:bCs/>
    </w:rPr>
  </w:style>
  <w:style w:type="character" w:styleId="16">
    <w:name w:val="page number"/>
    <w:basedOn w:val="15"/>
    <w:semiHidden/>
    <w:unhideWhenUsed/>
    <w:uiPriority w:val="99"/>
  </w:style>
  <w:style w:type="character" w:styleId="17">
    <w:name w:val="Hyperlink"/>
    <w:basedOn w:val="15"/>
    <w:unhideWhenUsed/>
    <w:uiPriority w:val="99"/>
    <w:rPr>
      <w:color w:val="0000FF" w:themeColor="hyperlink"/>
      <w:u w:val="single"/>
      <w14:textFill>
        <w14:solidFill>
          <w14:schemeClr w14:val="hlink"/>
        </w14:solidFill>
      </w14:textFill>
    </w:rPr>
  </w:style>
  <w:style w:type="character" w:styleId="18">
    <w:name w:val="annotation reference"/>
    <w:basedOn w:val="15"/>
    <w:semiHidden/>
    <w:unhideWhenUsed/>
    <w:uiPriority w:val="99"/>
    <w:rPr>
      <w:sz w:val="16"/>
      <w:szCs w:val="16"/>
    </w:rPr>
  </w:style>
  <w:style w:type="character" w:customStyle="1" w:styleId="19">
    <w:name w:val="批注框文本 Char"/>
    <w:basedOn w:val="15"/>
    <w:link w:val="8"/>
    <w:semiHidden/>
    <w:qFormat/>
    <w:uiPriority w:val="99"/>
    <w:rPr>
      <w:sz w:val="18"/>
      <w:szCs w:val="18"/>
    </w:rPr>
  </w:style>
  <w:style w:type="character" w:customStyle="1" w:styleId="20">
    <w:name w:val="页眉 Char"/>
    <w:basedOn w:val="15"/>
    <w:link w:val="10"/>
    <w:uiPriority w:val="99"/>
    <w:rPr>
      <w:sz w:val="18"/>
      <w:szCs w:val="18"/>
    </w:rPr>
  </w:style>
  <w:style w:type="character" w:customStyle="1" w:styleId="21">
    <w:name w:val="页脚 Char"/>
    <w:basedOn w:val="15"/>
    <w:link w:val="9"/>
    <w:uiPriority w:val="99"/>
    <w:rPr>
      <w:sz w:val="18"/>
      <w:szCs w:val="18"/>
    </w:rPr>
  </w:style>
  <w:style w:type="character" w:customStyle="1" w:styleId="22">
    <w:name w:val="标题 5 Char"/>
    <w:basedOn w:val="15"/>
    <w:link w:val="6"/>
    <w:uiPriority w:val="1"/>
    <w:rPr>
      <w:rFonts w:ascii="Times New Roman" w:hAnsi="Times New Roman" w:eastAsia="Times New Roman" w:cs="Times New Roman"/>
      <w:b/>
      <w:bCs/>
      <w:sz w:val="24"/>
      <w:szCs w:val="24"/>
      <w:lang w:bidi="en-US"/>
    </w:rPr>
  </w:style>
  <w:style w:type="paragraph" w:customStyle="1" w:styleId="23">
    <w:name w:val="脚注新"/>
    <w:basedOn w:val="1"/>
    <w:next w:val="1"/>
    <w:qFormat/>
    <w:uiPriority w:val="1"/>
    <w:pPr>
      <w:spacing w:before="36" w:beforeLines="15" w:line="276" w:lineRule="auto"/>
    </w:pPr>
    <w:rPr>
      <w:rFonts w:cs="Times New Roman"/>
    </w:rPr>
  </w:style>
  <w:style w:type="paragraph" w:styleId="24">
    <w:name w:val="List Paragraph"/>
    <w:basedOn w:val="1"/>
    <w:qFormat/>
    <w:uiPriority w:val="1"/>
    <w:pPr>
      <w:ind w:firstLine="420" w:firstLineChars="200"/>
    </w:pPr>
  </w:style>
  <w:style w:type="paragraph" w:customStyle="1" w:styleId="25">
    <w:name w:val="Revision"/>
    <w:hidden/>
    <w:semiHidden/>
    <w:uiPriority w:val="99"/>
    <w:pPr>
      <w:widowControl/>
      <w:autoSpaceDE/>
      <w:autoSpaceDN/>
      <w:jc w:val="left"/>
    </w:pPr>
    <w:rPr>
      <w:rFonts w:ascii="Times New Roman" w:hAnsi="Times New Roman" w:eastAsia="宋体" w:cstheme="minorBidi"/>
      <w:sz w:val="21"/>
      <w:szCs w:val="21"/>
      <w:lang w:val="en-US" w:eastAsia="en-US" w:bidi="ar-SA"/>
    </w:rPr>
  </w:style>
  <w:style w:type="character" w:customStyle="1" w:styleId="26">
    <w:name w:val="批注文字 Char"/>
    <w:basedOn w:val="15"/>
    <w:link w:val="7"/>
    <w:semiHidden/>
    <w:uiPriority w:val="99"/>
    <w:rPr>
      <w:sz w:val="20"/>
      <w:szCs w:val="20"/>
    </w:rPr>
  </w:style>
  <w:style w:type="character" w:customStyle="1" w:styleId="27">
    <w:name w:val="批注主题 Char"/>
    <w:basedOn w:val="26"/>
    <w:link w:val="13"/>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C0D8-A054-40E6-8F61-98ABA05A17E9}">
  <ds:schemaRefs/>
</ds:datastoreItem>
</file>

<file path=docProps/app.xml><?xml version="1.0" encoding="utf-8"?>
<Properties xmlns="http://schemas.openxmlformats.org/officeDocument/2006/extended-properties" xmlns:vt="http://schemas.openxmlformats.org/officeDocument/2006/docPropsVTypes">
  <Template>Normal</Template>
  <Pages>21</Pages>
  <Words>11782</Words>
  <Characters>14244</Characters>
  <Lines>124</Lines>
  <Paragraphs>35</Paragraphs>
  <TotalTime>120</TotalTime>
  <ScaleCrop>false</ScaleCrop>
  <LinksUpToDate>false</LinksUpToDate>
  <CharactersWithSpaces>14450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2022-03-04T08:59:00Z</dcterms:created>
  <dc:creator>Wen, Mary</dc:creator>
  <cp:lastModifiedBy>太极箫客</cp:lastModifiedBy>
  <dcterms:modified xsi:type="dcterms:W3CDTF">2025-08-14T06:34:24Z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2022-03-04T07:17:49Z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0af29120-6a2a-47c7-ab0b-a25df4ff4d21</vt:lpwstr>
  </property>
  <property fmtid="{D5CDD505-2E9C-101B-9397-08002B2CF9AE}" pid="11" name="MSIP_Label_ff6dbec8-95a8-4638-9f5f-bd076536645c_ContentBits">
    <vt:lpwstr>0</vt:lpwstr>
  </property>
  <property fmtid="{D5CDD505-2E9C-101B-9397-08002B2CF9AE}" pid="12" name="KSOTemplateDocerSaveRecord">
    <vt:lpwstr>eyJoZGlkIjoiMDJiMzI3ODBiNTFmMWRjNDUyMjM1ZmZjODY5NDc2MWMiLCJ1c2VySWQiOiI0NTQ4Nzg1NzAifQ==</vt:lpwstr>
  </property>
  <property fmtid="{D5CDD505-2E9C-101B-9397-08002B2CF9AE}" pid="13" name="KSOProductBuildVer">
    <vt:lpwstr>2052-12.1.0.21915</vt:lpwstr>
  </property>
  <property fmtid="{D5CDD505-2E9C-101B-9397-08002B2CF9AE}" pid="14" name="ICV">
    <vt:lpwstr>782C9FE4F540455D8A0F78127A8A18B8_12</vt:lpwstr>
  </property>
</Properties>
</file>