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0"/>
      </w:tblGrid>
      <w:tr w14:paraId="004D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bottom w:val="single" w:color="auto" w:sz="4" w:space="0"/>
            </w:tcBorders>
          </w:tcPr>
          <w:p w14:paraId="50419DC1">
            <w:pPr>
              <w:overflowPunct w:val="0"/>
              <w:snapToGrid w:val="0"/>
              <w:spacing w:before="36" w:beforeLines="15" w:line="276" w:lineRule="auto"/>
              <w:jc w:val="center"/>
              <w:rPr>
                <w:b/>
                <w:sz w:val="44"/>
                <w:szCs w:val="44"/>
                <w:lang w:eastAsia="zh-CN"/>
              </w:rPr>
            </w:pPr>
            <w:bookmarkStart w:id="13" w:name="_GoBack"/>
            <w:bookmarkEnd w:id="13"/>
            <w:r>
              <w:rPr>
                <w:rFonts w:eastAsia="宋体" w:cs="宋体"/>
                <w:b/>
                <w:sz w:val="44"/>
                <w:szCs w:val="44"/>
                <w:lang w:eastAsia="zh-CN"/>
              </w:rPr>
              <w:t>关于COVID-19</w:t>
            </w:r>
            <w:r>
              <w:rPr>
                <w:rFonts w:hint="eastAsia" w:eastAsia="宋体" w:cs="宋体"/>
                <w:b/>
                <w:sz w:val="44"/>
                <w:szCs w:val="44"/>
                <w:lang w:eastAsia="zh-CN"/>
              </w:rPr>
              <w:t>突发公共卫生事件</w:t>
            </w:r>
            <w:r>
              <w:rPr>
                <w:rFonts w:eastAsia="宋体" w:cs="宋体"/>
                <w:b/>
                <w:sz w:val="44"/>
                <w:szCs w:val="44"/>
                <w:lang w:eastAsia="zh-CN"/>
              </w:rPr>
              <w:t>期间依据《FD&amp;C法案》第506J</w:t>
            </w:r>
            <w:r>
              <w:rPr>
                <w:rFonts w:hint="eastAsia" w:eastAsia="宋体" w:cs="宋体"/>
                <w:b/>
                <w:sz w:val="44"/>
                <w:szCs w:val="44"/>
                <w:lang w:eastAsia="zh-CN"/>
              </w:rPr>
              <w:t>节</w:t>
            </w:r>
            <w:r>
              <w:rPr>
                <w:rFonts w:eastAsia="宋体" w:cs="宋体"/>
                <w:b/>
                <w:sz w:val="44"/>
                <w:szCs w:val="44"/>
                <w:lang w:eastAsia="zh-CN"/>
              </w:rPr>
              <w:t>规定对CDRH永久停止或中断器械制造事宜做出的通知（修订版）</w:t>
            </w:r>
          </w:p>
        </w:tc>
      </w:tr>
      <w:tr w14:paraId="5454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top w:val="single" w:color="auto" w:sz="4" w:space="0"/>
            </w:tcBorders>
          </w:tcPr>
          <w:p w14:paraId="4348A0FA">
            <w:pPr>
              <w:overflowPunct w:val="0"/>
              <w:snapToGrid w:val="0"/>
              <w:spacing w:before="36" w:beforeLines="15" w:line="276" w:lineRule="auto"/>
              <w:jc w:val="center"/>
              <w:rPr>
                <w:b/>
                <w:sz w:val="44"/>
                <w:szCs w:val="44"/>
                <w:lang w:eastAsia="zh-CN"/>
              </w:rPr>
            </w:pPr>
            <w:r>
              <w:rPr>
                <w:rFonts w:eastAsia="宋体" w:cs="宋体"/>
                <w:b/>
                <w:sz w:val="44"/>
                <w:szCs w:val="44"/>
                <w:lang w:eastAsia="zh-CN"/>
              </w:rPr>
              <w:t>面向行业和美国食品药品</w:t>
            </w:r>
            <w:r>
              <w:rPr>
                <w:rFonts w:hint="eastAsia" w:eastAsia="宋体" w:cs="宋体"/>
                <w:b/>
                <w:sz w:val="44"/>
                <w:szCs w:val="44"/>
                <w:lang w:eastAsia="zh-CN"/>
              </w:rPr>
              <w:t>监督</w:t>
            </w:r>
            <w:r>
              <w:rPr>
                <w:rFonts w:eastAsia="宋体" w:cs="宋体"/>
                <w:b/>
                <w:sz w:val="44"/>
                <w:szCs w:val="44"/>
                <w:lang w:eastAsia="zh-CN"/>
              </w:rPr>
              <w:t>管理局工作人员的指南</w:t>
            </w:r>
          </w:p>
        </w:tc>
      </w:tr>
    </w:tbl>
    <w:p w14:paraId="4783F72B">
      <w:pPr>
        <w:overflowPunct w:val="0"/>
        <w:snapToGrid w:val="0"/>
        <w:spacing w:before="36" w:beforeLines="15" w:line="276" w:lineRule="auto"/>
        <w:jc w:val="center"/>
        <w:rPr>
          <w:b/>
          <w:lang w:eastAsia="zh-CN"/>
        </w:rPr>
      </w:pPr>
    </w:p>
    <w:p w14:paraId="2CADF959">
      <w:pPr>
        <w:overflowPunct w:val="0"/>
        <w:snapToGrid w:val="0"/>
        <w:spacing w:before="36" w:beforeLines="15" w:line="276" w:lineRule="auto"/>
        <w:jc w:val="center"/>
        <w:rPr>
          <w:b/>
          <w:sz w:val="24"/>
          <w:szCs w:val="21"/>
          <w:lang w:eastAsia="zh-CN"/>
        </w:rPr>
      </w:pPr>
      <w:r>
        <w:rPr>
          <w:rFonts w:eastAsia="宋体" w:cs="宋体"/>
          <w:b/>
          <w:sz w:val="24"/>
          <w:szCs w:val="21"/>
          <w:lang w:eastAsia="zh-CN"/>
        </w:rPr>
        <w:t>2020年11月</w:t>
      </w:r>
    </w:p>
    <w:p w14:paraId="2943A52C">
      <w:pPr>
        <w:overflowPunct w:val="0"/>
        <w:snapToGrid w:val="0"/>
        <w:spacing w:before="36" w:beforeLines="15" w:line="276" w:lineRule="auto"/>
        <w:jc w:val="center"/>
        <w:rPr>
          <w:b/>
          <w:sz w:val="24"/>
          <w:szCs w:val="24"/>
          <w:lang w:eastAsia="zh-CN"/>
        </w:rPr>
      </w:pPr>
    </w:p>
    <w:p w14:paraId="23245AA9">
      <w:pPr>
        <w:overflowPunct w:val="0"/>
        <w:snapToGrid w:val="0"/>
        <w:spacing w:before="36" w:beforeLines="15" w:line="276" w:lineRule="auto"/>
        <w:jc w:val="center"/>
        <w:rPr>
          <w:b/>
          <w:sz w:val="24"/>
          <w:szCs w:val="21"/>
          <w:lang w:eastAsia="zh-CN"/>
        </w:rPr>
      </w:pPr>
      <w:r>
        <w:rPr>
          <w:rFonts w:eastAsia="宋体" w:cs="宋体"/>
          <w:b/>
          <w:sz w:val="24"/>
          <w:szCs w:val="21"/>
          <w:lang w:eastAsia="zh-CN"/>
        </w:rPr>
        <w:t>本文件取代2020年6月19日发布的《关于COVID-19突发公共卫生事件期间依据〈FD&amp;C法案〉第506J节规定对CDRH永久停止或中断器械制造事宜做出的通知》。</w:t>
      </w:r>
    </w:p>
    <w:p w14:paraId="44B6B86C">
      <w:pPr>
        <w:overflowPunct w:val="0"/>
        <w:snapToGrid w:val="0"/>
        <w:spacing w:before="36" w:beforeLines="15" w:line="276" w:lineRule="auto"/>
        <w:jc w:val="center"/>
        <w:rPr>
          <w:b/>
          <w:sz w:val="24"/>
          <w:szCs w:val="24"/>
          <w:lang w:eastAsia="zh-CN"/>
        </w:rPr>
      </w:pPr>
    </w:p>
    <w:p w14:paraId="30CDD576">
      <w:pPr>
        <w:overflowPunct w:val="0"/>
        <w:snapToGrid w:val="0"/>
        <w:spacing w:before="36" w:beforeLines="15" w:line="276" w:lineRule="auto"/>
        <w:jc w:val="center"/>
        <w:rPr>
          <w:b/>
          <w:sz w:val="24"/>
          <w:szCs w:val="24"/>
          <w:lang w:eastAsia="zh-CN"/>
        </w:rPr>
      </w:pPr>
    </w:p>
    <w:p w14:paraId="6382DB9E">
      <w:pPr>
        <w:overflowPunct w:val="0"/>
        <w:snapToGrid w:val="0"/>
        <w:spacing w:before="36" w:beforeLines="15" w:line="276" w:lineRule="auto"/>
        <w:jc w:val="center"/>
        <w:rPr>
          <w:b/>
          <w:sz w:val="24"/>
          <w:szCs w:val="24"/>
          <w:lang w:eastAsia="zh-CN"/>
        </w:rPr>
      </w:pPr>
    </w:p>
    <w:p w14:paraId="2E302EBE">
      <w:pPr>
        <w:overflowPunct w:val="0"/>
        <w:snapToGrid w:val="0"/>
        <w:spacing w:before="36" w:beforeLines="15" w:line="276" w:lineRule="auto"/>
        <w:jc w:val="center"/>
        <w:rPr>
          <w:rFonts w:eastAsiaTheme="minorEastAsia"/>
          <w:b/>
          <w:sz w:val="24"/>
          <w:szCs w:val="24"/>
          <w:lang w:eastAsia="zh-CN"/>
        </w:rPr>
      </w:pPr>
    </w:p>
    <w:p w14:paraId="097DE98C">
      <w:pPr>
        <w:overflowPunct w:val="0"/>
        <w:snapToGrid w:val="0"/>
        <w:spacing w:before="36" w:beforeLines="15" w:line="276" w:lineRule="auto"/>
        <w:jc w:val="center"/>
        <w:rPr>
          <w:rFonts w:eastAsiaTheme="minorEastAsia"/>
          <w:b/>
          <w:sz w:val="24"/>
          <w:szCs w:val="24"/>
          <w:lang w:eastAsia="zh-CN"/>
        </w:rPr>
      </w:pPr>
    </w:p>
    <w:p w14:paraId="3E754E04">
      <w:pPr>
        <w:overflowPunct w:val="0"/>
        <w:snapToGrid w:val="0"/>
        <w:spacing w:before="36" w:beforeLines="15" w:line="276" w:lineRule="auto"/>
        <w:jc w:val="center"/>
        <w:rPr>
          <w:rFonts w:eastAsiaTheme="minorEastAsia"/>
          <w:b/>
          <w:sz w:val="24"/>
          <w:szCs w:val="24"/>
          <w:lang w:eastAsia="zh-CN"/>
        </w:rPr>
      </w:pPr>
    </w:p>
    <w:p w14:paraId="353EC519">
      <w:pPr>
        <w:overflowPunct w:val="0"/>
        <w:snapToGrid w:val="0"/>
        <w:spacing w:before="36" w:beforeLines="15" w:line="276" w:lineRule="auto"/>
        <w:jc w:val="center"/>
        <w:rPr>
          <w:rFonts w:eastAsiaTheme="minorEastAsia"/>
          <w:b/>
          <w:sz w:val="24"/>
          <w:szCs w:val="24"/>
          <w:lang w:eastAsia="zh-CN"/>
        </w:rPr>
      </w:pPr>
    </w:p>
    <w:p w14:paraId="441C1B29">
      <w:pPr>
        <w:overflowPunct w:val="0"/>
        <w:snapToGrid w:val="0"/>
        <w:spacing w:before="36" w:beforeLines="15" w:line="276" w:lineRule="auto"/>
        <w:jc w:val="center"/>
        <w:rPr>
          <w:rFonts w:eastAsiaTheme="minorEastAsia"/>
          <w:b/>
          <w:sz w:val="24"/>
          <w:szCs w:val="24"/>
          <w:lang w:eastAsia="zh-CN"/>
        </w:rPr>
      </w:pPr>
    </w:p>
    <w:p w14:paraId="054ACDE3">
      <w:pPr>
        <w:overflowPunct w:val="0"/>
        <w:snapToGrid w:val="0"/>
        <w:spacing w:before="36" w:beforeLines="15" w:line="276" w:lineRule="auto"/>
        <w:jc w:val="center"/>
        <w:rPr>
          <w:rFonts w:eastAsiaTheme="minorEastAsia"/>
          <w:b/>
          <w:sz w:val="24"/>
          <w:szCs w:val="24"/>
          <w:lang w:eastAsia="zh-CN"/>
        </w:rPr>
      </w:pPr>
    </w:p>
    <w:p w14:paraId="21C936B6">
      <w:pPr>
        <w:overflowPunct w:val="0"/>
        <w:snapToGrid w:val="0"/>
        <w:spacing w:before="36" w:beforeLines="15" w:line="276" w:lineRule="auto"/>
        <w:jc w:val="center"/>
        <w:rPr>
          <w:rFonts w:eastAsiaTheme="minorEastAsia"/>
          <w:b/>
          <w:sz w:val="24"/>
          <w:szCs w:val="24"/>
          <w:lang w:eastAsia="zh-CN"/>
        </w:rPr>
      </w:pPr>
    </w:p>
    <w:p w14:paraId="3F44B544">
      <w:pPr>
        <w:overflowPunct w:val="0"/>
        <w:snapToGrid w:val="0"/>
        <w:spacing w:before="36" w:beforeLines="15" w:line="276" w:lineRule="auto"/>
        <w:jc w:val="center"/>
        <w:rPr>
          <w:rFonts w:eastAsiaTheme="minorEastAsia"/>
          <w:b/>
          <w:sz w:val="24"/>
          <w:szCs w:val="24"/>
          <w:lang w:eastAsia="zh-CN"/>
        </w:rPr>
      </w:pPr>
    </w:p>
    <w:p w14:paraId="178309B7">
      <w:pPr>
        <w:overflowPunct w:val="0"/>
        <w:snapToGrid w:val="0"/>
        <w:spacing w:before="36" w:beforeLines="15" w:line="276" w:lineRule="auto"/>
        <w:jc w:val="center"/>
        <w:rPr>
          <w:rFonts w:eastAsia="宋体" w:cs="宋体"/>
          <w:b/>
          <w:sz w:val="24"/>
          <w:szCs w:val="21"/>
          <w:lang w:eastAsia="zh-CN"/>
        </w:rPr>
      </w:pPr>
      <w:r>
        <w:rPr>
          <w:rFonts w:eastAsia="宋体" w:cs="宋体"/>
          <w:b/>
          <w:sz w:val="24"/>
          <w:szCs w:val="21"/>
          <w:lang w:eastAsia="zh-CN"/>
        </w:rPr>
        <w:t>美国卫生与公共服务部</w:t>
      </w:r>
    </w:p>
    <w:p w14:paraId="49EAC0AD">
      <w:pPr>
        <w:overflowPunct w:val="0"/>
        <w:snapToGrid w:val="0"/>
        <w:spacing w:before="36" w:beforeLines="15" w:line="276" w:lineRule="auto"/>
        <w:jc w:val="center"/>
        <w:rPr>
          <w:b/>
          <w:sz w:val="24"/>
          <w:szCs w:val="21"/>
          <w:lang w:eastAsia="zh-CN"/>
        </w:rPr>
      </w:pPr>
      <w:r>
        <w:rPr>
          <w:rFonts w:eastAsia="宋体" w:cs="宋体"/>
          <w:b/>
          <w:sz w:val="24"/>
          <w:szCs w:val="21"/>
          <w:lang w:eastAsia="zh-CN"/>
        </w:rPr>
        <w:t>美国食品药品监督管理局</w:t>
      </w:r>
    </w:p>
    <w:p w14:paraId="4DEE97EB">
      <w:pPr>
        <w:overflowPunct w:val="0"/>
        <w:snapToGrid w:val="0"/>
        <w:spacing w:before="36" w:beforeLines="15" w:line="276" w:lineRule="auto"/>
        <w:jc w:val="center"/>
        <w:rPr>
          <w:b/>
          <w:sz w:val="24"/>
          <w:szCs w:val="21"/>
          <w:lang w:eastAsia="zh-CN"/>
        </w:rPr>
      </w:pPr>
      <w:r>
        <w:rPr>
          <w:rFonts w:eastAsia="宋体" w:cs="宋体"/>
          <w:b/>
          <w:sz w:val="24"/>
          <w:szCs w:val="21"/>
          <w:lang w:eastAsia="zh-CN"/>
        </w:rPr>
        <w:t>医疗器械和辐射健康中心（CDRH）</w:t>
      </w:r>
    </w:p>
    <w:p w14:paraId="554701DD">
      <w:pPr>
        <w:overflowPunct w:val="0"/>
        <w:snapToGrid w:val="0"/>
        <w:spacing w:before="36" w:beforeLines="15" w:line="276" w:lineRule="auto"/>
        <w:jc w:val="center"/>
        <w:rPr>
          <w:b/>
          <w:sz w:val="24"/>
          <w:szCs w:val="21"/>
          <w:lang w:eastAsia="zh-CN"/>
        </w:rPr>
      </w:pPr>
      <w:r>
        <w:rPr>
          <w:rFonts w:eastAsia="宋体" w:cs="宋体"/>
          <w:b/>
          <w:sz w:val="24"/>
          <w:szCs w:val="21"/>
          <w:lang w:eastAsia="zh-CN"/>
        </w:rPr>
        <w:t>战略合作伙伴与技术创新办公室（OST）</w:t>
      </w:r>
    </w:p>
    <w:p w14:paraId="201F5FEB">
      <w:pPr>
        <w:overflowPunct w:val="0"/>
        <w:snapToGrid w:val="0"/>
        <w:spacing w:before="36" w:beforeLines="15" w:line="276" w:lineRule="auto"/>
        <w:rPr>
          <w:rFonts w:eastAsia="宋体" w:cs="宋体"/>
          <w:b/>
          <w:sz w:val="24"/>
          <w:lang w:eastAsia="zh-CN"/>
        </w:rPr>
      </w:pPr>
    </w:p>
    <w:p w14:paraId="6EAF6BAC">
      <w:pPr>
        <w:overflowPunct w:val="0"/>
        <w:snapToGrid w:val="0"/>
        <w:spacing w:before="36" w:beforeLines="15" w:line="276" w:lineRule="auto"/>
        <w:rPr>
          <w:rFonts w:eastAsia="宋体" w:cs="宋体"/>
          <w:b/>
          <w:sz w:val="24"/>
          <w:lang w:eastAsia="zh-CN"/>
        </w:rPr>
        <w:sectPr>
          <w:headerReference r:id="rId3" w:type="default"/>
          <w:footerReference r:id="rId5" w:type="default"/>
          <w:headerReference r:id="rId4" w:type="even"/>
          <w:footerReference r:id="rId6" w:type="even"/>
          <w:pgSz w:w="12220" w:h="15840"/>
          <w:pgMar w:top="1418" w:right="1418" w:bottom="1418" w:left="1418" w:header="709" w:footer="709" w:gutter="0"/>
          <w:pgNumType w:fmt="lowerRoman" w:start="1"/>
          <w:cols w:space="720" w:num="1"/>
          <w:docGrid w:linePitch="299" w:charSpace="0"/>
        </w:sectPr>
      </w:pPr>
    </w:p>
    <w:p w14:paraId="5AC29341">
      <w:pPr>
        <w:overflowPunct w:val="0"/>
        <w:snapToGrid w:val="0"/>
        <w:spacing w:before="36" w:beforeLines="15" w:line="276" w:lineRule="auto"/>
        <w:jc w:val="center"/>
        <w:rPr>
          <w:b/>
          <w:sz w:val="44"/>
          <w:szCs w:val="44"/>
          <w:lang w:eastAsia="zh-CN"/>
        </w:rPr>
      </w:pPr>
      <w:r>
        <w:rPr>
          <w:rFonts w:eastAsia="宋体" w:cs="宋体"/>
          <w:b/>
          <w:sz w:val="44"/>
          <w:lang w:eastAsia="zh-CN"/>
        </w:rPr>
        <w:t>前言</w:t>
      </w:r>
    </w:p>
    <w:p w14:paraId="7598027F">
      <w:pPr>
        <w:overflowPunct w:val="0"/>
        <w:snapToGrid w:val="0"/>
        <w:spacing w:before="36" w:beforeLines="15" w:line="276" w:lineRule="auto"/>
        <w:jc w:val="both"/>
        <w:rPr>
          <w:b/>
          <w:sz w:val="24"/>
          <w:szCs w:val="24"/>
          <w:lang w:eastAsia="zh-CN"/>
        </w:rPr>
      </w:pPr>
      <w:r>
        <w:rPr>
          <w:rFonts w:eastAsia="宋体" w:cs="宋体"/>
          <w:b/>
          <w:sz w:val="24"/>
          <w:szCs w:val="24"/>
          <w:lang w:eastAsia="zh-CN"/>
        </w:rPr>
        <w:t>公众意见</w:t>
      </w:r>
    </w:p>
    <w:p w14:paraId="63A4B2D4">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本指南旨在解决2019年新冠病毒肺炎疾病（COVID-19）突发公共卫生事件。由于美国食品药品监督管理局（FDA或本机构）认为公众事先参与本指南的行为不可行或不适当，因此本指南在未事先征求公众意见的情况下实施（参见《联邦食品、药品和化妆品法案》（《FD&amp;C法案》）第701(h)(1)(C)节（(21 U.S.C.371(h)(1)(C)）和21 CFR 10.115(g)(2)）。本指南文件</w:t>
      </w:r>
      <w:r>
        <w:rPr>
          <w:rFonts w:hint="eastAsia" w:eastAsia="宋体" w:cs="宋体"/>
          <w:sz w:val="24"/>
          <w:szCs w:val="21"/>
          <w:lang w:eastAsia="zh-CN"/>
        </w:rPr>
        <w:t>发布即实施</w:t>
      </w:r>
      <w:r>
        <w:rPr>
          <w:rFonts w:eastAsia="宋体" w:cs="宋体"/>
          <w:sz w:val="24"/>
          <w:szCs w:val="21"/>
          <w:lang w:eastAsia="zh-CN"/>
        </w:rPr>
        <w:t>，但</w:t>
      </w:r>
      <w:r>
        <w:rPr>
          <w:rFonts w:hint="eastAsia" w:eastAsia="宋体" w:cs="宋体"/>
          <w:sz w:val="24"/>
          <w:szCs w:val="21"/>
          <w:lang w:eastAsia="zh-CN"/>
        </w:rPr>
        <w:t>实际经验中会有好的做法</w:t>
      </w:r>
      <w:r>
        <w:rPr>
          <w:rFonts w:eastAsia="宋体" w:cs="宋体"/>
          <w:sz w:val="24"/>
          <w:szCs w:val="21"/>
          <w:lang w:eastAsia="zh-CN"/>
        </w:rPr>
        <w:t>，仍需</w:t>
      </w:r>
      <w:r>
        <w:rPr>
          <w:rFonts w:hint="eastAsia" w:eastAsia="宋体" w:cs="宋体"/>
          <w:sz w:val="24"/>
          <w:szCs w:val="21"/>
          <w:lang w:eastAsia="zh-CN"/>
        </w:rPr>
        <w:t>征集</w:t>
      </w:r>
      <w:r>
        <w:rPr>
          <w:rFonts w:eastAsia="宋体" w:cs="宋体"/>
          <w:sz w:val="24"/>
          <w:szCs w:val="21"/>
          <w:lang w:eastAsia="zh-CN"/>
        </w:rPr>
        <w:t>意见。</w:t>
      </w:r>
    </w:p>
    <w:p w14:paraId="406D500C">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您可随时提交意见或建议，供FDA审议。请将书面意见提交至美国食品药品监督管理局文档管理工作人员</w:t>
      </w:r>
      <w:r>
        <w:rPr>
          <w:rFonts w:hint="eastAsia" w:eastAsia="宋体" w:cs="宋体"/>
          <w:sz w:val="24"/>
          <w:szCs w:val="21"/>
          <w:lang w:eastAsia="zh-CN"/>
        </w:rPr>
        <w:t>，地址为</w:t>
      </w:r>
      <w:r>
        <w:rPr>
          <w:rFonts w:eastAsia="宋体" w:cs="宋体"/>
          <w:sz w:val="24"/>
          <w:szCs w:val="21"/>
          <w:lang w:eastAsia="zh-CN"/>
        </w:rPr>
        <w:t>5630 Fishers Lane, Rm. 1061, Rockville, MD 20852</w:t>
      </w:r>
      <w:r>
        <w:rPr>
          <w:rFonts w:hint="eastAsia" w:eastAsia="宋体" w:cs="宋体"/>
          <w:sz w:val="24"/>
          <w:szCs w:val="21"/>
          <w:lang w:eastAsia="zh-CN"/>
        </w:rPr>
        <w:t>。</w:t>
      </w:r>
      <w:r>
        <w:rPr>
          <w:rFonts w:eastAsia="宋体" w:cs="宋体"/>
          <w:sz w:val="24"/>
          <w:szCs w:val="21"/>
          <w:lang w:eastAsia="zh-CN"/>
        </w:rPr>
        <w:t>请将电子版意见提交至</w:t>
      </w:r>
      <w:r>
        <w:fldChar w:fldCharType="begin"/>
      </w:r>
      <w:r>
        <w:rPr>
          <w:lang w:eastAsia="zh-CN"/>
        </w:rPr>
        <w:instrText xml:space="preserve"> HYPERLINK "https://www.regulations.gov/" \h </w:instrText>
      </w:r>
      <w:r>
        <w:fldChar w:fldCharType="separate"/>
      </w:r>
      <w:r>
        <w:rPr>
          <w:rFonts w:eastAsia="宋体" w:cs="宋体"/>
          <w:color w:val="0000FF"/>
          <w:sz w:val="24"/>
          <w:szCs w:val="21"/>
          <w:u w:val="single" w:color="0000FF"/>
          <w:lang w:eastAsia="zh-CN"/>
        </w:rPr>
        <w:t>https://www.regulations.gov</w:t>
      </w:r>
      <w:r>
        <w:rPr>
          <w:rFonts w:eastAsia="宋体" w:cs="宋体"/>
          <w:color w:val="0000FF"/>
          <w:sz w:val="24"/>
          <w:szCs w:val="21"/>
          <w:u w:val="single" w:color="0000FF"/>
          <w:lang w:eastAsia="zh-CN"/>
        </w:rPr>
        <w:fldChar w:fldCharType="end"/>
      </w:r>
      <w:r>
        <w:rPr>
          <w:rFonts w:eastAsia="宋体" w:cs="宋体"/>
          <w:sz w:val="24"/>
          <w:szCs w:val="21"/>
          <w:lang w:eastAsia="zh-CN"/>
        </w:rPr>
        <w:t>。</w:t>
      </w:r>
    </w:p>
    <w:p w14:paraId="3CA4BED1">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在提交所有意见或建议时，应注明备案文件编号FDA-2020-D-1138和申请中指南的完整标题。</w:t>
      </w:r>
    </w:p>
    <w:p w14:paraId="17392554">
      <w:pPr>
        <w:overflowPunct w:val="0"/>
        <w:snapToGrid w:val="0"/>
        <w:spacing w:before="36" w:beforeLines="15" w:line="276" w:lineRule="auto"/>
        <w:jc w:val="both"/>
        <w:rPr>
          <w:b/>
          <w:sz w:val="24"/>
          <w:szCs w:val="24"/>
        </w:rPr>
      </w:pPr>
      <w:r>
        <w:rPr>
          <w:rFonts w:eastAsia="宋体" w:cs="宋体"/>
          <w:b/>
          <w:sz w:val="24"/>
          <w:szCs w:val="24"/>
        </w:rPr>
        <w:t>更多副本</w:t>
      </w:r>
    </w:p>
    <w:p w14:paraId="0659D359">
      <w:pPr>
        <w:overflowPunct w:val="0"/>
        <w:adjustRightInd w:val="0"/>
        <w:snapToGrid w:val="0"/>
        <w:spacing w:before="36" w:beforeLines="15" w:line="276" w:lineRule="auto"/>
        <w:jc w:val="both"/>
        <w:rPr>
          <w:sz w:val="24"/>
          <w:szCs w:val="21"/>
          <w:lang w:eastAsia="zh-CN"/>
        </w:rPr>
      </w:pPr>
      <w:r>
        <w:rPr>
          <w:rFonts w:eastAsia="宋体" w:cs="宋体"/>
          <w:sz w:val="24"/>
          <w:szCs w:val="21"/>
        </w:rPr>
        <w:t>在FDA网页标题为《面向行业、FDA工作人员及其他利益相关方的COVID-19相关指南文件》（</w:t>
      </w:r>
      <w:r>
        <w:rPr>
          <w:rFonts w:eastAsia="宋体" w:cs="宋体"/>
          <w:i/>
          <w:sz w:val="24"/>
          <w:szCs w:val="21"/>
        </w:rPr>
        <w:t>可登录以下网址获取</w:t>
      </w:r>
      <w:r>
        <w:rPr>
          <w:rFonts w:eastAsia="宋体" w:cs="宋体"/>
          <w:sz w:val="24"/>
          <w:szCs w:val="21"/>
        </w:rPr>
        <w:t>：</w:t>
      </w:r>
      <w:r>
        <w:fldChar w:fldCharType="begin"/>
      </w:r>
      <w:r>
        <w:instrText xml:space="preserve"> HYPERLINK "https://www.fda.gov/emergency-preparedness-and-response/mcm-issues/covid-19-related-guidance-documents-industry-fda-staff-and-other-stakeholders" </w:instrText>
      </w:r>
      <w:r>
        <w:fldChar w:fldCharType="separate"/>
      </w:r>
      <w:r>
        <w:rPr>
          <w:rStyle w:val="16"/>
          <w:rFonts w:eastAsia="宋体" w:cs="宋体"/>
          <w:sz w:val="24"/>
          <w:szCs w:val="21"/>
          <w:u w:color="0000FF"/>
        </w:rPr>
        <w:t>https://www.fda.gov/emergency-preparedness-and-response/mcm-issues/covid-19-related-guidance-documents-industry-fda-staff-and-other-stakeholders</w:t>
      </w:r>
      <w:r>
        <w:rPr>
          <w:rStyle w:val="16"/>
          <w:rFonts w:eastAsia="宋体" w:cs="宋体"/>
          <w:sz w:val="24"/>
          <w:szCs w:val="21"/>
          <w:u w:color="0000FF"/>
        </w:rPr>
        <w:fldChar w:fldCharType="end"/>
      </w:r>
      <w:r>
        <w:rPr>
          <w:rFonts w:eastAsia="宋体" w:cs="宋体"/>
          <w:sz w:val="24"/>
          <w:szCs w:val="21"/>
        </w:rPr>
        <w:t>）以及《FDA指南文件搜索》（</w:t>
      </w:r>
      <w:r>
        <w:rPr>
          <w:rFonts w:eastAsia="宋体" w:cs="宋体"/>
          <w:i/>
          <w:sz w:val="24"/>
          <w:szCs w:val="21"/>
        </w:rPr>
        <w:t>可登录以下网址获取</w:t>
      </w:r>
      <w:r>
        <w:rPr>
          <w:rFonts w:eastAsia="宋体" w:cs="宋体"/>
          <w:sz w:val="24"/>
          <w:szCs w:val="21"/>
        </w:rPr>
        <w:t>：</w:t>
      </w:r>
      <w:r>
        <w:fldChar w:fldCharType="begin"/>
      </w:r>
      <w:r>
        <w:instrText xml:space="preserve"> HYPERLINK "https://www.fda.gov/regulatory-information/search-fda-guidance-documents" </w:instrText>
      </w:r>
      <w:r>
        <w:fldChar w:fldCharType="separate"/>
      </w:r>
      <w:r>
        <w:rPr>
          <w:rStyle w:val="16"/>
          <w:rFonts w:eastAsia="宋体" w:cs="宋体"/>
          <w:sz w:val="24"/>
          <w:szCs w:val="21"/>
          <w:u w:color="0000FF"/>
        </w:rPr>
        <w:t>https://www.fda.gov/regulatory-information/search-fda-guidance-documents</w:t>
      </w:r>
      <w:r>
        <w:rPr>
          <w:rStyle w:val="16"/>
          <w:rFonts w:eastAsia="宋体" w:cs="宋体"/>
          <w:sz w:val="24"/>
          <w:szCs w:val="21"/>
          <w:u w:color="0000FF"/>
        </w:rPr>
        <w:fldChar w:fldCharType="end"/>
      </w:r>
      <w:r>
        <w:rPr>
          <w:rFonts w:eastAsia="宋体" w:cs="宋体"/>
          <w:sz w:val="24"/>
          <w:szCs w:val="21"/>
        </w:rPr>
        <w:t>）中可获取其他副本。也可以通过电子邮件发送请求至</w:t>
      </w:r>
      <w:r>
        <w:fldChar w:fldCharType="begin"/>
      </w:r>
      <w:r>
        <w:instrText xml:space="preserve"> HYPERLINK "mailto:CDRH-Guidance@fda.hhs.gov" \h </w:instrText>
      </w:r>
      <w:r>
        <w:fldChar w:fldCharType="separate"/>
      </w:r>
      <w:r>
        <w:rPr>
          <w:rFonts w:eastAsia="宋体" w:cs="宋体"/>
          <w:color w:val="0000FF"/>
          <w:sz w:val="24"/>
          <w:szCs w:val="21"/>
          <w:u w:val="single" w:color="0000FF"/>
        </w:rPr>
        <w:t>CDRH-Guidance@fda.hhs.gov</w:t>
      </w:r>
      <w:r>
        <w:rPr>
          <w:rFonts w:eastAsia="宋体" w:cs="宋体"/>
          <w:color w:val="0000FF"/>
          <w:sz w:val="24"/>
          <w:szCs w:val="21"/>
          <w:u w:val="single" w:color="0000FF"/>
        </w:rPr>
        <w:fldChar w:fldCharType="end"/>
      </w:r>
      <w:r>
        <w:rPr>
          <w:rFonts w:eastAsia="宋体" w:cs="宋体"/>
          <w:sz w:val="24"/>
          <w:szCs w:val="21"/>
        </w:rPr>
        <w:t>获取本指南的副本。</w:t>
      </w:r>
      <w:r>
        <w:rPr>
          <w:rFonts w:eastAsia="宋体" w:cs="宋体"/>
          <w:sz w:val="24"/>
          <w:szCs w:val="21"/>
          <w:lang w:eastAsia="zh-CN"/>
        </w:rPr>
        <w:t>请在申请中注明文件编号20032-R2和指南的完整标题。</w:t>
      </w:r>
    </w:p>
    <w:p w14:paraId="3F0DA9EA">
      <w:pPr>
        <w:overflowPunct w:val="0"/>
        <w:snapToGrid w:val="0"/>
        <w:spacing w:before="36" w:beforeLines="15" w:line="276" w:lineRule="auto"/>
        <w:jc w:val="both"/>
        <w:rPr>
          <w:b/>
          <w:sz w:val="24"/>
          <w:szCs w:val="24"/>
        </w:rPr>
      </w:pPr>
      <w:r>
        <w:rPr>
          <w:rFonts w:eastAsia="宋体" w:cs="宋体"/>
          <w:b/>
          <w:sz w:val="24"/>
          <w:szCs w:val="24"/>
        </w:rPr>
        <w:t>问题</w:t>
      </w:r>
    </w:p>
    <w:p w14:paraId="0A3C52C6">
      <w:pPr>
        <w:overflowPunct w:val="0"/>
        <w:adjustRightInd w:val="0"/>
        <w:snapToGrid w:val="0"/>
        <w:spacing w:before="36" w:beforeLines="15" w:line="276" w:lineRule="auto"/>
        <w:jc w:val="both"/>
        <w:rPr>
          <w:sz w:val="24"/>
          <w:szCs w:val="21"/>
        </w:rPr>
      </w:pPr>
      <w:r>
        <w:rPr>
          <w:rFonts w:eastAsia="宋体" w:cs="宋体"/>
          <w:sz w:val="24"/>
          <w:szCs w:val="21"/>
        </w:rPr>
        <w:t>如对本文件有任何疑问，请联系</w:t>
      </w:r>
      <w:r>
        <w:fldChar w:fldCharType="begin"/>
      </w:r>
      <w:r>
        <w:instrText xml:space="preserve"> HYPERLINK "mailto:CDRHManufacturerShortage@fda.hhs.gov" \h </w:instrText>
      </w:r>
      <w:r>
        <w:fldChar w:fldCharType="separate"/>
      </w:r>
      <w:r>
        <w:rPr>
          <w:rFonts w:eastAsia="宋体" w:cs="宋体"/>
          <w:color w:val="0000FF"/>
          <w:sz w:val="24"/>
          <w:szCs w:val="21"/>
          <w:u w:val="single" w:color="0000FF"/>
        </w:rPr>
        <w:t>CDRHManufacturerShortage@fda.hhs.gov</w:t>
      </w:r>
      <w:r>
        <w:rPr>
          <w:rFonts w:eastAsia="宋体" w:cs="宋体"/>
          <w:color w:val="0000FF"/>
          <w:sz w:val="24"/>
          <w:szCs w:val="21"/>
          <w:u w:val="single" w:color="0000FF"/>
        </w:rPr>
        <w:fldChar w:fldCharType="end"/>
      </w:r>
      <w:r>
        <w:rPr>
          <w:rFonts w:eastAsia="宋体" w:cs="宋体"/>
          <w:sz w:val="24"/>
          <w:szCs w:val="21"/>
        </w:rPr>
        <w:t>。</w:t>
      </w:r>
    </w:p>
    <w:p w14:paraId="47402476">
      <w:pPr>
        <w:overflowPunct w:val="0"/>
        <w:snapToGrid w:val="0"/>
        <w:spacing w:before="36" w:beforeLines="15" w:line="276" w:lineRule="auto"/>
        <w:rPr>
          <w:rFonts w:eastAsia="宋体" w:cs="宋体"/>
          <w:b/>
          <w:sz w:val="28"/>
          <w:lang w:eastAsia="zh-CN"/>
        </w:rPr>
      </w:pPr>
    </w:p>
    <w:p w14:paraId="02C394FE">
      <w:pPr>
        <w:overflowPunct w:val="0"/>
        <w:snapToGrid w:val="0"/>
        <w:spacing w:before="36" w:beforeLines="15" w:line="276" w:lineRule="auto"/>
        <w:rPr>
          <w:rFonts w:eastAsia="宋体" w:cs="宋体"/>
          <w:b/>
          <w:sz w:val="28"/>
          <w:lang w:eastAsia="zh-CN"/>
        </w:rPr>
      </w:pPr>
    </w:p>
    <w:p w14:paraId="24378AC0">
      <w:pPr>
        <w:rPr>
          <w:rFonts w:eastAsia="宋体" w:cs="宋体"/>
          <w:b/>
          <w:sz w:val="28"/>
          <w:lang w:eastAsia="zh-CN"/>
        </w:rPr>
      </w:pPr>
      <w:r>
        <w:rPr>
          <w:rFonts w:eastAsia="宋体" w:cs="宋体"/>
          <w:b/>
          <w:sz w:val="28"/>
          <w:lang w:eastAsia="zh-CN"/>
        </w:rPr>
        <w:br w:type="page"/>
      </w:r>
    </w:p>
    <w:p w14:paraId="01D29D41">
      <w:pPr>
        <w:overflowPunct w:val="0"/>
        <w:snapToGrid w:val="0"/>
        <w:spacing w:before="36" w:beforeLines="15" w:line="276" w:lineRule="auto"/>
        <w:jc w:val="center"/>
        <w:rPr>
          <w:rFonts w:eastAsia="宋体" w:cs="宋体"/>
          <w:b/>
          <w:sz w:val="28"/>
          <w:lang w:eastAsia="zh-CN"/>
        </w:rPr>
      </w:pPr>
      <w:r>
        <w:rPr>
          <w:rFonts w:eastAsia="宋体" w:cs="宋体"/>
          <w:b/>
          <w:sz w:val="28"/>
        </w:rPr>
        <w:t>目录</w:t>
      </w:r>
    </w:p>
    <w:p w14:paraId="07E78542">
      <w:pPr>
        <w:pStyle w:val="10"/>
        <w:tabs>
          <w:tab w:val="left" w:pos="840"/>
          <w:tab w:val="right" w:leader="dot" w:pos="9374"/>
        </w:tabs>
        <w:overflowPunct w:val="0"/>
        <w:spacing w:before="36"/>
        <w:rPr>
          <w:rFonts w:asciiTheme="minorHAnsi" w:hAnsiTheme="minorHAnsi" w:eastAsiaTheme="minorEastAsia" w:cstheme="minorBidi"/>
          <w:kern w:val="2"/>
          <w:sz w:val="24"/>
          <w:lang w:eastAsia="zh-CN" w:bidi="ar-SA"/>
        </w:rPr>
      </w:pPr>
      <w:r>
        <w:rPr>
          <w:sz w:val="28"/>
          <w:szCs w:val="28"/>
          <w:lang w:eastAsia="zh-CN"/>
        </w:rPr>
        <w:fldChar w:fldCharType="begin"/>
      </w:r>
      <w:r>
        <w:rPr>
          <w:sz w:val="28"/>
          <w:szCs w:val="28"/>
          <w:lang w:eastAsia="zh-CN"/>
        </w:rPr>
        <w:instrText xml:space="preserve"> TOC \o "1-3" \h \z \u </w:instrText>
      </w:r>
      <w:r>
        <w:rPr>
          <w:sz w:val="28"/>
          <w:szCs w:val="28"/>
          <w:lang w:eastAsia="zh-CN"/>
        </w:rPr>
        <w:fldChar w:fldCharType="separate"/>
      </w:r>
      <w:r>
        <w:fldChar w:fldCharType="begin"/>
      </w:r>
      <w:r>
        <w:instrText xml:space="preserve"> HYPERLINK \l "_Toc90399099" </w:instrText>
      </w:r>
      <w:r>
        <w:fldChar w:fldCharType="separate"/>
      </w:r>
      <w:r>
        <w:rPr>
          <w:rStyle w:val="16"/>
          <w:sz w:val="24"/>
        </w:rPr>
        <w:t>I.</w:t>
      </w:r>
      <w:r>
        <w:rPr>
          <w:rFonts w:asciiTheme="minorHAnsi" w:hAnsiTheme="minorHAnsi" w:eastAsiaTheme="minorEastAsia" w:cstheme="minorBidi"/>
          <w:kern w:val="2"/>
          <w:sz w:val="24"/>
          <w:lang w:eastAsia="zh-CN" w:bidi="ar-SA"/>
        </w:rPr>
        <w:tab/>
      </w:r>
      <w:r>
        <w:rPr>
          <w:rStyle w:val="16"/>
          <w:rFonts w:hint="eastAsia" w:cs="宋体"/>
          <w:sz w:val="24"/>
        </w:rPr>
        <w:t>引言</w:t>
      </w:r>
      <w:r>
        <w:rPr>
          <w:sz w:val="24"/>
        </w:rPr>
        <w:tab/>
      </w:r>
      <w:r>
        <w:rPr>
          <w:sz w:val="24"/>
        </w:rPr>
        <w:fldChar w:fldCharType="begin"/>
      </w:r>
      <w:r>
        <w:rPr>
          <w:sz w:val="24"/>
        </w:rPr>
        <w:instrText xml:space="preserve"> PAGEREF _Toc90399099 \h </w:instrText>
      </w:r>
      <w:r>
        <w:rPr>
          <w:sz w:val="24"/>
        </w:rPr>
        <w:fldChar w:fldCharType="separate"/>
      </w:r>
      <w:r>
        <w:rPr>
          <w:sz w:val="24"/>
        </w:rPr>
        <w:t>1</w:t>
      </w:r>
      <w:r>
        <w:rPr>
          <w:sz w:val="24"/>
        </w:rPr>
        <w:fldChar w:fldCharType="end"/>
      </w:r>
      <w:r>
        <w:rPr>
          <w:sz w:val="24"/>
        </w:rPr>
        <w:fldChar w:fldCharType="end"/>
      </w:r>
    </w:p>
    <w:p w14:paraId="57EFE2C2">
      <w:pPr>
        <w:pStyle w:val="10"/>
        <w:tabs>
          <w:tab w:val="left" w:pos="840"/>
          <w:tab w:val="right" w:leader="dot" w:pos="9374"/>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"_Toc90399100" </w:instrText>
      </w:r>
      <w:r>
        <w:fldChar w:fldCharType="separate"/>
      </w:r>
      <w:r>
        <w:rPr>
          <w:rStyle w:val="16"/>
          <w:sz w:val="24"/>
        </w:rPr>
        <w:t>II.</w:t>
      </w:r>
      <w:r>
        <w:rPr>
          <w:rFonts w:asciiTheme="minorHAnsi" w:hAnsiTheme="minorHAnsi" w:eastAsiaTheme="minorEastAsia" w:cstheme="minorBidi"/>
          <w:kern w:val="2"/>
          <w:sz w:val="24"/>
          <w:lang w:eastAsia="zh-CN" w:bidi="ar-SA"/>
        </w:rPr>
        <w:tab/>
      </w:r>
      <w:r>
        <w:rPr>
          <w:rStyle w:val="16"/>
          <w:rFonts w:hint="eastAsia" w:cs="宋体"/>
          <w:sz w:val="24"/>
        </w:rPr>
        <w:t>背景</w:t>
      </w:r>
      <w:r>
        <w:rPr>
          <w:sz w:val="24"/>
        </w:rPr>
        <w:tab/>
      </w:r>
      <w:r>
        <w:rPr>
          <w:sz w:val="24"/>
        </w:rPr>
        <w:fldChar w:fldCharType="begin"/>
      </w:r>
      <w:r>
        <w:rPr>
          <w:sz w:val="24"/>
        </w:rPr>
        <w:instrText xml:space="preserve"> PAGEREF _Toc90399100 \h </w:instrText>
      </w:r>
      <w:r>
        <w:rPr>
          <w:sz w:val="24"/>
        </w:rPr>
        <w:fldChar w:fldCharType="separate"/>
      </w:r>
      <w:r>
        <w:rPr>
          <w:sz w:val="24"/>
        </w:rPr>
        <w:t>2</w:t>
      </w:r>
      <w:r>
        <w:rPr>
          <w:sz w:val="24"/>
        </w:rPr>
        <w:fldChar w:fldCharType="end"/>
      </w:r>
      <w:r>
        <w:rPr>
          <w:sz w:val="24"/>
        </w:rPr>
        <w:fldChar w:fldCharType="end"/>
      </w:r>
    </w:p>
    <w:p w14:paraId="28DB1CA3">
      <w:pPr>
        <w:pStyle w:val="10"/>
        <w:tabs>
          <w:tab w:val="left" w:pos="840"/>
          <w:tab w:val="right" w:leader="dot" w:pos="9374"/>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"_Toc90399101" </w:instrText>
      </w:r>
      <w:r>
        <w:fldChar w:fldCharType="separate"/>
      </w:r>
      <w:r>
        <w:rPr>
          <w:rStyle w:val="16"/>
          <w:sz w:val="24"/>
        </w:rPr>
        <w:t>III.</w:t>
      </w:r>
      <w:r>
        <w:rPr>
          <w:rFonts w:asciiTheme="minorHAnsi" w:hAnsiTheme="minorHAnsi" w:eastAsiaTheme="minorEastAsia" w:cstheme="minorBidi"/>
          <w:kern w:val="2"/>
          <w:sz w:val="24"/>
          <w:lang w:eastAsia="zh-CN" w:bidi="ar-SA"/>
        </w:rPr>
        <w:tab/>
      </w:r>
      <w:r>
        <w:rPr>
          <w:rStyle w:val="16"/>
          <w:rFonts w:hint="eastAsia" w:cs="宋体"/>
          <w:sz w:val="24"/>
          <w:lang w:eastAsia="zh-CN"/>
        </w:rPr>
        <w:t>通知</w:t>
      </w:r>
      <w:r>
        <w:rPr>
          <w:rStyle w:val="16"/>
          <w:rFonts w:cs="宋体"/>
          <w:sz w:val="24"/>
          <w:lang w:eastAsia="zh-CN"/>
        </w:rPr>
        <w:t>CDRH</w:t>
      </w:r>
      <w:r>
        <w:rPr>
          <w:rStyle w:val="16"/>
          <w:rFonts w:hint="eastAsia" w:cs="宋体"/>
          <w:sz w:val="24"/>
          <w:lang w:eastAsia="zh-CN"/>
        </w:rPr>
        <w:t>关于中断或永久停止生产的政策</w:t>
      </w:r>
      <w:r>
        <w:rPr>
          <w:sz w:val="24"/>
        </w:rPr>
        <w:tab/>
      </w:r>
      <w:r>
        <w:rPr>
          <w:sz w:val="24"/>
        </w:rPr>
        <w:fldChar w:fldCharType="begin"/>
      </w:r>
      <w:r>
        <w:rPr>
          <w:sz w:val="24"/>
        </w:rPr>
        <w:instrText xml:space="preserve"> PAGEREF _Toc90399101 \h </w:instrText>
      </w:r>
      <w:r>
        <w:rPr>
          <w:sz w:val="24"/>
        </w:rPr>
        <w:fldChar w:fldCharType="separate"/>
      </w:r>
      <w:r>
        <w:rPr>
          <w:sz w:val="24"/>
        </w:rPr>
        <w:t>3</w:t>
      </w:r>
      <w:r>
        <w:rPr>
          <w:sz w:val="24"/>
        </w:rPr>
        <w:fldChar w:fldCharType="end"/>
      </w:r>
      <w:r>
        <w:rPr>
          <w:sz w:val="24"/>
        </w:rPr>
        <w:fldChar w:fldCharType="end"/>
      </w:r>
    </w:p>
    <w:p w14:paraId="78E6608B">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"_Toc90399102" </w:instrText>
      </w:r>
      <w:r>
        <w:fldChar w:fldCharType="separate"/>
      </w:r>
      <w:r>
        <w:rPr>
          <w:rStyle w:val="16"/>
          <w:bCs/>
          <w:sz w:val="24"/>
        </w:rPr>
        <w:t>A.</w:t>
      </w:r>
      <w:r>
        <w:rPr>
          <w:rFonts w:asciiTheme="minorHAnsi" w:hAnsiTheme="minorHAnsi" w:eastAsiaTheme="minorEastAsia" w:cstheme="minorBidi"/>
          <w:kern w:val="2"/>
          <w:sz w:val="24"/>
          <w:lang w:eastAsia="zh-CN" w:bidi="ar-SA"/>
        </w:rPr>
        <w:tab/>
      </w:r>
      <w:r>
        <w:rPr>
          <w:rStyle w:val="16"/>
          <w:rFonts w:hint="eastAsia" w:cs="宋体"/>
          <w:sz w:val="24"/>
        </w:rPr>
        <w:t>必须提交通知的</w:t>
      </w:r>
      <w:r>
        <w:rPr>
          <w:rStyle w:val="16"/>
          <w:rFonts w:hint="eastAsia" w:cs="宋体"/>
          <w:sz w:val="24"/>
          <w:lang w:eastAsia="zh-CN"/>
        </w:rPr>
        <w:t>制造商</w:t>
      </w:r>
      <w:r>
        <w:rPr>
          <w:sz w:val="24"/>
        </w:rPr>
        <w:tab/>
      </w:r>
      <w:r>
        <w:rPr>
          <w:sz w:val="24"/>
        </w:rPr>
        <w:fldChar w:fldCharType="begin"/>
      </w:r>
      <w:r>
        <w:rPr>
          <w:sz w:val="24"/>
        </w:rPr>
        <w:instrText xml:space="preserve"> PAGEREF _Toc90399102 \h </w:instrText>
      </w:r>
      <w:r>
        <w:rPr>
          <w:sz w:val="24"/>
        </w:rPr>
        <w:fldChar w:fldCharType="separate"/>
      </w:r>
      <w:r>
        <w:rPr>
          <w:sz w:val="24"/>
        </w:rPr>
        <w:t>3</w:t>
      </w:r>
      <w:r>
        <w:rPr>
          <w:sz w:val="24"/>
        </w:rPr>
        <w:fldChar w:fldCharType="end"/>
      </w:r>
      <w:r>
        <w:rPr>
          <w:sz w:val="24"/>
        </w:rPr>
        <w:fldChar w:fldCharType="end"/>
      </w:r>
    </w:p>
    <w:p w14:paraId="3912B1B4">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"_Toc90399103" </w:instrText>
      </w:r>
      <w:r>
        <w:fldChar w:fldCharType="separate"/>
      </w:r>
      <w:r>
        <w:rPr>
          <w:rStyle w:val="16"/>
          <w:bCs/>
          <w:sz w:val="24"/>
        </w:rPr>
        <w:t>B.</w:t>
      </w:r>
      <w:r>
        <w:rPr>
          <w:rFonts w:asciiTheme="minorHAnsi" w:hAnsiTheme="minorHAnsi" w:eastAsiaTheme="minorEastAsia" w:cstheme="minorBidi"/>
          <w:kern w:val="2"/>
          <w:sz w:val="24"/>
          <w:lang w:eastAsia="zh-CN" w:bidi="ar-SA"/>
        </w:rPr>
        <w:tab/>
      </w:r>
      <w:r>
        <w:rPr>
          <w:rStyle w:val="16"/>
          <w:rFonts w:hint="eastAsia" w:cs="宋体"/>
          <w:sz w:val="24"/>
        </w:rPr>
        <w:t>提交通知的时间</w:t>
      </w:r>
      <w:r>
        <w:rPr>
          <w:sz w:val="24"/>
        </w:rPr>
        <w:tab/>
      </w:r>
      <w:r>
        <w:rPr>
          <w:sz w:val="24"/>
        </w:rPr>
        <w:fldChar w:fldCharType="begin"/>
      </w:r>
      <w:r>
        <w:rPr>
          <w:sz w:val="24"/>
        </w:rPr>
        <w:instrText xml:space="preserve"> PAGEREF _Toc90399103 \h </w:instrText>
      </w:r>
      <w:r>
        <w:rPr>
          <w:sz w:val="24"/>
        </w:rPr>
        <w:fldChar w:fldCharType="separate"/>
      </w:r>
      <w:r>
        <w:rPr>
          <w:sz w:val="24"/>
        </w:rPr>
        <w:t>5</w:t>
      </w:r>
      <w:r>
        <w:rPr>
          <w:sz w:val="24"/>
        </w:rPr>
        <w:fldChar w:fldCharType="end"/>
      </w:r>
      <w:r>
        <w:rPr>
          <w:sz w:val="24"/>
        </w:rPr>
        <w:fldChar w:fldCharType="end"/>
      </w:r>
    </w:p>
    <w:p w14:paraId="1D380DF3">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"_Toc90399104" </w:instrText>
      </w:r>
      <w:r>
        <w:fldChar w:fldCharType="separate"/>
      </w:r>
      <w:r>
        <w:rPr>
          <w:rStyle w:val="16"/>
          <w:bCs/>
          <w:sz w:val="24"/>
        </w:rPr>
        <w:t>C.</w:t>
      </w:r>
      <w:r>
        <w:rPr>
          <w:rFonts w:asciiTheme="minorHAnsi" w:hAnsiTheme="minorHAnsi" w:eastAsiaTheme="minorEastAsia" w:cstheme="minorBidi"/>
          <w:kern w:val="2"/>
          <w:sz w:val="24"/>
          <w:lang w:eastAsia="zh-CN" w:bidi="ar-SA"/>
        </w:rPr>
        <w:tab/>
      </w:r>
      <w:r>
        <w:rPr>
          <w:rStyle w:val="16"/>
          <w:rFonts w:hint="eastAsia" w:cs="宋体"/>
          <w:sz w:val="24"/>
        </w:rPr>
        <w:t>《</w:t>
      </w:r>
      <w:r>
        <w:rPr>
          <w:rStyle w:val="16"/>
          <w:rFonts w:cs="宋体"/>
          <w:sz w:val="24"/>
        </w:rPr>
        <w:t>506J</w:t>
      </w:r>
      <w:r>
        <w:rPr>
          <w:rStyle w:val="16"/>
          <w:rFonts w:hint="eastAsia" w:cs="宋体"/>
          <w:sz w:val="24"/>
        </w:rPr>
        <w:t>通知》中所包含的信息</w:t>
      </w:r>
      <w:r>
        <w:rPr>
          <w:sz w:val="24"/>
        </w:rPr>
        <w:tab/>
      </w:r>
      <w:r>
        <w:rPr>
          <w:sz w:val="24"/>
        </w:rPr>
        <w:fldChar w:fldCharType="begin"/>
      </w:r>
      <w:r>
        <w:rPr>
          <w:sz w:val="24"/>
        </w:rPr>
        <w:instrText xml:space="preserve"> PAGEREF _Toc90399104 \h </w:instrText>
      </w:r>
      <w:r>
        <w:rPr>
          <w:sz w:val="24"/>
        </w:rPr>
        <w:fldChar w:fldCharType="separate"/>
      </w:r>
      <w:r>
        <w:rPr>
          <w:sz w:val="24"/>
        </w:rPr>
        <w:t>6</w:t>
      </w:r>
      <w:r>
        <w:rPr>
          <w:sz w:val="24"/>
        </w:rPr>
        <w:fldChar w:fldCharType="end"/>
      </w:r>
      <w:r>
        <w:rPr>
          <w:sz w:val="24"/>
        </w:rPr>
        <w:fldChar w:fldCharType="end"/>
      </w:r>
    </w:p>
    <w:p w14:paraId="0A7BE8AA">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"_Toc90399105" </w:instrText>
      </w:r>
      <w:r>
        <w:fldChar w:fldCharType="separate"/>
      </w:r>
      <w:r>
        <w:rPr>
          <w:rStyle w:val="16"/>
          <w:bCs/>
          <w:sz w:val="24"/>
        </w:rPr>
        <w:t>D.</w:t>
      </w:r>
      <w:r>
        <w:rPr>
          <w:rFonts w:asciiTheme="minorHAnsi" w:hAnsiTheme="minorHAnsi" w:eastAsiaTheme="minorEastAsia" w:cstheme="minorBidi"/>
          <w:kern w:val="2"/>
          <w:sz w:val="24"/>
          <w:lang w:eastAsia="zh-CN" w:bidi="ar-SA"/>
        </w:rPr>
        <w:tab/>
      </w:r>
      <w:r>
        <w:rPr>
          <w:rStyle w:val="16"/>
          <w:rFonts w:hint="eastAsia" w:cs="宋体"/>
          <w:sz w:val="24"/>
        </w:rPr>
        <w:t>提交通知的方式</w:t>
      </w:r>
      <w:r>
        <w:rPr>
          <w:sz w:val="24"/>
        </w:rPr>
        <w:tab/>
      </w:r>
      <w:r>
        <w:rPr>
          <w:sz w:val="24"/>
        </w:rPr>
        <w:fldChar w:fldCharType="begin"/>
      </w:r>
      <w:r>
        <w:rPr>
          <w:sz w:val="24"/>
        </w:rPr>
        <w:instrText xml:space="preserve"> PAGEREF _Toc90399105 \h </w:instrText>
      </w:r>
      <w:r>
        <w:rPr>
          <w:sz w:val="24"/>
        </w:rPr>
        <w:fldChar w:fldCharType="separate"/>
      </w:r>
      <w:r>
        <w:rPr>
          <w:sz w:val="24"/>
        </w:rPr>
        <w:t>7</w:t>
      </w:r>
      <w:r>
        <w:rPr>
          <w:sz w:val="24"/>
        </w:rPr>
        <w:fldChar w:fldCharType="end"/>
      </w:r>
      <w:r>
        <w:rPr>
          <w:sz w:val="24"/>
        </w:rPr>
        <w:fldChar w:fldCharType="end"/>
      </w:r>
    </w:p>
    <w:p w14:paraId="4E997CE0">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"_Toc90399106" </w:instrText>
      </w:r>
      <w:r>
        <w:fldChar w:fldCharType="separate"/>
      </w:r>
      <w:r>
        <w:rPr>
          <w:rStyle w:val="16"/>
          <w:bCs/>
          <w:sz w:val="24"/>
        </w:rPr>
        <w:t>E.</w:t>
      </w:r>
      <w:r>
        <w:rPr>
          <w:rFonts w:asciiTheme="minorHAnsi" w:hAnsiTheme="minorHAnsi" w:eastAsiaTheme="minorEastAsia" w:cstheme="minorBidi"/>
          <w:kern w:val="2"/>
          <w:sz w:val="24"/>
          <w:lang w:eastAsia="zh-CN" w:bidi="ar-SA"/>
        </w:rPr>
        <w:tab/>
      </w:r>
      <w:r>
        <w:rPr>
          <w:rStyle w:val="16"/>
          <w:rFonts w:hint="eastAsia" w:cs="宋体"/>
          <w:sz w:val="24"/>
        </w:rPr>
        <w:t>未提交通知</w:t>
      </w:r>
      <w:r>
        <w:rPr>
          <w:sz w:val="24"/>
        </w:rPr>
        <w:tab/>
      </w:r>
      <w:r>
        <w:rPr>
          <w:sz w:val="24"/>
        </w:rPr>
        <w:fldChar w:fldCharType="begin"/>
      </w:r>
      <w:r>
        <w:rPr>
          <w:sz w:val="24"/>
        </w:rPr>
        <w:instrText xml:space="preserve"> PAGEREF _Toc90399106 \h </w:instrText>
      </w:r>
      <w:r>
        <w:rPr>
          <w:sz w:val="24"/>
        </w:rPr>
        <w:fldChar w:fldCharType="separate"/>
      </w:r>
      <w:r>
        <w:rPr>
          <w:sz w:val="24"/>
        </w:rPr>
        <w:t>7</w:t>
      </w:r>
      <w:r>
        <w:rPr>
          <w:sz w:val="24"/>
        </w:rPr>
        <w:fldChar w:fldCharType="end"/>
      </w:r>
      <w:r>
        <w:rPr>
          <w:sz w:val="24"/>
        </w:rPr>
        <w:fldChar w:fldCharType="end"/>
      </w:r>
    </w:p>
    <w:p w14:paraId="71588346">
      <w:pPr>
        <w:pStyle w:val="10"/>
        <w:tabs>
          <w:tab w:val="left" w:pos="840"/>
          <w:tab w:val="right" w:leader="dot" w:pos="9374"/>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"_Toc90399107" </w:instrText>
      </w:r>
      <w:r>
        <w:fldChar w:fldCharType="separate"/>
      </w:r>
      <w:r>
        <w:rPr>
          <w:rStyle w:val="16"/>
          <w:sz w:val="24"/>
        </w:rPr>
        <w:t>IV.</w:t>
      </w:r>
      <w:r>
        <w:rPr>
          <w:rFonts w:asciiTheme="minorHAnsi" w:hAnsiTheme="minorHAnsi" w:eastAsiaTheme="minorEastAsia" w:cstheme="minorBidi"/>
          <w:kern w:val="2"/>
          <w:sz w:val="24"/>
          <w:lang w:eastAsia="zh-CN" w:bidi="ar-SA"/>
        </w:rPr>
        <w:tab/>
      </w:r>
      <w:r>
        <w:rPr>
          <w:rStyle w:val="16"/>
          <w:rFonts w:cs="宋体"/>
          <w:sz w:val="24"/>
          <w:lang w:eastAsia="zh-CN"/>
        </w:rPr>
        <w:t>FDA</w:t>
      </w:r>
      <w:r>
        <w:rPr>
          <w:rStyle w:val="16"/>
          <w:rFonts w:hint="eastAsia" w:cs="宋体"/>
          <w:sz w:val="24"/>
          <w:lang w:eastAsia="zh-CN"/>
        </w:rPr>
        <w:t>确定器械处于短缺状态</w:t>
      </w:r>
      <w:r>
        <w:rPr>
          <w:sz w:val="24"/>
        </w:rPr>
        <w:tab/>
      </w:r>
      <w:r>
        <w:rPr>
          <w:sz w:val="24"/>
        </w:rPr>
        <w:fldChar w:fldCharType="begin"/>
      </w:r>
      <w:r>
        <w:rPr>
          <w:sz w:val="24"/>
        </w:rPr>
        <w:instrText xml:space="preserve"> PAGEREF _Toc90399107 \h </w:instrText>
      </w:r>
      <w:r>
        <w:rPr>
          <w:sz w:val="24"/>
        </w:rPr>
        <w:fldChar w:fldCharType="separate"/>
      </w:r>
      <w:r>
        <w:rPr>
          <w:sz w:val="24"/>
        </w:rPr>
        <w:t>8</w:t>
      </w:r>
      <w:r>
        <w:rPr>
          <w:sz w:val="24"/>
        </w:rPr>
        <w:fldChar w:fldCharType="end"/>
      </w:r>
      <w:r>
        <w:rPr>
          <w:sz w:val="24"/>
        </w:rPr>
        <w:fldChar w:fldCharType="end"/>
      </w:r>
    </w:p>
    <w:p w14:paraId="6BB115D4">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"_Toc90399108" </w:instrText>
      </w:r>
      <w:r>
        <w:fldChar w:fldCharType="separate"/>
      </w:r>
      <w:r>
        <w:rPr>
          <w:rStyle w:val="16"/>
          <w:sz w:val="24"/>
          <w:lang w:eastAsia="zh-CN"/>
        </w:rPr>
        <w:t>A.</w:t>
      </w:r>
      <w:r>
        <w:rPr>
          <w:rFonts w:asciiTheme="minorHAnsi" w:hAnsiTheme="minorHAnsi" w:eastAsiaTheme="minorEastAsia" w:cstheme="minorBidi"/>
          <w:kern w:val="2"/>
          <w:sz w:val="24"/>
          <w:lang w:eastAsia="zh-CN" w:bidi="ar-SA"/>
        </w:rPr>
        <w:tab/>
      </w:r>
      <w:r>
        <w:rPr>
          <w:rStyle w:val="16"/>
          <w:rFonts w:cs="宋体"/>
          <w:sz w:val="24"/>
          <w:lang w:eastAsia="zh-CN"/>
        </w:rPr>
        <w:t>FDA</w:t>
      </w:r>
      <w:r>
        <w:rPr>
          <w:rStyle w:val="16"/>
          <w:rFonts w:hint="eastAsia" w:cs="宋体"/>
          <w:sz w:val="24"/>
          <w:lang w:eastAsia="zh-CN"/>
        </w:rPr>
        <w:t>如何确定哪些器械处于短缺状态</w:t>
      </w:r>
      <w:r>
        <w:rPr>
          <w:sz w:val="24"/>
        </w:rPr>
        <w:tab/>
      </w:r>
      <w:r>
        <w:rPr>
          <w:sz w:val="24"/>
        </w:rPr>
        <w:fldChar w:fldCharType="begin"/>
      </w:r>
      <w:r>
        <w:rPr>
          <w:sz w:val="24"/>
        </w:rPr>
        <w:instrText xml:space="preserve"> PAGEREF _Toc90399108 \h </w:instrText>
      </w:r>
      <w:r>
        <w:rPr>
          <w:sz w:val="24"/>
        </w:rPr>
        <w:fldChar w:fldCharType="separate"/>
      </w:r>
      <w:r>
        <w:rPr>
          <w:sz w:val="24"/>
        </w:rPr>
        <w:t>8</w:t>
      </w:r>
      <w:r>
        <w:rPr>
          <w:sz w:val="24"/>
        </w:rPr>
        <w:fldChar w:fldCharType="end"/>
      </w:r>
      <w:r>
        <w:rPr>
          <w:sz w:val="24"/>
        </w:rPr>
        <w:fldChar w:fldCharType="end"/>
      </w:r>
    </w:p>
    <w:p w14:paraId="039F5A88">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"_Toc90399109" </w:instrText>
      </w:r>
      <w:r>
        <w:fldChar w:fldCharType="separate"/>
      </w:r>
      <w:r>
        <w:rPr>
          <w:rStyle w:val="16"/>
          <w:sz w:val="24"/>
          <w:lang w:eastAsia="zh-CN"/>
        </w:rPr>
        <w:t>B.</w:t>
      </w:r>
      <w:r>
        <w:rPr>
          <w:rFonts w:asciiTheme="minorHAnsi" w:hAnsiTheme="minorHAnsi" w:eastAsiaTheme="minorEastAsia" w:cstheme="minorBidi"/>
          <w:kern w:val="2"/>
          <w:sz w:val="24"/>
          <w:lang w:eastAsia="zh-CN" w:bidi="ar-SA"/>
        </w:rPr>
        <w:tab/>
      </w:r>
      <w:r>
        <w:rPr>
          <w:rStyle w:val="16"/>
          <w:rFonts w:cs="宋体"/>
          <w:sz w:val="24"/>
          <w:lang w:eastAsia="zh-CN"/>
        </w:rPr>
        <w:t>FDA</w:t>
      </w:r>
      <w:r>
        <w:rPr>
          <w:rStyle w:val="16"/>
          <w:rFonts w:hint="eastAsia" w:cs="宋体"/>
          <w:sz w:val="24"/>
          <w:lang w:eastAsia="zh-CN"/>
        </w:rPr>
        <w:t>确定处于短缺状态的器械清单</w:t>
      </w:r>
      <w:r>
        <w:rPr>
          <w:sz w:val="24"/>
        </w:rPr>
        <w:tab/>
      </w:r>
      <w:r>
        <w:rPr>
          <w:sz w:val="24"/>
        </w:rPr>
        <w:fldChar w:fldCharType="begin"/>
      </w:r>
      <w:r>
        <w:rPr>
          <w:sz w:val="24"/>
        </w:rPr>
        <w:instrText xml:space="preserve"> PAGEREF _Toc90399109 \h </w:instrText>
      </w:r>
      <w:r>
        <w:rPr>
          <w:sz w:val="24"/>
        </w:rPr>
        <w:fldChar w:fldCharType="separate"/>
      </w:r>
      <w:r>
        <w:rPr>
          <w:sz w:val="24"/>
        </w:rPr>
        <w:t>9</w:t>
      </w:r>
      <w:r>
        <w:rPr>
          <w:sz w:val="24"/>
        </w:rPr>
        <w:fldChar w:fldCharType="end"/>
      </w:r>
      <w:r>
        <w:rPr>
          <w:sz w:val="24"/>
        </w:rPr>
        <w:fldChar w:fldCharType="end"/>
      </w:r>
    </w:p>
    <w:p w14:paraId="1360D845">
      <w:pPr>
        <w:pStyle w:val="11"/>
        <w:tabs>
          <w:tab w:val="left" w:pos="840"/>
          <w:tab w:val="right" w:leader="dot" w:pos="9374"/>
        </w:tabs>
        <w:overflowPunct w:val="0"/>
        <w:spacing w:before="36"/>
        <w:ind w:left="440"/>
        <w:rPr>
          <w:rFonts w:asciiTheme="minorHAnsi" w:hAnsiTheme="minorHAnsi" w:eastAsiaTheme="minorEastAsia" w:cstheme="minorBidi"/>
          <w:kern w:val="2"/>
          <w:sz w:val="24"/>
          <w:lang w:eastAsia="zh-CN" w:bidi="ar-SA"/>
        </w:rPr>
      </w:pPr>
      <w:r>
        <w:fldChar w:fldCharType="begin"/>
      </w:r>
      <w:r>
        <w:instrText xml:space="preserve"> HYPERLINK \l "_Toc90399110" </w:instrText>
      </w:r>
      <w:r>
        <w:fldChar w:fldCharType="separate"/>
      </w:r>
      <w:r>
        <w:rPr>
          <w:rStyle w:val="16"/>
          <w:sz w:val="24"/>
        </w:rPr>
        <w:t>C.</w:t>
      </w:r>
      <w:r>
        <w:rPr>
          <w:rFonts w:asciiTheme="minorHAnsi" w:hAnsiTheme="minorHAnsi" w:eastAsiaTheme="minorEastAsia" w:cstheme="minorBidi"/>
          <w:kern w:val="2"/>
          <w:sz w:val="24"/>
          <w:lang w:eastAsia="zh-CN" w:bidi="ar-SA"/>
        </w:rPr>
        <w:tab/>
      </w:r>
      <w:r>
        <w:rPr>
          <w:rStyle w:val="16"/>
          <w:rFonts w:hint="eastAsia" w:cs="宋体"/>
          <w:sz w:val="24"/>
        </w:rPr>
        <w:t>加快检查和审查</w:t>
      </w:r>
      <w:r>
        <w:rPr>
          <w:sz w:val="24"/>
        </w:rPr>
        <w:tab/>
      </w:r>
      <w:r>
        <w:rPr>
          <w:sz w:val="24"/>
        </w:rPr>
        <w:fldChar w:fldCharType="begin"/>
      </w:r>
      <w:r>
        <w:rPr>
          <w:sz w:val="24"/>
        </w:rPr>
        <w:instrText xml:space="preserve"> PAGEREF _Toc90399110 \h </w:instrText>
      </w:r>
      <w:r>
        <w:rPr>
          <w:sz w:val="24"/>
        </w:rPr>
        <w:fldChar w:fldCharType="separate"/>
      </w:r>
      <w:r>
        <w:rPr>
          <w:sz w:val="24"/>
        </w:rPr>
        <w:t>9</w:t>
      </w:r>
      <w:r>
        <w:rPr>
          <w:sz w:val="24"/>
        </w:rPr>
        <w:fldChar w:fldCharType="end"/>
      </w:r>
      <w:r>
        <w:rPr>
          <w:sz w:val="24"/>
        </w:rPr>
        <w:fldChar w:fldCharType="end"/>
      </w:r>
    </w:p>
    <w:p w14:paraId="05557FC6">
      <w:pPr>
        <w:pStyle w:val="10"/>
        <w:tabs>
          <w:tab w:val="left" w:pos="840"/>
          <w:tab w:val="right" w:leader="dot" w:pos="9374"/>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"_Toc90399111" </w:instrText>
      </w:r>
      <w:r>
        <w:fldChar w:fldCharType="separate"/>
      </w:r>
      <w:r>
        <w:rPr>
          <w:rStyle w:val="16"/>
          <w:sz w:val="24"/>
        </w:rPr>
        <w:t>V.</w:t>
      </w:r>
      <w:r>
        <w:rPr>
          <w:rFonts w:asciiTheme="minorHAnsi" w:hAnsiTheme="minorHAnsi" w:eastAsiaTheme="minorEastAsia" w:cstheme="minorBidi"/>
          <w:kern w:val="2"/>
          <w:sz w:val="24"/>
          <w:lang w:eastAsia="zh-CN" w:bidi="ar-SA"/>
        </w:rPr>
        <w:tab/>
      </w:r>
      <w:r>
        <w:rPr>
          <w:rStyle w:val="16"/>
          <w:rFonts w:hint="eastAsia" w:cs="宋体"/>
          <w:sz w:val="24"/>
        </w:rPr>
        <w:t>《</w:t>
      </w:r>
      <w:r>
        <w:rPr>
          <w:rStyle w:val="16"/>
          <w:rFonts w:cs="宋体"/>
          <w:sz w:val="24"/>
        </w:rPr>
        <w:t>506J</w:t>
      </w:r>
      <w:r>
        <w:rPr>
          <w:rStyle w:val="16"/>
          <w:rFonts w:hint="eastAsia" w:cs="宋体"/>
          <w:sz w:val="24"/>
        </w:rPr>
        <w:t>通知》示例</w:t>
      </w:r>
      <w:r>
        <w:rPr>
          <w:sz w:val="24"/>
        </w:rPr>
        <w:tab/>
      </w:r>
      <w:r>
        <w:rPr>
          <w:sz w:val="24"/>
        </w:rPr>
        <w:fldChar w:fldCharType="begin"/>
      </w:r>
      <w:r>
        <w:rPr>
          <w:sz w:val="24"/>
        </w:rPr>
        <w:instrText xml:space="preserve"> PAGEREF _Toc90399111 \h </w:instrText>
      </w:r>
      <w:r>
        <w:rPr>
          <w:sz w:val="24"/>
        </w:rPr>
        <w:fldChar w:fldCharType="separate"/>
      </w:r>
      <w:r>
        <w:rPr>
          <w:sz w:val="24"/>
        </w:rPr>
        <w:t>10</w:t>
      </w:r>
      <w:r>
        <w:rPr>
          <w:sz w:val="24"/>
        </w:rPr>
        <w:fldChar w:fldCharType="end"/>
      </w:r>
      <w:r>
        <w:rPr>
          <w:sz w:val="24"/>
        </w:rPr>
        <w:fldChar w:fldCharType="end"/>
      </w:r>
    </w:p>
    <w:p w14:paraId="3C1384F4">
      <w:pPr>
        <w:overflowPunct w:val="0"/>
        <w:snapToGrid w:val="0"/>
        <w:spacing w:before="36" w:beforeLines="15" w:line="276" w:lineRule="auto"/>
        <w:jc w:val="both"/>
        <w:rPr>
          <w:b/>
          <w:sz w:val="28"/>
          <w:szCs w:val="28"/>
          <w:lang w:eastAsia="zh-CN"/>
        </w:rPr>
      </w:pPr>
      <w:r>
        <w:rPr>
          <w:rFonts w:eastAsia="宋体"/>
          <w:sz w:val="28"/>
          <w:szCs w:val="28"/>
          <w:lang w:eastAsia="zh-CN"/>
        </w:rPr>
        <w:fldChar w:fldCharType="end"/>
      </w:r>
    </w:p>
    <w:p w14:paraId="53E05D0E">
      <w:pPr>
        <w:overflowPunct w:val="0"/>
        <w:snapToGrid w:val="0"/>
        <w:spacing w:before="36" w:beforeLines="15" w:line="276" w:lineRule="auto"/>
        <w:rPr>
          <w:rFonts w:eastAsiaTheme="minorEastAsia"/>
          <w:lang w:eastAsia="zh-CN"/>
        </w:rPr>
      </w:pPr>
    </w:p>
    <w:p w14:paraId="615EC8D0">
      <w:pPr>
        <w:overflowPunct w:val="0"/>
        <w:snapToGrid w:val="0"/>
        <w:spacing w:before="36" w:beforeLines="15" w:line="276" w:lineRule="auto"/>
        <w:rPr>
          <w:rFonts w:eastAsiaTheme="minorEastAsia"/>
          <w:lang w:eastAsia="zh-CN"/>
        </w:rPr>
        <w:sectPr>
          <w:headerReference r:id="rId7" w:type="default"/>
          <w:footerReference r:id="rId9" w:type="default"/>
          <w:headerReference r:id="rId8" w:type="even"/>
          <w:footerReference r:id="rId10" w:type="even"/>
          <w:pgSz w:w="12220" w:h="15840"/>
          <w:pgMar w:top="1418" w:right="1418" w:bottom="1418" w:left="1418" w:header="709" w:footer="709" w:gutter="0"/>
          <w:pgNumType w:fmt="lowerRoman"/>
          <w:cols w:space="720" w:num="1"/>
          <w:docGrid w:linePitch="299" w:charSpace="0"/>
        </w:sect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0"/>
      </w:tblGrid>
      <w:tr w14:paraId="2816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bottom w:val="single" w:color="auto" w:sz="4" w:space="0"/>
            </w:tcBorders>
          </w:tcPr>
          <w:p w14:paraId="0C4AAE87">
            <w:pPr>
              <w:overflowPunct w:val="0"/>
              <w:snapToGrid w:val="0"/>
              <w:spacing w:before="36" w:beforeLines="15" w:line="276" w:lineRule="auto"/>
              <w:jc w:val="center"/>
              <w:rPr>
                <w:b/>
                <w:sz w:val="36"/>
                <w:szCs w:val="36"/>
                <w:lang w:eastAsia="zh-CN"/>
              </w:rPr>
            </w:pPr>
            <w:r>
              <w:rPr>
                <w:rFonts w:eastAsia="宋体" w:cs="宋体"/>
                <w:b/>
                <w:sz w:val="36"/>
                <w:szCs w:val="36"/>
                <w:lang w:eastAsia="zh-CN"/>
              </w:rPr>
              <w:t>关于COVID-19</w:t>
            </w:r>
            <w:r>
              <w:rPr>
                <w:rFonts w:hint="eastAsia" w:eastAsia="宋体" w:cs="宋体"/>
                <w:b/>
                <w:sz w:val="36"/>
                <w:szCs w:val="36"/>
                <w:lang w:eastAsia="zh-CN"/>
              </w:rPr>
              <w:t>突发公共卫生事件</w:t>
            </w:r>
            <w:r>
              <w:rPr>
                <w:rFonts w:eastAsia="宋体" w:cs="宋体"/>
                <w:b/>
                <w:sz w:val="36"/>
                <w:szCs w:val="36"/>
                <w:lang w:eastAsia="zh-CN"/>
              </w:rPr>
              <w:t>期间依据《FD&amp;C法案》第506J</w:t>
            </w:r>
            <w:r>
              <w:rPr>
                <w:rFonts w:hint="eastAsia" w:eastAsia="宋体" w:cs="宋体"/>
                <w:b/>
                <w:sz w:val="36"/>
                <w:szCs w:val="36"/>
                <w:lang w:eastAsia="zh-CN"/>
              </w:rPr>
              <w:t>节</w:t>
            </w:r>
            <w:r>
              <w:rPr>
                <w:rFonts w:eastAsia="宋体" w:cs="宋体"/>
                <w:b/>
                <w:sz w:val="36"/>
                <w:szCs w:val="36"/>
                <w:lang w:eastAsia="zh-CN"/>
              </w:rPr>
              <w:t>规定对CDRH永久停止或中断器械制造事宜做出的通知（修订版）</w:t>
            </w:r>
          </w:p>
        </w:tc>
      </w:tr>
      <w:tr w14:paraId="5C78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top w:val="single" w:color="auto" w:sz="4" w:space="0"/>
            </w:tcBorders>
          </w:tcPr>
          <w:p w14:paraId="7774F21A">
            <w:pPr>
              <w:overflowPunct w:val="0"/>
              <w:snapToGrid w:val="0"/>
              <w:spacing w:before="36" w:beforeLines="15" w:line="276" w:lineRule="auto"/>
              <w:jc w:val="center"/>
              <w:rPr>
                <w:b/>
                <w:sz w:val="36"/>
                <w:szCs w:val="36"/>
                <w:lang w:eastAsia="zh-CN"/>
              </w:rPr>
            </w:pPr>
            <w:r>
              <w:rPr>
                <w:rFonts w:eastAsia="宋体" w:cs="宋体"/>
                <w:b/>
                <w:sz w:val="36"/>
                <w:szCs w:val="36"/>
                <w:lang w:eastAsia="zh-CN"/>
              </w:rPr>
              <w:t>面向行业和美国食品药品监督管理局工作人员的指南</w:t>
            </w:r>
          </w:p>
        </w:tc>
      </w:tr>
      <w:tr w14:paraId="56D8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tcBorders>
              <w:top w:val="thinThickThinMediumGap" w:color="auto" w:sz="24" w:space="0"/>
              <w:left w:val="thinThickThinMediumGap" w:color="auto" w:sz="24" w:space="0"/>
              <w:bottom w:val="thinThickThinMediumGap" w:color="auto" w:sz="24" w:space="0"/>
              <w:right w:val="thinThickThinMediumGap" w:color="auto" w:sz="24" w:space="0"/>
            </w:tcBorders>
          </w:tcPr>
          <w:p w14:paraId="20DCEF66">
            <w:pPr>
              <w:overflowPunct w:val="0"/>
              <w:adjustRightInd w:val="0"/>
              <w:snapToGrid w:val="0"/>
              <w:spacing w:before="36" w:beforeLines="15" w:line="276" w:lineRule="auto"/>
              <w:jc w:val="both"/>
              <w:rPr>
                <w:b/>
                <w:sz w:val="21"/>
                <w:szCs w:val="21"/>
                <w:lang w:eastAsia="zh-CN"/>
              </w:rPr>
            </w:pPr>
            <w:r>
              <w:rPr>
                <w:rFonts w:hint="eastAsia" w:eastAsia="宋体" w:cs="宋体"/>
                <w:b/>
                <w:sz w:val="21"/>
                <w:szCs w:val="21"/>
                <w:lang w:eastAsia="zh-CN"/>
              </w:rPr>
              <w:t>本指南代表美国食品药品监督管理局（</w:t>
            </w:r>
            <w:r>
              <w:rPr>
                <w:rFonts w:eastAsia="宋体" w:cs="宋体"/>
                <w:b/>
                <w:sz w:val="21"/>
                <w:szCs w:val="21"/>
                <w:lang w:eastAsia="zh-CN"/>
              </w:rPr>
              <w:t>FDA</w:t>
            </w:r>
            <w:r>
              <w:rPr>
                <w:rFonts w:hint="eastAsia" w:eastAsia="宋体" w:cs="宋体"/>
                <w:b/>
                <w:sz w:val="21"/>
                <w:szCs w:val="21"/>
                <w:lang w:eastAsia="zh-CN"/>
              </w:rPr>
              <w:t>或本机构）目前关于该主题的思考。其不会为任何人创造或赋予任何权利，也不会对</w:t>
            </w:r>
            <w:r>
              <w:rPr>
                <w:rFonts w:eastAsia="宋体" w:cs="宋体"/>
                <w:b/>
                <w:sz w:val="21"/>
                <w:szCs w:val="21"/>
                <w:lang w:eastAsia="zh-CN"/>
              </w:rPr>
              <w:t>FDA</w:t>
            </w:r>
            <w:r>
              <w:rPr>
                <w:rFonts w:hint="eastAsia" w:eastAsia="宋体" w:cs="宋体"/>
                <w:b/>
                <w:sz w:val="21"/>
                <w:szCs w:val="21"/>
                <w:lang w:eastAsia="zh-CN"/>
              </w:rPr>
              <w:t>或公众产生约束。如果替代方法满足适用的法律法规的要求，则可以使用该替代方法。如需讨论替代方法，请联系标题页列出的负责实施本指南文件的</w:t>
            </w:r>
            <w:r>
              <w:rPr>
                <w:rFonts w:eastAsia="宋体" w:cs="宋体"/>
                <w:b/>
                <w:sz w:val="21"/>
                <w:szCs w:val="21"/>
                <w:lang w:eastAsia="zh-CN"/>
              </w:rPr>
              <w:t>FDA</w:t>
            </w:r>
            <w:r>
              <w:rPr>
                <w:rFonts w:hint="eastAsia" w:eastAsia="宋体" w:cs="宋体"/>
                <w:b/>
                <w:sz w:val="21"/>
                <w:szCs w:val="21"/>
                <w:lang w:eastAsia="zh-CN"/>
              </w:rPr>
              <w:t>工作人员或办公室。</w:t>
            </w:r>
          </w:p>
        </w:tc>
      </w:tr>
    </w:tbl>
    <w:p w14:paraId="5B025383">
      <w:pPr>
        <w:pStyle w:val="21"/>
        <w:numPr>
          <w:ilvl w:val="0"/>
          <w:numId w:val="1"/>
        </w:numPr>
        <w:overflowPunct w:val="0"/>
        <w:snapToGrid w:val="0"/>
        <w:spacing w:before="36" w:beforeLines="15" w:line="276" w:lineRule="auto"/>
        <w:ind w:firstLineChars="0"/>
        <w:outlineLvl w:val="0"/>
        <w:rPr>
          <w:b/>
          <w:sz w:val="24"/>
          <w:szCs w:val="24"/>
        </w:rPr>
      </w:pPr>
      <w:bookmarkStart w:id="0" w:name="_Toc90399099"/>
      <w:r>
        <w:rPr>
          <w:rFonts w:eastAsia="宋体" w:cs="宋体"/>
          <w:b/>
          <w:sz w:val="24"/>
          <w:szCs w:val="24"/>
        </w:rPr>
        <w:t>引言</w:t>
      </w:r>
      <w:bookmarkEnd w:id="0"/>
    </w:p>
    <w:p w14:paraId="034AA1E9">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FDA在保护美国免受新发传染病（包括2019年新冠病毒肺炎（COVID-19）疫情）等的威胁方面发挥着关键作用。FDA致力于提供适时指南，以支持对此次疫情的响应工作。</w:t>
      </w:r>
    </w:p>
    <w:p w14:paraId="61320889">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FDA发布本指南旨在实施《联邦食品、药品和化妆品法案》（《FD&amp;C法案》）（21 U.S.C.356j）第506J节的规定，由于其与COVID-19疫情及COVID-19突发公共卫生事件期间出现的器械短缺和潜在器械短缺有关，因此该节作为《冠状病毒援助、救济和经济安全法案》（《CARES法案》）第3121节的补充。</w:t>
      </w:r>
      <w:r>
        <w:rPr>
          <w:rFonts w:eastAsia="宋体" w:cs="宋体"/>
          <w:sz w:val="24"/>
          <w:szCs w:val="21"/>
          <w:vertAlign w:val="superscript"/>
          <w:lang w:eastAsia="zh-CN"/>
        </w:rPr>
        <w:t>1</w:t>
      </w:r>
    </w:p>
    <w:p w14:paraId="577E6602">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《FD&amp;C法案》第506J节规定，如果出现永久停止或中断某些器械制造，将可能导致该器械在美国的供应出现重大中断，此时制造商应通知美国卫生与公共服务部部长。</w:t>
      </w:r>
      <w:r>
        <w:rPr>
          <w:rFonts w:eastAsia="宋体" w:cs="宋体"/>
          <w:sz w:val="24"/>
          <w:szCs w:val="21"/>
          <w:vertAlign w:val="superscript"/>
          <w:lang w:eastAsia="zh-CN"/>
        </w:rPr>
        <w:t>2</w:t>
      </w:r>
      <w:r>
        <w:rPr>
          <w:rFonts w:eastAsia="宋体" w:cs="宋体"/>
          <w:sz w:val="24"/>
          <w:szCs w:val="21"/>
          <w:lang w:eastAsia="zh-CN"/>
        </w:rPr>
        <w:t>本指南旨在协助制造商及时提供有关某些医疗器械产品生产变更方面的信息通知，这将有助于预防或缓解COVID-19突发公共卫生事件期间此类器械的短缺情况。本指南还建议，制造商主动提供其他详细信息，以更好地确保FDA获得其所需的专用信息，从而有助于预防或缓解COVID-19突发公共卫生事件期间器械的短缺情况。</w:t>
      </w:r>
    </w:p>
    <w:p w14:paraId="271C3D56">
      <w:pPr>
        <w:overflowPunct w:val="0"/>
        <w:adjustRightInd w:val="0"/>
        <w:snapToGrid w:val="0"/>
        <w:spacing w:before="36" w:beforeLines="15" w:line="276" w:lineRule="auto"/>
        <w:jc w:val="both"/>
        <w:rPr>
          <w:rFonts w:eastAsia="宋体" w:cs="宋体"/>
          <w:sz w:val="21"/>
          <w:szCs w:val="18"/>
          <w:lang w:eastAsia="zh-CN"/>
        </w:rPr>
      </w:pPr>
    </w:p>
    <w:p w14:paraId="0169C138">
      <w:pPr>
        <w:overflowPunct w:val="0"/>
        <w:adjustRightInd w:val="0"/>
        <w:snapToGrid w:val="0"/>
        <w:spacing w:before="36" w:beforeLines="15" w:line="276" w:lineRule="auto"/>
        <w:jc w:val="both"/>
        <w:rPr>
          <w:rFonts w:eastAsia="宋体" w:cs="宋体"/>
          <w:sz w:val="21"/>
          <w:szCs w:val="18"/>
          <w:lang w:eastAsia="zh-CN"/>
        </w:rPr>
      </w:pPr>
    </w:p>
    <w:p w14:paraId="512644EE">
      <w:pPr>
        <w:overflowPunct w:val="0"/>
        <w:adjustRightInd w:val="0"/>
        <w:snapToGrid w:val="0"/>
        <w:spacing w:before="36" w:beforeLines="15" w:line="276" w:lineRule="auto"/>
        <w:jc w:val="both"/>
        <w:rPr>
          <w:rFonts w:eastAsia="宋体" w:cs="宋体"/>
          <w:sz w:val="21"/>
          <w:szCs w:val="18"/>
          <w:lang w:eastAsia="zh-CN"/>
        </w:rPr>
      </w:pPr>
    </w:p>
    <w:p w14:paraId="442F3228">
      <w:pPr>
        <w:overflowPunct w:val="0"/>
        <w:adjustRightInd w:val="0"/>
        <w:snapToGrid w:val="0"/>
        <w:spacing w:before="36" w:beforeLines="15" w:line="276" w:lineRule="auto"/>
        <w:jc w:val="both"/>
        <w:rPr>
          <w:rFonts w:eastAsia="宋体" w:cs="宋体"/>
          <w:sz w:val="21"/>
          <w:szCs w:val="18"/>
          <w:lang w:eastAsia="zh-CN"/>
        </w:rPr>
      </w:pPr>
    </w:p>
    <w:p w14:paraId="61A409B6">
      <w:pPr>
        <w:overflowPunct w:val="0"/>
        <w:adjustRightInd w:val="0"/>
        <w:snapToGrid w:val="0"/>
        <w:spacing w:before="36" w:beforeLines="15" w:line="276" w:lineRule="auto"/>
        <w:jc w:val="both"/>
        <w:rPr>
          <w:rFonts w:eastAsia="宋体" w:cs="宋体"/>
          <w:sz w:val="21"/>
          <w:szCs w:val="18"/>
          <w:lang w:eastAsia="zh-CN"/>
        </w:rPr>
      </w:pPr>
    </w:p>
    <w:p w14:paraId="6D157B82">
      <w:pPr>
        <w:overflowPunct w:val="0"/>
        <w:adjustRightInd w:val="0"/>
        <w:snapToGrid w:val="0"/>
        <w:spacing w:before="36" w:beforeLines="15" w:line="276" w:lineRule="auto"/>
        <w:jc w:val="both"/>
        <w:rPr>
          <w:rFonts w:eastAsia="宋体" w:cs="宋体"/>
          <w:sz w:val="21"/>
          <w:szCs w:val="18"/>
          <w:lang w:eastAsia="zh-CN"/>
        </w:rPr>
      </w:pPr>
    </w:p>
    <w:p w14:paraId="6C3015BF">
      <w:pPr>
        <w:overflowPunct w:val="0"/>
        <w:adjustRightInd w:val="0"/>
        <w:snapToGrid w:val="0"/>
        <w:spacing w:before="36" w:beforeLines="15" w:line="276" w:lineRule="auto"/>
        <w:jc w:val="both"/>
        <w:rPr>
          <w:rFonts w:eastAsia="宋体" w:cs="宋体"/>
          <w:sz w:val="21"/>
          <w:szCs w:val="18"/>
          <w:lang w:eastAsia="zh-CN"/>
        </w:rPr>
      </w:pPr>
    </w:p>
    <w:p w14:paraId="0BBF3368">
      <w:pPr>
        <w:overflowPunct w:val="0"/>
        <w:adjustRightInd w:val="0"/>
        <w:snapToGrid w:val="0"/>
        <w:spacing w:before="36" w:beforeLines="15" w:line="276" w:lineRule="auto"/>
        <w:jc w:val="both"/>
        <w:rPr>
          <w:rFonts w:eastAsia="宋体" w:cs="宋体"/>
          <w:sz w:val="21"/>
          <w:szCs w:val="18"/>
          <w:lang w:eastAsia="zh-CN"/>
        </w:rPr>
      </w:pPr>
    </w:p>
    <w:p w14:paraId="4123C95D">
      <w:pPr>
        <w:overflowPunct w:val="0"/>
        <w:adjustRightInd w:val="0"/>
        <w:snapToGrid w:val="0"/>
        <w:spacing w:before="36" w:beforeLines="15" w:line="276" w:lineRule="auto"/>
        <w:jc w:val="both"/>
        <w:rPr>
          <w:rFonts w:eastAsiaTheme="minorEastAsia"/>
          <w:lang w:eastAsia="zh-CN"/>
        </w:rPr>
      </w:pPr>
      <w:r>
        <w:rPr>
          <w:lang w:eastAsia="zh-CN"/>
        </w:rPr>
        <w:t>________________</w:t>
      </w:r>
    </w:p>
    <w:p w14:paraId="14F0D18D">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1</w:t>
      </w:r>
      <w:r>
        <w:rPr>
          <w:rFonts w:eastAsia="宋体" w:cs="宋体"/>
          <w:sz w:val="21"/>
          <w:szCs w:val="18"/>
          <w:lang w:eastAsia="zh-CN"/>
        </w:rPr>
        <w:t>本指南仅适用于受医疗器械和辐射健康中心（CDRH）监管的器械。</w:t>
      </w:r>
    </w:p>
    <w:p w14:paraId="75A3BCC0">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w:t>
      </w:r>
      <w:r>
        <w:rPr>
          <w:rFonts w:eastAsia="宋体" w:cs="宋体"/>
          <w:i/>
          <w:sz w:val="21"/>
          <w:szCs w:val="18"/>
          <w:lang w:eastAsia="zh-CN"/>
        </w:rPr>
        <w:t>参见</w:t>
      </w:r>
      <w:r>
        <w:rPr>
          <w:rFonts w:eastAsia="宋体" w:cs="宋体"/>
          <w:sz w:val="21"/>
          <w:szCs w:val="18"/>
          <w:lang w:eastAsia="zh-CN"/>
        </w:rPr>
        <w:t>《FD&amp;C法案》第506J(a)节 。</w:t>
      </w:r>
    </w:p>
    <w:p w14:paraId="258D0A3D">
      <w:pPr>
        <w:overflowPunct w:val="0"/>
        <w:snapToGrid w:val="0"/>
        <w:spacing w:before="36" w:beforeLines="15" w:line="276" w:lineRule="auto"/>
        <w:rPr>
          <w:sz w:val="24"/>
          <w:szCs w:val="24"/>
          <w:lang w:eastAsia="zh-CN"/>
        </w:rPr>
      </w:pPr>
      <w:r>
        <w:rPr>
          <w:rFonts w:eastAsia="宋体" w:cs="宋体"/>
          <w:sz w:val="24"/>
          <w:lang w:eastAsia="zh-CN"/>
        </w:rPr>
        <w:br w:type="page"/>
      </w:r>
    </w:p>
    <w:p w14:paraId="2ECE7CA2">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该政策预期仅在美国卫生与公共服务部（HHS）部长于2020年1月31日宣布的与COVID-19相关的突发公共卫生事件期间有效（生效日期：2020年1月27日），其中包括HHS部长根据《公共卫生服务法案》（《PHS法案》）（42 U.S.C.247d(a)(2)）第319(a)(2)节所作的任何更新。</w:t>
      </w:r>
    </w:p>
    <w:p w14:paraId="42902EB7">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鉴于这一突发公共卫生事件，如2020年3月25日《</w:t>
      </w:r>
      <w:r>
        <w:rPr>
          <w:rFonts w:eastAsia="宋体" w:cs="宋体"/>
          <w:iCs/>
          <w:sz w:val="24"/>
          <w:szCs w:val="21"/>
          <w:lang w:eastAsia="zh-CN"/>
        </w:rPr>
        <w:t>联邦公报</w:t>
      </w:r>
      <w:r>
        <w:rPr>
          <w:rFonts w:eastAsia="宋体" w:cs="宋体"/>
          <w:sz w:val="24"/>
          <w:szCs w:val="21"/>
          <w:lang w:eastAsia="zh-CN"/>
        </w:rPr>
        <w:t>》中标题为《2019年新冠病毒肺炎相关指导文件的提供流程》的通知（</w:t>
      </w:r>
      <w:r>
        <w:rPr>
          <w:rFonts w:eastAsia="宋体" w:cs="宋体"/>
          <w:i/>
          <w:sz w:val="24"/>
          <w:szCs w:val="21"/>
          <w:lang w:eastAsia="zh-CN"/>
        </w:rPr>
        <w:t>可登录以下网址获取</w:t>
      </w:r>
      <w:r>
        <w:rPr>
          <w:rFonts w:eastAsia="宋体" w:cs="宋体"/>
          <w:sz w:val="24"/>
          <w:szCs w:val="21"/>
          <w:lang w:eastAsia="zh-CN"/>
        </w:rPr>
        <w:t>：</w:t>
      </w:r>
      <w:r>
        <w:fldChar w:fldCharType="begin"/>
      </w:r>
      <w:r>
        <w:instrText xml:space="preserve"> HYPERLINK "https://www.govinfo.gov/content/pkg/FR-2020-03-25/pdf/2020-06222.pdf" </w:instrText>
      </w:r>
      <w:r>
        <w:fldChar w:fldCharType="separate"/>
      </w:r>
      <w:r>
        <w:rPr>
          <w:rStyle w:val="16"/>
          <w:rFonts w:eastAsia="宋体" w:cs="宋体"/>
          <w:sz w:val="24"/>
          <w:szCs w:val="21"/>
          <w:u w:color="0000FF"/>
          <w:lang w:eastAsia="zh-CN"/>
        </w:rPr>
        <w:t>https://www.govinfo.gov/content/pkg/FR-2020-03-25/pdf/2020-06222.pdf</w:t>
      </w:r>
      <w:r>
        <w:rPr>
          <w:rStyle w:val="16"/>
          <w:rFonts w:eastAsia="宋体" w:cs="宋体"/>
          <w:sz w:val="24"/>
          <w:szCs w:val="21"/>
          <w:u w:color="0000FF"/>
          <w:lang w:eastAsia="zh-CN"/>
        </w:rPr>
        <w:fldChar w:fldCharType="end"/>
      </w:r>
      <w:r>
        <w:rPr>
          <w:rFonts w:eastAsia="宋体" w:cs="宋体"/>
          <w:sz w:val="24"/>
          <w:szCs w:val="21"/>
          <w:lang w:eastAsia="zh-CN"/>
        </w:rPr>
        <w:t>）所述，本指南的实施未事先征求公众意见，因为FDA已认为公众事先参与本指南的行为不可行或不适当（参见《联邦食品、药品和化妆品法案》（《FD&amp;C法案》）（21 U.S.C.371(h)(1)(C)）第701(h)(1)(C)节和21 CFR 10.115(g)(2)）。本指南文件</w:t>
      </w:r>
      <w:r>
        <w:rPr>
          <w:rFonts w:hint="eastAsia" w:eastAsia="宋体" w:cs="宋体"/>
          <w:sz w:val="24"/>
          <w:szCs w:val="21"/>
          <w:lang w:eastAsia="zh-CN"/>
        </w:rPr>
        <w:t>发布即</w:t>
      </w:r>
      <w:r>
        <w:rPr>
          <w:rFonts w:eastAsia="宋体" w:cs="宋体"/>
          <w:sz w:val="24"/>
          <w:szCs w:val="21"/>
          <w:lang w:eastAsia="zh-CN"/>
        </w:rPr>
        <w:t>实施，但</w:t>
      </w:r>
      <w:r>
        <w:rPr>
          <w:rFonts w:hint="eastAsia" w:eastAsia="宋体" w:cs="宋体"/>
          <w:sz w:val="24"/>
          <w:szCs w:val="21"/>
          <w:lang w:eastAsia="zh-CN"/>
        </w:rPr>
        <w:t>实际经验中会有好的做法</w:t>
      </w:r>
      <w:r>
        <w:rPr>
          <w:rFonts w:eastAsia="宋体" w:cs="宋体"/>
          <w:sz w:val="24"/>
          <w:szCs w:val="21"/>
          <w:lang w:eastAsia="zh-CN"/>
        </w:rPr>
        <w:t>，仍需</w:t>
      </w:r>
      <w:r>
        <w:rPr>
          <w:rFonts w:hint="eastAsia" w:eastAsia="宋体" w:cs="宋体"/>
          <w:sz w:val="24"/>
          <w:szCs w:val="21"/>
          <w:lang w:eastAsia="zh-CN"/>
        </w:rPr>
        <w:t>征集</w:t>
      </w:r>
      <w:r>
        <w:rPr>
          <w:rFonts w:eastAsia="宋体" w:cs="宋体"/>
          <w:sz w:val="24"/>
          <w:szCs w:val="21"/>
          <w:lang w:eastAsia="zh-CN"/>
        </w:rPr>
        <w:t>意见。</w:t>
      </w:r>
    </w:p>
    <w:p w14:paraId="305CF07B">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w:t>
      </w:r>
      <w:r>
        <w:rPr>
          <w:rFonts w:hint="eastAsia" w:eastAsia="宋体" w:cs="宋体"/>
          <w:sz w:val="24"/>
          <w:szCs w:val="21"/>
          <w:lang w:eastAsia="zh-CN"/>
        </w:rPr>
        <w:t>指导性文件，包括本指南在内，在法律上不具有强制性。相反，本指南表明了本机构目前关于该主题的思考，除非引用具体的法规或法律要求，否则只应视为建议。在本机构指南中使用词语“应”是指建议或推荐进行某一事项，并非强制要求</w:t>
      </w:r>
      <w:r>
        <w:rPr>
          <w:rFonts w:eastAsia="宋体" w:cs="宋体"/>
          <w:sz w:val="24"/>
          <w:szCs w:val="21"/>
          <w:lang w:eastAsia="zh-CN"/>
        </w:rPr>
        <w:t>。</w:t>
      </w:r>
    </w:p>
    <w:p w14:paraId="78827BE4">
      <w:pPr>
        <w:pStyle w:val="21"/>
        <w:numPr>
          <w:ilvl w:val="0"/>
          <w:numId w:val="1"/>
        </w:numPr>
        <w:overflowPunct w:val="0"/>
        <w:snapToGrid w:val="0"/>
        <w:spacing w:before="36" w:beforeLines="15" w:line="276" w:lineRule="auto"/>
        <w:ind w:firstLineChars="0"/>
        <w:outlineLvl w:val="0"/>
        <w:rPr>
          <w:b/>
          <w:sz w:val="24"/>
          <w:szCs w:val="24"/>
        </w:rPr>
      </w:pPr>
      <w:bookmarkStart w:id="1" w:name="_Toc90399100"/>
      <w:r>
        <w:rPr>
          <w:rFonts w:eastAsia="宋体" w:cs="宋体"/>
          <w:b/>
          <w:sz w:val="24"/>
          <w:szCs w:val="24"/>
        </w:rPr>
        <w:t>背景</w:t>
      </w:r>
      <w:bookmarkEnd w:id="1"/>
    </w:p>
    <w:p w14:paraId="40D7D888">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目前，一种新型冠状病毒引发了呼吸道疾病的爆发。该病毒被命名为“严重急性呼吸综合征冠状病毒2”（SARS-CoV-2），其引起的疾病被命名为“2019年新冠病毒肺炎”（COVID-19）。2020年1月31日，HHS发布了与COVID-19相关的突发公共卫生事件声明，并动员了HHS的运营部门。</w:t>
      </w:r>
      <w:r>
        <w:rPr>
          <w:rFonts w:eastAsia="宋体" w:cs="宋体"/>
          <w:sz w:val="24"/>
          <w:szCs w:val="21"/>
          <w:vertAlign w:val="superscript"/>
          <w:lang w:eastAsia="zh-CN"/>
        </w:rPr>
        <w:t>3</w:t>
      </w:r>
      <w:r>
        <w:rPr>
          <w:rFonts w:eastAsia="宋体" w:cs="宋体"/>
          <w:sz w:val="24"/>
          <w:szCs w:val="21"/>
          <w:lang w:eastAsia="zh-CN"/>
        </w:rPr>
        <w:t>此外，总统于2020年3月13日宣布全国进入紧急状态，以应对COVID-19。</w:t>
      </w:r>
      <w:r>
        <w:rPr>
          <w:rFonts w:eastAsia="宋体" w:cs="宋体"/>
          <w:sz w:val="24"/>
          <w:szCs w:val="21"/>
          <w:vertAlign w:val="superscript"/>
          <w:lang w:eastAsia="zh-CN"/>
        </w:rPr>
        <w:t>4</w:t>
      </w:r>
    </w:p>
    <w:p w14:paraId="339AB93E">
      <w:pPr>
        <w:overflowPunct w:val="0"/>
        <w:adjustRightInd w:val="0"/>
        <w:snapToGrid w:val="0"/>
        <w:spacing w:before="36" w:beforeLines="15" w:line="276" w:lineRule="auto"/>
        <w:jc w:val="both"/>
        <w:rPr>
          <w:rFonts w:eastAsia="宋体" w:cs="宋体"/>
          <w:sz w:val="24"/>
          <w:szCs w:val="21"/>
          <w:lang w:eastAsia="zh-CN"/>
        </w:rPr>
      </w:pPr>
      <w:r>
        <w:rPr>
          <w:rFonts w:eastAsia="宋体" w:cs="宋体"/>
          <w:sz w:val="24"/>
          <w:szCs w:val="21"/>
          <w:lang w:eastAsia="zh-CN"/>
        </w:rPr>
        <w:t>2020年3月27日，《CARES法案》签署成为法律。《CARES法案》第3121节对《FD&amp;C法案》进行了修订，在该法案中增加了第506J节。第506J节给予美国卫生与公共服务部部长新授权，旨在帮助预防或缓解“美国卫生与公共服务部部长根据《PHS法案》</w:t>
      </w:r>
      <w:r>
        <w:rPr>
          <w:rFonts w:eastAsia="宋体" w:cs="宋体"/>
          <w:sz w:val="24"/>
          <w:szCs w:val="21"/>
          <w:vertAlign w:val="superscript"/>
          <w:lang w:eastAsia="zh-CN"/>
        </w:rPr>
        <w:t>6</w:t>
      </w:r>
      <w:r>
        <w:rPr>
          <w:rFonts w:eastAsia="宋体" w:cs="宋体"/>
          <w:sz w:val="24"/>
          <w:szCs w:val="21"/>
          <w:lang w:eastAsia="zh-CN"/>
        </w:rPr>
        <w:t>第319节宣布的突发公共卫生事件期间或之前”的医疗器械短缺</w:t>
      </w:r>
      <w:r>
        <w:rPr>
          <w:rFonts w:eastAsia="宋体" w:cs="宋体"/>
          <w:sz w:val="24"/>
          <w:szCs w:val="21"/>
          <w:vertAlign w:val="superscript"/>
          <w:lang w:eastAsia="zh-CN"/>
        </w:rPr>
        <w:t>5</w:t>
      </w:r>
      <w:r>
        <w:rPr>
          <w:rFonts w:eastAsia="宋体" w:cs="宋体"/>
          <w:sz w:val="24"/>
          <w:szCs w:val="21"/>
          <w:lang w:eastAsia="zh-CN"/>
        </w:rPr>
        <w:t>情况。</w:t>
      </w:r>
    </w:p>
    <w:p w14:paraId="51C13F36">
      <w:pPr>
        <w:overflowPunct w:val="0"/>
        <w:adjustRightInd w:val="0"/>
        <w:snapToGrid w:val="0"/>
        <w:spacing w:before="36" w:beforeLines="15" w:line="276" w:lineRule="auto"/>
        <w:jc w:val="both"/>
        <w:rPr>
          <w:rFonts w:eastAsiaTheme="minorEastAsia"/>
          <w:sz w:val="24"/>
          <w:szCs w:val="21"/>
          <w:lang w:eastAsia="zh-CN"/>
        </w:rPr>
      </w:pPr>
    </w:p>
    <w:p w14:paraId="7DA2E397">
      <w:pPr>
        <w:overflowPunct w:val="0"/>
        <w:adjustRightInd w:val="0"/>
        <w:snapToGrid w:val="0"/>
        <w:spacing w:before="36" w:beforeLines="15" w:line="276" w:lineRule="auto"/>
        <w:jc w:val="both"/>
        <w:rPr>
          <w:rFonts w:eastAsiaTheme="minorEastAsia"/>
          <w:sz w:val="21"/>
          <w:szCs w:val="18"/>
          <w:lang w:eastAsia="zh-CN"/>
        </w:rPr>
      </w:pPr>
      <w:r>
        <w:rPr>
          <w:sz w:val="21"/>
          <w:szCs w:val="18"/>
          <w:lang w:eastAsia="zh-CN"/>
        </w:rPr>
        <w:t>________________</w:t>
      </w:r>
    </w:p>
    <w:p w14:paraId="6D02040D">
      <w:pPr>
        <w:overflowPunct w:val="0"/>
        <w:adjustRightInd w:val="0"/>
        <w:snapToGrid w:val="0"/>
        <w:spacing w:before="36" w:beforeLines="15" w:line="276" w:lineRule="auto"/>
        <w:rPr>
          <w:sz w:val="21"/>
          <w:szCs w:val="18"/>
          <w:lang w:eastAsia="zh-CN"/>
        </w:rPr>
      </w:pPr>
      <w:r>
        <w:rPr>
          <w:rFonts w:eastAsia="宋体" w:cs="宋体"/>
          <w:sz w:val="21"/>
          <w:szCs w:val="18"/>
          <w:vertAlign w:val="superscript"/>
          <w:lang w:eastAsia="zh-CN"/>
        </w:rPr>
        <w:t>3</w:t>
      </w:r>
      <w:r>
        <w:rPr>
          <w:rFonts w:eastAsia="宋体" w:cs="宋体"/>
          <w:sz w:val="21"/>
          <w:szCs w:val="18"/>
          <w:lang w:eastAsia="zh-CN"/>
        </w:rPr>
        <w:t>美国卫生与公共服务部部长Alex M. Azar II，确定存在突发公共卫生事件（</w:t>
      </w:r>
      <w:r>
        <w:rPr>
          <w:rFonts w:eastAsia="宋体" w:cs="宋体"/>
          <w:color w:val="002060"/>
          <w:sz w:val="21"/>
          <w:szCs w:val="18"/>
          <w:lang w:eastAsia="zh-CN"/>
        </w:rPr>
        <w:t>初始发布日期：2020年1月31日，随后更新</w:t>
      </w:r>
      <w:r>
        <w:rPr>
          <w:rFonts w:eastAsia="宋体" w:cs="宋体"/>
          <w:sz w:val="21"/>
          <w:szCs w:val="18"/>
          <w:lang w:eastAsia="zh-CN"/>
        </w:rPr>
        <w:t>），</w:t>
      </w:r>
      <w:r>
        <w:rPr>
          <w:rFonts w:eastAsia="宋体" w:cs="宋体"/>
          <w:i/>
          <w:sz w:val="21"/>
          <w:szCs w:val="18"/>
          <w:lang w:eastAsia="zh-CN"/>
        </w:rPr>
        <w:t>可登录以下网址获取</w:t>
      </w:r>
      <w:r>
        <w:rPr>
          <w:rFonts w:eastAsia="宋体" w:cs="宋体"/>
          <w:sz w:val="21"/>
          <w:szCs w:val="18"/>
          <w:lang w:eastAsia="zh-CN"/>
        </w:rPr>
        <w:t>：</w:t>
      </w:r>
      <w:r>
        <w:fldChar w:fldCharType="begin"/>
      </w:r>
      <w:r>
        <w:rPr>
          <w:lang w:eastAsia="zh-CN"/>
        </w:rPr>
        <w:instrText xml:space="preserve"> HYPERLINK "https://www.phe.gov/emergency/news/healthactions/phe/Pages/default.aspx" \h </w:instrText>
      </w:r>
      <w:r>
        <w:fldChar w:fldCharType="separate"/>
      </w:r>
      <w:r>
        <w:rPr>
          <w:rFonts w:eastAsia="宋体" w:cs="宋体"/>
          <w:color w:val="0000FF"/>
          <w:sz w:val="21"/>
          <w:szCs w:val="18"/>
          <w:u w:val="single" w:color="0000FF"/>
          <w:lang w:eastAsia="zh-CN"/>
        </w:rPr>
        <w:t>https://www.phe.gov/emergency/news/healthactions/phe/Pages/default.aspx</w:t>
      </w:r>
      <w:r>
        <w:rPr>
          <w:rFonts w:eastAsia="宋体" w:cs="宋体"/>
          <w:color w:val="0000FF"/>
          <w:sz w:val="21"/>
          <w:szCs w:val="18"/>
          <w:u w:val="single" w:color="0000FF"/>
          <w:lang w:eastAsia="zh-CN"/>
        </w:rPr>
        <w:fldChar w:fldCharType="end"/>
      </w:r>
      <w:r>
        <w:rPr>
          <w:rFonts w:eastAsia="宋体" w:cs="宋体"/>
          <w:sz w:val="21"/>
          <w:szCs w:val="18"/>
          <w:lang w:eastAsia="zh-CN"/>
        </w:rPr>
        <w:t>。</w:t>
      </w:r>
    </w:p>
    <w:p w14:paraId="01624BA8">
      <w:pPr>
        <w:overflowPunct w:val="0"/>
        <w:adjustRightInd w:val="0"/>
        <w:snapToGrid w:val="0"/>
        <w:spacing w:before="36" w:beforeLines="15" w:line="276" w:lineRule="auto"/>
        <w:jc w:val="both"/>
        <w:rPr>
          <w:sz w:val="21"/>
          <w:szCs w:val="18"/>
        </w:rPr>
      </w:pPr>
      <w:r>
        <w:rPr>
          <w:rFonts w:eastAsia="宋体" w:cs="宋体"/>
          <w:sz w:val="21"/>
          <w:szCs w:val="18"/>
          <w:vertAlign w:val="superscript"/>
        </w:rPr>
        <w:t>4</w:t>
      </w:r>
      <w:r>
        <w:rPr>
          <w:rFonts w:eastAsia="宋体" w:cs="宋体"/>
          <w:sz w:val="21"/>
          <w:szCs w:val="18"/>
        </w:rPr>
        <w:t>关于宣布新型冠状病毒肺炎（COVID-19）爆发的全国性紧急情况公告（2020年3月13日），</w:t>
      </w:r>
      <w:r>
        <w:rPr>
          <w:rFonts w:eastAsia="宋体" w:cs="宋体"/>
          <w:i/>
          <w:sz w:val="21"/>
          <w:szCs w:val="18"/>
        </w:rPr>
        <w:t>可登录以下网址获取</w:t>
      </w:r>
      <w:r>
        <w:rPr>
          <w:rFonts w:eastAsia="宋体" w:cs="宋体"/>
          <w:sz w:val="21"/>
          <w:szCs w:val="18"/>
        </w:rPr>
        <w:t>：</w:t>
      </w:r>
      <w:r>
        <w:fldChar w:fldCharType="begin"/>
      </w:r>
      <w:r>
        <w:instrText xml:space="preserve"> HYPERLINK "https://www.whitehouse.gov/presidential-actions/proclamation-declaring-national-emergency-concerning-novel-coronavirus-disease-covid-19-outbreak/" \h </w:instrText>
      </w:r>
      <w:r>
        <w:fldChar w:fldCharType="separate"/>
      </w:r>
      <w:r>
        <w:rPr>
          <w:rFonts w:eastAsia="宋体" w:cs="宋体"/>
          <w:color w:val="0000FF"/>
          <w:sz w:val="21"/>
          <w:szCs w:val="18"/>
          <w:u w:val="single" w:color="0000FF"/>
        </w:rPr>
        <w:t>https://www.whitehouse.gov/presidential-actions/proclamation-declaring-national- emergency-concerning-novel-coronavirus-disease-covid-19-outbreak/</w:t>
      </w:r>
      <w:r>
        <w:rPr>
          <w:rFonts w:eastAsia="宋体" w:cs="宋体"/>
          <w:color w:val="0000FF"/>
          <w:sz w:val="21"/>
          <w:szCs w:val="18"/>
          <w:u w:val="single" w:color="0000FF"/>
        </w:rPr>
        <w:fldChar w:fldCharType="end"/>
      </w:r>
      <w:r>
        <w:rPr>
          <w:rFonts w:eastAsia="宋体" w:cs="宋体"/>
          <w:sz w:val="21"/>
          <w:szCs w:val="18"/>
        </w:rPr>
        <w:t>。</w:t>
      </w:r>
    </w:p>
    <w:p w14:paraId="32FD12EC">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5</w:t>
      </w:r>
      <w:r>
        <w:rPr>
          <w:rFonts w:eastAsia="宋体" w:cs="宋体"/>
          <w:sz w:val="21"/>
          <w:szCs w:val="18"/>
          <w:lang w:eastAsia="zh-CN"/>
        </w:rPr>
        <w:t>将“短缺”一词定义为“一段时间内美国境内对器械的需求或预计需求超过该器械的供应”。</w:t>
      </w:r>
      <w:r>
        <w:rPr>
          <w:rFonts w:eastAsia="宋体" w:cs="宋体"/>
          <w:i/>
          <w:sz w:val="21"/>
          <w:szCs w:val="18"/>
          <w:lang w:eastAsia="zh-CN"/>
        </w:rPr>
        <w:t>参见</w:t>
      </w:r>
      <w:r>
        <w:rPr>
          <w:rFonts w:eastAsia="宋体" w:cs="宋体"/>
          <w:sz w:val="21"/>
          <w:szCs w:val="18"/>
          <w:lang w:eastAsia="zh-CN"/>
        </w:rPr>
        <w:t>《FD&amp;C法案》第506J(i)(2)节。</w:t>
      </w:r>
    </w:p>
    <w:p w14:paraId="31CBA5A1">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6</w:t>
      </w:r>
      <w:r>
        <w:rPr>
          <w:rFonts w:eastAsia="宋体" w:cs="宋体"/>
          <w:i/>
          <w:sz w:val="21"/>
          <w:szCs w:val="18"/>
          <w:lang w:eastAsia="zh-CN"/>
        </w:rPr>
        <w:t>参见</w:t>
      </w:r>
      <w:r>
        <w:rPr>
          <w:rFonts w:eastAsia="宋体" w:cs="宋体"/>
          <w:sz w:val="21"/>
          <w:szCs w:val="18"/>
          <w:lang w:eastAsia="zh-CN"/>
        </w:rPr>
        <w:t>《FD&amp;C法案》第506J(a)节。</w:t>
      </w:r>
    </w:p>
    <w:p w14:paraId="7D870338">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根据《FD&amp;C法案》第506J(a)节</w:t>
      </w:r>
      <w:r>
        <w:rPr>
          <w:rFonts w:eastAsia="宋体" w:cs="宋体"/>
          <w:sz w:val="24"/>
          <w:szCs w:val="21"/>
          <w:vertAlign w:val="superscript"/>
          <w:lang w:eastAsia="zh-CN"/>
        </w:rPr>
        <w:t>7</w:t>
      </w:r>
      <w:r>
        <w:rPr>
          <w:rFonts w:eastAsia="宋体" w:cs="宋体"/>
          <w:sz w:val="24"/>
          <w:szCs w:val="21"/>
          <w:lang w:eastAsia="zh-CN"/>
        </w:rPr>
        <w:t>的规定，（如本指南第III节详细所述）要求某些器械制造商在宣布的突发公共卫生事件期间，“告知美国卫生与公共服务部部长......永久停止器械制造……或中断器械制造，这可能导致在宣布的突发公共卫生事件期间该器械在美国的供应出现重大中断”。</w:t>
      </w:r>
      <w:r>
        <w:rPr>
          <w:rFonts w:eastAsia="宋体" w:cs="宋体"/>
          <w:sz w:val="24"/>
          <w:szCs w:val="21"/>
          <w:vertAlign w:val="superscript"/>
          <w:lang w:eastAsia="zh-CN"/>
        </w:rPr>
        <w:t>8</w:t>
      </w:r>
    </w:p>
    <w:p w14:paraId="3F937E18">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如果申请人未能按照《FD&amp;C法案》第506J(b)节规定的时间提交第506J(a)节要求的信息，则根据《FD&amp;C法案》第506J(e)节的规定，美国卫生与公共服务部部长应发函告知相关人士未提交此类信息的事宜。</w:t>
      </w:r>
      <w:r>
        <w:rPr>
          <w:rFonts w:eastAsia="宋体" w:cs="宋体"/>
          <w:sz w:val="24"/>
          <w:szCs w:val="21"/>
          <w:vertAlign w:val="superscript"/>
          <w:lang w:eastAsia="zh-CN"/>
        </w:rPr>
        <w:t>9</w:t>
      </w:r>
      <w:r>
        <w:rPr>
          <w:rFonts w:eastAsia="宋体" w:cs="宋体"/>
          <w:sz w:val="24"/>
          <w:szCs w:val="21"/>
          <w:lang w:eastAsia="zh-CN"/>
        </w:rPr>
        <w:t>此外，根据《FD&amp;C法案》第506J(f)节的规定，如果美国卫生与公共服务部部长认为存在或可能存在器械短缺情况，则可优先加快进行检查与申请审查，以帮助缓解或预防器械短缺。《FD&amp;C法案》第506J(g)节还规定，美国卫生与公共服务部部长应制定并维护对外公开的、已确定短缺的最新器械清单。</w:t>
      </w:r>
    </w:p>
    <w:p w14:paraId="18593736">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FDA发布本指南旨在阐明在COVID-19突发公共卫生事件期间，必须通知FDA的人员、通知中应包含哪些信息以及通知FDA的方式，并对此给予建议。</w:t>
      </w:r>
      <w:r>
        <w:rPr>
          <w:rFonts w:eastAsia="宋体" w:cs="宋体"/>
          <w:sz w:val="24"/>
          <w:szCs w:val="21"/>
          <w:vertAlign w:val="superscript"/>
          <w:lang w:eastAsia="zh-CN"/>
        </w:rPr>
        <w:t>10</w:t>
      </w:r>
    </w:p>
    <w:p w14:paraId="31A7D9F3">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2020年6月19日，FDA修订了本指南，并在FDA网站</w:t>
      </w:r>
      <w:r>
        <w:rPr>
          <w:rFonts w:eastAsia="宋体" w:cs="宋体"/>
          <w:sz w:val="24"/>
          <w:szCs w:val="21"/>
          <w:vertAlign w:val="superscript"/>
          <w:lang w:eastAsia="zh-CN"/>
        </w:rPr>
        <w:t>11</w:t>
      </w:r>
      <w:r>
        <w:rPr>
          <w:rFonts w:eastAsia="宋体" w:cs="宋体"/>
          <w:sz w:val="24"/>
          <w:szCs w:val="21"/>
          <w:lang w:eastAsia="zh-CN"/>
        </w:rPr>
        <w:t>上发布了一份器械类型表，其中FDA建议制造商在确定COVID-19疫情期间是否需要根据《FD&amp;C法案》第506J节的规定提交通知（以下简称“《506J通知》”）时对该表予以考虑。</w:t>
      </w:r>
    </w:p>
    <w:p w14:paraId="0F61161F">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本次更新包括的信息涉及以下方面：未按照《FD&amp;C法案》第506J(e)节的规定提交通知、关于FDA在确定器械是否短缺时所考虑因素的讨论、FDA根据《FD&amp;C法案》第506J(g)节的规定确定为短缺器械的公开名单以及根据《FD&amp;C法案》第506J(f)节的规定开展快速检查和审查。本次更新还修订了《506J通知》更新的建议时间表。</w:t>
      </w:r>
    </w:p>
    <w:p w14:paraId="1A9A6ABF">
      <w:pPr>
        <w:pStyle w:val="21"/>
        <w:numPr>
          <w:ilvl w:val="0"/>
          <w:numId w:val="1"/>
        </w:numPr>
        <w:overflowPunct w:val="0"/>
        <w:snapToGrid w:val="0"/>
        <w:spacing w:before="36" w:beforeLines="15" w:line="276" w:lineRule="auto"/>
        <w:ind w:firstLineChars="0"/>
        <w:outlineLvl w:val="0"/>
        <w:rPr>
          <w:b/>
          <w:sz w:val="24"/>
          <w:szCs w:val="24"/>
          <w:lang w:eastAsia="zh-CN"/>
        </w:rPr>
      </w:pPr>
      <w:bookmarkStart w:id="2" w:name="_Toc90399101"/>
      <w:r>
        <w:rPr>
          <w:rFonts w:eastAsia="宋体" w:cs="宋体"/>
          <w:b/>
          <w:sz w:val="24"/>
          <w:szCs w:val="24"/>
          <w:lang w:eastAsia="zh-CN"/>
        </w:rPr>
        <w:t>通知CDRH关于中断或永久停止</w:t>
      </w:r>
      <w:r>
        <w:rPr>
          <w:rFonts w:hint="eastAsia" w:eastAsia="宋体" w:cs="宋体"/>
          <w:b/>
          <w:sz w:val="24"/>
          <w:szCs w:val="24"/>
          <w:lang w:eastAsia="zh-CN"/>
        </w:rPr>
        <w:t>生产</w:t>
      </w:r>
      <w:r>
        <w:rPr>
          <w:rFonts w:eastAsia="宋体" w:cs="宋体"/>
          <w:b/>
          <w:sz w:val="24"/>
          <w:szCs w:val="24"/>
          <w:lang w:eastAsia="zh-CN"/>
        </w:rPr>
        <w:t>的政策</w:t>
      </w:r>
      <w:bookmarkEnd w:id="2"/>
    </w:p>
    <w:p w14:paraId="30FDDFCE">
      <w:pPr>
        <w:pStyle w:val="21"/>
        <w:numPr>
          <w:ilvl w:val="1"/>
          <w:numId w:val="2"/>
        </w:numPr>
        <w:overflowPunct w:val="0"/>
        <w:snapToGrid w:val="0"/>
        <w:spacing w:before="36" w:beforeLines="15" w:line="276" w:lineRule="auto"/>
        <w:ind w:firstLineChars="0"/>
        <w:jc w:val="both"/>
        <w:outlineLvl w:val="1"/>
        <w:rPr>
          <w:b/>
          <w:sz w:val="24"/>
          <w:szCs w:val="24"/>
        </w:rPr>
      </w:pPr>
      <w:bookmarkStart w:id="3" w:name="_Toc90399102"/>
      <w:r>
        <w:rPr>
          <w:rFonts w:eastAsia="宋体" w:cs="宋体"/>
          <w:b/>
          <w:sz w:val="24"/>
          <w:szCs w:val="24"/>
        </w:rPr>
        <w:t>必须提交通知的制造商</w:t>
      </w:r>
      <w:bookmarkEnd w:id="3"/>
    </w:p>
    <w:p w14:paraId="167FA114">
      <w:pPr>
        <w:overflowPunct w:val="0"/>
        <w:adjustRightInd w:val="0"/>
        <w:snapToGrid w:val="0"/>
        <w:spacing w:before="36" w:beforeLines="15" w:line="276" w:lineRule="auto"/>
        <w:jc w:val="both"/>
        <w:rPr>
          <w:rFonts w:eastAsia="宋体" w:cs="宋体"/>
          <w:sz w:val="24"/>
          <w:szCs w:val="21"/>
          <w:lang w:eastAsia="zh-CN"/>
        </w:rPr>
      </w:pPr>
      <w:r>
        <w:rPr>
          <w:rFonts w:eastAsia="宋体" w:cs="宋体"/>
          <w:sz w:val="24"/>
          <w:szCs w:val="21"/>
          <w:lang w:eastAsia="zh-CN"/>
        </w:rPr>
        <w:t>根据《FD&amp;C法案》第506J节的规定，下列器械制造商必须提交中断或永久停止</w:t>
      </w:r>
      <w:r>
        <w:rPr>
          <w:rFonts w:hint="eastAsia" w:eastAsia="宋体" w:cs="宋体"/>
          <w:sz w:val="24"/>
          <w:szCs w:val="21"/>
          <w:lang w:eastAsia="zh-CN"/>
        </w:rPr>
        <w:t>生产</w:t>
      </w:r>
      <w:r>
        <w:rPr>
          <w:rFonts w:eastAsia="宋体" w:cs="宋体"/>
          <w:sz w:val="24"/>
          <w:szCs w:val="21"/>
          <w:lang w:eastAsia="zh-CN"/>
        </w:rPr>
        <w:t>的通知：</w:t>
      </w:r>
    </w:p>
    <w:p w14:paraId="39533B6E">
      <w:pPr>
        <w:overflowPunct w:val="0"/>
        <w:adjustRightInd w:val="0"/>
        <w:snapToGrid w:val="0"/>
        <w:spacing w:before="36" w:beforeLines="15" w:line="276" w:lineRule="auto"/>
        <w:jc w:val="both"/>
        <w:rPr>
          <w:rFonts w:eastAsia="宋体" w:cs="宋体"/>
          <w:sz w:val="24"/>
          <w:szCs w:val="21"/>
          <w:lang w:eastAsia="zh-CN"/>
        </w:rPr>
      </w:pPr>
    </w:p>
    <w:p w14:paraId="491BC985">
      <w:pPr>
        <w:overflowPunct w:val="0"/>
        <w:adjustRightInd w:val="0"/>
        <w:snapToGrid w:val="0"/>
        <w:spacing w:before="36" w:beforeLines="15" w:line="276" w:lineRule="auto"/>
        <w:jc w:val="both"/>
        <w:rPr>
          <w:rFonts w:eastAsia="宋体" w:cs="宋体"/>
          <w:sz w:val="24"/>
          <w:szCs w:val="21"/>
          <w:lang w:eastAsia="zh-CN"/>
        </w:rPr>
      </w:pPr>
    </w:p>
    <w:p w14:paraId="4A0ED5FF">
      <w:pPr>
        <w:overflowPunct w:val="0"/>
        <w:adjustRightInd w:val="0"/>
        <w:snapToGrid w:val="0"/>
        <w:spacing w:before="36" w:beforeLines="15" w:line="276" w:lineRule="auto"/>
        <w:jc w:val="both"/>
        <w:rPr>
          <w:rFonts w:eastAsiaTheme="minorEastAsia"/>
          <w:sz w:val="24"/>
          <w:szCs w:val="21"/>
          <w:lang w:eastAsia="zh-CN"/>
        </w:rPr>
      </w:pPr>
    </w:p>
    <w:p w14:paraId="363479F2">
      <w:pPr>
        <w:overflowPunct w:val="0"/>
        <w:adjustRightInd w:val="0"/>
        <w:snapToGrid w:val="0"/>
        <w:spacing w:before="36" w:beforeLines="15" w:line="276" w:lineRule="auto"/>
        <w:jc w:val="both"/>
        <w:rPr>
          <w:sz w:val="21"/>
          <w:szCs w:val="18"/>
          <w:vertAlign w:val="superscript"/>
        </w:rPr>
      </w:pPr>
      <w:r>
        <w:rPr>
          <w:sz w:val="21"/>
          <w:szCs w:val="18"/>
        </w:rPr>
        <w:t>________________</w:t>
      </w:r>
    </w:p>
    <w:p w14:paraId="1636F862">
      <w:pPr>
        <w:overflowPunct w:val="0"/>
        <w:adjustRightInd w:val="0"/>
        <w:snapToGrid w:val="0"/>
        <w:spacing w:before="36" w:beforeLines="15" w:line="276" w:lineRule="auto"/>
        <w:jc w:val="both"/>
        <w:rPr>
          <w:sz w:val="21"/>
          <w:szCs w:val="18"/>
        </w:rPr>
      </w:pPr>
      <w:r>
        <w:rPr>
          <w:rFonts w:eastAsia="宋体" w:cs="宋体"/>
          <w:sz w:val="21"/>
          <w:szCs w:val="18"/>
          <w:vertAlign w:val="superscript"/>
        </w:rPr>
        <w:t>7</w:t>
      </w:r>
      <w:r>
        <w:rPr>
          <w:rFonts w:eastAsia="宋体" w:cs="宋体"/>
          <w:i/>
          <w:sz w:val="21"/>
          <w:szCs w:val="18"/>
        </w:rPr>
        <w:t>参见</w:t>
      </w:r>
      <w:r>
        <w:rPr>
          <w:rFonts w:eastAsia="宋体" w:cs="宋体"/>
          <w:sz w:val="21"/>
          <w:szCs w:val="18"/>
        </w:rPr>
        <w:t>《FD&amp;C法案》第 506J(a)和(b)节。</w:t>
      </w:r>
    </w:p>
    <w:p w14:paraId="55E3754F">
      <w:pPr>
        <w:overflowPunct w:val="0"/>
        <w:adjustRightInd w:val="0"/>
        <w:snapToGrid w:val="0"/>
        <w:spacing w:before="36" w:beforeLines="15" w:line="276" w:lineRule="auto"/>
        <w:jc w:val="both"/>
        <w:rPr>
          <w:sz w:val="21"/>
          <w:szCs w:val="18"/>
        </w:rPr>
      </w:pPr>
      <w:r>
        <w:rPr>
          <w:rFonts w:eastAsia="宋体" w:cs="宋体"/>
          <w:sz w:val="21"/>
          <w:szCs w:val="18"/>
          <w:vertAlign w:val="superscript"/>
        </w:rPr>
        <w:t>8</w:t>
      </w:r>
      <w:r>
        <w:rPr>
          <w:rFonts w:eastAsia="宋体" w:cs="宋体"/>
          <w:i/>
          <w:sz w:val="21"/>
          <w:szCs w:val="18"/>
        </w:rPr>
        <w:t>参见</w:t>
      </w:r>
      <w:r>
        <w:rPr>
          <w:rFonts w:eastAsia="宋体" w:cs="宋体"/>
          <w:sz w:val="21"/>
          <w:szCs w:val="18"/>
        </w:rPr>
        <w:t>《FD&amp;C法案》第506J(a)节。</w:t>
      </w:r>
    </w:p>
    <w:p w14:paraId="121829E6">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9</w:t>
      </w:r>
      <w:r>
        <w:rPr>
          <w:rFonts w:eastAsia="宋体" w:cs="宋体"/>
          <w:i/>
          <w:sz w:val="21"/>
          <w:szCs w:val="18"/>
          <w:lang w:eastAsia="zh-CN"/>
        </w:rPr>
        <w:t>参见</w:t>
      </w:r>
      <w:r>
        <w:rPr>
          <w:rFonts w:eastAsia="宋体" w:cs="宋体"/>
          <w:sz w:val="21"/>
          <w:szCs w:val="18"/>
          <w:lang w:eastAsia="zh-CN"/>
        </w:rPr>
        <w:t>《FD&amp;C法案》第506J(d)节。</w:t>
      </w:r>
    </w:p>
    <w:p w14:paraId="440C19FF">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10</w:t>
      </w:r>
      <w:r>
        <w:rPr>
          <w:rFonts w:eastAsia="宋体" w:cs="宋体"/>
          <w:sz w:val="21"/>
          <w:szCs w:val="18"/>
          <w:lang w:eastAsia="zh-CN"/>
        </w:rPr>
        <w:t>本指南适用于COVID-19突发公共卫生事件期间根据《FD&amp;C法案》第506J节规定进行的报告。《FD&amp;C法案》第506J节的实施正在进行中，本机构计划将提供关于可实施时的更多详细信息。</w:t>
      </w:r>
    </w:p>
    <w:p w14:paraId="1F4E2361">
      <w:pPr>
        <w:overflowPunct w:val="0"/>
        <w:adjustRightInd w:val="0"/>
        <w:snapToGrid w:val="0"/>
        <w:spacing w:before="36" w:beforeLines="15" w:line="276" w:lineRule="auto"/>
        <w:jc w:val="both"/>
        <w:rPr>
          <w:color w:val="0000FF"/>
          <w:sz w:val="21"/>
          <w:szCs w:val="18"/>
          <w:u w:val="single" w:color="0000FF"/>
        </w:rPr>
      </w:pPr>
      <w:r>
        <w:rPr>
          <w:rFonts w:eastAsia="宋体" w:cs="宋体"/>
          <w:sz w:val="21"/>
          <w:szCs w:val="18"/>
          <w:vertAlign w:val="superscript"/>
        </w:rPr>
        <w:t>11</w:t>
      </w:r>
      <w:r>
        <w:rPr>
          <w:rFonts w:eastAsia="宋体" w:cs="宋体"/>
          <w:i/>
          <w:sz w:val="21"/>
          <w:szCs w:val="18"/>
        </w:rPr>
        <w:t>参见网址：</w:t>
      </w:r>
      <w:r>
        <w:fldChar w:fldCharType="begin"/>
      </w:r>
      <w:r>
        <w:instrText xml:space="preserve"> HYPERLINK "https://www.fda.gov/medical-devices/emergency-situations-medical-devices/medical-device-types-help-determine-section-506j-notification-obligations" \h </w:instrText>
      </w:r>
      <w:r>
        <w:fldChar w:fldCharType="separate"/>
      </w:r>
      <w:r>
        <w:rPr>
          <w:rFonts w:eastAsia="宋体" w:cs="宋体"/>
          <w:color w:val="0000FF"/>
          <w:sz w:val="21"/>
          <w:szCs w:val="18"/>
          <w:u w:val="single" w:color="0000FF"/>
        </w:rPr>
        <w:t>https://www.fda.gov/medical-devices/emergency-situations-medical-devices/medical-device-types-help- determine-section-506j-notification-obligations</w:t>
      </w:r>
      <w:r>
        <w:rPr>
          <w:rFonts w:eastAsia="宋体" w:cs="宋体"/>
          <w:color w:val="0000FF"/>
          <w:sz w:val="21"/>
          <w:szCs w:val="18"/>
          <w:u w:val="single" w:color="0000FF"/>
        </w:rPr>
        <w:fldChar w:fldCharType="end"/>
      </w:r>
      <w:r>
        <w:rPr>
          <w:rFonts w:eastAsia="宋体" w:cs="宋体"/>
          <w:sz w:val="21"/>
          <w:szCs w:val="18"/>
        </w:rPr>
        <w:t>。</w:t>
      </w:r>
    </w:p>
    <w:p w14:paraId="13B00E9E">
      <w:pPr>
        <w:overflowPunct w:val="0"/>
        <w:snapToGrid w:val="0"/>
        <w:spacing w:before="36" w:beforeLines="15" w:line="276" w:lineRule="auto"/>
        <w:rPr>
          <w:color w:val="0000FF"/>
          <w:sz w:val="24"/>
          <w:szCs w:val="21"/>
        </w:rPr>
      </w:pPr>
      <w:r>
        <w:rPr>
          <w:rFonts w:eastAsia="宋体" w:cs="宋体"/>
          <w:color w:val="0000FF"/>
          <w:sz w:val="20"/>
        </w:rPr>
        <w:br w:type="page"/>
      </w:r>
    </w:p>
    <w:p w14:paraId="642D76B9">
      <w:pPr>
        <w:pStyle w:val="21"/>
        <w:numPr>
          <w:ilvl w:val="0"/>
          <w:numId w:val="3"/>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在突发公共卫生事件期间对公共卫生至关重要的器械，包括支持生命、维持生命或预期用于紧急医疗或手术中的器械；</w:t>
      </w:r>
      <w:r>
        <w:rPr>
          <w:rFonts w:eastAsia="宋体" w:cs="宋体"/>
          <w:sz w:val="24"/>
          <w:szCs w:val="21"/>
          <w:vertAlign w:val="superscript"/>
          <w:lang w:eastAsia="zh-CN"/>
        </w:rPr>
        <w:t>12</w:t>
      </w:r>
      <w:r>
        <w:rPr>
          <w:rFonts w:eastAsia="宋体" w:cs="宋体"/>
          <w:sz w:val="24"/>
          <w:szCs w:val="21"/>
          <w:lang w:eastAsia="zh-CN"/>
        </w:rPr>
        <w:t>或</w:t>
      </w:r>
    </w:p>
    <w:p w14:paraId="3F30814E">
      <w:pPr>
        <w:pStyle w:val="21"/>
        <w:numPr>
          <w:ilvl w:val="0"/>
          <w:numId w:val="3"/>
        </w:numPr>
        <w:tabs>
          <w:tab w:val="left" w:pos="860"/>
          <w:tab w:val="left" w:pos="861"/>
        </w:tabs>
        <w:overflowPunct w:val="0"/>
        <w:adjustRightInd w:val="0"/>
        <w:snapToGrid w:val="0"/>
        <w:spacing w:before="36" w:beforeLines="15" w:line="276" w:lineRule="auto"/>
        <w:ind w:firstLineChars="0"/>
        <w:jc w:val="both"/>
        <w:rPr>
          <w:sz w:val="24"/>
          <w:szCs w:val="21"/>
        </w:rPr>
      </w:pPr>
      <w:r>
        <w:rPr>
          <w:rFonts w:eastAsia="宋体" w:cs="宋体"/>
          <w:sz w:val="24"/>
          <w:szCs w:val="21"/>
          <w:lang w:eastAsia="zh-CN"/>
        </w:rPr>
        <w:t>在突发公共卫生事件期间，FDA确定需要提供关于潜在重大供应中断信息的器械。</w:t>
      </w:r>
      <w:r>
        <w:rPr>
          <w:rFonts w:eastAsia="宋体" w:cs="宋体"/>
          <w:sz w:val="24"/>
          <w:szCs w:val="21"/>
          <w:vertAlign w:val="superscript"/>
        </w:rPr>
        <w:t>13</w:t>
      </w:r>
    </w:p>
    <w:p w14:paraId="42DD6EF8">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就本指南而言，FDA将“制造商”一词定义为：持有医疗器械上市申请许可的实体，或如果不需要医疗器械上市申请，则将其定义为：根据《FD&amp;C法案》第510(j)节的规定负责该医疗器械上市的实体。如果制造商生产第506J(a)(1)和(2)节所述器械，且该器械拥有FDA签发的上市许可，或根据《FD&amp;C法案》第510(j)节的规定予以上市，则应提交关于该器械的《506J通知》。例如，已获得510(k)许可的呼吸机或温度计制造商，或根据《FD&amp;C法案》第510(j)节规定列出的手术服制造商均应遵守第506J节中的通知要求。关于呼吸机或温度计等器械的制造商，要求其根据《FD&amp;C法案》第510(k)节向FDA提交上市前通知，并在美国上市该器械前获得FDA许可，但其尚未收到此类许可，且根据《关于COVID-19突发公共卫生事件期间自由裁量权的FDA指南》分销该器械，则该制造商不受第506J节通知要求的约束。</w:t>
      </w:r>
      <w:r>
        <w:rPr>
          <w:rFonts w:eastAsia="宋体" w:cs="宋体"/>
          <w:sz w:val="24"/>
          <w:szCs w:val="21"/>
          <w:vertAlign w:val="superscript"/>
          <w:lang w:eastAsia="zh-CN"/>
        </w:rPr>
        <w:t>14</w:t>
      </w:r>
    </w:p>
    <w:p w14:paraId="43F6ED92">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根据《FD&amp;C法案》第506J节的规定，要求在突发公共卫生事件期间对公共卫生至关重要的器械制造商，或FDA确定在突发公共卫生事件期间需要关于潜在的重大供应中断信息的器械制造商，通知FDA关于中断或永久停止此类器械制造的事宜。FDA建议制造商在确定是否需要通知FDA时对以下情况进行评价：</w:t>
      </w:r>
    </w:p>
    <w:p w14:paraId="7304CCD5">
      <w:pPr>
        <w:pStyle w:val="21"/>
        <w:numPr>
          <w:ilvl w:val="0"/>
          <w:numId w:val="3"/>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该器械（配备或未配备附件）是否支持生命、维持生命，或预期用于紧急医疗（示例可包括呼吸机和呼吸机管道、血液透析设备和自动体外除颤器）；</w:t>
      </w:r>
    </w:p>
    <w:p w14:paraId="1A32FC92">
      <w:pPr>
        <w:pStyle w:val="21"/>
        <w:numPr>
          <w:ilvl w:val="0"/>
          <w:numId w:val="3"/>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该器械（配备或未配备附件）是否预期在手术期间使用（示例可包括心肺转流氧合器、输液泵和管道）；</w:t>
      </w:r>
    </w:p>
    <w:p w14:paraId="311023D0">
      <w:pPr>
        <w:pStyle w:val="21"/>
        <w:numPr>
          <w:ilvl w:val="0"/>
          <w:numId w:val="3"/>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该器械（配备或未配备附件和/或检测用品）是否用于诊断、治愈、治疗、缓解或预防COVID-19（示例可包括诊断和血清学样本采集试剂盒的专用用品、用于提取或PCR扩增或血清学检测的试剂、脉搏血氧仪、心脏监护及其他监护设备）；或</w:t>
      </w:r>
    </w:p>
    <w:p w14:paraId="533AB3EF">
      <w:pPr>
        <w:pStyle w:val="21"/>
        <w:numPr>
          <w:ilvl w:val="0"/>
          <w:numId w:val="3"/>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与类似时期相比（示例可包括个人防护设备），在应对COVID-19疫情期间，该器械（配备或未配备附件）的需求是否会高于典型需求。</w:t>
      </w:r>
    </w:p>
    <w:p w14:paraId="0E15BBB5">
      <w:pPr>
        <w:overflowPunct w:val="0"/>
        <w:adjustRightInd w:val="0"/>
        <w:snapToGrid w:val="0"/>
        <w:spacing w:before="36" w:beforeLines="15" w:line="276" w:lineRule="auto"/>
        <w:jc w:val="both"/>
        <w:rPr>
          <w:rFonts w:eastAsiaTheme="minorEastAsia"/>
          <w:sz w:val="24"/>
          <w:szCs w:val="21"/>
          <w:lang w:eastAsia="zh-CN"/>
        </w:rPr>
      </w:pPr>
    </w:p>
    <w:p w14:paraId="72CEC719">
      <w:pPr>
        <w:overflowPunct w:val="0"/>
        <w:adjustRightInd w:val="0"/>
        <w:snapToGrid w:val="0"/>
        <w:spacing w:before="36" w:beforeLines="15" w:line="276" w:lineRule="auto"/>
        <w:jc w:val="both"/>
        <w:rPr>
          <w:rFonts w:eastAsiaTheme="minorEastAsia"/>
          <w:sz w:val="24"/>
          <w:szCs w:val="21"/>
          <w:lang w:eastAsia="zh-CN"/>
        </w:rPr>
      </w:pPr>
    </w:p>
    <w:p w14:paraId="01B8FAB4">
      <w:pPr>
        <w:overflowPunct w:val="0"/>
        <w:adjustRightInd w:val="0"/>
        <w:snapToGrid w:val="0"/>
        <w:spacing w:before="36" w:beforeLines="15" w:line="276" w:lineRule="auto"/>
        <w:jc w:val="both"/>
        <w:rPr>
          <w:rFonts w:eastAsiaTheme="minorEastAsia"/>
          <w:sz w:val="21"/>
          <w:szCs w:val="18"/>
          <w:lang w:eastAsia="zh-CN"/>
        </w:rPr>
      </w:pPr>
      <w:r>
        <w:rPr>
          <w:sz w:val="21"/>
          <w:szCs w:val="18"/>
        </w:rPr>
        <w:t>________________</w:t>
      </w:r>
    </w:p>
    <w:p w14:paraId="30767F2B">
      <w:pPr>
        <w:overflowPunct w:val="0"/>
        <w:adjustRightInd w:val="0"/>
        <w:snapToGrid w:val="0"/>
        <w:spacing w:before="36" w:beforeLines="15" w:line="276" w:lineRule="auto"/>
        <w:jc w:val="both"/>
        <w:rPr>
          <w:sz w:val="21"/>
          <w:szCs w:val="18"/>
        </w:rPr>
      </w:pPr>
      <w:r>
        <w:rPr>
          <w:rFonts w:eastAsia="宋体" w:cs="宋体"/>
          <w:sz w:val="21"/>
          <w:szCs w:val="18"/>
          <w:vertAlign w:val="superscript"/>
        </w:rPr>
        <w:t>12</w:t>
      </w:r>
      <w:r>
        <w:rPr>
          <w:rFonts w:eastAsia="宋体" w:cs="宋体"/>
          <w:i/>
          <w:sz w:val="21"/>
          <w:szCs w:val="18"/>
        </w:rPr>
        <w:t>参见</w:t>
      </w:r>
      <w:r>
        <w:rPr>
          <w:rFonts w:eastAsia="宋体" w:cs="宋体"/>
          <w:sz w:val="21"/>
          <w:szCs w:val="18"/>
        </w:rPr>
        <w:t>《FD&amp;C法案》第506J(a)(1)节。</w:t>
      </w:r>
    </w:p>
    <w:p w14:paraId="4CF95BCE">
      <w:pPr>
        <w:overflowPunct w:val="0"/>
        <w:adjustRightInd w:val="0"/>
        <w:snapToGrid w:val="0"/>
        <w:spacing w:before="36" w:beforeLines="15" w:line="276" w:lineRule="auto"/>
        <w:jc w:val="both"/>
        <w:rPr>
          <w:sz w:val="21"/>
          <w:szCs w:val="18"/>
        </w:rPr>
      </w:pPr>
      <w:r>
        <w:rPr>
          <w:rFonts w:eastAsia="宋体" w:cs="宋体"/>
          <w:sz w:val="21"/>
          <w:szCs w:val="18"/>
          <w:vertAlign w:val="superscript"/>
        </w:rPr>
        <w:t>13</w:t>
      </w:r>
      <w:r>
        <w:rPr>
          <w:rFonts w:eastAsia="宋体" w:cs="宋体"/>
          <w:i/>
          <w:sz w:val="21"/>
          <w:szCs w:val="18"/>
        </w:rPr>
        <w:t>参见</w:t>
      </w:r>
      <w:r>
        <w:rPr>
          <w:rFonts w:eastAsia="宋体" w:cs="宋体"/>
          <w:sz w:val="21"/>
          <w:szCs w:val="18"/>
        </w:rPr>
        <w:t>《FD&amp;C法案》第506J(a)(2)节。</w:t>
      </w:r>
    </w:p>
    <w:p w14:paraId="1543CDBF">
      <w:pPr>
        <w:overflowPunct w:val="0"/>
        <w:adjustRightInd w:val="0"/>
        <w:snapToGrid w:val="0"/>
        <w:spacing w:before="36" w:beforeLines="15" w:line="276" w:lineRule="auto"/>
        <w:jc w:val="both"/>
        <w:rPr>
          <w:sz w:val="21"/>
          <w:szCs w:val="18"/>
        </w:rPr>
      </w:pPr>
      <w:r>
        <w:rPr>
          <w:rFonts w:eastAsia="宋体" w:cs="宋体"/>
          <w:sz w:val="21"/>
          <w:szCs w:val="18"/>
          <w:vertAlign w:val="superscript"/>
          <w:lang w:eastAsia="zh-CN"/>
        </w:rPr>
        <w:t>14</w:t>
      </w:r>
      <w:r>
        <w:rPr>
          <w:rFonts w:eastAsia="宋体" w:cs="宋体"/>
          <w:sz w:val="21"/>
          <w:szCs w:val="18"/>
          <w:lang w:eastAsia="zh-CN"/>
        </w:rPr>
        <w:t>在COVID-19突发公共卫生事件期间，FDA发布了大量指南，其中指出，如果未根据《FD&amp;C法案》第510(k)节预先提交上市前通知，则FDA预期不会反对对FDA许可的器械进行修改，也不会反对对新器械进行分销和使用。</w:t>
      </w:r>
      <w:r>
        <w:rPr>
          <w:rFonts w:eastAsia="宋体" w:cs="宋体"/>
          <w:i/>
          <w:sz w:val="21"/>
          <w:szCs w:val="18"/>
        </w:rPr>
        <w:t>参见网址：</w:t>
      </w:r>
      <w:r>
        <w:fldChar w:fldCharType="begin"/>
      </w:r>
      <w:r>
        <w:instrText xml:space="preserve"> HYPERLINK "https://www.fda.gov/emergency-preparedness-and-response/mcm-issues/covid-19-related-guidance-documents-industry-fda-staff-and-other-stakeholders" \h </w:instrText>
      </w:r>
      <w:r>
        <w:fldChar w:fldCharType="separate"/>
      </w:r>
      <w:r>
        <w:rPr>
          <w:rFonts w:eastAsia="宋体" w:cs="宋体"/>
          <w:color w:val="0000FF"/>
          <w:sz w:val="21"/>
          <w:szCs w:val="18"/>
          <w:u w:val="single" w:color="0000FF"/>
        </w:rPr>
        <w:t>https://www.fda.gov/emergency- preparedness-and-response/mcm-issues/covid-19-related-guidance-documents-industry-fda-staff-and-other-stakeholders</w:t>
      </w:r>
      <w:r>
        <w:rPr>
          <w:rFonts w:eastAsia="宋体" w:cs="宋体"/>
          <w:color w:val="0000FF"/>
          <w:sz w:val="21"/>
          <w:szCs w:val="18"/>
          <w:u w:val="single" w:color="0000FF"/>
        </w:rPr>
        <w:fldChar w:fldCharType="end"/>
      </w:r>
      <w:r>
        <w:rPr>
          <w:rFonts w:eastAsia="宋体" w:cs="宋体"/>
          <w:sz w:val="21"/>
          <w:szCs w:val="18"/>
        </w:rPr>
        <w:t>。</w:t>
      </w:r>
      <w:r>
        <w:rPr>
          <w:rFonts w:eastAsia="宋体" w:cs="宋体"/>
          <w:sz w:val="24"/>
        </w:rPr>
        <w:br w:type="page"/>
      </w:r>
    </w:p>
    <w:p w14:paraId="6538DF0B">
      <w:pPr>
        <w:overflowPunct w:val="0"/>
        <w:adjustRightInd w:val="0"/>
        <w:snapToGrid w:val="0"/>
        <w:spacing w:before="36" w:beforeLines="15" w:line="276" w:lineRule="auto"/>
        <w:jc w:val="both"/>
        <w:rPr>
          <w:sz w:val="24"/>
          <w:szCs w:val="21"/>
          <w:lang w:eastAsia="zh-CN"/>
        </w:rPr>
      </w:pPr>
      <w:r>
        <w:fldChar w:fldCharType="begin"/>
      </w:r>
      <w:r>
        <w:rPr>
          <w:lang w:eastAsia="zh-CN"/>
        </w:rPr>
        <w:instrText xml:space="preserve"> HYPERLINK "https://www.fda.gov/medical-devices/emergency-situations-medical-devices/medical-device-types-help-determine-section-506j-notification-obligations" \h </w:instrText>
      </w:r>
      <w:r>
        <w:fldChar w:fldCharType="separate"/>
      </w:r>
      <w:r>
        <w:rPr>
          <w:rFonts w:eastAsia="宋体" w:cs="宋体"/>
          <w:color w:val="0000FF"/>
          <w:sz w:val="24"/>
          <w:szCs w:val="21"/>
          <w:u w:val="single" w:color="0000FF"/>
          <w:lang w:eastAsia="zh-CN"/>
        </w:rPr>
        <w:t>FDA网站</w:t>
      </w:r>
      <w:r>
        <w:rPr>
          <w:rFonts w:eastAsia="宋体" w:cs="宋体"/>
          <w:color w:val="0000FF"/>
          <w:sz w:val="24"/>
          <w:szCs w:val="21"/>
          <w:u w:val="single" w:color="0000FF"/>
          <w:lang w:eastAsia="zh-CN"/>
        </w:rPr>
        <w:fldChar w:fldCharType="end"/>
      </w:r>
      <w:r>
        <w:rPr>
          <w:rFonts w:eastAsia="宋体" w:cs="宋体"/>
          <w:sz w:val="24"/>
          <w:szCs w:val="21"/>
          <w:vertAlign w:val="superscript"/>
          <w:lang w:eastAsia="zh-CN"/>
        </w:rPr>
        <w:t>15</w:t>
      </w:r>
      <w:r>
        <w:rPr>
          <w:rFonts w:eastAsia="宋体" w:cs="宋体"/>
          <w:sz w:val="24"/>
          <w:szCs w:val="21"/>
          <w:lang w:eastAsia="zh-CN"/>
        </w:rPr>
        <w:t>还包含器械类型与相应产品代码表，FDA建议制造商在确定COVID-19疫情期间是否需通知FDA时应对该表予以考虑。该表代表FDA对上述情况的当前观点。此表并非详尽无遗，FDA将根据COVID-19疫情的演变情况对其进行更新。如果该表中未包括某一器械类型，但您认为其需要《506J通知》，或如果对本表中器械类型有任何疑问，可通过发送电子邮件至</w:t>
      </w:r>
      <w:r>
        <w:fldChar w:fldCharType="begin"/>
      </w:r>
      <w:r>
        <w:rPr>
          <w:lang w:eastAsia="zh-CN"/>
        </w:rPr>
        <w:instrText xml:space="preserve"> HYPERLINK "mailto:CDRHManufacturerShortage@fda.hhs.gov" \h </w:instrText>
      </w:r>
      <w:r>
        <w:fldChar w:fldCharType="separate"/>
      </w:r>
      <w:r>
        <w:rPr>
          <w:rFonts w:eastAsia="宋体" w:cs="宋体"/>
          <w:color w:val="0000FF"/>
          <w:sz w:val="24"/>
          <w:szCs w:val="21"/>
          <w:u w:val="single" w:color="0000FF"/>
          <w:lang w:eastAsia="zh-CN"/>
        </w:rPr>
        <w:t>CDRHManufacturerShortage@fda.hhs.gov</w:t>
      </w:r>
      <w:r>
        <w:rPr>
          <w:rFonts w:eastAsia="宋体" w:cs="宋体"/>
          <w:color w:val="0000FF"/>
          <w:sz w:val="24"/>
          <w:szCs w:val="21"/>
          <w:u w:val="single" w:color="0000FF"/>
          <w:lang w:eastAsia="zh-CN"/>
        </w:rPr>
        <w:fldChar w:fldCharType="end"/>
      </w:r>
      <w:r>
        <w:rPr>
          <w:rFonts w:eastAsia="宋体" w:cs="宋体"/>
          <w:sz w:val="24"/>
          <w:szCs w:val="21"/>
          <w:lang w:eastAsia="zh-CN"/>
        </w:rPr>
        <w:t>与FDA联系，并在电子邮件主题行注明“问题”。</w:t>
      </w:r>
    </w:p>
    <w:p w14:paraId="51D18DD9">
      <w:pPr>
        <w:overflowPunct w:val="0"/>
        <w:adjustRightInd w:val="0"/>
        <w:snapToGrid w:val="0"/>
        <w:spacing w:before="36" w:beforeLines="15" w:line="276" w:lineRule="auto"/>
        <w:jc w:val="both"/>
        <w:rPr>
          <w:sz w:val="24"/>
          <w:szCs w:val="21"/>
        </w:rPr>
      </w:pPr>
      <w:r>
        <w:rPr>
          <w:rFonts w:eastAsia="宋体" w:cs="宋体"/>
          <w:sz w:val="24"/>
          <w:szCs w:val="21"/>
        </w:rPr>
        <w:t>如果制造商不确定是否要就某一特定器械通知FDA，建议制造商通过发送电子邮件至</w:t>
      </w:r>
      <w:r>
        <w:fldChar w:fldCharType="begin"/>
      </w:r>
      <w:r>
        <w:instrText xml:space="preserve"> HYPERLINK "mailto:CDRHManufacturerShortage@fda.hhs.gov" \h </w:instrText>
      </w:r>
      <w:r>
        <w:fldChar w:fldCharType="separate"/>
      </w:r>
      <w:r>
        <w:rPr>
          <w:rFonts w:eastAsia="宋体" w:cs="宋体"/>
          <w:color w:val="0000FF"/>
          <w:sz w:val="24"/>
          <w:szCs w:val="21"/>
          <w:u w:val="single" w:color="0000FF"/>
        </w:rPr>
        <w:t>CDRHManufacturerShortage@fda.hhs.gov</w:t>
      </w:r>
      <w:r>
        <w:rPr>
          <w:rFonts w:eastAsia="宋体" w:cs="宋体"/>
          <w:color w:val="0000FF"/>
          <w:sz w:val="24"/>
          <w:szCs w:val="21"/>
          <w:u w:val="single" w:color="0000FF"/>
        </w:rPr>
        <w:fldChar w:fldCharType="end"/>
      </w:r>
      <w:r>
        <w:rPr>
          <w:rFonts w:eastAsia="宋体" w:cs="宋体"/>
          <w:sz w:val="24"/>
          <w:szCs w:val="21"/>
        </w:rPr>
        <w:t>与本机构联系。</w:t>
      </w:r>
    </w:p>
    <w:p w14:paraId="6F3BAA67">
      <w:pPr>
        <w:pStyle w:val="21"/>
        <w:numPr>
          <w:ilvl w:val="1"/>
          <w:numId w:val="2"/>
        </w:numPr>
        <w:overflowPunct w:val="0"/>
        <w:snapToGrid w:val="0"/>
        <w:spacing w:before="36" w:beforeLines="15" w:line="276" w:lineRule="auto"/>
        <w:ind w:firstLineChars="0"/>
        <w:jc w:val="both"/>
        <w:outlineLvl w:val="1"/>
        <w:rPr>
          <w:b/>
          <w:sz w:val="24"/>
          <w:szCs w:val="24"/>
        </w:rPr>
      </w:pPr>
      <w:bookmarkStart w:id="4" w:name="_Toc90399103"/>
      <w:r>
        <w:rPr>
          <w:rFonts w:eastAsia="宋体" w:cs="宋体"/>
          <w:b/>
          <w:sz w:val="24"/>
          <w:szCs w:val="24"/>
        </w:rPr>
        <w:t>提交通知的时间</w:t>
      </w:r>
      <w:bookmarkEnd w:id="4"/>
    </w:p>
    <w:p w14:paraId="5F0512D3">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制造商必须在永久停止</w:t>
      </w:r>
      <w:r>
        <w:rPr>
          <w:rFonts w:eastAsia="宋体" w:cs="宋体"/>
          <w:sz w:val="24"/>
          <w:szCs w:val="21"/>
          <w:vertAlign w:val="superscript"/>
          <w:lang w:eastAsia="zh-CN"/>
        </w:rPr>
        <w:t>16</w:t>
      </w:r>
      <w:r>
        <w:rPr>
          <w:rFonts w:eastAsia="宋体" w:cs="宋体"/>
          <w:sz w:val="24"/>
          <w:szCs w:val="21"/>
          <w:lang w:eastAsia="zh-CN"/>
        </w:rPr>
        <w:t>或中断器械制造（这均可能导致该器械在美国的供应出现重大中断）前至少六个月提交通知。</w:t>
      </w:r>
      <w:r>
        <w:rPr>
          <w:rFonts w:eastAsia="宋体" w:cs="宋体"/>
          <w:sz w:val="24"/>
          <w:szCs w:val="21"/>
          <w:vertAlign w:val="superscript"/>
          <w:lang w:eastAsia="zh-CN"/>
        </w:rPr>
        <w:t>17</w:t>
      </w:r>
      <w:r>
        <w:rPr>
          <w:rFonts w:eastAsia="宋体" w:cs="宋体"/>
          <w:sz w:val="24"/>
          <w:szCs w:val="21"/>
          <w:lang w:eastAsia="zh-CN"/>
        </w:rPr>
        <w:t>如果在该期限内无法发出通知，则应“在切实可行的情况下尽快”发出。</w:t>
      </w:r>
      <w:r>
        <w:rPr>
          <w:rFonts w:eastAsia="宋体" w:cs="宋体"/>
          <w:sz w:val="24"/>
          <w:szCs w:val="21"/>
          <w:vertAlign w:val="superscript"/>
          <w:lang w:eastAsia="zh-CN"/>
        </w:rPr>
        <w:t>18</w:t>
      </w:r>
    </w:p>
    <w:p w14:paraId="60B00796">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就本指南而言，FDA认为“在切实可行的情况下尽快”是指制造商应在停止或中断</w:t>
      </w:r>
      <w:r>
        <w:rPr>
          <w:rFonts w:hint="eastAsia" w:eastAsia="宋体" w:cs="宋体"/>
          <w:sz w:val="24"/>
          <w:szCs w:val="21"/>
          <w:lang w:eastAsia="zh-CN"/>
        </w:rPr>
        <w:t>生产</w:t>
      </w:r>
      <w:r>
        <w:rPr>
          <w:rFonts w:eastAsia="宋体" w:cs="宋体"/>
          <w:sz w:val="24"/>
          <w:szCs w:val="21"/>
          <w:lang w:eastAsia="zh-CN"/>
        </w:rPr>
        <w:t>后不超过7个日历日内通知FDA。在充分告知的情况下，FDA可与制造商以及其他利益相关方合作，从根本上预防并缓解短缺情况，从而帮助防止对患者和医务人员造成负面影响。</w:t>
      </w:r>
    </w:p>
    <w:p w14:paraId="5C1FE4A6">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mp;C法案》第506J(i)(1)(A)节将术语“重大中断”定义为“合理情况下可能导致制造商减少器械供应的产量变更，这种减少超出可忽略程度，并影响制造商完成订单或达到其产品预期需求的能力。”就本指南而言，本机构将其定义为制造商应基于其自身能力、供应和订单方面的报告，不应考虑其他制造商或竞争对手的能力或假定能力，或其对器械市场需求的理解。</w:t>
      </w:r>
    </w:p>
    <w:p w14:paraId="4E93A85E">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《FD&amp;C法案》第506J(i)(1)节还规定，术语“重大中断”不包括：</w:t>
      </w:r>
    </w:p>
    <w:p w14:paraId="11AF05DA">
      <w:pPr>
        <w:overflowPunct w:val="0"/>
        <w:adjustRightInd w:val="0"/>
        <w:snapToGrid w:val="0"/>
        <w:spacing w:before="36" w:beforeLines="15" w:line="276" w:lineRule="auto"/>
        <w:jc w:val="both"/>
        <w:rPr>
          <w:sz w:val="24"/>
          <w:szCs w:val="24"/>
          <w:lang w:eastAsia="zh-CN"/>
        </w:rPr>
      </w:pPr>
    </w:p>
    <w:p w14:paraId="02803EA9">
      <w:pPr>
        <w:pStyle w:val="21"/>
        <w:numPr>
          <w:ilvl w:val="0"/>
          <w:numId w:val="4"/>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“[I]由于日常维护或</w:t>
      </w:r>
      <w:r>
        <w:rPr>
          <w:rFonts w:hint="eastAsia" w:eastAsia="宋体" w:cs="宋体"/>
          <w:sz w:val="24"/>
          <w:szCs w:val="21"/>
          <w:lang w:eastAsia="zh-CN"/>
        </w:rPr>
        <w:t>生产</w:t>
      </w:r>
      <w:r>
        <w:rPr>
          <w:rFonts w:eastAsia="宋体" w:cs="宋体"/>
          <w:sz w:val="24"/>
          <w:szCs w:val="21"/>
          <w:lang w:eastAsia="zh-CN"/>
        </w:rPr>
        <w:t>过程中微小变更等原因导致的</w:t>
      </w:r>
      <w:r>
        <w:rPr>
          <w:rFonts w:hint="eastAsia" w:eastAsia="宋体" w:cs="宋体"/>
          <w:sz w:val="24"/>
          <w:szCs w:val="21"/>
          <w:lang w:eastAsia="zh-CN"/>
        </w:rPr>
        <w:t>生产</w:t>
      </w:r>
      <w:r>
        <w:rPr>
          <w:rFonts w:eastAsia="宋体" w:cs="宋体"/>
          <w:sz w:val="24"/>
          <w:szCs w:val="21"/>
          <w:lang w:eastAsia="zh-CN"/>
        </w:rPr>
        <w:t>中断，只要制造商预期在短时间内（不超过六个月）恢复运营；”</w:t>
      </w:r>
      <w:r>
        <w:rPr>
          <w:rFonts w:eastAsia="宋体" w:cs="宋体"/>
          <w:sz w:val="24"/>
          <w:szCs w:val="21"/>
          <w:vertAlign w:val="superscript"/>
          <w:lang w:eastAsia="zh-CN"/>
        </w:rPr>
        <w:t>19</w:t>
      </w:r>
    </w:p>
    <w:p w14:paraId="0CF0914B">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0402B10F">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764F4981">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5AC3CC3B">
      <w:pPr>
        <w:overflowPunct w:val="0"/>
        <w:adjustRightInd w:val="0"/>
        <w:snapToGrid w:val="0"/>
        <w:spacing w:before="36" w:beforeLines="15" w:line="276" w:lineRule="auto"/>
        <w:jc w:val="both"/>
        <w:rPr>
          <w:sz w:val="21"/>
          <w:szCs w:val="18"/>
          <w:vertAlign w:val="superscript"/>
        </w:rPr>
      </w:pPr>
      <w:r>
        <w:rPr>
          <w:sz w:val="21"/>
          <w:szCs w:val="18"/>
        </w:rPr>
        <w:t>________________</w:t>
      </w:r>
    </w:p>
    <w:p w14:paraId="247EDBD0">
      <w:pPr>
        <w:overflowPunct w:val="0"/>
        <w:adjustRightInd w:val="0"/>
        <w:snapToGrid w:val="0"/>
        <w:spacing w:before="36" w:beforeLines="15" w:line="276" w:lineRule="auto"/>
        <w:jc w:val="both"/>
        <w:rPr>
          <w:sz w:val="21"/>
          <w:szCs w:val="18"/>
        </w:rPr>
      </w:pPr>
      <w:r>
        <w:rPr>
          <w:rFonts w:eastAsia="宋体" w:cs="宋体"/>
          <w:sz w:val="21"/>
          <w:szCs w:val="18"/>
          <w:vertAlign w:val="superscript"/>
        </w:rPr>
        <w:t>15</w:t>
      </w:r>
      <w:r>
        <w:rPr>
          <w:rFonts w:eastAsia="宋体" w:cs="宋体"/>
          <w:i/>
          <w:sz w:val="21"/>
          <w:szCs w:val="18"/>
        </w:rPr>
        <w:t>参见网址：</w:t>
      </w:r>
      <w:r>
        <w:fldChar w:fldCharType="begin"/>
      </w:r>
      <w:r>
        <w:instrText xml:space="preserve"> HYPERLINK "https://www.fda.gov/medical-devices/coronavirus-covid-19-and-medical-devices/medical-device-types-help-determine-section-506j-notification-obligations" \h </w:instrText>
      </w:r>
      <w:r>
        <w:fldChar w:fldCharType="separate"/>
      </w:r>
      <w:r>
        <w:rPr>
          <w:rFonts w:eastAsia="宋体" w:cs="宋体"/>
          <w:color w:val="0000FF"/>
          <w:sz w:val="21"/>
          <w:szCs w:val="18"/>
          <w:u w:val="single" w:color="0000FF"/>
        </w:rPr>
        <w:t>https://www.fda.gov/medical-devices/coronavirus-covid-19-and-medical-devices/medical-device-types-help- determine-section-506j-notification-obligations</w:t>
      </w:r>
      <w:r>
        <w:rPr>
          <w:rFonts w:eastAsia="宋体" w:cs="宋体"/>
          <w:color w:val="0000FF"/>
          <w:sz w:val="21"/>
          <w:szCs w:val="18"/>
          <w:u w:val="single" w:color="0000FF"/>
        </w:rPr>
        <w:fldChar w:fldCharType="end"/>
      </w:r>
      <w:r>
        <w:rPr>
          <w:rFonts w:eastAsia="宋体" w:cs="宋体"/>
          <w:sz w:val="21"/>
          <w:szCs w:val="18"/>
        </w:rPr>
        <w:t>。</w:t>
      </w:r>
    </w:p>
    <w:p w14:paraId="31C36F03">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 xml:space="preserve">16 </w:t>
      </w:r>
      <w:r>
        <w:rPr>
          <w:rFonts w:eastAsia="宋体" w:cs="宋体"/>
          <w:sz w:val="21"/>
          <w:szCs w:val="18"/>
          <w:lang w:eastAsia="zh-CN"/>
        </w:rPr>
        <w:t>FDA将“永久停止”定义为制造商因业务或其他原因决定无限期停止制造和分销某种产品。所有此类停止均应在《FD&amp;C法案》第506J(b)节规定的时间范围内予以报告。</w:t>
      </w:r>
    </w:p>
    <w:p w14:paraId="3186A5A0">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17</w:t>
      </w:r>
      <w:r>
        <w:rPr>
          <w:rFonts w:eastAsia="宋体" w:cs="宋体"/>
          <w:i/>
          <w:sz w:val="21"/>
          <w:szCs w:val="18"/>
          <w:lang w:eastAsia="zh-CN"/>
        </w:rPr>
        <w:t>参见</w:t>
      </w:r>
      <w:r>
        <w:rPr>
          <w:rFonts w:eastAsia="宋体" w:cs="宋体"/>
          <w:sz w:val="21"/>
          <w:szCs w:val="18"/>
          <w:lang w:eastAsia="zh-CN"/>
        </w:rPr>
        <w:t>《FD&amp;C法案》第506J(b)(1)节。</w:t>
      </w:r>
    </w:p>
    <w:p w14:paraId="158CB54F">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18</w:t>
      </w:r>
      <w:r>
        <w:rPr>
          <w:rFonts w:eastAsia="宋体" w:cs="宋体"/>
          <w:i/>
          <w:sz w:val="21"/>
          <w:szCs w:val="18"/>
          <w:lang w:eastAsia="zh-CN"/>
        </w:rPr>
        <w:t>参见</w:t>
      </w:r>
      <w:r>
        <w:rPr>
          <w:rFonts w:eastAsia="宋体" w:cs="宋体"/>
          <w:sz w:val="21"/>
          <w:szCs w:val="18"/>
          <w:lang w:eastAsia="zh-CN"/>
        </w:rPr>
        <w:t>《FD&amp;C法案》第506J(b)(2)节。</w:t>
      </w:r>
    </w:p>
    <w:p w14:paraId="5214446E">
      <w:pPr>
        <w:overflowPunct w:val="0"/>
        <w:adjustRightInd w:val="0"/>
        <w:snapToGrid w:val="0"/>
        <w:spacing w:before="36" w:beforeLines="15" w:line="276" w:lineRule="auto"/>
        <w:jc w:val="both"/>
        <w:rPr>
          <w:sz w:val="21"/>
          <w:szCs w:val="18"/>
        </w:rPr>
      </w:pPr>
      <w:r>
        <w:rPr>
          <w:rFonts w:eastAsia="宋体" w:cs="宋体"/>
          <w:sz w:val="21"/>
          <w:szCs w:val="18"/>
          <w:vertAlign w:val="superscript"/>
        </w:rPr>
        <w:t>19</w:t>
      </w:r>
      <w:r>
        <w:rPr>
          <w:rFonts w:eastAsia="宋体" w:cs="宋体"/>
          <w:i/>
          <w:sz w:val="21"/>
          <w:szCs w:val="18"/>
        </w:rPr>
        <w:t>参见</w:t>
      </w:r>
      <w:r>
        <w:rPr>
          <w:rFonts w:eastAsia="宋体" w:cs="宋体"/>
          <w:sz w:val="21"/>
          <w:szCs w:val="18"/>
        </w:rPr>
        <w:t>《FD&amp;C法案》第506J(i)(1)(B)节。</w:t>
      </w:r>
    </w:p>
    <w:p w14:paraId="6E921AA8">
      <w:pPr>
        <w:overflowPunct w:val="0"/>
        <w:snapToGrid w:val="0"/>
        <w:spacing w:before="36" w:beforeLines="15" w:line="276" w:lineRule="auto"/>
        <w:rPr>
          <w:sz w:val="24"/>
          <w:szCs w:val="21"/>
        </w:rPr>
      </w:pPr>
      <w:r>
        <w:rPr>
          <w:rFonts w:eastAsia="宋体" w:cs="宋体"/>
          <w:sz w:val="20"/>
        </w:rPr>
        <w:br w:type="page"/>
      </w:r>
    </w:p>
    <w:p w14:paraId="7615920B">
      <w:pPr>
        <w:pStyle w:val="21"/>
        <w:numPr>
          <w:ilvl w:val="0"/>
          <w:numId w:val="5"/>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“[I]组件或原材料生产中断，只要此类中断不会导致器械短缺，且制造商预计在合理时间内恢复运营。”</w:t>
      </w:r>
      <w:r>
        <w:rPr>
          <w:rFonts w:eastAsia="宋体" w:cs="宋体"/>
          <w:sz w:val="24"/>
          <w:szCs w:val="21"/>
          <w:vertAlign w:val="superscript"/>
          <w:lang w:eastAsia="zh-CN"/>
        </w:rPr>
        <w:t>20</w:t>
      </w:r>
      <w:r>
        <w:rPr>
          <w:rFonts w:eastAsia="宋体" w:cs="宋体"/>
          <w:sz w:val="24"/>
          <w:szCs w:val="21"/>
          <w:lang w:eastAsia="zh-CN"/>
        </w:rPr>
        <w:t>就本指南而言，FDA认为“合理期限”不超过一个月。</w:t>
      </w:r>
    </w:p>
    <w:p w14:paraId="3490A94E">
      <w:pPr>
        <w:pStyle w:val="21"/>
        <w:numPr>
          <w:ilvl w:val="0"/>
          <w:numId w:val="5"/>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“[I]制造中断不会导致与医疗器械相关的程序或诊断性检测减少，且该器械旨在执行多个程序或诊断性检测。”</w:t>
      </w:r>
      <w:r>
        <w:rPr>
          <w:rFonts w:eastAsia="宋体" w:cs="宋体"/>
          <w:sz w:val="24"/>
          <w:szCs w:val="21"/>
          <w:vertAlign w:val="superscript"/>
          <w:lang w:eastAsia="zh-CN"/>
        </w:rPr>
        <w:t>21</w:t>
      </w:r>
      <w:r>
        <w:rPr>
          <w:rFonts w:eastAsia="宋体" w:cs="宋体"/>
          <w:sz w:val="24"/>
          <w:szCs w:val="21"/>
          <w:lang w:eastAsia="zh-CN"/>
        </w:rPr>
        <w:t>针对旨在用于执行多个程序或诊断或血清学检测的器械，制造商应提供任何中断可能导致任何程序减少或检测能力下降的通知。例如，如果某一器械可用于五种类型的程序，且制造中断意味着只能执行四种类型的程序，则应将该情况报告给FDA。</w:t>
      </w:r>
    </w:p>
    <w:p w14:paraId="2CBBF22C">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COVID-19疫情引发了对部分医疗器械的需求空前增加，以及全球医疗器械制造和供应链运营的重大中断。就本指南而言，FDA将“制造中断”定义为包括因制造能力下降或需求增加而引发的中断。</w:t>
      </w:r>
    </w:p>
    <w:p w14:paraId="41465DD9">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在发出关于制造中断的《506J初始通知》后，即使情况仍未改变，FDA建议制造商每六周提供一次关于该情况的更新，包括预期的恢复时间表。此类更新对于确保FDA能够根据最新信息采取行动而言至关重要。本机构建议应提交此类更新，直到医疗器械短缺风险得到解决。FDA可联系在发出《506J通知》或进行最新更新（如适用）后六周内未提交更新的制造商，并要求其提供有关该情况的最新信息。</w:t>
      </w:r>
    </w:p>
    <w:p w14:paraId="438B1BD5">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如果制造商正在考虑采取可能导致器械供应出现重大中断的措施（例如，暂停制造以调查质量问题或转让所有权），FDA会要求制造商立即通过本指南第III.D.节所述流程通知FDA。此外，如果美国另一政府实体命令制造商采取措施转移来自原预期客户的供应，FDA会要求制造商采用本指南第III.D.节所述流程通知FDA。</w:t>
      </w:r>
    </w:p>
    <w:p w14:paraId="4AB79797">
      <w:pPr>
        <w:overflowPunct w:val="0"/>
        <w:adjustRightInd w:val="0"/>
        <w:snapToGrid w:val="0"/>
        <w:spacing w:before="36" w:beforeLines="15" w:line="276" w:lineRule="auto"/>
        <w:jc w:val="both"/>
        <w:rPr>
          <w:sz w:val="24"/>
          <w:szCs w:val="21"/>
        </w:rPr>
      </w:pPr>
      <w:r>
        <w:rPr>
          <w:rFonts w:eastAsia="宋体" w:cs="宋体"/>
          <w:sz w:val="24"/>
          <w:szCs w:val="21"/>
        </w:rPr>
        <w:t>如果制造商不确定是否要通知FDA，本机构建议制造商通过发送电子邮件至</w:t>
      </w:r>
      <w:r>
        <w:fldChar w:fldCharType="begin"/>
      </w:r>
      <w:r>
        <w:instrText xml:space="preserve"> HYPERLINK "mailto:CDRHManufacturerShortage@fda.hhs.gov" \h </w:instrText>
      </w:r>
      <w:r>
        <w:fldChar w:fldCharType="separate"/>
      </w:r>
      <w:r>
        <w:rPr>
          <w:rFonts w:eastAsia="宋体" w:cs="宋体"/>
          <w:color w:val="0000FF"/>
          <w:sz w:val="24"/>
          <w:szCs w:val="21"/>
          <w:u w:val="single" w:color="0000FF"/>
        </w:rPr>
        <w:t>CDRHManufacturerShortage@fda.hhs.gov</w:t>
      </w:r>
      <w:r>
        <w:rPr>
          <w:rFonts w:eastAsia="宋体" w:cs="宋体"/>
          <w:color w:val="0000FF"/>
          <w:sz w:val="24"/>
          <w:szCs w:val="21"/>
          <w:u w:val="single" w:color="0000FF"/>
        </w:rPr>
        <w:fldChar w:fldCharType="end"/>
      </w:r>
      <w:r>
        <w:rPr>
          <w:rFonts w:eastAsia="宋体" w:cs="宋体"/>
          <w:sz w:val="24"/>
          <w:szCs w:val="21"/>
        </w:rPr>
        <w:t>与本机构联系。</w:t>
      </w:r>
    </w:p>
    <w:p w14:paraId="003F5433">
      <w:pPr>
        <w:pStyle w:val="21"/>
        <w:numPr>
          <w:ilvl w:val="1"/>
          <w:numId w:val="2"/>
        </w:numPr>
        <w:overflowPunct w:val="0"/>
        <w:snapToGrid w:val="0"/>
        <w:spacing w:before="36" w:beforeLines="15" w:line="276" w:lineRule="auto"/>
        <w:ind w:firstLineChars="0"/>
        <w:jc w:val="both"/>
        <w:outlineLvl w:val="1"/>
        <w:rPr>
          <w:b/>
          <w:sz w:val="24"/>
          <w:szCs w:val="24"/>
        </w:rPr>
      </w:pPr>
      <w:bookmarkStart w:id="5" w:name="_Toc90399104"/>
      <w:r>
        <w:rPr>
          <w:rFonts w:eastAsia="宋体" w:cs="宋体"/>
          <w:b/>
          <w:sz w:val="24"/>
          <w:szCs w:val="24"/>
        </w:rPr>
        <w:t>《506J通知》中所包含的信息</w:t>
      </w:r>
      <w:bookmarkEnd w:id="5"/>
    </w:p>
    <w:p w14:paraId="188DE1ED">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根据《FD&amp;C法案》</w:t>
      </w:r>
      <w:r>
        <w:rPr>
          <w:rFonts w:eastAsia="宋体" w:cs="宋体"/>
          <w:sz w:val="24"/>
          <w:szCs w:val="21"/>
          <w:vertAlign w:val="superscript"/>
          <w:lang w:eastAsia="zh-CN"/>
        </w:rPr>
        <w:t>22</w:t>
      </w:r>
      <w:r>
        <w:rPr>
          <w:rFonts w:eastAsia="宋体" w:cs="宋体"/>
          <w:sz w:val="24"/>
          <w:szCs w:val="21"/>
          <w:lang w:eastAsia="zh-CN"/>
        </w:rPr>
        <w:t>第506J(a)节的规定，本指南第III.A.节规定的器械制造商必须提交以下方面相关通知：</w:t>
      </w:r>
    </w:p>
    <w:p w14:paraId="1620F9D3">
      <w:pPr>
        <w:pStyle w:val="21"/>
        <w:numPr>
          <w:ilvl w:val="0"/>
          <w:numId w:val="5"/>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“永久停止器械制造（器械获批修改后导致的停止除外）；”或</w:t>
      </w:r>
    </w:p>
    <w:p w14:paraId="0A1CC264">
      <w:pPr>
        <w:pStyle w:val="21"/>
        <w:numPr>
          <w:ilvl w:val="0"/>
          <w:numId w:val="5"/>
        </w:numPr>
        <w:tabs>
          <w:tab w:val="left" w:pos="860"/>
          <w:tab w:val="left" w:pos="861"/>
        </w:tabs>
        <w:overflowPunct w:val="0"/>
        <w:adjustRightInd w:val="0"/>
        <w:snapToGrid w:val="0"/>
        <w:spacing w:before="36" w:beforeLines="15" w:line="276" w:lineRule="auto"/>
        <w:ind w:firstLineChars="0"/>
        <w:jc w:val="both"/>
        <w:rPr>
          <w:sz w:val="24"/>
          <w:szCs w:val="21"/>
          <w:lang w:eastAsia="zh-CN"/>
        </w:rPr>
      </w:pPr>
      <w:r>
        <w:rPr>
          <w:rFonts w:eastAsia="宋体" w:cs="宋体"/>
          <w:sz w:val="24"/>
          <w:szCs w:val="21"/>
          <w:lang w:eastAsia="zh-CN"/>
        </w:rPr>
        <w:t>“中断器械制造，可能导致该器械在美国的供应出现重大中断；”以及</w:t>
      </w:r>
    </w:p>
    <w:p w14:paraId="0C5A3ED8">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7D299932">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3FE7166C">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1F53F1A5">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726A1A8F">
      <w:pPr>
        <w:overflowPunct w:val="0"/>
        <w:adjustRightInd w:val="0"/>
        <w:snapToGrid w:val="0"/>
        <w:spacing w:before="36" w:beforeLines="15" w:line="276" w:lineRule="auto"/>
        <w:jc w:val="both"/>
        <w:rPr>
          <w:sz w:val="21"/>
          <w:szCs w:val="18"/>
          <w:vertAlign w:val="superscript"/>
        </w:rPr>
      </w:pPr>
      <w:r>
        <w:rPr>
          <w:sz w:val="21"/>
          <w:szCs w:val="18"/>
        </w:rPr>
        <w:t>________________</w:t>
      </w:r>
    </w:p>
    <w:p w14:paraId="6B89D50F">
      <w:pPr>
        <w:overflowPunct w:val="0"/>
        <w:adjustRightInd w:val="0"/>
        <w:snapToGrid w:val="0"/>
        <w:spacing w:before="36" w:beforeLines="15" w:line="276" w:lineRule="auto"/>
        <w:jc w:val="both"/>
        <w:rPr>
          <w:sz w:val="21"/>
          <w:szCs w:val="18"/>
        </w:rPr>
      </w:pPr>
      <w:r>
        <w:rPr>
          <w:rFonts w:eastAsia="宋体" w:cs="宋体"/>
          <w:sz w:val="21"/>
          <w:szCs w:val="18"/>
          <w:vertAlign w:val="superscript"/>
        </w:rPr>
        <w:t>20</w:t>
      </w:r>
      <w:r>
        <w:rPr>
          <w:rFonts w:eastAsia="宋体" w:cs="宋体"/>
          <w:i/>
          <w:sz w:val="21"/>
          <w:szCs w:val="18"/>
        </w:rPr>
        <w:t>参见</w:t>
      </w:r>
      <w:r>
        <w:rPr>
          <w:rFonts w:eastAsia="宋体" w:cs="宋体"/>
          <w:sz w:val="21"/>
          <w:szCs w:val="18"/>
        </w:rPr>
        <w:t>《FD&amp;C法案》第506J(i)(1)(C)节。</w:t>
      </w:r>
    </w:p>
    <w:p w14:paraId="21BF9D0F">
      <w:pPr>
        <w:overflowPunct w:val="0"/>
        <w:adjustRightInd w:val="0"/>
        <w:snapToGrid w:val="0"/>
        <w:spacing w:before="36" w:beforeLines="15" w:line="276" w:lineRule="auto"/>
        <w:jc w:val="both"/>
        <w:rPr>
          <w:sz w:val="21"/>
          <w:szCs w:val="18"/>
        </w:rPr>
      </w:pPr>
      <w:r>
        <w:rPr>
          <w:rFonts w:eastAsia="宋体" w:cs="宋体"/>
          <w:sz w:val="21"/>
          <w:szCs w:val="18"/>
          <w:vertAlign w:val="superscript"/>
        </w:rPr>
        <w:t>21</w:t>
      </w:r>
      <w:r>
        <w:rPr>
          <w:rFonts w:eastAsia="宋体" w:cs="宋体"/>
          <w:i/>
          <w:sz w:val="21"/>
          <w:szCs w:val="18"/>
        </w:rPr>
        <w:t>参见</w:t>
      </w:r>
      <w:r>
        <w:rPr>
          <w:rFonts w:eastAsia="宋体" w:cs="宋体"/>
          <w:sz w:val="21"/>
          <w:szCs w:val="18"/>
        </w:rPr>
        <w:t>《FD&amp;C法案》第506J(i)(1)(D)节。</w:t>
      </w:r>
    </w:p>
    <w:p w14:paraId="4EF8FE9F">
      <w:pPr>
        <w:overflowPunct w:val="0"/>
        <w:adjustRightInd w:val="0"/>
        <w:snapToGrid w:val="0"/>
        <w:spacing w:before="36" w:beforeLines="15" w:line="276" w:lineRule="auto"/>
        <w:jc w:val="both"/>
        <w:rPr>
          <w:sz w:val="21"/>
          <w:szCs w:val="18"/>
        </w:rPr>
      </w:pPr>
      <w:r>
        <w:rPr>
          <w:rFonts w:eastAsia="宋体" w:cs="宋体"/>
          <w:sz w:val="21"/>
          <w:szCs w:val="18"/>
          <w:vertAlign w:val="superscript"/>
        </w:rPr>
        <w:t>22</w:t>
      </w:r>
      <w:r>
        <w:rPr>
          <w:rFonts w:eastAsia="宋体" w:cs="宋体"/>
          <w:i/>
          <w:sz w:val="21"/>
          <w:szCs w:val="18"/>
        </w:rPr>
        <w:t>参见</w:t>
      </w:r>
      <w:r>
        <w:rPr>
          <w:rFonts w:eastAsia="宋体" w:cs="宋体"/>
          <w:sz w:val="21"/>
          <w:szCs w:val="18"/>
        </w:rPr>
        <w:t>《FD&amp;C法案》第506J(a)节。</w:t>
      </w:r>
    </w:p>
    <w:p w14:paraId="414D001D">
      <w:pPr>
        <w:overflowPunct w:val="0"/>
        <w:snapToGrid w:val="0"/>
        <w:spacing w:before="36" w:beforeLines="15" w:line="276" w:lineRule="auto"/>
        <w:rPr>
          <w:sz w:val="24"/>
          <w:szCs w:val="24"/>
        </w:rPr>
      </w:pPr>
      <w:r>
        <w:rPr>
          <w:rFonts w:eastAsia="宋体" w:cs="宋体"/>
          <w:sz w:val="24"/>
        </w:rPr>
        <w:br w:type="page"/>
      </w:r>
    </w:p>
    <w:p w14:paraId="420A3705">
      <w:pPr>
        <w:pStyle w:val="21"/>
        <w:numPr>
          <w:ilvl w:val="0"/>
          <w:numId w:val="6"/>
        </w:numPr>
        <w:tabs>
          <w:tab w:val="left" w:pos="860"/>
          <w:tab w:val="left" w:pos="861"/>
        </w:tabs>
        <w:overflowPunct w:val="0"/>
        <w:adjustRightInd w:val="0"/>
        <w:snapToGrid w:val="0"/>
        <w:spacing w:line="264" w:lineRule="auto"/>
        <w:ind w:firstLineChars="0"/>
        <w:jc w:val="both"/>
        <w:rPr>
          <w:sz w:val="24"/>
          <w:szCs w:val="21"/>
        </w:rPr>
      </w:pPr>
      <w:r>
        <w:rPr>
          <w:rFonts w:eastAsia="宋体" w:cs="宋体"/>
          <w:sz w:val="24"/>
          <w:szCs w:val="21"/>
          <w:lang w:eastAsia="zh-CN"/>
        </w:rPr>
        <w:t>“此类停止或中断的原因。</w:t>
      </w:r>
      <w:r>
        <w:rPr>
          <w:rFonts w:eastAsia="宋体" w:cs="宋体"/>
          <w:sz w:val="24"/>
          <w:szCs w:val="21"/>
        </w:rPr>
        <w:t>”</w:t>
      </w:r>
    </w:p>
    <w:p w14:paraId="1CED9688">
      <w:pPr>
        <w:overflowPunct w:val="0"/>
        <w:adjustRightInd w:val="0"/>
        <w:snapToGrid w:val="0"/>
        <w:spacing w:line="264" w:lineRule="auto"/>
        <w:jc w:val="both"/>
        <w:rPr>
          <w:sz w:val="24"/>
          <w:szCs w:val="21"/>
          <w:lang w:eastAsia="zh-CN"/>
        </w:rPr>
      </w:pPr>
      <w:r>
        <w:rPr>
          <w:rFonts w:eastAsia="宋体" w:cs="宋体"/>
          <w:sz w:val="24"/>
          <w:szCs w:val="21"/>
          <w:lang w:eastAsia="zh-CN"/>
        </w:rPr>
        <w:t>在提供《506J通知》时，除《FD&amp;C法案》第506J(a)节中所述信息外，制造商还应向FDA提供相应的识别信息，例如上市申请持有人名称、上市申请编号（如适用）、制造商名称（如果制造商名称与上市申请持有人名称不同）、FDA企业识别（FEI）号、器械名称、产品代码和联系方式。拥有此类信息，FDA就能适当地确认已提交《506J通知》的专用器械。</w:t>
      </w:r>
    </w:p>
    <w:p w14:paraId="61B49F78">
      <w:pPr>
        <w:overflowPunct w:val="0"/>
        <w:adjustRightInd w:val="0"/>
        <w:snapToGrid w:val="0"/>
        <w:spacing w:line="264" w:lineRule="auto"/>
        <w:jc w:val="both"/>
        <w:rPr>
          <w:sz w:val="24"/>
          <w:szCs w:val="21"/>
          <w:lang w:eastAsia="zh-CN"/>
        </w:rPr>
      </w:pPr>
      <w:r>
        <w:rPr>
          <w:rFonts w:eastAsia="宋体" w:cs="宋体"/>
          <w:sz w:val="24"/>
          <w:szCs w:val="21"/>
          <w:lang w:eastAsia="zh-CN"/>
        </w:rPr>
        <w:t>此外，FDA建议制造商提交本指南第V节概述的其他信息，以便本机构能够更有效地与其他制造商和实体合作，从而预防或限制COVID-19突发公共卫生事件期间对患者或医疗保健提供者造成的任何负面影响。</w:t>
      </w:r>
    </w:p>
    <w:p w14:paraId="6956A40B">
      <w:pPr>
        <w:overflowPunct w:val="0"/>
        <w:adjustRightInd w:val="0"/>
        <w:snapToGrid w:val="0"/>
        <w:spacing w:line="264" w:lineRule="auto"/>
        <w:jc w:val="both"/>
        <w:rPr>
          <w:sz w:val="24"/>
          <w:szCs w:val="21"/>
          <w:lang w:eastAsia="zh-CN"/>
        </w:rPr>
      </w:pPr>
      <w:r>
        <w:rPr>
          <w:rFonts w:eastAsia="宋体" w:cs="宋体"/>
          <w:sz w:val="24"/>
          <w:szCs w:val="21"/>
          <w:lang w:eastAsia="zh-CN"/>
        </w:rPr>
        <w:t>本指南第V节提供了FDA建议纳入《506J通知》的信息示例、停止或中断原因示例以及上述其他自愿性信息。</w:t>
      </w:r>
    </w:p>
    <w:p w14:paraId="3BE037F3">
      <w:pPr>
        <w:overflowPunct w:val="0"/>
        <w:adjustRightInd w:val="0"/>
        <w:snapToGrid w:val="0"/>
        <w:spacing w:line="264" w:lineRule="auto"/>
        <w:jc w:val="both"/>
        <w:rPr>
          <w:sz w:val="24"/>
          <w:szCs w:val="21"/>
          <w:lang w:eastAsia="zh-CN"/>
        </w:rPr>
      </w:pPr>
      <w:r>
        <w:rPr>
          <w:rFonts w:eastAsia="宋体" w:cs="宋体"/>
          <w:sz w:val="24"/>
          <w:szCs w:val="21"/>
          <w:lang w:eastAsia="zh-CN"/>
        </w:rPr>
        <w:t>值得注意的是，制造商在提交《506J通知》前无需获得所有信息；可随时更新《506J通知》，以纳入其他信息。因此，本机构建议制造商在获得所有信息之前不要延误通知FDA，而是在切实可行的情况下尽快提供《506J初始通知》，然后再获得更多的其他信息。</w:t>
      </w:r>
    </w:p>
    <w:p w14:paraId="23CF4C15">
      <w:pPr>
        <w:overflowPunct w:val="0"/>
        <w:adjustRightInd w:val="0"/>
        <w:snapToGrid w:val="0"/>
        <w:spacing w:line="264" w:lineRule="auto"/>
        <w:jc w:val="both"/>
        <w:rPr>
          <w:sz w:val="24"/>
          <w:szCs w:val="21"/>
          <w:lang w:eastAsia="zh-CN"/>
        </w:rPr>
      </w:pPr>
      <w:r>
        <w:rPr>
          <w:rFonts w:eastAsia="宋体" w:cs="宋体"/>
          <w:sz w:val="24"/>
          <w:szCs w:val="21"/>
          <w:lang w:eastAsia="zh-CN"/>
        </w:rPr>
        <w:t>根据《美国法典》第5篇第552(b)(4)节、《美国法典》第18篇第1905节和其他适用法律</w:t>
      </w:r>
      <w:r>
        <w:rPr>
          <w:rFonts w:eastAsia="宋体" w:cs="宋体"/>
          <w:sz w:val="24"/>
          <w:szCs w:val="21"/>
          <w:vertAlign w:val="superscript"/>
          <w:lang w:eastAsia="zh-CN"/>
        </w:rPr>
        <w:t>23</w:t>
      </w:r>
      <w:r>
        <w:rPr>
          <w:rFonts w:eastAsia="宋体" w:cs="宋体"/>
          <w:sz w:val="24"/>
          <w:szCs w:val="21"/>
          <w:lang w:eastAsia="zh-CN"/>
        </w:rPr>
        <w:t>，提供给FDA的任何信息如果属于商业秘密或机密信息，将被视为商业秘密或机密信息。</w:t>
      </w:r>
    </w:p>
    <w:p w14:paraId="62A67D32">
      <w:pPr>
        <w:pStyle w:val="21"/>
        <w:numPr>
          <w:ilvl w:val="1"/>
          <w:numId w:val="2"/>
        </w:numPr>
        <w:overflowPunct w:val="0"/>
        <w:snapToGrid w:val="0"/>
        <w:spacing w:line="264" w:lineRule="auto"/>
        <w:ind w:firstLineChars="0"/>
        <w:jc w:val="both"/>
        <w:outlineLvl w:val="1"/>
        <w:rPr>
          <w:b/>
          <w:sz w:val="24"/>
          <w:szCs w:val="24"/>
        </w:rPr>
      </w:pPr>
      <w:bookmarkStart w:id="6" w:name="_Toc90399105"/>
      <w:r>
        <w:rPr>
          <w:rFonts w:eastAsia="宋体" w:cs="宋体"/>
          <w:b/>
          <w:sz w:val="24"/>
          <w:szCs w:val="24"/>
        </w:rPr>
        <w:t>提交通知的方式</w:t>
      </w:r>
      <w:bookmarkEnd w:id="6"/>
    </w:p>
    <w:p w14:paraId="281DD084">
      <w:pPr>
        <w:overflowPunct w:val="0"/>
        <w:adjustRightInd w:val="0"/>
        <w:snapToGrid w:val="0"/>
        <w:spacing w:line="264" w:lineRule="auto"/>
        <w:jc w:val="both"/>
        <w:rPr>
          <w:sz w:val="24"/>
          <w:szCs w:val="21"/>
        </w:rPr>
      </w:pPr>
      <w:r>
        <w:rPr>
          <w:rFonts w:eastAsia="宋体" w:cs="宋体"/>
          <w:sz w:val="24"/>
          <w:szCs w:val="21"/>
        </w:rPr>
        <w:t>如果对提交《506J通知》有任何疑问，本机构建议咨询</w:t>
      </w:r>
      <w:r>
        <w:fldChar w:fldCharType="begin"/>
      </w:r>
      <w:r>
        <w:instrText xml:space="preserve"> HYPERLINK "https://www.fda.gov/medical-devices/medical-device-safety/contact-fda-about-medical-device-supply-chain-issue" \h </w:instrText>
      </w:r>
      <w:r>
        <w:fldChar w:fldCharType="separate"/>
      </w:r>
      <w:r>
        <w:rPr>
          <w:rFonts w:eastAsia="宋体" w:cs="宋体"/>
          <w:color w:val="0000FF"/>
          <w:sz w:val="24"/>
          <w:szCs w:val="21"/>
          <w:u w:val="single" w:color="0000FF"/>
        </w:rPr>
        <w:t>FDA网站</w:t>
      </w:r>
      <w:r>
        <w:rPr>
          <w:rFonts w:eastAsia="宋体" w:cs="宋体"/>
          <w:color w:val="0000FF"/>
          <w:sz w:val="24"/>
          <w:szCs w:val="21"/>
          <w:u w:val="single" w:color="0000FF"/>
        </w:rPr>
        <w:fldChar w:fldCharType="end"/>
      </w:r>
      <w:r>
        <w:rPr>
          <w:rFonts w:eastAsia="宋体" w:cs="宋体"/>
          <w:sz w:val="24"/>
          <w:szCs w:val="21"/>
          <w:vertAlign w:val="superscript"/>
        </w:rPr>
        <w:t>24</w:t>
      </w:r>
      <w:r>
        <w:rPr>
          <w:rFonts w:eastAsia="宋体" w:cs="宋体"/>
          <w:sz w:val="24"/>
          <w:szCs w:val="21"/>
        </w:rPr>
        <w:t>或通过发送电子邮件至</w:t>
      </w:r>
      <w:r>
        <w:fldChar w:fldCharType="begin"/>
      </w:r>
      <w:r>
        <w:instrText xml:space="preserve"> HYPERLINK "mailto:CDRHManufacturerShortage@fda.hhs.gov" \h </w:instrText>
      </w:r>
      <w:r>
        <w:fldChar w:fldCharType="separate"/>
      </w:r>
      <w:r>
        <w:rPr>
          <w:rFonts w:eastAsia="宋体" w:cs="宋体"/>
          <w:color w:val="0000FF"/>
          <w:sz w:val="24"/>
          <w:szCs w:val="21"/>
          <w:u w:val="single" w:color="0000FF"/>
        </w:rPr>
        <w:t>CDRHManufacturerShortage@fda.hhs.gov</w:t>
      </w:r>
      <w:r>
        <w:rPr>
          <w:rFonts w:eastAsia="宋体" w:cs="宋体"/>
          <w:color w:val="0000FF"/>
          <w:sz w:val="24"/>
          <w:szCs w:val="21"/>
          <w:u w:val="single" w:color="0000FF"/>
        </w:rPr>
        <w:fldChar w:fldCharType="end"/>
      </w:r>
      <w:r>
        <w:rPr>
          <w:rFonts w:eastAsia="宋体" w:cs="宋体"/>
          <w:sz w:val="24"/>
          <w:szCs w:val="21"/>
        </w:rPr>
        <w:t>与FDA联系，并在电子邮件主题行注明“问题”。</w:t>
      </w:r>
    </w:p>
    <w:p w14:paraId="1AD51A44">
      <w:pPr>
        <w:pStyle w:val="21"/>
        <w:numPr>
          <w:ilvl w:val="1"/>
          <w:numId w:val="2"/>
        </w:numPr>
        <w:overflowPunct w:val="0"/>
        <w:snapToGrid w:val="0"/>
        <w:spacing w:line="264" w:lineRule="auto"/>
        <w:ind w:firstLineChars="0"/>
        <w:jc w:val="both"/>
        <w:outlineLvl w:val="1"/>
        <w:rPr>
          <w:b/>
          <w:sz w:val="24"/>
          <w:szCs w:val="24"/>
        </w:rPr>
      </w:pPr>
      <w:bookmarkStart w:id="7" w:name="_Toc90399106"/>
      <w:r>
        <w:rPr>
          <w:rFonts w:eastAsia="宋体" w:cs="宋体"/>
          <w:b/>
          <w:sz w:val="24"/>
          <w:szCs w:val="24"/>
        </w:rPr>
        <w:t>未提交通知</w:t>
      </w:r>
      <w:bookmarkEnd w:id="7"/>
    </w:p>
    <w:p w14:paraId="7C5D7306">
      <w:pPr>
        <w:overflowPunct w:val="0"/>
        <w:adjustRightInd w:val="0"/>
        <w:snapToGrid w:val="0"/>
        <w:spacing w:line="264" w:lineRule="auto"/>
        <w:jc w:val="both"/>
        <w:rPr>
          <w:rFonts w:eastAsia="宋体" w:cs="宋体"/>
          <w:sz w:val="24"/>
          <w:szCs w:val="21"/>
          <w:vertAlign w:val="superscript"/>
          <w:lang w:eastAsia="zh-CN"/>
        </w:rPr>
      </w:pPr>
      <w:r>
        <w:rPr>
          <w:rFonts w:eastAsia="宋体" w:cs="宋体"/>
          <w:sz w:val="24"/>
          <w:szCs w:val="21"/>
          <w:lang w:eastAsia="zh-CN"/>
        </w:rPr>
        <w:t>如果制造商未能按照《FD&amp;C法案》第506J(a)节的要求以及《FD&amp;C法案》第506J(b)节规定的时间提供永久停止或中断</w:t>
      </w:r>
      <w:r>
        <w:rPr>
          <w:rFonts w:hint="eastAsia" w:eastAsia="宋体" w:cs="宋体"/>
          <w:sz w:val="24"/>
          <w:szCs w:val="21"/>
          <w:lang w:eastAsia="zh-CN"/>
        </w:rPr>
        <w:t>制造</w:t>
      </w:r>
      <w:r>
        <w:rPr>
          <w:rFonts w:eastAsia="宋体" w:cs="宋体"/>
          <w:sz w:val="24"/>
          <w:szCs w:val="21"/>
          <w:lang w:eastAsia="zh-CN"/>
        </w:rPr>
        <w:t>事宜的通知，FDA将向该制造商发函告知其未提供通知。</w:t>
      </w:r>
      <w:r>
        <w:rPr>
          <w:rFonts w:eastAsia="宋体" w:cs="宋体"/>
          <w:sz w:val="24"/>
          <w:szCs w:val="21"/>
          <w:vertAlign w:val="superscript"/>
          <w:lang w:eastAsia="zh-CN"/>
        </w:rPr>
        <w:t>25</w:t>
      </w:r>
      <w:r>
        <w:rPr>
          <w:rFonts w:eastAsia="宋体" w:cs="宋体"/>
          <w:sz w:val="24"/>
          <w:szCs w:val="21"/>
          <w:lang w:eastAsia="zh-CN"/>
        </w:rPr>
        <w:t>制造商必须在FDA信函发出后30个日历日内对FDA信函做出回复，说明不合规的依据，并根据《FD&amp;C法案》第506J(a)节的规定提供停止或中断的必要信息。</w:t>
      </w:r>
      <w:r>
        <w:rPr>
          <w:rFonts w:eastAsia="宋体" w:cs="宋体"/>
          <w:sz w:val="24"/>
          <w:szCs w:val="21"/>
          <w:vertAlign w:val="superscript"/>
          <w:lang w:eastAsia="zh-CN"/>
        </w:rPr>
        <w:t>26</w:t>
      </w:r>
      <w:r>
        <w:rPr>
          <w:rFonts w:eastAsia="宋体" w:cs="宋体"/>
          <w:sz w:val="24"/>
          <w:szCs w:val="21"/>
          <w:lang w:eastAsia="zh-CN"/>
        </w:rPr>
        <w:t>在向制造商发函后45个日历日内，FDA将在其网站上向公众公布该信函和收到的任何回复，且对此进行适当编辑以保护商业秘密或商业机密信息。</w:t>
      </w:r>
      <w:r>
        <w:rPr>
          <w:rFonts w:eastAsia="宋体" w:cs="宋体"/>
          <w:sz w:val="24"/>
          <w:szCs w:val="21"/>
          <w:vertAlign w:val="superscript"/>
          <w:lang w:eastAsia="zh-CN"/>
        </w:rPr>
        <w:t>27</w:t>
      </w:r>
      <w:r>
        <w:rPr>
          <w:rFonts w:eastAsia="宋体" w:cs="宋体"/>
          <w:sz w:val="24"/>
          <w:szCs w:val="21"/>
          <w:lang w:eastAsia="zh-CN"/>
        </w:rPr>
        <w:t>但是，如果本机构确定该信函因错误发出，或在审查制造商的回复后确定该制造商具有不按要求通知FDA的合理依据，则FDA将不会公布该信函和回复。</w:t>
      </w:r>
      <w:r>
        <w:rPr>
          <w:rFonts w:eastAsia="宋体" w:cs="宋体"/>
          <w:sz w:val="24"/>
          <w:szCs w:val="21"/>
          <w:vertAlign w:val="superscript"/>
          <w:lang w:eastAsia="zh-CN"/>
        </w:rPr>
        <w:t>28</w:t>
      </w:r>
    </w:p>
    <w:p w14:paraId="2812A298">
      <w:pPr>
        <w:overflowPunct w:val="0"/>
        <w:adjustRightInd w:val="0"/>
        <w:snapToGrid w:val="0"/>
        <w:spacing w:before="36" w:beforeLines="15" w:line="276" w:lineRule="auto"/>
        <w:jc w:val="both"/>
        <w:rPr>
          <w:sz w:val="21"/>
          <w:szCs w:val="18"/>
          <w:vertAlign w:val="superscript"/>
          <w:lang w:eastAsia="zh-CN"/>
        </w:rPr>
      </w:pPr>
      <w:r>
        <w:rPr>
          <w:sz w:val="21"/>
          <w:szCs w:val="18"/>
          <w:lang w:eastAsia="zh-CN"/>
        </w:rPr>
        <w:t>________________</w:t>
      </w:r>
    </w:p>
    <w:p w14:paraId="6DF46CF8">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23</w:t>
      </w:r>
      <w:r>
        <w:rPr>
          <w:rFonts w:eastAsia="宋体" w:cs="宋体"/>
          <w:i/>
          <w:sz w:val="21"/>
          <w:szCs w:val="18"/>
          <w:lang w:eastAsia="zh-CN"/>
        </w:rPr>
        <w:t>参见</w:t>
      </w:r>
      <w:r>
        <w:rPr>
          <w:rFonts w:eastAsia="宋体" w:cs="宋体"/>
          <w:sz w:val="21"/>
          <w:szCs w:val="18"/>
          <w:lang w:eastAsia="zh-CN"/>
        </w:rPr>
        <w:t>《FD&amp;C法案》第506J(d)节。</w:t>
      </w:r>
    </w:p>
    <w:p w14:paraId="5505586F">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24</w:t>
      </w:r>
      <w:r>
        <w:rPr>
          <w:rFonts w:eastAsia="宋体" w:cs="宋体"/>
          <w:i/>
          <w:sz w:val="21"/>
          <w:szCs w:val="18"/>
          <w:lang w:eastAsia="zh-CN"/>
        </w:rPr>
        <w:t>参见网址：</w:t>
      </w:r>
      <w:r>
        <w:fldChar w:fldCharType="begin"/>
      </w:r>
      <w:r>
        <w:rPr>
          <w:lang w:eastAsia="zh-CN"/>
        </w:rPr>
        <w:instrText xml:space="preserve"> HYPERLINK "https://www.fda.gov/medical-devices/medical-device-safety/contact-fda-about-medical-device-supply-chain-issue" \h </w:instrText>
      </w:r>
      <w:r>
        <w:fldChar w:fldCharType="separate"/>
      </w:r>
      <w:r>
        <w:rPr>
          <w:rFonts w:eastAsia="宋体" w:cs="宋体"/>
          <w:color w:val="0000FF"/>
          <w:sz w:val="21"/>
          <w:szCs w:val="18"/>
          <w:u w:val="single" w:color="0000FF"/>
          <w:lang w:eastAsia="zh-CN"/>
        </w:rPr>
        <w:t>https://www.fda.gov/medical-devices/medical-device-safety/contact-fda-about-medical-device-supply-chain-issue</w:t>
      </w:r>
      <w:r>
        <w:rPr>
          <w:rFonts w:eastAsia="宋体" w:cs="宋体"/>
          <w:color w:val="0000FF"/>
          <w:sz w:val="21"/>
          <w:szCs w:val="18"/>
          <w:u w:val="single" w:color="0000FF"/>
          <w:lang w:eastAsia="zh-CN"/>
        </w:rPr>
        <w:fldChar w:fldCharType="end"/>
      </w:r>
      <w:r>
        <w:rPr>
          <w:rFonts w:eastAsia="宋体" w:cs="宋体"/>
          <w:sz w:val="21"/>
          <w:szCs w:val="18"/>
          <w:lang w:eastAsia="zh-CN"/>
        </w:rPr>
        <w:t>。</w:t>
      </w:r>
    </w:p>
    <w:p w14:paraId="491E7B5B">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25</w:t>
      </w:r>
      <w:r>
        <w:rPr>
          <w:rFonts w:eastAsia="宋体" w:cs="宋体"/>
          <w:i/>
          <w:sz w:val="21"/>
          <w:szCs w:val="18"/>
          <w:lang w:eastAsia="zh-CN"/>
        </w:rPr>
        <w:t>参见</w:t>
      </w:r>
      <w:r>
        <w:rPr>
          <w:rFonts w:eastAsia="宋体" w:cs="宋体"/>
          <w:sz w:val="21"/>
          <w:szCs w:val="18"/>
          <w:lang w:eastAsia="zh-CN"/>
        </w:rPr>
        <w:t>《FD&amp;C法案》第506J(e)(1)节。</w:t>
      </w:r>
    </w:p>
    <w:p w14:paraId="316F3484">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26</w:t>
      </w:r>
      <w:r>
        <w:rPr>
          <w:rFonts w:eastAsia="宋体" w:cs="宋体"/>
          <w:i/>
          <w:sz w:val="21"/>
          <w:szCs w:val="18"/>
          <w:lang w:eastAsia="zh-CN"/>
        </w:rPr>
        <w:t>参见</w:t>
      </w:r>
      <w:r>
        <w:rPr>
          <w:rFonts w:eastAsia="宋体" w:cs="宋体"/>
          <w:sz w:val="21"/>
          <w:szCs w:val="18"/>
          <w:lang w:eastAsia="zh-CN"/>
        </w:rPr>
        <w:t>《FD&amp;C法案》第506J(e)(2)节。</w:t>
      </w:r>
    </w:p>
    <w:p w14:paraId="123E795B">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27</w:t>
      </w:r>
      <w:r>
        <w:rPr>
          <w:rFonts w:eastAsia="宋体" w:cs="宋体"/>
          <w:i/>
          <w:sz w:val="21"/>
          <w:szCs w:val="18"/>
          <w:lang w:eastAsia="zh-CN"/>
        </w:rPr>
        <w:t>参见</w:t>
      </w:r>
      <w:r>
        <w:rPr>
          <w:rFonts w:eastAsia="宋体" w:cs="宋体"/>
          <w:sz w:val="21"/>
          <w:szCs w:val="18"/>
          <w:lang w:eastAsia="zh-CN"/>
        </w:rPr>
        <w:t>《FD&amp;C法案》第506J(e)(3)节。</w:t>
      </w:r>
    </w:p>
    <w:p w14:paraId="01C263E4">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28</w:t>
      </w:r>
      <w:r>
        <w:rPr>
          <w:rFonts w:eastAsia="宋体" w:cs="宋体"/>
          <w:i/>
          <w:sz w:val="21"/>
          <w:szCs w:val="18"/>
          <w:lang w:eastAsia="zh-CN"/>
        </w:rPr>
        <w:t>参见</w:t>
      </w:r>
      <w:r>
        <w:rPr>
          <w:rFonts w:eastAsia="宋体" w:cs="宋体"/>
          <w:sz w:val="21"/>
          <w:szCs w:val="18"/>
          <w:lang w:eastAsia="zh-CN"/>
        </w:rPr>
        <w:t>《FD&amp;C法案》第506J(e)(3)节。</w:t>
      </w:r>
      <w:r>
        <w:rPr>
          <w:rFonts w:eastAsia="宋体" w:cs="宋体"/>
          <w:sz w:val="24"/>
          <w:lang w:eastAsia="zh-CN"/>
        </w:rPr>
        <w:br w:type="page"/>
      </w:r>
    </w:p>
    <w:p w14:paraId="197ECE6A">
      <w:pPr>
        <w:pStyle w:val="21"/>
        <w:numPr>
          <w:ilvl w:val="0"/>
          <w:numId w:val="1"/>
        </w:numPr>
        <w:overflowPunct w:val="0"/>
        <w:snapToGrid w:val="0"/>
        <w:spacing w:before="36" w:beforeLines="15" w:line="276" w:lineRule="auto"/>
        <w:ind w:firstLineChars="0"/>
        <w:outlineLvl w:val="0"/>
        <w:rPr>
          <w:b/>
          <w:sz w:val="24"/>
          <w:szCs w:val="24"/>
          <w:lang w:eastAsia="zh-CN"/>
        </w:rPr>
      </w:pPr>
      <w:bookmarkStart w:id="8" w:name="_Toc90399107"/>
      <w:r>
        <w:rPr>
          <w:rFonts w:eastAsia="宋体" w:cs="宋体"/>
          <w:b/>
          <w:sz w:val="24"/>
          <w:szCs w:val="24"/>
          <w:lang w:eastAsia="zh-CN"/>
        </w:rPr>
        <w:t>FDA确定器械处于短缺状态</w:t>
      </w:r>
      <w:bookmarkEnd w:id="8"/>
    </w:p>
    <w:p w14:paraId="30C16EE9">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在确定医疗器械是否处于短缺状态时，FDA会考虑本机构获得的相关信息与数据等因素，包括通过《506J通知》和制造商自愿性通知给予的供应中断说明。</w:t>
      </w:r>
    </w:p>
    <w:p w14:paraId="07C8A62F">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对潜在器械短缺相关的信息进行分析，可为FDA用于帮助解决突发公共卫生事件的其他措施所开展的工作提供参考，包括为在满足需求方面发挥重要作用的产品紧急使用授权（EUA）的发布。在COVID-19突发公共卫生事件期间，目前在美国销售的特定产品仅在EUA下才可获得，且其要求还不能拥有足够、获批以及可用的替代品。</w:t>
      </w:r>
      <w:r>
        <w:rPr>
          <w:rFonts w:eastAsia="宋体" w:cs="宋体"/>
          <w:sz w:val="24"/>
          <w:szCs w:val="21"/>
          <w:vertAlign w:val="superscript"/>
          <w:lang w:eastAsia="zh-CN"/>
        </w:rPr>
        <w:t>29</w:t>
      </w:r>
    </w:p>
    <w:p w14:paraId="379BFBC4">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对潜在器械短缺相关的信息进行分析，可为FDA考虑采用其他机制解决器械供应可用性问题提供参考，包括使用自由裁量权、加快检查或上市前审查，以及与其他联邦合作伙伴进行合作。</w:t>
      </w:r>
    </w:p>
    <w:p w14:paraId="76166BDC">
      <w:pPr>
        <w:pStyle w:val="21"/>
        <w:numPr>
          <w:ilvl w:val="0"/>
          <w:numId w:val="7"/>
        </w:numPr>
        <w:overflowPunct w:val="0"/>
        <w:adjustRightInd w:val="0"/>
        <w:snapToGrid w:val="0"/>
        <w:spacing w:before="36" w:beforeLines="15" w:line="276" w:lineRule="auto"/>
        <w:ind w:left="797" w:leftChars="200" w:hanging="357" w:firstLineChars="0"/>
        <w:jc w:val="both"/>
        <w:outlineLvl w:val="1"/>
        <w:rPr>
          <w:b/>
          <w:sz w:val="24"/>
          <w:szCs w:val="24"/>
          <w:lang w:eastAsia="zh-CN"/>
        </w:rPr>
      </w:pPr>
      <w:bookmarkStart w:id="9" w:name="_Toc90399108"/>
      <w:r>
        <w:rPr>
          <w:rFonts w:eastAsia="宋体" w:cs="宋体"/>
          <w:b/>
          <w:sz w:val="24"/>
          <w:szCs w:val="24"/>
          <w:lang w:eastAsia="zh-CN"/>
        </w:rPr>
        <w:t>FDA如何确定哪些器械处于短缺状态</w:t>
      </w:r>
      <w:bookmarkEnd w:id="9"/>
    </w:p>
    <w:p w14:paraId="5534D912">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FDA仔细审查其收到的每份《506J通知》，并利用该信息以及关于器械供需的其他信息来确定器械是否处于短缺状态。FDA在确定短缺器械时审查的其他信息包括但不限于：</w:t>
      </w:r>
    </w:p>
    <w:p w14:paraId="67787502">
      <w:pPr>
        <w:numPr>
          <w:ilvl w:val="0"/>
          <w:numId w:val="8"/>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供应中断说明（例如《506J通知》和制造商自愿性信息）；</w:t>
      </w:r>
    </w:p>
    <w:p w14:paraId="132DB608">
      <w:pPr>
        <w:numPr>
          <w:ilvl w:val="0"/>
          <w:numId w:val="8"/>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分销压力说明（例如来自分销商和集团采购组织）。</w:t>
      </w:r>
    </w:p>
    <w:p w14:paraId="5BACFE63">
      <w:pPr>
        <w:numPr>
          <w:ilvl w:val="0"/>
          <w:numId w:val="8"/>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需求或预计需求说明，例如用户（如患者、医疗保健提供者、医院、养老院和代表此类群体的协会）报告的可用性问题；</w:t>
      </w:r>
    </w:p>
    <w:p w14:paraId="16A7FF9F">
      <w:pPr>
        <w:numPr>
          <w:ilvl w:val="0"/>
          <w:numId w:val="8"/>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国际因素（例如出口限制）；以及</w:t>
      </w:r>
    </w:p>
    <w:p w14:paraId="46064091">
      <w:pPr>
        <w:numPr>
          <w:ilvl w:val="0"/>
          <w:numId w:val="8"/>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为预防或缓解短缺而采取的特定措施，包括但不限于制造商、FDA或其他利益相关方采取的措施。</w:t>
      </w:r>
    </w:p>
    <w:p w14:paraId="78E7D14A">
      <w:pPr>
        <w:overflowPunct w:val="0"/>
        <w:adjustRightInd w:val="0"/>
        <w:snapToGrid w:val="0"/>
        <w:spacing w:before="36" w:beforeLines="15" w:line="276" w:lineRule="auto"/>
        <w:jc w:val="both"/>
        <w:rPr>
          <w:rFonts w:eastAsia="宋体" w:cs="宋体"/>
          <w:sz w:val="24"/>
          <w:szCs w:val="21"/>
          <w:lang w:eastAsia="zh-CN"/>
        </w:rPr>
      </w:pPr>
      <w:r>
        <w:rPr>
          <w:rFonts w:eastAsia="宋体" w:cs="宋体"/>
          <w:sz w:val="24"/>
          <w:szCs w:val="21"/>
          <w:lang w:eastAsia="zh-CN"/>
        </w:rPr>
        <w:t>在确定某一医疗器械是否处于短缺状态时，FDA在作出决定时会考虑本机构获得的全部相关可靠的信息和数据。</w:t>
      </w:r>
    </w:p>
    <w:p w14:paraId="7055032F">
      <w:pPr>
        <w:overflowPunct w:val="0"/>
        <w:adjustRightInd w:val="0"/>
        <w:snapToGrid w:val="0"/>
        <w:spacing w:before="36" w:beforeLines="15" w:line="276" w:lineRule="auto"/>
        <w:jc w:val="both"/>
        <w:rPr>
          <w:rFonts w:eastAsiaTheme="minorEastAsia"/>
          <w:sz w:val="24"/>
          <w:szCs w:val="21"/>
          <w:lang w:eastAsia="zh-CN"/>
        </w:rPr>
      </w:pPr>
    </w:p>
    <w:p w14:paraId="0868134B">
      <w:pPr>
        <w:overflowPunct w:val="0"/>
        <w:adjustRightInd w:val="0"/>
        <w:snapToGrid w:val="0"/>
        <w:spacing w:before="36" w:beforeLines="15" w:line="276" w:lineRule="auto"/>
        <w:jc w:val="both"/>
        <w:rPr>
          <w:rFonts w:eastAsiaTheme="minorEastAsia"/>
          <w:sz w:val="24"/>
          <w:szCs w:val="21"/>
          <w:lang w:eastAsia="zh-CN"/>
        </w:rPr>
      </w:pPr>
    </w:p>
    <w:p w14:paraId="1BB8E968">
      <w:pPr>
        <w:overflowPunct w:val="0"/>
        <w:adjustRightInd w:val="0"/>
        <w:snapToGrid w:val="0"/>
        <w:spacing w:before="36" w:beforeLines="15" w:line="276" w:lineRule="auto"/>
        <w:jc w:val="both"/>
        <w:rPr>
          <w:rFonts w:eastAsiaTheme="minorEastAsia"/>
          <w:sz w:val="24"/>
          <w:szCs w:val="21"/>
          <w:lang w:eastAsia="zh-CN"/>
        </w:rPr>
      </w:pPr>
    </w:p>
    <w:p w14:paraId="1FDF075C">
      <w:pPr>
        <w:overflowPunct w:val="0"/>
        <w:adjustRightInd w:val="0"/>
        <w:snapToGrid w:val="0"/>
        <w:spacing w:before="36" w:beforeLines="15" w:line="276" w:lineRule="auto"/>
        <w:jc w:val="both"/>
        <w:rPr>
          <w:rFonts w:eastAsiaTheme="minorEastAsia"/>
          <w:sz w:val="24"/>
          <w:szCs w:val="21"/>
          <w:lang w:eastAsia="zh-CN"/>
        </w:rPr>
      </w:pPr>
    </w:p>
    <w:p w14:paraId="4A2A2053">
      <w:pPr>
        <w:overflowPunct w:val="0"/>
        <w:adjustRightInd w:val="0"/>
        <w:snapToGrid w:val="0"/>
        <w:spacing w:before="36" w:beforeLines="15" w:line="276" w:lineRule="auto"/>
        <w:jc w:val="both"/>
        <w:rPr>
          <w:rFonts w:eastAsiaTheme="minorEastAsia"/>
          <w:sz w:val="24"/>
          <w:szCs w:val="21"/>
          <w:lang w:eastAsia="zh-CN"/>
        </w:rPr>
      </w:pPr>
    </w:p>
    <w:p w14:paraId="4D26EA11">
      <w:pPr>
        <w:overflowPunct w:val="0"/>
        <w:adjustRightInd w:val="0"/>
        <w:snapToGrid w:val="0"/>
        <w:spacing w:before="36" w:beforeLines="15" w:line="276" w:lineRule="auto"/>
        <w:jc w:val="both"/>
        <w:rPr>
          <w:rFonts w:eastAsiaTheme="minorEastAsia"/>
          <w:sz w:val="24"/>
          <w:szCs w:val="21"/>
          <w:lang w:eastAsia="zh-CN"/>
        </w:rPr>
      </w:pPr>
    </w:p>
    <w:p w14:paraId="68EE66D0">
      <w:pPr>
        <w:overflowPunct w:val="0"/>
        <w:adjustRightInd w:val="0"/>
        <w:snapToGrid w:val="0"/>
        <w:spacing w:before="36" w:beforeLines="15" w:line="276" w:lineRule="auto"/>
        <w:jc w:val="both"/>
        <w:rPr>
          <w:rFonts w:eastAsiaTheme="minorEastAsia"/>
          <w:sz w:val="24"/>
          <w:szCs w:val="21"/>
          <w:lang w:eastAsia="zh-CN"/>
        </w:rPr>
      </w:pPr>
    </w:p>
    <w:p w14:paraId="1CEB3532">
      <w:pPr>
        <w:overflowPunct w:val="0"/>
        <w:adjustRightInd w:val="0"/>
        <w:snapToGrid w:val="0"/>
        <w:spacing w:before="36" w:beforeLines="15" w:line="276" w:lineRule="auto"/>
        <w:jc w:val="both"/>
        <w:rPr>
          <w:rFonts w:eastAsiaTheme="minorEastAsia"/>
          <w:sz w:val="24"/>
          <w:szCs w:val="21"/>
          <w:lang w:eastAsia="zh-CN"/>
        </w:rPr>
      </w:pPr>
    </w:p>
    <w:p w14:paraId="06648DC5">
      <w:pPr>
        <w:overflowPunct w:val="0"/>
        <w:adjustRightInd w:val="0"/>
        <w:snapToGrid w:val="0"/>
        <w:spacing w:before="36" w:beforeLines="15" w:line="276" w:lineRule="auto"/>
        <w:jc w:val="both"/>
        <w:rPr>
          <w:rFonts w:eastAsiaTheme="minorEastAsia"/>
          <w:sz w:val="24"/>
          <w:szCs w:val="21"/>
          <w:lang w:eastAsia="zh-CN"/>
        </w:rPr>
      </w:pPr>
    </w:p>
    <w:p w14:paraId="5A9F606F">
      <w:pPr>
        <w:overflowPunct w:val="0"/>
        <w:adjustRightInd w:val="0"/>
        <w:snapToGrid w:val="0"/>
        <w:spacing w:before="36" w:beforeLines="15" w:line="276" w:lineRule="auto"/>
        <w:jc w:val="both"/>
        <w:rPr>
          <w:rFonts w:eastAsiaTheme="minorEastAsia"/>
          <w:sz w:val="24"/>
          <w:szCs w:val="21"/>
          <w:lang w:eastAsia="zh-CN"/>
        </w:rPr>
      </w:pPr>
    </w:p>
    <w:p w14:paraId="2F436010">
      <w:pPr>
        <w:overflowPunct w:val="0"/>
        <w:adjustRightInd w:val="0"/>
        <w:snapToGrid w:val="0"/>
        <w:spacing w:before="36" w:beforeLines="15" w:line="276" w:lineRule="auto"/>
        <w:jc w:val="both"/>
        <w:rPr>
          <w:sz w:val="21"/>
          <w:szCs w:val="18"/>
          <w:vertAlign w:val="superscript"/>
          <w:lang w:eastAsia="zh-CN"/>
        </w:rPr>
      </w:pPr>
      <w:r>
        <w:rPr>
          <w:sz w:val="21"/>
          <w:szCs w:val="18"/>
          <w:lang w:eastAsia="zh-CN"/>
        </w:rPr>
        <w:t>________________</w:t>
      </w:r>
    </w:p>
    <w:p w14:paraId="46C90234">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29</w:t>
      </w:r>
      <w:r>
        <w:rPr>
          <w:rFonts w:eastAsia="宋体" w:cs="宋体"/>
          <w:sz w:val="21"/>
          <w:szCs w:val="18"/>
          <w:lang w:eastAsia="zh-CN"/>
        </w:rPr>
        <w:t>参见《FD&amp;C法案》第564(c)节。</w:t>
      </w:r>
    </w:p>
    <w:p w14:paraId="28666E2B">
      <w:pPr>
        <w:overflowPunct w:val="0"/>
        <w:snapToGrid w:val="0"/>
        <w:spacing w:before="36" w:beforeLines="15" w:line="276" w:lineRule="auto"/>
        <w:rPr>
          <w:sz w:val="24"/>
          <w:szCs w:val="21"/>
          <w:lang w:eastAsia="zh-CN"/>
        </w:rPr>
      </w:pPr>
      <w:r>
        <w:rPr>
          <w:rFonts w:eastAsia="宋体" w:cs="宋体"/>
          <w:sz w:val="20"/>
          <w:lang w:eastAsia="zh-CN"/>
        </w:rPr>
        <w:br w:type="page"/>
      </w:r>
    </w:p>
    <w:p w14:paraId="7C9D22F6">
      <w:pPr>
        <w:pStyle w:val="21"/>
        <w:numPr>
          <w:ilvl w:val="0"/>
          <w:numId w:val="7"/>
        </w:numPr>
        <w:overflowPunct w:val="0"/>
        <w:adjustRightInd w:val="0"/>
        <w:snapToGrid w:val="0"/>
        <w:spacing w:before="36" w:beforeLines="15" w:line="276" w:lineRule="auto"/>
        <w:ind w:left="797" w:leftChars="200" w:hanging="357" w:firstLineChars="0"/>
        <w:jc w:val="both"/>
        <w:outlineLvl w:val="1"/>
        <w:rPr>
          <w:b/>
          <w:sz w:val="24"/>
          <w:szCs w:val="24"/>
          <w:lang w:eastAsia="zh-CN"/>
        </w:rPr>
      </w:pPr>
      <w:bookmarkStart w:id="10" w:name="_Toc90399109"/>
      <w:r>
        <w:rPr>
          <w:rFonts w:eastAsia="宋体" w:cs="宋体"/>
          <w:b/>
          <w:sz w:val="24"/>
          <w:szCs w:val="24"/>
          <w:lang w:eastAsia="zh-CN"/>
        </w:rPr>
        <w:t>FDA确定处于短缺状态的器械清单</w:t>
      </w:r>
      <w:bookmarkEnd w:id="10"/>
    </w:p>
    <w:p w14:paraId="3353322D">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《FD&amp;C法案》第506J(g)节要求制定和维护最新且经确定处于短缺状态的医疗器械清单。该清单还确定了已通知永久停止生产（以下简称“停产”）的医疗器械。</w:t>
      </w:r>
      <w:r>
        <w:fldChar w:fldCharType="begin"/>
      </w:r>
      <w:r>
        <w:rPr>
          <w:lang w:eastAsia="zh-CN"/>
        </w:rPr>
        <w:instrText xml:space="preserve"> HYPERLINK "https://www.fda.gov/medical-devices/coronavirus-covid-19-and-medical-devices/medical-device-shortages-during-covid-19-public-health-emergency" \h </w:instrText>
      </w:r>
      <w:r>
        <w:fldChar w:fldCharType="separate"/>
      </w:r>
      <w:r>
        <w:rPr>
          <w:rFonts w:eastAsia="宋体" w:cs="宋体"/>
          <w:color w:val="0000FF"/>
          <w:sz w:val="24"/>
          <w:szCs w:val="21"/>
          <w:u w:val="single" w:color="0000FF"/>
          <w:lang w:eastAsia="zh-CN"/>
        </w:rPr>
        <w:t>FDA网站</w:t>
      </w:r>
      <w:r>
        <w:rPr>
          <w:rFonts w:eastAsia="宋体" w:cs="宋体"/>
          <w:color w:val="0000FF"/>
          <w:sz w:val="24"/>
          <w:szCs w:val="21"/>
          <w:u w:val="single" w:color="0000FF"/>
          <w:lang w:eastAsia="zh-CN"/>
        </w:rPr>
        <w:fldChar w:fldCharType="end"/>
      </w:r>
      <w:r>
        <w:rPr>
          <w:rFonts w:eastAsia="宋体" w:cs="宋体"/>
          <w:sz w:val="24"/>
          <w:szCs w:val="21"/>
          <w:vertAlign w:val="superscript"/>
          <w:lang w:eastAsia="zh-CN"/>
        </w:rPr>
        <w:t>30</w:t>
      </w:r>
      <w:r>
        <w:rPr>
          <w:rFonts w:eastAsia="宋体" w:cs="宋体"/>
          <w:sz w:val="24"/>
          <w:szCs w:val="21"/>
          <w:lang w:eastAsia="zh-CN"/>
        </w:rPr>
        <w:t>包含了一份履行该法定义务的清单，其显示FDA目前确定处于短缺状态的器械类别，该清单将随着COVID-19突发公共卫生事件的演变情况而进行维护和更新。</w:t>
      </w:r>
    </w:p>
    <w:p w14:paraId="19B8B71A">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FDA公布该器械短缺清单，旨在向美国公众（特别是使用和/或购买医疗器械的人士）提供透明度。</w:t>
      </w:r>
    </w:p>
    <w:p w14:paraId="5E55103F">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如《FD&amp;C法案》第506J(g)(2)节所述，该清单包括短缺器械的类别或名称、各制造商名称、短缺原因以及预估短缺持续时间。FDA通过考虑以下因素和类别判定清单中确定的中断依据，括号内为FDA的补充说明：</w:t>
      </w:r>
    </w:p>
    <w:p w14:paraId="005D3CBF">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与符合药品生产质量管理规范相关的要求（参见第506J(g)(2)(C)(i)节）；</w:t>
      </w:r>
    </w:p>
    <w:p w14:paraId="13F02888">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监管延误（参见第506J(g)(2)(C)(ii)节）；</w:t>
      </w:r>
    </w:p>
    <w:p w14:paraId="7F4FA546">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器械组件、部件或附件短缺或停产（参见第506J(g)(2)(C)(iii)节）（包括诊断和血清学样本采集试剂盒或提取或PCR扩增或血清学检测试剂的专用用品）；</w:t>
      </w:r>
    </w:p>
    <w:p w14:paraId="2D845BA8">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器械停产（参见第506J(g)(2)(C)(iv)节）；</w:t>
      </w:r>
    </w:p>
    <w:p w14:paraId="49BD175E">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器械运输延误（参见第506J(g)(2)(C)(v)节）（例如因进出口挑战或运输挑战）；</w:t>
      </w:r>
    </w:p>
    <w:p w14:paraId="76365B18">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器械消毒延误（参见506J(g)(2)(C)(vi)节）；</w:t>
      </w:r>
    </w:p>
    <w:p w14:paraId="1E51A1C8">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器械需求增加（参见第506J(g)(2)(C)(vii)节）；和/或</w:t>
      </w:r>
    </w:p>
    <w:p w14:paraId="3CB82516">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设施关闭（参见第506J(g)(2)(C)(viii)节）。</w:t>
      </w:r>
    </w:p>
    <w:p w14:paraId="7F739601">
      <w:pPr>
        <w:overflowPunct w:val="0"/>
        <w:adjustRightInd w:val="0"/>
        <w:snapToGrid w:val="0"/>
        <w:spacing w:before="36" w:beforeLines="15" w:line="276" w:lineRule="auto"/>
        <w:jc w:val="both"/>
        <w:rPr>
          <w:sz w:val="24"/>
          <w:szCs w:val="21"/>
        </w:rPr>
      </w:pPr>
      <w:r>
        <w:rPr>
          <w:rFonts w:eastAsia="宋体" w:cs="宋体"/>
          <w:sz w:val="24"/>
          <w:szCs w:val="21"/>
          <w:lang w:eastAsia="zh-CN"/>
        </w:rPr>
        <w:t>在适当情况下，FDA将与制造商合作，以确保信息的准确性和适当性，然后在其网站上予以公开发布。如果本机构确定披露此类信息会对公众健康产生不利影响（例如增加囤积或以其他方式干扰患者获得该器械的可能性），FDA可选择不公开根据第506J节收集的信息。</w:t>
      </w:r>
      <w:r>
        <w:rPr>
          <w:rFonts w:eastAsia="宋体" w:cs="宋体"/>
          <w:sz w:val="24"/>
          <w:szCs w:val="21"/>
          <w:vertAlign w:val="superscript"/>
        </w:rPr>
        <w:t>31</w:t>
      </w:r>
    </w:p>
    <w:p w14:paraId="104E9C7A">
      <w:pPr>
        <w:pStyle w:val="21"/>
        <w:numPr>
          <w:ilvl w:val="0"/>
          <w:numId w:val="7"/>
        </w:numPr>
        <w:overflowPunct w:val="0"/>
        <w:adjustRightInd w:val="0"/>
        <w:snapToGrid w:val="0"/>
        <w:spacing w:before="36" w:beforeLines="15" w:line="276" w:lineRule="auto"/>
        <w:ind w:left="797" w:leftChars="200" w:hanging="357" w:firstLineChars="0"/>
        <w:jc w:val="both"/>
        <w:outlineLvl w:val="1"/>
        <w:rPr>
          <w:b/>
          <w:sz w:val="24"/>
          <w:szCs w:val="24"/>
        </w:rPr>
      </w:pPr>
      <w:bookmarkStart w:id="11" w:name="_Toc90399110"/>
      <w:r>
        <w:rPr>
          <w:rFonts w:eastAsia="宋体" w:cs="宋体"/>
          <w:b/>
          <w:sz w:val="24"/>
          <w:szCs w:val="24"/>
        </w:rPr>
        <w:t>加快检查和审查</w:t>
      </w:r>
      <w:bookmarkEnd w:id="11"/>
    </w:p>
    <w:p w14:paraId="32D5AE64">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如果FDA根据《506J通知》和/或任何其他相关信息得出结论，认为存在或可能存在某种器械短缺的情况，本机构将（视情况而定）：</w:t>
      </w:r>
    </w:p>
    <w:p w14:paraId="4A900366">
      <w:pPr>
        <w:numPr>
          <w:ilvl w:val="0"/>
          <w:numId w:val="9"/>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“根据第513(f)(2)节、第515节、第510(k)节或第520(m)节的审查通知，将优先加快对有助于缓解或预防此类短缺的器械的审查；或”</w:t>
      </w:r>
    </w:p>
    <w:p w14:paraId="11DF4E6D">
      <w:pPr>
        <w:tabs>
          <w:tab w:val="left" w:pos="860"/>
          <w:tab w:val="left" w:pos="861"/>
        </w:tabs>
        <w:overflowPunct w:val="0"/>
        <w:adjustRightInd w:val="0"/>
        <w:snapToGrid w:val="0"/>
        <w:spacing w:before="36" w:beforeLines="15" w:line="276" w:lineRule="auto"/>
        <w:jc w:val="both"/>
        <w:rPr>
          <w:rFonts w:eastAsia="宋体" w:cs="宋体"/>
          <w:sz w:val="24"/>
          <w:szCs w:val="21"/>
          <w:lang w:eastAsia="zh-CN"/>
        </w:rPr>
      </w:pPr>
    </w:p>
    <w:p w14:paraId="3ED0746E">
      <w:pPr>
        <w:tabs>
          <w:tab w:val="left" w:pos="860"/>
          <w:tab w:val="left" w:pos="861"/>
        </w:tabs>
        <w:overflowPunct w:val="0"/>
        <w:adjustRightInd w:val="0"/>
        <w:snapToGrid w:val="0"/>
        <w:spacing w:before="36" w:beforeLines="15" w:line="276" w:lineRule="auto"/>
        <w:jc w:val="both"/>
        <w:rPr>
          <w:rFonts w:eastAsiaTheme="minorEastAsia"/>
          <w:sz w:val="24"/>
          <w:szCs w:val="21"/>
          <w:lang w:eastAsia="zh-CN"/>
        </w:rPr>
      </w:pPr>
    </w:p>
    <w:p w14:paraId="5E0F68B7">
      <w:pPr>
        <w:overflowPunct w:val="0"/>
        <w:adjustRightInd w:val="0"/>
        <w:snapToGrid w:val="0"/>
        <w:spacing w:before="36" w:beforeLines="15" w:line="276" w:lineRule="auto"/>
        <w:jc w:val="both"/>
        <w:rPr>
          <w:sz w:val="21"/>
          <w:szCs w:val="18"/>
          <w:vertAlign w:val="superscript"/>
        </w:rPr>
      </w:pPr>
      <w:r>
        <w:rPr>
          <w:sz w:val="21"/>
          <w:szCs w:val="18"/>
        </w:rPr>
        <w:t>________________</w:t>
      </w:r>
    </w:p>
    <w:p w14:paraId="10311CA2">
      <w:pPr>
        <w:overflowPunct w:val="0"/>
        <w:adjustRightInd w:val="0"/>
        <w:snapToGrid w:val="0"/>
        <w:spacing w:before="36" w:beforeLines="15" w:line="276" w:lineRule="auto"/>
        <w:rPr>
          <w:sz w:val="21"/>
          <w:szCs w:val="18"/>
        </w:rPr>
      </w:pPr>
      <w:r>
        <w:rPr>
          <w:rFonts w:eastAsia="宋体" w:cs="宋体"/>
          <w:sz w:val="21"/>
          <w:szCs w:val="18"/>
          <w:vertAlign w:val="superscript"/>
        </w:rPr>
        <w:t>30</w:t>
      </w:r>
      <w:r>
        <w:rPr>
          <w:rFonts w:eastAsia="宋体" w:cs="宋体"/>
          <w:i/>
          <w:sz w:val="21"/>
          <w:szCs w:val="18"/>
        </w:rPr>
        <w:t>参见网址：</w:t>
      </w:r>
      <w:r>
        <w:fldChar w:fldCharType="begin"/>
      </w:r>
      <w:r>
        <w:instrText xml:space="preserve"> HYPERLINK "https://www.fda.gov/medical-devices/coronavirus-covid-19-and-medical-devices/medical-device-shortages-during-covid-19-public-health-emergency" \h </w:instrText>
      </w:r>
      <w:r>
        <w:fldChar w:fldCharType="separate"/>
      </w:r>
      <w:r>
        <w:rPr>
          <w:rFonts w:eastAsia="宋体" w:cs="宋体"/>
          <w:color w:val="0000FF"/>
          <w:sz w:val="21"/>
          <w:szCs w:val="18"/>
          <w:u w:val="single" w:color="0000FF"/>
        </w:rPr>
        <w:t>https://www.fda.gov/medical-devices/coronavirus-covid-19-and-medical-devices/medical-device-shortages-during- covid-19-public-health-emergency</w:t>
      </w:r>
      <w:r>
        <w:rPr>
          <w:rFonts w:eastAsia="宋体" w:cs="宋体"/>
          <w:color w:val="0000FF"/>
          <w:sz w:val="21"/>
          <w:szCs w:val="18"/>
          <w:u w:val="single" w:color="0000FF"/>
        </w:rPr>
        <w:fldChar w:fldCharType="end"/>
      </w:r>
      <w:r>
        <w:rPr>
          <w:rFonts w:eastAsia="宋体" w:cs="宋体"/>
          <w:sz w:val="21"/>
          <w:szCs w:val="18"/>
        </w:rPr>
        <w:t>。</w:t>
      </w:r>
    </w:p>
    <w:p w14:paraId="472438C2">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31</w:t>
      </w:r>
      <w:r>
        <w:rPr>
          <w:rFonts w:eastAsia="宋体" w:cs="宋体"/>
          <w:sz w:val="21"/>
          <w:szCs w:val="18"/>
          <w:lang w:eastAsia="zh-CN"/>
        </w:rPr>
        <w:t>参见《FD&amp;C法案》第506J(g)(3)(C)节。</w:t>
      </w:r>
    </w:p>
    <w:p w14:paraId="53A2565F">
      <w:pPr>
        <w:overflowPunct w:val="0"/>
        <w:snapToGrid w:val="0"/>
        <w:spacing w:before="36" w:beforeLines="15" w:line="276" w:lineRule="auto"/>
        <w:rPr>
          <w:sz w:val="24"/>
          <w:szCs w:val="24"/>
          <w:lang w:eastAsia="zh-CN"/>
        </w:rPr>
      </w:pPr>
      <w:r>
        <w:rPr>
          <w:rFonts w:eastAsia="宋体" w:cs="宋体"/>
          <w:sz w:val="24"/>
          <w:lang w:eastAsia="zh-CN"/>
        </w:rPr>
        <w:br w:type="page"/>
      </w:r>
    </w:p>
    <w:p w14:paraId="15D869EF">
      <w:pPr>
        <w:numPr>
          <w:ilvl w:val="0"/>
          <w:numId w:val="10"/>
        </w:numPr>
        <w:tabs>
          <w:tab w:val="left" w:pos="860"/>
          <w:tab w:val="left" w:pos="861"/>
        </w:tabs>
        <w:overflowPunct w:val="0"/>
        <w:adjustRightInd w:val="0"/>
        <w:snapToGrid w:val="0"/>
        <w:spacing w:before="36" w:beforeLines="15" w:line="276" w:lineRule="auto"/>
        <w:jc w:val="both"/>
        <w:rPr>
          <w:sz w:val="24"/>
          <w:szCs w:val="21"/>
        </w:rPr>
      </w:pPr>
      <w:r>
        <w:rPr>
          <w:rFonts w:eastAsia="宋体" w:cs="宋体"/>
          <w:sz w:val="24"/>
          <w:szCs w:val="21"/>
          <w:lang w:eastAsia="zh-CN"/>
        </w:rPr>
        <w:t>“优先加快对有助于缓解或预防此类短缺的企业进行检查或复查。</w:t>
      </w:r>
      <w:r>
        <w:rPr>
          <w:rFonts w:eastAsia="宋体" w:cs="宋体"/>
          <w:sz w:val="24"/>
          <w:szCs w:val="21"/>
        </w:rPr>
        <w:t>”</w:t>
      </w:r>
      <w:r>
        <w:rPr>
          <w:rFonts w:eastAsia="宋体" w:cs="宋体"/>
          <w:sz w:val="24"/>
          <w:szCs w:val="21"/>
          <w:vertAlign w:val="superscript"/>
        </w:rPr>
        <w:t>32</w:t>
      </w:r>
    </w:p>
    <w:p w14:paraId="2A64AD1F">
      <w:pPr>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FDA继续完成对国内公司的优先现场监督检查。在COVID-19突发公共卫生事件期间，FDA将优先处理地区内可安全进行检查的类型。当优先处理此类工作时，FDA会考虑《506J通知》以及与潜在器械短缺相关的其他信息。</w:t>
      </w:r>
    </w:p>
    <w:p w14:paraId="73525A0C">
      <w:pPr>
        <w:overflowPunct w:val="0"/>
        <w:adjustRightInd w:val="0"/>
        <w:snapToGrid w:val="0"/>
        <w:spacing w:before="36" w:beforeLines="15" w:line="276" w:lineRule="auto"/>
        <w:jc w:val="both"/>
        <w:rPr>
          <w:sz w:val="24"/>
          <w:szCs w:val="21"/>
        </w:rPr>
      </w:pPr>
      <w:r>
        <w:rPr>
          <w:rFonts w:eastAsia="宋体" w:cs="宋体"/>
          <w:sz w:val="24"/>
          <w:szCs w:val="21"/>
          <w:lang w:eastAsia="zh-CN"/>
        </w:rPr>
        <w:t>除《FD&amp;C法案》第506J(f)节规定的授权外，FDA致力于提供及时获得关键器械的途径（包括通过发布EUA）以应对COVID-19疫情。FDA在优先进行EUA申请审查中会考虑几个因素，其中包括产品的可用性，例如《506J通知》和潜在器械短缺相关的其他信息。</w:t>
      </w:r>
      <w:r>
        <w:rPr>
          <w:rFonts w:eastAsia="宋体" w:cs="宋体"/>
          <w:sz w:val="24"/>
          <w:szCs w:val="21"/>
          <w:vertAlign w:val="superscript"/>
        </w:rPr>
        <w:t>33</w:t>
      </w:r>
    </w:p>
    <w:p w14:paraId="39556BC1">
      <w:pPr>
        <w:pStyle w:val="21"/>
        <w:numPr>
          <w:ilvl w:val="0"/>
          <w:numId w:val="1"/>
        </w:numPr>
        <w:overflowPunct w:val="0"/>
        <w:snapToGrid w:val="0"/>
        <w:spacing w:before="36" w:beforeLines="15" w:line="276" w:lineRule="auto"/>
        <w:ind w:firstLineChars="0"/>
        <w:outlineLvl w:val="0"/>
        <w:rPr>
          <w:b/>
          <w:sz w:val="24"/>
          <w:szCs w:val="24"/>
        </w:rPr>
      </w:pPr>
      <w:bookmarkStart w:id="12" w:name="_Toc90399111"/>
      <w:r>
        <w:rPr>
          <w:rFonts w:eastAsia="宋体" w:cs="宋体"/>
          <w:b/>
          <w:sz w:val="24"/>
          <w:szCs w:val="24"/>
        </w:rPr>
        <w:t>《506J通知》示例</w:t>
      </w:r>
      <w:bookmarkEnd w:id="12"/>
    </w:p>
    <w:p w14:paraId="1D13AC73">
      <w:pPr>
        <w:overflowPunct w:val="0"/>
        <w:adjustRightInd w:val="0"/>
        <w:snapToGrid w:val="0"/>
        <w:spacing w:before="36" w:beforeLines="15" w:line="276" w:lineRule="auto"/>
        <w:jc w:val="both"/>
        <w:rPr>
          <w:i/>
          <w:sz w:val="24"/>
          <w:szCs w:val="21"/>
          <w:lang w:eastAsia="zh-CN"/>
        </w:rPr>
      </w:pPr>
      <w:r>
        <w:rPr>
          <w:rFonts w:eastAsia="宋体" w:cs="宋体"/>
          <w:i/>
          <w:sz w:val="24"/>
          <w:szCs w:val="21"/>
          <w:lang w:eastAsia="zh-CN"/>
        </w:rPr>
        <w:t>注：本示例旨在阐明FDA根据《FD&amp;C法案》第506J节建议纳入通知中的信息类型。</w:t>
      </w:r>
    </w:p>
    <w:p w14:paraId="16CB6962">
      <w:pPr>
        <w:overflowPunct w:val="0"/>
        <w:adjustRightInd w:val="0"/>
        <w:snapToGrid w:val="0"/>
        <w:spacing w:before="36" w:beforeLines="15" w:line="276" w:lineRule="auto"/>
        <w:jc w:val="both"/>
        <w:rPr>
          <w:b/>
          <w:sz w:val="24"/>
          <w:szCs w:val="24"/>
          <w:lang w:eastAsia="zh-CN"/>
        </w:rPr>
      </w:pPr>
      <w:r>
        <w:rPr>
          <w:rFonts w:eastAsia="宋体" w:cs="宋体"/>
          <w:b/>
          <w:sz w:val="24"/>
          <w:szCs w:val="24"/>
          <w:lang w:eastAsia="zh-CN"/>
        </w:rPr>
        <w:t>第1节：《506J通知》类型</w:t>
      </w:r>
    </w:p>
    <w:p w14:paraId="14969185">
      <w:pPr>
        <w:tabs>
          <w:tab w:val="left" w:pos="79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《506J初始通知》</w:t>
      </w:r>
    </w:p>
    <w:p w14:paraId="6F5968A4">
      <w:pPr>
        <w:tabs>
          <w:tab w:val="left" w:pos="79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对以前的《506J通知》进行更新</w:t>
      </w:r>
    </w:p>
    <w:p w14:paraId="541046CD">
      <w:pPr>
        <w:overflowPunct w:val="0"/>
        <w:adjustRightInd w:val="0"/>
        <w:snapToGrid w:val="0"/>
        <w:spacing w:before="36" w:beforeLines="15" w:line="276" w:lineRule="auto"/>
        <w:jc w:val="both"/>
        <w:rPr>
          <w:b/>
          <w:sz w:val="24"/>
          <w:szCs w:val="24"/>
        </w:rPr>
      </w:pPr>
      <w:r>
        <w:rPr>
          <w:rFonts w:eastAsia="宋体" w:cs="宋体"/>
          <w:b/>
          <w:sz w:val="24"/>
          <w:szCs w:val="24"/>
        </w:rPr>
        <w:t>第2节：标识符信息</w:t>
      </w:r>
    </w:p>
    <w:p w14:paraId="0F78FD9E">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您是否代表另一方提交？</w:t>
      </w:r>
    </w:p>
    <w:p w14:paraId="2FA65364">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lang w:eastAsia="zh-CN"/>
        </w:rPr>
      </w:pPr>
      <w:r>
        <w:rPr>
          <w:rFonts w:eastAsia="宋体" w:cs="宋体"/>
          <w:sz w:val="24"/>
          <w:szCs w:val="21"/>
          <w:lang w:eastAsia="zh-CN"/>
        </w:rPr>
        <w:t>提交者的联系方式（名字、姓氏、电子邮件地址以及电话）</w:t>
      </w:r>
    </w:p>
    <w:p w14:paraId="1AD9F7A0">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上市申请持有人</w:t>
      </w:r>
    </w:p>
    <w:p w14:paraId="36FD75DD">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lang w:eastAsia="zh-CN"/>
        </w:rPr>
      </w:pPr>
      <w:r>
        <w:rPr>
          <w:rFonts w:eastAsia="宋体" w:cs="宋体"/>
          <w:sz w:val="24"/>
          <w:szCs w:val="21"/>
          <w:lang w:eastAsia="zh-CN"/>
        </w:rPr>
        <w:t>上市申请编号（如适用）</w:t>
      </w:r>
    </w:p>
    <w:p w14:paraId="349F76BA">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lang w:eastAsia="zh-CN"/>
        </w:rPr>
      </w:pPr>
      <w:r>
        <w:rPr>
          <w:rFonts w:eastAsia="宋体" w:cs="宋体"/>
          <w:sz w:val="24"/>
          <w:szCs w:val="21"/>
          <w:lang w:eastAsia="zh-CN"/>
        </w:rPr>
        <w:t>制造商名称（如果与上市申请持有人名称不同）</w:t>
      </w:r>
    </w:p>
    <w:p w14:paraId="649A966F">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lang w:eastAsia="zh-CN"/>
        </w:rPr>
      </w:pPr>
      <w:r>
        <w:rPr>
          <w:rFonts w:eastAsia="宋体" w:cs="宋体"/>
          <w:sz w:val="24"/>
          <w:szCs w:val="21"/>
          <w:lang w:eastAsia="zh-CN"/>
        </w:rPr>
        <w:t>FDA企业识别（FEI）号（器械制造地）</w:t>
      </w:r>
    </w:p>
    <w:p w14:paraId="198A0A80">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通用器械名称</w:t>
      </w:r>
    </w:p>
    <w:p w14:paraId="5FC192BC">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产品代码</w:t>
      </w:r>
    </w:p>
    <w:p w14:paraId="20272604">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器械商品名</w:t>
      </w:r>
    </w:p>
    <w:p w14:paraId="18EA3AA0">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UDI编号</w:t>
      </w:r>
    </w:p>
    <w:p w14:paraId="6CD7D76D">
      <w:pPr>
        <w:tabs>
          <w:tab w:val="left" w:pos="1581"/>
        </w:tabs>
        <w:overflowPunct w:val="0"/>
        <w:adjustRightInd w:val="0"/>
        <w:snapToGrid w:val="0"/>
        <w:spacing w:before="36" w:beforeLines="15" w:line="276" w:lineRule="auto"/>
        <w:ind w:left="88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是；UDI编号如下</w:t>
      </w:r>
    </w:p>
    <w:tbl>
      <w:tblPr>
        <w:tblStyle w:val="14"/>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2"/>
      </w:tblGrid>
      <w:tr w14:paraId="050C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2" w:type="dxa"/>
          </w:tcPr>
          <w:p w14:paraId="2F705F7E">
            <w:pPr>
              <w:overflowPunct w:val="0"/>
              <w:adjustRightInd w:val="0"/>
              <w:snapToGrid w:val="0"/>
              <w:spacing w:before="36" w:beforeLines="15" w:line="276" w:lineRule="auto"/>
              <w:jc w:val="both"/>
              <w:rPr>
                <w:i/>
                <w:sz w:val="24"/>
                <w:szCs w:val="21"/>
              </w:rPr>
            </w:pPr>
            <w:r>
              <w:rPr>
                <w:rFonts w:eastAsia="宋体" w:cs="宋体"/>
                <w:i/>
                <w:sz w:val="24"/>
                <w:szCs w:val="21"/>
              </w:rPr>
              <w:t>UDI</w:t>
            </w:r>
            <w:r>
              <w:rPr>
                <w:rFonts w:hint="eastAsia" w:eastAsia="宋体" w:cs="宋体"/>
                <w:i/>
                <w:sz w:val="24"/>
                <w:szCs w:val="21"/>
              </w:rPr>
              <w:t>编号</w:t>
            </w:r>
          </w:p>
        </w:tc>
      </w:tr>
    </w:tbl>
    <w:p w14:paraId="40CDEA17">
      <w:pPr>
        <w:overflowPunct w:val="0"/>
        <w:adjustRightInd w:val="0"/>
        <w:snapToGrid w:val="0"/>
        <w:spacing w:before="36" w:beforeLines="15" w:line="276" w:lineRule="auto"/>
        <w:jc w:val="both"/>
        <w:rPr>
          <w:rFonts w:eastAsiaTheme="minorEastAsia"/>
          <w:sz w:val="24"/>
          <w:szCs w:val="24"/>
          <w:lang w:eastAsia="zh-CN"/>
        </w:rPr>
      </w:pPr>
    </w:p>
    <w:p w14:paraId="369A38C4">
      <w:pPr>
        <w:overflowPunct w:val="0"/>
        <w:adjustRightInd w:val="0"/>
        <w:snapToGrid w:val="0"/>
        <w:spacing w:before="36" w:beforeLines="15" w:line="276" w:lineRule="auto"/>
        <w:jc w:val="both"/>
        <w:rPr>
          <w:rFonts w:eastAsiaTheme="minorEastAsia"/>
          <w:sz w:val="24"/>
          <w:szCs w:val="24"/>
          <w:lang w:eastAsia="zh-CN"/>
        </w:rPr>
      </w:pPr>
    </w:p>
    <w:p w14:paraId="55808AD2">
      <w:pPr>
        <w:overflowPunct w:val="0"/>
        <w:adjustRightInd w:val="0"/>
        <w:snapToGrid w:val="0"/>
        <w:spacing w:before="36" w:beforeLines="15" w:line="276" w:lineRule="auto"/>
        <w:jc w:val="both"/>
        <w:rPr>
          <w:rFonts w:eastAsiaTheme="minorEastAsia"/>
          <w:sz w:val="24"/>
          <w:szCs w:val="24"/>
          <w:lang w:eastAsia="zh-CN"/>
        </w:rPr>
      </w:pPr>
    </w:p>
    <w:p w14:paraId="3F5A8F67">
      <w:pPr>
        <w:overflowPunct w:val="0"/>
        <w:adjustRightInd w:val="0"/>
        <w:snapToGrid w:val="0"/>
        <w:spacing w:before="36" w:beforeLines="15" w:line="276" w:lineRule="auto"/>
        <w:jc w:val="both"/>
        <w:rPr>
          <w:rFonts w:eastAsiaTheme="minorEastAsia"/>
          <w:sz w:val="24"/>
          <w:szCs w:val="24"/>
          <w:lang w:eastAsia="zh-CN"/>
        </w:rPr>
      </w:pPr>
    </w:p>
    <w:p w14:paraId="103C3897">
      <w:pPr>
        <w:overflowPunct w:val="0"/>
        <w:adjustRightInd w:val="0"/>
        <w:snapToGrid w:val="0"/>
        <w:spacing w:before="36" w:beforeLines="15" w:line="276" w:lineRule="auto"/>
        <w:jc w:val="both"/>
        <w:rPr>
          <w:sz w:val="21"/>
          <w:szCs w:val="18"/>
          <w:vertAlign w:val="superscript"/>
        </w:rPr>
      </w:pPr>
      <w:r>
        <w:rPr>
          <w:sz w:val="21"/>
          <w:szCs w:val="18"/>
        </w:rPr>
        <w:t>________________</w:t>
      </w:r>
    </w:p>
    <w:p w14:paraId="7153A7FC">
      <w:pPr>
        <w:overflowPunct w:val="0"/>
        <w:adjustRightInd w:val="0"/>
        <w:snapToGrid w:val="0"/>
        <w:spacing w:before="36" w:beforeLines="15" w:line="276" w:lineRule="auto"/>
        <w:jc w:val="both"/>
        <w:rPr>
          <w:sz w:val="21"/>
          <w:szCs w:val="18"/>
          <w:lang w:eastAsia="zh-CN"/>
        </w:rPr>
      </w:pPr>
      <w:r>
        <w:rPr>
          <w:rFonts w:eastAsia="宋体" w:cs="宋体"/>
          <w:sz w:val="21"/>
          <w:szCs w:val="18"/>
          <w:vertAlign w:val="superscript"/>
          <w:lang w:eastAsia="zh-CN"/>
        </w:rPr>
        <w:t>32</w:t>
      </w:r>
      <w:r>
        <w:rPr>
          <w:rFonts w:eastAsia="宋体" w:cs="宋体"/>
          <w:sz w:val="21"/>
          <w:szCs w:val="18"/>
          <w:lang w:eastAsia="zh-CN"/>
        </w:rPr>
        <w:t>参见《FD&amp;C法案》第506J(f)节。</w:t>
      </w:r>
    </w:p>
    <w:p w14:paraId="3160520E">
      <w:pPr>
        <w:overflowPunct w:val="0"/>
        <w:adjustRightInd w:val="0"/>
        <w:snapToGrid w:val="0"/>
        <w:spacing w:before="36" w:beforeLines="15" w:line="276" w:lineRule="auto"/>
        <w:jc w:val="both"/>
        <w:rPr>
          <w:sz w:val="21"/>
          <w:szCs w:val="18"/>
        </w:rPr>
      </w:pPr>
      <w:r>
        <w:rPr>
          <w:rFonts w:eastAsia="宋体" w:cs="宋体"/>
          <w:sz w:val="21"/>
          <w:szCs w:val="18"/>
          <w:vertAlign w:val="superscript"/>
        </w:rPr>
        <w:t>33</w:t>
      </w:r>
      <w:r>
        <w:rPr>
          <w:rFonts w:eastAsia="宋体" w:cs="宋体"/>
          <w:i/>
          <w:sz w:val="21"/>
          <w:szCs w:val="18"/>
        </w:rPr>
        <w:t>参见</w:t>
      </w:r>
      <w:r>
        <w:rPr>
          <w:rFonts w:eastAsia="宋体" w:cs="宋体"/>
          <w:sz w:val="21"/>
          <w:szCs w:val="18"/>
        </w:rPr>
        <w:t>FDA指南《医疗产品和相关监管机构的紧急使用授权》，可登录以下网址获取：</w:t>
      </w:r>
      <w:r>
        <w:fldChar w:fldCharType="begin"/>
      </w:r>
      <w:r>
        <w:instrText xml:space="preserve"> HYPERLINK "http://www.fda.gov/regulatory-information/search-fda-guidance-documents/emergency-use-authorization-medical-" \h </w:instrText>
      </w:r>
      <w:r>
        <w:fldChar w:fldCharType="separate"/>
      </w:r>
      <w:r>
        <w:rPr>
          <w:rFonts w:eastAsia="宋体" w:cs="宋体"/>
          <w:sz w:val="21"/>
          <w:szCs w:val="18"/>
        </w:rPr>
        <w:t>https://www.fda.gov/regulatory-information/search-fda-guidance-documents/emergency-use-authorization-medical- products-and-related-authorities</w:t>
      </w:r>
      <w:r>
        <w:rPr>
          <w:rFonts w:eastAsia="宋体" w:cs="宋体"/>
          <w:sz w:val="21"/>
          <w:szCs w:val="18"/>
        </w:rPr>
        <w:fldChar w:fldCharType="end"/>
      </w:r>
      <w:r>
        <w:rPr>
          <w:rFonts w:eastAsia="宋体" w:cs="宋体"/>
          <w:sz w:val="21"/>
          <w:szCs w:val="18"/>
        </w:rPr>
        <w:t>。</w:t>
      </w:r>
      <w:r>
        <w:rPr>
          <w:rFonts w:eastAsia="宋体" w:cs="宋体"/>
          <w:sz w:val="21"/>
          <w:szCs w:val="18"/>
        </w:rPr>
        <w:br w:type="page"/>
      </w:r>
    </w:p>
    <w:p w14:paraId="57389EF4">
      <w:pPr>
        <w:overflowPunct w:val="0"/>
        <w:adjustRightInd w:val="0"/>
        <w:snapToGrid w:val="0"/>
        <w:spacing w:before="36" w:beforeLines="15" w:line="276" w:lineRule="auto"/>
        <w:jc w:val="both"/>
        <w:rPr>
          <w:sz w:val="21"/>
          <w:szCs w:val="18"/>
        </w:rPr>
      </w:pPr>
    </w:p>
    <w:p w14:paraId="3236D580">
      <w:pPr>
        <w:tabs>
          <w:tab w:val="left" w:pos="1581"/>
        </w:tabs>
        <w:overflowPunct w:val="0"/>
        <w:adjustRightInd w:val="0"/>
        <w:snapToGrid w:val="0"/>
        <w:spacing w:before="36" w:beforeLines="15" w:line="276" w:lineRule="auto"/>
        <w:ind w:left="880"/>
        <w:jc w:val="both"/>
        <w:rPr>
          <w:sz w:val="24"/>
          <w:szCs w:val="21"/>
        </w:rPr>
      </w:pPr>
      <w:r>
        <w:rPr>
          <w:rFonts w:eastAsia="宋体"/>
          <w:sz w:val="24"/>
          <w:szCs w:val="21"/>
        </w:rPr>
        <w:sym w:font="Wingdings 2" w:char="F0A3"/>
      </w:r>
      <w:r>
        <w:rPr>
          <w:rFonts w:hint="eastAsia" w:eastAsia="宋体"/>
          <w:sz w:val="24"/>
          <w:szCs w:val="21"/>
          <w:lang w:eastAsia="zh-CN"/>
        </w:rPr>
        <w:tab/>
      </w:r>
      <w:r>
        <w:rPr>
          <w:rFonts w:hint="eastAsia" w:eastAsia="宋体" w:cs="宋体"/>
          <w:sz w:val="24"/>
          <w:szCs w:val="21"/>
          <w:lang w:eastAsia="zh-CN"/>
        </w:rPr>
        <w:t>否</w:t>
      </w:r>
      <w:r>
        <w:rPr>
          <w:rFonts w:eastAsia="宋体" w:cs="宋体"/>
          <w:sz w:val="24"/>
          <w:szCs w:val="21"/>
        </w:rPr>
        <w:t>；型号或目录号如下</w:t>
      </w:r>
    </w:p>
    <w:tbl>
      <w:tblPr>
        <w:tblStyle w:val="14"/>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2"/>
      </w:tblGrid>
      <w:tr w14:paraId="09FB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2" w:type="dxa"/>
          </w:tcPr>
          <w:p w14:paraId="7CA967B0">
            <w:pPr>
              <w:overflowPunct w:val="0"/>
              <w:snapToGrid w:val="0"/>
              <w:spacing w:before="36" w:beforeLines="15" w:line="276" w:lineRule="auto"/>
              <w:rPr>
                <w:i/>
                <w:sz w:val="24"/>
                <w:szCs w:val="21"/>
              </w:rPr>
            </w:pPr>
            <w:r>
              <w:rPr>
                <w:rFonts w:eastAsia="宋体" w:cs="宋体"/>
                <w:i/>
                <w:sz w:val="24"/>
                <w:szCs w:val="21"/>
              </w:rPr>
              <w:t>型号或目录号</w:t>
            </w:r>
          </w:p>
        </w:tc>
      </w:tr>
    </w:tbl>
    <w:p w14:paraId="1A796397">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rPr>
      </w:pPr>
      <w:r>
        <w:rPr>
          <w:rFonts w:eastAsia="宋体" w:cs="宋体"/>
          <w:sz w:val="24"/>
          <w:szCs w:val="21"/>
        </w:rPr>
        <w:t>联系人</w:t>
      </w:r>
      <w:r>
        <w:rPr>
          <w:rFonts w:hint="eastAsia" w:eastAsia="宋体" w:cs="宋体"/>
          <w:sz w:val="24"/>
          <w:szCs w:val="21"/>
          <w:lang w:eastAsia="zh-CN"/>
        </w:rPr>
        <w:t>姓名</w:t>
      </w:r>
    </w:p>
    <w:p w14:paraId="3DEE5DD7">
      <w:pPr>
        <w:numPr>
          <w:ilvl w:val="0"/>
          <w:numId w:val="11"/>
        </w:numPr>
        <w:tabs>
          <w:tab w:val="left" w:pos="860"/>
          <w:tab w:val="left" w:pos="861"/>
        </w:tabs>
        <w:overflowPunct w:val="0"/>
        <w:adjustRightInd w:val="0"/>
        <w:snapToGrid w:val="0"/>
        <w:spacing w:before="36" w:beforeLines="15" w:line="276" w:lineRule="auto"/>
        <w:ind w:left="440" w:leftChars="200" w:firstLine="0"/>
        <w:jc w:val="both"/>
        <w:rPr>
          <w:sz w:val="24"/>
          <w:szCs w:val="21"/>
          <w:lang w:eastAsia="zh-CN"/>
        </w:rPr>
      </w:pPr>
      <w:r>
        <w:rPr>
          <w:rFonts w:eastAsia="宋体" w:cs="宋体"/>
          <w:sz w:val="24"/>
          <w:szCs w:val="21"/>
          <w:lang w:eastAsia="zh-CN"/>
        </w:rPr>
        <w:t>联系人电子邮件和电话号码</w:t>
      </w:r>
    </w:p>
    <w:p w14:paraId="7C92CD9B">
      <w:pPr>
        <w:overflowPunct w:val="0"/>
        <w:adjustRightInd w:val="0"/>
        <w:snapToGrid w:val="0"/>
        <w:spacing w:before="36" w:beforeLines="15" w:line="276" w:lineRule="auto"/>
        <w:jc w:val="both"/>
        <w:rPr>
          <w:b/>
          <w:sz w:val="24"/>
          <w:szCs w:val="24"/>
          <w:lang w:eastAsia="zh-CN"/>
        </w:rPr>
      </w:pPr>
      <w:r>
        <w:rPr>
          <w:rFonts w:eastAsia="宋体" w:cs="宋体"/>
          <w:b/>
          <w:sz w:val="24"/>
          <w:lang w:eastAsia="zh-CN"/>
        </w:rPr>
        <w:t>第3节：停止或中断的原因（</w:t>
      </w:r>
      <w:r>
        <w:rPr>
          <w:rFonts w:hint="eastAsia" w:eastAsia="宋体" w:cs="宋体"/>
          <w:b/>
          <w:i/>
          <w:sz w:val="24"/>
          <w:lang w:eastAsia="zh-CN"/>
        </w:rPr>
        <w:t>可能由于多种原因</w:t>
      </w:r>
      <w:r>
        <w:rPr>
          <w:rFonts w:eastAsia="宋体" w:cs="宋体"/>
          <w:b/>
          <w:sz w:val="24"/>
          <w:lang w:eastAsia="zh-CN"/>
        </w:rPr>
        <w:t>）</w:t>
      </w:r>
    </w:p>
    <w:p w14:paraId="26E69E9C">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与符合药品生产质量管理规范相关的要求</w:t>
      </w:r>
    </w:p>
    <w:p w14:paraId="785F7E57">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监管延误</w:t>
      </w:r>
    </w:p>
    <w:p w14:paraId="027ECE3D">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从其他美国政府实体转移器械的命令</w:t>
      </w:r>
    </w:p>
    <w:p w14:paraId="55BAACBC">
      <w:pPr>
        <w:tabs>
          <w:tab w:val="left" w:pos="774"/>
        </w:tabs>
        <w:overflowPunct w:val="0"/>
        <w:adjustRightInd w:val="0"/>
        <w:snapToGrid w:val="0"/>
        <w:spacing w:before="36" w:beforeLines="15" w:line="276" w:lineRule="auto"/>
        <w:ind w:left="720" w:hanging="28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器械组件、部件或附件短缺或停产（包括诊断和血清学样本采集试剂盒或提取或PCR扩增或血清学检测试剂的专用用品）</w:t>
      </w:r>
    </w:p>
    <w:p w14:paraId="75819970">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停止</w:t>
      </w:r>
      <w:r>
        <w:rPr>
          <w:rFonts w:hint="eastAsia" w:eastAsia="宋体" w:cs="宋体"/>
          <w:sz w:val="24"/>
          <w:szCs w:val="21"/>
          <w:lang w:eastAsia="zh-CN"/>
        </w:rPr>
        <w:t>制造</w:t>
      </w:r>
      <w:r>
        <w:rPr>
          <w:rFonts w:eastAsia="宋体" w:cs="宋体"/>
          <w:sz w:val="24"/>
          <w:szCs w:val="21"/>
          <w:lang w:eastAsia="zh-CN"/>
        </w:rPr>
        <w:t>该器械</w:t>
      </w:r>
    </w:p>
    <w:p w14:paraId="07E8592C">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器械运输延误（例如因进出口挑战或运输挑战）</w:t>
      </w:r>
    </w:p>
    <w:p w14:paraId="77B1ADA5">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器械消毒延误</w:t>
      </w:r>
    </w:p>
    <w:p w14:paraId="765F89C6">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器械需求增加</w:t>
      </w:r>
    </w:p>
    <w:p w14:paraId="4A35746E">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设施关闭</w:t>
      </w:r>
    </w:p>
    <w:p w14:paraId="7FC07168">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器械目前处于短缺状态（即，目前供不应求）</w:t>
      </w:r>
    </w:p>
    <w:p w14:paraId="14CB8DA2">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预计器械处于短缺状态（即，预计需求超过预计供应）</w:t>
      </w:r>
    </w:p>
    <w:p w14:paraId="6005343A">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器械延期交货（即，暂时缺货）</w:t>
      </w:r>
    </w:p>
    <w:p w14:paraId="42B16DA3">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器械分配（即，限制分销给客户的数量，以延长现有供应品的寿命）</w:t>
      </w:r>
    </w:p>
    <w:p w14:paraId="2BC7D484">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器械出口限制</w:t>
      </w:r>
    </w:p>
    <w:p w14:paraId="2C309EAD">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从下单到发货的延误时间比平常长</w:t>
      </w:r>
    </w:p>
    <w:p w14:paraId="60441AB4">
      <w:pPr>
        <w:tabs>
          <w:tab w:val="left" w:pos="774"/>
        </w:tabs>
        <w:overflowPunct w:val="0"/>
        <w:adjustRightInd w:val="0"/>
        <w:snapToGrid w:val="0"/>
        <w:spacing w:before="36" w:beforeLines="15" w:line="276" w:lineRule="auto"/>
        <w:ind w:left="44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上述未列出的其他原因；说明如下。</w:t>
      </w:r>
    </w:p>
    <w:tbl>
      <w:tblPr>
        <w:tblStyle w:val="1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14:paraId="25A6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tcPr>
          <w:p w14:paraId="2FC14CA6">
            <w:pPr>
              <w:overflowPunct w:val="0"/>
              <w:adjustRightInd w:val="0"/>
              <w:snapToGrid w:val="0"/>
              <w:spacing w:before="36" w:beforeLines="15" w:line="276" w:lineRule="auto"/>
              <w:jc w:val="both"/>
              <w:rPr>
                <w:sz w:val="24"/>
                <w:szCs w:val="21"/>
                <w:lang w:eastAsia="zh-CN"/>
              </w:rPr>
            </w:pPr>
            <w:r>
              <w:rPr>
                <w:rFonts w:eastAsia="宋体" w:cs="宋体"/>
                <w:i/>
                <w:sz w:val="24"/>
                <w:szCs w:val="21"/>
                <w:lang w:eastAsia="zh-CN"/>
              </w:rPr>
              <w:t>停止或中断的原因说明。</w:t>
            </w:r>
          </w:p>
        </w:tc>
      </w:tr>
    </w:tbl>
    <w:p w14:paraId="77F06A5F">
      <w:pPr>
        <w:overflowPunct w:val="0"/>
        <w:adjustRightInd w:val="0"/>
        <w:snapToGrid w:val="0"/>
        <w:spacing w:before="36" w:beforeLines="15" w:line="276" w:lineRule="auto"/>
        <w:jc w:val="both"/>
        <w:rPr>
          <w:b/>
          <w:sz w:val="24"/>
          <w:szCs w:val="24"/>
          <w:lang w:eastAsia="zh-CN"/>
        </w:rPr>
      </w:pPr>
      <w:r>
        <w:rPr>
          <w:rFonts w:eastAsia="宋体" w:cs="宋体"/>
          <w:b/>
          <w:sz w:val="24"/>
          <w:lang w:eastAsia="zh-CN"/>
        </w:rPr>
        <w:t>第4节：停止或中断的持续时间</w:t>
      </w:r>
    </w:p>
    <w:tbl>
      <w:tblPr>
        <w:tblStyle w:val="1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14:paraId="3D0B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tcPr>
          <w:p w14:paraId="5D2DB1D3">
            <w:pPr>
              <w:overflowPunct w:val="0"/>
              <w:adjustRightInd w:val="0"/>
              <w:snapToGrid w:val="0"/>
              <w:spacing w:before="36" w:beforeLines="15" w:line="276" w:lineRule="auto"/>
              <w:jc w:val="both"/>
              <w:rPr>
                <w:b/>
                <w:sz w:val="24"/>
                <w:szCs w:val="21"/>
                <w:lang w:eastAsia="zh-CN"/>
              </w:rPr>
            </w:pPr>
            <w:r>
              <w:rPr>
                <w:rFonts w:eastAsia="宋体" w:cs="宋体"/>
                <w:i/>
                <w:sz w:val="24"/>
                <w:szCs w:val="21"/>
                <w:lang w:eastAsia="zh-CN"/>
              </w:rPr>
              <w:t>停止或中断的估计时间范围（即日期）和/或持续时间（即天数）。</w:t>
            </w:r>
          </w:p>
        </w:tc>
      </w:tr>
    </w:tbl>
    <w:p w14:paraId="60E67430">
      <w:pPr>
        <w:overflowPunct w:val="0"/>
        <w:snapToGrid w:val="0"/>
        <w:spacing w:before="36" w:beforeLines="15" w:line="276" w:lineRule="auto"/>
        <w:rPr>
          <w:b/>
          <w:sz w:val="24"/>
          <w:szCs w:val="24"/>
          <w:lang w:eastAsia="zh-CN"/>
        </w:rPr>
      </w:pPr>
      <w:r>
        <w:rPr>
          <w:rFonts w:eastAsia="宋体" w:cs="宋体"/>
          <w:b/>
          <w:sz w:val="24"/>
          <w:lang w:eastAsia="zh-CN"/>
        </w:rPr>
        <w:br w:type="page"/>
      </w:r>
    </w:p>
    <w:p w14:paraId="04043FD7">
      <w:pPr>
        <w:overflowPunct w:val="0"/>
        <w:adjustRightInd w:val="0"/>
        <w:snapToGrid w:val="0"/>
        <w:spacing w:before="36" w:beforeLines="15" w:line="276" w:lineRule="auto"/>
        <w:jc w:val="both"/>
        <w:rPr>
          <w:i/>
          <w:sz w:val="24"/>
          <w:szCs w:val="21"/>
          <w:lang w:eastAsia="zh-CN"/>
        </w:rPr>
      </w:pPr>
      <w:r>
        <w:rPr>
          <w:rFonts w:eastAsia="宋体" w:cs="宋体"/>
          <w:i/>
          <w:sz w:val="24"/>
          <w:szCs w:val="21"/>
          <w:lang w:eastAsia="zh-CN"/>
        </w:rPr>
        <w:t>除第1-4节载明信息外，在COVID-19突发公共卫生事件期间，收到以下信息将有助于FDA更好地管理任何潜在的短缺或器械供应链的重大中断问题。</w:t>
      </w:r>
    </w:p>
    <w:p w14:paraId="3211CBE3">
      <w:pPr>
        <w:overflowPunct w:val="0"/>
        <w:adjustRightInd w:val="0"/>
        <w:snapToGrid w:val="0"/>
        <w:spacing w:before="36" w:beforeLines="15" w:line="276" w:lineRule="auto"/>
        <w:jc w:val="both"/>
        <w:rPr>
          <w:b/>
          <w:sz w:val="24"/>
          <w:szCs w:val="24"/>
          <w:lang w:eastAsia="zh-CN"/>
        </w:rPr>
      </w:pPr>
      <w:r>
        <w:rPr>
          <w:rFonts w:eastAsia="宋体" w:cs="宋体"/>
          <w:b/>
          <w:sz w:val="24"/>
          <w:lang w:eastAsia="zh-CN"/>
        </w:rPr>
        <w:t>第5节：针对COVID-19疫情的询问</w:t>
      </w:r>
    </w:p>
    <w:p w14:paraId="6FC78074">
      <w:pPr>
        <w:numPr>
          <w:ilvl w:val="0"/>
          <w:numId w:val="12"/>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COVID-19疫情是否进一步影响您制造或分销器械的能力？</w:t>
      </w:r>
    </w:p>
    <w:p w14:paraId="5397DCCC">
      <w:pPr>
        <w:tabs>
          <w:tab w:val="left" w:pos="1224"/>
        </w:tabs>
        <w:overflowPunct w:val="0"/>
        <w:adjustRightInd w:val="0"/>
        <w:snapToGrid w:val="0"/>
        <w:spacing w:before="36" w:beforeLines="15" w:line="276" w:lineRule="auto"/>
        <w:ind w:left="88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否</w:t>
      </w:r>
    </w:p>
    <w:p w14:paraId="03FE654A">
      <w:pPr>
        <w:tabs>
          <w:tab w:val="left" w:pos="1224"/>
        </w:tabs>
        <w:overflowPunct w:val="0"/>
        <w:adjustRightInd w:val="0"/>
        <w:snapToGrid w:val="0"/>
        <w:spacing w:before="36" w:beforeLines="15" w:line="276" w:lineRule="auto"/>
        <w:ind w:left="88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是；问题所述如下</w:t>
      </w:r>
    </w:p>
    <w:p w14:paraId="51807FEE">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劳动力短缺</w:t>
      </w:r>
    </w:p>
    <w:p w14:paraId="49B8A234">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员工缺乏防护设备</w:t>
      </w:r>
    </w:p>
    <w:p w14:paraId="4B338F70">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原材料供应短缺或延误</w:t>
      </w:r>
    </w:p>
    <w:p w14:paraId="1412A0C5">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工厂临时关闭</w:t>
      </w:r>
    </w:p>
    <w:p w14:paraId="29AE5A51">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装运/运输挑战</w:t>
      </w:r>
    </w:p>
    <w:p w14:paraId="20CBAA79">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出口/进口挑战</w:t>
      </w:r>
    </w:p>
    <w:p w14:paraId="40579DA7">
      <w:pPr>
        <w:tabs>
          <w:tab w:val="left" w:pos="1854"/>
        </w:tabs>
        <w:overflowPunct w:val="0"/>
        <w:adjustRightInd w:val="0"/>
        <w:snapToGrid w:val="0"/>
        <w:spacing w:before="36" w:beforeLines="15" w:line="276" w:lineRule="auto"/>
        <w:ind w:left="132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其他</w:t>
      </w:r>
    </w:p>
    <w:tbl>
      <w:tblPr>
        <w:tblStyle w:val="14"/>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6"/>
      </w:tblGrid>
      <w:tr w14:paraId="6D0C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6" w:type="dxa"/>
          </w:tcPr>
          <w:p w14:paraId="7C47E442">
            <w:pPr>
              <w:overflowPunct w:val="0"/>
              <w:adjustRightInd w:val="0"/>
              <w:snapToGrid w:val="0"/>
              <w:spacing w:before="36" w:beforeLines="15" w:line="276" w:lineRule="auto"/>
              <w:jc w:val="both"/>
              <w:rPr>
                <w:sz w:val="24"/>
                <w:szCs w:val="21"/>
                <w:lang w:eastAsia="zh-CN"/>
              </w:rPr>
            </w:pPr>
            <w:r>
              <w:rPr>
                <w:rFonts w:eastAsia="宋体" w:cs="宋体"/>
                <w:i/>
                <w:sz w:val="24"/>
                <w:szCs w:val="21"/>
                <w:lang w:eastAsia="zh-CN"/>
              </w:rPr>
              <w:t>问题的其他详细信息。</w:t>
            </w:r>
          </w:p>
        </w:tc>
      </w:tr>
    </w:tbl>
    <w:p w14:paraId="1C6CE99A">
      <w:pPr>
        <w:numPr>
          <w:ilvl w:val="0"/>
          <w:numId w:val="12"/>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您是否依赖任何可能受COVID-19疫情影响的关键供应商？</w:t>
      </w:r>
    </w:p>
    <w:p w14:paraId="194A6D06">
      <w:pPr>
        <w:tabs>
          <w:tab w:val="left" w:pos="1224"/>
        </w:tabs>
        <w:overflowPunct w:val="0"/>
        <w:adjustRightInd w:val="0"/>
        <w:snapToGrid w:val="0"/>
        <w:spacing w:before="36" w:beforeLines="15" w:line="276" w:lineRule="auto"/>
        <w:ind w:left="88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否</w:t>
      </w:r>
    </w:p>
    <w:p w14:paraId="57453BDF">
      <w:pPr>
        <w:tabs>
          <w:tab w:val="left" w:pos="1224"/>
        </w:tabs>
        <w:overflowPunct w:val="0"/>
        <w:adjustRightInd w:val="0"/>
        <w:snapToGrid w:val="0"/>
        <w:spacing w:before="36" w:beforeLines="15" w:line="276" w:lineRule="auto"/>
        <w:ind w:left="880"/>
        <w:jc w:val="both"/>
        <w:rPr>
          <w:sz w:val="24"/>
          <w:szCs w:val="21"/>
          <w:lang w:eastAsia="zh-CN"/>
        </w:rPr>
      </w:pPr>
      <w:r>
        <w:rPr>
          <w:rFonts w:eastAsia="宋体"/>
          <w:sz w:val="24"/>
          <w:szCs w:val="21"/>
        </w:rPr>
        <w:sym w:font="Wingdings 2" w:char="F0A3"/>
      </w:r>
      <w:r>
        <w:rPr>
          <w:rFonts w:hint="eastAsia" w:eastAsia="宋体"/>
          <w:sz w:val="24"/>
          <w:szCs w:val="21"/>
          <w:lang w:eastAsia="zh-CN"/>
        </w:rPr>
        <w:tab/>
      </w:r>
      <w:r>
        <w:rPr>
          <w:rFonts w:eastAsia="宋体" w:cs="宋体"/>
          <w:sz w:val="24"/>
          <w:szCs w:val="21"/>
          <w:lang w:eastAsia="zh-CN"/>
        </w:rPr>
        <w:t>是；影响和供应商如下。</w:t>
      </w:r>
    </w:p>
    <w:tbl>
      <w:tblPr>
        <w:tblStyle w:val="14"/>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9"/>
      </w:tblGrid>
      <w:tr w14:paraId="503D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9" w:type="dxa"/>
          </w:tcPr>
          <w:p w14:paraId="00BC3B56">
            <w:pPr>
              <w:overflowPunct w:val="0"/>
              <w:snapToGrid w:val="0"/>
              <w:spacing w:before="36" w:beforeLines="15" w:line="276" w:lineRule="auto"/>
              <w:ind w:right="846"/>
              <w:rPr>
                <w:sz w:val="24"/>
                <w:szCs w:val="21"/>
                <w:lang w:eastAsia="zh-CN"/>
              </w:rPr>
            </w:pPr>
            <w:r>
              <w:rPr>
                <w:rFonts w:eastAsia="宋体" w:cs="宋体"/>
                <w:i/>
                <w:sz w:val="24"/>
                <w:szCs w:val="21"/>
                <w:lang w:eastAsia="zh-CN"/>
              </w:rPr>
              <w:t>描述对（受COVID-19疫情影响）的关键供应商的依赖如何对您制造器械的能力产生不利影响。（如果愿意/能够），请提供关键供应商的名称。</w:t>
            </w:r>
          </w:p>
        </w:tc>
      </w:tr>
    </w:tbl>
    <w:p w14:paraId="4F7BBC3E">
      <w:pPr>
        <w:overflowPunct w:val="0"/>
        <w:adjustRightInd w:val="0"/>
        <w:snapToGrid w:val="0"/>
        <w:spacing w:before="36" w:beforeLines="15" w:line="276" w:lineRule="auto"/>
        <w:jc w:val="both"/>
        <w:rPr>
          <w:b/>
          <w:sz w:val="24"/>
          <w:szCs w:val="24"/>
          <w:lang w:eastAsia="zh-CN"/>
        </w:rPr>
      </w:pPr>
      <w:r>
        <w:rPr>
          <w:rFonts w:eastAsia="宋体" w:cs="宋体"/>
          <w:b/>
          <w:sz w:val="24"/>
          <w:szCs w:val="24"/>
          <w:lang w:eastAsia="zh-CN"/>
        </w:rPr>
        <w:t>第6节：其他信息（包括可能的缓解措施）</w:t>
      </w:r>
    </w:p>
    <w:p w14:paraId="58F16B7E">
      <w:pPr>
        <w:numPr>
          <w:ilvl w:val="0"/>
          <w:numId w:val="12"/>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该器械是否在多条生产线上生产？</w:t>
      </w:r>
    </w:p>
    <w:p w14:paraId="40B599DD">
      <w:pPr>
        <w:tabs>
          <w:tab w:val="left" w:pos="1224"/>
        </w:tabs>
        <w:overflowPunct w:val="0"/>
        <w:adjustRightInd w:val="0"/>
        <w:snapToGrid w:val="0"/>
        <w:spacing w:before="36" w:beforeLines="15" w:line="276" w:lineRule="auto"/>
        <w:ind w:left="88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否</w:t>
      </w:r>
    </w:p>
    <w:p w14:paraId="11DC8C01">
      <w:pPr>
        <w:tabs>
          <w:tab w:val="left" w:pos="1224"/>
        </w:tabs>
        <w:overflowPunct w:val="0"/>
        <w:adjustRightInd w:val="0"/>
        <w:snapToGrid w:val="0"/>
        <w:spacing w:before="36" w:beforeLines="15" w:line="276" w:lineRule="auto"/>
        <w:ind w:left="88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是</w:t>
      </w:r>
    </w:p>
    <w:p w14:paraId="54F3B83C">
      <w:pPr>
        <w:numPr>
          <w:ilvl w:val="0"/>
          <w:numId w:val="12"/>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该器械是否在多个设施中生产？</w:t>
      </w:r>
    </w:p>
    <w:p w14:paraId="24EFC6A4">
      <w:pPr>
        <w:tabs>
          <w:tab w:val="left" w:pos="1224"/>
        </w:tabs>
        <w:overflowPunct w:val="0"/>
        <w:adjustRightInd w:val="0"/>
        <w:snapToGrid w:val="0"/>
        <w:spacing w:before="36" w:beforeLines="15" w:line="276" w:lineRule="auto"/>
        <w:ind w:left="88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否</w:t>
      </w:r>
    </w:p>
    <w:p w14:paraId="1DA44A30">
      <w:pPr>
        <w:tabs>
          <w:tab w:val="left" w:pos="1224"/>
        </w:tabs>
        <w:overflowPunct w:val="0"/>
        <w:adjustRightInd w:val="0"/>
        <w:snapToGrid w:val="0"/>
        <w:spacing w:before="36" w:beforeLines="15" w:line="276" w:lineRule="auto"/>
        <w:ind w:left="88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是</w:t>
      </w:r>
    </w:p>
    <w:p w14:paraId="42BEC74A">
      <w:pPr>
        <w:overflowPunct w:val="0"/>
        <w:snapToGrid w:val="0"/>
        <w:spacing w:before="36" w:beforeLines="15" w:line="276" w:lineRule="auto"/>
        <w:rPr>
          <w:sz w:val="24"/>
          <w:szCs w:val="24"/>
        </w:rPr>
      </w:pPr>
      <w:r>
        <w:rPr>
          <w:rFonts w:eastAsia="宋体" w:cs="宋体"/>
          <w:sz w:val="24"/>
        </w:rPr>
        <w:br w:type="page"/>
      </w:r>
    </w:p>
    <w:p w14:paraId="2BF03009">
      <w:pPr>
        <w:numPr>
          <w:ilvl w:val="0"/>
          <w:numId w:val="13"/>
        </w:numPr>
        <w:tabs>
          <w:tab w:val="left" w:pos="860"/>
          <w:tab w:val="left" w:pos="861"/>
        </w:tabs>
        <w:overflowPunct w:val="0"/>
        <w:adjustRightInd w:val="0"/>
        <w:snapToGrid w:val="0"/>
        <w:spacing w:before="36" w:beforeLines="15" w:line="276" w:lineRule="auto"/>
        <w:jc w:val="both"/>
        <w:rPr>
          <w:sz w:val="24"/>
          <w:szCs w:val="21"/>
        </w:rPr>
      </w:pPr>
      <w:r>
        <w:rPr>
          <w:rFonts w:eastAsia="宋体" w:cs="宋体"/>
          <w:sz w:val="24"/>
          <w:szCs w:val="21"/>
        </w:rPr>
        <w:t>有多少器械库存？</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14:paraId="2AA9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tcPr>
          <w:p w14:paraId="386F8E0E">
            <w:pPr>
              <w:overflowPunct w:val="0"/>
              <w:adjustRightInd w:val="0"/>
              <w:snapToGrid w:val="0"/>
              <w:spacing w:before="36" w:beforeLines="15" w:line="276" w:lineRule="auto"/>
              <w:jc w:val="both"/>
              <w:rPr>
                <w:sz w:val="24"/>
                <w:szCs w:val="21"/>
              </w:rPr>
            </w:pPr>
            <w:r>
              <w:rPr>
                <w:rFonts w:eastAsia="宋体" w:cs="宋体"/>
                <w:i/>
                <w:sz w:val="24"/>
                <w:szCs w:val="21"/>
              </w:rPr>
              <w:t>当前器械库存。</w:t>
            </w:r>
          </w:p>
        </w:tc>
      </w:tr>
    </w:tbl>
    <w:p w14:paraId="43810E95">
      <w:pPr>
        <w:numPr>
          <w:ilvl w:val="0"/>
          <w:numId w:val="13"/>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是否已经提供或将提供给您的利益相关方和患者关于实际或潜在短缺的公共信息（例如致医疗保健提供者（DHCP）的信函、网站上发布的供应或短缺信息）？</w:t>
      </w:r>
    </w:p>
    <w:p w14:paraId="4919422B">
      <w:pPr>
        <w:tabs>
          <w:tab w:val="left" w:pos="1224"/>
        </w:tabs>
        <w:overflowPunct w:val="0"/>
        <w:adjustRightInd w:val="0"/>
        <w:snapToGrid w:val="0"/>
        <w:spacing w:before="36" w:beforeLines="15" w:line="276" w:lineRule="auto"/>
        <w:ind w:left="880" w:leftChars="40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否</w:t>
      </w:r>
    </w:p>
    <w:p w14:paraId="690C55DE">
      <w:pPr>
        <w:tabs>
          <w:tab w:val="left" w:pos="1224"/>
        </w:tabs>
        <w:overflowPunct w:val="0"/>
        <w:adjustRightInd w:val="0"/>
        <w:snapToGrid w:val="0"/>
        <w:spacing w:before="36" w:beforeLines="15" w:line="276" w:lineRule="auto"/>
        <w:ind w:left="880" w:leftChars="40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是</w:t>
      </w:r>
    </w:p>
    <w:p w14:paraId="19471538">
      <w:pPr>
        <w:overflowPunct w:val="0"/>
        <w:adjustRightInd w:val="0"/>
        <w:snapToGrid w:val="0"/>
        <w:spacing w:before="36" w:beforeLines="15" w:line="276" w:lineRule="auto"/>
        <w:jc w:val="both"/>
        <w:rPr>
          <w:sz w:val="24"/>
          <w:szCs w:val="24"/>
        </w:rPr>
      </w:pPr>
    </w:p>
    <w:p w14:paraId="5705CA94">
      <w:pPr>
        <w:numPr>
          <w:ilvl w:val="0"/>
          <w:numId w:val="13"/>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是否建议FDA对器械进行审查以加快其可用性？您认为FDA还可以采取哪些措施来预防或缓解供应中断情况？</w:t>
      </w:r>
    </w:p>
    <w:p w14:paraId="14396350">
      <w:pPr>
        <w:tabs>
          <w:tab w:val="left" w:pos="1224"/>
        </w:tabs>
        <w:overflowPunct w:val="0"/>
        <w:adjustRightInd w:val="0"/>
        <w:snapToGrid w:val="0"/>
        <w:spacing w:before="36" w:beforeLines="15" w:line="276" w:lineRule="auto"/>
        <w:ind w:left="880" w:leftChars="40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否</w:t>
      </w:r>
    </w:p>
    <w:p w14:paraId="78A3BBD7">
      <w:pPr>
        <w:tabs>
          <w:tab w:val="left" w:pos="1224"/>
        </w:tabs>
        <w:overflowPunct w:val="0"/>
        <w:adjustRightInd w:val="0"/>
        <w:snapToGrid w:val="0"/>
        <w:spacing w:before="36" w:beforeLines="15" w:line="276" w:lineRule="auto"/>
        <w:ind w:left="880" w:leftChars="40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是</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14:paraId="4F84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tcPr>
          <w:p w14:paraId="3C6A27C2">
            <w:pPr>
              <w:overflowPunct w:val="0"/>
              <w:adjustRightInd w:val="0"/>
              <w:snapToGrid w:val="0"/>
              <w:spacing w:before="36" w:beforeLines="15" w:line="276" w:lineRule="auto"/>
              <w:jc w:val="both"/>
              <w:rPr>
                <w:sz w:val="24"/>
                <w:szCs w:val="21"/>
                <w:lang w:eastAsia="zh-CN"/>
              </w:rPr>
            </w:pPr>
            <w:r>
              <w:rPr>
                <w:rFonts w:eastAsia="宋体" w:cs="宋体"/>
                <w:i/>
                <w:sz w:val="24"/>
                <w:szCs w:val="21"/>
                <w:lang w:eastAsia="zh-CN"/>
              </w:rPr>
              <w:t>提议加快器械的可用性和/或让FDA帮助预防或缓解供应中断情况。</w:t>
            </w:r>
          </w:p>
        </w:tc>
      </w:tr>
    </w:tbl>
    <w:p w14:paraId="18CD181E">
      <w:pPr>
        <w:numPr>
          <w:ilvl w:val="0"/>
          <w:numId w:val="13"/>
        </w:numPr>
        <w:tabs>
          <w:tab w:val="left" w:pos="860"/>
          <w:tab w:val="left" w:pos="861"/>
        </w:tabs>
        <w:overflowPunct w:val="0"/>
        <w:adjustRightInd w:val="0"/>
        <w:snapToGrid w:val="0"/>
        <w:spacing w:before="36" w:beforeLines="15" w:line="276" w:lineRule="auto"/>
        <w:jc w:val="both"/>
        <w:rPr>
          <w:sz w:val="24"/>
          <w:szCs w:val="21"/>
          <w:lang w:eastAsia="zh-CN"/>
        </w:rPr>
      </w:pPr>
      <w:r>
        <w:rPr>
          <w:rFonts w:eastAsia="宋体" w:cs="宋体"/>
          <w:sz w:val="24"/>
          <w:szCs w:val="21"/>
          <w:lang w:eastAsia="zh-CN"/>
        </w:rPr>
        <w:t>是否可以与FDA分享落实到位的缓解短缺计划？</w:t>
      </w:r>
    </w:p>
    <w:p w14:paraId="0F230341">
      <w:pPr>
        <w:tabs>
          <w:tab w:val="left" w:pos="1224"/>
        </w:tabs>
        <w:overflowPunct w:val="0"/>
        <w:adjustRightInd w:val="0"/>
        <w:snapToGrid w:val="0"/>
        <w:spacing w:before="36" w:beforeLines="15" w:line="276" w:lineRule="auto"/>
        <w:ind w:left="880" w:leftChars="40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否</w:t>
      </w:r>
    </w:p>
    <w:p w14:paraId="4D408B9C">
      <w:pPr>
        <w:tabs>
          <w:tab w:val="left" w:pos="1224"/>
        </w:tabs>
        <w:overflowPunct w:val="0"/>
        <w:adjustRightInd w:val="0"/>
        <w:snapToGrid w:val="0"/>
        <w:spacing w:before="36" w:beforeLines="15" w:line="276" w:lineRule="auto"/>
        <w:ind w:left="880" w:leftChars="400"/>
        <w:jc w:val="both"/>
        <w:rPr>
          <w:sz w:val="24"/>
          <w:szCs w:val="21"/>
        </w:rPr>
      </w:pPr>
      <w:r>
        <w:rPr>
          <w:rFonts w:eastAsia="宋体"/>
          <w:sz w:val="24"/>
          <w:szCs w:val="21"/>
        </w:rPr>
        <w:sym w:font="Wingdings 2" w:char="F0A3"/>
      </w:r>
      <w:r>
        <w:rPr>
          <w:rFonts w:hint="eastAsia" w:eastAsia="宋体"/>
          <w:sz w:val="24"/>
          <w:szCs w:val="21"/>
          <w:lang w:eastAsia="zh-CN"/>
        </w:rPr>
        <w:tab/>
      </w:r>
      <w:r>
        <w:rPr>
          <w:rFonts w:eastAsia="宋体" w:cs="宋体"/>
          <w:sz w:val="24"/>
          <w:szCs w:val="21"/>
        </w:rPr>
        <w:t>是；描述如下</w:t>
      </w:r>
    </w:p>
    <w:tbl>
      <w:tblPr>
        <w:tblStyle w:val="1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3"/>
      </w:tblGrid>
      <w:tr w14:paraId="5D0E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tcPr>
          <w:p w14:paraId="4038C5F3">
            <w:pPr>
              <w:overflowPunct w:val="0"/>
              <w:adjustRightInd w:val="0"/>
              <w:snapToGrid w:val="0"/>
              <w:spacing w:before="36" w:beforeLines="15" w:line="276" w:lineRule="auto"/>
              <w:jc w:val="both"/>
              <w:rPr>
                <w:sz w:val="24"/>
                <w:szCs w:val="21"/>
                <w:lang w:eastAsia="zh-CN"/>
              </w:rPr>
            </w:pPr>
            <w:r>
              <w:rPr>
                <w:rFonts w:eastAsia="宋体" w:cs="宋体"/>
                <w:i/>
                <w:sz w:val="24"/>
                <w:szCs w:val="21"/>
                <w:lang w:eastAsia="zh-CN"/>
              </w:rPr>
              <w:t>描述缓解短缺计划或提供作为附件的副本。</w:t>
            </w:r>
          </w:p>
        </w:tc>
      </w:tr>
    </w:tbl>
    <w:p w14:paraId="1CB99595">
      <w:pPr>
        <w:overflowPunct w:val="0"/>
        <w:adjustRightInd w:val="0"/>
        <w:snapToGrid w:val="0"/>
        <w:spacing w:before="36" w:beforeLines="15" w:line="276" w:lineRule="auto"/>
        <w:jc w:val="both"/>
        <w:rPr>
          <w:sz w:val="24"/>
          <w:szCs w:val="24"/>
          <w:lang w:eastAsia="zh-CN"/>
        </w:rPr>
      </w:pPr>
    </w:p>
    <w:p w14:paraId="16AC34D2">
      <w:pPr>
        <w:overflowPunct w:val="0"/>
        <w:snapToGrid w:val="0"/>
        <w:spacing w:before="36" w:beforeLines="15" w:line="276" w:lineRule="auto"/>
        <w:rPr>
          <w:b/>
          <w:sz w:val="24"/>
          <w:szCs w:val="24"/>
          <w:lang w:eastAsia="zh-CN"/>
        </w:rPr>
      </w:pPr>
      <w:r>
        <w:rPr>
          <w:rFonts w:eastAsia="宋体" w:cs="宋体"/>
          <w:b/>
          <w:sz w:val="24"/>
          <w:lang w:eastAsia="zh-CN"/>
        </w:rPr>
        <w:t>第7节：生产能力和市场份额（针对FEI和产品代码）</w:t>
      </w:r>
    </w:p>
    <w:tbl>
      <w:tblPr>
        <w:tblStyle w:val="13"/>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2"/>
        <w:gridCol w:w="1216"/>
        <w:gridCol w:w="1277"/>
        <w:gridCol w:w="1357"/>
        <w:gridCol w:w="1337"/>
        <w:gridCol w:w="1295"/>
        <w:gridCol w:w="1196"/>
      </w:tblGrid>
      <w:tr w14:paraId="21682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752" w:type="dxa"/>
          </w:tcPr>
          <w:p w14:paraId="67731EE6">
            <w:pPr>
              <w:overflowPunct w:val="0"/>
              <w:adjustRightInd w:val="0"/>
              <w:snapToGrid w:val="0"/>
              <w:spacing w:before="36" w:beforeLines="15" w:line="276" w:lineRule="auto"/>
              <w:jc w:val="both"/>
              <w:rPr>
                <w:sz w:val="18"/>
                <w:szCs w:val="18"/>
              </w:rPr>
            </w:pPr>
            <w:r>
              <w:rPr>
                <w:rFonts w:eastAsia="宋体" w:cs="宋体"/>
                <w:sz w:val="21"/>
                <w:szCs w:val="18"/>
              </w:rPr>
              <w:t>器械描述符</w:t>
            </w:r>
          </w:p>
        </w:tc>
        <w:tc>
          <w:tcPr>
            <w:tcW w:w="1216" w:type="dxa"/>
          </w:tcPr>
          <w:p w14:paraId="467549C0">
            <w:pPr>
              <w:overflowPunct w:val="0"/>
              <w:adjustRightInd w:val="0"/>
              <w:snapToGrid w:val="0"/>
              <w:spacing w:before="36" w:beforeLines="15" w:line="276" w:lineRule="auto"/>
              <w:jc w:val="both"/>
              <w:rPr>
                <w:sz w:val="18"/>
                <w:szCs w:val="18"/>
                <w:lang w:eastAsia="zh-CN"/>
              </w:rPr>
            </w:pPr>
            <w:r>
              <w:rPr>
                <w:rFonts w:eastAsia="宋体" w:cs="宋体"/>
                <w:sz w:val="21"/>
                <w:szCs w:val="18"/>
                <w:lang w:eastAsia="zh-CN"/>
              </w:rPr>
              <w:t>预估美国市场份额（%）</w:t>
            </w:r>
          </w:p>
        </w:tc>
        <w:tc>
          <w:tcPr>
            <w:tcW w:w="1277" w:type="dxa"/>
          </w:tcPr>
          <w:p w14:paraId="1C9B2FAE">
            <w:pPr>
              <w:overflowPunct w:val="0"/>
              <w:adjustRightInd w:val="0"/>
              <w:snapToGrid w:val="0"/>
              <w:spacing w:before="36" w:beforeLines="15" w:line="276" w:lineRule="auto"/>
              <w:jc w:val="both"/>
              <w:rPr>
                <w:sz w:val="21"/>
                <w:szCs w:val="18"/>
              </w:rPr>
            </w:pPr>
            <w:r>
              <w:rPr>
                <w:rFonts w:eastAsia="宋体" w:cs="宋体"/>
                <w:sz w:val="21"/>
                <w:szCs w:val="18"/>
              </w:rPr>
              <w:t>历史平均生产量</w:t>
            </w:r>
          </w:p>
          <w:p w14:paraId="0880F364">
            <w:pPr>
              <w:overflowPunct w:val="0"/>
              <w:adjustRightInd w:val="0"/>
              <w:snapToGrid w:val="0"/>
              <w:spacing w:before="36" w:beforeLines="15" w:line="276" w:lineRule="auto"/>
              <w:jc w:val="both"/>
              <w:rPr>
                <w:sz w:val="18"/>
                <w:szCs w:val="18"/>
              </w:rPr>
            </w:pPr>
            <w:r>
              <w:rPr>
                <w:rFonts w:eastAsia="宋体" w:cs="宋体"/>
                <w:sz w:val="21"/>
                <w:szCs w:val="18"/>
              </w:rPr>
              <w:t>[# / mo]</w:t>
            </w:r>
          </w:p>
        </w:tc>
        <w:tc>
          <w:tcPr>
            <w:tcW w:w="1357" w:type="dxa"/>
          </w:tcPr>
          <w:p w14:paraId="5605FA40">
            <w:pPr>
              <w:overflowPunct w:val="0"/>
              <w:adjustRightInd w:val="0"/>
              <w:snapToGrid w:val="0"/>
              <w:spacing w:before="36" w:beforeLines="15" w:line="276" w:lineRule="auto"/>
              <w:jc w:val="both"/>
              <w:rPr>
                <w:sz w:val="21"/>
                <w:szCs w:val="18"/>
                <w:lang w:eastAsia="zh-CN"/>
              </w:rPr>
            </w:pPr>
            <w:r>
              <w:rPr>
                <w:rFonts w:eastAsia="宋体" w:cs="宋体"/>
                <w:sz w:val="21"/>
                <w:szCs w:val="18"/>
                <w:lang w:eastAsia="zh-CN"/>
              </w:rPr>
              <w:t>美国历史</w:t>
            </w:r>
          </w:p>
          <w:p w14:paraId="0832BE7F">
            <w:pPr>
              <w:overflowPunct w:val="0"/>
              <w:adjustRightInd w:val="0"/>
              <w:snapToGrid w:val="0"/>
              <w:spacing w:before="36" w:beforeLines="15" w:line="276" w:lineRule="auto"/>
              <w:jc w:val="both"/>
              <w:rPr>
                <w:rFonts w:eastAsia="宋体" w:cs="宋体"/>
                <w:sz w:val="21"/>
                <w:szCs w:val="18"/>
                <w:lang w:eastAsia="zh-CN"/>
              </w:rPr>
            </w:pPr>
            <w:r>
              <w:rPr>
                <w:rFonts w:eastAsia="宋体" w:cs="宋体"/>
                <w:sz w:val="21"/>
                <w:szCs w:val="18"/>
                <w:lang w:eastAsia="zh-CN"/>
              </w:rPr>
              <w:t>平均分销量</w:t>
            </w:r>
          </w:p>
          <w:p w14:paraId="3E5E488F">
            <w:pPr>
              <w:overflowPunct w:val="0"/>
              <w:adjustRightInd w:val="0"/>
              <w:snapToGrid w:val="0"/>
              <w:spacing w:before="36" w:beforeLines="15" w:line="276" w:lineRule="auto"/>
              <w:jc w:val="both"/>
              <w:rPr>
                <w:sz w:val="18"/>
                <w:szCs w:val="18"/>
                <w:lang w:eastAsia="zh-CN"/>
              </w:rPr>
            </w:pPr>
            <w:r>
              <w:rPr>
                <w:rFonts w:eastAsia="宋体" w:cs="宋体"/>
                <w:sz w:val="21"/>
                <w:szCs w:val="18"/>
                <w:lang w:eastAsia="zh-CN"/>
              </w:rPr>
              <w:t>[# / mo]</w:t>
            </w:r>
          </w:p>
        </w:tc>
        <w:tc>
          <w:tcPr>
            <w:tcW w:w="1337" w:type="dxa"/>
          </w:tcPr>
          <w:p w14:paraId="42127196">
            <w:pPr>
              <w:overflowPunct w:val="0"/>
              <w:adjustRightInd w:val="0"/>
              <w:snapToGrid w:val="0"/>
              <w:spacing w:before="36" w:beforeLines="15" w:line="276" w:lineRule="auto"/>
              <w:jc w:val="both"/>
              <w:rPr>
                <w:sz w:val="21"/>
                <w:szCs w:val="18"/>
              </w:rPr>
            </w:pPr>
            <w:r>
              <w:rPr>
                <w:rFonts w:eastAsia="宋体" w:cs="宋体"/>
                <w:sz w:val="21"/>
                <w:szCs w:val="18"/>
              </w:rPr>
              <w:t>当前生产量</w:t>
            </w:r>
          </w:p>
          <w:p w14:paraId="589C66F3">
            <w:pPr>
              <w:overflowPunct w:val="0"/>
              <w:adjustRightInd w:val="0"/>
              <w:snapToGrid w:val="0"/>
              <w:spacing w:before="36" w:beforeLines="15" w:line="276" w:lineRule="auto"/>
              <w:jc w:val="both"/>
              <w:rPr>
                <w:sz w:val="18"/>
                <w:szCs w:val="18"/>
              </w:rPr>
            </w:pPr>
            <w:r>
              <w:rPr>
                <w:rFonts w:eastAsia="宋体" w:cs="宋体"/>
                <w:sz w:val="21"/>
                <w:szCs w:val="18"/>
              </w:rPr>
              <w:t>[# / mo]</w:t>
            </w:r>
          </w:p>
        </w:tc>
        <w:tc>
          <w:tcPr>
            <w:tcW w:w="1295" w:type="dxa"/>
          </w:tcPr>
          <w:p w14:paraId="545F2C23">
            <w:pPr>
              <w:overflowPunct w:val="0"/>
              <w:adjustRightInd w:val="0"/>
              <w:snapToGrid w:val="0"/>
              <w:spacing w:before="36" w:beforeLines="15" w:line="276" w:lineRule="auto"/>
              <w:jc w:val="both"/>
              <w:rPr>
                <w:rFonts w:eastAsia="宋体" w:cs="宋体"/>
                <w:sz w:val="21"/>
                <w:szCs w:val="18"/>
                <w:lang w:eastAsia="zh-CN"/>
              </w:rPr>
            </w:pPr>
            <w:r>
              <w:rPr>
                <w:rFonts w:eastAsia="宋体" w:cs="宋体"/>
                <w:sz w:val="21"/>
                <w:szCs w:val="18"/>
              </w:rPr>
              <w:t>当前美国分销量</w:t>
            </w:r>
          </w:p>
          <w:p w14:paraId="032661DB">
            <w:pPr>
              <w:overflowPunct w:val="0"/>
              <w:adjustRightInd w:val="0"/>
              <w:snapToGrid w:val="0"/>
              <w:spacing w:before="36" w:beforeLines="15" w:line="276" w:lineRule="auto"/>
              <w:jc w:val="both"/>
              <w:rPr>
                <w:sz w:val="18"/>
                <w:szCs w:val="18"/>
              </w:rPr>
            </w:pPr>
            <w:r>
              <w:rPr>
                <w:rFonts w:eastAsia="宋体" w:cs="宋体"/>
                <w:sz w:val="21"/>
                <w:szCs w:val="18"/>
              </w:rPr>
              <w:t>[# / mo]</w:t>
            </w:r>
          </w:p>
        </w:tc>
        <w:tc>
          <w:tcPr>
            <w:tcW w:w="1196" w:type="dxa"/>
          </w:tcPr>
          <w:p w14:paraId="7284BF69">
            <w:pPr>
              <w:overflowPunct w:val="0"/>
              <w:adjustRightInd w:val="0"/>
              <w:snapToGrid w:val="0"/>
              <w:spacing w:before="36" w:beforeLines="15" w:line="276" w:lineRule="auto"/>
              <w:jc w:val="both"/>
              <w:rPr>
                <w:sz w:val="21"/>
                <w:szCs w:val="18"/>
              </w:rPr>
            </w:pPr>
            <w:r>
              <w:rPr>
                <w:rFonts w:eastAsia="宋体" w:cs="宋体"/>
                <w:sz w:val="21"/>
                <w:szCs w:val="18"/>
              </w:rPr>
              <w:t>最大生产量</w:t>
            </w:r>
          </w:p>
          <w:p w14:paraId="69B00978">
            <w:pPr>
              <w:overflowPunct w:val="0"/>
              <w:adjustRightInd w:val="0"/>
              <w:snapToGrid w:val="0"/>
              <w:spacing w:before="36" w:beforeLines="15" w:line="276" w:lineRule="auto"/>
              <w:jc w:val="both"/>
              <w:rPr>
                <w:sz w:val="21"/>
                <w:szCs w:val="18"/>
              </w:rPr>
            </w:pPr>
            <w:r>
              <w:rPr>
                <w:rFonts w:eastAsia="宋体" w:cs="宋体"/>
                <w:sz w:val="21"/>
                <w:szCs w:val="18"/>
              </w:rPr>
              <w:t>[# / mo]</w:t>
            </w:r>
          </w:p>
        </w:tc>
      </w:tr>
      <w:tr w14:paraId="6641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752" w:type="dxa"/>
          </w:tcPr>
          <w:p w14:paraId="33CA8EFA">
            <w:pPr>
              <w:overflowPunct w:val="0"/>
              <w:adjustRightInd w:val="0"/>
              <w:snapToGrid w:val="0"/>
              <w:spacing w:before="36" w:beforeLines="15" w:line="276" w:lineRule="auto"/>
              <w:jc w:val="both"/>
              <w:rPr>
                <w:i/>
                <w:sz w:val="18"/>
                <w:szCs w:val="18"/>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通用器械</w:t>
            </w:r>
          </w:p>
        </w:tc>
        <w:tc>
          <w:tcPr>
            <w:tcW w:w="1216" w:type="dxa"/>
          </w:tcPr>
          <w:p w14:paraId="7CDBE190">
            <w:pPr>
              <w:overflowPunct w:val="0"/>
              <w:adjustRightInd w:val="0"/>
              <w:snapToGrid w:val="0"/>
              <w:spacing w:before="36" w:beforeLines="15" w:line="276" w:lineRule="auto"/>
              <w:jc w:val="both"/>
              <w:rPr>
                <w:i/>
                <w:sz w:val="18"/>
                <w:szCs w:val="18"/>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10%</w:t>
            </w:r>
          </w:p>
        </w:tc>
        <w:tc>
          <w:tcPr>
            <w:tcW w:w="1277" w:type="dxa"/>
          </w:tcPr>
          <w:p w14:paraId="1A693BDD">
            <w:pPr>
              <w:overflowPunct w:val="0"/>
              <w:adjustRightInd w:val="0"/>
              <w:snapToGrid w:val="0"/>
              <w:spacing w:before="36" w:beforeLines="15" w:line="276" w:lineRule="auto"/>
              <w:jc w:val="both"/>
              <w:rPr>
                <w:i/>
                <w:sz w:val="18"/>
                <w:szCs w:val="18"/>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300</w:t>
            </w:r>
          </w:p>
        </w:tc>
        <w:tc>
          <w:tcPr>
            <w:tcW w:w="1357" w:type="dxa"/>
          </w:tcPr>
          <w:p w14:paraId="522A4C26">
            <w:pPr>
              <w:overflowPunct w:val="0"/>
              <w:adjustRightInd w:val="0"/>
              <w:snapToGrid w:val="0"/>
              <w:spacing w:before="36" w:beforeLines="15" w:line="276" w:lineRule="auto"/>
              <w:jc w:val="both"/>
              <w:rPr>
                <w:i/>
                <w:sz w:val="18"/>
                <w:szCs w:val="18"/>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250</w:t>
            </w:r>
          </w:p>
        </w:tc>
        <w:tc>
          <w:tcPr>
            <w:tcW w:w="1337" w:type="dxa"/>
          </w:tcPr>
          <w:p w14:paraId="3BB836DB">
            <w:pPr>
              <w:overflowPunct w:val="0"/>
              <w:adjustRightInd w:val="0"/>
              <w:snapToGrid w:val="0"/>
              <w:spacing w:before="36" w:beforeLines="15" w:line="276" w:lineRule="auto"/>
              <w:jc w:val="both"/>
              <w:rPr>
                <w:i/>
                <w:sz w:val="18"/>
                <w:szCs w:val="18"/>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100</w:t>
            </w:r>
          </w:p>
        </w:tc>
        <w:tc>
          <w:tcPr>
            <w:tcW w:w="1295" w:type="dxa"/>
          </w:tcPr>
          <w:p w14:paraId="251D3C5D">
            <w:pPr>
              <w:overflowPunct w:val="0"/>
              <w:adjustRightInd w:val="0"/>
              <w:snapToGrid w:val="0"/>
              <w:spacing w:before="36" w:beforeLines="15" w:line="276" w:lineRule="auto"/>
              <w:jc w:val="both"/>
              <w:rPr>
                <w:i/>
                <w:sz w:val="18"/>
                <w:szCs w:val="18"/>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100</w:t>
            </w:r>
          </w:p>
        </w:tc>
        <w:tc>
          <w:tcPr>
            <w:tcW w:w="1196" w:type="dxa"/>
          </w:tcPr>
          <w:p w14:paraId="6DA1763A">
            <w:pPr>
              <w:overflowPunct w:val="0"/>
              <w:adjustRightInd w:val="0"/>
              <w:snapToGrid w:val="0"/>
              <w:spacing w:before="36" w:beforeLines="15" w:line="276" w:lineRule="auto"/>
              <w:jc w:val="both"/>
              <w:rPr>
                <w:i/>
                <w:sz w:val="21"/>
                <w:szCs w:val="18"/>
                <w:lang w:eastAsia="zh-CN"/>
              </w:rPr>
            </w:pPr>
            <w:r>
              <w:rPr>
                <w:rFonts w:eastAsia="宋体" w:cs="宋体"/>
                <w:i/>
                <w:sz w:val="21"/>
                <w:szCs w:val="18"/>
              </w:rPr>
              <w:t>例如</w:t>
            </w:r>
            <w:r>
              <w:rPr>
                <w:rFonts w:hint="eastAsia" w:eastAsia="宋体" w:cs="宋体"/>
                <w:i/>
                <w:sz w:val="21"/>
                <w:szCs w:val="18"/>
                <w:lang w:eastAsia="zh-CN"/>
              </w:rPr>
              <w:t>，</w:t>
            </w:r>
            <w:r>
              <w:rPr>
                <w:rFonts w:eastAsia="宋体" w:cs="宋体"/>
                <w:i/>
                <w:sz w:val="21"/>
                <w:szCs w:val="18"/>
              </w:rPr>
              <w:t>500</w:t>
            </w:r>
          </w:p>
        </w:tc>
      </w:tr>
      <w:tr w14:paraId="17D7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752" w:type="dxa"/>
          </w:tcPr>
          <w:p w14:paraId="7A4AD762">
            <w:pPr>
              <w:overflowPunct w:val="0"/>
              <w:adjustRightInd w:val="0"/>
              <w:snapToGrid w:val="0"/>
              <w:spacing w:before="36" w:beforeLines="15" w:line="276" w:lineRule="auto"/>
              <w:jc w:val="both"/>
              <w:rPr>
                <w:sz w:val="18"/>
                <w:szCs w:val="18"/>
              </w:rPr>
            </w:pPr>
          </w:p>
        </w:tc>
        <w:tc>
          <w:tcPr>
            <w:tcW w:w="1216" w:type="dxa"/>
          </w:tcPr>
          <w:p w14:paraId="2435C2A4">
            <w:pPr>
              <w:overflowPunct w:val="0"/>
              <w:adjustRightInd w:val="0"/>
              <w:snapToGrid w:val="0"/>
              <w:spacing w:before="36" w:beforeLines="15" w:line="276" w:lineRule="auto"/>
              <w:jc w:val="both"/>
              <w:rPr>
                <w:sz w:val="18"/>
                <w:szCs w:val="18"/>
              </w:rPr>
            </w:pPr>
          </w:p>
        </w:tc>
        <w:tc>
          <w:tcPr>
            <w:tcW w:w="1277" w:type="dxa"/>
          </w:tcPr>
          <w:p w14:paraId="3D78C0C1">
            <w:pPr>
              <w:overflowPunct w:val="0"/>
              <w:adjustRightInd w:val="0"/>
              <w:snapToGrid w:val="0"/>
              <w:spacing w:before="36" w:beforeLines="15" w:line="276" w:lineRule="auto"/>
              <w:jc w:val="both"/>
              <w:rPr>
                <w:sz w:val="18"/>
                <w:szCs w:val="18"/>
              </w:rPr>
            </w:pPr>
          </w:p>
        </w:tc>
        <w:tc>
          <w:tcPr>
            <w:tcW w:w="1357" w:type="dxa"/>
          </w:tcPr>
          <w:p w14:paraId="5C878846">
            <w:pPr>
              <w:overflowPunct w:val="0"/>
              <w:adjustRightInd w:val="0"/>
              <w:snapToGrid w:val="0"/>
              <w:spacing w:before="36" w:beforeLines="15" w:line="276" w:lineRule="auto"/>
              <w:jc w:val="both"/>
              <w:rPr>
                <w:sz w:val="18"/>
                <w:szCs w:val="18"/>
              </w:rPr>
            </w:pPr>
          </w:p>
        </w:tc>
        <w:tc>
          <w:tcPr>
            <w:tcW w:w="1337" w:type="dxa"/>
          </w:tcPr>
          <w:p w14:paraId="5683CF4D">
            <w:pPr>
              <w:overflowPunct w:val="0"/>
              <w:adjustRightInd w:val="0"/>
              <w:snapToGrid w:val="0"/>
              <w:spacing w:before="36" w:beforeLines="15" w:line="276" w:lineRule="auto"/>
              <w:jc w:val="both"/>
              <w:rPr>
                <w:sz w:val="18"/>
                <w:szCs w:val="18"/>
              </w:rPr>
            </w:pPr>
          </w:p>
        </w:tc>
        <w:tc>
          <w:tcPr>
            <w:tcW w:w="1295" w:type="dxa"/>
          </w:tcPr>
          <w:p w14:paraId="19B4B011">
            <w:pPr>
              <w:overflowPunct w:val="0"/>
              <w:adjustRightInd w:val="0"/>
              <w:snapToGrid w:val="0"/>
              <w:spacing w:before="36" w:beforeLines="15" w:line="276" w:lineRule="auto"/>
              <w:jc w:val="both"/>
              <w:rPr>
                <w:sz w:val="18"/>
                <w:szCs w:val="18"/>
              </w:rPr>
            </w:pPr>
          </w:p>
        </w:tc>
        <w:tc>
          <w:tcPr>
            <w:tcW w:w="1196" w:type="dxa"/>
          </w:tcPr>
          <w:p w14:paraId="43D32FA7">
            <w:pPr>
              <w:overflowPunct w:val="0"/>
              <w:adjustRightInd w:val="0"/>
              <w:snapToGrid w:val="0"/>
              <w:spacing w:before="36" w:beforeLines="15" w:line="276" w:lineRule="auto"/>
              <w:jc w:val="both"/>
              <w:rPr>
                <w:sz w:val="21"/>
                <w:szCs w:val="18"/>
              </w:rPr>
            </w:pPr>
          </w:p>
        </w:tc>
      </w:tr>
      <w:tr w14:paraId="28F4C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752" w:type="dxa"/>
          </w:tcPr>
          <w:p w14:paraId="516C41FF">
            <w:pPr>
              <w:overflowPunct w:val="0"/>
              <w:adjustRightInd w:val="0"/>
              <w:snapToGrid w:val="0"/>
              <w:spacing w:before="36" w:beforeLines="15" w:line="276" w:lineRule="auto"/>
              <w:jc w:val="both"/>
              <w:rPr>
                <w:sz w:val="18"/>
                <w:szCs w:val="18"/>
              </w:rPr>
            </w:pPr>
          </w:p>
        </w:tc>
        <w:tc>
          <w:tcPr>
            <w:tcW w:w="1216" w:type="dxa"/>
          </w:tcPr>
          <w:p w14:paraId="412CA1DD">
            <w:pPr>
              <w:overflowPunct w:val="0"/>
              <w:adjustRightInd w:val="0"/>
              <w:snapToGrid w:val="0"/>
              <w:spacing w:before="36" w:beforeLines="15" w:line="276" w:lineRule="auto"/>
              <w:jc w:val="both"/>
              <w:rPr>
                <w:sz w:val="18"/>
                <w:szCs w:val="18"/>
              </w:rPr>
            </w:pPr>
          </w:p>
        </w:tc>
        <w:tc>
          <w:tcPr>
            <w:tcW w:w="1277" w:type="dxa"/>
          </w:tcPr>
          <w:p w14:paraId="684A6709">
            <w:pPr>
              <w:overflowPunct w:val="0"/>
              <w:adjustRightInd w:val="0"/>
              <w:snapToGrid w:val="0"/>
              <w:spacing w:before="36" w:beforeLines="15" w:line="276" w:lineRule="auto"/>
              <w:jc w:val="both"/>
              <w:rPr>
                <w:sz w:val="18"/>
                <w:szCs w:val="18"/>
              </w:rPr>
            </w:pPr>
          </w:p>
        </w:tc>
        <w:tc>
          <w:tcPr>
            <w:tcW w:w="1357" w:type="dxa"/>
          </w:tcPr>
          <w:p w14:paraId="095FB69D">
            <w:pPr>
              <w:overflowPunct w:val="0"/>
              <w:adjustRightInd w:val="0"/>
              <w:snapToGrid w:val="0"/>
              <w:spacing w:before="36" w:beforeLines="15" w:line="276" w:lineRule="auto"/>
              <w:jc w:val="both"/>
              <w:rPr>
                <w:sz w:val="18"/>
                <w:szCs w:val="18"/>
              </w:rPr>
            </w:pPr>
          </w:p>
        </w:tc>
        <w:tc>
          <w:tcPr>
            <w:tcW w:w="1337" w:type="dxa"/>
          </w:tcPr>
          <w:p w14:paraId="37ED5F8E">
            <w:pPr>
              <w:overflowPunct w:val="0"/>
              <w:adjustRightInd w:val="0"/>
              <w:snapToGrid w:val="0"/>
              <w:spacing w:before="36" w:beforeLines="15" w:line="276" w:lineRule="auto"/>
              <w:jc w:val="both"/>
              <w:rPr>
                <w:sz w:val="18"/>
                <w:szCs w:val="18"/>
              </w:rPr>
            </w:pPr>
          </w:p>
        </w:tc>
        <w:tc>
          <w:tcPr>
            <w:tcW w:w="1295" w:type="dxa"/>
          </w:tcPr>
          <w:p w14:paraId="28779F1B">
            <w:pPr>
              <w:overflowPunct w:val="0"/>
              <w:adjustRightInd w:val="0"/>
              <w:snapToGrid w:val="0"/>
              <w:spacing w:before="36" w:beforeLines="15" w:line="276" w:lineRule="auto"/>
              <w:jc w:val="both"/>
              <w:rPr>
                <w:sz w:val="18"/>
                <w:szCs w:val="18"/>
              </w:rPr>
            </w:pPr>
          </w:p>
        </w:tc>
        <w:tc>
          <w:tcPr>
            <w:tcW w:w="1196" w:type="dxa"/>
          </w:tcPr>
          <w:p w14:paraId="101FA474">
            <w:pPr>
              <w:overflowPunct w:val="0"/>
              <w:adjustRightInd w:val="0"/>
              <w:snapToGrid w:val="0"/>
              <w:spacing w:before="36" w:beforeLines="15" w:line="276" w:lineRule="auto"/>
              <w:jc w:val="both"/>
              <w:rPr>
                <w:sz w:val="21"/>
                <w:szCs w:val="18"/>
              </w:rPr>
            </w:pPr>
          </w:p>
        </w:tc>
      </w:tr>
      <w:tr w14:paraId="1674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752" w:type="dxa"/>
          </w:tcPr>
          <w:p w14:paraId="50A55B55">
            <w:pPr>
              <w:overflowPunct w:val="0"/>
              <w:adjustRightInd w:val="0"/>
              <w:snapToGrid w:val="0"/>
              <w:spacing w:before="36" w:beforeLines="15" w:line="276" w:lineRule="auto"/>
              <w:jc w:val="both"/>
              <w:rPr>
                <w:sz w:val="18"/>
                <w:szCs w:val="18"/>
              </w:rPr>
            </w:pPr>
          </w:p>
        </w:tc>
        <w:tc>
          <w:tcPr>
            <w:tcW w:w="1216" w:type="dxa"/>
          </w:tcPr>
          <w:p w14:paraId="72ADAB7C">
            <w:pPr>
              <w:overflowPunct w:val="0"/>
              <w:adjustRightInd w:val="0"/>
              <w:snapToGrid w:val="0"/>
              <w:spacing w:before="36" w:beforeLines="15" w:line="276" w:lineRule="auto"/>
              <w:jc w:val="both"/>
              <w:rPr>
                <w:sz w:val="18"/>
                <w:szCs w:val="18"/>
              </w:rPr>
            </w:pPr>
          </w:p>
        </w:tc>
        <w:tc>
          <w:tcPr>
            <w:tcW w:w="1277" w:type="dxa"/>
          </w:tcPr>
          <w:p w14:paraId="0B98AB90">
            <w:pPr>
              <w:overflowPunct w:val="0"/>
              <w:adjustRightInd w:val="0"/>
              <w:snapToGrid w:val="0"/>
              <w:spacing w:before="36" w:beforeLines="15" w:line="276" w:lineRule="auto"/>
              <w:jc w:val="both"/>
              <w:rPr>
                <w:sz w:val="18"/>
                <w:szCs w:val="18"/>
              </w:rPr>
            </w:pPr>
          </w:p>
        </w:tc>
        <w:tc>
          <w:tcPr>
            <w:tcW w:w="1357" w:type="dxa"/>
          </w:tcPr>
          <w:p w14:paraId="7AFA5BFF">
            <w:pPr>
              <w:overflowPunct w:val="0"/>
              <w:adjustRightInd w:val="0"/>
              <w:snapToGrid w:val="0"/>
              <w:spacing w:before="36" w:beforeLines="15" w:line="276" w:lineRule="auto"/>
              <w:jc w:val="both"/>
              <w:rPr>
                <w:sz w:val="18"/>
                <w:szCs w:val="18"/>
              </w:rPr>
            </w:pPr>
          </w:p>
        </w:tc>
        <w:tc>
          <w:tcPr>
            <w:tcW w:w="1337" w:type="dxa"/>
          </w:tcPr>
          <w:p w14:paraId="71A837AD">
            <w:pPr>
              <w:overflowPunct w:val="0"/>
              <w:adjustRightInd w:val="0"/>
              <w:snapToGrid w:val="0"/>
              <w:spacing w:before="36" w:beforeLines="15" w:line="276" w:lineRule="auto"/>
              <w:jc w:val="both"/>
              <w:rPr>
                <w:sz w:val="18"/>
                <w:szCs w:val="18"/>
              </w:rPr>
            </w:pPr>
          </w:p>
        </w:tc>
        <w:tc>
          <w:tcPr>
            <w:tcW w:w="1295" w:type="dxa"/>
          </w:tcPr>
          <w:p w14:paraId="5D6CD35E">
            <w:pPr>
              <w:overflowPunct w:val="0"/>
              <w:adjustRightInd w:val="0"/>
              <w:snapToGrid w:val="0"/>
              <w:spacing w:before="36" w:beforeLines="15" w:line="276" w:lineRule="auto"/>
              <w:jc w:val="both"/>
              <w:rPr>
                <w:sz w:val="18"/>
                <w:szCs w:val="18"/>
              </w:rPr>
            </w:pPr>
          </w:p>
        </w:tc>
        <w:tc>
          <w:tcPr>
            <w:tcW w:w="1196" w:type="dxa"/>
          </w:tcPr>
          <w:p w14:paraId="32F5B02A">
            <w:pPr>
              <w:overflowPunct w:val="0"/>
              <w:adjustRightInd w:val="0"/>
              <w:snapToGrid w:val="0"/>
              <w:spacing w:before="36" w:beforeLines="15" w:line="276" w:lineRule="auto"/>
              <w:jc w:val="both"/>
              <w:rPr>
                <w:sz w:val="21"/>
                <w:szCs w:val="18"/>
              </w:rPr>
            </w:pPr>
          </w:p>
        </w:tc>
      </w:tr>
    </w:tbl>
    <w:p w14:paraId="7D4EDDC7">
      <w:pPr>
        <w:overflowPunct w:val="0"/>
        <w:adjustRightInd w:val="0"/>
        <w:snapToGrid w:val="0"/>
        <w:spacing w:before="36" w:beforeLines="15" w:line="276" w:lineRule="auto"/>
        <w:jc w:val="both"/>
        <w:rPr>
          <w:sz w:val="24"/>
          <w:szCs w:val="24"/>
        </w:rPr>
      </w:pPr>
    </w:p>
    <w:sectPr>
      <w:footerReference r:id="rId11" w:type="default"/>
      <w:pgSz w:w="12220" w:h="15840"/>
      <w:pgMar w:top="1418" w:right="1418" w:bottom="1418" w:left="1418" w:header="709" w:footer="709"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AEC6">
    <w:pPr>
      <w:pStyle w:val="8"/>
      <w:jc w:val="right"/>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959608"/>
      <w:docPartObj>
        <w:docPartGallery w:val="AutoText"/>
      </w:docPartObj>
    </w:sdtPr>
    <w:sdtEndPr>
      <w:rPr>
        <w:sz w:val="21"/>
      </w:rPr>
    </w:sdtEndPr>
    <w:sdtContent>
      <w:p w14:paraId="20633247">
        <w:pPr>
          <w:pStyle w:val="8"/>
          <w:jc w:val="right"/>
          <w:rPr>
            <w:sz w:val="21"/>
          </w:rPr>
        </w:pPr>
        <w:r>
          <w:rPr>
            <w:sz w:val="21"/>
          </w:rPr>
          <w:fldChar w:fldCharType="begin"/>
        </w:r>
        <w:r>
          <w:rPr>
            <w:sz w:val="21"/>
          </w:rPr>
          <w:instrText xml:space="preserve">PAGE   \* MERGEFORMAT</w:instrText>
        </w:r>
        <w:r>
          <w:rPr>
            <w:sz w:val="21"/>
          </w:rPr>
          <w:fldChar w:fldCharType="separate"/>
        </w:r>
        <w:r>
          <w:rPr>
            <w:sz w:val="21"/>
            <w:lang w:val="zh-CN" w:eastAsia="zh-CN"/>
          </w:rPr>
          <w:t>ii</w:t>
        </w:r>
        <w:r>
          <w:rPr>
            <w:sz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061725"/>
      <w:docPartObj>
        <w:docPartGallery w:val="AutoText"/>
      </w:docPartObj>
    </w:sdtPr>
    <w:sdtEndPr>
      <w:rPr>
        <w:sz w:val="21"/>
      </w:rPr>
    </w:sdtEndPr>
    <w:sdtContent>
      <w:p w14:paraId="016431A0">
        <w:pPr>
          <w:pStyle w:val="8"/>
          <w:jc w:val="right"/>
        </w:pPr>
        <w:r>
          <w:rPr>
            <w:sz w:val="21"/>
          </w:rPr>
          <w:fldChar w:fldCharType="begin"/>
        </w:r>
        <w:r>
          <w:rPr>
            <w:sz w:val="21"/>
          </w:rPr>
          <w:instrText xml:space="preserve">PAGE   \* MERGEFORMAT</w:instrText>
        </w:r>
        <w:r>
          <w:rPr>
            <w:sz w:val="21"/>
          </w:rPr>
          <w:fldChar w:fldCharType="separate"/>
        </w:r>
        <w:r>
          <w:rPr>
            <w:sz w:val="21"/>
            <w:lang w:val="zh-CN" w:eastAsia="zh-CN"/>
          </w:rPr>
          <w:t>ii</w:t>
        </w:r>
        <w:r>
          <w:rPr>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0742">
    <w:pPr>
      <w:pStyle w:val="8"/>
      <w:jc w:val="right"/>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8837450"/>
      <w:docPartObj>
        <w:docPartGallery w:val="AutoText"/>
      </w:docPartObj>
    </w:sdtPr>
    <w:sdtEndPr>
      <w:rPr>
        <w:sz w:val="21"/>
      </w:rPr>
    </w:sdtEndPr>
    <w:sdtContent>
      <w:p w14:paraId="0583D413">
        <w:pPr>
          <w:pStyle w:val="8"/>
          <w:jc w:val="right"/>
        </w:pPr>
        <w:r>
          <w:rPr>
            <w:sz w:val="21"/>
          </w:rPr>
          <w:fldChar w:fldCharType="begin"/>
        </w:r>
        <w:r>
          <w:rPr>
            <w:sz w:val="21"/>
          </w:rPr>
          <w:instrText xml:space="preserve">PAGE   \* MERGEFORMAT</w:instrText>
        </w:r>
        <w:r>
          <w:rPr>
            <w:sz w:val="21"/>
          </w:rPr>
          <w:fldChar w:fldCharType="separate"/>
        </w:r>
        <w:r>
          <w:rPr>
            <w:sz w:val="21"/>
            <w:lang w:val="zh-CN" w:eastAsia="zh-CN"/>
          </w:rPr>
          <w:t>1</w:t>
        </w:r>
        <w:r>
          <w:rPr>
            <w:sz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C427">
    <w:pPr>
      <w:pStyle w:val="9"/>
      <w:pBdr>
        <w:bottom w:val="none" w:color="auto" w:sz="0" w:space="0"/>
      </w:pBdr>
      <w:rPr>
        <w:sz w:val="21"/>
      </w:rPr>
    </w:pPr>
    <w:r>
      <w:rPr>
        <w:rFonts w:hint="eastAsia" w:eastAsia="宋体" w:cs="宋体"/>
        <w:b/>
        <w:i/>
        <w:sz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5785">
    <w:pPr>
      <w:pStyle w:val="9"/>
      <w:pBdr>
        <w:bottom w:val="none" w:color="auto" w:sz="0" w:space="0"/>
      </w:pBdr>
      <w:rPr>
        <w:rFonts w:eastAsiaTheme="minorEastAsia"/>
        <w:sz w:val="21"/>
        <w:lang w:eastAsia="zh-CN"/>
      </w:rPr>
    </w:pPr>
    <w:r>
      <w:rPr>
        <w:rFonts w:eastAsia="宋体" w:cs="宋体"/>
        <w:b/>
        <w:i/>
        <w:sz w:val="21"/>
      </w:rPr>
      <w:t>包含非约束性建议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611F">
    <w:pPr>
      <w:pStyle w:val="9"/>
      <w:pBdr>
        <w:bottom w:val="none" w:color="auto" w:sz="0" w:space="0"/>
      </w:pBdr>
      <w:rPr>
        <w:sz w:val="21"/>
      </w:rPr>
    </w:pPr>
    <w:r>
      <w:rPr>
        <w:rFonts w:eastAsia="宋体" w:cs="宋体"/>
        <w:b/>
        <w:i/>
        <w:sz w:val="21"/>
      </w:rPr>
      <w:t>包含非约束性建议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D01F">
    <w:pPr>
      <w:pStyle w:val="9"/>
      <w:pBdr>
        <w:bottom w:val="none" w:color="auto" w:sz="0" w:space="0"/>
      </w:pBdr>
      <w:rPr>
        <w:rFonts w:eastAsiaTheme="minorEastAsia"/>
        <w:sz w:val="21"/>
        <w:lang w:eastAsia="zh-CN"/>
      </w:rPr>
    </w:pPr>
    <w:r>
      <w:rPr>
        <w:rFonts w:eastAsia="宋体" w:cs="宋体"/>
        <w:b/>
        <w:i/>
        <w:sz w:val="21"/>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E0267"/>
    <w:multiLevelType w:val="multilevel"/>
    <w:tmpl w:val="06AE026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D3D2241"/>
    <w:multiLevelType w:val="multilevel"/>
    <w:tmpl w:val="0D3D2241"/>
    <w:lvl w:ilvl="0" w:tentative="0">
      <w:start w:val="0"/>
      <w:numFmt w:val="bullet"/>
      <w:lvlText w:val=""/>
      <w:lvlJc w:val="left"/>
      <w:pPr>
        <w:ind w:left="860" w:hanging="360"/>
      </w:pPr>
      <w:rPr>
        <w:rFonts w:hint="default" w:ascii="Symbol" w:hAnsi="Symbol" w:eastAsia="Symbol" w:cs="Symbol"/>
        <w:w w:val="100"/>
        <w:sz w:val="24"/>
        <w:szCs w:val="24"/>
        <w:lang w:val="en-US" w:eastAsia="en-US" w:bidi="en-US"/>
      </w:rPr>
    </w:lvl>
    <w:lvl w:ilvl="1" w:tentative="0">
      <w:start w:val="0"/>
      <w:numFmt w:val="bullet"/>
      <w:lvlText w:val=""/>
      <w:lvlJc w:val="left"/>
      <w:pPr>
        <w:ind w:left="1580" w:hanging="360"/>
      </w:pPr>
      <w:rPr>
        <w:rFonts w:hint="default" w:ascii="Wingdings" w:hAnsi="Wingdings" w:eastAsia="Wingdings" w:cs="Wingdings"/>
        <w:w w:val="100"/>
        <w:sz w:val="24"/>
        <w:szCs w:val="24"/>
        <w:lang w:val="en-US" w:eastAsia="en-US" w:bidi="en-US"/>
      </w:rPr>
    </w:lvl>
    <w:lvl w:ilvl="2" w:tentative="0">
      <w:start w:val="0"/>
      <w:numFmt w:val="bullet"/>
      <w:lvlText w:val=""/>
      <w:lvlJc w:val="left"/>
      <w:pPr>
        <w:ind w:left="1854" w:hanging="274"/>
      </w:pPr>
      <w:rPr>
        <w:rFonts w:hint="default" w:ascii="Wingdings" w:hAnsi="Wingdings" w:eastAsia="Wingdings" w:cs="Wingdings"/>
        <w:w w:val="100"/>
        <w:sz w:val="24"/>
        <w:szCs w:val="24"/>
        <w:lang w:val="en-US" w:eastAsia="en-US" w:bidi="en-US"/>
      </w:rPr>
    </w:lvl>
    <w:lvl w:ilvl="3" w:tentative="0">
      <w:start w:val="0"/>
      <w:numFmt w:val="bullet"/>
      <w:lvlText w:val="•"/>
      <w:lvlJc w:val="left"/>
      <w:pPr>
        <w:ind w:left="1860" w:hanging="274"/>
      </w:pPr>
      <w:rPr>
        <w:rFonts w:hint="default"/>
        <w:lang w:val="en-US" w:eastAsia="en-US" w:bidi="en-US"/>
      </w:rPr>
    </w:lvl>
    <w:lvl w:ilvl="4" w:tentative="0">
      <w:start w:val="0"/>
      <w:numFmt w:val="bullet"/>
      <w:lvlText w:val="•"/>
      <w:lvlJc w:val="left"/>
      <w:pPr>
        <w:ind w:left="3151" w:hanging="274"/>
      </w:pPr>
      <w:rPr>
        <w:rFonts w:hint="default"/>
        <w:lang w:val="en-US" w:eastAsia="en-US" w:bidi="en-US"/>
      </w:rPr>
    </w:lvl>
    <w:lvl w:ilvl="5" w:tentative="0">
      <w:start w:val="0"/>
      <w:numFmt w:val="bullet"/>
      <w:lvlText w:val="•"/>
      <w:lvlJc w:val="left"/>
      <w:pPr>
        <w:ind w:left="4442" w:hanging="274"/>
      </w:pPr>
      <w:rPr>
        <w:rFonts w:hint="default"/>
        <w:lang w:val="en-US" w:eastAsia="en-US" w:bidi="en-US"/>
      </w:rPr>
    </w:lvl>
    <w:lvl w:ilvl="6" w:tentative="0">
      <w:start w:val="0"/>
      <w:numFmt w:val="bullet"/>
      <w:lvlText w:val="•"/>
      <w:lvlJc w:val="left"/>
      <w:pPr>
        <w:ind w:left="5734" w:hanging="274"/>
      </w:pPr>
      <w:rPr>
        <w:rFonts w:hint="default"/>
        <w:lang w:val="en-US" w:eastAsia="en-US" w:bidi="en-US"/>
      </w:rPr>
    </w:lvl>
    <w:lvl w:ilvl="7" w:tentative="0">
      <w:start w:val="0"/>
      <w:numFmt w:val="bullet"/>
      <w:lvlText w:val="•"/>
      <w:lvlJc w:val="left"/>
      <w:pPr>
        <w:ind w:left="7025" w:hanging="274"/>
      </w:pPr>
      <w:rPr>
        <w:rFonts w:hint="default"/>
        <w:lang w:val="en-US" w:eastAsia="en-US" w:bidi="en-US"/>
      </w:rPr>
    </w:lvl>
    <w:lvl w:ilvl="8" w:tentative="0">
      <w:start w:val="0"/>
      <w:numFmt w:val="bullet"/>
      <w:lvlText w:val="•"/>
      <w:lvlJc w:val="left"/>
      <w:pPr>
        <w:ind w:left="8316" w:hanging="274"/>
      </w:pPr>
      <w:rPr>
        <w:rFonts w:hint="default"/>
        <w:lang w:val="en-US" w:eastAsia="en-US" w:bidi="en-US"/>
      </w:rPr>
    </w:lvl>
  </w:abstractNum>
  <w:abstractNum w:abstractNumId="2">
    <w:nsid w:val="145B15C4"/>
    <w:multiLevelType w:val="multilevel"/>
    <w:tmpl w:val="145B15C4"/>
    <w:lvl w:ilvl="0" w:tentative="0">
      <w:start w:val="1"/>
      <w:numFmt w:val="upperRoman"/>
      <w:lvlText w:val="%1."/>
      <w:lvlJc w:val="left"/>
      <w:pPr>
        <w:ind w:left="420" w:hanging="420"/>
      </w:pPr>
      <w:rPr>
        <w:rFonts w:hint="default" w:ascii="Times New Roman" w:hAnsi="Times New Roman" w:eastAsia="Times New Roman" w:cs="Times New Roman"/>
        <w:spacing w:val="-6"/>
        <w:w w:val="99"/>
        <w:sz w:val="24"/>
        <w:szCs w:val="24"/>
        <w:lang w:val="en-US" w:eastAsia="en-US" w:bidi="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035FFD"/>
    <w:multiLevelType w:val="multilevel"/>
    <w:tmpl w:val="27035FFD"/>
    <w:lvl w:ilvl="0" w:tentative="0">
      <w:start w:val="1"/>
      <w:numFmt w:val="upperRoman"/>
      <w:lvlText w:val="%1."/>
      <w:lvlJc w:val="left"/>
      <w:pPr>
        <w:ind w:left="1018" w:hanging="879"/>
        <w:jc w:val="right"/>
      </w:pPr>
      <w:rPr>
        <w:rFonts w:hint="default" w:ascii="Times New Roman" w:hAnsi="Times New Roman" w:eastAsia="Times New Roman" w:cs="Times New Roman"/>
        <w:b/>
        <w:bCs/>
        <w:spacing w:val="-6"/>
        <w:w w:val="99"/>
        <w:sz w:val="32"/>
        <w:szCs w:val="32"/>
        <w:lang w:val="en-US" w:eastAsia="en-US" w:bidi="en-US"/>
      </w:rPr>
    </w:lvl>
    <w:lvl w:ilvl="1" w:tentative="0">
      <w:start w:val="1"/>
      <w:numFmt w:val="upperLetter"/>
      <w:lvlText w:val="%2."/>
      <w:lvlJc w:val="left"/>
      <w:pPr>
        <w:ind w:left="1400" w:hanging="720"/>
      </w:pPr>
      <w:rPr>
        <w:rFonts w:hint="default" w:ascii="Times New Roman" w:hAnsi="Times New Roman" w:eastAsia="Times New Roman" w:cs="Times New Roman"/>
        <w:b/>
        <w:bCs/>
        <w:spacing w:val="-1"/>
        <w:w w:val="99"/>
        <w:sz w:val="24"/>
        <w:szCs w:val="24"/>
        <w:lang w:val="en-US" w:eastAsia="en-US" w:bidi="en-US"/>
      </w:rPr>
    </w:lvl>
    <w:lvl w:ilvl="2" w:tentative="0">
      <w:start w:val="0"/>
      <w:numFmt w:val="bullet"/>
      <w:lvlText w:val="•"/>
      <w:lvlJc w:val="left"/>
      <w:pPr>
        <w:ind w:left="2455" w:hanging="720"/>
      </w:pPr>
      <w:rPr>
        <w:rFonts w:hint="default"/>
        <w:lang w:val="en-US" w:eastAsia="en-US" w:bidi="en-US"/>
      </w:rPr>
    </w:lvl>
    <w:lvl w:ilvl="3" w:tentative="0">
      <w:start w:val="0"/>
      <w:numFmt w:val="bullet"/>
      <w:lvlText w:val="•"/>
      <w:lvlJc w:val="left"/>
      <w:pPr>
        <w:ind w:left="3511" w:hanging="720"/>
      </w:pPr>
      <w:rPr>
        <w:rFonts w:hint="default"/>
        <w:lang w:val="en-US" w:eastAsia="en-US" w:bidi="en-US"/>
      </w:rPr>
    </w:lvl>
    <w:lvl w:ilvl="4" w:tentative="0">
      <w:start w:val="0"/>
      <w:numFmt w:val="bullet"/>
      <w:lvlText w:val="•"/>
      <w:lvlJc w:val="left"/>
      <w:pPr>
        <w:ind w:left="4566" w:hanging="720"/>
      </w:pPr>
      <w:rPr>
        <w:rFonts w:hint="default"/>
        <w:lang w:val="en-US" w:eastAsia="en-US" w:bidi="en-US"/>
      </w:rPr>
    </w:lvl>
    <w:lvl w:ilvl="5" w:tentative="0">
      <w:start w:val="0"/>
      <w:numFmt w:val="bullet"/>
      <w:lvlText w:val="•"/>
      <w:lvlJc w:val="left"/>
      <w:pPr>
        <w:ind w:left="5622" w:hanging="720"/>
      </w:pPr>
      <w:rPr>
        <w:rFonts w:hint="default"/>
        <w:lang w:val="en-US" w:eastAsia="en-US" w:bidi="en-US"/>
      </w:rPr>
    </w:lvl>
    <w:lvl w:ilvl="6" w:tentative="0">
      <w:start w:val="0"/>
      <w:numFmt w:val="bullet"/>
      <w:lvlText w:val="•"/>
      <w:lvlJc w:val="left"/>
      <w:pPr>
        <w:ind w:left="6677" w:hanging="720"/>
      </w:pPr>
      <w:rPr>
        <w:rFonts w:hint="default"/>
        <w:lang w:val="en-US" w:eastAsia="en-US" w:bidi="en-US"/>
      </w:rPr>
    </w:lvl>
    <w:lvl w:ilvl="7" w:tentative="0">
      <w:start w:val="0"/>
      <w:numFmt w:val="bullet"/>
      <w:lvlText w:val="•"/>
      <w:lvlJc w:val="left"/>
      <w:pPr>
        <w:ind w:left="7733" w:hanging="720"/>
      </w:pPr>
      <w:rPr>
        <w:rFonts w:hint="default"/>
        <w:lang w:val="en-US" w:eastAsia="en-US" w:bidi="en-US"/>
      </w:rPr>
    </w:lvl>
    <w:lvl w:ilvl="8" w:tentative="0">
      <w:start w:val="0"/>
      <w:numFmt w:val="bullet"/>
      <w:lvlText w:val="•"/>
      <w:lvlJc w:val="left"/>
      <w:pPr>
        <w:ind w:left="8788" w:hanging="720"/>
      </w:pPr>
      <w:rPr>
        <w:rFonts w:hint="default"/>
        <w:lang w:val="en-US" w:eastAsia="en-US" w:bidi="en-US"/>
      </w:rPr>
    </w:lvl>
  </w:abstractNum>
  <w:abstractNum w:abstractNumId="4">
    <w:nsid w:val="32F8067B"/>
    <w:multiLevelType w:val="multilevel"/>
    <w:tmpl w:val="32F8067B"/>
    <w:lvl w:ilvl="0" w:tentative="0">
      <w:start w:val="1"/>
      <w:numFmt w:val="bullet"/>
      <w:lvlText w:val=""/>
      <w:lvlJc w:val="left"/>
      <w:pPr>
        <w:ind w:left="860" w:hanging="360"/>
      </w:pPr>
      <w:rPr>
        <w:rFonts w:hint="default" w:ascii="Wingdings" w:hAnsi="Wingdings"/>
        <w:w w:val="100"/>
        <w:sz w:val="24"/>
        <w:szCs w:val="24"/>
        <w:lang w:val="en-US" w:eastAsia="en-US" w:bidi="en-US"/>
      </w:rPr>
    </w:lvl>
    <w:lvl w:ilvl="1" w:tentative="0">
      <w:start w:val="0"/>
      <w:numFmt w:val="bullet"/>
      <w:lvlText w:val="•"/>
      <w:lvlJc w:val="left"/>
      <w:pPr>
        <w:ind w:left="1863" w:hanging="360"/>
      </w:pPr>
      <w:rPr>
        <w:rFonts w:hint="default"/>
        <w:lang w:val="en-US" w:eastAsia="en-US" w:bidi="en-US"/>
      </w:rPr>
    </w:lvl>
    <w:lvl w:ilvl="2" w:tentative="0">
      <w:start w:val="0"/>
      <w:numFmt w:val="bullet"/>
      <w:lvlText w:val="•"/>
      <w:lvlJc w:val="left"/>
      <w:pPr>
        <w:ind w:left="2867" w:hanging="360"/>
      </w:pPr>
      <w:rPr>
        <w:rFonts w:hint="default"/>
        <w:lang w:val="en-US" w:eastAsia="en-US" w:bidi="en-US"/>
      </w:rPr>
    </w:lvl>
    <w:lvl w:ilvl="3" w:tentative="0">
      <w:start w:val="0"/>
      <w:numFmt w:val="bullet"/>
      <w:lvlText w:val="•"/>
      <w:lvlJc w:val="left"/>
      <w:pPr>
        <w:ind w:left="3871" w:hanging="360"/>
      </w:pPr>
      <w:rPr>
        <w:rFonts w:hint="default"/>
        <w:lang w:val="en-US" w:eastAsia="en-US" w:bidi="en-US"/>
      </w:rPr>
    </w:lvl>
    <w:lvl w:ilvl="4" w:tentative="0">
      <w:start w:val="0"/>
      <w:numFmt w:val="bullet"/>
      <w:lvlText w:val="•"/>
      <w:lvlJc w:val="left"/>
      <w:pPr>
        <w:ind w:left="4875" w:hanging="360"/>
      </w:pPr>
      <w:rPr>
        <w:rFonts w:hint="default"/>
        <w:lang w:val="en-US" w:eastAsia="en-US" w:bidi="en-US"/>
      </w:rPr>
    </w:lvl>
    <w:lvl w:ilvl="5" w:tentative="0">
      <w:start w:val="0"/>
      <w:numFmt w:val="bullet"/>
      <w:lvlText w:val="•"/>
      <w:lvlJc w:val="left"/>
      <w:pPr>
        <w:ind w:left="5879" w:hanging="360"/>
      </w:pPr>
      <w:rPr>
        <w:rFonts w:hint="default"/>
        <w:lang w:val="en-US" w:eastAsia="en-US" w:bidi="en-US"/>
      </w:rPr>
    </w:lvl>
    <w:lvl w:ilvl="6" w:tentative="0">
      <w:start w:val="0"/>
      <w:numFmt w:val="bullet"/>
      <w:lvlText w:val="•"/>
      <w:lvlJc w:val="left"/>
      <w:pPr>
        <w:ind w:left="6883" w:hanging="360"/>
      </w:pPr>
      <w:rPr>
        <w:rFonts w:hint="default"/>
        <w:lang w:val="en-US" w:eastAsia="en-US" w:bidi="en-US"/>
      </w:rPr>
    </w:lvl>
    <w:lvl w:ilvl="7" w:tentative="0">
      <w:start w:val="0"/>
      <w:numFmt w:val="bullet"/>
      <w:lvlText w:val="•"/>
      <w:lvlJc w:val="left"/>
      <w:pPr>
        <w:ind w:left="7887" w:hanging="360"/>
      </w:pPr>
      <w:rPr>
        <w:rFonts w:hint="default"/>
        <w:lang w:val="en-US" w:eastAsia="en-US" w:bidi="en-US"/>
      </w:rPr>
    </w:lvl>
    <w:lvl w:ilvl="8" w:tentative="0">
      <w:start w:val="0"/>
      <w:numFmt w:val="bullet"/>
      <w:lvlText w:val="•"/>
      <w:lvlJc w:val="left"/>
      <w:pPr>
        <w:ind w:left="8891" w:hanging="360"/>
      </w:pPr>
      <w:rPr>
        <w:rFonts w:hint="default"/>
        <w:lang w:val="en-US" w:eastAsia="en-US" w:bidi="en-US"/>
      </w:rPr>
    </w:lvl>
  </w:abstractNum>
  <w:abstractNum w:abstractNumId="5">
    <w:nsid w:val="331F7661"/>
    <w:multiLevelType w:val="multilevel"/>
    <w:tmpl w:val="331F7661"/>
    <w:lvl w:ilvl="0" w:tentative="0">
      <w:start w:val="1"/>
      <w:numFmt w:val="bullet"/>
      <w:lvlText w:val=""/>
      <w:lvlJc w:val="left"/>
      <w:pPr>
        <w:ind w:left="860" w:hanging="360"/>
      </w:pPr>
      <w:rPr>
        <w:rFonts w:hint="default" w:ascii="Wingdings" w:hAnsi="Wingdings"/>
        <w:w w:val="100"/>
        <w:sz w:val="24"/>
        <w:szCs w:val="24"/>
        <w:lang w:val="en-US" w:eastAsia="en-US" w:bidi="en-US"/>
      </w:rPr>
    </w:lvl>
    <w:lvl w:ilvl="1" w:tentative="0">
      <w:start w:val="0"/>
      <w:numFmt w:val="bullet"/>
      <w:lvlText w:val=""/>
      <w:lvlJc w:val="left"/>
      <w:pPr>
        <w:ind w:left="1580" w:hanging="360"/>
      </w:pPr>
      <w:rPr>
        <w:rFonts w:hint="default" w:ascii="Wingdings" w:hAnsi="Wingdings" w:eastAsia="Wingdings" w:cs="Wingdings"/>
        <w:w w:val="100"/>
        <w:sz w:val="24"/>
        <w:szCs w:val="24"/>
        <w:lang w:val="en-US" w:eastAsia="en-US" w:bidi="en-US"/>
      </w:rPr>
    </w:lvl>
    <w:lvl w:ilvl="2" w:tentative="0">
      <w:start w:val="0"/>
      <w:numFmt w:val="bullet"/>
      <w:lvlText w:val=""/>
      <w:lvlJc w:val="left"/>
      <w:pPr>
        <w:ind w:left="1854" w:hanging="274"/>
      </w:pPr>
      <w:rPr>
        <w:rFonts w:hint="default" w:ascii="Wingdings" w:hAnsi="Wingdings" w:eastAsia="Wingdings" w:cs="Wingdings"/>
        <w:w w:val="100"/>
        <w:sz w:val="24"/>
        <w:szCs w:val="24"/>
        <w:lang w:val="en-US" w:eastAsia="en-US" w:bidi="en-US"/>
      </w:rPr>
    </w:lvl>
    <w:lvl w:ilvl="3" w:tentative="0">
      <w:start w:val="0"/>
      <w:numFmt w:val="bullet"/>
      <w:lvlText w:val="•"/>
      <w:lvlJc w:val="left"/>
      <w:pPr>
        <w:ind w:left="1860" w:hanging="274"/>
      </w:pPr>
      <w:rPr>
        <w:rFonts w:hint="default"/>
        <w:lang w:val="en-US" w:eastAsia="en-US" w:bidi="en-US"/>
      </w:rPr>
    </w:lvl>
    <w:lvl w:ilvl="4" w:tentative="0">
      <w:start w:val="0"/>
      <w:numFmt w:val="bullet"/>
      <w:lvlText w:val="•"/>
      <w:lvlJc w:val="left"/>
      <w:pPr>
        <w:ind w:left="3151" w:hanging="274"/>
      </w:pPr>
      <w:rPr>
        <w:rFonts w:hint="default"/>
        <w:lang w:val="en-US" w:eastAsia="en-US" w:bidi="en-US"/>
      </w:rPr>
    </w:lvl>
    <w:lvl w:ilvl="5" w:tentative="0">
      <w:start w:val="0"/>
      <w:numFmt w:val="bullet"/>
      <w:lvlText w:val="•"/>
      <w:lvlJc w:val="left"/>
      <w:pPr>
        <w:ind w:left="4442" w:hanging="274"/>
      </w:pPr>
      <w:rPr>
        <w:rFonts w:hint="default"/>
        <w:lang w:val="en-US" w:eastAsia="en-US" w:bidi="en-US"/>
      </w:rPr>
    </w:lvl>
    <w:lvl w:ilvl="6" w:tentative="0">
      <w:start w:val="0"/>
      <w:numFmt w:val="bullet"/>
      <w:lvlText w:val="•"/>
      <w:lvlJc w:val="left"/>
      <w:pPr>
        <w:ind w:left="5734" w:hanging="274"/>
      </w:pPr>
      <w:rPr>
        <w:rFonts w:hint="default"/>
        <w:lang w:val="en-US" w:eastAsia="en-US" w:bidi="en-US"/>
      </w:rPr>
    </w:lvl>
    <w:lvl w:ilvl="7" w:tentative="0">
      <w:start w:val="0"/>
      <w:numFmt w:val="bullet"/>
      <w:lvlText w:val="•"/>
      <w:lvlJc w:val="left"/>
      <w:pPr>
        <w:ind w:left="7025" w:hanging="274"/>
      </w:pPr>
      <w:rPr>
        <w:rFonts w:hint="default"/>
        <w:lang w:val="en-US" w:eastAsia="en-US" w:bidi="en-US"/>
      </w:rPr>
    </w:lvl>
    <w:lvl w:ilvl="8" w:tentative="0">
      <w:start w:val="0"/>
      <w:numFmt w:val="bullet"/>
      <w:lvlText w:val="•"/>
      <w:lvlJc w:val="left"/>
      <w:pPr>
        <w:ind w:left="8316" w:hanging="274"/>
      </w:pPr>
      <w:rPr>
        <w:rFonts w:hint="default"/>
        <w:lang w:val="en-US" w:eastAsia="en-US" w:bidi="en-US"/>
      </w:rPr>
    </w:lvl>
  </w:abstractNum>
  <w:abstractNum w:abstractNumId="6">
    <w:nsid w:val="37EF1B49"/>
    <w:multiLevelType w:val="multilevel"/>
    <w:tmpl w:val="37EF1B49"/>
    <w:lvl w:ilvl="0" w:tentative="0">
      <w:start w:val="1"/>
      <w:numFmt w:val="bullet"/>
      <w:lvlText w:val=""/>
      <w:lvlJc w:val="left"/>
      <w:pPr>
        <w:ind w:left="860" w:hanging="360"/>
      </w:pPr>
      <w:rPr>
        <w:rFonts w:hint="default" w:ascii="Wingdings" w:hAnsi="Wingdings"/>
        <w:w w:val="100"/>
        <w:sz w:val="24"/>
        <w:szCs w:val="24"/>
        <w:lang w:val="en-US" w:eastAsia="en-US" w:bidi="en-US"/>
      </w:rPr>
    </w:lvl>
    <w:lvl w:ilvl="1" w:tentative="0">
      <w:start w:val="0"/>
      <w:numFmt w:val="bullet"/>
      <w:lvlText w:val="•"/>
      <w:lvlJc w:val="left"/>
      <w:pPr>
        <w:ind w:left="1863" w:hanging="360"/>
      </w:pPr>
      <w:rPr>
        <w:rFonts w:hint="default"/>
        <w:lang w:val="en-US" w:eastAsia="en-US" w:bidi="en-US"/>
      </w:rPr>
    </w:lvl>
    <w:lvl w:ilvl="2" w:tentative="0">
      <w:start w:val="0"/>
      <w:numFmt w:val="bullet"/>
      <w:lvlText w:val="•"/>
      <w:lvlJc w:val="left"/>
      <w:pPr>
        <w:ind w:left="2867" w:hanging="360"/>
      </w:pPr>
      <w:rPr>
        <w:rFonts w:hint="default"/>
        <w:lang w:val="en-US" w:eastAsia="en-US" w:bidi="en-US"/>
      </w:rPr>
    </w:lvl>
    <w:lvl w:ilvl="3" w:tentative="0">
      <w:start w:val="0"/>
      <w:numFmt w:val="bullet"/>
      <w:lvlText w:val="•"/>
      <w:lvlJc w:val="left"/>
      <w:pPr>
        <w:ind w:left="3871" w:hanging="360"/>
      </w:pPr>
      <w:rPr>
        <w:rFonts w:hint="default"/>
        <w:lang w:val="en-US" w:eastAsia="en-US" w:bidi="en-US"/>
      </w:rPr>
    </w:lvl>
    <w:lvl w:ilvl="4" w:tentative="0">
      <w:start w:val="0"/>
      <w:numFmt w:val="bullet"/>
      <w:lvlText w:val="•"/>
      <w:lvlJc w:val="left"/>
      <w:pPr>
        <w:ind w:left="4875" w:hanging="360"/>
      </w:pPr>
      <w:rPr>
        <w:rFonts w:hint="default"/>
        <w:lang w:val="en-US" w:eastAsia="en-US" w:bidi="en-US"/>
      </w:rPr>
    </w:lvl>
    <w:lvl w:ilvl="5" w:tentative="0">
      <w:start w:val="0"/>
      <w:numFmt w:val="bullet"/>
      <w:lvlText w:val="•"/>
      <w:lvlJc w:val="left"/>
      <w:pPr>
        <w:ind w:left="5879" w:hanging="360"/>
      </w:pPr>
      <w:rPr>
        <w:rFonts w:hint="default"/>
        <w:lang w:val="en-US" w:eastAsia="en-US" w:bidi="en-US"/>
      </w:rPr>
    </w:lvl>
    <w:lvl w:ilvl="6" w:tentative="0">
      <w:start w:val="0"/>
      <w:numFmt w:val="bullet"/>
      <w:lvlText w:val="•"/>
      <w:lvlJc w:val="left"/>
      <w:pPr>
        <w:ind w:left="6883" w:hanging="360"/>
      </w:pPr>
      <w:rPr>
        <w:rFonts w:hint="default"/>
        <w:lang w:val="en-US" w:eastAsia="en-US" w:bidi="en-US"/>
      </w:rPr>
    </w:lvl>
    <w:lvl w:ilvl="7" w:tentative="0">
      <w:start w:val="0"/>
      <w:numFmt w:val="bullet"/>
      <w:lvlText w:val="•"/>
      <w:lvlJc w:val="left"/>
      <w:pPr>
        <w:ind w:left="7887" w:hanging="360"/>
      </w:pPr>
      <w:rPr>
        <w:rFonts w:hint="default"/>
        <w:lang w:val="en-US" w:eastAsia="en-US" w:bidi="en-US"/>
      </w:rPr>
    </w:lvl>
    <w:lvl w:ilvl="8" w:tentative="0">
      <w:start w:val="0"/>
      <w:numFmt w:val="bullet"/>
      <w:lvlText w:val="•"/>
      <w:lvlJc w:val="left"/>
      <w:pPr>
        <w:ind w:left="8891" w:hanging="360"/>
      </w:pPr>
      <w:rPr>
        <w:rFonts w:hint="default"/>
        <w:lang w:val="en-US" w:eastAsia="en-US" w:bidi="en-US"/>
      </w:rPr>
    </w:lvl>
  </w:abstractNum>
  <w:abstractNum w:abstractNumId="7">
    <w:nsid w:val="3CF37313"/>
    <w:multiLevelType w:val="multilevel"/>
    <w:tmpl w:val="3CF37313"/>
    <w:lvl w:ilvl="0" w:tentative="0">
      <w:start w:val="1"/>
      <w:numFmt w:val="bullet"/>
      <w:lvlText w:val=""/>
      <w:lvlJc w:val="left"/>
      <w:pPr>
        <w:ind w:left="860" w:hanging="360"/>
      </w:pPr>
      <w:rPr>
        <w:rFonts w:hint="default" w:ascii="Wingdings" w:hAnsi="Wingdings"/>
        <w:w w:val="100"/>
        <w:sz w:val="24"/>
        <w:szCs w:val="24"/>
        <w:lang w:val="en-US" w:eastAsia="en-US" w:bidi="en-US"/>
      </w:rPr>
    </w:lvl>
    <w:lvl w:ilvl="1" w:tentative="0">
      <w:start w:val="0"/>
      <w:numFmt w:val="bullet"/>
      <w:lvlText w:val="•"/>
      <w:lvlJc w:val="left"/>
      <w:pPr>
        <w:ind w:left="1863" w:hanging="360"/>
      </w:pPr>
      <w:rPr>
        <w:rFonts w:hint="default"/>
        <w:lang w:val="en-US" w:eastAsia="en-US" w:bidi="en-US"/>
      </w:rPr>
    </w:lvl>
    <w:lvl w:ilvl="2" w:tentative="0">
      <w:start w:val="0"/>
      <w:numFmt w:val="bullet"/>
      <w:lvlText w:val="•"/>
      <w:lvlJc w:val="left"/>
      <w:pPr>
        <w:ind w:left="2867" w:hanging="360"/>
      </w:pPr>
      <w:rPr>
        <w:rFonts w:hint="default"/>
        <w:lang w:val="en-US" w:eastAsia="en-US" w:bidi="en-US"/>
      </w:rPr>
    </w:lvl>
    <w:lvl w:ilvl="3" w:tentative="0">
      <w:start w:val="0"/>
      <w:numFmt w:val="bullet"/>
      <w:lvlText w:val="•"/>
      <w:lvlJc w:val="left"/>
      <w:pPr>
        <w:ind w:left="3871" w:hanging="360"/>
      </w:pPr>
      <w:rPr>
        <w:rFonts w:hint="default"/>
        <w:lang w:val="en-US" w:eastAsia="en-US" w:bidi="en-US"/>
      </w:rPr>
    </w:lvl>
    <w:lvl w:ilvl="4" w:tentative="0">
      <w:start w:val="0"/>
      <w:numFmt w:val="bullet"/>
      <w:lvlText w:val="•"/>
      <w:lvlJc w:val="left"/>
      <w:pPr>
        <w:ind w:left="4875" w:hanging="360"/>
      </w:pPr>
      <w:rPr>
        <w:rFonts w:hint="default"/>
        <w:lang w:val="en-US" w:eastAsia="en-US" w:bidi="en-US"/>
      </w:rPr>
    </w:lvl>
    <w:lvl w:ilvl="5" w:tentative="0">
      <w:start w:val="0"/>
      <w:numFmt w:val="bullet"/>
      <w:lvlText w:val="•"/>
      <w:lvlJc w:val="left"/>
      <w:pPr>
        <w:ind w:left="5879" w:hanging="360"/>
      </w:pPr>
      <w:rPr>
        <w:rFonts w:hint="default"/>
        <w:lang w:val="en-US" w:eastAsia="en-US" w:bidi="en-US"/>
      </w:rPr>
    </w:lvl>
    <w:lvl w:ilvl="6" w:tentative="0">
      <w:start w:val="0"/>
      <w:numFmt w:val="bullet"/>
      <w:lvlText w:val="•"/>
      <w:lvlJc w:val="left"/>
      <w:pPr>
        <w:ind w:left="6883" w:hanging="360"/>
      </w:pPr>
      <w:rPr>
        <w:rFonts w:hint="default"/>
        <w:lang w:val="en-US" w:eastAsia="en-US" w:bidi="en-US"/>
      </w:rPr>
    </w:lvl>
    <w:lvl w:ilvl="7" w:tentative="0">
      <w:start w:val="0"/>
      <w:numFmt w:val="bullet"/>
      <w:lvlText w:val="•"/>
      <w:lvlJc w:val="left"/>
      <w:pPr>
        <w:ind w:left="7887" w:hanging="360"/>
      </w:pPr>
      <w:rPr>
        <w:rFonts w:hint="default"/>
        <w:lang w:val="en-US" w:eastAsia="en-US" w:bidi="en-US"/>
      </w:rPr>
    </w:lvl>
    <w:lvl w:ilvl="8" w:tentative="0">
      <w:start w:val="0"/>
      <w:numFmt w:val="bullet"/>
      <w:lvlText w:val="•"/>
      <w:lvlJc w:val="left"/>
      <w:pPr>
        <w:ind w:left="8891" w:hanging="360"/>
      </w:pPr>
      <w:rPr>
        <w:rFonts w:hint="default"/>
        <w:lang w:val="en-US" w:eastAsia="en-US" w:bidi="en-US"/>
      </w:rPr>
    </w:lvl>
  </w:abstractNum>
  <w:abstractNum w:abstractNumId="8">
    <w:nsid w:val="3F096B4F"/>
    <w:multiLevelType w:val="multilevel"/>
    <w:tmpl w:val="3F096B4F"/>
    <w:lvl w:ilvl="0" w:tentative="0">
      <w:start w:val="1"/>
      <w:numFmt w:val="bullet"/>
      <w:lvlText w:val=""/>
      <w:lvlJc w:val="left"/>
      <w:pPr>
        <w:ind w:left="860" w:hanging="360"/>
      </w:pPr>
      <w:rPr>
        <w:rFonts w:hint="default" w:ascii="Wingdings" w:hAnsi="Wingdings"/>
        <w:w w:val="100"/>
        <w:sz w:val="24"/>
        <w:szCs w:val="24"/>
        <w:lang w:val="en-US" w:eastAsia="en-US" w:bidi="en-US"/>
      </w:rPr>
    </w:lvl>
    <w:lvl w:ilvl="1" w:tentative="0">
      <w:start w:val="0"/>
      <w:numFmt w:val="bullet"/>
      <w:lvlText w:val=""/>
      <w:lvlJc w:val="left"/>
      <w:pPr>
        <w:ind w:left="1580" w:hanging="360"/>
      </w:pPr>
      <w:rPr>
        <w:rFonts w:hint="default" w:ascii="Wingdings" w:hAnsi="Wingdings" w:eastAsia="Wingdings" w:cs="Wingdings"/>
        <w:w w:val="100"/>
        <w:sz w:val="24"/>
        <w:szCs w:val="24"/>
        <w:lang w:val="en-US" w:eastAsia="en-US" w:bidi="en-US"/>
      </w:rPr>
    </w:lvl>
    <w:lvl w:ilvl="2" w:tentative="0">
      <w:start w:val="0"/>
      <w:numFmt w:val="bullet"/>
      <w:lvlText w:val=""/>
      <w:lvlJc w:val="left"/>
      <w:pPr>
        <w:ind w:left="1854" w:hanging="274"/>
      </w:pPr>
      <w:rPr>
        <w:rFonts w:hint="default" w:ascii="Wingdings" w:hAnsi="Wingdings" w:eastAsia="Wingdings" w:cs="Wingdings"/>
        <w:w w:val="100"/>
        <w:sz w:val="24"/>
        <w:szCs w:val="24"/>
        <w:lang w:val="en-US" w:eastAsia="en-US" w:bidi="en-US"/>
      </w:rPr>
    </w:lvl>
    <w:lvl w:ilvl="3" w:tentative="0">
      <w:start w:val="0"/>
      <w:numFmt w:val="bullet"/>
      <w:lvlText w:val="•"/>
      <w:lvlJc w:val="left"/>
      <w:pPr>
        <w:ind w:left="1860" w:hanging="274"/>
      </w:pPr>
      <w:rPr>
        <w:rFonts w:hint="default"/>
        <w:lang w:val="en-US" w:eastAsia="en-US" w:bidi="en-US"/>
      </w:rPr>
    </w:lvl>
    <w:lvl w:ilvl="4" w:tentative="0">
      <w:start w:val="0"/>
      <w:numFmt w:val="bullet"/>
      <w:lvlText w:val="•"/>
      <w:lvlJc w:val="left"/>
      <w:pPr>
        <w:ind w:left="3151" w:hanging="274"/>
      </w:pPr>
      <w:rPr>
        <w:rFonts w:hint="default"/>
        <w:lang w:val="en-US" w:eastAsia="en-US" w:bidi="en-US"/>
      </w:rPr>
    </w:lvl>
    <w:lvl w:ilvl="5" w:tentative="0">
      <w:start w:val="0"/>
      <w:numFmt w:val="bullet"/>
      <w:lvlText w:val="•"/>
      <w:lvlJc w:val="left"/>
      <w:pPr>
        <w:ind w:left="4442" w:hanging="274"/>
      </w:pPr>
      <w:rPr>
        <w:rFonts w:hint="default"/>
        <w:lang w:val="en-US" w:eastAsia="en-US" w:bidi="en-US"/>
      </w:rPr>
    </w:lvl>
    <w:lvl w:ilvl="6" w:tentative="0">
      <w:start w:val="0"/>
      <w:numFmt w:val="bullet"/>
      <w:lvlText w:val="•"/>
      <w:lvlJc w:val="left"/>
      <w:pPr>
        <w:ind w:left="5734" w:hanging="274"/>
      </w:pPr>
      <w:rPr>
        <w:rFonts w:hint="default"/>
        <w:lang w:val="en-US" w:eastAsia="en-US" w:bidi="en-US"/>
      </w:rPr>
    </w:lvl>
    <w:lvl w:ilvl="7" w:tentative="0">
      <w:start w:val="0"/>
      <w:numFmt w:val="bullet"/>
      <w:lvlText w:val="•"/>
      <w:lvlJc w:val="left"/>
      <w:pPr>
        <w:ind w:left="7025" w:hanging="274"/>
      </w:pPr>
      <w:rPr>
        <w:rFonts w:hint="default"/>
        <w:lang w:val="en-US" w:eastAsia="en-US" w:bidi="en-US"/>
      </w:rPr>
    </w:lvl>
    <w:lvl w:ilvl="8" w:tentative="0">
      <w:start w:val="0"/>
      <w:numFmt w:val="bullet"/>
      <w:lvlText w:val="•"/>
      <w:lvlJc w:val="left"/>
      <w:pPr>
        <w:ind w:left="8316" w:hanging="274"/>
      </w:pPr>
      <w:rPr>
        <w:rFonts w:hint="default"/>
        <w:lang w:val="en-US" w:eastAsia="en-US" w:bidi="en-US"/>
      </w:rPr>
    </w:lvl>
  </w:abstractNum>
  <w:abstractNum w:abstractNumId="9">
    <w:nsid w:val="4B610AB8"/>
    <w:multiLevelType w:val="multilevel"/>
    <w:tmpl w:val="4B610A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689A3ADA"/>
    <w:multiLevelType w:val="multilevel"/>
    <w:tmpl w:val="689A3AD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2C7ADD"/>
    <w:multiLevelType w:val="multilevel"/>
    <w:tmpl w:val="692C7AD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7C4657A0"/>
    <w:multiLevelType w:val="multilevel"/>
    <w:tmpl w:val="7C4657A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3"/>
  </w:num>
  <w:num w:numId="3">
    <w:abstractNumId w:val="11"/>
  </w:num>
  <w:num w:numId="4">
    <w:abstractNumId w:val="9"/>
  </w:num>
  <w:num w:numId="5">
    <w:abstractNumId w:val="0"/>
  </w:num>
  <w:num w:numId="6">
    <w:abstractNumId w:val="12"/>
  </w:num>
  <w:num w:numId="7">
    <w:abstractNumId w:val="10"/>
  </w:num>
  <w:num w:numId="8">
    <w:abstractNumId w:val="4"/>
  </w:num>
  <w:num w:numId="9">
    <w:abstractNumId w:val="6"/>
  </w:num>
  <w:num w:numId="10">
    <w:abstractNumId w:val="7"/>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D9"/>
    <w:rsid w:val="0000116D"/>
    <w:rsid w:val="00011C42"/>
    <w:rsid w:val="00012D6F"/>
    <w:rsid w:val="00030AD8"/>
    <w:rsid w:val="00034FF1"/>
    <w:rsid w:val="000549A0"/>
    <w:rsid w:val="000836D3"/>
    <w:rsid w:val="00086F8A"/>
    <w:rsid w:val="000A1AA4"/>
    <w:rsid w:val="000A4AB8"/>
    <w:rsid w:val="000D1637"/>
    <w:rsid w:val="000E7CBE"/>
    <w:rsid w:val="000F19FD"/>
    <w:rsid w:val="000F2933"/>
    <w:rsid w:val="00104BD2"/>
    <w:rsid w:val="00165F12"/>
    <w:rsid w:val="00195233"/>
    <w:rsid w:val="001967D9"/>
    <w:rsid w:val="001D6CE2"/>
    <w:rsid w:val="001E3D85"/>
    <w:rsid w:val="001E511E"/>
    <w:rsid w:val="00220DCC"/>
    <w:rsid w:val="00242ACC"/>
    <w:rsid w:val="00251B8A"/>
    <w:rsid w:val="002536D3"/>
    <w:rsid w:val="00257CC2"/>
    <w:rsid w:val="00280573"/>
    <w:rsid w:val="002810FD"/>
    <w:rsid w:val="002A28D6"/>
    <w:rsid w:val="002F0C1D"/>
    <w:rsid w:val="0030666D"/>
    <w:rsid w:val="003554EB"/>
    <w:rsid w:val="003703AF"/>
    <w:rsid w:val="00393AAB"/>
    <w:rsid w:val="0039515C"/>
    <w:rsid w:val="003C5A8B"/>
    <w:rsid w:val="003E60E0"/>
    <w:rsid w:val="00406069"/>
    <w:rsid w:val="00412236"/>
    <w:rsid w:val="00441BF9"/>
    <w:rsid w:val="0046159D"/>
    <w:rsid w:val="00476471"/>
    <w:rsid w:val="00485015"/>
    <w:rsid w:val="00495239"/>
    <w:rsid w:val="004B60D5"/>
    <w:rsid w:val="004C50AA"/>
    <w:rsid w:val="004E1CD1"/>
    <w:rsid w:val="004F0716"/>
    <w:rsid w:val="00552BA6"/>
    <w:rsid w:val="00556DB4"/>
    <w:rsid w:val="005654E7"/>
    <w:rsid w:val="0057553A"/>
    <w:rsid w:val="005D5125"/>
    <w:rsid w:val="005D5126"/>
    <w:rsid w:val="005F7B9D"/>
    <w:rsid w:val="00623F6B"/>
    <w:rsid w:val="0064233D"/>
    <w:rsid w:val="006860F4"/>
    <w:rsid w:val="006A1805"/>
    <w:rsid w:val="006A5C81"/>
    <w:rsid w:val="006A7A75"/>
    <w:rsid w:val="006B5BB6"/>
    <w:rsid w:val="007246DB"/>
    <w:rsid w:val="00733812"/>
    <w:rsid w:val="007353CF"/>
    <w:rsid w:val="007521B2"/>
    <w:rsid w:val="00752488"/>
    <w:rsid w:val="00757E11"/>
    <w:rsid w:val="00761667"/>
    <w:rsid w:val="0077771F"/>
    <w:rsid w:val="007E0CC1"/>
    <w:rsid w:val="007F0701"/>
    <w:rsid w:val="0081040B"/>
    <w:rsid w:val="00831EE0"/>
    <w:rsid w:val="008376A4"/>
    <w:rsid w:val="00873B37"/>
    <w:rsid w:val="0087765A"/>
    <w:rsid w:val="00893C23"/>
    <w:rsid w:val="008A19E0"/>
    <w:rsid w:val="008A37DF"/>
    <w:rsid w:val="008A4374"/>
    <w:rsid w:val="008E304D"/>
    <w:rsid w:val="008F31C3"/>
    <w:rsid w:val="008F44C5"/>
    <w:rsid w:val="0094626C"/>
    <w:rsid w:val="0095282B"/>
    <w:rsid w:val="00964354"/>
    <w:rsid w:val="00982E9C"/>
    <w:rsid w:val="009856EF"/>
    <w:rsid w:val="009F0427"/>
    <w:rsid w:val="00A022CC"/>
    <w:rsid w:val="00A4354D"/>
    <w:rsid w:val="00A4509B"/>
    <w:rsid w:val="00A6156A"/>
    <w:rsid w:val="00A86B5C"/>
    <w:rsid w:val="00AB4C14"/>
    <w:rsid w:val="00AB7626"/>
    <w:rsid w:val="00B1108A"/>
    <w:rsid w:val="00B15539"/>
    <w:rsid w:val="00B209DC"/>
    <w:rsid w:val="00B24DF8"/>
    <w:rsid w:val="00B513C8"/>
    <w:rsid w:val="00B5278A"/>
    <w:rsid w:val="00B73488"/>
    <w:rsid w:val="00B95745"/>
    <w:rsid w:val="00BA2391"/>
    <w:rsid w:val="00BA3AC4"/>
    <w:rsid w:val="00BF5F2D"/>
    <w:rsid w:val="00C006B6"/>
    <w:rsid w:val="00C0258C"/>
    <w:rsid w:val="00C46B20"/>
    <w:rsid w:val="00C50F34"/>
    <w:rsid w:val="00C544B1"/>
    <w:rsid w:val="00C5742E"/>
    <w:rsid w:val="00CA6F8D"/>
    <w:rsid w:val="00CB73E2"/>
    <w:rsid w:val="00CC1CD4"/>
    <w:rsid w:val="00CE3490"/>
    <w:rsid w:val="00CF599E"/>
    <w:rsid w:val="00D03421"/>
    <w:rsid w:val="00D21519"/>
    <w:rsid w:val="00D26B32"/>
    <w:rsid w:val="00D575BA"/>
    <w:rsid w:val="00D728C4"/>
    <w:rsid w:val="00D73F66"/>
    <w:rsid w:val="00D97D9D"/>
    <w:rsid w:val="00DC742E"/>
    <w:rsid w:val="00DD60E8"/>
    <w:rsid w:val="00DF169F"/>
    <w:rsid w:val="00E12090"/>
    <w:rsid w:val="00E31527"/>
    <w:rsid w:val="00E33068"/>
    <w:rsid w:val="00E43580"/>
    <w:rsid w:val="00E847B9"/>
    <w:rsid w:val="00EB70F6"/>
    <w:rsid w:val="00EC233C"/>
    <w:rsid w:val="00ED3A6E"/>
    <w:rsid w:val="00ED68AD"/>
    <w:rsid w:val="00EF16DD"/>
    <w:rsid w:val="00EF43DF"/>
    <w:rsid w:val="00F044CF"/>
    <w:rsid w:val="00F60FEB"/>
    <w:rsid w:val="00FD184E"/>
    <w:rsid w:val="3966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437" w:right="1377" w:firstLine="2"/>
      <w:outlineLvl w:val="0"/>
    </w:pPr>
    <w:rPr>
      <w:b/>
      <w:bCs/>
      <w:sz w:val="56"/>
      <w:szCs w:val="56"/>
    </w:rPr>
  </w:style>
  <w:style w:type="paragraph" w:styleId="3">
    <w:name w:val="heading 2"/>
    <w:basedOn w:val="1"/>
    <w:qFormat/>
    <w:uiPriority w:val="1"/>
    <w:pPr>
      <w:ind w:left="300"/>
      <w:outlineLvl w:val="1"/>
    </w:pPr>
    <w:rPr>
      <w:b/>
      <w:bCs/>
      <w:sz w:val="36"/>
      <w:szCs w:val="36"/>
    </w:rPr>
  </w:style>
  <w:style w:type="paragraph" w:styleId="4">
    <w:name w:val="heading 3"/>
    <w:basedOn w:val="1"/>
    <w:qFormat/>
    <w:uiPriority w:val="1"/>
    <w:pPr>
      <w:ind w:left="1400" w:hanging="720"/>
      <w:outlineLvl w:val="2"/>
    </w:pPr>
    <w:rPr>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style>
  <w:style w:type="paragraph" w:styleId="6">
    <w:name w:val="toc 3"/>
    <w:basedOn w:val="1"/>
    <w:next w:val="1"/>
    <w:autoRedefine/>
    <w:unhideWhenUsed/>
    <w:qFormat/>
    <w:uiPriority w:val="39"/>
    <w:pPr>
      <w:ind w:left="840" w:leftChars="400"/>
    </w:p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snapToGrid w:val="0"/>
      <w:spacing w:before="15" w:beforeLines="15" w:line="276" w:lineRule="auto"/>
    </w:pPr>
    <w:rPr>
      <w:rFonts w:eastAsia="宋体"/>
      <w:sz w:val="21"/>
    </w:rPr>
  </w:style>
  <w:style w:type="paragraph" w:styleId="11">
    <w:name w:val="toc 2"/>
    <w:basedOn w:val="1"/>
    <w:next w:val="1"/>
    <w:autoRedefine/>
    <w:unhideWhenUsed/>
    <w:qFormat/>
    <w:uiPriority w:val="39"/>
    <w:pPr>
      <w:snapToGrid w:val="0"/>
      <w:spacing w:before="15" w:beforeLines="15" w:line="276" w:lineRule="auto"/>
      <w:ind w:left="200" w:leftChars="200"/>
    </w:pPr>
    <w:rPr>
      <w:rFonts w:eastAsia="宋体"/>
      <w:sz w:val="21"/>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rFonts w:ascii="Times New Roman" w:hAnsi="Times New Roman" w:eastAsia="Times New Roman" w:cs="Times New Roman"/>
      <w:sz w:val="18"/>
      <w:szCs w:val="18"/>
      <w:lang w:bidi="en-US"/>
    </w:rPr>
  </w:style>
  <w:style w:type="character" w:customStyle="1" w:styleId="19">
    <w:name w:val="页脚 Char"/>
    <w:basedOn w:val="15"/>
    <w:link w:val="8"/>
    <w:qFormat/>
    <w:uiPriority w:val="99"/>
    <w:rPr>
      <w:rFonts w:ascii="Times New Roman" w:hAnsi="Times New Roman" w:eastAsia="Times New Roman" w:cs="Times New Roman"/>
      <w:sz w:val="18"/>
      <w:szCs w:val="18"/>
      <w:lang w:bidi="en-US"/>
    </w:r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styleId="21">
    <w:name w:val="List Paragraph"/>
    <w:basedOn w:val="1"/>
    <w:qFormat/>
    <w:uiPriority w:val="34"/>
    <w:pPr>
      <w:ind w:firstLine="420" w:firstLineChars="200"/>
    </w:pPr>
  </w:style>
  <w:style w:type="paragraph" w:customStyle="1" w:styleId="22">
    <w:name w:val="TOC Heading"/>
    <w:basedOn w:val="2"/>
    <w:next w:val="1"/>
    <w:unhideWhenUsed/>
    <w:qFormat/>
    <w:uiPriority w:val="39"/>
    <w:pPr>
      <w:keepNext/>
      <w:keepLines/>
      <w:widowControl/>
      <w:autoSpaceDE/>
      <w:autoSpaceDN/>
      <w:spacing w:before="240" w:line="259" w:lineRule="auto"/>
      <w:ind w:left="0" w:right="0" w:firstLine="0"/>
      <w:outlineLvl w:val="9"/>
    </w:pPr>
    <w:rPr>
      <w:rFonts w:asciiTheme="majorHAnsi" w:hAnsiTheme="majorHAnsi" w:eastAsiaTheme="majorEastAsia" w:cstheme="majorBidi"/>
      <w:b w:val="0"/>
      <w:bCs w:val="0"/>
      <w:color w:val="376092" w:themeColor="accent1" w:themeShade="BF"/>
      <w:sz w:val="32"/>
      <w:szCs w:val="32"/>
      <w:lang w:eastAsia="zh-CN" w:bidi="ar-SA"/>
    </w:rPr>
  </w:style>
  <w:style w:type="character" w:customStyle="1" w:styleId="23">
    <w:name w:val="批注框文本 Char"/>
    <w:basedOn w:val="15"/>
    <w:link w:val="7"/>
    <w:semiHidden/>
    <w:qFormat/>
    <w:uiPriority w:val="99"/>
    <w:rPr>
      <w:rFonts w:ascii="Times New Roman" w:hAnsi="Times New Roman" w:eastAsia="Times New Roman" w:cs="Times New Roman"/>
      <w:sz w:val="18"/>
      <w:szCs w:val="18"/>
      <w:lang w:bidi="en-US"/>
    </w:rPr>
  </w:style>
  <w:style w:type="paragraph" w:customStyle="1" w:styleId="24">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5">
    <w:name w:val="批注文字 Char"/>
    <w:basedOn w:val="15"/>
    <w:link w:val="5"/>
    <w:semiHidden/>
    <w:qFormat/>
    <w:uiPriority w:val="99"/>
    <w:rPr>
      <w:rFonts w:ascii="Times New Roman" w:hAnsi="Times New Roman" w:eastAsia="Times New Roman" w:cs="Times New Roman"/>
      <w:lang w:bidi="en-US"/>
    </w:rPr>
  </w:style>
  <w:style w:type="character" w:customStyle="1" w:styleId="26">
    <w:name w:val="批注主题 Char"/>
    <w:basedOn w:val="25"/>
    <w:link w:val="12"/>
    <w:semiHidden/>
    <w:qFormat/>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16B7-136A-41D9-B59B-ED61B072844E}">
  <ds:schemaRefs/>
</ds:datastoreItem>
</file>

<file path=docProps/app.xml><?xml version="1.0" encoding="utf-8"?>
<Properties xmlns="http://schemas.openxmlformats.org/officeDocument/2006/extended-properties" xmlns:vt="http://schemas.openxmlformats.org/officeDocument/2006/docPropsVTypes">
  <Template>Normal</Template>
  <Company>DESKTOP-</Company>
  <Pages>16</Pages>
  <Words>9268</Words>
  <Characters>12783</Characters>
  <Lines>116</Lines>
  <Paragraphs>32</Paragraphs>
  <TotalTime>61</TotalTime>
  <ScaleCrop>false</ScaleCrop>
  <LinksUpToDate>false</LinksUpToDate>
  <CharactersWithSpaces>12887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2022-03-10T05:32:00Z</dcterms:created>
  <dc:creator>Arellano, Shena</dc:creator>
  <cp:lastModifiedBy>太极箫客</cp:lastModifiedBy>
  <dcterms:modified xsi:type="dcterms:W3CDTF">2025-08-14T06:34:22Z</dcterms:modified>
  <dc:title>COVID-19 Revised Guidance template 4-13-20-Final Clean</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D97B6C3097F848658DB23F44D06DE8BE_12</vt:lpwstr>
  </property>
</Properties>
</file>