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4C8015">
      <w:pPr>
        <w:overflowPunct w:val="0"/>
        <w:snapToGrid w:val="0"/>
        <w:spacing w:line="300" w:lineRule="auto"/>
        <w:jc w:val="both"/>
        <w:rPr>
          <w:rFonts w:hint="eastAsia" w:ascii="Arial" w:hAnsi="Arial" w:eastAsia="宋体" w:cs="Arial"/>
          <w:sz w:val="20"/>
          <w:szCs w:val="20"/>
          <w:lang w:eastAsia="zh-CN"/>
        </w:rPr>
      </w:pPr>
      <w:bookmarkStart w:id="2" w:name="_GoBack"/>
      <w:bookmarkEnd w:id="2"/>
    </w:p>
    <w:p w14:paraId="51984F4D">
      <w:pPr>
        <w:overflowPunct w:val="0"/>
        <w:snapToGrid w:val="0"/>
        <w:spacing w:line="300" w:lineRule="auto"/>
        <w:jc w:val="both"/>
        <w:rPr>
          <w:rFonts w:ascii="Arial" w:hAnsi="Arial" w:eastAsia="宋体" w:cs="Arial"/>
          <w:sz w:val="20"/>
          <w:szCs w:val="20"/>
          <w:lang w:eastAsia="zh-CN"/>
        </w:rPr>
      </w:pPr>
    </w:p>
    <w:p w14:paraId="20C9828F">
      <w:pPr>
        <w:overflowPunct w:val="0"/>
        <w:snapToGrid w:val="0"/>
        <w:spacing w:line="300" w:lineRule="auto"/>
        <w:jc w:val="both"/>
        <w:rPr>
          <w:rFonts w:ascii="Arial" w:hAnsi="Arial" w:eastAsia="宋体" w:cs="Arial"/>
          <w:sz w:val="20"/>
          <w:szCs w:val="20"/>
          <w:lang w:eastAsia="zh-CN"/>
        </w:rPr>
      </w:pPr>
    </w:p>
    <w:p w14:paraId="7D4BEF56">
      <w:pPr>
        <w:overflowPunct w:val="0"/>
        <w:snapToGrid w:val="0"/>
        <w:spacing w:line="300" w:lineRule="auto"/>
        <w:jc w:val="both"/>
        <w:rPr>
          <w:rFonts w:ascii="Arial" w:hAnsi="Arial" w:eastAsia="宋体" w:cs="Arial"/>
          <w:sz w:val="20"/>
          <w:szCs w:val="20"/>
          <w:lang w:eastAsia="zh-CN"/>
        </w:rPr>
      </w:pPr>
    </w:p>
    <w:p w14:paraId="74225A75">
      <w:pPr>
        <w:overflowPunct w:val="0"/>
        <w:snapToGrid w:val="0"/>
        <w:spacing w:line="300" w:lineRule="auto"/>
        <w:jc w:val="both"/>
        <w:rPr>
          <w:rFonts w:ascii="Arial" w:hAnsi="Arial" w:eastAsia="宋体" w:cs="Arial"/>
          <w:sz w:val="20"/>
          <w:szCs w:val="20"/>
          <w:lang w:eastAsia="zh-CN"/>
        </w:rPr>
      </w:pPr>
    </w:p>
    <w:p w14:paraId="22B7C5CC">
      <w:pPr>
        <w:overflowPunct w:val="0"/>
        <w:snapToGrid w:val="0"/>
        <w:spacing w:line="300" w:lineRule="auto"/>
        <w:jc w:val="both"/>
        <w:rPr>
          <w:rFonts w:ascii="Arial" w:hAnsi="Arial" w:eastAsia="宋体" w:cs="Arial"/>
          <w:b/>
          <w:position w:val="-1"/>
          <w:sz w:val="48"/>
          <w:lang w:eastAsia="zh-CN"/>
        </w:rPr>
      </w:pPr>
      <w:r>
        <w:rPr>
          <w:rFonts w:ascii="Arial" w:hAnsi="Arial" w:eastAsia="宋体" w:cs="Arial"/>
          <w:b/>
          <w:position w:val="-1"/>
          <w:sz w:val="48"/>
          <w:lang w:eastAsia="zh-CN"/>
        </w:rPr>
        <w:t>附信：公司发起召回期间的510（K）要求；附件A：公司召回合法上市器械期间的召回和上市前通知审查指南（蓝皮书备忘录</w:t>
      </w:r>
      <w:r>
        <w:rPr>
          <w:rFonts w:hint="eastAsia" w:ascii="Arial" w:hAnsi="Arial" w:eastAsia="宋体" w:cs="Arial"/>
          <w:b/>
          <w:position w:val="-1"/>
          <w:sz w:val="48"/>
          <w:lang w:eastAsia="zh-CN"/>
        </w:rPr>
        <w:t>编号</w:t>
      </w:r>
      <w:r>
        <w:rPr>
          <w:rFonts w:ascii="Arial" w:hAnsi="Arial" w:eastAsia="宋体" w:cs="Arial"/>
          <w:b/>
          <w:position w:val="-1"/>
          <w:sz w:val="48"/>
          <w:lang w:eastAsia="zh-CN"/>
        </w:rPr>
        <w:t>K95-1）（仅限文本）</w:t>
      </w:r>
    </w:p>
    <w:p w14:paraId="2190E5BB">
      <w:pPr>
        <w:overflowPunct w:val="0"/>
        <w:snapToGrid w:val="0"/>
        <w:spacing w:line="300" w:lineRule="auto"/>
        <w:jc w:val="both"/>
        <w:rPr>
          <w:rFonts w:ascii="Arial" w:hAnsi="Arial" w:eastAsia="宋体" w:cs="Arial"/>
          <w:sz w:val="28"/>
          <w:szCs w:val="20"/>
          <w:lang w:eastAsia="zh-CN"/>
        </w:rPr>
      </w:pPr>
    </w:p>
    <w:p w14:paraId="5C1C211E">
      <w:pPr>
        <w:overflowPunct w:val="0"/>
        <w:snapToGrid w:val="0"/>
        <w:spacing w:before="6" w:line="300" w:lineRule="auto"/>
        <w:jc w:val="both"/>
        <w:rPr>
          <w:rFonts w:ascii="Arial" w:hAnsi="Arial" w:eastAsia="宋体" w:cs="Arial"/>
          <w:sz w:val="12"/>
          <w:szCs w:val="12"/>
          <w:lang w:eastAsia="zh-CN"/>
        </w:rPr>
      </w:pPr>
    </w:p>
    <w:p w14:paraId="1EE46B38">
      <w:pPr>
        <w:overflowPunct w:val="0"/>
        <w:snapToGrid w:val="0"/>
        <w:spacing w:line="300" w:lineRule="auto"/>
        <w:jc w:val="center"/>
        <w:rPr>
          <w:rFonts w:ascii="Arial" w:hAnsi="Arial" w:eastAsia="宋体" w:cs="Arial"/>
          <w:b/>
          <w:position w:val="-1"/>
          <w:sz w:val="32"/>
          <w:lang w:eastAsia="zh-CN"/>
        </w:rPr>
      </w:pPr>
      <w:r>
        <w:rPr>
          <w:rFonts w:ascii="Arial" w:hAnsi="Arial" w:eastAsia="宋体" w:cs="Arial"/>
          <w:b/>
          <w:position w:val="-1"/>
          <w:sz w:val="32"/>
          <w:lang w:eastAsia="zh-CN"/>
        </w:rPr>
        <w:t>公司发起召回期间的510（K）要求</w:t>
      </w:r>
    </w:p>
    <w:p w14:paraId="797C2292">
      <w:pPr>
        <w:overflowPunct w:val="0"/>
        <w:snapToGrid w:val="0"/>
        <w:spacing w:before="240" w:beforeLines="100" w:after="240" w:afterLines="100" w:line="300" w:lineRule="auto"/>
        <w:jc w:val="both"/>
        <w:rPr>
          <w:rFonts w:ascii="Arial" w:hAnsi="Arial" w:eastAsia="宋体" w:cs="Arial"/>
          <w:b/>
          <w:sz w:val="28"/>
          <w:lang w:eastAsia="zh-CN"/>
        </w:rPr>
      </w:pPr>
      <w:r>
        <w:rPr>
          <w:rFonts w:ascii="Arial" w:hAnsi="Arial" w:eastAsia="宋体" w:cs="Arial"/>
          <w:b/>
          <w:sz w:val="28"/>
          <w:lang w:eastAsia="zh-CN"/>
        </w:rPr>
        <w:t>510（K）备忘录</w:t>
      </w:r>
      <w:r>
        <w:rPr>
          <w:rFonts w:hint="eastAsia" w:ascii="Arial" w:hAnsi="Arial" w:eastAsia="宋体" w:cs="Arial"/>
          <w:b/>
          <w:sz w:val="28"/>
          <w:lang w:eastAsia="zh-CN"/>
        </w:rPr>
        <w:t>编号</w:t>
      </w:r>
      <w:r>
        <w:rPr>
          <w:rFonts w:ascii="Arial" w:hAnsi="Arial" w:eastAsia="宋体" w:cs="Arial"/>
          <w:b/>
          <w:sz w:val="28"/>
          <w:lang w:eastAsia="zh-CN"/>
        </w:rPr>
        <w:t>K95-1</w:t>
      </w:r>
    </w:p>
    <w:p w14:paraId="42E409EE">
      <w:pPr>
        <w:pStyle w:val="5"/>
        <w:overflowPunct w:val="0"/>
        <w:snapToGrid w:val="0"/>
        <w:spacing w:before="67" w:line="300" w:lineRule="auto"/>
        <w:ind w:left="0"/>
        <w:jc w:val="both"/>
        <w:rPr>
          <w:rFonts w:ascii="Arial" w:hAnsi="Arial" w:eastAsia="宋体" w:cs="Arial"/>
          <w:sz w:val="24"/>
          <w:szCs w:val="24"/>
          <w:lang w:eastAsia="zh-CN"/>
        </w:rPr>
      </w:pPr>
      <w:r>
        <w:rPr>
          <w:rFonts w:ascii="Arial" w:hAnsi="Arial" w:eastAsia="宋体" w:cs="Arial"/>
          <w:sz w:val="24"/>
          <w:szCs w:val="24"/>
          <w:lang w:eastAsia="zh-CN"/>
        </w:rPr>
        <w:t>本指南编写于1997年2月27日实施FDA的良好指导规范（GGP）之前。其不会为任何人创造或赋予任何权利，也不会对FDA或公众产生约束。如果替代方法满足适用的法律、法规或其两者的要求，可以使用替代方法。本指南将在下一版本中更新，以包括GGP的标准成分。</w:t>
      </w:r>
    </w:p>
    <w:p w14:paraId="690600AF">
      <w:pPr>
        <w:overflowPunct w:val="0"/>
        <w:snapToGrid w:val="0"/>
        <w:spacing w:line="300" w:lineRule="auto"/>
        <w:jc w:val="both"/>
        <w:rPr>
          <w:rFonts w:ascii="Arial" w:hAnsi="Arial" w:eastAsia="宋体" w:cs="Arial"/>
          <w:sz w:val="24"/>
          <w:szCs w:val="24"/>
          <w:lang w:eastAsia="zh-CN"/>
        </w:rPr>
      </w:pPr>
      <w:r>
        <w:rPr>
          <w:rFonts w:ascii="Arial" w:hAnsi="Arial" w:eastAsia="宋体" w:cs="Arial"/>
          <w:sz w:val="24"/>
          <w:szCs w:val="24"/>
          <w:lang w:eastAsia="zh-CN"/>
        </w:rPr>
        <w:br w:type="page"/>
      </w:r>
    </w:p>
    <w:tbl>
      <w:tblPr>
        <w:tblStyle w:val="10"/>
        <w:tblW w:w="0" w:type="auto"/>
        <w:tblInd w:w="0" w:type="dxa"/>
        <w:tbl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insideH w:val="single" w:color="7F7F7F" w:themeColor="background1" w:themeShade="80" w:sz="4" w:space="0"/>
          <w:insideV w:val="single" w:color="7F7F7F" w:themeColor="background1" w:themeShade="80" w:sz="4" w:space="0"/>
        </w:tblBorders>
        <w:tblLayout w:type="autofit"/>
        <w:tblCellMar>
          <w:top w:w="0" w:type="dxa"/>
          <w:left w:w="108" w:type="dxa"/>
          <w:bottom w:w="0" w:type="dxa"/>
          <w:right w:w="108" w:type="dxa"/>
        </w:tblCellMar>
      </w:tblPr>
      <w:tblGrid>
        <w:gridCol w:w="10992"/>
      </w:tblGrid>
      <w:tr w14:paraId="7A225DF3">
        <w:tblPrEx>
          <w:tbl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insideH w:val="single" w:color="7F7F7F" w:themeColor="background1" w:themeShade="80" w:sz="4" w:space="0"/>
            <w:insideV w:val="single" w:color="7F7F7F" w:themeColor="background1" w:themeShade="80" w:sz="4" w:space="0"/>
          </w:tblBorders>
          <w:tblCellMar>
            <w:top w:w="0" w:type="dxa"/>
            <w:left w:w="108" w:type="dxa"/>
            <w:bottom w:w="0" w:type="dxa"/>
            <w:right w:w="108" w:type="dxa"/>
          </w:tblCellMar>
        </w:tblPrEx>
        <w:tc>
          <w:tcPr>
            <w:tcW w:w="10992" w:type="dxa"/>
          </w:tcPr>
          <w:p w14:paraId="3990EA16">
            <w:pPr>
              <w:pStyle w:val="5"/>
              <w:snapToGrid w:val="0"/>
              <w:spacing w:before="139" w:line="360" w:lineRule="auto"/>
              <w:ind w:left="0"/>
              <w:jc w:val="both"/>
              <w:rPr>
                <w:rFonts w:ascii="Arial" w:hAnsi="Arial" w:eastAsia="宋体" w:cs="Arial"/>
                <w:sz w:val="24"/>
                <w:szCs w:val="24"/>
                <w:lang w:eastAsia="zh-CN"/>
              </w:rPr>
            </w:pPr>
            <w:r>
              <w:rPr>
                <w:rFonts w:ascii="Arial" w:hAnsi="Arial" w:eastAsia="宋体" w:cs="Arial"/>
                <w:sz w:val="24"/>
                <w:szCs w:val="24"/>
                <w:lang w:eastAsia="zh-CN"/>
              </w:rPr>
              <w:t>199</w:t>
            </w:r>
            <w:r>
              <w:rPr>
                <w:rFonts w:hint="eastAsia" w:ascii="Arial" w:hAnsi="Arial" w:eastAsia="宋体" w:cs="Arial"/>
                <w:sz w:val="24"/>
                <w:szCs w:val="24"/>
                <w:lang w:eastAsia="zh-CN"/>
              </w:rPr>
              <w:t>5</w:t>
            </w:r>
            <w:r>
              <w:rPr>
                <w:rFonts w:ascii="Arial" w:hAnsi="Arial" w:eastAsia="宋体" w:cs="Arial"/>
                <w:sz w:val="24"/>
                <w:szCs w:val="24"/>
                <w:lang w:eastAsia="zh-CN"/>
              </w:rPr>
              <w:t>年11月21日</w:t>
            </w:r>
          </w:p>
          <w:p w14:paraId="37E6DC1A">
            <w:pPr>
              <w:pStyle w:val="5"/>
              <w:snapToGrid w:val="0"/>
              <w:spacing w:before="139" w:line="360" w:lineRule="auto"/>
              <w:ind w:left="0"/>
              <w:jc w:val="both"/>
              <w:rPr>
                <w:rFonts w:ascii="Arial" w:hAnsi="Arial" w:eastAsia="宋体" w:cs="Arial"/>
                <w:sz w:val="24"/>
                <w:szCs w:val="24"/>
                <w:lang w:eastAsia="zh-CN"/>
              </w:rPr>
            </w:pPr>
            <w:r>
              <w:rPr>
                <w:rFonts w:ascii="Arial" w:hAnsi="Arial" w:eastAsia="宋体" w:cs="Arial"/>
                <w:sz w:val="24"/>
                <w:szCs w:val="24"/>
                <w:lang w:eastAsia="zh-CN"/>
              </w:rPr>
              <w:t>器械评价办公室主任</w:t>
            </w:r>
          </w:p>
          <w:p w14:paraId="3650513B">
            <w:pPr>
              <w:pStyle w:val="5"/>
              <w:snapToGrid w:val="0"/>
              <w:spacing w:before="139" w:line="360" w:lineRule="auto"/>
              <w:ind w:left="0"/>
              <w:jc w:val="both"/>
              <w:rPr>
                <w:rFonts w:ascii="Arial" w:hAnsi="Arial" w:eastAsia="宋体" w:cs="Arial"/>
                <w:sz w:val="24"/>
                <w:szCs w:val="24"/>
                <w:lang w:eastAsia="zh-CN"/>
              </w:rPr>
            </w:pPr>
          </w:p>
          <w:p w14:paraId="1F6A3A7E">
            <w:pPr>
              <w:pStyle w:val="5"/>
              <w:snapToGrid w:val="0"/>
              <w:spacing w:before="139" w:line="360" w:lineRule="auto"/>
              <w:ind w:left="0"/>
              <w:jc w:val="both"/>
              <w:rPr>
                <w:rFonts w:ascii="Arial" w:hAnsi="Arial" w:eastAsia="宋体" w:cs="Arial"/>
                <w:sz w:val="24"/>
                <w:szCs w:val="24"/>
                <w:lang w:eastAsia="zh-CN"/>
              </w:rPr>
            </w:pPr>
          </w:p>
          <w:p w14:paraId="08F1654E">
            <w:pPr>
              <w:pStyle w:val="5"/>
              <w:snapToGrid w:val="0"/>
              <w:spacing w:before="139" w:line="360" w:lineRule="auto"/>
              <w:ind w:left="0"/>
              <w:jc w:val="both"/>
              <w:rPr>
                <w:rFonts w:ascii="Arial" w:hAnsi="Arial" w:eastAsia="宋体" w:cs="Arial"/>
                <w:sz w:val="24"/>
                <w:szCs w:val="24"/>
                <w:lang w:eastAsia="zh-CN"/>
              </w:rPr>
            </w:pPr>
            <w:r>
              <w:rPr>
                <w:rFonts w:ascii="Arial" w:hAnsi="Arial" w:eastAsia="宋体" w:cs="Arial"/>
                <w:sz w:val="24"/>
                <w:szCs w:val="24"/>
                <w:lang w:eastAsia="zh-CN"/>
              </w:rPr>
              <w:t>公司发起召回期间的510（K）要求</w:t>
            </w:r>
          </w:p>
          <w:p w14:paraId="72F5D717">
            <w:pPr>
              <w:pStyle w:val="5"/>
              <w:snapToGrid w:val="0"/>
              <w:spacing w:before="139" w:line="360" w:lineRule="auto"/>
              <w:ind w:left="0"/>
              <w:jc w:val="both"/>
              <w:rPr>
                <w:rFonts w:ascii="Arial" w:hAnsi="Arial" w:eastAsia="宋体" w:cs="Arial"/>
                <w:sz w:val="24"/>
                <w:szCs w:val="24"/>
                <w:lang w:eastAsia="zh-CN"/>
              </w:rPr>
            </w:pPr>
          </w:p>
          <w:p w14:paraId="0F788CFA">
            <w:pPr>
              <w:pStyle w:val="5"/>
              <w:snapToGrid w:val="0"/>
              <w:spacing w:before="139" w:line="360" w:lineRule="auto"/>
              <w:ind w:left="0"/>
              <w:jc w:val="both"/>
              <w:rPr>
                <w:rFonts w:ascii="Arial" w:hAnsi="Arial" w:eastAsia="宋体" w:cs="Arial"/>
                <w:sz w:val="24"/>
                <w:szCs w:val="24"/>
                <w:lang w:eastAsia="zh-CN"/>
              </w:rPr>
            </w:pPr>
            <w:r>
              <w:rPr>
                <w:rFonts w:ascii="Arial" w:hAnsi="Arial" w:eastAsia="宋体" w:cs="Arial"/>
                <w:sz w:val="24"/>
                <w:szCs w:val="24"/>
                <w:lang w:eastAsia="zh-CN"/>
              </w:rPr>
              <w:t>ODE审查工作人员</w:t>
            </w:r>
          </w:p>
          <w:p w14:paraId="4F1C4A7C">
            <w:pPr>
              <w:pStyle w:val="5"/>
              <w:tabs>
                <w:tab w:val="left" w:pos="7485"/>
              </w:tabs>
              <w:snapToGrid w:val="0"/>
              <w:spacing w:before="139" w:line="360" w:lineRule="auto"/>
              <w:ind w:left="0"/>
              <w:jc w:val="both"/>
              <w:rPr>
                <w:rFonts w:ascii="Arial" w:hAnsi="Arial" w:eastAsia="宋体" w:cs="Arial"/>
                <w:sz w:val="24"/>
                <w:szCs w:val="24"/>
                <w:lang w:eastAsia="zh-CN"/>
              </w:rPr>
            </w:pPr>
            <w:r>
              <w:rPr>
                <w:rFonts w:ascii="Arial" w:hAnsi="Arial" w:eastAsia="宋体" w:cs="Arial"/>
                <w:sz w:val="24"/>
                <w:szCs w:val="24"/>
                <w:lang w:eastAsia="zh-CN"/>
              </w:rPr>
              <w:t>来自：ODE科负责人</w:t>
            </w:r>
            <w:r>
              <w:rPr>
                <w:rFonts w:ascii="Arial" w:hAnsi="Arial" w:eastAsia="宋体" w:cs="Arial"/>
                <w:sz w:val="24"/>
                <w:szCs w:val="24"/>
                <w:lang w:eastAsia="zh-CN"/>
              </w:rPr>
              <w:tab/>
            </w:r>
          </w:p>
          <w:p w14:paraId="2369C1D8">
            <w:pPr>
              <w:snapToGrid w:val="0"/>
              <w:spacing w:line="360" w:lineRule="auto"/>
              <w:jc w:val="both"/>
              <w:rPr>
                <w:rFonts w:ascii="Arial" w:hAnsi="Arial" w:eastAsia="宋体" w:cs="Arial"/>
                <w:sz w:val="24"/>
                <w:szCs w:val="24"/>
                <w:lang w:eastAsia="zh-CN"/>
              </w:rPr>
            </w:pPr>
          </w:p>
          <w:p w14:paraId="24F9EAAA">
            <w:pPr>
              <w:pStyle w:val="5"/>
              <w:snapToGrid w:val="0"/>
              <w:spacing w:before="166" w:line="360" w:lineRule="auto"/>
              <w:ind w:left="0"/>
              <w:jc w:val="both"/>
              <w:rPr>
                <w:rFonts w:ascii="Arial" w:hAnsi="Arial" w:eastAsia="宋体" w:cs="Arial"/>
                <w:sz w:val="24"/>
                <w:szCs w:val="24"/>
                <w:lang w:eastAsia="zh-CN"/>
              </w:rPr>
            </w:pPr>
            <w:r>
              <w:rPr>
                <w:rFonts w:ascii="Arial" w:hAnsi="Arial" w:eastAsia="宋体" w:cs="Arial"/>
                <w:sz w:val="24"/>
                <w:szCs w:val="24"/>
                <w:lang w:eastAsia="zh-CN"/>
              </w:rPr>
              <w:t>目的</w:t>
            </w:r>
          </w:p>
          <w:p w14:paraId="043ED5A9">
            <w:pPr>
              <w:snapToGrid w:val="0"/>
              <w:spacing w:before="2" w:line="360" w:lineRule="auto"/>
              <w:jc w:val="both"/>
              <w:rPr>
                <w:rFonts w:ascii="Arial" w:hAnsi="Arial" w:eastAsia="宋体" w:cs="Arial"/>
                <w:sz w:val="24"/>
                <w:szCs w:val="24"/>
                <w:lang w:eastAsia="zh-CN"/>
              </w:rPr>
            </w:pPr>
          </w:p>
          <w:p w14:paraId="36C81605">
            <w:pPr>
              <w:pStyle w:val="5"/>
              <w:snapToGrid w:val="0"/>
              <w:spacing w:line="360" w:lineRule="auto"/>
              <w:ind w:left="0" w:firstLine="4"/>
              <w:jc w:val="both"/>
              <w:rPr>
                <w:rFonts w:hint="eastAsia" w:ascii="Arial" w:hAnsi="Arial" w:eastAsia="宋体" w:cs="Arial"/>
                <w:sz w:val="24"/>
                <w:szCs w:val="24"/>
                <w:lang w:eastAsia="zh-CN"/>
              </w:rPr>
            </w:pPr>
            <w:r>
              <w:rPr>
                <w:rFonts w:ascii="Arial" w:hAnsi="Arial" w:eastAsia="宋体" w:cs="Arial"/>
                <w:sz w:val="24"/>
                <w:szCs w:val="24"/>
                <w:lang w:eastAsia="zh-CN"/>
              </w:rPr>
              <w:t>本备忘录旨在实施所附指南中规定的程序，其中，该指南由合规办公室和器械评价办公室提供，涉及公司召回合法上市器械期间的召回和上市前通知审查程序。</w:t>
            </w:r>
          </w:p>
        </w:tc>
      </w:tr>
    </w:tbl>
    <w:p w14:paraId="3CF3139F">
      <w:pPr>
        <w:pBdr>
          <w:bottom w:val="single" w:color="7F7F7F" w:themeColor="background1" w:themeShade="80" w:sz="12" w:space="1"/>
        </w:pBdr>
        <w:overflowPunct w:val="0"/>
        <w:snapToGrid w:val="0"/>
        <w:spacing w:line="360" w:lineRule="auto"/>
        <w:jc w:val="both"/>
        <w:rPr>
          <w:rFonts w:ascii="Arial" w:hAnsi="Arial" w:eastAsia="宋体" w:cs="Arial"/>
          <w:sz w:val="24"/>
          <w:szCs w:val="24"/>
          <w:lang w:eastAsia="zh-CN"/>
        </w:rPr>
      </w:pPr>
    </w:p>
    <w:p w14:paraId="0D2B9E03">
      <w:pPr>
        <w:overflowPunct w:val="0"/>
        <w:snapToGrid w:val="0"/>
        <w:spacing w:line="360" w:lineRule="auto"/>
        <w:jc w:val="both"/>
        <w:rPr>
          <w:rFonts w:ascii="Arial" w:hAnsi="Arial" w:eastAsia="宋体" w:cs="Arial"/>
          <w:sz w:val="24"/>
          <w:szCs w:val="24"/>
          <w:lang w:eastAsia="zh-CN"/>
        </w:rPr>
      </w:pPr>
    </w:p>
    <w:p w14:paraId="76611A42">
      <w:pPr>
        <w:overflowPunct w:val="0"/>
        <w:snapToGrid w:val="0"/>
        <w:spacing w:line="360" w:lineRule="auto"/>
        <w:jc w:val="both"/>
        <w:rPr>
          <w:rFonts w:ascii="Arial" w:hAnsi="Arial" w:eastAsia="宋体" w:cs="Arial"/>
          <w:sz w:val="24"/>
          <w:szCs w:val="24"/>
          <w:lang w:eastAsia="zh-CN"/>
        </w:rPr>
      </w:pPr>
    </w:p>
    <w:p w14:paraId="31549905">
      <w:pPr>
        <w:overflowPunct w:val="0"/>
        <w:snapToGrid w:val="0"/>
        <w:spacing w:line="360" w:lineRule="auto"/>
        <w:jc w:val="both"/>
        <w:rPr>
          <w:rFonts w:ascii="Arial" w:hAnsi="Arial" w:eastAsia="宋体" w:cs="Arial"/>
          <w:sz w:val="24"/>
          <w:szCs w:val="24"/>
          <w:lang w:eastAsia="zh-CN"/>
        </w:rPr>
      </w:pPr>
      <w:r>
        <w:rPr>
          <w:rFonts w:ascii="Arial" w:hAnsi="Arial" w:eastAsia="宋体" w:cs="Arial"/>
          <w:sz w:val="24"/>
          <w:szCs w:val="24"/>
          <w:lang w:eastAsia="zh-CN"/>
        </w:rPr>
        <w:br w:type="page"/>
      </w:r>
    </w:p>
    <w:p w14:paraId="47AC50EA">
      <w:pPr>
        <w:overflowPunct w:val="0"/>
        <w:snapToGrid w:val="0"/>
        <w:spacing w:line="360" w:lineRule="auto"/>
        <w:jc w:val="both"/>
        <w:rPr>
          <w:rFonts w:ascii="Arial" w:hAnsi="Arial" w:eastAsia="宋体" w:cs="Arial"/>
          <w:sz w:val="24"/>
          <w:szCs w:val="24"/>
          <w:lang w:eastAsia="zh-CN"/>
        </w:rPr>
      </w:pPr>
    </w:p>
    <w:tbl>
      <w:tblPr>
        <w:tblStyle w:val="10"/>
        <w:tblW w:w="0" w:type="auto"/>
        <w:tblInd w:w="0" w:type="dxa"/>
        <w:tbl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insideH w:val="single" w:color="7F7F7F" w:themeColor="background1" w:themeShade="80" w:sz="4" w:space="0"/>
          <w:insideV w:val="single" w:color="7F7F7F" w:themeColor="background1" w:themeShade="80" w:sz="4" w:space="0"/>
        </w:tblBorders>
        <w:tblLayout w:type="autofit"/>
        <w:tblCellMar>
          <w:top w:w="0" w:type="dxa"/>
          <w:left w:w="108" w:type="dxa"/>
          <w:bottom w:w="0" w:type="dxa"/>
          <w:right w:w="108" w:type="dxa"/>
        </w:tblCellMar>
      </w:tblPr>
      <w:tblGrid>
        <w:gridCol w:w="10992"/>
      </w:tblGrid>
      <w:tr w14:paraId="188FE9E4">
        <w:tblPrEx>
          <w:tbl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insideH w:val="single" w:color="7F7F7F" w:themeColor="background1" w:themeShade="80" w:sz="4" w:space="0"/>
            <w:insideV w:val="single" w:color="7F7F7F" w:themeColor="background1" w:themeShade="80" w:sz="4" w:space="0"/>
          </w:tblBorders>
          <w:tblCellMar>
            <w:top w:w="0" w:type="dxa"/>
            <w:left w:w="108" w:type="dxa"/>
            <w:bottom w:w="0" w:type="dxa"/>
            <w:right w:w="108" w:type="dxa"/>
          </w:tblCellMar>
        </w:tblPrEx>
        <w:tc>
          <w:tcPr>
            <w:tcW w:w="10992" w:type="dxa"/>
          </w:tcPr>
          <w:p w14:paraId="5A1B51CF">
            <w:pPr>
              <w:pStyle w:val="5"/>
              <w:overflowPunct w:val="0"/>
              <w:snapToGrid w:val="0"/>
              <w:spacing w:before="139" w:line="360" w:lineRule="auto"/>
              <w:ind w:left="0"/>
              <w:jc w:val="both"/>
              <w:rPr>
                <w:rFonts w:ascii="Arial" w:hAnsi="Arial" w:eastAsia="宋体" w:cs="Arial"/>
                <w:sz w:val="24"/>
                <w:szCs w:val="24"/>
                <w:lang w:eastAsia="zh-CN"/>
              </w:rPr>
            </w:pPr>
            <w:r>
              <w:rPr>
                <w:rFonts w:ascii="Arial" w:hAnsi="Arial" w:eastAsia="宋体" w:cs="Arial"/>
                <w:sz w:val="24"/>
                <w:szCs w:val="24"/>
                <w:lang w:eastAsia="zh-CN"/>
              </w:rPr>
              <w:t>199</w:t>
            </w:r>
            <w:r>
              <w:rPr>
                <w:rFonts w:hint="eastAsia" w:ascii="Arial" w:hAnsi="Arial" w:eastAsia="宋体" w:cs="Arial"/>
                <w:sz w:val="24"/>
                <w:szCs w:val="24"/>
                <w:lang w:eastAsia="zh-CN"/>
              </w:rPr>
              <w:t>5</w:t>
            </w:r>
            <w:r>
              <w:rPr>
                <w:rFonts w:ascii="Arial" w:hAnsi="Arial" w:eastAsia="宋体" w:cs="Arial"/>
                <w:sz w:val="24"/>
                <w:szCs w:val="24"/>
                <w:lang w:eastAsia="zh-CN"/>
              </w:rPr>
              <w:t>年11月21日</w:t>
            </w:r>
          </w:p>
          <w:p w14:paraId="6F7E3F0D">
            <w:pPr>
              <w:pStyle w:val="5"/>
              <w:overflowPunct w:val="0"/>
              <w:snapToGrid w:val="0"/>
              <w:spacing w:before="67" w:line="360" w:lineRule="auto"/>
              <w:ind w:left="0"/>
              <w:jc w:val="both"/>
              <w:rPr>
                <w:rFonts w:ascii="Arial" w:hAnsi="Arial" w:eastAsia="宋体" w:cs="Arial"/>
                <w:sz w:val="24"/>
                <w:szCs w:val="24"/>
                <w:lang w:eastAsia="zh-CN"/>
              </w:rPr>
            </w:pPr>
            <w:r>
              <w:rPr>
                <w:rFonts w:ascii="Arial" w:hAnsi="Arial" w:eastAsia="宋体" w:cs="Arial"/>
                <w:sz w:val="24"/>
                <w:szCs w:val="24"/>
                <w:lang w:eastAsia="zh-CN"/>
              </w:rPr>
              <w:t>器械评价办公室主任</w:t>
            </w:r>
          </w:p>
          <w:p w14:paraId="233240AD">
            <w:pPr>
              <w:pStyle w:val="5"/>
              <w:overflowPunct w:val="0"/>
              <w:snapToGrid w:val="0"/>
              <w:spacing w:before="139" w:line="360" w:lineRule="auto"/>
              <w:ind w:left="0"/>
              <w:jc w:val="both"/>
              <w:rPr>
                <w:rFonts w:ascii="Arial" w:hAnsi="Arial" w:eastAsia="宋体" w:cs="Arial"/>
                <w:sz w:val="24"/>
                <w:szCs w:val="24"/>
                <w:lang w:eastAsia="zh-CN"/>
              </w:rPr>
            </w:pPr>
          </w:p>
          <w:p w14:paraId="53F9D41E">
            <w:pPr>
              <w:pStyle w:val="5"/>
              <w:overflowPunct w:val="0"/>
              <w:snapToGrid w:val="0"/>
              <w:spacing w:before="139" w:line="360" w:lineRule="auto"/>
              <w:ind w:left="0"/>
              <w:jc w:val="both"/>
              <w:rPr>
                <w:rFonts w:ascii="Arial" w:hAnsi="Arial" w:eastAsia="宋体" w:cs="Arial"/>
                <w:sz w:val="24"/>
                <w:szCs w:val="24"/>
                <w:lang w:eastAsia="zh-CN"/>
              </w:rPr>
            </w:pPr>
          </w:p>
          <w:p w14:paraId="63E6E775">
            <w:pPr>
              <w:pStyle w:val="5"/>
              <w:overflowPunct w:val="0"/>
              <w:snapToGrid w:val="0"/>
              <w:spacing w:before="139" w:line="360" w:lineRule="auto"/>
              <w:ind w:left="0"/>
              <w:jc w:val="both"/>
              <w:rPr>
                <w:rFonts w:ascii="Arial" w:hAnsi="Arial" w:eastAsia="宋体" w:cs="Arial"/>
                <w:sz w:val="24"/>
                <w:szCs w:val="24"/>
                <w:lang w:eastAsia="zh-CN"/>
              </w:rPr>
            </w:pPr>
            <w:r>
              <w:rPr>
                <w:rFonts w:ascii="Arial" w:hAnsi="Arial" w:eastAsia="宋体" w:cs="Arial"/>
                <w:sz w:val="24"/>
                <w:szCs w:val="24"/>
                <w:lang w:eastAsia="zh-CN"/>
              </w:rPr>
              <w:t>公司发起召回期间的510（K）要求</w:t>
            </w:r>
          </w:p>
          <w:p w14:paraId="76BE9B9E">
            <w:pPr>
              <w:pStyle w:val="5"/>
              <w:overflowPunct w:val="0"/>
              <w:snapToGrid w:val="0"/>
              <w:spacing w:before="139" w:line="360" w:lineRule="auto"/>
              <w:ind w:left="0"/>
              <w:jc w:val="both"/>
              <w:rPr>
                <w:rFonts w:ascii="Arial" w:hAnsi="Arial" w:eastAsia="宋体" w:cs="Arial"/>
                <w:sz w:val="24"/>
                <w:szCs w:val="24"/>
                <w:lang w:eastAsia="zh-CN"/>
              </w:rPr>
            </w:pPr>
          </w:p>
          <w:p w14:paraId="438514C4">
            <w:pPr>
              <w:pStyle w:val="5"/>
              <w:overflowPunct w:val="0"/>
              <w:snapToGrid w:val="0"/>
              <w:spacing w:before="139" w:line="360" w:lineRule="auto"/>
              <w:ind w:left="0"/>
              <w:jc w:val="both"/>
              <w:rPr>
                <w:rFonts w:ascii="Arial" w:hAnsi="Arial" w:eastAsia="宋体" w:cs="Arial"/>
                <w:sz w:val="24"/>
                <w:szCs w:val="24"/>
                <w:lang w:eastAsia="zh-CN"/>
              </w:rPr>
            </w:pPr>
            <w:r>
              <w:rPr>
                <w:rFonts w:ascii="Arial" w:hAnsi="Arial" w:eastAsia="宋体" w:cs="Arial"/>
                <w:sz w:val="24"/>
                <w:szCs w:val="24"/>
                <w:lang w:eastAsia="zh-CN"/>
              </w:rPr>
              <w:t>ODE审查工作人员</w:t>
            </w:r>
          </w:p>
          <w:p w14:paraId="5FB4AB14">
            <w:pPr>
              <w:pStyle w:val="5"/>
              <w:overflowPunct w:val="0"/>
              <w:snapToGrid w:val="0"/>
              <w:spacing w:before="139" w:line="360" w:lineRule="auto"/>
              <w:ind w:left="0"/>
              <w:jc w:val="both"/>
              <w:rPr>
                <w:rFonts w:ascii="Arial" w:hAnsi="Arial" w:eastAsia="宋体" w:cs="Arial"/>
                <w:sz w:val="24"/>
                <w:szCs w:val="24"/>
                <w:lang w:eastAsia="zh-CN"/>
              </w:rPr>
            </w:pPr>
            <w:r>
              <w:rPr>
                <w:rFonts w:ascii="Arial" w:hAnsi="Arial" w:eastAsia="宋体" w:cs="Arial"/>
                <w:sz w:val="24"/>
                <w:szCs w:val="24"/>
                <w:lang w:eastAsia="zh-CN"/>
              </w:rPr>
              <w:t>来自：ODE科负责人</w:t>
            </w:r>
          </w:p>
          <w:p w14:paraId="37FCC974">
            <w:pPr>
              <w:overflowPunct w:val="0"/>
              <w:snapToGrid w:val="0"/>
              <w:spacing w:line="360" w:lineRule="auto"/>
              <w:jc w:val="both"/>
              <w:rPr>
                <w:rFonts w:ascii="Arial" w:hAnsi="Arial" w:eastAsia="宋体" w:cs="Arial"/>
                <w:sz w:val="24"/>
                <w:szCs w:val="24"/>
                <w:lang w:eastAsia="zh-CN"/>
              </w:rPr>
            </w:pPr>
          </w:p>
          <w:p w14:paraId="56370FA1">
            <w:pPr>
              <w:pStyle w:val="5"/>
              <w:overflowPunct w:val="0"/>
              <w:snapToGrid w:val="0"/>
              <w:spacing w:before="139" w:line="360" w:lineRule="auto"/>
              <w:ind w:left="0"/>
              <w:jc w:val="both"/>
              <w:rPr>
                <w:rFonts w:ascii="Arial" w:hAnsi="Arial" w:eastAsia="宋体" w:cs="Arial"/>
                <w:sz w:val="24"/>
                <w:szCs w:val="24"/>
                <w:lang w:eastAsia="zh-CN"/>
              </w:rPr>
            </w:pPr>
            <w:r>
              <w:rPr>
                <w:rFonts w:ascii="Arial" w:hAnsi="Arial" w:eastAsia="宋体" w:cs="Arial"/>
                <w:sz w:val="24"/>
                <w:szCs w:val="24"/>
                <w:lang w:eastAsia="zh-CN"/>
              </w:rPr>
              <w:t>目的</w:t>
            </w:r>
          </w:p>
          <w:p w14:paraId="2EF7865D">
            <w:pPr>
              <w:overflowPunct w:val="0"/>
              <w:snapToGrid w:val="0"/>
              <w:spacing w:before="8" w:line="360" w:lineRule="auto"/>
              <w:jc w:val="both"/>
              <w:rPr>
                <w:rFonts w:ascii="Arial" w:hAnsi="Arial" w:eastAsia="宋体" w:cs="Arial"/>
                <w:sz w:val="24"/>
                <w:szCs w:val="24"/>
                <w:lang w:eastAsia="zh-CN"/>
              </w:rPr>
            </w:pPr>
          </w:p>
          <w:p w14:paraId="4ED6D2DA">
            <w:pPr>
              <w:pStyle w:val="5"/>
              <w:overflowPunct w:val="0"/>
              <w:snapToGrid w:val="0"/>
              <w:spacing w:line="360" w:lineRule="auto"/>
              <w:ind w:left="0" w:firstLine="4"/>
              <w:jc w:val="both"/>
              <w:rPr>
                <w:rFonts w:ascii="Arial" w:hAnsi="Arial" w:eastAsia="宋体" w:cs="Arial"/>
                <w:sz w:val="24"/>
                <w:szCs w:val="24"/>
                <w:lang w:eastAsia="zh-CN"/>
              </w:rPr>
            </w:pPr>
            <w:r>
              <w:rPr>
                <w:rFonts w:ascii="Arial" w:hAnsi="Arial" w:eastAsia="宋体" w:cs="Arial"/>
                <w:sz w:val="24"/>
                <w:szCs w:val="24"/>
                <w:lang w:eastAsia="zh-CN"/>
              </w:rPr>
              <w:t>本备忘录旨在实施所附指南中规定的程序，其中，该指南由合规办公室和器械评价办公室提供，涉及公司召回合法上市器械期间的召回和上市前通知审查程序。</w:t>
            </w:r>
          </w:p>
          <w:p w14:paraId="01F8CE17">
            <w:pPr>
              <w:overflowPunct w:val="0"/>
              <w:snapToGrid w:val="0"/>
              <w:spacing w:line="360" w:lineRule="auto"/>
              <w:jc w:val="both"/>
              <w:rPr>
                <w:rFonts w:ascii="Arial" w:hAnsi="Arial" w:eastAsia="宋体" w:cs="Arial"/>
                <w:sz w:val="24"/>
                <w:szCs w:val="24"/>
                <w:lang w:eastAsia="zh-CN"/>
              </w:rPr>
            </w:pPr>
          </w:p>
          <w:p w14:paraId="1E7FE1A6">
            <w:pPr>
              <w:overflowPunct w:val="0"/>
              <w:snapToGrid w:val="0"/>
              <w:spacing w:line="360" w:lineRule="auto"/>
              <w:jc w:val="both"/>
              <w:rPr>
                <w:rFonts w:ascii="Arial" w:hAnsi="Arial" w:eastAsia="宋体" w:cs="Arial"/>
                <w:sz w:val="24"/>
                <w:szCs w:val="24"/>
                <w:lang w:eastAsia="zh-CN"/>
              </w:rPr>
            </w:pPr>
            <w:r>
              <w:rPr>
                <w:rFonts w:ascii="Arial" w:hAnsi="Arial" w:eastAsia="宋体" w:cs="Arial"/>
                <w:sz w:val="24"/>
                <w:szCs w:val="24"/>
                <w:lang w:eastAsia="zh-CN"/>
              </w:rPr>
              <w:t>背景</w:t>
            </w:r>
          </w:p>
          <w:p w14:paraId="3F6D12F5">
            <w:pPr>
              <w:overflowPunct w:val="0"/>
              <w:snapToGrid w:val="0"/>
              <w:spacing w:line="360" w:lineRule="auto"/>
              <w:jc w:val="both"/>
              <w:rPr>
                <w:rFonts w:ascii="Arial" w:hAnsi="Arial" w:eastAsia="宋体" w:cs="Arial"/>
                <w:sz w:val="24"/>
                <w:szCs w:val="24"/>
                <w:lang w:eastAsia="zh-CN"/>
              </w:rPr>
            </w:pPr>
          </w:p>
          <w:p w14:paraId="1A94C50B">
            <w:pPr>
              <w:pStyle w:val="5"/>
              <w:overflowPunct w:val="0"/>
              <w:snapToGrid w:val="0"/>
              <w:spacing w:line="360" w:lineRule="auto"/>
              <w:ind w:left="0" w:firstLine="4"/>
              <w:jc w:val="both"/>
              <w:rPr>
                <w:rFonts w:ascii="Arial" w:hAnsi="Arial" w:eastAsia="宋体" w:cs="Arial"/>
                <w:sz w:val="24"/>
                <w:szCs w:val="24"/>
                <w:lang w:eastAsia="zh-CN"/>
              </w:rPr>
            </w:pPr>
            <w:r>
              <w:rPr>
                <w:rFonts w:ascii="Arial" w:hAnsi="Arial" w:eastAsia="宋体" w:cs="Arial"/>
                <w:sz w:val="24"/>
                <w:szCs w:val="24"/>
                <w:lang w:eastAsia="zh-CN"/>
              </w:rPr>
              <w:t>公司在召回器械时，其召回策略应包括用于修改器械以纠正召回原因的方案。过去，合规办公室（OC）要求科学和技术办公室对拟定纠正方案进行初步评估。如果纠正方案适用，中心将行使自由裁量权并允许公司对已分销的器械</w:t>
            </w:r>
            <w:r>
              <w:rPr>
                <w:rFonts w:hint="eastAsia" w:ascii="Arial" w:hAnsi="Arial" w:eastAsia="宋体" w:cs="Arial"/>
                <w:sz w:val="24"/>
                <w:szCs w:val="24"/>
                <w:lang w:eastAsia="zh-CN"/>
              </w:rPr>
              <w:t>装置</w:t>
            </w:r>
            <w:r>
              <w:rPr>
                <w:rFonts w:ascii="Arial" w:hAnsi="Arial" w:eastAsia="宋体" w:cs="Arial"/>
                <w:sz w:val="24"/>
                <w:szCs w:val="24"/>
                <w:lang w:eastAsia="zh-CN"/>
              </w:rPr>
              <w:t>进行纠正。如果修改类型要求提交新的上市前通知，则在对新产品进行纠正前，公司通常必须提交上市前通知并获得器械评价办公室（ODE）的许可。此过程涉及对相同修改进行冗余审查和潜在的冲突评估，可能会不必要地延迟缺陷器械的纠正。</w:t>
            </w:r>
          </w:p>
          <w:p w14:paraId="300E999B">
            <w:pPr>
              <w:overflowPunct w:val="0"/>
              <w:snapToGrid w:val="0"/>
              <w:spacing w:before="4" w:line="360" w:lineRule="auto"/>
              <w:jc w:val="both"/>
              <w:rPr>
                <w:rFonts w:ascii="Arial" w:hAnsi="Arial" w:eastAsia="宋体" w:cs="Arial"/>
                <w:sz w:val="24"/>
                <w:szCs w:val="24"/>
                <w:lang w:eastAsia="zh-CN"/>
              </w:rPr>
            </w:pPr>
          </w:p>
          <w:p w14:paraId="47D3DD3F">
            <w:pPr>
              <w:tabs>
                <w:tab w:val="left" w:pos="2191"/>
                <w:tab w:val="left" w:pos="2556"/>
                <w:tab w:val="left" w:pos="3084"/>
                <w:tab w:val="left" w:pos="4106"/>
                <w:tab w:val="left" w:pos="5378"/>
              </w:tabs>
              <w:overflowPunct w:val="0"/>
              <w:snapToGrid w:val="0"/>
              <w:spacing w:line="360" w:lineRule="auto"/>
              <w:jc w:val="both"/>
              <w:rPr>
                <w:rFonts w:ascii="Arial" w:hAnsi="Arial" w:eastAsia="宋体" w:cs="Arial"/>
                <w:sz w:val="24"/>
                <w:szCs w:val="24"/>
                <w:lang w:eastAsia="zh-CN"/>
              </w:rPr>
            </w:pPr>
            <w:r>
              <w:rPr>
                <w:rFonts w:ascii="Arial" w:hAnsi="Arial" w:eastAsia="宋体" w:cs="Arial"/>
                <w:sz w:val="24"/>
                <w:szCs w:val="24"/>
                <w:lang w:eastAsia="zh-CN"/>
              </w:rPr>
              <w:t>附件A中的文档《公司</w:t>
            </w:r>
            <w:r>
              <w:rPr>
                <w:rFonts w:hint="eastAsia" w:ascii="Arial" w:hAnsi="Arial" w:eastAsia="宋体" w:cs="Arial"/>
                <w:sz w:val="24"/>
                <w:szCs w:val="24"/>
                <w:lang w:eastAsia="zh-CN"/>
              </w:rPr>
              <w:t>发起</w:t>
            </w:r>
            <w:r>
              <w:rPr>
                <w:rFonts w:ascii="Arial" w:hAnsi="Arial" w:eastAsia="宋体" w:cs="Arial"/>
                <w:sz w:val="24"/>
                <w:szCs w:val="24"/>
                <w:lang w:eastAsia="zh-CN"/>
              </w:rPr>
              <w:t>合法上市器械期间的召回和上市前通知审查指南》由OC和ODE主任于1995年10月27日签署。其包含旨在消除冗余审查和简化整个过程的标准操作程序。本指南由CDRH内的专用委员会编制。本指南已在两个中心的已入职员工会议（在此会议期间，征求所有中心办公室的建议和评论）与OC和ODE高级员工会议接受审查。此外，已就本指南与几家医疗器械行业协会进行了讨论，且已进行了公开讨论。</w:t>
            </w:r>
          </w:p>
        </w:tc>
      </w:tr>
    </w:tbl>
    <w:p w14:paraId="143C0183">
      <w:pPr>
        <w:pStyle w:val="4"/>
        <w:tabs>
          <w:tab w:val="left" w:pos="9113"/>
        </w:tabs>
        <w:overflowPunct w:val="0"/>
        <w:snapToGrid w:val="0"/>
        <w:spacing w:before="215" w:line="360" w:lineRule="auto"/>
        <w:ind w:left="0"/>
        <w:jc w:val="both"/>
        <w:rPr>
          <w:rFonts w:ascii="Arial" w:hAnsi="Arial" w:eastAsia="宋体" w:cs="Arial"/>
          <w:sz w:val="24"/>
          <w:szCs w:val="24"/>
          <w:lang w:eastAsia="zh-CN"/>
        </w:rPr>
      </w:pPr>
      <w:r>
        <w:rPr>
          <w:rFonts w:ascii="Arial" w:hAnsi="Arial" w:eastAsia="宋体" w:cs="Arial"/>
          <w:sz w:val="24"/>
          <w:szCs w:val="24"/>
          <w:lang w:eastAsia="zh-CN"/>
        </w:rPr>
        <w:br w:type="page"/>
      </w:r>
    </w:p>
    <w:p w14:paraId="78839003">
      <w:pPr>
        <w:overflowPunct w:val="0"/>
        <w:snapToGrid w:val="0"/>
        <w:spacing w:before="9" w:line="360" w:lineRule="auto"/>
        <w:jc w:val="both"/>
        <w:rPr>
          <w:rFonts w:ascii="Arial" w:hAnsi="Arial" w:eastAsia="宋体" w:cs="Arial"/>
          <w:sz w:val="24"/>
          <w:szCs w:val="24"/>
          <w:lang w:eastAsia="zh-CN"/>
        </w:rPr>
      </w:pPr>
    </w:p>
    <w:tbl>
      <w:tblPr>
        <w:tblStyle w:val="10"/>
        <w:tblW w:w="0" w:type="auto"/>
        <w:tblInd w:w="0" w:type="dxa"/>
        <w:tbl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insideH w:val="single" w:color="7F7F7F" w:themeColor="background1" w:themeShade="80" w:sz="4" w:space="0"/>
          <w:insideV w:val="single" w:color="7F7F7F" w:themeColor="background1" w:themeShade="80" w:sz="4" w:space="0"/>
        </w:tblBorders>
        <w:tblLayout w:type="autofit"/>
        <w:tblCellMar>
          <w:top w:w="0" w:type="dxa"/>
          <w:left w:w="108" w:type="dxa"/>
          <w:bottom w:w="0" w:type="dxa"/>
          <w:right w:w="108" w:type="dxa"/>
        </w:tblCellMar>
      </w:tblPr>
      <w:tblGrid>
        <w:gridCol w:w="10992"/>
      </w:tblGrid>
      <w:tr w14:paraId="2FEE90CB">
        <w:tblPrEx>
          <w:tbl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insideH w:val="single" w:color="7F7F7F" w:themeColor="background1" w:themeShade="80" w:sz="4" w:space="0"/>
            <w:insideV w:val="single" w:color="7F7F7F" w:themeColor="background1" w:themeShade="80" w:sz="4" w:space="0"/>
          </w:tblBorders>
          <w:tblCellMar>
            <w:top w:w="0" w:type="dxa"/>
            <w:left w:w="108" w:type="dxa"/>
            <w:bottom w:w="0" w:type="dxa"/>
            <w:right w:w="108" w:type="dxa"/>
          </w:tblCellMar>
        </w:tblPrEx>
        <w:tc>
          <w:tcPr>
            <w:tcW w:w="10992" w:type="dxa"/>
          </w:tcPr>
          <w:p w14:paraId="14D48B86">
            <w:pPr>
              <w:overflowPunct w:val="0"/>
              <w:snapToGrid w:val="0"/>
              <w:spacing w:line="360" w:lineRule="auto"/>
              <w:jc w:val="both"/>
              <w:rPr>
                <w:rFonts w:ascii="Arial" w:hAnsi="Arial" w:eastAsia="宋体" w:cs="Arial"/>
                <w:sz w:val="24"/>
                <w:szCs w:val="24"/>
                <w:lang w:eastAsia="zh-CN"/>
              </w:rPr>
            </w:pPr>
            <w:r>
              <w:rPr>
                <w:rFonts w:ascii="Arial" w:hAnsi="Arial" w:eastAsia="宋体" w:cs="Arial"/>
                <w:sz w:val="24"/>
                <w:szCs w:val="24"/>
                <w:lang w:eastAsia="zh-CN"/>
              </w:rPr>
              <w:t>程序</w:t>
            </w:r>
          </w:p>
          <w:p w14:paraId="1DD5A322">
            <w:pPr>
              <w:overflowPunct w:val="0"/>
              <w:snapToGrid w:val="0"/>
              <w:spacing w:before="5" w:line="360" w:lineRule="auto"/>
              <w:jc w:val="both"/>
              <w:rPr>
                <w:rFonts w:ascii="Arial" w:hAnsi="Arial" w:eastAsia="宋体" w:cs="Arial"/>
                <w:sz w:val="24"/>
                <w:szCs w:val="24"/>
                <w:lang w:eastAsia="zh-CN"/>
              </w:rPr>
            </w:pPr>
          </w:p>
          <w:p w14:paraId="75A5CA43">
            <w:pPr>
              <w:pStyle w:val="5"/>
              <w:overflowPunct w:val="0"/>
              <w:snapToGrid w:val="0"/>
              <w:spacing w:line="360" w:lineRule="auto"/>
              <w:ind w:left="0" w:hanging="5"/>
              <w:jc w:val="both"/>
              <w:rPr>
                <w:rFonts w:ascii="Arial" w:hAnsi="Arial" w:eastAsia="宋体" w:cs="Arial"/>
                <w:sz w:val="24"/>
                <w:szCs w:val="24"/>
                <w:lang w:eastAsia="zh-CN"/>
              </w:rPr>
            </w:pPr>
            <w:r>
              <w:rPr>
                <w:rFonts w:ascii="Arial" w:hAnsi="Arial" w:eastAsia="宋体" w:cs="Arial"/>
                <w:sz w:val="24"/>
                <w:szCs w:val="24"/>
                <w:lang w:eastAsia="zh-CN"/>
              </w:rPr>
              <w:t>OC和ODE将遵守</w:t>
            </w:r>
            <w:r>
              <w:rPr>
                <w:rFonts w:hint="eastAsia" w:ascii="Arial" w:hAnsi="Arial" w:eastAsia="宋体" w:cs="Arial"/>
                <w:sz w:val="24"/>
                <w:szCs w:val="24"/>
                <w:lang w:eastAsia="zh-CN"/>
              </w:rPr>
              <w:t>的</w:t>
            </w:r>
            <w:r>
              <w:rPr>
                <w:rFonts w:ascii="Arial" w:hAnsi="Arial" w:eastAsia="宋体" w:cs="Arial"/>
                <w:sz w:val="24"/>
                <w:szCs w:val="24"/>
                <w:lang w:eastAsia="zh-CN"/>
              </w:rPr>
              <w:t>新程序见所附指南。此类程序的流程图（标题为“召回器械的拟定修复的510 （k）要求”）见附件B。如果贵公司在将此类程序应用于贵公司可能发现的具体情况方面存有疑问，请联系ODE，510（k）工作人员，获得附加</w:t>
            </w:r>
            <w:r>
              <w:rPr>
                <w:rFonts w:hint="eastAsia" w:ascii="Arial" w:hAnsi="Arial" w:eastAsia="宋体" w:cs="Arial"/>
                <w:sz w:val="24"/>
                <w:szCs w:val="24"/>
                <w:lang w:eastAsia="zh-CN"/>
              </w:rPr>
              <w:t>指南</w:t>
            </w:r>
            <w:r>
              <w:rPr>
                <w:rFonts w:ascii="Arial" w:hAnsi="Arial" w:eastAsia="宋体" w:cs="Arial"/>
                <w:sz w:val="24"/>
                <w:szCs w:val="24"/>
                <w:lang w:eastAsia="zh-CN"/>
              </w:rPr>
              <w:t>。</w:t>
            </w:r>
          </w:p>
          <w:p w14:paraId="7EA84B21">
            <w:pPr>
              <w:overflowPunct w:val="0"/>
              <w:snapToGrid w:val="0"/>
              <w:spacing w:before="4" w:line="360" w:lineRule="auto"/>
              <w:jc w:val="both"/>
              <w:rPr>
                <w:rFonts w:ascii="Arial" w:hAnsi="Arial" w:eastAsia="宋体" w:cs="Arial"/>
                <w:sz w:val="24"/>
                <w:szCs w:val="24"/>
                <w:lang w:eastAsia="zh-CN"/>
              </w:rPr>
            </w:pPr>
          </w:p>
          <w:p w14:paraId="73CF8380">
            <w:pPr>
              <w:pStyle w:val="4"/>
              <w:overflowPunct w:val="0"/>
              <w:snapToGrid w:val="0"/>
              <w:spacing w:line="360" w:lineRule="auto"/>
              <w:ind w:left="0"/>
              <w:jc w:val="both"/>
              <w:rPr>
                <w:rFonts w:ascii="Arial" w:hAnsi="Arial" w:eastAsia="宋体" w:cs="Arial"/>
                <w:sz w:val="24"/>
                <w:szCs w:val="24"/>
                <w:lang w:eastAsia="zh-CN"/>
              </w:rPr>
            </w:pPr>
            <w:r>
              <w:rPr>
                <w:rFonts w:ascii="Arial" w:hAnsi="Arial" w:eastAsia="宋体" w:cs="Arial"/>
                <w:sz w:val="24"/>
                <w:szCs w:val="24"/>
                <w:lang w:eastAsia="zh-CN"/>
              </w:rPr>
              <w:t>生效日期</w:t>
            </w:r>
          </w:p>
          <w:p w14:paraId="75F744BD">
            <w:pPr>
              <w:pStyle w:val="4"/>
              <w:overflowPunct w:val="0"/>
              <w:snapToGrid w:val="0"/>
              <w:spacing w:line="360" w:lineRule="auto"/>
              <w:ind w:left="0"/>
              <w:jc w:val="both"/>
              <w:rPr>
                <w:rFonts w:ascii="Arial" w:hAnsi="Arial" w:eastAsia="宋体" w:cs="Arial"/>
                <w:sz w:val="24"/>
                <w:szCs w:val="24"/>
                <w:lang w:eastAsia="zh-CN"/>
              </w:rPr>
            </w:pPr>
          </w:p>
          <w:p w14:paraId="4600BF2E">
            <w:pPr>
              <w:pStyle w:val="4"/>
              <w:overflowPunct w:val="0"/>
              <w:snapToGrid w:val="0"/>
              <w:spacing w:line="360" w:lineRule="auto"/>
              <w:ind w:left="0"/>
              <w:jc w:val="both"/>
              <w:rPr>
                <w:rFonts w:ascii="Arial" w:hAnsi="Arial" w:eastAsia="宋体" w:cs="Arial"/>
                <w:sz w:val="24"/>
                <w:szCs w:val="24"/>
                <w:lang w:eastAsia="zh-CN"/>
              </w:rPr>
            </w:pPr>
            <w:r>
              <w:rPr>
                <w:rFonts w:ascii="Arial" w:hAnsi="Arial" w:eastAsia="宋体" w:cs="Arial"/>
                <w:sz w:val="24"/>
                <w:szCs w:val="24"/>
                <w:lang w:eastAsia="zh-CN"/>
              </w:rPr>
              <w:t>本备忘录立即生效</w:t>
            </w:r>
          </w:p>
          <w:p w14:paraId="07F81216">
            <w:pPr>
              <w:pStyle w:val="4"/>
              <w:overflowPunct w:val="0"/>
              <w:snapToGrid w:val="0"/>
              <w:spacing w:line="360" w:lineRule="auto"/>
              <w:ind w:left="0"/>
              <w:jc w:val="both"/>
              <w:rPr>
                <w:rFonts w:ascii="Arial" w:hAnsi="Arial" w:eastAsia="宋体" w:cs="Arial"/>
                <w:sz w:val="24"/>
                <w:szCs w:val="24"/>
                <w:lang w:eastAsia="zh-CN"/>
              </w:rPr>
            </w:pPr>
          </w:p>
          <w:p w14:paraId="45946C74">
            <w:pPr>
              <w:pStyle w:val="4"/>
              <w:overflowPunct w:val="0"/>
              <w:snapToGrid w:val="0"/>
              <w:spacing w:line="360" w:lineRule="auto"/>
              <w:ind w:left="0"/>
              <w:jc w:val="both"/>
              <w:rPr>
                <w:rFonts w:ascii="Arial" w:hAnsi="Arial" w:eastAsia="宋体" w:cs="Arial"/>
                <w:sz w:val="24"/>
                <w:szCs w:val="24"/>
                <w:lang w:eastAsia="zh-CN"/>
              </w:rPr>
            </w:pPr>
          </w:p>
          <w:p w14:paraId="46017BCE">
            <w:pPr>
              <w:pStyle w:val="4"/>
              <w:overflowPunct w:val="0"/>
              <w:snapToGrid w:val="0"/>
              <w:spacing w:line="360" w:lineRule="auto"/>
              <w:ind w:left="0"/>
              <w:jc w:val="center"/>
              <w:rPr>
                <w:rFonts w:ascii="Arial" w:hAnsi="Arial" w:eastAsia="宋体" w:cs="Arial"/>
                <w:sz w:val="24"/>
                <w:szCs w:val="24"/>
                <w:lang w:eastAsia="zh-CN"/>
              </w:rPr>
            </w:pPr>
            <w:r>
              <w:rPr>
                <w:rFonts w:ascii="Arial" w:hAnsi="Arial" w:eastAsia="宋体" w:cs="Arial"/>
                <w:sz w:val="24"/>
                <w:szCs w:val="24"/>
                <w:lang w:eastAsia="zh-CN"/>
              </w:rPr>
              <w:t>Susan Alpert，Ph.D., O.D.</w:t>
            </w:r>
          </w:p>
        </w:tc>
      </w:tr>
    </w:tbl>
    <w:p w14:paraId="3B019F57">
      <w:pPr>
        <w:overflowPunct w:val="0"/>
        <w:snapToGrid w:val="0"/>
        <w:spacing w:line="360" w:lineRule="auto"/>
        <w:jc w:val="both"/>
        <w:rPr>
          <w:rFonts w:ascii="Arial" w:hAnsi="Arial" w:eastAsia="宋体" w:cs="Arial"/>
          <w:sz w:val="24"/>
          <w:szCs w:val="24"/>
          <w:lang w:eastAsia="zh-CN"/>
        </w:rPr>
      </w:pPr>
    </w:p>
    <w:p w14:paraId="31EDE2BD">
      <w:pPr>
        <w:pStyle w:val="4"/>
        <w:overflowPunct w:val="0"/>
        <w:snapToGrid w:val="0"/>
        <w:spacing w:line="360" w:lineRule="auto"/>
        <w:ind w:left="0"/>
        <w:jc w:val="both"/>
        <w:rPr>
          <w:rFonts w:ascii="Arial" w:hAnsi="Arial" w:eastAsia="宋体" w:cs="Arial"/>
          <w:sz w:val="24"/>
          <w:szCs w:val="24"/>
          <w:lang w:eastAsia="zh-CN"/>
        </w:rPr>
      </w:pPr>
      <w:r>
        <w:rPr>
          <w:rFonts w:ascii="Arial" w:hAnsi="Arial" w:eastAsia="宋体" w:cs="Arial"/>
          <w:sz w:val="24"/>
          <w:szCs w:val="24"/>
        </w:rPr>
        <w:br w:type="page"/>
      </w:r>
    </w:p>
    <w:tbl>
      <w:tblPr>
        <w:tblStyle w:val="10"/>
        <w:tblW w:w="0" w:type="auto"/>
        <w:tblInd w:w="0" w:type="dxa"/>
        <w:tbl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insideH w:val="single" w:color="7F7F7F" w:themeColor="background1" w:themeShade="80" w:sz="4" w:space="0"/>
          <w:insideV w:val="single" w:color="7F7F7F" w:themeColor="background1" w:themeShade="80" w:sz="4" w:space="0"/>
        </w:tblBorders>
        <w:tblLayout w:type="autofit"/>
        <w:tblCellMar>
          <w:top w:w="0" w:type="dxa"/>
          <w:left w:w="108" w:type="dxa"/>
          <w:bottom w:w="0" w:type="dxa"/>
          <w:right w:w="108" w:type="dxa"/>
        </w:tblCellMar>
      </w:tblPr>
      <w:tblGrid>
        <w:gridCol w:w="10992"/>
      </w:tblGrid>
      <w:tr w14:paraId="5CB82BD9">
        <w:tblPrEx>
          <w:tbl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insideH w:val="single" w:color="7F7F7F" w:themeColor="background1" w:themeShade="80" w:sz="4" w:space="0"/>
            <w:insideV w:val="single" w:color="7F7F7F" w:themeColor="background1" w:themeShade="80" w:sz="4" w:space="0"/>
          </w:tblBorders>
          <w:tblCellMar>
            <w:top w:w="0" w:type="dxa"/>
            <w:left w:w="108" w:type="dxa"/>
            <w:bottom w:w="0" w:type="dxa"/>
            <w:right w:w="108" w:type="dxa"/>
          </w:tblCellMar>
        </w:tblPrEx>
        <w:tc>
          <w:tcPr>
            <w:tcW w:w="10992" w:type="dxa"/>
          </w:tcPr>
          <w:p w14:paraId="1F1F5F94">
            <w:pPr>
              <w:pStyle w:val="4"/>
              <w:overflowPunct w:val="0"/>
              <w:snapToGrid w:val="0"/>
              <w:spacing w:line="360" w:lineRule="auto"/>
              <w:ind w:left="0"/>
              <w:jc w:val="both"/>
              <w:rPr>
                <w:rFonts w:ascii="Arial" w:hAnsi="Arial" w:eastAsia="宋体" w:cs="Arial"/>
                <w:sz w:val="24"/>
                <w:szCs w:val="24"/>
                <w:lang w:eastAsia="zh-CN"/>
              </w:rPr>
            </w:pPr>
            <w:r>
              <w:rPr>
                <w:rFonts w:ascii="Arial" w:hAnsi="Arial" w:eastAsia="宋体" w:cs="Arial"/>
                <w:sz w:val="24"/>
                <w:szCs w:val="24"/>
                <w:lang w:eastAsia="zh-CN"/>
              </w:rPr>
              <w:t xml:space="preserve">510（k） 备忘录- </w:t>
            </w:r>
            <w:r>
              <w:rPr>
                <w:rFonts w:hint="eastAsia" w:ascii="Arial" w:hAnsi="Arial" w:eastAsia="宋体" w:cs="Arial"/>
                <w:sz w:val="24"/>
                <w:szCs w:val="24"/>
                <w:lang w:eastAsia="zh-CN"/>
              </w:rPr>
              <w:t>编号</w:t>
            </w:r>
            <w:r>
              <w:rPr>
                <w:rFonts w:ascii="Arial" w:hAnsi="Arial" w:eastAsia="宋体" w:cs="Arial"/>
                <w:sz w:val="24"/>
                <w:szCs w:val="24"/>
                <w:lang w:eastAsia="zh-CN"/>
              </w:rPr>
              <w:t>K95-1</w:t>
            </w:r>
          </w:p>
          <w:p w14:paraId="1FF81F4B">
            <w:pPr>
              <w:overflowPunct w:val="0"/>
              <w:snapToGrid w:val="0"/>
              <w:spacing w:line="360" w:lineRule="auto"/>
              <w:jc w:val="both"/>
              <w:rPr>
                <w:rFonts w:ascii="Arial" w:hAnsi="Arial" w:eastAsia="宋体" w:cs="Arial"/>
                <w:sz w:val="24"/>
                <w:szCs w:val="24"/>
                <w:lang w:eastAsia="zh-CN"/>
              </w:rPr>
            </w:pPr>
          </w:p>
          <w:p w14:paraId="09EF10E1">
            <w:pPr>
              <w:overflowPunct w:val="0"/>
              <w:snapToGrid w:val="0"/>
              <w:spacing w:line="360" w:lineRule="auto"/>
              <w:jc w:val="center"/>
              <w:rPr>
                <w:rFonts w:ascii="Arial" w:hAnsi="Arial" w:eastAsia="宋体" w:cs="Arial"/>
                <w:sz w:val="24"/>
                <w:szCs w:val="24"/>
                <w:lang w:eastAsia="zh-CN"/>
              </w:rPr>
            </w:pPr>
            <w:r>
              <w:rPr>
                <w:rFonts w:hint="eastAsia" w:ascii="Arial" w:hAnsi="Arial" w:eastAsia="宋体" w:cs="Arial"/>
                <w:sz w:val="24"/>
                <w:szCs w:val="24"/>
                <w:lang w:eastAsia="zh-CN"/>
              </w:rPr>
              <w:t>附件A — 第1页</w:t>
            </w:r>
          </w:p>
          <w:p w14:paraId="3465761D">
            <w:pPr>
              <w:overflowPunct w:val="0"/>
              <w:snapToGrid w:val="0"/>
              <w:spacing w:line="360" w:lineRule="auto"/>
              <w:jc w:val="both"/>
              <w:rPr>
                <w:rFonts w:ascii="Arial" w:hAnsi="Arial" w:eastAsia="宋体" w:cs="Arial"/>
                <w:sz w:val="24"/>
                <w:szCs w:val="24"/>
                <w:lang w:eastAsia="zh-CN"/>
              </w:rPr>
            </w:pPr>
          </w:p>
          <w:p w14:paraId="6BE66874">
            <w:pPr>
              <w:overflowPunct w:val="0"/>
              <w:snapToGrid w:val="0"/>
              <w:spacing w:before="225" w:line="360" w:lineRule="auto"/>
              <w:jc w:val="both"/>
              <w:rPr>
                <w:rFonts w:ascii="Arial" w:hAnsi="Arial" w:eastAsia="宋体" w:cs="Arial"/>
                <w:sz w:val="24"/>
                <w:szCs w:val="24"/>
                <w:lang w:eastAsia="zh-CN"/>
              </w:rPr>
            </w:pPr>
            <w:r>
              <w:rPr>
                <w:rFonts w:ascii="Arial" w:hAnsi="Arial" w:eastAsia="宋体" w:cs="Arial"/>
                <w:sz w:val="24"/>
                <w:szCs w:val="24"/>
                <w:lang w:eastAsia="zh-CN"/>
              </w:rPr>
              <w:t>1995年10月27日</w:t>
            </w:r>
          </w:p>
          <w:p w14:paraId="20C21B08">
            <w:pPr>
              <w:overflowPunct w:val="0"/>
              <w:snapToGrid w:val="0"/>
              <w:spacing w:before="2" w:line="360" w:lineRule="auto"/>
              <w:jc w:val="both"/>
              <w:rPr>
                <w:rFonts w:ascii="Arial" w:hAnsi="Arial" w:eastAsia="宋体" w:cs="Arial"/>
                <w:sz w:val="24"/>
                <w:szCs w:val="24"/>
                <w:lang w:eastAsia="zh-CN"/>
              </w:rPr>
            </w:pPr>
          </w:p>
          <w:p w14:paraId="7972B2F7">
            <w:pPr>
              <w:pStyle w:val="5"/>
              <w:overflowPunct w:val="0"/>
              <w:snapToGrid w:val="0"/>
              <w:spacing w:before="64" w:line="360" w:lineRule="auto"/>
              <w:ind w:left="0"/>
              <w:jc w:val="both"/>
              <w:rPr>
                <w:rFonts w:ascii="Arial" w:hAnsi="Arial" w:eastAsia="宋体" w:cs="Arial"/>
                <w:sz w:val="24"/>
                <w:szCs w:val="24"/>
                <w:lang w:eastAsia="zh-CN"/>
              </w:rPr>
            </w:pPr>
            <w:r>
              <w:rPr>
                <w:rFonts w:ascii="Arial" w:hAnsi="Arial" w:eastAsia="宋体" w:cs="Arial"/>
                <w:sz w:val="24"/>
                <w:szCs w:val="24"/>
                <w:lang w:eastAsia="zh-CN"/>
              </w:rPr>
              <w:t>公司</w:t>
            </w:r>
            <w:r>
              <w:rPr>
                <w:rFonts w:hint="eastAsia" w:ascii="Arial" w:hAnsi="Arial" w:eastAsia="宋体" w:cs="Arial"/>
                <w:sz w:val="24"/>
                <w:szCs w:val="24"/>
                <w:lang w:eastAsia="zh-CN"/>
              </w:rPr>
              <w:t>发起</w:t>
            </w:r>
            <w:r>
              <w:rPr>
                <w:rFonts w:ascii="Arial" w:hAnsi="Arial" w:eastAsia="宋体" w:cs="Arial"/>
                <w:sz w:val="24"/>
                <w:szCs w:val="24"/>
                <w:lang w:eastAsia="zh-CN"/>
              </w:rPr>
              <w:t>合法上市器械期间的召回和上市前通知审查指南</w:t>
            </w:r>
          </w:p>
          <w:p w14:paraId="26D2A580">
            <w:pPr>
              <w:overflowPunct w:val="0"/>
              <w:snapToGrid w:val="0"/>
              <w:spacing w:line="360" w:lineRule="auto"/>
              <w:jc w:val="both"/>
              <w:rPr>
                <w:rFonts w:ascii="Arial" w:hAnsi="Arial" w:eastAsia="宋体" w:cs="Arial"/>
                <w:sz w:val="24"/>
                <w:szCs w:val="24"/>
                <w:lang w:eastAsia="zh-CN"/>
              </w:rPr>
            </w:pPr>
          </w:p>
          <w:p w14:paraId="7ABF46AD">
            <w:pPr>
              <w:overflowPunct w:val="0"/>
              <w:snapToGrid w:val="0"/>
              <w:spacing w:line="360" w:lineRule="auto"/>
              <w:jc w:val="both"/>
              <w:rPr>
                <w:rFonts w:ascii="Arial" w:hAnsi="Arial" w:eastAsia="宋体" w:cs="Arial"/>
                <w:sz w:val="24"/>
                <w:szCs w:val="24"/>
                <w:lang w:eastAsia="zh-CN"/>
              </w:rPr>
            </w:pPr>
          </w:p>
          <w:p w14:paraId="66B8A020">
            <w:pPr>
              <w:pStyle w:val="5"/>
              <w:overflowPunct w:val="0"/>
              <w:snapToGrid w:val="0"/>
              <w:spacing w:before="200" w:line="360" w:lineRule="auto"/>
              <w:ind w:left="0"/>
              <w:jc w:val="both"/>
              <w:rPr>
                <w:rFonts w:ascii="Arial" w:hAnsi="Arial" w:eastAsia="宋体" w:cs="Arial"/>
                <w:sz w:val="24"/>
                <w:szCs w:val="24"/>
                <w:lang w:eastAsia="zh-CN"/>
              </w:rPr>
            </w:pPr>
            <w:r>
              <w:rPr>
                <w:rFonts w:ascii="Arial" w:hAnsi="Arial" w:eastAsia="宋体" w:cs="Arial"/>
                <w:sz w:val="24"/>
                <w:szCs w:val="24"/>
                <w:lang w:eastAsia="zh-CN"/>
              </w:rPr>
              <w:t>适用范围和目的</w:t>
            </w:r>
          </w:p>
          <w:p w14:paraId="1108B99D">
            <w:pPr>
              <w:pStyle w:val="5"/>
              <w:overflowPunct w:val="0"/>
              <w:snapToGrid w:val="0"/>
              <w:spacing w:before="186" w:line="360" w:lineRule="auto"/>
              <w:ind w:left="0"/>
              <w:jc w:val="both"/>
              <w:rPr>
                <w:rFonts w:ascii="Arial" w:hAnsi="Arial" w:eastAsia="宋体" w:cs="Arial"/>
                <w:sz w:val="24"/>
                <w:szCs w:val="24"/>
                <w:lang w:eastAsia="zh-CN"/>
              </w:rPr>
            </w:pPr>
            <w:r>
              <w:rPr>
                <w:rFonts w:ascii="Arial" w:hAnsi="Arial" w:eastAsia="宋体" w:cs="Arial"/>
                <w:sz w:val="24"/>
                <w:szCs w:val="24"/>
                <w:lang w:eastAsia="zh-CN"/>
              </w:rPr>
              <w:t>本程序</w:t>
            </w:r>
            <w:r>
              <w:rPr>
                <w:rFonts w:hint="eastAsia" w:ascii="Arial" w:hAnsi="Arial" w:eastAsia="宋体" w:cs="Arial"/>
                <w:sz w:val="24"/>
                <w:szCs w:val="24"/>
                <w:lang w:eastAsia="zh-CN"/>
              </w:rPr>
              <w:t>指南</w:t>
            </w:r>
            <w:r>
              <w:rPr>
                <w:rFonts w:ascii="Arial" w:hAnsi="Arial" w:eastAsia="宋体" w:cs="Arial"/>
                <w:sz w:val="24"/>
                <w:szCs w:val="24"/>
                <w:lang w:eastAsia="zh-CN"/>
              </w:rPr>
              <w:t>适用于公司通知食品药品监督管理局（FDA）其打算对合法上市器械（如21 CFR 807. 92 （a） （3）所定义）进行修改以纠正召回原因的召回行动。如果公司提出的纠正方案会改变器械，而不仅仅按器械原</w:t>
            </w:r>
            <w:r>
              <w:rPr>
                <w:rFonts w:hint="eastAsia" w:ascii="Arial" w:hAnsi="Arial" w:eastAsia="宋体" w:cs="Arial"/>
                <w:sz w:val="24"/>
                <w:szCs w:val="24"/>
                <w:lang w:eastAsia="zh-CN"/>
              </w:rPr>
              <w:t>质量标准</w:t>
            </w:r>
            <w:r>
              <w:rPr>
                <w:rFonts w:ascii="Arial" w:hAnsi="Arial" w:eastAsia="宋体" w:cs="Arial"/>
                <w:sz w:val="24"/>
                <w:szCs w:val="24"/>
                <w:lang w:eastAsia="zh-CN"/>
              </w:rPr>
              <w:t>进行存储，器械和放射卫生中心（CDRH）可能会因召回过程和上市前通知（510（K））过程而对纠正方案进行冗余审查。本指南将说明用于审查此类修改的过程，消除两种过程均适用时的冗余程序，以期缺陷器械可得到及时纠正。本指南将取代1994年6月29日CDRH合规办公室前任主任给OC工作人员的备忘录中提供的、有关此主题的指南。</w:t>
            </w:r>
          </w:p>
          <w:p w14:paraId="47FBBD5D">
            <w:pPr>
              <w:pStyle w:val="5"/>
              <w:overflowPunct w:val="0"/>
              <w:snapToGrid w:val="0"/>
              <w:spacing w:before="186" w:line="360" w:lineRule="auto"/>
              <w:ind w:left="0"/>
              <w:jc w:val="both"/>
              <w:rPr>
                <w:rFonts w:ascii="Arial" w:hAnsi="Arial" w:eastAsia="宋体" w:cs="Arial"/>
                <w:sz w:val="24"/>
                <w:szCs w:val="24"/>
                <w:lang w:eastAsia="zh-CN"/>
              </w:rPr>
            </w:pPr>
            <w:r>
              <w:rPr>
                <w:rFonts w:ascii="Arial" w:hAnsi="Arial" w:eastAsia="宋体" w:cs="Arial"/>
                <w:sz w:val="24"/>
                <w:szCs w:val="24"/>
                <w:lang w:eastAsia="zh-CN"/>
              </w:rPr>
              <w:t>本指南不适用于：未获得适当的上市前许可</w:t>
            </w:r>
            <w:r>
              <w:rPr>
                <w:rFonts w:hint="eastAsia" w:ascii="Arial" w:hAnsi="Arial" w:eastAsia="宋体" w:cs="Arial"/>
                <w:sz w:val="24"/>
                <w:szCs w:val="24"/>
                <w:lang w:eastAsia="zh-CN"/>
              </w:rPr>
              <w:t>即上市</w:t>
            </w:r>
            <w:r>
              <w:rPr>
                <w:rFonts w:ascii="Arial" w:hAnsi="Arial" w:eastAsia="宋体" w:cs="Arial"/>
                <w:sz w:val="24"/>
                <w:szCs w:val="24"/>
                <w:lang w:eastAsia="zh-CN"/>
              </w:rPr>
              <w:t>器械</w:t>
            </w:r>
            <w:r>
              <w:rPr>
                <w:rFonts w:hint="eastAsia" w:ascii="Arial" w:hAnsi="Arial" w:eastAsia="宋体" w:cs="Arial"/>
                <w:sz w:val="24"/>
                <w:szCs w:val="24"/>
                <w:lang w:eastAsia="zh-CN"/>
              </w:rPr>
              <w:t>的</w:t>
            </w:r>
            <w:r>
              <w:rPr>
                <w:rFonts w:ascii="Arial" w:hAnsi="Arial" w:eastAsia="宋体" w:cs="Arial"/>
                <w:sz w:val="24"/>
                <w:szCs w:val="24"/>
                <w:lang w:eastAsia="zh-CN"/>
              </w:rPr>
              <w:t>召回行动；在执行后而不是在执行前通知FDA的纠正方案；</w:t>
            </w:r>
            <w:r>
              <w:rPr>
                <w:rFonts w:hint="eastAsia" w:ascii="Arial" w:hAnsi="Arial" w:eastAsia="宋体" w:cs="Arial"/>
                <w:sz w:val="24"/>
                <w:szCs w:val="24"/>
                <w:lang w:eastAsia="zh-CN"/>
              </w:rPr>
              <w:t>非真实</w:t>
            </w:r>
            <w:r>
              <w:rPr>
                <w:rFonts w:ascii="Arial" w:hAnsi="Arial" w:eastAsia="宋体" w:cs="Arial"/>
                <w:sz w:val="24"/>
                <w:szCs w:val="24"/>
                <w:lang w:eastAsia="zh-CN"/>
              </w:rPr>
              <w:t>召回情况。</w:t>
            </w:r>
          </w:p>
          <w:p w14:paraId="4734ECC4">
            <w:pPr>
              <w:pStyle w:val="5"/>
              <w:overflowPunct w:val="0"/>
              <w:snapToGrid w:val="0"/>
              <w:spacing w:before="186" w:line="360" w:lineRule="auto"/>
              <w:ind w:left="0"/>
              <w:jc w:val="both"/>
              <w:rPr>
                <w:rFonts w:ascii="Arial" w:hAnsi="Arial" w:eastAsia="宋体" w:cs="Arial"/>
                <w:sz w:val="24"/>
                <w:szCs w:val="24"/>
                <w:lang w:eastAsia="zh-CN"/>
              </w:rPr>
            </w:pPr>
            <w:r>
              <w:rPr>
                <w:rFonts w:ascii="Arial" w:hAnsi="Arial" w:eastAsia="宋体" w:cs="Arial"/>
                <w:sz w:val="24"/>
                <w:szCs w:val="24"/>
                <w:lang w:eastAsia="zh-CN"/>
              </w:rPr>
              <w:t>方法</w:t>
            </w:r>
          </w:p>
          <w:p w14:paraId="439256BD">
            <w:pPr>
              <w:pStyle w:val="5"/>
              <w:overflowPunct w:val="0"/>
              <w:snapToGrid w:val="0"/>
              <w:spacing w:before="186" w:line="360" w:lineRule="auto"/>
              <w:ind w:left="0"/>
              <w:jc w:val="both"/>
              <w:rPr>
                <w:rFonts w:ascii="Arial" w:hAnsi="Arial" w:eastAsia="宋体" w:cs="Arial"/>
                <w:sz w:val="24"/>
                <w:szCs w:val="24"/>
                <w:lang w:eastAsia="zh-CN"/>
              </w:rPr>
            </w:pPr>
            <w:r>
              <w:rPr>
                <w:rFonts w:ascii="Arial" w:hAnsi="Arial" w:eastAsia="宋体" w:cs="Arial"/>
                <w:sz w:val="24"/>
                <w:szCs w:val="24"/>
                <w:lang w:eastAsia="zh-CN"/>
              </w:rPr>
              <w:t>附图总结了CDRH用于确定是否仅通过召回过程或通过召回过程和510（K）过程对拟定纠正方案进行审查的决策过程。此过程的基本意图是避免对拟定器械纠正方案进行重复审查。在CDRH中，由OC全权负责协调召回决策过程，而器械评价办公室（ODE）则负责作出附图指定的某些决策。</w:t>
            </w:r>
          </w:p>
          <w:p w14:paraId="10124837">
            <w:pPr>
              <w:pStyle w:val="4"/>
              <w:overflowPunct w:val="0"/>
              <w:snapToGrid w:val="0"/>
              <w:spacing w:line="360" w:lineRule="auto"/>
              <w:ind w:left="0"/>
              <w:jc w:val="both"/>
              <w:rPr>
                <w:rFonts w:ascii="Arial" w:hAnsi="Arial" w:eastAsia="宋体" w:cs="Arial"/>
                <w:sz w:val="24"/>
                <w:szCs w:val="24"/>
                <w:lang w:eastAsia="zh-CN"/>
              </w:rPr>
            </w:pPr>
          </w:p>
          <w:p w14:paraId="3E428573">
            <w:pPr>
              <w:pStyle w:val="4"/>
              <w:overflowPunct w:val="0"/>
              <w:snapToGrid w:val="0"/>
              <w:spacing w:line="360" w:lineRule="auto"/>
              <w:ind w:left="0"/>
              <w:jc w:val="both"/>
              <w:rPr>
                <w:rFonts w:ascii="Arial" w:hAnsi="Arial" w:eastAsia="宋体" w:cs="Arial"/>
                <w:sz w:val="24"/>
                <w:szCs w:val="24"/>
                <w:lang w:eastAsia="zh-CN"/>
              </w:rPr>
            </w:pPr>
          </w:p>
        </w:tc>
      </w:tr>
    </w:tbl>
    <w:p w14:paraId="2245BA6B">
      <w:pPr>
        <w:pStyle w:val="4"/>
        <w:overflowPunct w:val="0"/>
        <w:snapToGrid w:val="0"/>
        <w:spacing w:line="360" w:lineRule="auto"/>
        <w:ind w:left="0"/>
        <w:jc w:val="both"/>
        <w:rPr>
          <w:rFonts w:ascii="Arial" w:hAnsi="Arial" w:eastAsia="宋体" w:cs="Arial"/>
          <w:sz w:val="24"/>
          <w:szCs w:val="24"/>
          <w:lang w:eastAsia="zh-CN"/>
        </w:rPr>
      </w:pPr>
    </w:p>
    <w:p w14:paraId="23F5FBE1">
      <w:pPr>
        <w:snapToGrid w:val="0"/>
        <w:spacing w:line="360" w:lineRule="auto"/>
        <w:rPr>
          <w:rFonts w:ascii="Arial" w:hAnsi="Arial" w:eastAsia="宋体" w:cs="Arial"/>
          <w:sz w:val="24"/>
          <w:szCs w:val="24"/>
          <w:lang w:eastAsia="zh-CN"/>
        </w:rPr>
      </w:pPr>
      <w:r>
        <w:rPr>
          <w:rFonts w:ascii="Arial" w:hAnsi="Arial" w:eastAsia="宋体" w:cs="Arial"/>
          <w:sz w:val="24"/>
          <w:szCs w:val="24"/>
          <w:lang w:eastAsia="zh-CN"/>
        </w:rPr>
        <w:br w:type="page"/>
      </w:r>
    </w:p>
    <w:tbl>
      <w:tblPr>
        <w:tblStyle w:val="10"/>
        <w:tblW w:w="0" w:type="auto"/>
        <w:tblInd w:w="0" w:type="dxa"/>
        <w:tbl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insideH w:val="single" w:color="7F7F7F" w:themeColor="background1" w:themeShade="80" w:sz="4" w:space="0"/>
          <w:insideV w:val="single" w:color="7F7F7F" w:themeColor="background1" w:themeShade="80" w:sz="4" w:space="0"/>
        </w:tblBorders>
        <w:tblLayout w:type="autofit"/>
        <w:tblCellMar>
          <w:top w:w="0" w:type="dxa"/>
          <w:left w:w="108" w:type="dxa"/>
          <w:bottom w:w="0" w:type="dxa"/>
          <w:right w:w="108" w:type="dxa"/>
        </w:tblCellMar>
      </w:tblPr>
      <w:tblGrid>
        <w:gridCol w:w="10992"/>
      </w:tblGrid>
      <w:tr w14:paraId="2579D1C0">
        <w:tblPrEx>
          <w:tbl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insideH w:val="single" w:color="7F7F7F" w:themeColor="background1" w:themeShade="80" w:sz="4" w:space="0"/>
            <w:insideV w:val="single" w:color="7F7F7F" w:themeColor="background1" w:themeShade="80" w:sz="4" w:space="0"/>
          </w:tblBorders>
          <w:tblCellMar>
            <w:top w:w="0" w:type="dxa"/>
            <w:left w:w="108" w:type="dxa"/>
            <w:bottom w:w="0" w:type="dxa"/>
            <w:right w:w="108" w:type="dxa"/>
          </w:tblCellMar>
        </w:tblPrEx>
        <w:tc>
          <w:tcPr>
            <w:tcW w:w="10992" w:type="dxa"/>
          </w:tcPr>
          <w:p w14:paraId="34A812E0">
            <w:pPr>
              <w:pStyle w:val="5"/>
              <w:overflowPunct w:val="0"/>
              <w:snapToGrid w:val="0"/>
              <w:spacing w:before="186" w:line="360" w:lineRule="auto"/>
              <w:ind w:left="0"/>
              <w:jc w:val="both"/>
              <w:rPr>
                <w:rFonts w:ascii="Arial" w:hAnsi="Arial" w:eastAsia="宋体" w:cs="Arial"/>
                <w:sz w:val="24"/>
                <w:szCs w:val="24"/>
                <w:lang w:eastAsia="zh-CN"/>
              </w:rPr>
            </w:pPr>
            <w:r>
              <w:rPr>
                <w:rFonts w:ascii="Arial" w:hAnsi="Arial" w:eastAsia="宋体" w:cs="Arial"/>
                <w:sz w:val="24"/>
                <w:szCs w:val="24"/>
                <w:lang w:eastAsia="zh-CN"/>
              </w:rPr>
              <w:t>在召回行动期间，OC的案件负责人将审查公司的召回策略，确定该公司的纠正措施是否包括将对器械进行的拟定修改。作出此</w:t>
            </w:r>
            <w:r>
              <w:rPr>
                <w:rFonts w:hint="eastAsia" w:ascii="Arial" w:hAnsi="Arial" w:eastAsia="宋体" w:cs="Arial"/>
                <w:sz w:val="24"/>
                <w:szCs w:val="24"/>
                <w:lang w:eastAsia="zh-CN"/>
              </w:rPr>
              <w:t>决定</w:t>
            </w:r>
            <w:r>
              <w:rPr>
                <w:rFonts w:ascii="Arial" w:hAnsi="Arial" w:eastAsia="宋体" w:cs="Arial"/>
                <w:sz w:val="24"/>
                <w:szCs w:val="24"/>
                <w:lang w:eastAsia="zh-CN"/>
              </w:rPr>
              <w:t>时，OC的案件负责人将考虑纠正方案是否改变器械，而不仅仅按器械原</w:t>
            </w:r>
            <w:r>
              <w:rPr>
                <w:rFonts w:hint="eastAsia" w:ascii="Arial" w:hAnsi="Arial" w:eastAsia="宋体" w:cs="Arial"/>
                <w:sz w:val="24"/>
                <w:szCs w:val="24"/>
                <w:lang w:eastAsia="zh-CN"/>
              </w:rPr>
              <w:t>质量标准</w:t>
            </w:r>
            <w:r>
              <w:rPr>
                <w:rFonts w:ascii="Arial" w:hAnsi="Arial" w:eastAsia="宋体" w:cs="Arial"/>
                <w:sz w:val="24"/>
                <w:szCs w:val="24"/>
                <w:lang w:eastAsia="zh-CN"/>
              </w:rPr>
              <w:t>进行存储。如果纠正方案仅仅按器械原质量标准进行存储（例如，涉及良好制造规范的纠正方案），OC的案件负责人将确定召回是否涉及对器械进行修改。在这种情况下，无需</w:t>
            </w:r>
            <w:r>
              <w:rPr>
                <w:rFonts w:hint="eastAsia" w:ascii="Arial" w:hAnsi="Arial" w:eastAsia="宋体" w:cs="Arial"/>
                <w:sz w:val="24"/>
                <w:szCs w:val="24"/>
                <w:lang w:eastAsia="zh-CN"/>
              </w:rPr>
              <w:t>发布</w:t>
            </w:r>
            <w:r>
              <w:rPr>
                <w:rFonts w:ascii="Arial" w:hAnsi="Arial" w:eastAsia="宋体" w:cs="Arial"/>
                <w:sz w:val="24"/>
                <w:szCs w:val="24"/>
                <w:lang w:eastAsia="zh-CN"/>
              </w:rPr>
              <w:t>510（K），OC的案件负责人将对召回进行相应处理。另一方面，如果该公司的召回策略包括将对器械进行更改的纠正方案，OC的案件负责人将要求合适的ODE部门评估拟定修改是否需要510（K）提交材料。目前，CDRH正在制定有关确定拟定修改是否需要提交510（K）提交材料的指南。</w:t>
            </w:r>
            <w:r>
              <w:rPr>
                <w:rFonts w:hint="eastAsia" w:ascii="Arial" w:hAnsi="Arial" w:eastAsia="宋体" w:cs="Arial"/>
                <w:sz w:val="24"/>
                <w:szCs w:val="24"/>
                <w:lang w:eastAsia="zh-CN"/>
              </w:rPr>
              <w:t>当指南完成编制后，</w:t>
            </w:r>
            <w:r>
              <w:rPr>
                <w:rFonts w:ascii="Arial" w:hAnsi="Arial" w:eastAsia="宋体" w:cs="Arial"/>
                <w:sz w:val="24"/>
                <w:szCs w:val="24"/>
                <w:lang w:eastAsia="zh-CN"/>
              </w:rPr>
              <w:t>ODE</w:t>
            </w:r>
            <w:r>
              <w:rPr>
                <w:rFonts w:hint="eastAsia" w:ascii="Arial" w:hAnsi="Arial" w:eastAsia="宋体" w:cs="Arial"/>
                <w:sz w:val="24"/>
                <w:szCs w:val="24"/>
                <w:lang w:eastAsia="zh-CN"/>
              </w:rPr>
              <w:t>在进行决策时</w:t>
            </w:r>
            <w:r>
              <w:rPr>
                <w:rFonts w:ascii="Arial" w:hAnsi="Arial" w:eastAsia="宋体" w:cs="Arial"/>
                <w:sz w:val="24"/>
                <w:szCs w:val="24"/>
                <w:lang w:eastAsia="zh-CN"/>
              </w:rPr>
              <w:t>将参阅该指南。</w:t>
            </w:r>
          </w:p>
          <w:p w14:paraId="59DAE21E">
            <w:pPr>
              <w:pStyle w:val="5"/>
              <w:overflowPunct w:val="0"/>
              <w:snapToGrid w:val="0"/>
              <w:spacing w:before="186" w:line="360" w:lineRule="auto"/>
              <w:ind w:left="0"/>
              <w:jc w:val="both"/>
              <w:rPr>
                <w:rFonts w:ascii="Arial" w:hAnsi="Arial" w:eastAsia="宋体" w:cs="Arial"/>
                <w:sz w:val="24"/>
                <w:szCs w:val="24"/>
                <w:lang w:eastAsia="zh-CN"/>
              </w:rPr>
            </w:pPr>
            <w:r>
              <w:rPr>
                <w:rFonts w:ascii="Arial" w:hAnsi="Arial" w:eastAsia="宋体" w:cs="Arial"/>
                <w:sz w:val="24"/>
                <w:szCs w:val="24"/>
                <w:lang w:eastAsia="zh-CN"/>
              </w:rPr>
              <w:t>ODE将考虑修改是否会显著影响安全性和有效性（根据21 CFR 807. 81 （a） （3））。由于召回通常涉及可构成健康风险的情况，旨在纠正召回原因的修改通常会影响安全性和有效性。因此，实施会改变器械使用适应症、设计和性能质量标准的纠正方案时通常需要提交510（K）提交材料。但是，如果ODE确定，修改不会显著影响安全性和有效性，则无需提交510（K）提交材料，OC的案件负责人将对召回进行相应处理。</w:t>
            </w:r>
          </w:p>
          <w:p w14:paraId="29F8B769">
            <w:pPr>
              <w:pStyle w:val="5"/>
              <w:overflowPunct w:val="0"/>
              <w:snapToGrid w:val="0"/>
              <w:spacing w:before="186" w:line="360" w:lineRule="auto"/>
              <w:ind w:left="0"/>
              <w:jc w:val="both"/>
              <w:rPr>
                <w:rFonts w:ascii="Arial" w:hAnsi="Arial" w:eastAsia="宋体" w:cs="Arial"/>
                <w:sz w:val="24"/>
                <w:szCs w:val="24"/>
                <w:lang w:eastAsia="zh-CN"/>
              </w:rPr>
            </w:pPr>
            <w:r>
              <w:rPr>
                <w:rFonts w:ascii="Arial" w:hAnsi="Arial" w:eastAsia="宋体" w:cs="Arial"/>
                <w:sz w:val="24"/>
                <w:szCs w:val="24"/>
                <w:lang w:eastAsia="zh-CN"/>
              </w:rPr>
              <w:t>将使用以下程序评估拟定纠正方案是否需要提交510（K）提交材料。一般来说，在召回期间，ODE将试图对纠正方案进行评估，但在510（K）提交材料审查期间，不会再次进行此评估。</w:t>
            </w:r>
          </w:p>
        </w:tc>
      </w:tr>
    </w:tbl>
    <w:p w14:paraId="28D2B933">
      <w:pPr>
        <w:overflowPunct w:val="0"/>
        <w:snapToGrid w:val="0"/>
        <w:spacing w:line="360" w:lineRule="auto"/>
        <w:jc w:val="both"/>
        <w:rPr>
          <w:rFonts w:ascii="Arial" w:hAnsi="Arial" w:eastAsia="宋体" w:cs="Arial"/>
          <w:sz w:val="24"/>
          <w:szCs w:val="24"/>
          <w:lang w:eastAsia="zh-CN"/>
        </w:rPr>
      </w:pPr>
    </w:p>
    <w:p w14:paraId="470A690B">
      <w:pPr>
        <w:snapToGrid w:val="0"/>
        <w:spacing w:line="360" w:lineRule="auto"/>
        <w:rPr>
          <w:lang w:eastAsia="zh-CN"/>
        </w:rPr>
      </w:pPr>
      <w:r>
        <w:rPr>
          <w:lang w:eastAsia="zh-CN"/>
        </w:rPr>
        <w:br w:type="page"/>
      </w:r>
    </w:p>
    <w:tbl>
      <w:tblPr>
        <w:tblStyle w:val="10"/>
        <w:tblW w:w="0" w:type="auto"/>
        <w:tblInd w:w="0" w:type="dxa"/>
        <w:tbl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insideH w:val="single" w:color="7F7F7F" w:themeColor="background1" w:themeShade="80" w:sz="4" w:space="0"/>
          <w:insideV w:val="single" w:color="7F7F7F" w:themeColor="background1" w:themeShade="80" w:sz="4" w:space="0"/>
        </w:tblBorders>
        <w:tblLayout w:type="autofit"/>
        <w:tblCellMar>
          <w:top w:w="0" w:type="dxa"/>
          <w:left w:w="108" w:type="dxa"/>
          <w:bottom w:w="0" w:type="dxa"/>
          <w:right w:w="108" w:type="dxa"/>
        </w:tblCellMar>
      </w:tblPr>
      <w:tblGrid>
        <w:gridCol w:w="10992"/>
      </w:tblGrid>
      <w:tr w14:paraId="47C250C5">
        <w:tblPrEx>
          <w:tbl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insideH w:val="single" w:color="7F7F7F" w:themeColor="background1" w:themeShade="80" w:sz="4" w:space="0"/>
            <w:insideV w:val="single" w:color="7F7F7F" w:themeColor="background1" w:themeShade="80" w:sz="4" w:space="0"/>
          </w:tblBorders>
          <w:tblCellMar>
            <w:top w:w="0" w:type="dxa"/>
            <w:left w:w="108" w:type="dxa"/>
            <w:bottom w:w="0" w:type="dxa"/>
            <w:right w:w="108" w:type="dxa"/>
          </w:tblCellMar>
        </w:tblPrEx>
        <w:tc>
          <w:tcPr>
            <w:tcW w:w="10992" w:type="dxa"/>
          </w:tcPr>
          <w:p w14:paraId="4CBDC7C6">
            <w:pPr>
              <w:pStyle w:val="14"/>
              <w:numPr>
                <w:ilvl w:val="0"/>
                <w:numId w:val="1"/>
              </w:numPr>
              <w:tabs>
                <w:tab w:val="left" w:pos="1175"/>
                <w:tab w:val="left" w:pos="7961"/>
              </w:tabs>
              <w:overflowPunct w:val="0"/>
              <w:snapToGrid w:val="0"/>
              <w:spacing w:line="360" w:lineRule="auto"/>
              <w:ind w:left="556" w:hanging="556"/>
              <w:jc w:val="both"/>
              <w:rPr>
                <w:rFonts w:ascii="Arial" w:hAnsi="Arial" w:eastAsia="宋体" w:cs="Arial"/>
                <w:sz w:val="24"/>
                <w:szCs w:val="24"/>
                <w:lang w:eastAsia="zh-CN"/>
              </w:rPr>
            </w:pPr>
            <w:r>
              <w:rPr>
                <w:rFonts w:ascii="Arial" w:hAnsi="Arial" w:eastAsia="宋体" w:cs="Arial"/>
                <w:sz w:val="24"/>
                <w:szCs w:val="24"/>
                <w:lang w:eastAsia="zh-CN"/>
              </w:rPr>
              <w:t>特殊510（k）——待实施的纠正措施。在召回期间，ODE（如果适用，因征求其他办公室的建议）将试图评估修改是否可使问题得到充分纠正以及改进器械是否具有“实质等同性”。此方法要求公司提供足够的信息，以在召回期间对拟定修改进行评估。如果ODE认为，拟定修改适用，OC将通知公司评估结果，并指示公司提交“特殊型510 （k）——待实施的纠正措施”。ODE将仅对510 （k）进行简单审查，力求在30天内完成审查。简单审查旨在确保510（k）提交材料完整，且仅包括CDRH在召回期间确定可接受的修改。如果尚未获得510（k）许可，CDRH将行使自由裁量权，允许公司实施修改（</w:t>
            </w:r>
            <w:r>
              <w:rPr>
                <w:rFonts w:hint="eastAsia" w:ascii="Arial" w:hAnsi="Arial" w:eastAsia="宋体" w:cs="Arial"/>
                <w:sz w:val="24"/>
                <w:szCs w:val="24"/>
                <w:lang w:eastAsia="zh-CN"/>
              </w:rPr>
              <w:t>包括改进</w:t>
            </w:r>
            <w:r>
              <w:rPr>
                <w:rFonts w:ascii="Arial" w:hAnsi="Arial" w:eastAsia="宋体" w:cs="Arial"/>
                <w:sz w:val="24"/>
                <w:szCs w:val="24"/>
                <w:lang w:eastAsia="zh-CN"/>
              </w:rPr>
              <w:t>产品或新产品）。</w:t>
            </w:r>
          </w:p>
          <w:p w14:paraId="7BB68C3C">
            <w:pPr>
              <w:pStyle w:val="14"/>
              <w:tabs>
                <w:tab w:val="left" w:pos="1175"/>
                <w:tab w:val="left" w:pos="7961"/>
              </w:tabs>
              <w:overflowPunct w:val="0"/>
              <w:snapToGrid w:val="0"/>
              <w:spacing w:line="360" w:lineRule="auto"/>
              <w:jc w:val="both"/>
              <w:rPr>
                <w:rFonts w:ascii="Arial" w:hAnsi="Arial" w:eastAsia="宋体" w:cs="Arial"/>
                <w:sz w:val="24"/>
                <w:szCs w:val="24"/>
                <w:lang w:eastAsia="zh-CN"/>
              </w:rPr>
            </w:pPr>
          </w:p>
          <w:p w14:paraId="25BE1F30">
            <w:pPr>
              <w:pStyle w:val="14"/>
              <w:numPr>
                <w:ilvl w:val="0"/>
                <w:numId w:val="1"/>
              </w:numPr>
              <w:tabs>
                <w:tab w:val="left" w:pos="1170"/>
                <w:tab w:val="left" w:pos="3862"/>
              </w:tabs>
              <w:overflowPunct w:val="0"/>
              <w:snapToGrid w:val="0"/>
              <w:spacing w:line="360" w:lineRule="auto"/>
              <w:ind w:left="680" w:hanging="680"/>
              <w:jc w:val="both"/>
              <w:rPr>
                <w:rFonts w:ascii="Arial" w:hAnsi="Arial" w:eastAsia="宋体" w:cs="Arial"/>
                <w:sz w:val="24"/>
                <w:szCs w:val="24"/>
                <w:lang w:eastAsia="zh-CN"/>
              </w:rPr>
            </w:pPr>
            <w:r>
              <w:rPr>
                <w:rFonts w:ascii="Arial" w:hAnsi="Arial" w:eastAsia="宋体" w:cs="Arial"/>
                <w:sz w:val="24"/>
                <w:szCs w:val="24"/>
                <w:lang w:eastAsia="zh-CN"/>
              </w:rPr>
              <w:t>传统510（k）。如果在召回期间，公司无法提供足够的信息来评估修改（例如，需进行大量试验），</w:t>
            </w:r>
            <w:r>
              <w:rPr>
                <w:rFonts w:hint="eastAsia" w:ascii="Arial" w:hAnsi="Arial" w:eastAsia="宋体" w:cs="Arial"/>
                <w:sz w:val="24"/>
                <w:szCs w:val="24"/>
                <w:lang w:eastAsia="zh-CN"/>
              </w:rPr>
              <w:t>则</w:t>
            </w:r>
            <w:r>
              <w:rPr>
                <w:rFonts w:ascii="Arial" w:hAnsi="Arial" w:eastAsia="宋体" w:cs="Arial"/>
                <w:sz w:val="24"/>
                <w:szCs w:val="24"/>
                <w:lang w:eastAsia="zh-CN"/>
              </w:rPr>
              <w:t>上述方法不可用。在这种情况下，OC将通知公司：将通过510（k）过程，而不是召回过程对修改进行审查；及在获得510</w:t>
            </w:r>
            <w:bookmarkStart w:id="0" w:name="OLE_LINK1"/>
            <w:bookmarkStart w:id="1" w:name="OLE_LINK2"/>
            <w:r>
              <w:rPr>
                <w:rFonts w:ascii="Arial" w:hAnsi="Arial" w:eastAsia="宋体" w:cs="Arial"/>
                <w:sz w:val="24"/>
                <w:szCs w:val="24"/>
                <w:lang w:eastAsia="zh-CN"/>
              </w:rPr>
              <w:t>（k）</w:t>
            </w:r>
            <w:bookmarkEnd w:id="0"/>
            <w:bookmarkEnd w:id="1"/>
            <w:r>
              <w:rPr>
                <w:rFonts w:ascii="Arial" w:hAnsi="Arial" w:eastAsia="宋体" w:cs="Arial"/>
                <w:sz w:val="24"/>
                <w:szCs w:val="24"/>
                <w:lang w:eastAsia="zh-CN"/>
              </w:rPr>
              <w:t>许可前，该公司不得上市改进器械（</w:t>
            </w:r>
            <w:r>
              <w:rPr>
                <w:rFonts w:hint="eastAsia" w:ascii="Arial" w:hAnsi="Arial" w:eastAsia="宋体" w:cs="Arial"/>
                <w:sz w:val="24"/>
                <w:szCs w:val="24"/>
                <w:lang w:eastAsia="zh-CN"/>
              </w:rPr>
              <w:t>包括改进</w:t>
            </w:r>
            <w:r>
              <w:rPr>
                <w:rFonts w:ascii="Arial" w:hAnsi="Arial" w:eastAsia="宋体" w:cs="Arial"/>
                <w:sz w:val="24"/>
                <w:szCs w:val="24"/>
                <w:lang w:eastAsia="zh-CN"/>
              </w:rPr>
              <w:t>产品或新产品）。</w:t>
            </w:r>
            <w:r>
              <w:rPr>
                <w:rFonts w:hint="eastAsia" w:ascii="Arial" w:hAnsi="Arial" w:eastAsia="宋体" w:cs="Arial"/>
                <w:sz w:val="24"/>
                <w:szCs w:val="24"/>
                <w:lang w:eastAsia="zh-CN"/>
              </w:rPr>
              <w:t>如果由于迫切需要该器械且</w:t>
            </w:r>
            <w:r>
              <w:rPr>
                <w:rFonts w:ascii="Arial" w:hAnsi="Arial" w:eastAsia="宋体" w:cs="Arial"/>
                <w:sz w:val="24"/>
                <w:szCs w:val="24"/>
                <w:lang w:eastAsia="zh-CN"/>
              </w:rPr>
              <w:t>ODE</w:t>
            </w:r>
            <w:r>
              <w:rPr>
                <w:rFonts w:hint="eastAsia" w:ascii="Arial" w:hAnsi="Arial" w:eastAsia="宋体" w:cs="Arial"/>
                <w:sz w:val="24"/>
                <w:szCs w:val="24"/>
                <w:lang w:eastAsia="zh-CN"/>
              </w:rPr>
              <w:t>同意存在迫切需求，该公司要求加快</w:t>
            </w:r>
            <w:r>
              <w:rPr>
                <w:rFonts w:ascii="Arial" w:hAnsi="Arial" w:eastAsia="宋体" w:cs="Arial"/>
                <w:sz w:val="24"/>
                <w:szCs w:val="24"/>
                <w:lang w:eastAsia="zh-CN"/>
              </w:rPr>
              <w:t>510（k）</w:t>
            </w:r>
            <w:r>
              <w:rPr>
                <w:rFonts w:hint="eastAsia" w:ascii="Arial" w:hAnsi="Arial" w:eastAsia="宋体" w:cs="Arial"/>
                <w:sz w:val="24"/>
                <w:szCs w:val="24"/>
                <w:lang w:eastAsia="zh-CN"/>
              </w:rPr>
              <w:t>审查，</w:t>
            </w:r>
            <w:r>
              <w:rPr>
                <w:rFonts w:ascii="Arial" w:hAnsi="Arial" w:eastAsia="宋体" w:cs="Arial"/>
                <w:sz w:val="24"/>
                <w:szCs w:val="24"/>
                <w:lang w:eastAsia="zh-CN"/>
              </w:rPr>
              <w:t>ODE</w:t>
            </w:r>
            <w:r>
              <w:rPr>
                <w:rFonts w:hint="eastAsia" w:ascii="Arial" w:hAnsi="Arial" w:eastAsia="宋体" w:cs="Arial"/>
                <w:sz w:val="24"/>
                <w:szCs w:val="24"/>
                <w:lang w:eastAsia="zh-CN"/>
              </w:rPr>
              <w:t>将加快对</w:t>
            </w:r>
            <w:r>
              <w:rPr>
                <w:rFonts w:ascii="Arial" w:hAnsi="Arial" w:eastAsia="宋体" w:cs="Arial"/>
                <w:sz w:val="24"/>
                <w:szCs w:val="24"/>
                <w:lang w:eastAsia="zh-CN"/>
              </w:rPr>
              <w:t>510（k）</w:t>
            </w:r>
            <w:r>
              <w:rPr>
                <w:rFonts w:hint="eastAsia" w:ascii="Arial" w:hAnsi="Arial" w:eastAsia="宋体" w:cs="Arial"/>
                <w:sz w:val="24"/>
                <w:szCs w:val="24"/>
                <w:lang w:eastAsia="zh-CN"/>
              </w:rPr>
              <w:t>提交材料的审查</w:t>
            </w:r>
            <w:r>
              <w:rPr>
                <w:rFonts w:ascii="Arial" w:hAnsi="Arial" w:eastAsia="宋体" w:cs="Arial"/>
                <w:sz w:val="24"/>
                <w:szCs w:val="24"/>
                <w:lang w:eastAsia="zh-CN"/>
              </w:rPr>
              <w:t>。如果无迫切需求，将根据通用于510（k）提交材料的“先进先审查”政策审查510（k）提交材料。</w:t>
            </w:r>
          </w:p>
          <w:p w14:paraId="53B280AF">
            <w:pPr>
              <w:pStyle w:val="14"/>
              <w:overflowPunct w:val="0"/>
              <w:snapToGrid w:val="0"/>
              <w:spacing w:line="360" w:lineRule="auto"/>
              <w:jc w:val="both"/>
              <w:rPr>
                <w:rFonts w:ascii="Arial" w:hAnsi="Arial" w:eastAsia="宋体" w:cs="Arial"/>
                <w:sz w:val="24"/>
                <w:szCs w:val="24"/>
                <w:lang w:eastAsia="zh-CN"/>
              </w:rPr>
            </w:pPr>
          </w:p>
          <w:p w14:paraId="2E137947">
            <w:pPr>
              <w:pStyle w:val="14"/>
              <w:tabs>
                <w:tab w:val="left" w:pos="1170"/>
                <w:tab w:val="left" w:pos="3862"/>
              </w:tabs>
              <w:overflowPunct w:val="0"/>
              <w:snapToGrid w:val="0"/>
              <w:spacing w:line="360" w:lineRule="auto"/>
              <w:jc w:val="both"/>
              <w:rPr>
                <w:rFonts w:ascii="Arial" w:hAnsi="Arial" w:eastAsia="宋体" w:cs="Arial"/>
                <w:sz w:val="24"/>
                <w:szCs w:val="24"/>
                <w:lang w:eastAsia="zh-CN"/>
              </w:rPr>
            </w:pPr>
          </w:p>
          <w:p w14:paraId="480879E4">
            <w:pPr>
              <w:overflowPunct w:val="0"/>
              <w:snapToGrid w:val="0"/>
              <w:spacing w:line="360" w:lineRule="auto"/>
              <w:jc w:val="both"/>
              <w:rPr>
                <w:rFonts w:ascii="Arial" w:hAnsi="Arial" w:eastAsia="宋体" w:cs="Arial"/>
                <w:sz w:val="24"/>
                <w:szCs w:val="24"/>
                <w:lang w:eastAsia="zh-CN"/>
              </w:rPr>
            </w:pPr>
            <w:r>
              <w:rPr>
                <w:rFonts w:ascii="Arial" w:hAnsi="Arial" w:eastAsia="宋体" w:cs="Arial"/>
                <w:sz w:val="24"/>
                <w:szCs w:val="24"/>
                <w:lang w:eastAsia="zh-CN"/>
              </w:rPr>
              <w:t>生效日期</w:t>
            </w:r>
          </w:p>
          <w:p w14:paraId="5B3938EF">
            <w:pPr>
              <w:overflowPunct w:val="0"/>
              <w:snapToGrid w:val="0"/>
              <w:spacing w:before="2" w:line="360" w:lineRule="auto"/>
              <w:jc w:val="both"/>
              <w:rPr>
                <w:rFonts w:ascii="Arial" w:hAnsi="Arial" w:eastAsia="宋体" w:cs="Arial"/>
                <w:sz w:val="24"/>
                <w:szCs w:val="24"/>
                <w:lang w:eastAsia="zh-CN"/>
              </w:rPr>
            </w:pPr>
          </w:p>
          <w:p w14:paraId="1431F52C">
            <w:pPr>
              <w:pStyle w:val="5"/>
              <w:tabs>
                <w:tab w:val="left" w:pos="5912"/>
              </w:tabs>
              <w:overflowPunct w:val="0"/>
              <w:snapToGrid w:val="0"/>
              <w:spacing w:line="360" w:lineRule="auto"/>
              <w:ind w:left="0"/>
              <w:jc w:val="both"/>
              <w:rPr>
                <w:rFonts w:ascii="Arial" w:hAnsi="Arial" w:eastAsia="宋体" w:cs="Arial"/>
                <w:sz w:val="24"/>
                <w:szCs w:val="24"/>
                <w:lang w:eastAsia="zh-CN"/>
              </w:rPr>
            </w:pPr>
            <w:r>
              <w:rPr>
                <w:rFonts w:ascii="Arial" w:hAnsi="Arial" w:eastAsia="宋体" w:cs="Arial"/>
                <w:sz w:val="24"/>
                <w:szCs w:val="24"/>
                <w:lang w:eastAsia="zh-CN"/>
              </w:rPr>
              <w:t>本指南在发布后立即生效。有关解释本指南的问题，请联系Heather Rosecrans，ODE或John Samalik，OC。</w:t>
            </w:r>
          </w:p>
          <w:p w14:paraId="326DEE7A">
            <w:pPr>
              <w:snapToGrid w:val="0"/>
              <w:spacing w:line="360" w:lineRule="auto"/>
              <w:rPr>
                <w:rFonts w:ascii="Arial" w:hAnsi="Arial" w:eastAsia="宋体" w:cs="Arial"/>
                <w:sz w:val="24"/>
                <w:szCs w:val="24"/>
                <w:lang w:eastAsia="zh-CN"/>
              </w:rPr>
            </w:pPr>
          </w:p>
          <w:p w14:paraId="619EABC2">
            <w:pPr>
              <w:snapToGrid w:val="0"/>
              <w:spacing w:line="360" w:lineRule="auto"/>
              <w:rPr>
                <w:rFonts w:ascii="Arial" w:hAnsi="Arial" w:eastAsia="宋体" w:cs="Arial"/>
                <w:sz w:val="24"/>
                <w:szCs w:val="24"/>
                <w:lang w:eastAsia="zh-CN"/>
              </w:rPr>
            </w:pPr>
          </w:p>
          <w:p w14:paraId="7EA3869D">
            <w:pPr>
              <w:snapToGrid w:val="0"/>
              <w:spacing w:line="360" w:lineRule="auto"/>
              <w:ind w:firstLine="684" w:firstLineChars="285"/>
              <w:rPr>
                <w:rFonts w:ascii="Arial" w:hAnsi="Arial" w:eastAsia="宋体" w:cs="Arial"/>
                <w:sz w:val="24"/>
                <w:szCs w:val="24"/>
                <w:lang w:eastAsia="zh-CN"/>
              </w:rPr>
            </w:pPr>
            <w:r>
              <w:rPr>
                <w:rFonts w:hint="eastAsia" w:ascii="Arial" w:hAnsi="Arial" w:eastAsia="宋体" w:cs="Arial"/>
                <w:sz w:val="24"/>
                <w:szCs w:val="24"/>
                <w:lang w:eastAsia="zh-CN"/>
              </w:rPr>
              <w:t>// s //                 // s //</w:t>
            </w:r>
          </w:p>
          <w:p w14:paraId="4EA07846">
            <w:pPr>
              <w:pStyle w:val="5"/>
              <w:tabs>
                <w:tab w:val="left" w:pos="2330"/>
                <w:tab w:val="left" w:pos="3976"/>
                <w:tab w:val="left" w:pos="4884"/>
              </w:tabs>
              <w:overflowPunct w:val="0"/>
              <w:snapToGrid w:val="0"/>
              <w:spacing w:before="194" w:line="360" w:lineRule="auto"/>
              <w:ind w:left="0" w:firstLine="4"/>
              <w:jc w:val="both"/>
              <w:rPr>
                <w:rFonts w:ascii="Arial" w:hAnsi="Arial" w:eastAsia="宋体" w:cs="Arial"/>
                <w:position w:val="-2"/>
                <w:sz w:val="24"/>
                <w:szCs w:val="24"/>
                <w:lang w:eastAsia="zh-CN"/>
              </w:rPr>
            </w:pPr>
            <w:r>
              <w:rPr>
                <w:rFonts w:ascii="Arial" w:hAnsi="Arial" w:eastAsia="宋体" w:cs="Arial"/>
                <w:sz w:val="24"/>
                <w:szCs w:val="24"/>
                <w:lang w:eastAsia="zh-CN"/>
              </w:rPr>
              <w:t>Susan Alpert,</w:t>
            </w:r>
            <w:r>
              <w:rPr>
                <w:rFonts w:hint="eastAsia" w:ascii="Arial" w:hAnsi="Arial" w:eastAsia="宋体" w:cs="Arial"/>
                <w:sz w:val="24"/>
                <w:szCs w:val="24"/>
                <w:lang w:eastAsia="zh-CN"/>
              </w:rPr>
              <w:t xml:space="preserve"> </w:t>
            </w:r>
            <w:r>
              <w:rPr>
                <w:rFonts w:ascii="Arial" w:hAnsi="Arial" w:eastAsia="宋体" w:cs="Arial"/>
                <w:sz w:val="24"/>
                <w:szCs w:val="24"/>
                <w:lang w:eastAsia="zh-CN"/>
              </w:rPr>
              <w:t>Ph. D.,M. D.</w:t>
            </w:r>
            <w:r>
              <w:rPr>
                <w:rFonts w:ascii="Arial" w:hAnsi="Arial" w:eastAsia="宋体" w:cs="Arial"/>
                <w:sz w:val="24"/>
                <w:szCs w:val="24"/>
                <w:lang w:eastAsia="zh-CN"/>
              </w:rPr>
              <w:tab/>
            </w:r>
            <w:r>
              <w:rPr>
                <w:rFonts w:ascii="Arial" w:hAnsi="Arial" w:eastAsia="宋体" w:cs="Arial"/>
                <w:sz w:val="24"/>
                <w:szCs w:val="24"/>
                <w:lang w:eastAsia="zh-CN"/>
              </w:rPr>
              <w:t>Lillian Gill</w:t>
            </w:r>
          </w:p>
          <w:p w14:paraId="33C27F8E">
            <w:pPr>
              <w:pStyle w:val="5"/>
              <w:tabs>
                <w:tab w:val="left" w:pos="3990"/>
                <w:tab w:val="left" w:pos="4884"/>
              </w:tabs>
              <w:overflowPunct w:val="0"/>
              <w:snapToGrid w:val="0"/>
              <w:spacing w:before="194" w:line="360" w:lineRule="auto"/>
              <w:ind w:left="0" w:firstLine="4"/>
              <w:jc w:val="both"/>
              <w:rPr>
                <w:rFonts w:ascii="Arial" w:hAnsi="Arial" w:eastAsia="宋体" w:cs="Arial"/>
                <w:sz w:val="24"/>
                <w:szCs w:val="24"/>
                <w:lang w:eastAsia="zh-CN"/>
              </w:rPr>
            </w:pPr>
            <w:r>
              <w:rPr>
                <w:rFonts w:ascii="Arial" w:hAnsi="Arial" w:eastAsia="宋体" w:cs="Arial"/>
                <w:sz w:val="24"/>
                <w:szCs w:val="24"/>
                <w:lang w:eastAsia="zh-CN"/>
              </w:rPr>
              <w:t>ODE主任</w:t>
            </w:r>
            <w:r>
              <w:rPr>
                <w:rFonts w:ascii="Arial" w:hAnsi="Arial" w:eastAsia="宋体" w:cs="Arial"/>
                <w:sz w:val="24"/>
                <w:szCs w:val="24"/>
                <w:lang w:eastAsia="zh-CN"/>
              </w:rPr>
              <w:tab/>
            </w:r>
            <w:r>
              <w:rPr>
                <w:rFonts w:ascii="Arial" w:hAnsi="Arial" w:eastAsia="宋体" w:cs="Arial"/>
                <w:sz w:val="24"/>
                <w:szCs w:val="24"/>
                <w:lang w:eastAsia="zh-CN"/>
              </w:rPr>
              <w:t>OC主任</w:t>
            </w:r>
          </w:p>
          <w:p w14:paraId="6BCB89E4">
            <w:pPr>
              <w:snapToGrid w:val="0"/>
              <w:spacing w:line="360" w:lineRule="auto"/>
              <w:ind w:firstLine="687" w:firstLineChars="285"/>
              <w:rPr>
                <w:rFonts w:ascii="Arial" w:hAnsi="Arial" w:eastAsia="宋体" w:cs="Arial"/>
                <w:b/>
                <w:sz w:val="24"/>
                <w:szCs w:val="24"/>
                <w:lang w:eastAsia="zh-CN"/>
              </w:rPr>
            </w:pPr>
          </w:p>
        </w:tc>
      </w:tr>
    </w:tbl>
    <w:p w14:paraId="71E0661E">
      <w:pPr>
        <w:rPr>
          <w:rFonts w:ascii="Arial" w:hAnsi="Arial" w:eastAsia="宋体" w:cs="Arial"/>
          <w:sz w:val="24"/>
          <w:szCs w:val="24"/>
          <w:lang w:eastAsia="zh-CN"/>
        </w:rPr>
      </w:pPr>
      <w:r>
        <w:rPr>
          <w:rFonts w:ascii="Arial" w:hAnsi="Arial" w:eastAsia="宋体" w:cs="Arial"/>
          <w:sz w:val="24"/>
          <w:szCs w:val="24"/>
          <w:lang w:eastAsia="zh-CN"/>
        </w:rPr>
        <w:br w:type="page"/>
      </w:r>
    </w:p>
    <w:p w14:paraId="6719CD74">
      <w:pPr>
        <w:overflowPunct w:val="0"/>
        <w:snapToGrid w:val="0"/>
        <w:spacing w:line="300" w:lineRule="auto"/>
        <w:jc w:val="both"/>
        <w:rPr>
          <w:rFonts w:ascii="Arial" w:hAnsi="Arial" w:eastAsia="宋体" w:cs="Arial"/>
          <w:sz w:val="24"/>
          <w:szCs w:val="24"/>
          <w:lang w:eastAsia="zh-CN"/>
        </w:rPr>
      </w:pPr>
    </w:p>
    <w:tbl>
      <w:tblPr>
        <w:tblStyle w:val="10"/>
        <w:tblW w:w="0" w:type="auto"/>
        <w:tblInd w:w="0" w:type="dxa"/>
        <w:tbl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insideH w:val="single" w:color="7F7F7F" w:themeColor="background1" w:themeShade="80" w:sz="4" w:space="0"/>
          <w:insideV w:val="single" w:color="7F7F7F" w:themeColor="background1" w:themeShade="80" w:sz="4" w:space="0"/>
        </w:tblBorders>
        <w:tblLayout w:type="autofit"/>
        <w:tblCellMar>
          <w:top w:w="0" w:type="dxa"/>
          <w:left w:w="108" w:type="dxa"/>
          <w:bottom w:w="0" w:type="dxa"/>
          <w:right w:w="108" w:type="dxa"/>
        </w:tblCellMar>
      </w:tblPr>
      <w:tblGrid>
        <w:gridCol w:w="10992"/>
      </w:tblGrid>
      <w:tr w14:paraId="340D5FF2">
        <w:tblPrEx>
          <w:tblBorders>
            <w:top w:val="single" w:color="7F7F7F" w:themeColor="background1" w:themeShade="80" w:sz="4" w:space="0"/>
            <w:left w:val="single" w:color="7F7F7F" w:themeColor="background1" w:themeShade="80" w:sz="4" w:space="0"/>
            <w:bottom w:val="single" w:color="7F7F7F" w:themeColor="background1" w:themeShade="80" w:sz="4" w:space="0"/>
            <w:right w:val="single" w:color="7F7F7F" w:themeColor="background1" w:themeShade="80" w:sz="4" w:space="0"/>
            <w:insideH w:val="single" w:color="7F7F7F" w:themeColor="background1" w:themeShade="80" w:sz="4" w:space="0"/>
            <w:insideV w:val="single" w:color="7F7F7F" w:themeColor="background1" w:themeShade="80" w:sz="4" w:space="0"/>
          </w:tblBorders>
          <w:tblCellMar>
            <w:top w:w="0" w:type="dxa"/>
            <w:left w:w="108" w:type="dxa"/>
            <w:bottom w:w="0" w:type="dxa"/>
            <w:right w:w="108" w:type="dxa"/>
          </w:tblCellMar>
        </w:tblPrEx>
        <w:tc>
          <w:tcPr>
            <w:tcW w:w="10992" w:type="dxa"/>
          </w:tcPr>
          <w:p w14:paraId="3767393C">
            <w:pPr>
              <w:overflowPunct w:val="0"/>
              <w:snapToGrid w:val="0"/>
              <w:spacing w:line="300" w:lineRule="auto"/>
              <w:jc w:val="both"/>
              <w:rPr>
                <w:rFonts w:ascii="Arial" w:hAnsi="Arial" w:eastAsia="宋体" w:cs="Arial"/>
                <w:sz w:val="24"/>
                <w:szCs w:val="24"/>
                <w:lang w:eastAsia="zh-CN"/>
              </w:rPr>
            </w:pPr>
            <w:r>
              <w:rPr>
                <w:rFonts w:ascii="Arial" w:hAnsi="Arial" w:eastAsia="宋体" w:cs="Arial"/>
                <w:sz w:val="24"/>
                <w:szCs w:val="24"/>
                <w:lang w:eastAsia="zh-CN"/>
              </w:rPr>
              <w:t>510 （k）备忘录-</w:t>
            </w:r>
            <w:r>
              <w:rPr>
                <w:rFonts w:hint="eastAsia" w:ascii="Arial" w:hAnsi="Arial" w:eastAsia="宋体" w:cs="Arial"/>
                <w:sz w:val="24"/>
                <w:szCs w:val="24"/>
                <w:lang w:eastAsia="zh-CN"/>
              </w:rPr>
              <w:t>编号</w:t>
            </w:r>
            <w:r>
              <w:rPr>
                <w:rFonts w:ascii="Arial" w:hAnsi="Arial" w:eastAsia="宋体" w:cs="Arial"/>
                <w:sz w:val="24"/>
                <w:szCs w:val="24"/>
                <w:lang w:eastAsia="zh-CN"/>
              </w:rPr>
              <w:t>K95-1</w:t>
            </w:r>
          </w:p>
          <w:p w14:paraId="19F1F2AC">
            <w:pPr>
              <w:pStyle w:val="2"/>
              <w:overflowPunct w:val="0"/>
              <w:snapToGrid w:val="0"/>
              <w:spacing w:before="84" w:line="300" w:lineRule="auto"/>
              <w:ind w:left="0"/>
              <w:jc w:val="center"/>
              <w:rPr>
                <w:rFonts w:ascii="Arial" w:hAnsi="Arial" w:eastAsia="宋体" w:cs="Arial"/>
                <w:sz w:val="24"/>
                <w:szCs w:val="24"/>
                <w:lang w:eastAsia="zh-CN"/>
              </w:rPr>
            </w:pPr>
            <w:r>
              <w:rPr>
                <w:rFonts w:ascii="Arial" w:hAnsi="Arial" w:eastAsia="宋体" w:cs="Arial"/>
                <w:sz w:val="24"/>
                <w:szCs w:val="24"/>
                <w:lang w:eastAsia="zh-CN"/>
              </w:rPr>
              <w:t>附件B — 第1页</w:t>
            </w:r>
          </w:p>
          <w:p w14:paraId="3BEC3A80">
            <w:pPr>
              <w:overflowPunct w:val="0"/>
              <w:snapToGrid w:val="0"/>
              <w:spacing w:before="8" w:line="300" w:lineRule="auto"/>
              <w:jc w:val="both"/>
              <w:rPr>
                <w:rFonts w:ascii="Arial" w:hAnsi="Arial" w:eastAsia="宋体" w:cs="Arial"/>
                <w:sz w:val="24"/>
                <w:szCs w:val="24"/>
                <w:lang w:eastAsia="zh-CN"/>
              </w:rPr>
            </w:pPr>
          </w:p>
          <w:p w14:paraId="301B5B4A">
            <w:pPr>
              <w:overflowPunct w:val="0"/>
              <w:snapToGrid w:val="0"/>
              <w:spacing w:line="300" w:lineRule="auto"/>
              <w:jc w:val="both"/>
              <w:rPr>
                <w:rFonts w:ascii="Arial" w:hAnsi="Arial" w:eastAsia="宋体" w:cs="Arial"/>
                <w:sz w:val="24"/>
                <w:szCs w:val="24"/>
                <w:lang w:eastAsia="zh-CN"/>
              </w:rPr>
            </w:pPr>
            <w:r>
              <w:rPr>
                <w:rFonts w:ascii="Arial" w:hAnsi="Arial" w:eastAsia="宋体" w:cs="Arial"/>
                <w:sz w:val="24"/>
                <w:szCs w:val="24"/>
                <w:lang w:eastAsia="zh-CN"/>
              </w:rPr>
              <w:t>召回器械的拟定修复的510 （k）要求</w:t>
            </w:r>
          </w:p>
        </w:tc>
      </w:tr>
    </w:tbl>
    <w:p w14:paraId="09274009">
      <w:pPr>
        <w:pBdr>
          <w:bottom w:val="single" w:color="7F7F7F" w:themeColor="background1" w:themeShade="80" w:sz="18" w:space="1"/>
        </w:pBdr>
        <w:overflowPunct w:val="0"/>
        <w:snapToGrid w:val="0"/>
        <w:spacing w:line="300" w:lineRule="auto"/>
        <w:jc w:val="both"/>
        <w:rPr>
          <w:rFonts w:ascii="Arial" w:hAnsi="Arial" w:eastAsia="宋体" w:cs="Arial"/>
          <w:sz w:val="24"/>
          <w:szCs w:val="24"/>
          <w:lang w:eastAsia="zh-CN"/>
        </w:rPr>
      </w:pPr>
    </w:p>
    <w:p w14:paraId="3C2BFCEA">
      <w:pPr>
        <w:overflowPunct w:val="0"/>
        <w:snapToGrid w:val="0"/>
        <w:spacing w:line="300" w:lineRule="auto"/>
        <w:jc w:val="both"/>
        <w:rPr>
          <w:rFonts w:ascii="Arial" w:hAnsi="Arial" w:eastAsia="宋体" w:cs="Arial"/>
          <w:sz w:val="24"/>
          <w:szCs w:val="24"/>
          <w:lang w:eastAsia="zh-CN"/>
        </w:rPr>
      </w:pPr>
    </w:p>
    <w:p w14:paraId="10DF0D68">
      <w:pPr>
        <w:overflowPunct w:val="0"/>
        <w:snapToGrid w:val="0"/>
        <w:spacing w:before="3" w:line="300" w:lineRule="auto"/>
        <w:jc w:val="both"/>
        <w:rPr>
          <w:rFonts w:ascii="Arial" w:hAnsi="Arial" w:eastAsia="宋体" w:cs="Arial"/>
          <w:sz w:val="24"/>
          <w:szCs w:val="24"/>
          <w:lang w:eastAsia="zh-CN"/>
        </w:rPr>
      </w:pPr>
    </w:p>
    <w:p w14:paraId="7CCA3DB0">
      <w:pPr>
        <w:pStyle w:val="4"/>
        <w:numPr>
          <w:ilvl w:val="0"/>
          <w:numId w:val="2"/>
        </w:numPr>
        <w:tabs>
          <w:tab w:val="left" w:pos="441"/>
          <w:tab w:val="left" w:pos="9976"/>
        </w:tabs>
        <w:overflowPunct w:val="0"/>
        <w:snapToGrid w:val="0"/>
        <w:spacing w:line="300" w:lineRule="auto"/>
        <w:ind w:left="284" w:hanging="284"/>
        <w:rPr>
          <w:rFonts w:ascii="Arial" w:hAnsi="Arial" w:eastAsia="宋体" w:cs="Arial"/>
          <w:sz w:val="24"/>
          <w:szCs w:val="24"/>
        </w:rPr>
      </w:pPr>
      <w:r>
        <w:rPr>
          <w:rFonts w:ascii="Arial" w:hAnsi="Arial" w:eastAsia="宋体" w:cs="Arial"/>
          <w:sz w:val="24"/>
          <w:szCs w:val="24"/>
          <w:u w:val="dottedHeavy" w:color="030303"/>
          <w:lang w:eastAsia="zh-CN"/>
        </w:rPr>
        <w:t>附件</w:t>
      </w:r>
      <w:r>
        <w:rPr>
          <w:rFonts w:ascii="Arial" w:hAnsi="Arial" w:eastAsia="宋体" w:cs="Arial"/>
          <w:sz w:val="24"/>
          <w:szCs w:val="24"/>
          <w:u w:val="dottedHeavy" w:color="030303"/>
        </w:rPr>
        <w:t xml:space="preserve">B </w:t>
      </w:r>
    </w:p>
    <w:p w14:paraId="28C5EF70">
      <w:pPr>
        <w:pStyle w:val="4"/>
        <w:tabs>
          <w:tab w:val="left" w:pos="441"/>
          <w:tab w:val="left" w:pos="9976"/>
        </w:tabs>
        <w:overflowPunct w:val="0"/>
        <w:snapToGrid w:val="0"/>
        <w:spacing w:line="300" w:lineRule="auto"/>
        <w:ind w:left="0"/>
        <w:rPr>
          <w:rFonts w:ascii="Arial" w:hAnsi="Arial" w:eastAsia="宋体" w:cs="Arial"/>
          <w:sz w:val="24"/>
          <w:szCs w:val="24"/>
        </w:rPr>
      </w:pPr>
      <w:r>
        <w:rPr>
          <w:rFonts w:ascii="Arial" w:hAnsi="Arial" w:eastAsia="宋体" w:cs="Arial"/>
          <w:sz w:val="24"/>
          <w:szCs w:val="24"/>
          <w:u w:val="dottedHeavy" w:color="0C0C0C"/>
        </w:rPr>
        <w:t xml:space="preserve">（/downIoads/MedicaIDevices/DeviceReguIationandGuidance/GuidanceDocuments/ucm </w:t>
      </w:r>
      <w:r>
        <w:rPr>
          <w:rFonts w:ascii="Arial" w:hAnsi="Arial" w:eastAsia="宋体" w:cs="Arial"/>
          <w:sz w:val="24"/>
          <w:szCs w:val="24"/>
          <w:u w:val="dottedHeavy"/>
        </w:rPr>
        <w:t>080298.pdf）</w:t>
      </w:r>
      <w:r>
        <w:rPr>
          <w:rFonts w:ascii="Arial" w:hAnsi="Arial" w:eastAsia="宋体" w:cs="Arial"/>
          <w:sz w:val="24"/>
          <w:szCs w:val="24"/>
          <w:u w:val="single" w:color="1C1C1C"/>
        </w:rPr>
        <w:t xml:space="preserve"> </w:t>
      </w:r>
      <w:r>
        <w:rPr>
          <w:rFonts w:ascii="Arial" w:hAnsi="Arial" w:eastAsia="宋体" w:cs="Arial"/>
          <w:sz w:val="24"/>
          <w:szCs w:val="24"/>
        </w:rPr>
        <w:t>（Adobe PDF）</w:t>
      </w:r>
    </w:p>
    <w:p w14:paraId="17F76B3A">
      <w:pPr>
        <w:overflowPunct w:val="0"/>
        <w:snapToGrid w:val="0"/>
        <w:spacing w:line="300" w:lineRule="auto"/>
        <w:jc w:val="both"/>
        <w:rPr>
          <w:rFonts w:ascii="Arial" w:hAnsi="Arial" w:eastAsia="宋体" w:cs="Arial"/>
          <w:sz w:val="24"/>
          <w:szCs w:val="24"/>
        </w:rPr>
      </w:pPr>
    </w:p>
    <w:p w14:paraId="5FE0F1E7">
      <w:pPr>
        <w:overflowPunct w:val="0"/>
        <w:snapToGrid w:val="0"/>
        <w:spacing w:line="300" w:lineRule="auto"/>
        <w:jc w:val="both"/>
        <w:rPr>
          <w:rFonts w:ascii="Arial" w:hAnsi="Arial" w:eastAsia="宋体" w:cs="Arial"/>
          <w:sz w:val="24"/>
          <w:szCs w:val="24"/>
        </w:rPr>
      </w:pPr>
    </w:p>
    <w:tbl>
      <w:tblPr>
        <w:tblStyle w:val="10"/>
        <w:tblW w:w="0" w:type="auto"/>
        <w:tblInd w:w="0" w:type="dxa"/>
        <w:tblBorders>
          <w:top w:val="single" w:color="1F497D" w:themeColor="text2" w:sz="12" w:space="0"/>
          <w:left w:val="single" w:color="1F497D" w:themeColor="text2" w:sz="12" w:space="0"/>
          <w:bottom w:val="single" w:color="1F497D" w:themeColor="text2" w:sz="12" w:space="0"/>
          <w:right w:val="single" w:color="1F497D" w:themeColor="text2" w:sz="12" w:space="0"/>
          <w:insideH w:val="single" w:color="1F497D" w:themeColor="text2" w:sz="12" w:space="0"/>
          <w:insideV w:val="single" w:color="1F497D" w:themeColor="text2" w:sz="12" w:space="0"/>
        </w:tblBorders>
        <w:tblLayout w:type="autofit"/>
        <w:tblCellMar>
          <w:top w:w="0" w:type="dxa"/>
          <w:left w:w="108" w:type="dxa"/>
          <w:bottom w:w="0" w:type="dxa"/>
          <w:right w:w="108" w:type="dxa"/>
        </w:tblCellMar>
      </w:tblPr>
      <w:tblGrid>
        <w:gridCol w:w="10992"/>
      </w:tblGrid>
      <w:tr w14:paraId="6DFCE30D">
        <w:tblPrEx>
          <w:tblBorders>
            <w:top w:val="single" w:color="1F497D" w:themeColor="text2" w:sz="12" w:space="0"/>
            <w:left w:val="single" w:color="1F497D" w:themeColor="text2" w:sz="12" w:space="0"/>
            <w:bottom w:val="single" w:color="1F497D" w:themeColor="text2" w:sz="12" w:space="0"/>
            <w:right w:val="single" w:color="1F497D" w:themeColor="text2" w:sz="12" w:space="0"/>
            <w:insideH w:val="single" w:color="1F497D" w:themeColor="text2" w:sz="12" w:space="0"/>
            <w:insideV w:val="single" w:color="1F497D" w:themeColor="text2" w:sz="12" w:space="0"/>
          </w:tblBorders>
          <w:tblCellMar>
            <w:top w:w="0" w:type="dxa"/>
            <w:left w:w="108" w:type="dxa"/>
            <w:bottom w:w="0" w:type="dxa"/>
            <w:right w:w="108" w:type="dxa"/>
          </w:tblCellMar>
        </w:tblPrEx>
        <w:tc>
          <w:tcPr>
            <w:tcW w:w="10992" w:type="dxa"/>
            <w:tcBorders>
              <w:bottom w:val="single" w:color="7F7F7F" w:themeColor="background1" w:themeShade="80" w:sz="2" w:space="0"/>
            </w:tcBorders>
          </w:tcPr>
          <w:p w14:paraId="028C4747">
            <w:pPr>
              <w:overflowPunct w:val="0"/>
              <w:snapToGrid w:val="0"/>
              <w:spacing w:before="72" w:beforeLines="30" w:after="72" w:afterLines="30" w:line="300" w:lineRule="auto"/>
              <w:jc w:val="both"/>
              <w:rPr>
                <w:rFonts w:ascii="Arial" w:hAnsi="Arial" w:eastAsia="宋体" w:cs="Arial"/>
                <w:sz w:val="24"/>
                <w:szCs w:val="24"/>
                <w:u w:val="single"/>
                <w:lang w:eastAsia="zh-CN"/>
              </w:rPr>
            </w:pPr>
            <w:r>
              <w:rPr>
                <w:rFonts w:ascii="Arial" w:hAnsi="Arial" w:eastAsia="宋体" w:cs="Arial"/>
                <w:sz w:val="24"/>
                <w:szCs w:val="24"/>
                <w:lang w:eastAsia="zh-CN"/>
              </w:rPr>
              <w:t xml:space="preserve">More in </w:t>
            </w:r>
            <w:r>
              <w:rPr>
                <w:rFonts w:ascii="Arial" w:hAnsi="Arial" w:eastAsia="宋体" w:cs="Arial"/>
                <w:sz w:val="24"/>
                <w:szCs w:val="24"/>
                <w:u w:val="single"/>
                <w:lang w:eastAsia="zh-CN"/>
              </w:rPr>
              <w:t xml:space="preserve">Guidance Documents （Médical Devices and Radiation-Emittinq Products） </w:t>
            </w:r>
          </w:p>
          <w:p w14:paraId="2D164242">
            <w:pPr>
              <w:overflowPunct w:val="0"/>
              <w:snapToGrid w:val="0"/>
              <w:spacing w:before="72" w:beforeLines="30" w:after="72" w:afterLines="30" w:line="300" w:lineRule="auto"/>
              <w:jc w:val="both"/>
              <w:rPr>
                <w:rFonts w:ascii="Arial" w:hAnsi="Arial" w:eastAsia="宋体" w:cs="Arial"/>
                <w:sz w:val="24"/>
                <w:szCs w:val="24"/>
                <w:u w:val="single"/>
                <w:lang w:eastAsia="zh-CN"/>
              </w:rPr>
            </w:pPr>
            <w:r>
              <w:rPr>
                <w:rFonts w:ascii="Arial" w:hAnsi="Arial" w:eastAsia="宋体" w:cs="Arial"/>
                <w:sz w:val="24"/>
                <w:szCs w:val="24"/>
                <w:u w:val="single"/>
                <w:lang w:eastAsia="zh-CN"/>
              </w:rPr>
              <w:t>（/MedicalD</w:t>
            </w:r>
            <w:r>
              <w:rPr>
                <w:rFonts w:hint="eastAsia" w:ascii="Arial" w:hAnsi="Arial" w:eastAsia="宋体" w:cs="Arial"/>
                <w:sz w:val="24"/>
                <w:szCs w:val="24"/>
                <w:u w:val="single"/>
                <w:lang w:eastAsia="zh-CN"/>
              </w:rPr>
              <w:t>e</w:t>
            </w:r>
            <w:r>
              <w:rPr>
                <w:rFonts w:ascii="Arial" w:hAnsi="Arial" w:eastAsia="宋体" w:cs="Arial"/>
                <w:sz w:val="24"/>
                <w:szCs w:val="24"/>
                <w:u w:val="single"/>
                <w:lang w:eastAsia="zh-CN"/>
              </w:rPr>
              <w:t>vices/Device</w:t>
            </w:r>
            <w:r>
              <w:rPr>
                <w:rFonts w:hint="eastAsia" w:ascii="Arial" w:hAnsi="Arial" w:eastAsia="宋体" w:cs="Arial"/>
                <w:sz w:val="24"/>
                <w:szCs w:val="24"/>
                <w:u w:val="single"/>
                <w:lang w:eastAsia="zh-CN"/>
              </w:rPr>
              <w:t xml:space="preserve"> </w:t>
            </w:r>
            <w:r>
              <w:rPr>
                <w:rFonts w:ascii="Arial" w:hAnsi="Arial" w:eastAsia="宋体" w:cs="Arial"/>
                <w:sz w:val="24"/>
                <w:szCs w:val="24"/>
                <w:u w:val="single"/>
                <w:lang w:eastAsia="zh-CN"/>
              </w:rPr>
              <w:t>Re</w:t>
            </w:r>
            <w:r>
              <w:rPr>
                <w:rFonts w:hint="eastAsia" w:ascii="Arial" w:hAnsi="Arial" w:eastAsia="宋体" w:cs="Arial"/>
                <w:sz w:val="24"/>
                <w:szCs w:val="24"/>
                <w:u w:val="single"/>
                <w:lang w:eastAsia="zh-CN"/>
              </w:rPr>
              <w:t>g</w:t>
            </w:r>
            <w:r>
              <w:rPr>
                <w:rFonts w:ascii="Arial" w:hAnsi="Arial" w:eastAsia="宋体" w:cs="Arial"/>
                <w:sz w:val="24"/>
                <w:szCs w:val="24"/>
                <w:u w:val="single"/>
                <w:lang w:eastAsia="zh-CN"/>
              </w:rPr>
              <w:t>uIationandGuidance/Guidance Documents/default.htm）</w:t>
            </w:r>
          </w:p>
        </w:tc>
      </w:tr>
      <w:tr w14:paraId="1D534F33">
        <w:tblPrEx>
          <w:tblBorders>
            <w:top w:val="single" w:color="1F497D" w:themeColor="text2" w:sz="12" w:space="0"/>
            <w:left w:val="single" w:color="1F497D" w:themeColor="text2" w:sz="12" w:space="0"/>
            <w:bottom w:val="single" w:color="1F497D" w:themeColor="text2" w:sz="12" w:space="0"/>
            <w:right w:val="single" w:color="1F497D" w:themeColor="text2" w:sz="12" w:space="0"/>
            <w:insideH w:val="single" w:color="1F497D" w:themeColor="text2" w:sz="12" w:space="0"/>
            <w:insideV w:val="single" w:color="1F497D" w:themeColor="text2" w:sz="12" w:space="0"/>
          </w:tblBorders>
          <w:tblCellMar>
            <w:top w:w="0" w:type="dxa"/>
            <w:left w:w="108" w:type="dxa"/>
            <w:bottom w:w="0" w:type="dxa"/>
            <w:right w:w="108" w:type="dxa"/>
          </w:tblCellMar>
        </w:tblPrEx>
        <w:tc>
          <w:tcPr>
            <w:tcW w:w="10992" w:type="dxa"/>
            <w:tcBorders>
              <w:top w:val="single" w:color="7F7F7F" w:themeColor="background1" w:themeShade="80" w:sz="2" w:space="0"/>
              <w:left w:val="single" w:color="7F7F7F" w:themeColor="background1" w:themeShade="80" w:sz="2" w:space="0"/>
              <w:bottom w:val="single" w:color="7F7F7F" w:themeColor="background1" w:themeShade="80" w:sz="2" w:space="0"/>
              <w:right w:val="single" w:color="7F7F7F" w:themeColor="background1" w:themeShade="80" w:sz="2" w:space="0"/>
            </w:tcBorders>
          </w:tcPr>
          <w:p w14:paraId="4742FC44">
            <w:pPr>
              <w:overflowPunct w:val="0"/>
              <w:snapToGrid w:val="0"/>
              <w:spacing w:before="72" w:beforeLines="30" w:after="72" w:afterLines="30" w:line="300" w:lineRule="auto"/>
              <w:jc w:val="both"/>
              <w:rPr>
                <w:rFonts w:ascii="Arial" w:hAnsi="Arial" w:eastAsia="宋体" w:cs="Arial"/>
                <w:sz w:val="24"/>
                <w:szCs w:val="24"/>
                <w:u w:val="single" w:color="000000"/>
              </w:rPr>
            </w:pPr>
            <w:r>
              <w:rPr>
                <w:rFonts w:ascii="Arial" w:hAnsi="Arial" w:eastAsia="宋体" w:cs="Arial"/>
                <w:sz w:val="24"/>
                <w:szCs w:val="24"/>
                <w:u w:val="single" w:color="000000"/>
              </w:rPr>
              <w:t>跨中心最终指南</w:t>
            </w:r>
          </w:p>
          <w:p w14:paraId="14802F3F">
            <w:pPr>
              <w:tabs>
                <w:tab w:val="left" w:pos="10158"/>
              </w:tabs>
              <w:overflowPunct w:val="0"/>
              <w:snapToGrid w:val="0"/>
              <w:spacing w:before="72" w:beforeLines="30" w:after="72" w:afterLines="30" w:line="300" w:lineRule="auto"/>
              <w:jc w:val="both"/>
              <w:rPr>
                <w:rFonts w:ascii="Arial" w:hAnsi="Arial" w:eastAsia="宋体" w:cs="Arial"/>
                <w:sz w:val="24"/>
                <w:szCs w:val="24"/>
                <w:lang w:eastAsia="zh-CN"/>
              </w:rPr>
            </w:pPr>
            <w:r>
              <w:rPr>
                <w:rFonts w:ascii="Arial" w:hAnsi="Arial" w:eastAsia="宋体" w:cs="Arial"/>
                <w:sz w:val="24"/>
                <w:szCs w:val="24"/>
                <w:u w:val="single" w:color="1C1C1C"/>
              </w:rPr>
              <w:t>（/MedicalDe vices/Device RequlationandGuidance/Guidance Documents/ucm081752.htm）</w:t>
            </w:r>
          </w:p>
        </w:tc>
      </w:tr>
      <w:tr w14:paraId="1227CF87">
        <w:tblPrEx>
          <w:tblBorders>
            <w:top w:val="single" w:color="1F497D" w:themeColor="text2" w:sz="12" w:space="0"/>
            <w:left w:val="single" w:color="1F497D" w:themeColor="text2" w:sz="12" w:space="0"/>
            <w:bottom w:val="single" w:color="1F497D" w:themeColor="text2" w:sz="12" w:space="0"/>
            <w:right w:val="single" w:color="1F497D" w:themeColor="text2" w:sz="12" w:space="0"/>
            <w:insideH w:val="single" w:color="1F497D" w:themeColor="text2" w:sz="12" w:space="0"/>
            <w:insideV w:val="single" w:color="1F497D" w:themeColor="text2" w:sz="12" w:space="0"/>
          </w:tblBorders>
          <w:tblCellMar>
            <w:top w:w="0" w:type="dxa"/>
            <w:left w:w="108" w:type="dxa"/>
            <w:bottom w:w="0" w:type="dxa"/>
            <w:right w:w="108" w:type="dxa"/>
          </w:tblCellMar>
        </w:tblPrEx>
        <w:tc>
          <w:tcPr>
            <w:tcW w:w="10992" w:type="dxa"/>
            <w:tcBorders>
              <w:top w:val="single" w:color="7F7F7F" w:themeColor="background1" w:themeShade="80" w:sz="2" w:space="0"/>
              <w:left w:val="single" w:color="7F7F7F" w:themeColor="background1" w:themeShade="80" w:sz="2" w:space="0"/>
              <w:bottom w:val="single" w:color="7F7F7F" w:themeColor="background1" w:themeShade="80" w:sz="2" w:space="0"/>
              <w:right w:val="single" w:color="7F7F7F" w:themeColor="background1" w:themeShade="80" w:sz="2" w:space="0"/>
            </w:tcBorders>
          </w:tcPr>
          <w:p w14:paraId="759F3258">
            <w:pPr>
              <w:overflowPunct w:val="0"/>
              <w:snapToGrid w:val="0"/>
              <w:spacing w:before="72" w:beforeLines="30" w:after="72" w:afterLines="30" w:line="300" w:lineRule="auto"/>
              <w:jc w:val="both"/>
              <w:rPr>
                <w:rFonts w:ascii="Arial" w:hAnsi="Arial" w:eastAsia="宋体" w:cs="Arial"/>
                <w:sz w:val="24"/>
                <w:szCs w:val="24"/>
                <w:u w:val="single" w:color="000000"/>
              </w:rPr>
            </w:pPr>
            <w:r>
              <w:rPr>
                <w:rFonts w:ascii="Arial" w:hAnsi="Arial" w:eastAsia="宋体" w:cs="Arial"/>
                <w:sz w:val="24"/>
                <w:szCs w:val="24"/>
                <w:u w:val="single" w:color="000000"/>
              </w:rPr>
              <w:t>合规办公室最终指南</w:t>
            </w:r>
          </w:p>
          <w:p w14:paraId="2CCF4A4C">
            <w:pPr>
              <w:overflowPunct w:val="0"/>
              <w:snapToGrid w:val="0"/>
              <w:spacing w:before="72" w:beforeLines="30" w:after="72" w:afterLines="30" w:line="300" w:lineRule="auto"/>
              <w:jc w:val="both"/>
              <w:rPr>
                <w:rFonts w:ascii="Arial" w:hAnsi="Arial" w:eastAsia="宋体" w:cs="Arial"/>
                <w:sz w:val="24"/>
                <w:szCs w:val="24"/>
                <w:lang w:eastAsia="zh-CN"/>
              </w:rPr>
            </w:pPr>
            <w:r>
              <w:rPr>
                <w:rFonts w:ascii="Arial" w:hAnsi="Arial" w:eastAsia="宋体" w:cs="Arial"/>
                <w:sz w:val="24"/>
                <w:szCs w:val="24"/>
                <w:u w:val="single" w:color="1C1C1C"/>
              </w:rPr>
              <w:t>（/MedicalDevices/Device RequlationandGuidance/Guidance Documents/ucm070269.htm）</w:t>
            </w:r>
          </w:p>
        </w:tc>
      </w:tr>
      <w:tr w14:paraId="121776F7">
        <w:tblPrEx>
          <w:tblBorders>
            <w:top w:val="single" w:color="1F497D" w:themeColor="text2" w:sz="12" w:space="0"/>
            <w:left w:val="single" w:color="1F497D" w:themeColor="text2" w:sz="12" w:space="0"/>
            <w:bottom w:val="single" w:color="1F497D" w:themeColor="text2" w:sz="12" w:space="0"/>
            <w:right w:val="single" w:color="1F497D" w:themeColor="text2" w:sz="12" w:space="0"/>
            <w:insideH w:val="single" w:color="1F497D" w:themeColor="text2" w:sz="12" w:space="0"/>
            <w:insideV w:val="single" w:color="1F497D" w:themeColor="text2" w:sz="12" w:space="0"/>
          </w:tblBorders>
          <w:tblCellMar>
            <w:top w:w="0" w:type="dxa"/>
            <w:left w:w="108" w:type="dxa"/>
            <w:bottom w:w="0" w:type="dxa"/>
            <w:right w:w="108" w:type="dxa"/>
          </w:tblCellMar>
        </w:tblPrEx>
        <w:tc>
          <w:tcPr>
            <w:tcW w:w="10992" w:type="dxa"/>
            <w:tcBorders>
              <w:top w:val="single" w:color="7F7F7F" w:themeColor="background1" w:themeShade="80" w:sz="2" w:space="0"/>
              <w:left w:val="single" w:color="7F7F7F" w:themeColor="background1" w:themeShade="80" w:sz="2" w:space="0"/>
              <w:bottom w:val="single" w:color="7F7F7F" w:themeColor="background1" w:themeShade="80" w:sz="2" w:space="0"/>
              <w:right w:val="single" w:color="7F7F7F" w:themeColor="background1" w:themeShade="80" w:sz="2" w:space="0"/>
            </w:tcBorders>
          </w:tcPr>
          <w:p w14:paraId="208109B5">
            <w:pPr>
              <w:overflowPunct w:val="0"/>
              <w:snapToGrid w:val="0"/>
              <w:spacing w:before="72" w:beforeLines="30" w:after="72" w:afterLines="30" w:line="300" w:lineRule="auto"/>
              <w:jc w:val="both"/>
              <w:rPr>
                <w:rFonts w:ascii="Arial" w:hAnsi="Arial" w:eastAsia="宋体" w:cs="Arial"/>
                <w:sz w:val="24"/>
                <w:szCs w:val="24"/>
                <w:u w:val="single" w:color="000000"/>
                <w:lang w:eastAsia="zh-CN"/>
              </w:rPr>
            </w:pPr>
            <w:r>
              <w:rPr>
                <w:rFonts w:ascii="Arial" w:hAnsi="Arial" w:eastAsia="宋体" w:cs="Arial"/>
                <w:sz w:val="24"/>
                <w:szCs w:val="24"/>
                <w:u w:val="single" w:color="000000"/>
                <w:lang w:eastAsia="zh-CN"/>
              </w:rPr>
              <w:t>中心主任办公室最终指南</w:t>
            </w:r>
          </w:p>
          <w:p w14:paraId="74B6BD47">
            <w:pPr>
              <w:overflowPunct w:val="0"/>
              <w:snapToGrid w:val="0"/>
              <w:spacing w:before="72" w:beforeLines="30" w:after="72" w:afterLines="30" w:line="300" w:lineRule="auto"/>
              <w:jc w:val="both"/>
              <w:rPr>
                <w:rFonts w:ascii="Arial" w:hAnsi="Arial" w:eastAsia="宋体" w:cs="Arial"/>
                <w:sz w:val="24"/>
                <w:szCs w:val="24"/>
                <w:lang w:eastAsia="zh-CN"/>
              </w:rPr>
            </w:pPr>
            <w:r>
              <w:rPr>
                <w:rFonts w:ascii="Arial" w:hAnsi="Arial" w:eastAsia="宋体" w:cs="Arial"/>
                <w:sz w:val="24"/>
                <w:szCs w:val="24"/>
                <w:u w:val="single" w:color="1C1C1C"/>
              </w:rPr>
              <w:t>（/MedicalDevices/Device  RequlationandGuidance/Guidance Documents/ucm110228.htm）</w:t>
            </w:r>
          </w:p>
        </w:tc>
      </w:tr>
      <w:tr w14:paraId="6B8CAA60">
        <w:tblPrEx>
          <w:tblBorders>
            <w:top w:val="single" w:color="1F497D" w:themeColor="text2" w:sz="12" w:space="0"/>
            <w:left w:val="single" w:color="1F497D" w:themeColor="text2" w:sz="12" w:space="0"/>
            <w:bottom w:val="single" w:color="1F497D" w:themeColor="text2" w:sz="12" w:space="0"/>
            <w:right w:val="single" w:color="1F497D" w:themeColor="text2" w:sz="12" w:space="0"/>
            <w:insideH w:val="single" w:color="1F497D" w:themeColor="text2" w:sz="12" w:space="0"/>
            <w:insideV w:val="single" w:color="1F497D" w:themeColor="text2" w:sz="12" w:space="0"/>
          </w:tblBorders>
          <w:tblCellMar>
            <w:top w:w="0" w:type="dxa"/>
            <w:left w:w="108" w:type="dxa"/>
            <w:bottom w:w="0" w:type="dxa"/>
            <w:right w:w="108" w:type="dxa"/>
          </w:tblCellMar>
        </w:tblPrEx>
        <w:tc>
          <w:tcPr>
            <w:tcW w:w="10992" w:type="dxa"/>
            <w:tcBorders>
              <w:top w:val="single" w:color="7F7F7F" w:themeColor="background1" w:themeShade="80" w:sz="2" w:space="0"/>
              <w:left w:val="single" w:color="7F7F7F" w:themeColor="background1" w:themeShade="80" w:sz="2" w:space="0"/>
              <w:bottom w:val="single" w:color="7F7F7F" w:themeColor="background1" w:themeShade="80" w:sz="2" w:space="0"/>
              <w:right w:val="single" w:color="7F7F7F" w:themeColor="background1" w:themeShade="80" w:sz="2" w:space="0"/>
            </w:tcBorders>
          </w:tcPr>
          <w:p w14:paraId="3B8D4441">
            <w:pPr>
              <w:overflowPunct w:val="0"/>
              <w:snapToGrid w:val="0"/>
              <w:spacing w:before="72" w:beforeLines="30" w:after="72" w:afterLines="30" w:line="300" w:lineRule="auto"/>
              <w:jc w:val="both"/>
              <w:rPr>
                <w:rFonts w:ascii="Arial" w:hAnsi="Arial" w:eastAsia="宋体" w:cs="Arial"/>
                <w:sz w:val="24"/>
                <w:szCs w:val="24"/>
                <w:u w:val="single" w:color="000000"/>
                <w:lang w:eastAsia="zh-CN"/>
              </w:rPr>
            </w:pPr>
            <w:r>
              <w:rPr>
                <w:rFonts w:ascii="Arial" w:hAnsi="Arial" w:eastAsia="宋体" w:cs="Arial"/>
                <w:sz w:val="24"/>
                <w:szCs w:val="24"/>
                <w:u w:val="single" w:color="000000"/>
                <w:lang w:eastAsia="zh-CN"/>
              </w:rPr>
              <w:t>交流和教育办公室最终指南</w:t>
            </w:r>
          </w:p>
          <w:p w14:paraId="3C7409D9">
            <w:pPr>
              <w:overflowPunct w:val="0"/>
              <w:snapToGrid w:val="0"/>
              <w:spacing w:before="72" w:beforeLines="30" w:after="72" w:afterLines="30" w:line="300" w:lineRule="auto"/>
              <w:jc w:val="both"/>
              <w:rPr>
                <w:rFonts w:ascii="Arial" w:hAnsi="Arial" w:eastAsia="宋体" w:cs="Arial"/>
                <w:sz w:val="24"/>
                <w:szCs w:val="24"/>
                <w:lang w:eastAsia="zh-CN"/>
              </w:rPr>
            </w:pPr>
            <w:r>
              <w:rPr>
                <w:rFonts w:ascii="Arial" w:hAnsi="Arial" w:eastAsia="宋体" w:cs="Arial"/>
                <w:sz w:val="24"/>
                <w:szCs w:val="24"/>
                <w:u w:val="single" w:color="1C1C1C"/>
              </w:rPr>
              <w:t>（/MedicalDevices/Device RequlationandGuidance/Guidance Documents/ucm070271.htm）</w:t>
            </w:r>
          </w:p>
        </w:tc>
      </w:tr>
      <w:tr w14:paraId="1F139DD9">
        <w:tblPrEx>
          <w:tblBorders>
            <w:top w:val="single" w:color="1F497D" w:themeColor="text2" w:sz="12" w:space="0"/>
            <w:left w:val="single" w:color="1F497D" w:themeColor="text2" w:sz="12" w:space="0"/>
            <w:bottom w:val="single" w:color="1F497D" w:themeColor="text2" w:sz="12" w:space="0"/>
            <w:right w:val="single" w:color="1F497D" w:themeColor="text2" w:sz="12" w:space="0"/>
            <w:insideH w:val="single" w:color="1F497D" w:themeColor="text2" w:sz="12" w:space="0"/>
            <w:insideV w:val="single" w:color="1F497D" w:themeColor="text2" w:sz="12" w:space="0"/>
          </w:tblBorders>
          <w:tblCellMar>
            <w:top w:w="0" w:type="dxa"/>
            <w:left w:w="108" w:type="dxa"/>
            <w:bottom w:w="0" w:type="dxa"/>
            <w:right w:w="108" w:type="dxa"/>
          </w:tblCellMar>
        </w:tblPrEx>
        <w:tc>
          <w:tcPr>
            <w:tcW w:w="10992" w:type="dxa"/>
            <w:tcBorders>
              <w:top w:val="single" w:color="7F7F7F" w:themeColor="background1" w:themeShade="80" w:sz="2" w:space="0"/>
              <w:left w:val="single" w:color="7F7F7F" w:themeColor="background1" w:themeShade="80" w:sz="2" w:space="0"/>
              <w:bottom w:val="single" w:color="7F7F7F" w:themeColor="background1" w:themeShade="80" w:sz="2" w:space="0"/>
              <w:right w:val="single" w:color="7F7F7F" w:themeColor="background1" w:themeShade="80" w:sz="2" w:space="0"/>
            </w:tcBorders>
          </w:tcPr>
          <w:p w14:paraId="06648E34">
            <w:pPr>
              <w:overflowPunct w:val="0"/>
              <w:snapToGrid w:val="0"/>
              <w:spacing w:before="72" w:beforeLines="30" w:after="72" w:afterLines="30" w:line="300" w:lineRule="auto"/>
              <w:jc w:val="both"/>
              <w:rPr>
                <w:rFonts w:ascii="Arial" w:hAnsi="Arial" w:eastAsia="宋体" w:cs="Arial"/>
                <w:sz w:val="24"/>
                <w:szCs w:val="24"/>
                <w:u w:val="single" w:color="000000"/>
                <w:lang w:eastAsia="zh-CN"/>
              </w:rPr>
            </w:pPr>
            <w:r>
              <w:rPr>
                <w:rFonts w:ascii="Arial" w:hAnsi="Arial" w:eastAsia="宋体" w:cs="Arial"/>
                <w:sz w:val="24"/>
                <w:szCs w:val="24"/>
                <w:u w:val="single" w:color="000000"/>
                <w:lang w:eastAsia="zh-CN"/>
              </w:rPr>
              <w:t>器械评价办公室最终指南2010 - 2016</w:t>
            </w:r>
          </w:p>
          <w:p w14:paraId="7CAF55F9">
            <w:pPr>
              <w:overflowPunct w:val="0"/>
              <w:snapToGrid w:val="0"/>
              <w:spacing w:before="72" w:beforeLines="30" w:after="72" w:afterLines="30" w:line="300" w:lineRule="auto"/>
              <w:jc w:val="both"/>
              <w:rPr>
                <w:rFonts w:ascii="Arial" w:hAnsi="Arial" w:eastAsia="宋体" w:cs="Arial"/>
                <w:sz w:val="24"/>
                <w:szCs w:val="24"/>
                <w:lang w:eastAsia="zh-CN"/>
              </w:rPr>
            </w:pPr>
            <w:r>
              <w:rPr>
                <w:rFonts w:ascii="Arial" w:hAnsi="Arial" w:eastAsia="宋体" w:cs="Arial"/>
                <w:sz w:val="24"/>
                <w:szCs w:val="24"/>
                <w:u w:val="single" w:color="000000"/>
              </w:rPr>
              <w:t>（/MedicalDevices/Device RequlationandGuidance/Guidance Documents/ucm198577.htm）</w:t>
            </w:r>
          </w:p>
        </w:tc>
      </w:tr>
      <w:tr w14:paraId="76E1BB0A">
        <w:tblPrEx>
          <w:tblBorders>
            <w:top w:val="single" w:color="1F497D" w:themeColor="text2" w:sz="12" w:space="0"/>
            <w:left w:val="single" w:color="1F497D" w:themeColor="text2" w:sz="12" w:space="0"/>
            <w:bottom w:val="single" w:color="1F497D" w:themeColor="text2" w:sz="12" w:space="0"/>
            <w:right w:val="single" w:color="1F497D" w:themeColor="text2" w:sz="12" w:space="0"/>
            <w:insideH w:val="single" w:color="1F497D" w:themeColor="text2" w:sz="12" w:space="0"/>
            <w:insideV w:val="single" w:color="1F497D" w:themeColor="text2" w:sz="12" w:space="0"/>
          </w:tblBorders>
          <w:tblCellMar>
            <w:top w:w="0" w:type="dxa"/>
            <w:left w:w="108" w:type="dxa"/>
            <w:bottom w:w="0" w:type="dxa"/>
            <w:right w:w="108" w:type="dxa"/>
          </w:tblCellMar>
        </w:tblPrEx>
        <w:tc>
          <w:tcPr>
            <w:tcW w:w="10992" w:type="dxa"/>
            <w:tcBorders>
              <w:top w:val="single" w:color="7F7F7F" w:themeColor="background1" w:themeShade="80" w:sz="2" w:space="0"/>
              <w:left w:val="single" w:color="7F7F7F" w:themeColor="background1" w:themeShade="80" w:sz="2" w:space="0"/>
              <w:bottom w:val="single" w:color="7F7F7F" w:themeColor="background1" w:themeShade="80" w:sz="2" w:space="0"/>
              <w:right w:val="single" w:color="7F7F7F" w:themeColor="background1" w:themeShade="80" w:sz="2" w:space="0"/>
            </w:tcBorders>
          </w:tcPr>
          <w:p w14:paraId="2BA54241">
            <w:pPr>
              <w:overflowPunct w:val="0"/>
              <w:snapToGrid w:val="0"/>
              <w:spacing w:before="72" w:beforeLines="30" w:after="72" w:afterLines="30" w:line="300" w:lineRule="auto"/>
              <w:jc w:val="both"/>
              <w:rPr>
                <w:rFonts w:ascii="Arial" w:hAnsi="Arial" w:eastAsia="宋体" w:cs="Arial"/>
                <w:sz w:val="24"/>
                <w:szCs w:val="24"/>
                <w:lang w:eastAsia="zh-CN"/>
              </w:rPr>
            </w:pPr>
            <w:r>
              <w:rPr>
                <w:rFonts w:ascii="Arial" w:hAnsi="Arial" w:eastAsia="宋体" w:cs="Arial"/>
                <w:sz w:val="24"/>
                <w:szCs w:val="24"/>
                <w:u w:val="single" w:color="1C1C1C"/>
                <w:lang w:eastAsia="zh-CN"/>
              </w:rPr>
              <w:t>器械评价办公室</w:t>
            </w:r>
            <w:r>
              <w:rPr>
                <w:rFonts w:ascii="Arial" w:hAnsi="Arial" w:eastAsia="宋体" w:cs="Arial"/>
                <w:sz w:val="24"/>
                <w:szCs w:val="24"/>
                <w:u w:val="single" w:color="000000"/>
                <w:lang w:eastAsia="zh-CN"/>
              </w:rPr>
              <w:t>最终指南</w:t>
            </w:r>
            <w:r>
              <w:rPr>
                <w:rFonts w:ascii="Arial" w:hAnsi="Arial" w:eastAsia="宋体" w:cs="Arial"/>
                <w:sz w:val="24"/>
                <w:szCs w:val="24"/>
                <w:u w:val="single" w:color="1C1C1C"/>
                <w:lang w:eastAsia="zh-CN"/>
              </w:rPr>
              <w:t>1998 -  2009</w:t>
            </w:r>
          </w:p>
          <w:p w14:paraId="0A2F153D">
            <w:pPr>
              <w:overflowPunct w:val="0"/>
              <w:snapToGrid w:val="0"/>
              <w:spacing w:before="72" w:beforeLines="30" w:after="72" w:afterLines="30" w:line="300" w:lineRule="auto"/>
              <w:jc w:val="both"/>
              <w:rPr>
                <w:rFonts w:ascii="Arial" w:hAnsi="Arial" w:eastAsia="宋体" w:cs="Arial"/>
                <w:sz w:val="24"/>
                <w:szCs w:val="24"/>
                <w:lang w:eastAsia="zh-CN"/>
              </w:rPr>
            </w:pPr>
            <w:r>
              <w:rPr>
                <w:rFonts w:ascii="Arial" w:hAnsi="Arial" w:eastAsia="宋体" w:cs="Arial"/>
                <w:sz w:val="24"/>
                <w:szCs w:val="24"/>
                <w:u w:val="single" w:color="000000"/>
              </w:rPr>
              <w:t>（/MedicalDevices/Device RequlationandGuidance/Guidance  Documents/ucm070272.htm）</w:t>
            </w:r>
          </w:p>
        </w:tc>
      </w:tr>
      <w:tr w14:paraId="53FF20BD">
        <w:tblPrEx>
          <w:tblBorders>
            <w:top w:val="single" w:color="1F497D" w:themeColor="text2" w:sz="12" w:space="0"/>
            <w:left w:val="single" w:color="1F497D" w:themeColor="text2" w:sz="12" w:space="0"/>
            <w:bottom w:val="single" w:color="1F497D" w:themeColor="text2" w:sz="12" w:space="0"/>
            <w:right w:val="single" w:color="1F497D" w:themeColor="text2" w:sz="12" w:space="0"/>
            <w:insideH w:val="single" w:color="1F497D" w:themeColor="text2" w:sz="12" w:space="0"/>
            <w:insideV w:val="single" w:color="1F497D" w:themeColor="text2" w:sz="12" w:space="0"/>
          </w:tblBorders>
          <w:tblCellMar>
            <w:top w:w="0" w:type="dxa"/>
            <w:left w:w="108" w:type="dxa"/>
            <w:bottom w:w="0" w:type="dxa"/>
            <w:right w:w="108" w:type="dxa"/>
          </w:tblCellMar>
        </w:tblPrEx>
        <w:tc>
          <w:tcPr>
            <w:tcW w:w="10992" w:type="dxa"/>
            <w:tcBorders>
              <w:top w:val="single" w:color="7F7F7F" w:themeColor="background1" w:themeShade="80" w:sz="2" w:space="0"/>
              <w:left w:val="single" w:color="7F7F7F" w:themeColor="background1" w:themeShade="80" w:sz="2" w:space="0"/>
              <w:bottom w:val="single" w:color="7F7F7F" w:themeColor="background1" w:themeShade="80" w:sz="2" w:space="0"/>
              <w:right w:val="single" w:color="7F7F7F" w:themeColor="background1" w:themeShade="80" w:sz="2" w:space="0"/>
            </w:tcBorders>
          </w:tcPr>
          <w:p w14:paraId="090E3376">
            <w:pPr>
              <w:overflowPunct w:val="0"/>
              <w:snapToGrid w:val="0"/>
              <w:spacing w:before="72" w:beforeLines="30" w:after="72" w:afterLines="30" w:line="300" w:lineRule="auto"/>
              <w:jc w:val="both"/>
              <w:rPr>
                <w:rFonts w:ascii="Arial" w:hAnsi="Arial" w:eastAsia="宋体" w:cs="Arial"/>
                <w:sz w:val="24"/>
                <w:szCs w:val="24"/>
                <w:lang w:eastAsia="zh-CN"/>
              </w:rPr>
            </w:pPr>
            <w:r>
              <w:rPr>
                <w:rFonts w:ascii="Arial" w:hAnsi="Arial" w:eastAsia="宋体" w:cs="Arial"/>
                <w:sz w:val="24"/>
                <w:szCs w:val="24"/>
                <w:u w:val="single" w:color="1C1C1C"/>
                <w:lang w:eastAsia="zh-CN"/>
              </w:rPr>
              <w:t>器械评价办公室</w:t>
            </w:r>
            <w:r>
              <w:rPr>
                <w:rFonts w:ascii="Arial" w:hAnsi="Arial" w:eastAsia="宋体" w:cs="Arial"/>
                <w:sz w:val="24"/>
                <w:szCs w:val="24"/>
                <w:u w:val="single" w:color="000000"/>
                <w:lang w:eastAsia="zh-CN"/>
              </w:rPr>
              <w:t>最终指南</w:t>
            </w:r>
            <w:r>
              <w:rPr>
                <w:rFonts w:ascii="Arial" w:hAnsi="Arial" w:eastAsia="宋体" w:cs="Arial"/>
                <w:sz w:val="24"/>
                <w:szCs w:val="24"/>
                <w:u w:val="single" w:color="1C1C1C"/>
                <w:lang w:eastAsia="zh-CN"/>
              </w:rPr>
              <w:t>1976 - 1997</w:t>
            </w:r>
          </w:p>
          <w:p w14:paraId="39B2B246">
            <w:pPr>
              <w:overflowPunct w:val="0"/>
              <w:snapToGrid w:val="0"/>
              <w:spacing w:before="72" w:beforeLines="30" w:after="72" w:afterLines="30" w:line="300" w:lineRule="auto"/>
              <w:jc w:val="both"/>
              <w:rPr>
                <w:rFonts w:ascii="Arial" w:hAnsi="Arial" w:eastAsia="宋体" w:cs="Arial"/>
                <w:sz w:val="24"/>
                <w:szCs w:val="24"/>
                <w:lang w:eastAsia="zh-CN"/>
              </w:rPr>
            </w:pPr>
            <w:r>
              <w:rPr>
                <w:rFonts w:ascii="Arial" w:hAnsi="Arial" w:eastAsia="宋体" w:cs="Arial"/>
                <w:sz w:val="24"/>
                <w:szCs w:val="24"/>
                <w:u w:val="single" w:color="000000"/>
              </w:rPr>
              <w:t>（/MedicalDevices/Device RequlationandGuidance/Guidance  Documents/ucm080283.htm）</w:t>
            </w:r>
          </w:p>
        </w:tc>
      </w:tr>
      <w:tr w14:paraId="3463DC5F">
        <w:tblPrEx>
          <w:tblBorders>
            <w:top w:val="single" w:color="1F497D" w:themeColor="text2" w:sz="12" w:space="0"/>
            <w:left w:val="single" w:color="1F497D" w:themeColor="text2" w:sz="12" w:space="0"/>
            <w:bottom w:val="single" w:color="1F497D" w:themeColor="text2" w:sz="12" w:space="0"/>
            <w:right w:val="single" w:color="1F497D" w:themeColor="text2" w:sz="12" w:space="0"/>
            <w:insideH w:val="single" w:color="1F497D" w:themeColor="text2" w:sz="12" w:space="0"/>
            <w:insideV w:val="single" w:color="1F497D" w:themeColor="text2" w:sz="12" w:space="0"/>
          </w:tblBorders>
          <w:tblCellMar>
            <w:top w:w="0" w:type="dxa"/>
            <w:left w:w="108" w:type="dxa"/>
            <w:bottom w:w="0" w:type="dxa"/>
            <w:right w:w="108" w:type="dxa"/>
          </w:tblCellMar>
        </w:tblPrEx>
        <w:tc>
          <w:tcPr>
            <w:tcW w:w="10992" w:type="dxa"/>
            <w:tcBorders>
              <w:top w:val="single" w:color="7F7F7F" w:themeColor="background1" w:themeShade="80" w:sz="2" w:space="0"/>
              <w:left w:val="single" w:color="7F7F7F" w:themeColor="background1" w:themeShade="80" w:sz="2" w:space="0"/>
              <w:bottom w:val="single" w:color="7F7F7F" w:themeColor="background1" w:themeShade="80" w:sz="2" w:space="0"/>
              <w:right w:val="single" w:color="7F7F7F" w:themeColor="background1" w:themeShade="80" w:sz="2" w:space="0"/>
            </w:tcBorders>
          </w:tcPr>
          <w:p w14:paraId="2590E7F1">
            <w:pPr>
              <w:overflowPunct w:val="0"/>
              <w:snapToGrid w:val="0"/>
              <w:spacing w:before="72" w:beforeLines="30" w:after="72" w:afterLines="30" w:line="300" w:lineRule="auto"/>
              <w:jc w:val="both"/>
              <w:rPr>
                <w:rFonts w:ascii="Arial" w:hAnsi="Arial" w:eastAsia="宋体" w:cs="Arial"/>
                <w:sz w:val="24"/>
                <w:szCs w:val="24"/>
                <w:lang w:eastAsia="zh-CN"/>
              </w:rPr>
            </w:pPr>
            <w:r>
              <w:rPr>
                <w:rFonts w:ascii="Arial" w:hAnsi="Arial" w:eastAsia="宋体" w:cs="Arial"/>
                <w:sz w:val="24"/>
                <w:szCs w:val="24"/>
                <w:lang w:eastAsia="zh-CN"/>
              </w:rPr>
              <w:t>体外诊断和放射</w:t>
            </w:r>
            <w:r>
              <w:rPr>
                <w:rFonts w:hint="eastAsia" w:ascii="Arial" w:hAnsi="Arial" w:eastAsia="宋体" w:cs="Arial"/>
                <w:sz w:val="24"/>
                <w:szCs w:val="24"/>
                <w:lang w:eastAsia="zh-CN"/>
              </w:rPr>
              <w:t>卫生</w:t>
            </w:r>
            <w:r>
              <w:rPr>
                <w:rFonts w:ascii="Arial" w:hAnsi="Arial" w:eastAsia="宋体" w:cs="Arial"/>
                <w:sz w:val="24"/>
                <w:szCs w:val="24"/>
                <w:lang w:eastAsia="zh-CN"/>
              </w:rPr>
              <w:t>办公室</w:t>
            </w:r>
            <w:r>
              <w:rPr>
                <w:rFonts w:ascii="Arial" w:hAnsi="Arial" w:eastAsia="宋体" w:cs="Arial"/>
                <w:sz w:val="24"/>
                <w:szCs w:val="24"/>
                <w:u w:val="single" w:color="000000"/>
                <w:lang w:eastAsia="zh-CN"/>
              </w:rPr>
              <w:t>最终指南</w:t>
            </w:r>
          </w:p>
          <w:p w14:paraId="3C5BE05D">
            <w:pPr>
              <w:overflowPunct w:val="0"/>
              <w:snapToGrid w:val="0"/>
              <w:spacing w:before="72" w:beforeLines="30" w:after="72" w:afterLines="30" w:line="300" w:lineRule="auto"/>
              <w:jc w:val="both"/>
              <w:rPr>
                <w:rFonts w:ascii="Arial" w:hAnsi="Arial" w:eastAsia="宋体" w:cs="Arial"/>
                <w:sz w:val="24"/>
                <w:szCs w:val="24"/>
                <w:lang w:eastAsia="zh-CN"/>
              </w:rPr>
            </w:pPr>
            <w:r>
              <w:rPr>
                <w:rFonts w:ascii="Arial" w:hAnsi="Arial" w:eastAsia="宋体" w:cs="Arial"/>
                <w:sz w:val="24"/>
                <w:szCs w:val="24"/>
                <w:u w:val="single" w:color="1C1C1C"/>
              </w:rPr>
              <w:t>（/MedicalDevices/Device RequlationandGuidance/Guidance  Documents/ucm070274.htm）</w:t>
            </w:r>
          </w:p>
        </w:tc>
      </w:tr>
      <w:tr w14:paraId="08049BDE">
        <w:tblPrEx>
          <w:tblBorders>
            <w:top w:val="single" w:color="1F497D" w:themeColor="text2" w:sz="12" w:space="0"/>
            <w:left w:val="single" w:color="1F497D" w:themeColor="text2" w:sz="12" w:space="0"/>
            <w:bottom w:val="single" w:color="1F497D" w:themeColor="text2" w:sz="12" w:space="0"/>
            <w:right w:val="single" w:color="1F497D" w:themeColor="text2" w:sz="12" w:space="0"/>
            <w:insideH w:val="single" w:color="1F497D" w:themeColor="text2" w:sz="12" w:space="0"/>
            <w:insideV w:val="single" w:color="1F497D" w:themeColor="text2" w:sz="12" w:space="0"/>
          </w:tblBorders>
          <w:tblCellMar>
            <w:top w:w="0" w:type="dxa"/>
            <w:left w:w="108" w:type="dxa"/>
            <w:bottom w:w="0" w:type="dxa"/>
            <w:right w:w="108" w:type="dxa"/>
          </w:tblCellMar>
        </w:tblPrEx>
        <w:tc>
          <w:tcPr>
            <w:tcW w:w="10992" w:type="dxa"/>
            <w:tcBorders>
              <w:top w:val="single" w:color="7F7F7F" w:themeColor="background1" w:themeShade="80" w:sz="2" w:space="0"/>
              <w:left w:val="single" w:color="7F7F7F" w:themeColor="background1" w:themeShade="80" w:sz="2" w:space="0"/>
              <w:bottom w:val="single" w:color="7F7F7F" w:themeColor="background1" w:themeShade="80" w:sz="2" w:space="0"/>
              <w:right w:val="single" w:color="7F7F7F" w:themeColor="background1" w:themeShade="80" w:sz="2" w:space="0"/>
            </w:tcBorders>
          </w:tcPr>
          <w:p w14:paraId="082F93BF">
            <w:pPr>
              <w:overflowPunct w:val="0"/>
              <w:snapToGrid w:val="0"/>
              <w:spacing w:before="72" w:beforeLines="30" w:after="72" w:afterLines="30" w:line="300" w:lineRule="auto"/>
              <w:jc w:val="both"/>
              <w:rPr>
                <w:rFonts w:ascii="Arial" w:hAnsi="Arial" w:eastAsia="宋体" w:cs="Arial"/>
                <w:sz w:val="24"/>
                <w:szCs w:val="24"/>
                <w:u w:val="single" w:color="000000"/>
                <w:lang w:eastAsia="zh-CN"/>
              </w:rPr>
            </w:pPr>
            <w:r>
              <w:rPr>
                <w:rFonts w:ascii="Arial" w:hAnsi="Arial" w:eastAsia="宋体" w:cs="Arial"/>
                <w:sz w:val="24"/>
                <w:szCs w:val="24"/>
                <w:u w:val="single" w:color="000000"/>
                <w:lang w:eastAsia="zh-CN"/>
              </w:rPr>
              <w:t>监测和生物测定办公室最终指南</w:t>
            </w:r>
          </w:p>
          <w:p w14:paraId="7DB74D9A">
            <w:pPr>
              <w:overflowPunct w:val="0"/>
              <w:snapToGrid w:val="0"/>
              <w:spacing w:before="72" w:beforeLines="30" w:after="72" w:afterLines="30" w:line="300" w:lineRule="auto"/>
              <w:jc w:val="both"/>
              <w:rPr>
                <w:rFonts w:ascii="Arial" w:hAnsi="Arial" w:eastAsia="宋体" w:cs="Arial"/>
                <w:sz w:val="24"/>
                <w:szCs w:val="24"/>
                <w:lang w:eastAsia="zh-CN"/>
              </w:rPr>
            </w:pPr>
            <w:r>
              <w:rPr>
                <w:rFonts w:ascii="Arial" w:hAnsi="Arial" w:eastAsia="宋体" w:cs="Arial"/>
                <w:sz w:val="24"/>
                <w:szCs w:val="24"/>
                <w:u w:val="single" w:color="1C1C1C"/>
              </w:rPr>
              <w:t>（/Me dicalDev ices/Device RequlationandGuidance/Guidance Documents/ucm070275.htm）</w:t>
            </w:r>
          </w:p>
        </w:tc>
      </w:tr>
    </w:tbl>
    <w:p w14:paraId="19E7F88A">
      <w:r>
        <w:br w:type="page"/>
      </w:r>
    </w:p>
    <w:tbl>
      <w:tblPr>
        <w:tblStyle w:val="10"/>
        <w:tblW w:w="0" w:type="auto"/>
        <w:tblInd w:w="0" w:type="dxa"/>
        <w:tblBorders>
          <w:top w:val="single" w:color="1F497D" w:themeColor="text2" w:sz="12" w:space="0"/>
          <w:left w:val="single" w:color="1F497D" w:themeColor="text2" w:sz="12" w:space="0"/>
          <w:bottom w:val="single" w:color="1F497D" w:themeColor="text2" w:sz="12" w:space="0"/>
          <w:right w:val="single" w:color="1F497D" w:themeColor="text2" w:sz="12" w:space="0"/>
          <w:insideH w:val="single" w:color="1F497D" w:themeColor="text2" w:sz="12" w:space="0"/>
          <w:insideV w:val="single" w:color="1F497D" w:themeColor="text2" w:sz="12" w:space="0"/>
        </w:tblBorders>
        <w:tblLayout w:type="autofit"/>
        <w:tblCellMar>
          <w:top w:w="0" w:type="dxa"/>
          <w:left w:w="108" w:type="dxa"/>
          <w:bottom w:w="0" w:type="dxa"/>
          <w:right w:w="108" w:type="dxa"/>
        </w:tblCellMar>
      </w:tblPr>
      <w:tblGrid>
        <w:gridCol w:w="10992"/>
      </w:tblGrid>
      <w:tr w14:paraId="0D834EF9">
        <w:tblPrEx>
          <w:tblBorders>
            <w:top w:val="single" w:color="1F497D" w:themeColor="text2" w:sz="12" w:space="0"/>
            <w:left w:val="single" w:color="1F497D" w:themeColor="text2" w:sz="12" w:space="0"/>
            <w:bottom w:val="single" w:color="1F497D" w:themeColor="text2" w:sz="12" w:space="0"/>
            <w:right w:val="single" w:color="1F497D" w:themeColor="text2" w:sz="12" w:space="0"/>
            <w:insideH w:val="single" w:color="1F497D" w:themeColor="text2" w:sz="12" w:space="0"/>
            <w:insideV w:val="single" w:color="1F497D" w:themeColor="text2" w:sz="12" w:space="0"/>
          </w:tblBorders>
        </w:tblPrEx>
        <w:tc>
          <w:tcPr>
            <w:tcW w:w="10992" w:type="dxa"/>
            <w:tcBorders>
              <w:top w:val="single" w:color="7F7F7F" w:themeColor="background1" w:themeShade="80" w:sz="2" w:space="0"/>
              <w:left w:val="single" w:color="7F7F7F" w:themeColor="background1" w:themeShade="80" w:sz="2" w:space="0"/>
              <w:bottom w:val="single" w:color="7F7F7F" w:themeColor="background1" w:themeShade="80" w:sz="2" w:space="0"/>
              <w:right w:val="single" w:color="7F7F7F" w:themeColor="background1" w:themeShade="80" w:sz="2" w:space="0"/>
            </w:tcBorders>
          </w:tcPr>
          <w:p w14:paraId="3FEE6C1E">
            <w:pPr>
              <w:overflowPunct w:val="0"/>
              <w:snapToGrid w:val="0"/>
              <w:spacing w:before="72" w:beforeLines="30" w:after="72" w:afterLines="30" w:line="300" w:lineRule="auto"/>
              <w:jc w:val="both"/>
              <w:rPr>
                <w:rFonts w:ascii="Arial" w:hAnsi="Arial" w:eastAsia="宋体" w:cs="Arial"/>
                <w:sz w:val="24"/>
                <w:szCs w:val="24"/>
                <w:lang w:eastAsia="zh-CN"/>
              </w:rPr>
            </w:pPr>
            <w:r>
              <w:rPr>
                <w:rFonts w:ascii="Arial" w:hAnsi="Arial" w:eastAsia="宋体" w:cs="Arial"/>
                <w:sz w:val="24"/>
                <w:szCs w:val="24"/>
                <w:u w:val="single" w:color="000000"/>
                <w:lang w:eastAsia="zh-CN"/>
              </w:rPr>
              <w:t>科学和工程实验室办公室最终指南</w:t>
            </w:r>
          </w:p>
          <w:p w14:paraId="2D33776D">
            <w:pPr>
              <w:overflowPunct w:val="0"/>
              <w:snapToGrid w:val="0"/>
              <w:spacing w:before="72" w:beforeLines="30" w:after="72" w:afterLines="30" w:line="300" w:lineRule="auto"/>
              <w:jc w:val="both"/>
              <w:rPr>
                <w:rFonts w:ascii="Arial" w:hAnsi="Arial" w:eastAsia="宋体" w:cs="Arial"/>
                <w:sz w:val="24"/>
                <w:szCs w:val="24"/>
                <w:lang w:eastAsia="zh-CN"/>
              </w:rPr>
            </w:pPr>
            <w:r>
              <w:rPr>
                <w:rFonts w:ascii="Arial" w:hAnsi="Arial" w:eastAsia="宋体" w:cs="Arial"/>
                <w:sz w:val="24"/>
                <w:szCs w:val="24"/>
                <w:u w:val="single" w:color="1C1C1C"/>
              </w:rPr>
              <w:t>（/MedicalDevices/Device RequlationandGuidance/Guidance Documents/ucm070277.htm）</w:t>
            </w:r>
          </w:p>
        </w:tc>
      </w:tr>
      <w:tr w14:paraId="30478B0D">
        <w:tblPrEx>
          <w:tblBorders>
            <w:top w:val="single" w:color="1F497D" w:themeColor="text2" w:sz="12" w:space="0"/>
            <w:left w:val="single" w:color="1F497D" w:themeColor="text2" w:sz="12" w:space="0"/>
            <w:bottom w:val="single" w:color="1F497D" w:themeColor="text2" w:sz="12" w:space="0"/>
            <w:right w:val="single" w:color="1F497D" w:themeColor="text2" w:sz="12" w:space="0"/>
            <w:insideH w:val="single" w:color="1F497D" w:themeColor="text2" w:sz="12" w:space="0"/>
            <w:insideV w:val="single" w:color="1F497D" w:themeColor="text2" w:sz="12" w:space="0"/>
          </w:tblBorders>
          <w:tblCellMar>
            <w:top w:w="0" w:type="dxa"/>
            <w:left w:w="108" w:type="dxa"/>
            <w:bottom w:w="0" w:type="dxa"/>
            <w:right w:w="108" w:type="dxa"/>
          </w:tblCellMar>
        </w:tblPrEx>
        <w:tc>
          <w:tcPr>
            <w:tcW w:w="10992" w:type="dxa"/>
            <w:tcBorders>
              <w:top w:val="single" w:color="7F7F7F" w:themeColor="background1" w:themeShade="80" w:sz="2" w:space="0"/>
              <w:left w:val="single" w:color="7F7F7F" w:themeColor="background1" w:themeShade="80" w:sz="2" w:space="0"/>
              <w:bottom w:val="single" w:color="7F7F7F" w:themeColor="background1" w:themeShade="80" w:sz="2" w:space="0"/>
              <w:right w:val="single" w:color="7F7F7F" w:themeColor="background1" w:themeShade="80" w:sz="2" w:space="0"/>
            </w:tcBorders>
          </w:tcPr>
          <w:p w14:paraId="1C9A48E5">
            <w:pPr>
              <w:overflowPunct w:val="0"/>
              <w:snapToGrid w:val="0"/>
              <w:spacing w:before="72" w:beforeLines="30" w:after="72" w:afterLines="30" w:line="300" w:lineRule="auto"/>
              <w:jc w:val="both"/>
              <w:rPr>
                <w:rFonts w:ascii="Arial" w:hAnsi="Arial" w:eastAsia="宋体" w:cs="Arial"/>
                <w:sz w:val="24"/>
                <w:szCs w:val="24"/>
                <w:u w:val="single" w:color="000000"/>
              </w:rPr>
            </w:pPr>
            <w:r>
              <w:rPr>
                <w:rFonts w:ascii="Arial" w:hAnsi="Arial" w:eastAsia="宋体" w:cs="Arial"/>
                <w:sz w:val="24"/>
                <w:szCs w:val="24"/>
                <w:u w:val="single" w:color="000000"/>
              </w:rPr>
              <w:t>指南草案</w:t>
            </w:r>
          </w:p>
          <w:p w14:paraId="78E984D7">
            <w:pPr>
              <w:tabs>
                <w:tab w:val="left" w:pos="10143"/>
              </w:tabs>
              <w:overflowPunct w:val="0"/>
              <w:snapToGrid w:val="0"/>
              <w:spacing w:before="72" w:beforeLines="30" w:after="72" w:afterLines="30" w:line="300" w:lineRule="auto"/>
              <w:jc w:val="both"/>
              <w:rPr>
                <w:rFonts w:ascii="Arial" w:hAnsi="Arial" w:eastAsia="宋体" w:cs="Arial"/>
                <w:sz w:val="24"/>
                <w:szCs w:val="24"/>
                <w:lang w:eastAsia="zh-CN"/>
              </w:rPr>
            </w:pPr>
            <w:r>
              <w:rPr>
                <w:rFonts w:ascii="Arial" w:hAnsi="Arial" w:eastAsia="宋体" w:cs="Arial"/>
                <w:sz w:val="24"/>
                <w:szCs w:val="24"/>
                <w:u w:val="single" w:color="0C0C0C"/>
              </w:rPr>
              <w:t>（/MedicalDevices/Device RequlationandGuidance/Guidance Documents/ucm407274.htm）</w:t>
            </w:r>
          </w:p>
        </w:tc>
      </w:tr>
      <w:tr w14:paraId="6556AE1B">
        <w:tblPrEx>
          <w:tblBorders>
            <w:top w:val="single" w:color="1F497D" w:themeColor="text2" w:sz="12" w:space="0"/>
            <w:left w:val="single" w:color="1F497D" w:themeColor="text2" w:sz="12" w:space="0"/>
            <w:bottom w:val="single" w:color="1F497D" w:themeColor="text2" w:sz="12" w:space="0"/>
            <w:right w:val="single" w:color="1F497D" w:themeColor="text2" w:sz="12" w:space="0"/>
            <w:insideH w:val="single" w:color="1F497D" w:themeColor="text2" w:sz="12" w:space="0"/>
            <w:insideV w:val="single" w:color="1F497D" w:themeColor="text2" w:sz="12" w:space="0"/>
          </w:tblBorders>
          <w:tblCellMar>
            <w:top w:w="0" w:type="dxa"/>
            <w:left w:w="108" w:type="dxa"/>
            <w:bottom w:w="0" w:type="dxa"/>
            <w:right w:w="108" w:type="dxa"/>
          </w:tblCellMar>
        </w:tblPrEx>
        <w:tc>
          <w:tcPr>
            <w:tcW w:w="10992" w:type="dxa"/>
            <w:tcBorders>
              <w:top w:val="single" w:color="7F7F7F" w:themeColor="background1" w:themeShade="80" w:sz="2" w:space="0"/>
              <w:left w:val="single" w:color="7F7F7F" w:themeColor="background1" w:themeShade="80" w:sz="2" w:space="0"/>
              <w:bottom w:val="single" w:color="7F7F7F" w:themeColor="background1" w:themeShade="80" w:sz="2" w:space="0"/>
              <w:right w:val="single" w:color="7F7F7F" w:themeColor="background1" w:themeShade="80" w:sz="2" w:space="0"/>
            </w:tcBorders>
          </w:tcPr>
          <w:p w14:paraId="4C99EAD0">
            <w:pPr>
              <w:overflowPunct w:val="0"/>
              <w:snapToGrid w:val="0"/>
              <w:spacing w:before="72" w:beforeLines="30" w:after="72" w:afterLines="30" w:line="300" w:lineRule="auto"/>
              <w:jc w:val="both"/>
              <w:rPr>
                <w:rFonts w:ascii="Arial" w:hAnsi="Arial" w:eastAsia="宋体" w:cs="Arial"/>
                <w:sz w:val="24"/>
                <w:szCs w:val="24"/>
                <w:u w:val="single" w:color="000000"/>
              </w:rPr>
            </w:pPr>
            <w:r>
              <w:rPr>
                <w:rFonts w:ascii="Arial" w:hAnsi="Arial" w:eastAsia="宋体" w:cs="Arial"/>
                <w:sz w:val="24"/>
                <w:szCs w:val="24"/>
                <w:u w:val="single" w:color="000000"/>
              </w:rPr>
              <w:t>辐射产品指南</w:t>
            </w:r>
          </w:p>
          <w:p w14:paraId="65E41FA8">
            <w:pPr>
              <w:overflowPunct w:val="0"/>
              <w:snapToGrid w:val="0"/>
              <w:spacing w:before="72" w:beforeLines="30" w:after="72" w:afterLines="30" w:line="300" w:lineRule="auto"/>
              <w:jc w:val="both"/>
              <w:rPr>
                <w:rFonts w:ascii="Arial" w:hAnsi="Arial" w:eastAsia="宋体" w:cs="Arial"/>
                <w:sz w:val="24"/>
                <w:szCs w:val="24"/>
                <w:lang w:eastAsia="zh-CN"/>
              </w:rPr>
            </w:pPr>
            <w:r>
              <w:rPr>
                <w:rFonts w:ascii="Arial" w:hAnsi="Arial" w:eastAsia="宋体" w:cs="Arial"/>
                <w:sz w:val="24"/>
                <w:szCs w:val="24"/>
                <w:u w:val="single" w:color="000000"/>
              </w:rPr>
              <w:t>（/MedicalDevices/Device RequlationandGuidance/Guidance Documents/ucm283507.htm）</w:t>
            </w:r>
          </w:p>
        </w:tc>
      </w:tr>
      <w:tr w14:paraId="1169524F">
        <w:tblPrEx>
          <w:tblBorders>
            <w:top w:val="single" w:color="1F497D" w:themeColor="text2" w:sz="12" w:space="0"/>
            <w:left w:val="single" w:color="1F497D" w:themeColor="text2" w:sz="12" w:space="0"/>
            <w:bottom w:val="single" w:color="1F497D" w:themeColor="text2" w:sz="12" w:space="0"/>
            <w:right w:val="single" w:color="1F497D" w:themeColor="text2" w:sz="12" w:space="0"/>
            <w:insideH w:val="single" w:color="1F497D" w:themeColor="text2" w:sz="12" w:space="0"/>
            <w:insideV w:val="single" w:color="1F497D" w:themeColor="text2" w:sz="12" w:space="0"/>
          </w:tblBorders>
          <w:tblCellMar>
            <w:top w:w="0" w:type="dxa"/>
            <w:left w:w="108" w:type="dxa"/>
            <w:bottom w:w="0" w:type="dxa"/>
            <w:right w:w="108" w:type="dxa"/>
          </w:tblCellMar>
        </w:tblPrEx>
        <w:tc>
          <w:tcPr>
            <w:tcW w:w="10992" w:type="dxa"/>
            <w:tcBorders>
              <w:top w:val="single" w:color="7F7F7F" w:themeColor="background1" w:themeShade="80" w:sz="2" w:space="0"/>
              <w:left w:val="single" w:color="7F7F7F" w:themeColor="background1" w:themeShade="80" w:sz="2" w:space="0"/>
              <w:bottom w:val="single" w:color="7F7F7F" w:themeColor="background1" w:themeShade="80" w:sz="2" w:space="0"/>
              <w:right w:val="single" w:color="7F7F7F" w:themeColor="background1" w:themeShade="80" w:sz="2" w:space="0"/>
            </w:tcBorders>
          </w:tcPr>
          <w:p w14:paraId="53142EB1">
            <w:pPr>
              <w:overflowPunct w:val="0"/>
              <w:snapToGrid w:val="0"/>
              <w:spacing w:before="72" w:beforeLines="30" w:after="72" w:afterLines="30" w:line="300" w:lineRule="auto"/>
              <w:jc w:val="both"/>
              <w:rPr>
                <w:rFonts w:ascii="Arial" w:hAnsi="Arial" w:eastAsia="宋体" w:cs="Arial"/>
                <w:sz w:val="24"/>
                <w:szCs w:val="24"/>
                <w:u w:val="single" w:color="000000"/>
              </w:rPr>
            </w:pPr>
            <w:r>
              <w:rPr>
                <w:rFonts w:ascii="Arial" w:hAnsi="Arial" w:eastAsia="宋体" w:cs="Arial"/>
                <w:sz w:val="24"/>
                <w:szCs w:val="24"/>
                <w:u w:val="single" w:color="000000"/>
              </w:rPr>
              <w:t>撤回指南</w:t>
            </w:r>
          </w:p>
          <w:p w14:paraId="71841835">
            <w:pPr>
              <w:overflowPunct w:val="0"/>
              <w:snapToGrid w:val="0"/>
              <w:spacing w:before="72" w:beforeLines="30" w:after="72" w:afterLines="30" w:line="300" w:lineRule="auto"/>
              <w:jc w:val="both"/>
              <w:rPr>
                <w:rFonts w:ascii="Arial" w:hAnsi="Arial" w:eastAsia="宋体" w:cs="Arial"/>
                <w:sz w:val="24"/>
                <w:szCs w:val="24"/>
                <w:lang w:eastAsia="zh-CN"/>
              </w:rPr>
            </w:pPr>
            <w:r>
              <w:rPr>
                <w:rFonts w:ascii="Arial" w:hAnsi="Arial" w:eastAsia="宋体" w:cs="Arial"/>
                <w:sz w:val="24"/>
                <w:szCs w:val="24"/>
                <w:u w:val="single" w:color="000000"/>
              </w:rPr>
              <w:t>（/MedicalDevices/Device RequlationandGuidance/Guidance  Documents/ucm425025.htm）</w:t>
            </w:r>
          </w:p>
        </w:tc>
      </w:tr>
    </w:tbl>
    <w:p w14:paraId="4922CA44">
      <w:pPr>
        <w:tabs>
          <w:tab w:val="left" w:pos="10147"/>
        </w:tabs>
        <w:overflowPunct w:val="0"/>
        <w:snapToGrid w:val="0"/>
        <w:spacing w:before="72" w:line="300" w:lineRule="auto"/>
        <w:jc w:val="both"/>
        <w:rPr>
          <w:rFonts w:ascii="Arial" w:hAnsi="Arial" w:eastAsia="宋体" w:cs="Arial"/>
          <w:sz w:val="24"/>
          <w:szCs w:val="24"/>
        </w:rPr>
      </w:pPr>
    </w:p>
    <w:p w14:paraId="5177CE11">
      <w:pPr>
        <w:overflowPunct w:val="0"/>
        <w:snapToGrid w:val="0"/>
        <w:spacing w:line="300" w:lineRule="auto"/>
        <w:jc w:val="both"/>
        <w:rPr>
          <w:rFonts w:hint="eastAsia" w:eastAsia="宋体"/>
          <w:lang w:eastAsia="zh-CN"/>
        </w:rPr>
      </w:pPr>
    </w:p>
    <w:p w14:paraId="3ACB64C6">
      <w:pPr>
        <w:overflowPunct w:val="0"/>
        <w:snapToGrid w:val="0"/>
        <w:spacing w:line="300" w:lineRule="auto"/>
        <w:jc w:val="center"/>
        <w:rPr>
          <w:rFonts w:hint="eastAsia" w:eastAsia="宋体"/>
          <w:lang w:eastAsia="zh-CN"/>
        </w:rPr>
      </w:pPr>
    </w:p>
    <w:p w14:paraId="7949F1A1">
      <w:pPr>
        <w:overflowPunct w:val="0"/>
        <w:snapToGrid w:val="0"/>
        <w:spacing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headerReference r:id="rId3" w:type="default"/>
      <w:footerReference r:id="rId4" w:type="default"/>
      <w:pgSz w:w="11910" w:h="16840"/>
      <w:pgMar w:top="567" w:right="567" w:bottom="567" w:left="567" w:header="113" w:footer="261"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28913">
    <w:pPr>
      <w:tabs>
        <w:tab w:val="right" w:pos="10773"/>
      </w:tabs>
      <w:overflowPunct w:val="0"/>
      <w:snapToGrid w:val="0"/>
      <w:spacing w:line="300" w:lineRule="auto"/>
      <w:jc w:val="both"/>
      <w:rPr>
        <w:rFonts w:ascii="Arial" w:hAnsi="Arial" w:eastAsia="宋体" w:cs="Arial"/>
        <w:sz w:val="15"/>
        <w:szCs w:val="15"/>
        <w:lang w:eastAsia="zh-CN"/>
      </w:rPr>
    </w:pPr>
    <w:r>
      <w:rPr>
        <w:rFonts w:ascii="Arial" w:hAnsi="Arial" w:eastAsia="宋体" w:cs="Arial"/>
        <w:sz w:val="15"/>
        <w:szCs w:val="15"/>
        <w:lang w:eastAsia="zh-CN"/>
      </w:rPr>
      <w:t>https:</w:t>
    </w:r>
    <w:r>
      <w:rPr>
        <w:rFonts w:hint="eastAsia" w:ascii="Arial" w:hAnsi="Arial" w:eastAsia="宋体" w:cs="Arial"/>
        <w:sz w:val="15"/>
        <w:szCs w:val="15"/>
        <w:lang w:eastAsia="zh-CN"/>
      </w:rPr>
      <w:t>//</w:t>
    </w:r>
    <w:r>
      <w:rPr>
        <w:rFonts w:ascii="Arial" w:hAnsi="Arial" w:eastAsia="宋体" w:cs="Arial"/>
        <w:sz w:val="15"/>
        <w:szCs w:val="15"/>
        <w:lang w:eastAsia="zh-CN"/>
      </w:rPr>
      <w:t>w</w:t>
    </w:r>
    <w:r>
      <w:rPr>
        <w:rFonts w:hint="eastAsia" w:ascii="Arial" w:hAnsi="Arial" w:eastAsia="宋体" w:cs="Arial"/>
        <w:sz w:val="15"/>
        <w:szCs w:val="15"/>
        <w:lang w:eastAsia="zh-CN"/>
      </w:rPr>
      <w:t>ww.</w:t>
    </w:r>
    <w:r>
      <w:rPr>
        <w:rFonts w:ascii="Arial" w:hAnsi="Arial" w:eastAsia="宋体" w:cs="Arial"/>
        <w:sz w:val="15"/>
        <w:szCs w:val="15"/>
        <w:lang w:eastAsia="zh-CN"/>
      </w:rPr>
      <w:t>fda.g</w:t>
    </w:r>
    <w:r>
      <w:rPr>
        <w:rFonts w:hint="eastAsia" w:ascii="Arial" w:hAnsi="Arial" w:eastAsia="宋体" w:cs="Arial"/>
        <w:sz w:val="15"/>
        <w:szCs w:val="15"/>
        <w:lang w:eastAsia="zh-CN"/>
      </w:rPr>
      <w:t>ov/Me</w:t>
    </w:r>
    <w:r>
      <w:rPr>
        <w:rFonts w:ascii="Arial" w:hAnsi="Arial" w:eastAsia="宋体" w:cs="Arial"/>
        <w:sz w:val="15"/>
        <w:szCs w:val="15"/>
        <w:lang w:eastAsia="zh-CN"/>
      </w:rPr>
      <w:t>d</w:t>
    </w:r>
    <w:r>
      <w:rPr>
        <w:rFonts w:hint="eastAsia" w:ascii="Arial" w:hAnsi="Arial" w:eastAsia="宋体" w:cs="Arial"/>
        <w:sz w:val="15"/>
        <w:szCs w:val="15"/>
        <w:lang w:eastAsia="zh-CN"/>
      </w:rPr>
      <w:t>i</w:t>
    </w:r>
    <w:r>
      <w:rPr>
        <w:rFonts w:ascii="Arial" w:hAnsi="Arial" w:eastAsia="宋体" w:cs="Arial"/>
        <w:sz w:val="15"/>
        <w:szCs w:val="15"/>
        <w:lang w:eastAsia="zh-CN"/>
      </w:rPr>
      <w:t>calDev</w:t>
    </w:r>
    <w:r>
      <w:rPr>
        <w:rFonts w:hint="eastAsia" w:ascii="Arial" w:hAnsi="Arial" w:eastAsia="宋体" w:cs="Arial"/>
        <w:sz w:val="15"/>
        <w:szCs w:val="15"/>
        <w:lang w:eastAsia="zh-CN"/>
      </w:rPr>
      <w:t>i</w:t>
    </w:r>
    <w:r>
      <w:rPr>
        <w:rFonts w:ascii="Arial" w:hAnsi="Arial" w:eastAsia="宋体" w:cs="Arial"/>
        <w:sz w:val="15"/>
        <w:szCs w:val="15"/>
        <w:lang w:eastAsia="zh-CN"/>
      </w:rPr>
      <w:t>ces/De</w:t>
    </w:r>
    <w:r>
      <w:rPr>
        <w:rFonts w:hint="eastAsia" w:ascii="Arial" w:hAnsi="Arial" w:eastAsia="宋体" w:cs="Arial"/>
        <w:sz w:val="15"/>
        <w:szCs w:val="15"/>
        <w:lang w:eastAsia="zh-CN"/>
      </w:rPr>
      <w:t>vi</w:t>
    </w:r>
    <w:r>
      <w:rPr>
        <w:rFonts w:ascii="Arial" w:hAnsi="Arial" w:eastAsia="宋体" w:cs="Arial"/>
        <w:sz w:val="15"/>
        <w:szCs w:val="15"/>
        <w:lang w:eastAsia="zh-CN"/>
      </w:rPr>
      <w:t>ceReg</w:t>
    </w:r>
    <w:r>
      <w:rPr>
        <w:rFonts w:hint="eastAsia" w:ascii="Arial" w:hAnsi="Arial" w:eastAsia="宋体" w:cs="Arial"/>
        <w:sz w:val="15"/>
        <w:szCs w:val="15"/>
        <w:lang w:eastAsia="zh-CN"/>
      </w:rPr>
      <w:t>ula</w:t>
    </w:r>
    <w:r>
      <w:rPr>
        <w:rFonts w:ascii="Arial" w:hAnsi="Arial" w:eastAsia="宋体" w:cs="Arial"/>
        <w:sz w:val="15"/>
        <w:szCs w:val="15"/>
        <w:lang w:eastAsia="zh-CN"/>
      </w:rPr>
      <w:t>tionandGuidanc</w:t>
    </w:r>
    <w:r>
      <w:rPr>
        <w:rFonts w:hint="eastAsia" w:ascii="Arial" w:hAnsi="Arial" w:eastAsia="宋体" w:cs="Arial"/>
        <w:sz w:val="15"/>
        <w:szCs w:val="15"/>
        <w:lang w:eastAsia="zh-CN"/>
      </w:rPr>
      <w:t>e/</w:t>
    </w:r>
    <w:r>
      <w:rPr>
        <w:rFonts w:ascii="Arial" w:hAnsi="Arial" w:eastAsia="宋体" w:cs="Arial"/>
        <w:sz w:val="15"/>
        <w:szCs w:val="15"/>
        <w:lang w:eastAsia="zh-CN"/>
      </w:rPr>
      <w:t>Guida</w:t>
    </w:r>
    <w:r>
      <w:rPr>
        <w:rFonts w:hint="eastAsia" w:ascii="Arial" w:hAnsi="Arial" w:eastAsia="宋体" w:cs="Arial"/>
        <w:sz w:val="15"/>
        <w:szCs w:val="15"/>
        <w:lang w:eastAsia="zh-CN"/>
      </w:rPr>
      <w:t>n</w:t>
    </w:r>
    <w:r>
      <w:rPr>
        <w:rFonts w:ascii="Arial" w:hAnsi="Arial" w:eastAsia="宋体" w:cs="Arial"/>
        <w:sz w:val="15"/>
        <w:szCs w:val="15"/>
        <w:lang w:eastAsia="zh-CN"/>
      </w:rPr>
      <w:t>ceDocuments</w:t>
    </w:r>
    <w:r>
      <w:rPr>
        <w:rFonts w:hint="eastAsia" w:ascii="Arial" w:hAnsi="Arial" w:eastAsia="宋体" w:cs="Arial"/>
        <w:sz w:val="15"/>
        <w:szCs w:val="15"/>
        <w:lang w:eastAsia="zh-CN"/>
      </w:rPr>
      <w:t>/ucm080</w:t>
    </w:r>
    <w:r>
      <w:rPr>
        <w:rFonts w:ascii="Arial" w:hAnsi="Arial" w:eastAsia="宋体" w:cs="Arial"/>
        <w:sz w:val="15"/>
        <w:szCs w:val="15"/>
        <w:lang w:eastAsia="zh-CN"/>
      </w:rPr>
      <w:t>297.htm</w:t>
    </w:r>
    <w:r>
      <w:rPr>
        <w:rFonts w:hint="eastAsia" w:ascii="Arial" w:hAnsi="Arial" w:eastAsia="宋体" w:cs="Arial"/>
        <w:sz w:val="15"/>
        <w:szCs w:val="15"/>
        <w:lang w:eastAsia="zh-CN"/>
      </w:rPr>
      <w:tab/>
    </w:r>
    <w:r>
      <w:rPr>
        <w:rFonts w:ascii="Arial" w:hAnsi="Arial" w:eastAsia="宋体" w:cs="Arial"/>
        <w:sz w:val="15"/>
        <w:szCs w:val="15"/>
        <w:lang w:eastAsia="zh-CN"/>
      </w:rPr>
      <w:fldChar w:fldCharType="begin"/>
    </w:r>
    <w:r>
      <w:rPr>
        <w:rFonts w:ascii="Arial" w:hAnsi="Arial" w:eastAsia="宋体" w:cs="Arial"/>
        <w:sz w:val="15"/>
        <w:szCs w:val="15"/>
        <w:lang w:eastAsia="zh-CN"/>
      </w:rPr>
      <w:instrText xml:space="preserve">PAGE   \* MERGEFORMAT</w:instrText>
    </w:r>
    <w:r>
      <w:rPr>
        <w:rFonts w:ascii="Arial" w:hAnsi="Arial" w:eastAsia="宋体" w:cs="Arial"/>
        <w:sz w:val="15"/>
        <w:szCs w:val="15"/>
        <w:lang w:eastAsia="zh-CN"/>
      </w:rPr>
      <w:fldChar w:fldCharType="separate"/>
    </w:r>
    <w:r>
      <w:rPr>
        <w:rFonts w:ascii="Arial" w:hAnsi="Arial" w:eastAsia="宋体" w:cs="Arial"/>
        <w:sz w:val="15"/>
        <w:szCs w:val="15"/>
        <w:lang w:val="zh-CN" w:eastAsia="zh-CN"/>
      </w:rPr>
      <w:t>4</w:t>
    </w:r>
    <w:r>
      <w:rPr>
        <w:rFonts w:ascii="Arial" w:hAnsi="Arial" w:eastAsia="宋体" w:cs="Arial"/>
        <w:sz w:val="15"/>
        <w:szCs w:val="15"/>
        <w:lang w:eastAsia="zh-CN"/>
      </w:rPr>
      <w:fldChar w:fldCharType="end"/>
    </w:r>
    <w:r>
      <w:rPr>
        <w:rFonts w:ascii="Arial" w:hAnsi="Arial" w:eastAsia="宋体" w:cs="Arial"/>
        <w:sz w:val="15"/>
        <w:szCs w:val="15"/>
        <w:lang w:eastAsia="zh-CN"/>
      </w:rPr>
      <w:t>/9</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918CF">
    <w:pPr>
      <w:tabs>
        <w:tab w:val="left" w:pos="1134"/>
      </w:tabs>
      <w:ind w:left="1148" w:hanging="1147" w:hangingChars="765"/>
      <w:rPr>
        <w:rFonts w:ascii="Arial" w:hAnsi="Arial" w:cs="Arial"/>
        <w:sz w:val="15"/>
        <w:szCs w:val="15"/>
        <w:lang w:eastAsia="zh-CN"/>
      </w:rPr>
    </w:pPr>
    <w:r>
      <w:rPr>
        <w:rFonts w:ascii="Arial" w:hAnsi="Arial" w:cs="Arial"/>
        <w:sz w:val="15"/>
        <w:szCs w:val="15"/>
        <w:lang w:eastAsia="zh-CN"/>
      </w:rPr>
      <w:t>2017/8/10</w:t>
    </w:r>
    <w:r>
      <w:rPr>
        <w:rFonts w:hint="eastAsia" w:ascii="Arial" w:hAnsi="Arial" w:cs="Arial"/>
        <w:sz w:val="15"/>
        <w:szCs w:val="15"/>
        <w:lang w:eastAsia="zh-CN"/>
      </w:rPr>
      <w:tab/>
    </w:r>
    <w:r>
      <w:rPr>
        <w:rFonts w:ascii="Arial" w:hAnsi="Arial" w:cs="Arial"/>
        <w:sz w:val="15"/>
        <w:szCs w:val="15"/>
        <w:lang w:eastAsia="zh-CN"/>
      </w:rPr>
      <w:t>指导性文件（医疗器械和辐射产品）＞</w:t>
    </w:r>
    <w:r>
      <w:rPr>
        <w:rFonts w:hint="eastAsia" w:ascii="Arial" w:hAnsi="Arial" w:cs="Arial"/>
        <w:sz w:val="15"/>
        <w:szCs w:val="15"/>
        <w:lang w:eastAsia="zh-CN"/>
      </w:rPr>
      <w:t>附信</w:t>
    </w:r>
    <w:r>
      <w:rPr>
        <w:rFonts w:ascii="Arial" w:hAnsi="Arial" w:cs="Arial"/>
        <w:sz w:val="15"/>
        <w:szCs w:val="15"/>
        <w:lang w:eastAsia="zh-CN"/>
      </w:rPr>
      <w:t>：公司发起召回期间的510（K）要求；附件A：公司召回合法上市器械期间的召回和上市前通知审查指南</w:t>
    </w:r>
  </w:p>
  <w:p w14:paraId="770CC0A6">
    <w:pPr>
      <w:tabs>
        <w:tab w:val="left" w:pos="1134"/>
      </w:tabs>
      <w:ind w:left="1148" w:hanging="1147" w:hangingChars="765"/>
      <w:rPr>
        <w:rFonts w:ascii="Arial" w:hAnsi="Arial" w:cs="Arial"/>
        <w:sz w:val="15"/>
        <w:szCs w:val="15"/>
        <w:lang w:eastAsia="zh-CN"/>
      </w:rPr>
    </w:pPr>
  </w:p>
  <w:p w14:paraId="6C76BCF4">
    <w:pPr>
      <w:tabs>
        <w:tab w:val="left" w:pos="1134"/>
      </w:tabs>
      <w:ind w:left="1148" w:hanging="1147" w:hangingChars="765"/>
      <w:rPr>
        <w:rFonts w:ascii="Arial" w:hAnsi="Arial" w:cs="Arial"/>
        <w:sz w:val="15"/>
        <w:szCs w:val="15"/>
        <w:lang w:eastAsia="zh-CN"/>
      </w:rPr>
    </w:pPr>
  </w:p>
  <w:p w14:paraId="632FFA2B">
    <w:pPr>
      <w:pStyle w:val="8"/>
      <w:pBdr>
        <w:bottom w:val="none" w:color="auto" w:sz="0" w:space="0"/>
      </w:pBdr>
      <w:rPr>
        <w:rFonts w:ascii="Arial" w:hAnsi="Arial" w:cs="Arial"/>
        <w:sz w:val="15"/>
        <w:szCs w:val="15"/>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2C38C0"/>
    <w:multiLevelType w:val="multilevel"/>
    <w:tmpl w:val="382C38C0"/>
    <w:lvl w:ilvl="0" w:tentative="0">
      <w:start w:val="1"/>
      <w:numFmt w:val="bullet"/>
      <w:lvlText w:val="•"/>
      <w:lvlJc w:val="left"/>
      <w:pPr>
        <w:ind w:left="1044" w:hanging="687"/>
      </w:pPr>
      <w:rPr>
        <w:rFonts w:hint="default" w:ascii="Cambria" w:hAnsi="Cambria" w:eastAsia="Cambria"/>
        <w:w w:val="74"/>
        <w:sz w:val="25"/>
        <w:szCs w:val="25"/>
      </w:rPr>
    </w:lvl>
    <w:lvl w:ilvl="1" w:tentative="0">
      <w:start w:val="1"/>
      <w:numFmt w:val="bullet"/>
      <w:lvlText w:val="•"/>
      <w:lvlJc w:val="left"/>
      <w:pPr>
        <w:ind w:left="2048" w:hanging="687"/>
      </w:pPr>
      <w:rPr>
        <w:rFonts w:hint="default"/>
      </w:rPr>
    </w:lvl>
    <w:lvl w:ilvl="2" w:tentative="0">
      <w:start w:val="1"/>
      <w:numFmt w:val="bullet"/>
      <w:lvlText w:val="•"/>
      <w:lvlJc w:val="left"/>
      <w:pPr>
        <w:ind w:left="3056" w:hanging="687"/>
      </w:pPr>
      <w:rPr>
        <w:rFonts w:hint="default"/>
      </w:rPr>
    </w:lvl>
    <w:lvl w:ilvl="3" w:tentative="0">
      <w:start w:val="1"/>
      <w:numFmt w:val="bullet"/>
      <w:lvlText w:val="•"/>
      <w:lvlJc w:val="left"/>
      <w:pPr>
        <w:ind w:left="4065" w:hanging="687"/>
      </w:pPr>
      <w:rPr>
        <w:rFonts w:hint="default"/>
      </w:rPr>
    </w:lvl>
    <w:lvl w:ilvl="4" w:tentative="0">
      <w:start w:val="1"/>
      <w:numFmt w:val="bullet"/>
      <w:lvlText w:val="•"/>
      <w:lvlJc w:val="left"/>
      <w:pPr>
        <w:ind w:left="5073" w:hanging="687"/>
      </w:pPr>
      <w:rPr>
        <w:rFonts w:hint="default"/>
      </w:rPr>
    </w:lvl>
    <w:lvl w:ilvl="5" w:tentative="0">
      <w:start w:val="1"/>
      <w:numFmt w:val="bullet"/>
      <w:lvlText w:val="•"/>
      <w:lvlJc w:val="left"/>
      <w:pPr>
        <w:ind w:left="6082" w:hanging="687"/>
      </w:pPr>
      <w:rPr>
        <w:rFonts w:hint="default"/>
      </w:rPr>
    </w:lvl>
    <w:lvl w:ilvl="6" w:tentative="0">
      <w:start w:val="1"/>
      <w:numFmt w:val="bullet"/>
      <w:lvlText w:val="•"/>
      <w:lvlJc w:val="left"/>
      <w:pPr>
        <w:ind w:left="7090" w:hanging="687"/>
      </w:pPr>
      <w:rPr>
        <w:rFonts w:hint="default"/>
      </w:rPr>
    </w:lvl>
    <w:lvl w:ilvl="7" w:tentative="0">
      <w:start w:val="1"/>
      <w:numFmt w:val="bullet"/>
      <w:lvlText w:val="•"/>
      <w:lvlJc w:val="left"/>
      <w:pPr>
        <w:ind w:left="8099" w:hanging="687"/>
      </w:pPr>
      <w:rPr>
        <w:rFonts w:hint="default"/>
      </w:rPr>
    </w:lvl>
    <w:lvl w:ilvl="8" w:tentative="0">
      <w:start w:val="1"/>
      <w:numFmt w:val="bullet"/>
      <w:lvlText w:val="•"/>
      <w:lvlJc w:val="left"/>
      <w:pPr>
        <w:ind w:left="9107" w:hanging="687"/>
      </w:pPr>
      <w:rPr>
        <w:rFonts w:hint="default"/>
      </w:rPr>
    </w:lvl>
  </w:abstractNum>
  <w:abstractNum w:abstractNumId="1">
    <w:nsid w:val="457E2F8E"/>
    <w:multiLevelType w:val="multilevel"/>
    <w:tmpl w:val="457E2F8E"/>
    <w:lvl w:ilvl="0" w:tentative="0">
      <w:start w:val="1"/>
      <w:numFmt w:val="bullet"/>
      <w:lvlText w:val="•"/>
      <w:lvlJc w:val="left"/>
      <w:pPr>
        <w:ind w:left="449" w:hanging="274"/>
      </w:pPr>
      <w:rPr>
        <w:rFonts w:hint="default" w:ascii="Arial" w:hAnsi="Arial" w:eastAsia="Arial"/>
        <w:w w:val="116"/>
        <w:sz w:val="26"/>
        <w:szCs w:val="26"/>
      </w:rPr>
    </w:lvl>
    <w:lvl w:ilvl="1" w:tentative="0">
      <w:start w:val="1"/>
      <w:numFmt w:val="bullet"/>
      <w:lvlText w:val="•"/>
      <w:lvlJc w:val="left"/>
      <w:pPr>
        <w:ind w:left="1512" w:hanging="274"/>
      </w:pPr>
      <w:rPr>
        <w:rFonts w:hint="default"/>
      </w:rPr>
    </w:lvl>
    <w:lvl w:ilvl="2" w:tentative="0">
      <w:start w:val="1"/>
      <w:numFmt w:val="bullet"/>
      <w:lvlText w:val="•"/>
      <w:lvlJc w:val="left"/>
      <w:pPr>
        <w:ind w:left="2584" w:hanging="274"/>
      </w:pPr>
      <w:rPr>
        <w:rFonts w:hint="default"/>
      </w:rPr>
    </w:lvl>
    <w:lvl w:ilvl="3" w:tentative="0">
      <w:start w:val="1"/>
      <w:numFmt w:val="bullet"/>
      <w:lvlText w:val="•"/>
      <w:lvlJc w:val="left"/>
      <w:pPr>
        <w:ind w:left="3657" w:hanging="274"/>
      </w:pPr>
      <w:rPr>
        <w:rFonts w:hint="default"/>
      </w:rPr>
    </w:lvl>
    <w:lvl w:ilvl="4" w:tentative="0">
      <w:start w:val="1"/>
      <w:numFmt w:val="bullet"/>
      <w:lvlText w:val="•"/>
      <w:lvlJc w:val="left"/>
      <w:pPr>
        <w:ind w:left="4729" w:hanging="274"/>
      </w:pPr>
      <w:rPr>
        <w:rFonts w:hint="default"/>
      </w:rPr>
    </w:lvl>
    <w:lvl w:ilvl="5" w:tentative="0">
      <w:start w:val="1"/>
      <w:numFmt w:val="bullet"/>
      <w:lvlText w:val="•"/>
      <w:lvlJc w:val="left"/>
      <w:pPr>
        <w:ind w:left="5802" w:hanging="274"/>
      </w:pPr>
      <w:rPr>
        <w:rFonts w:hint="default"/>
      </w:rPr>
    </w:lvl>
    <w:lvl w:ilvl="6" w:tentative="0">
      <w:start w:val="1"/>
      <w:numFmt w:val="bullet"/>
      <w:lvlText w:val="•"/>
      <w:lvlJc w:val="left"/>
      <w:pPr>
        <w:ind w:left="6874" w:hanging="274"/>
      </w:pPr>
      <w:rPr>
        <w:rFonts w:hint="default"/>
      </w:rPr>
    </w:lvl>
    <w:lvl w:ilvl="7" w:tentative="0">
      <w:start w:val="1"/>
      <w:numFmt w:val="bullet"/>
      <w:lvlText w:val="•"/>
      <w:lvlJc w:val="left"/>
      <w:pPr>
        <w:ind w:left="7947" w:hanging="274"/>
      </w:pPr>
      <w:rPr>
        <w:rFonts w:hint="default"/>
      </w:rPr>
    </w:lvl>
    <w:lvl w:ilvl="8" w:tentative="0">
      <w:start w:val="1"/>
      <w:numFmt w:val="bullet"/>
      <w:lvlText w:val="•"/>
      <w:lvlJc w:val="left"/>
      <w:pPr>
        <w:ind w:left="9019" w:hanging="274"/>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19"/>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0F1"/>
    <w:rsid w:val="000D0190"/>
    <w:rsid w:val="001073D0"/>
    <w:rsid w:val="001269D1"/>
    <w:rsid w:val="00133C0D"/>
    <w:rsid w:val="00145B80"/>
    <w:rsid w:val="00173730"/>
    <w:rsid w:val="00177AB3"/>
    <w:rsid w:val="001A1A89"/>
    <w:rsid w:val="001E0362"/>
    <w:rsid w:val="00276C8B"/>
    <w:rsid w:val="00283FF4"/>
    <w:rsid w:val="00290D63"/>
    <w:rsid w:val="002B25AD"/>
    <w:rsid w:val="002B7BDB"/>
    <w:rsid w:val="002E0471"/>
    <w:rsid w:val="00305D34"/>
    <w:rsid w:val="00343057"/>
    <w:rsid w:val="00382410"/>
    <w:rsid w:val="00386788"/>
    <w:rsid w:val="003A0202"/>
    <w:rsid w:val="00414B20"/>
    <w:rsid w:val="004723A0"/>
    <w:rsid w:val="00474692"/>
    <w:rsid w:val="00496198"/>
    <w:rsid w:val="004B0797"/>
    <w:rsid w:val="004D0F1F"/>
    <w:rsid w:val="004E438A"/>
    <w:rsid w:val="00535FBD"/>
    <w:rsid w:val="00575B5D"/>
    <w:rsid w:val="005B72B0"/>
    <w:rsid w:val="005C7D17"/>
    <w:rsid w:val="005D39D6"/>
    <w:rsid w:val="00600678"/>
    <w:rsid w:val="006024AD"/>
    <w:rsid w:val="006366D7"/>
    <w:rsid w:val="006561C0"/>
    <w:rsid w:val="00681FD1"/>
    <w:rsid w:val="00692191"/>
    <w:rsid w:val="006D5FD2"/>
    <w:rsid w:val="006E1205"/>
    <w:rsid w:val="00701CF5"/>
    <w:rsid w:val="00711BCB"/>
    <w:rsid w:val="007142EC"/>
    <w:rsid w:val="00735137"/>
    <w:rsid w:val="007F6847"/>
    <w:rsid w:val="00802F43"/>
    <w:rsid w:val="0080421F"/>
    <w:rsid w:val="0083205D"/>
    <w:rsid w:val="008A5390"/>
    <w:rsid w:val="00995255"/>
    <w:rsid w:val="009F50F1"/>
    <w:rsid w:val="00A67174"/>
    <w:rsid w:val="00AD230A"/>
    <w:rsid w:val="00AF5FF3"/>
    <w:rsid w:val="00B01A58"/>
    <w:rsid w:val="00B50030"/>
    <w:rsid w:val="00B71B59"/>
    <w:rsid w:val="00BB6882"/>
    <w:rsid w:val="00BF780A"/>
    <w:rsid w:val="00C242AF"/>
    <w:rsid w:val="00C430A0"/>
    <w:rsid w:val="00C74199"/>
    <w:rsid w:val="00CF3C8E"/>
    <w:rsid w:val="00D46224"/>
    <w:rsid w:val="00D9659C"/>
    <w:rsid w:val="00DF5C64"/>
    <w:rsid w:val="00E14012"/>
    <w:rsid w:val="00E56692"/>
    <w:rsid w:val="00ED1381"/>
    <w:rsid w:val="00ED422F"/>
    <w:rsid w:val="4B424B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paragraph" w:styleId="2">
    <w:name w:val="heading 1"/>
    <w:basedOn w:val="1"/>
    <w:qFormat/>
    <w:uiPriority w:val="1"/>
    <w:pPr>
      <w:ind w:left="-35"/>
      <w:outlineLvl w:val="0"/>
    </w:pPr>
    <w:rPr>
      <w:rFonts w:ascii="Courier New" w:hAnsi="Courier New" w:eastAsia="Courier New"/>
      <w:sz w:val="28"/>
      <w:szCs w:val="28"/>
    </w:rPr>
  </w:style>
  <w:style w:type="paragraph" w:styleId="3">
    <w:name w:val="heading 2"/>
    <w:basedOn w:val="1"/>
    <w:qFormat/>
    <w:uiPriority w:val="1"/>
    <w:pPr>
      <w:ind w:left="252"/>
      <w:outlineLvl w:val="1"/>
    </w:pPr>
    <w:rPr>
      <w:rFonts w:ascii="Courier New" w:hAnsi="Courier New" w:eastAsia="Courier New"/>
      <w:sz w:val="27"/>
      <w:szCs w:val="27"/>
    </w:rPr>
  </w:style>
  <w:style w:type="paragraph" w:styleId="4">
    <w:name w:val="heading 3"/>
    <w:basedOn w:val="1"/>
    <w:qFormat/>
    <w:uiPriority w:val="1"/>
    <w:pPr>
      <w:ind w:left="252"/>
      <w:outlineLvl w:val="2"/>
    </w:pPr>
    <w:rPr>
      <w:rFonts w:ascii="Courier New" w:hAnsi="Courier New" w:eastAsia="Courier New"/>
      <w:sz w:val="26"/>
      <w:szCs w:val="26"/>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pPr>
      <w:ind w:left="247"/>
    </w:pPr>
    <w:rPr>
      <w:rFonts w:ascii="Cambria" w:hAnsi="Cambria" w:eastAsia="Cambria"/>
      <w:sz w:val="25"/>
      <w:szCs w:val="25"/>
    </w:rPr>
  </w:style>
  <w:style w:type="paragraph" w:styleId="6">
    <w:name w:val="Balloon Text"/>
    <w:basedOn w:val="1"/>
    <w:link w:val="18"/>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qFormat/>
    <w:uiPriority w:val="99"/>
    <w:rPr>
      <w:color w:val="0000FF" w:themeColor="hyperlink"/>
      <w:u w:val="single"/>
      <w14:textFill>
        <w14:solidFill>
          <w14:schemeClr w14:val="hlink"/>
        </w14:solidFill>
      </w14:textFill>
    </w:rPr>
  </w:style>
  <w:style w:type="table" w:customStyle="1" w:styleId="13">
    <w:name w:val="Table Normal"/>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style>
  <w:style w:type="paragraph" w:customStyle="1" w:styleId="15">
    <w:name w:val="Table Paragraph"/>
    <w:basedOn w:val="1"/>
    <w:qFormat/>
    <w:uiPriority w:val="1"/>
  </w:style>
  <w:style w:type="character" w:customStyle="1" w:styleId="16">
    <w:name w:val="页眉 Char"/>
    <w:basedOn w:val="11"/>
    <w:link w:val="8"/>
    <w:uiPriority w:val="99"/>
    <w:rPr>
      <w:sz w:val="18"/>
      <w:szCs w:val="18"/>
    </w:rPr>
  </w:style>
  <w:style w:type="character" w:customStyle="1" w:styleId="17">
    <w:name w:val="页脚 Char"/>
    <w:basedOn w:val="11"/>
    <w:link w:val="7"/>
    <w:qFormat/>
    <w:uiPriority w:val="99"/>
    <w:rPr>
      <w:sz w:val="18"/>
      <w:szCs w:val="18"/>
    </w:rPr>
  </w:style>
  <w:style w:type="character" w:customStyle="1" w:styleId="18">
    <w:name w:val="批注框文本 Char"/>
    <w:basedOn w:val="11"/>
    <w:link w:val="6"/>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10</Pages>
  <Words>2014</Words>
  <Characters>2191</Characters>
  <Lines>32</Lines>
  <Paragraphs>9</Paragraphs>
  <TotalTime>0</TotalTime>
  <ScaleCrop>false</ScaleCrop>
  <LinksUpToDate>false</LinksUpToDate>
  <CharactersWithSpaces>2209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2017-10-25T09:11:00Z</dcterms:created>
  <dc:creator>CML</dc:creator>
  <cp:lastModifiedBy>太极箫客</cp:lastModifiedBy>
  <dcterms:modified xsi:type="dcterms:W3CDTF">2025-08-14T06:34:13Z</dcterms:modified>
  <dc:title>Guidance Documents (Medical Devices and...es (blue book memo #K95-1) (Text Only)</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2017-08-10T00:00:00Z</vt:filetime>
  </property>
  <property fmtid="{D5CDD505-2E9C-101B-9397-08002B2CF9AE}" pid="3" name="Creator">
    <vt:lpwstr>PScript5.dll Version 5.2.2</vt:lpwstr>
  </property>
  <property fmtid="{D5CDD505-2E9C-101B-9397-08002B2CF9AE}" pid="4" name="LastSaved">
    <vt:filetime>2017-10-07T00:00:00Z</vt:filetime>
  </property>
  <property fmtid="{D5CDD505-2E9C-101B-9397-08002B2CF9AE}" pid="5" name="KSOTemplateDocerSaveRecord">
    <vt:lpwstr>eyJoZGlkIjoiMDJiMzI3ODBiNTFmMWRjNDUyMjM1ZmZjODY5NDc2MWMiLCJ1c2VySWQiOiI0NTQ4Nzg1NzAifQ==</vt:lpwstr>
  </property>
  <property fmtid="{D5CDD505-2E9C-101B-9397-08002B2CF9AE}" pid="6" name="KSOProductBuildVer">
    <vt:lpwstr>2052-12.1.0.21915</vt:lpwstr>
  </property>
  <property fmtid="{D5CDD505-2E9C-101B-9397-08002B2CF9AE}" pid="7" name="ICV">
    <vt:lpwstr>FEFD7EE7AF374A229620F4D6BED89BA6_12</vt:lpwstr>
  </property>
</Properties>
</file>