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2E98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bookmarkStart w:id="0" w:name="_GoBack"/>
      <w:bookmarkEnd w:id="0"/>
      <w:r>
        <w:rPr>
          <w:rStyle w:val="5"/>
          <w:sz w:val="24"/>
          <w:szCs w:val="24"/>
        </w:rPr>
        <w:t>一、主管机构和核心法规</w:t>
      </w:r>
    </w:p>
    <w:p w14:paraId="434488E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sz w:val="24"/>
          <w:szCs w:val="24"/>
        </w:rPr>
        <w:t>俄罗斯的医疗器械产品注册由卫生部（Roszdravnadzor，或 RZN）控制。按照俄罗斯联邦政府于 2012 年 12 月 27 日颁布的第 1416 号法令要求的方式注册的医疗用途产品才允许在俄罗斯使用。医疗器械注册是一项强制性的国家程序，旨在监控医疗产品的质量和安全。</w:t>
      </w:r>
    </w:p>
    <w:p w14:paraId="478D8E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Style w:val="5"/>
          <w:sz w:val="24"/>
          <w:szCs w:val="24"/>
        </w:rPr>
      </w:pPr>
    </w:p>
    <w:p w14:paraId="24E4FC7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sz w:val="24"/>
          <w:szCs w:val="24"/>
        </w:rPr>
        <w:t>二、产品分类</w:t>
      </w:r>
    </w:p>
    <w:p w14:paraId="56D2D38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sz w:val="24"/>
          <w:szCs w:val="24"/>
        </w:rPr>
        <w:t>医疗器械定义（包括非关键性体外诊断、独立软件和美容器械）和风险分类与 IMDRF 指南密切一致，所有医疗产品和设备都根据其对患者和用户的潜在风险程度进行分类，分为四类：I 类、IIa 类、IIb 类和 III 类。但在俄罗斯属于 I 类测量和无菌考虑为 II 类。</w:t>
      </w:r>
    </w:p>
    <w:p w14:paraId="379C696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Style w:val="5"/>
          <w:sz w:val="24"/>
          <w:szCs w:val="24"/>
        </w:rPr>
      </w:pPr>
    </w:p>
    <w:p w14:paraId="3F72789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sz w:val="24"/>
          <w:szCs w:val="24"/>
        </w:rPr>
        <w:t>三、认证模式</w:t>
      </w:r>
    </w:p>
    <w:p w14:paraId="2C5C9AD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sz w:val="24"/>
          <w:szCs w:val="24"/>
        </w:rPr>
      </w:pPr>
      <w:r>
        <w:rPr>
          <w:sz w:val="24"/>
          <w:szCs w:val="24"/>
        </w:rPr>
        <w:t>俄罗斯注册独特的是，所有设备（I 类至 III 类）均需接受技术测试、生物相容性测试和临床试验测试报告，这些报告由 RZN 认可的当地临床站点和测试实验室生成。所有文件必须使用俄语。</w:t>
      </w:r>
    </w:p>
    <w:p w14:paraId="082B948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sz w:val="24"/>
          <w:szCs w:val="24"/>
        </w:rPr>
      </w:pPr>
      <w:r>
        <w:rPr>
          <w:sz w:val="24"/>
          <w:szCs w:val="24"/>
        </w:rPr>
        <w:t>1 类设备注册的大致时间为 9 个月，包括本地技术文件和按照俄罗斯标准开发的 IFU；以及技术、生物相容性测试和临床试验。</w:t>
      </w:r>
    </w:p>
    <w:p w14:paraId="7BA514A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sz w:val="24"/>
          <w:szCs w:val="24"/>
        </w:rPr>
      </w:pPr>
      <w:r>
        <w:rPr>
          <w:sz w:val="24"/>
          <w:szCs w:val="24"/>
        </w:rPr>
        <w:t>IIa、IIb 和 III 类器械注册通常需要 12 个月，包括根据俄罗斯标准开发的技术文件和 IFU；技术、生物相容性测试和临床试验。</w:t>
      </w:r>
    </w:p>
    <w:p w14:paraId="0B0A0C2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sz w:val="24"/>
          <w:szCs w:val="24"/>
        </w:rPr>
        <w:t>四、审核流程</w:t>
      </w:r>
    </w:p>
    <w:p w14:paraId="650B5D27">
      <w:pPr>
        <w:keepNext w:val="0"/>
        <w:keepLines w:val="0"/>
        <w:widowControl/>
        <w:suppressLineNumbers w:val="0"/>
        <w:spacing w:line="360" w:lineRule="auto"/>
        <w:jc w:val="left"/>
        <w:rPr>
          <w:sz w:val="24"/>
          <w:szCs w:val="24"/>
        </w:rPr>
      </w:pPr>
      <w:r>
        <w:rPr>
          <w:rFonts w:ascii="宋体" w:hAnsi="宋体" w:eastAsia="宋体" w:cs="宋体"/>
          <w:kern w:val="0"/>
          <w:sz w:val="24"/>
          <w:szCs w:val="24"/>
          <w:lang w:val="en-US" w:eastAsia="zh-CN" w:bidi="ar"/>
        </w:rPr>
        <w:drawing>
          <wp:inline distT="0" distB="0" distL="114300" distR="114300">
            <wp:extent cx="4138295" cy="2518410"/>
            <wp:effectExtent l="0" t="0" r="190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r="-712" b="8709"/>
                    <a:stretch>
                      <a:fillRect/>
                    </a:stretch>
                  </pic:blipFill>
                  <pic:spPr>
                    <a:xfrm>
                      <a:off x="0" y="0"/>
                      <a:ext cx="4138295" cy="2518410"/>
                    </a:xfrm>
                    <a:prstGeom prst="rect">
                      <a:avLst/>
                    </a:prstGeom>
                    <a:noFill/>
                    <a:ln w="9525">
                      <a:noFill/>
                    </a:ln>
                  </pic:spPr>
                </pic:pic>
              </a:graphicData>
            </a:graphic>
          </wp:inline>
        </w:drawing>
      </w:r>
    </w:p>
    <w:p w14:paraId="1A00835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000000"/>
          <w:sz w:val="24"/>
          <w:szCs w:val="24"/>
        </w:rPr>
        <w:t>1. 注册档案准备和产品样品测试。</w:t>
      </w:r>
      <w:r>
        <w:rPr>
          <w:color w:val="000000"/>
          <w:sz w:val="24"/>
          <w:szCs w:val="24"/>
        </w:rPr>
        <w:t>验证从制造商收到的信息的完整性，根据适用要求准备技术和操作文件。在实验室对医疗产品进行毒理学、技术测试和电磁兼容性测试。如果产品是在国外制造的，则需要获得特殊的进口许可证作为测试样品。准备阶段以向 Roszdravnadzor 提交产品档案结束。</w:t>
      </w:r>
    </w:p>
    <w:p w14:paraId="2DAAED1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000000"/>
          <w:sz w:val="24"/>
          <w:szCs w:val="24"/>
        </w:rPr>
        <w:t>2. 第一阶段专家评审。</w:t>
      </w:r>
      <w:r>
        <w:rPr>
          <w:color w:val="000000"/>
          <w:sz w:val="24"/>
          <w:szCs w:val="24"/>
        </w:rPr>
        <w:t>分析准备和提交的档案。第一阶段专家评审的结果要么是授权临床试验的许可问题，要么是注册申请被驳回。</w:t>
      </w:r>
    </w:p>
    <w:p w14:paraId="0B06541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000000"/>
          <w:sz w:val="24"/>
          <w:szCs w:val="24"/>
        </w:rPr>
        <w:t>3. 专家评审第二阶段。临床试验。</w:t>
      </w:r>
    </w:p>
    <w:p w14:paraId="25A350D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000000"/>
          <w:sz w:val="24"/>
          <w:szCs w:val="24"/>
        </w:rPr>
        <w:t>4. 专家评审的阶段可能因医疗产品的风险类别而异。</w:t>
      </w:r>
      <w:r>
        <w:rPr>
          <w:color w:val="000000"/>
          <w:sz w:val="24"/>
          <w:szCs w:val="24"/>
        </w:rPr>
        <w:t>如果专家评审的所有阶段都顺利完成，该产品将被列入 Roszdravnadzor 的医疗产品登记册。客户收到销售授权，允许在俄罗斯联邦境内分销和使用注册产品。</w:t>
      </w:r>
    </w:p>
    <w:p w14:paraId="09929BD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021EAA"/>
          <w:sz w:val="24"/>
          <w:szCs w:val="24"/>
        </w:rPr>
        <w:t>具体技术资料清单</w:t>
      </w:r>
      <w:r>
        <w:rPr>
          <w:color w:val="000000"/>
          <w:sz w:val="24"/>
          <w:szCs w:val="24"/>
        </w:rPr>
        <w:t> </w:t>
      </w:r>
    </w:p>
    <w:p w14:paraId="107CBD4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制造商的商业登记</w:t>
      </w:r>
    </w:p>
    <w:p w14:paraId="1DF5F56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医疗产品规格  </w:t>
      </w:r>
    </w:p>
    <w:p w14:paraId="1EB2DA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用户手册</w:t>
      </w:r>
    </w:p>
    <w:p w14:paraId="561D7A6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CE 证书（如果有）</w:t>
      </w:r>
    </w:p>
    <w:p w14:paraId="3F31544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ISO 13485</w:t>
      </w:r>
    </w:p>
    <w:p w14:paraId="51C88D5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符合性声明（适用于 I、IIa 风险级产品）</w:t>
      </w:r>
    </w:p>
    <w:p w14:paraId="5443B71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生物相容性测试报告</w:t>
      </w:r>
    </w:p>
    <w:p w14:paraId="090009F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风险管理文件</w:t>
      </w:r>
    </w:p>
    <w:p w14:paraId="4DD7BB6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医疗产品制造流程图</w:t>
      </w:r>
    </w:p>
    <w:p w14:paraId="2CF87B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临床评估（临床数据）</w:t>
      </w:r>
    </w:p>
    <w:p w14:paraId="42C6F1E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可用的工程/实验室测试报告（安全/EMC）</w:t>
      </w:r>
    </w:p>
    <w:p w14:paraId="3AF4AC3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 根据产品类型，可能还需要提交其他文件。</w:t>
      </w:r>
    </w:p>
    <w:p w14:paraId="1DB9404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000000"/>
          <w:sz w:val="24"/>
          <w:szCs w:val="24"/>
        </w:rPr>
        <w:t>特殊要求：</w:t>
      </w:r>
    </w:p>
    <w:p w14:paraId="6AF2B5D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1. 现场审核：在极少数情况下，可能需要对外国制造现场进行现场检查。当制造商无法提供产品样品且无法进行本地实验室测试（例如，由于设备尺寸）时，可能需要这样做。</w:t>
      </w:r>
    </w:p>
    <w:p w14:paraId="5813186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2. 本地测试/许可：所有类型的设备都需要进行国内本地测试，包括生物相容性、毒理学、EMC 测试和测量仪器/设备。</w:t>
      </w:r>
    </w:p>
    <w:p w14:paraId="3795354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3. 临床评估或研究：作为医疗器械注册要求的一部分，需要进行本地临床试验。IIa、IIb、III类医疗器械的临床试验只有在第一阶段得到技术专家的确认后才能进行，这成为重新开放注册阶段（第二阶段）的前提条件。而对于 1 类和 IVD 医疗器械，临床试验必须在提交给 RZN 之前进行。</w:t>
      </w:r>
    </w:p>
    <w:p w14:paraId="68865B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4. 当地费用（制造商）： 不需要制造商注册费。</w:t>
      </w:r>
    </w:p>
    <w:p w14:paraId="5B3250C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5. 许可证有效期： 在俄罗斯颁发的许可证不会过期。</w:t>
      </w:r>
    </w:p>
    <w:p w14:paraId="6FC5221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6. 许可转让： 许可证转让适用于俄罗斯，并且需要更改 AR。</w:t>
      </w:r>
    </w:p>
    <w:p w14:paraId="18765D2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color w:val="000000"/>
          <w:sz w:val="24"/>
          <w:szCs w:val="24"/>
        </w:rPr>
        <w:t>授权代表： 外国制造商应通过出具授权书指定居住在俄罗斯的组织或个人企业家成为其授权</w:t>
      </w:r>
    </w:p>
    <w:p w14:paraId="63CBDE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p>
    <w:p w14:paraId="4FFA47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sz w:val="24"/>
          <w:szCs w:val="24"/>
        </w:rPr>
        <w:t>五、欧亚经济联盟EAEU的EAC认证</w:t>
      </w:r>
    </w:p>
    <w:p w14:paraId="54EC2F7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sz w:val="24"/>
          <w:szCs w:val="24"/>
        </w:rPr>
        <w:t>欧亚经济联盟EAEU是根据《欧亚经济联盟条约》建立的具有国际法人资格的区域经济一体化国际组织。欧亚经济联盟规定货物、服务、资本和劳动力的自由流动，在条约和欧盟内的国际条约规定的经济部门执行协调、商定或共同的政策。</w:t>
      </w:r>
    </w:p>
    <w:p w14:paraId="18039A0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sz w:val="24"/>
          <w:szCs w:val="24"/>
        </w:rPr>
        <w:t>欧亚经济联盟成员国包括：俄罗斯、亚美尼亚、白俄罗斯、哈萨克斯坦和吉尔吉斯斯坦。 </w:t>
      </w:r>
    </w:p>
    <w:p w14:paraId="77A8F81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sz w:val="24"/>
          <w:szCs w:val="24"/>
        </w:rPr>
        <w:t>制造商可以在其中一个成员国申请医疗产品注册，并在成功注册后在整个 EAEU 销售产品。</w:t>
      </w:r>
    </w:p>
    <w:p w14:paraId="28BCE7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0052FF"/>
          <w:sz w:val="24"/>
          <w:szCs w:val="24"/>
        </w:rPr>
        <w:t>注册流程:</w:t>
      </w:r>
    </w:p>
    <w:p w14:paraId="41365DD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FF4C00"/>
          <w:sz w:val="24"/>
          <w:szCs w:val="24"/>
        </w:rPr>
        <w:t>1. 注册档案的准备和参考国家的选择</w:t>
      </w:r>
      <w:r>
        <w:rPr>
          <w:rFonts w:ascii="宋体" w:hAnsi="宋体" w:eastAsia="宋体" w:cs="宋体"/>
          <w:kern w:val="0"/>
          <w:sz w:val="24"/>
          <w:szCs w:val="24"/>
          <w:lang w:val="en-US" w:eastAsia="zh-CN" w:bidi="ar"/>
        </w:rPr>
        <w:drawing>
          <wp:inline distT="0" distB="0" distL="114300" distR="114300">
            <wp:extent cx="4044315" cy="2721610"/>
            <wp:effectExtent l="0" t="0" r="6985" b="889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044315" cy="2721610"/>
                    </a:xfrm>
                    <a:prstGeom prst="rect">
                      <a:avLst/>
                    </a:prstGeom>
                    <a:noFill/>
                    <a:ln w="9525">
                      <a:noFill/>
                    </a:ln>
                  </pic:spPr>
                </pic:pic>
              </a:graphicData>
            </a:graphic>
          </wp:inline>
        </w:drawing>
      </w:r>
    </w:p>
    <w:p w14:paraId="0661FD1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FF4C00"/>
          <w:sz w:val="24"/>
          <w:szCs w:val="24"/>
        </w:rPr>
        <w:t>2. 向联邦服务局提交毒理学、技术、临床测试和注册档案</w:t>
      </w:r>
    </w:p>
    <w:p w14:paraId="19CAE496">
      <w:pPr>
        <w:keepNext w:val="0"/>
        <w:keepLines w:val="0"/>
        <w:widowControl/>
        <w:suppressLineNumbers w:val="0"/>
        <w:spacing w:line="360" w:lineRule="auto"/>
        <w:jc w:val="left"/>
        <w:rPr>
          <w:sz w:val="24"/>
          <w:szCs w:val="24"/>
        </w:rPr>
      </w:pPr>
      <w:r>
        <w:rPr>
          <w:rFonts w:ascii="宋体" w:hAnsi="宋体" w:eastAsia="宋体" w:cs="宋体"/>
          <w:kern w:val="0"/>
          <w:sz w:val="24"/>
          <w:szCs w:val="24"/>
          <w:lang w:val="en-US" w:eastAsia="zh-CN" w:bidi="ar"/>
        </w:rPr>
        <w:drawing>
          <wp:inline distT="0" distB="0" distL="114300" distR="114300">
            <wp:extent cx="4699635" cy="2786380"/>
            <wp:effectExtent l="0" t="0" r="12065" b="762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4699635" cy="2786380"/>
                    </a:xfrm>
                    <a:prstGeom prst="rect">
                      <a:avLst/>
                    </a:prstGeom>
                    <a:noFill/>
                    <a:ln w="9525">
                      <a:noFill/>
                    </a:ln>
                  </pic:spPr>
                </pic:pic>
              </a:graphicData>
            </a:graphic>
          </wp:inline>
        </w:drawing>
      </w:r>
    </w:p>
    <w:p w14:paraId="763AC57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FF4C00"/>
          <w:sz w:val="24"/>
          <w:szCs w:val="24"/>
        </w:rPr>
        <w:t>3. 产品评估、工厂检查和专家组织报告</w:t>
      </w:r>
    </w:p>
    <w:p w14:paraId="1D839AE5">
      <w:pPr>
        <w:keepNext w:val="0"/>
        <w:keepLines w:val="0"/>
        <w:widowControl/>
        <w:suppressLineNumbers w:val="0"/>
        <w:spacing w:line="360" w:lineRule="auto"/>
        <w:jc w:val="left"/>
        <w:rPr>
          <w:sz w:val="24"/>
          <w:szCs w:val="24"/>
        </w:rPr>
      </w:pPr>
      <w:r>
        <w:rPr>
          <w:rFonts w:ascii="宋体" w:hAnsi="宋体" w:eastAsia="宋体" w:cs="宋体"/>
          <w:kern w:val="0"/>
          <w:sz w:val="24"/>
          <w:szCs w:val="24"/>
          <w:lang w:val="en-US" w:eastAsia="zh-CN" w:bidi="ar"/>
        </w:rPr>
        <w:drawing>
          <wp:inline distT="0" distB="0" distL="114300" distR="114300">
            <wp:extent cx="4645660" cy="2237105"/>
            <wp:effectExtent l="0" t="0" r="2540" b="1079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4645660" cy="2237105"/>
                    </a:xfrm>
                    <a:prstGeom prst="rect">
                      <a:avLst/>
                    </a:prstGeom>
                    <a:noFill/>
                    <a:ln w="9525">
                      <a:noFill/>
                    </a:ln>
                  </pic:spPr>
                </pic:pic>
              </a:graphicData>
            </a:graphic>
          </wp:inline>
        </w:drawing>
      </w:r>
    </w:p>
    <w:p w14:paraId="7EB358A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sz w:val="24"/>
          <w:szCs w:val="24"/>
        </w:rPr>
      </w:pPr>
      <w:r>
        <w:rPr>
          <w:rStyle w:val="5"/>
          <w:color w:val="FF4C00"/>
          <w:sz w:val="24"/>
          <w:szCs w:val="24"/>
        </w:rPr>
        <w:t>4. 医疗产品注册</w:t>
      </w:r>
    </w:p>
    <w:p w14:paraId="3477C525">
      <w:pPr>
        <w:keepNext w:val="0"/>
        <w:keepLines w:val="0"/>
        <w:widowControl/>
        <w:suppressLineNumbers w:val="0"/>
        <w:spacing w:line="360" w:lineRule="auto"/>
        <w:jc w:val="left"/>
        <w:rPr>
          <w:sz w:val="24"/>
          <w:szCs w:val="24"/>
        </w:rPr>
      </w:pPr>
      <w:r>
        <w:rPr>
          <w:rFonts w:ascii="宋体" w:hAnsi="宋体" w:eastAsia="宋体" w:cs="宋体"/>
          <w:kern w:val="0"/>
          <w:sz w:val="24"/>
          <w:szCs w:val="24"/>
          <w:lang w:val="en-US" w:eastAsia="zh-CN" w:bidi="ar"/>
        </w:rPr>
        <w:drawing>
          <wp:inline distT="0" distB="0" distL="114300" distR="114300">
            <wp:extent cx="4669155" cy="1704975"/>
            <wp:effectExtent l="0" t="0" r="0" b="952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4669155" cy="1704975"/>
                    </a:xfrm>
                    <a:prstGeom prst="rect">
                      <a:avLst/>
                    </a:prstGeom>
                    <a:noFill/>
                    <a:ln w="9525">
                      <a:noFill/>
                    </a:ln>
                  </pic:spPr>
                </pic:pic>
              </a:graphicData>
            </a:graphic>
          </wp:inline>
        </w:drawing>
      </w:r>
    </w:p>
    <w:p w14:paraId="6737B7A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eastAsia="宋体"/>
          <w:lang w:eastAsia="zh-CN"/>
        </w:rPr>
      </w:pPr>
    </w:p>
    <w:p w14:paraId="4BC0BAE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eastAsia="宋体"/>
          <w:lang w:eastAsia="zh-CN"/>
        </w:rPr>
      </w:pPr>
    </w:p>
    <w:p w14:paraId="1E45CF9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6" name="图片 6" descr="2"/>
            <wp:cNvGraphicFramePr/>
            <a:graphic xmlns:a="http://schemas.openxmlformats.org/drawingml/2006/main">
              <a:graphicData uri="http://schemas.openxmlformats.org/drawingml/2006/picture">
                <pic:pic xmlns:pic="http://schemas.openxmlformats.org/drawingml/2006/picture">
                  <pic:nvPicPr>
                    <pic:cNvPr id="6" name="图片 6" descr="2"/>
                    <pic:cNvPicPr/>
                  </pic:nvPicPr>
                  <pic:blipFill>
                    <a:blip r:embed="rId9"/>
                    <a:stretch>
                      <a:fillRect/>
                    </a:stretch>
                  </pic:blipFill>
                  <pic:spPr>
                    <a:xfrm>
                      <a:off x="0" y="0"/>
                      <a:ext cx="5210175" cy="73437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0MWYxNTI2MzhlODQ4YTE0NmFkN2IzNWE3M2I2NDAifQ=="/>
  </w:docVars>
  <w:rsids>
    <w:rsidRoot w:val="00000000"/>
    <w:rsid w:val="0FD46F4E"/>
    <w:rsid w:val="18F11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1472</Words>
  <Characters>1597</Characters>
  <Lines>0</Lines>
  <Paragraphs>0</Paragraphs>
  <TotalTime>3</TotalTime>
  <ScaleCrop>false</ScaleCrop>
  <LinksUpToDate>false</LinksUpToDate>
  <CharactersWithSpaces>1673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2022-07-08T08:54:00Z</dcterms:created>
  <dc:creator>BIO218</dc:creator>
  <cp:lastModifiedBy>太极箫客</cp:lastModifiedBy>
  <dcterms:modified xsi:type="dcterms:W3CDTF">2025-08-14T06:33:28Z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B6727CED6822432BA1F63C9718785034</vt:lpwstr>
  </property>
  <property fmtid="{D5CDD505-2E9C-101B-9397-08002B2CF9AE}" pid="4" name="KSOTemplateDocerSaveRecord">
    <vt:lpwstr>eyJoZGlkIjoiMDJiMzI3ODBiNTFmMWRjNDUyMjM1ZmZjODY5NDc2MWMiLCJ1c2VySWQiOiI0NTQ4Nzg1NzAifQ==</vt:lpwstr>
  </property>
</Properties>
</file>