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091BA7">
      <w:pPr>
        <w:widowControl/>
        <w:snapToGrid w:val="0"/>
        <w:spacing w:before="100" w:beforeAutospacing="1" w:after="100" w:afterAutospacing="1" w:line="300" w:lineRule="auto"/>
        <w:outlineLvl w:val="0"/>
        <w:rPr>
          <w:rFonts w:ascii="Arial" w:hAnsi="Arial" w:eastAsia="宋体" w:cs="Arial"/>
          <w:b/>
          <w:bCs/>
          <w:kern w:val="36"/>
          <w:sz w:val="48"/>
          <w:szCs w:val="48"/>
        </w:rPr>
      </w:pPr>
      <w:bookmarkStart w:id="1" w:name="_GoBack"/>
      <w:bookmarkEnd w:id="1"/>
      <w:r>
        <w:rPr>
          <w:rFonts w:ascii="Arial" w:hAnsi="Arial" w:eastAsia="宋体" w:cs="Arial"/>
          <w:b/>
          <w:bCs/>
          <w:kern w:val="36"/>
          <w:sz w:val="48"/>
          <w:szCs w:val="48"/>
        </w:rPr>
        <w:t>使用葡萄糖氧化酶、脱氢酶或己糖激酶方法评估便携式血糖监测体外诊断器械的审查标准</w:t>
      </w:r>
    </w:p>
    <w:p w14:paraId="73A7240E">
      <w:pPr>
        <w:widowControl/>
        <w:snapToGrid w:val="0"/>
        <w:spacing w:before="100" w:beforeAutospacing="1" w:after="100" w:afterAutospacing="1" w:line="300" w:lineRule="auto"/>
        <w:jc w:val="center"/>
        <w:outlineLvl w:val="2"/>
        <w:rPr>
          <w:rFonts w:ascii="Arial" w:hAnsi="Arial" w:eastAsia="宋体" w:cs="Arial"/>
          <w:b/>
          <w:bCs/>
          <w:kern w:val="0"/>
          <w:sz w:val="27"/>
          <w:szCs w:val="27"/>
        </w:rPr>
      </w:pPr>
      <w:r>
        <w:rPr>
          <w:rFonts w:ascii="Arial" w:hAnsi="Arial" w:eastAsia="宋体" w:cs="Arial"/>
          <w:b/>
          <w:bCs/>
          <w:kern w:val="0"/>
          <w:sz w:val="27"/>
          <w:szCs w:val="27"/>
        </w:rPr>
        <w:t>文件草案</w:t>
      </w:r>
    </w:p>
    <w:p w14:paraId="77CBEB4F">
      <w:pPr>
        <w:pStyle w:val="20"/>
        <w:snapToGrid w:val="0"/>
        <w:spacing w:after="0" w:line="300" w:lineRule="auto"/>
        <w:rPr>
          <w:rFonts w:ascii="Arial" w:hAnsi="Arial" w:eastAsia="宋体" w:cs="Arial"/>
          <w:kern w:val="0"/>
          <w:sz w:val="24"/>
          <w:szCs w:val="24"/>
        </w:rPr>
      </w:pPr>
      <w:r>
        <w:rPr>
          <w:rFonts w:ascii="Arial" w:hAnsi="Arial" w:eastAsia="宋体" w:cs="Arial"/>
          <w:kern w:val="0"/>
          <w:sz w:val="24"/>
          <w:szCs w:val="24"/>
        </w:rPr>
        <w:t>本指导性文件发布仅用于征询评论。临床化学和毒理学器械分部</w:t>
      </w:r>
    </w:p>
    <w:p w14:paraId="126EB97F">
      <w:pPr>
        <w:widowControl/>
        <w:snapToGrid w:val="0"/>
        <w:spacing w:line="300" w:lineRule="auto"/>
        <w:jc w:val="center"/>
        <w:rPr>
          <w:rFonts w:ascii="Arial" w:hAnsi="Arial" w:eastAsia="宋体" w:cs="Arial"/>
          <w:kern w:val="0"/>
          <w:sz w:val="24"/>
          <w:szCs w:val="24"/>
        </w:rPr>
      </w:pPr>
      <w:r>
        <w:rPr>
          <w:rFonts w:ascii="Arial" w:hAnsi="Arial" w:eastAsia="宋体" w:cs="Arial"/>
          <w:kern w:val="0"/>
          <w:sz w:val="24"/>
          <w:szCs w:val="24"/>
        </w:rPr>
        <w:t>临床实验室器械部</w:t>
      </w:r>
    </w:p>
    <w:p w14:paraId="23622CC1">
      <w:pPr>
        <w:widowControl/>
        <w:snapToGrid w:val="0"/>
        <w:spacing w:line="300" w:lineRule="auto"/>
        <w:jc w:val="center"/>
        <w:rPr>
          <w:rFonts w:ascii="Arial" w:hAnsi="Arial" w:eastAsia="宋体" w:cs="Arial"/>
          <w:kern w:val="0"/>
          <w:sz w:val="24"/>
          <w:szCs w:val="24"/>
        </w:rPr>
      </w:pPr>
      <w:r>
        <w:rPr>
          <w:rFonts w:ascii="Arial" w:hAnsi="Arial" w:eastAsia="宋体" w:cs="Arial"/>
          <w:kern w:val="0"/>
          <w:sz w:val="24"/>
          <w:szCs w:val="24"/>
        </w:rPr>
        <w:t>器械评估办公室</w:t>
      </w:r>
    </w:p>
    <w:p w14:paraId="05EAC984">
      <w:pPr>
        <w:widowControl/>
        <w:snapToGrid w:val="0"/>
        <w:spacing w:line="300" w:lineRule="auto"/>
        <w:jc w:val="center"/>
        <w:rPr>
          <w:rFonts w:ascii="Arial" w:hAnsi="Arial" w:eastAsia="宋体" w:cs="Arial"/>
          <w:b/>
          <w:kern w:val="0"/>
          <w:sz w:val="24"/>
          <w:szCs w:val="24"/>
        </w:rPr>
      </w:pPr>
      <w:r>
        <w:rPr>
          <w:rFonts w:hint="eastAsia" w:ascii="Arial" w:hAnsi="Arial" w:eastAsia="宋体" w:cs="Arial"/>
          <w:b/>
          <w:kern w:val="0"/>
          <w:sz w:val="24"/>
          <w:szCs w:val="24"/>
        </w:rPr>
        <w:t>草案于</w:t>
      </w:r>
      <w:r>
        <w:rPr>
          <w:rFonts w:ascii="Arial" w:hAnsi="Arial" w:eastAsia="宋体" w:cs="Arial"/>
          <w:b/>
          <w:kern w:val="0"/>
          <w:sz w:val="24"/>
          <w:szCs w:val="24"/>
        </w:rPr>
        <w:t>1997</w:t>
      </w:r>
      <w:r>
        <w:rPr>
          <w:rFonts w:hint="eastAsia" w:ascii="Arial" w:hAnsi="Arial" w:eastAsia="宋体" w:cs="Arial"/>
          <w:b/>
          <w:kern w:val="0"/>
          <w:sz w:val="24"/>
          <w:szCs w:val="24"/>
        </w:rPr>
        <w:t>年</w:t>
      </w:r>
      <w:r>
        <w:rPr>
          <w:rFonts w:ascii="Arial" w:hAnsi="Arial" w:eastAsia="宋体" w:cs="Arial"/>
          <w:b/>
          <w:kern w:val="0"/>
          <w:sz w:val="24"/>
          <w:szCs w:val="24"/>
        </w:rPr>
        <w:t>2</w:t>
      </w:r>
      <w:r>
        <w:rPr>
          <w:rFonts w:hint="eastAsia" w:ascii="Arial" w:hAnsi="Arial" w:eastAsia="宋体" w:cs="Arial"/>
          <w:b/>
          <w:kern w:val="0"/>
          <w:sz w:val="24"/>
          <w:szCs w:val="24"/>
        </w:rPr>
        <w:t>月</w:t>
      </w:r>
      <w:r>
        <w:rPr>
          <w:rFonts w:ascii="Arial" w:hAnsi="Arial" w:eastAsia="宋体" w:cs="Arial"/>
          <w:b/>
          <w:kern w:val="0"/>
          <w:sz w:val="24"/>
          <w:szCs w:val="24"/>
        </w:rPr>
        <w:t>28</w:t>
      </w:r>
      <w:r>
        <w:rPr>
          <w:rFonts w:hint="eastAsia" w:ascii="Arial" w:hAnsi="Arial" w:eastAsia="宋体" w:cs="Arial"/>
          <w:b/>
          <w:kern w:val="0"/>
          <w:sz w:val="24"/>
          <w:szCs w:val="24"/>
        </w:rPr>
        <w:t>日发布以征询评论</w:t>
      </w:r>
    </w:p>
    <w:p w14:paraId="7A0DD478">
      <w:pPr>
        <w:widowControl/>
        <w:snapToGrid w:val="0"/>
        <w:spacing w:before="100" w:beforeAutospacing="1" w:after="100" w:afterAutospacing="1" w:line="300" w:lineRule="auto"/>
        <w:rPr>
          <w:rFonts w:ascii="Arial" w:hAnsi="Arial" w:eastAsia="宋体" w:cs="Arial"/>
          <w:kern w:val="0"/>
          <w:sz w:val="24"/>
          <w:szCs w:val="24"/>
        </w:rPr>
      </w:pPr>
      <w:r>
        <w:rPr>
          <w:rFonts w:ascii="Arial" w:hAnsi="Arial" w:eastAsia="宋体" w:cs="Arial"/>
          <w:kern w:val="0"/>
          <w:sz w:val="24"/>
          <w:szCs w:val="24"/>
        </w:rPr>
        <w:t>有关本文件草案的评论和建议应在上述发布日期后60天内提交，提交地址为：Joseph Hackett，Ph.D，临床实验室器械部副主任，10903 New Hampshire Avenue，Silver Spring，MD 20993。可能直到文件下次修订或更新时，评论和建议才会被机构受理。有关文件草案的问题，请拨打电话301-796-0695联系临床实验室器械部。</w:t>
      </w:r>
    </w:p>
    <w:p w14:paraId="007CE3D9">
      <w:pPr>
        <w:widowControl/>
        <w:snapToGrid w:val="0"/>
        <w:spacing w:line="300" w:lineRule="auto"/>
        <w:jc w:val="center"/>
        <w:rPr>
          <w:rFonts w:ascii="Arial" w:hAnsi="Arial" w:eastAsia="宋体" w:cs="Arial"/>
          <w:kern w:val="0"/>
          <w:sz w:val="24"/>
          <w:szCs w:val="24"/>
        </w:rPr>
      </w:pPr>
      <w:r>
        <w:rPr>
          <w:rFonts w:ascii="Arial" w:hAnsi="Arial" w:eastAsia="宋体" w:cs="Arial"/>
          <w:kern w:val="0"/>
          <w:sz w:val="24"/>
          <w:szCs w:val="24"/>
        </w:rPr>
        <w:t>美国卫生与公众服务部</w:t>
      </w:r>
    </w:p>
    <w:p w14:paraId="63CE2320">
      <w:pPr>
        <w:widowControl/>
        <w:snapToGrid w:val="0"/>
        <w:spacing w:line="300" w:lineRule="auto"/>
        <w:jc w:val="center"/>
        <w:rPr>
          <w:rFonts w:ascii="Arial" w:hAnsi="Arial" w:eastAsia="宋体" w:cs="Arial"/>
          <w:kern w:val="0"/>
          <w:sz w:val="24"/>
          <w:szCs w:val="24"/>
        </w:rPr>
      </w:pPr>
      <w:r>
        <w:rPr>
          <w:rFonts w:ascii="Arial" w:hAnsi="Arial" w:eastAsia="宋体" w:cs="Arial"/>
          <w:kern w:val="0"/>
          <w:sz w:val="24"/>
          <w:szCs w:val="24"/>
        </w:rPr>
        <w:t>公共卫生署</w:t>
      </w:r>
    </w:p>
    <w:p w14:paraId="460396E0">
      <w:pPr>
        <w:widowControl/>
        <w:snapToGrid w:val="0"/>
        <w:spacing w:line="300" w:lineRule="auto"/>
        <w:jc w:val="center"/>
        <w:rPr>
          <w:rFonts w:ascii="Arial" w:hAnsi="Arial" w:eastAsia="宋体" w:cs="Arial"/>
          <w:kern w:val="0"/>
          <w:sz w:val="24"/>
          <w:szCs w:val="24"/>
        </w:rPr>
      </w:pPr>
      <w:r>
        <w:rPr>
          <w:rFonts w:ascii="Arial" w:hAnsi="Arial" w:eastAsia="宋体" w:cs="Arial"/>
          <w:kern w:val="0"/>
          <w:sz w:val="24"/>
          <w:szCs w:val="24"/>
        </w:rPr>
        <w:t>食品药品监督管理局</w:t>
      </w:r>
    </w:p>
    <w:p w14:paraId="4C4BB11E">
      <w:pPr>
        <w:widowControl/>
        <w:snapToGrid w:val="0"/>
        <w:spacing w:line="300" w:lineRule="auto"/>
        <w:jc w:val="center"/>
        <w:rPr>
          <w:rFonts w:ascii="Arial" w:hAnsi="Arial" w:eastAsia="宋体" w:cs="Arial"/>
          <w:kern w:val="0"/>
          <w:sz w:val="24"/>
          <w:szCs w:val="24"/>
        </w:rPr>
      </w:pPr>
      <w:r>
        <w:rPr>
          <w:rFonts w:ascii="Arial" w:hAnsi="Arial" w:eastAsia="宋体" w:cs="Arial"/>
          <w:kern w:val="0"/>
          <w:sz w:val="24"/>
          <w:szCs w:val="24"/>
        </w:rPr>
        <w:t>器械与放射健康中心</w:t>
      </w:r>
    </w:p>
    <w:p w14:paraId="6A791863">
      <w:pPr>
        <w:widowControl/>
        <w:snapToGrid w:val="0"/>
        <w:spacing w:before="100" w:beforeAutospacing="1" w:after="100" w:afterAutospacing="1" w:line="300" w:lineRule="auto"/>
        <w:jc w:val="center"/>
        <w:outlineLvl w:val="2"/>
        <w:rPr>
          <w:rFonts w:ascii="Arial" w:hAnsi="Arial" w:eastAsia="宋体" w:cs="Arial"/>
          <w:b/>
          <w:bCs/>
          <w:kern w:val="0"/>
          <w:sz w:val="27"/>
          <w:szCs w:val="27"/>
        </w:rPr>
      </w:pPr>
      <w:r>
        <w:rPr>
          <w:rFonts w:ascii="Arial" w:hAnsi="Arial" w:eastAsia="宋体" w:cs="Arial"/>
          <w:b/>
          <w:bCs/>
          <w:kern w:val="0"/>
          <w:sz w:val="27"/>
          <w:szCs w:val="27"/>
        </w:rPr>
        <w:t>使用葡萄糖氧化酶、脱氢酶或己糖激酶方法评估便携式血糖监测体外诊断器械的审查标准</w:t>
      </w:r>
    </w:p>
    <w:p w14:paraId="2710DFB2">
      <w:pPr>
        <w:widowControl/>
        <w:snapToGrid w:val="0"/>
        <w:spacing w:line="300" w:lineRule="auto"/>
        <w:jc w:val="center"/>
        <w:rPr>
          <w:rFonts w:ascii="Arial" w:hAnsi="Arial" w:eastAsia="宋体" w:cs="Arial"/>
          <w:kern w:val="0"/>
          <w:sz w:val="24"/>
          <w:szCs w:val="24"/>
        </w:rPr>
      </w:pPr>
      <w:r>
        <w:rPr>
          <w:rFonts w:ascii="Arial" w:hAnsi="Arial" w:eastAsia="宋体" w:cs="Arial"/>
          <w:kern w:val="0"/>
          <w:sz w:val="24"/>
          <w:szCs w:val="24"/>
        </w:rPr>
        <w:t>版本 1996年2月14日</w:t>
      </w:r>
    </w:p>
    <w:p w14:paraId="5644FF2F">
      <w:pPr>
        <w:widowControl/>
        <w:snapToGrid w:val="0"/>
        <w:spacing w:before="100" w:beforeAutospacing="1" w:after="100" w:afterAutospacing="1" w:line="300" w:lineRule="auto"/>
        <w:rPr>
          <w:rFonts w:ascii="Arial" w:hAnsi="Arial" w:eastAsia="宋体" w:cs="Arial"/>
          <w:kern w:val="0"/>
          <w:sz w:val="24"/>
          <w:szCs w:val="24"/>
        </w:rPr>
      </w:pPr>
      <w:r>
        <w:rPr>
          <w:rFonts w:ascii="Arial" w:hAnsi="Arial" w:eastAsia="宋体" w:cs="Arial"/>
          <w:sz w:val="24"/>
          <w:szCs w:val="24"/>
        </w:rPr>
        <w:t>这是一个灵活的文件，代表当前与为采用</w:t>
      </w:r>
      <w:r>
        <w:rPr>
          <w:rFonts w:ascii="Arial" w:hAnsi="Arial" w:eastAsia="宋体" w:cs="Arial"/>
          <w:kern w:val="0"/>
          <w:sz w:val="24"/>
          <w:szCs w:val="24"/>
        </w:rPr>
        <w:t>酶学方法的葡萄糖</w:t>
      </w:r>
      <w:r>
        <w:rPr>
          <w:rFonts w:hint="eastAsia" w:ascii="Arial" w:hAnsi="Arial" w:eastAsia="宋体" w:cs="Arial"/>
          <w:b/>
          <w:kern w:val="0"/>
          <w:sz w:val="24"/>
          <w:szCs w:val="24"/>
        </w:rPr>
        <w:t>体外</w:t>
      </w:r>
      <w:r>
        <w:rPr>
          <w:rFonts w:ascii="Arial" w:hAnsi="Arial" w:eastAsia="宋体" w:cs="Arial"/>
          <w:kern w:val="0"/>
          <w:sz w:val="24"/>
          <w:szCs w:val="24"/>
        </w:rPr>
        <w:t>诊断器械编制上市前通告（510（k））有关</w:t>
      </w:r>
      <w:r>
        <w:rPr>
          <w:rFonts w:ascii="Arial" w:hAnsi="Arial" w:eastAsia="宋体" w:cs="Arial"/>
          <w:sz w:val="24"/>
          <w:szCs w:val="24"/>
        </w:rPr>
        <w:t>的指南。其基于1）</w:t>
      </w:r>
      <w:r>
        <w:rPr>
          <w:rFonts w:ascii="Arial" w:hAnsi="Arial" w:eastAsia="宋体" w:cs="Arial"/>
          <w:kern w:val="0"/>
          <w:sz w:val="24"/>
          <w:szCs w:val="24"/>
        </w:rPr>
        <w:t>当前技术</w:t>
      </w:r>
      <w:r>
        <w:rPr>
          <w:rFonts w:ascii="Arial" w:hAnsi="Arial" w:eastAsia="宋体" w:cs="Arial"/>
          <w:sz w:val="24"/>
          <w:szCs w:val="24"/>
        </w:rPr>
        <w:t>，2）临床经验和3）先前由制造商提交给食品药品监督管理局的提交资料</w:t>
      </w:r>
      <w:r>
        <w:rPr>
          <w:rFonts w:ascii="Arial" w:hAnsi="Arial" w:eastAsia="宋体" w:cs="Arial"/>
          <w:kern w:val="0"/>
          <w:sz w:val="24"/>
          <w:szCs w:val="24"/>
        </w:rPr>
        <w:t>以及4）1990年的“安全医疗器械法案”和“美国联邦法规”（CFR）中的法规。为了使我们可以根据需要修改草案，请将贵公司的评论发送到以下地址。</w:t>
      </w:r>
    </w:p>
    <w:p w14:paraId="69CBFD03">
      <w:pPr>
        <w:widowControl/>
        <w:snapToGrid w:val="0"/>
        <w:spacing w:before="100" w:beforeAutospacing="1" w:after="100" w:afterAutospacing="1" w:line="300" w:lineRule="auto"/>
        <w:rPr>
          <w:rFonts w:ascii="Arial" w:hAnsi="Arial" w:eastAsia="宋体" w:cs="Arial"/>
          <w:kern w:val="0"/>
          <w:sz w:val="24"/>
          <w:szCs w:val="24"/>
        </w:rPr>
      </w:pPr>
    </w:p>
    <w:p w14:paraId="0FF4A04F">
      <w:pPr>
        <w:widowControl/>
        <w:snapToGrid w:val="0"/>
        <w:spacing w:beforeAutospacing="1" w:after="100" w:afterAutospacing="1" w:line="300" w:lineRule="auto"/>
        <w:rPr>
          <w:rFonts w:ascii="Arial" w:hAnsi="Arial" w:eastAsia="宋体" w:cs="Arial"/>
          <w:kern w:val="0"/>
          <w:sz w:val="24"/>
          <w:szCs w:val="24"/>
        </w:rPr>
      </w:pPr>
      <w:r>
        <w:rPr>
          <w:rFonts w:ascii="Arial" w:hAnsi="Arial" w:eastAsia="宋体" w:cs="Arial"/>
          <w:kern w:val="0"/>
          <w:sz w:val="24"/>
          <w:szCs w:val="24"/>
        </w:rPr>
        <w:t>临床实验室器械部</w:t>
      </w:r>
    </w:p>
    <w:p w14:paraId="6662E085">
      <w:pPr>
        <w:widowControl/>
        <w:snapToGrid w:val="0"/>
        <w:spacing w:before="100" w:beforeAutospacing="1" w:after="100" w:afterAutospacing="1" w:line="300" w:lineRule="auto"/>
        <w:rPr>
          <w:rFonts w:ascii="Arial" w:hAnsi="Arial" w:eastAsia="宋体" w:cs="Arial"/>
          <w:kern w:val="0"/>
          <w:sz w:val="24"/>
          <w:szCs w:val="24"/>
        </w:rPr>
      </w:pPr>
      <w:r>
        <w:rPr>
          <w:rFonts w:ascii="Arial" w:hAnsi="Arial" w:eastAsia="宋体" w:cs="Arial"/>
          <w:kern w:val="0"/>
          <w:sz w:val="24"/>
          <w:szCs w:val="24"/>
        </w:rPr>
        <w:t>10903 New Hampshire Avenue</w:t>
      </w:r>
    </w:p>
    <w:p w14:paraId="7E66FBD6">
      <w:pPr>
        <w:widowControl/>
        <w:snapToGrid w:val="0"/>
        <w:spacing w:before="100" w:beforeAutospacing="1" w:after="100" w:afterAutospacing="1" w:line="300" w:lineRule="auto"/>
        <w:rPr>
          <w:rFonts w:ascii="Arial" w:hAnsi="Arial" w:eastAsia="宋体" w:cs="Arial"/>
          <w:kern w:val="0"/>
          <w:sz w:val="24"/>
          <w:szCs w:val="24"/>
        </w:rPr>
      </w:pPr>
      <w:r>
        <w:rPr>
          <w:rFonts w:ascii="Arial" w:hAnsi="Arial" w:eastAsia="宋体" w:cs="Arial"/>
          <w:kern w:val="0"/>
          <w:sz w:val="24"/>
          <w:szCs w:val="24"/>
        </w:rPr>
        <w:t>Silver Spring，MD 20993</w:t>
      </w:r>
    </w:p>
    <w:p w14:paraId="794DE5B2">
      <w:pPr>
        <w:widowControl/>
        <w:snapToGrid w:val="0"/>
        <w:spacing w:before="100" w:beforeAutospacing="1" w:afterAutospacing="1" w:line="300" w:lineRule="auto"/>
        <w:rPr>
          <w:rFonts w:ascii="Arial" w:hAnsi="Arial" w:eastAsia="宋体" w:cs="Arial"/>
          <w:kern w:val="0"/>
          <w:sz w:val="24"/>
          <w:szCs w:val="24"/>
        </w:rPr>
      </w:pPr>
    </w:p>
    <w:p w14:paraId="70FC1509">
      <w:pPr>
        <w:widowControl/>
        <w:snapToGrid w:val="0"/>
        <w:spacing w:before="100" w:beforeAutospacing="1" w:after="100" w:afterAutospacing="1" w:line="300" w:lineRule="auto"/>
        <w:rPr>
          <w:rFonts w:ascii="Arial" w:hAnsi="Arial" w:eastAsia="宋体" w:cs="Arial"/>
          <w:kern w:val="0"/>
          <w:sz w:val="24"/>
          <w:szCs w:val="24"/>
        </w:rPr>
      </w:pPr>
      <w:r>
        <w:rPr>
          <w:rFonts w:hint="eastAsia" w:ascii="Arial" w:hAnsi="Arial" w:eastAsia="宋体" w:cs="Arial"/>
          <w:b/>
          <w:kern w:val="0"/>
          <w:sz w:val="24"/>
          <w:szCs w:val="24"/>
        </w:rPr>
        <w:t>定义：</w:t>
      </w:r>
      <w:r>
        <w:rPr>
          <w:rFonts w:ascii="Arial" w:hAnsi="Arial" w:eastAsia="宋体" w:cs="Arial"/>
          <w:kern w:val="0"/>
          <w:sz w:val="24"/>
          <w:szCs w:val="24"/>
        </w:rPr>
        <w:t>便携式血糖仪用于医院、护理点、医生办公室和非处方的体外诊断测试，通过基于葡萄糖氧化酶、脱氢酶或己糖激酶的方法对葡萄糖进行定量和半定量测量。这些不包括用于血浆、血清、尿液和CSF进行常规和统计葡萄糖试验的大型临床化学分析仪或专用葡萄糖分析仪。</w:t>
      </w:r>
    </w:p>
    <w:p w14:paraId="52DD37CF">
      <w:pPr>
        <w:widowControl/>
        <w:snapToGrid w:val="0"/>
        <w:spacing w:before="100" w:beforeAutospacing="1" w:after="100" w:afterAutospacing="1" w:line="300" w:lineRule="auto"/>
        <w:rPr>
          <w:rFonts w:ascii="Arial" w:hAnsi="Arial" w:eastAsia="宋体" w:cs="Arial"/>
          <w:kern w:val="0"/>
          <w:sz w:val="24"/>
          <w:szCs w:val="24"/>
        </w:rPr>
      </w:pPr>
      <w:r>
        <w:rPr>
          <w:rFonts w:hint="eastAsia" w:ascii="Arial" w:hAnsi="Arial" w:eastAsia="宋体" w:cs="Arial"/>
          <w:b/>
          <w:kern w:val="0"/>
          <w:sz w:val="24"/>
          <w:szCs w:val="24"/>
        </w:rPr>
        <w:t>产品代码：</w:t>
      </w:r>
      <w:r>
        <w:rPr>
          <w:rFonts w:ascii="Arial" w:hAnsi="Arial" w:eastAsia="宋体" w:cs="Arial"/>
          <w:kern w:val="0"/>
          <w:sz w:val="24"/>
          <w:szCs w:val="24"/>
        </w:rPr>
        <w:t>CGA，CFR，LFR</w:t>
      </w:r>
    </w:p>
    <w:p w14:paraId="7D44BC42">
      <w:pPr>
        <w:widowControl/>
        <w:snapToGrid w:val="0"/>
        <w:spacing w:before="100" w:beforeAutospacing="1" w:after="100" w:afterAutospacing="1" w:line="300" w:lineRule="auto"/>
        <w:rPr>
          <w:rFonts w:ascii="Arial" w:hAnsi="Arial" w:eastAsia="宋体" w:cs="Arial"/>
          <w:kern w:val="0"/>
          <w:sz w:val="24"/>
          <w:szCs w:val="24"/>
        </w:rPr>
      </w:pPr>
      <w:r>
        <w:rPr>
          <w:rFonts w:hint="eastAsia" w:ascii="Arial" w:hAnsi="Arial" w:eastAsia="宋体" w:cs="Arial"/>
          <w:b/>
          <w:kern w:val="0"/>
          <w:sz w:val="24"/>
          <w:szCs w:val="24"/>
        </w:rPr>
        <w:t>法规：</w:t>
      </w:r>
      <w:r>
        <w:rPr>
          <w:rFonts w:ascii="Arial" w:hAnsi="Arial" w:eastAsia="宋体" w:cs="Arial"/>
          <w:kern w:val="0"/>
          <w:sz w:val="24"/>
          <w:szCs w:val="24"/>
        </w:rPr>
        <w:t>21 CFR 862.1345</w:t>
      </w:r>
    </w:p>
    <w:p w14:paraId="2440BAE6">
      <w:pPr>
        <w:widowControl/>
        <w:snapToGrid w:val="0"/>
        <w:spacing w:line="300" w:lineRule="auto"/>
        <w:rPr>
          <w:rFonts w:ascii="Arial" w:hAnsi="Arial" w:eastAsia="宋体" w:cs="Arial"/>
          <w:kern w:val="0"/>
          <w:sz w:val="24"/>
          <w:szCs w:val="24"/>
        </w:rPr>
      </w:pPr>
      <w:r>
        <w:rPr>
          <w:rFonts w:ascii="Arial" w:hAnsi="Arial" w:eastAsia="宋体" w:cs="Arial"/>
          <w:b/>
          <w:bCs/>
          <w:kern w:val="0"/>
          <w:sz w:val="24"/>
          <w:szCs w:val="24"/>
        </w:rPr>
        <w:t>（a）识别。</w:t>
      </w:r>
    </w:p>
    <w:p w14:paraId="1623A7F5">
      <w:pPr>
        <w:widowControl/>
        <w:snapToGrid w:val="0"/>
        <w:spacing w:before="100" w:beforeAutospacing="1" w:after="100" w:afterAutospacing="1" w:line="300" w:lineRule="auto"/>
        <w:rPr>
          <w:rFonts w:ascii="Arial" w:hAnsi="Arial" w:eastAsia="宋体" w:cs="Arial"/>
          <w:kern w:val="0"/>
          <w:sz w:val="24"/>
          <w:szCs w:val="24"/>
        </w:rPr>
      </w:pPr>
      <w:r>
        <w:rPr>
          <w:rFonts w:ascii="Arial" w:hAnsi="Arial" w:eastAsia="宋体" w:cs="Arial"/>
          <w:kern w:val="0"/>
          <w:sz w:val="24"/>
          <w:szCs w:val="24"/>
        </w:rPr>
        <w:t>葡萄糖试验系统是用于在血液和其他体液中定量测量葡萄糖的器械。葡萄糖测量用于诊断和治疗碳水化合物代谢疾病，包括糖尿病、新生儿低血糖症和特发性低血糖症以及胰岛细胞肿瘤。</w:t>
      </w:r>
    </w:p>
    <w:p w14:paraId="2FA8DB38">
      <w:pPr>
        <w:widowControl/>
        <w:snapToGrid w:val="0"/>
        <w:spacing w:line="300" w:lineRule="auto"/>
        <w:rPr>
          <w:rFonts w:ascii="Arial" w:hAnsi="Arial" w:eastAsia="宋体" w:cs="Arial"/>
          <w:kern w:val="0"/>
          <w:sz w:val="24"/>
          <w:szCs w:val="24"/>
        </w:rPr>
      </w:pPr>
      <w:r>
        <w:rPr>
          <w:rFonts w:ascii="Arial" w:hAnsi="Arial" w:eastAsia="宋体" w:cs="Arial"/>
          <w:b/>
          <w:bCs/>
          <w:kern w:val="0"/>
          <w:sz w:val="24"/>
          <w:szCs w:val="24"/>
        </w:rPr>
        <w:t>（b）分类：II</w:t>
      </w:r>
      <w:r>
        <w:rPr>
          <w:rFonts w:hint="eastAsia" w:ascii="Arial" w:hAnsi="Arial" w:eastAsia="宋体" w:cs="Arial"/>
          <w:b/>
          <w:kern w:val="0"/>
          <w:sz w:val="24"/>
          <w:szCs w:val="24"/>
        </w:rPr>
        <w:t>类</w:t>
      </w:r>
    </w:p>
    <w:p w14:paraId="618E832A">
      <w:pPr>
        <w:widowControl/>
        <w:snapToGrid w:val="0"/>
        <w:spacing w:before="100" w:beforeAutospacing="1" w:after="100" w:afterAutospacing="1" w:line="300" w:lineRule="auto"/>
        <w:rPr>
          <w:rFonts w:ascii="Arial" w:hAnsi="Arial" w:eastAsia="宋体" w:cs="Arial"/>
          <w:kern w:val="0"/>
          <w:sz w:val="24"/>
          <w:szCs w:val="24"/>
        </w:rPr>
      </w:pPr>
      <w:r>
        <w:rPr>
          <w:rFonts w:hint="eastAsia" w:ascii="Arial" w:hAnsi="Arial" w:eastAsia="宋体" w:cs="Arial"/>
          <w:b/>
          <w:kern w:val="0"/>
          <w:sz w:val="24"/>
          <w:szCs w:val="24"/>
        </w:rPr>
        <w:t>所需审查：</w:t>
      </w:r>
      <w:r>
        <w:rPr>
          <w:rFonts w:ascii="Arial" w:hAnsi="Arial" w:eastAsia="宋体" w:cs="Arial"/>
          <w:kern w:val="0"/>
          <w:sz w:val="24"/>
          <w:szCs w:val="24"/>
        </w:rPr>
        <w:t>510（k）</w:t>
      </w:r>
    </w:p>
    <w:p w14:paraId="2ED6867B">
      <w:pPr>
        <w:widowControl/>
        <w:snapToGrid w:val="0"/>
        <w:spacing w:before="100" w:beforeAutospacing="1" w:after="100" w:afterAutospacing="1" w:line="300" w:lineRule="auto"/>
        <w:outlineLvl w:val="3"/>
        <w:rPr>
          <w:rFonts w:ascii="Arial" w:hAnsi="Arial" w:eastAsia="宋体" w:cs="Arial"/>
          <w:b/>
          <w:bCs/>
          <w:kern w:val="0"/>
          <w:sz w:val="24"/>
          <w:szCs w:val="24"/>
        </w:rPr>
      </w:pPr>
      <w:r>
        <w:rPr>
          <w:rFonts w:ascii="Arial" w:hAnsi="Arial" w:eastAsia="宋体" w:cs="Arial"/>
          <w:b/>
          <w:bCs/>
          <w:kern w:val="0"/>
          <w:sz w:val="24"/>
          <w:szCs w:val="24"/>
        </w:rPr>
        <w:t>目的</w:t>
      </w:r>
    </w:p>
    <w:p w14:paraId="6D380540">
      <w:pPr>
        <w:widowControl/>
        <w:snapToGrid w:val="0"/>
        <w:spacing w:before="100" w:beforeAutospacing="1" w:after="100" w:afterAutospacing="1" w:line="300" w:lineRule="auto"/>
        <w:rPr>
          <w:rFonts w:ascii="Arial" w:hAnsi="Arial" w:eastAsia="宋体" w:cs="Arial"/>
          <w:kern w:val="0"/>
          <w:sz w:val="24"/>
          <w:szCs w:val="24"/>
        </w:rPr>
      </w:pPr>
      <w:r>
        <w:rPr>
          <w:rFonts w:ascii="Arial" w:hAnsi="Arial" w:eastAsia="宋体" w:cs="Arial"/>
          <w:kern w:val="0"/>
          <w:sz w:val="24"/>
          <w:szCs w:val="24"/>
        </w:rPr>
        <w:t>本文件的目的是就某一器械可许可上市之前须提交给FDA的信息提供指南。此通告使FDA能够基于更为一致的数据库做出更合理的决定。我们希望这些文件可使商业器械使用更可靠、可重复以及更简单。</w:t>
      </w:r>
    </w:p>
    <w:p w14:paraId="4DB33D56">
      <w:pPr>
        <w:widowControl/>
        <w:snapToGrid w:val="0"/>
        <w:spacing w:before="100" w:beforeAutospacing="1" w:after="100" w:afterAutospacing="1" w:line="300" w:lineRule="auto"/>
        <w:rPr>
          <w:rFonts w:ascii="Arial" w:hAnsi="Arial" w:eastAsia="宋体" w:cs="Arial"/>
          <w:kern w:val="0"/>
          <w:sz w:val="24"/>
          <w:szCs w:val="24"/>
        </w:rPr>
      </w:pPr>
    </w:p>
    <w:p w14:paraId="7E7BBBAF">
      <w:pPr>
        <w:widowControl/>
        <w:snapToGrid w:val="0"/>
        <w:spacing w:before="100" w:beforeAutospacing="1" w:after="100" w:afterAutospacing="1" w:line="300" w:lineRule="auto"/>
        <w:rPr>
          <w:rFonts w:ascii="Arial" w:hAnsi="Arial" w:eastAsia="宋体" w:cs="Arial"/>
          <w:kern w:val="0"/>
          <w:sz w:val="24"/>
          <w:szCs w:val="24"/>
        </w:rPr>
      </w:pPr>
    </w:p>
    <w:p w14:paraId="12790EBF">
      <w:pPr>
        <w:widowControl/>
        <w:snapToGrid w:val="0"/>
        <w:spacing w:before="100" w:beforeAutospacing="1" w:after="100" w:afterAutospacing="1" w:line="300" w:lineRule="auto"/>
        <w:rPr>
          <w:rFonts w:ascii="Arial" w:hAnsi="Arial" w:eastAsia="宋体" w:cs="Arial"/>
          <w:kern w:val="0"/>
          <w:sz w:val="24"/>
          <w:szCs w:val="24"/>
        </w:rPr>
      </w:pPr>
    </w:p>
    <w:p w14:paraId="0E330FCE">
      <w:pPr>
        <w:widowControl/>
        <w:snapToGrid w:val="0"/>
        <w:spacing w:before="100" w:beforeAutospacing="1" w:after="100" w:afterAutospacing="1" w:line="300" w:lineRule="auto"/>
        <w:rPr>
          <w:rFonts w:ascii="Arial" w:hAnsi="Arial" w:eastAsia="宋体" w:cs="Arial"/>
          <w:kern w:val="0"/>
          <w:sz w:val="24"/>
          <w:szCs w:val="24"/>
        </w:rPr>
      </w:pPr>
    </w:p>
    <w:p w14:paraId="3E34773F">
      <w:pPr>
        <w:widowControl/>
        <w:snapToGrid w:val="0"/>
        <w:spacing w:before="100" w:beforeAutospacing="1" w:after="100" w:afterAutospacing="1" w:line="300" w:lineRule="auto"/>
        <w:outlineLvl w:val="3"/>
        <w:rPr>
          <w:rFonts w:ascii="Arial" w:hAnsi="Arial" w:eastAsia="宋体" w:cs="Arial"/>
          <w:b/>
          <w:bCs/>
          <w:kern w:val="0"/>
          <w:sz w:val="24"/>
          <w:szCs w:val="24"/>
        </w:rPr>
      </w:pPr>
      <w:r>
        <w:rPr>
          <w:rFonts w:ascii="Arial" w:hAnsi="Arial" w:eastAsia="宋体" w:cs="Arial"/>
          <w:b/>
          <w:bCs/>
          <w:kern w:val="0"/>
          <w:sz w:val="24"/>
          <w:szCs w:val="24"/>
        </w:rPr>
        <w:t>I. 背景</w:t>
      </w:r>
    </w:p>
    <w:p w14:paraId="06734644">
      <w:pPr>
        <w:widowControl/>
        <w:snapToGrid w:val="0"/>
        <w:spacing w:before="100" w:beforeAutospacing="1" w:after="100" w:afterAutospacing="1" w:line="300" w:lineRule="auto"/>
        <w:rPr>
          <w:rFonts w:ascii="Arial" w:hAnsi="Arial" w:eastAsia="宋体" w:cs="Arial"/>
          <w:kern w:val="0"/>
          <w:sz w:val="24"/>
          <w:szCs w:val="24"/>
        </w:rPr>
      </w:pPr>
      <w:r>
        <w:rPr>
          <w:rFonts w:ascii="Arial" w:hAnsi="Arial" w:eastAsia="宋体" w:cs="Arial"/>
          <w:kern w:val="0"/>
          <w:sz w:val="24"/>
          <w:szCs w:val="24"/>
        </w:rPr>
        <w:t>在过去十年中，葡萄糖监测已成为护理糖尿病患者的主要辅助措施。现在，糖尿病患者和医疗专家可以经常使用便携式器械测量和记录血糖水平。在医院中，通常使用血糖监测仪，而非使用常规实验室葡萄糖试验方法来快速获得ER、ICU、CCU、OR或其他临床位置中的患者的血糖浓度。如果在家里使用，这些器械可使糖尿病患者每天监测和处理血糖水平的波动。</w:t>
      </w:r>
      <w:r>
        <w:rPr>
          <w:rFonts w:ascii="Arial" w:hAnsi="Arial" w:eastAsia="宋体" w:cs="Arial"/>
          <w:kern w:val="0"/>
          <w:sz w:val="24"/>
          <w:szCs w:val="24"/>
          <w:vertAlign w:val="superscript"/>
        </w:rPr>
        <w:t>1</w:t>
      </w:r>
    </w:p>
    <w:p w14:paraId="37464723">
      <w:pPr>
        <w:widowControl/>
        <w:snapToGrid w:val="0"/>
        <w:spacing w:before="100" w:beforeAutospacing="1" w:after="100" w:afterAutospacing="1" w:line="300" w:lineRule="auto"/>
        <w:rPr>
          <w:rFonts w:ascii="Arial" w:hAnsi="Arial" w:eastAsia="宋体" w:cs="Arial"/>
          <w:kern w:val="0"/>
          <w:sz w:val="24"/>
          <w:szCs w:val="24"/>
        </w:rPr>
      </w:pPr>
      <w:r>
        <w:rPr>
          <w:rFonts w:ascii="Arial" w:hAnsi="Arial" w:eastAsia="宋体" w:cs="Arial"/>
          <w:kern w:val="0"/>
          <w:sz w:val="24"/>
          <w:szCs w:val="24"/>
        </w:rPr>
        <w:t>尽管血糖监测仪存有一些问题，由医生、糖尿病教育工作者和实验室工作人员等组成的共识专家组建议对胰岛素治疗的糖尿病进行血糖监测（BGMg）试验。该专家组由美国糖尿病协会、FDA、NIH和CDC申办，其指出当前监测系统存在的大多数问题与用户有关而不与系统本身相关。因此，重点应放在向用户传递适当知识并跟进他们的表现等方面。</w:t>
      </w:r>
      <w:r>
        <w:rPr>
          <w:rFonts w:ascii="Arial" w:hAnsi="Arial" w:eastAsia="宋体" w:cs="Arial"/>
          <w:kern w:val="0"/>
          <w:sz w:val="24"/>
          <w:szCs w:val="24"/>
          <w:vertAlign w:val="superscript"/>
        </w:rPr>
        <w:t>2</w:t>
      </w:r>
      <w:r>
        <w:rPr>
          <w:rFonts w:ascii="Arial" w:hAnsi="Arial" w:eastAsia="宋体" w:cs="Arial"/>
          <w:kern w:val="0"/>
          <w:sz w:val="24"/>
          <w:szCs w:val="24"/>
        </w:rPr>
        <w:t>该专家组建议制造商应通过开发具有记忆的系统来对比患者记录的计示葡萄糖结果与实验室葡萄糖结果，并必须在样本运行前进行的</w:t>
      </w:r>
      <w:r>
        <w:rPr>
          <w:rFonts w:hint="eastAsia" w:ascii="Arial" w:hAnsi="Arial" w:eastAsia="宋体" w:cs="Arial"/>
          <w:b/>
          <w:kern w:val="0"/>
          <w:sz w:val="24"/>
          <w:szCs w:val="24"/>
        </w:rPr>
        <w:t>质量控制检查</w:t>
      </w:r>
      <w:r>
        <w:rPr>
          <w:rFonts w:ascii="Arial" w:hAnsi="Arial" w:eastAsia="宋体" w:cs="Arial"/>
          <w:kern w:val="0"/>
          <w:sz w:val="24"/>
          <w:szCs w:val="24"/>
        </w:rPr>
        <w:t>来提供帮助。</w:t>
      </w:r>
    </w:p>
    <w:p w14:paraId="421660FF">
      <w:pPr>
        <w:widowControl/>
        <w:snapToGrid w:val="0"/>
        <w:spacing w:before="100" w:beforeAutospacing="1" w:after="100" w:afterAutospacing="1" w:line="300" w:lineRule="auto"/>
        <w:rPr>
          <w:rFonts w:ascii="Arial" w:hAnsi="Arial" w:eastAsia="宋体" w:cs="Arial"/>
          <w:kern w:val="0"/>
          <w:sz w:val="24"/>
          <w:szCs w:val="24"/>
        </w:rPr>
      </w:pPr>
      <w:r>
        <w:rPr>
          <w:rFonts w:ascii="Arial" w:hAnsi="Arial" w:eastAsia="宋体" w:cs="Arial"/>
          <w:kern w:val="0"/>
          <w:sz w:val="24"/>
          <w:szCs w:val="24"/>
        </w:rPr>
        <w:t>葡萄糖监测的主要预期用途是帮助评估和管理糖尿病患者。1986年11月17 - 19日，美国糖尿病协会的共识专家组建议BGMg应用于以下用途：</w:t>
      </w:r>
    </w:p>
    <w:p w14:paraId="7AA605C0">
      <w:pPr>
        <w:widowControl/>
        <w:numPr>
          <w:ilvl w:val="0"/>
          <w:numId w:val="1"/>
        </w:numPr>
        <w:tabs>
          <w:tab w:val="clear" w:pos="720"/>
        </w:tabs>
        <w:snapToGrid w:val="0"/>
        <w:spacing w:before="100" w:beforeAutospacing="1" w:after="100" w:afterAutospacing="1" w:line="300" w:lineRule="auto"/>
        <w:ind w:left="923" w:leftChars="234" w:hanging="432" w:hangingChars="180"/>
        <w:rPr>
          <w:rFonts w:ascii="Arial" w:hAnsi="Arial" w:eastAsia="宋体" w:cs="Arial"/>
          <w:kern w:val="0"/>
          <w:sz w:val="24"/>
          <w:szCs w:val="24"/>
        </w:rPr>
      </w:pPr>
      <w:r>
        <w:rPr>
          <w:rFonts w:ascii="Arial" w:hAnsi="Arial" w:eastAsia="宋体" w:cs="Arial"/>
          <w:kern w:val="0"/>
          <w:sz w:val="24"/>
          <w:szCs w:val="24"/>
        </w:rPr>
        <w:t>怀孕但伴有糖尿病</w:t>
      </w:r>
    </w:p>
    <w:p w14:paraId="2D7C596B">
      <w:pPr>
        <w:widowControl/>
        <w:numPr>
          <w:ilvl w:val="0"/>
          <w:numId w:val="1"/>
        </w:numPr>
        <w:tabs>
          <w:tab w:val="clear" w:pos="720"/>
        </w:tabs>
        <w:snapToGrid w:val="0"/>
        <w:spacing w:before="100" w:beforeAutospacing="1" w:after="100" w:afterAutospacing="1" w:line="300" w:lineRule="auto"/>
        <w:ind w:left="923" w:leftChars="234" w:hanging="432" w:hangingChars="180"/>
        <w:rPr>
          <w:rFonts w:ascii="Arial" w:hAnsi="Arial" w:eastAsia="宋体" w:cs="Arial"/>
          <w:kern w:val="0"/>
          <w:sz w:val="24"/>
          <w:szCs w:val="24"/>
        </w:rPr>
      </w:pPr>
      <w:r>
        <w:rPr>
          <w:rFonts w:ascii="Arial" w:hAnsi="Arial" w:eastAsia="宋体" w:cs="Arial"/>
          <w:kern w:val="0"/>
          <w:sz w:val="24"/>
          <w:szCs w:val="24"/>
        </w:rPr>
        <w:t>具有严重酮病或低血糖倾向的个人</w:t>
      </w:r>
    </w:p>
    <w:p w14:paraId="7B8A97CC">
      <w:pPr>
        <w:widowControl/>
        <w:numPr>
          <w:ilvl w:val="0"/>
          <w:numId w:val="1"/>
        </w:numPr>
        <w:tabs>
          <w:tab w:val="clear" w:pos="720"/>
        </w:tabs>
        <w:snapToGrid w:val="0"/>
        <w:spacing w:before="100" w:beforeAutospacing="1" w:after="100" w:afterAutospacing="1" w:line="300" w:lineRule="auto"/>
        <w:ind w:left="923" w:leftChars="234" w:hanging="432" w:hangingChars="180"/>
        <w:rPr>
          <w:rFonts w:ascii="Arial" w:hAnsi="Arial" w:eastAsia="宋体" w:cs="Arial"/>
          <w:kern w:val="0"/>
          <w:sz w:val="24"/>
          <w:szCs w:val="24"/>
        </w:rPr>
      </w:pPr>
      <w:r>
        <w:rPr>
          <w:rFonts w:ascii="Arial" w:hAnsi="Arial" w:eastAsia="宋体" w:cs="Arial"/>
          <w:kern w:val="0"/>
          <w:sz w:val="24"/>
          <w:szCs w:val="24"/>
        </w:rPr>
        <w:t>倾向于出现低血糖症且可能未出现常见警告症状的个人</w:t>
      </w:r>
    </w:p>
    <w:p w14:paraId="7E11DF89">
      <w:pPr>
        <w:widowControl/>
        <w:numPr>
          <w:ilvl w:val="0"/>
          <w:numId w:val="1"/>
        </w:numPr>
        <w:tabs>
          <w:tab w:val="clear" w:pos="720"/>
        </w:tabs>
        <w:snapToGrid w:val="0"/>
        <w:spacing w:before="100" w:beforeAutospacing="1" w:after="100" w:afterAutospacing="1" w:line="300" w:lineRule="auto"/>
        <w:ind w:left="923" w:leftChars="234" w:hanging="432" w:hangingChars="180"/>
        <w:rPr>
          <w:rFonts w:ascii="Arial" w:hAnsi="Arial" w:eastAsia="宋体" w:cs="Arial"/>
          <w:kern w:val="0"/>
          <w:sz w:val="24"/>
          <w:szCs w:val="24"/>
        </w:rPr>
      </w:pPr>
      <w:r>
        <w:rPr>
          <w:rFonts w:ascii="Arial" w:hAnsi="Arial" w:eastAsia="宋体" w:cs="Arial"/>
          <w:kern w:val="0"/>
          <w:sz w:val="24"/>
          <w:szCs w:val="24"/>
        </w:rPr>
        <w:t>接受强化治疗计划的个人，特别是使用便携式胰岛素输注器械和多次每日胰岛素注射的个人</w:t>
      </w:r>
    </w:p>
    <w:p w14:paraId="6658F909">
      <w:pPr>
        <w:widowControl/>
        <w:numPr>
          <w:ilvl w:val="0"/>
          <w:numId w:val="1"/>
        </w:numPr>
        <w:tabs>
          <w:tab w:val="clear" w:pos="720"/>
        </w:tabs>
        <w:snapToGrid w:val="0"/>
        <w:spacing w:before="100" w:beforeAutospacing="1" w:after="100" w:afterAutospacing="1" w:line="300" w:lineRule="auto"/>
        <w:ind w:left="923" w:leftChars="234" w:hanging="432" w:hangingChars="180"/>
        <w:rPr>
          <w:rFonts w:ascii="Arial" w:hAnsi="Arial" w:eastAsia="宋体" w:cs="Arial"/>
          <w:kern w:val="0"/>
          <w:sz w:val="24"/>
          <w:szCs w:val="24"/>
        </w:rPr>
      </w:pPr>
      <w:r>
        <w:rPr>
          <w:rFonts w:ascii="Arial" w:hAnsi="Arial" w:eastAsia="宋体" w:cs="Arial"/>
          <w:kern w:val="0"/>
          <w:sz w:val="24"/>
          <w:szCs w:val="24"/>
        </w:rPr>
        <w:t>肾葡萄糖阈值异常的个人</w:t>
      </w:r>
    </w:p>
    <w:p w14:paraId="412340EF">
      <w:pPr>
        <w:widowControl/>
        <w:snapToGrid w:val="0"/>
        <w:spacing w:before="100" w:beforeAutospacing="1" w:after="100" w:afterAutospacing="1" w:line="300" w:lineRule="auto"/>
        <w:rPr>
          <w:rFonts w:ascii="Arial" w:hAnsi="Arial" w:eastAsia="宋体" w:cs="Arial"/>
          <w:kern w:val="0"/>
          <w:sz w:val="24"/>
          <w:szCs w:val="24"/>
          <w:vertAlign w:val="superscript"/>
        </w:rPr>
      </w:pPr>
      <w:r>
        <w:rPr>
          <w:rFonts w:ascii="Arial" w:hAnsi="Arial" w:eastAsia="宋体" w:cs="Arial"/>
          <w:kern w:val="0"/>
          <w:sz w:val="24"/>
          <w:szCs w:val="24"/>
        </w:rPr>
        <w:t>该专家组指出，虽然存在争议，但BGMg可能对未用胰岛素治疗的糖尿病患者有用。然而，该专家组警告道，BGMg不能用于诊断糖尿病，BGMg系统在筛查中的作用仍不确定。该专家组对这些系统是否可用于新生儿缄口不言。然而，一些BGMg系统已经过确认可用于新生儿样本。（请参见FDA关于适用于新生儿托儿所临床应用的便携式葡萄糖监测仪械的审查标准）。</w:t>
      </w:r>
      <w:r>
        <w:rPr>
          <w:rFonts w:ascii="Arial" w:hAnsi="Arial" w:eastAsia="宋体" w:cs="Arial"/>
          <w:kern w:val="0"/>
          <w:sz w:val="24"/>
          <w:szCs w:val="24"/>
          <w:vertAlign w:val="superscript"/>
        </w:rPr>
        <w:t>4</w:t>
      </w:r>
    </w:p>
    <w:p w14:paraId="24FC94AE">
      <w:pPr>
        <w:widowControl/>
        <w:snapToGrid w:val="0"/>
        <w:spacing w:before="100" w:beforeAutospacing="1" w:after="100" w:afterAutospacing="1" w:line="300" w:lineRule="auto"/>
        <w:rPr>
          <w:rFonts w:ascii="Arial" w:hAnsi="Arial" w:eastAsia="宋体" w:cs="Arial"/>
          <w:kern w:val="0"/>
          <w:sz w:val="24"/>
          <w:szCs w:val="24"/>
          <w:vertAlign w:val="superscript"/>
        </w:rPr>
      </w:pPr>
    </w:p>
    <w:p w14:paraId="5E1ED3D4">
      <w:pPr>
        <w:widowControl/>
        <w:snapToGrid w:val="0"/>
        <w:spacing w:before="100" w:beforeAutospacing="1" w:after="100" w:afterAutospacing="1" w:line="300" w:lineRule="auto"/>
        <w:rPr>
          <w:rFonts w:ascii="Arial" w:hAnsi="Arial" w:eastAsia="宋体" w:cs="Arial"/>
          <w:kern w:val="0"/>
          <w:sz w:val="24"/>
          <w:szCs w:val="24"/>
          <w:vertAlign w:val="superscript"/>
        </w:rPr>
      </w:pPr>
    </w:p>
    <w:p w14:paraId="2F093788">
      <w:pPr>
        <w:widowControl/>
        <w:snapToGrid w:val="0"/>
        <w:spacing w:before="100" w:beforeAutospacing="1" w:after="100" w:afterAutospacing="1" w:line="300" w:lineRule="auto"/>
        <w:rPr>
          <w:rFonts w:ascii="Arial" w:hAnsi="Arial" w:eastAsia="宋体" w:cs="Arial"/>
          <w:kern w:val="0"/>
          <w:sz w:val="24"/>
          <w:szCs w:val="24"/>
          <w:vertAlign w:val="superscript"/>
        </w:rPr>
      </w:pPr>
    </w:p>
    <w:p w14:paraId="34E1973B">
      <w:pPr>
        <w:widowControl/>
        <w:snapToGrid w:val="0"/>
        <w:spacing w:before="100" w:beforeAutospacing="1" w:after="100" w:afterAutospacing="1" w:line="300" w:lineRule="auto"/>
        <w:rPr>
          <w:rFonts w:ascii="Arial" w:hAnsi="Arial" w:eastAsia="宋体" w:cs="Arial"/>
          <w:kern w:val="0"/>
          <w:sz w:val="24"/>
          <w:szCs w:val="24"/>
          <w:vertAlign w:val="superscript"/>
        </w:rPr>
      </w:pPr>
    </w:p>
    <w:p w14:paraId="5D667612">
      <w:pPr>
        <w:widowControl/>
        <w:snapToGrid w:val="0"/>
        <w:spacing w:before="100" w:beforeAutospacing="1" w:after="100" w:afterAutospacing="1" w:line="300" w:lineRule="auto"/>
        <w:rPr>
          <w:rFonts w:ascii="Arial" w:hAnsi="Arial" w:eastAsia="宋体" w:cs="Arial"/>
          <w:kern w:val="0"/>
          <w:sz w:val="24"/>
          <w:szCs w:val="24"/>
        </w:rPr>
      </w:pPr>
      <w:r>
        <w:rPr>
          <w:rFonts w:ascii="Arial" w:hAnsi="Arial" w:eastAsia="宋体" w:cs="Arial"/>
          <w:kern w:val="0"/>
          <w:sz w:val="24"/>
          <w:szCs w:val="24"/>
        </w:rPr>
        <w:t>对于葡萄糖监测，已确定一些涉及范围的问题。这些包括1）预期和实际使用，2）校准和质量控制的充分性，3）这些器械的准确性和精密性，4）用户类型，5）培训，6）用户说明的充分性，以及7）程序和技术限制，</w:t>
      </w:r>
      <w:r>
        <w:rPr>
          <w:rFonts w:ascii="Arial" w:hAnsi="Arial" w:eastAsia="宋体" w:cs="Arial"/>
          <w:kern w:val="0"/>
          <w:sz w:val="24"/>
          <w:szCs w:val="24"/>
          <w:vertAlign w:val="superscript"/>
        </w:rPr>
        <w:t>2</w:t>
      </w:r>
      <w:r>
        <w:rPr>
          <w:rFonts w:ascii="Arial" w:hAnsi="Arial" w:eastAsia="宋体" w:cs="Arial"/>
          <w:kern w:val="0"/>
          <w:sz w:val="24"/>
          <w:szCs w:val="24"/>
        </w:rPr>
        <w:t xml:space="preserve"> 8）样本类型（动脉、毛细血管、静脉、全血、血浆），以及9）Hct效应。另外，最新报告指出，环境因素（如温度、湿度和高度）也可能影响结果。</w:t>
      </w:r>
    </w:p>
    <w:p w14:paraId="26DA0648">
      <w:pPr>
        <w:widowControl/>
        <w:snapToGrid w:val="0"/>
        <w:spacing w:before="100" w:beforeAutospacing="1" w:after="100" w:afterAutospacing="1" w:line="300" w:lineRule="auto"/>
        <w:rPr>
          <w:rFonts w:ascii="Arial" w:hAnsi="Arial" w:eastAsia="宋体" w:cs="Arial"/>
          <w:kern w:val="0"/>
          <w:sz w:val="24"/>
          <w:szCs w:val="24"/>
        </w:rPr>
      </w:pPr>
      <w:r>
        <w:rPr>
          <w:rFonts w:ascii="Arial" w:hAnsi="Arial" w:eastAsia="宋体" w:cs="Arial"/>
          <w:kern w:val="0"/>
          <w:sz w:val="24"/>
          <w:szCs w:val="24"/>
        </w:rPr>
        <w:t>共识文件表达以下性能目标：a）“所有未来自我监测血糖（SMBG）系统的目标应是在葡萄糖浓度为30-400mg / dL时实现10％的可变性（系统加用户）。然而，该专家组承认，临床管理的准确定仍未具有严格定义，”b）“对于现有系统，SMBG测量应该在参考测量结果的15％以内”， c）“接受某种形式正式培训的个人中约50-70％能够获得位于参考方法20％以内的结果；然而，性能可能随着时间的推移而劣化。”</w:t>
      </w:r>
      <w:r>
        <w:rPr>
          <w:rFonts w:ascii="Arial" w:hAnsi="Arial" w:eastAsia="宋体" w:cs="Arial"/>
          <w:kern w:val="0"/>
          <w:sz w:val="24"/>
          <w:szCs w:val="24"/>
          <w:vertAlign w:val="superscript"/>
        </w:rPr>
        <w:t>2</w:t>
      </w:r>
    </w:p>
    <w:p w14:paraId="0B7388C8">
      <w:pPr>
        <w:widowControl/>
        <w:snapToGrid w:val="0"/>
        <w:spacing w:before="100" w:beforeAutospacing="1" w:after="100" w:afterAutospacing="1" w:line="300" w:lineRule="auto"/>
        <w:outlineLvl w:val="3"/>
        <w:rPr>
          <w:rFonts w:ascii="Arial" w:hAnsi="Arial" w:eastAsia="宋体" w:cs="Arial"/>
          <w:b/>
          <w:bCs/>
          <w:kern w:val="0"/>
          <w:sz w:val="24"/>
          <w:szCs w:val="24"/>
        </w:rPr>
      </w:pPr>
      <w:r>
        <w:rPr>
          <w:rFonts w:ascii="Arial" w:hAnsi="Arial" w:eastAsia="宋体" w:cs="Arial"/>
          <w:b/>
          <w:bCs/>
          <w:kern w:val="0"/>
          <w:sz w:val="24"/>
          <w:szCs w:val="24"/>
        </w:rPr>
        <w:t>II. 器械描述</w:t>
      </w:r>
    </w:p>
    <w:p w14:paraId="643CD3FF">
      <w:pPr>
        <w:widowControl/>
        <w:snapToGrid w:val="0"/>
        <w:spacing w:before="100" w:beforeAutospacing="1" w:after="100" w:afterAutospacing="1" w:line="300" w:lineRule="auto"/>
        <w:rPr>
          <w:rFonts w:ascii="Arial" w:hAnsi="Arial" w:eastAsia="宋体" w:cs="Arial"/>
          <w:kern w:val="0"/>
          <w:sz w:val="24"/>
          <w:szCs w:val="24"/>
        </w:rPr>
      </w:pPr>
      <w:r>
        <w:rPr>
          <w:rFonts w:ascii="Arial" w:hAnsi="Arial" w:eastAsia="宋体" w:cs="Arial"/>
          <w:kern w:val="0"/>
          <w:sz w:val="24"/>
          <w:szCs w:val="24"/>
        </w:rPr>
        <w:t>大多数血糖监测仪械由葡萄糖试验条和反射计组成，确定全血中的葡萄糖浓度。一些系统依赖于葡萄糖氧化酶 - 比色反应，该反应在将一滴血液置于试剂浸渍的衬垫上时发生。试验衬垫含有酶葡萄糖氧化酶和过氧化物酶以及颜色指示剂。将全血至于试验衬垫上时，葡萄糖被氧化为葡萄糖酸和过氧化氢，其中，葡萄糖氧化酶为催化剂。该反应产生的过氧化氢在过氧化物酶的存在下氧化氧受体，使颜色产生变化，其强度与血液样本中葡萄糖的量直接成正比。</w:t>
      </w:r>
    </w:p>
    <w:p w14:paraId="628FC6EF">
      <w:pPr>
        <w:widowControl/>
        <w:snapToGrid w:val="0"/>
        <w:spacing w:before="100" w:beforeAutospacing="1" w:after="100" w:afterAutospacing="1" w:line="300" w:lineRule="auto"/>
        <w:rPr>
          <w:rFonts w:ascii="Arial" w:hAnsi="Arial" w:eastAsia="宋体" w:cs="Arial"/>
          <w:kern w:val="0"/>
          <w:sz w:val="24"/>
          <w:szCs w:val="24"/>
        </w:rPr>
      </w:pPr>
      <w:r>
        <w:rPr>
          <w:rFonts w:ascii="Arial" w:hAnsi="Arial" w:eastAsia="宋体" w:cs="Arial"/>
          <w:kern w:val="0"/>
          <w:sz w:val="24"/>
          <w:szCs w:val="24"/>
        </w:rPr>
        <w:t>反射光度计或电流分析系统可用于测量在试剂条上发生的反应。为了实现这一点，将试剂条插入试验室中。光照在试剂衬垫上时，光被反射。然后以电子方式测量该反射光，并显示血糖浓度值。</w:t>
      </w:r>
    </w:p>
    <w:p w14:paraId="1E4AC60D">
      <w:pPr>
        <w:widowControl/>
        <w:snapToGrid w:val="0"/>
        <w:spacing w:before="100" w:beforeAutospacing="1" w:after="100" w:afterAutospacing="1" w:line="300" w:lineRule="auto"/>
        <w:rPr>
          <w:rFonts w:ascii="Arial" w:hAnsi="Arial" w:eastAsia="宋体" w:cs="Arial"/>
          <w:kern w:val="0"/>
          <w:sz w:val="24"/>
          <w:szCs w:val="24"/>
        </w:rPr>
      </w:pPr>
    </w:p>
    <w:p w14:paraId="69F6818D">
      <w:pPr>
        <w:widowControl/>
        <w:snapToGrid w:val="0"/>
        <w:spacing w:before="100" w:beforeAutospacing="1" w:after="100" w:afterAutospacing="1" w:line="300" w:lineRule="auto"/>
        <w:rPr>
          <w:rFonts w:ascii="Arial" w:hAnsi="Arial" w:eastAsia="宋体" w:cs="Arial"/>
          <w:kern w:val="0"/>
          <w:sz w:val="24"/>
          <w:szCs w:val="24"/>
        </w:rPr>
      </w:pPr>
    </w:p>
    <w:p w14:paraId="2A28007B">
      <w:pPr>
        <w:widowControl/>
        <w:snapToGrid w:val="0"/>
        <w:spacing w:before="100" w:beforeAutospacing="1" w:after="100" w:afterAutospacing="1" w:line="300" w:lineRule="auto"/>
        <w:rPr>
          <w:rFonts w:ascii="Arial" w:hAnsi="Arial" w:eastAsia="宋体" w:cs="Arial"/>
          <w:kern w:val="0"/>
          <w:sz w:val="24"/>
          <w:szCs w:val="24"/>
        </w:rPr>
      </w:pPr>
    </w:p>
    <w:p w14:paraId="1DF0EDB5">
      <w:pPr>
        <w:widowControl/>
        <w:snapToGrid w:val="0"/>
        <w:spacing w:before="100" w:beforeAutospacing="1" w:after="100" w:afterAutospacing="1" w:line="300" w:lineRule="auto"/>
        <w:rPr>
          <w:rFonts w:ascii="Arial" w:hAnsi="Arial" w:eastAsia="宋体" w:cs="Arial"/>
          <w:kern w:val="0"/>
          <w:sz w:val="24"/>
          <w:szCs w:val="24"/>
        </w:rPr>
      </w:pPr>
    </w:p>
    <w:p w14:paraId="4DBF28FF">
      <w:pPr>
        <w:widowControl/>
        <w:snapToGrid w:val="0"/>
        <w:spacing w:before="100" w:beforeAutospacing="1" w:after="100" w:afterAutospacing="1" w:line="300" w:lineRule="auto"/>
        <w:rPr>
          <w:rFonts w:ascii="Arial" w:hAnsi="Arial" w:eastAsia="宋体" w:cs="Arial"/>
          <w:kern w:val="0"/>
          <w:sz w:val="24"/>
          <w:szCs w:val="24"/>
        </w:rPr>
      </w:pPr>
    </w:p>
    <w:p w14:paraId="06DC7697">
      <w:pPr>
        <w:widowControl/>
        <w:snapToGrid w:val="0"/>
        <w:spacing w:before="100" w:beforeAutospacing="1" w:after="100" w:afterAutospacing="1" w:line="300" w:lineRule="auto"/>
        <w:rPr>
          <w:rFonts w:ascii="Arial" w:hAnsi="Arial" w:eastAsia="宋体" w:cs="Arial"/>
          <w:kern w:val="0"/>
          <w:sz w:val="24"/>
          <w:szCs w:val="24"/>
        </w:rPr>
      </w:pPr>
    </w:p>
    <w:p w14:paraId="5A727B62">
      <w:pPr>
        <w:widowControl/>
        <w:snapToGrid w:val="0"/>
        <w:spacing w:before="100" w:beforeAutospacing="1" w:after="100" w:afterAutospacing="1" w:line="300" w:lineRule="auto"/>
        <w:rPr>
          <w:rFonts w:ascii="Arial" w:hAnsi="Arial" w:eastAsia="宋体" w:cs="Arial"/>
          <w:kern w:val="0"/>
          <w:sz w:val="24"/>
          <w:szCs w:val="24"/>
        </w:rPr>
      </w:pPr>
    </w:p>
    <w:p w14:paraId="244DA07B">
      <w:pPr>
        <w:widowControl/>
        <w:snapToGrid w:val="0"/>
        <w:spacing w:before="100" w:beforeAutospacing="1" w:after="100" w:afterAutospacing="1" w:line="300" w:lineRule="auto"/>
        <w:rPr>
          <w:rFonts w:ascii="Arial" w:hAnsi="Arial" w:eastAsia="宋体" w:cs="Arial"/>
          <w:kern w:val="0"/>
          <w:sz w:val="24"/>
          <w:szCs w:val="24"/>
        </w:rPr>
      </w:pPr>
      <w:r>
        <w:rPr>
          <w:rFonts w:ascii="Arial" w:hAnsi="Arial" w:eastAsia="宋体" w:cs="Arial"/>
          <w:kern w:val="0"/>
          <w:sz w:val="24"/>
          <w:szCs w:val="24"/>
        </w:rPr>
        <w:t>吸光度测定法是另一种使用两种波长（而不是大多数反射光度测定系统使用的单一波长）来测量葡萄糖浓度的方法。</w:t>
      </w:r>
    </w:p>
    <w:p w14:paraId="095DDBE9">
      <w:pPr>
        <w:widowControl/>
        <w:snapToGrid w:val="0"/>
        <w:spacing w:before="100" w:beforeAutospacing="1" w:after="100" w:afterAutospacing="1" w:line="300" w:lineRule="auto"/>
        <w:rPr>
          <w:rFonts w:ascii="Arial" w:hAnsi="Arial" w:eastAsia="宋体" w:cs="Arial"/>
          <w:kern w:val="0"/>
          <w:sz w:val="24"/>
          <w:szCs w:val="24"/>
        </w:rPr>
      </w:pPr>
      <w:r>
        <w:rPr>
          <w:rFonts w:ascii="Arial" w:hAnsi="Arial" w:eastAsia="宋体" w:cs="Arial"/>
          <w:kern w:val="0"/>
          <w:sz w:val="24"/>
          <w:szCs w:val="24"/>
        </w:rPr>
        <w:t>其他系统使用电化学方法。这些监测仪通过测量当葡萄糖氧化酶催化葡萄糖氧化成葡萄糖酸时或当葡萄糖脱氢酶催化葡萄糖氧化成葡萄糖酸内酯时产生的电流来对葡萄糖进行量化。在该反应期间产生的电子从血液转移到电极。所得电流的大小与样本中葡萄糖的浓度成比例，并转换为显示在监测仪上的读数。</w:t>
      </w:r>
    </w:p>
    <w:p w14:paraId="6B107F72">
      <w:pPr>
        <w:widowControl/>
        <w:snapToGrid w:val="0"/>
        <w:spacing w:before="100" w:beforeAutospacing="1" w:after="100" w:afterAutospacing="1" w:line="300" w:lineRule="auto"/>
        <w:rPr>
          <w:rFonts w:ascii="Arial" w:hAnsi="Arial" w:eastAsia="宋体" w:cs="Arial"/>
          <w:kern w:val="0"/>
          <w:sz w:val="24"/>
          <w:szCs w:val="24"/>
        </w:rPr>
      </w:pPr>
      <w:r>
        <w:rPr>
          <w:rFonts w:ascii="Arial" w:hAnsi="Arial" w:eastAsia="宋体" w:cs="Arial"/>
          <w:kern w:val="0"/>
          <w:sz w:val="24"/>
          <w:szCs w:val="24"/>
        </w:rPr>
        <w:t>一些血糖监测系统基于反射测定己糖激酶法。将血液施加于试剂条时，葡萄糖被磷酸化为葡萄糖-6-磷酸。其随后被氧化，与此同时，NAD还原。所形成的NADH与样本中存在的葡萄糖的量直接成正比。然后，NADH在另一种酶存在的条件下还原染料，并产生有色产物。在应用样本之后插入光度计中的试纸可测量反应反射率、使用算法计算葡萄糖，并显示结果。</w:t>
      </w:r>
    </w:p>
    <w:p w14:paraId="1806DDB6">
      <w:pPr>
        <w:widowControl/>
        <w:snapToGrid w:val="0"/>
        <w:spacing w:before="100" w:beforeAutospacing="1" w:after="100" w:afterAutospacing="1" w:line="300" w:lineRule="auto"/>
        <w:rPr>
          <w:rFonts w:ascii="Arial" w:hAnsi="Arial" w:eastAsia="宋体" w:cs="Arial"/>
          <w:kern w:val="0"/>
          <w:sz w:val="24"/>
          <w:szCs w:val="24"/>
        </w:rPr>
      </w:pPr>
      <w:r>
        <w:rPr>
          <w:rFonts w:ascii="Arial" w:hAnsi="Arial" w:eastAsia="宋体" w:cs="Arial"/>
          <w:kern w:val="0"/>
          <w:sz w:val="24"/>
          <w:szCs w:val="24"/>
        </w:rPr>
        <w:t>一些监测仪具有电子语音能力等功能以及用于组织/管理数据和葡萄糖历史的程序。此外，许多型号具有允许存储和调用试验结果的记忆芯片。这些功能可能包括：</w:t>
      </w:r>
    </w:p>
    <w:p w14:paraId="481F4784">
      <w:pPr>
        <w:widowControl/>
        <w:numPr>
          <w:ilvl w:val="0"/>
          <w:numId w:val="2"/>
        </w:numPr>
        <w:tabs>
          <w:tab w:val="clear" w:pos="720"/>
        </w:tabs>
        <w:snapToGrid w:val="0"/>
        <w:spacing w:before="100" w:beforeAutospacing="1" w:after="100" w:afterAutospacing="1" w:line="300" w:lineRule="auto"/>
        <w:ind w:left="867" w:leftChars="206" w:hanging="434" w:hangingChars="181"/>
        <w:rPr>
          <w:rFonts w:ascii="Arial" w:hAnsi="Arial" w:eastAsia="宋体" w:cs="Arial"/>
          <w:kern w:val="0"/>
          <w:sz w:val="24"/>
          <w:szCs w:val="24"/>
        </w:rPr>
      </w:pPr>
      <w:r>
        <w:rPr>
          <w:rFonts w:ascii="Arial" w:hAnsi="Arial" w:eastAsia="宋体" w:cs="Arial"/>
          <w:kern w:val="0"/>
          <w:sz w:val="24"/>
          <w:szCs w:val="24"/>
        </w:rPr>
        <w:t>用于显示血糖值的日间参考的实时时钟。</w:t>
      </w:r>
    </w:p>
    <w:p w14:paraId="32B25017">
      <w:pPr>
        <w:widowControl/>
        <w:numPr>
          <w:ilvl w:val="0"/>
          <w:numId w:val="2"/>
        </w:numPr>
        <w:tabs>
          <w:tab w:val="clear" w:pos="720"/>
        </w:tabs>
        <w:snapToGrid w:val="0"/>
        <w:spacing w:before="100" w:beforeAutospacing="1" w:after="100" w:afterAutospacing="1" w:line="300" w:lineRule="auto"/>
        <w:ind w:left="867" w:leftChars="206" w:hanging="434" w:hangingChars="181"/>
        <w:rPr>
          <w:rFonts w:ascii="Arial" w:hAnsi="Arial" w:eastAsia="宋体" w:cs="Arial"/>
          <w:kern w:val="0"/>
          <w:sz w:val="24"/>
          <w:szCs w:val="24"/>
        </w:rPr>
      </w:pPr>
      <w:r>
        <w:rPr>
          <w:rFonts w:ascii="Arial" w:hAnsi="Arial" w:eastAsia="宋体" w:cs="Arial"/>
          <w:kern w:val="0"/>
          <w:sz w:val="24"/>
          <w:szCs w:val="24"/>
        </w:rPr>
        <w:t>用于显示结果的调用按钮（一次显示一个读数）。</w:t>
      </w:r>
    </w:p>
    <w:p w14:paraId="0FF5F1DB">
      <w:pPr>
        <w:widowControl/>
        <w:numPr>
          <w:ilvl w:val="0"/>
          <w:numId w:val="2"/>
        </w:numPr>
        <w:tabs>
          <w:tab w:val="clear" w:pos="720"/>
        </w:tabs>
        <w:snapToGrid w:val="0"/>
        <w:spacing w:before="100" w:beforeAutospacing="1" w:after="100" w:afterAutospacing="1" w:line="300" w:lineRule="auto"/>
        <w:ind w:left="867" w:leftChars="206" w:hanging="434" w:hangingChars="181"/>
        <w:rPr>
          <w:rFonts w:ascii="Arial" w:hAnsi="Arial" w:eastAsia="宋体" w:cs="Arial"/>
          <w:kern w:val="0"/>
          <w:sz w:val="24"/>
          <w:szCs w:val="24"/>
        </w:rPr>
      </w:pPr>
      <w:r>
        <w:rPr>
          <w:rFonts w:ascii="Arial" w:hAnsi="Arial" w:eastAsia="宋体" w:cs="Arial"/>
          <w:kern w:val="0"/>
          <w:sz w:val="24"/>
          <w:szCs w:val="24"/>
        </w:rPr>
        <w:t>事件标记按钮，用于识别特殊情况或从计算中删除结果。</w:t>
      </w:r>
    </w:p>
    <w:p w14:paraId="1AC3A2A7">
      <w:pPr>
        <w:widowControl/>
        <w:numPr>
          <w:ilvl w:val="0"/>
          <w:numId w:val="2"/>
        </w:numPr>
        <w:tabs>
          <w:tab w:val="clear" w:pos="720"/>
        </w:tabs>
        <w:snapToGrid w:val="0"/>
        <w:spacing w:before="100" w:beforeAutospacing="1" w:after="100" w:afterAutospacing="1" w:line="300" w:lineRule="auto"/>
        <w:ind w:left="867" w:leftChars="206" w:hanging="434" w:hangingChars="181"/>
        <w:rPr>
          <w:rFonts w:ascii="Arial" w:hAnsi="Arial" w:eastAsia="宋体" w:cs="Arial"/>
          <w:kern w:val="0"/>
          <w:sz w:val="24"/>
          <w:szCs w:val="24"/>
        </w:rPr>
      </w:pPr>
      <w:r>
        <w:rPr>
          <w:rFonts w:ascii="Arial" w:hAnsi="Arial" w:eastAsia="宋体" w:cs="Arial"/>
          <w:kern w:val="0"/>
          <w:sz w:val="24"/>
          <w:szCs w:val="24"/>
        </w:rPr>
        <w:t>充足内存，用于记录和显示100条或100条以上记录，如血葡萄糖值、日期和时间。</w:t>
      </w:r>
    </w:p>
    <w:p w14:paraId="122302A1">
      <w:pPr>
        <w:widowControl/>
        <w:numPr>
          <w:ilvl w:val="0"/>
          <w:numId w:val="2"/>
        </w:numPr>
        <w:tabs>
          <w:tab w:val="clear" w:pos="720"/>
        </w:tabs>
        <w:snapToGrid w:val="0"/>
        <w:spacing w:before="100" w:beforeAutospacing="1" w:after="100" w:afterAutospacing="1" w:line="300" w:lineRule="auto"/>
        <w:ind w:left="867" w:leftChars="206" w:hanging="434" w:hangingChars="181"/>
        <w:rPr>
          <w:rFonts w:ascii="Arial" w:hAnsi="Arial" w:eastAsia="宋体" w:cs="Arial"/>
          <w:kern w:val="0"/>
          <w:sz w:val="24"/>
          <w:szCs w:val="24"/>
        </w:rPr>
      </w:pPr>
      <w:r>
        <w:rPr>
          <w:rFonts w:ascii="Arial" w:hAnsi="Arial" w:eastAsia="宋体" w:cs="Arial"/>
          <w:kern w:val="0"/>
          <w:sz w:val="24"/>
          <w:szCs w:val="24"/>
        </w:rPr>
        <w:t>根据需要，将显示最近14天或14天以上的平均血糖值。</w:t>
      </w:r>
    </w:p>
    <w:p w14:paraId="59F3414F">
      <w:pPr>
        <w:widowControl/>
        <w:snapToGrid w:val="0"/>
        <w:spacing w:before="100" w:beforeAutospacing="1" w:after="100" w:afterAutospacing="1" w:line="300" w:lineRule="auto"/>
        <w:rPr>
          <w:rFonts w:ascii="Arial" w:hAnsi="Arial" w:eastAsia="宋体" w:cs="Arial"/>
          <w:kern w:val="0"/>
          <w:sz w:val="24"/>
          <w:szCs w:val="24"/>
        </w:rPr>
      </w:pPr>
      <w:r>
        <w:rPr>
          <w:rFonts w:ascii="Arial" w:hAnsi="Arial" w:eastAsia="宋体" w:cs="Arial"/>
          <w:kern w:val="0"/>
          <w:sz w:val="24"/>
          <w:szCs w:val="24"/>
        </w:rPr>
        <w:t>所有仪表均由电池供电，并使用固态电子器械。</w:t>
      </w:r>
      <w:r>
        <w:rPr>
          <w:rFonts w:ascii="Arial" w:hAnsi="Arial" w:eastAsia="宋体" w:cs="Arial"/>
          <w:kern w:val="0"/>
          <w:sz w:val="24"/>
          <w:szCs w:val="24"/>
          <w:vertAlign w:val="superscript"/>
        </w:rPr>
        <w:t>5</w:t>
      </w:r>
      <w:r>
        <w:rPr>
          <w:rFonts w:ascii="Arial" w:hAnsi="Arial" w:eastAsia="宋体" w:cs="Arial"/>
          <w:kern w:val="0"/>
          <w:sz w:val="24"/>
          <w:szCs w:val="24"/>
        </w:rPr>
        <w:t>有效浓度范围取决于系统类型，但通常也涉及临床相关范围。尺寸、形状和校准技术因制造商而异。有些无需计时或擦拭，并经过工厂校准。大多数监视系统使用检查条来定期评估监测仪的光学和电气部件。大多数检测仪制造商具有葡萄糖控制方案，并将葡萄糖值规定在特定范围内，该控制方案必须周期性地运行来检查试验条和显示器的运行状态以及操作员技术。然而，其不监测收集程序的质量或血液是否已正确施加于试验条。</w:t>
      </w:r>
    </w:p>
    <w:p w14:paraId="40137351">
      <w:pPr>
        <w:widowControl/>
        <w:snapToGrid w:val="0"/>
        <w:spacing w:before="100" w:beforeAutospacing="1" w:after="100" w:afterAutospacing="1" w:line="300" w:lineRule="auto"/>
        <w:rPr>
          <w:rFonts w:ascii="Arial" w:hAnsi="Arial" w:eastAsia="宋体" w:cs="Arial"/>
          <w:kern w:val="0"/>
          <w:sz w:val="24"/>
          <w:szCs w:val="24"/>
        </w:rPr>
      </w:pPr>
    </w:p>
    <w:p w14:paraId="61045ADB">
      <w:pPr>
        <w:widowControl/>
        <w:snapToGrid w:val="0"/>
        <w:spacing w:before="100" w:beforeAutospacing="1" w:after="100" w:afterAutospacing="1" w:line="300" w:lineRule="auto"/>
        <w:rPr>
          <w:rFonts w:ascii="Arial" w:hAnsi="Arial" w:eastAsia="宋体" w:cs="Arial"/>
          <w:kern w:val="0"/>
          <w:sz w:val="24"/>
          <w:szCs w:val="24"/>
        </w:rPr>
      </w:pPr>
    </w:p>
    <w:p w14:paraId="5FD32EA9">
      <w:pPr>
        <w:widowControl/>
        <w:snapToGrid w:val="0"/>
        <w:spacing w:before="100" w:beforeAutospacing="1" w:after="100" w:afterAutospacing="1" w:line="300" w:lineRule="auto"/>
        <w:rPr>
          <w:rFonts w:ascii="Arial" w:hAnsi="Arial" w:eastAsia="宋体" w:cs="Arial"/>
          <w:kern w:val="0"/>
          <w:sz w:val="24"/>
          <w:szCs w:val="24"/>
        </w:rPr>
      </w:pPr>
    </w:p>
    <w:p w14:paraId="6196278F">
      <w:pPr>
        <w:widowControl/>
        <w:snapToGrid w:val="0"/>
        <w:spacing w:before="100" w:beforeAutospacing="1" w:after="100" w:afterAutospacing="1" w:line="300" w:lineRule="auto"/>
        <w:rPr>
          <w:rFonts w:ascii="Arial" w:hAnsi="Arial" w:eastAsia="宋体" w:cs="Arial"/>
          <w:kern w:val="0"/>
          <w:sz w:val="24"/>
          <w:szCs w:val="24"/>
        </w:rPr>
      </w:pPr>
    </w:p>
    <w:p w14:paraId="726232EF">
      <w:pPr>
        <w:widowControl/>
        <w:snapToGrid w:val="0"/>
        <w:spacing w:before="100" w:beforeAutospacing="1" w:after="100" w:afterAutospacing="1" w:line="300" w:lineRule="auto"/>
        <w:rPr>
          <w:rFonts w:ascii="Arial" w:hAnsi="Arial" w:eastAsia="宋体" w:cs="Arial"/>
          <w:kern w:val="0"/>
          <w:sz w:val="24"/>
          <w:szCs w:val="24"/>
        </w:rPr>
      </w:pPr>
      <w:r>
        <w:rPr>
          <w:rFonts w:ascii="Arial" w:hAnsi="Arial" w:eastAsia="宋体" w:cs="Arial"/>
          <w:kern w:val="0"/>
          <w:sz w:val="24"/>
          <w:szCs w:val="24"/>
        </w:rPr>
        <w:t>无需从用户抽取血液的吸收光谱法血糖监测技术正在开发当中。某一监测仪仅可用于研究使用，是一种无创性监测仪，其可测量近红外光在体内的吸收率来确定血糖浓度。除了无需进行手指针刺、化学反应或定时和擦拭外，该程序允许进行瞬时和连续测量。可植入连续监测系统也正处于开发当中。</w:t>
      </w:r>
    </w:p>
    <w:p w14:paraId="217C0658">
      <w:pPr>
        <w:widowControl/>
        <w:snapToGrid w:val="0"/>
        <w:spacing w:before="100" w:beforeAutospacing="1" w:after="100" w:afterAutospacing="1" w:line="300" w:lineRule="auto"/>
        <w:outlineLvl w:val="3"/>
        <w:rPr>
          <w:rFonts w:ascii="Arial" w:hAnsi="Arial" w:eastAsia="宋体" w:cs="Arial"/>
          <w:b/>
          <w:bCs/>
          <w:kern w:val="0"/>
          <w:sz w:val="24"/>
          <w:szCs w:val="24"/>
        </w:rPr>
      </w:pPr>
      <w:r>
        <w:rPr>
          <w:rFonts w:ascii="Arial" w:hAnsi="Arial" w:eastAsia="宋体" w:cs="Arial"/>
          <w:b/>
          <w:bCs/>
          <w:kern w:val="0"/>
          <w:sz w:val="24"/>
          <w:szCs w:val="24"/>
        </w:rPr>
        <w:t>III. 人为因素研究</w:t>
      </w:r>
    </w:p>
    <w:p w14:paraId="603C7176">
      <w:pPr>
        <w:widowControl/>
        <w:snapToGrid w:val="0"/>
        <w:spacing w:before="100" w:beforeAutospacing="1" w:after="100" w:afterAutospacing="1" w:line="300" w:lineRule="auto"/>
        <w:rPr>
          <w:rFonts w:ascii="Arial" w:hAnsi="Arial" w:eastAsia="宋体" w:cs="Arial"/>
          <w:kern w:val="0"/>
          <w:sz w:val="24"/>
          <w:szCs w:val="24"/>
        </w:rPr>
      </w:pPr>
      <w:r>
        <w:rPr>
          <w:rFonts w:ascii="Arial" w:hAnsi="Arial" w:eastAsia="宋体" w:cs="Arial"/>
          <w:kern w:val="0"/>
          <w:sz w:val="24"/>
          <w:szCs w:val="24"/>
        </w:rPr>
        <w:t>自1984年以来，食品药品监督管理局（FDA）已收到许多与血糖仪问题有关的报告。这些问题中大部分归因于用户：（a）未正确维护仪表，（b）所有的技术或操作程序不当，或（c）没有遵循仪表使用说明。</w:t>
      </w:r>
    </w:p>
    <w:p w14:paraId="47A4E093">
      <w:pPr>
        <w:widowControl/>
        <w:snapToGrid w:val="0"/>
        <w:spacing w:before="100" w:beforeAutospacing="1" w:after="100" w:afterAutospacing="1" w:line="300" w:lineRule="auto"/>
        <w:rPr>
          <w:rFonts w:ascii="Arial" w:hAnsi="Arial" w:eastAsia="宋体" w:cs="Arial"/>
          <w:kern w:val="0"/>
          <w:sz w:val="24"/>
          <w:szCs w:val="24"/>
        </w:rPr>
      </w:pPr>
      <w:r>
        <w:rPr>
          <w:rFonts w:ascii="Arial" w:hAnsi="Arial" w:eastAsia="宋体" w:cs="Arial"/>
          <w:kern w:val="0"/>
          <w:sz w:val="24"/>
          <w:szCs w:val="24"/>
        </w:rPr>
        <w:t>须考虑的工效学因素包括仪表尺寸、显示屏尺寸、按钮位置和仪表提箱。这些因素有时在用户表现中起重要作用。例如，所显示的数字的高度可以为较为重要的考虑因素。人为因素设计考虑表明，对于所有视力缺陷均已得到矫正的糖尿病患者，5mm应该被视为有效使用仪表的最小可接受字符大小。</w:t>
      </w:r>
    </w:p>
    <w:p w14:paraId="3191C8D6">
      <w:pPr>
        <w:widowControl/>
        <w:snapToGrid w:val="0"/>
        <w:spacing w:before="100" w:beforeAutospacing="1" w:after="100" w:afterAutospacing="1" w:line="300" w:lineRule="auto"/>
        <w:rPr>
          <w:rFonts w:ascii="Arial" w:hAnsi="Arial" w:eastAsia="宋体" w:cs="Arial"/>
          <w:kern w:val="0"/>
          <w:sz w:val="24"/>
          <w:szCs w:val="24"/>
        </w:rPr>
      </w:pPr>
      <w:r>
        <w:rPr>
          <w:rFonts w:ascii="Arial" w:hAnsi="Arial" w:eastAsia="宋体" w:cs="Arial"/>
          <w:kern w:val="0"/>
          <w:sz w:val="24"/>
          <w:szCs w:val="24"/>
        </w:rPr>
        <w:t>人为因素考虑还表明，按钮数量的偏好范围位于一个至三个之间，其中，仅有一个按钮时，该按钮控制所有功能，有三个按钮时，每个按钮均控制不同功能。按钮的表面积必须足够大，使手指可轻易按压并施加必要的作用力而不会滑动。Grandjean（1982）推荐按钮直径应为12-15mm。表面还可以提供触觉提示来帮助用户正确定位他们的手指。这可以通过提供粗糙或带纹理的按钮表面或通过使其略微凹入来适合手指下侧的凸形来实现。</w:t>
      </w:r>
      <w:r>
        <w:rPr>
          <w:rFonts w:ascii="Arial" w:hAnsi="Arial" w:eastAsia="宋体" w:cs="Arial"/>
          <w:kern w:val="0"/>
          <w:sz w:val="24"/>
          <w:szCs w:val="24"/>
          <w:vertAlign w:val="superscript"/>
        </w:rPr>
        <w:t>6</w:t>
      </w:r>
    </w:p>
    <w:p w14:paraId="1E2EF65D">
      <w:pPr>
        <w:widowControl/>
        <w:snapToGrid w:val="0"/>
        <w:spacing w:before="100" w:beforeAutospacing="1" w:after="100" w:afterAutospacing="1" w:line="300" w:lineRule="auto"/>
        <w:rPr>
          <w:rFonts w:ascii="Arial" w:hAnsi="Arial" w:eastAsia="宋体" w:cs="Arial"/>
          <w:kern w:val="0"/>
          <w:sz w:val="24"/>
          <w:szCs w:val="24"/>
        </w:rPr>
      </w:pPr>
      <w:r>
        <w:rPr>
          <w:rFonts w:ascii="Arial" w:hAnsi="Arial" w:eastAsia="宋体" w:cs="Arial"/>
          <w:kern w:val="0"/>
          <w:sz w:val="24"/>
          <w:szCs w:val="24"/>
        </w:rPr>
        <w:t>最佳的仪表设计对于减少用户误差来说非常重要。应鼓励用户通过用户调查提供有关仪表设计的反馈。调查可以采用数字评级量表（1到5）。</w:t>
      </w:r>
    </w:p>
    <w:p w14:paraId="19AC8581">
      <w:pPr>
        <w:widowControl/>
        <w:snapToGrid w:val="0"/>
        <w:spacing w:before="100" w:beforeAutospacing="1" w:after="100" w:afterAutospacing="1" w:line="300" w:lineRule="auto"/>
        <w:rPr>
          <w:rFonts w:ascii="Arial" w:hAnsi="Arial" w:eastAsia="宋体" w:cs="Arial"/>
          <w:kern w:val="0"/>
          <w:sz w:val="24"/>
          <w:szCs w:val="24"/>
        </w:rPr>
      </w:pPr>
    </w:p>
    <w:p w14:paraId="0CCDEE0F">
      <w:pPr>
        <w:widowControl/>
        <w:snapToGrid w:val="0"/>
        <w:spacing w:before="100" w:beforeAutospacing="1" w:after="100" w:afterAutospacing="1" w:line="300" w:lineRule="auto"/>
        <w:rPr>
          <w:rFonts w:ascii="Arial" w:hAnsi="Arial" w:eastAsia="宋体" w:cs="Arial"/>
          <w:kern w:val="0"/>
          <w:sz w:val="24"/>
          <w:szCs w:val="24"/>
        </w:rPr>
      </w:pPr>
    </w:p>
    <w:p w14:paraId="57491D4F">
      <w:pPr>
        <w:widowControl/>
        <w:snapToGrid w:val="0"/>
        <w:spacing w:before="100" w:beforeAutospacing="1" w:after="100" w:afterAutospacing="1" w:line="300" w:lineRule="auto"/>
        <w:rPr>
          <w:rFonts w:ascii="Arial" w:hAnsi="Arial" w:eastAsia="宋体" w:cs="Arial"/>
          <w:kern w:val="0"/>
          <w:sz w:val="24"/>
          <w:szCs w:val="24"/>
        </w:rPr>
      </w:pPr>
    </w:p>
    <w:p w14:paraId="3288D34C">
      <w:pPr>
        <w:widowControl/>
        <w:snapToGrid w:val="0"/>
        <w:spacing w:before="100" w:beforeAutospacing="1" w:after="100" w:afterAutospacing="1" w:line="300" w:lineRule="auto"/>
        <w:rPr>
          <w:rFonts w:ascii="Arial" w:hAnsi="Arial" w:eastAsia="宋体" w:cs="Arial"/>
          <w:kern w:val="0"/>
          <w:sz w:val="24"/>
          <w:szCs w:val="24"/>
        </w:rPr>
      </w:pPr>
    </w:p>
    <w:p w14:paraId="2E51AC77">
      <w:pPr>
        <w:widowControl/>
        <w:snapToGrid w:val="0"/>
        <w:spacing w:before="100" w:beforeAutospacing="1" w:after="100" w:afterAutospacing="1" w:line="300" w:lineRule="auto"/>
        <w:rPr>
          <w:rFonts w:ascii="Arial" w:hAnsi="Arial" w:eastAsia="宋体" w:cs="Arial"/>
          <w:kern w:val="0"/>
          <w:sz w:val="24"/>
          <w:szCs w:val="24"/>
        </w:rPr>
      </w:pPr>
    </w:p>
    <w:p w14:paraId="04D9AB42">
      <w:pPr>
        <w:widowControl/>
        <w:snapToGrid w:val="0"/>
        <w:spacing w:before="100" w:beforeAutospacing="1" w:after="100" w:afterAutospacing="1" w:line="300" w:lineRule="auto"/>
        <w:rPr>
          <w:rFonts w:ascii="Arial" w:hAnsi="Arial" w:eastAsia="宋体" w:cs="Arial"/>
          <w:kern w:val="0"/>
          <w:sz w:val="24"/>
          <w:szCs w:val="24"/>
        </w:rPr>
      </w:pPr>
    </w:p>
    <w:p w14:paraId="4513B489">
      <w:pPr>
        <w:widowControl/>
        <w:snapToGrid w:val="0"/>
        <w:spacing w:before="100" w:beforeAutospacing="1" w:after="100" w:afterAutospacing="1" w:line="300" w:lineRule="auto"/>
        <w:rPr>
          <w:rFonts w:ascii="Arial" w:hAnsi="Arial" w:eastAsia="宋体" w:cs="Arial"/>
          <w:kern w:val="0"/>
          <w:sz w:val="24"/>
          <w:szCs w:val="24"/>
        </w:rPr>
      </w:pPr>
    </w:p>
    <w:p w14:paraId="79994679">
      <w:pPr>
        <w:widowControl/>
        <w:snapToGrid w:val="0"/>
        <w:spacing w:after="156" w:afterLines="50" w:line="300" w:lineRule="auto"/>
        <w:rPr>
          <w:rFonts w:ascii="Arial" w:hAnsi="Arial" w:eastAsia="宋体" w:cs="Arial"/>
          <w:kern w:val="0"/>
          <w:sz w:val="24"/>
          <w:szCs w:val="24"/>
        </w:rPr>
      </w:pPr>
      <w:r>
        <w:rPr>
          <w:rFonts w:ascii="Arial" w:hAnsi="Arial" w:eastAsia="宋体" w:cs="Arial"/>
          <w:kern w:val="0"/>
          <w:sz w:val="24"/>
          <w:szCs w:val="24"/>
        </w:rPr>
        <w:t>须针对工具考虑以下特性：</w:t>
      </w:r>
    </w:p>
    <w:p w14:paraId="5EA85CEE">
      <w:pPr>
        <w:widowControl/>
        <w:snapToGrid w:val="0"/>
        <w:spacing w:line="300" w:lineRule="auto"/>
        <w:rPr>
          <w:rFonts w:ascii="Arial" w:hAnsi="Arial" w:eastAsia="宋体" w:cs="Arial"/>
          <w:kern w:val="0"/>
          <w:sz w:val="24"/>
          <w:szCs w:val="24"/>
        </w:rPr>
      </w:pPr>
      <w:r>
        <w:rPr>
          <w:rFonts w:ascii="Arial" w:hAnsi="Arial" w:eastAsia="宋体" w:cs="Arial"/>
          <w:kern w:val="0"/>
          <w:sz w:val="24"/>
          <w:szCs w:val="24"/>
        </w:rPr>
        <w:t>外观</w:t>
      </w:r>
    </w:p>
    <w:p w14:paraId="5332F140">
      <w:pPr>
        <w:widowControl/>
        <w:snapToGrid w:val="0"/>
        <w:spacing w:line="300" w:lineRule="auto"/>
        <w:rPr>
          <w:rFonts w:ascii="Arial" w:hAnsi="Arial" w:eastAsia="宋体" w:cs="Arial"/>
          <w:kern w:val="0"/>
          <w:sz w:val="24"/>
          <w:szCs w:val="24"/>
        </w:rPr>
      </w:pPr>
      <w:r>
        <w:rPr>
          <w:rFonts w:ascii="Arial" w:hAnsi="Arial" w:eastAsia="宋体" w:cs="Arial"/>
          <w:kern w:val="0"/>
          <w:sz w:val="24"/>
          <w:szCs w:val="24"/>
        </w:rPr>
        <w:t>大小</w:t>
      </w:r>
    </w:p>
    <w:p w14:paraId="62DF2E85">
      <w:pPr>
        <w:widowControl/>
        <w:snapToGrid w:val="0"/>
        <w:spacing w:line="300" w:lineRule="auto"/>
        <w:rPr>
          <w:rFonts w:ascii="Arial" w:hAnsi="Arial" w:eastAsia="宋体" w:cs="Arial"/>
          <w:kern w:val="0"/>
          <w:sz w:val="24"/>
          <w:szCs w:val="24"/>
        </w:rPr>
      </w:pPr>
      <w:r>
        <w:rPr>
          <w:rFonts w:ascii="Arial" w:hAnsi="Arial" w:eastAsia="宋体" w:cs="Arial"/>
          <w:kern w:val="0"/>
          <w:sz w:val="24"/>
          <w:szCs w:val="24"/>
        </w:rPr>
        <w:t>颜色</w:t>
      </w:r>
    </w:p>
    <w:p w14:paraId="5C143400">
      <w:pPr>
        <w:widowControl/>
        <w:snapToGrid w:val="0"/>
        <w:spacing w:line="300" w:lineRule="auto"/>
        <w:rPr>
          <w:rFonts w:ascii="Arial" w:hAnsi="Arial" w:eastAsia="宋体" w:cs="Arial"/>
          <w:kern w:val="0"/>
          <w:sz w:val="24"/>
          <w:szCs w:val="24"/>
        </w:rPr>
      </w:pPr>
      <w:r>
        <w:rPr>
          <w:rFonts w:ascii="Arial" w:hAnsi="Arial" w:eastAsia="宋体" w:cs="Arial"/>
          <w:kern w:val="0"/>
          <w:sz w:val="24"/>
          <w:szCs w:val="24"/>
        </w:rPr>
        <w:t>按钮大小</w:t>
      </w:r>
    </w:p>
    <w:p w14:paraId="00011ABB">
      <w:pPr>
        <w:widowControl/>
        <w:snapToGrid w:val="0"/>
        <w:spacing w:line="300" w:lineRule="auto"/>
        <w:rPr>
          <w:rFonts w:ascii="Arial" w:hAnsi="Arial" w:eastAsia="宋体" w:cs="Arial"/>
          <w:kern w:val="0"/>
          <w:sz w:val="24"/>
          <w:szCs w:val="24"/>
        </w:rPr>
      </w:pPr>
      <w:r>
        <w:rPr>
          <w:rFonts w:ascii="Arial" w:hAnsi="Arial" w:eastAsia="宋体" w:cs="Arial"/>
          <w:kern w:val="0"/>
          <w:sz w:val="24"/>
          <w:szCs w:val="24"/>
        </w:rPr>
        <w:t>按钮颜色</w:t>
      </w:r>
    </w:p>
    <w:p w14:paraId="068B1B32">
      <w:pPr>
        <w:widowControl/>
        <w:snapToGrid w:val="0"/>
        <w:spacing w:line="300" w:lineRule="auto"/>
        <w:rPr>
          <w:rFonts w:ascii="Arial" w:hAnsi="Arial" w:eastAsia="宋体" w:cs="Arial"/>
          <w:kern w:val="0"/>
          <w:sz w:val="24"/>
          <w:szCs w:val="24"/>
        </w:rPr>
      </w:pPr>
      <w:r>
        <w:rPr>
          <w:rFonts w:ascii="Arial" w:hAnsi="Arial" w:eastAsia="宋体" w:cs="Arial"/>
          <w:kern w:val="0"/>
          <w:sz w:val="24"/>
          <w:szCs w:val="24"/>
        </w:rPr>
        <w:t>显示读数大小</w:t>
      </w:r>
    </w:p>
    <w:p w14:paraId="72D86BAF">
      <w:pPr>
        <w:widowControl/>
        <w:snapToGrid w:val="0"/>
        <w:spacing w:line="300" w:lineRule="auto"/>
        <w:rPr>
          <w:rFonts w:ascii="Arial" w:hAnsi="Arial" w:eastAsia="宋体" w:cs="Arial"/>
          <w:kern w:val="0"/>
          <w:sz w:val="24"/>
          <w:szCs w:val="24"/>
        </w:rPr>
      </w:pPr>
      <w:r>
        <w:rPr>
          <w:rFonts w:ascii="Arial" w:hAnsi="Arial" w:eastAsia="宋体" w:cs="Arial"/>
          <w:kern w:val="0"/>
          <w:sz w:val="24"/>
          <w:szCs w:val="24"/>
        </w:rPr>
        <w:t>程序错误和分析错误标记</w:t>
      </w:r>
    </w:p>
    <w:p w14:paraId="3831F356">
      <w:pPr>
        <w:widowControl/>
        <w:snapToGrid w:val="0"/>
        <w:spacing w:line="300" w:lineRule="auto"/>
        <w:rPr>
          <w:rFonts w:ascii="Arial" w:hAnsi="Arial" w:eastAsia="宋体" w:cs="Arial"/>
          <w:kern w:val="0"/>
          <w:sz w:val="24"/>
          <w:szCs w:val="24"/>
        </w:rPr>
      </w:pPr>
      <w:r>
        <w:rPr>
          <w:rFonts w:ascii="Arial" w:hAnsi="Arial" w:eastAsia="宋体" w:cs="Arial"/>
          <w:kern w:val="0"/>
          <w:sz w:val="24"/>
          <w:szCs w:val="24"/>
        </w:rPr>
        <w:t>读数可见性</w:t>
      </w:r>
    </w:p>
    <w:p w14:paraId="432E6182">
      <w:pPr>
        <w:widowControl/>
        <w:snapToGrid w:val="0"/>
        <w:spacing w:line="300" w:lineRule="auto"/>
        <w:rPr>
          <w:rFonts w:ascii="Arial" w:hAnsi="Arial" w:eastAsia="宋体" w:cs="Arial"/>
          <w:kern w:val="0"/>
          <w:sz w:val="24"/>
          <w:szCs w:val="24"/>
        </w:rPr>
      </w:pPr>
      <w:r>
        <w:rPr>
          <w:rFonts w:ascii="Arial" w:hAnsi="Arial" w:eastAsia="宋体" w:cs="Arial"/>
          <w:kern w:val="0"/>
          <w:sz w:val="24"/>
          <w:szCs w:val="24"/>
        </w:rPr>
        <w:t>反应可见度</w:t>
      </w:r>
    </w:p>
    <w:p w14:paraId="0A3B1072">
      <w:pPr>
        <w:widowControl/>
        <w:snapToGrid w:val="0"/>
        <w:spacing w:line="300" w:lineRule="auto"/>
        <w:rPr>
          <w:rFonts w:ascii="Arial" w:hAnsi="Arial" w:eastAsia="宋体" w:cs="Arial"/>
          <w:kern w:val="0"/>
          <w:sz w:val="24"/>
          <w:szCs w:val="24"/>
        </w:rPr>
      </w:pPr>
      <w:r>
        <w:rPr>
          <w:rFonts w:ascii="Arial" w:hAnsi="Arial" w:eastAsia="宋体" w:cs="Arial"/>
          <w:kern w:val="0"/>
          <w:sz w:val="24"/>
          <w:szCs w:val="24"/>
        </w:rPr>
        <w:t>反应启动程序</w:t>
      </w:r>
    </w:p>
    <w:p w14:paraId="2F0800DF">
      <w:pPr>
        <w:widowControl/>
        <w:snapToGrid w:val="0"/>
        <w:spacing w:line="300" w:lineRule="auto"/>
        <w:rPr>
          <w:rFonts w:ascii="Arial" w:hAnsi="Arial" w:eastAsia="宋体" w:cs="Arial"/>
          <w:kern w:val="0"/>
          <w:sz w:val="24"/>
          <w:szCs w:val="24"/>
        </w:rPr>
      </w:pPr>
      <w:r>
        <w:rPr>
          <w:rFonts w:ascii="Arial" w:hAnsi="Arial" w:eastAsia="宋体" w:cs="Arial"/>
          <w:kern w:val="0"/>
          <w:sz w:val="24"/>
          <w:szCs w:val="24"/>
        </w:rPr>
        <w:t>警告声</w:t>
      </w:r>
    </w:p>
    <w:p w14:paraId="20DDAB1E">
      <w:pPr>
        <w:widowControl/>
        <w:snapToGrid w:val="0"/>
        <w:spacing w:line="300" w:lineRule="auto"/>
        <w:rPr>
          <w:rFonts w:ascii="Arial" w:hAnsi="Arial" w:eastAsia="宋体" w:cs="Arial"/>
          <w:kern w:val="0"/>
          <w:sz w:val="24"/>
          <w:szCs w:val="24"/>
        </w:rPr>
      </w:pPr>
      <w:r>
        <w:rPr>
          <w:rFonts w:ascii="Arial" w:hAnsi="Arial" w:eastAsia="宋体" w:cs="Arial"/>
          <w:kern w:val="0"/>
          <w:sz w:val="24"/>
          <w:szCs w:val="24"/>
        </w:rPr>
        <w:t>易用性</w:t>
      </w:r>
    </w:p>
    <w:p w14:paraId="4ADD62FF">
      <w:pPr>
        <w:widowControl/>
        <w:snapToGrid w:val="0"/>
        <w:spacing w:line="300" w:lineRule="auto"/>
        <w:rPr>
          <w:rFonts w:ascii="Arial" w:hAnsi="Arial" w:eastAsia="宋体" w:cs="Arial"/>
          <w:kern w:val="0"/>
          <w:sz w:val="24"/>
          <w:szCs w:val="24"/>
        </w:rPr>
      </w:pPr>
      <w:r>
        <w:rPr>
          <w:rFonts w:ascii="Arial" w:hAnsi="Arial" w:eastAsia="宋体" w:cs="Arial"/>
          <w:kern w:val="0"/>
          <w:sz w:val="24"/>
          <w:szCs w:val="24"/>
        </w:rPr>
        <w:t>便利性</w:t>
      </w:r>
    </w:p>
    <w:p w14:paraId="6A8E4D02">
      <w:pPr>
        <w:widowControl/>
        <w:snapToGrid w:val="0"/>
        <w:spacing w:line="300" w:lineRule="auto"/>
        <w:rPr>
          <w:rFonts w:ascii="Arial" w:hAnsi="Arial" w:eastAsia="宋体" w:cs="Arial"/>
          <w:kern w:val="0"/>
          <w:sz w:val="24"/>
          <w:szCs w:val="24"/>
        </w:rPr>
      </w:pPr>
      <w:r>
        <w:rPr>
          <w:rFonts w:ascii="Arial" w:hAnsi="Arial" w:eastAsia="宋体" w:cs="Arial"/>
          <w:kern w:val="0"/>
          <w:sz w:val="24"/>
          <w:szCs w:val="24"/>
        </w:rPr>
        <w:t>易于清洁/维护</w:t>
      </w:r>
    </w:p>
    <w:p w14:paraId="5CAAA650">
      <w:pPr>
        <w:widowControl/>
        <w:snapToGrid w:val="0"/>
        <w:spacing w:line="300" w:lineRule="auto"/>
        <w:rPr>
          <w:rFonts w:ascii="Arial" w:hAnsi="Arial" w:eastAsia="宋体" w:cs="Arial"/>
          <w:kern w:val="0"/>
          <w:sz w:val="24"/>
          <w:szCs w:val="24"/>
        </w:rPr>
      </w:pPr>
      <w:r>
        <w:rPr>
          <w:rFonts w:ascii="Arial" w:hAnsi="Arial" w:eastAsia="宋体" w:cs="Arial"/>
          <w:kern w:val="0"/>
          <w:sz w:val="24"/>
          <w:szCs w:val="24"/>
        </w:rPr>
        <w:t>电池和更换</w:t>
      </w:r>
    </w:p>
    <w:p w14:paraId="200F5CE5">
      <w:pPr>
        <w:widowControl/>
        <w:snapToGrid w:val="0"/>
        <w:spacing w:line="300" w:lineRule="auto"/>
        <w:rPr>
          <w:rFonts w:ascii="Arial" w:hAnsi="Arial" w:eastAsia="宋体" w:cs="Arial"/>
          <w:kern w:val="0"/>
          <w:sz w:val="24"/>
          <w:szCs w:val="24"/>
        </w:rPr>
      </w:pPr>
      <w:r>
        <w:rPr>
          <w:rFonts w:ascii="Arial" w:hAnsi="Arial" w:eastAsia="宋体" w:cs="Arial"/>
          <w:kern w:val="0"/>
          <w:sz w:val="24"/>
          <w:szCs w:val="24"/>
        </w:rPr>
        <w:t>内存特性和使用</w:t>
      </w:r>
    </w:p>
    <w:p w14:paraId="38BA329F">
      <w:pPr>
        <w:widowControl/>
        <w:snapToGrid w:val="0"/>
        <w:spacing w:line="300" w:lineRule="auto"/>
        <w:rPr>
          <w:rFonts w:ascii="Arial" w:hAnsi="Arial" w:eastAsia="宋体" w:cs="Arial"/>
          <w:kern w:val="0"/>
          <w:sz w:val="24"/>
          <w:szCs w:val="24"/>
        </w:rPr>
      </w:pPr>
      <w:r>
        <w:rPr>
          <w:rFonts w:ascii="Arial" w:hAnsi="Arial" w:eastAsia="宋体" w:cs="Arial"/>
          <w:kern w:val="0"/>
          <w:sz w:val="24"/>
          <w:szCs w:val="24"/>
        </w:rPr>
        <w:t>提箱或存储箱</w:t>
      </w:r>
    </w:p>
    <w:p w14:paraId="14739E26">
      <w:pPr>
        <w:widowControl/>
        <w:snapToGrid w:val="0"/>
        <w:spacing w:line="300" w:lineRule="auto"/>
        <w:rPr>
          <w:rFonts w:ascii="Arial" w:hAnsi="Arial" w:eastAsia="宋体" w:cs="Arial"/>
          <w:kern w:val="0"/>
          <w:sz w:val="24"/>
          <w:szCs w:val="24"/>
        </w:rPr>
      </w:pPr>
      <w:r>
        <w:rPr>
          <w:rFonts w:ascii="Arial" w:hAnsi="Arial" w:eastAsia="宋体" w:cs="Arial"/>
          <w:kern w:val="0"/>
          <w:sz w:val="24"/>
          <w:szCs w:val="24"/>
        </w:rPr>
        <w:t>检查条和控件</w:t>
      </w:r>
    </w:p>
    <w:p w14:paraId="5042968F">
      <w:pPr>
        <w:widowControl/>
        <w:snapToGrid w:val="0"/>
        <w:spacing w:line="300" w:lineRule="auto"/>
        <w:rPr>
          <w:rFonts w:ascii="Arial" w:hAnsi="Arial" w:eastAsia="宋体" w:cs="Arial"/>
          <w:kern w:val="0"/>
          <w:sz w:val="24"/>
          <w:szCs w:val="24"/>
        </w:rPr>
      </w:pPr>
      <w:r>
        <w:rPr>
          <w:rFonts w:ascii="Arial" w:hAnsi="Arial" w:eastAsia="宋体" w:cs="Arial"/>
          <w:kern w:val="0"/>
          <w:sz w:val="24"/>
          <w:szCs w:val="24"/>
        </w:rPr>
        <w:t>方法快速参考卡</w:t>
      </w:r>
    </w:p>
    <w:p w14:paraId="19AE4927">
      <w:pPr>
        <w:widowControl/>
        <w:snapToGrid w:val="0"/>
        <w:spacing w:before="156" w:beforeLines="50" w:line="300" w:lineRule="auto"/>
        <w:rPr>
          <w:rFonts w:ascii="Arial" w:hAnsi="Arial" w:eastAsia="宋体" w:cs="Arial"/>
          <w:kern w:val="0"/>
          <w:sz w:val="24"/>
          <w:szCs w:val="24"/>
        </w:rPr>
      </w:pPr>
      <w:r>
        <w:rPr>
          <w:rFonts w:hint="eastAsia" w:ascii="Arial" w:hAnsi="Arial" w:eastAsia="宋体" w:cs="Arial"/>
          <w:kern w:val="0"/>
          <w:sz w:val="24"/>
          <w:szCs w:val="24"/>
        </w:rPr>
        <w:t>须针对</w:t>
      </w:r>
      <w:r>
        <w:rPr>
          <w:rFonts w:ascii="Arial" w:hAnsi="Arial" w:eastAsia="宋体" w:cs="Arial"/>
          <w:kern w:val="0"/>
          <w:sz w:val="24"/>
          <w:szCs w:val="24"/>
        </w:rPr>
        <w:t>试剂条考虑以下特性：</w:t>
      </w:r>
    </w:p>
    <w:p w14:paraId="5CBA9A4B">
      <w:pPr>
        <w:widowControl/>
        <w:snapToGrid w:val="0"/>
        <w:spacing w:line="300" w:lineRule="auto"/>
        <w:rPr>
          <w:rFonts w:ascii="Arial" w:hAnsi="Arial" w:eastAsia="宋体" w:cs="Arial"/>
          <w:kern w:val="0"/>
          <w:sz w:val="24"/>
          <w:szCs w:val="24"/>
        </w:rPr>
      </w:pPr>
      <w:r>
        <w:rPr>
          <w:rFonts w:ascii="Arial" w:hAnsi="Arial" w:eastAsia="宋体" w:cs="Arial"/>
          <w:kern w:val="0"/>
          <w:sz w:val="24"/>
          <w:szCs w:val="24"/>
        </w:rPr>
        <w:t>大小和形状</w:t>
      </w:r>
    </w:p>
    <w:p w14:paraId="3E935E15">
      <w:pPr>
        <w:widowControl/>
        <w:snapToGrid w:val="0"/>
        <w:spacing w:line="300" w:lineRule="auto"/>
        <w:rPr>
          <w:rFonts w:ascii="Arial" w:hAnsi="Arial" w:eastAsia="宋体" w:cs="Arial"/>
          <w:kern w:val="0"/>
          <w:sz w:val="24"/>
          <w:szCs w:val="24"/>
        </w:rPr>
      </w:pPr>
      <w:r>
        <w:rPr>
          <w:rFonts w:ascii="Arial" w:hAnsi="Arial" w:eastAsia="宋体" w:cs="Arial"/>
          <w:kern w:val="0"/>
          <w:sz w:val="24"/>
          <w:szCs w:val="24"/>
        </w:rPr>
        <w:t>外观</w:t>
      </w:r>
    </w:p>
    <w:p w14:paraId="1104503D">
      <w:pPr>
        <w:widowControl/>
        <w:snapToGrid w:val="0"/>
        <w:spacing w:line="300" w:lineRule="auto"/>
        <w:rPr>
          <w:rFonts w:ascii="Arial" w:hAnsi="Arial" w:eastAsia="宋体" w:cs="Arial"/>
          <w:kern w:val="0"/>
          <w:sz w:val="24"/>
          <w:szCs w:val="24"/>
        </w:rPr>
      </w:pPr>
      <w:r>
        <w:rPr>
          <w:rFonts w:ascii="Arial" w:hAnsi="Arial" w:eastAsia="宋体" w:cs="Arial"/>
          <w:kern w:val="0"/>
          <w:sz w:val="24"/>
          <w:szCs w:val="24"/>
        </w:rPr>
        <w:t>衬垫外观</w:t>
      </w:r>
    </w:p>
    <w:p w14:paraId="60446063">
      <w:pPr>
        <w:widowControl/>
        <w:snapToGrid w:val="0"/>
        <w:spacing w:line="300" w:lineRule="auto"/>
        <w:rPr>
          <w:rFonts w:ascii="Arial" w:hAnsi="Arial" w:eastAsia="宋体" w:cs="Arial"/>
          <w:kern w:val="0"/>
          <w:sz w:val="24"/>
          <w:szCs w:val="24"/>
        </w:rPr>
      </w:pPr>
      <w:r>
        <w:rPr>
          <w:rFonts w:ascii="Arial" w:hAnsi="Arial" w:eastAsia="宋体" w:cs="Arial"/>
          <w:kern w:val="0"/>
          <w:sz w:val="24"/>
          <w:szCs w:val="24"/>
        </w:rPr>
        <w:t>所需血量</w:t>
      </w:r>
    </w:p>
    <w:p w14:paraId="70E71D55">
      <w:pPr>
        <w:widowControl/>
        <w:snapToGrid w:val="0"/>
        <w:spacing w:line="300" w:lineRule="auto"/>
        <w:rPr>
          <w:rFonts w:ascii="Arial" w:hAnsi="Arial" w:eastAsia="宋体" w:cs="Arial"/>
          <w:kern w:val="0"/>
          <w:sz w:val="24"/>
          <w:szCs w:val="24"/>
        </w:rPr>
      </w:pPr>
      <w:r>
        <w:rPr>
          <w:rFonts w:ascii="Arial" w:hAnsi="Arial" w:eastAsia="宋体" w:cs="Arial"/>
          <w:kern w:val="0"/>
          <w:sz w:val="24"/>
          <w:szCs w:val="24"/>
        </w:rPr>
        <w:t>易于应用</w:t>
      </w:r>
    </w:p>
    <w:p w14:paraId="20665A29">
      <w:pPr>
        <w:widowControl/>
        <w:snapToGrid w:val="0"/>
        <w:spacing w:line="300" w:lineRule="auto"/>
        <w:rPr>
          <w:rFonts w:ascii="Arial" w:hAnsi="Arial" w:eastAsia="宋体" w:cs="Arial"/>
          <w:kern w:val="0"/>
          <w:sz w:val="24"/>
          <w:szCs w:val="24"/>
        </w:rPr>
      </w:pPr>
      <w:r>
        <w:rPr>
          <w:rFonts w:ascii="Arial" w:hAnsi="Arial" w:eastAsia="宋体" w:cs="Arial"/>
          <w:kern w:val="0"/>
          <w:sz w:val="24"/>
          <w:szCs w:val="24"/>
        </w:rPr>
        <w:t>擦拭方法</w:t>
      </w:r>
    </w:p>
    <w:p w14:paraId="010DB508">
      <w:pPr>
        <w:widowControl/>
        <w:snapToGrid w:val="0"/>
        <w:spacing w:line="300" w:lineRule="auto"/>
        <w:rPr>
          <w:rFonts w:ascii="Arial" w:hAnsi="Arial" w:eastAsia="宋体" w:cs="Arial"/>
          <w:kern w:val="0"/>
          <w:sz w:val="24"/>
          <w:szCs w:val="24"/>
        </w:rPr>
      </w:pPr>
      <w:r>
        <w:rPr>
          <w:rFonts w:ascii="Arial" w:hAnsi="Arial" w:eastAsia="宋体" w:cs="Arial"/>
          <w:kern w:val="0"/>
          <w:sz w:val="24"/>
          <w:szCs w:val="24"/>
        </w:rPr>
        <w:t>擦拭材料</w:t>
      </w:r>
    </w:p>
    <w:p w14:paraId="4E743D11">
      <w:pPr>
        <w:widowControl/>
        <w:snapToGrid w:val="0"/>
        <w:spacing w:line="300" w:lineRule="auto"/>
        <w:rPr>
          <w:rFonts w:ascii="Arial" w:hAnsi="Arial" w:eastAsia="宋体" w:cs="Arial"/>
          <w:kern w:val="0"/>
          <w:sz w:val="24"/>
          <w:szCs w:val="24"/>
        </w:rPr>
      </w:pPr>
      <w:r>
        <w:rPr>
          <w:rFonts w:ascii="Arial" w:hAnsi="Arial" w:eastAsia="宋体" w:cs="Arial"/>
          <w:kern w:val="0"/>
          <w:sz w:val="24"/>
          <w:szCs w:val="24"/>
        </w:rPr>
        <w:t>警告声的有用性</w:t>
      </w:r>
    </w:p>
    <w:p w14:paraId="0E1B4EED">
      <w:pPr>
        <w:widowControl/>
        <w:snapToGrid w:val="0"/>
        <w:spacing w:line="300" w:lineRule="auto"/>
        <w:rPr>
          <w:rFonts w:ascii="Arial" w:hAnsi="Arial" w:eastAsia="宋体" w:cs="Arial"/>
          <w:kern w:val="0"/>
          <w:sz w:val="24"/>
          <w:szCs w:val="24"/>
        </w:rPr>
      </w:pPr>
      <w:r>
        <w:rPr>
          <w:rFonts w:ascii="Arial" w:hAnsi="Arial" w:eastAsia="宋体" w:cs="Arial"/>
          <w:kern w:val="0"/>
          <w:sz w:val="24"/>
          <w:szCs w:val="24"/>
        </w:rPr>
        <w:t>衬垫反应颜色</w:t>
      </w:r>
    </w:p>
    <w:p w14:paraId="0A5CBD7F">
      <w:pPr>
        <w:widowControl/>
        <w:snapToGrid w:val="0"/>
        <w:spacing w:line="300" w:lineRule="auto"/>
        <w:rPr>
          <w:rFonts w:ascii="Arial" w:hAnsi="Arial" w:eastAsia="宋体" w:cs="Arial"/>
          <w:kern w:val="0"/>
          <w:sz w:val="24"/>
          <w:szCs w:val="24"/>
        </w:rPr>
      </w:pPr>
      <w:r>
        <w:rPr>
          <w:rFonts w:ascii="Arial" w:hAnsi="Arial" w:eastAsia="宋体" w:cs="Arial"/>
          <w:kern w:val="0"/>
          <w:sz w:val="24"/>
          <w:szCs w:val="24"/>
        </w:rPr>
        <w:t>反应颜色的均匀性</w:t>
      </w:r>
    </w:p>
    <w:p w14:paraId="23725409">
      <w:pPr>
        <w:widowControl/>
        <w:snapToGrid w:val="0"/>
        <w:spacing w:line="300" w:lineRule="auto"/>
        <w:rPr>
          <w:rFonts w:ascii="Arial" w:hAnsi="Arial" w:eastAsia="宋体" w:cs="Arial"/>
          <w:kern w:val="0"/>
          <w:sz w:val="24"/>
          <w:szCs w:val="24"/>
        </w:rPr>
      </w:pPr>
      <w:r>
        <w:rPr>
          <w:rFonts w:ascii="Arial" w:hAnsi="Arial" w:eastAsia="宋体" w:cs="Arial"/>
          <w:kern w:val="0"/>
          <w:sz w:val="24"/>
          <w:szCs w:val="24"/>
        </w:rPr>
        <w:t>定时</w:t>
      </w:r>
    </w:p>
    <w:p w14:paraId="373494E4">
      <w:pPr>
        <w:widowControl/>
        <w:snapToGrid w:val="0"/>
        <w:spacing w:line="300" w:lineRule="auto"/>
        <w:rPr>
          <w:rFonts w:ascii="Arial" w:hAnsi="Arial" w:eastAsia="宋体" w:cs="Arial"/>
          <w:kern w:val="0"/>
          <w:sz w:val="24"/>
          <w:szCs w:val="24"/>
        </w:rPr>
      </w:pPr>
      <w:r>
        <w:rPr>
          <w:rFonts w:ascii="Arial" w:hAnsi="Arial" w:eastAsia="宋体" w:cs="Arial"/>
          <w:kern w:val="0"/>
          <w:sz w:val="24"/>
          <w:szCs w:val="24"/>
        </w:rPr>
        <w:t>用于确认/检查仪表性能的目视读取比色图表</w:t>
      </w:r>
    </w:p>
    <w:p w14:paraId="50E89AB7">
      <w:pPr>
        <w:widowControl/>
        <w:snapToGrid w:val="0"/>
        <w:spacing w:line="300" w:lineRule="auto"/>
        <w:rPr>
          <w:rFonts w:ascii="Arial" w:hAnsi="Arial" w:eastAsia="宋体" w:cs="Arial"/>
          <w:kern w:val="0"/>
          <w:sz w:val="24"/>
          <w:szCs w:val="24"/>
        </w:rPr>
      </w:pPr>
      <w:r>
        <w:rPr>
          <w:rFonts w:ascii="Arial" w:hAnsi="Arial" w:eastAsia="宋体" w:cs="Arial"/>
          <w:kern w:val="0"/>
          <w:sz w:val="24"/>
          <w:szCs w:val="24"/>
        </w:rPr>
        <w:t>存储、处理和稳定性</w:t>
      </w:r>
    </w:p>
    <w:p w14:paraId="03124FFE">
      <w:pPr>
        <w:widowControl/>
        <w:snapToGrid w:val="0"/>
        <w:spacing w:before="100" w:beforeAutospacing="1" w:after="100" w:afterAutospacing="1" w:line="300" w:lineRule="auto"/>
        <w:rPr>
          <w:rFonts w:ascii="Arial" w:hAnsi="Arial" w:eastAsia="宋体" w:cs="Arial"/>
          <w:kern w:val="0"/>
          <w:sz w:val="24"/>
          <w:szCs w:val="24"/>
        </w:rPr>
      </w:pPr>
      <w:r>
        <w:rPr>
          <w:rFonts w:ascii="Arial" w:hAnsi="Arial" w:eastAsia="宋体" w:cs="Arial"/>
          <w:kern w:val="0"/>
          <w:sz w:val="24"/>
          <w:szCs w:val="24"/>
        </w:rPr>
        <w:t>执行一项由FDA资助的人为因素研究，评估执行正确读取所需的操作顺序。血液采样为独立于仪表类型但是高度依赖于试纸化学技术的功能，但一般认为，其很有可能出现误差。在该操作中，用户必须抽取血液并将其放于试纸上。</w:t>
      </w:r>
      <w:r>
        <w:rPr>
          <w:rFonts w:ascii="Arial" w:hAnsi="Arial" w:eastAsia="宋体" w:cs="Arial"/>
          <w:kern w:val="0"/>
          <w:sz w:val="24"/>
          <w:szCs w:val="24"/>
          <w:vertAlign w:val="superscript"/>
        </w:rPr>
        <w:t>6</w:t>
      </w:r>
    </w:p>
    <w:p w14:paraId="67B2E4CD">
      <w:pPr>
        <w:widowControl/>
        <w:snapToGrid w:val="0"/>
        <w:spacing w:before="100" w:beforeAutospacing="1" w:after="100" w:afterAutospacing="1" w:line="300" w:lineRule="auto"/>
        <w:rPr>
          <w:rFonts w:ascii="Arial" w:hAnsi="Arial" w:eastAsia="宋体" w:cs="Arial"/>
          <w:kern w:val="0"/>
          <w:sz w:val="24"/>
          <w:szCs w:val="24"/>
        </w:rPr>
      </w:pPr>
      <w:r>
        <w:rPr>
          <w:rFonts w:ascii="Arial" w:hAnsi="Arial" w:eastAsia="宋体" w:cs="Arial"/>
          <w:kern w:val="0"/>
          <w:sz w:val="24"/>
          <w:szCs w:val="24"/>
        </w:rPr>
        <w:t>第二个最容易出错的功能是试验本身。在这里，已确定的主要误差源为定时、擦拭或印迹以及将试纸插入仪表。该功能中可能发生的大多数错误均会影响仪表读数，并可能无法被用户检测到。这些程序通常特定于被测试的仪表类型。</w:t>
      </w:r>
    </w:p>
    <w:p w14:paraId="01F83F2B">
      <w:pPr>
        <w:widowControl/>
        <w:snapToGrid w:val="0"/>
        <w:spacing w:before="100" w:beforeAutospacing="1" w:after="100" w:afterAutospacing="1" w:line="300" w:lineRule="auto"/>
        <w:outlineLvl w:val="3"/>
        <w:rPr>
          <w:rFonts w:ascii="Arial" w:hAnsi="Arial" w:eastAsia="宋体" w:cs="Arial"/>
          <w:b/>
          <w:bCs/>
          <w:kern w:val="0"/>
          <w:sz w:val="24"/>
          <w:szCs w:val="24"/>
        </w:rPr>
      </w:pPr>
      <w:r>
        <w:rPr>
          <w:rFonts w:ascii="Arial" w:hAnsi="Arial" w:eastAsia="宋体" w:cs="Arial"/>
          <w:b/>
          <w:bCs/>
          <w:kern w:val="0"/>
          <w:sz w:val="24"/>
          <w:szCs w:val="24"/>
        </w:rPr>
        <w:t>IV. 用于获得监管许可的性能考虑</w:t>
      </w:r>
    </w:p>
    <w:p w14:paraId="66C2E761">
      <w:pPr>
        <w:widowControl/>
        <w:snapToGrid w:val="0"/>
        <w:spacing w:before="100" w:beforeAutospacing="1" w:after="100" w:afterAutospacing="1" w:line="300" w:lineRule="auto"/>
        <w:rPr>
          <w:rFonts w:ascii="Arial" w:hAnsi="Arial" w:eastAsia="宋体" w:cs="Arial"/>
          <w:kern w:val="0"/>
          <w:sz w:val="24"/>
          <w:szCs w:val="24"/>
        </w:rPr>
      </w:pPr>
      <w:r>
        <w:rPr>
          <w:rFonts w:ascii="Arial" w:hAnsi="Arial" w:eastAsia="宋体" w:cs="Arial"/>
          <w:kern w:val="0"/>
          <w:sz w:val="24"/>
          <w:szCs w:val="24"/>
        </w:rPr>
        <w:t>用于对器械进行评估的适当研究包括精密度、线性、血细胞比容效应、干扰和与实验室葡萄糖方法的对比。鼓励制造商对温度、湿度和高度等环境因素的影响进行研究。</w:t>
      </w:r>
    </w:p>
    <w:p w14:paraId="35F6150C">
      <w:pPr>
        <w:widowControl/>
        <w:snapToGrid w:val="0"/>
        <w:spacing w:before="100" w:beforeAutospacing="1" w:after="100" w:afterAutospacing="1" w:line="300" w:lineRule="auto"/>
        <w:outlineLvl w:val="4"/>
        <w:rPr>
          <w:rFonts w:ascii="Arial" w:hAnsi="Arial" w:eastAsia="宋体" w:cs="Arial"/>
          <w:b/>
          <w:bCs/>
          <w:kern w:val="0"/>
          <w:sz w:val="20"/>
          <w:szCs w:val="20"/>
        </w:rPr>
      </w:pPr>
      <w:r>
        <w:rPr>
          <w:rFonts w:ascii="Arial" w:hAnsi="Arial" w:eastAsia="宋体" w:cs="Arial"/>
          <w:b/>
          <w:bCs/>
          <w:kern w:val="0"/>
          <w:sz w:val="20"/>
          <w:szCs w:val="20"/>
        </w:rPr>
        <w:t>A. 精密度</w:t>
      </w:r>
    </w:p>
    <w:p w14:paraId="7BD5CE11">
      <w:pPr>
        <w:widowControl/>
        <w:snapToGrid w:val="0"/>
        <w:spacing w:before="100" w:beforeAutospacing="1" w:after="100" w:afterAutospacing="1" w:line="300" w:lineRule="auto"/>
        <w:rPr>
          <w:rFonts w:ascii="Arial" w:hAnsi="Arial" w:eastAsia="宋体" w:cs="Arial"/>
          <w:spacing w:val="-2"/>
          <w:kern w:val="0"/>
          <w:sz w:val="24"/>
          <w:szCs w:val="24"/>
        </w:rPr>
      </w:pPr>
      <w:r>
        <w:rPr>
          <w:rFonts w:ascii="Arial" w:hAnsi="Arial" w:eastAsia="宋体" w:cs="Arial"/>
          <w:spacing w:val="-2"/>
          <w:kern w:val="0"/>
          <w:sz w:val="24"/>
          <w:szCs w:val="24"/>
        </w:rPr>
        <w:t xml:space="preserve">血糖仪通常设计用于获得最佳性能，并采用特定基质（通常为毛细血管血或静脉血）。因此，应使用适当的基质材料进行精密度研究。需牢记，使用静脉血进行研究时，许多BGM提供的葡萄糖结果具有精密度但正确性欠佳。这尤其适用于生物传感器，其极度依赖于毛细血管血氧水平，并且生物传感器中富含氧气时，使用静脉血进行的研究通常具有较高结果值（在某些情况下，+ 20％-30％），从而使得静脉血（具有降低50-60％的pO </w:t>
      </w:r>
      <w:r>
        <w:rPr>
          <w:rFonts w:ascii="Arial" w:hAnsi="Arial" w:eastAsia="宋体" w:cs="Arial"/>
          <w:spacing w:val="-2"/>
          <w:kern w:val="0"/>
          <w:sz w:val="24"/>
          <w:szCs w:val="24"/>
          <w:vertAlign w:val="subscript"/>
        </w:rPr>
        <w:t>2</w:t>
      </w:r>
      <w:r>
        <w:rPr>
          <w:rFonts w:ascii="Arial" w:hAnsi="Arial" w:eastAsia="宋体" w:cs="Arial"/>
          <w:spacing w:val="-2"/>
          <w:kern w:val="0"/>
          <w:sz w:val="24"/>
          <w:szCs w:val="24"/>
        </w:rPr>
        <w:t>）因氧含量更低而显示更高的反应速率。</w:t>
      </w:r>
    </w:p>
    <w:p w14:paraId="11B8D9FC">
      <w:pPr>
        <w:widowControl/>
        <w:snapToGrid w:val="0"/>
        <w:spacing w:before="100" w:beforeAutospacing="1" w:after="100" w:afterAutospacing="1" w:line="300" w:lineRule="auto"/>
        <w:rPr>
          <w:rFonts w:ascii="Arial" w:hAnsi="Arial" w:eastAsia="宋体" w:cs="Arial"/>
          <w:kern w:val="0"/>
          <w:sz w:val="24"/>
          <w:szCs w:val="24"/>
        </w:rPr>
      </w:pPr>
      <w:r>
        <w:rPr>
          <w:rFonts w:ascii="Arial" w:hAnsi="Arial" w:eastAsia="宋体" w:cs="Arial"/>
          <w:kern w:val="0"/>
          <w:sz w:val="24"/>
          <w:szCs w:val="24"/>
        </w:rPr>
        <w:t>FDA建议在评估和说明标签精确度声明时应遵循NCCLS精密度指南EP5-T2或等效性指南。此外，建议根据添加马来酰亚胺的加标样本制备以下葡萄糖浓度，防止糖酵解。使用水性对照溶液时，应考虑制备类似浓度。</w:t>
      </w:r>
    </w:p>
    <w:p w14:paraId="37F7CCBA">
      <w:pPr>
        <w:widowControl/>
        <w:numPr>
          <w:ilvl w:val="0"/>
          <w:numId w:val="3"/>
        </w:numPr>
        <w:tabs>
          <w:tab w:val="clear" w:pos="720"/>
        </w:tabs>
        <w:snapToGrid w:val="0"/>
        <w:spacing w:before="100" w:beforeAutospacing="1" w:after="100" w:afterAutospacing="1" w:line="300" w:lineRule="auto"/>
        <w:ind w:left="0" w:firstLine="321" w:firstLineChars="134"/>
        <w:rPr>
          <w:rFonts w:ascii="Arial" w:hAnsi="Arial" w:eastAsia="宋体" w:cs="Arial"/>
          <w:kern w:val="0"/>
          <w:sz w:val="24"/>
          <w:szCs w:val="24"/>
        </w:rPr>
      </w:pPr>
      <w:r>
        <w:rPr>
          <w:rFonts w:ascii="Arial" w:hAnsi="Arial" w:eastAsia="宋体" w:cs="Arial"/>
          <w:kern w:val="0"/>
          <w:sz w:val="24"/>
          <w:szCs w:val="24"/>
        </w:rPr>
        <w:t xml:space="preserve">30-50 mg/dl </w:t>
      </w:r>
    </w:p>
    <w:p w14:paraId="38FD634B">
      <w:pPr>
        <w:widowControl/>
        <w:numPr>
          <w:ilvl w:val="0"/>
          <w:numId w:val="3"/>
        </w:numPr>
        <w:tabs>
          <w:tab w:val="clear" w:pos="720"/>
        </w:tabs>
        <w:snapToGrid w:val="0"/>
        <w:spacing w:before="100" w:beforeAutospacing="1" w:after="100" w:afterAutospacing="1" w:line="300" w:lineRule="auto"/>
        <w:ind w:left="0" w:firstLine="321" w:firstLineChars="134"/>
        <w:rPr>
          <w:rFonts w:ascii="Arial" w:hAnsi="Arial" w:eastAsia="宋体" w:cs="Arial"/>
          <w:kern w:val="0"/>
          <w:sz w:val="24"/>
          <w:szCs w:val="24"/>
        </w:rPr>
      </w:pPr>
      <w:r>
        <w:rPr>
          <w:rFonts w:ascii="Arial" w:hAnsi="Arial" w:eastAsia="宋体" w:cs="Arial"/>
          <w:kern w:val="0"/>
          <w:sz w:val="24"/>
          <w:szCs w:val="24"/>
        </w:rPr>
        <w:t xml:space="preserve">51-110 mg/dl </w:t>
      </w:r>
    </w:p>
    <w:p w14:paraId="7EF6B487">
      <w:pPr>
        <w:widowControl/>
        <w:numPr>
          <w:ilvl w:val="0"/>
          <w:numId w:val="3"/>
        </w:numPr>
        <w:tabs>
          <w:tab w:val="clear" w:pos="720"/>
        </w:tabs>
        <w:snapToGrid w:val="0"/>
        <w:spacing w:before="100" w:beforeAutospacing="1" w:after="100" w:afterAutospacing="1" w:line="300" w:lineRule="auto"/>
        <w:ind w:left="0" w:firstLine="321" w:firstLineChars="134"/>
        <w:rPr>
          <w:rFonts w:ascii="Arial" w:hAnsi="Arial" w:eastAsia="宋体" w:cs="Arial"/>
          <w:kern w:val="0"/>
          <w:sz w:val="24"/>
          <w:szCs w:val="24"/>
        </w:rPr>
      </w:pPr>
      <w:r>
        <w:rPr>
          <w:rFonts w:ascii="Arial" w:hAnsi="Arial" w:eastAsia="宋体" w:cs="Arial"/>
          <w:kern w:val="0"/>
          <w:sz w:val="24"/>
          <w:szCs w:val="24"/>
        </w:rPr>
        <w:t xml:space="preserve">111-150 mg/dl </w:t>
      </w:r>
    </w:p>
    <w:p w14:paraId="5729B42F">
      <w:pPr>
        <w:widowControl/>
        <w:numPr>
          <w:ilvl w:val="0"/>
          <w:numId w:val="3"/>
        </w:numPr>
        <w:tabs>
          <w:tab w:val="clear" w:pos="720"/>
        </w:tabs>
        <w:snapToGrid w:val="0"/>
        <w:spacing w:before="100" w:beforeAutospacing="1" w:after="100" w:afterAutospacing="1" w:line="300" w:lineRule="auto"/>
        <w:ind w:left="0" w:firstLine="321" w:firstLineChars="134"/>
        <w:rPr>
          <w:rFonts w:ascii="Arial" w:hAnsi="Arial" w:eastAsia="宋体" w:cs="Arial"/>
          <w:kern w:val="0"/>
          <w:sz w:val="24"/>
          <w:szCs w:val="24"/>
        </w:rPr>
      </w:pPr>
      <w:r>
        <w:rPr>
          <w:rFonts w:ascii="Arial" w:hAnsi="Arial" w:eastAsia="宋体" w:cs="Arial"/>
          <w:kern w:val="0"/>
          <w:sz w:val="24"/>
          <w:szCs w:val="24"/>
        </w:rPr>
        <w:t xml:space="preserve">151-250 mg/dl </w:t>
      </w:r>
    </w:p>
    <w:p w14:paraId="0D151603">
      <w:pPr>
        <w:widowControl/>
        <w:numPr>
          <w:ilvl w:val="0"/>
          <w:numId w:val="3"/>
        </w:numPr>
        <w:tabs>
          <w:tab w:val="clear" w:pos="720"/>
        </w:tabs>
        <w:snapToGrid w:val="0"/>
        <w:spacing w:before="100" w:beforeAutospacing="1" w:after="100" w:afterAutospacing="1" w:line="300" w:lineRule="auto"/>
        <w:ind w:left="0" w:firstLine="321" w:firstLineChars="134"/>
        <w:rPr>
          <w:rFonts w:ascii="Arial" w:hAnsi="Arial" w:eastAsia="宋体" w:cs="Arial"/>
          <w:kern w:val="0"/>
          <w:sz w:val="24"/>
          <w:szCs w:val="24"/>
        </w:rPr>
      </w:pPr>
      <w:r>
        <w:rPr>
          <w:rFonts w:ascii="Arial" w:hAnsi="Arial" w:eastAsia="宋体" w:cs="Arial"/>
          <w:kern w:val="0"/>
          <w:sz w:val="24"/>
          <w:szCs w:val="24"/>
        </w:rPr>
        <w:t xml:space="preserve">251-400 mg/dl </w:t>
      </w:r>
    </w:p>
    <w:p w14:paraId="1C3A1D66">
      <w:pPr>
        <w:widowControl/>
        <w:snapToGrid w:val="0"/>
        <w:spacing w:before="100" w:beforeAutospacing="1" w:after="100" w:afterAutospacing="1" w:line="300" w:lineRule="auto"/>
        <w:rPr>
          <w:rFonts w:ascii="Arial" w:hAnsi="Arial" w:eastAsia="宋体" w:cs="Arial"/>
          <w:kern w:val="0"/>
          <w:sz w:val="24"/>
          <w:szCs w:val="24"/>
        </w:rPr>
      </w:pPr>
      <w:r>
        <w:rPr>
          <w:rFonts w:ascii="Arial" w:hAnsi="Arial" w:eastAsia="宋体" w:cs="Arial"/>
          <w:kern w:val="0"/>
          <w:sz w:val="24"/>
          <w:szCs w:val="24"/>
        </w:rPr>
        <w:t>如果用于POL用途，应在3个独立的医生办公室实验室（POL）现场进行精密度研究；如果旨在用于护理点（POC），应在3个不同的医院或在医院内的3个不同的环境（ 例如，ER，ICU等）现场进行精密度研究；或在制造现场进行精密度研究。此外，在研究期间应使用相同批次的血糖条。应将其与用于确定精密度的方案一起纳入在上市前通告提交资料中，即510（k）。</w:t>
      </w:r>
    </w:p>
    <w:p w14:paraId="22EFE242">
      <w:pPr>
        <w:widowControl/>
        <w:snapToGrid w:val="0"/>
        <w:spacing w:before="100" w:beforeAutospacing="1" w:after="100" w:afterAutospacing="1" w:line="300" w:lineRule="auto"/>
        <w:outlineLvl w:val="4"/>
        <w:rPr>
          <w:rFonts w:ascii="Arial" w:hAnsi="Arial" w:eastAsia="宋体" w:cs="Arial"/>
          <w:b/>
          <w:bCs/>
          <w:kern w:val="0"/>
          <w:sz w:val="20"/>
          <w:szCs w:val="20"/>
        </w:rPr>
      </w:pPr>
      <w:r>
        <w:rPr>
          <w:rFonts w:ascii="Arial" w:hAnsi="Arial" w:eastAsia="宋体" w:cs="Arial"/>
          <w:b/>
          <w:bCs/>
          <w:kern w:val="0"/>
          <w:sz w:val="20"/>
          <w:szCs w:val="20"/>
        </w:rPr>
        <w:t>B. 线性</w:t>
      </w:r>
    </w:p>
    <w:p w14:paraId="47F93FBA">
      <w:pPr>
        <w:widowControl/>
        <w:snapToGrid w:val="0"/>
        <w:spacing w:before="100" w:beforeAutospacing="1" w:after="100" w:afterAutospacing="1" w:line="300" w:lineRule="auto"/>
        <w:rPr>
          <w:rFonts w:ascii="Arial" w:hAnsi="Arial" w:eastAsia="宋体" w:cs="Arial"/>
          <w:kern w:val="0"/>
          <w:sz w:val="24"/>
          <w:szCs w:val="24"/>
        </w:rPr>
      </w:pPr>
      <w:r>
        <w:rPr>
          <w:rFonts w:ascii="Arial" w:hAnsi="Arial" w:eastAsia="宋体" w:cs="Arial"/>
          <w:kern w:val="0"/>
          <w:sz w:val="24"/>
          <w:szCs w:val="24"/>
        </w:rPr>
        <w:t>定义和评估标签说明时，请遵循NCCLS线性指南</w:t>
      </w:r>
      <w:r>
        <w:rPr>
          <w:rFonts w:ascii="Arial" w:hAnsi="Arial" w:eastAsia="宋体" w:cs="Arial"/>
          <w:b/>
          <w:kern w:val="0"/>
          <w:sz w:val="24"/>
          <w:szCs w:val="24"/>
        </w:rPr>
        <w:t>EP6-P</w:t>
      </w:r>
      <w:r>
        <w:rPr>
          <w:rFonts w:ascii="Arial" w:hAnsi="Arial" w:eastAsia="宋体" w:cs="Arial"/>
          <w:kern w:val="0"/>
          <w:sz w:val="24"/>
          <w:szCs w:val="24"/>
        </w:rPr>
        <w:t>或等效性指南。</w:t>
      </w:r>
    </w:p>
    <w:p w14:paraId="13BA0679">
      <w:pPr>
        <w:widowControl/>
        <w:snapToGrid w:val="0"/>
        <w:spacing w:before="100" w:beforeAutospacing="1" w:after="100" w:afterAutospacing="1" w:line="300" w:lineRule="auto"/>
        <w:outlineLvl w:val="4"/>
        <w:rPr>
          <w:rFonts w:ascii="Arial" w:hAnsi="Arial" w:eastAsia="宋体" w:cs="Arial"/>
          <w:b/>
          <w:bCs/>
          <w:kern w:val="0"/>
          <w:sz w:val="20"/>
          <w:szCs w:val="20"/>
        </w:rPr>
      </w:pPr>
      <w:r>
        <w:rPr>
          <w:rFonts w:ascii="Arial" w:hAnsi="Arial" w:eastAsia="宋体" w:cs="Arial"/>
          <w:b/>
          <w:bCs/>
          <w:kern w:val="0"/>
          <w:sz w:val="20"/>
          <w:szCs w:val="20"/>
        </w:rPr>
        <w:t>C. 血细胞比容研究</w:t>
      </w:r>
    </w:p>
    <w:p w14:paraId="776F71C1">
      <w:pPr>
        <w:widowControl/>
        <w:snapToGrid w:val="0"/>
        <w:spacing w:before="100" w:beforeAutospacing="1" w:after="100" w:afterAutospacing="1" w:line="300" w:lineRule="auto"/>
        <w:rPr>
          <w:rFonts w:ascii="Arial" w:hAnsi="Arial" w:eastAsia="宋体" w:cs="Arial"/>
          <w:kern w:val="0"/>
          <w:sz w:val="24"/>
          <w:szCs w:val="24"/>
        </w:rPr>
      </w:pPr>
      <w:r>
        <w:rPr>
          <w:rFonts w:ascii="Arial" w:hAnsi="Arial" w:eastAsia="宋体" w:cs="Arial"/>
          <w:kern w:val="0"/>
          <w:sz w:val="24"/>
          <w:szCs w:val="24"/>
        </w:rPr>
        <w:t>因血细胞比容效应而使对葡萄糖的估计过高和过低是常见的误差来源。研究应在生理有意义的水平进行，并与方案和结果一起提交。</w:t>
      </w:r>
    </w:p>
    <w:p w14:paraId="5F24CC74">
      <w:pPr>
        <w:widowControl/>
        <w:snapToGrid w:val="0"/>
        <w:spacing w:before="100" w:beforeAutospacing="1" w:after="100" w:afterAutospacing="1" w:line="300" w:lineRule="auto"/>
        <w:outlineLvl w:val="4"/>
        <w:rPr>
          <w:rFonts w:ascii="Arial" w:hAnsi="Arial" w:eastAsia="宋体" w:cs="Arial"/>
          <w:b/>
          <w:bCs/>
          <w:kern w:val="0"/>
          <w:sz w:val="20"/>
          <w:szCs w:val="20"/>
        </w:rPr>
      </w:pPr>
      <w:r>
        <w:rPr>
          <w:rFonts w:ascii="Arial" w:hAnsi="Arial" w:eastAsia="宋体" w:cs="Arial"/>
          <w:b/>
          <w:bCs/>
          <w:kern w:val="0"/>
          <w:sz w:val="20"/>
          <w:szCs w:val="20"/>
        </w:rPr>
        <w:t>D. 偏差</w:t>
      </w:r>
    </w:p>
    <w:p w14:paraId="1A3FC39A">
      <w:pPr>
        <w:widowControl/>
        <w:snapToGrid w:val="0"/>
        <w:spacing w:before="100" w:beforeAutospacing="1" w:after="100" w:afterAutospacing="1" w:line="300" w:lineRule="auto"/>
        <w:rPr>
          <w:rFonts w:ascii="Arial" w:hAnsi="Arial" w:eastAsia="宋体" w:cs="Arial"/>
          <w:kern w:val="0"/>
          <w:sz w:val="24"/>
          <w:szCs w:val="24"/>
        </w:rPr>
      </w:pPr>
      <w:r>
        <w:rPr>
          <w:rFonts w:ascii="Arial" w:hAnsi="Arial" w:eastAsia="宋体" w:cs="Arial"/>
          <w:kern w:val="0"/>
          <w:sz w:val="24"/>
          <w:szCs w:val="24"/>
        </w:rPr>
        <w:t>拟定测定相对于对比方法的％偏差可以按如下计算：</w:t>
      </w:r>
    </w:p>
    <w:tbl>
      <w:tblPr>
        <w:tblStyle w:val="10"/>
        <w:tblW w:w="5785" w:type="dxa"/>
        <w:tblCellSpacing w:w="15" w:type="dxa"/>
        <w:tblInd w:w="0" w:type="dxa"/>
        <w:tblLayout w:type="fixed"/>
        <w:tblCellMar>
          <w:top w:w="15" w:type="dxa"/>
          <w:left w:w="15" w:type="dxa"/>
          <w:bottom w:w="15" w:type="dxa"/>
          <w:right w:w="15" w:type="dxa"/>
        </w:tblCellMar>
      </w:tblPr>
      <w:tblGrid>
        <w:gridCol w:w="917"/>
        <w:gridCol w:w="4868"/>
      </w:tblGrid>
      <w:tr w14:paraId="3B992DA1">
        <w:tblPrEx>
          <w:tblCellMar>
            <w:top w:w="15" w:type="dxa"/>
            <w:left w:w="15" w:type="dxa"/>
            <w:bottom w:w="15" w:type="dxa"/>
            <w:right w:w="15" w:type="dxa"/>
          </w:tblCellMar>
        </w:tblPrEx>
        <w:trPr>
          <w:tblCellSpacing w:w="15" w:type="dxa"/>
        </w:trPr>
        <w:tc>
          <w:tcPr>
            <w:tcW w:w="872" w:type="dxa"/>
            <w:vMerge w:val="restart"/>
            <w:vAlign w:val="center"/>
          </w:tcPr>
          <w:p w14:paraId="4FC8CA20">
            <w:pPr>
              <w:widowControl/>
              <w:snapToGrid w:val="0"/>
              <w:spacing w:line="300" w:lineRule="auto"/>
              <w:rPr>
                <w:rFonts w:ascii="Arial" w:hAnsi="Arial" w:eastAsia="宋体" w:cs="Arial"/>
                <w:kern w:val="0"/>
                <w:sz w:val="24"/>
                <w:szCs w:val="24"/>
              </w:rPr>
            </w:pPr>
            <w:r>
              <w:rPr>
                <w:rFonts w:ascii="Arial" w:hAnsi="Arial" w:eastAsia="宋体" w:cs="Arial"/>
                <w:kern w:val="0"/>
                <w:sz w:val="24"/>
                <w:szCs w:val="24"/>
              </w:rPr>
              <w:t>% 偏差 =</w:t>
            </w:r>
          </w:p>
        </w:tc>
        <w:tc>
          <w:tcPr>
            <w:tcW w:w="4823" w:type="dxa"/>
            <w:vAlign w:val="center"/>
          </w:tcPr>
          <w:p w14:paraId="55C2996B">
            <w:pPr>
              <w:widowControl/>
              <w:snapToGrid w:val="0"/>
              <w:spacing w:line="300" w:lineRule="auto"/>
              <w:rPr>
                <w:rFonts w:ascii="Arial" w:hAnsi="Arial" w:eastAsia="宋体" w:cs="Arial"/>
                <w:kern w:val="0"/>
                <w:sz w:val="24"/>
                <w:szCs w:val="24"/>
              </w:rPr>
            </w:pPr>
            <w:r>
              <w:rPr>
                <w:rFonts w:ascii="Arial" w:hAnsi="Arial" w:eastAsia="宋体" w:cs="Arial"/>
                <w:b/>
                <w:bCs/>
                <w:kern w:val="0"/>
                <w:sz w:val="24"/>
                <w:szCs w:val="24"/>
              </w:rPr>
              <w:t>拟定方法结果 - 对比结果</w:t>
            </w:r>
          </w:p>
        </w:tc>
      </w:tr>
      <w:tr w14:paraId="1E64BEFA">
        <w:tblPrEx>
          <w:tblCellMar>
            <w:top w:w="15" w:type="dxa"/>
            <w:left w:w="15" w:type="dxa"/>
            <w:bottom w:w="15" w:type="dxa"/>
            <w:right w:w="15" w:type="dxa"/>
          </w:tblCellMar>
        </w:tblPrEx>
        <w:trPr>
          <w:tblCellSpacing w:w="15" w:type="dxa"/>
        </w:trPr>
        <w:tc>
          <w:tcPr>
            <w:tcW w:w="872" w:type="dxa"/>
            <w:vMerge w:val="continue"/>
            <w:vAlign w:val="center"/>
          </w:tcPr>
          <w:p w14:paraId="1E5F58C4">
            <w:pPr>
              <w:widowControl/>
              <w:snapToGrid w:val="0"/>
              <w:spacing w:line="300" w:lineRule="auto"/>
              <w:rPr>
                <w:rFonts w:ascii="Arial" w:hAnsi="Arial" w:eastAsia="宋体" w:cs="Arial"/>
                <w:kern w:val="0"/>
                <w:sz w:val="24"/>
                <w:szCs w:val="24"/>
              </w:rPr>
            </w:pPr>
          </w:p>
        </w:tc>
        <w:tc>
          <w:tcPr>
            <w:tcW w:w="4823" w:type="dxa"/>
            <w:vAlign w:val="center"/>
          </w:tcPr>
          <w:p w14:paraId="2A94A885">
            <w:pPr>
              <w:widowControl/>
              <w:snapToGrid w:val="0"/>
              <w:spacing w:line="300" w:lineRule="auto"/>
              <w:rPr>
                <w:rFonts w:ascii="Arial" w:hAnsi="Arial" w:eastAsia="宋体" w:cs="Arial"/>
                <w:kern w:val="0"/>
                <w:sz w:val="24"/>
                <w:szCs w:val="24"/>
              </w:rPr>
            </w:pPr>
            <w:r>
              <w:rPr>
                <w:rFonts w:ascii="Arial" w:hAnsi="Arial" w:eastAsia="宋体" w:cs="Arial"/>
                <w:kern w:val="0"/>
                <w:sz w:val="24"/>
                <w:szCs w:val="24"/>
              </w:rPr>
              <w:t>对比结果      x 100</w:t>
            </w:r>
          </w:p>
        </w:tc>
      </w:tr>
    </w:tbl>
    <w:p w14:paraId="2D839246">
      <w:pPr>
        <w:widowControl/>
        <w:snapToGrid w:val="0"/>
        <w:spacing w:before="100" w:beforeAutospacing="1" w:after="100" w:afterAutospacing="1" w:line="300" w:lineRule="auto"/>
        <w:rPr>
          <w:rFonts w:ascii="Arial" w:hAnsi="Arial" w:eastAsia="宋体" w:cs="Arial"/>
          <w:kern w:val="0"/>
          <w:sz w:val="24"/>
          <w:szCs w:val="24"/>
        </w:rPr>
      </w:pPr>
      <w:r>
        <w:rPr>
          <w:rFonts w:ascii="Arial" w:hAnsi="Arial" w:eastAsia="宋体" w:cs="Arial"/>
          <w:kern w:val="0"/>
          <w:sz w:val="24"/>
          <w:szCs w:val="24"/>
        </w:rPr>
        <w:t>报告葡萄糖监测仪的总误差。</w:t>
      </w:r>
    </w:p>
    <w:p w14:paraId="45BAECD6">
      <w:pPr>
        <w:widowControl/>
        <w:snapToGrid w:val="0"/>
        <w:spacing w:before="100" w:beforeAutospacing="1" w:after="100" w:afterAutospacing="1" w:line="300" w:lineRule="auto"/>
        <w:rPr>
          <w:rFonts w:ascii="Arial" w:hAnsi="Arial" w:eastAsia="宋体" w:cs="Arial"/>
          <w:kern w:val="0"/>
          <w:sz w:val="24"/>
          <w:szCs w:val="24"/>
        </w:rPr>
      </w:pPr>
      <w:r>
        <w:rPr>
          <w:rFonts w:ascii="Arial" w:hAnsi="Arial" w:eastAsia="宋体" w:cs="Arial"/>
          <w:kern w:val="0"/>
          <w:sz w:val="24"/>
          <w:szCs w:val="24"/>
        </w:rPr>
        <w:t>总偏差可以根据拟定测定和对比方法的最小二乘线性回归线计算。另外，克拉克误差网格可以用于估计两种方法之间的偏差结果的临床意义。</w:t>
      </w:r>
    </w:p>
    <w:p w14:paraId="0D9EF42C">
      <w:pPr>
        <w:widowControl/>
        <w:snapToGrid w:val="0"/>
        <w:spacing w:before="100" w:beforeAutospacing="1" w:after="100" w:afterAutospacing="1" w:line="300" w:lineRule="auto"/>
        <w:rPr>
          <w:rFonts w:ascii="Arial" w:hAnsi="Arial" w:eastAsia="宋体" w:cs="Arial"/>
          <w:kern w:val="0"/>
          <w:sz w:val="24"/>
          <w:szCs w:val="24"/>
        </w:rPr>
      </w:pPr>
      <w:r>
        <w:rPr>
          <w:rFonts w:ascii="Arial" w:hAnsi="Arial" w:eastAsia="宋体" w:cs="Arial"/>
          <w:kern w:val="0"/>
          <w:sz w:val="24"/>
          <w:szCs w:val="24"/>
        </w:rPr>
        <w:t>用于估计偏差的方案应该包括在510（k）中。</w:t>
      </w:r>
    </w:p>
    <w:p w14:paraId="2FEEEC54">
      <w:pPr>
        <w:widowControl/>
        <w:snapToGrid w:val="0"/>
        <w:spacing w:before="100" w:beforeAutospacing="1" w:after="100" w:afterAutospacing="1" w:line="300" w:lineRule="auto"/>
        <w:outlineLvl w:val="4"/>
        <w:rPr>
          <w:rFonts w:ascii="Arial" w:hAnsi="Arial" w:eastAsia="宋体" w:cs="Arial"/>
          <w:b/>
          <w:bCs/>
          <w:kern w:val="0"/>
          <w:sz w:val="20"/>
          <w:szCs w:val="20"/>
        </w:rPr>
      </w:pPr>
      <w:r>
        <w:rPr>
          <w:rFonts w:ascii="Arial" w:hAnsi="Arial" w:eastAsia="宋体" w:cs="Arial"/>
          <w:b/>
          <w:bCs/>
          <w:kern w:val="0"/>
          <w:sz w:val="20"/>
          <w:szCs w:val="20"/>
        </w:rPr>
        <w:t>E. 干扰研究</w:t>
      </w:r>
    </w:p>
    <w:p w14:paraId="22394EA6">
      <w:pPr>
        <w:widowControl/>
        <w:snapToGrid w:val="0"/>
        <w:spacing w:before="100" w:beforeAutospacing="1" w:after="100" w:afterAutospacing="1" w:line="300" w:lineRule="auto"/>
        <w:rPr>
          <w:rFonts w:ascii="Arial" w:hAnsi="Arial" w:eastAsia="宋体" w:cs="Arial"/>
          <w:kern w:val="0"/>
          <w:sz w:val="24"/>
          <w:szCs w:val="24"/>
        </w:rPr>
      </w:pPr>
      <w:r>
        <w:rPr>
          <w:rFonts w:ascii="Arial" w:hAnsi="Arial" w:eastAsia="宋体" w:cs="Arial"/>
          <w:kern w:val="0"/>
          <w:sz w:val="24"/>
          <w:szCs w:val="24"/>
        </w:rPr>
        <w:t>请遵循EP7-P或等效性指南中概述的NCCLS指南来测试各种分析物或药物的干扰。包括外源性和内源性物质。考虑用于试验的常见干扰物如下：对乙酰氨基酚、抗坏血酸、胆红素、胆固醇、肌酸酐、多巴胺、麻黄碱、布洛芬、左旋多巴、甲基多巴、水杨酸盐、四环素、妥拉磺脲、甲苯磺丁脲、甘油三酯和尿酸。防腐剂也应包括在内。</w:t>
      </w:r>
    </w:p>
    <w:p w14:paraId="77219B37">
      <w:pPr>
        <w:widowControl/>
        <w:snapToGrid w:val="0"/>
        <w:spacing w:before="100" w:beforeAutospacing="1" w:after="100" w:afterAutospacing="1" w:line="300" w:lineRule="auto"/>
        <w:rPr>
          <w:rFonts w:ascii="Arial" w:hAnsi="Arial" w:eastAsia="宋体" w:cs="Arial"/>
          <w:kern w:val="0"/>
          <w:sz w:val="24"/>
          <w:szCs w:val="24"/>
        </w:rPr>
      </w:pPr>
      <w:r>
        <w:rPr>
          <w:rFonts w:ascii="Arial" w:hAnsi="Arial" w:eastAsia="宋体" w:cs="Arial"/>
          <w:kern w:val="0"/>
          <w:sz w:val="24"/>
          <w:szCs w:val="24"/>
        </w:rPr>
        <w:t>可以取全血的等分试样并用各种范围的葡萄糖浓度对其进行补充。相同的目标葡萄糖值应该用于4至5份等分试样，并用于研究每种干扰物。每份等分试样应补充特定浓度的所研究的化合物。应选择每个化合物在实验系列中的具体浓度以纳入血液中预期的生理或治疗浓度。应对每个等分试样进行重复测量。</w:t>
      </w:r>
    </w:p>
    <w:p w14:paraId="1EEADB8D">
      <w:pPr>
        <w:widowControl/>
        <w:jc w:val="left"/>
        <w:rPr>
          <w:rFonts w:ascii="Arial" w:hAnsi="Arial" w:eastAsia="宋体" w:cs="Arial"/>
          <w:b/>
          <w:bCs/>
          <w:kern w:val="0"/>
          <w:sz w:val="20"/>
          <w:szCs w:val="20"/>
        </w:rPr>
      </w:pPr>
      <w:r>
        <w:rPr>
          <w:rFonts w:ascii="Arial" w:hAnsi="Arial" w:eastAsia="宋体" w:cs="Arial"/>
          <w:b/>
          <w:bCs/>
          <w:kern w:val="0"/>
          <w:sz w:val="20"/>
          <w:szCs w:val="20"/>
        </w:rPr>
        <w:br w:type="page"/>
      </w:r>
    </w:p>
    <w:p w14:paraId="0093C1AF">
      <w:pPr>
        <w:widowControl/>
        <w:snapToGrid w:val="0"/>
        <w:spacing w:before="100" w:beforeAutospacing="1" w:after="100" w:afterAutospacing="1" w:line="300" w:lineRule="auto"/>
        <w:outlineLvl w:val="4"/>
        <w:rPr>
          <w:rFonts w:ascii="Arial" w:hAnsi="Arial" w:eastAsia="宋体" w:cs="Arial"/>
          <w:b/>
          <w:bCs/>
          <w:kern w:val="0"/>
          <w:sz w:val="20"/>
          <w:szCs w:val="20"/>
        </w:rPr>
      </w:pPr>
      <w:r>
        <w:rPr>
          <w:rFonts w:ascii="Arial" w:hAnsi="Arial" w:eastAsia="宋体" w:cs="Arial"/>
          <w:b/>
          <w:bCs/>
          <w:kern w:val="0"/>
          <w:sz w:val="20"/>
          <w:szCs w:val="20"/>
        </w:rPr>
        <w:t>F. 相关性研究</w:t>
      </w:r>
    </w:p>
    <w:p w14:paraId="09EEEA64">
      <w:pPr>
        <w:widowControl/>
        <w:snapToGrid w:val="0"/>
        <w:spacing w:before="100" w:beforeAutospacing="1" w:after="100" w:afterAutospacing="1" w:line="300" w:lineRule="auto"/>
        <w:rPr>
          <w:rFonts w:ascii="Arial" w:hAnsi="Arial" w:eastAsia="宋体" w:cs="Arial"/>
          <w:kern w:val="0"/>
          <w:sz w:val="24"/>
          <w:szCs w:val="24"/>
        </w:rPr>
      </w:pPr>
      <w:r>
        <w:rPr>
          <w:rFonts w:ascii="Arial" w:hAnsi="Arial" w:eastAsia="宋体" w:cs="Arial"/>
          <w:kern w:val="0"/>
          <w:sz w:val="24"/>
          <w:szCs w:val="24"/>
        </w:rPr>
        <w:t>建议使用毛细血管血来测定相关性，并使用全血葡萄糖己糖激酶脱蛋白法作为对比方法。另外，可以使用充分表征的临床实验室方法或采用己糖激酶或葡萄糖氧化酶的合法销售的葡萄糖计。有关新生儿试验，请参见新生儿特异性葡萄糖监测指导性文件。</w:t>
      </w:r>
      <w:r>
        <w:rPr>
          <w:rFonts w:ascii="Arial" w:hAnsi="Arial" w:eastAsia="宋体" w:cs="Arial"/>
          <w:kern w:val="0"/>
          <w:sz w:val="24"/>
          <w:szCs w:val="24"/>
          <w:vertAlign w:val="superscript"/>
        </w:rPr>
        <w:t>4</w:t>
      </w:r>
    </w:p>
    <w:p w14:paraId="217FA194">
      <w:pPr>
        <w:widowControl/>
        <w:snapToGrid w:val="0"/>
        <w:spacing w:before="100" w:beforeAutospacing="1" w:after="100" w:afterAutospacing="1" w:line="300" w:lineRule="auto"/>
        <w:rPr>
          <w:rFonts w:ascii="Arial" w:hAnsi="Arial" w:eastAsia="宋体" w:cs="Arial"/>
          <w:kern w:val="0"/>
          <w:sz w:val="24"/>
          <w:szCs w:val="24"/>
        </w:rPr>
      </w:pPr>
      <w:r>
        <w:rPr>
          <w:rFonts w:ascii="Arial" w:hAnsi="Arial" w:eastAsia="宋体" w:cs="Arial"/>
          <w:kern w:val="0"/>
          <w:sz w:val="24"/>
          <w:szCs w:val="24"/>
        </w:rPr>
        <w:t>应该使用拟定器械对毛细血管血样本进行分析，其中，该样本应覆盖约</w:t>
      </w:r>
      <w:r>
        <w:rPr>
          <w:rFonts w:ascii="Arial" w:hAnsi="Arial" w:eastAsia="宋体" w:cs="Arial"/>
          <w:b/>
          <w:kern w:val="0"/>
          <w:sz w:val="24"/>
          <w:szCs w:val="24"/>
        </w:rPr>
        <w:t>40-400mg/dL</w:t>
      </w:r>
      <w:r>
        <w:rPr>
          <w:rFonts w:ascii="Arial" w:hAnsi="Arial" w:eastAsia="宋体" w:cs="Arial"/>
          <w:kern w:val="0"/>
          <w:sz w:val="24"/>
          <w:szCs w:val="24"/>
        </w:rPr>
        <w:t>的分析范围。应使用对比方法对相同样本进行分析。请遵循NCCLS指南EP9-T或等效性指南。</w:t>
      </w:r>
      <w:r>
        <w:rPr>
          <w:rFonts w:ascii="Arial" w:hAnsi="Arial" w:eastAsia="宋体" w:cs="Arial"/>
          <w:kern w:val="0"/>
          <w:sz w:val="24"/>
          <w:szCs w:val="24"/>
          <w:vertAlign w:val="superscript"/>
        </w:rPr>
        <w:t>10</w:t>
      </w:r>
      <w:r>
        <w:rPr>
          <w:rFonts w:ascii="Arial" w:hAnsi="Arial" w:eastAsia="宋体" w:cs="Arial"/>
          <w:kern w:val="0"/>
          <w:sz w:val="24"/>
          <w:szCs w:val="24"/>
        </w:rPr>
        <w:t>线性回归应用于表示通过拟定方法和对比方法获得的结果之间的关系。纳入对斜率、截距、相关系数和置信区间进行的计算。因为与斜率和截距有关的估计的可靠性可能受数据集中的非线性、异常值、小范围的数据和对比方法的可变性影响。优选情况下，样本应当覆盖可能遇到的浓度完整范围， 并应给出斜率和截距的标准偏差。</w:t>
      </w:r>
    </w:p>
    <w:p w14:paraId="4B56CEEE">
      <w:pPr>
        <w:widowControl/>
        <w:numPr>
          <w:ilvl w:val="0"/>
          <w:numId w:val="4"/>
        </w:numPr>
        <w:tabs>
          <w:tab w:val="clear" w:pos="720"/>
        </w:tabs>
        <w:snapToGrid w:val="0"/>
        <w:spacing w:before="100" w:beforeAutospacing="1" w:after="100" w:afterAutospacing="1" w:line="300" w:lineRule="auto"/>
        <w:ind w:left="0" w:firstLine="0"/>
        <w:rPr>
          <w:rFonts w:ascii="Arial" w:hAnsi="Arial" w:eastAsia="宋体" w:cs="Arial"/>
          <w:b/>
          <w:kern w:val="0"/>
          <w:sz w:val="24"/>
          <w:szCs w:val="24"/>
        </w:rPr>
      </w:pPr>
      <w:r>
        <w:rPr>
          <w:rFonts w:ascii="Arial" w:hAnsi="Arial" w:eastAsia="宋体" w:cs="Arial"/>
          <w:b/>
          <w:kern w:val="0"/>
          <w:sz w:val="24"/>
          <w:szCs w:val="24"/>
        </w:rPr>
        <w:t>消费者研究</w:t>
      </w:r>
    </w:p>
    <w:p w14:paraId="0C4F9113">
      <w:pPr>
        <w:widowControl/>
        <w:snapToGrid w:val="0"/>
        <w:spacing w:before="100" w:beforeAutospacing="1" w:after="100" w:afterAutospacing="1" w:line="300" w:lineRule="auto"/>
        <w:rPr>
          <w:rFonts w:ascii="Arial" w:hAnsi="Arial" w:eastAsia="宋体" w:cs="Arial"/>
          <w:kern w:val="0"/>
          <w:sz w:val="24"/>
          <w:szCs w:val="24"/>
        </w:rPr>
      </w:pPr>
      <w:r>
        <w:rPr>
          <w:rFonts w:ascii="Arial" w:hAnsi="Arial" w:eastAsia="宋体" w:cs="Arial"/>
          <w:kern w:val="0"/>
          <w:sz w:val="24"/>
          <w:szCs w:val="24"/>
        </w:rPr>
        <w:t>在实际使用条件下针对器械进行的现场试验极为重要。患者位于门诊诊所和/或医生办公室时，应对患者进行筛选。患者应该有不同的年龄、性别、背景和教育。患者总数应包括至少100个不同的患者样本。</w:t>
      </w:r>
    </w:p>
    <w:p w14:paraId="6949B00F">
      <w:pPr>
        <w:widowControl/>
        <w:snapToGrid w:val="0"/>
        <w:spacing w:before="100" w:beforeAutospacing="1" w:after="100" w:afterAutospacing="1" w:line="300" w:lineRule="auto"/>
        <w:rPr>
          <w:rFonts w:ascii="Arial" w:hAnsi="Arial" w:eastAsia="宋体" w:cs="Arial"/>
          <w:kern w:val="0"/>
          <w:sz w:val="24"/>
          <w:szCs w:val="24"/>
          <w:vertAlign w:val="superscript"/>
        </w:rPr>
      </w:pPr>
      <w:r>
        <w:rPr>
          <w:rFonts w:ascii="Arial" w:hAnsi="Arial" w:eastAsia="宋体" w:cs="Arial"/>
          <w:kern w:val="0"/>
          <w:sz w:val="24"/>
          <w:szCs w:val="24"/>
        </w:rPr>
        <w:t>选择用于对比研究的每位患者应该按照器械说明执行其自己的手指针刺并在受试器械上进行试验。然后，训练有素的技术人员应立即在患者身上执行手指针刺，并在同一器械上执行试验。患者和技术人员应单独记录结果并保密。在5分钟内，应采集另一个血液样本应以用于通过良好表征的实验室方法进行的试验。毛细血管血为所选样本。必须使用静脉样本时，重要的是考虑到在对比毛细血管、静脉、全血和血浆样本时引入的变量。血清或血浆值平均是全血值的1.18倍。（对于为63％的Hct，其真实，但对于为43％的“平均”Hct，因子为1.11）。</w:t>
      </w:r>
      <w:r>
        <w:rPr>
          <w:rFonts w:ascii="Arial" w:hAnsi="Arial" w:eastAsia="宋体" w:cs="Arial"/>
          <w:kern w:val="0"/>
          <w:sz w:val="24"/>
          <w:szCs w:val="24"/>
          <w:vertAlign w:val="superscript"/>
        </w:rPr>
        <w:t>5</w:t>
      </w:r>
    </w:p>
    <w:p w14:paraId="5B4F436F">
      <w:pPr>
        <w:widowControl/>
        <w:jc w:val="left"/>
        <w:rPr>
          <w:rFonts w:ascii="Arial" w:hAnsi="Arial" w:eastAsia="宋体" w:cs="Arial"/>
          <w:kern w:val="0"/>
          <w:sz w:val="24"/>
          <w:szCs w:val="24"/>
          <w:vertAlign w:val="superscript"/>
        </w:rPr>
      </w:pPr>
      <w:r>
        <w:rPr>
          <w:rFonts w:ascii="Arial" w:hAnsi="Arial" w:eastAsia="宋体" w:cs="Arial"/>
          <w:kern w:val="0"/>
          <w:sz w:val="24"/>
          <w:szCs w:val="24"/>
          <w:vertAlign w:val="superscript"/>
        </w:rPr>
        <w:br w:type="page"/>
      </w:r>
    </w:p>
    <w:p w14:paraId="02241673">
      <w:pPr>
        <w:widowControl/>
        <w:numPr>
          <w:ilvl w:val="0"/>
          <w:numId w:val="4"/>
        </w:numPr>
        <w:tabs>
          <w:tab w:val="clear" w:pos="720"/>
        </w:tabs>
        <w:snapToGrid w:val="0"/>
        <w:spacing w:before="100" w:beforeAutospacing="1" w:after="100" w:afterAutospacing="1" w:line="300" w:lineRule="auto"/>
        <w:ind w:left="0" w:firstLine="0"/>
        <w:rPr>
          <w:rFonts w:ascii="Arial" w:hAnsi="Arial" w:eastAsia="宋体" w:cs="Arial"/>
          <w:kern w:val="0"/>
          <w:sz w:val="24"/>
          <w:szCs w:val="24"/>
        </w:rPr>
      </w:pPr>
      <w:bookmarkStart w:id="0" w:name="OLE_LINK1"/>
      <w:r>
        <w:rPr>
          <w:rFonts w:ascii="Arial" w:hAnsi="Arial" w:eastAsia="宋体" w:cs="Arial"/>
          <w:b/>
          <w:bCs/>
          <w:kern w:val="0"/>
          <w:sz w:val="24"/>
          <w:szCs w:val="24"/>
        </w:rPr>
        <w:t>护理点（POC）/医师办公室实验室（POL）</w:t>
      </w:r>
    </w:p>
    <w:bookmarkEnd w:id="0"/>
    <w:p w14:paraId="6CB4C2B8">
      <w:pPr>
        <w:widowControl/>
        <w:snapToGrid w:val="0"/>
        <w:spacing w:before="100" w:beforeAutospacing="1" w:after="100" w:afterAutospacing="1" w:line="300" w:lineRule="auto"/>
        <w:rPr>
          <w:rFonts w:ascii="Arial" w:hAnsi="Arial" w:eastAsia="宋体" w:cs="Arial"/>
          <w:kern w:val="0"/>
          <w:sz w:val="24"/>
          <w:szCs w:val="24"/>
        </w:rPr>
      </w:pPr>
      <w:r>
        <w:rPr>
          <w:rFonts w:ascii="Arial" w:hAnsi="Arial" w:eastAsia="宋体" w:cs="Arial"/>
          <w:kern w:val="0"/>
          <w:sz w:val="24"/>
          <w:szCs w:val="24"/>
        </w:rPr>
        <w:t>符合预期设置的典型人员应该使用拟定器械进行手指针刺和试验。在5分钟内，应从患者获得另一个样本来用于使用对比器械进行的试验。对于POC用途，建议从该医院或三个不同医院内的至少三个POC站点收集数据。对于POL用途，建议从至少三个独立的POL站点收集数据，确保准确性和精确度。应在每个POC / POL站点收集并分析至少40个样本。</w:t>
      </w:r>
    </w:p>
    <w:p w14:paraId="43F65850">
      <w:pPr>
        <w:widowControl/>
        <w:snapToGrid w:val="0"/>
        <w:spacing w:before="100" w:beforeAutospacing="1" w:after="100" w:afterAutospacing="1" w:line="300" w:lineRule="auto"/>
        <w:outlineLvl w:val="4"/>
        <w:rPr>
          <w:rFonts w:ascii="Arial" w:hAnsi="Arial" w:eastAsia="宋体" w:cs="Arial"/>
          <w:b/>
          <w:bCs/>
          <w:kern w:val="0"/>
          <w:sz w:val="20"/>
          <w:szCs w:val="20"/>
        </w:rPr>
      </w:pPr>
      <w:r>
        <w:rPr>
          <w:rFonts w:ascii="Arial" w:hAnsi="Arial" w:eastAsia="宋体" w:cs="Arial"/>
          <w:b/>
          <w:bCs/>
          <w:kern w:val="0"/>
          <w:sz w:val="20"/>
          <w:szCs w:val="20"/>
        </w:rPr>
        <w:t>G. 软件验证和确认</w:t>
      </w:r>
    </w:p>
    <w:p w14:paraId="065BB3F6">
      <w:pPr>
        <w:widowControl/>
        <w:snapToGrid w:val="0"/>
        <w:spacing w:before="100" w:beforeAutospacing="1" w:after="100" w:afterAutospacing="1" w:line="300" w:lineRule="auto"/>
        <w:rPr>
          <w:rFonts w:ascii="Arial" w:hAnsi="Arial" w:eastAsia="宋体" w:cs="Arial"/>
          <w:kern w:val="0"/>
          <w:sz w:val="24"/>
          <w:szCs w:val="24"/>
        </w:rPr>
      </w:pPr>
      <w:r>
        <w:rPr>
          <w:rFonts w:ascii="Arial" w:hAnsi="Arial" w:eastAsia="宋体" w:cs="Arial"/>
          <w:kern w:val="0"/>
          <w:sz w:val="24"/>
          <w:szCs w:val="24"/>
        </w:rPr>
        <w:t>考虑到软件功能已增加，重要的是，此类器械的上市前通告应包含与软件验证、确认和试验有关的充分文件。本文件应说明通过确定与功能和设计质量标准的一致性以及通过试验来确保防止潜在危害的安全措施正常运行，评估和提高整个开发过程中软件质量的活动。应提交对文件进行总结的认证声明。</w:t>
      </w:r>
    </w:p>
    <w:p w14:paraId="49FA4D01">
      <w:pPr>
        <w:widowControl/>
        <w:snapToGrid w:val="0"/>
        <w:spacing w:before="100" w:beforeAutospacing="1" w:after="100" w:afterAutospacing="1" w:line="300" w:lineRule="auto"/>
        <w:outlineLvl w:val="3"/>
        <w:rPr>
          <w:rFonts w:ascii="Arial" w:hAnsi="Arial" w:eastAsia="宋体" w:cs="Arial"/>
          <w:b/>
          <w:bCs/>
          <w:kern w:val="0"/>
          <w:sz w:val="24"/>
          <w:szCs w:val="24"/>
          <w:highlight w:val="yellow"/>
        </w:rPr>
      </w:pPr>
      <w:r>
        <w:rPr>
          <w:rFonts w:ascii="Arial" w:hAnsi="Arial" w:eastAsia="宋体" w:cs="Arial"/>
          <w:b/>
          <w:bCs/>
          <w:kern w:val="0"/>
          <w:sz w:val="24"/>
          <w:szCs w:val="24"/>
        </w:rPr>
        <w:t>V. 标签</w:t>
      </w:r>
    </w:p>
    <w:p w14:paraId="25464260">
      <w:pPr>
        <w:widowControl/>
        <w:snapToGrid w:val="0"/>
        <w:spacing w:before="100" w:beforeAutospacing="1" w:after="100" w:afterAutospacing="1" w:line="300" w:lineRule="auto"/>
        <w:rPr>
          <w:rFonts w:ascii="Arial" w:hAnsi="Arial" w:eastAsia="宋体" w:cs="Arial"/>
          <w:kern w:val="0"/>
          <w:sz w:val="24"/>
          <w:szCs w:val="24"/>
        </w:rPr>
      </w:pPr>
      <w:r>
        <w:rPr>
          <w:rFonts w:ascii="Arial" w:hAnsi="Arial" w:eastAsia="宋体" w:cs="Arial"/>
          <w:kern w:val="0"/>
          <w:sz w:val="24"/>
          <w:szCs w:val="24"/>
        </w:rPr>
        <w:t>血糖仪的包装说明书应该简单、简明、易于理解。图形（如线条图、插图、符号、图标、照片、表格和图形等）是非常有用的工具。另外，纳入已用颜色编码的试剂容器也具有一定帮助。该类型的尺寸应为12或14点，尤其是对于老年用户或视力受损的用户，除指定需要充分照明来进行试验外。此外，在整个标记过程中，应使用相同的术语来标识器械及其部件。应避免使用同义词或替代短语。</w:t>
      </w:r>
    </w:p>
    <w:p w14:paraId="1EDCF994">
      <w:pPr>
        <w:widowControl/>
        <w:snapToGrid w:val="0"/>
        <w:spacing w:before="100" w:beforeAutospacing="1" w:after="100" w:afterAutospacing="1" w:line="300" w:lineRule="auto"/>
        <w:rPr>
          <w:rFonts w:ascii="Arial" w:hAnsi="Arial" w:eastAsia="宋体" w:cs="Arial"/>
          <w:kern w:val="0"/>
          <w:sz w:val="24"/>
          <w:szCs w:val="24"/>
        </w:rPr>
      </w:pPr>
      <w:r>
        <w:rPr>
          <w:rFonts w:ascii="Arial" w:hAnsi="Arial" w:eastAsia="宋体" w:cs="Arial"/>
          <w:kern w:val="0"/>
          <w:sz w:val="24"/>
          <w:szCs w:val="24"/>
        </w:rPr>
        <w:t>标记过程应遵循21 CFR§809.10，并解决以下具体注意事项：</w:t>
      </w:r>
    </w:p>
    <w:p w14:paraId="166D4F76">
      <w:pPr>
        <w:widowControl/>
        <w:numPr>
          <w:ilvl w:val="0"/>
          <w:numId w:val="5"/>
        </w:numPr>
        <w:tabs>
          <w:tab w:val="clear" w:pos="720"/>
        </w:tabs>
        <w:snapToGrid w:val="0"/>
        <w:spacing w:before="100" w:beforeAutospacing="1" w:after="100" w:afterAutospacing="1" w:line="300" w:lineRule="auto"/>
        <w:ind w:left="725" w:leftChars="166" w:hanging="376" w:hangingChars="157"/>
        <w:rPr>
          <w:rFonts w:ascii="Arial" w:hAnsi="Arial" w:eastAsia="宋体" w:cs="Arial"/>
          <w:kern w:val="0"/>
          <w:sz w:val="24"/>
          <w:szCs w:val="24"/>
        </w:rPr>
      </w:pPr>
      <w:r>
        <w:rPr>
          <w:rFonts w:ascii="Arial" w:hAnsi="Arial" w:eastAsia="宋体" w:cs="Arial"/>
          <w:kern w:val="0"/>
          <w:sz w:val="24"/>
          <w:szCs w:val="24"/>
        </w:rPr>
        <w:t>预期使用声明（第809.10（a）（2）节）应在外包装容器上清楚标明所提供的程序类型和预期用途。包装说明书中的预期用途声明应重申此信息。请参见809.10（b）。</w:t>
      </w:r>
    </w:p>
    <w:p w14:paraId="57D4E481">
      <w:pPr>
        <w:widowControl/>
        <w:numPr>
          <w:ilvl w:val="0"/>
          <w:numId w:val="5"/>
        </w:numPr>
        <w:tabs>
          <w:tab w:val="clear" w:pos="720"/>
        </w:tabs>
        <w:snapToGrid w:val="0"/>
        <w:spacing w:before="100" w:beforeAutospacing="1" w:after="100" w:afterAutospacing="1" w:line="300" w:lineRule="auto"/>
        <w:ind w:left="725" w:leftChars="166" w:hanging="376" w:hangingChars="157"/>
        <w:rPr>
          <w:rFonts w:ascii="Arial" w:hAnsi="Arial" w:eastAsia="宋体" w:cs="Arial"/>
          <w:kern w:val="0"/>
          <w:sz w:val="24"/>
          <w:szCs w:val="24"/>
        </w:rPr>
      </w:pPr>
      <w:r>
        <w:rPr>
          <w:rFonts w:ascii="Arial" w:hAnsi="Arial" w:eastAsia="宋体" w:cs="Arial"/>
          <w:kern w:val="0"/>
          <w:sz w:val="24"/>
          <w:szCs w:val="24"/>
        </w:rPr>
        <w:t>应提供单独的信息部分（试验结果解释），并包括第809.10（b）（10）节规定的信息（程序限制）。</w:t>
      </w:r>
    </w:p>
    <w:p w14:paraId="263E7A3F">
      <w:pPr>
        <w:widowControl/>
        <w:numPr>
          <w:ilvl w:val="0"/>
          <w:numId w:val="5"/>
        </w:numPr>
        <w:tabs>
          <w:tab w:val="clear" w:pos="720"/>
        </w:tabs>
        <w:snapToGrid w:val="0"/>
        <w:spacing w:before="100" w:beforeAutospacing="1" w:after="100" w:afterAutospacing="1" w:line="300" w:lineRule="auto"/>
        <w:ind w:left="725" w:leftChars="166" w:hanging="376" w:hangingChars="157"/>
        <w:rPr>
          <w:rFonts w:ascii="Arial" w:hAnsi="Arial" w:eastAsia="宋体" w:cs="Arial"/>
          <w:kern w:val="0"/>
          <w:sz w:val="24"/>
          <w:szCs w:val="24"/>
        </w:rPr>
      </w:pPr>
      <w:r>
        <w:rPr>
          <w:rFonts w:ascii="Arial" w:hAnsi="Arial" w:eastAsia="宋体" w:cs="Arial"/>
          <w:kern w:val="0"/>
          <w:sz w:val="24"/>
          <w:szCs w:val="24"/>
        </w:rPr>
        <w:t>应突出显示常规警告和预防措施，例如。加粗，并使其位于适当的说明书部分中。</w:t>
      </w:r>
    </w:p>
    <w:p w14:paraId="2E483013">
      <w:pPr>
        <w:widowControl/>
        <w:numPr>
          <w:ilvl w:val="0"/>
          <w:numId w:val="5"/>
        </w:numPr>
        <w:tabs>
          <w:tab w:val="clear" w:pos="720"/>
        </w:tabs>
        <w:snapToGrid w:val="0"/>
        <w:spacing w:before="100" w:beforeAutospacing="1" w:after="100" w:afterAutospacing="1" w:line="300" w:lineRule="auto"/>
        <w:ind w:left="725" w:leftChars="166" w:hanging="376" w:hangingChars="157"/>
        <w:rPr>
          <w:rFonts w:ascii="Arial" w:hAnsi="Arial" w:eastAsia="宋体" w:cs="Arial"/>
          <w:kern w:val="0"/>
          <w:sz w:val="24"/>
          <w:szCs w:val="24"/>
        </w:rPr>
      </w:pPr>
      <w:r>
        <w:rPr>
          <w:rFonts w:ascii="Arial" w:hAnsi="Arial" w:eastAsia="宋体" w:cs="Arial"/>
          <w:kern w:val="0"/>
          <w:sz w:val="24"/>
          <w:szCs w:val="24"/>
        </w:rPr>
        <w:t>关于相关性研究的简要非技术性讨论应包括在包装说明书中。</w:t>
      </w:r>
    </w:p>
    <w:p w14:paraId="083B442B">
      <w:pPr>
        <w:widowControl/>
        <w:numPr>
          <w:ilvl w:val="0"/>
          <w:numId w:val="5"/>
        </w:numPr>
        <w:tabs>
          <w:tab w:val="clear" w:pos="720"/>
        </w:tabs>
        <w:snapToGrid w:val="0"/>
        <w:spacing w:before="100" w:beforeAutospacing="1" w:after="100" w:afterAutospacing="1" w:line="300" w:lineRule="auto"/>
        <w:ind w:left="725" w:leftChars="166" w:hanging="376" w:hangingChars="157"/>
        <w:rPr>
          <w:rFonts w:ascii="Arial" w:hAnsi="Arial" w:eastAsia="宋体" w:cs="Arial"/>
          <w:kern w:val="0"/>
          <w:sz w:val="24"/>
          <w:szCs w:val="24"/>
        </w:rPr>
      </w:pPr>
      <w:r>
        <w:rPr>
          <w:rFonts w:ascii="Arial" w:hAnsi="Arial" w:eastAsia="宋体" w:cs="Arial"/>
          <w:kern w:val="0"/>
          <w:sz w:val="24"/>
          <w:szCs w:val="24"/>
        </w:rPr>
        <w:t>在制造站点或POC / POL环境下获得的精密度数据应包括在包装说明书中。精密度数据应该代表用户获得的性能。站点数据的合并可能会使结果产生偏差从而使结果无效。</w:t>
      </w:r>
    </w:p>
    <w:p w14:paraId="4244B8A0">
      <w:pPr>
        <w:widowControl/>
        <w:snapToGrid w:val="0"/>
        <w:spacing w:before="100" w:beforeAutospacing="1" w:after="100" w:afterAutospacing="1" w:line="300" w:lineRule="auto"/>
        <w:rPr>
          <w:rFonts w:ascii="Arial" w:hAnsi="Arial" w:eastAsia="宋体" w:cs="Arial"/>
          <w:kern w:val="0"/>
          <w:sz w:val="24"/>
          <w:szCs w:val="24"/>
        </w:rPr>
      </w:pPr>
      <w:r>
        <w:rPr>
          <w:rFonts w:ascii="Arial" w:hAnsi="Arial" w:eastAsia="宋体" w:cs="Arial"/>
          <w:kern w:val="0"/>
          <w:sz w:val="24"/>
          <w:szCs w:val="24"/>
        </w:rPr>
        <w:t>鉴于第VII章“局限性”中提出的问题，建议在包装说明书/说明手册中的局限性部分酌情纳入以下警示性说明：</w:t>
      </w:r>
    </w:p>
    <w:p w14:paraId="3DDE3BB0">
      <w:pPr>
        <w:widowControl/>
        <w:numPr>
          <w:ilvl w:val="0"/>
          <w:numId w:val="6"/>
        </w:numPr>
        <w:tabs>
          <w:tab w:val="clear" w:pos="720"/>
        </w:tabs>
        <w:snapToGrid w:val="0"/>
        <w:spacing w:before="100" w:beforeAutospacing="1" w:after="100" w:afterAutospacing="1" w:line="300" w:lineRule="auto"/>
        <w:ind w:left="895" w:leftChars="226" w:hanging="420" w:hangingChars="175"/>
        <w:rPr>
          <w:rFonts w:ascii="Arial" w:hAnsi="Arial" w:eastAsia="宋体" w:cs="Arial"/>
          <w:kern w:val="0"/>
          <w:sz w:val="24"/>
          <w:szCs w:val="24"/>
        </w:rPr>
      </w:pPr>
      <w:r>
        <w:rPr>
          <w:rFonts w:ascii="Arial" w:hAnsi="Arial" w:eastAsia="宋体" w:cs="Arial"/>
          <w:kern w:val="0"/>
          <w:sz w:val="24"/>
          <w:szCs w:val="24"/>
        </w:rPr>
        <w:t>长期暴露于空气和光线中可能会改变结果。建议将试纸在低于30°C（86°F）的温度下存储在原来的加盖小瓶中。避免暴露于过度潮湿的环境中；请勿冷冻。</w:t>
      </w:r>
    </w:p>
    <w:p w14:paraId="19EE32E0">
      <w:pPr>
        <w:widowControl/>
        <w:numPr>
          <w:ilvl w:val="0"/>
          <w:numId w:val="6"/>
        </w:numPr>
        <w:tabs>
          <w:tab w:val="clear" w:pos="720"/>
        </w:tabs>
        <w:snapToGrid w:val="0"/>
        <w:spacing w:before="100" w:beforeAutospacing="1" w:after="100" w:afterAutospacing="1" w:line="300" w:lineRule="auto"/>
        <w:ind w:left="895" w:leftChars="226" w:hanging="420" w:hangingChars="175"/>
        <w:rPr>
          <w:rFonts w:ascii="Arial" w:hAnsi="Arial" w:eastAsia="宋体" w:cs="Arial"/>
          <w:kern w:val="0"/>
          <w:sz w:val="24"/>
          <w:szCs w:val="24"/>
        </w:rPr>
      </w:pPr>
      <w:r>
        <w:rPr>
          <w:rFonts w:ascii="Arial" w:hAnsi="Arial" w:eastAsia="宋体" w:cs="Arial"/>
          <w:kern w:val="0"/>
          <w:sz w:val="24"/>
          <w:szCs w:val="24"/>
        </w:rPr>
        <w:t>低于35％或高于55％的血细胞比容可对结果产生双向影响。</w:t>
      </w:r>
      <w:r>
        <w:rPr>
          <w:rFonts w:ascii="Arial" w:hAnsi="Arial" w:eastAsia="宋体" w:cs="Arial"/>
          <w:kern w:val="0"/>
          <w:sz w:val="24"/>
          <w:szCs w:val="24"/>
          <w:vertAlign w:val="superscript"/>
        </w:rPr>
        <w:t>11</w:t>
      </w:r>
    </w:p>
    <w:p w14:paraId="02B3BEEC">
      <w:pPr>
        <w:widowControl/>
        <w:numPr>
          <w:ilvl w:val="0"/>
          <w:numId w:val="6"/>
        </w:numPr>
        <w:tabs>
          <w:tab w:val="clear" w:pos="720"/>
        </w:tabs>
        <w:snapToGrid w:val="0"/>
        <w:spacing w:before="100" w:beforeAutospacing="1" w:after="100" w:afterAutospacing="1" w:line="300" w:lineRule="auto"/>
        <w:ind w:left="895" w:leftChars="226" w:hanging="420" w:hangingChars="175"/>
        <w:rPr>
          <w:rFonts w:ascii="Arial" w:hAnsi="Arial" w:eastAsia="宋体" w:cs="Arial"/>
          <w:kern w:val="0"/>
          <w:sz w:val="24"/>
          <w:szCs w:val="24"/>
        </w:rPr>
      </w:pPr>
      <w:r>
        <w:rPr>
          <w:rFonts w:ascii="Arial" w:hAnsi="Arial" w:eastAsia="宋体" w:cs="Arial"/>
          <w:kern w:val="0"/>
          <w:sz w:val="24"/>
          <w:szCs w:val="24"/>
        </w:rPr>
        <w:t>脂肪严重过多的（肥胖）样本可能干扰一些方法。如果要了解这种干扰，在医生监督下的患者应该在开始家庭葡萄糖监测之前通过临床实验室方法建立基线葡萄糖值。此后，应定期对这些基线值进行检查。</w:t>
      </w:r>
    </w:p>
    <w:p w14:paraId="6DAE2B02">
      <w:pPr>
        <w:widowControl/>
        <w:numPr>
          <w:ilvl w:val="0"/>
          <w:numId w:val="6"/>
        </w:numPr>
        <w:tabs>
          <w:tab w:val="clear" w:pos="720"/>
        </w:tabs>
        <w:snapToGrid w:val="0"/>
        <w:spacing w:before="100" w:beforeAutospacing="1" w:after="100" w:afterAutospacing="1" w:line="300" w:lineRule="auto"/>
        <w:ind w:left="895" w:leftChars="226" w:hanging="420" w:hangingChars="175"/>
        <w:rPr>
          <w:rFonts w:ascii="Arial" w:hAnsi="Arial" w:eastAsia="宋体" w:cs="Arial"/>
          <w:kern w:val="0"/>
          <w:sz w:val="24"/>
          <w:szCs w:val="24"/>
        </w:rPr>
      </w:pPr>
      <w:r>
        <w:rPr>
          <w:rFonts w:ascii="Arial" w:hAnsi="Arial" w:eastAsia="宋体" w:cs="Arial"/>
          <w:kern w:val="0"/>
          <w:sz w:val="24"/>
          <w:szCs w:val="24"/>
        </w:rPr>
        <w:t>在具有或不具有酮症的高血糖 - 高渗性状态下，计量读数毛细管血糖值可显著低于“真实葡萄糖水平”。应在产品说明书中纳入明确声明，即不应用BGM对危重患者进行测试，或应在极度小心的条件下进行测试。</w:t>
      </w:r>
    </w:p>
    <w:p w14:paraId="1CEF3433">
      <w:pPr>
        <w:widowControl/>
        <w:numPr>
          <w:ilvl w:val="0"/>
          <w:numId w:val="6"/>
        </w:numPr>
        <w:tabs>
          <w:tab w:val="clear" w:pos="720"/>
        </w:tabs>
        <w:snapToGrid w:val="0"/>
        <w:spacing w:before="100" w:beforeAutospacing="1" w:after="100" w:afterAutospacing="1" w:line="300" w:lineRule="auto"/>
        <w:ind w:left="895" w:leftChars="226" w:hanging="420" w:hangingChars="175"/>
        <w:rPr>
          <w:rFonts w:ascii="Arial" w:hAnsi="Arial" w:eastAsia="宋体" w:cs="Arial"/>
          <w:kern w:val="0"/>
          <w:sz w:val="24"/>
          <w:szCs w:val="24"/>
        </w:rPr>
      </w:pPr>
      <w:r>
        <w:rPr>
          <w:rFonts w:ascii="Arial" w:hAnsi="Arial" w:eastAsia="宋体" w:cs="Arial"/>
          <w:kern w:val="0"/>
          <w:sz w:val="24"/>
          <w:szCs w:val="24"/>
        </w:rPr>
        <w:t>建议仔细说明低于50 mg / dL或高于250 mg / dL的葡萄糖值。如果获得此范围内的值，请尽快咨询医生。</w:t>
      </w:r>
    </w:p>
    <w:p w14:paraId="5F0A7947">
      <w:pPr>
        <w:widowControl/>
        <w:numPr>
          <w:ilvl w:val="0"/>
          <w:numId w:val="6"/>
        </w:numPr>
        <w:tabs>
          <w:tab w:val="clear" w:pos="720"/>
        </w:tabs>
        <w:snapToGrid w:val="0"/>
        <w:spacing w:before="100" w:beforeAutospacing="1" w:after="100" w:afterAutospacing="1" w:line="300" w:lineRule="auto"/>
        <w:ind w:left="895" w:leftChars="226" w:hanging="420" w:hangingChars="175"/>
        <w:rPr>
          <w:rFonts w:ascii="Arial" w:hAnsi="Arial" w:eastAsia="宋体" w:cs="Arial"/>
          <w:kern w:val="0"/>
          <w:sz w:val="24"/>
          <w:szCs w:val="24"/>
        </w:rPr>
      </w:pPr>
      <w:r>
        <w:rPr>
          <w:rFonts w:ascii="Arial" w:hAnsi="Arial" w:eastAsia="宋体" w:cs="Arial"/>
          <w:kern w:val="0"/>
          <w:sz w:val="24"/>
          <w:szCs w:val="24"/>
        </w:rPr>
        <w:t>医疗专业人员应定期评估其技术和患者的技术。为了实现这一点，建议将BGMg结果与在同一血液样本上同时获得的实验室测量值进行对比。应当使用采用己糖激酶或葡萄糖氧化酶的充分表征的临床实验室方法作为对比方法。</w:t>
      </w:r>
    </w:p>
    <w:p w14:paraId="1E657911">
      <w:pPr>
        <w:widowControl/>
        <w:jc w:val="left"/>
        <w:rPr>
          <w:rFonts w:ascii="Arial" w:hAnsi="Arial" w:eastAsia="宋体" w:cs="Arial"/>
          <w:kern w:val="0"/>
          <w:sz w:val="24"/>
          <w:szCs w:val="24"/>
        </w:rPr>
      </w:pPr>
      <w:r>
        <w:rPr>
          <w:rFonts w:ascii="Arial" w:hAnsi="Arial" w:eastAsia="宋体" w:cs="Arial"/>
          <w:kern w:val="0"/>
          <w:sz w:val="24"/>
          <w:szCs w:val="24"/>
        </w:rPr>
        <w:br w:type="page"/>
      </w:r>
    </w:p>
    <w:p w14:paraId="755F8345">
      <w:pPr>
        <w:widowControl/>
        <w:numPr>
          <w:ilvl w:val="0"/>
          <w:numId w:val="6"/>
        </w:numPr>
        <w:tabs>
          <w:tab w:val="clear" w:pos="720"/>
        </w:tabs>
        <w:snapToGrid w:val="0"/>
        <w:spacing w:before="100" w:beforeAutospacing="1" w:after="100" w:afterAutospacing="1" w:line="300" w:lineRule="auto"/>
        <w:ind w:left="895" w:leftChars="226" w:hanging="420" w:hangingChars="175"/>
        <w:rPr>
          <w:rFonts w:ascii="Arial" w:hAnsi="Arial" w:eastAsia="宋体" w:cs="Arial"/>
          <w:kern w:val="0"/>
          <w:sz w:val="24"/>
          <w:szCs w:val="24"/>
        </w:rPr>
      </w:pPr>
      <w:r>
        <w:rPr>
          <w:rFonts w:ascii="Arial" w:hAnsi="Arial" w:eastAsia="宋体" w:cs="Arial"/>
          <w:kern w:val="0"/>
          <w:sz w:val="24"/>
          <w:szCs w:val="24"/>
        </w:rPr>
        <w:t>使用血糖监测仪时，不应将氟化物用作静脉样本的防腐剂。</w:t>
      </w:r>
    </w:p>
    <w:p w14:paraId="7848CB90">
      <w:pPr>
        <w:widowControl/>
        <w:numPr>
          <w:ilvl w:val="0"/>
          <w:numId w:val="6"/>
        </w:numPr>
        <w:tabs>
          <w:tab w:val="clear" w:pos="720"/>
        </w:tabs>
        <w:snapToGrid w:val="0"/>
        <w:spacing w:before="100" w:beforeAutospacing="1" w:after="100" w:afterAutospacing="1" w:line="300" w:lineRule="auto"/>
        <w:ind w:left="895" w:leftChars="226" w:hanging="420" w:hangingChars="175"/>
        <w:rPr>
          <w:rFonts w:ascii="Arial" w:hAnsi="Arial" w:eastAsia="宋体" w:cs="Arial"/>
          <w:kern w:val="0"/>
          <w:sz w:val="24"/>
          <w:szCs w:val="24"/>
        </w:rPr>
      </w:pPr>
      <w:r>
        <w:rPr>
          <w:rFonts w:ascii="Arial" w:hAnsi="Arial" w:eastAsia="宋体" w:cs="Arial"/>
          <w:kern w:val="0"/>
          <w:sz w:val="24"/>
          <w:szCs w:val="24"/>
        </w:rPr>
        <w:t>被食物或饮料中的食糖污染的手和手指可能产生错误升高的结果。请纳入进行试验前在温热的肥皂水中洗手、冲洗并干燥的说明。</w:t>
      </w:r>
    </w:p>
    <w:p w14:paraId="15221E13">
      <w:pPr>
        <w:widowControl/>
        <w:numPr>
          <w:ilvl w:val="0"/>
          <w:numId w:val="6"/>
        </w:numPr>
        <w:tabs>
          <w:tab w:val="clear" w:pos="720"/>
        </w:tabs>
        <w:snapToGrid w:val="0"/>
        <w:spacing w:before="100" w:beforeAutospacing="1" w:after="100" w:afterAutospacing="1" w:line="300" w:lineRule="auto"/>
        <w:ind w:left="895" w:leftChars="226" w:hanging="420" w:hangingChars="175"/>
        <w:rPr>
          <w:rFonts w:ascii="Arial" w:hAnsi="Arial" w:eastAsia="宋体" w:cs="Arial"/>
          <w:kern w:val="0"/>
          <w:sz w:val="24"/>
          <w:szCs w:val="24"/>
        </w:rPr>
      </w:pPr>
      <w:r>
        <w:rPr>
          <w:rFonts w:ascii="Arial" w:hAnsi="Arial" w:eastAsia="宋体" w:cs="Arial"/>
          <w:kern w:val="0"/>
          <w:sz w:val="24"/>
          <w:szCs w:val="24"/>
        </w:rPr>
        <w:t>严重脱水和过多的水分流失可能产生不准确的较低结果。</w:t>
      </w:r>
    </w:p>
    <w:p w14:paraId="2755ECEA">
      <w:pPr>
        <w:widowControl/>
        <w:numPr>
          <w:ilvl w:val="0"/>
          <w:numId w:val="6"/>
        </w:numPr>
        <w:tabs>
          <w:tab w:val="clear" w:pos="720"/>
        </w:tabs>
        <w:snapToGrid w:val="0"/>
        <w:spacing w:before="100" w:beforeAutospacing="1" w:after="100" w:afterAutospacing="1" w:line="300" w:lineRule="auto"/>
        <w:ind w:left="895" w:leftChars="226" w:hanging="420" w:hangingChars="175"/>
        <w:rPr>
          <w:rFonts w:ascii="Arial" w:hAnsi="Arial" w:eastAsia="宋体" w:cs="Arial"/>
          <w:kern w:val="0"/>
          <w:sz w:val="24"/>
          <w:szCs w:val="24"/>
        </w:rPr>
      </w:pPr>
      <w:r>
        <w:rPr>
          <w:rFonts w:ascii="Arial" w:hAnsi="Arial" w:eastAsia="宋体" w:cs="Arial"/>
          <w:kern w:val="0"/>
          <w:sz w:val="24"/>
          <w:szCs w:val="24"/>
        </w:rPr>
        <w:t>全血和血清/血浆值的差异可能使结果具有可变性。</w:t>
      </w:r>
    </w:p>
    <w:p w14:paraId="6A8D045E">
      <w:pPr>
        <w:widowControl/>
        <w:numPr>
          <w:ilvl w:val="0"/>
          <w:numId w:val="6"/>
        </w:numPr>
        <w:tabs>
          <w:tab w:val="clear" w:pos="720"/>
        </w:tabs>
        <w:snapToGrid w:val="0"/>
        <w:spacing w:before="100" w:beforeAutospacing="1" w:after="100" w:afterAutospacing="1" w:line="300" w:lineRule="auto"/>
        <w:ind w:left="895" w:leftChars="226" w:hanging="420" w:hangingChars="175"/>
        <w:rPr>
          <w:rFonts w:ascii="Arial" w:hAnsi="Arial" w:eastAsia="宋体" w:cs="Arial"/>
          <w:kern w:val="0"/>
          <w:sz w:val="24"/>
          <w:szCs w:val="24"/>
        </w:rPr>
      </w:pPr>
      <w:r>
        <w:rPr>
          <w:rFonts w:ascii="Arial" w:hAnsi="Arial" w:eastAsia="宋体" w:cs="Arial"/>
          <w:kern w:val="0"/>
          <w:sz w:val="24"/>
          <w:szCs w:val="24"/>
        </w:rPr>
        <w:t>在漂白剂以及含漂白剂的产品附近存储试纸将影响葡萄糖氧化酶条的结果。</w:t>
      </w:r>
    </w:p>
    <w:p w14:paraId="33835AFD">
      <w:pPr>
        <w:widowControl/>
        <w:numPr>
          <w:ilvl w:val="0"/>
          <w:numId w:val="6"/>
        </w:numPr>
        <w:tabs>
          <w:tab w:val="clear" w:pos="720"/>
        </w:tabs>
        <w:snapToGrid w:val="0"/>
        <w:spacing w:before="100" w:beforeAutospacing="1" w:after="100" w:afterAutospacing="1" w:line="300" w:lineRule="auto"/>
        <w:ind w:left="895" w:leftChars="226" w:hanging="420" w:hangingChars="175"/>
        <w:rPr>
          <w:rFonts w:ascii="Arial" w:hAnsi="Arial" w:eastAsia="宋体" w:cs="Arial"/>
          <w:kern w:val="0"/>
          <w:sz w:val="24"/>
          <w:szCs w:val="24"/>
        </w:rPr>
      </w:pPr>
      <w:r>
        <w:rPr>
          <w:rFonts w:ascii="Arial" w:hAnsi="Arial" w:eastAsia="宋体" w:cs="Arial"/>
          <w:kern w:val="0"/>
          <w:sz w:val="24"/>
          <w:szCs w:val="24"/>
        </w:rPr>
        <w:t>在进行试验的区域内，应禁止使用便携式电话和其他无线电发射器械。</w:t>
      </w:r>
    </w:p>
    <w:p w14:paraId="01B1E4DA">
      <w:pPr>
        <w:widowControl/>
        <w:numPr>
          <w:ilvl w:val="0"/>
          <w:numId w:val="6"/>
        </w:numPr>
        <w:tabs>
          <w:tab w:val="clear" w:pos="720"/>
        </w:tabs>
        <w:snapToGrid w:val="0"/>
        <w:spacing w:before="100" w:beforeAutospacing="1" w:after="100" w:afterAutospacing="1" w:line="300" w:lineRule="auto"/>
        <w:ind w:left="895" w:leftChars="226" w:hanging="420" w:hangingChars="175"/>
        <w:rPr>
          <w:rFonts w:ascii="Arial" w:hAnsi="Arial" w:eastAsia="宋体" w:cs="Arial"/>
          <w:kern w:val="0"/>
          <w:sz w:val="24"/>
          <w:szCs w:val="24"/>
        </w:rPr>
      </w:pPr>
      <w:r>
        <w:rPr>
          <w:rFonts w:ascii="Arial" w:hAnsi="Arial" w:eastAsia="宋体" w:cs="Arial"/>
          <w:kern w:val="0"/>
          <w:sz w:val="24"/>
          <w:szCs w:val="24"/>
        </w:rPr>
        <w:t xml:space="preserve">因高海拔处的氧浓度（pO </w:t>
      </w:r>
      <w:r>
        <w:rPr>
          <w:rFonts w:ascii="Arial" w:hAnsi="Arial" w:eastAsia="宋体" w:cs="Arial"/>
          <w:kern w:val="0"/>
          <w:sz w:val="24"/>
          <w:szCs w:val="24"/>
          <w:vertAlign w:val="subscript"/>
        </w:rPr>
        <w:t>2</w:t>
      </w:r>
      <w:r>
        <w:rPr>
          <w:rFonts w:ascii="Arial" w:hAnsi="Arial" w:eastAsia="宋体" w:cs="Arial"/>
          <w:kern w:val="0"/>
          <w:sz w:val="24"/>
          <w:szCs w:val="24"/>
        </w:rPr>
        <w:t>）较低，可能获得不准确的结果。</w:t>
      </w:r>
    </w:p>
    <w:p w14:paraId="57CAB67E">
      <w:pPr>
        <w:widowControl/>
        <w:numPr>
          <w:ilvl w:val="0"/>
          <w:numId w:val="6"/>
        </w:numPr>
        <w:tabs>
          <w:tab w:val="clear" w:pos="720"/>
        </w:tabs>
        <w:snapToGrid w:val="0"/>
        <w:spacing w:before="100" w:beforeAutospacing="1" w:after="100" w:afterAutospacing="1" w:line="300" w:lineRule="auto"/>
        <w:ind w:left="895" w:leftChars="226" w:hanging="420" w:hangingChars="175"/>
        <w:rPr>
          <w:rFonts w:ascii="Arial" w:hAnsi="Arial" w:eastAsia="宋体" w:cs="Arial"/>
          <w:kern w:val="0"/>
          <w:sz w:val="24"/>
          <w:szCs w:val="24"/>
        </w:rPr>
      </w:pPr>
      <w:r>
        <w:rPr>
          <w:rFonts w:ascii="Arial" w:hAnsi="Arial" w:eastAsia="宋体" w:cs="Arial"/>
          <w:kern w:val="0"/>
          <w:sz w:val="24"/>
          <w:szCs w:val="24"/>
        </w:rPr>
        <w:t>请纳入预防性声明，即色盲人士不应使用视觉色彩程序。</w:t>
      </w:r>
    </w:p>
    <w:p w14:paraId="0FB3C916">
      <w:pPr>
        <w:widowControl/>
        <w:snapToGrid w:val="0"/>
        <w:spacing w:before="100" w:beforeAutospacing="1" w:after="100" w:afterAutospacing="1" w:line="300" w:lineRule="auto"/>
        <w:rPr>
          <w:rFonts w:ascii="Arial" w:hAnsi="Arial" w:eastAsia="宋体" w:cs="Arial"/>
          <w:kern w:val="0"/>
          <w:sz w:val="24"/>
          <w:szCs w:val="24"/>
        </w:rPr>
      </w:pPr>
      <w:r>
        <w:rPr>
          <w:rFonts w:ascii="Arial" w:hAnsi="Arial" w:eastAsia="宋体" w:cs="Arial"/>
          <w:kern w:val="0"/>
          <w:sz w:val="24"/>
          <w:szCs w:val="24"/>
        </w:rPr>
        <w:t>工具使用说明书的标签至少应包含809.10（b）（6）中概述的项目以及故障排除信息、问答部分、公司紧急电话号码（1-800＃）和营业时间以提供帮助。</w:t>
      </w:r>
    </w:p>
    <w:p w14:paraId="042EB39A">
      <w:pPr>
        <w:widowControl/>
        <w:snapToGrid w:val="0"/>
        <w:spacing w:before="100" w:beforeAutospacing="1" w:after="100" w:afterAutospacing="1" w:line="300" w:lineRule="auto"/>
        <w:rPr>
          <w:rFonts w:ascii="Arial" w:hAnsi="Arial" w:eastAsia="宋体" w:cs="Arial"/>
          <w:kern w:val="0"/>
          <w:sz w:val="24"/>
          <w:szCs w:val="24"/>
        </w:rPr>
      </w:pPr>
      <w:r>
        <w:rPr>
          <w:rFonts w:ascii="Arial" w:hAnsi="Arial" w:eastAsia="宋体" w:cs="Arial"/>
          <w:kern w:val="0"/>
          <w:sz w:val="24"/>
          <w:szCs w:val="24"/>
        </w:rPr>
        <w:t>国家临床实验室标准委员会发表一份关于家用体外试验产品标签的文件（GP-14P）。其含有非常有用的信息，包括用于评估包装说明书的可读性水平的SMOG可读性公式。CDRH已编写家用指导性文件、</w:t>
      </w:r>
      <w:r>
        <w:rPr>
          <w:rFonts w:ascii="Arial" w:hAnsi="Arial" w:eastAsia="宋体" w:cs="Arial"/>
          <w:kern w:val="0"/>
          <w:sz w:val="24"/>
          <w:szCs w:val="24"/>
          <w:vertAlign w:val="superscript"/>
        </w:rPr>
        <w:t>12</w:t>
      </w:r>
      <w:r>
        <w:rPr>
          <w:rFonts w:ascii="Arial" w:hAnsi="Arial" w:eastAsia="宋体" w:cs="Arial"/>
          <w:kern w:val="0"/>
          <w:sz w:val="24"/>
          <w:szCs w:val="24"/>
        </w:rPr>
        <w:t>计算机控制的医疗器械指导性文件以及一本关于编制家用说明手册的书籍。</w:t>
      </w:r>
      <w:r>
        <w:rPr>
          <w:rFonts w:ascii="Arial" w:hAnsi="Arial" w:eastAsia="宋体" w:cs="Arial"/>
          <w:kern w:val="0"/>
          <w:sz w:val="24"/>
          <w:szCs w:val="24"/>
          <w:vertAlign w:val="superscript"/>
        </w:rPr>
        <w:t>14</w:t>
      </w:r>
      <w:r>
        <w:rPr>
          <w:rFonts w:ascii="Arial" w:hAnsi="Arial" w:eastAsia="宋体" w:cs="Arial"/>
          <w:kern w:val="0"/>
          <w:sz w:val="24"/>
          <w:szCs w:val="24"/>
        </w:rPr>
        <w:t>贵公司也可从这些文件中获得有价值的信息。有关更多信息，请联系FDA小型制造商援助司，电话：1-800-638-2041。</w:t>
      </w:r>
    </w:p>
    <w:p w14:paraId="484AC1F2">
      <w:pPr>
        <w:widowControl/>
        <w:snapToGrid w:val="0"/>
        <w:spacing w:before="100" w:beforeAutospacing="1" w:after="100" w:afterAutospacing="1" w:line="300" w:lineRule="auto"/>
        <w:outlineLvl w:val="3"/>
        <w:rPr>
          <w:rFonts w:ascii="Arial" w:hAnsi="Arial" w:eastAsia="宋体" w:cs="Arial"/>
          <w:b/>
          <w:bCs/>
          <w:kern w:val="0"/>
          <w:sz w:val="24"/>
          <w:szCs w:val="24"/>
        </w:rPr>
      </w:pPr>
      <w:r>
        <w:rPr>
          <w:rFonts w:ascii="Arial" w:hAnsi="Arial" w:eastAsia="宋体" w:cs="Arial"/>
          <w:b/>
          <w:bCs/>
          <w:kern w:val="0"/>
          <w:sz w:val="24"/>
          <w:szCs w:val="24"/>
        </w:rPr>
        <w:t>VI. 质量控制</w:t>
      </w:r>
    </w:p>
    <w:p w14:paraId="6E0A5CCC">
      <w:pPr>
        <w:widowControl/>
        <w:snapToGrid w:val="0"/>
        <w:spacing w:before="100" w:beforeAutospacing="1" w:after="100" w:afterAutospacing="1" w:line="300" w:lineRule="auto"/>
        <w:rPr>
          <w:rFonts w:ascii="Arial" w:hAnsi="Arial" w:eastAsia="宋体" w:cs="Arial"/>
          <w:kern w:val="0"/>
          <w:sz w:val="24"/>
          <w:szCs w:val="24"/>
        </w:rPr>
      </w:pPr>
      <w:r>
        <w:rPr>
          <w:rFonts w:ascii="Arial" w:hAnsi="Arial" w:eastAsia="宋体" w:cs="Arial"/>
          <w:kern w:val="0"/>
          <w:sz w:val="24"/>
          <w:szCs w:val="24"/>
        </w:rPr>
        <w:t>美国糖尿病协会的共识专家组注意到，一般来说，质量控制规范较为不足。</w:t>
      </w:r>
      <w:r>
        <w:rPr>
          <w:rFonts w:ascii="Arial" w:hAnsi="Arial" w:eastAsia="宋体" w:cs="Arial"/>
          <w:kern w:val="0"/>
          <w:sz w:val="24"/>
          <w:szCs w:val="24"/>
          <w:vertAlign w:val="superscript"/>
        </w:rPr>
        <w:t>3</w:t>
      </w:r>
      <w:r>
        <w:rPr>
          <w:rFonts w:ascii="Arial" w:hAnsi="Arial" w:eastAsia="宋体" w:cs="Arial"/>
          <w:kern w:val="0"/>
          <w:sz w:val="24"/>
          <w:szCs w:val="24"/>
        </w:rPr>
        <w:t>质量控制计划的基本组成部分包括：1）校准检查，确保计量表的足够性能；2）衡量已知葡萄糖浓度的控制方案以对试剂条和计量表的性能进行评估，3）将结果与良好表征的实验室对比方法进行对比，以及4）由合格医疗人员对用户技术进行定期审查并纠正缺陷。</w:t>
      </w:r>
    </w:p>
    <w:p w14:paraId="6EE4655E">
      <w:pPr>
        <w:widowControl/>
        <w:snapToGrid w:val="0"/>
        <w:spacing w:before="100" w:beforeAutospacing="1" w:after="100" w:afterAutospacing="1" w:line="300" w:lineRule="auto"/>
        <w:rPr>
          <w:rFonts w:ascii="Arial" w:hAnsi="Arial" w:eastAsia="宋体" w:cs="Arial"/>
          <w:kern w:val="0"/>
          <w:sz w:val="24"/>
          <w:szCs w:val="24"/>
        </w:rPr>
      </w:pPr>
      <w:r>
        <w:rPr>
          <w:rFonts w:ascii="Arial" w:hAnsi="Arial" w:eastAsia="宋体" w:cs="Arial"/>
          <w:kern w:val="0"/>
          <w:sz w:val="24"/>
          <w:szCs w:val="24"/>
        </w:rPr>
        <w:t>因不同制造商所使用的试剂条化学品不同，从而产生在外部质量控制程序的设计中应当考虑的问题，其中，该程序基于单一葡萄糖水平控制。</w:t>
      </w:r>
      <w:r>
        <w:rPr>
          <w:rFonts w:ascii="Arial" w:hAnsi="Arial" w:eastAsia="宋体" w:cs="Arial"/>
          <w:kern w:val="0"/>
          <w:sz w:val="24"/>
          <w:szCs w:val="24"/>
          <w:vertAlign w:val="superscript"/>
        </w:rPr>
        <w:t>15</w:t>
      </w:r>
      <w:r>
        <w:rPr>
          <w:rFonts w:ascii="Arial" w:hAnsi="Arial" w:eastAsia="宋体" w:cs="Arial"/>
          <w:kern w:val="0"/>
          <w:sz w:val="24"/>
          <w:szCs w:val="24"/>
        </w:rPr>
        <w:t>在对血糖仪进行对比时，Brooks等人</w:t>
      </w:r>
      <w:r>
        <w:rPr>
          <w:rFonts w:ascii="Arial" w:hAnsi="Arial" w:eastAsia="宋体" w:cs="Arial"/>
          <w:kern w:val="0"/>
          <w:sz w:val="24"/>
          <w:szCs w:val="24"/>
          <w:vertAlign w:val="superscript"/>
        </w:rPr>
        <w:t>16,17</w:t>
      </w:r>
      <w:r>
        <w:rPr>
          <w:rFonts w:ascii="Arial" w:hAnsi="Arial" w:eastAsia="宋体" w:cs="Arial"/>
          <w:kern w:val="0"/>
          <w:sz w:val="24"/>
          <w:szCs w:val="24"/>
        </w:rPr>
        <w:t>强调使用含水的对照材料以及基于血清的对照材料获得的异常结果。一些研究者认为，溶液粘度是影响不同试剂条的反应性的主要因素。</w:t>
      </w:r>
      <w:r>
        <w:rPr>
          <w:rFonts w:ascii="Arial" w:hAnsi="Arial" w:eastAsia="宋体" w:cs="Arial"/>
          <w:kern w:val="0"/>
          <w:sz w:val="24"/>
          <w:szCs w:val="24"/>
          <w:vertAlign w:val="superscript"/>
        </w:rPr>
        <w:t>15</w:t>
      </w:r>
      <w:r>
        <w:rPr>
          <w:rFonts w:ascii="Arial" w:hAnsi="Arial" w:eastAsia="宋体" w:cs="Arial"/>
          <w:kern w:val="0"/>
          <w:sz w:val="24"/>
          <w:szCs w:val="24"/>
        </w:rPr>
        <w:t>在质量控制程序的设计中，可能需要使用已调节粘度的控制材料来最小化此类影响。</w:t>
      </w:r>
    </w:p>
    <w:p w14:paraId="01C3361C">
      <w:pPr>
        <w:widowControl/>
        <w:snapToGrid w:val="0"/>
        <w:spacing w:before="100" w:beforeAutospacing="1" w:after="100" w:afterAutospacing="1" w:line="300" w:lineRule="auto"/>
        <w:rPr>
          <w:rFonts w:ascii="Arial" w:hAnsi="Arial" w:eastAsia="宋体" w:cs="Arial"/>
          <w:kern w:val="0"/>
          <w:sz w:val="24"/>
          <w:szCs w:val="24"/>
        </w:rPr>
      </w:pPr>
      <w:r>
        <w:rPr>
          <w:rFonts w:ascii="Arial" w:hAnsi="Arial" w:eastAsia="宋体" w:cs="Arial"/>
          <w:kern w:val="0"/>
          <w:sz w:val="24"/>
          <w:szCs w:val="24"/>
        </w:rPr>
        <w:t>质量控制方案并未衡量在采集和应用血液至试剂条期间产生的错误。因此，应通过比较患者的BGMg结果与通过良好表征的比较方法在同一血液样本上同时获得的测量值，定期评估BGMg技术所有方面的精确度和准确度。相同的血液样本应与血糖仪和实验室方法一起使用，以避免因毛细血管血、静脉血、全血和血浆样本之间的差异而产生的不确定性。</w:t>
      </w:r>
      <w:r>
        <w:rPr>
          <w:rFonts w:ascii="Arial" w:hAnsi="Arial" w:eastAsia="宋体" w:cs="Arial"/>
          <w:kern w:val="0"/>
          <w:sz w:val="24"/>
          <w:szCs w:val="24"/>
          <w:vertAlign w:val="superscript"/>
        </w:rPr>
        <w:t>2</w:t>
      </w:r>
      <w:r>
        <w:rPr>
          <w:rFonts w:ascii="Arial" w:hAnsi="Arial" w:eastAsia="宋体" w:cs="Arial"/>
          <w:kern w:val="0"/>
          <w:sz w:val="24"/>
          <w:szCs w:val="24"/>
        </w:rPr>
        <w:t>应在工具手册中的适当部分对校准和质量控制程序进行讨论 。</w:t>
      </w:r>
    </w:p>
    <w:p w14:paraId="48A7A5BA">
      <w:pPr>
        <w:widowControl/>
        <w:snapToGrid w:val="0"/>
        <w:spacing w:before="100" w:beforeAutospacing="1" w:after="100" w:afterAutospacing="1" w:line="300" w:lineRule="auto"/>
        <w:outlineLvl w:val="3"/>
        <w:rPr>
          <w:rFonts w:ascii="Arial" w:hAnsi="Arial" w:eastAsia="宋体" w:cs="Arial"/>
          <w:b/>
          <w:bCs/>
          <w:kern w:val="0"/>
          <w:sz w:val="24"/>
          <w:szCs w:val="24"/>
        </w:rPr>
      </w:pPr>
      <w:r>
        <w:rPr>
          <w:rFonts w:ascii="Arial" w:hAnsi="Arial" w:eastAsia="宋体" w:cs="Arial"/>
          <w:b/>
          <w:bCs/>
          <w:kern w:val="0"/>
          <w:sz w:val="24"/>
          <w:szCs w:val="24"/>
        </w:rPr>
        <w:t>VII. 局限性</w:t>
      </w:r>
    </w:p>
    <w:p w14:paraId="4932D64D">
      <w:pPr>
        <w:widowControl/>
        <w:snapToGrid w:val="0"/>
        <w:spacing w:before="100" w:beforeAutospacing="1" w:after="100" w:afterAutospacing="1" w:line="300" w:lineRule="auto"/>
        <w:rPr>
          <w:rFonts w:ascii="Arial" w:hAnsi="Arial" w:eastAsia="宋体" w:cs="Arial"/>
          <w:kern w:val="0"/>
          <w:sz w:val="24"/>
          <w:szCs w:val="24"/>
        </w:rPr>
      </w:pPr>
      <w:r>
        <w:rPr>
          <w:rFonts w:ascii="Arial" w:hAnsi="Arial" w:eastAsia="宋体" w:cs="Arial"/>
          <w:kern w:val="0"/>
          <w:sz w:val="24"/>
          <w:szCs w:val="24"/>
        </w:rPr>
        <w:t>在实际的患者护理情况下，葡萄糖监测仪提供的结果并不足以推动临床决策。</w:t>
      </w:r>
      <w:r>
        <w:rPr>
          <w:rFonts w:ascii="Arial" w:hAnsi="Arial" w:eastAsia="宋体" w:cs="Arial"/>
          <w:kern w:val="0"/>
          <w:sz w:val="24"/>
          <w:szCs w:val="24"/>
          <w:vertAlign w:val="superscript"/>
        </w:rPr>
        <w:t>2,18</w:t>
      </w:r>
      <w:r>
        <w:rPr>
          <w:rFonts w:ascii="Arial" w:hAnsi="Arial" w:eastAsia="宋体" w:cs="Arial"/>
          <w:kern w:val="0"/>
          <w:sz w:val="24"/>
          <w:szCs w:val="24"/>
        </w:rPr>
        <w:t>各种因素可能会影响精确度和准确度。下面列出一些因素。</w:t>
      </w:r>
    </w:p>
    <w:p w14:paraId="7E9D09C9">
      <w:pPr>
        <w:widowControl/>
        <w:numPr>
          <w:ilvl w:val="0"/>
          <w:numId w:val="7"/>
        </w:numPr>
        <w:tabs>
          <w:tab w:val="clear" w:pos="720"/>
        </w:tabs>
        <w:snapToGrid w:val="0"/>
        <w:spacing w:before="100" w:beforeAutospacing="1" w:after="100" w:afterAutospacing="1" w:line="300" w:lineRule="auto"/>
        <w:ind w:left="0" w:firstLine="0"/>
        <w:rPr>
          <w:rFonts w:ascii="Arial" w:hAnsi="Arial" w:eastAsia="宋体" w:cs="Arial"/>
          <w:b/>
          <w:bCs/>
          <w:kern w:val="0"/>
          <w:sz w:val="24"/>
          <w:szCs w:val="24"/>
        </w:rPr>
      </w:pPr>
      <w:r>
        <w:rPr>
          <w:rFonts w:ascii="Arial" w:hAnsi="Arial" w:eastAsia="宋体" w:cs="Arial"/>
          <w:b/>
          <w:bCs/>
          <w:kern w:val="0"/>
          <w:sz w:val="24"/>
          <w:szCs w:val="24"/>
        </w:rPr>
        <w:t>用户可变性。</w:t>
      </w:r>
    </w:p>
    <w:p w14:paraId="4E786AE6">
      <w:pPr>
        <w:widowControl/>
        <w:snapToGrid w:val="0"/>
        <w:spacing w:before="100" w:beforeAutospacing="1" w:after="100" w:afterAutospacing="1" w:line="300" w:lineRule="auto"/>
        <w:ind w:left="388" w:leftChars="185" w:firstLine="9" w:firstLineChars="4"/>
        <w:rPr>
          <w:rFonts w:ascii="Arial" w:hAnsi="Arial" w:eastAsia="宋体" w:cs="Arial"/>
          <w:kern w:val="0"/>
          <w:sz w:val="24"/>
          <w:szCs w:val="24"/>
        </w:rPr>
      </w:pPr>
      <w:r>
        <w:rPr>
          <w:rFonts w:ascii="Arial" w:hAnsi="Arial" w:eastAsia="宋体" w:cs="Arial"/>
          <w:kern w:val="0"/>
          <w:sz w:val="24"/>
          <w:szCs w:val="24"/>
        </w:rPr>
        <w:t>BGMg具有技术敏感性。研究者发现，高达50％的值可以与一般使用中的参考值偏离20％以上（一些医生认为，如果误差&gt; 20％，可视为导致对胰岛素剂量进行不当调节的变化量）。</w:t>
      </w:r>
    </w:p>
    <w:p w14:paraId="75749E43">
      <w:pPr>
        <w:widowControl/>
        <w:numPr>
          <w:ilvl w:val="0"/>
          <w:numId w:val="7"/>
        </w:numPr>
        <w:tabs>
          <w:tab w:val="clear" w:pos="720"/>
        </w:tabs>
        <w:snapToGrid w:val="0"/>
        <w:spacing w:before="100" w:beforeAutospacing="1" w:after="100" w:afterAutospacing="1" w:line="300" w:lineRule="auto"/>
        <w:ind w:left="0" w:firstLine="0"/>
        <w:rPr>
          <w:rFonts w:ascii="Arial" w:hAnsi="Arial" w:eastAsia="宋体" w:cs="Arial"/>
          <w:kern w:val="0"/>
          <w:sz w:val="24"/>
          <w:szCs w:val="24"/>
        </w:rPr>
      </w:pPr>
      <w:r>
        <w:rPr>
          <w:rFonts w:ascii="Arial" w:hAnsi="Arial" w:eastAsia="宋体" w:cs="Arial"/>
          <w:b/>
          <w:bCs/>
          <w:kern w:val="0"/>
          <w:sz w:val="24"/>
          <w:szCs w:val="24"/>
        </w:rPr>
        <w:t>血细胞比容。</w:t>
      </w:r>
    </w:p>
    <w:p w14:paraId="561A2186">
      <w:pPr>
        <w:widowControl/>
        <w:snapToGrid w:val="0"/>
        <w:spacing w:before="100" w:beforeAutospacing="1" w:after="100" w:afterAutospacing="1" w:line="300" w:lineRule="auto"/>
        <w:ind w:left="388" w:leftChars="185" w:firstLine="9" w:firstLineChars="4"/>
        <w:rPr>
          <w:rFonts w:ascii="Arial" w:hAnsi="Arial" w:eastAsia="宋体" w:cs="Arial"/>
          <w:kern w:val="0"/>
          <w:sz w:val="24"/>
          <w:szCs w:val="24"/>
        </w:rPr>
      </w:pPr>
      <w:r>
        <w:rPr>
          <w:rFonts w:ascii="Arial" w:hAnsi="Arial" w:eastAsia="宋体" w:cs="Arial"/>
          <w:kern w:val="0"/>
          <w:sz w:val="24"/>
          <w:szCs w:val="24"/>
        </w:rPr>
        <w:t>贫血症可使血糖值假性升高，但红细胞增多和脱水可使血糖值假性降低。根据系统类型，血细胞比容每变化10％，这种效应的幅度可变化4-30％。</w:t>
      </w:r>
      <w:r>
        <w:rPr>
          <w:rFonts w:ascii="Arial" w:hAnsi="Arial" w:eastAsia="宋体" w:cs="Arial"/>
          <w:kern w:val="0"/>
          <w:sz w:val="24"/>
          <w:szCs w:val="24"/>
          <w:vertAlign w:val="superscript"/>
        </w:rPr>
        <w:t>3</w:t>
      </w:r>
      <w:r>
        <w:rPr>
          <w:rFonts w:ascii="Arial" w:hAnsi="Arial" w:eastAsia="宋体" w:cs="Arial"/>
          <w:kern w:val="0"/>
          <w:sz w:val="24"/>
          <w:szCs w:val="24"/>
        </w:rPr>
        <w:t>高血细胞比容在新生儿中极为常见。如果未对系统进行验证来确定其是否适用于新生儿，请将此作为一种限制。</w:t>
      </w:r>
    </w:p>
    <w:p w14:paraId="57703827">
      <w:pPr>
        <w:widowControl/>
        <w:jc w:val="left"/>
        <w:rPr>
          <w:rFonts w:ascii="Arial" w:hAnsi="Arial" w:eastAsia="宋体" w:cs="Arial"/>
          <w:kern w:val="0"/>
          <w:sz w:val="24"/>
          <w:szCs w:val="24"/>
        </w:rPr>
      </w:pPr>
      <w:r>
        <w:rPr>
          <w:rFonts w:ascii="Arial" w:hAnsi="Arial" w:eastAsia="宋体" w:cs="Arial"/>
          <w:kern w:val="0"/>
          <w:sz w:val="24"/>
          <w:szCs w:val="24"/>
        </w:rPr>
        <w:br w:type="page"/>
      </w:r>
    </w:p>
    <w:p w14:paraId="3A06121F">
      <w:pPr>
        <w:widowControl/>
        <w:numPr>
          <w:ilvl w:val="0"/>
          <w:numId w:val="7"/>
        </w:numPr>
        <w:tabs>
          <w:tab w:val="clear" w:pos="720"/>
        </w:tabs>
        <w:snapToGrid w:val="0"/>
        <w:spacing w:before="100" w:beforeAutospacing="1" w:after="100" w:afterAutospacing="1" w:line="300" w:lineRule="auto"/>
        <w:ind w:left="0" w:firstLine="0"/>
        <w:rPr>
          <w:rFonts w:ascii="Arial" w:hAnsi="Arial" w:eastAsia="宋体" w:cs="Arial"/>
          <w:kern w:val="0"/>
          <w:sz w:val="24"/>
          <w:szCs w:val="24"/>
        </w:rPr>
      </w:pPr>
      <w:r>
        <w:rPr>
          <w:rFonts w:ascii="Arial" w:hAnsi="Arial" w:eastAsia="宋体" w:cs="Arial"/>
          <w:b/>
          <w:bCs/>
          <w:kern w:val="0"/>
          <w:sz w:val="24"/>
          <w:szCs w:val="24"/>
        </w:rPr>
        <w:t>低血糖和高血糖。</w:t>
      </w:r>
    </w:p>
    <w:p w14:paraId="5160683E">
      <w:pPr>
        <w:widowControl/>
        <w:snapToGrid w:val="0"/>
        <w:spacing w:before="100" w:beforeAutospacing="1" w:after="100" w:afterAutospacing="1" w:line="300" w:lineRule="auto"/>
        <w:ind w:left="388" w:leftChars="185" w:firstLine="9" w:firstLineChars="4"/>
        <w:rPr>
          <w:rFonts w:ascii="Arial" w:hAnsi="Arial" w:eastAsia="宋体" w:cs="Arial"/>
          <w:kern w:val="0"/>
          <w:sz w:val="24"/>
          <w:szCs w:val="24"/>
        </w:rPr>
      </w:pPr>
      <w:r>
        <w:rPr>
          <w:rFonts w:ascii="Arial" w:hAnsi="Arial" w:eastAsia="宋体" w:cs="Arial"/>
          <w:kern w:val="0"/>
          <w:sz w:val="24"/>
          <w:szCs w:val="24"/>
        </w:rPr>
        <w:t>应仔细解释低血糖（小于50mg / dL）或严重高血糖范围（大于250mg / dL）内的值。</w:t>
      </w:r>
    </w:p>
    <w:p w14:paraId="32FB0E94">
      <w:pPr>
        <w:widowControl/>
        <w:numPr>
          <w:ilvl w:val="0"/>
          <w:numId w:val="7"/>
        </w:numPr>
        <w:tabs>
          <w:tab w:val="clear" w:pos="720"/>
        </w:tabs>
        <w:snapToGrid w:val="0"/>
        <w:spacing w:before="100" w:beforeAutospacing="1" w:after="100" w:afterAutospacing="1" w:line="300" w:lineRule="auto"/>
        <w:ind w:left="0" w:firstLine="0"/>
        <w:rPr>
          <w:rFonts w:ascii="Arial" w:hAnsi="Arial" w:eastAsia="宋体" w:cs="Arial"/>
          <w:kern w:val="0"/>
          <w:sz w:val="24"/>
          <w:szCs w:val="24"/>
        </w:rPr>
      </w:pPr>
      <w:r>
        <w:rPr>
          <w:rFonts w:ascii="Arial" w:hAnsi="Arial" w:eastAsia="宋体" w:cs="Arial"/>
          <w:b/>
          <w:bCs/>
          <w:kern w:val="0"/>
          <w:sz w:val="24"/>
          <w:szCs w:val="24"/>
        </w:rPr>
        <w:t>胆固醇和甘油三酯水平升高。</w:t>
      </w:r>
    </w:p>
    <w:p w14:paraId="33083926">
      <w:pPr>
        <w:widowControl/>
        <w:snapToGrid w:val="0"/>
        <w:spacing w:before="100" w:beforeAutospacing="1" w:after="100" w:afterAutospacing="1" w:line="300" w:lineRule="auto"/>
        <w:ind w:left="388" w:leftChars="185" w:firstLine="9" w:firstLineChars="4"/>
        <w:rPr>
          <w:rFonts w:ascii="Arial" w:hAnsi="Arial" w:eastAsia="宋体" w:cs="Arial"/>
          <w:kern w:val="0"/>
          <w:sz w:val="24"/>
          <w:szCs w:val="24"/>
        </w:rPr>
      </w:pPr>
      <w:r>
        <w:rPr>
          <w:rFonts w:ascii="Arial" w:hAnsi="Arial" w:eastAsia="宋体" w:cs="Arial"/>
          <w:kern w:val="0"/>
          <w:sz w:val="24"/>
          <w:szCs w:val="24"/>
        </w:rPr>
        <w:t>胆固醇和甘油三酯水平升高可能会干扰光被反射的方式，从而使计量表产生错误结果。</w:t>
      </w:r>
    </w:p>
    <w:p w14:paraId="1C23735C">
      <w:pPr>
        <w:widowControl/>
        <w:numPr>
          <w:ilvl w:val="0"/>
          <w:numId w:val="7"/>
        </w:numPr>
        <w:tabs>
          <w:tab w:val="clear" w:pos="720"/>
        </w:tabs>
        <w:snapToGrid w:val="0"/>
        <w:spacing w:before="100" w:beforeAutospacing="1" w:after="100" w:afterAutospacing="1" w:line="300" w:lineRule="auto"/>
        <w:ind w:left="0" w:firstLine="0"/>
        <w:rPr>
          <w:rFonts w:ascii="Arial" w:hAnsi="Arial" w:eastAsia="宋体" w:cs="Arial"/>
          <w:kern w:val="0"/>
          <w:sz w:val="24"/>
          <w:szCs w:val="24"/>
        </w:rPr>
      </w:pPr>
      <w:r>
        <w:rPr>
          <w:rFonts w:ascii="Arial" w:hAnsi="Arial" w:eastAsia="宋体" w:cs="Arial"/>
          <w:b/>
          <w:bCs/>
          <w:kern w:val="0"/>
          <w:sz w:val="24"/>
          <w:szCs w:val="24"/>
        </w:rPr>
        <w:t>高空效应。</w:t>
      </w:r>
    </w:p>
    <w:p w14:paraId="214863A1">
      <w:pPr>
        <w:widowControl/>
        <w:snapToGrid w:val="0"/>
        <w:spacing w:before="100" w:beforeAutospacing="1" w:after="100" w:afterAutospacing="1" w:line="300" w:lineRule="auto"/>
        <w:ind w:left="388" w:leftChars="185" w:firstLine="9" w:firstLineChars="4"/>
        <w:rPr>
          <w:rFonts w:ascii="Arial" w:hAnsi="Arial" w:eastAsia="宋体" w:cs="Arial"/>
          <w:kern w:val="0"/>
          <w:sz w:val="24"/>
          <w:szCs w:val="24"/>
        </w:rPr>
      </w:pPr>
      <w:r>
        <w:rPr>
          <w:rFonts w:ascii="Arial" w:hAnsi="Arial" w:eastAsia="宋体" w:cs="Arial"/>
          <w:kern w:val="0"/>
          <w:sz w:val="24"/>
          <w:szCs w:val="24"/>
        </w:rPr>
        <w:t>已经表明，在高海拔处时氧张力将降低，这种情况可能会干扰用于反应的氧的存在量，从而产生不准确的结果。</w:t>
      </w:r>
    </w:p>
    <w:p w14:paraId="23984B52">
      <w:pPr>
        <w:widowControl/>
        <w:numPr>
          <w:ilvl w:val="0"/>
          <w:numId w:val="7"/>
        </w:numPr>
        <w:tabs>
          <w:tab w:val="clear" w:pos="720"/>
        </w:tabs>
        <w:snapToGrid w:val="0"/>
        <w:spacing w:before="100" w:beforeAutospacing="1" w:after="100" w:afterAutospacing="1" w:line="300" w:lineRule="auto"/>
        <w:ind w:left="0" w:firstLine="0"/>
        <w:rPr>
          <w:rFonts w:ascii="Arial" w:hAnsi="Arial" w:eastAsia="宋体" w:cs="Arial"/>
          <w:kern w:val="0"/>
          <w:sz w:val="24"/>
          <w:szCs w:val="24"/>
        </w:rPr>
      </w:pPr>
      <w:r>
        <w:rPr>
          <w:rFonts w:ascii="Arial" w:hAnsi="Arial" w:eastAsia="宋体" w:cs="Arial"/>
          <w:b/>
          <w:bCs/>
          <w:kern w:val="0"/>
          <w:sz w:val="24"/>
          <w:szCs w:val="24"/>
        </w:rPr>
        <w:t>电磁干扰（EMI）。</w:t>
      </w:r>
    </w:p>
    <w:p w14:paraId="30D1DF61">
      <w:pPr>
        <w:widowControl/>
        <w:snapToGrid w:val="0"/>
        <w:spacing w:before="100" w:beforeAutospacing="1" w:after="100" w:afterAutospacing="1" w:line="300" w:lineRule="auto"/>
        <w:ind w:left="388" w:leftChars="185" w:firstLine="9" w:firstLineChars="4"/>
        <w:rPr>
          <w:rFonts w:ascii="Arial" w:hAnsi="Arial" w:eastAsia="宋体" w:cs="Arial"/>
          <w:kern w:val="0"/>
          <w:sz w:val="24"/>
          <w:szCs w:val="24"/>
        </w:rPr>
      </w:pPr>
      <w:r>
        <w:rPr>
          <w:rFonts w:ascii="Arial" w:hAnsi="Arial" w:eastAsia="宋体" w:cs="Arial"/>
          <w:kern w:val="0"/>
          <w:sz w:val="24"/>
          <w:szCs w:val="24"/>
        </w:rPr>
        <w:t>最近的研究表明，EMI可能导致电子医疗器械性能下降，并可能使治疗不当。</w:t>
      </w:r>
    </w:p>
    <w:p w14:paraId="1F1357B8">
      <w:pPr>
        <w:widowControl/>
        <w:snapToGrid w:val="0"/>
        <w:spacing w:before="100" w:beforeAutospacing="1" w:after="100" w:afterAutospacing="1" w:line="300" w:lineRule="auto"/>
        <w:outlineLvl w:val="3"/>
        <w:rPr>
          <w:rFonts w:ascii="Arial" w:hAnsi="Arial" w:eastAsia="宋体" w:cs="Arial"/>
          <w:b/>
          <w:bCs/>
          <w:kern w:val="0"/>
          <w:sz w:val="24"/>
          <w:szCs w:val="24"/>
        </w:rPr>
      </w:pPr>
      <w:r>
        <w:rPr>
          <w:rFonts w:ascii="Arial" w:hAnsi="Arial" w:eastAsia="宋体" w:cs="Arial"/>
          <w:b/>
          <w:bCs/>
          <w:kern w:val="0"/>
          <w:sz w:val="24"/>
          <w:szCs w:val="24"/>
        </w:rPr>
        <w:t>总结</w:t>
      </w:r>
    </w:p>
    <w:p w14:paraId="07ED99BD">
      <w:pPr>
        <w:widowControl/>
        <w:snapToGrid w:val="0"/>
        <w:spacing w:before="100" w:beforeAutospacing="1" w:after="100" w:afterAutospacing="1" w:line="300" w:lineRule="auto"/>
        <w:ind w:left="388" w:leftChars="185" w:firstLine="9" w:firstLineChars="4"/>
        <w:rPr>
          <w:rFonts w:ascii="Arial" w:hAnsi="Arial" w:eastAsia="宋体" w:cs="Arial"/>
          <w:kern w:val="0"/>
          <w:sz w:val="24"/>
          <w:szCs w:val="24"/>
        </w:rPr>
      </w:pPr>
      <w:r>
        <w:rPr>
          <w:rFonts w:ascii="Arial" w:hAnsi="Arial" w:eastAsia="宋体" w:cs="Arial"/>
          <w:kern w:val="0"/>
          <w:sz w:val="24"/>
          <w:szCs w:val="24"/>
        </w:rPr>
        <w:t>在对糖尿病患者进行治疗时，已建议对血糖进行高频次的监测。须考虑的主要问题是确保质量控制，并确保BGMg系统生产的数据具有准确度和精确度。上市前通告审查目标是记录消费者性能和人为因素考虑，并确保标签包含适当的质量控制和使用限制。可读性试验和用户调查问卷以及消费者研究可针对使用说明的充分性和简单性进行总结。</w:t>
      </w:r>
    </w:p>
    <w:p w14:paraId="6BB828C7">
      <w:pPr>
        <w:widowControl/>
        <w:snapToGrid w:val="0"/>
        <w:spacing w:before="100" w:beforeAutospacing="1" w:after="100" w:afterAutospacing="1" w:line="300" w:lineRule="auto"/>
        <w:outlineLvl w:val="3"/>
        <w:rPr>
          <w:rFonts w:ascii="Arial" w:hAnsi="Arial" w:eastAsia="宋体" w:cs="Arial"/>
          <w:b/>
          <w:bCs/>
          <w:kern w:val="0"/>
          <w:sz w:val="24"/>
          <w:szCs w:val="24"/>
        </w:rPr>
      </w:pPr>
      <w:r>
        <w:rPr>
          <w:rFonts w:ascii="Arial" w:hAnsi="Arial" w:eastAsia="宋体" w:cs="Arial"/>
          <w:b/>
          <w:bCs/>
          <w:kern w:val="0"/>
          <w:sz w:val="24"/>
          <w:szCs w:val="24"/>
        </w:rPr>
        <w:t>VIII. 参考文件</w:t>
      </w:r>
    </w:p>
    <w:p w14:paraId="341CFBAA">
      <w:pPr>
        <w:widowControl/>
        <w:numPr>
          <w:ilvl w:val="0"/>
          <w:numId w:val="8"/>
        </w:numPr>
        <w:tabs>
          <w:tab w:val="clear" w:pos="720"/>
        </w:tabs>
        <w:snapToGrid w:val="0"/>
        <w:spacing w:before="100" w:beforeAutospacing="1" w:after="100" w:afterAutospacing="1" w:line="300" w:lineRule="auto"/>
        <w:ind w:left="783" w:leftChars="140" w:hanging="489" w:hangingChars="204"/>
        <w:rPr>
          <w:rFonts w:ascii="Arial" w:hAnsi="Arial" w:eastAsia="宋体" w:cs="Arial"/>
          <w:kern w:val="0"/>
          <w:sz w:val="24"/>
          <w:szCs w:val="24"/>
        </w:rPr>
      </w:pPr>
      <w:r>
        <w:rPr>
          <w:rFonts w:ascii="Arial" w:hAnsi="Arial" w:eastAsia="宋体" w:cs="Arial"/>
          <w:kern w:val="0"/>
          <w:sz w:val="24"/>
          <w:szCs w:val="24"/>
        </w:rPr>
        <w:t>便携式血糖监测仪。卫生器械，1994年3月，第23卷，第3期，64-97页。</w:t>
      </w:r>
    </w:p>
    <w:p w14:paraId="7FBA3824">
      <w:pPr>
        <w:widowControl/>
        <w:numPr>
          <w:ilvl w:val="0"/>
          <w:numId w:val="8"/>
        </w:numPr>
        <w:tabs>
          <w:tab w:val="clear" w:pos="720"/>
        </w:tabs>
        <w:snapToGrid w:val="0"/>
        <w:spacing w:before="100" w:beforeAutospacing="1" w:after="100" w:afterAutospacing="1" w:line="300" w:lineRule="auto"/>
        <w:ind w:left="783" w:leftChars="140" w:hanging="489" w:hangingChars="204"/>
        <w:rPr>
          <w:rFonts w:ascii="Arial" w:hAnsi="Arial" w:eastAsia="宋体" w:cs="Arial"/>
          <w:kern w:val="0"/>
          <w:sz w:val="24"/>
          <w:szCs w:val="24"/>
        </w:rPr>
      </w:pPr>
      <w:r>
        <w:rPr>
          <w:rFonts w:ascii="Arial" w:hAnsi="Arial" w:eastAsia="宋体" w:cs="Arial"/>
          <w:kern w:val="0"/>
          <w:sz w:val="24"/>
          <w:szCs w:val="24"/>
        </w:rPr>
        <w:t>小组背书家用血糖测试。临床化学新闻，1987年1月。</w:t>
      </w:r>
    </w:p>
    <w:p w14:paraId="04AE8661">
      <w:pPr>
        <w:widowControl/>
        <w:numPr>
          <w:ilvl w:val="0"/>
          <w:numId w:val="8"/>
        </w:numPr>
        <w:tabs>
          <w:tab w:val="clear" w:pos="720"/>
        </w:tabs>
        <w:snapToGrid w:val="0"/>
        <w:spacing w:before="100" w:beforeAutospacing="1" w:after="100" w:afterAutospacing="1" w:line="300" w:lineRule="auto"/>
        <w:ind w:left="783" w:leftChars="140" w:hanging="489" w:hangingChars="204"/>
        <w:rPr>
          <w:rFonts w:ascii="Arial" w:hAnsi="Arial" w:eastAsia="宋体" w:cs="Arial"/>
          <w:kern w:val="0"/>
          <w:sz w:val="24"/>
          <w:szCs w:val="24"/>
        </w:rPr>
      </w:pPr>
      <w:r>
        <w:rPr>
          <w:rFonts w:ascii="Arial" w:hAnsi="Arial" w:eastAsia="宋体" w:cs="Arial"/>
          <w:kern w:val="0"/>
          <w:sz w:val="24"/>
          <w:szCs w:val="24"/>
        </w:rPr>
        <w:t>血糖自我监测的共识声明。糖尿病护理1987；1：95-99。</w:t>
      </w:r>
    </w:p>
    <w:p w14:paraId="3E32749E">
      <w:pPr>
        <w:widowControl/>
        <w:numPr>
          <w:ilvl w:val="0"/>
          <w:numId w:val="8"/>
        </w:numPr>
        <w:tabs>
          <w:tab w:val="clear" w:pos="720"/>
        </w:tabs>
        <w:snapToGrid w:val="0"/>
        <w:spacing w:before="100" w:beforeAutospacing="1" w:after="100" w:afterAutospacing="1" w:line="300" w:lineRule="auto"/>
        <w:ind w:left="783" w:leftChars="140" w:hanging="489" w:hangingChars="204"/>
        <w:rPr>
          <w:rFonts w:ascii="Arial" w:hAnsi="Arial" w:eastAsia="宋体" w:cs="Arial"/>
          <w:kern w:val="0"/>
          <w:sz w:val="24"/>
          <w:szCs w:val="24"/>
        </w:rPr>
      </w:pPr>
      <w:r>
        <w:rPr>
          <w:rFonts w:ascii="Arial" w:hAnsi="Arial" w:eastAsia="宋体" w:cs="Arial"/>
          <w:kern w:val="0"/>
          <w:sz w:val="24"/>
          <w:szCs w:val="24"/>
        </w:rPr>
        <w:t>适用于新生儿托儿所中临床应用的便携式葡萄糖监测器械的CDRH审查标准。</w:t>
      </w:r>
    </w:p>
    <w:p w14:paraId="2D255FFC">
      <w:pPr>
        <w:widowControl/>
        <w:snapToGrid w:val="0"/>
        <w:spacing w:before="100" w:beforeAutospacing="1" w:after="100" w:afterAutospacing="1" w:line="300" w:lineRule="auto"/>
        <w:ind w:left="784"/>
        <w:rPr>
          <w:rFonts w:ascii="Arial" w:hAnsi="Arial" w:eastAsia="宋体" w:cs="Arial"/>
          <w:kern w:val="0"/>
          <w:sz w:val="24"/>
          <w:szCs w:val="24"/>
        </w:rPr>
      </w:pPr>
    </w:p>
    <w:p w14:paraId="7E5F499E">
      <w:pPr>
        <w:widowControl/>
        <w:numPr>
          <w:ilvl w:val="0"/>
          <w:numId w:val="8"/>
        </w:numPr>
        <w:tabs>
          <w:tab w:val="clear" w:pos="720"/>
        </w:tabs>
        <w:snapToGrid w:val="0"/>
        <w:spacing w:before="100" w:beforeAutospacing="1" w:after="100" w:afterAutospacing="1" w:line="300" w:lineRule="auto"/>
        <w:ind w:left="783" w:leftChars="140" w:hanging="489" w:hangingChars="204"/>
        <w:rPr>
          <w:rFonts w:ascii="Arial" w:hAnsi="Arial" w:eastAsia="宋体" w:cs="Arial"/>
          <w:kern w:val="0"/>
          <w:sz w:val="24"/>
          <w:szCs w:val="24"/>
        </w:rPr>
      </w:pPr>
      <w:r>
        <w:rPr>
          <w:rFonts w:ascii="Arial" w:hAnsi="Arial" w:eastAsia="宋体" w:cs="Arial"/>
          <w:kern w:val="0"/>
          <w:sz w:val="24"/>
          <w:szCs w:val="24"/>
        </w:rPr>
        <w:t>实验室方法进行的临床诊断和管理，第十八版，John Bernard Henry，编辑。W.B. Saunders Company，费城，1991年。</w:t>
      </w:r>
    </w:p>
    <w:p w14:paraId="002DDB5E">
      <w:pPr>
        <w:widowControl/>
        <w:numPr>
          <w:ilvl w:val="0"/>
          <w:numId w:val="8"/>
        </w:numPr>
        <w:tabs>
          <w:tab w:val="clear" w:pos="720"/>
        </w:tabs>
        <w:snapToGrid w:val="0"/>
        <w:spacing w:before="100" w:beforeAutospacing="1" w:after="100" w:afterAutospacing="1" w:line="300" w:lineRule="auto"/>
        <w:ind w:left="783" w:leftChars="140" w:hanging="489" w:hangingChars="204"/>
        <w:rPr>
          <w:rFonts w:ascii="Arial" w:hAnsi="Arial" w:eastAsia="宋体" w:cs="Arial"/>
          <w:kern w:val="0"/>
          <w:sz w:val="24"/>
          <w:szCs w:val="24"/>
        </w:rPr>
      </w:pPr>
      <w:r>
        <w:rPr>
          <w:rFonts w:ascii="Arial" w:hAnsi="Arial" w:eastAsia="宋体" w:cs="Arial"/>
          <w:kern w:val="0"/>
          <w:sz w:val="24"/>
          <w:szCs w:val="24"/>
        </w:rPr>
        <w:t>血液自我监测中的人为因素。美国卫生与公众服务部，1988 - 1990年。</w:t>
      </w:r>
    </w:p>
    <w:p w14:paraId="6779CD8E">
      <w:pPr>
        <w:widowControl/>
        <w:numPr>
          <w:ilvl w:val="0"/>
          <w:numId w:val="8"/>
        </w:numPr>
        <w:tabs>
          <w:tab w:val="clear" w:pos="720"/>
        </w:tabs>
        <w:snapToGrid w:val="0"/>
        <w:spacing w:before="100" w:beforeAutospacing="1" w:after="100" w:afterAutospacing="1" w:line="300" w:lineRule="auto"/>
        <w:ind w:left="783" w:leftChars="140" w:hanging="489" w:hangingChars="204"/>
        <w:rPr>
          <w:rFonts w:ascii="Arial" w:hAnsi="Arial" w:eastAsia="宋体" w:cs="Arial"/>
          <w:kern w:val="0"/>
          <w:sz w:val="24"/>
          <w:szCs w:val="24"/>
        </w:rPr>
      </w:pPr>
      <w:r>
        <w:rPr>
          <w:rFonts w:ascii="Arial" w:hAnsi="Arial" w:eastAsia="宋体" w:cs="Arial"/>
          <w:kern w:val="0"/>
          <w:sz w:val="24"/>
          <w:szCs w:val="24"/>
        </w:rPr>
        <w:t>NCCLS暂定指南EP5-T2。临床化学器械精确性性能的用户评价。维拉诺瓦，宾夕法尼亚州：国家临床实验室标准委员会，1992年。</w:t>
      </w:r>
    </w:p>
    <w:p w14:paraId="46F15C65">
      <w:pPr>
        <w:widowControl/>
        <w:numPr>
          <w:ilvl w:val="0"/>
          <w:numId w:val="8"/>
        </w:numPr>
        <w:tabs>
          <w:tab w:val="clear" w:pos="720"/>
        </w:tabs>
        <w:snapToGrid w:val="0"/>
        <w:spacing w:before="100" w:beforeAutospacing="1" w:after="100" w:afterAutospacing="1" w:line="300" w:lineRule="auto"/>
        <w:ind w:left="783" w:leftChars="140" w:hanging="489" w:hangingChars="204"/>
        <w:rPr>
          <w:rFonts w:ascii="Arial" w:hAnsi="Arial" w:eastAsia="宋体" w:cs="Arial"/>
          <w:kern w:val="0"/>
          <w:sz w:val="24"/>
          <w:szCs w:val="24"/>
        </w:rPr>
      </w:pPr>
      <w:r>
        <w:rPr>
          <w:rFonts w:ascii="Arial" w:hAnsi="Arial" w:eastAsia="宋体" w:cs="Arial"/>
          <w:kern w:val="0"/>
          <w:sz w:val="24"/>
          <w:szCs w:val="24"/>
        </w:rPr>
        <w:t>NCCLS拟定指南EP6-P。定量分析方法线性度的评价。维拉诺瓦，宾夕法尼亚州：国家临床实验室标准委员会，1986年。</w:t>
      </w:r>
    </w:p>
    <w:p w14:paraId="42FBEC7D">
      <w:pPr>
        <w:widowControl/>
        <w:numPr>
          <w:ilvl w:val="0"/>
          <w:numId w:val="8"/>
        </w:numPr>
        <w:tabs>
          <w:tab w:val="clear" w:pos="720"/>
        </w:tabs>
        <w:snapToGrid w:val="0"/>
        <w:spacing w:before="100" w:beforeAutospacing="1" w:after="100" w:afterAutospacing="1" w:line="300" w:lineRule="auto"/>
        <w:ind w:left="783" w:leftChars="140" w:hanging="489" w:hangingChars="204"/>
        <w:rPr>
          <w:rFonts w:ascii="Arial" w:hAnsi="Arial" w:eastAsia="宋体" w:cs="Arial"/>
          <w:kern w:val="0"/>
          <w:sz w:val="24"/>
          <w:szCs w:val="24"/>
        </w:rPr>
      </w:pPr>
      <w:r>
        <w:rPr>
          <w:rFonts w:ascii="Arial" w:hAnsi="Arial" w:eastAsia="宋体" w:cs="Arial"/>
          <w:kern w:val="0"/>
          <w:sz w:val="24"/>
          <w:szCs w:val="24"/>
        </w:rPr>
        <w:t>NCCLS拟定指南EP7-P。临床化学中的干扰试验。维拉诺瓦，宾夕法尼亚州：国家临床实验室标准委员会，1986年。</w:t>
      </w:r>
    </w:p>
    <w:p w14:paraId="0F755675">
      <w:pPr>
        <w:widowControl/>
        <w:numPr>
          <w:ilvl w:val="0"/>
          <w:numId w:val="8"/>
        </w:numPr>
        <w:tabs>
          <w:tab w:val="clear" w:pos="720"/>
        </w:tabs>
        <w:snapToGrid w:val="0"/>
        <w:spacing w:before="100" w:beforeAutospacing="1" w:after="100" w:afterAutospacing="1" w:line="300" w:lineRule="auto"/>
        <w:ind w:left="783" w:leftChars="140" w:hanging="489" w:hangingChars="204"/>
        <w:rPr>
          <w:rFonts w:ascii="Arial" w:hAnsi="Arial" w:eastAsia="宋体" w:cs="Arial"/>
          <w:kern w:val="0"/>
          <w:sz w:val="24"/>
          <w:szCs w:val="24"/>
        </w:rPr>
      </w:pPr>
      <w:r>
        <w:rPr>
          <w:rFonts w:ascii="Arial" w:hAnsi="Arial" w:eastAsia="宋体" w:cs="Arial"/>
          <w:kern w:val="0"/>
          <w:sz w:val="24"/>
          <w:szCs w:val="24"/>
        </w:rPr>
        <w:t>NCCLS暂定指南EP9-T。使用患者样本进行的方法比较和偏差估计。维拉诺瓦，宾夕法尼亚州：国家临床实验室标准委员会，1992年9月</w:t>
      </w:r>
    </w:p>
    <w:p w14:paraId="7EE614C6">
      <w:pPr>
        <w:widowControl/>
        <w:numPr>
          <w:ilvl w:val="0"/>
          <w:numId w:val="8"/>
        </w:numPr>
        <w:tabs>
          <w:tab w:val="clear" w:pos="720"/>
        </w:tabs>
        <w:snapToGrid w:val="0"/>
        <w:spacing w:before="100" w:beforeAutospacing="1" w:after="100" w:afterAutospacing="1" w:line="300" w:lineRule="auto"/>
        <w:ind w:left="783" w:leftChars="140" w:hanging="489" w:hangingChars="204"/>
        <w:rPr>
          <w:rFonts w:ascii="Arial" w:hAnsi="Arial" w:eastAsia="宋体" w:cs="Arial"/>
          <w:kern w:val="0"/>
          <w:sz w:val="24"/>
          <w:szCs w:val="24"/>
        </w:rPr>
      </w:pPr>
      <w:r>
        <w:rPr>
          <w:rFonts w:ascii="Arial" w:hAnsi="Arial" w:eastAsia="宋体" w:cs="Arial"/>
          <w:kern w:val="0"/>
          <w:sz w:val="24"/>
          <w:szCs w:val="24"/>
        </w:rPr>
        <w:t>Wenene R.K.，血细胞比容对葡萄糖试剂条试验的影响，糖尿病医学，1991 1：8：172-5。</w:t>
      </w:r>
    </w:p>
    <w:p w14:paraId="5EC46345">
      <w:pPr>
        <w:widowControl/>
        <w:numPr>
          <w:ilvl w:val="0"/>
          <w:numId w:val="8"/>
        </w:numPr>
        <w:tabs>
          <w:tab w:val="clear" w:pos="720"/>
        </w:tabs>
        <w:snapToGrid w:val="0"/>
        <w:spacing w:before="100" w:beforeAutospacing="1" w:after="100" w:afterAutospacing="1" w:line="300" w:lineRule="auto"/>
        <w:ind w:left="783" w:leftChars="140" w:hanging="489" w:hangingChars="204"/>
        <w:rPr>
          <w:rFonts w:ascii="Arial" w:hAnsi="Arial" w:eastAsia="宋体" w:cs="Arial"/>
          <w:kern w:val="0"/>
          <w:sz w:val="24"/>
          <w:szCs w:val="24"/>
        </w:rPr>
      </w:pPr>
      <w:r>
        <w:rPr>
          <w:rFonts w:ascii="Arial" w:hAnsi="Arial" w:eastAsia="宋体" w:cs="Arial"/>
          <w:kern w:val="0"/>
          <w:sz w:val="24"/>
          <w:szCs w:val="24"/>
        </w:rPr>
        <w:t>CDRH家用IVD工作组的报告。评估家用IVD的安全性和有效性：有关上市前提交的指南，1989年9月。</w:t>
      </w:r>
    </w:p>
    <w:p w14:paraId="4244A38D">
      <w:pPr>
        <w:widowControl/>
        <w:numPr>
          <w:ilvl w:val="0"/>
          <w:numId w:val="8"/>
        </w:numPr>
        <w:tabs>
          <w:tab w:val="clear" w:pos="720"/>
        </w:tabs>
        <w:snapToGrid w:val="0"/>
        <w:spacing w:before="100" w:beforeAutospacing="1" w:after="100" w:afterAutospacing="1" w:line="300" w:lineRule="auto"/>
        <w:ind w:left="783" w:leftChars="140" w:hanging="489" w:hangingChars="204"/>
        <w:rPr>
          <w:rFonts w:ascii="Arial" w:hAnsi="Arial" w:eastAsia="宋体" w:cs="Arial"/>
          <w:kern w:val="0"/>
          <w:sz w:val="24"/>
          <w:szCs w:val="24"/>
        </w:rPr>
      </w:pPr>
      <w:r>
        <w:rPr>
          <w:rFonts w:ascii="Arial" w:hAnsi="Arial" w:eastAsia="宋体" w:cs="Arial"/>
          <w:kern w:val="0"/>
          <w:sz w:val="24"/>
          <w:szCs w:val="24"/>
        </w:rPr>
        <w:t>接受510（k）审查的计算机控制医疗器械的审查员指南，1991年。</w:t>
      </w:r>
    </w:p>
    <w:p w14:paraId="2F61981C">
      <w:pPr>
        <w:widowControl/>
        <w:numPr>
          <w:ilvl w:val="0"/>
          <w:numId w:val="8"/>
        </w:numPr>
        <w:tabs>
          <w:tab w:val="clear" w:pos="720"/>
        </w:tabs>
        <w:snapToGrid w:val="0"/>
        <w:spacing w:before="100" w:beforeAutospacing="1" w:after="100" w:afterAutospacing="1" w:line="300" w:lineRule="auto"/>
        <w:ind w:left="783" w:leftChars="140" w:hanging="489" w:hangingChars="204"/>
        <w:rPr>
          <w:rFonts w:ascii="Arial" w:hAnsi="Arial" w:eastAsia="宋体" w:cs="Arial"/>
          <w:kern w:val="0"/>
          <w:sz w:val="24"/>
          <w:szCs w:val="24"/>
        </w:rPr>
      </w:pPr>
      <w:r>
        <w:rPr>
          <w:rFonts w:ascii="Arial" w:hAnsi="Arial" w:eastAsia="宋体" w:cs="Arial"/>
          <w:kern w:val="0"/>
          <w:sz w:val="24"/>
          <w:szCs w:val="24"/>
        </w:rPr>
        <w:t>正确书写，有关为家庭医疗中使用的医疗器械制定用户使用说明书的建议，1993年。</w:t>
      </w:r>
    </w:p>
    <w:p w14:paraId="2463EB7C">
      <w:pPr>
        <w:widowControl/>
        <w:numPr>
          <w:ilvl w:val="0"/>
          <w:numId w:val="8"/>
        </w:numPr>
        <w:tabs>
          <w:tab w:val="clear" w:pos="720"/>
        </w:tabs>
        <w:snapToGrid w:val="0"/>
        <w:spacing w:before="100" w:beforeAutospacing="1" w:after="100" w:afterAutospacing="1" w:line="300" w:lineRule="auto"/>
        <w:ind w:left="783" w:leftChars="140" w:hanging="489" w:hangingChars="204"/>
        <w:rPr>
          <w:rFonts w:ascii="Arial" w:hAnsi="Arial" w:eastAsia="宋体" w:cs="Arial"/>
          <w:kern w:val="0"/>
          <w:sz w:val="24"/>
          <w:szCs w:val="24"/>
        </w:rPr>
      </w:pPr>
      <w:r>
        <w:rPr>
          <w:rFonts w:ascii="Arial" w:hAnsi="Arial" w:eastAsia="宋体" w:cs="Arial"/>
          <w:kern w:val="0"/>
          <w:sz w:val="24"/>
          <w:szCs w:val="24"/>
        </w:rPr>
        <w:t>Phillipou，G.，Farrant，R.K.，Phillips，P.J.</w:t>
      </w:r>
      <w:r>
        <w:rPr>
          <w:rFonts w:ascii="Arial" w:hAnsi="Arial" w:eastAsia="宋体" w:cs="Arial"/>
        </w:rPr>
        <w:t xml:space="preserve"> </w:t>
      </w:r>
      <w:r>
        <w:rPr>
          <w:rFonts w:ascii="Arial" w:hAnsi="Arial" w:eastAsia="宋体" w:cs="Arial"/>
          <w:kern w:val="0"/>
          <w:sz w:val="24"/>
          <w:szCs w:val="24"/>
        </w:rPr>
        <w:t>用于葡萄糖试剂条和计量仪的水性葡萄糖控制溶液。临床化学，1989年； 35：2017-2018。</w:t>
      </w:r>
    </w:p>
    <w:p w14:paraId="477FABF6">
      <w:pPr>
        <w:widowControl/>
        <w:numPr>
          <w:ilvl w:val="0"/>
          <w:numId w:val="8"/>
        </w:numPr>
        <w:tabs>
          <w:tab w:val="clear" w:pos="720"/>
        </w:tabs>
        <w:snapToGrid w:val="0"/>
        <w:spacing w:before="100" w:beforeAutospacing="1" w:after="100" w:afterAutospacing="1" w:line="300" w:lineRule="auto"/>
        <w:ind w:left="783" w:leftChars="140" w:hanging="489" w:hangingChars="204"/>
        <w:rPr>
          <w:rFonts w:ascii="Arial" w:hAnsi="Arial" w:eastAsia="宋体" w:cs="Arial"/>
          <w:kern w:val="0"/>
          <w:sz w:val="24"/>
          <w:szCs w:val="24"/>
        </w:rPr>
      </w:pPr>
      <w:r>
        <w:rPr>
          <w:rFonts w:ascii="Arial" w:hAnsi="Arial" w:eastAsia="宋体" w:cs="Arial"/>
          <w:kern w:val="0"/>
          <w:sz w:val="24"/>
          <w:szCs w:val="24"/>
        </w:rPr>
        <w:t>Brooks，K.E.，Rawai，N.，Henderson，A.R。三种血糖监测仪的实验室评估。Accu-Chek 11，Glucometer 11和Glucoscan 2000. 临床化学，1986年，132：2195-2000。</w:t>
      </w:r>
    </w:p>
    <w:p w14:paraId="63939DEE">
      <w:pPr>
        <w:widowControl/>
        <w:numPr>
          <w:ilvl w:val="0"/>
          <w:numId w:val="8"/>
        </w:numPr>
        <w:tabs>
          <w:tab w:val="clear" w:pos="720"/>
        </w:tabs>
        <w:snapToGrid w:val="0"/>
        <w:spacing w:before="100" w:beforeAutospacing="1" w:after="100" w:afterAutospacing="1" w:line="300" w:lineRule="auto"/>
        <w:ind w:left="783" w:leftChars="140" w:hanging="489" w:hangingChars="204"/>
        <w:rPr>
          <w:rFonts w:ascii="Arial" w:hAnsi="Arial" w:eastAsia="宋体" w:cs="Arial"/>
          <w:kern w:val="0"/>
          <w:sz w:val="24"/>
          <w:szCs w:val="24"/>
        </w:rPr>
      </w:pPr>
      <w:r>
        <w:rPr>
          <w:rFonts w:ascii="Arial" w:hAnsi="Arial" w:eastAsia="宋体" w:cs="Arial"/>
          <w:kern w:val="0"/>
          <w:sz w:val="24"/>
          <w:szCs w:val="24"/>
        </w:rPr>
        <w:t>Rawai， N.， Henderson， A.R.用于血糖监测仪的质量控制材料。Refloflux 11（Boehringer Mannheim）和Sugar Chex（Streck Laboratories）控制。临床化学，1987年，133：1294-1295。</w:t>
      </w:r>
    </w:p>
    <w:p w14:paraId="245B3124">
      <w:pPr>
        <w:widowControl/>
        <w:numPr>
          <w:ilvl w:val="0"/>
          <w:numId w:val="8"/>
        </w:numPr>
        <w:tabs>
          <w:tab w:val="clear" w:pos="720"/>
        </w:tabs>
        <w:snapToGrid w:val="0"/>
        <w:spacing w:before="100" w:beforeAutospacing="1" w:after="100" w:afterAutospacing="1" w:line="300" w:lineRule="auto"/>
        <w:ind w:left="783" w:leftChars="140" w:hanging="489" w:hangingChars="204"/>
        <w:rPr>
          <w:rFonts w:ascii="Arial" w:hAnsi="Arial" w:eastAsia="宋体" w:cs="Arial"/>
          <w:kern w:val="0"/>
          <w:sz w:val="24"/>
          <w:szCs w:val="24"/>
        </w:rPr>
      </w:pPr>
      <w:r>
        <w:rPr>
          <w:rFonts w:ascii="Arial" w:hAnsi="Arial" w:eastAsia="宋体" w:cs="Arial"/>
          <w:kern w:val="0"/>
          <w:sz w:val="24"/>
          <w:szCs w:val="24"/>
        </w:rPr>
        <w:t>医院环境中的便携式血液分析。美国临床病理学家协会摘要报告，1983年11月。</w:t>
      </w:r>
    </w:p>
    <w:p w14:paraId="0B1BC2B6">
      <w:pPr>
        <w:widowControl/>
        <w:numPr>
          <w:ilvl w:val="0"/>
          <w:numId w:val="8"/>
        </w:numPr>
        <w:tabs>
          <w:tab w:val="clear" w:pos="720"/>
        </w:tabs>
        <w:snapToGrid w:val="0"/>
        <w:spacing w:before="100" w:beforeAutospacing="1" w:after="100" w:afterAutospacing="1" w:line="300" w:lineRule="auto"/>
        <w:ind w:left="783" w:leftChars="140" w:hanging="489" w:hangingChars="204"/>
        <w:rPr>
          <w:rFonts w:ascii="Arial" w:hAnsi="Arial" w:eastAsia="宋体" w:cs="Arial"/>
          <w:kern w:val="0"/>
          <w:sz w:val="24"/>
          <w:szCs w:val="24"/>
        </w:rPr>
      </w:pPr>
      <w:r>
        <w:rPr>
          <w:rFonts w:ascii="Arial" w:hAnsi="Arial" w:eastAsia="宋体" w:cs="Arial"/>
          <w:kern w:val="0"/>
          <w:sz w:val="24"/>
          <w:szCs w:val="24"/>
        </w:rPr>
        <w:t>Silberberg，Jeffrey L.因电磁干扰而产生的电子医疗器械性能下降。合规性设计，1993年。</w:t>
      </w:r>
    </w:p>
    <w:p w14:paraId="2FB0DECD">
      <w:pPr>
        <w:widowControl/>
        <w:numPr>
          <w:ilvl w:val="0"/>
          <w:numId w:val="8"/>
        </w:numPr>
        <w:tabs>
          <w:tab w:val="clear" w:pos="720"/>
        </w:tabs>
        <w:snapToGrid w:val="0"/>
        <w:spacing w:before="100" w:beforeAutospacing="1" w:after="100" w:afterAutospacing="1" w:line="300" w:lineRule="auto"/>
        <w:ind w:left="783" w:leftChars="140" w:hanging="489" w:hangingChars="204"/>
        <w:rPr>
          <w:rFonts w:ascii="Arial" w:hAnsi="Arial" w:eastAsia="宋体" w:cs="Arial"/>
          <w:kern w:val="0"/>
          <w:sz w:val="24"/>
          <w:szCs w:val="24"/>
        </w:rPr>
      </w:pPr>
      <w:r>
        <w:rPr>
          <w:rFonts w:ascii="Arial" w:hAnsi="Arial" w:eastAsia="宋体" w:cs="Arial"/>
          <w:kern w:val="0"/>
          <w:sz w:val="24"/>
          <w:szCs w:val="24"/>
        </w:rPr>
        <w:t>K.M. Hennessy，使用便携式BGM获得的血细胞比容效应结果，临床化学。第39卷，第6期，1993年。</w:t>
      </w:r>
    </w:p>
    <w:p w14:paraId="77E2FC46">
      <w:pPr>
        <w:widowControl/>
        <w:jc w:val="left"/>
        <w:rPr>
          <w:rFonts w:ascii="Arial" w:hAnsi="Arial" w:eastAsia="宋体" w:cs="Arial"/>
          <w:kern w:val="0"/>
          <w:sz w:val="24"/>
          <w:szCs w:val="24"/>
        </w:rPr>
      </w:pPr>
      <w:r>
        <w:rPr>
          <w:rFonts w:ascii="Arial" w:hAnsi="Arial" w:eastAsia="宋体" w:cs="Arial"/>
          <w:kern w:val="0"/>
          <w:sz w:val="24"/>
          <w:szCs w:val="24"/>
        </w:rPr>
        <w:br w:type="page"/>
      </w:r>
    </w:p>
    <w:p w14:paraId="2DB8670C">
      <w:pPr>
        <w:widowControl/>
        <w:snapToGrid w:val="0"/>
        <w:spacing w:beforeAutospacing="1" w:afterAutospacing="1" w:line="300" w:lineRule="auto"/>
        <w:rPr>
          <w:rFonts w:ascii="Arial" w:hAnsi="Arial" w:eastAsia="宋体" w:cs="Arial"/>
          <w:kern w:val="0"/>
          <w:sz w:val="24"/>
          <w:szCs w:val="24"/>
        </w:rPr>
      </w:pPr>
      <w:r>
        <w:rPr>
          <w:rFonts w:ascii="Arial" w:hAnsi="Arial" w:eastAsia="宋体" w:cs="Arial"/>
          <w:kern w:val="0"/>
          <w:sz w:val="24"/>
          <w:szCs w:val="24"/>
        </w:rPr>
        <w:t>缩略词</w:t>
      </w:r>
    </w:p>
    <w:p w14:paraId="0EFD0AED">
      <w:pPr>
        <w:widowControl/>
        <w:snapToGrid w:val="0"/>
        <w:spacing w:line="300" w:lineRule="auto"/>
        <w:rPr>
          <w:rFonts w:ascii="Arial" w:hAnsi="Arial" w:eastAsia="宋体" w:cs="Arial"/>
          <w:kern w:val="0"/>
          <w:sz w:val="24"/>
          <w:szCs w:val="24"/>
        </w:rPr>
      </w:pPr>
      <w:r>
        <w:rPr>
          <w:rFonts w:ascii="Arial" w:hAnsi="Arial" w:eastAsia="宋体" w:cs="Arial"/>
          <w:kern w:val="0"/>
          <w:sz w:val="24"/>
          <w:szCs w:val="24"/>
        </w:rPr>
        <w:t>BGM - 血糖监测仪</w:t>
      </w:r>
    </w:p>
    <w:p w14:paraId="2AD706A9">
      <w:pPr>
        <w:widowControl/>
        <w:snapToGrid w:val="0"/>
        <w:spacing w:line="300" w:lineRule="auto"/>
        <w:rPr>
          <w:rFonts w:ascii="Arial" w:hAnsi="Arial" w:eastAsia="宋体" w:cs="Arial"/>
          <w:kern w:val="0"/>
          <w:sz w:val="24"/>
          <w:szCs w:val="24"/>
        </w:rPr>
      </w:pPr>
      <w:r>
        <w:rPr>
          <w:rFonts w:ascii="Arial" w:hAnsi="Arial" w:eastAsia="宋体" w:cs="Arial"/>
          <w:kern w:val="0"/>
          <w:sz w:val="24"/>
          <w:szCs w:val="24"/>
        </w:rPr>
        <w:t>BGMg - 血糖监测</w:t>
      </w:r>
    </w:p>
    <w:p w14:paraId="65AC8737">
      <w:pPr>
        <w:widowControl/>
        <w:snapToGrid w:val="0"/>
        <w:spacing w:line="300" w:lineRule="auto"/>
        <w:rPr>
          <w:rFonts w:ascii="Arial" w:hAnsi="Arial" w:eastAsia="宋体" w:cs="Arial"/>
          <w:kern w:val="0"/>
          <w:sz w:val="24"/>
          <w:szCs w:val="24"/>
        </w:rPr>
      </w:pPr>
      <w:r>
        <w:rPr>
          <w:rFonts w:ascii="Arial" w:hAnsi="Arial" w:eastAsia="宋体" w:cs="Arial"/>
          <w:kern w:val="0"/>
          <w:sz w:val="24"/>
          <w:szCs w:val="24"/>
        </w:rPr>
        <w:t>CDC - 疾病控制中心</w:t>
      </w:r>
    </w:p>
    <w:p w14:paraId="2696B6FE">
      <w:pPr>
        <w:widowControl/>
        <w:snapToGrid w:val="0"/>
        <w:spacing w:line="300" w:lineRule="auto"/>
        <w:rPr>
          <w:rFonts w:ascii="Arial" w:hAnsi="Arial" w:eastAsia="宋体" w:cs="Arial"/>
          <w:kern w:val="0"/>
          <w:sz w:val="24"/>
          <w:szCs w:val="24"/>
        </w:rPr>
      </w:pPr>
      <w:r>
        <w:rPr>
          <w:rFonts w:ascii="Arial" w:hAnsi="Arial" w:eastAsia="宋体" w:cs="Arial"/>
          <w:kern w:val="0"/>
          <w:sz w:val="24"/>
          <w:szCs w:val="24"/>
        </w:rPr>
        <w:t>CDRH -器械与放射健康中心</w:t>
      </w:r>
    </w:p>
    <w:p w14:paraId="39D284B4">
      <w:pPr>
        <w:widowControl/>
        <w:snapToGrid w:val="0"/>
        <w:spacing w:line="300" w:lineRule="auto"/>
        <w:rPr>
          <w:rFonts w:ascii="Arial" w:hAnsi="Arial" w:eastAsia="宋体" w:cs="Arial"/>
          <w:kern w:val="0"/>
          <w:sz w:val="24"/>
          <w:szCs w:val="24"/>
        </w:rPr>
      </w:pPr>
      <w:r>
        <w:rPr>
          <w:rFonts w:ascii="Arial" w:hAnsi="Arial" w:eastAsia="宋体" w:cs="Arial"/>
          <w:kern w:val="0"/>
          <w:sz w:val="24"/>
          <w:szCs w:val="24"/>
        </w:rPr>
        <w:t>FDA - 食品药品监督管理局</w:t>
      </w:r>
    </w:p>
    <w:p w14:paraId="65D7D0EE">
      <w:pPr>
        <w:widowControl/>
        <w:snapToGrid w:val="0"/>
        <w:spacing w:line="300" w:lineRule="auto"/>
        <w:rPr>
          <w:rFonts w:ascii="Arial" w:hAnsi="Arial" w:eastAsia="宋体" w:cs="Arial"/>
          <w:kern w:val="0"/>
          <w:sz w:val="24"/>
          <w:szCs w:val="24"/>
        </w:rPr>
      </w:pPr>
      <w:r>
        <w:rPr>
          <w:rFonts w:ascii="Arial" w:hAnsi="Arial" w:eastAsia="宋体" w:cs="Arial"/>
          <w:kern w:val="0"/>
          <w:sz w:val="24"/>
          <w:szCs w:val="24"/>
        </w:rPr>
        <w:t>IVD - 体外诊断</w:t>
      </w:r>
    </w:p>
    <w:p w14:paraId="6A34AC87">
      <w:pPr>
        <w:widowControl/>
        <w:snapToGrid w:val="0"/>
        <w:spacing w:line="300" w:lineRule="auto"/>
        <w:rPr>
          <w:rFonts w:ascii="Arial" w:hAnsi="Arial" w:eastAsia="宋体" w:cs="Arial"/>
          <w:kern w:val="0"/>
          <w:sz w:val="24"/>
          <w:szCs w:val="24"/>
        </w:rPr>
      </w:pPr>
      <w:r>
        <w:rPr>
          <w:rFonts w:ascii="Arial" w:hAnsi="Arial" w:eastAsia="宋体" w:cs="Arial"/>
          <w:kern w:val="0"/>
          <w:sz w:val="24"/>
          <w:szCs w:val="24"/>
        </w:rPr>
        <w:t>NCCLS - 国家临床实验室标准委员会</w:t>
      </w:r>
    </w:p>
    <w:p w14:paraId="2170AC42">
      <w:pPr>
        <w:widowControl/>
        <w:snapToGrid w:val="0"/>
        <w:spacing w:line="300" w:lineRule="auto"/>
        <w:rPr>
          <w:rFonts w:ascii="Arial" w:hAnsi="Arial" w:eastAsia="宋体" w:cs="Arial"/>
          <w:kern w:val="0"/>
          <w:sz w:val="24"/>
          <w:szCs w:val="24"/>
        </w:rPr>
      </w:pPr>
      <w:r>
        <w:rPr>
          <w:rFonts w:ascii="Arial" w:hAnsi="Arial" w:eastAsia="宋体" w:cs="Arial"/>
          <w:kern w:val="0"/>
          <w:sz w:val="24"/>
          <w:szCs w:val="24"/>
        </w:rPr>
        <w:t>NIH - 美国国家卫生研究所</w:t>
      </w:r>
    </w:p>
    <w:p w14:paraId="2A290AD1">
      <w:pPr>
        <w:widowControl/>
        <w:snapToGrid w:val="0"/>
        <w:spacing w:line="300" w:lineRule="auto"/>
        <w:rPr>
          <w:rFonts w:ascii="Arial" w:hAnsi="Arial" w:eastAsia="宋体" w:cs="Arial"/>
          <w:kern w:val="0"/>
          <w:sz w:val="24"/>
          <w:szCs w:val="24"/>
        </w:rPr>
      </w:pPr>
      <w:r>
        <w:rPr>
          <w:rFonts w:ascii="Arial" w:hAnsi="Arial" w:eastAsia="宋体" w:cs="Arial"/>
          <w:kern w:val="0"/>
          <w:sz w:val="24"/>
          <w:szCs w:val="24"/>
        </w:rPr>
        <w:t>NIST - 国家标准与技术研究所</w:t>
      </w:r>
    </w:p>
    <w:p w14:paraId="33E1D692">
      <w:pPr>
        <w:widowControl/>
        <w:snapToGrid w:val="0"/>
        <w:spacing w:line="300" w:lineRule="auto"/>
        <w:rPr>
          <w:rFonts w:ascii="Arial" w:hAnsi="Arial" w:eastAsia="宋体" w:cs="Arial"/>
          <w:kern w:val="0"/>
          <w:sz w:val="24"/>
          <w:szCs w:val="24"/>
        </w:rPr>
      </w:pPr>
      <w:r>
        <w:rPr>
          <w:rFonts w:ascii="Arial" w:hAnsi="Arial" w:eastAsia="宋体" w:cs="Arial"/>
          <w:kern w:val="0"/>
          <w:sz w:val="24"/>
          <w:szCs w:val="24"/>
        </w:rPr>
        <w:t>POC - 护理点</w:t>
      </w:r>
    </w:p>
    <w:p w14:paraId="31CAA1C3">
      <w:pPr>
        <w:widowControl/>
        <w:snapToGrid w:val="0"/>
        <w:spacing w:line="300" w:lineRule="auto"/>
        <w:rPr>
          <w:rFonts w:ascii="Arial" w:hAnsi="Arial" w:eastAsia="宋体" w:cs="Arial"/>
          <w:kern w:val="0"/>
          <w:sz w:val="24"/>
          <w:szCs w:val="24"/>
        </w:rPr>
      </w:pPr>
      <w:r>
        <w:rPr>
          <w:rFonts w:ascii="Arial" w:hAnsi="Arial" w:eastAsia="宋体" w:cs="Arial"/>
          <w:kern w:val="0"/>
          <w:sz w:val="24"/>
          <w:szCs w:val="24"/>
        </w:rPr>
        <w:t>POL - 医师办公室实验室</w:t>
      </w:r>
    </w:p>
    <w:p w14:paraId="75C46827">
      <w:pPr>
        <w:widowControl/>
        <w:snapToGrid w:val="0"/>
        <w:spacing w:line="300" w:lineRule="auto"/>
        <w:rPr>
          <w:rFonts w:ascii="Arial" w:hAnsi="Arial" w:eastAsia="宋体" w:cs="Arial"/>
          <w:kern w:val="0"/>
          <w:sz w:val="24"/>
          <w:szCs w:val="24"/>
        </w:rPr>
      </w:pPr>
      <w:r>
        <w:rPr>
          <w:rFonts w:ascii="Arial" w:hAnsi="Arial" w:eastAsia="宋体" w:cs="Arial"/>
          <w:kern w:val="0"/>
          <w:sz w:val="24"/>
          <w:szCs w:val="24"/>
        </w:rPr>
        <w:t>SMBG - 自我监测血糖</w:t>
      </w:r>
    </w:p>
    <w:p w14:paraId="02D431CF">
      <w:pPr>
        <w:widowControl/>
        <w:snapToGrid w:val="0"/>
        <w:spacing w:before="100" w:beforeAutospacing="1" w:after="100" w:afterAutospacing="1" w:line="300" w:lineRule="auto"/>
        <w:rPr>
          <w:rFonts w:ascii="Arial" w:hAnsi="Arial" w:eastAsia="宋体" w:cs="Arial"/>
          <w:b/>
          <w:kern w:val="0"/>
          <w:sz w:val="24"/>
          <w:szCs w:val="24"/>
        </w:rPr>
      </w:pPr>
      <w:r>
        <w:rPr>
          <w:rFonts w:ascii="Arial" w:hAnsi="Arial" w:eastAsia="宋体" w:cs="Arial"/>
          <w:b/>
          <w:kern w:val="0"/>
          <w:sz w:val="24"/>
          <w:szCs w:val="24"/>
        </w:rPr>
        <w:t>备忘录</w:t>
      </w:r>
    </w:p>
    <w:p w14:paraId="68FF19D4">
      <w:pPr>
        <w:widowControl/>
        <w:snapToGrid w:val="0"/>
        <w:spacing w:before="100" w:beforeAutospacing="1" w:after="100" w:afterAutospacing="1" w:line="300" w:lineRule="auto"/>
        <w:rPr>
          <w:rFonts w:ascii="Arial" w:hAnsi="Arial" w:eastAsia="宋体" w:cs="Arial"/>
          <w:kern w:val="0"/>
          <w:sz w:val="24"/>
          <w:szCs w:val="24"/>
        </w:rPr>
      </w:pPr>
      <w:r>
        <w:rPr>
          <w:rFonts w:ascii="Arial" w:hAnsi="Arial" w:eastAsia="宋体" w:cs="Arial"/>
          <w:kern w:val="0"/>
          <w:sz w:val="24"/>
          <w:szCs w:val="24"/>
        </w:rPr>
        <w:t>说明：贵公司编制提交资料时，请使用此便携式血糖仪上市前通告备忘录作为指南。</w:t>
      </w:r>
    </w:p>
    <w:p w14:paraId="792B6AA7">
      <w:pPr>
        <w:widowControl/>
        <w:numPr>
          <w:ilvl w:val="0"/>
          <w:numId w:val="9"/>
        </w:numPr>
        <w:tabs>
          <w:tab w:val="clear" w:pos="720"/>
        </w:tabs>
        <w:snapToGrid w:val="0"/>
        <w:spacing w:before="100" w:beforeAutospacing="1" w:after="100" w:afterAutospacing="1" w:line="300" w:lineRule="auto"/>
        <w:ind w:left="1050" w:leftChars="267" w:hanging="489" w:hangingChars="204"/>
        <w:rPr>
          <w:rFonts w:ascii="Arial" w:hAnsi="Arial" w:eastAsia="宋体" w:cs="Arial"/>
          <w:kern w:val="0"/>
          <w:sz w:val="24"/>
          <w:szCs w:val="24"/>
        </w:rPr>
      </w:pPr>
      <w:r>
        <w:rPr>
          <w:rFonts w:ascii="Arial" w:hAnsi="Arial" w:eastAsia="宋体" w:cs="Arial"/>
          <w:kern w:val="0"/>
          <w:sz w:val="24"/>
          <w:szCs w:val="24"/>
        </w:rPr>
        <w:t>CDRH上市前提交封面</w:t>
      </w:r>
    </w:p>
    <w:p w14:paraId="01646A35">
      <w:pPr>
        <w:widowControl/>
        <w:numPr>
          <w:ilvl w:val="0"/>
          <w:numId w:val="9"/>
        </w:numPr>
        <w:tabs>
          <w:tab w:val="clear" w:pos="720"/>
        </w:tabs>
        <w:snapToGrid w:val="0"/>
        <w:spacing w:before="100" w:beforeAutospacing="1" w:after="100" w:afterAutospacing="1" w:line="300" w:lineRule="auto"/>
        <w:ind w:left="1050" w:leftChars="267" w:hanging="489" w:hangingChars="204"/>
        <w:rPr>
          <w:rFonts w:ascii="Arial" w:hAnsi="Arial" w:eastAsia="宋体" w:cs="Arial"/>
          <w:kern w:val="0"/>
          <w:sz w:val="24"/>
          <w:szCs w:val="24"/>
        </w:rPr>
      </w:pPr>
      <w:r>
        <w:rPr>
          <w:rFonts w:ascii="Arial" w:hAnsi="Arial" w:eastAsia="宋体" w:cs="Arial"/>
          <w:kern w:val="0"/>
          <w:sz w:val="24"/>
          <w:szCs w:val="24"/>
        </w:rPr>
        <w:t>符合21 CFR 807.87（j）要求且真实准确的详细声明。不允许添加以及删除。</w:t>
      </w:r>
    </w:p>
    <w:p w14:paraId="102D5250">
      <w:pPr>
        <w:widowControl/>
        <w:numPr>
          <w:ilvl w:val="0"/>
          <w:numId w:val="9"/>
        </w:numPr>
        <w:tabs>
          <w:tab w:val="clear" w:pos="720"/>
        </w:tabs>
        <w:snapToGrid w:val="0"/>
        <w:spacing w:before="100" w:beforeAutospacing="1" w:after="100" w:afterAutospacing="1" w:line="300" w:lineRule="auto"/>
        <w:ind w:left="1050" w:leftChars="267" w:hanging="489" w:hangingChars="204"/>
        <w:rPr>
          <w:rFonts w:ascii="Arial" w:hAnsi="Arial" w:eastAsia="宋体" w:cs="Arial"/>
          <w:kern w:val="0"/>
          <w:sz w:val="24"/>
          <w:szCs w:val="24"/>
        </w:rPr>
      </w:pPr>
      <w:r>
        <w:rPr>
          <w:rFonts w:ascii="Arial" w:hAnsi="Arial" w:eastAsia="宋体" w:cs="Arial"/>
          <w:kern w:val="0"/>
          <w:sz w:val="24"/>
          <w:szCs w:val="24"/>
        </w:rPr>
        <w:t>510（k）21 CFR 807.92或21 CFR 807.93要求的总结或声明。</w:t>
      </w:r>
    </w:p>
    <w:p w14:paraId="08870681">
      <w:pPr>
        <w:widowControl/>
        <w:numPr>
          <w:ilvl w:val="0"/>
          <w:numId w:val="9"/>
        </w:numPr>
        <w:tabs>
          <w:tab w:val="clear" w:pos="720"/>
        </w:tabs>
        <w:snapToGrid w:val="0"/>
        <w:spacing w:before="100" w:beforeAutospacing="1" w:after="100" w:afterAutospacing="1" w:line="300" w:lineRule="auto"/>
        <w:ind w:left="1050" w:leftChars="267" w:hanging="489" w:hangingChars="204"/>
        <w:rPr>
          <w:rFonts w:ascii="Arial" w:hAnsi="Arial" w:eastAsia="宋体" w:cs="Arial"/>
          <w:kern w:val="0"/>
          <w:sz w:val="24"/>
          <w:szCs w:val="24"/>
        </w:rPr>
      </w:pPr>
      <w:r>
        <w:rPr>
          <w:rFonts w:ascii="Arial" w:hAnsi="Arial" w:eastAsia="宋体" w:cs="Arial"/>
          <w:kern w:val="0"/>
          <w:sz w:val="24"/>
          <w:szCs w:val="24"/>
        </w:rPr>
        <w:t>在单独页面上提供的适应症。</w:t>
      </w:r>
    </w:p>
    <w:p w14:paraId="2E2A30E6">
      <w:pPr>
        <w:widowControl/>
        <w:numPr>
          <w:ilvl w:val="0"/>
          <w:numId w:val="9"/>
        </w:numPr>
        <w:tabs>
          <w:tab w:val="clear" w:pos="720"/>
        </w:tabs>
        <w:snapToGrid w:val="0"/>
        <w:spacing w:before="100" w:beforeAutospacing="1" w:after="100" w:afterAutospacing="1" w:line="300" w:lineRule="auto"/>
        <w:ind w:left="1050" w:leftChars="267" w:hanging="489" w:hangingChars="204"/>
        <w:rPr>
          <w:rFonts w:ascii="Arial" w:hAnsi="Arial" w:eastAsia="宋体" w:cs="Arial"/>
          <w:kern w:val="0"/>
          <w:sz w:val="24"/>
          <w:szCs w:val="24"/>
        </w:rPr>
      </w:pPr>
      <w:r>
        <w:rPr>
          <w:rFonts w:ascii="Arial" w:hAnsi="Arial" w:eastAsia="宋体" w:cs="Arial"/>
          <w:kern w:val="0"/>
          <w:sz w:val="24"/>
          <w:szCs w:val="24"/>
        </w:rPr>
        <w:t>符合21 CFR 809.10（b）针对便携式血糖监测仪的要求的体外诊断产品标签。</w:t>
      </w:r>
    </w:p>
    <w:p w14:paraId="122276FB">
      <w:pPr>
        <w:widowControl/>
        <w:numPr>
          <w:ilvl w:val="1"/>
          <w:numId w:val="9"/>
        </w:numPr>
        <w:tabs>
          <w:tab w:val="clear" w:pos="1440"/>
        </w:tabs>
        <w:snapToGrid w:val="0"/>
        <w:spacing w:before="100" w:beforeAutospacing="1" w:after="100" w:afterAutospacing="1" w:line="300" w:lineRule="auto"/>
        <w:ind w:left="0" w:firstLine="1152" w:firstLineChars="478"/>
        <w:rPr>
          <w:rFonts w:ascii="Arial" w:hAnsi="Arial" w:eastAsia="宋体" w:cs="Arial"/>
          <w:b/>
          <w:kern w:val="0"/>
          <w:sz w:val="24"/>
          <w:szCs w:val="24"/>
        </w:rPr>
      </w:pPr>
      <w:r>
        <w:rPr>
          <w:rFonts w:ascii="Arial" w:hAnsi="Arial" w:eastAsia="宋体" w:cs="Arial"/>
          <w:b/>
          <w:kern w:val="0"/>
          <w:sz w:val="24"/>
          <w:szCs w:val="24"/>
        </w:rPr>
        <w:t>预期用途</w:t>
      </w:r>
    </w:p>
    <w:p w14:paraId="52E3E49C">
      <w:pPr>
        <w:widowControl/>
        <w:snapToGrid w:val="0"/>
        <w:spacing w:line="300" w:lineRule="auto"/>
        <w:ind w:firstLine="1665" w:firstLineChars="694"/>
        <w:rPr>
          <w:rFonts w:ascii="Arial" w:hAnsi="Arial" w:eastAsia="宋体" w:cs="Arial"/>
          <w:kern w:val="0"/>
          <w:sz w:val="24"/>
          <w:szCs w:val="24"/>
        </w:rPr>
      </w:pPr>
      <w:r>
        <w:rPr>
          <w:rFonts w:ascii="Arial" w:hAnsi="Arial" w:eastAsia="宋体" w:cs="Arial"/>
          <w:kern w:val="0"/>
          <w:sz w:val="24"/>
          <w:szCs w:val="24"/>
        </w:rPr>
        <w:t>器械标识</w:t>
      </w:r>
    </w:p>
    <w:p w14:paraId="53F68D57">
      <w:pPr>
        <w:widowControl/>
        <w:snapToGrid w:val="0"/>
        <w:spacing w:line="300" w:lineRule="auto"/>
        <w:ind w:firstLine="1665" w:firstLineChars="694"/>
        <w:rPr>
          <w:rFonts w:ascii="Arial" w:hAnsi="Arial" w:eastAsia="宋体" w:cs="Arial"/>
          <w:kern w:val="0"/>
          <w:sz w:val="24"/>
          <w:szCs w:val="24"/>
        </w:rPr>
      </w:pPr>
      <w:r>
        <w:rPr>
          <w:rFonts w:ascii="Arial" w:hAnsi="Arial" w:eastAsia="宋体" w:cs="Arial"/>
          <w:kern w:val="0"/>
          <w:sz w:val="24"/>
          <w:szCs w:val="24"/>
        </w:rPr>
        <w:t>用户标识</w:t>
      </w:r>
    </w:p>
    <w:p w14:paraId="341F7BFF">
      <w:pPr>
        <w:widowControl/>
        <w:snapToGrid w:val="0"/>
        <w:spacing w:line="300" w:lineRule="auto"/>
        <w:ind w:firstLine="1665" w:firstLineChars="694"/>
        <w:rPr>
          <w:rFonts w:ascii="Arial" w:hAnsi="Arial" w:eastAsia="宋体" w:cs="Arial"/>
          <w:kern w:val="0"/>
          <w:sz w:val="24"/>
          <w:szCs w:val="24"/>
        </w:rPr>
      </w:pPr>
      <w:r>
        <w:rPr>
          <w:rFonts w:ascii="Arial" w:hAnsi="Arial" w:eastAsia="宋体" w:cs="Arial"/>
          <w:kern w:val="0"/>
          <w:sz w:val="24"/>
          <w:szCs w:val="24"/>
        </w:rPr>
        <w:t>矩阵</w:t>
      </w:r>
    </w:p>
    <w:p w14:paraId="7451A9EA">
      <w:pPr>
        <w:widowControl/>
        <w:snapToGrid w:val="0"/>
        <w:spacing w:line="300" w:lineRule="auto"/>
        <w:ind w:firstLine="1665" w:firstLineChars="694"/>
        <w:rPr>
          <w:rFonts w:ascii="Arial" w:hAnsi="Arial" w:eastAsia="宋体" w:cs="Arial"/>
          <w:kern w:val="0"/>
          <w:sz w:val="24"/>
          <w:szCs w:val="24"/>
        </w:rPr>
      </w:pPr>
      <w:r>
        <w:rPr>
          <w:rFonts w:ascii="Arial" w:hAnsi="Arial" w:eastAsia="宋体" w:cs="Arial"/>
          <w:kern w:val="0"/>
          <w:sz w:val="24"/>
          <w:szCs w:val="24"/>
        </w:rPr>
        <w:t>家用</w:t>
      </w:r>
    </w:p>
    <w:p w14:paraId="408C257A">
      <w:pPr>
        <w:widowControl/>
        <w:snapToGrid w:val="0"/>
        <w:spacing w:line="300" w:lineRule="auto"/>
        <w:ind w:firstLine="1665" w:firstLineChars="694"/>
        <w:rPr>
          <w:rFonts w:ascii="Arial" w:hAnsi="Arial" w:eastAsia="宋体" w:cs="Arial"/>
          <w:kern w:val="0"/>
          <w:sz w:val="24"/>
          <w:szCs w:val="24"/>
        </w:rPr>
      </w:pPr>
      <w:r>
        <w:rPr>
          <w:rFonts w:ascii="Arial" w:hAnsi="Arial" w:eastAsia="宋体" w:cs="Arial"/>
          <w:kern w:val="0"/>
          <w:sz w:val="24"/>
          <w:szCs w:val="24"/>
        </w:rPr>
        <w:t>护理点使用（POC）</w:t>
      </w:r>
    </w:p>
    <w:p w14:paraId="3B5EABA2">
      <w:pPr>
        <w:widowControl/>
        <w:snapToGrid w:val="0"/>
        <w:spacing w:line="300" w:lineRule="auto"/>
        <w:ind w:firstLine="1665" w:firstLineChars="694"/>
        <w:rPr>
          <w:rFonts w:ascii="Arial" w:hAnsi="Arial" w:eastAsia="宋体" w:cs="Arial"/>
          <w:kern w:val="0"/>
          <w:sz w:val="24"/>
          <w:szCs w:val="24"/>
        </w:rPr>
      </w:pPr>
      <w:r>
        <w:rPr>
          <w:rFonts w:ascii="Arial" w:hAnsi="Arial" w:eastAsia="宋体" w:cs="Arial"/>
          <w:kern w:val="0"/>
          <w:sz w:val="24"/>
          <w:szCs w:val="24"/>
        </w:rPr>
        <w:t>医师办公室实验室使用（POL）</w:t>
      </w:r>
    </w:p>
    <w:p w14:paraId="744EF4E7">
      <w:pPr>
        <w:widowControl/>
        <w:snapToGrid w:val="0"/>
        <w:spacing w:line="300" w:lineRule="auto"/>
        <w:ind w:firstLine="1665" w:firstLineChars="694"/>
        <w:rPr>
          <w:rFonts w:ascii="Arial" w:hAnsi="Arial" w:eastAsia="宋体" w:cs="Arial"/>
          <w:kern w:val="0"/>
          <w:sz w:val="24"/>
          <w:szCs w:val="24"/>
        </w:rPr>
      </w:pPr>
      <w:r>
        <w:rPr>
          <w:rFonts w:ascii="Arial" w:hAnsi="Arial" w:eastAsia="宋体" w:cs="Arial"/>
          <w:kern w:val="0"/>
          <w:sz w:val="24"/>
          <w:szCs w:val="24"/>
        </w:rPr>
        <w:t>定量</w:t>
      </w:r>
    </w:p>
    <w:p w14:paraId="48A0749E">
      <w:pPr>
        <w:widowControl/>
        <w:snapToGrid w:val="0"/>
        <w:spacing w:line="300" w:lineRule="auto"/>
        <w:ind w:firstLine="1665" w:firstLineChars="694"/>
        <w:rPr>
          <w:rFonts w:ascii="Arial" w:hAnsi="Arial" w:eastAsia="宋体" w:cs="Arial"/>
          <w:kern w:val="0"/>
          <w:sz w:val="24"/>
          <w:szCs w:val="24"/>
        </w:rPr>
      </w:pPr>
      <w:r>
        <w:rPr>
          <w:rFonts w:ascii="Arial" w:hAnsi="Arial" w:eastAsia="宋体" w:cs="Arial"/>
          <w:kern w:val="0"/>
          <w:sz w:val="24"/>
          <w:szCs w:val="24"/>
        </w:rPr>
        <w:t>半定量/定性（目视解释、色块或颜色图表）</w:t>
      </w:r>
    </w:p>
    <w:p w14:paraId="77083A5A">
      <w:pPr>
        <w:widowControl/>
        <w:numPr>
          <w:ilvl w:val="1"/>
          <w:numId w:val="9"/>
        </w:numPr>
        <w:tabs>
          <w:tab w:val="clear" w:pos="1440"/>
        </w:tabs>
        <w:snapToGrid w:val="0"/>
        <w:spacing w:before="100" w:beforeAutospacing="1" w:after="100" w:afterAutospacing="1" w:line="300" w:lineRule="auto"/>
        <w:ind w:left="0" w:firstLine="1152" w:firstLineChars="478"/>
        <w:rPr>
          <w:rFonts w:ascii="Arial" w:hAnsi="Arial" w:eastAsia="宋体" w:cs="Arial"/>
          <w:kern w:val="0"/>
          <w:sz w:val="24"/>
          <w:szCs w:val="24"/>
        </w:rPr>
      </w:pPr>
      <w:r>
        <w:rPr>
          <w:rFonts w:ascii="Arial" w:hAnsi="Arial" w:eastAsia="宋体" w:cs="Arial"/>
          <w:b/>
          <w:bCs/>
          <w:kern w:val="0"/>
          <w:sz w:val="24"/>
          <w:szCs w:val="24"/>
        </w:rPr>
        <w:t>存储/维护 </w:t>
      </w:r>
    </w:p>
    <w:p w14:paraId="721B9203">
      <w:pPr>
        <w:widowControl/>
        <w:snapToGrid w:val="0"/>
        <w:spacing w:line="300" w:lineRule="auto"/>
        <w:ind w:firstLine="1665" w:firstLineChars="694"/>
        <w:rPr>
          <w:rFonts w:ascii="Arial" w:hAnsi="Arial" w:eastAsia="宋体" w:cs="Arial"/>
          <w:kern w:val="0"/>
          <w:sz w:val="24"/>
          <w:szCs w:val="24"/>
        </w:rPr>
      </w:pPr>
      <w:r>
        <w:rPr>
          <w:rFonts w:ascii="Arial" w:hAnsi="Arial" w:eastAsia="宋体" w:cs="Arial"/>
          <w:kern w:val="0"/>
          <w:sz w:val="24"/>
          <w:szCs w:val="24"/>
        </w:rPr>
        <w:t>血糖系统（试纸、计量表、控件）带表（电池安装、清洁建议）</w:t>
      </w:r>
    </w:p>
    <w:p w14:paraId="23B0E8F8">
      <w:pPr>
        <w:widowControl/>
        <w:numPr>
          <w:ilvl w:val="1"/>
          <w:numId w:val="9"/>
        </w:numPr>
        <w:tabs>
          <w:tab w:val="clear" w:pos="1440"/>
        </w:tabs>
        <w:snapToGrid w:val="0"/>
        <w:spacing w:before="100" w:beforeAutospacing="1" w:after="100" w:afterAutospacing="1" w:line="300" w:lineRule="auto"/>
        <w:ind w:left="0" w:firstLine="1152" w:firstLineChars="478"/>
        <w:rPr>
          <w:rFonts w:ascii="Arial" w:hAnsi="Arial" w:eastAsia="宋体" w:cs="Arial"/>
          <w:kern w:val="0"/>
          <w:sz w:val="24"/>
          <w:szCs w:val="24"/>
        </w:rPr>
      </w:pPr>
      <w:r>
        <w:rPr>
          <w:rFonts w:ascii="Arial" w:hAnsi="Arial" w:eastAsia="宋体" w:cs="Arial"/>
          <w:b/>
          <w:bCs/>
          <w:kern w:val="0"/>
          <w:sz w:val="24"/>
          <w:szCs w:val="24"/>
        </w:rPr>
        <w:t>样本采集/制备</w:t>
      </w:r>
    </w:p>
    <w:p w14:paraId="0C183E70">
      <w:pPr>
        <w:widowControl/>
        <w:snapToGrid w:val="0"/>
        <w:spacing w:line="300" w:lineRule="auto"/>
        <w:ind w:firstLine="1665" w:firstLineChars="694"/>
        <w:rPr>
          <w:rFonts w:ascii="Arial" w:hAnsi="Arial" w:eastAsia="宋体" w:cs="Arial"/>
          <w:kern w:val="0"/>
          <w:sz w:val="24"/>
          <w:szCs w:val="24"/>
        </w:rPr>
      </w:pPr>
      <w:r>
        <w:rPr>
          <w:rFonts w:ascii="Arial" w:hAnsi="Arial" w:eastAsia="宋体" w:cs="Arial"/>
          <w:kern w:val="0"/>
          <w:sz w:val="24"/>
          <w:szCs w:val="24"/>
        </w:rPr>
        <w:t>毛细血管全血（手指针刺）</w:t>
      </w:r>
    </w:p>
    <w:p w14:paraId="77B8E4C1">
      <w:pPr>
        <w:widowControl/>
        <w:snapToGrid w:val="0"/>
        <w:spacing w:line="300" w:lineRule="auto"/>
        <w:ind w:firstLine="1665" w:firstLineChars="694"/>
        <w:rPr>
          <w:rFonts w:ascii="Arial" w:hAnsi="Arial" w:eastAsia="宋体" w:cs="Arial"/>
          <w:kern w:val="0"/>
          <w:sz w:val="24"/>
          <w:szCs w:val="24"/>
        </w:rPr>
      </w:pPr>
      <w:r>
        <w:rPr>
          <w:rFonts w:ascii="Arial" w:hAnsi="Arial" w:eastAsia="宋体" w:cs="Arial"/>
          <w:kern w:val="0"/>
          <w:sz w:val="24"/>
          <w:szCs w:val="24"/>
        </w:rPr>
        <w:t>静脉全血</w:t>
      </w:r>
    </w:p>
    <w:p w14:paraId="491F1B80">
      <w:pPr>
        <w:widowControl/>
        <w:snapToGrid w:val="0"/>
        <w:spacing w:line="300" w:lineRule="auto"/>
        <w:ind w:firstLine="1665" w:firstLineChars="694"/>
        <w:rPr>
          <w:rFonts w:ascii="Arial" w:hAnsi="Arial" w:eastAsia="宋体" w:cs="Arial"/>
          <w:kern w:val="0"/>
          <w:sz w:val="24"/>
          <w:szCs w:val="24"/>
        </w:rPr>
      </w:pPr>
      <w:r>
        <w:rPr>
          <w:rFonts w:ascii="Arial" w:hAnsi="Arial" w:eastAsia="宋体" w:cs="Arial"/>
          <w:kern w:val="0"/>
          <w:sz w:val="24"/>
          <w:szCs w:val="24"/>
        </w:rPr>
        <w:t>动脉全血</w:t>
      </w:r>
    </w:p>
    <w:p w14:paraId="4D19D2F4">
      <w:pPr>
        <w:widowControl/>
        <w:numPr>
          <w:ilvl w:val="1"/>
          <w:numId w:val="9"/>
        </w:numPr>
        <w:tabs>
          <w:tab w:val="clear" w:pos="1440"/>
        </w:tabs>
        <w:snapToGrid w:val="0"/>
        <w:spacing w:before="100" w:beforeAutospacing="1" w:after="100" w:afterAutospacing="1" w:line="300" w:lineRule="auto"/>
        <w:ind w:left="0" w:firstLine="1152" w:firstLineChars="478"/>
        <w:rPr>
          <w:rFonts w:ascii="Arial" w:hAnsi="Arial" w:eastAsia="宋体" w:cs="Arial"/>
          <w:b/>
          <w:kern w:val="0"/>
          <w:sz w:val="24"/>
          <w:szCs w:val="24"/>
        </w:rPr>
      </w:pPr>
      <w:r>
        <w:rPr>
          <w:rFonts w:ascii="Arial" w:hAnsi="Arial" w:eastAsia="宋体" w:cs="Arial"/>
          <w:b/>
          <w:kern w:val="0"/>
          <w:sz w:val="24"/>
          <w:szCs w:val="24"/>
        </w:rPr>
        <w:t>试验程序</w:t>
      </w:r>
    </w:p>
    <w:p w14:paraId="0E7239DF">
      <w:pPr>
        <w:widowControl/>
        <w:snapToGrid w:val="0"/>
        <w:spacing w:line="300" w:lineRule="auto"/>
        <w:ind w:firstLine="1665" w:firstLineChars="694"/>
        <w:rPr>
          <w:rFonts w:ascii="Arial" w:hAnsi="Arial" w:eastAsia="宋体" w:cs="Arial"/>
          <w:kern w:val="0"/>
          <w:sz w:val="24"/>
          <w:szCs w:val="24"/>
        </w:rPr>
      </w:pPr>
      <w:r>
        <w:rPr>
          <w:rFonts w:ascii="Arial" w:hAnsi="Arial" w:eastAsia="宋体" w:cs="Arial"/>
          <w:kern w:val="0"/>
          <w:sz w:val="24"/>
          <w:szCs w:val="24"/>
        </w:rPr>
        <w:t>步进式程序，最好带插图</w:t>
      </w:r>
    </w:p>
    <w:p w14:paraId="1BA84E79">
      <w:pPr>
        <w:widowControl/>
        <w:numPr>
          <w:ilvl w:val="1"/>
          <w:numId w:val="9"/>
        </w:numPr>
        <w:tabs>
          <w:tab w:val="clear" w:pos="1440"/>
        </w:tabs>
        <w:snapToGrid w:val="0"/>
        <w:spacing w:before="100" w:beforeAutospacing="1" w:after="100" w:afterAutospacing="1" w:line="300" w:lineRule="auto"/>
        <w:ind w:left="0" w:firstLine="1152" w:firstLineChars="478"/>
        <w:rPr>
          <w:rFonts w:ascii="Arial" w:hAnsi="Arial" w:eastAsia="宋体" w:cs="Arial"/>
          <w:kern w:val="0"/>
          <w:sz w:val="24"/>
          <w:szCs w:val="24"/>
        </w:rPr>
      </w:pPr>
      <w:r>
        <w:rPr>
          <w:rFonts w:ascii="Arial" w:hAnsi="Arial" w:eastAsia="宋体" w:cs="Arial"/>
          <w:b/>
          <w:bCs/>
          <w:kern w:val="0"/>
          <w:sz w:val="24"/>
          <w:szCs w:val="24"/>
        </w:rPr>
        <w:t>适用于此仪表的限制/警告和注意事项</w:t>
      </w:r>
    </w:p>
    <w:p w14:paraId="45798439">
      <w:pPr>
        <w:widowControl/>
        <w:numPr>
          <w:ilvl w:val="1"/>
          <w:numId w:val="9"/>
        </w:numPr>
        <w:tabs>
          <w:tab w:val="clear" w:pos="1440"/>
        </w:tabs>
        <w:snapToGrid w:val="0"/>
        <w:spacing w:before="100" w:beforeAutospacing="1" w:after="100" w:afterAutospacing="1" w:line="300" w:lineRule="auto"/>
        <w:ind w:left="0" w:firstLine="1152" w:firstLineChars="478"/>
        <w:rPr>
          <w:rFonts w:ascii="Arial" w:hAnsi="Arial" w:eastAsia="宋体" w:cs="Arial"/>
          <w:kern w:val="0"/>
          <w:sz w:val="24"/>
          <w:szCs w:val="24"/>
        </w:rPr>
      </w:pPr>
      <w:r>
        <w:rPr>
          <w:rFonts w:ascii="Arial" w:hAnsi="Arial" w:eastAsia="宋体" w:cs="Arial"/>
          <w:b/>
          <w:kern w:val="0"/>
          <w:sz w:val="24"/>
          <w:szCs w:val="24"/>
        </w:rPr>
        <w:t>性能特性</w:t>
      </w:r>
    </w:p>
    <w:p w14:paraId="5B8544FA">
      <w:pPr>
        <w:widowControl/>
        <w:snapToGrid w:val="0"/>
        <w:spacing w:line="300" w:lineRule="auto"/>
        <w:ind w:left="1651" w:leftChars="786" w:firstLine="12" w:firstLineChars="5"/>
        <w:rPr>
          <w:rFonts w:ascii="Arial" w:hAnsi="Arial" w:eastAsia="宋体" w:cs="Arial"/>
          <w:kern w:val="0"/>
          <w:sz w:val="24"/>
          <w:szCs w:val="24"/>
        </w:rPr>
      </w:pPr>
      <w:r>
        <w:rPr>
          <w:rFonts w:ascii="Arial" w:hAnsi="Arial" w:eastAsia="宋体" w:cs="Arial"/>
          <w:kern w:val="0"/>
          <w:sz w:val="24"/>
          <w:szCs w:val="24"/>
        </w:rPr>
        <w:t>使用适当的样本（样本须覆盖测定范围）并使用良好表征的实验室方法进行站点特异相关性研究。</w:t>
      </w:r>
    </w:p>
    <w:p w14:paraId="1DF89BD3">
      <w:pPr>
        <w:widowControl/>
        <w:snapToGrid w:val="0"/>
        <w:spacing w:line="300" w:lineRule="auto"/>
        <w:ind w:firstLine="1665" w:firstLineChars="694"/>
        <w:rPr>
          <w:rFonts w:ascii="Arial" w:hAnsi="Arial" w:eastAsia="宋体" w:cs="Arial"/>
          <w:kern w:val="0"/>
          <w:sz w:val="24"/>
          <w:szCs w:val="24"/>
        </w:rPr>
      </w:pPr>
      <w:r>
        <w:rPr>
          <w:rFonts w:ascii="Arial" w:hAnsi="Arial" w:eastAsia="宋体" w:cs="Arial"/>
          <w:kern w:val="0"/>
          <w:sz w:val="24"/>
          <w:szCs w:val="24"/>
        </w:rPr>
        <w:t>提供适当模型</w:t>
      </w:r>
    </w:p>
    <w:p w14:paraId="3177DD20">
      <w:pPr>
        <w:widowControl/>
        <w:snapToGrid w:val="0"/>
        <w:spacing w:line="300" w:lineRule="auto"/>
        <w:ind w:firstLine="1665" w:firstLineChars="694"/>
        <w:rPr>
          <w:rFonts w:ascii="Arial" w:hAnsi="Arial" w:eastAsia="宋体" w:cs="Arial"/>
          <w:kern w:val="0"/>
          <w:sz w:val="24"/>
          <w:szCs w:val="24"/>
        </w:rPr>
      </w:pPr>
      <w:r>
        <w:rPr>
          <w:rFonts w:ascii="Arial" w:hAnsi="Arial" w:eastAsia="宋体" w:cs="Arial"/>
          <w:kern w:val="0"/>
          <w:sz w:val="24"/>
          <w:szCs w:val="24"/>
        </w:rPr>
        <w:t>在医学决策层次下进行矩阵精确度研究。</w:t>
      </w:r>
    </w:p>
    <w:p w14:paraId="4D903A44">
      <w:pPr>
        <w:widowControl/>
        <w:snapToGrid w:val="0"/>
        <w:spacing w:line="300" w:lineRule="auto"/>
        <w:ind w:firstLine="1665" w:firstLineChars="694"/>
        <w:rPr>
          <w:rFonts w:ascii="Arial" w:hAnsi="Arial" w:eastAsia="宋体" w:cs="Arial"/>
          <w:kern w:val="0"/>
          <w:sz w:val="24"/>
          <w:szCs w:val="24"/>
        </w:rPr>
      </w:pPr>
      <w:r>
        <w:rPr>
          <w:rFonts w:ascii="Arial" w:hAnsi="Arial" w:eastAsia="宋体" w:cs="Arial"/>
          <w:kern w:val="0"/>
          <w:sz w:val="24"/>
          <w:szCs w:val="24"/>
        </w:rPr>
        <w:t>偏差计算。</w:t>
      </w:r>
    </w:p>
    <w:p w14:paraId="621BF484">
      <w:pPr>
        <w:widowControl/>
        <w:snapToGrid w:val="0"/>
        <w:spacing w:line="300" w:lineRule="auto"/>
        <w:ind w:firstLine="1665" w:firstLineChars="694"/>
        <w:rPr>
          <w:rFonts w:ascii="Arial" w:hAnsi="Arial" w:eastAsia="宋体" w:cs="Arial"/>
          <w:kern w:val="0"/>
          <w:sz w:val="24"/>
          <w:szCs w:val="24"/>
        </w:rPr>
      </w:pPr>
      <w:r>
        <w:rPr>
          <w:rFonts w:ascii="Arial" w:hAnsi="Arial" w:eastAsia="宋体" w:cs="Arial"/>
          <w:kern w:val="0"/>
          <w:sz w:val="24"/>
          <w:szCs w:val="24"/>
        </w:rPr>
        <w:t>线性研究</w:t>
      </w:r>
    </w:p>
    <w:p w14:paraId="04CD5971">
      <w:pPr>
        <w:widowControl/>
        <w:numPr>
          <w:ilvl w:val="1"/>
          <w:numId w:val="9"/>
        </w:numPr>
        <w:tabs>
          <w:tab w:val="clear" w:pos="1440"/>
        </w:tabs>
        <w:snapToGrid w:val="0"/>
        <w:spacing w:before="100" w:beforeAutospacing="1" w:after="100" w:afterAutospacing="1" w:line="300" w:lineRule="auto"/>
        <w:ind w:left="0" w:firstLine="1152" w:firstLineChars="478"/>
        <w:rPr>
          <w:rFonts w:ascii="Arial" w:hAnsi="Arial" w:eastAsia="宋体" w:cs="Arial"/>
          <w:b/>
          <w:bCs/>
          <w:kern w:val="0"/>
          <w:sz w:val="24"/>
          <w:szCs w:val="24"/>
        </w:rPr>
      </w:pPr>
      <w:r>
        <w:rPr>
          <w:rFonts w:ascii="Arial" w:hAnsi="Arial" w:eastAsia="宋体" w:cs="Arial"/>
          <w:b/>
          <w:bCs/>
          <w:kern w:val="0"/>
          <w:sz w:val="24"/>
          <w:szCs w:val="24"/>
        </w:rPr>
        <w:t xml:space="preserve">干扰 </w:t>
      </w:r>
    </w:p>
    <w:p w14:paraId="4DD29431">
      <w:pPr>
        <w:widowControl/>
        <w:numPr>
          <w:ilvl w:val="1"/>
          <w:numId w:val="9"/>
        </w:numPr>
        <w:tabs>
          <w:tab w:val="clear" w:pos="1440"/>
        </w:tabs>
        <w:snapToGrid w:val="0"/>
        <w:spacing w:before="100" w:beforeAutospacing="1" w:after="100" w:afterAutospacing="1" w:line="300" w:lineRule="auto"/>
        <w:ind w:left="0" w:firstLine="1152" w:firstLineChars="478"/>
        <w:rPr>
          <w:rFonts w:ascii="Arial" w:hAnsi="Arial" w:eastAsia="宋体" w:cs="Arial"/>
          <w:b/>
          <w:bCs/>
          <w:kern w:val="0"/>
          <w:sz w:val="24"/>
          <w:szCs w:val="24"/>
        </w:rPr>
      </w:pPr>
      <w:r>
        <w:rPr>
          <w:rFonts w:ascii="Arial" w:hAnsi="Arial" w:eastAsia="宋体" w:cs="Arial"/>
          <w:b/>
          <w:bCs/>
          <w:kern w:val="0"/>
          <w:sz w:val="24"/>
          <w:szCs w:val="24"/>
        </w:rPr>
        <w:t>质量控制/校准</w:t>
      </w:r>
    </w:p>
    <w:p w14:paraId="252FDEE4">
      <w:pPr>
        <w:widowControl/>
        <w:snapToGrid w:val="0"/>
        <w:spacing w:line="300" w:lineRule="auto"/>
        <w:ind w:firstLine="1665" w:firstLineChars="694"/>
        <w:rPr>
          <w:rFonts w:ascii="Arial" w:hAnsi="Arial" w:eastAsia="宋体" w:cs="Arial"/>
          <w:kern w:val="0"/>
          <w:sz w:val="24"/>
          <w:szCs w:val="24"/>
        </w:rPr>
      </w:pPr>
      <w:r>
        <w:rPr>
          <w:rFonts w:ascii="Arial" w:hAnsi="Arial" w:eastAsia="宋体" w:cs="Arial"/>
          <w:kern w:val="0"/>
          <w:sz w:val="24"/>
          <w:szCs w:val="24"/>
        </w:rPr>
        <w:t>易于遵循包装说明书和/或用户手册中的步骤</w:t>
      </w:r>
    </w:p>
    <w:p w14:paraId="6B143CD7">
      <w:pPr>
        <w:widowControl/>
        <w:numPr>
          <w:ilvl w:val="1"/>
          <w:numId w:val="9"/>
        </w:numPr>
        <w:tabs>
          <w:tab w:val="clear" w:pos="1440"/>
        </w:tabs>
        <w:snapToGrid w:val="0"/>
        <w:spacing w:before="100" w:beforeAutospacing="1" w:after="100" w:afterAutospacing="1" w:line="300" w:lineRule="auto"/>
        <w:ind w:left="0" w:firstLine="1152" w:firstLineChars="478"/>
        <w:rPr>
          <w:rFonts w:ascii="Arial" w:hAnsi="Arial" w:eastAsia="宋体" w:cs="Arial"/>
          <w:kern w:val="0"/>
          <w:sz w:val="24"/>
          <w:szCs w:val="24"/>
        </w:rPr>
      </w:pPr>
      <w:r>
        <w:rPr>
          <w:rFonts w:ascii="Arial" w:hAnsi="Arial" w:eastAsia="宋体" w:cs="Arial"/>
          <w:b/>
          <w:kern w:val="0"/>
          <w:sz w:val="24"/>
          <w:szCs w:val="24"/>
        </w:rPr>
        <w:t>预期</w:t>
      </w:r>
      <w:r>
        <w:rPr>
          <w:rFonts w:ascii="Arial" w:hAnsi="Arial" w:eastAsia="宋体" w:cs="Arial"/>
          <w:b/>
          <w:bCs/>
          <w:kern w:val="0"/>
          <w:sz w:val="24"/>
          <w:szCs w:val="24"/>
        </w:rPr>
        <w:t xml:space="preserve">值 </w:t>
      </w:r>
    </w:p>
    <w:p w14:paraId="1F50BCA1">
      <w:pPr>
        <w:pStyle w:val="22"/>
        <w:widowControl/>
        <w:numPr>
          <w:ilvl w:val="0"/>
          <w:numId w:val="10"/>
        </w:numPr>
        <w:snapToGrid w:val="0"/>
        <w:spacing w:line="300" w:lineRule="auto"/>
        <w:ind w:left="1274" w:hanging="462" w:firstLineChars="0"/>
        <w:rPr>
          <w:rFonts w:ascii="Arial" w:hAnsi="Arial" w:eastAsia="宋体" w:cs="Arial"/>
          <w:kern w:val="0"/>
          <w:sz w:val="24"/>
          <w:szCs w:val="24"/>
        </w:rPr>
      </w:pPr>
      <w:r>
        <w:rPr>
          <w:rFonts w:ascii="Arial" w:hAnsi="Arial" w:eastAsia="宋体" w:cs="Arial"/>
          <w:b/>
          <w:bCs/>
          <w:kern w:val="0"/>
          <w:sz w:val="24"/>
          <w:szCs w:val="24"/>
        </w:rPr>
        <w:t>建议用于便携式血糖仪的</w:t>
      </w:r>
      <w:r>
        <w:rPr>
          <w:rFonts w:ascii="Arial" w:hAnsi="Arial" w:eastAsia="宋体" w:cs="Arial"/>
          <w:kern w:val="0"/>
          <w:sz w:val="24"/>
          <w:szCs w:val="24"/>
        </w:rPr>
        <w:t>标签</w:t>
      </w:r>
      <w:r>
        <w:rPr>
          <w:rFonts w:ascii="Arial" w:hAnsi="Arial" w:eastAsia="宋体" w:cs="Arial"/>
          <w:b/>
          <w:bCs/>
          <w:kern w:val="0"/>
          <w:sz w:val="24"/>
          <w:szCs w:val="24"/>
        </w:rPr>
        <w:t>，但并非21 CFR 809.10（b）的要求</w:t>
      </w:r>
    </w:p>
    <w:p w14:paraId="41CB7152">
      <w:pPr>
        <w:pStyle w:val="22"/>
        <w:widowControl/>
        <w:snapToGrid w:val="0"/>
        <w:spacing w:line="300" w:lineRule="auto"/>
        <w:ind w:left="1274" w:firstLine="0" w:firstLineChars="0"/>
        <w:rPr>
          <w:rFonts w:ascii="Arial" w:hAnsi="Arial" w:eastAsia="宋体" w:cs="Arial"/>
          <w:kern w:val="0"/>
          <w:sz w:val="24"/>
          <w:szCs w:val="24"/>
        </w:rPr>
      </w:pPr>
    </w:p>
    <w:p w14:paraId="0CE02231">
      <w:pPr>
        <w:widowControl/>
        <w:snapToGrid w:val="0"/>
        <w:spacing w:line="300" w:lineRule="auto"/>
        <w:ind w:firstLine="1665" w:firstLineChars="694"/>
        <w:rPr>
          <w:rFonts w:ascii="Arial" w:hAnsi="Arial" w:eastAsia="宋体" w:cs="Arial"/>
          <w:kern w:val="0"/>
          <w:sz w:val="24"/>
          <w:szCs w:val="24"/>
        </w:rPr>
      </w:pPr>
      <w:r>
        <w:rPr>
          <w:rFonts w:ascii="Arial" w:hAnsi="Arial" w:eastAsia="宋体" w:cs="Arial"/>
          <w:kern w:val="0"/>
          <w:sz w:val="24"/>
          <w:szCs w:val="24"/>
        </w:rPr>
        <w:t>类型大小 - 12或14点</w:t>
      </w:r>
    </w:p>
    <w:p w14:paraId="2E48C638">
      <w:pPr>
        <w:widowControl/>
        <w:snapToGrid w:val="0"/>
        <w:spacing w:line="300" w:lineRule="auto"/>
        <w:ind w:firstLine="1665" w:firstLineChars="694"/>
        <w:rPr>
          <w:rFonts w:ascii="Arial" w:hAnsi="Arial" w:eastAsia="宋体" w:cs="Arial"/>
          <w:kern w:val="0"/>
          <w:sz w:val="24"/>
          <w:szCs w:val="24"/>
        </w:rPr>
      </w:pPr>
      <w:r>
        <w:rPr>
          <w:rFonts w:ascii="Arial" w:hAnsi="Arial" w:eastAsia="宋体" w:cs="Arial"/>
          <w:kern w:val="0"/>
          <w:sz w:val="24"/>
          <w:szCs w:val="24"/>
        </w:rPr>
        <w:t>指定充分照明</w:t>
      </w:r>
    </w:p>
    <w:p w14:paraId="418CDA4E">
      <w:pPr>
        <w:widowControl/>
        <w:snapToGrid w:val="0"/>
        <w:spacing w:line="300" w:lineRule="auto"/>
        <w:ind w:firstLine="1665" w:firstLineChars="694"/>
        <w:rPr>
          <w:rFonts w:ascii="Arial" w:hAnsi="Arial" w:eastAsia="宋体" w:cs="Arial"/>
          <w:kern w:val="0"/>
          <w:sz w:val="24"/>
          <w:szCs w:val="24"/>
        </w:rPr>
      </w:pPr>
      <w:r>
        <w:rPr>
          <w:rFonts w:ascii="Arial" w:hAnsi="Arial" w:eastAsia="宋体" w:cs="Arial"/>
          <w:kern w:val="0"/>
          <w:sz w:val="24"/>
          <w:szCs w:val="24"/>
        </w:rPr>
        <w:t>术语 - 使用清晰简明的术语</w:t>
      </w:r>
    </w:p>
    <w:p w14:paraId="7585A953">
      <w:pPr>
        <w:widowControl/>
        <w:numPr>
          <w:ilvl w:val="1"/>
          <w:numId w:val="9"/>
        </w:numPr>
        <w:tabs>
          <w:tab w:val="clear" w:pos="1440"/>
        </w:tabs>
        <w:snapToGrid w:val="0"/>
        <w:spacing w:before="100" w:beforeAutospacing="1" w:after="100" w:afterAutospacing="1" w:line="300" w:lineRule="auto"/>
        <w:ind w:left="0" w:firstLine="1152" w:firstLineChars="478"/>
        <w:rPr>
          <w:rFonts w:ascii="Arial" w:hAnsi="Arial" w:eastAsia="宋体" w:cs="Arial"/>
          <w:kern w:val="0"/>
          <w:sz w:val="24"/>
          <w:szCs w:val="24"/>
        </w:rPr>
      </w:pPr>
      <w:r>
        <w:rPr>
          <w:rFonts w:ascii="Arial" w:hAnsi="Arial" w:eastAsia="宋体" w:cs="Arial"/>
          <w:b/>
          <w:bCs/>
          <w:kern w:val="0"/>
          <w:sz w:val="24"/>
          <w:szCs w:val="24"/>
        </w:rPr>
        <w:t>培训（</w:t>
      </w:r>
      <w:r>
        <w:rPr>
          <w:rFonts w:ascii="Arial" w:hAnsi="Arial" w:eastAsia="宋体" w:cs="Arial"/>
          <w:b/>
          <w:kern w:val="0"/>
          <w:sz w:val="24"/>
          <w:szCs w:val="24"/>
        </w:rPr>
        <w:t>可选</w:t>
      </w:r>
      <w:r>
        <w:rPr>
          <w:rFonts w:ascii="Arial" w:hAnsi="Arial" w:eastAsia="宋体" w:cs="Arial"/>
          <w:b/>
          <w:bCs/>
          <w:kern w:val="0"/>
          <w:sz w:val="24"/>
          <w:szCs w:val="24"/>
        </w:rPr>
        <w:t>）</w:t>
      </w:r>
    </w:p>
    <w:p w14:paraId="1CA60E28">
      <w:pPr>
        <w:widowControl/>
        <w:snapToGrid w:val="0"/>
        <w:spacing w:line="300" w:lineRule="auto"/>
        <w:ind w:firstLine="1665" w:firstLineChars="694"/>
        <w:rPr>
          <w:rFonts w:ascii="Arial" w:hAnsi="Arial" w:eastAsia="宋体" w:cs="Arial"/>
          <w:kern w:val="0"/>
          <w:sz w:val="24"/>
          <w:szCs w:val="24"/>
        </w:rPr>
      </w:pPr>
      <w:r>
        <w:rPr>
          <w:rFonts w:ascii="Arial" w:hAnsi="Arial" w:eastAsia="宋体" w:cs="Arial"/>
          <w:kern w:val="0"/>
          <w:sz w:val="24"/>
          <w:szCs w:val="24"/>
        </w:rPr>
        <w:t>视频磁带</w:t>
      </w:r>
    </w:p>
    <w:p w14:paraId="1DF6B708">
      <w:pPr>
        <w:widowControl/>
        <w:snapToGrid w:val="0"/>
        <w:spacing w:line="300" w:lineRule="auto"/>
        <w:ind w:firstLine="1665" w:firstLineChars="694"/>
        <w:rPr>
          <w:rFonts w:ascii="Arial" w:hAnsi="Arial" w:eastAsia="宋体" w:cs="Arial"/>
          <w:kern w:val="0"/>
          <w:sz w:val="24"/>
          <w:szCs w:val="24"/>
        </w:rPr>
      </w:pPr>
      <w:r>
        <w:rPr>
          <w:rFonts w:ascii="Arial" w:hAnsi="Arial" w:eastAsia="宋体" w:cs="Arial"/>
          <w:kern w:val="0"/>
          <w:sz w:val="24"/>
          <w:szCs w:val="24"/>
        </w:rPr>
        <w:t>音频磁带</w:t>
      </w:r>
    </w:p>
    <w:p w14:paraId="619F1C7A">
      <w:pPr>
        <w:widowControl/>
        <w:snapToGrid w:val="0"/>
        <w:spacing w:line="300" w:lineRule="auto"/>
        <w:ind w:firstLine="1665" w:firstLineChars="694"/>
        <w:rPr>
          <w:rFonts w:ascii="Arial" w:hAnsi="Arial" w:eastAsia="宋体" w:cs="Arial"/>
          <w:kern w:val="0"/>
          <w:sz w:val="24"/>
          <w:szCs w:val="24"/>
        </w:rPr>
      </w:pPr>
      <w:r>
        <w:rPr>
          <w:rFonts w:ascii="Arial" w:hAnsi="Arial" w:eastAsia="宋体" w:cs="Arial"/>
          <w:kern w:val="0"/>
          <w:sz w:val="24"/>
          <w:szCs w:val="24"/>
        </w:rPr>
        <w:t>其他</w:t>
      </w:r>
    </w:p>
    <w:p w14:paraId="46275352">
      <w:pPr>
        <w:widowControl/>
        <w:numPr>
          <w:ilvl w:val="1"/>
          <w:numId w:val="9"/>
        </w:numPr>
        <w:tabs>
          <w:tab w:val="clear" w:pos="1440"/>
        </w:tabs>
        <w:snapToGrid w:val="0"/>
        <w:spacing w:before="100" w:beforeAutospacing="1" w:after="100" w:afterAutospacing="1" w:line="300" w:lineRule="auto"/>
        <w:ind w:left="0" w:firstLine="1152" w:firstLineChars="478"/>
        <w:rPr>
          <w:rFonts w:ascii="Arial" w:hAnsi="Arial" w:eastAsia="宋体" w:cs="Arial"/>
          <w:b/>
          <w:kern w:val="0"/>
          <w:sz w:val="24"/>
          <w:szCs w:val="24"/>
        </w:rPr>
      </w:pPr>
      <w:r>
        <w:rPr>
          <w:rFonts w:ascii="Arial" w:hAnsi="Arial" w:eastAsia="宋体" w:cs="Arial"/>
          <w:b/>
          <w:bCs/>
          <w:kern w:val="0"/>
          <w:sz w:val="24"/>
          <w:szCs w:val="24"/>
        </w:rPr>
        <w:t>用于为消费</w:t>
      </w:r>
      <w:r>
        <w:rPr>
          <w:rFonts w:ascii="Arial" w:hAnsi="Arial" w:eastAsia="宋体" w:cs="Arial"/>
          <w:b/>
          <w:kern w:val="0"/>
          <w:sz w:val="24"/>
          <w:szCs w:val="24"/>
        </w:rPr>
        <w:t xml:space="preserve">者提供支持的免费电话号码 </w:t>
      </w:r>
    </w:p>
    <w:p w14:paraId="1A5B1277">
      <w:pPr>
        <w:widowControl/>
        <w:numPr>
          <w:ilvl w:val="1"/>
          <w:numId w:val="9"/>
        </w:numPr>
        <w:tabs>
          <w:tab w:val="clear" w:pos="1440"/>
        </w:tabs>
        <w:snapToGrid w:val="0"/>
        <w:spacing w:before="100" w:beforeAutospacing="1" w:after="100" w:afterAutospacing="1" w:line="300" w:lineRule="auto"/>
        <w:ind w:left="0" w:firstLine="1152" w:firstLineChars="478"/>
        <w:rPr>
          <w:rFonts w:ascii="Arial" w:hAnsi="Arial" w:eastAsia="宋体" w:cs="Arial"/>
          <w:kern w:val="0"/>
          <w:sz w:val="24"/>
          <w:szCs w:val="24"/>
        </w:rPr>
      </w:pPr>
      <w:r>
        <w:rPr>
          <w:rFonts w:ascii="Arial" w:hAnsi="Arial" w:eastAsia="宋体" w:cs="Arial"/>
          <w:b/>
          <w:kern w:val="0"/>
          <w:sz w:val="24"/>
          <w:szCs w:val="24"/>
        </w:rPr>
        <w:t>消费者研究现场</w:t>
      </w:r>
      <w:r>
        <w:rPr>
          <w:rFonts w:ascii="Arial" w:hAnsi="Arial" w:eastAsia="宋体" w:cs="Arial"/>
          <w:b/>
          <w:bCs/>
          <w:kern w:val="0"/>
          <w:sz w:val="24"/>
          <w:szCs w:val="24"/>
        </w:rPr>
        <w:t>测试（OTC）</w:t>
      </w:r>
    </w:p>
    <w:p w14:paraId="13AF6F1A">
      <w:pPr>
        <w:widowControl/>
        <w:snapToGrid w:val="0"/>
        <w:spacing w:line="300" w:lineRule="auto"/>
        <w:ind w:firstLine="1665" w:firstLineChars="694"/>
        <w:rPr>
          <w:rFonts w:ascii="Arial" w:hAnsi="Arial" w:eastAsia="宋体" w:cs="Arial"/>
          <w:kern w:val="0"/>
          <w:sz w:val="24"/>
          <w:szCs w:val="24"/>
        </w:rPr>
      </w:pPr>
      <w:r>
        <w:rPr>
          <w:rFonts w:ascii="Arial" w:hAnsi="Arial" w:eastAsia="宋体" w:cs="Arial"/>
          <w:kern w:val="0"/>
          <w:sz w:val="24"/>
          <w:szCs w:val="24"/>
        </w:rPr>
        <w:t>提供至少100个用户的研究方案和结果</w:t>
      </w:r>
    </w:p>
    <w:p w14:paraId="1F68F744">
      <w:pPr>
        <w:widowControl/>
        <w:snapToGrid w:val="0"/>
        <w:spacing w:line="300" w:lineRule="auto"/>
        <w:ind w:firstLine="1665" w:firstLineChars="694"/>
        <w:rPr>
          <w:rFonts w:ascii="Arial" w:hAnsi="Arial" w:eastAsia="宋体" w:cs="Arial"/>
          <w:kern w:val="0"/>
          <w:sz w:val="24"/>
          <w:szCs w:val="24"/>
        </w:rPr>
      </w:pPr>
      <w:r>
        <w:rPr>
          <w:rFonts w:ascii="Arial" w:hAnsi="Arial" w:eastAsia="宋体" w:cs="Arial"/>
          <w:kern w:val="0"/>
          <w:sz w:val="24"/>
          <w:szCs w:val="24"/>
        </w:rPr>
        <w:t>用户必须代表广泛的人口统计特征</w:t>
      </w:r>
    </w:p>
    <w:p w14:paraId="0DBD1507">
      <w:pPr>
        <w:widowControl/>
        <w:snapToGrid w:val="0"/>
        <w:spacing w:line="300" w:lineRule="auto"/>
        <w:ind w:firstLine="1665" w:firstLineChars="694"/>
        <w:rPr>
          <w:rFonts w:ascii="Arial" w:hAnsi="Arial" w:eastAsia="宋体" w:cs="Arial"/>
          <w:kern w:val="0"/>
          <w:sz w:val="24"/>
          <w:szCs w:val="24"/>
        </w:rPr>
      </w:pPr>
      <w:r>
        <w:rPr>
          <w:rFonts w:ascii="Arial" w:hAnsi="Arial" w:eastAsia="宋体" w:cs="Arial"/>
          <w:kern w:val="0"/>
          <w:sz w:val="24"/>
          <w:szCs w:val="24"/>
        </w:rPr>
        <w:t>消费者试验调查</w:t>
      </w:r>
    </w:p>
    <w:p w14:paraId="7981B374">
      <w:pPr>
        <w:widowControl/>
        <w:numPr>
          <w:ilvl w:val="1"/>
          <w:numId w:val="9"/>
        </w:numPr>
        <w:tabs>
          <w:tab w:val="clear" w:pos="1440"/>
        </w:tabs>
        <w:snapToGrid w:val="0"/>
        <w:spacing w:before="100" w:beforeAutospacing="1" w:after="100" w:afterAutospacing="1" w:line="300" w:lineRule="auto"/>
        <w:ind w:left="0" w:firstLine="1152" w:firstLineChars="478"/>
        <w:rPr>
          <w:rFonts w:ascii="Arial" w:hAnsi="Arial" w:eastAsia="宋体" w:cs="Arial"/>
          <w:kern w:val="0"/>
          <w:sz w:val="24"/>
          <w:szCs w:val="24"/>
        </w:rPr>
      </w:pPr>
      <w:r>
        <w:rPr>
          <w:rFonts w:ascii="Arial" w:hAnsi="Arial" w:eastAsia="宋体" w:cs="Arial"/>
          <w:b/>
          <w:bCs/>
          <w:kern w:val="0"/>
          <w:sz w:val="24"/>
          <w:szCs w:val="24"/>
        </w:rPr>
        <w:t>护理点（POC）/医生办公室实验室 </w:t>
      </w:r>
    </w:p>
    <w:p w14:paraId="171C55A5">
      <w:pPr>
        <w:widowControl/>
        <w:snapToGrid w:val="0"/>
        <w:spacing w:line="300" w:lineRule="auto"/>
        <w:ind w:firstLine="1665" w:firstLineChars="694"/>
        <w:rPr>
          <w:rFonts w:ascii="Arial" w:hAnsi="Arial" w:eastAsia="宋体" w:cs="Arial"/>
          <w:kern w:val="0"/>
          <w:sz w:val="24"/>
          <w:szCs w:val="24"/>
        </w:rPr>
      </w:pPr>
      <w:r>
        <w:rPr>
          <w:rFonts w:ascii="Arial" w:hAnsi="Arial" w:eastAsia="宋体" w:cs="Arial"/>
          <w:kern w:val="0"/>
          <w:sz w:val="24"/>
          <w:szCs w:val="24"/>
        </w:rPr>
        <w:t>40位患者/现场试验人员描述研究</w:t>
      </w:r>
    </w:p>
    <w:p w14:paraId="72B63F53">
      <w:pPr>
        <w:widowControl/>
        <w:snapToGrid w:val="0"/>
        <w:spacing w:line="300" w:lineRule="auto"/>
        <w:ind w:firstLine="1665" w:firstLineChars="694"/>
        <w:rPr>
          <w:rFonts w:ascii="Arial" w:hAnsi="Arial" w:eastAsia="宋体" w:cs="Arial"/>
          <w:kern w:val="0"/>
          <w:sz w:val="24"/>
          <w:szCs w:val="24"/>
        </w:rPr>
      </w:pPr>
      <w:r>
        <w:rPr>
          <w:rFonts w:ascii="Arial" w:hAnsi="Arial" w:eastAsia="宋体" w:cs="Arial"/>
          <w:kern w:val="0"/>
          <w:sz w:val="24"/>
          <w:szCs w:val="24"/>
        </w:rPr>
        <w:t>方案结果：站点的准确度和精确度</w:t>
      </w:r>
    </w:p>
    <w:p w14:paraId="44A7E269">
      <w:pPr>
        <w:widowControl/>
        <w:numPr>
          <w:ilvl w:val="1"/>
          <w:numId w:val="9"/>
        </w:numPr>
        <w:tabs>
          <w:tab w:val="clear" w:pos="1440"/>
        </w:tabs>
        <w:snapToGrid w:val="0"/>
        <w:spacing w:before="100" w:beforeAutospacing="1" w:after="100" w:afterAutospacing="1" w:line="300" w:lineRule="auto"/>
        <w:ind w:left="0" w:firstLine="1152" w:firstLineChars="478"/>
        <w:rPr>
          <w:rFonts w:ascii="Arial" w:hAnsi="Arial" w:eastAsia="宋体" w:cs="Arial"/>
          <w:b/>
          <w:kern w:val="0"/>
          <w:sz w:val="24"/>
          <w:szCs w:val="24"/>
        </w:rPr>
      </w:pPr>
      <w:r>
        <w:rPr>
          <w:rFonts w:ascii="Arial" w:hAnsi="Arial" w:eastAsia="宋体" w:cs="Arial"/>
          <w:b/>
          <w:kern w:val="0"/>
          <w:sz w:val="24"/>
          <w:szCs w:val="24"/>
        </w:rPr>
        <w:t>血细胞研究</w:t>
      </w:r>
    </w:p>
    <w:p w14:paraId="48EA94E2">
      <w:pPr>
        <w:widowControl/>
        <w:snapToGrid w:val="0"/>
        <w:spacing w:line="300" w:lineRule="auto"/>
        <w:ind w:firstLine="1665" w:firstLineChars="694"/>
        <w:rPr>
          <w:rFonts w:ascii="Arial" w:hAnsi="Arial" w:eastAsia="宋体" w:cs="Arial"/>
          <w:kern w:val="0"/>
          <w:sz w:val="24"/>
          <w:szCs w:val="24"/>
        </w:rPr>
      </w:pPr>
      <w:r>
        <w:rPr>
          <w:rFonts w:ascii="Arial" w:hAnsi="Arial" w:eastAsia="宋体" w:cs="Arial"/>
          <w:kern w:val="0"/>
          <w:sz w:val="24"/>
          <w:szCs w:val="24"/>
        </w:rPr>
        <w:t>研究方案</w:t>
      </w:r>
    </w:p>
    <w:p w14:paraId="228C2B4E">
      <w:pPr>
        <w:widowControl/>
        <w:snapToGrid w:val="0"/>
        <w:spacing w:line="300" w:lineRule="auto"/>
        <w:ind w:firstLine="1665" w:firstLineChars="694"/>
        <w:rPr>
          <w:rFonts w:ascii="Arial" w:hAnsi="Arial" w:eastAsia="宋体" w:cs="Arial"/>
          <w:kern w:val="0"/>
          <w:sz w:val="24"/>
          <w:szCs w:val="24"/>
        </w:rPr>
      </w:pPr>
      <w:r>
        <w:rPr>
          <w:rFonts w:ascii="Arial" w:hAnsi="Arial" w:eastAsia="宋体" w:cs="Arial"/>
          <w:kern w:val="0"/>
          <w:sz w:val="24"/>
          <w:szCs w:val="24"/>
        </w:rPr>
        <w:t>结果</w:t>
      </w:r>
    </w:p>
    <w:p w14:paraId="26B79E87">
      <w:pPr>
        <w:widowControl/>
        <w:numPr>
          <w:ilvl w:val="1"/>
          <w:numId w:val="9"/>
        </w:numPr>
        <w:tabs>
          <w:tab w:val="clear" w:pos="1440"/>
        </w:tabs>
        <w:snapToGrid w:val="0"/>
        <w:spacing w:before="100" w:beforeAutospacing="1" w:after="100" w:afterAutospacing="1" w:line="300" w:lineRule="auto"/>
        <w:ind w:left="0" w:firstLine="1152" w:firstLineChars="478"/>
        <w:rPr>
          <w:rFonts w:ascii="Arial" w:hAnsi="Arial" w:eastAsia="宋体" w:cs="Arial"/>
          <w:b/>
          <w:kern w:val="0"/>
          <w:sz w:val="24"/>
          <w:szCs w:val="24"/>
        </w:rPr>
      </w:pPr>
      <w:r>
        <w:rPr>
          <w:rFonts w:ascii="Arial" w:hAnsi="Arial" w:eastAsia="宋体" w:cs="Arial"/>
          <w:b/>
          <w:kern w:val="0"/>
          <w:sz w:val="24"/>
          <w:szCs w:val="24"/>
        </w:rPr>
        <w:t>高度研究 </w:t>
      </w:r>
    </w:p>
    <w:p w14:paraId="1202A4EF">
      <w:pPr>
        <w:widowControl/>
        <w:snapToGrid w:val="0"/>
        <w:spacing w:line="300" w:lineRule="auto"/>
        <w:ind w:firstLine="1665" w:firstLineChars="694"/>
        <w:rPr>
          <w:rFonts w:ascii="Arial" w:hAnsi="Arial" w:eastAsia="宋体" w:cs="Arial"/>
          <w:kern w:val="0"/>
          <w:sz w:val="24"/>
          <w:szCs w:val="24"/>
        </w:rPr>
      </w:pPr>
      <w:r>
        <w:rPr>
          <w:rFonts w:ascii="Arial" w:hAnsi="Arial" w:eastAsia="宋体" w:cs="Arial"/>
          <w:kern w:val="0"/>
          <w:sz w:val="24"/>
          <w:szCs w:val="24"/>
        </w:rPr>
        <w:t>研究方案</w:t>
      </w:r>
    </w:p>
    <w:p w14:paraId="04C389F8">
      <w:pPr>
        <w:widowControl/>
        <w:snapToGrid w:val="0"/>
        <w:spacing w:line="300" w:lineRule="auto"/>
        <w:ind w:firstLine="1665" w:firstLineChars="694"/>
        <w:rPr>
          <w:rFonts w:ascii="Arial" w:hAnsi="Arial" w:eastAsia="宋体" w:cs="Arial"/>
          <w:kern w:val="0"/>
          <w:sz w:val="24"/>
          <w:szCs w:val="24"/>
        </w:rPr>
      </w:pPr>
      <w:r>
        <w:rPr>
          <w:rFonts w:ascii="Arial" w:hAnsi="Arial" w:eastAsia="宋体" w:cs="Arial"/>
          <w:kern w:val="0"/>
          <w:sz w:val="24"/>
          <w:szCs w:val="24"/>
        </w:rPr>
        <w:t>结果</w:t>
      </w:r>
    </w:p>
    <w:p w14:paraId="1ABEE9E0">
      <w:pPr>
        <w:widowControl/>
        <w:numPr>
          <w:ilvl w:val="1"/>
          <w:numId w:val="9"/>
        </w:numPr>
        <w:tabs>
          <w:tab w:val="clear" w:pos="1440"/>
        </w:tabs>
        <w:snapToGrid w:val="0"/>
        <w:spacing w:before="100" w:beforeAutospacing="1" w:after="100" w:afterAutospacing="1" w:line="300" w:lineRule="auto"/>
        <w:ind w:left="0" w:firstLine="1152" w:firstLineChars="478"/>
        <w:rPr>
          <w:rFonts w:ascii="Arial" w:hAnsi="Arial" w:eastAsia="宋体" w:cs="Arial"/>
          <w:b/>
          <w:kern w:val="0"/>
          <w:sz w:val="24"/>
          <w:szCs w:val="24"/>
        </w:rPr>
      </w:pPr>
      <w:r>
        <w:rPr>
          <w:rFonts w:ascii="Arial" w:hAnsi="Arial" w:eastAsia="宋体" w:cs="Arial"/>
          <w:b/>
          <w:kern w:val="0"/>
          <w:sz w:val="24"/>
          <w:szCs w:val="24"/>
        </w:rPr>
        <w:t>人为因素研究</w:t>
      </w:r>
    </w:p>
    <w:p w14:paraId="58F089EF">
      <w:pPr>
        <w:widowControl/>
        <w:snapToGrid w:val="0"/>
        <w:spacing w:line="300" w:lineRule="auto"/>
        <w:ind w:firstLine="1665" w:firstLineChars="694"/>
        <w:rPr>
          <w:rFonts w:ascii="Arial" w:hAnsi="Arial" w:eastAsia="宋体" w:cs="Arial"/>
          <w:kern w:val="0"/>
          <w:sz w:val="24"/>
          <w:szCs w:val="24"/>
        </w:rPr>
      </w:pPr>
      <w:r>
        <w:rPr>
          <w:rFonts w:ascii="Arial" w:hAnsi="Arial" w:eastAsia="宋体" w:cs="Arial"/>
          <w:kern w:val="0"/>
          <w:sz w:val="24"/>
          <w:szCs w:val="24"/>
        </w:rPr>
        <w:t>易于使用的方案</w:t>
      </w:r>
    </w:p>
    <w:p w14:paraId="3EDC1DB1">
      <w:pPr>
        <w:widowControl/>
        <w:snapToGrid w:val="0"/>
        <w:spacing w:line="300" w:lineRule="auto"/>
        <w:ind w:firstLine="1665" w:firstLineChars="694"/>
        <w:rPr>
          <w:rFonts w:ascii="Arial" w:hAnsi="Arial" w:eastAsia="宋体" w:cs="Arial"/>
          <w:kern w:val="0"/>
          <w:sz w:val="24"/>
          <w:szCs w:val="24"/>
        </w:rPr>
      </w:pPr>
      <w:r>
        <w:rPr>
          <w:rFonts w:ascii="Arial" w:hAnsi="Arial" w:eastAsia="宋体" w:cs="Arial"/>
          <w:kern w:val="0"/>
          <w:sz w:val="24"/>
          <w:szCs w:val="24"/>
        </w:rPr>
        <w:t>结果</w:t>
      </w:r>
    </w:p>
    <w:p w14:paraId="11C7026A">
      <w:pPr>
        <w:widowControl/>
        <w:snapToGrid w:val="0"/>
        <w:spacing w:line="300" w:lineRule="auto"/>
        <w:ind w:firstLine="1665" w:firstLineChars="694"/>
        <w:rPr>
          <w:rFonts w:ascii="Arial" w:hAnsi="Arial" w:eastAsia="宋体" w:cs="Arial"/>
          <w:kern w:val="0"/>
          <w:sz w:val="24"/>
          <w:szCs w:val="24"/>
        </w:rPr>
      </w:pPr>
    </w:p>
    <w:p w14:paraId="6EB722B9">
      <w:pPr>
        <w:pStyle w:val="22"/>
        <w:widowControl/>
        <w:numPr>
          <w:ilvl w:val="0"/>
          <w:numId w:val="10"/>
        </w:numPr>
        <w:snapToGrid w:val="0"/>
        <w:spacing w:line="300" w:lineRule="auto"/>
        <w:ind w:left="1274" w:hanging="462" w:firstLineChars="0"/>
        <w:rPr>
          <w:rFonts w:ascii="Arial" w:hAnsi="Arial" w:eastAsia="宋体" w:cs="Arial"/>
          <w:kern w:val="0"/>
          <w:sz w:val="24"/>
          <w:szCs w:val="24"/>
        </w:rPr>
      </w:pPr>
      <w:r>
        <w:rPr>
          <w:rFonts w:ascii="Arial" w:hAnsi="Arial" w:eastAsia="宋体" w:cs="Arial"/>
          <w:b/>
          <w:bCs/>
          <w:kern w:val="0"/>
          <w:sz w:val="24"/>
          <w:szCs w:val="24"/>
        </w:rPr>
        <w:t>软件确认/验证</w:t>
      </w:r>
      <w:r>
        <w:rPr>
          <w:rFonts w:ascii="Arial" w:hAnsi="Arial" w:eastAsia="宋体" w:cs="Arial"/>
          <w:kern w:val="0"/>
          <w:sz w:val="24"/>
          <w:szCs w:val="24"/>
        </w:rPr>
        <w:t xml:space="preserve"> </w:t>
      </w:r>
    </w:p>
    <w:p w14:paraId="655510F6">
      <w:pPr>
        <w:snapToGrid w:val="0"/>
        <w:spacing w:line="300" w:lineRule="auto"/>
        <w:rPr>
          <w:rFonts w:ascii="Arial" w:hAnsi="Arial" w:eastAsia="宋体" w:cs="Arial"/>
        </w:rPr>
      </w:pPr>
    </w:p>
    <w:p w14:paraId="6852C24E">
      <w:pPr>
        <w:widowControl/>
        <w:snapToGrid w:val="0"/>
        <w:spacing w:before="100" w:beforeAutospacing="1" w:after="100" w:afterAutospacing="1" w:line="300" w:lineRule="auto"/>
        <w:outlineLvl w:val="0"/>
        <w:rPr>
          <w:rFonts w:hint="eastAsia" w:eastAsia="宋体"/>
          <w:lang w:eastAsia="zh-CN"/>
        </w:rPr>
      </w:pPr>
    </w:p>
    <w:p w14:paraId="1F816505">
      <w:pPr>
        <w:widowControl/>
        <w:snapToGrid w:val="0"/>
        <w:spacing w:before="100" w:beforeAutospacing="1" w:after="100" w:afterAutospacing="1" w:line="300" w:lineRule="auto"/>
        <w:jc w:val="center"/>
        <w:outlineLvl w:val="0"/>
        <w:rPr>
          <w:rFonts w:hint="eastAsia" w:eastAsia="宋体"/>
          <w:lang w:eastAsia="zh-CN"/>
        </w:rPr>
      </w:pPr>
    </w:p>
    <w:p w14:paraId="570C7BAF">
      <w:pPr>
        <w:widowControl/>
        <w:snapToGrid w:val="0"/>
        <w:spacing w:before="100" w:beforeAutospacing="1" w:after="100" w:afterAutospacing="1" w:line="300" w:lineRule="auto"/>
        <w:jc w:val="center"/>
        <w:outlineLvl w:val="0"/>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4"/>
                    <a:stretch>
                      <a:fillRect/>
                    </a:stretch>
                  </pic:blipFill>
                  <pic:spPr>
                    <a:xfrm>
                      <a:off x="0" y="0"/>
                      <a:ext cx="5210175" cy="734377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A446B5"/>
    <w:multiLevelType w:val="multilevel"/>
    <w:tmpl w:val="00A446B5"/>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0E517C99"/>
    <w:multiLevelType w:val="multilevel"/>
    <w:tmpl w:val="0E517C99"/>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26AA72AC"/>
    <w:multiLevelType w:val="multilevel"/>
    <w:tmpl w:val="26AA72AC"/>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29252DDD"/>
    <w:multiLevelType w:val="multilevel"/>
    <w:tmpl w:val="29252DDD"/>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2ACC0D8B"/>
    <w:multiLevelType w:val="multilevel"/>
    <w:tmpl w:val="2ACC0D8B"/>
    <w:lvl w:ilvl="0" w:tentative="0">
      <w:start w:val="1"/>
      <w:numFmt w:val="decimal"/>
      <w:lvlText w:val="%1."/>
      <w:lvlJc w:val="left"/>
      <w:pPr>
        <w:tabs>
          <w:tab w:val="left" w:pos="720"/>
        </w:tabs>
        <w:ind w:left="720" w:hanging="360"/>
      </w:pPr>
      <w:rPr>
        <w:b w:val="0"/>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3CC17104"/>
    <w:multiLevelType w:val="multilevel"/>
    <w:tmpl w:val="3CC1710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6">
    <w:nsid w:val="5289096F"/>
    <w:multiLevelType w:val="multilevel"/>
    <w:tmpl w:val="5289096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7">
    <w:nsid w:val="5AC570A7"/>
    <w:multiLevelType w:val="multilevel"/>
    <w:tmpl w:val="5AC570A7"/>
    <w:lvl w:ilvl="0" w:tentative="0">
      <w:start w:val="1"/>
      <w:numFmt w:val="bullet"/>
      <w:lvlText w:val=""/>
      <w:lvlJc w:val="left"/>
      <w:pPr>
        <w:ind w:left="2092" w:hanging="420"/>
      </w:pPr>
      <w:rPr>
        <w:rFonts w:hint="default" w:ascii="Wingdings 2" w:hAnsi="Wingdings 2"/>
      </w:rPr>
    </w:lvl>
    <w:lvl w:ilvl="1" w:tentative="0">
      <w:start w:val="1"/>
      <w:numFmt w:val="bullet"/>
      <w:lvlText w:val=""/>
      <w:lvlJc w:val="left"/>
      <w:pPr>
        <w:ind w:left="2512" w:hanging="420"/>
      </w:pPr>
      <w:rPr>
        <w:rFonts w:hint="default" w:ascii="Wingdings" w:hAnsi="Wingdings"/>
      </w:rPr>
    </w:lvl>
    <w:lvl w:ilvl="2" w:tentative="0">
      <w:start w:val="1"/>
      <w:numFmt w:val="bullet"/>
      <w:lvlText w:val=""/>
      <w:lvlJc w:val="left"/>
      <w:pPr>
        <w:ind w:left="2932" w:hanging="420"/>
      </w:pPr>
      <w:rPr>
        <w:rFonts w:hint="default" w:ascii="Wingdings" w:hAnsi="Wingdings"/>
      </w:rPr>
    </w:lvl>
    <w:lvl w:ilvl="3" w:tentative="0">
      <w:start w:val="1"/>
      <w:numFmt w:val="bullet"/>
      <w:lvlText w:val=""/>
      <w:lvlJc w:val="left"/>
      <w:pPr>
        <w:ind w:left="3352" w:hanging="420"/>
      </w:pPr>
      <w:rPr>
        <w:rFonts w:hint="default" w:ascii="Wingdings" w:hAnsi="Wingdings"/>
      </w:rPr>
    </w:lvl>
    <w:lvl w:ilvl="4" w:tentative="0">
      <w:start w:val="1"/>
      <w:numFmt w:val="bullet"/>
      <w:lvlText w:val=""/>
      <w:lvlJc w:val="left"/>
      <w:pPr>
        <w:ind w:left="3772" w:hanging="420"/>
      </w:pPr>
      <w:rPr>
        <w:rFonts w:hint="default" w:ascii="Wingdings" w:hAnsi="Wingdings"/>
      </w:rPr>
    </w:lvl>
    <w:lvl w:ilvl="5" w:tentative="0">
      <w:start w:val="1"/>
      <w:numFmt w:val="bullet"/>
      <w:lvlText w:val=""/>
      <w:lvlJc w:val="left"/>
      <w:pPr>
        <w:ind w:left="4192" w:hanging="420"/>
      </w:pPr>
      <w:rPr>
        <w:rFonts w:hint="default" w:ascii="Wingdings" w:hAnsi="Wingdings"/>
      </w:rPr>
    </w:lvl>
    <w:lvl w:ilvl="6" w:tentative="0">
      <w:start w:val="1"/>
      <w:numFmt w:val="bullet"/>
      <w:lvlText w:val=""/>
      <w:lvlJc w:val="left"/>
      <w:pPr>
        <w:ind w:left="4612" w:hanging="420"/>
      </w:pPr>
      <w:rPr>
        <w:rFonts w:hint="default" w:ascii="Wingdings" w:hAnsi="Wingdings"/>
      </w:rPr>
    </w:lvl>
    <w:lvl w:ilvl="7" w:tentative="0">
      <w:start w:val="1"/>
      <w:numFmt w:val="bullet"/>
      <w:lvlText w:val=""/>
      <w:lvlJc w:val="left"/>
      <w:pPr>
        <w:ind w:left="5032" w:hanging="420"/>
      </w:pPr>
      <w:rPr>
        <w:rFonts w:hint="default" w:ascii="Wingdings" w:hAnsi="Wingdings"/>
      </w:rPr>
    </w:lvl>
    <w:lvl w:ilvl="8" w:tentative="0">
      <w:start w:val="1"/>
      <w:numFmt w:val="bullet"/>
      <w:lvlText w:val=""/>
      <w:lvlJc w:val="left"/>
      <w:pPr>
        <w:ind w:left="5452" w:hanging="420"/>
      </w:pPr>
      <w:rPr>
        <w:rFonts w:hint="default" w:ascii="Wingdings" w:hAnsi="Wingdings"/>
      </w:rPr>
    </w:lvl>
  </w:abstractNum>
  <w:abstractNum w:abstractNumId="8">
    <w:nsid w:val="7B303EAA"/>
    <w:multiLevelType w:val="multilevel"/>
    <w:tmpl w:val="7B303EAA"/>
    <w:lvl w:ilvl="0" w:tentative="0">
      <w:start w:val="1"/>
      <w:numFmt w:val="decimal"/>
      <w:lvlText w:val="%1."/>
      <w:lvlJc w:val="left"/>
      <w:pPr>
        <w:tabs>
          <w:tab w:val="left" w:pos="720"/>
        </w:tabs>
        <w:ind w:left="720" w:hanging="360"/>
      </w:pPr>
      <w:rPr>
        <w:b w:val="0"/>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7D601995"/>
    <w:multiLevelType w:val="multilevel"/>
    <w:tmpl w:val="7D601995"/>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6"/>
  </w:num>
  <w:num w:numId="2">
    <w:abstractNumId w:val="1"/>
  </w:num>
  <w:num w:numId="3">
    <w:abstractNumId w:val="9"/>
  </w:num>
  <w:num w:numId="4">
    <w:abstractNumId w:val="8"/>
  </w:num>
  <w:num w:numId="5">
    <w:abstractNumId w:val="2"/>
  </w:num>
  <w:num w:numId="6">
    <w:abstractNumId w:val="0"/>
  </w:num>
  <w:num w:numId="7">
    <w:abstractNumId w:val="4"/>
  </w:num>
  <w:num w:numId="8">
    <w:abstractNumId w:val="3"/>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B49"/>
    <w:rsid w:val="000412AB"/>
    <w:rsid w:val="000944A9"/>
    <w:rsid w:val="000A43CC"/>
    <w:rsid w:val="000B47DB"/>
    <w:rsid w:val="000D3075"/>
    <w:rsid w:val="000F4E5B"/>
    <w:rsid w:val="00125189"/>
    <w:rsid w:val="00135CB5"/>
    <w:rsid w:val="001B37B7"/>
    <w:rsid w:val="001C30F2"/>
    <w:rsid w:val="001F2946"/>
    <w:rsid w:val="0020222F"/>
    <w:rsid w:val="002337B6"/>
    <w:rsid w:val="00297A27"/>
    <w:rsid w:val="002D3D16"/>
    <w:rsid w:val="002F4A15"/>
    <w:rsid w:val="00340031"/>
    <w:rsid w:val="00354D33"/>
    <w:rsid w:val="00367180"/>
    <w:rsid w:val="003A29CA"/>
    <w:rsid w:val="003D419D"/>
    <w:rsid w:val="00437A8D"/>
    <w:rsid w:val="00463C39"/>
    <w:rsid w:val="00471A5D"/>
    <w:rsid w:val="00483BCE"/>
    <w:rsid w:val="004B3307"/>
    <w:rsid w:val="004E0CA3"/>
    <w:rsid w:val="004F5EEE"/>
    <w:rsid w:val="00551319"/>
    <w:rsid w:val="005A14BE"/>
    <w:rsid w:val="005B000B"/>
    <w:rsid w:val="00615834"/>
    <w:rsid w:val="00616B3B"/>
    <w:rsid w:val="00617DE4"/>
    <w:rsid w:val="00675E25"/>
    <w:rsid w:val="00677EA0"/>
    <w:rsid w:val="00684FF6"/>
    <w:rsid w:val="006856C1"/>
    <w:rsid w:val="006877AF"/>
    <w:rsid w:val="0069121F"/>
    <w:rsid w:val="006D051D"/>
    <w:rsid w:val="006E19B1"/>
    <w:rsid w:val="006E2B21"/>
    <w:rsid w:val="00777408"/>
    <w:rsid w:val="00780F92"/>
    <w:rsid w:val="00791DCE"/>
    <w:rsid w:val="007A5DFC"/>
    <w:rsid w:val="007F2E8D"/>
    <w:rsid w:val="008406CC"/>
    <w:rsid w:val="00863F99"/>
    <w:rsid w:val="00895C51"/>
    <w:rsid w:val="00935A45"/>
    <w:rsid w:val="009851F8"/>
    <w:rsid w:val="009B46D7"/>
    <w:rsid w:val="009B6E84"/>
    <w:rsid w:val="009D358B"/>
    <w:rsid w:val="009F5667"/>
    <w:rsid w:val="00A1690A"/>
    <w:rsid w:val="00A258B3"/>
    <w:rsid w:val="00A72BA0"/>
    <w:rsid w:val="00AA0A46"/>
    <w:rsid w:val="00AB7EE6"/>
    <w:rsid w:val="00AC3B49"/>
    <w:rsid w:val="00AD1077"/>
    <w:rsid w:val="00AE5901"/>
    <w:rsid w:val="00B22D62"/>
    <w:rsid w:val="00B6326A"/>
    <w:rsid w:val="00BA0ACA"/>
    <w:rsid w:val="00BA10C7"/>
    <w:rsid w:val="00BA5FF2"/>
    <w:rsid w:val="00BB7580"/>
    <w:rsid w:val="00C05A59"/>
    <w:rsid w:val="00C114EB"/>
    <w:rsid w:val="00C40248"/>
    <w:rsid w:val="00C61DCA"/>
    <w:rsid w:val="00C93627"/>
    <w:rsid w:val="00CF46DA"/>
    <w:rsid w:val="00D55C72"/>
    <w:rsid w:val="00D5770B"/>
    <w:rsid w:val="00D96C80"/>
    <w:rsid w:val="00DB1848"/>
    <w:rsid w:val="00DB78E6"/>
    <w:rsid w:val="00DC0957"/>
    <w:rsid w:val="00DE70D8"/>
    <w:rsid w:val="00DE79A7"/>
    <w:rsid w:val="00E24C7B"/>
    <w:rsid w:val="00E45949"/>
    <w:rsid w:val="00E64430"/>
    <w:rsid w:val="00E6779A"/>
    <w:rsid w:val="00E93FAD"/>
    <w:rsid w:val="00EA5C34"/>
    <w:rsid w:val="00EC0DA5"/>
    <w:rsid w:val="00ED29F8"/>
    <w:rsid w:val="00ED44C3"/>
    <w:rsid w:val="00F80EF8"/>
    <w:rsid w:val="00FB23E6"/>
    <w:rsid w:val="00FC4DC0"/>
    <w:rsid w:val="00FE7B12"/>
    <w:rsid w:val="1BAA5173"/>
    <w:rsid w:val="38E44104"/>
    <w:rsid w:val="456B77A4"/>
    <w:rsid w:val="56171A5D"/>
    <w:rsid w:val="5B6F5FE7"/>
    <w:rsid w:val="6AF068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3"/>
    <w:basedOn w:val="1"/>
    <w:next w:val="1"/>
    <w:link w:val="16"/>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paragraph" w:styleId="4">
    <w:name w:val="heading 4"/>
    <w:basedOn w:val="1"/>
    <w:next w:val="1"/>
    <w:link w:val="17"/>
    <w:qFormat/>
    <w:uiPriority w:val="9"/>
    <w:pPr>
      <w:widowControl/>
      <w:spacing w:before="100" w:beforeAutospacing="1" w:after="100" w:afterAutospacing="1"/>
      <w:jc w:val="left"/>
      <w:outlineLvl w:val="3"/>
    </w:pPr>
    <w:rPr>
      <w:rFonts w:ascii="宋体" w:hAnsi="宋体" w:eastAsia="宋体" w:cs="宋体"/>
      <w:b/>
      <w:bCs/>
      <w:kern w:val="0"/>
      <w:sz w:val="24"/>
      <w:szCs w:val="24"/>
    </w:rPr>
  </w:style>
  <w:style w:type="paragraph" w:styleId="5">
    <w:name w:val="heading 5"/>
    <w:basedOn w:val="1"/>
    <w:next w:val="1"/>
    <w:link w:val="18"/>
    <w:qFormat/>
    <w:uiPriority w:val="9"/>
    <w:pPr>
      <w:widowControl/>
      <w:spacing w:before="100" w:beforeAutospacing="1" w:after="100" w:afterAutospacing="1"/>
      <w:jc w:val="left"/>
      <w:outlineLvl w:val="4"/>
    </w:pPr>
    <w:rPr>
      <w:rFonts w:ascii="宋体" w:hAnsi="宋体" w:eastAsia="宋体" w:cs="宋体"/>
      <w:b/>
      <w:bCs/>
      <w:kern w:val="0"/>
      <w:sz w:val="20"/>
      <w:szCs w:val="20"/>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6">
    <w:name w:val="Balloon Text"/>
    <w:basedOn w:val="1"/>
    <w:link w:val="21"/>
    <w:semiHidden/>
    <w:unhideWhenUsed/>
    <w:qFormat/>
    <w:uiPriority w:val="99"/>
    <w:rPr>
      <w:sz w:val="18"/>
      <w:szCs w:val="18"/>
    </w:r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2">
    <w:name w:val="Strong"/>
    <w:basedOn w:val="11"/>
    <w:qFormat/>
    <w:uiPriority w:val="22"/>
    <w:rPr>
      <w:b/>
      <w:bCs/>
    </w:rPr>
  </w:style>
  <w:style w:type="character" w:customStyle="1" w:styleId="13">
    <w:name w:val="页眉 Char"/>
    <w:basedOn w:val="11"/>
    <w:link w:val="8"/>
    <w:semiHidden/>
    <w:qFormat/>
    <w:uiPriority w:val="99"/>
    <w:rPr>
      <w:sz w:val="18"/>
      <w:szCs w:val="18"/>
    </w:rPr>
  </w:style>
  <w:style w:type="character" w:customStyle="1" w:styleId="14">
    <w:name w:val="页脚 Char"/>
    <w:basedOn w:val="11"/>
    <w:link w:val="7"/>
    <w:semiHidden/>
    <w:qFormat/>
    <w:uiPriority w:val="99"/>
    <w:rPr>
      <w:sz w:val="18"/>
      <w:szCs w:val="18"/>
    </w:rPr>
  </w:style>
  <w:style w:type="character" w:customStyle="1" w:styleId="15">
    <w:name w:val="标题 1 Char"/>
    <w:basedOn w:val="11"/>
    <w:link w:val="2"/>
    <w:qFormat/>
    <w:uiPriority w:val="9"/>
    <w:rPr>
      <w:rFonts w:ascii="宋体" w:hAnsi="宋体" w:eastAsia="宋体" w:cs="宋体"/>
      <w:b/>
      <w:bCs/>
      <w:kern w:val="36"/>
      <w:sz w:val="48"/>
      <w:szCs w:val="48"/>
    </w:rPr>
  </w:style>
  <w:style w:type="character" w:customStyle="1" w:styleId="16">
    <w:name w:val="标题 3 Char"/>
    <w:basedOn w:val="11"/>
    <w:link w:val="3"/>
    <w:qFormat/>
    <w:uiPriority w:val="9"/>
    <w:rPr>
      <w:rFonts w:ascii="宋体" w:hAnsi="宋体" w:eastAsia="宋体" w:cs="宋体"/>
      <w:b/>
      <w:bCs/>
      <w:kern w:val="0"/>
      <w:sz w:val="27"/>
      <w:szCs w:val="27"/>
    </w:rPr>
  </w:style>
  <w:style w:type="character" w:customStyle="1" w:styleId="17">
    <w:name w:val="标题 4 Char"/>
    <w:basedOn w:val="11"/>
    <w:link w:val="4"/>
    <w:qFormat/>
    <w:uiPriority w:val="9"/>
    <w:rPr>
      <w:rFonts w:ascii="宋体" w:hAnsi="宋体" w:eastAsia="宋体" w:cs="宋体"/>
      <w:b/>
      <w:bCs/>
      <w:kern w:val="0"/>
      <w:sz w:val="24"/>
      <w:szCs w:val="24"/>
    </w:rPr>
  </w:style>
  <w:style w:type="character" w:customStyle="1" w:styleId="18">
    <w:name w:val="标题 5 Char"/>
    <w:basedOn w:val="11"/>
    <w:link w:val="5"/>
    <w:qFormat/>
    <w:uiPriority w:val="9"/>
    <w:rPr>
      <w:rFonts w:ascii="宋体" w:hAnsi="宋体" w:eastAsia="宋体" w:cs="宋体"/>
      <w:b/>
      <w:bCs/>
      <w:kern w:val="0"/>
      <w:sz w:val="20"/>
      <w:szCs w:val="20"/>
    </w:rPr>
  </w:style>
  <w:style w:type="character" w:customStyle="1" w:styleId="19">
    <w:name w:val="正文文本 (3)_"/>
    <w:basedOn w:val="11"/>
    <w:link w:val="20"/>
    <w:qFormat/>
    <w:locked/>
    <w:uiPriority w:val="99"/>
    <w:rPr>
      <w:rFonts w:ascii="Times New Roman" w:hAnsi="Times New Roman" w:cs="Times New Roman"/>
      <w:b/>
      <w:bCs/>
      <w:sz w:val="27"/>
      <w:szCs w:val="27"/>
      <w:shd w:val="clear" w:color="auto" w:fill="FFFFFF"/>
    </w:rPr>
  </w:style>
  <w:style w:type="paragraph" w:customStyle="1" w:styleId="20">
    <w:name w:val="正文文本 (3)"/>
    <w:basedOn w:val="1"/>
    <w:link w:val="19"/>
    <w:uiPriority w:val="99"/>
    <w:pPr>
      <w:widowControl/>
      <w:shd w:val="clear" w:color="auto" w:fill="FFFFFF"/>
      <w:spacing w:before="120" w:after="120" w:line="240" w:lineRule="atLeast"/>
      <w:jc w:val="center"/>
    </w:pPr>
    <w:rPr>
      <w:rFonts w:ascii="Times New Roman" w:hAnsi="Times New Roman" w:cs="Times New Roman"/>
      <w:b/>
      <w:bCs/>
      <w:sz w:val="27"/>
      <w:szCs w:val="27"/>
    </w:rPr>
  </w:style>
  <w:style w:type="character" w:customStyle="1" w:styleId="21">
    <w:name w:val="批注框文本 Char"/>
    <w:basedOn w:val="11"/>
    <w:link w:val="6"/>
    <w:semiHidden/>
    <w:qFormat/>
    <w:uiPriority w:val="99"/>
    <w:rPr>
      <w:kern w:val="2"/>
      <w:sz w:val="18"/>
      <w:szCs w:val="18"/>
    </w:rPr>
  </w:style>
  <w:style w:type="paragraph" w:styleId="22">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4EA912-430B-4F5D-B0D6-7723D49AC100}">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19</Pages>
  <Words>9960</Words>
  <Characters>11119</Characters>
  <Lines>80</Lines>
  <Paragraphs>22</Paragraphs>
  <TotalTime>0</TotalTime>
  <ScaleCrop>false</ScaleCrop>
  <LinksUpToDate>false</LinksUpToDate>
  <CharactersWithSpaces>11268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2017-04-12T01:48:00Z</dcterms:created>
  <dc:creator>pc</dc:creator>
  <cp:lastModifiedBy>太极箫客</cp:lastModifiedBy>
  <dcterms:modified xsi:type="dcterms:W3CDTF">2025-08-14T06:33:16Z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eyJoZGlkIjoiMDJiMzI3ODBiNTFmMWRjNDUyMjM1ZmZjODY5NDc2MWMiLCJ1c2VySWQiOiI0NTQ4Nzg1NzAifQ==</vt:lpwstr>
  </property>
  <property fmtid="{D5CDD505-2E9C-101B-9397-08002B2CF9AE}" pid="4" name="ICV">
    <vt:lpwstr>F9B83F78791C42858FBD95D98032E66B_12</vt:lpwstr>
  </property>
</Properties>
</file>