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DA9A1C4">
      <w:pPr>
        <w:widowControl/>
        <w:snapToGrid w:val="0"/>
        <w:spacing w:before="90" w:after="90" w:line="300" w:lineRule="auto"/>
        <w:jc w:val="center"/>
        <w:rPr>
          <w:rFonts w:ascii="Arial" w:hAnsi="Arial" w:eastAsia="宋体" w:cs="Arial"/>
          <w:b/>
          <w:bCs/>
          <w:color w:val="484138"/>
          <w:kern w:val="36"/>
          <w:sz w:val="36"/>
          <w:szCs w:val="36"/>
        </w:rPr>
      </w:pPr>
      <w:bookmarkStart w:id="2" w:name="_GoBack"/>
      <w:bookmarkEnd w:id="2"/>
      <w:r>
        <w:rPr>
          <w:rFonts w:ascii="Arial" w:hAnsi="Arial" w:eastAsia="宋体" w:cs="Arial"/>
          <w:b/>
          <w:bCs/>
          <w:color w:val="484138"/>
          <w:kern w:val="36"/>
          <w:sz w:val="36"/>
          <w:szCs w:val="36"/>
        </w:rPr>
        <w:t>使用自动和半自动染色体分析仪评估细a胞遗传学分析的审查标准（仅限文本）</w:t>
      </w:r>
    </w:p>
    <w:p w14:paraId="062169F7">
      <w:pPr>
        <w:snapToGrid w:val="0"/>
        <w:spacing w:before="63" w:beforeLines="20" w:after="63" w:afterLines="20" w:line="312" w:lineRule="auto"/>
        <w:rPr>
          <w:rFonts w:ascii="Arial" w:hAnsi="Arial" w:eastAsia="宋体" w:cs="Arial"/>
          <w:color w:val="000000"/>
          <w:sz w:val="18"/>
          <w:szCs w:val="18"/>
        </w:rPr>
      </w:pPr>
      <w:r>
        <w:rPr>
          <w:rFonts w:ascii="Arial" w:hAnsi="Arial" w:eastAsia="宋体" w:cs="Arial"/>
          <w:color w:val="000000"/>
          <w:sz w:val="18"/>
          <w:szCs w:val="18"/>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073B3E4A">
      <w:pPr>
        <w:snapToGrid w:val="0"/>
        <w:spacing w:before="63" w:beforeLines="20" w:after="63" w:afterLines="20" w:line="312" w:lineRule="auto"/>
        <w:rPr>
          <w:rFonts w:ascii="Arial" w:hAnsi="Arial" w:eastAsia="宋体" w:cs="Arial"/>
          <w:szCs w:val="21"/>
        </w:rPr>
      </w:pPr>
    </w:p>
    <w:p w14:paraId="508771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 xml:space="preserve"> 文件草案</w:t>
      </w:r>
    </w:p>
    <w:p w14:paraId="7723A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 xml:space="preserve"> 致制造商</w:t>
      </w:r>
    </w:p>
    <w:p w14:paraId="2EB7E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611ED9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 xml:space="preserve"> 版本： 原版</w:t>
      </w:r>
    </w:p>
    <w:p w14:paraId="7792D3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 xml:space="preserve"> 日期： 1991年7月15日</w:t>
      </w:r>
    </w:p>
    <w:p w14:paraId="56D88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43B950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 xml:space="preserve"> </w:t>
      </w:r>
    </w:p>
    <w:p w14:paraId="1C027E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74304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 xml:space="preserve"> 使用自动和半自动染色体分析仪评估细胞遗传学分析的审查标准。</w:t>
      </w:r>
    </w:p>
    <w:p w14:paraId="7AF5B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797B1C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2A8120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81AB2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这是一个灵活的文件草案，其代表着当前有关用于细胞遗传学分析的体外自动化和半自动染色体分析仪的主要关注问题和建议。其基于（1）当前的基础科学，（2）临床经验，3）当前标准实验室实践，和4）制造商先前递交FDA的提交资料。随着科学和医学的进步，这些审查标准将进行重新评估和修订，以便适应新的知识。</w:t>
      </w:r>
    </w:p>
    <w:p w14:paraId="7224DD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2954F1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490" w:hanging="489" w:hangingChars="272"/>
        <w:rPr>
          <w:rFonts w:ascii="Arial" w:hAnsi="Arial" w:eastAsia="宋体" w:cs="Arial"/>
          <w:color w:val="000000"/>
          <w:kern w:val="0"/>
          <w:sz w:val="18"/>
          <w:szCs w:val="18"/>
        </w:rPr>
      </w:pPr>
      <w:r>
        <w:rPr>
          <w:rFonts w:ascii="Arial" w:hAnsi="Arial" w:eastAsia="宋体" w:cs="Arial"/>
          <w:color w:val="000000"/>
          <w:kern w:val="0"/>
          <w:sz w:val="18"/>
          <w:szCs w:val="18"/>
        </w:rPr>
        <w:t>目的：本文件旨在为用于染色体分析的器械许可上市前递交食品药品监督管理局（FDA）的信息提供指南。这些信息使FDA能够根据统一的数据库做出更合理的决定。</w:t>
      </w:r>
    </w:p>
    <w:p w14:paraId="758754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4F72FB72">
      <w:pPr>
        <w:widowControl/>
        <w:spacing w:before="63" w:beforeLines="20" w:after="63" w:afterLines="20" w:line="312" w:lineRule="auto"/>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0DCB12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490" w:hanging="489" w:hangingChars="272"/>
        <w:rPr>
          <w:rFonts w:ascii="Arial" w:hAnsi="Arial" w:eastAsia="宋体" w:cs="Arial"/>
          <w:color w:val="000000"/>
          <w:kern w:val="0"/>
          <w:sz w:val="18"/>
          <w:szCs w:val="18"/>
        </w:rPr>
      </w:pPr>
      <w:r>
        <w:rPr>
          <w:rFonts w:ascii="Arial" w:hAnsi="Arial" w:eastAsia="宋体" w:cs="Arial"/>
          <w:color w:val="000000"/>
          <w:kern w:val="0"/>
          <w:sz w:val="18"/>
          <w:szCs w:val="18"/>
        </w:rPr>
        <w:t>定义：这种通用类型器械的预期用于细胞遗传学实验室，帮助实验室人员执行中期/前中期人类染色体核型分</w:t>
      </w:r>
      <w:r>
        <w:rPr>
          <w:rFonts w:ascii="Arial" w:hAnsi="Arial" w:eastAsia="宋体" w:cs="Arial"/>
          <w:color w:val="313131"/>
          <w:sz w:val="18"/>
          <w:szCs w:val="18"/>
        </w:rPr>
        <w:t>析的</w:t>
      </w:r>
      <w:r>
        <w:rPr>
          <w:rFonts w:ascii="Arial" w:hAnsi="Arial" w:eastAsia="宋体" w:cs="Arial"/>
          <w:color w:val="000000"/>
          <w:kern w:val="0"/>
          <w:sz w:val="18"/>
          <w:szCs w:val="18"/>
        </w:rPr>
        <w:t>某些过程，进行体外细胞遗传学分析。</w:t>
      </w:r>
    </w:p>
    <w:p w14:paraId="428B20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AF2BF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6237AE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产品代码： LNJ – 88</w:t>
      </w:r>
    </w:p>
    <w:p w14:paraId="33BA4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7CF648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法规编号： CFR ~ 864.5260 自动细胞定位器械。</w:t>
      </w:r>
    </w:p>
    <w:p w14:paraId="45876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7CB99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面板： 病理学</w:t>
      </w:r>
    </w:p>
    <w:p w14:paraId="75CE1B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77CB4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类别： II类</w:t>
      </w:r>
    </w:p>
    <w:p w14:paraId="4C7B42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2FBC5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所需审查： 510（k）</w:t>
      </w:r>
    </w:p>
    <w:p w14:paraId="6678C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42296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法规问题：</w:t>
      </w:r>
    </w:p>
    <w:p w14:paraId="248989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77E986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鼓励制造商开发符合实验室监管组织指南的器械。</w:t>
      </w:r>
    </w:p>
    <w:p w14:paraId="537DFF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7AF966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大多数细胞遗传学实验室和认证机构同意某些能力试验，或由国家监管。美国病理学家学会（CAP）和区域遗传网络理事会（CORN）提供自愿性能力试验。在纽约州，卫生部负责实验室试验和认证；俄勒冈州</w:t>
      </w:r>
    </w:p>
    <w:p w14:paraId="4CE31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则给细胞遗传学实验室签发许可。</w:t>
      </w:r>
    </w:p>
    <w:p w14:paraId="3DEB63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142DA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在纽约州，使用图像分析计算机系统的细胞遗传学实验室必须开发符合实验室许可证质量控制标准的记录保存和检索系统。</w:t>
      </w:r>
    </w:p>
    <w:p w14:paraId="37A2E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9CE5E3A">
      <w:pPr>
        <w:widowControl/>
        <w:spacing w:before="63" w:beforeLines="20" w:after="63" w:afterLines="20" w:line="312" w:lineRule="auto"/>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7F2E0943">
      <w:pPr>
        <w:pStyle w:val="15"/>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294" w:hanging="294" w:firstLineChars="0"/>
        <w:rPr>
          <w:rFonts w:ascii="Arial" w:hAnsi="Arial" w:eastAsia="宋体" w:cs="Arial"/>
          <w:color w:val="000000"/>
          <w:kern w:val="0"/>
          <w:sz w:val="18"/>
          <w:szCs w:val="18"/>
        </w:rPr>
      </w:pPr>
      <w:r>
        <w:rPr>
          <w:rFonts w:ascii="Arial" w:hAnsi="Arial" w:eastAsia="宋体" w:cs="Arial"/>
          <w:color w:val="000000"/>
          <w:kern w:val="0"/>
          <w:sz w:val="18"/>
          <w:szCs w:val="18"/>
        </w:rPr>
        <w:t>背景</w:t>
      </w:r>
    </w:p>
    <w:p w14:paraId="242651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CDF0F69">
      <w:pPr>
        <w:pStyle w:val="15"/>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临床实践中的细胞遗传学</w:t>
      </w:r>
    </w:p>
    <w:p w14:paraId="545F0F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5C25BB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细胞遗传学分析是评估细胞染色体的体外临床实验室程序。临床细胞遗传学专门研究染色体及其与表型的相关性（可观察到的临床特性）。某些临床特性始终伴随着特定的染色体异常。这种表型-核型相关性有助于临床医生进行临床基因诊断和预后。</w:t>
      </w:r>
    </w:p>
    <w:p w14:paraId="21EA72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43AEEA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染色体畸变有两种基本类型：数值畸变和结构畸变。染色体数</w:t>
      </w:r>
      <w:bookmarkStart w:id="0" w:name="OLE_LINK1"/>
      <w:bookmarkStart w:id="1" w:name="OLE_LINK2"/>
      <w:r>
        <w:rPr>
          <w:rFonts w:ascii="Arial" w:hAnsi="Arial" w:eastAsia="宋体" w:cs="Arial"/>
          <w:color w:val="000000"/>
          <w:kern w:val="0"/>
          <w:sz w:val="18"/>
          <w:szCs w:val="18"/>
        </w:rPr>
        <w:t>目</w:t>
      </w:r>
      <w:bookmarkEnd w:id="0"/>
      <w:bookmarkEnd w:id="1"/>
      <w:r>
        <w:rPr>
          <w:rFonts w:ascii="Arial" w:hAnsi="Arial" w:eastAsia="宋体" w:cs="Arial"/>
          <w:color w:val="000000"/>
          <w:kern w:val="0"/>
          <w:sz w:val="18"/>
          <w:szCs w:val="18"/>
        </w:rPr>
        <w:t>的常见异常包括非整倍体、嵌合体和多倍体。结构异常包括重复、删除、倒位、易位、脆性位点等。</w:t>
      </w:r>
    </w:p>
    <w:p w14:paraId="3A3AF8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7CC0CF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研究者发现，染色体畸变与许多性发育异常有关，例如特纳氏综合征（XO）和克氏综合征（XXY）；智力迟钝（唐氏综合征中的21-三体综合症和脆性X综合征中的脆性X）；复合畸形综合征（13-三体综合症）；自然流产；以及恶性疾病（慢性骨髓性白血病中染色体9和22之间的染色体易位）。</w:t>
      </w:r>
    </w:p>
    <w:p w14:paraId="3CB139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6F60F6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除用于检测经典染色体异常的研究之外，最新生物技术为传统细胞遗传学分析增加了一个新的维度。细胞遗传学程序可以用于研究细胞周期相关现象、基因扩增（均匀染色区域和双微体）、染色体断裂剂激发、染色体断裂综合征、染色体脆性位点和多态性以监测器官/组织移植。位点特异性的DNA探针用于通过使用染色体特异性DNA探针的原位杂交以识别染色体异常以及进行基因作图。</w:t>
      </w:r>
    </w:p>
    <w:p w14:paraId="189223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2E501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临床医生要求具有临床发现或指示染色体异常的医学或家族史的个体进行细胞遗传学分析。在过去十年中，由于对产前染色体检测的需求以及染色体分析在癌症诊断和监测中的广泛应用，细胞遗传学研究的需求有所增加。</w:t>
      </w:r>
    </w:p>
    <w:p w14:paraId="774DB6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2CF5BB4">
      <w:pPr>
        <w:widowControl/>
        <w:spacing w:before="63" w:beforeLines="20" w:after="63" w:afterLines="20" w:line="312" w:lineRule="auto"/>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2D01D3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对于临床医生来说，准确的细胞遗传学分析对于准确的临床基因诊断和预后至关重要，可用于患者管理、妊娠规划和产前诊断。</w:t>
      </w:r>
    </w:p>
    <w:p w14:paraId="3A0F0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C754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诊断错误（包括假阳性和假阴性）将具有深远的医疗和法律影响。因此，用于细胞遗传学分析的任何器械必须具有灵敏度、特异性且安全有效，这一点至关重要。</w:t>
      </w:r>
    </w:p>
    <w:p w14:paraId="7957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29DB440B">
      <w:pPr>
        <w:pStyle w:val="15"/>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历史背景</w:t>
      </w:r>
    </w:p>
    <w:p w14:paraId="5BCE13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23F134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人类的正确染色体数目（46）由Tjio和Levan在1956年确定2。在此之前，正常人染色体数目被认为是48。随着这种新知识的出现，研究者开始意识到某些染色体异常可与特定的先天性缺陷相关。</w:t>
      </w:r>
    </w:p>
    <w:p w14:paraId="056887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6B5FA8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用于处理有丝分裂染色体的技术改进激发了研究者对人类细胞遗传学的兴趣。1959年Lejeune等人描述了首个与临床综合征相关的染色体异常，即唐氏综合征中的21三体综合征。随着染色体显带技术在20世纪70年代的出现，研究者可以识别所有染色体对，并可更准确地表征染色体数目和结构的异常。对于给定的显带技术，每个染色体对均显示出独特模式，即沿染色体长度出现的鉴别染色。</w:t>
      </w:r>
    </w:p>
    <w:p w14:paraId="57FDE4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19F7A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用于分析染色体的传统方法较为耗费劳力。到20世纪60年代初，用于中期染色体的4个自动化分析工具的开发进展顺利。研究者的主要目标是开发自动化系统，且该系统的性能应与细胞遗传学家使用的常规技术一样，更快速且更具成本效益。</w:t>
      </w:r>
    </w:p>
    <w:p w14:paraId="5C939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43DEA5AC">
      <w:pPr>
        <w:widowControl/>
        <w:spacing w:before="63" w:beforeLines="20" w:after="63" w:afterLines="20" w:line="312" w:lineRule="auto"/>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4C1E76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由于细胞遗传学实验室的工作负载快速增加以及用于图像处理的计算机能力不断改进，这些器械越来越多地被人们使用，使部分手动过程自动化。5.6现今，各种计算机硬件和软件功能可供使用，其中这些硬件和软件旨在协助II.C中所述程序的一个或多个步骤。</w:t>
      </w:r>
    </w:p>
    <w:p w14:paraId="47BA00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45A8FB42">
      <w:pPr>
        <w:pStyle w:val="15"/>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常规细胞遗传学分析中的基本步骤7，8，9</w:t>
      </w:r>
    </w:p>
    <w:p w14:paraId="7EBBE2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08EF1152">
      <w:pPr>
        <w:pStyle w:val="15"/>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样本类型和细胞制备。（自动染色体分析仪不参与此步骤。）</w:t>
      </w:r>
    </w:p>
    <w:p w14:paraId="56781F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594B17C6">
      <w:pPr>
        <w:pStyle w:val="15"/>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获得具有大量周期（分裂）细胞的样本</w:t>
      </w:r>
    </w:p>
    <w:p w14:paraId="30DBE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79B1FA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可在未进行培育的情况下采集含有快速分裂的细胞（例如骨髓、实体瘤和绒毛膜绒毛）的样本（直接方法）。其它类型的组织（例如，外周血淋巴细胞、皮肤成纤维细胞和羊水细胞）必须在采集前于营养培养基和受控环境中进行培养。</w:t>
      </w:r>
    </w:p>
    <w:p w14:paraId="6FBFBC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BF1D211">
      <w:pPr>
        <w:pStyle w:val="15"/>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采集细胞</w:t>
      </w:r>
    </w:p>
    <w:p w14:paraId="4714B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7FF098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通过加入可抑制纺锤体纤维形成的秋水仙碱或类似试剂，在细胞周期的中期阶段停止细胞分裂。使用低渗剂处理细胞，使细胞膨胀，并且当其滴在显微镜载玻片上或在盖玻片上生长时使中期染色体更好地扩展。使用固定剂处理细胞并杀死，理清染色体形态，并增强染色体的嗜碱性。</w:t>
      </w:r>
    </w:p>
    <w:p w14:paraId="4C0ECD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6EF2B036">
      <w:pPr>
        <w:pStyle w:val="15"/>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准备载玻片和染色细胞</w:t>
      </w:r>
    </w:p>
    <w:p w14:paraId="6F5EFF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73E684B4">
      <w:pPr>
        <w:widowControl/>
        <w:spacing w:before="63" w:beforeLines="20" w:after="63" w:afterLines="20" w:line="312" w:lineRule="auto"/>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7962F46A">
      <w:pPr>
        <w:pStyle w:val="15"/>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选择和分析中期染色体的细胞</w:t>
      </w:r>
    </w:p>
    <w:p w14:paraId="250A0C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195" w:leftChars="-93" w:firstLine="558" w:firstLineChars="310"/>
        <w:rPr>
          <w:rFonts w:ascii="Arial" w:hAnsi="Arial" w:eastAsia="宋体" w:cs="Arial"/>
          <w:color w:val="000000"/>
          <w:kern w:val="0"/>
          <w:sz w:val="18"/>
          <w:szCs w:val="18"/>
        </w:rPr>
      </w:pPr>
      <w:r>
        <w:rPr>
          <w:rFonts w:ascii="Arial" w:hAnsi="Arial" w:eastAsia="宋体" w:cs="Arial"/>
          <w:color w:val="000000"/>
          <w:kern w:val="0"/>
          <w:sz w:val="18"/>
          <w:szCs w:val="18"/>
        </w:rPr>
        <w:t>染色体（自动染色体分析仪可以修改或辅助一个或多个此类程序）</w:t>
      </w:r>
    </w:p>
    <w:p w14:paraId="474C49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195" w:leftChars="-93" w:firstLine="558" w:firstLineChars="310"/>
        <w:rPr>
          <w:rFonts w:ascii="Arial" w:hAnsi="Arial" w:eastAsia="宋体" w:cs="Arial"/>
          <w:color w:val="000000"/>
          <w:kern w:val="0"/>
          <w:sz w:val="18"/>
          <w:szCs w:val="18"/>
        </w:rPr>
      </w:pPr>
    </w:p>
    <w:p w14:paraId="0D7D4111">
      <w:pPr>
        <w:pStyle w:val="15"/>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4" w:firstLineChars="0"/>
        <w:rPr>
          <w:rFonts w:ascii="Arial" w:hAnsi="Arial" w:eastAsia="宋体" w:cs="Arial"/>
          <w:color w:val="000000"/>
          <w:kern w:val="0"/>
          <w:sz w:val="18"/>
          <w:szCs w:val="18"/>
        </w:rPr>
      </w:pPr>
      <w:r>
        <w:rPr>
          <w:rFonts w:ascii="Arial" w:hAnsi="Arial" w:eastAsia="宋体" w:cs="Arial"/>
          <w:color w:val="000000"/>
          <w:kern w:val="0"/>
          <w:sz w:val="18"/>
          <w:szCs w:val="18"/>
        </w:rPr>
        <w:t>选择预定数量的并具有合适质量的中期染色体涂片，研究染色体并计数，确定模态染色体数目。</w:t>
      </w:r>
    </w:p>
    <w:p w14:paraId="1935E3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4"/>
        <w:rPr>
          <w:rFonts w:ascii="Arial" w:hAnsi="Arial" w:eastAsia="宋体" w:cs="Arial"/>
          <w:color w:val="000000"/>
          <w:kern w:val="0"/>
          <w:sz w:val="18"/>
          <w:szCs w:val="18"/>
        </w:rPr>
      </w:pPr>
    </w:p>
    <w:p w14:paraId="436CF82F">
      <w:pPr>
        <w:pStyle w:val="15"/>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910" w:hanging="546" w:firstLineChars="0"/>
        <w:rPr>
          <w:rFonts w:ascii="Arial" w:hAnsi="Arial" w:eastAsia="宋体" w:cs="Arial"/>
          <w:color w:val="000000"/>
          <w:kern w:val="0"/>
          <w:sz w:val="18"/>
          <w:szCs w:val="18"/>
        </w:rPr>
      </w:pPr>
      <w:r>
        <w:rPr>
          <w:rFonts w:ascii="Arial" w:hAnsi="Arial" w:eastAsia="宋体" w:cs="Arial"/>
          <w:color w:val="000000"/>
          <w:kern w:val="0"/>
          <w:sz w:val="18"/>
          <w:szCs w:val="18"/>
        </w:rPr>
        <w:t>选择几个代表性染色体涂片进行详细分析。所选择的细胞数量根据个体实验室实践和试验的临床适应症改变。</w:t>
      </w:r>
    </w:p>
    <w:p w14:paraId="4679F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504775EC">
      <w:pPr>
        <w:pStyle w:val="15"/>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910" w:hanging="546" w:firstLineChars="0"/>
        <w:rPr>
          <w:rFonts w:ascii="Arial" w:hAnsi="Arial" w:eastAsia="宋体" w:cs="Arial"/>
          <w:color w:val="000000"/>
          <w:kern w:val="0"/>
          <w:sz w:val="18"/>
          <w:szCs w:val="18"/>
        </w:rPr>
      </w:pPr>
      <w:r>
        <w:rPr>
          <w:rFonts w:ascii="Arial" w:hAnsi="Arial" w:eastAsia="宋体" w:cs="Arial"/>
          <w:color w:val="000000"/>
          <w:kern w:val="0"/>
          <w:sz w:val="18"/>
          <w:szCs w:val="18"/>
        </w:rPr>
        <w:t>为代表性中期染色体涂片拍摄照片，并制作适当数量的相片。</w:t>
      </w:r>
    </w:p>
    <w:p w14:paraId="6083B8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4DBED313">
      <w:pPr>
        <w:pStyle w:val="15"/>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910" w:hanging="546" w:firstLineChars="0"/>
        <w:rPr>
          <w:rFonts w:ascii="Arial" w:hAnsi="Arial" w:eastAsia="宋体" w:cs="Arial"/>
          <w:color w:val="000000"/>
          <w:kern w:val="0"/>
          <w:sz w:val="18"/>
          <w:szCs w:val="18"/>
        </w:rPr>
      </w:pPr>
      <w:r>
        <w:rPr>
          <w:rFonts w:ascii="Arial" w:hAnsi="Arial" w:eastAsia="宋体" w:cs="Arial"/>
          <w:color w:val="000000"/>
          <w:kern w:val="0"/>
          <w:sz w:val="18"/>
          <w:szCs w:val="18"/>
        </w:rPr>
        <w:t>从相片中切割单个染色体。按照</w:t>
      </w:r>
      <w:r>
        <w:rPr>
          <w:rFonts w:hint="eastAsia" w:eastAsia="宋体"/>
          <w:color w:val="000000"/>
          <w:kern w:val="0"/>
          <w:sz w:val="18"/>
          <w:szCs w:val="18"/>
        </w:rPr>
        <w:t>人类细胞遗传学命名的国际体制</w:t>
      </w:r>
      <w:r>
        <w:rPr>
          <w:rFonts w:ascii="Arial" w:hAnsi="Arial" w:eastAsia="宋体" w:cs="Arial"/>
          <w:color w:val="000000"/>
          <w:kern w:val="0"/>
          <w:sz w:val="18"/>
          <w:szCs w:val="18"/>
        </w:rPr>
        <w:t>（ISCN），1985指南，将染色体以标准格式配对并排列。10</w:t>
      </w:r>
    </w:p>
    <w:p w14:paraId="3137EFEC">
      <w:pPr>
        <w:pStyle w:val="15"/>
        <w:spacing w:before="63" w:beforeLines="20" w:after="63" w:afterLines="20" w:line="312" w:lineRule="auto"/>
        <w:ind w:firstLine="360"/>
        <w:rPr>
          <w:rFonts w:ascii="Arial" w:hAnsi="Arial" w:eastAsia="宋体" w:cs="Arial"/>
          <w:color w:val="000000"/>
          <w:kern w:val="0"/>
          <w:sz w:val="18"/>
          <w:szCs w:val="18"/>
        </w:rPr>
      </w:pPr>
    </w:p>
    <w:p w14:paraId="4780208F">
      <w:pPr>
        <w:pStyle w:val="15"/>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910" w:hanging="546" w:firstLineChars="0"/>
        <w:rPr>
          <w:rFonts w:ascii="Arial" w:hAnsi="Arial" w:eastAsia="宋体" w:cs="Arial"/>
          <w:color w:val="000000"/>
          <w:kern w:val="0"/>
          <w:sz w:val="18"/>
          <w:szCs w:val="18"/>
        </w:rPr>
      </w:pPr>
      <w:r>
        <w:rPr>
          <w:rFonts w:ascii="Arial" w:hAnsi="Arial" w:eastAsia="宋体" w:cs="Arial"/>
          <w:color w:val="000000"/>
          <w:kern w:val="0"/>
          <w:sz w:val="18"/>
          <w:szCs w:val="18"/>
        </w:rPr>
        <w:t>使用标准命名法编制最终报告，报告需纳入保存的总结和说明以及所计数和分析的细胞数。将报告发送给转诊临床医生。在个别机构或其他监管机构确定的一段时间内保留永久记录（包括有关最终报告的副本、原始中期图像和核型以及显微镜载玻片的记录）。</w:t>
      </w:r>
    </w:p>
    <w:p w14:paraId="196DDD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26C9D4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27E6F0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619215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C595A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4AE6C64C">
      <w:pPr>
        <w:pStyle w:val="15"/>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294" w:hanging="294" w:firstLineChars="0"/>
        <w:rPr>
          <w:rFonts w:ascii="Arial" w:hAnsi="Arial" w:eastAsia="宋体" w:cs="Arial"/>
          <w:color w:val="000000"/>
          <w:kern w:val="0"/>
          <w:sz w:val="18"/>
          <w:szCs w:val="18"/>
        </w:rPr>
      </w:pPr>
      <w:r>
        <w:rPr>
          <w:rFonts w:ascii="Arial" w:hAnsi="Arial" w:eastAsia="宋体" w:cs="Arial"/>
          <w:color w:val="000000"/>
          <w:kern w:val="0"/>
          <w:sz w:val="18"/>
          <w:szCs w:val="18"/>
        </w:rPr>
        <w:t>器械描述</w:t>
      </w:r>
    </w:p>
    <w:p w14:paraId="12523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4A904EE8">
      <w:pPr>
        <w:pStyle w:val="15"/>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一般原则和功能</w:t>
      </w:r>
    </w:p>
    <w:p w14:paraId="3FA225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4A8BC9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364" w:leftChars="173" w:hanging="1" w:hangingChars="1"/>
        <w:rPr>
          <w:rFonts w:ascii="Arial" w:hAnsi="Arial" w:eastAsia="宋体" w:cs="Arial"/>
          <w:color w:val="000000"/>
          <w:kern w:val="0"/>
          <w:sz w:val="18"/>
          <w:szCs w:val="18"/>
        </w:rPr>
      </w:pPr>
      <w:r>
        <w:rPr>
          <w:rFonts w:ascii="Arial" w:hAnsi="Arial" w:eastAsia="宋体" w:cs="Arial"/>
          <w:color w:val="000000"/>
          <w:kern w:val="0"/>
          <w:sz w:val="18"/>
          <w:szCs w:val="18"/>
        </w:rPr>
        <w:t>对这些器械的审查中，关键问题集中于具体的预期用途声明和要求，用途声明和要求取决于制造的器械类型。</w:t>
      </w:r>
    </w:p>
    <w:p w14:paraId="6FC28A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7ED45137">
      <w:pPr>
        <w:widowControl/>
        <w:spacing w:before="63" w:beforeLines="20" w:after="63" w:afterLines="20" w:line="312" w:lineRule="auto"/>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0F9398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364" w:leftChars="173" w:hanging="1" w:hangingChars="1"/>
        <w:rPr>
          <w:rFonts w:ascii="Arial" w:hAnsi="Arial" w:eastAsia="宋体" w:cs="Arial"/>
          <w:color w:val="000000"/>
          <w:kern w:val="0"/>
          <w:sz w:val="18"/>
          <w:szCs w:val="18"/>
        </w:rPr>
      </w:pPr>
      <w:r>
        <w:rPr>
          <w:rFonts w:ascii="Arial" w:hAnsi="Arial" w:eastAsia="宋体" w:cs="Arial"/>
          <w:color w:val="000000"/>
          <w:kern w:val="0"/>
          <w:sz w:val="18"/>
          <w:szCs w:val="18"/>
        </w:rPr>
        <w:t>以下功能/性能属于已在美国上市或正在开发以用于临床使用的器械代表性功能/性能。应在51OK提交资料的标签部分中详细说明所声明的这些和任何其他功能。</w:t>
      </w:r>
    </w:p>
    <w:p w14:paraId="2C41B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727" w:firstLineChars="404"/>
        <w:rPr>
          <w:rFonts w:ascii="Arial" w:hAnsi="Arial" w:eastAsia="宋体" w:cs="Arial"/>
          <w:color w:val="000000"/>
          <w:kern w:val="0"/>
          <w:sz w:val="18"/>
          <w:szCs w:val="18"/>
        </w:rPr>
      </w:pPr>
      <w:r>
        <w:rPr>
          <w:rFonts w:ascii="Arial" w:hAnsi="Arial" w:eastAsia="宋体" w:cs="Arial"/>
          <w:color w:val="000000"/>
          <w:kern w:val="0"/>
          <w:sz w:val="18"/>
          <w:szCs w:val="18"/>
        </w:rPr>
        <w:t>工作站</w:t>
      </w:r>
    </w:p>
    <w:p w14:paraId="70E2D5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727" w:firstLineChars="404"/>
        <w:rPr>
          <w:rFonts w:ascii="Arial" w:hAnsi="Arial" w:eastAsia="宋体" w:cs="Arial"/>
          <w:color w:val="000000"/>
          <w:kern w:val="0"/>
          <w:sz w:val="18"/>
          <w:szCs w:val="18"/>
        </w:rPr>
      </w:pPr>
      <w:r>
        <w:rPr>
          <w:rFonts w:ascii="Arial" w:hAnsi="Arial" w:eastAsia="宋体" w:cs="Arial"/>
          <w:color w:val="000000"/>
          <w:kern w:val="0"/>
          <w:sz w:val="18"/>
          <w:szCs w:val="18"/>
        </w:rPr>
        <w:t>硬件/软件</w:t>
      </w:r>
    </w:p>
    <w:p w14:paraId="527E61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727" w:firstLineChars="404"/>
        <w:rPr>
          <w:rFonts w:ascii="Arial" w:hAnsi="Arial" w:eastAsia="宋体" w:cs="Arial"/>
          <w:color w:val="000000"/>
          <w:kern w:val="0"/>
          <w:sz w:val="18"/>
          <w:szCs w:val="18"/>
        </w:rPr>
      </w:pPr>
      <w:r>
        <w:rPr>
          <w:rFonts w:ascii="Arial" w:hAnsi="Arial" w:eastAsia="宋体" w:cs="Arial"/>
          <w:color w:val="000000"/>
          <w:kern w:val="0"/>
          <w:sz w:val="18"/>
          <w:szCs w:val="18"/>
        </w:rPr>
        <w:t>带自动对焦显示器的电子摄像机</w:t>
      </w:r>
    </w:p>
    <w:p w14:paraId="4920D5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712" w:firstLineChars="396"/>
        <w:rPr>
          <w:rFonts w:ascii="Arial" w:hAnsi="Arial" w:eastAsia="宋体" w:cs="Arial"/>
          <w:color w:val="000000"/>
          <w:kern w:val="0"/>
          <w:sz w:val="18"/>
          <w:szCs w:val="18"/>
        </w:rPr>
      </w:pPr>
      <w:r>
        <w:rPr>
          <w:rFonts w:ascii="Arial" w:hAnsi="Arial" w:eastAsia="宋体" w:cs="Arial"/>
          <w:color w:val="000000"/>
          <w:kern w:val="0"/>
          <w:sz w:val="18"/>
          <w:szCs w:val="18"/>
        </w:rPr>
        <w:t>显示器（彩色，单色）</w:t>
      </w:r>
    </w:p>
    <w:p w14:paraId="0BACC6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712" w:firstLineChars="396"/>
        <w:rPr>
          <w:rFonts w:ascii="Arial" w:hAnsi="Arial" w:eastAsia="宋体" w:cs="Arial"/>
          <w:color w:val="000000"/>
          <w:kern w:val="0"/>
          <w:sz w:val="18"/>
          <w:szCs w:val="18"/>
        </w:rPr>
      </w:pPr>
      <w:r>
        <w:rPr>
          <w:rFonts w:ascii="Arial" w:hAnsi="Arial" w:eastAsia="宋体" w:cs="Arial"/>
          <w:color w:val="000000"/>
          <w:kern w:val="0"/>
          <w:sz w:val="18"/>
          <w:szCs w:val="18"/>
        </w:rPr>
        <w:t>文字处理器</w:t>
      </w:r>
    </w:p>
    <w:p w14:paraId="7E53A5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712" w:firstLineChars="396"/>
        <w:rPr>
          <w:rFonts w:ascii="Arial" w:hAnsi="Arial" w:eastAsia="宋体" w:cs="Arial"/>
          <w:color w:val="000000"/>
          <w:kern w:val="0"/>
          <w:sz w:val="18"/>
          <w:szCs w:val="18"/>
        </w:rPr>
      </w:pPr>
      <w:r>
        <w:rPr>
          <w:rFonts w:ascii="Arial" w:hAnsi="Arial" w:eastAsia="宋体" w:cs="Arial"/>
          <w:color w:val="000000"/>
          <w:kern w:val="0"/>
          <w:sz w:val="18"/>
          <w:szCs w:val="18"/>
        </w:rPr>
        <w:t>特殊决策功能</w:t>
      </w:r>
    </w:p>
    <w:p w14:paraId="69F1AF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自动核型分析</w:t>
      </w:r>
    </w:p>
    <w:p w14:paraId="77DC74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中期发现</w:t>
      </w:r>
    </w:p>
    <w:p w14:paraId="5F5DF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染色体发现</w:t>
      </w:r>
    </w:p>
    <w:p w14:paraId="31E3B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随体分析</w:t>
      </w:r>
    </w:p>
    <w:p w14:paraId="08B322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原位杂交分析</w:t>
      </w:r>
    </w:p>
    <w:p w14:paraId="5B38F3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姐妹染色单体交换（SCE）分析</w:t>
      </w:r>
    </w:p>
    <w:p w14:paraId="32D950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自动切割和/或分离染色体</w:t>
      </w:r>
    </w:p>
    <w:p w14:paraId="55E375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图像处理</w:t>
      </w:r>
    </w:p>
    <w:p w14:paraId="2E4BE8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定位</w:t>
      </w:r>
    </w:p>
    <w:p w14:paraId="170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旋转</w:t>
      </w:r>
    </w:p>
    <w:p w14:paraId="147ED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移动</w:t>
      </w:r>
    </w:p>
    <w:p w14:paraId="60518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 xml:space="preserve">消除工件（匀光） </w:t>
      </w:r>
    </w:p>
    <w:p w14:paraId="33F9AB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扩大所选中期，染色体对或单个染色体</w:t>
      </w:r>
    </w:p>
    <w:p w14:paraId="0C43ED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增强</w:t>
      </w:r>
    </w:p>
    <w:p w14:paraId="24F246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对比</w:t>
      </w:r>
    </w:p>
    <w:p w14:paraId="7D8E80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电视摄像机的图像捕获过程</w:t>
      </w:r>
    </w:p>
    <w:p w14:paraId="5EE51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解决灰度（灰度级别）</w:t>
      </w:r>
    </w:p>
    <w:p w14:paraId="150C74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 xml:space="preserve">打印机接口 </w:t>
      </w:r>
    </w:p>
    <w:p w14:paraId="19E08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显微镜接口</w:t>
      </w:r>
    </w:p>
    <w:p w14:paraId="5700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网络容量</w:t>
      </w:r>
    </w:p>
    <w:p w14:paraId="432D1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数据存储机制和容量</w:t>
      </w:r>
    </w:p>
    <w:p w14:paraId="5BA0EB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能够识别和分析前期染色体的能力</w:t>
      </w:r>
    </w:p>
    <w:p w14:paraId="478452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可以使用工具的染色方法</w:t>
      </w:r>
    </w:p>
    <w:p w14:paraId="3A6A39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染色体识别能力</w:t>
      </w:r>
    </w:p>
    <w:p w14:paraId="182F9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076" w:firstLineChars="598"/>
        <w:rPr>
          <w:rFonts w:ascii="Arial" w:hAnsi="Arial" w:eastAsia="宋体" w:cs="Arial"/>
          <w:color w:val="000000"/>
          <w:kern w:val="0"/>
          <w:sz w:val="18"/>
          <w:szCs w:val="18"/>
        </w:rPr>
      </w:pPr>
      <w:r>
        <w:rPr>
          <w:rFonts w:ascii="Arial" w:hAnsi="Arial" w:eastAsia="宋体" w:cs="Arial"/>
          <w:color w:val="000000"/>
          <w:kern w:val="0"/>
          <w:sz w:val="18"/>
          <w:szCs w:val="18"/>
        </w:rPr>
        <w:t>培训功能</w:t>
      </w:r>
    </w:p>
    <w:p w14:paraId="75A08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2B93AFEF">
      <w:pPr>
        <w:pStyle w:val="15"/>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具体功能说明：</w:t>
      </w:r>
    </w:p>
    <w:p w14:paraId="5BD12C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7F671E2">
      <w:pPr>
        <w:widowControl/>
        <w:spacing w:before="63" w:beforeLines="20" w:after="63" w:afterLines="20" w:line="312" w:lineRule="auto"/>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4F9F73DD">
      <w:pPr>
        <w:pStyle w:val="15"/>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00" w:hanging="336" w:firstLineChars="0"/>
        <w:rPr>
          <w:rFonts w:ascii="Arial" w:hAnsi="Arial" w:eastAsia="宋体" w:cs="Arial"/>
          <w:color w:val="000000"/>
          <w:kern w:val="0"/>
          <w:sz w:val="18"/>
          <w:szCs w:val="18"/>
        </w:rPr>
      </w:pPr>
      <w:r>
        <w:rPr>
          <w:rFonts w:ascii="Arial" w:hAnsi="Arial" w:eastAsia="宋体" w:cs="Arial"/>
          <w:color w:val="000000"/>
          <w:kern w:val="0"/>
          <w:sz w:val="18"/>
          <w:szCs w:val="18"/>
        </w:rPr>
        <w:t>中期检测仪/扫描仪可帮助细胞技术学家快速定位适用中期染色体，用于分析。这些工具自动扫描显微镜载玻片，找出可能的中期染色体涂片。工具可以根据质量对中期细胞进行排序，并将其显微镜载片坐标存储在计算机数据库中。中期检测/扫描工具并不总是准确的。在一些情况下，工具的使用限于特定类型的染色，并且可能不适合用于某些类型的异常。</w:t>
      </w:r>
    </w:p>
    <w:p w14:paraId="7B2F72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00" w:hanging="336"/>
        <w:rPr>
          <w:rFonts w:ascii="Arial" w:hAnsi="Arial" w:eastAsia="宋体" w:cs="Arial"/>
          <w:color w:val="000000"/>
          <w:kern w:val="0"/>
          <w:sz w:val="18"/>
          <w:szCs w:val="18"/>
        </w:rPr>
      </w:pPr>
    </w:p>
    <w:p w14:paraId="34124AD4">
      <w:pPr>
        <w:pStyle w:val="15"/>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00" w:hanging="336" w:firstLineChars="0"/>
        <w:rPr>
          <w:rFonts w:ascii="Arial" w:hAnsi="Arial" w:eastAsia="宋体" w:cs="Arial"/>
          <w:color w:val="000000"/>
          <w:kern w:val="0"/>
          <w:sz w:val="18"/>
          <w:szCs w:val="18"/>
        </w:rPr>
      </w:pPr>
      <w:r>
        <w:rPr>
          <w:rFonts w:ascii="Arial" w:hAnsi="Arial" w:eastAsia="宋体" w:cs="Arial"/>
          <w:color w:val="000000"/>
          <w:kern w:val="0"/>
          <w:sz w:val="18"/>
          <w:szCs w:val="18"/>
        </w:rPr>
        <w:t>染色体计数器通过自动计数给定中期染色体涂片中的染色体数量来确定染色体数目。</w:t>
      </w:r>
    </w:p>
    <w:p w14:paraId="129B40BE">
      <w:pPr>
        <w:pStyle w:val="15"/>
        <w:spacing w:before="63" w:beforeLines="20" w:after="63" w:afterLines="20" w:line="312" w:lineRule="auto"/>
        <w:ind w:firstLine="360"/>
        <w:rPr>
          <w:rFonts w:ascii="Arial" w:hAnsi="Arial" w:eastAsia="宋体" w:cs="Arial"/>
          <w:color w:val="000000"/>
          <w:kern w:val="0"/>
          <w:sz w:val="18"/>
          <w:szCs w:val="18"/>
        </w:rPr>
      </w:pPr>
    </w:p>
    <w:p w14:paraId="60C5B9EB">
      <w:pPr>
        <w:pStyle w:val="15"/>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00" w:hanging="336" w:firstLineChars="0"/>
        <w:rPr>
          <w:rFonts w:ascii="Arial" w:hAnsi="Arial" w:eastAsia="宋体" w:cs="Arial"/>
          <w:color w:val="000000"/>
          <w:kern w:val="0"/>
          <w:sz w:val="18"/>
          <w:szCs w:val="18"/>
        </w:rPr>
      </w:pPr>
      <w:r>
        <w:rPr>
          <w:rFonts w:ascii="Arial" w:hAnsi="Arial" w:eastAsia="宋体" w:cs="Arial"/>
          <w:color w:val="000000"/>
          <w:kern w:val="0"/>
          <w:sz w:val="18"/>
          <w:szCs w:val="18"/>
        </w:rPr>
        <w:t>显微照相术和摄影暗室过程减少了核型分析时对显微照相术、摄影暗室工作和切割和粘贴染色体的需要。该过程使用数字图像处理，通过将图像划分为像素网格来数字化中期图像。分辨率和细节由图像中的像素数量和对比度级别（灰度）的范围确定。灰度水平理论上可以在0至256的范围内。有关每个像素的光学信息及其位置可以进行处理并存储在计算机数据库中。对中期染色体进行操作（切割）并成对排列（粘贴）于核型卡上（投影到计算机显示器上）。一些工具用于自动进行“切割和粘贴”（请参见下面的B.4.b.部分） - 其他工具则需要操作者对图像进行操作（请参见下面的B.4.a部分）。</w:t>
      </w:r>
    </w:p>
    <w:p w14:paraId="1C7A63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2FA36450">
      <w:pPr>
        <w:pStyle w:val="15"/>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00" w:hanging="336" w:firstLineChars="0"/>
        <w:rPr>
          <w:rFonts w:ascii="Arial" w:hAnsi="Arial" w:eastAsia="宋体" w:cs="Arial"/>
          <w:color w:val="000000"/>
          <w:kern w:val="0"/>
          <w:sz w:val="18"/>
          <w:szCs w:val="18"/>
        </w:rPr>
      </w:pPr>
      <w:r>
        <w:rPr>
          <w:rFonts w:ascii="Arial" w:hAnsi="Arial" w:eastAsia="宋体" w:cs="Arial"/>
          <w:color w:val="000000"/>
          <w:kern w:val="0"/>
          <w:sz w:val="18"/>
          <w:szCs w:val="18"/>
        </w:rPr>
        <w:t>交互式和自动核型分析</w:t>
      </w:r>
    </w:p>
    <w:p w14:paraId="2A4C19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447BCF98">
      <w:pPr>
        <w:pStyle w:val="15"/>
        <w:widowControl/>
        <w:numPr>
          <w:ilvl w:val="0"/>
          <w:numId w:val="8"/>
        </w:numPr>
        <w:tabs>
          <w:tab w:val="left" w:pos="11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1120" w:hanging="434" w:firstLineChars="0"/>
        <w:rPr>
          <w:rFonts w:ascii="Arial" w:hAnsi="Arial" w:eastAsia="宋体" w:cs="Arial"/>
          <w:color w:val="000000"/>
          <w:kern w:val="0"/>
          <w:sz w:val="18"/>
          <w:szCs w:val="18"/>
        </w:rPr>
      </w:pPr>
      <w:r>
        <w:rPr>
          <w:rFonts w:ascii="Arial" w:hAnsi="Arial" w:eastAsia="宋体" w:cs="Arial"/>
          <w:color w:val="000000"/>
          <w:kern w:val="0"/>
          <w:sz w:val="18"/>
          <w:szCs w:val="18"/>
        </w:rPr>
        <w:t>交互式系统不具决策能力，并且依赖于操作者从计算机屏幕中分类染色体并将染色体排列在计算机化的核型表上。</w:t>
      </w:r>
    </w:p>
    <w:p w14:paraId="5E6ADB12">
      <w:pPr>
        <w:widowControl/>
        <w:tabs>
          <w:tab w:val="left" w:pos="11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1120" w:hanging="434"/>
        <w:rPr>
          <w:rFonts w:ascii="Arial" w:hAnsi="Arial" w:eastAsia="宋体" w:cs="Arial"/>
          <w:color w:val="000000"/>
          <w:kern w:val="0"/>
          <w:sz w:val="18"/>
          <w:szCs w:val="18"/>
        </w:rPr>
      </w:pPr>
    </w:p>
    <w:p w14:paraId="105B6A29">
      <w:pPr>
        <w:widowControl/>
        <w:tabs>
          <w:tab w:val="left" w:pos="1148"/>
        </w:tabs>
        <w:spacing w:before="63" w:beforeLines="20" w:after="63" w:afterLines="20" w:line="312" w:lineRule="auto"/>
        <w:ind w:left="1120" w:hanging="434"/>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446318AE">
      <w:pPr>
        <w:pStyle w:val="15"/>
        <w:widowControl/>
        <w:numPr>
          <w:ilvl w:val="0"/>
          <w:numId w:val="8"/>
        </w:numPr>
        <w:tabs>
          <w:tab w:val="left" w:pos="11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1120" w:hanging="434" w:firstLineChars="0"/>
        <w:rPr>
          <w:rFonts w:ascii="Arial" w:hAnsi="Arial" w:eastAsia="宋体" w:cs="Arial"/>
          <w:color w:val="000000"/>
          <w:kern w:val="0"/>
          <w:sz w:val="18"/>
          <w:szCs w:val="18"/>
        </w:rPr>
      </w:pPr>
      <w:r>
        <w:rPr>
          <w:rFonts w:ascii="Arial" w:hAnsi="Arial" w:eastAsia="宋体" w:cs="Arial"/>
          <w:color w:val="000000"/>
          <w:kern w:val="0"/>
          <w:sz w:val="18"/>
          <w:szCs w:val="18"/>
        </w:rPr>
        <w:t>自动核型分析系统具有不同的决策能力。应基于染色体尺寸（例如，短臂与长臂的比率）以及显带核型详情对染色体进行分类。</w:t>
      </w:r>
    </w:p>
    <w:p w14:paraId="28B6AE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FB84532">
      <w:pPr>
        <w:pStyle w:val="15"/>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00" w:hanging="336" w:firstLineChars="0"/>
        <w:rPr>
          <w:rFonts w:ascii="Arial" w:hAnsi="Arial" w:eastAsia="宋体" w:cs="Arial"/>
          <w:color w:val="000000"/>
          <w:kern w:val="0"/>
          <w:sz w:val="18"/>
          <w:szCs w:val="18"/>
        </w:rPr>
      </w:pPr>
      <w:r>
        <w:rPr>
          <w:rFonts w:ascii="Arial" w:hAnsi="Arial" w:eastAsia="宋体" w:cs="Arial"/>
          <w:color w:val="000000"/>
          <w:kern w:val="0"/>
          <w:sz w:val="18"/>
          <w:szCs w:val="18"/>
        </w:rPr>
        <w:t>增强、更改和操作功能。一些工具具有可增强或对比中期和/或单个染色体中的染色体图像以改善染色体的显带特性的功能。其他功能可更改或允许操作者更改染色体形态和/或其它细胞特性。这些功能包括：矫直、扩大、修整、“镜像”、“增强”（选择性改变中期染色体涂片内或染色体区内的染色模式），以及匀光/增强细胞质背景。</w:t>
      </w:r>
    </w:p>
    <w:p w14:paraId="3849984F">
      <w:pPr>
        <w:pStyle w:val="1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00" w:firstLine="0" w:firstLineChars="0"/>
        <w:rPr>
          <w:rFonts w:ascii="Arial" w:hAnsi="Arial" w:eastAsia="宋体" w:cs="Arial"/>
          <w:color w:val="000000"/>
          <w:kern w:val="0"/>
          <w:sz w:val="18"/>
          <w:szCs w:val="18"/>
        </w:rPr>
      </w:pPr>
    </w:p>
    <w:p w14:paraId="1B43669C">
      <w:pPr>
        <w:pStyle w:val="15"/>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00" w:hanging="336" w:firstLineChars="0"/>
        <w:rPr>
          <w:rFonts w:ascii="Arial" w:hAnsi="Arial" w:eastAsia="宋体" w:cs="Arial"/>
          <w:color w:val="000000"/>
          <w:kern w:val="0"/>
          <w:sz w:val="18"/>
          <w:szCs w:val="18"/>
        </w:rPr>
      </w:pPr>
      <w:r>
        <w:rPr>
          <w:rFonts w:ascii="Arial" w:hAnsi="Arial" w:eastAsia="宋体" w:cs="Arial"/>
          <w:color w:val="000000"/>
          <w:kern w:val="0"/>
          <w:sz w:val="18"/>
          <w:szCs w:val="18"/>
        </w:rPr>
        <w:t>专业分析（开发中）。一些工具能够执行针对专门研究（如染色体随体、原位杂交和姐妹染色单体交换（SCE））的分析。一些染色体分析仪可自动计算每个中期细胞的随体或SCE的数目或每个间期或中期细胞的杂交探针位点的数目。尽管该功能目前已用于研究目的，但尚未被FDA许可用于临床应用。</w:t>
      </w:r>
    </w:p>
    <w:p w14:paraId="03C438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19ABF775">
      <w:pPr>
        <w:pStyle w:val="15"/>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00" w:hanging="336" w:firstLineChars="0"/>
        <w:rPr>
          <w:rFonts w:ascii="Arial" w:hAnsi="Arial" w:eastAsia="宋体" w:cs="Arial"/>
          <w:color w:val="000000"/>
          <w:kern w:val="0"/>
          <w:sz w:val="18"/>
          <w:szCs w:val="18"/>
        </w:rPr>
      </w:pPr>
      <w:r>
        <w:rPr>
          <w:rFonts w:ascii="Arial" w:hAnsi="Arial" w:eastAsia="宋体" w:cs="Arial"/>
          <w:color w:val="000000"/>
          <w:kern w:val="0"/>
          <w:sz w:val="18"/>
          <w:szCs w:val="18"/>
        </w:rPr>
        <w:t>硬拷贝打印。大多数系统能够生成接近照相质量的、打印机生成的中期图像和核型的硬拷贝。</w:t>
      </w:r>
    </w:p>
    <w:p w14:paraId="754106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21A8D05C">
      <w:pPr>
        <w:pStyle w:val="15"/>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00" w:hanging="336" w:firstLineChars="0"/>
        <w:rPr>
          <w:rFonts w:ascii="Arial" w:hAnsi="Arial" w:eastAsia="宋体" w:cs="Arial"/>
          <w:color w:val="000000"/>
          <w:kern w:val="0"/>
          <w:sz w:val="18"/>
          <w:szCs w:val="18"/>
        </w:rPr>
      </w:pPr>
      <w:r>
        <w:rPr>
          <w:rFonts w:ascii="Arial" w:hAnsi="Arial" w:eastAsia="宋体" w:cs="Arial"/>
          <w:color w:val="000000"/>
          <w:kern w:val="0"/>
          <w:sz w:val="18"/>
          <w:szCs w:val="18"/>
        </w:rPr>
        <w:t>生成报告。许多工具具有为转诊临床医生生成（编制和打印）最终总结以及处理计费过程和其他簿记的性能。</w:t>
      </w:r>
    </w:p>
    <w:p w14:paraId="0CA9E2C4">
      <w:pPr>
        <w:pStyle w:val="15"/>
        <w:spacing w:before="63" w:beforeLines="20" w:after="63" w:afterLines="20" w:line="312" w:lineRule="auto"/>
        <w:ind w:firstLine="360"/>
        <w:rPr>
          <w:rFonts w:ascii="Arial" w:hAnsi="Arial" w:eastAsia="宋体" w:cs="Arial"/>
          <w:color w:val="000000"/>
          <w:kern w:val="0"/>
          <w:sz w:val="18"/>
          <w:szCs w:val="18"/>
        </w:rPr>
      </w:pPr>
    </w:p>
    <w:p w14:paraId="4AEB357C">
      <w:pPr>
        <w:widowControl/>
        <w:spacing w:before="63" w:beforeLines="20" w:after="63" w:afterLines="20" w:line="312" w:lineRule="auto"/>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644E106B">
      <w:pPr>
        <w:pStyle w:val="15"/>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00" w:hanging="336" w:firstLineChars="0"/>
        <w:rPr>
          <w:rFonts w:ascii="Arial" w:hAnsi="Arial" w:eastAsia="宋体" w:cs="Arial"/>
          <w:color w:val="000000"/>
          <w:kern w:val="0"/>
          <w:sz w:val="18"/>
          <w:szCs w:val="18"/>
        </w:rPr>
      </w:pPr>
      <w:r>
        <w:rPr>
          <w:rFonts w:ascii="Arial" w:hAnsi="Arial" w:eastAsia="宋体" w:cs="Arial"/>
          <w:color w:val="000000"/>
          <w:kern w:val="0"/>
          <w:sz w:val="18"/>
          <w:szCs w:val="18"/>
        </w:rPr>
        <w:t>计算机化患者数据存储、检索和归档系统。数据库可以包括中期图像和核型、患者识别信息和最终报告。</w:t>
      </w:r>
    </w:p>
    <w:p w14:paraId="1329E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4A5BE59F">
      <w:pPr>
        <w:pStyle w:val="15"/>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00" w:hanging="336" w:firstLineChars="0"/>
        <w:rPr>
          <w:rFonts w:ascii="Arial" w:hAnsi="Arial" w:eastAsia="宋体" w:cs="Arial"/>
          <w:color w:val="000000"/>
          <w:kern w:val="0"/>
          <w:sz w:val="18"/>
          <w:szCs w:val="18"/>
        </w:rPr>
      </w:pPr>
      <w:r>
        <w:rPr>
          <w:rFonts w:ascii="Arial" w:hAnsi="Arial" w:eastAsia="宋体" w:cs="Arial"/>
          <w:color w:val="000000"/>
          <w:kern w:val="0"/>
          <w:sz w:val="18"/>
          <w:szCs w:val="18"/>
        </w:rPr>
        <w:t>培训功能（开发中）。该功能允许操作者教系统识别给定实验室的特定染色体制片。其允许操作者“训练”工具以识别不同的染色制片。尽管该功能目前已用于研究目的，但其尚未被FDA许可用于临床应用。</w:t>
      </w:r>
    </w:p>
    <w:p w14:paraId="4284EA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0031168B">
      <w:pPr>
        <w:pStyle w:val="15"/>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00" w:hanging="336" w:firstLineChars="0"/>
        <w:rPr>
          <w:rFonts w:ascii="Arial" w:hAnsi="Arial" w:eastAsia="宋体" w:cs="Arial"/>
          <w:color w:val="000000"/>
          <w:kern w:val="0"/>
          <w:sz w:val="18"/>
          <w:szCs w:val="18"/>
        </w:rPr>
      </w:pPr>
      <w:r>
        <w:rPr>
          <w:rFonts w:ascii="Arial" w:hAnsi="Arial" w:eastAsia="宋体" w:cs="Arial"/>
          <w:color w:val="000000"/>
          <w:kern w:val="0"/>
          <w:sz w:val="18"/>
          <w:szCs w:val="18"/>
        </w:rPr>
        <w:t>通信功能允许站点与站点进行图像传输。</w:t>
      </w:r>
    </w:p>
    <w:p w14:paraId="763A71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79B81623">
      <w:pPr>
        <w:pStyle w:val="15"/>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00" w:hanging="336" w:firstLineChars="0"/>
        <w:rPr>
          <w:rFonts w:ascii="Arial" w:hAnsi="Arial" w:eastAsia="宋体" w:cs="Arial"/>
          <w:color w:val="000000"/>
          <w:kern w:val="0"/>
          <w:sz w:val="18"/>
          <w:szCs w:val="18"/>
        </w:rPr>
      </w:pPr>
      <w:r>
        <w:rPr>
          <w:rFonts w:ascii="Arial" w:hAnsi="Arial" w:eastAsia="宋体" w:cs="Arial"/>
          <w:color w:val="000000"/>
          <w:kern w:val="0"/>
          <w:sz w:val="18"/>
          <w:szCs w:val="18"/>
        </w:rPr>
        <w:t>网络功能提供工作站和本地区域之间的网络连接。</w:t>
      </w:r>
    </w:p>
    <w:p w14:paraId="2D0730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07CA8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7EF8135B">
      <w:pPr>
        <w:pStyle w:val="15"/>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294" w:hanging="294" w:firstLineChars="0"/>
        <w:rPr>
          <w:rFonts w:ascii="Arial" w:hAnsi="Arial" w:eastAsia="宋体" w:cs="Arial"/>
          <w:color w:val="000000"/>
          <w:kern w:val="0"/>
          <w:sz w:val="18"/>
          <w:szCs w:val="18"/>
        </w:rPr>
      </w:pPr>
      <w:r>
        <w:rPr>
          <w:rFonts w:ascii="Arial" w:hAnsi="Arial" w:eastAsia="宋体" w:cs="Arial"/>
          <w:color w:val="000000"/>
          <w:kern w:val="0"/>
          <w:sz w:val="18"/>
          <w:szCs w:val="18"/>
        </w:rPr>
        <w:t>具体性能特性</w:t>
      </w:r>
    </w:p>
    <w:p w14:paraId="0E0B87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45541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通过器械生成的数据，支持对工具运行极为重要的特定参数。证明该器械实质等同于合法销售的等同器械。通过将器械的性能与染色体分析的手动参考方法进行对比，进行性能研究，证明该器械安全且有效。有关特定功能所需的性能特性的详细信息，请参见第II.B.节“器械描述”。</w:t>
      </w:r>
    </w:p>
    <w:p w14:paraId="6DB63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064972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处理标签的性能特性部分中第III.C.节所述的性能特性所有方面。提供以下有关工具的复现性/精确性和准确性的具体信息，其中，这些工具的功能可用于进行此类研究。请纳入详细的研究方案、生成的数据和任何提交资料中数据的统计分析，在标签的性能特性部分纳入性能数据的总结</w:t>
      </w:r>
    </w:p>
    <w:p w14:paraId="2FAA6D0C">
      <w:pPr>
        <w:widowControl/>
        <w:spacing w:before="63" w:beforeLines="20" w:after="63" w:afterLines="20" w:line="312" w:lineRule="auto"/>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4AAFD716">
      <w:pPr>
        <w:pStyle w:val="15"/>
        <w:widowControl/>
        <w:numPr>
          <w:ilvl w:val="1"/>
          <w:numId w:val="7"/>
        </w:numPr>
        <w:tabs>
          <w:tab w:val="left" w:pos="46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hanging="827" w:firstLineChars="0"/>
        <w:rPr>
          <w:rFonts w:ascii="Arial" w:hAnsi="Arial" w:eastAsia="宋体" w:cs="Arial"/>
          <w:color w:val="000000"/>
          <w:kern w:val="0"/>
          <w:sz w:val="18"/>
          <w:szCs w:val="18"/>
        </w:rPr>
      </w:pPr>
      <w:r>
        <w:rPr>
          <w:rFonts w:ascii="Arial" w:hAnsi="Arial" w:eastAsia="宋体" w:cs="Arial"/>
          <w:color w:val="000000"/>
          <w:kern w:val="0"/>
          <w:sz w:val="18"/>
          <w:szCs w:val="18"/>
        </w:rPr>
        <w:t>分析/实验室/体外研究</w:t>
      </w:r>
    </w:p>
    <w:p w14:paraId="56DB5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72A3C55">
      <w:pPr>
        <w:pStyle w:val="15"/>
        <w:widowControl/>
        <w:numPr>
          <w:ilvl w:val="1"/>
          <w:numId w:val="8"/>
        </w:numPr>
        <w:tabs>
          <w:tab w:val="left" w:pos="7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复现性研究</w:t>
      </w:r>
    </w:p>
    <w:p w14:paraId="6A595B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1898B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41" w:leftChars="353"/>
        <w:rPr>
          <w:rFonts w:ascii="Arial" w:hAnsi="Arial" w:eastAsia="宋体" w:cs="Arial"/>
          <w:color w:val="000000"/>
          <w:kern w:val="0"/>
          <w:sz w:val="18"/>
          <w:szCs w:val="18"/>
        </w:rPr>
      </w:pPr>
      <w:r>
        <w:rPr>
          <w:rFonts w:ascii="Arial" w:hAnsi="Arial" w:eastAsia="宋体" w:cs="Arial"/>
          <w:color w:val="000000"/>
          <w:kern w:val="0"/>
          <w:sz w:val="18"/>
          <w:szCs w:val="18"/>
        </w:rPr>
        <w:t>对具有染色体异常或所声明的特性类型（例如，正常、非整倍体、结构重排、脆性位点、姐妹染色质交换等）的足够数量对照样本和供试品进行研究，证明：</w:t>
      </w:r>
    </w:p>
    <w:p w14:paraId="4A7EC7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7CC98586">
      <w:pPr>
        <w:pStyle w:val="15"/>
        <w:widowControl/>
        <w:numPr>
          <w:ilvl w:val="2"/>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样本复现性范围内</w:t>
      </w:r>
    </w:p>
    <w:p w14:paraId="5A145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5AA3E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41" w:leftChars="353"/>
        <w:rPr>
          <w:rFonts w:ascii="Arial" w:hAnsi="Arial" w:eastAsia="宋体" w:cs="Arial"/>
          <w:color w:val="000000"/>
          <w:kern w:val="0"/>
          <w:sz w:val="18"/>
          <w:szCs w:val="18"/>
        </w:rPr>
      </w:pPr>
      <w:r>
        <w:rPr>
          <w:rFonts w:ascii="Arial" w:hAnsi="Arial" w:eastAsia="宋体" w:cs="Arial"/>
          <w:color w:val="000000"/>
          <w:kern w:val="0"/>
          <w:sz w:val="18"/>
          <w:szCs w:val="18"/>
        </w:rPr>
        <w:t>器械对给定程序的重复试验（分析）是否给出相同结果？ 例如，是否可在给定载片上定位相同细胞、以相同方式对细胞进行排序、在给定细胞上给予相同染色体计数、对给定细胞生成相同核型等。</w:t>
      </w:r>
    </w:p>
    <w:p w14:paraId="5D9686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72ADE1DF">
      <w:pPr>
        <w:pStyle w:val="15"/>
        <w:widowControl/>
        <w:numPr>
          <w:ilvl w:val="2"/>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工具复现性之间</w:t>
      </w:r>
    </w:p>
    <w:p w14:paraId="13BF0F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4EE79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41" w:leftChars="353"/>
        <w:rPr>
          <w:rFonts w:ascii="Arial" w:hAnsi="Arial" w:eastAsia="宋体" w:cs="Arial"/>
          <w:color w:val="000000"/>
          <w:kern w:val="0"/>
          <w:sz w:val="18"/>
          <w:szCs w:val="18"/>
        </w:rPr>
      </w:pPr>
      <w:r>
        <w:rPr>
          <w:rFonts w:ascii="Arial" w:hAnsi="Arial" w:eastAsia="宋体" w:cs="Arial"/>
          <w:color w:val="000000"/>
          <w:kern w:val="0"/>
          <w:sz w:val="18"/>
          <w:szCs w:val="18"/>
        </w:rPr>
        <w:t>不同器械对给定程序是否给出相同结果？ 例如，其是否可在给定载片上定位相同细胞、以相同方式对细胞进行排序、在给定细胞上给予相同染色体计数、对给定细胞生成相同核型等。</w:t>
      </w:r>
    </w:p>
    <w:p w14:paraId="091AFD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05FD4990">
      <w:pPr>
        <w:pStyle w:val="15"/>
        <w:widowControl/>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对比研究</w:t>
      </w:r>
    </w:p>
    <w:p w14:paraId="60FBCD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708F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41" w:leftChars="353"/>
        <w:rPr>
          <w:rFonts w:ascii="Arial" w:hAnsi="Arial" w:eastAsia="宋体" w:cs="Arial"/>
          <w:color w:val="000000"/>
          <w:kern w:val="0"/>
          <w:sz w:val="18"/>
          <w:szCs w:val="18"/>
        </w:rPr>
      </w:pPr>
      <w:r>
        <w:rPr>
          <w:rFonts w:ascii="Arial" w:hAnsi="Arial" w:eastAsia="宋体" w:cs="Arial"/>
          <w:color w:val="000000"/>
          <w:kern w:val="0"/>
          <w:sz w:val="18"/>
          <w:szCs w:val="18"/>
        </w:rPr>
        <w:t>对比研究可提供与用于染色体分析的手动方法相比，有关工具准确确定特定结果的能力的数据。（如果非使用手动方法，请说明该方法的选择依据，并包括相关的参考文件。）</w:t>
      </w:r>
    </w:p>
    <w:p w14:paraId="6D2F9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568F2D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41" w:leftChars="353"/>
        <w:rPr>
          <w:rFonts w:ascii="Arial" w:hAnsi="Arial" w:eastAsia="宋体" w:cs="Arial"/>
          <w:color w:val="000000"/>
          <w:kern w:val="0"/>
          <w:sz w:val="18"/>
          <w:szCs w:val="18"/>
        </w:rPr>
      </w:pPr>
      <w:r>
        <w:rPr>
          <w:rFonts w:ascii="Arial" w:hAnsi="Arial" w:eastAsia="宋体" w:cs="Arial"/>
          <w:color w:val="000000"/>
          <w:kern w:val="0"/>
          <w:sz w:val="18"/>
          <w:szCs w:val="18"/>
        </w:rPr>
        <w:t>对具有染色体畸变和无染色体畸变的足够数量样本进行试验，并计算以下参数：</w:t>
      </w:r>
    </w:p>
    <w:p w14:paraId="4DD42F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602D40D1">
      <w:pPr>
        <w:widowControl/>
        <w:snapToGrid w:val="0"/>
        <w:spacing w:before="63" w:beforeLines="20" w:after="63" w:afterLines="20" w:line="312" w:lineRule="auto"/>
        <w:ind w:left="1105" w:leftChars="360" w:hanging="349" w:hangingChars="194"/>
        <w:rPr>
          <w:rFonts w:ascii="Arial" w:hAnsi="Arial" w:eastAsia="宋体" w:cs="Arial"/>
          <w:color w:val="000000"/>
          <w:kern w:val="0"/>
          <w:sz w:val="18"/>
          <w:szCs w:val="18"/>
        </w:rPr>
      </w:pPr>
      <w:r>
        <w:rPr>
          <w:rFonts w:ascii="Arial" w:hAnsi="Arial" w:eastAsia="宋体" w:cs="Arial"/>
          <w:color w:val="000000"/>
          <w:kern w:val="0"/>
          <w:sz w:val="18"/>
          <w:szCs w:val="18"/>
        </w:rPr>
        <w:t>a.</w:t>
      </w:r>
      <w:r>
        <w:rPr>
          <w:rFonts w:ascii="Arial" w:hAnsi="Arial" w:eastAsia="宋体" w:cs="Arial"/>
          <w:color w:val="000000"/>
          <w:kern w:val="0"/>
          <w:sz w:val="18"/>
          <w:szCs w:val="18"/>
        </w:rPr>
        <w:tab/>
      </w:r>
      <w:r>
        <w:rPr>
          <w:rFonts w:ascii="Arial" w:hAnsi="Arial" w:eastAsia="宋体" w:cs="Arial"/>
          <w:color w:val="000000"/>
          <w:kern w:val="0"/>
          <w:sz w:val="18"/>
          <w:szCs w:val="18"/>
        </w:rPr>
        <w:t>相对诊断灵敏度：工具通过参考方法正确识别被确定为异常的畸形的概率。</w:t>
      </w:r>
    </w:p>
    <w:p w14:paraId="431C7D4C">
      <w:pPr>
        <w:widowControl/>
        <w:snapToGrid w:val="0"/>
        <w:spacing w:before="63" w:beforeLines="20" w:after="63" w:afterLines="20" w:line="312" w:lineRule="auto"/>
        <w:ind w:left="1105" w:leftChars="360" w:hanging="349" w:hangingChars="194"/>
        <w:rPr>
          <w:rFonts w:ascii="Arial" w:hAnsi="Arial" w:eastAsia="宋体" w:cs="Arial"/>
          <w:color w:val="000000"/>
          <w:kern w:val="0"/>
          <w:sz w:val="18"/>
          <w:szCs w:val="18"/>
        </w:rPr>
      </w:pPr>
    </w:p>
    <w:p w14:paraId="15828DB4">
      <w:pPr>
        <w:widowControl/>
        <w:spacing w:before="63" w:beforeLines="20" w:after="63" w:afterLines="20" w:line="312" w:lineRule="auto"/>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10774E72">
      <w:pPr>
        <w:widowControl/>
        <w:snapToGrid w:val="0"/>
        <w:spacing w:before="63" w:beforeLines="20" w:after="63" w:afterLines="20" w:line="312" w:lineRule="auto"/>
        <w:ind w:left="1105" w:leftChars="360" w:hanging="349" w:hangingChars="194"/>
        <w:rPr>
          <w:rFonts w:ascii="Arial" w:hAnsi="Arial" w:eastAsia="宋体" w:cs="Arial"/>
          <w:color w:val="000000"/>
          <w:kern w:val="0"/>
          <w:sz w:val="18"/>
          <w:szCs w:val="18"/>
        </w:rPr>
      </w:pPr>
      <w:r>
        <w:rPr>
          <w:rFonts w:ascii="Arial" w:hAnsi="Arial" w:eastAsia="宋体" w:cs="Arial"/>
          <w:color w:val="000000"/>
          <w:kern w:val="0"/>
          <w:sz w:val="18"/>
          <w:szCs w:val="18"/>
        </w:rPr>
        <w:t>b.</w:t>
      </w:r>
      <w:r>
        <w:rPr>
          <w:rFonts w:ascii="Arial" w:hAnsi="Arial" w:eastAsia="宋体" w:cs="Arial"/>
          <w:color w:val="000000"/>
          <w:kern w:val="0"/>
          <w:sz w:val="18"/>
          <w:szCs w:val="18"/>
        </w:rPr>
        <w:tab/>
      </w:r>
      <w:r>
        <w:rPr>
          <w:rFonts w:ascii="Arial" w:hAnsi="Arial" w:eastAsia="宋体" w:cs="Arial"/>
          <w:color w:val="000000"/>
          <w:kern w:val="0"/>
          <w:sz w:val="18"/>
          <w:szCs w:val="18"/>
        </w:rPr>
        <w:t>相对诊断特异性：工具通过参考方法正确识别被确定为正常的正常样本的概率。</w:t>
      </w:r>
    </w:p>
    <w:p w14:paraId="4C092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6039C5E0">
      <w:pPr>
        <w:pStyle w:val="15"/>
        <w:widowControl/>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质量标准</w:t>
      </w:r>
    </w:p>
    <w:p w14:paraId="236902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0E80D1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41" w:leftChars="353"/>
        <w:rPr>
          <w:rFonts w:ascii="Arial" w:hAnsi="Arial" w:eastAsia="宋体" w:cs="Arial"/>
          <w:color w:val="000000"/>
          <w:kern w:val="0"/>
          <w:sz w:val="18"/>
          <w:szCs w:val="18"/>
        </w:rPr>
      </w:pPr>
      <w:r>
        <w:rPr>
          <w:rFonts w:ascii="Arial" w:hAnsi="Arial" w:eastAsia="宋体" w:cs="Arial"/>
          <w:color w:val="000000"/>
          <w:kern w:val="0"/>
          <w:sz w:val="18"/>
          <w:szCs w:val="18"/>
        </w:rPr>
        <w:t>说明相对质量：与ISCM（1985）指南</w:t>
      </w:r>
      <w:r>
        <w:rPr>
          <w:rFonts w:ascii="Arial" w:hAnsi="Arial" w:eastAsia="宋体" w:cs="Arial"/>
          <w:color w:val="000000"/>
          <w:kern w:val="0"/>
          <w:sz w:val="18"/>
          <w:szCs w:val="18"/>
          <w:vertAlign w:val="superscript"/>
        </w:rPr>
        <w:t>10</w:t>
      </w:r>
      <w:r>
        <w:rPr>
          <w:rFonts w:ascii="Arial" w:hAnsi="Arial" w:eastAsia="宋体" w:cs="Arial"/>
          <w:color w:val="000000"/>
          <w:kern w:val="0"/>
          <w:sz w:val="18"/>
          <w:szCs w:val="18"/>
        </w:rPr>
        <w:t>中的参考方法相比，工具是否达到相同的（或更高的）显带分辨率？</w:t>
      </w:r>
    </w:p>
    <w:p w14:paraId="7EF47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02DA907F">
      <w:pPr>
        <w:pStyle w:val="15"/>
        <w:widowControl/>
        <w:numPr>
          <w:ilvl w:val="1"/>
          <w:numId w:val="7"/>
        </w:numPr>
        <w:tabs>
          <w:tab w:val="left" w:pos="4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hanging="827" w:firstLineChars="0"/>
        <w:rPr>
          <w:rFonts w:ascii="Arial" w:hAnsi="Arial" w:eastAsia="宋体" w:cs="Arial"/>
          <w:color w:val="000000"/>
          <w:kern w:val="0"/>
          <w:sz w:val="18"/>
          <w:szCs w:val="18"/>
        </w:rPr>
      </w:pPr>
      <w:r>
        <w:rPr>
          <w:rFonts w:ascii="Arial" w:hAnsi="Arial" w:eastAsia="宋体" w:cs="Arial"/>
          <w:color w:val="000000"/>
          <w:kern w:val="0"/>
          <w:sz w:val="18"/>
          <w:szCs w:val="18"/>
        </w:rPr>
        <w:t>软件文件</w:t>
      </w:r>
    </w:p>
    <w:p w14:paraId="15E5F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255FA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41" w:leftChars="353"/>
        <w:rPr>
          <w:rFonts w:ascii="Arial" w:hAnsi="Arial" w:eastAsia="宋体" w:cs="Arial"/>
          <w:color w:val="000000"/>
          <w:kern w:val="0"/>
          <w:sz w:val="18"/>
          <w:szCs w:val="18"/>
        </w:rPr>
      </w:pPr>
      <w:r>
        <w:rPr>
          <w:rFonts w:ascii="Arial" w:hAnsi="Arial" w:eastAsia="宋体" w:cs="Arial"/>
          <w:color w:val="000000"/>
          <w:kern w:val="0"/>
          <w:sz w:val="18"/>
          <w:szCs w:val="18"/>
        </w:rPr>
        <w:t>所有计算机软件都应符合FDA的计算机产品法规政策。有关一般信息，请联系FDA小型制造商部门（电话：800-638-2041）。有关具体信息，请联系产品监控部（电话：301-427-8156）。</w:t>
      </w:r>
    </w:p>
    <w:p w14:paraId="2772D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7AB39F9E">
      <w:pPr>
        <w:pStyle w:val="15"/>
        <w:widowControl/>
        <w:numPr>
          <w:ilvl w:val="1"/>
          <w:numId w:val="7"/>
        </w:numPr>
        <w:tabs>
          <w:tab w:val="left" w:pos="4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hanging="827" w:firstLineChars="0"/>
        <w:rPr>
          <w:rFonts w:ascii="Arial" w:hAnsi="Arial" w:eastAsia="宋体" w:cs="Arial"/>
          <w:color w:val="000000"/>
          <w:kern w:val="0"/>
          <w:sz w:val="18"/>
          <w:szCs w:val="18"/>
        </w:rPr>
      </w:pPr>
      <w:r>
        <w:rPr>
          <w:rFonts w:ascii="Arial" w:hAnsi="Arial" w:eastAsia="宋体" w:cs="Arial"/>
          <w:color w:val="000000"/>
          <w:kern w:val="0"/>
          <w:sz w:val="18"/>
          <w:szCs w:val="18"/>
        </w:rPr>
        <w:t>II.B.中所述特定功能的特殊注意事项</w:t>
      </w:r>
    </w:p>
    <w:p w14:paraId="57FF7A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7F082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41" w:leftChars="353"/>
        <w:rPr>
          <w:rFonts w:ascii="Arial" w:hAnsi="Arial" w:eastAsia="宋体" w:cs="Arial"/>
          <w:color w:val="000000"/>
          <w:kern w:val="0"/>
          <w:sz w:val="18"/>
          <w:szCs w:val="18"/>
        </w:rPr>
      </w:pPr>
      <w:r>
        <w:rPr>
          <w:rFonts w:ascii="Arial" w:hAnsi="Arial" w:eastAsia="宋体" w:cs="Arial"/>
          <w:color w:val="000000"/>
          <w:kern w:val="0"/>
          <w:sz w:val="18"/>
          <w:szCs w:val="18"/>
        </w:rPr>
        <w:t>具有任何决策功能的所有器械还应具有一个允许操作者交互、编辑和覆盖由器械生成的工作的功能。</w:t>
      </w:r>
    </w:p>
    <w:p w14:paraId="767997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1AA9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41" w:leftChars="353"/>
        <w:rPr>
          <w:rFonts w:ascii="Arial" w:hAnsi="Arial" w:eastAsia="宋体" w:cs="Arial"/>
          <w:color w:val="000000"/>
          <w:kern w:val="0"/>
          <w:sz w:val="18"/>
          <w:szCs w:val="18"/>
        </w:rPr>
      </w:pPr>
      <w:r>
        <w:rPr>
          <w:rFonts w:ascii="Arial" w:hAnsi="Arial" w:eastAsia="宋体" w:cs="Arial"/>
          <w:color w:val="000000"/>
          <w:kern w:val="0"/>
          <w:sz w:val="18"/>
          <w:szCs w:val="18"/>
        </w:rPr>
        <w:t>成像分析计算机系统的几个功能需要给予特别考虑，下面将对这些功能进行讨论。</w:t>
      </w:r>
    </w:p>
    <w:p w14:paraId="7959C7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088E0B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41" w:leftChars="353"/>
        <w:rPr>
          <w:rFonts w:ascii="Arial" w:hAnsi="Arial" w:eastAsia="宋体" w:cs="Arial"/>
          <w:color w:val="000000"/>
          <w:kern w:val="0"/>
          <w:sz w:val="18"/>
          <w:szCs w:val="18"/>
        </w:rPr>
      </w:pPr>
      <w:r>
        <w:rPr>
          <w:rFonts w:ascii="Arial" w:hAnsi="Arial" w:eastAsia="宋体" w:cs="Arial"/>
          <w:color w:val="000000"/>
          <w:kern w:val="0"/>
          <w:sz w:val="18"/>
          <w:szCs w:val="18"/>
        </w:rPr>
        <w:t>对于以下每个功能，若无其它规定，请提供复现性和对比研究、质量标准和软件文件。</w:t>
      </w:r>
    </w:p>
    <w:p w14:paraId="428046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41" w:leftChars="353"/>
        <w:rPr>
          <w:rFonts w:ascii="Arial" w:hAnsi="Arial" w:eastAsia="宋体" w:cs="Arial"/>
          <w:color w:val="000000"/>
          <w:kern w:val="0"/>
          <w:sz w:val="18"/>
          <w:szCs w:val="18"/>
        </w:rPr>
      </w:pPr>
    </w:p>
    <w:p w14:paraId="4C66AB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41" w:leftChars="353"/>
        <w:rPr>
          <w:rFonts w:ascii="Arial" w:hAnsi="Arial" w:eastAsia="宋体" w:cs="Arial"/>
          <w:color w:val="000000"/>
          <w:kern w:val="0"/>
          <w:sz w:val="18"/>
          <w:szCs w:val="18"/>
        </w:rPr>
      </w:pPr>
      <w:r>
        <w:rPr>
          <w:rFonts w:ascii="Arial" w:hAnsi="Arial" w:eastAsia="宋体" w:cs="Arial"/>
          <w:color w:val="000000"/>
          <w:kern w:val="0"/>
          <w:sz w:val="18"/>
          <w:szCs w:val="18"/>
        </w:rPr>
        <w:t>在标签（例如，预期用途、方法、限制等）中酌情纳入以下注意事项。</w:t>
      </w:r>
    </w:p>
    <w:p w14:paraId="19DFA7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33AD062">
      <w:pPr>
        <w:widowControl/>
        <w:spacing w:before="63" w:beforeLines="20" w:after="63" w:afterLines="20" w:line="312" w:lineRule="auto"/>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342D915E">
      <w:pPr>
        <w:pStyle w:val="15"/>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中期染色体检测仪</w:t>
      </w:r>
    </w:p>
    <w:p w14:paraId="532E95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D29F484">
      <w:pPr>
        <w:pStyle w:val="15"/>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84" w:hanging="420" w:firstLineChars="0"/>
        <w:rPr>
          <w:rFonts w:ascii="Arial" w:hAnsi="Arial" w:eastAsia="宋体" w:cs="Arial"/>
          <w:color w:val="000000"/>
          <w:kern w:val="0"/>
          <w:sz w:val="18"/>
          <w:szCs w:val="18"/>
        </w:rPr>
      </w:pPr>
      <w:r>
        <w:rPr>
          <w:rFonts w:ascii="Arial" w:hAnsi="Arial" w:eastAsia="宋体" w:cs="Arial"/>
          <w:color w:val="000000"/>
          <w:kern w:val="0"/>
          <w:sz w:val="18"/>
          <w:szCs w:val="18"/>
        </w:rPr>
        <w:t>说明可与器械配合使用的染色方法。说明可以分析的制片类型（例如，风干、在盖玻片上生长、初级菌落等）</w:t>
      </w:r>
    </w:p>
    <w:p w14:paraId="0D963B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84" w:hanging="420"/>
        <w:rPr>
          <w:rFonts w:ascii="Arial" w:hAnsi="Arial" w:eastAsia="宋体" w:cs="Arial"/>
          <w:color w:val="000000"/>
          <w:kern w:val="0"/>
          <w:sz w:val="18"/>
          <w:szCs w:val="18"/>
        </w:rPr>
      </w:pPr>
    </w:p>
    <w:p w14:paraId="52D10066">
      <w:pPr>
        <w:pStyle w:val="15"/>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84" w:hanging="420" w:firstLineChars="0"/>
        <w:rPr>
          <w:rFonts w:ascii="Arial" w:hAnsi="Arial" w:eastAsia="宋体" w:cs="Arial"/>
          <w:color w:val="000000"/>
          <w:kern w:val="0"/>
          <w:sz w:val="18"/>
          <w:szCs w:val="18"/>
        </w:rPr>
      </w:pPr>
      <w:r>
        <w:rPr>
          <w:rFonts w:ascii="Arial" w:hAnsi="Arial" w:eastAsia="宋体" w:cs="Arial"/>
          <w:color w:val="000000"/>
          <w:kern w:val="0"/>
          <w:sz w:val="18"/>
          <w:szCs w:val="18"/>
        </w:rPr>
        <w:t>提供数据，证明该器械在就染色体数目（例如，非整倍体、多倍体）、核内复制、一些恶性细胞中的不良染色体形态、结构染色体异常（例如易位、双着丝粒、断片等）或染色体染色因子选择中期染色体时不会产生偏差。</w:t>
      </w:r>
    </w:p>
    <w:p w14:paraId="09D823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84" w:hanging="420"/>
        <w:rPr>
          <w:rFonts w:ascii="Arial" w:hAnsi="Arial" w:eastAsia="宋体" w:cs="Arial"/>
          <w:color w:val="000000"/>
          <w:kern w:val="0"/>
          <w:sz w:val="18"/>
          <w:szCs w:val="18"/>
        </w:rPr>
      </w:pPr>
    </w:p>
    <w:p w14:paraId="43D0F495">
      <w:pPr>
        <w:pStyle w:val="15"/>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84" w:hanging="420" w:firstLineChars="0"/>
        <w:rPr>
          <w:rFonts w:ascii="Arial" w:hAnsi="Arial" w:eastAsia="宋体" w:cs="Arial"/>
          <w:color w:val="000000"/>
          <w:kern w:val="0"/>
          <w:sz w:val="18"/>
          <w:szCs w:val="18"/>
        </w:rPr>
      </w:pPr>
      <w:r>
        <w:rPr>
          <w:rFonts w:ascii="Arial" w:hAnsi="Arial" w:eastAsia="宋体" w:cs="Arial"/>
          <w:color w:val="000000"/>
          <w:kern w:val="0"/>
          <w:sz w:val="18"/>
          <w:szCs w:val="18"/>
        </w:rPr>
        <w:t>提供数据，证明中期染色体排序功能的性能。在标签中说明中期染色体检测仪是否会检测某些细胞异常，如微核、核仁组织区（NOR）变更和细胞质或细胞核的其他异常，这些异常将由精密观测仪观察。</w:t>
      </w:r>
    </w:p>
    <w:p w14:paraId="4243DD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84" w:hanging="420"/>
        <w:rPr>
          <w:rFonts w:ascii="Arial" w:hAnsi="Arial" w:eastAsia="宋体" w:cs="Arial"/>
          <w:color w:val="000000"/>
          <w:kern w:val="0"/>
          <w:sz w:val="18"/>
          <w:szCs w:val="18"/>
        </w:rPr>
      </w:pPr>
    </w:p>
    <w:p w14:paraId="409594DA">
      <w:pPr>
        <w:pStyle w:val="15"/>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84" w:hanging="420" w:firstLineChars="0"/>
        <w:rPr>
          <w:rFonts w:ascii="Arial" w:hAnsi="Arial" w:eastAsia="宋体" w:cs="Arial"/>
          <w:color w:val="000000"/>
          <w:kern w:val="0"/>
          <w:sz w:val="18"/>
          <w:szCs w:val="18"/>
        </w:rPr>
      </w:pPr>
      <w:r>
        <w:rPr>
          <w:rFonts w:ascii="Arial" w:hAnsi="Arial" w:eastAsia="宋体" w:cs="Arial"/>
          <w:color w:val="000000"/>
          <w:kern w:val="0"/>
          <w:sz w:val="18"/>
          <w:szCs w:val="18"/>
        </w:rPr>
        <w:t>因为这些工具并不总是准确地对中期染色体进行定位和排序，所以应在标签的限制部分标明以下或（类似）声明。</w:t>
      </w:r>
    </w:p>
    <w:p w14:paraId="457C33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78349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1118" w:leftChars="532" w:hanging="1"/>
        <w:rPr>
          <w:rFonts w:ascii="Arial" w:hAnsi="Arial" w:eastAsia="宋体" w:cs="Arial"/>
          <w:color w:val="000000"/>
          <w:kern w:val="0"/>
          <w:sz w:val="18"/>
          <w:szCs w:val="18"/>
        </w:rPr>
      </w:pPr>
      <w:r>
        <w:rPr>
          <w:rFonts w:ascii="Arial" w:hAnsi="Arial" w:eastAsia="宋体" w:cs="Arial"/>
          <w:color w:val="000000"/>
          <w:kern w:val="0"/>
          <w:sz w:val="18"/>
          <w:szCs w:val="18"/>
        </w:rPr>
        <w:t>“细胞遗传技术专家/细胞遗传学家应在不使用中期染色体扫描仪/检测仪的情况下对载玻片进行审查。”</w:t>
      </w:r>
    </w:p>
    <w:p w14:paraId="7AEF1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21DB4CAF">
      <w:pPr>
        <w:pStyle w:val="15"/>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84" w:hanging="420" w:firstLineChars="0"/>
        <w:rPr>
          <w:rFonts w:ascii="Arial" w:hAnsi="Arial" w:eastAsia="宋体" w:cs="Arial"/>
          <w:color w:val="000000"/>
          <w:kern w:val="0"/>
          <w:sz w:val="18"/>
          <w:szCs w:val="18"/>
        </w:rPr>
      </w:pPr>
      <w:r>
        <w:rPr>
          <w:rFonts w:ascii="Arial" w:hAnsi="Arial" w:eastAsia="宋体" w:cs="Arial"/>
          <w:color w:val="000000"/>
          <w:kern w:val="0"/>
          <w:sz w:val="18"/>
          <w:szCs w:val="18"/>
        </w:rPr>
        <w:t>说明其是否适用于使用中期染色体检测仪进行研究，如药物敏感性、肿瘤硬组织等。在标签的限制部分中说明所有限制。</w:t>
      </w:r>
    </w:p>
    <w:p w14:paraId="7519A0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12B9F4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69A598D9">
      <w:pPr>
        <w:widowControl/>
        <w:spacing w:before="63" w:beforeLines="20" w:after="63" w:afterLines="20" w:line="312" w:lineRule="auto"/>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02F54E6A">
      <w:pPr>
        <w:pStyle w:val="15"/>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染色体计数器</w:t>
      </w:r>
    </w:p>
    <w:p w14:paraId="17CDDB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4F733049">
      <w:pPr>
        <w:pStyle w:val="15"/>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20" w:firstLineChars="0"/>
        <w:rPr>
          <w:rFonts w:ascii="Arial" w:hAnsi="Arial" w:eastAsia="宋体" w:cs="Arial"/>
          <w:color w:val="000000"/>
          <w:kern w:val="0"/>
          <w:sz w:val="18"/>
          <w:szCs w:val="18"/>
        </w:rPr>
      </w:pPr>
      <w:r>
        <w:rPr>
          <w:rFonts w:ascii="Arial" w:hAnsi="Arial" w:eastAsia="宋体" w:cs="Arial"/>
          <w:color w:val="000000"/>
          <w:kern w:val="0"/>
          <w:sz w:val="18"/>
          <w:szCs w:val="18"/>
        </w:rPr>
        <w:t>说明可与器械配合使用的染色方法。</w:t>
      </w:r>
    </w:p>
    <w:p w14:paraId="111036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20"/>
        <w:rPr>
          <w:rFonts w:ascii="Arial" w:hAnsi="Arial" w:eastAsia="宋体" w:cs="Arial"/>
          <w:color w:val="000000"/>
          <w:kern w:val="0"/>
          <w:sz w:val="18"/>
          <w:szCs w:val="18"/>
        </w:rPr>
      </w:pPr>
    </w:p>
    <w:p w14:paraId="360633D2">
      <w:pPr>
        <w:pStyle w:val="15"/>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20" w:firstLineChars="0"/>
        <w:rPr>
          <w:rFonts w:ascii="Arial" w:hAnsi="Arial" w:eastAsia="宋体" w:cs="Arial"/>
          <w:color w:val="000000"/>
          <w:kern w:val="0"/>
          <w:sz w:val="18"/>
          <w:szCs w:val="18"/>
        </w:rPr>
      </w:pPr>
      <w:r>
        <w:rPr>
          <w:rFonts w:ascii="Arial" w:hAnsi="Arial" w:eastAsia="宋体" w:cs="Arial"/>
          <w:color w:val="000000"/>
          <w:kern w:val="0"/>
          <w:sz w:val="18"/>
          <w:szCs w:val="18"/>
        </w:rPr>
        <w:t>说明由染色体扩散的程度（例如，染色体重叠、扩散过度、细胞破裂、一个位置中太多的中期染色体等）所造成的限制。</w:t>
      </w:r>
    </w:p>
    <w:p w14:paraId="26FEC8CC">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20"/>
        <w:rPr>
          <w:rFonts w:ascii="Arial" w:hAnsi="Arial" w:eastAsia="宋体" w:cs="Arial"/>
          <w:color w:val="000000"/>
          <w:kern w:val="0"/>
          <w:sz w:val="18"/>
          <w:szCs w:val="18"/>
        </w:rPr>
      </w:pPr>
    </w:p>
    <w:p w14:paraId="1769F4DB">
      <w:pPr>
        <w:pStyle w:val="15"/>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20" w:firstLineChars="0"/>
        <w:rPr>
          <w:rFonts w:ascii="Arial" w:hAnsi="Arial" w:eastAsia="宋体" w:cs="Arial"/>
          <w:color w:val="000000"/>
          <w:kern w:val="0"/>
          <w:sz w:val="18"/>
          <w:szCs w:val="18"/>
        </w:rPr>
      </w:pPr>
      <w:r>
        <w:rPr>
          <w:rFonts w:ascii="Arial" w:hAnsi="Arial" w:eastAsia="宋体" w:cs="Arial"/>
          <w:color w:val="000000"/>
          <w:kern w:val="0"/>
          <w:sz w:val="18"/>
          <w:szCs w:val="18"/>
        </w:rPr>
        <w:t>提供数据，证明不会因非整倍体、多倍体、核内复制、放射形成、染色体粉碎、一些恶性细胞中的不良染色体形态、结构染色体异常（例如双着丝粒、断片等）而使染色体计数产生偏差。如果生成了任何不正确的染色体计数结果，应在包装说明书的限制部分中说明。</w:t>
      </w:r>
    </w:p>
    <w:p w14:paraId="65FFF5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20"/>
        <w:rPr>
          <w:rFonts w:ascii="Arial" w:hAnsi="Arial" w:eastAsia="宋体" w:cs="Arial"/>
          <w:color w:val="000000"/>
          <w:kern w:val="0"/>
          <w:sz w:val="18"/>
          <w:szCs w:val="18"/>
        </w:rPr>
      </w:pPr>
    </w:p>
    <w:p w14:paraId="27687333">
      <w:pPr>
        <w:pStyle w:val="15"/>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20" w:firstLineChars="0"/>
        <w:rPr>
          <w:rFonts w:ascii="Arial" w:hAnsi="Arial" w:eastAsia="宋体" w:cs="Arial"/>
          <w:color w:val="000000"/>
          <w:kern w:val="0"/>
          <w:sz w:val="18"/>
          <w:szCs w:val="18"/>
        </w:rPr>
      </w:pPr>
      <w:r>
        <w:rPr>
          <w:rFonts w:ascii="Arial" w:hAnsi="Arial" w:eastAsia="宋体" w:cs="Arial"/>
          <w:color w:val="000000"/>
          <w:kern w:val="0"/>
          <w:sz w:val="18"/>
          <w:szCs w:val="18"/>
        </w:rPr>
        <w:t>在标签的限制部分中纳入以下或类似的声明：</w:t>
      </w:r>
    </w:p>
    <w:p w14:paraId="6D183A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559A6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82" w:leftChars="372" w:hanging="1"/>
        <w:rPr>
          <w:rFonts w:ascii="Arial" w:hAnsi="Arial" w:eastAsia="宋体" w:cs="Arial"/>
          <w:color w:val="000000"/>
          <w:kern w:val="0"/>
          <w:sz w:val="18"/>
          <w:szCs w:val="18"/>
        </w:rPr>
      </w:pPr>
      <w:r>
        <w:rPr>
          <w:rFonts w:ascii="Arial" w:hAnsi="Arial" w:eastAsia="宋体" w:cs="Arial"/>
          <w:color w:val="000000"/>
          <w:kern w:val="0"/>
          <w:sz w:val="18"/>
          <w:szCs w:val="18"/>
        </w:rPr>
        <w:t>“一般来说，确定所研究细胞群体的正确染色体数目时会有一个或多个错误，操作者有责任确定正确的模态染色体数目。</w:t>
      </w:r>
    </w:p>
    <w:p w14:paraId="4E5238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1FFFEA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7E55A1F">
      <w:pPr>
        <w:pStyle w:val="15"/>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交互式核型分析系统（无决策能力）</w:t>
      </w:r>
    </w:p>
    <w:p w14:paraId="74BF3C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676F31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378" w:firstLineChars="210"/>
        <w:rPr>
          <w:rFonts w:ascii="Arial" w:hAnsi="Arial" w:eastAsia="宋体" w:cs="Arial"/>
          <w:color w:val="000000"/>
          <w:kern w:val="0"/>
          <w:sz w:val="18"/>
          <w:szCs w:val="18"/>
        </w:rPr>
      </w:pPr>
      <w:r>
        <w:rPr>
          <w:rFonts w:ascii="Arial" w:hAnsi="Arial" w:eastAsia="宋体" w:cs="Arial"/>
          <w:color w:val="000000"/>
          <w:kern w:val="0"/>
          <w:sz w:val="18"/>
          <w:szCs w:val="18"/>
        </w:rPr>
        <w:t>因为该功能不具决策能力，所以无需进行复现性和对比研究。</w:t>
      </w:r>
    </w:p>
    <w:p w14:paraId="2FC0B0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0E393EB7">
      <w:pPr>
        <w:pStyle w:val="15"/>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自动核型分析</w:t>
      </w:r>
    </w:p>
    <w:p w14:paraId="4527AE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1E69AA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378" w:firstLineChars="210"/>
        <w:rPr>
          <w:rFonts w:ascii="Arial" w:hAnsi="Arial" w:eastAsia="宋体" w:cs="Arial"/>
          <w:color w:val="000000"/>
          <w:kern w:val="0"/>
          <w:sz w:val="18"/>
          <w:szCs w:val="18"/>
        </w:rPr>
      </w:pPr>
      <w:r>
        <w:rPr>
          <w:rFonts w:ascii="Arial" w:hAnsi="Arial" w:eastAsia="宋体" w:cs="Arial"/>
          <w:color w:val="000000"/>
          <w:kern w:val="0"/>
          <w:sz w:val="18"/>
          <w:szCs w:val="18"/>
        </w:rPr>
        <w:t>仅需针对器械的决策特性进行复现性和对比研究。</w:t>
      </w:r>
    </w:p>
    <w:p w14:paraId="56BB8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0D5234E">
      <w:pPr>
        <w:widowControl/>
        <w:spacing w:before="63" w:beforeLines="20" w:after="63" w:afterLines="20" w:line="312" w:lineRule="auto"/>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73B6D9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378" w:firstLineChars="210"/>
        <w:rPr>
          <w:rFonts w:ascii="Arial" w:hAnsi="Arial" w:eastAsia="宋体" w:cs="Arial"/>
          <w:color w:val="000000"/>
          <w:kern w:val="0"/>
          <w:sz w:val="18"/>
          <w:szCs w:val="18"/>
        </w:rPr>
      </w:pPr>
      <w:r>
        <w:rPr>
          <w:rFonts w:ascii="Arial" w:hAnsi="Arial" w:eastAsia="宋体" w:cs="Arial"/>
          <w:color w:val="000000"/>
          <w:kern w:val="0"/>
          <w:sz w:val="18"/>
          <w:szCs w:val="18"/>
        </w:rPr>
        <w:t>在标签的限制部分中纳入以下或类似声明：</w:t>
      </w:r>
    </w:p>
    <w:p w14:paraId="48BBA4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5365BF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378" w:leftChars="180"/>
        <w:rPr>
          <w:rFonts w:ascii="Arial" w:hAnsi="Arial" w:eastAsia="宋体" w:cs="Arial"/>
          <w:color w:val="000000"/>
          <w:kern w:val="0"/>
          <w:sz w:val="18"/>
          <w:szCs w:val="18"/>
        </w:rPr>
      </w:pPr>
      <w:r>
        <w:rPr>
          <w:rFonts w:ascii="Arial" w:hAnsi="Arial" w:eastAsia="宋体" w:cs="Arial"/>
          <w:color w:val="000000"/>
          <w:kern w:val="0"/>
          <w:sz w:val="18"/>
          <w:szCs w:val="18"/>
        </w:rPr>
        <w:t>“一般来说，计算机生成的核型会有一个或多个错误，因此，必须始终由合格的细胞遗传学家或细胞遗传学技术人员对其进行检查和编辑，作为最终的交互式手动操作。</w:t>
      </w:r>
    </w:p>
    <w:p w14:paraId="35F95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378" w:leftChars="180"/>
        <w:rPr>
          <w:rFonts w:ascii="Arial" w:hAnsi="Arial" w:eastAsia="宋体" w:cs="Arial"/>
          <w:color w:val="000000"/>
          <w:kern w:val="0"/>
          <w:sz w:val="18"/>
          <w:szCs w:val="18"/>
        </w:rPr>
      </w:pPr>
    </w:p>
    <w:p w14:paraId="01678453">
      <w:pPr>
        <w:pStyle w:val="15"/>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增强、变更和操作功能</w:t>
      </w:r>
    </w:p>
    <w:p w14:paraId="7B4C17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13BE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363" w:leftChars="173" w:firstLine="12" w:firstLineChars="7"/>
        <w:rPr>
          <w:rFonts w:ascii="Arial" w:hAnsi="Arial" w:eastAsia="宋体" w:cs="Arial"/>
          <w:color w:val="000000"/>
          <w:kern w:val="0"/>
          <w:sz w:val="18"/>
          <w:szCs w:val="18"/>
        </w:rPr>
      </w:pPr>
      <w:r>
        <w:rPr>
          <w:rFonts w:ascii="Arial" w:hAnsi="Arial" w:eastAsia="宋体" w:cs="Arial"/>
          <w:color w:val="000000"/>
          <w:kern w:val="0"/>
          <w:sz w:val="18"/>
          <w:szCs w:val="18"/>
        </w:rPr>
        <w:t>以任何方式变更染色体形态（除改善培养和染色技术外）不属于细胞遗传学分析中专业实践的公认标准。</w:t>
      </w:r>
    </w:p>
    <w:p w14:paraId="62F740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4274F64F">
      <w:pPr>
        <w:pStyle w:val="15"/>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06" w:firstLineChars="0"/>
        <w:rPr>
          <w:rFonts w:ascii="Arial" w:hAnsi="Arial" w:eastAsia="宋体" w:cs="Arial"/>
          <w:color w:val="000000"/>
          <w:kern w:val="0"/>
          <w:sz w:val="18"/>
          <w:szCs w:val="18"/>
        </w:rPr>
      </w:pPr>
      <w:r>
        <w:rPr>
          <w:rFonts w:ascii="Arial" w:hAnsi="Arial" w:eastAsia="宋体" w:cs="Arial"/>
          <w:color w:val="000000"/>
          <w:kern w:val="0"/>
          <w:sz w:val="18"/>
          <w:szCs w:val="18"/>
        </w:rPr>
        <w:t>增强、变更和操作功能无需对比数据。</w:t>
      </w:r>
    </w:p>
    <w:p w14:paraId="1C1A0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06"/>
        <w:rPr>
          <w:rFonts w:ascii="Arial" w:hAnsi="Arial" w:eastAsia="宋体" w:cs="Arial"/>
          <w:color w:val="000000"/>
          <w:kern w:val="0"/>
          <w:sz w:val="18"/>
          <w:szCs w:val="18"/>
        </w:rPr>
      </w:pPr>
    </w:p>
    <w:p w14:paraId="2CFD6934">
      <w:pPr>
        <w:pStyle w:val="15"/>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06" w:firstLineChars="0"/>
        <w:rPr>
          <w:rFonts w:ascii="Arial" w:hAnsi="Arial" w:eastAsia="宋体" w:cs="Arial"/>
          <w:color w:val="000000"/>
          <w:kern w:val="0"/>
          <w:sz w:val="18"/>
          <w:szCs w:val="18"/>
        </w:rPr>
      </w:pPr>
      <w:r>
        <w:rPr>
          <w:rFonts w:ascii="Arial" w:hAnsi="Arial" w:eastAsia="宋体" w:cs="Arial"/>
          <w:color w:val="000000"/>
          <w:kern w:val="0"/>
          <w:sz w:val="18"/>
          <w:szCs w:val="18"/>
        </w:rPr>
        <w:t>如器械具有以任何方式改变染色体形态的功能，那该器械也应当具有自动和永久标记/指定核型中的这些变更的内置功能。</w:t>
      </w:r>
    </w:p>
    <w:p w14:paraId="1101DF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06"/>
        <w:rPr>
          <w:rFonts w:ascii="Arial" w:hAnsi="Arial" w:eastAsia="宋体" w:cs="Arial"/>
          <w:color w:val="000000"/>
          <w:kern w:val="0"/>
          <w:sz w:val="18"/>
          <w:szCs w:val="18"/>
        </w:rPr>
      </w:pPr>
    </w:p>
    <w:p w14:paraId="431255E1">
      <w:pPr>
        <w:pStyle w:val="15"/>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06" w:firstLineChars="0"/>
        <w:rPr>
          <w:rFonts w:ascii="Arial" w:hAnsi="Arial" w:eastAsia="宋体" w:cs="Arial"/>
          <w:color w:val="000000"/>
          <w:kern w:val="0"/>
          <w:sz w:val="18"/>
          <w:szCs w:val="18"/>
        </w:rPr>
      </w:pPr>
      <w:r>
        <w:rPr>
          <w:rFonts w:ascii="Arial" w:hAnsi="Arial" w:eastAsia="宋体" w:cs="Arial"/>
          <w:color w:val="000000"/>
          <w:kern w:val="0"/>
          <w:sz w:val="18"/>
          <w:szCs w:val="18"/>
        </w:rPr>
        <w:t>染色体的数字化拉直通常可人为诱导额外显带生成，因此不可能明确地确定拉直的染色体是否正常。将任何拉直的染色体指定为stat。</w:t>
      </w:r>
    </w:p>
    <w:p w14:paraId="317582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06"/>
        <w:rPr>
          <w:rFonts w:ascii="Arial" w:hAnsi="Arial" w:eastAsia="宋体" w:cs="Arial"/>
          <w:color w:val="000000"/>
          <w:kern w:val="0"/>
          <w:sz w:val="18"/>
          <w:szCs w:val="18"/>
        </w:rPr>
      </w:pPr>
    </w:p>
    <w:p w14:paraId="04098ECD">
      <w:pPr>
        <w:pStyle w:val="15"/>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06" w:firstLineChars="0"/>
        <w:rPr>
          <w:rFonts w:ascii="Arial" w:hAnsi="Arial" w:eastAsia="宋体" w:cs="Arial"/>
          <w:color w:val="000000"/>
          <w:kern w:val="0"/>
          <w:sz w:val="18"/>
          <w:szCs w:val="18"/>
        </w:rPr>
      </w:pPr>
      <w:r>
        <w:rPr>
          <w:rFonts w:ascii="Arial" w:hAnsi="Arial" w:eastAsia="宋体" w:cs="Arial"/>
          <w:color w:val="000000"/>
          <w:kern w:val="0"/>
          <w:sz w:val="18"/>
          <w:szCs w:val="18"/>
        </w:rPr>
        <w:t>确保器械不具有诱发伪像产生的能力。</w:t>
      </w:r>
    </w:p>
    <w:p w14:paraId="7DB7F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06"/>
        <w:rPr>
          <w:rFonts w:ascii="Arial" w:hAnsi="Arial" w:eastAsia="宋体" w:cs="Arial"/>
          <w:color w:val="000000"/>
          <w:kern w:val="0"/>
          <w:sz w:val="18"/>
          <w:szCs w:val="18"/>
        </w:rPr>
      </w:pPr>
    </w:p>
    <w:p w14:paraId="1660A243">
      <w:pPr>
        <w:pStyle w:val="15"/>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06" w:firstLineChars="0"/>
        <w:rPr>
          <w:rFonts w:ascii="Arial" w:hAnsi="Arial" w:eastAsia="宋体" w:cs="Arial"/>
          <w:color w:val="000000"/>
          <w:kern w:val="0"/>
          <w:sz w:val="18"/>
          <w:szCs w:val="18"/>
        </w:rPr>
      </w:pPr>
      <w:r>
        <w:rPr>
          <w:rFonts w:ascii="Arial" w:hAnsi="Arial" w:eastAsia="宋体" w:cs="Arial"/>
          <w:color w:val="000000"/>
          <w:kern w:val="0"/>
          <w:sz w:val="18"/>
          <w:szCs w:val="18"/>
        </w:rPr>
        <w:t>“凸显”细胞背景的功能不应自动开启，并且应具有需要操作者激活的内置功能。除非操作者已经检查了细胞以确保待凸显的材料为真实伪影而不是染色质材料（例如双微体），否则不得使用这种功能。</w:t>
      </w:r>
    </w:p>
    <w:p w14:paraId="143DB3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06"/>
        <w:rPr>
          <w:rFonts w:ascii="Arial" w:hAnsi="Arial" w:eastAsia="宋体" w:cs="Arial"/>
          <w:color w:val="000000"/>
          <w:kern w:val="0"/>
          <w:sz w:val="18"/>
          <w:szCs w:val="18"/>
        </w:rPr>
      </w:pPr>
    </w:p>
    <w:p w14:paraId="0A9FEC76">
      <w:pPr>
        <w:widowControl/>
        <w:spacing w:before="63" w:beforeLines="20" w:after="63" w:afterLines="20" w:line="312" w:lineRule="auto"/>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1E234E7E">
      <w:pPr>
        <w:pStyle w:val="15"/>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06" w:firstLineChars="0"/>
        <w:rPr>
          <w:rFonts w:ascii="Arial" w:hAnsi="Arial" w:eastAsia="宋体" w:cs="Arial"/>
          <w:color w:val="000000"/>
          <w:kern w:val="0"/>
          <w:sz w:val="18"/>
          <w:szCs w:val="18"/>
        </w:rPr>
      </w:pPr>
      <w:r>
        <w:rPr>
          <w:rFonts w:ascii="Arial" w:hAnsi="Arial" w:eastAsia="宋体" w:cs="Arial"/>
          <w:color w:val="000000"/>
          <w:kern w:val="0"/>
          <w:sz w:val="18"/>
          <w:szCs w:val="18"/>
        </w:rPr>
        <w:t>说明这些功能的用途时，请在标签的限制部分和操作员手册中的其他地方纳入有关各功能滥用可能性的声明。对本节中列出的功能请使用以下或类似声明：</w:t>
      </w:r>
    </w:p>
    <w:p w14:paraId="4B86EC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294C4C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 xml:space="preserve"> </w:t>
      </w:r>
    </w:p>
    <w:p w14:paraId="0B0B4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378" w:firstLineChars="210"/>
        <w:rPr>
          <w:rFonts w:ascii="Arial" w:hAnsi="Arial" w:eastAsia="宋体" w:cs="Arial"/>
          <w:color w:val="000000"/>
          <w:kern w:val="0"/>
          <w:sz w:val="18"/>
          <w:szCs w:val="18"/>
        </w:rPr>
      </w:pPr>
      <w:r>
        <w:rPr>
          <w:rFonts w:ascii="Arial" w:hAnsi="Arial" w:eastAsia="宋体" w:cs="Arial"/>
          <w:color w:val="000000"/>
          <w:kern w:val="0"/>
          <w:sz w:val="18"/>
          <w:szCs w:val="18"/>
        </w:rPr>
        <w:t>“细胞遗传学技术人员和/或细胞遗传学家有责任按照标准实验室规范和法规准则使用所有功能。</w:t>
      </w:r>
    </w:p>
    <w:p w14:paraId="5AD23D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378" w:firstLineChars="210"/>
        <w:rPr>
          <w:rFonts w:ascii="Arial" w:hAnsi="Arial" w:eastAsia="宋体" w:cs="Arial"/>
          <w:color w:val="000000"/>
          <w:kern w:val="0"/>
          <w:sz w:val="18"/>
          <w:szCs w:val="18"/>
        </w:rPr>
      </w:pPr>
    </w:p>
    <w:p w14:paraId="4B8636B0">
      <w:pPr>
        <w:pStyle w:val="15"/>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显微照相术和暗室程序</w:t>
      </w:r>
    </w:p>
    <w:p w14:paraId="76ECE5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791E67F1">
      <w:pPr>
        <w:pStyle w:val="15"/>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06" w:firstLineChars="0"/>
        <w:rPr>
          <w:rFonts w:ascii="Arial" w:hAnsi="Arial" w:eastAsia="宋体" w:cs="Arial"/>
          <w:color w:val="000000"/>
          <w:kern w:val="0"/>
          <w:sz w:val="18"/>
          <w:szCs w:val="18"/>
        </w:rPr>
      </w:pPr>
      <w:r>
        <w:rPr>
          <w:rFonts w:ascii="Arial" w:hAnsi="Arial" w:eastAsia="宋体" w:cs="Arial"/>
          <w:color w:val="000000"/>
          <w:kern w:val="0"/>
          <w:sz w:val="18"/>
          <w:szCs w:val="18"/>
        </w:rPr>
        <w:t>无需提供复现性和对比数据。</w:t>
      </w:r>
    </w:p>
    <w:p w14:paraId="1E868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06"/>
        <w:rPr>
          <w:rFonts w:ascii="Arial" w:hAnsi="Arial" w:eastAsia="宋体" w:cs="Arial"/>
          <w:color w:val="000000"/>
          <w:kern w:val="0"/>
          <w:sz w:val="18"/>
          <w:szCs w:val="18"/>
        </w:rPr>
      </w:pPr>
    </w:p>
    <w:p w14:paraId="22BA28B7">
      <w:pPr>
        <w:pStyle w:val="15"/>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06" w:firstLineChars="0"/>
        <w:rPr>
          <w:rFonts w:ascii="Arial" w:hAnsi="Arial" w:eastAsia="宋体" w:cs="Arial"/>
          <w:color w:val="000000"/>
          <w:kern w:val="0"/>
          <w:sz w:val="18"/>
          <w:szCs w:val="18"/>
        </w:rPr>
      </w:pPr>
      <w:r>
        <w:rPr>
          <w:rFonts w:ascii="Arial" w:hAnsi="Arial" w:eastAsia="宋体" w:cs="Arial"/>
          <w:color w:val="000000"/>
          <w:kern w:val="0"/>
          <w:sz w:val="18"/>
          <w:szCs w:val="18"/>
        </w:rPr>
        <w:t>将数字化图像的分辨率与ISCN，1985指南</w:t>
      </w:r>
      <w:r>
        <w:rPr>
          <w:rFonts w:ascii="Arial" w:hAnsi="Arial" w:eastAsia="宋体" w:cs="Arial"/>
          <w:color w:val="000000"/>
          <w:kern w:val="0"/>
          <w:sz w:val="18"/>
          <w:szCs w:val="18"/>
          <w:vertAlign w:val="superscript"/>
        </w:rPr>
        <w:t>10</w:t>
      </w:r>
      <w:r>
        <w:rPr>
          <w:rFonts w:ascii="Arial" w:hAnsi="Arial" w:eastAsia="宋体" w:cs="Arial"/>
          <w:color w:val="000000"/>
          <w:kern w:val="0"/>
          <w:sz w:val="18"/>
          <w:szCs w:val="18"/>
        </w:rPr>
        <w:t>分辨率标准（400，500和850显带）的标准显微分辨率进行比较。</w:t>
      </w:r>
    </w:p>
    <w:p w14:paraId="5AB8CB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06"/>
        <w:rPr>
          <w:rFonts w:ascii="Arial" w:hAnsi="Arial" w:eastAsia="宋体" w:cs="Arial"/>
          <w:color w:val="000000"/>
          <w:kern w:val="0"/>
          <w:sz w:val="18"/>
          <w:szCs w:val="18"/>
        </w:rPr>
      </w:pPr>
    </w:p>
    <w:p w14:paraId="7E62B65F">
      <w:pPr>
        <w:pStyle w:val="15"/>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98" w:hanging="406" w:firstLineChars="0"/>
        <w:rPr>
          <w:rFonts w:ascii="Arial" w:hAnsi="Arial" w:eastAsia="宋体" w:cs="Arial"/>
          <w:color w:val="000000"/>
          <w:kern w:val="0"/>
          <w:sz w:val="18"/>
          <w:szCs w:val="18"/>
        </w:rPr>
      </w:pPr>
      <w:r>
        <w:rPr>
          <w:rFonts w:ascii="Arial" w:hAnsi="Arial" w:eastAsia="宋体" w:cs="Arial"/>
          <w:color w:val="000000"/>
          <w:kern w:val="0"/>
          <w:sz w:val="18"/>
          <w:szCs w:val="18"/>
        </w:rPr>
        <w:t>对于不具决策能力的器械，请在标签的预期用途部分纳入以下或类似声明：</w:t>
      </w:r>
    </w:p>
    <w:p w14:paraId="2BFB5D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39AA57E">
      <w:pPr>
        <w:widowControl/>
        <w:snapToGrid w:val="0"/>
        <w:spacing w:before="63" w:beforeLines="20" w:after="63" w:afterLines="20" w:line="312" w:lineRule="auto"/>
        <w:ind w:left="767" w:leftChars="365" w:hanging="1"/>
        <w:rPr>
          <w:rFonts w:ascii="Arial" w:hAnsi="Arial" w:eastAsia="宋体" w:cs="Arial"/>
          <w:color w:val="000000"/>
          <w:kern w:val="0"/>
          <w:sz w:val="18"/>
          <w:szCs w:val="18"/>
        </w:rPr>
      </w:pPr>
      <w:r>
        <w:rPr>
          <w:rFonts w:ascii="Arial" w:hAnsi="Arial" w:eastAsia="宋体" w:cs="Arial"/>
          <w:color w:val="000000"/>
          <w:kern w:val="0"/>
          <w:sz w:val="18"/>
          <w:szCs w:val="18"/>
        </w:rPr>
        <w:t>“该器械无法定位中期染色体涂片；器械不根据质量对给定细胞进行排序； 不会对染色体进行自动分类；其需要完全依赖操作者来操作数字化显微镜图像。”</w:t>
      </w:r>
    </w:p>
    <w:p w14:paraId="4DBDB7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2B92EFF">
      <w:pPr>
        <w:widowControl/>
        <w:spacing w:before="63" w:beforeLines="20" w:after="63" w:afterLines="20" w:line="312" w:lineRule="auto"/>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4ECBAA5D">
      <w:pPr>
        <w:pStyle w:val="15"/>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硬拷贝相片</w:t>
      </w:r>
    </w:p>
    <w:p w14:paraId="765398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0011946D">
      <w:pPr>
        <w:pStyle w:val="15"/>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84" w:hanging="378" w:firstLineChars="0"/>
        <w:rPr>
          <w:rFonts w:ascii="Arial" w:hAnsi="Arial" w:eastAsia="宋体" w:cs="Arial"/>
          <w:color w:val="000000"/>
          <w:kern w:val="0"/>
          <w:sz w:val="18"/>
          <w:szCs w:val="18"/>
        </w:rPr>
      </w:pPr>
      <w:r>
        <w:rPr>
          <w:rFonts w:ascii="Arial" w:hAnsi="Arial" w:eastAsia="宋体" w:cs="Arial"/>
          <w:color w:val="000000"/>
          <w:kern w:val="0"/>
          <w:sz w:val="18"/>
          <w:szCs w:val="18"/>
        </w:rPr>
        <w:t>无需提供复现性和对比数据。</w:t>
      </w:r>
    </w:p>
    <w:p w14:paraId="3D77DC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84" w:hanging="378"/>
        <w:rPr>
          <w:rFonts w:ascii="Arial" w:hAnsi="Arial" w:eastAsia="宋体" w:cs="Arial"/>
          <w:color w:val="000000"/>
          <w:kern w:val="0"/>
          <w:sz w:val="18"/>
          <w:szCs w:val="18"/>
        </w:rPr>
      </w:pPr>
    </w:p>
    <w:p w14:paraId="3A5908AD">
      <w:pPr>
        <w:pStyle w:val="15"/>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84" w:hanging="378" w:firstLineChars="0"/>
        <w:rPr>
          <w:rFonts w:ascii="Arial" w:hAnsi="Arial" w:eastAsia="宋体" w:cs="Arial"/>
          <w:color w:val="000000"/>
          <w:kern w:val="0"/>
          <w:sz w:val="18"/>
          <w:szCs w:val="18"/>
        </w:rPr>
      </w:pPr>
      <w:r>
        <w:rPr>
          <w:rFonts w:ascii="Arial" w:hAnsi="Arial" w:eastAsia="宋体" w:cs="Arial"/>
          <w:color w:val="000000"/>
          <w:kern w:val="0"/>
          <w:sz w:val="18"/>
          <w:szCs w:val="18"/>
        </w:rPr>
        <w:t>在标签的“过程原则”部分中说明硬拷贝相片的质量和分辨率。说明计算机生成的相片的质量/分辨率是否等同于（相当于）标准显微镜（灰度级）以及器械是否符合ISCN，1985指南设定的最小分辨率标准。</w:t>
      </w:r>
    </w:p>
    <w:p w14:paraId="04AEAE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84" w:hanging="378"/>
        <w:rPr>
          <w:rFonts w:ascii="Arial" w:hAnsi="Arial" w:eastAsia="宋体" w:cs="Arial"/>
          <w:color w:val="000000"/>
          <w:kern w:val="0"/>
          <w:sz w:val="18"/>
          <w:szCs w:val="18"/>
        </w:rPr>
      </w:pPr>
    </w:p>
    <w:p w14:paraId="3F43A510">
      <w:pPr>
        <w:pStyle w:val="15"/>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84" w:hanging="378" w:firstLineChars="0"/>
        <w:rPr>
          <w:rFonts w:ascii="Arial" w:hAnsi="Arial" w:eastAsia="宋体" w:cs="Arial"/>
          <w:color w:val="000000"/>
          <w:kern w:val="0"/>
          <w:sz w:val="18"/>
          <w:szCs w:val="18"/>
        </w:rPr>
      </w:pPr>
      <w:r>
        <w:rPr>
          <w:rFonts w:ascii="Arial" w:hAnsi="Arial" w:eastAsia="宋体" w:cs="Arial"/>
          <w:color w:val="000000"/>
          <w:kern w:val="0"/>
          <w:sz w:val="18"/>
          <w:szCs w:val="18"/>
        </w:rPr>
        <w:t>说明照片图像纸的成分、质量和耐久性，以及对比度是否随着时间推移而变差。</w:t>
      </w:r>
    </w:p>
    <w:p w14:paraId="695C368C">
      <w:pPr>
        <w:pStyle w:val="15"/>
        <w:spacing w:before="63" w:beforeLines="20" w:after="63" w:afterLines="20" w:line="312" w:lineRule="auto"/>
        <w:ind w:firstLine="360"/>
        <w:rPr>
          <w:rFonts w:ascii="Arial" w:hAnsi="Arial" w:eastAsia="宋体" w:cs="Arial"/>
          <w:color w:val="000000"/>
          <w:kern w:val="0"/>
          <w:sz w:val="18"/>
          <w:szCs w:val="18"/>
        </w:rPr>
      </w:pPr>
    </w:p>
    <w:p w14:paraId="2120250A">
      <w:pPr>
        <w:pStyle w:val="15"/>
        <w:widowControl/>
        <w:numPr>
          <w:ilvl w:val="0"/>
          <w:numId w:val="1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hanging="40" w:firstLineChars="0"/>
        <w:rPr>
          <w:rFonts w:ascii="Arial" w:hAnsi="Arial" w:eastAsia="宋体" w:cs="Arial"/>
          <w:color w:val="000000"/>
          <w:kern w:val="0"/>
          <w:sz w:val="18"/>
          <w:szCs w:val="18"/>
        </w:rPr>
      </w:pPr>
      <w:r>
        <w:rPr>
          <w:rFonts w:ascii="Arial" w:hAnsi="Arial" w:eastAsia="宋体" w:cs="Arial"/>
          <w:color w:val="000000"/>
          <w:kern w:val="0"/>
          <w:sz w:val="18"/>
          <w:szCs w:val="18"/>
        </w:rPr>
        <w:t>对于含有汞或其他有毒物质的纸张，需要在标签的“预防措施”部分提供预防/警告声明。</w:t>
      </w:r>
    </w:p>
    <w:p w14:paraId="6939BC6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hanging="40"/>
        <w:rPr>
          <w:rFonts w:ascii="Arial" w:hAnsi="Arial" w:eastAsia="宋体" w:cs="Arial"/>
          <w:color w:val="000000"/>
          <w:kern w:val="0"/>
          <w:sz w:val="18"/>
          <w:szCs w:val="18"/>
        </w:rPr>
      </w:pPr>
    </w:p>
    <w:p w14:paraId="10411770">
      <w:pPr>
        <w:pStyle w:val="15"/>
        <w:widowControl/>
        <w:numPr>
          <w:ilvl w:val="0"/>
          <w:numId w:val="1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1120" w:hanging="350" w:firstLineChars="0"/>
        <w:rPr>
          <w:rFonts w:ascii="Arial" w:hAnsi="Arial" w:eastAsia="宋体" w:cs="Arial"/>
          <w:color w:val="000000"/>
          <w:kern w:val="0"/>
          <w:sz w:val="18"/>
          <w:szCs w:val="18"/>
        </w:rPr>
      </w:pPr>
      <w:r>
        <w:rPr>
          <w:rFonts w:ascii="Arial" w:hAnsi="Arial" w:eastAsia="宋体" w:cs="Arial"/>
          <w:color w:val="000000"/>
          <w:kern w:val="0"/>
          <w:sz w:val="18"/>
          <w:szCs w:val="18"/>
        </w:rPr>
        <w:t>说明照片可保留档案质量的时间。这些硬拷贝照片的耐久性极为重要，因为一些专业/许可代理机构需要长期存储中期染色体图像（纽约州，时间长达25年）。</w:t>
      </w:r>
    </w:p>
    <w:p w14:paraId="73ECF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2C2CD1D8">
      <w:pPr>
        <w:pStyle w:val="15"/>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Chars="0"/>
        <w:rPr>
          <w:rFonts w:ascii="Arial" w:hAnsi="Arial" w:eastAsia="宋体" w:cs="Arial"/>
          <w:color w:val="000000"/>
          <w:kern w:val="0"/>
          <w:sz w:val="18"/>
          <w:szCs w:val="18"/>
        </w:rPr>
      </w:pPr>
      <w:r>
        <w:rPr>
          <w:rFonts w:ascii="Arial" w:hAnsi="Arial" w:eastAsia="宋体" w:cs="Arial"/>
          <w:color w:val="000000"/>
          <w:kern w:val="0"/>
          <w:sz w:val="18"/>
          <w:szCs w:val="18"/>
        </w:rPr>
        <w:t>计算机化患者数据存储、检索和归档系统。</w:t>
      </w:r>
    </w:p>
    <w:p w14:paraId="4E7B21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64B2209D">
      <w:pPr>
        <w:pStyle w:val="15"/>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84" w:hanging="378" w:firstLineChars="0"/>
        <w:rPr>
          <w:rFonts w:ascii="Arial" w:hAnsi="Arial" w:eastAsia="宋体" w:cs="Arial"/>
          <w:color w:val="000000"/>
          <w:kern w:val="0"/>
          <w:sz w:val="18"/>
          <w:szCs w:val="18"/>
        </w:rPr>
      </w:pPr>
      <w:r>
        <w:rPr>
          <w:rFonts w:ascii="Arial" w:hAnsi="Arial" w:eastAsia="宋体" w:cs="Arial"/>
          <w:color w:val="000000"/>
          <w:kern w:val="0"/>
          <w:sz w:val="18"/>
          <w:szCs w:val="18"/>
        </w:rPr>
        <w:t>无需提供复现性和对比数据。</w:t>
      </w:r>
    </w:p>
    <w:p w14:paraId="209A01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84" w:hanging="378"/>
        <w:rPr>
          <w:rFonts w:ascii="Arial" w:hAnsi="Arial" w:eastAsia="宋体" w:cs="Arial"/>
          <w:color w:val="000000"/>
          <w:kern w:val="0"/>
          <w:sz w:val="18"/>
          <w:szCs w:val="18"/>
        </w:rPr>
      </w:pPr>
    </w:p>
    <w:p w14:paraId="05117089">
      <w:pPr>
        <w:pStyle w:val="15"/>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784" w:hanging="378" w:firstLineChars="0"/>
        <w:rPr>
          <w:rFonts w:ascii="Arial" w:hAnsi="Arial" w:eastAsia="宋体" w:cs="Arial"/>
          <w:color w:val="000000"/>
          <w:kern w:val="0"/>
          <w:sz w:val="18"/>
          <w:szCs w:val="18"/>
        </w:rPr>
      </w:pPr>
      <w:r>
        <w:rPr>
          <w:rFonts w:ascii="Arial" w:hAnsi="Arial" w:eastAsia="宋体" w:cs="Arial"/>
          <w:color w:val="000000"/>
          <w:kern w:val="0"/>
          <w:sz w:val="18"/>
          <w:szCs w:val="18"/>
        </w:rPr>
        <w:t>此特点应符合本文件第III.B节的要求。以下问题特别值得关注，并应在标签的“程序原则”部分对其进行讨论：</w:t>
      </w:r>
    </w:p>
    <w:p w14:paraId="0916E0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4DAAD44F">
      <w:pPr>
        <w:pStyle w:val="15"/>
        <w:widowControl/>
        <w:numPr>
          <w:ilvl w:val="0"/>
          <w:numId w:val="17"/>
        </w:numPr>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hanging="40" w:firstLineChars="0"/>
        <w:rPr>
          <w:rFonts w:ascii="Arial" w:hAnsi="Arial" w:eastAsia="宋体" w:cs="Arial"/>
          <w:color w:val="000000"/>
          <w:kern w:val="0"/>
          <w:sz w:val="18"/>
          <w:szCs w:val="18"/>
        </w:rPr>
      </w:pPr>
      <w:r>
        <w:rPr>
          <w:rFonts w:ascii="Arial" w:hAnsi="Arial" w:eastAsia="宋体" w:cs="Arial"/>
          <w:color w:val="000000"/>
          <w:kern w:val="0"/>
          <w:sz w:val="18"/>
          <w:szCs w:val="18"/>
        </w:rPr>
        <w:t xml:space="preserve">充分的安全控制措施，其可能需要几个级别的“密码”安全，以确保患者信息得到保护并保密； </w:t>
      </w:r>
    </w:p>
    <w:p w14:paraId="2D9FCA32">
      <w:pPr>
        <w:widowControl/>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hanging="40"/>
        <w:rPr>
          <w:rFonts w:ascii="Arial" w:hAnsi="Arial" w:eastAsia="宋体" w:cs="Arial"/>
          <w:color w:val="000000"/>
          <w:kern w:val="0"/>
          <w:sz w:val="18"/>
          <w:szCs w:val="18"/>
        </w:rPr>
      </w:pPr>
    </w:p>
    <w:p w14:paraId="14A17B7C">
      <w:pPr>
        <w:widowControl/>
        <w:spacing w:before="63" w:beforeLines="20" w:after="63" w:afterLines="20" w:line="312" w:lineRule="auto"/>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661C9E6D">
      <w:pPr>
        <w:pStyle w:val="15"/>
        <w:widowControl/>
        <w:numPr>
          <w:ilvl w:val="0"/>
          <w:numId w:val="17"/>
        </w:numPr>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hanging="40" w:firstLineChars="0"/>
        <w:rPr>
          <w:rFonts w:ascii="Arial" w:hAnsi="Arial" w:eastAsia="宋体" w:cs="Arial"/>
          <w:color w:val="000000"/>
          <w:kern w:val="0"/>
          <w:sz w:val="18"/>
          <w:szCs w:val="18"/>
        </w:rPr>
      </w:pPr>
      <w:r>
        <w:rPr>
          <w:rFonts w:ascii="Arial" w:hAnsi="Arial" w:eastAsia="宋体" w:cs="Arial"/>
          <w:color w:val="000000"/>
          <w:kern w:val="0"/>
          <w:sz w:val="18"/>
          <w:szCs w:val="18"/>
        </w:rPr>
        <w:t>充分的安全措施，以防止因意外或病毒而删除数据</w:t>
      </w:r>
    </w:p>
    <w:p w14:paraId="72F6B9A0">
      <w:pPr>
        <w:widowControl/>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hanging="40"/>
        <w:rPr>
          <w:rFonts w:ascii="Arial" w:hAnsi="Arial" w:eastAsia="宋体" w:cs="Arial"/>
          <w:color w:val="000000"/>
          <w:kern w:val="0"/>
          <w:sz w:val="18"/>
          <w:szCs w:val="18"/>
        </w:rPr>
      </w:pPr>
    </w:p>
    <w:p w14:paraId="7E3C1CE4">
      <w:pPr>
        <w:pStyle w:val="15"/>
        <w:widowControl/>
        <w:numPr>
          <w:ilvl w:val="0"/>
          <w:numId w:val="17"/>
        </w:numPr>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hanging="40" w:firstLineChars="0"/>
        <w:rPr>
          <w:rFonts w:ascii="Arial" w:hAnsi="Arial" w:eastAsia="宋体" w:cs="Arial"/>
          <w:color w:val="000000"/>
          <w:kern w:val="0"/>
          <w:sz w:val="18"/>
          <w:szCs w:val="18"/>
        </w:rPr>
      </w:pPr>
      <w:r>
        <w:rPr>
          <w:rFonts w:ascii="Arial" w:hAnsi="Arial" w:eastAsia="宋体" w:cs="Arial"/>
          <w:color w:val="000000"/>
          <w:kern w:val="0"/>
          <w:sz w:val="18"/>
          <w:szCs w:val="18"/>
        </w:rPr>
        <w:t>说明数据存储的位置和方式；以及</w:t>
      </w:r>
    </w:p>
    <w:p w14:paraId="632D5B13">
      <w:pPr>
        <w:widowControl/>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hanging="40"/>
        <w:rPr>
          <w:rFonts w:ascii="Arial" w:hAnsi="Arial" w:eastAsia="宋体" w:cs="Arial"/>
          <w:color w:val="000000"/>
          <w:kern w:val="0"/>
          <w:sz w:val="18"/>
          <w:szCs w:val="18"/>
        </w:rPr>
      </w:pPr>
    </w:p>
    <w:p w14:paraId="07840020">
      <w:pPr>
        <w:pStyle w:val="15"/>
        <w:widowControl/>
        <w:numPr>
          <w:ilvl w:val="0"/>
          <w:numId w:val="17"/>
        </w:numPr>
        <w:tabs>
          <w:tab w:val="left" w:pos="11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1134" w:hanging="364" w:firstLineChars="0"/>
        <w:rPr>
          <w:rFonts w:ascii="Arial" w:hAnsi="Arial" w:eastAsia="宋体" w:cs="Arial"/>
          <w:color w:val="000000"/>
          <w:kern w:val="0"/>
          <w:sz w:val="18"/>
          <w:szCs w:val="18"/>
        </w:rPr>
      </w:pPr>
      <w:r>
        <w:rPr>
          <w:rFonts w:ascii="Arial" w:hAnsi="Arial" w:eastAsia="宋体" w:cs="Arial"/>
          <w:color w:val="000000"/>
          <w:kern w:val="0"/>
          <w:sz w:val="18"/>
          <w:szCs w:val="18"/>
        </w:rPr>
        <w:t>建议使用多个识别代码（例如，用于患者识别数据、中期染色体、核型、最终报告等），确保来自数据库和档案系统的信息可正确有效存储和检索。</w:t>
      </w:r>
    </w:p>
    <w:p w14:paraId="6E0583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6496525B">
      <w:pPr>
        <w:pStyle w:val="15"/>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504" w:hanging="504" w:firstLineChars="0"/>
        <w:rPr>
          <w:rFonts w:ascii="Arial" w:hAnsi="Arial" w:eastAsia="宋体" w:cs="Arial"/>
          <w:color w:val="000000"/>
          <w:kern w:val="0"/>
          <w:sz w:val="18"/>
          <w:szCs w:val="18"/>
        </w:rPr>
      </w:pPr>
      <w:r>
        <w:rPr>
          <w:rFonts w:ascii="Arial" w:hAnsi="Arial" w:eastAsia="宋体" w:cs="Arial"/>
          <w:color w:val="000000"/>
          <w:kern w:val="0"/>
          <w:sz w:val="18"/>
          <w:szCs w:val="18"/>
        </w:rPr>
        <w:t>标签注意事项</w:t>
      </w:r>
    </w:p>
    <w:p w14:paraId="75E25B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07EB93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504" w:leftChars="240" w:firstLine="12" w:firstLineChars="7"/>
        <w:rPr>
          <w:rFonts w:ascii="Arial" w:hAnsi="Arial" w:eastAsia="宋体" w:cs="Arial"/>
          <w:color w:val="000000"/>
          <w:kern w:val="0"/>
          <w:sz w:val="18"/>
          <w:szCs w:val="18"/>
        </w:rPr>
      </w:pPr>
      <w:r>
        <w:rPr>
          <w:rFonts w:ascii="Arial" w:hAnsi="Arial" w:eastAsia="宋体" w:cs="Arial"/>
          <w:color w:val="000000"/>
          <w:kern w:val="0"/>
          <w:sz w:val="18"/>
          <w:szCs w:val="18"/>
        </w:rPr>
        <w:t>标签（操作者手册或包装说明书）应包括体外诊断标签法规21 CFR</w:t>
      </w:r>
      <w:r>
        <w:rPr>
          <w:rFonts w:ascii="MS Mincho" w:hAnsi="MS Mincho" w:eastAsia="宋体" w:cs="MS Mincho"/>
          <w:color w:val="000000"/>
          <w:kern w:val="0"/>
          <w:sz w:val="18"/>
          <w:szCs w:val="18"/>
        </w:rPr>
        <w:t>〜</w:t>
      </w:r>
      <w:r>
        <w:rPr>
          <w:rFonts w:ascii="Arial" w:hAnsi="Arial" w:eastAsia="宋体" w:cs="Arial"/>
          <w:color w:val="000000"/>
          <w:kern w:val="0"/>
          <w:sz w:val="18"/>
          <w:szCs w:val="18"/>
        </w:rPr>
        <w:t>809.10（b）（6）以及21 CFR</w:t>
      </w:r>
      <w:r>
        <w:rPr>
          <w:rFonts w:ascii="MS Mincho" w:hAnsi="MS Mincho" w:eastAsia="宋体" w:cs="MS Mincho"/>
          <w:color w:val="000000"/>
          <w:kern w:val="0"/>
          <w:sz w:val="18"/>
          <w:szCs w:val="18"/>
        </w:rPr>
        <w:t>〜</w:t>
      </w:r>
      <w:r>
        <w:rPr>
          <w:rFonts w:ascii="Arial" w:hAnsi="Arial" w:eastAsia="宋体" w:cs="Arial"/>
          <w:color w:val="000000"/>
          <w:kern w:val="0"/>
          <w:sz w:val="18"/>
          <w:szCs w:val="18"/>
        </w:rPr>
        <w:t>809.10（b）其他相关标题中列出的所有信息：</w:t>
      </w:r>
    </w:p>
    <w:p w14:paraId="7373D6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3E0BC69C">
      <w:pPr>
        <w:pStyle w:val="15"/>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44" w:firstLineChars="0"/>
        <w:rPr>
          <w:rFonts w:ascii="Arial" w:hAnsi="Arial" w:eastAsia="宋体" w:cs="Arial"/>
          <w:color w:val="000000"/>
          <w:kern w:val="0"/>
          <w:sz w:val="18"/>
          <w:szCs w:val="18"/>
        </w:rPr>
      </w:pPr>
      <w:r>
        <w:rPr>
          <w:rFonts w:ascii="Arial" w:hAnsi="Arial" w:eastAsia="宋体" w:cs="Arial"/>
          <w:color w:val="000000"/>
          <w:kern w:val="0"/>
          <w:sz w:val="18"/>
          <w:szCs w:val="18"/>
        </w:rPr>
        <w:t>预期用途声明</w:t>
      </w:r>
    </w:p>
    <w:p w14:paraId="64CF1D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78B40DE2">
      <w:pPr>
        <w:widowControl/>
        <w:snapToGrid w:val="0"/>
        <w:spacing w:before="63" w:beforeLines="20" w:after="63" w:afterLines="20" w:line="312" w:lineRule="auto"/>
        <w:ind w:left="921" w:leftChars="438" w:hanging="1" w:hangingChars="1"/>
        <w:rPr>
          <w:rFonts w:ascii="Arial" w:hAnsi="Arial" w:eastAsia="宋体" w:cs="Arial"/>
          <w:color w:val="000000"/>
          <w:kern w:val="0"/>
          <w:sz w:val="18"/>
          <w:szCs w:val="18"/>
        </w:rPr>
      </w:pPr>
      <w:r>
        <w:rPr>
          <w:rFonts w:ascii="Arial" w:hAnsi="Arial" w:eastAsia="宋体" w:cs="Arial"/>
          <w:color w:val="000000"/>
          <w:kern w:val="0"/>
          <w:sz w:val="18"/>
          <w:szCs w:val="18"/>
        </w:rPr>
        <w:t>请简要说明器械的功能/特性。须明确指出，合格的细胞遗传技术专家和/或细胞遗传学家必须编辑和/或确认所有计算机生成的数据/结果，并做出最终判断/决定。</w:t>
      </w:r>
    </w:p>
    <w:p w14:paraId="2E85827A">
      <w:pPr>
        <w:widowControl/>
        <w:snapToGrid w:val="0"/>
        <w:spacing w:before="63" w:beforeLines="20" w:after="63" w:afterLines="20" w:line="312" w:lineRule="auto"/>
        <w:ind w:left="921" w:leftChars="438" w:hanging="1" w:hangingChars="1"/>
        <w:rPr>
          <w:rFonts w:ascii="Arial" w:hAnsi="Arial" w:eastAsia="宋体" w:cs="Arial"/>
          <w:color w:val="000000"/>
          <w:kern w:val="0"/>
          <w:sz w:val="18"/>
          <w:szCs w:val="18"/>
        </w:rPr>
      </w:pPr>
    </w:p>
    <w:p w14:paraId="52EB4109">
      <w:pPr>
        <w:widowControl/>
        <w:snapToGrid w:val="0"/>
        <w:spacing w:before="63" w:beforeLines="20" w:after="63" w:afterLines="20" w:line="312" w:lineRule="auto"/>
        <w:ind w:left="921" w:leftChars="438" w:hanging="1" w:hangingChars="1"/>
        <w:rPr>
          <w:rFonts w:ascii="Arial" w:hAnsi="Arial" w:eastAsia="宋体" w:cs="Arial"/>
          <w:color w:val="000000"/>
          <w:kern w:val="0"/>
          <w:sz w:val="18"/>
          <w:szCs w:val="18"/>
        </w:rPr>
      </w:pPr>
      <w:r>
        <w:rPr>
          <w:rFonts w:ascii="Arial" w:hAnsi="Arial" w:eastAsia="宋体" w:cs="Arial"/>
          <w:color w:val="000000"/>
          <w:kern w:val="0"/>
          <w:sz w:val="18"/>
          <w:szCs w:val="18"/>
        </w:rPr>
        <w:t>对于不具决策能力的器械，请在本节中纳入以下或类似声明：</w:t>
      </w:r>
    </w:p>
    <w:p w14:paraId="262AD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16BE7F99">
      <w:pPr>
        <w:widowControl/>
        <w:snapToGrid w:val="0"/>
        <w:spacing w:before="63" w:beforeLines="20" w:after="63" w:afterLines="20" w:line="312" w:lineRule="auto"/>
        <w:ind w:left="921" w:leftChars="438" w:hanging="1" w:hangingChars="1"/>
        <w:rPr>
          <w:rFonts w:ascii="Arial" w:hAnsi="Arial" w:eastAsia="宋体" w:cs="Arial"/>
          <w:color w:val="000000"/>
          <w:kern w:val="0"/>
          <w:sz w:val="18"/>
          <w:szCs w:val="18"/>
        </w:rPr>
      </w:pPr>
      <w:r>
        <w:rPr>
          <w:rFonts w:ascii="Arial" w:hAnsi="Arial" w:eastAsia="宋体" w:cs="Arial"/>
          <w:color w:val="000000"/>
          <w:kern w:val="0"/>
          <w:sz w:val="18"/>
          <w:szCs w:val="18"/>
        </w:rPr>
        <w:t>“该器械无法定位中期染色体涂片；器械不根据质量对给定细胞进行排序； 不会对染色体进行自动分类；其需要完全依赖操作者来操作数字化显微镜图像。”</w:t>
      </w:r>
    </w:p>
    <w:p w14:paraId="0CE1D5ED">
      <w:pPr>
        <w:widowControl/>
        <w:spacing w:before="63" w:beforeLines="20" w:after="63" w:afterLines="20" w:line="312" w:lineRule="auto"/>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2531C6D5">
      <w:pPr>
        <w:pStyle w:val="15"/>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44" w:firstLineChars="0"/>
        <w:rPr>
          <w:rFonts w:ascii="Arial" w:hAnsi="Arial" w:eastAsia="宋体" w:cs="Arial"/>
          <w:color w:val="000000"/>
          <w:kern w:val="0"/>
          <w:sz w:val="18"/>
          <w:szCs w:val="18"/>
        </w:rPr>
      </w:pPr>
      <w:r>
        <w:rPr>
          <w:rFonts w:ascii="Arial" w:hAnsi="Arial" w:eastAsia="宋体" w:cs="Arial"/>
          <w:color w:val="000000"/>
          <w:kern w:val="0"/>
          <w:sz w:val="18"/>
          <w:szCs w:val="18"/>
        </w:rPr>
        <w:t>器械的限制包括：</w:t>
      </w:r>
    </w:p>
    <w:p w14:paraId="01A5A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4A04DD9B">
      <w:pPr>
        <w:pStyle w:val="15"/>
        <w:widowControl/>
        <w:numPr>
          <w:ilvl w:val="0"/>
          <w:numId w:val="19"/>
        </w:numPr>
        <w:snapToGrid w:val="0"/>
        <w:spacing w:before="63" w:beforeLines="20" w:after="63" w:afterLines="20" w:line="312" w:lineRule="auto"/>
        <w:ind w:left="1274" w:hanging="364" w:firstLineChars="0"/>
        <w:rPr>
          <w:rFonts w:ascii="Arial" w:hAnsi="Arial" w:eastAsia="宋体" w:cs="Arial"/>
          <w:color w:val="000000"/>
          <w:kern w:val="0"/>
          <w:sz w:val="18"/>
          <w:szCs w:val="18"/>
        </w:rPr>
      </w:pPr>
      <w:r>
        <w:rPr>
          <w:rFonts w:ascii="Arial" w:hAnsi="Arial" w:eastAsia="宋体" w:cs="Arial"/>
          <w:color w:val="000000"/>
          <w:kern w:val="0"/>
          <w:sz w:val="18"/>
          <w:szCs w:val="18"/>
        </w:rPr>
        <w:t>声明，即工具的决策能力不能使细胞遗传学家/细胞遗传学技术人员免于审查和编辑由器械产生的所有工作的责任，且必须由合格的细胞遗传学家做出最终决定；</w:t>
      </w:r>
    </w:p>
    <w:p w14:paraId="37B65F66">
      <w:pPr>
        <w:widowControl/>
        <w:snapToGrid w:val="0"/>
        <w:spacing w:before="63" w:beforeLines="20" w:after="63" w:afterLines="20" w:line="312" w:lineRule="auto"/>
        <w:ind w:left="1274" w:hanging="364"/>
        <w:rPr>
          <w:rFonts w:ascii="Arial" w:hAnsi="Arial" w:eastAsia="宋体" w:cs="Arial"/>
          <w:color w:val="000000"/>
          <w:kern w:val="0"/>
          <w:sz w:val="18"/>
          <w:szCs w:val="18"/>
        </w:rPr>
      </w:pPr>
    </w:p>
    <w:p w14:paraId="6A76940F">
      <w:pPr>
        <w:pStyle w:val="15"/>
        <w:widowControl/>
        <w:numPr>
          <w:ilvl w:val="0"/>
          <w:numId w:val="19"/>
        </w:numPr>
        <w:snapToGrid w:val="0"/>
        <w:spacing w:before="63" w:beforeLines="20" w:after="63" w:afterLines="20" w:line="312" w:lineRule="auto"/>
        <w:ind w:left="1274" w:hanging="364" w:firstLineChars="0"/>
        <w:rPr>
          <w:rFonts w:ascii="Arial" w:hAnsi="Arial" w:eastAsia="宋体" w:cs="Arial"/>
          <w:color w:val="000000"/>
          <w:kern w:val="0"/>
          <w:sz w:val="18"/>
          <w:szCs w:val="18"/>
        </w:rPr>
      </w:pPr>
      <w:r>
        <w:rPr>
          <w:rFonts w:ascii="Arial" w:hAnsi="Arial" w:eastAsia="宋体" w:cs="Arial"/>
          <w:color w:val="000000"/>
          <w:kern w:val="0"/>
          <w:sz w:val="18"/>
          <w:szCs w:val="18"/>
        </w:rPr>
        <w:t>适当在性能特性部分（III-C）中声明为每个功能提出的预防措施。在一些情况下，可纳入有关功能（一个以上）的限制声明；以及</w:t>
      </w:r>
    </w:p>
    <w:p w14:paraId="621AF2A4">
      <w:pPr>
        <w:widowControl/>
        <w:snapToGrid w:val="0"/>
        <w:spacing w:before="63" w:beforeLines="20" w:after="63" w:afterLines="20" w:line="312" w:lineRule="auto"/>
        <w:ind w:left="1274" w:hanging="364"/>
        <w:rPr>
          <w:rFonts w:ascii="Arial" w:hAnsi="Arial" w:eastAsia="宋体" w:cs="Arial"/>
          <w:color w:val="000000"/>
          <w:kern w:val="0"/>
          <w:sz w:val="18"/>
          <w:szCs w:val="18"/>
        </w:rPr>
      </w:pPr>
    </w:p>
    <w:p w14:paraId="3EDB6CB2">
      <w:pPr>
        <w:pStyle w:val="15"/>
        <w:widowControl/>
        <w:numPr>
          <w:ilvl w:val="0"/>
          <w:numId w:val="19"/>
        </w:numPr>
        <w:snapToGrid w:val="0"/>
        <w:spacing w:before="63" w:beforeLines="20" w:after="63" w:afterLines="20" w:line="312" w:lineRule="auto"/>
        <w:ind w:left="1274" w:hanging="364" w:firstLineChars="0"/>
        <w:rPr>
          <w:rFonts w:ascii="Arial" w:hAnsi="Arial" w:eastAsia="宋体" w:cs="Arial"/>
          <w:color w:val="000000"/>
          <w:kern w:val="0"/>
          <w:sz w:val="18"/>
          <w:szCs w:val="18"/>
        </w:rPr>
      </w:pPr>
      <w:r>
        <w:rPr>
          <w:rFonts w:ascii="Arial" w:hAnsi="Arial" w:eastAsia="宋体" w:cs="Arial"/>
          <w:color w:val="000000"/>
          <w:kern w:val="0"/>
          <w:sz w:val="18"/>
          <w:szCs w:val="18"/>
        </w:rPr>
        <w:t>对具有决策能力的所有器械做出的一般性声明：</w:t>
      </w:r>
    </w:p>
    <w:p w14:paraId="02E5D0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4588A7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left="1203" w:leftChars="573" w:firstLine="12" w:firstLineChars="7"/>
        <w:rPr>
          <w:rFonts w:ascii="Arial" w:hAnsi="Arial" w:eastAsia="宋体" w:cs="Arial"/>
          <w:color w:val="000000"/>
          <w:kern w:val="0"/>
          <w:sz w:val="18"/>
          <w:szCs w:val="18"/>
        </w:rPr>
      </w:pPr>
      <w:r>
        <w:rPr>
          <w:rFonts w:ascii="Arial" w:hAnsi="Arial" w:eastAsia="宋体" w:cs="Arial"/>
          <w:color w:val="000000"/>
          <w:kern w:val="0"/>
          <w:sz w:val="18"/>
          <w:szCs w:val="18"/>
        </w:rPr>
        <w:t>“一般来说，计算机生成的数据/染色体核型中会有一个或多个错误，因此，必须始终由合格的细胞遗传学人员进行检查和编辑，作为最终的交互式手动操作。”</w:t>
      </w:r>
    </w:p>
    <w:p w14:paraId="269B8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216" w:firstLineChars="676"/>
        <w:rPr>
          <w:rFonts w:ascii="Arial" w:hAnsi="Arial" w:eastAsia="宋体" w:cs="Arial"/>
          <w:color w:val="000000"/>
          <w:kern w:val="0"/>
          <w:sz w:val="18"/>
          <w:szCs w:val="18"/>
        </w:rPr>
      </w:pPr>
    </w:p>
    <w:p w14:paraId="36E1B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216" w:firstLineChars="676"/>
        <w:rPr>
          <w:rFonts w:ascii="Arial" w:hAnsi="Arial" w:eastAsia="宋体" w:cs="Arial"/>
          <w:color w:val="000000"/>
          <w:kern w:val="0"/>
          <w:sz w:val="18"/>
          <w:szCs w:val="18"/>
        </w:rPr>
      </w:pPr>
      <w:r>
        <w:rPr>
          <w:rFonts w:ascii="Arial" w:hAnsi="Arial" w:eastAsia="宋体" w:cs="Arial"/>
          <w:color w:val="000000"/>
          <w:kern w:val="0"/>
          <w:sz w:val="18"/>
          <w:szCs w:val="18"/>
        </w:rPr>
        <w:t>“最终临床诊断必须由合格的医务人员进行。”</w:t>
      </w:r>
    </w:p>
    <w:p w14:paraId="0D3D28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7E52A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44506298">
      <w:pPr>
        <w:pStyle w:val="15"/>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ind w:firstLine="144" w:firstLineChars="0"/>
        <w:rPr>
          <w:rFonts w:ascii="Arial" w:hAnsi="Arial" w:eastAsia="宋体" w:cs="Arial"/>
          <w:color w:val="000000"/>
          <w:kern w:val="0"/>
          <w:sz w:val="18"/>
          <w:szCs w:val="18"/>
        </w:rPr>
      </w:pPr>
      <w:r>
        <w:rPr>
          <w:rFonts w:ascii="Arial" w:hAnsi="Arial" w:eastAsia="宋体" w:cs="Arial"/>
          <w:color w:val="000000"/>
          <w:kern w:val="0"/>
          <w:sz w:val="18"/>
          <w:szCs w:val="18"/>
        </w:rPr>
        <w:t>性能特性</w:t>
      </w:r>
    </w:p>
    <w:p w14:paraId="5AE33B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5A747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按照第III节的要求进行研究时，对所有复现性和对比研究（灵敏度和特异性）进行总结。</w:t>
      </w:r>
    </w:p>
    <w:p w14:paraId="423C4D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p>
    <w:p w14:paraId="470149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3" w:beforeLines="20" w:after="63" w:afterLines="20" w:line="312" w:lineRule="auto"/>
        <w:rPr>
          <w:rFonts w:ascii="Arial" w:hAnsi="Arial" w:eastAsia="宋体" w:cs="Arial"/>
          <w:color w:val="000000"/>
          <w:kern w:val="0"/>
          <w:sz w:val="18"/>
          <w:szCs w:val="18"/>
        </w:rPr>
      </w:pPr>
      <w:r>
        <w:rPr>
          <w:rFonts w:ascii="Arial" w:hAnsi="Arial" w:eastAsia="宋体" w:cs="Arial"/>
          <w:color w:val="000000"/>
          <w:kern w:val="0"/>
          <w:sz w:val="18"/>
          <w:szCs w:val="18"/>
        </w:rPr>
        <w:t>还涉及与特定功能相关的其他性能特性（如第III-C节所述）。</w:t>
      </w:r>
    </w:p>
    <w:p w14:paraId="177CBD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58" w:beforeLines="50" w:after="158" w:afterLines="50" w:line="312" w:lineRule="auto"/>
        <w:rPr>
          <w:rFonts w:ascii="Arial" w:hAnsi="Arial" w:eastAsia="宋体" w:cs="Arial"/>
          <w:color w:val="000000"/>
          <w:kern w:val="0"/>
          <w:sz w:val="18"/>
          <w:szCs w:val="18"/>
        </w:rPr>
      </w:pPr>
    </w:p>
    <w:p w14:paraId="56D0321E">
      <w:pPr>
        <w:widowControl/>
        <w:spacing w:before="158" w:beforeLines="50" w:after="158" w:afterLines="50" w:line="312" w:lineRule="auto"/>
        <w:jc w:val="left"/>
        <w:rPr>
          <w:rFonts w:ascii="Arial" w:hAnsi="Arial" w:eastAsia="宋体" w:cs="Arial"/>
          <w:color w:val="000000"/>
          <w:kern w:val="0"/>
          <w:sz w:val="18"/>
          <w:szCs w:val="18"/>
        </w:rPr>
      </w:pPr>
      <w:r>
        <w:rPr>
          <w:rFonts w:ascii="Arial" w:hAnsi="Arial" w:eastAsia="宋体" w:cs="Arial"/>
          <w:color w:val="000000"/>
          <w:kern w:val="0"/>
          <w:sz w:val="18"/>
          <w:szCs w:val="18"/>
        </w:rPr>
        <w:br w:type="page"/>
      </w:r>
    </w:p>
    <w:p w14:paraId="2770FDF3">
      <w:pPr>
        <w:pStyle w:val="15"/>
        <w:widowControl/>
        <w:numPr>
          <w:ilvl w:val="0"/>
          <w:numId w:val="1"/>
        </w:numPr>
        <w:snapToGrid w:val="0"/>
        <w:spacing w:line="300" w:lineRule="auto"/>
        <w:ind w:left="448" w:hanging="448" w:firstLineChars="0"/>
        <w:rPr>
          <w:rFonts w:ascii="Arial" w:hAnsi="Arial" w:eastAsia="宋体" w:cs="Arial"/>
          <w:color w:val="000000"/>
          <w:kern w:val="0"/>
          <w:sz w:val="18"/>
          <w:szCs w:val="18"/>
        </w:rPr>
      </w:pPr>
      <w:r>
        <w:rPr>
          <w:rFonts w:ascii="Arial" w:hAnsi="Arial" w:eastAsia="宋体" w:cs="Arial"/>
          <w:color w:val="000000"/>
          <w:kern w:val="0"/>
          <w:sz w:val="18"/>
          <w:szCs w:val="18"/>
        </w:rPr>
        <w:t>参考文件</w:t>
      </w:r>
    </w:p>
    <w:p w14:paraId="34CB0E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color w:val="000000"/>
          <w:kern w:val="0"/>
          <w:sz w:val="18"/>
          <w:szCs w:val="18"/>
        </w:rPr>
      </w:pPr>
    </w:p>
    <w:p w14:paraId="05437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1.   Letter. September 1989 Cytogenetic Proficiency Test,</w:t>
      </w:r>
    </w:p>
    <w:p w14:paraId="08A5FC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General Comments. New York State Department of Health.</w:t>
      </w:r>
    </w:p>
    <w:p w14:paraId="62D2D5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D5CC2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2.   Tjio, JH and Levan, A: The chromosome number in man.</w:t>
      </w:r>
    </w:p>
    <w:p w14:paraId="7A9291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Hereditas, 42:1, 1956.</w:t>
      </w:r>
    </w:p>
    <w:p w14:paraId="63F59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EB98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3.   Lejeune, J, Gautier, M, and Turpin, MR: Etude dais</w:t>
      </w:r>
    </w:p>
    <w:p w14:paraId="0E122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chromosomes somatiques de neut enfants mongoliens. </w:t>
      </w:r>
    </w:p>
    <w:p w14:paraId="68674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C.R. Acad. Sci. (Paris) 248, 1721-1722, 1959.</w:t>
      </w:r>
    </w:p>
    <w:p w14:paraId="5CF1F7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49A26D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4.   Lubs, HA and Ledley, RS: Automated analysis of</w:t>
      </w:r>
    </w:p>
    <w:p w14:paraId="775570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differentially stained human chromosomes.  Nobel.</w:t>
      </w:r>
    </w:p>
    <w:p w14:paraId="23BBF2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23:61-76, 1973.]</w:t>
      </w:r>
    </w:p>
    <w:p w14:paraId="7C4239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13ABE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5.   Lifshitz, MS and DeCresce, RP:  Genetiscan Digital</w:t>
      </w:r>
    </w:p>
    <w:p w14:paraId="43FD10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Karyotype System. Lab Med, 18(6):402-403, 1987.</w:t>
      </w:r>
    </w:p>
    <w:p w14:paraId="5E728F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6BEE8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6.   Bender MK: Karyotyping System with Special Reference to</w:t>
      </w:r>
    </w:p>
    <w:p w14:paraId="39311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the KARYOTEC 100. Presentation: 34th Annual Scientific</w:t>
      </w:r>
    </w:p>
    <w:p w14:paraId="2B3C6A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Meeting of The Royal College of Pathologists of</w:t>
      </w:r>
    </w:p>
    <w:p w14:paraId="47D2AE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Australia. Hong Kong, 1989.</w:t>
      </w:r>
    </w:p>
    <w:p w14:paraId="7882F7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351C0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7.   Rooney DE and Czepulkowski BH: Human Cytogenetics: A</w:t>
      </w:r>
    </w:p>
    <w:p w14:paraId="02644C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Practical Approach. Oxford, England: ILR Press; 1986.</w:t>
      </w:r>
    </w:p>
    <w:p w14:paraId="5CDD4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30085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8.   Verma RS and Buba A. Chromosomes: A manual of Basic</w:t>
      </w:r>
    </w:p>
    <w:p w14:paraId="4AA21B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Techniques.  New York, NY: Pergamon; 1989.</w:t>
      </w:r>
    </w:p>
    <w:p w14:paraId="480492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727BC6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9.   Priest JH: Medical Cytogenetics and Cell Culture. 2nd</w:t>
      </w:r>
    </w:p>
    <w:p w14:paraId="118092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ed. Philadelphia, PA: Lea and Fabiger; 1977.</w:t>
      </w:r>
    </w:p>
    <w:p w14:paraId="0C91E9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p>
    <w:p w14:paraId="54BFD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10.  Harden DG and Klinger HP: An International System for</w:t>
      </w:r>
    </w:p>
    <w:p w14:paraId="5E2FC2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Human Cytogenetic Nomenclature (1985).  Basel,</w:t>
      </w:r>
    </w:p>
    <w:p w14:paraId="695662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color w:val="000000"/>
          <w:kern w:val="0"/>
          <w:sz w:val="18"/>
          <w:szCs w:val="18"/>
        </w:rPr>
      </w:pPr>
      <w:r>
        <w:rPr>
          <w:rFonts w:ascii="宋体" w:hAnsi="宋体" w:eastAsia="宋体" w:cs="宋体"/>
          <w:color w:val="000000"/>
          <w:kern w:val="0"/>
          <w:sz w:val="18"/>
          <w:szCs w:val="18"/>
        </w:rPr>
        <w:t xml:space="preserve">          Switzerland: S Karger; 1985.</w:t>
      </w:r>
    </w:p>
    <w:p w14:paraId="7A6416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hAnsi="Arial" w:eastAsia="宋体" w:cs="Arial"/>
        </w:rPr>
      </w:pPr>
    </w:p>
    <w:p w14:paraId="2344AD71">
      <w:pPr>
        <w:widowControl/>
        <w:snapToGrid w:val="0"/>
        <w:spacing w:before="90" w:after="90" w:line="300" w:lineRule="auto"/>
        <w:jc w:val="center"/>
        <w:rPr>
          <w:rFonts w:hint="eastAsia" w:eastAsia="宋体"/>
          <w:lang w:eastAsia="zh-CN"/>
        </w:rPr>
      </w:pPr>
    </w:p>
    <w:p w14:paraId="5947CD67">
      <w:pPr>
        <w:widowControl/>
        <w:snapToGrid w:val="0"/>
        <w:spacing w:before="90" w:after="90" w:line="300" w:lineRule="auto"/>
        <w:jc w:val="center"/>
        <w:rPr>
          <w:rFonts w:hint="eastAsia" w:eastAsia="宋体"/>
          <w:lang w:eastAsia="zh-CN"/>
        </w:rPr>
      </w:pPr>
    </w:p>
    <w:p w14:paraId="60DB31C8">
      <w:pPr>
        <w:widowControl/>
        <w:snapToGrid w:val="0"/>
        <w:spacing w:before="90" w:after="9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headerReference r:id="rId4" w:type="even"/>
      <w:pgSz w:w="11906" w:h="16838"/>
      <w:pgMar w:top="1440" w:right="1800" w:bottom="1440" w:left="1800" w:header="851" w:footer="992" w:gutter="0"/>
      <w:cols w:space="425" w:num="1"/>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roman"/>
    <w:pitch w:val="default"/>
    <w:sig w:usb0="00000000" w:usb1="00000000" w:usb2="00000010" w:usb3="00000000" w:csb0="00020000" w:csb1="00000000"/>
  </w:font>
  <w:font w:name="ＭＳ 明朝">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D9192">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2718E">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2652A"/>
    <w:multiLevelType w:val="multilevel"/>
    <w:tmpl w:val="06D2652A"/>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1F6877"/>
    <w:multiLevelType w:val="multilevel"/>
    <w:tmpl w:val="1D1F687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084914"/>
    <w:multiLevelType w:val="multilevel"/>
    <w:tmpl w:val="22084914"/>
    <w:lvl w:ilvl="0" w:tentative="0">
      <w:start w:val="1"/>
      <w:numFmt w:val="lowerRoman"/>
      <w:lvlText w:val="%1."/>
      <w:lvlJc w:val="left"/>
      <w:pPr>
        <w:ind w:left="810" w:hanging="720"/>
      </w:pPr>
      <w:rPr>
        <w:rFonts w:hint="default"/>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3">
    <w:nsid w:val="30283155"/>
    <w:multiLevelType w:val="multilevel"/>
    <w:tmpl w:val="30283155"/>
    <w:lvl w:ilvl="0" w:tentative="0">
      <w:start w:val="1"/>
      <w:numFmt w:val="lowerLetter"/>
      <w:lvlText w:val="%1."/>
      <w:lvlJc w:val="left"/>
      <w:pPr>
        <w:ind w:left="450" w:hanging="360"/>
      </w:pPr>
      <w:rPr>
        <w:rFonts w:hint="default"/>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4">
    <w:nsid w:val="354C67FA"/>
    <w:multiLevelType w:val="multilevel"/>
    <w:tmpl w:val="354C67FA"/>
    <w:lvl w:ilvl="0" w:tentative="0">
      <w:start w:val="1"/>
      <w:numFmt w:val="lowerLetter"/>
      <w:lvlText w:val="%1."/>
      <w:lvlJc w:val="left"/>
      <w:pPr>
        <w:ind w:left="450" w:hanging="360"/>
      </w:pPr>
      <w:rPr>
        <w:rFonts w:hint="default"/>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5">
    <w:nsid w:val="3C1F3B5A"/>
    <w:multiLevelType w:val="multilevel"/>
    <w:tmpl w:val="3C1F3B5A"/>
    <w:lvl w:ilvl="0" w:tentative="0">
      <w:start w:val="1"/>
      <w:numFmt w:val="lowerLetter"/>
      <w:lvlText w:val="%1."/>
      <w:lvlJc w:val="left"/>
      <w:pPr>
        <w:ind w:left="450" w:hanging="360"/>
      </w:pPr>
      <w:rPr>
        <w:rFonts w:hint="default"/>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6">
    <w:nsid w:val="3EDC35F5"/>
    <w:multiLevelType w:val="multilevel"/>
    <w:tmpl w:val="3EDC35F5"/>
    <w:lvl w:ilvl="0" w:tentative="0">
      <w:start w:val="1"/>
      <w:numFmt w:val="lowerLetter"/>
      <w:lvlText w:val="%1."/>
      <w:lvlJc w:val="left"/>
      <w:pPr>
        <w:ind w:left="450" w:hanging="360"/>
      </w:pPr>
      <w:rPr>
        <w:rFonts w:hint="default"/>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7">
    <w:nsid w:val="3FDA4C6D"/>
    <w:multiLevelType w:val="multilevel"/>
    <w:tmpl w:val="3FDA4C6D"/>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3B35F4F"/>
    <w:multiLevelType w:val="multilevel"/>
    <w:tmpl w:val="43B35F4F"/>
    <w:lvl w:ilvl="0" w:tentative="0">
      <w:start w:val="1"/>
      <w:numFmt w:val="lowerLetter"/>
      <w:lvlText w:val="%1."/>
      <w:lvlJc w:val="left"/>
      <w:pPr>
        <w:ind w:left="450" w:hanging="360"/>
      </w:pPr>
      <w:rPr>
        <w:rFonts w:hint="default"/>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9">
    <w:nsid w:val="5A110099"/>
    <w:multiLevelType w:val="multilevel"/>
    <w:tmpl w:val="5A110099"/>
    <w:lvl w:ilvl="0" w:tentative="0">
      <w:start w:val="1"/>
      <w:numFmt w:val="lowerRoman"/>
      <w:lvlText w:val="%1."/>
      <w:lvlJc w:val="left"/>
      <w:pPr>
        <w:ind w:left="810" w:hanging="720"/>
      </w:pPr>
      <w:rPr>
        <w:rFonts w:hint="default"/>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10">
    <w:nsid w:val="5B9E0D24"/>
    <w:multiLevelType w:val="multilevel"/>
    <w:tmpl w:val="5B9E0D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ECB6311"/>
    <w:multiLevelType w:val="multilevel"/>
    <w:tmpl w:val="5ECB6311"/>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F272BE3"/>
    <w:multiLevelType w:val="multilevel"/>
    <w:tmpl w:val="5F272BE3"/>
    <w:lvl w:ilvl="0" w:tentative="0">
      <w:start w:val="1"/>
      <w:numFmt w:val="lowerLetter"/>
      <w:lvlText w:val="%1."/>
      <w:lvlJc w:val="left"/>
      <w:pPr>
        <w:ind w:left="360" w:hanging="360"/>
      </w:pPr>
      <w:rPr>
        <w:rFonts w:hint="default"/>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1666320"/>
    <w:multiLevelType w:val="multilevel"/>
    <w:tmpl w:val="61666320"/>
    <w:lvl w:ilvl="0" w:tentative="0">
      <w:start w:val="1"/>
      <w:numFmt w:val="decimal"/>
      <w:lvlText w:val="%1."/>
      <w:lvlJc w:val="left"/>
      <w:pPr>
        <w:ind w:left="360" w:hanging="360"/>
      </w:pPr>
      <w:rPr>
        <w:rFonts w:hint="default"/>
      </w:rPr>
    </w:lvl>
    <w:lvl w:ilvl="1" w:tentative="0">
      <w:start w:val="1"/>
      <w:numFmt w:val="upperLetter"/>
      <w:lvlText w:val="%2."/>
      <w:lvlJc w:val="left"/>
      <w:pPr>
        <w:ind w:left="855" w:hanging="435"/>
      </w:pPr>
      <w:rPr>
        <w:rFonts w:hint="default"/>
      </w:rPr>
    </w:lvl>
    <w:lvl w:ilvl="2" w:tentative="0">
      <w:start w:val="1"/>
      <w:numFmt w:val="lowerLetter"/>
      <w:lvlText w:val="%3."/>
      <w:lvlJc w:val="left"/>
      <w:pPr>
        <w:ind w:left="1260" w:hanging="4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67E3240"/>
    <w:multiLevelType w:val="multilevel"/>
    <w:tmpl w:val="667E3240"/>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2F6A05"/>
    <w:multiLevelType w:val="multilevel"/>
    <w:tmpl w:val="6A2F6A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3891098"/>
    <w:multiLevelType w:val="multilevel"/>
    <w:tmpl w:val="73891098"/>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61302BB"/>
    <w:multiLevelType w:val="multilevel"/>
    <w:tmpl w:val="761302BB"/>
    <w:lvl w:ilvl="0" w:tentative="0">
      <w:start w:val="1"/>
      <w:numFmt w:val="decimal"/>
      <w:lvlText w:val="%1."/>
      <w:lvlJc w:val="left"/>
      <w:pPr>
        <w:ind w:left="450" w:hanging="360"/>
      </w:pPr>
      <w:rPr>
        <w:rFonts w:hint="default"/>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18">
    <w:nsid w:val="77D208DB"/>
    <w:multiLevelType w:val="multilevel"/>
    <w:tmpl w:val="77D208D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0"/>
  </w:num>
  <w:num w:numId="3">
    <w:abstractNumId w:val="15"/>
  </w:num>
  <w:num w:numId="4">
    <w:abstractNumId w:val="7"/>
  </w:num>
  <w:num w:numId="5">
    <w:abstractNumId w:val="1"/>
  </w:num>
  <w:num w:numId="6">
    <w:abstractNumId w:val="16"/>
  </w:num>
  <w:num w:numId="7">
    <w:abstractNumId w:val="13"/>
  </w:num>
  <w:num w:numId="8">
    <w:abstractNumId w:val="12"/>
  </w:num>
  <w:num w:numId="9">
    <w:abstractNumId w:val="10"/>
  </w:num>
  <w:num w:numId="10">
    <w:abstractNumId w:val="18"/>
  </w:num>
  <w:num w:numId="11">
    <w:abstractNumId w:val="5"/>
  </w:num>
  <w:num w:numId="12">
    <w:abstractNumId w:val="6"/>
  </w:num>
  <w:num w:numId="13">
    <w:abstractNumId w:val="3"/>
  </w:num>
  <w:num w:numId="14">
    <w:abstractNumId w:val="8"/>
  </w:num>
  <w:num w:numId="15">
    <w:abstractNumId w:val="2"/>
  </w:num>
  <w:num w:numId="16">
    <w:abstractNumId w:val="4"/>
  </w:num>
  <w:num w:numId="17">
    <w:abstractNumId w:val="9"/>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1"/>
  <w:bordersDoNotSurroundFooter w:val="1"/>
  <w:documentProtection w:enforcement="0"/>
  <w:defaultTabStop w:val="420"/>
  <w:drawingGridHorizontalSpacing w:val="213"/>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869"/>
    <w:rsid w:val="00007F43"/>
    <w:rsid w:val="00024299"/>
    <w:rsid w:val="0002627F"/>
    <w:rsid w:val="0005760D"/>
    <w:rsid w:val="00076598"/>
    <w:rsid w:val="000857BB"/>
    <w:rsid w:val="0009311E"/>
    <w:rsid w:val="00096768"/>
    <w:rsid w:val="00102140"/>
    <w:rsid w:val="0011326D"/>
    <w:rsid w:val="00117C00"/>
    <w:rsid w:val="0012705D"/>
    <w:rsid w:val="0013625B"/>
    <w:rsid w:val="00153EAD"/>
    <w:rsid w:val="00162C81"/>
    <w:rsid w:val="00192869"/>
    <w:rsid w:val="00192A7E"/>
    <w:rsid w:val="001C4F1C"/>
    <w:rsid w:val="001D61EB"/>
    <w:rsid w:val="001F086A"/>
    <w:rsid w:val="00237010"/>
    <w:rsid w:val="00237362"/>
    <w:rsid w:val="00246AA3"/>
    <w:rsid w:val="00251FD3"/>
    <w:rsid w:val="00257000"/>
    <w:rsid w:val="00260AB2"/>
    <w:rsid w:val="002611F0"/>
    <w:rsid w:val="002865FE"/>
    <w:rsid w:val="0029038C"/>
    <w:rsid w:val="002B15A8"/>
    <w:rsid w:val="002C77E8"/>
    <w:rsid w:val="002D40F3"/>
    <w:rsid w:val="002E2463"/>
    <w:rsid w:val="002E4745"/>
    <w:rsid w:val="00303611"/>
    <w:rsid w:val="00345FE4"/>
    <w:rsid w:val="00357BFB"/>
    <w:rsid w:val="003636B9"/>
    <w:rsid w:val="00374313"/>
    <w:rsid w:val="0038233B"/>
    <w:rsid w:val="0039382F"/>
    <w:rsid w:val="003A68F5"/>
    <w:rsid w:val="003C29E8"/>
    <w:rsid w:val="003E0BEB"/>
    <w:rsid w:val="003E637A"/>
    <w:rsid w:val="00425851"/>
    <w:rsid w:val="00444850"/>
    <w:rsid w:val="00454B2A"/>
    <w:rsid w:val="00466943"/>
    <w:rsid w:val="004B5274"/>
    <w:rsid w:val="004C328D"/>
    <w:rsid w:val="0050106B"/>
    <w:rsid w:val="0051203D"/>
    <w:rsid w:val="005344BB"/>
    <w:rsid w:val="00550C0A"/>
    <w:rsid w:val="0057323A"/>
    <w:rsid w:val="005916AA"/>
    <w:rsid w:val="00594B0D"/>
    <w:rsid w:val="005B04F1"/>
    <w:rsid w:val="005B0D46"/>
    <w:rsid w:val="005B3546"/>
    <w:rsid w:val="005B439B"/>
    <w:rsid w:val="005D0F97"/>
    <w:rsid w:val="005E67B6"/>
    <w:rsid w:val="005F39E1"/>
    <w:rsid w:val="00600EEE"/>
    <w:rsid w:val="00631A6A"/>
    <w:rsid w:val="0065152E"/>
    <w:rsid w:val="00675061"/>
    <w:rsid w:val="00694128"/>
    <w:rsid w:val="006B1A16"/>
    <w:rsid w:val="006C02C4"/>
    <w:rsid w:val="006F2044"/>
    <w:rsid w:val="00701618"/>
    <w:rsid w:val="00715C75"/>
    <w:rsid w:val="007170B5"/>
    <w:rsid w:val="00726C82"/>
    <w:rsid w:val="00727BB6"/>
    <w:rsid w:val="007568C0"/>
    <w:rsid w:val="007576D0"/>
    <w:rsid w:val="00767889"/>
    <w:rsid w:val="00780038"/>
    <w:rsid w:val="00784831"/>
    <w:rsid w:val="007A2766"/>
    <w:rsid w:val="007A7095"/>
    <w:rsid w:val="007C6B2F"/>
    <w:rsid w:val="00826725"/>
    <w:rsid w:val="00832A69"/>
    <w:rsid w:val="00881061"/>
    <w:rsid w:val="008846E3"/>
    <w:rsid w:val="008A49B3"/>
    <w:rsid w:val="00901DFE"/>
    <w:rsid w:val="00930F47"/>
    <w:rsid w:val="009E03E4"/>
    <w:rsid w:val="00A02889"/>
    <w:rsid w:val="00A059D4"/>
    <w:rsid w:val="00A15E9A"/>
    <w:rsid w:val="00A20B09"/>
    <w:rsid w:val="00A25B45"/>
    <w:rsid w:val="00A52956"/>
    <w:rsid w:val="00A548E6"/>
    <w:rsid w:val="00A77085"/>
    <w:rsid w:val="00A9384F"/>
    <w:rsid w:val="00A97D47"/>
    <w:rsid w:val="00AA7670"/>
    <w:rsid w:val="00AC3202"/>
    <w:rsid w:val="00AD2ADC"/>
    <w:rsid w:val="00AD577B"/>
    <w:rsid w:val="00AF1154"/>
    <w:rsid w:val="00B0075E"/>
    <w:rsid w:val="00B065F7"/>
    <w:rsid w:val="00B10729"/>
    <w:rsid w:val="00B10A2E"/>
    <w:rsid w:val="00B41834"/>
    <w:rsid w:val="00B84FAB"/>
    <w:rsid w:val="00B932A0"/>
    <w:rsid w:val="00BC2AE9"/>
    <w:rsid w:val="00BC42B8"/>
    <w:rsid w:val="00BC4CB6"/>
    <w:rsid w:val="00BF1CCA"/>
    <w:rsid w:val="00BF56F9"/>
    <w:rsid w:val="00C02BD4"/>
    <w:rsid w:val="00C449A8"/>
    <w:rsid w:val="00C5484D"/>
    <w:rsid w:val="00C825FB"/>
    <w:rsid w:val="00CC0242"/>
    <w:rsid w:val="00CD0974"/>
    <w:rsid w:val="00CD6CE5"/>
    <w:rsid w:val="00D350B6"/>
    <w:rsid w:val="00D53C00"/>
    <w:rsid w:val="00D64770"/>
    <w:rsid w:val="00D74351"/>
    <w:rsid w:val="00D77B59"/>
    <w:rsid w:val="00D85190"/>
    <w:rsid w:val="00DC79E7"/>
    <w:rsid w:val="00DD5957"/>
    <w:rsid w:val="00DE0592"/>
    <w:rsid w:val="00DE1692"/>
    <w:rsid w:val="00DE3D15"/>
    <w:rsid w:val="00DE7D23"/>
    <w:rsid w:val="00DF1A4F"/>
    <w:rsid w:val="00E1052B"/>
    <w:rsid w:val="00E17D5C"/>
    <w:rsid w:val="00E24821"/>
    <w:rsid w:val="00E260EB"/>
    <w:rsid w:val="00E2663B"/>
    <w:rsid w:val="00E307BB"/>
    <w:rsid w:val="00E41976"/>
    <w:rsid w:val="00E52875"/>
    <w:rsid w:val="00E7538C"/>
    <w:rsid w:val="00E85C38"/>
    <w:rsid w:val="00EA4E4A"/>
    <w:rsid w:val="00EB37B8"/>
    <w:rsid w:val="00ED131C"/>
    <w:rsid w:val="00F015FA"/>
    <w:rsid w:val="00F0487D"/>
    <w:rsid w:val="00F11912"/>
    <w:rsid w:val="00F440D6"/>
    <w:rsid w:val="00F47A51"/>
    <w:rsid w:val="00F655AE"/>
    <w:rsid w:val="00FD38A0"/>
    <w:rsid w:val="00FD6E2F"/>
    <w:rsid w:val="00FE0F5D"/>
    <w:rsid w:val="046E2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标题 1 Char"/>
    <w:basedOn w:val="9"/>
    <w:link w:val="2"/>
    <w:qFormat/>
    <w:uiPriority w:val="9"/>
    <w:rPr>
      <w:rFonts w:ascii="宋体" w:hAnsi="宋体" w:eastAsia="宋体" w:cs="宋体"/>
      <w:b/>
      <w:bCs/>
      <w:kern w:val="36"/>
      <w:sz w:val="48"/>
      <w:szCs w:val="48"/>
    </w:rPr>
  </w:style>
  <w:style w:type="character" w:customStyle="1" w:styleId="14">
    <w:name w:val="HTML 预设格式 Char"/>
    <w:basedOn w:val="9"/>
    <w:link w:val="6"/>
    <w:semiHidden/>
    <w:qFormat/>
    <w:uiPriority w:val="99"/>
    <w:rPr>
      <w:rFonts w:ascii="宋体" w:hAnsi="宋体" w:eastAsia="宋体" w:cs="宋体"/>
      <w:kern w:val="0"/>
      <w:sz w:val="24"/>
      <w:szCs w:val="24"/>
    </w:rPr>
  </w:style>
  <w:style w:type="paragraph" w:styleId="15">
    <w:name w:val="List Paragraph"/>
    <w:basedOn w:val="1"/>
    <w:qFormat/>
    <w:uiPriority w:val="34"/>
    <w:pPr>
      <w:ind w:firstLine="420" w:firstLineChars="200"/>
    </w:pPr>
  </w:style>
  <w:style w:type="character" w:customStyle="1" w:styleId="16">
    <w:name w:val="批注框文本 Char"/>
    <w:basedOn w:val="9"/>
    <w:link w:val="3"/>
    <w:semiHidden/>
    <w:qFormat/>
    <w:uiPriority w:val="99"/>
    <w:rPr>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3">
      <a:dk1>
        <a:srgbClr val="FFFFFF"/>
      </a:dk1>
      <a:lt1>
        <a:srgbClr val="FFFFFF"/>
      </a:lt1>
      <a:dk2>
        <a:srgbClr val="1F497D"/>
      </a:dk2>
      <a:lt2>
        <a:srgbClr val="EEECE1"/>
      </a:lt2>
      <a:accent1>
        <a:srgbClr val="4F81BD"/>
      </a:accent1>
      <a:accent2>
        <a:srgbClr val="C0504D"/>
      </a:accent2>
      <a:accent3>
        <a:srgbClr val="FFFFFF"/>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7AB5C-0636-4B84-90BF-C82A17B966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7597</Words>
  <Characters>8832</Characters>
  <Lines>67</Lines>
  <Paragraphs>18</Paragraphs>
  <TotalTime>1</TotalTime>
  <ScaleCrop>false</ScaleCrop>
  <LinksUpToDate>false</LinksUpToDate>
  <CharactersWithSpaces>9241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2017-04-08T02:09:00Z</dcterms:created>
  <dc:creator>pc</dc:creator>
  <cp:lastModifiedBy>太极箫客</cp:lastModifiedBy>
  <dcterms:modified xsi:type="dcterms:W3CDTF">2025-08-14T06:33:14Z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CD328084AC5D4AAAA0D1D43071089A20_12</vt:lpwstr>
  </property>
</Properties>
</file>