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5A10E">
      <w:pPr>
        <w:pBdr>
          <w:bottom w:val="single" w:color="auto" w:sz="4" w:space="1"/>
        </w:pBdr>
        <w:spacing w:before="120"/>
        <w:jc w:val="center"/>
        <w:rPr>
          <w:b/>
          <w:bCs/>
          <w:sz w:val="44"/>
          <w:szCs w:val="44"/>
          <w:lang w:eastAsia="zh-CN"/>
        </w:rPr>
      </w:pPr>
      <w:bookmarkStart w:id="19" w:name="_GoBack"/>
      <w:bookmarkEnd w:id="19"/>
      <w:r>
        <w:rPr>
          <w:rFonts w:cs="宋体"/>
          <w:b/>
          <w:sz w:val="44"/>
          <w:lang w:eastAsia="zh-CN"/>
        </w:rPr>
        <w:t>使用公共人类遗传变异数据库支持基于遗传和基因组的体外诊断的临床有效性</w:t>
      </w:r>
    </w:p>
    <w:p w14:paraId="12B94FEB">
      <w:pPr>
        <w:spacing w:before="120"/>
        <w:jc w:val="center"/>
        <w:rPr>
          <w:rFonts w:cs="宋体"/>
          <w:b/>
          <w:sz w:val="44"/>
          <w:lang w:eastAsia="zh-CN"/>
        </w:rPr>
      </w:pPr>
      <w:r>
        <w:rPr>
          <w:rFonts w:cs="宋体"/>
          <w:b/>
          <w:sz w:val="44"/>
          <w:lang w:eastAsia="zh-CN"/>
        </w:rPr>
        <w:t>利益相关者和美国食品药品监督管理局</w:t>
      </w:r>
    </w:p>
    <w:p w14:paraId="58307398">
      <w:pPr>
        <w:spacing w:before="120"/>
        <w:jc w:val="center"/>
        <w:rPr>
          <w:rFonts w:cs="宋体"/>
          <w:b/>
          <w:sz w:val="44"/>
          <w:lang w:eastAsia="zh-CN"/>
        </w:rPr>
      </w:pPr>
      <w:r>
        <w:rPr>
          <w:rFonts w:cs="宋体"/>
          <w:b/>
          <w:sz w:val="44"/>
          <w:lang w:eastAsia="zh-CN"/>
        </w:rPr>
        <w:t>工作人员指南</w:t>
      </w:r>
    </w:p>
    <w:p w14:paraId="55CF826E">
      <w:pPr>
        <w:spacing w:before="120"/>
        <w:jc w:val="center"/>
        <w:rPr>
          <w:b/>
          <w:bCs/>
          <w:lang w:eastAsia="zh-CN"/>
        </w:rPr>
      </w:pPr>
      <w:r>
        <w:rPr>
          <w:rFonts w:hint="eastAsia" w:cs="宋体"/>
          <w:b/>
          <w:lang w:eastAsia="zh-CN"/>
        </w:rPr>
        <w:t>本</w:t>
      </w:r>
      <w:r>
        <w:rPr>
          <w:rFonts w:cs="宋体"/>
          <w:b/>
          <w:lang w:eastAsia="zh-CN"/>
        </w:rPr>
        <w:t>文件发布日期：2018年4月13日</w:t>
      </w:r>
    </w:p>
    <w:p w14:paraId="14CBAB9A">
      <w:pPr>
        <w:spacing w:before="120"/>
        <w:jc w:val="center"/>
        <w:rPr>
          <w:b/>
          <w:bCs/>
          <w:lang w:eastAsia="zh-CN"/>
        </w:rPr>
      </w:pPr>
      <w:r>
        <w:rPr>
          <w:rFonts w:cs="宋体"/>
          <w:b/>
          <w:lang w:eastAsia="zh-CN"/>
        </w:rPr>
        <w:t>本文件草案发布日期：2016年7月8日</w:t>
      </w:r>
    </w:p>
    <w:p w14:paraId="6482ED2A">
      <w:pPr>
        <w:spacing w:before="120"/>
        <w:rPr>
          <w:lang w:eastAsia="zh-CN"/>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300E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0DD14345">
            <w:pPr>
              <w:spacing w:before="120"/>
              <w:rPr>
                <w:sz w:val="21"/>
                <w:szCs w:val="21"/>
                <w:lang w:eastAsia="zh-CN"/>
              </w:rPr>
            </w:pPr>
            <w:r>
              <w:rPr>
                <w:rFonts w:cs="宋体"/>
                <w:sz w:val="21"/>
                <w:lang w:eastAsia="zh-CN"/>
              </w:rPr>
              <w:t>除非显示当前有效的OMB控制编号，否则机构不得进行或发起信息收集，也不得要求患者针对信息收集给出回应。本次信息收集的OMB控制编号为0910-0850（失效日期为2021年3月31日）。</w:t>
            </w:r>
          </w:p>
        </w:tc>
      </w:tr>
    </w:tbl>
    <w:p w14:paraId="34984DF6">
      <w:pPr>
        <w:spacing w:before="120"/>
        <w:rPr>
          <w:lang w:eastAsia="zh-CN"/>
        </w:rPr>
      </w:pPr>
    </w:p>
    <w:p w14:paraId="51F39814">
      <w:pPr>
        <w:spacing w:before="120"/>
        <w:rPr>
          <w:rFonts w:cs="宋体"/>
          <w:b/>
          <w:lang w:eastAsia="zh-CN"/>
        </w:rPr>
      </w:pPr>
      <w:r>
        <w:rPr>
          <w:rFonts w:cs="宋体"/>
          <w:b/>
          <w:lang w:eastAsia="zh-CN"/>
        </w:rPr>
        <w:t>请参阅本指南第7部分《文书削减法》的额外声明。</w:t>
      </w:r>
    </w:p>
    <w:p w14:paraId="091E1C93">
      <w:pPr>
        <w:spacing w:before="120"/>
        <w:rPr>
          <w:rFonts w:cs="宋体"/>
          <w:b/>
          <w:lang w:eastAsia="zh-CN"/>
        </w:rPr>
      </w:pPr>
    </w:p>
    <w:p w14:paraId="633AD6B1">
      <w:pPr>
        <w:spacing w:before="120"/>
        <w:rPr>
          <w:b/>
          <w:bCs/>
          <w:lang w:eastAsia="zh-CN"/>
        </w:rPr>
      </w:pPr>
    </w:p>
    <w:p w14:paraId="634B3358">
      <w:pPr>
        <w:spacing w:before="120"/>
        <w:rPr>
          <w:lang w:eastAsia="zh-CN"/>
        </w:rPr>
      </w:pPr>
      <w:r>
        <w:rPr>
          <w:rFonts w:cs="宋体"/>
          <w:lang w:eastAsia="zh-CN"/>
        </w:rPr>
        <w:t xml:space="preserve">对于有关本文件与CDRH监管器械相关的问题，请联系Laura Koontz，电话：301-796-7561或发送电子邮件至 </w:t>
      </w:r>
      <w:r>
        <w:rPr>
          <w:rFonts w:cs="宋体"/>
          <w:color w:val="0000FF"/>
          <w:u w:val="single"/>
          <w:lang w:eastAsia="zh-CN"/>
        </w:rPr>
        <w:t>OIRPMGroup@fda.hhs.gov</w:t>
      </w:r>
      <w:r>
        <w:rPr>
          <w:rFonts w:cs="宋体"/>
          <w:lang w:eastAsia="zh-CN"/>
        </w:rPr>
        <w:t>。对于有关本文件与CBER监管器械相关的问题，请致电1-800-835-4709或240-402-8010或发送电邮至</w:t>
      </w:r>
      <w:r>
        <w:rPr>
          <w:rFonts w:cs="宋体"/>
          <w:color w:val="0000FF"/>
          <w:u w:val="single"/>
          <w:lang w:eastAsia="zh-CN"/>
        </w:rPr>
        <w:t>ocod@fda.hhs.gov</w:t>
      </w:r>
      <w:r>
        <w:rPr>
          <w:rFonts w:cs="宋体"/>
          <w:lang w:eastAsia="zh-CN"/>
        </w:rPr>
        <w:t>联系CBER的交流、外联和发展办公室。</w:t>
      </w:r>
    </w:p>
    <w:p w14:paraId="56FD9826">
      <w:pPr>
        <w:spacing w:before="120"/>
        <w:rPr>
          <w:lang w:eastAsia="zh-CN"/>
        </w:rPr>
      </w:pPr>
    </w:p>
    <w:p w14:paraId="59C2DA32">
      <w:pPr>
        <w:spacing w:before="120"/>
        <w:rPr>
          <w:lang w:eastAsia="zh-CN"/>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52"/>
        <w:gridCol w:w="4834"/>
      </w:tblGrid>
      <w:tr w14:paraId="75338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97" w:type="pct"/>
          </w:tcPr>
          <w:p w14:paraId="23399BB0">
            <w:pPr>
              <w:spacing w:before="120"/>
              <w:rPr>
                <w:sz w:val="21"/>
                <w:szCs w:val="21"/>
              </w:rPr>
            </w:pPr>
            <w:r>
              <w:rPr>
                <w:rFonts w:ascii="宋体" w:hAnsi="宋体" w:cs="宋体"/>
                <w:lang w:eastAsia="zh-CN" w:bidi="ar-SA"/>
              </w:rPr>
              <w:drawing>
                <wp:inline distT="0" distB="0" distL="0" distR="0">
                  <wp:extent cx="2533650" cy="5727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2549227" cy="576529"/>
                          </a:xfrm>
                          <a:prstGeom prst="rect">
                            <a:avLst/>
                          </a:prstGeom>
                        </pic:spPr>
                      </pic:pic>
                    </a:graphicData>
                  </a:graphic>
                </wp:inline>
              </w:drawing>
            </w:r>
          </w:p>
        </w:tc>
        <w:tc>
          <w:tcPr>
            <w:tcW w:w="2603" w:type="pct"/>
          </w:tcPr>
          <w:p w14:paraId="74167B83">
            <w:pPr>
              <w:spacing w:before="120"/>
              <w:jc w:val="right"/>
              <w:rPr>
                <w:rFonts w:cs="宋体"/>
                <w:b/>
                <w:sz w:val="21"/>
                <w:lang w:eastAsia="zh-CN"/>
              </w:rPr>
            </w:pPr>
            <w:r>
              <w:rPr>
                <w:rFonts w:cs="宋体"/>
                <w:b/>
                <w:sz w:val="21"/>
                <w:lang w:eastAsia="zh-CN"/>
              </w:rPr>
              <w:t>美国卫生与公众服务部</w:t>
            </w:r>
          </w:p>
          <w:p w14:paraId="1D8D42DC">
            <w:pPr>
              <w:spacing w:before="120"/>
              <w:jc w:val="right"/>
              <w:rPr>
                <w:b/>
                <w:bCs/>
                <w:sz w:val="21"/>
                <w:szCs w:val="21"/>
                <w:lang w:eastAsia="zh-CN"/>
              </w:rPr>
            </w:pPr>
            <w:r>
              <w:rPr>
                <w:rFonts w:cs="宋体"/>
                <w:b/>
                <w:sz w:val="21"/>
                <w:lang w:eastAsia="zh-CN"/>
              </w:rPr>
              <w:t>美国食品药品监督管理局</w:t>
            </w:r>
          </w:p>
          <w:p w14:paraId="4F4AA58C">
            <w:pPr>
              <w:spacing w:before="120"/>
              <w:jc w:val="right"/>
              <w:rPr>
                <w:b/>
                <w:bCs/>
                <w:sz w:val="21"/>
                <w:szCs w:val="21"/>
                <w:lang w:eastAsia="zh-CN"/>
              </w:rPr>
            </w:pPr>
            <w:r>
              <w:rPr>
                <w:rFonts w:hint="eastAsia" w:cs="宋体"/>
                <w:b/>
                <w:sz w:val="21"/>
                <w:lang w:eastAsia="zh-CN"/>
              </w:rPr>
              <w:t>医疗</w:t>
            </w:r>
            <w:r>
              <w:rPr>
                <w:rFonts w:cs="宋体"/>
                <w:b/>
                <w:sz w:val="21"/>
                <w:lang w:eastAsia="zh-CN"/>
              </w:rPr>
              <w:t>器械和</w:t>
            </w:r>
            <w:r>
              <w:rPr>
                <w:rFonts w:hint="eastAsia" w:cs="宋体"/>
                <w:b/>
                <w:sz w:val="21"/>
                <w:lang w:eastAsia="zh-CN"/>
              </w:rPr>
              <w:t>辐射健康</w:t>
            </w:r>
            <w:r>
              <w:rPr>
                <w:rFonts w:cs="宋体"/>
                <w:b/>
                <w:sz w:val="21"/>
                <w:lang w:eastAsia="zh-CN"/>
              </w:rPr>
              <w:t>中心</w:t>
            </w:r>
          </w:p>
          <w:p w14:paraId="7DBDCB77">
            <w:pPr>
              <w:spacing w:before="120"/>
              <w:jc w:val="right"/>
              <w:rPr>
                <w:sz w:val="21"/>
                <w:szCs w:val="21"/>
                <w:lang w:eastAsia="zh-CN"/>
              </w:rPr>
            </w:pPr>
            <w:r>
              <w:rPr>
                <w:rFonts w:cs="宋体"/>
                <w:b/>
                <w:sz w:val="21"/>
                <w:lang w:eastAsia="zh-CN"/>
              </w:rPr>
              <w:t>生物制品评价与研究中心</w:t>
            </w:r>
          </w:p>
        </w:tc>
      </w:tr>
    </w:tbl>
    <w:p w14:paraId="5584C712">
      <w:pPr>
        <w:spacing w:before="120"/>
        <w:rPr>
          <w:lang w:eastAsia="zh-CN"/>
        </w:rPr>
      </w:pPr>
      <w:r>
        <w:rPr>
          <w:rFonts w:cs="宋体"/>
          <w:lang w:eastAsia="zh-CN"/>
        </w:rPr>
        <w:br w:type="page"/>
      </w:r>
    </w:p>
    <w:p w14:paraId="61D5EFA7">
      <w:pPr>
        <w:spacing w:before="120"/>
        <w:jc w:val="center"/>
        <w:rPr>
          <w:b/>
          <w:bCs/>
          <w:sz w:val="44"/>
          <w:szCs w:val="44"/>
        </w:rPr>
      </w:pPr>
      <w:r>
        <w:rPr>
          <w:rFonts w:cs="宋体"/>
          <w:b/>
          <w:sz w:val="44"/>
        </w:rPr>
        <w:t>前言</w:t>
      </w:r>
    </w:p>
    <w:p w14:paraId="6757CC02">
      <w:pPr>
        <w:spacing w:before="120"/>
        <w:rPr>
          <w:b/>
          <w:bCs/>
          <w:sz w:val="32"/>
          <w:szCs w:val="32"/>
        </w:rPr>
      </w:pPr>
      <w:r>
        <w:rPr>
          <w:rFonts w:cs="宋体"/>
          <w:b/>
          <w:sz w:val="32"/>
        </w:rPr>
        <w:t>公众意见</w:t>
      </w:r>
    </w:p>
    <w:p w14:paraId="2E3A499C">
      <w:pPr>
        <w:spacing w:before="120"/>
        <w:rPr>
          <w:lang w:eastAsia="zh-CN"/>
        </w:rPr>
      </w:pPr>
      <w:r>
        <w:rPr>
          <w:rFonts w:cs="宋体"/>
          <w:color w:val="auto"/>
          <w:szCs w:val="22"/>
          <w:lang w:bidi="ar-SA"/>
        </w:rPr>
        <w:t>电子版意见和建议可随时提交至</w:t>
      </w:r>
      <w:r>
        <w:fldChar w:fldCharType="begin"/>
      </w:r>
      <w:r>
        <w:instrText xml:space="preserve"> HYPERLINK "https://www.regulations.gov/" \h </w:instrText>
      </w:r>
      <w:r>
        <w:fldChar w:fldCharType="separate"/>
      </w:r>
      <w:r>
        <w:rPr>
          <w:rFonts w:cs="宋体"/>
          <w:color w:val="0000FF"/>
          <w:u w:val="single" w:color="0000FF"/>
          <w:lang w:bidi="ar-SA"/>
        </w:rPr>
        <w:t>http://www.regulations.gov</w:t>
      </w:r>
      <w:r>
        <w:rPr>
          <w:rFonts w:cs="宋体"/>
          <w:color w:val="0000FF"/>
          <w:u w:val="single" w:color="0000FF"/>
          <w:lang w:bidi="ar-SA"/>
        </w:rPr>
        <w:fldChar w:fldCharType="end"/>
      </w:r>
      <w:r>
        <w:rPr>
          <w:rFonts w:cs="宋体"/>
          <w:color w:val="auto"/>
          <w:szCs w:val="22"/>
          <w:lang w:bidi="ar-SA"/>
        </w:rPr>
        <w:t>，供FDA审议。</w:t>
      </w:r>
      <w:r>
        <w:rPr>
          <w:rFonts w:cs="宋体"/>
          <w:szCs w:val="22"/>
          <w:lang w:bidi="ar-SA"/>
        </w:rPr>
        <w:t>可将书面意见提交至：</w:t>
      </w:r>
      <w:r>
        <w:rPr>
          <w:rFonts w:cs="宋体"/>
          <w:lang w:eastAsia="zh-CN"/>
        </w:rPr>
        <w:t>美国食品药品监督管理局备案文件管理部</w:t>
      </w:r>
      <w:r>
        <w:rPr>
          <w:rFonts w:hint="eastAsia" w:cs="宋体"/>
          <w:lang w:eastAsia="zh-CN"/>
        </w:rPr>
        <w:t>，地址为5630 Fishers Lane, Room 1061, (HFA-305), Rockville, MD 20852。</w:t>
      </w:r>
      <w:r>
        <w:rPr>
          <w:rFonts w:cs="宋体"/>
          <w:lang w:eastAsia="zh-CN"/>
        </w:rPr>
        <w:t>在递交所有意见时，请标注编号FDA-2016-D-1233。</w:t>
      </w:r>
      <w:bookmarkStart w:id="0" w:name="_Hlk97822632"/>
      <w:r>
        <w:rPr>
          <w:rFonts w:hint="eastAsia" w:cs="宋体"/>
          <w:lang w:eastAsia="zh-CN"/>
        </w:rPr>
        <w:t>相关反馈</w:t>
      </w:r>
      <w:r>
        <w:rPr>
          <w:rFonts w:cs="宋体"/>
          <w:lang w:eastAsia="zh-CN"/>
        </w:rPr>
        <w:t>意见</w:t>
      </w:r>
      <w:r>
        <w:rPr>
          <w:rFonts w:hint="eastAsia" w:cs="宋体"/>
          <w:lang w:eastAsia="zh-CN"/>
        </w:rPr>
        <w:t>可能需要到下</w:t>
      </w:r>
      <w:r>
        <w:rPr>
          <w:rFonts w:cs="宋体"/>
          <w:lang w:eastAsia="zh-CN"/>
        </w:rPr>
        <w:t>次修订或更新本文件时</w:t>
      </w:r>
      <w:r>
        <w:rPr>
          <w:rFonts w:hint="eastAsia" w:cs="宋体"/>
          <w:lang w:eastAsia="zh-CN"/>
        </w:rPr>
        <w:t>，方可能被</w:t>
      </w:r>
      <w:r>
        <w:rPr>
          <w:rFonts w:cs="宋体"/>
          <w:lang w:eastAsia="zh-CN"/>
        </w:rPr>
        <w:t>FDA考虑实施。</w:t>
      </w:r>
      <w:bookmarkEnd w:id="0"/>
    </w:p>
    <w:p w14:paraId="0D26BA32">
      <w:pPr>
        <w:spacing w:before="120"/>
        <w:rPr>
          <w:b/>
          <w:bCs/>
          <w:sz w:val="32"/>
          <w:szCs w:val="32"/>
          <w:lang w:eastAsia="zh-CN"/>
        </w:rPr>
      </w:pPr>
      <w:r>
        <w:rPr>
          <w:rFonts w:cs="宋体"/>
          <w:b/>
          <w:sz w:val="32"/>
          <w:lang w:eastAsia="zh-CN"/>
        </w:rPr>
        <w:t>更多副本</w:t>
      </w:r>
    </w:p>
    <w:p w14:paraId="21C1BF72">
      <w:pPr>
        <w:spacing w:before="120"/>
        <w:rPr>
          <w:b/>
          <w:bCs/>
          <w:sz w:val="28"/>
          <w:szCs w:val="28"/>
          <w:lang w:eastAsia="zh-CN"/>
        </w:rPr>
      </w:pPr>
      <w:r>
        <w:rPr>
          <w:b/>
          <w:bCs/>
          <w:sz w:val="28"/>
          <w:szCs w:val="28"/>
          <w:lang w:eastAsia="zh-CN"/>
        </w:rPr>
        <w:t>CDRH</w:t>
      </w:r>
    </w:p>
    <w:p w14:paraId="20DA437F">
      <w:pPr>
        <w:spacing w:before="120"/>
        <w:rPr>
          <w:lang w:eastAsia="zh-CN"/>
        </w:rPr>
      </w:pPr>
      <w:r>
        <w:rPr>
          <w:rFonts w:cs="宋体"/>
          <w:lang w:eastAsia="zh-CN"/>
        </w:rPr>
        <w:t>更多副本可通过互联网获得。您也可向</w:t>
      </w:r>
      <w:r>
        <w:rPr>
          <w:rFonts w:cs="宋体"/>
          <w:color w:val="0000FF"/>
          <w:u w:val="single"/>
          <w:lang w:eastAsia="zh-CN"/>
        </w:rPr>
        <w:t>CDRH-Guidance@fda.hhs.gov</w:t>
      </w:r>
      <w:r>
        <w:rPr>
          <w:rFonts w:cs="宋体"/>
          <w:lang w:eastAsia="zh-CN"/>
        </w:rPr>
        <w:t>发送电子邮件，以申请获取本指南的电子副本。请使用文件编号（16008），注明您所要求获取的指南。</w:t>
      </w:r>
    </w:p>
    <w:p w14:paraId="705C12C2">
      <w:pPr>
        <w:spacing w:before="120"/>
        <w:rPr>
          <w:b/>
          <w:bCs/>
          <w:sz w:val="28"/>
          <w:szCs w:val="28"/>
        </w:rPr>
      </w:pPr>
      <w:r>
        <w:rPr>
          <w:b/>
          <w:bCs/>
          <w:sz w:val="28"/>
          <w:szCs w:val="28"/>
        </w:rPr>
        <w:t>CBER</w:t>
      </w:r>
    </w:p>
    <w:p w14:paraId="1748A273">
      <w:pPr>
        <w:spacing w:before="120"/>
      </w:pPr>
      <w:r>
        <w:rPr>
          <w:rFonts w:cs="宋体"/>
        </w:rPr>
        <w:t>您可从如下地址获得本指南的副本：生物制品评价与研究中心（CBER），交流、外联和发展办公室（OCOD），地址为10903 New Hampshire Ave., Bldg. 71, Room 3128, Silver Spring, MD 20993-0002，或致电1-800-835-4709或240-402-8010，发电子邮件至</w:t>
      </w:r>
      <w:r>
        <w:rPr>
          <w:rFonts w:cs="宋体"/>
          <w:color w:val="0000FF"/>
          <w:u w:val="single"/>
        </w:rPr>
        <w:t>ocod@fda.hhs.gov</w:t>
      </w:r>
      <w:r>
        <w:rPr>
          <w:rFonts w:cs="宋体"/>
        </w:rPr>
        <w:t>，或登录网址</w:t>
      </w:r>
      <w:r>
        <w:rPr>
          <w:rFonts w:cs="宋体"/>
          <w:color w:val="0000FF"/>
          <w:u w:val="single"/>
        </w:rPr>
        <w:t>http://www.fda.gov/BiologicsBloodVaccines/</w:t>
      </w:r>
      <w:r>
        <w:rPr>
          <w:rFonts w:hint="eastAsia" w:cs="宋体"/>
          <w:color w:val="0000FF"/>
          <w:u w:val="single"/>
          <w:lang w:eastAsia="zh-CN"/>
        </w:rPr>
        <w:t xml:space="preserve"> </w:t>
      </w:r>
      <w:r>
        <w:rPr>
          <w:rFonts w:cs="宋体"/>
          <w:color w:val="0000FF"/>
          <w:u w:val="single"/>
        </w:rPr>
        <w:t>GuidanceComplianceRegulatoryInformation/Guidances/default.htm</w:t>
      </w:r>
      <w:r>
        <w:rPr>
          <w:rFonts w:cs="宋体"/>
        </w:rPr>
        <w:t>。</w:t>
      </w:r>
    </w:p>
    <w:p w14:paraId="588CE6EC">
      <w:pPr>
        <w:spacing w:before="120"/>
      </w:pPr>
      <w:r>
        <w:rPr>
          <w:rFonts w:cs="宋体"/>
        </w:rPr>
        <w:br w:type="page"/>
      </w:r>
    </w:p>
    <w:p w14:paraId="3083E113">
      <w:pPr>
        <w:spacing w:before="120"/>
        <w:jc w:val="center"/>
        <w:rPr>
          <w:b/>
          <w:bCs/>
          <w:sz w:val="32"/>
          <w:szCs w:val="32"/>
        </w:rPr>
      </w:pPr>
      <w:r>
        <w:rPr>
          <w:rFonts w:cs="宋体"/>
          <w:b/>
          <w:sz w:val="32"/>
        </w:rPr>
        <w:t>目录</w:t>
      </w:r>
    </w:p>
    <w:p w14:paraId="4E5E5A9C">
      <w:pPr>
        <w:pStyle w:val="6"/>
        <w:tabs>
          <w:tab w:val="left" w:pos="420"/>
          <w:tab w:val="right" w:leader="dot" w:pos="9060"/>
        </w:tabs>
        <w:spacing w:before="120"/>
        <w:rPr>
          <w:rFonts w:asciiTheme="minorHAnsi" w:hAnsiTheme="minorHAnsi" w:eastAsiaTheme="minorEastAsia" w:cstheme="minorBidi"/>
          <w:color w:val="auto"/>
          <w:kern w:val="2"/>
          <w:sz w:val="21"/>
          <w:szCs w:val="22"/>
          <w:lang w:eastAsia="zh-CN" w:bidi="ar-SA"/>
        </w:rPr>
      </w:pPr>
      <w:bookmarkStart w:id="1" w:name="bookmark5"/>
      <w:bookmarkEnd w:id="1"/>
      <w:r>
        <w:rPr>
          <w:rFonts w:cs="Times New Roman"/>
          <w:color w:val="auto"/>
          <w:kern w:val="2"/>
          <w:sz w:val="21"/>
          <w:szCs w:val="21"/>
          <w:lang w:eastAsia="zh-CN" w:bidi="ar-SA"/>
        </w:rPr>
        <w:fldChar w:fldCharType="begin"/>
      </w:r>
      <w:r>
        <w:rPr>
          <w:rFonts w:cs="Times New Roman"/>
          <w:color w:val="auto"/>
          <w:kern w:val="2"/>
          <w:sz w:val="21"/>
          <w:szCs w:val="21"/>
          <w:lang w:eastAsia="zh-CN" w:bidi="ar-SA"/>
        </w:rPr>
        <w:instrText xml:space="preserve"> TOC \o "1-3" \h \z \u </w:instrText>
      </w:r>
      <w:r>
        <w:rPr>
          <w:rFonts w:cs="Times New Roman"/>
          <w:color w:val="auto"/>
          <w:kern w:val="2"/>
          <w:sz w:val="21"/>
          <w:szCs w:val="21"/>
          <w:lang w:eastAsia="zh-CN" w:bidi="ar-SA"/>
        </w:rPr>
        <w:fldChar w:fldCharType="separate"/>
      </w:r>
      <w:r>
        <w:fldChar w:fldCharType="begin"/>
      </w:r>
      <w:r>
        <w:instrText xml:space="preserve"> HYPERLINK \l "_Toc91756199" </w:instrText>
      </w:r>
      <w:r>
        <w:fldChar w:fldCharType="separate"/>
      </w:r>
      <w:r>
        <w:rPr>
          <w:rStyle w:val="11"/>
          <w:b/>
          <w:bCs/>
        </w:rPr>
        <w:t>I.</w:t>
      </w:r>
      <w:r>
        <w:rPr>
          <w:rFonts w:asciiTheme="minorHAnsi" w:hAnsiTheme="minorHAnsi" w:eastAsiaTheme="minorEastAsia" w:cstheme="minorBidi"/>
          <w:color w:val="auto"/>
          <w:kern w:val="2"/>
          <w:sz w:val="21"/>
          <w:szCs w:val="22"/>
          <w:lang w:eastAsia="zh-CN" w:bidi="ar-SA"/>
        </w:rPr>
        <w:tab/>
      </w:r>
      <w:r>
        <w:rPr>
          <w:rStyle w:val="11"/>
          <w:rFonts w:cs="宋体"/>
          <w:b/>
        </w:rPr>
        <w:t>引言</w:t>
      </w:r>
      <w:r>
        <w:tab/>
      </w:r>
      <w:r>
        <w:fldChar w:fldCharType="begin"/>
      </w:r>
      <w:r>
        <w:instrText xml:space="preserve"> PAGEREF _Toc91756199 \h </w:instrText>
      </w:r>
      <w:r>
        <w:fldChar w:fldCharType="separate"/>
      </w:r>
      <w:r>
        <w:t>4</w:t>
      </w:r>
      <w:r>
        <w:fldChar w:fldCharType="end"/>
      </w:r>
      <w:r>
        <w:fldChar w:fldCharType="end"/>
      </w:r>
    </w:p>
    <w:p w14:paraId="14C7022B">
      <w:pPr>
        <w:pStyle w:val="6"/>
        <w:tabs>
          <w:tab w:val="left" w:pos="840"/>
          <w:tab w:val="right" w:leader="dot" w:pos="9060"/>
        </w:tabs>
        <w:spacing w:before="120"/>
        <w:rPr>
          <w:rFonts w:asciiTheme="minorHAnsi" w:hAnsiTheme="minorHAnsi" w:eastAsiaTheme="minorEastAsia" w:cstheme="minorBidi"/>
          <w:color w:val="auto"/>
          <w:kern w:val="2"/>
          <w:sz w:val="21"/>
          <w:szCs w:val="22"/>
          <w:lang w:eastAsia="zh-CN" w:bidi="ar-SA"/>
        </w:rPr>
      </w:pPr>
      <w:r>
        <w:fldChar w:fldCharType="begin"/>
      </w:r>
      <w:r>
        <w:instrText xml:space="preserve"> HYPERLINK \l "_Toc91756200" </w:instrText>
      </w:r>
      <w:r>
        <w:fldChar w:fldCharType="separate"/>
      </w:r>
      <w:r>
        <w:rPr>
          <w:rStyle w:val="11"/>
          <w:b/>
          <w:bCs/>
        </w:rPr>
        <w:t>II.</w:t>
      </w:r>
      <w:r>
        <w:rPr>
          <w:rFonts w:asciiTheme="minorHAnsi" w:hAnsiTheme="minorHAnsi" w:eastAsiaTheme="minorEastAsia" w:cstheme="minorBidi"/>
          <w:color w:val="auto"/>
          <w:kern w:val="2"/>
          <w:sz w:val="21"/>
          <w:szCs w:val="22"/>
          <w:lang w:eastAsia="zh-CN" w:bidi="ar-SA"/>
        </w:rPr>
        <w:tab/>
      </w:r>
      <w:r>
        <w:rPr>
          <w:rStyle w:val="11"/>
          <w:rFonts w:cs="宋体"/>
          <w:b/>
        </w:rPr>
        <w:t>背景</w:t>
      </w:r>
      <w:r>
        <w:tab/>
      </w:r>
      <w:r>
        <w:fldChar w:fldCharType="begin"/>
      </w:r>
      <w:r>
        <w:instrText xml:space="preserve"> PAGEREF _Toc91756200 \h </w:instrText>
      </w:r>
      <w:r>
        <w:fldChar w:fldCharType="separate"/>
      </w:r>
      <w:r>
        <w:t>4</w:t>
      </w:r>
      <w:r>
        <w:fldChar w:fldCharType="end"/>
      </w:r>
      <w:r>
        <w:fldChar w:fldCharType="end"/>
      </w:r>
    </w:p>
    <w:p w14:paraId="31AAE9E3">
      <w:pPr>
        <w:pStyle w:val="6"/>
        <w:tabs>
          <w:tab w:val="left" w:pos="840"/>
          <w:tab w:val="right" w:leader="dot" w:pos="9060"/>
        </w:tabs>
        <w:spacing w:before="120"/>
        <w:rPr>
          <w:rFonts w:asciiTheme="minorHAnsi" w:hAnsiTheme="minorHAnsi" w:eastAsiaTheme="minorEastAsia" w:cstheme="minorBidi"/>
          <w:color w:val="auto"/>
          <w:kern w:val="2"/>
          <w:sz w:val="21"/>
          <w:szCs w:val="22"/>
          <w:lang w:eastAsia="zh-CN" w:bidi="ar-SA"/>
        </w:rPr>
      </w:pPr>
      <w:r>
        <w:fldChar w:fldCharType="begin"/>
      </w:r>
      <w:r>
        <w:instrText xml:space="preserve"> HYPERLINK \l "_Toc91756201" </w:instrText>
      </w:r>
      <w:r>
        <w:fldChar w:fldCharType="separate"/>
      </w:r>
      <w:r>
        <w:rPr>
          <w:rStyle w:val="11"/>
          <w:b/>
          <w:bCs/>
        </w:rPr>
        <w:t>III.</w:t>
      </w:r>
      <w:r>
        <w:rPr>
          <w:rFonts w:asciiTheme="minorHAnsi" w:hAnsiTheme="minorHAnsi" w:eastAsiaTheme="minorEastAsia" w:cstheme="minorBidi"/>
          <w:color w:val="auto"/>
          <w:kern w:val="2"/>
          <w:sz w:val="21"/>
          <w:szCs w:val="22"/>
          <w:lang w:eastAsia="zh-CN" w:bidi="ar-SA"/>
        </w:rPr>
        <w:tab/>
      </w:r>
      <w:r>
        <w:rPr>
          <w:rStyle w:val="11"/>
          <w:rFonts w:cs="宋体"/>
          <w:b/>
        </w:rPr>
        <w:t>范围</w:t>
      </w:r>
      <w:r>
        <w:tab/>
      </w:r>
      <w:r>
        <w:fldChar w:fldCharType="begin"/>
      </w:r>
      <w:r>
        <w:instrText xml:space="preserve"> PAGEREF _Toc91756201 \h </w:instrText>
      </w:r>
      <w:r>
        <w:fldChar w:fldCharType="separate"/>
      </w:r>
      <w:r>
        <w:t>7</w:t>
      </w:r>
      <w:r>
        <w:fldChar w:fldCharType="end"/>
      </w:r>
      <w:r>
        <w:fldChar w:fldCharType="end"/>
      </w:r>
    </w:p>
    <w:p w14:paraId="04DB8123">
      <w:pPr>
        <w:pStyle w:val="6"/>
        <w:tabs>
          <w:tab w:val="left" w:pos="840"/>
          <w:tab w:val="right" w:leader="dot" w:pos="9060"/>
        </w:tabs>
        <w:spacing w:before="120"/>
        <w:rPr>
          <w:rFonts w:asciiTheme="minorHAnsi" w:hAnsiTheme="minorHAnsi" w:eastAsiaTheme="minorEastAsia" w:cstheme="minorBidi"/>
          <w:color w:val="auto"/>
          <w:kern w:val="2"/>
          <w:sz w:val="21"/>
          <w:szCs w:val="22"/>
          <w:lang w:eastAsia="zh-CN" w:bidi="ar-SA"/>
        </w:rPr>
      </w:pPr>
      <w:r>
        <w:fldChar w:fldCharType="begin"/>
      </w:r>
      <w:r>
        <w:instrText xml:space="preserve"> HYPERLINK \l "_Toc91756202" </w:instrText>
      </w:r>
      <w:r>
        <w:fldChar w:fldCharType="separate"/>
      </w:r>
      <w:r>
        <w:rPr>
          <w:rStyle w:val="11"/>
          <w:b/>
          <w:bCs/>
        </w:rPr>
        <w:t>IV.</w:t>
      </w:r>
      <w:r>
        <w:rPr>
          <w:rFonts w:asciiTheme="minorHAnsi" w:hAnsiTheme="minorHAnsi" w:eastAsiaTheme="minorEastAsia" w:cstheme="minorBidi"/>
          <w:color w:val="auto"/>
          <w:kern w:val="2"/>
          <w:sz w:val="21"/>
          <w:szCs w:val="22"/>
          <w:lang w:eastAsia="zh-CN" w:bidi="ar-SA"/>
        </w:rPr>
        <w:tab/>
      </w:r>
      <w:r>
        <w:rPr>
          <w:rStyle w:val="11"/>
          <w:rFonts w:cs="宋体"/>
          <w:b/>
        </w:rPr>
        <w:t>定义</w:t>
      </w:r>
      <w:r>
        <w:tab/>
      </w:r>
      <w:r>
        <w:fldChar w:fldCharType="begin"/>
      </w:r>
      <w:r>
        <w:instrText xml:space="preserve"> PAGEREF _Toc91756202 \h </w:instrText>
      </w:r>
      <w:r>
        <w:fldChar w:fldCharType="separate"/>
      </w:r>
      <w:r>
        <w:t>7</w:t>
      </w:r>
      <w:r>
        <w:fldChar w:fldCharType="end"/>
      </w:r>
      <w:r>
        <w:fldChar w:fldCharType="end"/>
      </w:r>
    </w:p>
    <w:p w14:paraId="73F5BCC1">
      <w:pPr>
        <w:pStyle w:val="6"/>
        <w:tabs>
          <w:tab w:val="left" w:pos="840"/>
          <w:tab w:val="right" w:leader="dot" w:pos="9060"/>
        </w:tabs>
        <w:spacing w:before="120"/>
        <w:rPr>
          <w:rFonts w:asciiTheme="minorHAnsi" w:hAnsiTheme="minorHAnsi" w:eastAsiaTheme="minorEastAsia" w:cstheme="minorBidi"/>
          <w:color w:val="auto"/>
          <w:kern w:val="2"/>
          <w:sz w:val="21"/>
          <w:szCs w:val="22"/>
          <w:lang w:eastAsia="zh-CN" w:bidi="ar-SA"/>
        </w:rPr>
      </w:pPr>
      <w:r>
        <w:fldChar w:fldCharType="begin"/>
      </w:r>
      <w:r>
        <w:instrText xml:space="preserve"> HYPERLINK \l "_Toc91756203" </w:instrText>
      </w:r>
      <w:r>
        <w:fldChar w:fldCharType="separate"/>
      </w:r>
      <w:r>
        <w:rPr>
          <w:rStyle w:val="11"/>
          <w:b/>
          <w:bCs/>
          <w:lang w:eastAsia="zh-CN"/>
        </w:rPr>
        <w:t>V.</w:t>
      </w:r>
      <w:r>
        <w:rPr>
          <w:rFonts w:asciiTheme="minorHAnsi" w:hAnsiTheme="minorHAnsi" w:eastAsiaTheme="minorEastAsia" w:cstheme="minorBidi"/>
          <w:color w:val="auto"/>
          <w:kern w:val="2"/>
          <w:sz w:val="21"/>
          <w:szCs w:val="22"/>
          <w:lang w:eastAsia="zh-CN" w:bidi="ar-SA"/>
        </w:rPr>
        <w:tab/>
      </w:r>
      <w:r>
        <w:rPr>
          <w:rStyle w:val="11"/>
          <w:rFonts w:cs="宋体"/>
          <w:b/>
          <w:lang w:eastAsia="zh-CN"/>
        </w:rPr>
        <w:t>建议支持认可可公开访问的人类遗传变异数据库作为支持基于遗传和基因组的</w:t>
      </w:r>
      <w:r>
        <w:rPr>
          <w:rStyle w:val="11"/>
          <w:rFonts w:hint="eastAsia" w:cs="宋体"/>
          <w:b/>
          <w:lang w:eastAsia="zh-CN"/>
        </w:rPr>
        <w:t>检测</w:t>
      </w:r>
      <w:r>
        <w:rPr>
          <w:rStyle w:val="11"/>
          <w:rFonts w:cs="宋体"/>
          <w:b/>
          <w:lang w:eastAsia="zh-CN"/>
        </w:rPr>
        <w:t>的临床有效性的有效科学证据来源</w:t>
      </w:r>
      <w:r>
        <w:tab/>
      </w:r>
      <w:r>
        <w:fldChar w:fldCharType="begin"/>
      </w:r>
      <w:r>
        <w:instrText xml:space="preserve"> PAGEREF _Toc91756203 \h </w:instrText>
      </w:r>
      <w:r>
        <w:fldChar w:fldCharType="separate"/>
      </w:r>
      <w:r>
        <w:t>8</w:t>
      </w:r>
      <w:r>
        <w:fldChar w:fldCharType="end"/>
      </w:r>
      <w:r>
        <w:fldChar w:fldCharType="end"/>
      </w:r>
    </w:p>
    <w:p w14:paraId="35573C4A">
      <w:pPr>
        <w:pStyle w:val="7"/>
        <w:tabs>
          <w:tab w:val="left" w:pos="1050"/>
          <w:tab w:val="right" w:leader="dot" w:pos="9060"/>
        </w:tabs>
        <w:spacing w:before="120"/>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"_Toc91756204" </w:instrText>
      </w:r>
      <w:r>
        <w:fldChar w:fldCharType="separate"/>
      </w:r>
      <w:r>
        <w:rPr>
          <w:rStyle w:val="11"/>
          <w:b/>
          <w:bCs/>
        </w:rPr>
        <w:t>A.</w:t>
      </w:r>
      <w:r>
        <w:rPr>
          <w:rFonts w:asciiTheme="minorHAnsi" w:hAnsiTheme="minorHAnsi" w:eastAsiaTheme="minorEastAsia" w:cstheme="minorBidi"/>
          <w:color w:val="auto"/>
          <w:kern w:val="2"/>
          <w:sz w:val="21"/>
          <w:szCs w:val="22"/>
          <w:lang w:eastAsia="zh-CN" w:bidi="ar-SA"/>
        </w:rPr>
        <w:tab/>
      </w:r>
      <w:r>
        <w:rPr>
          <w:rStyle w:val="11"/>
          <w:rFonts w:cs="宋体"/>
          <w:b/>
        </w:rPr>
        <w:t>数据库程序和</w:t>
      </w:r>
      <w:r>
        <w:rPr>
          <w:rStyle w:val="11"/>
          <w:rFonts w:hint="eastAsia" w:cs="宋体"/>
          <w:b/>
          <w:lang w:eastAsia="zh-CN"/>
        </w:rPr>
        <w:t>使用</w:t>
      </w:r>
      <w:r>
        <w:tab/>
      </w:r>
      <w:r>
        <w:fldChar w:fldCharType="begin"/>
      </w:r>
      <w:r>
        <w:instrText xml:space="preserve"> PAGEREF _Toc91756204 \h </w:instrText>
      </w:r>
      <w:r>
        <w:fldChar w:fldCharType="separate"/>
      </w:r>
      <w:r>
        <w:t>9</w:t>
      </w:r>
      <w:r>
        <w:fldChar w:fldCharType="end"/>
      </w:r>
      <w:r>
        <w:fldChar w:fldCharType="end"/>
      </w:r>
    </w:p>
    <w:p w14:paraId="6EB0A63E">
      <w:pPr>
        <w:pStyle w:val="7"/>
        <w:tabs>
          <w:tab w:val="left" w:pos="1050"/>
          <w:tab w:val="right" w:leader="dot" w:pos="9060"/>
        </w:tabs>
        <w:spacing w:before="120"/>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"_Toc91756205" </w:instrText>
      </w:r>
      <w:r>
        <w:fldChar w:fldCharType="separate"/>
      </w:r>
      <w:r>
        <w:rPr>
          <w:rStyle w:val="11"/>
          <w:b/>
          <w:bCs/>
        </w:rPr>
        <w:t>B.</w:t>
      </w:r>
      <w:r>
        <w:rPr>
          <w:rFonts w:asciiTheme="minorHAnsi" w:hAnsiTheme="minorHAnsi" w:eastAsiaTheme="minorEastAsia" w:cstheme="minorBidi"/>
          <w:color w:val="auto"/>
          <w:kern w:val="2"/>
          <w:sz w:val="21"/>
          <w:szCs w:val="22"/>
          <w:lang w:eastAsia="zh-CN" w:bidi="ar-SA"/>
        </w:rPr>
        <w:tab/>
      </w:r>
      <w:r>
        <w:rPr>
          <w:rStyle w:val="11"/>
          <w:rFonts w:cs="宋体"/>
          <w:b/>
        </w:rPr>
        <w:t>数据质量</w:t>
      </w:r>
      <w:r>
        <w:tab/>
      </w:r>
      <w:r>
        <w:fldChar w:fldCharType="begin"/>
      </w:r>
      <w:r>
        <w:instrText xml:space="preserve"> PAGEREF _Toc91756205 \h </w:instrText>
      </w:r>
      <w:r>
        <w:fldChar w:fldCharType="separate"/>
      </w:r>
      <w:r>
        <w:t>10</w:t>
      </w:r>
      <w:r>
        <w:fldChar w:fldCharType="end"/>
      </w:r>
      <w:r>
        <w:fldChar w:fldCharType="end"/>
      </w:r>
    </w:p>
    <w:p w14:paraId="09E67DAE">
      <w:pPr>
        <w:pStyle w:val="7"/>
        <w:tabs>
          <w:tab w:val="left" w:pos="1050"/>
          <w:tab w:val="right" w:leader="dot" w:pos="9060"/>
        </w:tabs>
        <w:spacing w:before="120"/>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"_Toc91756206" </w:instrText>
      </w:r>
      <w:r>
        <w:fldChar w:fldCharType="separate"/>
      </w:r>
      <w:r>
        <w:rPr>
          <w:rStyle w:val="11"/>
          <w:b/>
          <w:bCs/>
        </w:rPr>
        <w:t>C.</w:t>
      </w:r>
      <w:r>
        <w:rPr>
          <w:rFonts w:asciiTheme="minorHAnsi" w:hAnsiTheme="minorHAnsi" w:eastAsiaTheme="minorEastAsia" w:cstheme="minorBidi"/>
          <w:color w:val="auto"/>
          <w:kern w:val="2"/>
          <w:sz w:val="21"/>
          <w:szCs w:val="22"/>
          <w:lang w:eastAsia="zh-CN" w:bidi="ar-SA"/>
        </w:rPr>
        <w:tab/>
      </w:r>
      <w:r>
        <w:rPr>
          <w:rStyle w:val="11"/>
          <w:rFonts w:cs="宋体"/>
          <w:b/>
        </w:rPr>
        <w:t>变异评价和论断</w:t>
      </w:r>
      <w:r>
        <w:tab/>
      </w:r>
      <w:r>
        <w:fldChar w:fldCharType="begin"/>
      </w:r>
      <w:r>
        <w:instrText xml:space="preserve"> PAGEREF _Toc91756206 \h </w:instrText>
      </w:r>
      <w:r>
        <w:fldChar w:fldCharType="separate"/>
      </w:r>
      <w:r>
        <w:t>10</w:t>
      </w:r>
      <w:r>
        <w:fldChar w:fldCharType="end"/>
      </w:r>
      <w:r>
        <w:fldChar w:fldCharType="end"/>
      </w:r>
    </w:p>
    <w:p w14:paraId="6A703814">
      <w:pPr>
        <w:pStyle w:val="7"/>
        <w:tabs>
          <w:tab w:val="left" w:pos="1050"/>
          <w:tab w:val="right" w:leader="dot" w:pos="9060"/>
        </w:tabs>
        <w:spacing w:before="120"/>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"_Toc91756207" </w:instrText>
      </w:r>
      <w:r>
        <w:fldChar w:fldCharType="separate"/>
      </w:r>
      <w:r>
        <w:rPr>
          <w:rStyle w:val="11"/>
          <w:b/>
          <w:bCs/>
        </w:rPr>
        <w:t>D.</w:t>
      </w:r>
      <w:r>
        <w:rPr>
          <w:rFonts w:asciiTheme="minorHAnsi" w:hAnsiTheme="minorHAnsi" w:eastAsiaTheme="minorEastAsia" w:cstheme="minorBidi"/>
          <w:color w:val="auto"/>
          <w:kern w:val="2"/>
          <w:sz w:val="21"/>
          <w:szCs w:val="22"/>
          <w:lang w:eastAsia="zh-CN" w:bidi="ar-SA"/>
        </w:rPr>
        <w:tab/>
      </w:r>
      <w:r>
        <w:rPr>
          <w:rStyle w:val="11"/>
          <w:rFonts w:cs="宋体"/>
          <w:b/>
        </w:rPr>
        <w:t>专业培训和利益冲突</w:t>
      </w:r>
      <w:r>
        <w:tab/>
      </w:r>
      <w:r>
        <w:fldChar w:fldCharType="begin"/>
      </w:r>
      <w:r>
        <w:instrText xml:space="preserve"> PAGEREF _Toc91756207 \h </w:instrText>
      </w:r>
      <w:r>
        <w:fldChar w:fldCharType="separate"/>
      </w:r>
      <w:r>
        <w:t>12</w:t>
      </w:r>
      <w:r>
        <w:fldChar w:fldCharType="end"/>
      </w:r>
      <w:r>
        <w:fldChar w:fldCharType="end"/>
      </w:r>
    </w:p>
    <w:p w14:paraId="6E24361F">
      <w:pPr>
        <w:pStyle w:val="6"/>
        <w:tabs>
          <w:tab w:val="left" w:pos="840"/>
          <w:tab w:val="right" w:leader="dot" w:pos="9060"/>
        </w:tabs>
        <w:spacing w:before="120"/>
        <w:rPr>
          <w:rFonts w:asciiTheme="minorHAnsi" w:hAnsiTheme="minorHAnsi" w:eastAsiaTheme="minorEastAsia" w:cstheme="minorBidi"/>
          <w:color w:val="auto"/>
          <w:kern w:val="2"/>
          <w:sz w:val="21"/>
          <w:szCs w:val="22"/>
          <w:lang w:eastAsia="zh-CN" w:bidi="ar-SA"/>
        </w:rPr>
      </w:pPr>
      <w:r>
        <w:fldChar w:fldCharType="begin"/>
      </w:r>
      <w:r>
        <w:instrText xml:space="preserve"> HYPERLINK \l "_Toc91756208" </w:instrText>
      </w:r>
      <w:r>
        <w:fldChar w:fldCharType="separate"/>
      </w:r>
      <w:r>
        <w:rPr>
          <w:rStyle w:val="11"/>
          <w:b/>
          <w:bCs/>
          <w:lang w:eastAsia="zh-CN"/>
        </w:rPr>
        <w:t>VI.</w:t>
      </w:r>
      <w:r>
        <w:rPr>
          <w:rFonts w:asciiTheme="minorHAnsi" w:hAnsiTheme="minorHAnsi" w:eastAsiaTheme="minorEastAsia" w:cstheme="minorBidi"/>
          <w:color w:val="auto"/>
          <w:kern w:val="2"/>
          <w:sz w:val="21"/>
          <w:szCs w:val="22"/>
          <w:lang w:eastAsia="zh-CN" w:bidi="ar-SA"/>
        </w:rPr>
        <w:tab/>
      </w:r>
      <w:r>
        <w:rPr>
          <w:rStyle w:val="11"/>
          <w:rFonts w:cs="宋体"/>
          <w:b/>
          <w:lang w:eastAsia="zh-CN"/>
        </w:rPr>
        <w:t>FDA的遗传变异数据库认可过程</w:t>
      </w:r>
      <w:r>
        <w:tab/>
      </w:r>
      <w:r>
        <w:fldChar w:fldCharType="begin"/>
      </w:r>
      <w:r>
        <w:instrText xml:space="preserve"> PAGEREF _Toc91756208 \h </w:instrText>
      </w:r>
      <w:r>
        <w:fldChar w:fldCharType="separate"/>
      </w:r>
      <w:r>
        <w:t>12</w:t>
      </w:r>
      <w:r>
        <w:fldChar w:fldCharType="end"/>
      </w:r>
      <w:r>
        <w:fldChar w:fldCharType="end"/>
      </w:r>
    </w:p>
    <w:p w14:paraId="7E3D41D0">
      <w:pPr>
        <w:pStyle w:val="7"/>
        <w:tabs>
          <w:tab w:val="left" w:pos="1050"/>
          <w:tab w:val="right" w:leader="dot" w:pos="9060"/>
        </w:tabs>
        <w:spacing w:before="120"/>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"_Toc91756209" </w:instrText>
      </w:r>
      <w:r>
        <w:fldChar w:fldCharType="separate"/>
      </w:r>
      <w:r>
        <w:rPr>
          <w:rStyle w:val="11"/>
          <w:b/>
          <w:bCs/>
          <w:lang w:eastAsia="zh-CN"/>
        </w:rPr>
        <w:t>A.</w:t>
      </w:r>
      <w:r>
        <w:rPr>
          <w:rFonts w:asciiTheme="minorHAnsi" w:hAnsiTheme="minorHAnsi" w:eastAsiaTheme="minorEastAsia" w:cstheme="minorBidi"/>
          <w:color w:val="auto"/>
          <w:kern w:val="2"/>
          <w:sz w:val="21"/>
          <w:szCs w:val="22"/>
          <w:lang w:eastAsia="zh-CN" w:bidi="ar-SA"/>
        </w:rPr>
        <w:tab/>
      </w:r>
      <w:r>
        <w:rPr>
          <w:rStyle w:val="11"/>
          <w:rFonts w:cs="宋体"/>
          <w:b/>
          <w:lang w:eastAsia="zh-CN"/>
        </w:rPr>
        <w:t>遗传变异数据库的认可过程</w:t>
      </w:r>
      <w:r>
        <w:tab/>
      </w:r>
      <w:r>
        <w:fldChar w:fldCharType="begin"/>
      </w:r>
      <w:r>
        <w:instrText xml:space="preserve"> PAGEREF _Toc91756209 \h </w:instrText>
      </w:r>
      <w:r>
        <w:fldChar w:fldCharType="separate"/>
      </w:r>
      <w:r>
        <w:t>13</w:t>
      </w:r>
      <w:r>
        <w:fldChar w:fldCharType="end"/>
      </w:r>
      <w:r>
        <w:fldChar w:fldCharType="end"/>
      </w:r>
    </w:p>
    <w:p w14:paraId="0F12C0D3">
      <w:pPr>
        <w:pStyle w:val="2"/>
        <w:tabs>
          <w:tab w:val="left" w:pos="1260"/>
          <w:tab w:val="right" w:leader="dot" w:pos="9060"/>
        </w:tabs>
        <w:spacing w:before="120"/>
        <w:ind w:left="960"/>
        <w:rPr>
          <w:rFonts w:asciiTheme="minorHAnsi" w:hAnsiTheme="minorHAnsi" w:eastAsiaTheme="minorEastAsia" w:cstheme="minorBidi"/>
          <w:color w:val="auto"/>
          <w:kern w:val="2"/>
          <w:sz w:val="21"/>
          <w:szCs w:val="22"/>
          <w:lang w:eastAsia="zh-CN" w:bidi="ar-SA"/>
        </w:rPr>
      </w:pPr>
      <w:r>
        <w:fldChar w:fldCharType="begin"/>
      </w:r>
      <w:r>
        <w:instrText xml:space="preserve"> HYPERLINK \l "_Toc91756210" </w:instrText>
      </w:r>
      <w:r>
        <w:fldChar w:fldCharType="separate"/>
      </w:r>
      <w:r>
        <w:rPr>
          <w:rStyle w:val="11"/>
          <w:b/>
          <w:bCs/>
        </w:rPr>
        <w:t>1.</w:t>
      </w:r>
      <w:r>
        <w:rPr>
          <w:rFonts w:asciiTheme="minorHAnsi" w:hAnsiTheme="minorHAnsi" w:eastAsiaTheme="minorEastAsia" w:cstheme="minorBidi"/>
          <w:color w:val="auto"/>
          <w:kern w:val="2"/>
          <w:sz w:val="21"/>
          <w:szCs w:val="22"/>
          <w:lang w:eastAsia="zh-CN" w:bidi="ar-SA"/>
        </w:rPr>
        <w:tab/>
      </w:r>
      <w:r>
        <w:rPr>
          <w:rStyle w:val="11"/>
          <w:rFonts w:cs="宋体"/>
          <w:b/>
        </w:rPr>
        <w:t>认可申请</w:t>
      </w:r>
      <w:r>
        <w:tab/>
      </w:r>
      <w:r>
        <w:fldChar w:fldCharType="begin"/>
      </w:r>
      <w:r>
        <w:instrText xml:space="preserve"> PAGEREF _Toc91756210 \h </w:instrText>
      </w:r>
      <w:r>
        <w:fldChar w:fldCharType="separate"/>
      </w:r>
      <w:r>
        <w:t>13</w:t>
      </w:r>
      <w:r>
        <w:fldChar w:fldCharType="end"/>
      </w:r>
      <w:r>
        <w:fldChar w:fldCharType="end"/>
      </w:r>
    </w:p>
    <w:p w14:paraId="5D7C26A8">
      <w:pPr>
        <w:pStyle w:val="2"/>
        <w:tabs>
          <w:tab w:val="left" w:pos="1260"/>
          <w:tab w:val="right" w:leader="dot" w:pos="9060"/>
        </w:tabs>
        <w:spacing w:before="120"/>
        <w:ind w:left="960"/>
        <w:rPr>
          <w:rFonts w:asciiTheme="minorHAnsi" w:hAnsiTheme="minorHAnsi" w:eastAsiaTheme="minorEastAsia" w:cstheme="minorBidi"/>
          <w:color w:val="auto"/>
          <w:kern w:val="2"/>
          <w:sz w:val="21"/>
          <w:szCs w:val="22"/>
          <w:lang w:eastAsia="zh-CN" w:bidi="ar-SA"/>
        </w:rPr>
      </w:pPr>
      <w:r>
        <w:fldChar w:fldCharType="begin"/>
      </w:r>
      <w:r>
        <w:instrText xml:space="preserve"> HYPERLINK \l "_Toc91756211" </w:instrText>
      </w:r>
      <w:r>
        <w:fldChar w:fldCharType="separate"/>
      </w:r>
      <w:r>
        <w:rPr>
          <w:rStyle w:val="11"/>
          <w:b/>
          <w:bCs/>
          <w:lang w:eastAsia="zh-CN"/>
        </w:rPr>
        <w:t>2.</w:t>
      </w:r>
      <w:r>
        <w:rPr>
          <w:rFonts w:asciiTheme="minorHAnsi" w:hAnsiTheme="minorHAnsi" w:eastAsiaTheme="minorEastAsia" w:cstheme="minorBidi"/>
          <w:color w:val="auto"/>
          <w:kern w:val="2"/>
          <w:sz w:val="21"/>
          <w:szCs w:val="22"/>
          <w:lang w:eastAsia="zh-CN" w:bidi="ar-SA"/>
        </w:rPr>
        <w:tab/>
      </w:r>
      <w:r>
        <w:rPr>
          <w:rStyle w:val="11"/>
          <w:rFonts w:cs="宋体"/>
          <w:b/>
          <w:lang w:eastAsia="zh-CN"/>
        </w:rPr>
        <w:t>FDA对遗传变异数据库政策和程序的审查</w:t>
      </w:r>
      <w:r>
        <w:tab/>
      </w:r>
      <w:r>
        <w:fldChar w:fldCharType="begin"/>
      </w:r>
      <w:r>
        <w:instrText xml:space="preserve"> PAGEREF _Toc91756211 \h </w:instrText>
      </w:r>
      <w:r>
        <w:fldChar w:fldCharType="separate"/>
      </w:r>
      <w:r>
        <w:t>14</w:t>
      </w:r>
      <w:r>
        <w:fldChar w:fldCharType="end"/>
      </w:r>
      <w:r>
        <w:fldChar w:fldCharType="end"/>
      </w:r>
    </w:p>
    <w:p w14:paraId="7EE3EA39">
      <w:pPr>
        <w:pStyle w:val="2"/>
        <w:tabs>
          <w:tab w:val="left" w:pos="1260"/>
          <w:tab w:val="right" w:leader="dot" w:pos="9060"/>
        </w:tabs>
        <w:spacing w:before="120"/>
        <w:ind w:left="960"/>
        <w:rPr>
          <w:rFonts w:asciiTheme="minorHAnsi" w:hAnsiTheme="minorHAnsi" w:eastAsiaTheme="minorEastAsia" w:cstheme="minorBidi"/>
          <w:color w:val="auto"/>
          <w:kern w:val="2"/>
          <w:sz w:val="21"/>
          <w:szCs w:val="22"/>
          <w:lang w:eastAsia="zh-CN" w:bidi="ar-SA"/>
        </w:rPr>
      </w:pPr>
      <w:r>
        <w:fldChar w:fldCharType="begin"/>
      </w:r>
      <w:r>
        <w:instrText xml:space="preserve"> HYPERLINK \l "_Toc91756212" </w:instrText>
      </w:r>
      <w:r>
        <w:fldChar w:fldCharType="separate"/>
      </w:r>
      <w:r>
        <w:rPr>
          <w:rStyle w:val="11"/>
          <w:b/>
          <w:bCs/>
        </w:rPr>
        <w:t>3.</w:t>
      </w:r>
      <w:r>
        <w:rPr>
          <w:rFonts w:asciiTheme="minorHAnsi" w:hAnsiTheme="minorHAnsi" w:eastAsiaTheme="minorEastAsia" w:cstheme="minorBidi"/>
          <w:color w:val="auto"/>
          <w:kern w:val="2"/>
          <w:sz w:val="21"/>
          <w:szCs w:val="22"/>
          <w:lang w:eastAsia="zh-CN" w:bidi="ar-SA"/>
        </w:rPr>
        <w:tab/>
      </w:r>
      <w:r>
        <w:rPr>
          <w:rStyle w:val="11"/>
          <w:rFonts w:cs="宋体"/>
          <w:b/>
        </w:rPr>
        <w:t>FDA认可的维护</w:t>
      </w:r>
      <w:r>
        <w:tab/>
      </w:r>
      <w:r>
        <w:fldChar w:fldCharType="begin"/>
      </w:r>
      <w:r>
        <w:instrText xml:space="preserve"> PAGEREF _Toc91756212 \h </w:instrText>
      </w:r>
      <w:r>
        <w:fldChar w:fldCharType="separate"/>
      </w:r>
      <w:r>
        <w:t>15</w:t>
      </w:r>
      <w:r>
        <w:fldChar w:fldCharType="end"/>
      </w:r>
      <w:r>
        <w:fldChar w:fldCharType="end"/>
      </w:r>
    </w:p>
    <w:p w14:paraId="089D7BD4">
      <w:pPr>
        <w:pStyle w:val="7"/>
        <w:tabs>
          <w:tab w:val="left" w:pos="1050"/>
          <w:tab w:val="right" w:leader="dot" w:pos="9060"/>
        </w:tabs>
        <w:spacing w:before="120"/>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"_Toc91756213" </w:instrText>
      </w:r>
      <w:r>
        <w:fldChar w:fldCharType="separate"/>
      </w:r>
      <w:r>
        <w:rPr>
          <w:rStyle w:val="11"/>
          <w:b/>
          <w:bCs/>
        </w:rPr>
        <w:t>B.</w:t>
      </w:r>
      <w:r>
        <w:rPr>
          <w:rFonts w:asciiTheme="minorHAnsi" w:hAnsiTheme="minorHAnsi" w:eastAsiaTheme="minorEastAsia" w:cstheme="minorBidi"/>
          <w:color w:val="auto"/>
          <w:kern w:val="2"/>
          <w:sz w:val="21"/>
          <w:szCs w:val="22"/>
          <w:lang w:eastAsia="zh-CN" w:bidi="ar-SA"/>
        </w:rPr>
        <w:tab/>
      </w:r>
      <w:r>
        <w:rPr>
          <w:rFonts w:hint="eastAsia" w:asciiTheme="minorHAnsi" w:hAnsiTheme="minorHAnsi" w:eastAsiaTheme="minorEastAsia" w:cstheme="minorBidi"/>
          <w:b/>
          <w:bCs/>
          <w:color w:val="auto"/>
          <w:kern w:val="2"/>
          <w:szCs w:val="28"/>
          <w:lang w:eastAsia="zh-CN" w:bidi="ar-SA"/>
        </w:rPr>
        <w:t>使用</w:t>
      </w:r>
      <w:r>
        <w:rPr>
          <w:rStyle w:val="11"/>
          <w:rFonts w:cs="宋体"/>
          <w:b/>
        </w:rPr>
        <w:t>第三方</w:t>
      </w:r>
      <w:r>
        <w:tab/>
      </w:r>
      <w:r>
        <w:fldChar w:fldCharType="begin"/>
      </w:r>
      <w:r>
        <w:instrText xml:space="preserve"> PAGEREF _Toc91756213 \h </w:instrText>
      </w:r>
      <w:r>
        <w:fldChar w:fldCharType="separate"/>
      </w:r>
      <w:r>
        <w:t>15</w:t>
      </w:r>
      <w:r>
        <w:fldChar w:fldCharType="end"/>
      </w:r>
      <w:r>
        <w:fldChar w:fldCharType="end"/>
      </w:r>
    </w:p>
    <w:p w14:paraId="1CA435E1">
      <w:pPr>
        <w:pStyle w:val="7"/>
        <w:tabs>
          <w:tab w:val="left" w:pos="1050"/>
          <w:tab w:val="right" w:leader="dot" w:pos="9060"/>
        </w:tabs>
        <w:spacing w:before="120"/>
        <w:ind w:left="480"/>
        <w:rPr>
          <w:rFonts w:asciiTheme="minorHAnsi" w:hAnsiTheme="minorHAnsi" w:eastAsiaTheme="minorEastAsia" w:cstheme="minorBidi"/>
          <w:color w:val="auto"/>
          <w:kern w:val="2"/>
          <w:sz w:val="21"/>
          <w:szCs w:val="22"/>
          <w:lang w:eastAsia="zh-CN" w:bidi="ar-SA"/>
        </w:rPr>
      </w:pPr>
      <w:r>
        <w:fldChar w:fldCharType="begin"/>
      </w:r>
      <w:r>
        <w:instrText xml:space="preserve"> HYPERLINK \l "_Toc91756214" </w:instrText>
      </w:r>
      <w:r>
        <w:fldChar w:fldCharType="separate"/>
      </w:r>
      <w:r>
        <w:rPr>
          <w:rStyle w:val="11"/>
          <w:b/>
          <w:bCs/>
          <w:lang w:eastAsia="zh-CN"/>
        </w:rPr>
        <w:t>C.</w:t>
      </w:r>
      <w:r>
        <w:rPr>
          <w:rFonts w:asciiTheme="minorHAnsi" w:hAnsiTheme="minorHAnsi" w:eastAsiaTheme="minorEastAsia" w:cstheme="minorBidi"/>
          <w:color w:val="auto"/>
          <w:kern w:val="2"/>
          <w:sz w:val="21"/>
          <w:szCs w:val="22"/>
          <w:lang w:eastAsia="zh-CN" w:bidi="ar-SA"/>
        </w:rPr>
        <w:tab/>
      </w:r>
      <w:r>
        <w:rPr>
          <w:rStyle w:val="11"/>
          <w:rFonts w:cs="宋体"/>
          <w:b/>
          <w:lang w:eastAsia="zh-CN"/>
        </w:rPr>
        <w:t>FDA认可的遗传变异数据库的数据和论断</w:t>
      </w:r>
      <w:r>
        <w:rPr>
          <w:rStyle w:val="11"/>
          <w:rFonts w:hint="eastAsia" w:cs="宋体"/>
          <w:b/>
          <w:lang w:eastAsia="zh-CN"/>
        </w:rPr>
        <w:t>的</w:t>
      </w:r>
      <w:r>
        <w:rPr>
          <w:rStyle w:val="11"/>
          <w:rFonts w:cs="宋体"/>
          <w:b/>
          <w:lang w:eastAsia="zh-CN"/>
        </w:rPr>
        <w:t>使用</w:t>
      </w:r>
      <w:r>
        <w:tab/>
      </w:r>
      <w:r>
        <w:fldChar w:fldCharType="begin"/>
      </w:r>
      <w:r>
        <w:instrText xml:space="preserve"> PAGEREF _Toc91756214 \h </w:instrText>
      </w:r>
      <w:r>
        <w:fldChar w:fldCharType="separate"/>
      </w:r>
      <w:r>
        <w:t>16</w:t>
      </w:r>
      <w:r>
        <w:fldChar w:fldCharType="end"/>
      </w:r>
      <w:r>
        <w:fldChar w:fldCharType="end"/>
      </w:r>
    </w:p>
    <w:p w14:paraId="62B3C59D">
      <w:pPr>
        <w:pStyle w:val="6"/>
        <w:tabs>
          <w:tab w:val="left" w:pos="840"/>
          <w:tab w:val="right" w:leader="dot" w:pos="9060"/>
        </w:tabs>
        <w:spacing w:before="120"/>
        <w:rPr>
          <w:rFonts w:asciiTheme="minorHAnsi" w:hAnsiTheme="minorHAnsi" w:eastAsiaTheme="minorEastAsia" w:cstheme="minorBidi"/>
          <w:color w:val="auto"/>
          <w:kern w:val="2"/>
          <w:sz w:val="21"/>
          <w:szCs w:val="22"/>
          <w:lang w:eastAsia="zh-CN" w:bidi="ar-SA"/>
        </w:rPr>
      </w:pPr>
      <w:r>
        <w:fldChar w:fldCharType="begin"/>
      </w:r>
      <w:r>
        <w:instrText xml:space="preserve"> HYPERLINK \l "_Toc91756215" </w:instrText>
      </w:r>
      <w:r>
        <w:fldChar w:fldCharType="separate"/>
      </w:r>
      <w:r>
        <w:rPr>
          <w:rStyle w:val="11"/>
          <w:b/>
          <w:bCs/>
        </w:rPr>
        <w:t>VII.</w:t>
      </w:r>
      <w:r>
        <w:rPr>
          <w:rFonts w:asciiTheme="minorHAnsi" w:hAnsiTheme="minorHAnsi" w:eastAsiaTheme="minorEastAsia" w:cstheme="minorBidi"/>
          <w:color w:val="auto"/>
          <w:kern w:val="2"/>
          <w:sz w:val="21"/>
          <w:szCs w:val="22"/>
          <w:lang w:eastAsia="zh-CN" w:bidi="ar-SA"/>
        </w:rPr>
        <w:tab/>
      </w:r>
      <w:r>
        <w:rPr>
          <w:rStyle w:val="11"/>
          <w:rFonts w:cs="宋体"/>
          <w:b/>
        </w:rPr>
        <w:t>1995年《文书削减法》</w:t>
      </w:r>
      <w:r>
        <w:tab/>
      </w:r>
      <w:r>
        <w:fldChar w:fldCharType="begin"/>
      </w:r>
      <w:r>
        <w:instrText xml:space="preserve"> PAGEREF _Toc91756215 \h </w:instrText>
      </w:r>
      <w:r>
        <w:fldChar w:fldCharType="separate"/>
      </w:r>
      <w:r>
        <w:t>16</w:t>
      </w:r>
      <w:r>
        <w:fldChar w:fldCharType="end"/>
      </w:r>
      <w:r>
        <w:fldChar w:fldCharType="end"/>
      </w:r>
    </w:p>
    <w:p w14:paraId="25B0FFD0">
      <w:pPr>
        <w:pStyle w:val="6"/>
        <w:tabs>
          <w:tab w:val="left" w:pos="840"/>
          <w:tab w:val="right" w:leader="dot" w:pos="9394"/>
        </w:tabs>
        <w:adjustRightInd w:val="0"/>
        <w:spacing w:before="120"/>
        <w:rPr>
          <w:rFonts w:cstheme="minorBidi"/>
          <w:color w:val="auto"/>
          <w:kern w:val="2"/>
          <w:sz w:val="21"/>
          <w:szCs w:val="22"/>
          <w:lang w:eastAsia="zh-CN" w:bidi="ar-SA"/>
        </w:rPr>
      </w:pPr>
      <w:r>
        <w:rPr>
          <w:rFonts w:cs="Times New Roman"/>
          <w:color w:val="auto"/>
          <w:kern w:val="2"/>
          <w:sz w:val="21"/>
          <w:szCs w:val="21"/>
          <w:lang w:eastAsia="zh-CN" w:bidi="ar-SA"/>
        </w:rPr>
        <w:fldChar w:fldCharType="end"/>
      </w:r>
    </w:p>
    <w:p w14:paraId="125297FF">
      <w:pPr>
        <w:spacing w:before="120"/>
      </w:pPr>
      <w:r>
        <w:rPr>
          <w:rFonts w:cs="宋体"/>
        </w:rPr>
        <w:br w:type="page"/>
      </w:r>
    </w:p>
    <w:p w14:paraId="059DC56B">
      <w:pPr>
        <w:pBdr>
          <w:bottom w:val="single" w:color="auto" w:sz="4" w:space="1"/>
        </w:pBdr>
        <w:spacing w:before="120"/>
        <w:jc w:val="center"/>
        <w:rPr>
          <w:b/>
          <w:bCs/>
          <w:sz w:val="44"/>
          <w:szCs w:val="44"/>
          <w:lang w:eastAsia="zh-CN"/>
        </w:rPr>
      </w:pPr>
      <w:r>
        <w:rPr>
          <w:rFonts w:cs="宋体"/>
          <w:b/>
          <w:sz w:val="44"/>
          <w:lang w:eastAsia="zh-CN"/>
        </w:rPr>
        <w:t>使用公共人类遗传变异数据库支持基于遗传和基因组的体外诊断的临床有效性</w:t>
      </w:r>
    </w:p>
    <w:p w14:paraId="10AB3AB1">
      <w:pPr>
        <w:spacing w:before="120"/>
        <w:jc w:val="center"/>
        <w:rPr>
          <w:b/>
          <w:bCs/>
          <w:sz w:val="44"/>
          <w:szCs w:val="44"/>
          <w:lang w:eastAsia="zh-CN"/>
        </w:rPr>
      </w:pPr>
      <w:r>
        <w:rPr>
          <w:rFonts w:cs="宋体"/>
          <w:b/>
          <w:sz w:val="44"/>
          <w:lang w:eastAsia="zh-CN"/>
        </w:rPr>
        <w:t>利益相关者和美国食品药品监督管理局工作人员指南</w:t>
      </w:r>
    </w:p>
    <w:tbl>
      <w:tblPr>
        <w:tblStyle w:val="9"/>
        <w:tblW w:w="5000" w:type="pct"/>
        <w:tblInd w:w="0" w:type="dxa"/>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14:paraId="1458FDFB">
        <w:tblPrEx>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CellMar>
            <w:top w:w="0" w:type="dxa"/>
            <w:left w:w="108" w:type="dxa"/>
            <w:bottom w:w="0" w:type="dxa"/>
            <w:right w:w="108" w:type="dxa"/>
          </w:tblCellMar>
        </w:tblPrEx>
        <w:tc>
          <w:tcPr>
            <w:tcW w:w="5000" w:type="pct"/>
          </w:tcPr>
          <w:p w14:paraId="13F76136">
            <w:pPr>
              <w:pStyle w:val="32"/>
              <w:spacing w:before="36"/>
              <w:rPr>
                <w:b/>
                <w:i/>
                <w:lang w:eastAsia="zh-CN"/>
              </w:rPr>
            </w:pPr>
            <w:r>
              <w:rPr>
                <w:rFonts w:hint="eastAsia" w:cs="宋体"/>
                <w:b/>
                <w:bCs/>
                <w:i/>
                <w:iCs/>
                <w:lang w:eastAsia="zh-CN"/>
              </w:rPr>
              <w:t>本指南代表食品药品监督管理局（FDA或本机构）目前关于该主题的思考。其不会为任何人创造或赋予任何权利，也不会对FDA或公众产生约束。如果替代方法满足适用的法律法规的要求，则可以使用该方法。如需讨论替代方法，请联系标题页负责实施本指南文件的FDA工作人员或办公室。</w:t>
            </w:r>
          </w:p>
        </w:tc>
      </w:tr>
    </w:tbl>
    <w:p w14:paraId="351443DA">
      <w:pPr>
        <w:pStyle w:val="36"/>
        <w:numPr>
          <w:ilvl w:val="0"/>
          <w:numId w:val="1"/>
        </w:numPr>
        <w:spacing w:before="120"/>
        <w:ind w:left="643" w:hanging="643" w:hangingChars="200"/>
        <w:outlineLvl w:val="0"/>
        <w:rPr>
          <w:b/>
          <w:bCs/>
          <w:sz w:val="32"/>
          <w:szCs w:val="32"/>
        </w:rPr>
      </w:pPr>
      <w:bookmarkStart w:id="2" w:name="_Toc91756199"/>
      <w:r>
        <w:rPr>
          <w:rFonts w:cs="宋体"/>
          <w:b/>
          <w:sz w:val="32"/>
        </w:rPr>
        <w:t>引言</w:t>
      </w:r>
      <w:bookmarkEnd w:id="2"/>
    </w:p>
    <w:p w14:paraId="657BC87A">
      <w:pPr>
        <w:spacing w:before="120"/>
        <w:rPr>
          <w:rFonts w:cs="宋体"/>
          <w:lang w:eastAsia="zh-CN"/>
        </w:rPr>
      </w:pPr>
      <w:r>
        <w:rPr>
          <w:rFonts w:cs="宋体"/>
          <w:lang w:eastAsia="zh-CN"/>
        </w:rPr>
        <w:t>本指南文件描述了FDA为监督基于下一代测序（NGS）的</w:t>
      </w:r>
      <w:r>
        <w:rPr>
          <w:rFonts w:hint="eastAsia" w:cs="宋体"/>
          <w:lang w:eastAsia="zh-CN"/>
        </w:rPr>
        <w:t>检测</w:t>
      </w:r>
      <w:r>
        <w:rPr>
          <w:rFonts w:cs="宋体"/>
          <w:lang w:eastAsia="zh-CN"/>
        </w:rPr>
        <w:t>而创建灵活和适应性监管方法的部分工作。这项工作旨在帮助确保患者获得准确、可靠及有临床意义的</w:t>
      </w:r>
      <w:r>
        <w:rPr>
          <w:rFonts w:hint="eastAsia" w:cs="宋体"/>
          <w:lang w:eastAsia="zh-CN"/>
        </w:rPr>
        <w:t>检测</w:t>
      </w:r>
      <w:r>
        <w:rPr>
          <w:rFonts w:cs="宋体"/>
          <w:lang w:eastAsia="zh-CN"/>
        </w:rPr>
        <w:t>结果，同时促进</w:t>
      </w:r>
      <w:r>
        <w:rPr>
          <w:rFonts w:hint="eastAsia" w:cs="宋体"/>
          <w:lang w:eastAsia="zh-CN"/>
        </w:rPr>
        <w:t>检测</w:t>
      </w:r>
      <w:r>
        <w:rPr>
          <w:rFonts w:cs="宋体"/>
          <w:lang w:eastAsia="zh-CN"/>
        </w:rPr>
        <w:t>发展中的创新。本指南文件描述了在FDA对基于NGS的</w:t>
      </w:r>
      <w:r>
        <w:rPr>
          <w:rFonts w:hint="eastAsia" w:cs="宋体"/>
          <w:lang w:eastAsia="zh-CN"/>
        </w:rPr>
        <w:t>检测</w:t>
      </w:r>
      <w:r>
        <w:rPr>
          <w:rFonts w:cs="宋体"/>
          <w:lang w:eastAsia="zh-CN"/>
        </w:rPr>
        <w:t>和基于其他技术的遗传和基因组</w:t>
      </w:r>
      <w:r>
        <w:rPr>
          <w:rFonts w:hint="eastAsia" w:cs="宋体"/>
          <w:lang w:eastAsia="zh-CN"/>
        </w:rPr>
        <w:t>检测</w:t>
      </w:r>
      <w:r>
        <w:rPr>
          <w:rFonts w:cs="宋体"/>
          <w:lang w:eastAsia="zh-CN"/>
        </w:rPr>
        <w:t>的监管审查中，可公开访问的人类遗传变异数据库如何作为有效科学证据的来源，以支持基因型-表型关系的临床有效性。可公开访问的基因数据库可能有助于支持NGS</w:t>
      </w:r>
      <w:r>
        <w:rPr>
          <w:rFonts w:hint="eastAsia" w:cs="宋体"/>
          <w:lang w:eastAsia="zh-CN"/>
        </w:rPr>
        <w:t>检测</w:t>
      </w:r>
      <w:r>
        <w:rPr>
          <w:rFonts w:cs="宋体"/>
          <w:lang w:eastAsia="zh-CN"/>
        </w:rPr>
        <w:t>以及使用其他技术的单基因或组合</w:t>
      </w:r>
      <w:r>
        <w:rPr>
          <w:rFonts w:hint="eastAsia" w:cs="宋体"/>
          <w:lang w:eastAsia="zh-CN"/>
        </w:rPr>
        <w:t>检测</w:t>
      </w:r>
      <w:r>
        <w:rPr>
          <w:rFonts w:cs="宋体"/>
          <w:lang w:eastAsia="zh-CN"/>
        </w:rPr>
        <w:t>的临床有效性。</w:t>
      </w:r>
    </w:p>
    <w:p w14:paraId="58C6D8B2">
      <w:pPr>
        <w:spacing w:before="120"/>
        <w:rPr>
          <w:lang w:eastAsia="zh-CN"/>
        </w:rPr>
      </w:pPr>
      <w:r>
        <w:rPr>
          <w:rFonts w:hint="eastAsia"/>
          <w:lang w:eastAsia="zh-CN"/>
        </w:rPr>
        <w:t>FDA指导性文件，包括本指南在内，不具有法律强制责任。相反，指南表明了该机构目前关于该主题的思考，除非引用具体的法规或法律要求，否则只应视为建议。在本机构指南中使用词语“应”是指建议或推荐进行某一事项，并非强制要求。</w:t>
      </w:r>
    </w:p>
    <w:p w14:paraId="5F73FF7A">
      <w:pPr>
        <w:pStyle w:val="36"/>
        <w:numPr>
          <w:ilvl w:val="0"/>
          <w:numId w:val="1"/>
        </w:numPr>
        <w:spacing w:before="120"/>
        <w:ind w:left="643" w:hanging="643" w:hangingChars="200"/>
        <w:outlineLvl w:val="0"/>
        <w:rPr>
          <w:b/>
          <w:bCs/>
          <w:sz w:val="32"/>
          <w:szCs w:val="32"/>
        </w:rPr>
      </w:pPr>
      <w:bookmarkStart w:id="3" w:name="_Toc91756200"/>
      <w:r>
        <w:rPr>
          <w:rFonts w:cs="宋体"/>
          <w:b/>
          <w:sz w:val="32"/>
        </w:rPr>
        <w:t>背景</w:t>
      </w:r>
      <w:bookmarkEnd w:id="3"/>
    </w:p>
    <w:p w14:paraId="001CCADC">
      <w:pPr>
        <w:spacing w:before="120"/>
        <w:rPr>
          <w:lang w:eastAsia="zh-CN"/>
        </w:rPr>
      </w:pPr>
      <w:r>
        <w:rPr>
          <w:rFonts w:cs="宋体"/>
          <w:lang w:eastAsia="zh-CN"/>
        </w:rPr>
        <w:t>基因</w:t>
      </w:r>
      <w:r>
        <w:rPr>
          <w:rFonts w:hint="eastAsia" w:cs="宋体"/>
          <w:lang w:eastAsia="zh-CN"/>
        </w:rPr>
        <w:t>检测</w:t>
      </w:r>
      <w:r>
        <w:rPr>
          <w:rFonts w:cs="宋体"/>
          <w:lang w:eastAsia="zh-CN"/>
        </w:rPr>
        <w:t>的最新技术（如NGS）可对部分基因、整个外显子组或整个基因组进行快速、广泛和深入的测序，并可在临床上用于疾病或病症的风险预测、诊断和治疗选择等各种诊断目的。在研究和临床实践中迅速采用基于NGS的</w:t>
      </w:r>
      <w:r>
        <w:rPr>
          <w:rFonts w:hint="eastAsia" w:cs="宋体"/>
          <w:lang w:eastAsia="zh-CN"/>
        </w:rPr>
        <w:t>检测</w:t>
      </w:r>
      <w:r>
        <w:rPr>
          <w:rFonts w:cs="宋体"/>
          <w:lang w:eastAsia="zh-CN"/>
        </w:rPr>
        <w:t>导致越来越多的遗传变异得到识别，包括可能是个人或家族所特有的罕见变异。了解这些基因变异的临床意义可为未来的个性化医疗带来巨大前景。</w:t>
      </w:r>
      <w:r>
        <w:rPr>
          <w:rFonts w:cs="宋体"/>
          <w:lang w:eastAsia="zh-CN"/>
        </w:rPr>
        <w:br w:type="page"/>
      </w:r>
    </w:p>
    <w:p w14:paraId="6B9EFDBC">
      <w:pPr>
        <w:spacing w:before="120"/>
        <w:rPr>
          <w:lang w:eastAsia="zh-CN"/>
        </w:rPr>
      </w:pPr>
      <w:r>
        <w:rPr>
          <w:rFonts w:cs="宋体"/>
          <w:lang w:eastAsia="zh-CN"/>
        </w:rPr>
        <w:t>尽管基因变异数据汇总的重要性已获广泛认可，但如今许多支持基于基因和基因组的</w:t>
      </w:r>
      <w:r>
        <w:rPr>
          <w:rFonts w:hint="eastAsia" w:cs="宋体"/>
          <w:lang w:eastAsia="zh-CN"/>
        </w:rPr>
        <w:t>检测</w:t>
      </w:r>
      <w:r>
        <w:rPr>
          <w:rFonts w:cs="宋体"/>
          <w:lang w:eastAsia="zh-CN"/>
        </w:rPr>
        <w:t>的临床有效性的有用数据通常以不公开访问的方式储存。对临床基因型-表型关联进行汇总，并根据明确程序对这些关联的证据进行评价，将继续促进遗传信息更迅速地转化为有用的临床证据。</w:t>
      </w:r>
    </w:p>
    <w:p w14:paraId="4D790EC2">
      <w:pPr>
        <w:spacing w:before="120"/>
        <w:rPr>
          <w:lang w:eastAsia="zh-CN"/>
        </w:rPr>
      </w:pPr>
      <w:r>
        <w:rPr>
          <w:rFonts w:cs="宋体"/>
          <w:lang w:eastAsia="zh-CN"/>
        </w:rPr>
        <w:t>在本指南文件中，“遗传变异数据库”是一个可公开访问的人类遗传变异数据库，该数据库汇总并整理了人类基因型-表型与某种疾病或状况的关系报告，并随附支持这些联系的公开证据文件。遗传变异数据库还包括关于特定基因型-表型相关性的诊断。这些数据库应采用最佳实践，即遵循开放模式（例如，任何人均可公开访问并免费获得有关诊断和证据的信息），以促进更高的准确性、理解和使用。</w:t>
      </w:r>
      <w:r>
        <w:rPr>
          <w:rFonts w:hint="eastAsia" w:cs="宋体"/>
          <w:lang w:eastAsia="zh-CN"/>
        </w:rPr>
        <w:t>此外</w:t>
      </w:r>
      <w:r>
        <w:rPr>
          <w:rFonts w:cs="宋体"/>
          <w:lang w:eastAsia="zh-CN"/>
        </w:rPr>
        <w:t>，使用许可模式并对商业使用收费的数据库也可在本指南</w:t>
      </w:r>
      <w:r>
        <w:rPr>
          <w:rFonts w:hint="eastAsia" w:cs="宋体"/>
          <w:lang w:eastAsia="zh-CN"/>
        </w:rPr>
        <w:t>覆盖</w:t>
      </w:r>
      <w:r>
        <w:rPr>
          <w:rFonts w:cs="宋体"/>
          <w:lang w:eastAsia="zh-CN"/>
        </w:rPr>
        <w:t>范围内。虽然专利数据库或对公众收费的数据库不在本指南文件的范围内，但也可能是有效科学证据的来源，可用于支持基于遗传或基因组的</w:t>
      </w:r>
      <w:r>
        <w:rPr>
          <w:rFonts w:hint="eastAsia" w:cs="宋体"/>
          <w:lang w:eastAsia="zh-CN"/>
        </w:rPr>
        <w:t>检测</w:t>
      </w:r>
      <w:r>
        <w:rPr>
          <w:rFonts w:cs="宋体"/>
          <w:lang w:eastAsia="zh-CN"/>
        </w:rPr>
        <w:t>的临床有效性。依赖这些数据库的</w:t>
      </w:r>
      <w:r>
        <w:rPr>
          <w:rFonts w:hint="eastAsia" w:cs="宋体"/>
          <w:lang w:eastAsia="zh-CN"/>
        </w:rPr>
        <w:t>检测</w:t>
      </w:r>
      <w:r>
        <w:rPr>
          <w:rFonts w:cs="宋体"/>
          <w:lang w:eastAsia="zh-CN"/>
        </w:rPr>
        <w:t>开发者可能发现本指南中的建议有助于筹备这些IVD的上市前申请。如果任何数据库管理员对其数据库中的数据是否可作为有效科学证据值得信赖有疑问，应通过上述联系信息与FDA联系。</w:t>
      </w:r>
    </w:p>
    <w:p w14:paraId="3837FB46">
      <w:pPr>
        <w:spacing w:before="120"/>
        <w:rPr>
          <w:lang w:eastAsia="zh-CN"/>
        </w:rPr>
      </w:pPr>
      <w:r>
        <w:rPr>
          <w:rFonts w:cs="宋体"/>
          <w:lang w:eastAsia="zh-CN"/>
        </w:rPr>
        <w:t>FDA认为，对遗传变异数据库中的临床基因型-表型关联进行汇总、整理和评价，可以支持对基于遗传或基因组的</w:t>
      </w:r>
      <w:r>
        <w:rPr>
          <w:rFonts w:hint="eastAsia" w:cs="宋体"/>
          <w:lang w:eastAsia="zh-CN"/>
        </w:rPr>
        <w:t>检测</w:t>
      </w:r>
      <w:r>
        <w:rPr>
          <w:rFonts w:cs="宋体"/>
          <w:lang w:eastAsia="zh-CN"/>
        </w:rPr>
        <w:t>所</w:t>
      </w:r>
      <w:r>
        <w:rPr>
          <w:rFonts w:hint="eastAsia" w:cs="宋体"/>
          <w:lang w:eastAsia="zh-CN"/>
        </w:rPr>
        <w:t>检测</w:t>
      </w:r>
      <w:r>
        <w:rPr>
          <w:rFonts w:cs="宋体"/>
          <w:lang w:eastAsia="zh-CN"/>
        </w:rPr>
        <w:t>的变异以及疾病或病症诊断的临床有效性。依靠遵循本指南建议的遗传变异数据库中的诊断，FDA希望鼓励将遗传变异信息存入此类可公开访问的数据库，减少</w:t>
      </w:r>
      <w:r>
        <w:rPr>
          <w:rFonts w:hint="eastAsia" w:cs="宋体"/>
          <w:lang w:eastAsia="zh-CN"/>
        </w:rPr>
        <w:t>检测</w:t>
      </w:r>
      <w:r>
        <w:rPr>
          <w:rFonts w:cs="宋体"/>
          <w:lang w:eastAsia="zh-CN"/>
        </w:rPr>
        <w:t>开发者的监管负担，并促进精准医疗的评价和实施。</w:t>
      </w:r>
    </w:p>
    <w:p w14:paraId="56AF7B41">
      <w:pPr>
        <w:spacing w:before="120"/>
        <w:rPr>
          <w:i/>
          <w:iCs/>
          <w:lang w:eastAsia="zh-CN"/>
        </w:rPr>
      </w:pPr>
      <w:r>
        <w:rPr>
          <w:rFonts w:cs="宋体"/>
          <w:i/>
          <w:lang w:eastAsia="zh-CN"/>
        </w:rPr>
        <w:t>作为支持临床有效性的有效科学证据来源的可公开访问人类遗传变异数据库</w:t>
      </w:r>
    </w:p>
    <w:p w14:paraId="251849C0">
      <w:pPr>
        <w:spacing w:before="120"/>
        <w:rPr>
          <w:lang w:eastAsia="zh-CN"/>
        </w:rPr>
      </w:pPr>
      <w:r>
        <w:rPr>
          <w:rFonts w:cs="宋体"/>
          <w:lang w:eastAsia="zh-CN"/>
        </w:rPr>
        <w:t>为了确定一项基于基因或基因组的</w:t>
      </w:r>
      <w:r>
        <w:rPr>
          <w:rFonts w:hint="eastAsia" w:cs="宋体"/>
          <w:lang w:eastAsia="zh-CN"/>
        </w:rPr>
        <w:t>检测</w:t>
      </w:r>
      <w:r>
        <w:rPr>
          <w:rFonts w:cs="宋体"/>
          <w:lang w:eastAsia="zh-CN"/>
        </w:rPr>
        <w:t>是否合理确保安全性和有效性，这对于IVD通常意味着分析和临床有效性的合理保证，机构依赖对有效科学证据的审查来支持</w:t>
      </w:r>
      <w:r>
        <w:rPr>
          <w:rFonts w:hint="eastAsia" w:cs="宋体"/>
          <w:lang w:eastAsia="zh-CN"/>
        </w:rPr>
        <w:t>检测</w:t>
      </w:r>
      <w:r>
        <w:rPr>
          <w:rFonts w:cs="宋体"/>
          <w:lang w:eastAsia="zh-CN"/>
        </w:rPr>
        <w:t>的分析和临床性能。有效科学证据</w:t>
      </w:r>
      <w:r>
        <w:rPr>
          <w:rFonts w:cs="宋体"/>
          <w:vertAlign w:val="superscript"/>
          <w:lang w:eastAsia="zh-CN"/>
        </w:rPr>
        <w:t>1</w:t>
      </w:r>
      <w:r>
        <w:rPr>
          <w:rFonts w:cs="宋体"/>
          <w:lang w:eastAsia="zh-CN"/>
        </w:rPr>
        <w:t>定义为来自于完全对照研究、部分对照研究、没有匹配对照组的研究和客观试验（其中包括对入库人体标本的</w:t>
      </w:r>
      <w:r>
        <w:rPr>
          <w:rFonts w:hint="eastAsia" w:cs="宋体"/>
          <w:lang w:eastAsia="zh-CN"/>
        </w:rPr>
        <w:t>检测</w:t>
      </w:r>
      <w:r>
        <w:rPr>
          <w:rFonts w:cs="宋体"/>
          <w:lang w:eastAsia="zh-CN"/>
        </w:rPr>
        <w:t>）、合格</w:t>
      </w:r>
      <w:r>
        <w:rPr>
          <w:rFonts w:hint="eastAsia" w:cs="宋体"/>
          <w:lang w:eastAsia="zh-CN"/>
        </w:rPr>
        <w:t>的</w:t>
      </w:r>
      <w:r>
        <w:rPr>
          <w:rFonts w:cs="宋体"/>
          <w:lang w:eastAsia="zh-CN"/>
        </w:rPr>
        <w:t>专家详细记录的病历，以及已上市器械的重要人用经验报告中的证据，比如在某些临床实践指南中，合格</w:t>
      </w:r>
      <w:r>
        <w:rPr>
          <w:rFonts w:hint="eastAsia" w:cs="宋体"/>
          <w:lang w:eastAsia="zh-CN"/>
        </w:rPr>
        <w:t>的</w:t>
      </w:r>
      <w:r>
        <w:rPr>
          <w:rFonts w:cs="宋体"/>
          <w:lang w:eastAsia="zh-CN"/>
        </w:rPr>
        <w:t>专家据此可以公平且负责任地得出结论认为，可以合理确保安全性和有效性。当确定某个基于遗传和基因组的特定</w:t>
      </w:r>
      <w:r>
        <w:rPr>
          <w:rFonts w:hint="eastAsia" w:cs="宋体"/>
          <w:lang w:eastAsia="zh-CN"/>
        </w:rPr>
        <w:t>检测</w:t>
      </w:r>
      <w:r>
        <w:rPr>
          <w:rFonts w:cs="宋体"/>
          <w:lang w:eastAsia="zh-CN"/>
        </w:rPr>
        <w:t>是否合理确保安全性和有效性时，FDA必须根据有效科学证据确定“在相当大一部分目标人群中，器械在其预期用途和使用条件下的使用，在伴随充分不安全使用的指示和警告时，将提供临床显著结果”。</w:t>
      </w:r>
      <w:r>
        <w:rPr>
          <w:rFonts w:cs="宋体"/>
          <w:vertAlign w:val="superscript"/>
          <w:lang w:eastAsia="zh-CN"/>
        </w:rPr>
        <w:t>2</w:t>
      </w:r>
    </w:p>
    <w:p w14:paraId="2FD21C20">
      <w:pPr>
        <w:spacing w:before="120"/>
        <w:rPr>
          <w:rFonts w:cs="宋体"/>
          <w:lang w:eastAsia="zh-CN"/>
        </w:rPr>
      </w:pPr>
    </w:p>
    <w:p w14:paraId="2A8DB525">
      <w:pPr>
        <w:spacing w:before="120"/>
        <w:rPr>
          <w:rFonts w:cs="宋体"/>
          <w:lang w:eastAsia="zh-CN"/>
        </w:rPr>
      </w:pPr>
    </w:p>
    <w:p w14:paraId="196B04CA">
      <w:pPr>
        <w:spacing w:before="120"/>
        <w:rPr>
          <w:lang w:eastAsia="zh-CN"/>
        </w:rPr>
      </w:pPr>
      <w:r>
        <w:rPr>
          <w:rFonts w:cs="宋体"/>
          <w:lang w:eastAsia="zh-CN"/>
        </w:rPr>
        <w:t>________________________</w:t>
      </w:r>
    </w:p>
    <w:p w14:paraId="39A383A3">
      <w:pPr>
        <w:spacing w:before="0" w:beforeLines="0"/>
        <w:rPr>
          <w:sz w:val="21"/>
          <w:szCs w:val="21"/>
          <w:lang w:eastAsia="zh-CN"/>
        </w:rPr>
      </w:pPr>
      <w:r>
        <w:rPr>
          <w:sz w:val="21"/>
          <w:szCs w:val="21"/>
          <w:vertAlign w:val="superscript"/>
          <w:lang w:eastAsia="zh-CN"/>
        </w:rPr>
        <w:t>1</w:t>
      </w:r>
      <w:r>
        <w:rPr>
          <w:sz w:val="21"/>
          <w:szCs w:val="21"/>
          <w:lang w:eastAsia="zh-CN"/>
        </w:rPr>
        <w:t xml:space="preserve"> 21 CFR 860.7.</w:t>
      </w:r>
    </w:p>
    <w:p w14:paraId="50FDDE47">
      <w:pPr>
        <w:spacing w:before="0" w:beforeLines="0"/>
        <w:rPr>
          <w:sz w:val="21"/>
          <w:szCs w:val="21"/>
          <w:lang w:eastAsia="zh-CN"/>
        </w:rPr>
      </w:pPr>
      <w:r>
        <w:rPr>
          <w:sz w:val="21"/>
          <w:szCs w:val="21"/>
          <w:vertAlign w:val="superscript"/>
          <w:lang w:eastAsia="zh-CN"/>
        </w:rPr>
        <w:t>2</w:t>
      </w:r>
      <w:r>
        <w:rPr>
          <w:sz w:val="21"/>
          <w:szCs w:val="21"/>
          <w:lang w:eastAsia="zh-CN"/>
        </w:rPr>
        <w:t xml:space="preserve"> 21 CFR 860.7(e)(1).</w:t>
      </w:r>
    </w:p>
    <w:p w14:paraId="3645305F">
      <w:pPr>
        <w:spacing w:before="120"/>
        <w:rPr>
          <w:lang w:eastAsia="zh-CN"/>
        </w:rPr>
      </w:pPr>
      <w:r>
        <w:rPr>
          <w:rFonts w:cs="宋体"/>
          <w:lang w:eastAsia="zh-CN"/>
        </w:rPr>
        <w:br w:type="page"/>
      </w:r>
    </w:p>
    <w:p w14:paraId="175D798A">
      <w:pPr>
        <w:spacing w:before="120"/>
        <w:rPr>
          <w:lang w:eastAsia="zh-CN"/>
        </w:rPr>
      </w:pPr>
      <w:r>
        <w:rPr>
          <w:rFonts w:cs="宋体"/>
          <w:lang w:eastAsia="zh-CN"/>
        </w:rPr>
        <w:t>许多遗传变异数据库中的证据从多个来源收集，这些来源可满足有效科学证据的定义，比如来自完全对照临床研究的证据、CLIA（1988年临床实验室改进修正案）认证实验室所产生的临床证据、已发表的同行评审文献以及某些病例研究报告。一些正在开发遗传变异数据库的组织已采用</w:t>
      </w:r>
      <w:r>
        <w:rPr>
          <w:rFonts w:hint="eastAsia" w:cs="宋体"/>
          <w:lang w:eastAsia="zh-CN"/>
        </w:rPr>
        <w:t>的</w:t>
      </w:r>
      <w:r>
        <w:rPr>
          <w:rFonts w:cs="宋体"/>
          <w:lang w:eastAsia="zh-CN"/>
        </w:rPr>
        <w:t>方案和方法和/或外部指南（例如，来自专业协会或标准制定组织）进行证据汇总、整理和评价实践。虽然不同数据库和组织的评价过程可能不同，但它们通常使用合格</w:t>
      </w:r>
      <w:r>
        <w:rPr>
          <w:rFonts w:hint="eastAsia" w:cs="宋体"/>
          <w:lang w:eastAsia="zh-CN"/>
        </w:rPr>
        <w:t>的</w:t>
      </w:r>
      <w:r>
        <w:rPr>
          <w:rFonts w:cs="宋体"/>
          <w:lang w:eastAsia="zh-CN"/>
        </w:rPr>
        <w:t>专家对是否存在基因变异及其对特定疾病或临床决定的意义作出告知结论。</w:t>
      </w:r>
    </w:p>
    <w:p w14:paraId="780C727B">
      <w:pPr>
        <w:spacing w:before="120"/>
        <w:rPr>
          <w:lang w:eastAsia="zh-CN"/>
        </w:rPr>
      </w:pPr>
      <w:r>
        <w:rPr>
          <w:rFonts w:cs="宋体"/>
          <w:lang w:eastAsia="zh-CN"/>
        </w:rPr>
        <w:t>此外，公认变异评价专业准则所规定的程序与FDA临床有效性审查之间存在一些相似之处。变异评价者使用一系列证据，包括变异的类型和位置、遗传性、流行性、完善功能研究，以及基因-疾病关系的先验知识。使用证据的标准通常似乎与支持FDA上市前申请的适当证据类型相似。根据21 CFR 860.7(c)（2）的规定，“孤立的病例报告、随机经验、缺乏足够细节来实施科学评价的报告以及未经证实的观点不应被视为有效科学证据。”FDA根据特定申请所提供的全部可用证据来评价临床有效性。同样，公认专业准则建议变异评价者应整合多条证据，以作出临床有效性的诊断。因此，由两个或更多类似的观察性研究组成的病例系列更会被视为是支持基因型-表型关联的证据。</w:t>
      </w:r>
    </w:p>
    <w:p w14:paraId="1090C03D">
      <w:pPr>
        <w:spacing w:before="120"/>
        <w:rPr>
          <w:lang w:eastAsia="zh-CN"/>
        </w:rPr>
      </w:pPr>
      <w:r>
        <w:rPr>
          <w:rFonts w:cs="宋体"/>
          <w:lang w:eastAsia="zh-CN"/>
        </w:rPr>
        <w:t>机构认为此类评价遗传变异的做法有助于保证遗传变异数据库中数据和论断的质量，并在这些方法的基础上制定本指南的建议。</w:t>
      </w:r>
    </w:p>
    <w:p w14:paraId="1C2B98D6">
      <w:pPr>
        <w:spacing w:before="120"/>
        <w:rPr>
          <w:lang w:eastAsia="zh-CN"/>
        </w:rPr>
      </w:pPr>
      <w:r>
        <w:rPr>
          <w:rFonts w:cs="宋体"/>
          <w:lang w:eastAsia="zh-CN"/>
        </w:rPr>
        <w:t>长期以来，FDA认为公开访问支持性数据至关重要，以便所有相关人员（如医疗服务提供者和患者）可尽可能做出最明智的医疗治疗决定。为此，自2003年11月以来，FDA已对从FDA获得上市前批准或重新分类的所有IVD公布一份决定总结，其中包括对申请者提交的分析和临床有效性数据的审查，以支持申请和FDA对IVD进行批准或分类的理由；根据《联邦食品、药品和化妆品法案》（</w:t>
      </w:r>
      <w:r>
        <w:rPr>
          <w:rFonts w:hint="eastAsia" w:cs="宋体"/>
          <w:lang w:eastAsia="zh-CN"/>
        </w:rPr>
        <w:t>《</w:t>
      </w:r>
      <w:r>
        <w:rPr>
          <w:rFonts w:cs="宋体"/>
          <w:lang w:eastAsia="zh-CN"/>
        </w:rPr>
        <w:t>FD&amp;C法案</w:t>
      </w:r>
      <w:r>
        <w:rPr>
          <w:rFonts w:hint="eastAsia" w:cs="宋体"/>
          <w:lang w:eastAsia="zh-CN"/>
        </w:rPr>
        <w:t>》</w:t>
      </w:r>
      <w:r>
        <w:rPr>
          <w:rFonts w:cs="宋体"/>
          <w:lang w:eastAsia="zh-CN"/>
        </w:rPr>
        <w:t>）第520(h)节，FDA仍需公布已批准PMA的安全性和有效性数据总结。FDA认为，类似于公开提供和获取遗传变异数据库中的数据，对于患者和医疗服务提供者做出充分知情的医疗决定至关重要。</w:t>
      </w:r>
    </w:p>
    <w:p w14:paraId="4F9317D1">
      <w:pPr>
        <w:spacing w:before="120"/>
        <w:rPr>
          <w:lang w:eastAsia="zh-CN"/>
        </w:rPr>
      </w:pPr>
      <w:r>
        <w:rPr>
          <w:rFonts w:cs="宋体"/>
          <w:lang w:eastAsia="zh-CN"/>
        </w:rPr>
        <w:br w:type="page"/>
      </w:r>
    </w:p>
    <w:p w14:paraId="5905911B">
      <w:pPr>
        <w:spacing w:before="120"/>
        <w:rPr>
          <w:lang w:eastAsia="zh-CN"/>
        </w:rPr>
      </w:pPr>
      <w:r>
        <w:rPr>
          <w:rFonts w:cs="宋体"/>
          <w:lang w:eastAsia="zh-CN"/>
        </w:rPr>
        <w:t>FDA认为，如果遗传变异数据库遵循本文件的建议，数据库所包括的数据和论断通常会构成有效科学证据，可用于支持FDA批准的临床有效性。</w:t>
      </w:r>
    </w:p>
    <w:p w14:paraId="459C8D07">
      <w:pPr>
        <w:pStyle w:val="36"/>
        <w:numPr>
          <w:ilvl w:val="0"/>
          <w:numId w:val="1"/>
        </w:numPr>
        <w:spacing w:before="120"/>
        <w:ind w:left="643" w:hanging="643" w:hangingChars="200"/>
        <w:outlineLvl w:val="0"/>
        <w:rPr>
          <w:b/>
          <w:bCs/>
          <w:sz w:val="32"/>
          <w:szCs w:val="32"/>
        </w:rPr>
      </w:pPr>
      <w:bookmarkStart w:id="4" w:name="_Toc91756201"/>
      <w:r>
        <w:rPr>
          <w:rFonts w:cs="宋体"/>
          <w:b/>
          <w:sz w:val="32"/>
        </w:rPr>
        <w:t>范围</w:t>
      </w:r>
      <w:bookmarkEnd w:id="4"/>
    </w:p>
    <w:p w14:paraId="21DB25AE">
      <w:pPr>
        <w:spacing w:before="120"/>
        <w:rPr>
          <w:lang w:eastAsia="zh-CN"/>
        </w:rPr>
      </w:pPr>
      <w:r>
        <w:rPr>
          <w:rFonts w:cs="宋体"/>
          <w:lang w:eastAsia="zh-CN"/>
        </w:rPr>
        <w:t>本指南文件描述了FDA在确定遗传变异数据库是否为有效科学证据来源时的考虑因素，这些证据可支持上市前申请中基于遗传和基因组的</w:t>
      </w:r>
      <w:r>
        <w:rPr>
          <w:rFonts w:hint="eastAsia" w:cs="宋体"/>
          <w:lang w:eastAsia="zh-CN"/>
        </w:rPr>
        <w:t>检测</w:t>
      </w:r>
      <w:r>
        <w:rPr>
          <w:rFonts w:cs="宋体"/>
          <w:lang w:eastAsia="zh-CN"/>
        </w:rPr>
        <w:t>的临床有效性，无论该</w:t>
      </w:r>
      <w:r>
        <w:rPr>
          <w:rFonts w:hint="eastAsia" w:cs="宋体"/>
          <w:lang w:eastAsia="zh-CN"/>
        </w:rPr>
        <w:t>检测</w:t>
      </w:r>
      <w:r>
        <w:rPr>
          <w:rFonts w:cs="宋体"/>
          <w:lang w:eastAsia="zh-CN"/>
        </w:rPr>
        <w:t>的技术类型如何（例如，NGS、Sanger测序、PCR）。该指南进一步概述了可公开访问遗传变异数据库的管理员可自愿向FDA申请认可的过程，以及FDA将如何评价此类申请并定期重新评价认可的数据库。</w:t>
      </w:r>
    </w:p>
    <w:p w14:paraId="6F413968">
      <w:pPr>
        <w:spacing w:before="120"/>
        <w:rPr>
          <w:lang w:eastAsia="zh-CN"/>
        </w:rPr>
      </w:pPr>
      <w:r>
        <w:rPr>
          <w:rFonts w:cs="宋体"/>
          <w:lang w:eastAsia="zh-CN"/>
        </w:rPr>
        <w:t>本指南中所讨论的遗传变异数据库仅包括那些对人类遗传变异作出论断的数据库，不包括指导治疗的数据库和用于微生物基因组鉴定和</w:t>
      </w:r>
      <w:r>
        <w:rPr>
          <w:rFonts w:hint="eastAsia" w:cs="宋体"/>
          <w:lang w:eastAsia="zh-CN"/>
        </w:rPr>
        <w:t>检测</w:t>
      </w:r>
      <w:r>
        <w:rPr>
          <w:rFonts w:cs="宋体"/>
          <w:lang w:eastAsia="zh-CN"/>
        </w:rPr>
        <w:t>抗菌素抗性和</w:t>
      </w:r>
      <w:r>
        <w:rPr>
          <w:rFonts w:hint="eastAsia" w:cs="宋体"/>
          <w:lang w:eastAsia="zh-CN"/>
        </w:rPr>
        <w:t>病毒</w:t>
      </w:r>
      <w:r>
        <w:rPr>
          <w:rFonts w:cs="宋体"/>
          <w:lang w:eastAsia="zh-CN"/>
        </w:rPr>
        <w:t>标志物的数据库。本指南不适用于那些用于分类和解释遗传变异的软件，而仅涉及使用人类专家评价的策划数据库的使用。</w:t>
      </w:r>
    </w:p>
    <w:p w14:paraId="344449A3">
      <w:pPr>
        <w:pStyle w:val="36"/>
        <w:numPr>
          <w:ilvl w:val="0"/>
          <w:numId w:val="1"/>
        </w:numPr>
        <w:spacing w:before="120"/>
        <w:ind w:left="643" w:hanging="643" w:hangingChars="200"/>
        <w:outlineLvl w:val="0"/>
        <w:rPr>
          <w:b/>
          <w:bCs/>
          <w:sz w:val="32"/>
          <w:szCs w:val="32"/>
        </w:rPr>
      </w:pPr>
      <w:bookmarkStart w:id="5" w:name="_Toc91756202"/>
      <w:r>
        <w:rPr>
          <w:rFonts w:cs="宋体"/>
          <w:b/>
          <w:sz w:val="32"/>
        </w:rPr>
        <w:t>定义</w:t>
      </w:r>
      <w:bookmarkEnd w:id="5"/>
    </w:p>
    <w:p w14:paraId="3AC9B99F">
      <w:pPr>
        <w:spacing w:before="120"/>
        <w:rPr>
          <w:lang w:eastAsia="zh-CN"/>
        </w:rPr>
      </w:pPr>
      <w:r>
        <w:rPr>
          <w:rFonts w:cs="宋体"/>
          <w:lang w:eastAsia="zh-CN"/>
        </w:rPr>
        <w:t>为使读者了解本指南使用的特定术语，提供了下列定义。这些定义并不意味着对《FD&amp;C法案》、FDA法规、其他法律或其他指南文件中的类似词汇或词组的新解读或阐明。</w:t>
      </w:r>
    </w:p>
    <w:p w14:paraId="67E2E692">
      <w:pPr>
        <w:pStyle w:val="36"/>
        <w:numPr>
          <w:ilvl w:val="0"/>
          <w:numId w:val="2"/>
        </w:numPr>
        <w:spacing w:before="120"/>
        <w:ind w:left="704" w:firstLineChars="0"/>
        <w:rPr>
          <w:lang w:eastAsia="zh-CN"/>
        </w:rPr>
      </w:pPr>
      <w:r>
        <w:rPr>
          <w:rFonts w:cs="宋体"/>
          <w:lang w:eastAsia="zh-CN"/>
        </w:rPr>
        <w:t>汇总：系统地收集、输入和</w:t>
      </w:r>
      <w:r>
        <w:rPr>
          <w:rFonts w:hint="eastAsia" w:cs="宋体"/>
          <w:lang w:eastAsia="zh-CN"/>
        </w:rPr>
        <w:t>维护</w:t>
      </w:r>
      <w:r>
        <w:rPr>
          <w:rFonts w:cs="宋体"/>
          <w:lang w:eastAsia="zh-CN"/>
        </w:rPr>
        <w:t>遗传变异数据库中变异数据的过程。该过程可能要求数据符合特定格式。</w:t>
      </w:r>
    </w:p>
    <w:p w14:paraId="06B458C4">
      <w:pPr>
        <w:pStyle w:val="36"/>
        <w:numPr>
          <w:ilvl w:val="0"/>
          <w:numId w:val="2"/>
        </w:numPr>
        <w:spacing w:before="120"/>
        <w:ind w:left="704" w:firstLineChars="0"/>
        <w:rPr>
          <w:lang w:eastAsia="zh-CN"/>
        </w:rPr>
      </w:pPr>
      <w:r>
        <w:rPr>
          <w:rFonts w:cs="宋体"/>
          <w:lang w:eastAsia="zh-CN"/>
        </w:rPr>
        <w:t>论断：根据目前对某一特定变异的了解，对基因型-表型相关性（或缺乏相关性）的知情评价。论断通常在特定变异的遗传变异数据库条目中注明（如：良性、耐药性等）。</w:t>
      </w:r>
    </w:p>
    <w:p w14:paraId="4FBE15FE">
      <w:pPr>
        <w:pStyle w:val="36"/>
        <w:numPr>
          <w:ilvl w:val="0"/>
          <w:numId w:val="2"/>
        </w:numPr>
        <w:spacing w:before="120"/>
        <w:ind w:left="704" w:firstLineChars="0"/>
        <w:rPr>
          <w:lang w:eastAsia="zh-CN"/>
        </w:rPr>
      </w:pPr>
      <w:r>
        <w:rPr>
          <w:rFonts w:cs="宋体"/>
          <w:lang w:eastAsia="zh-CN"/>
        </w:rPr>
        <w:t>策划：从各种来源选择有关特定变异的数据并随着时间的推移进行注释的过程。</w:t>
      </w:r>
    </w:p>
    <w:p w14:paraId="4A5E935B">
      <w:pPr>
        <w:spacing w:before="120"/>
        <w:rPr>
          <w:lang w:eastAsia="zh-CN"/>
        </w:rPr>
      </w:pPr>
      <w:r>
        <w:rPr>
          <w:rFonts w:cs="宋体"/>
          <w:lang w:eastAsia="zh-CN"/>
        </w:rPr>
        <w:br w:type="page"/>
      </w:r>
    </w:p>
    <w:p w14:paraId="2947DAFC">
      <w:pPr>
        <w:pStyle w:val="36"/>
        <w:numPr>
          <w:ilvl w:val="0"/>
          <w:numId w:val="2"/>
        </w:numPr>
        <w:spacing w:before="120"/>
        <w:ind w:left="704" w:firstLineChars="0"/>
        <w:rPr>
          <w:lang w:eastAsia="zh-CN"/>
        </w:rPr>
      </w:pPr>
      <w:r>
        <w:rPr>
          <w:rFonts w:cs="宋体"/>
          <w:lang w:eastAsia="zh-CN"/>
        </w:rPr>
        <w:t>数据管理员：FDA认为许多数据库不可使用“管理员”这一术语，或者可</w:t>
      </w:r>
      <w:r>
        <w:rPr>
          <w:rFonts w:hint="eastAsia" w:cs="宋体"/>
          <w:lang w:eastAsia="zh-CN"/>
        </w:rPr>
        <w:t>拥有一个由多个个人成员组成的委员会具体</w:t>
      </w:r>
      <w:r>
        <w:rPr>
          <w:rFonts w:cs="宋体"/>
          <w:lang w:eastAsia="zh-CN"/>
        </w:rPr>
        <w:t>监</w:t>
      </w:r>
      <w:r>
        <w:rPr>
          <w:rFonts w:hint="eastAsia" w:cs="宋体"/>
          <w:lang w:eastAsia="zh-CN"/>
        </w:rPr>
        <w:t>管</w:t>
      </w:r>
      <w:r>
        <w:rPr>
          <w:rFonts w:cs="宋体"/>
          <w:lang w:eastAsia="zh-CN"/>
        </w:rPr>
        <w:t>数据库。因此，在本指南中，遗传变异数据库管理员是指监督数据库运作的一个或多个实体。</w:t>
      </w:r>
    </w:p>
    <w:p w14:paraId="44A8AF9E">
      <w:pPr>
        <w:pStyle w:val="36"/>
        <w:numPr>
          <w:ilvl w:val="0"/>
          <w:numId w:val="2"/>
        </w:numPr>
        <w:spacing w:before="120"/>
        <w:ind w:left="704" w:firstLineChars="0"/>
        <w:rPr>
          <w:lang w:eastAsia="zh-CN"/>
        </w:rPr>
      </w:pPr>
      <w:r>
        <w:rPr>
          <w:rFonts w:cs="宋体"/>
          <w:lang w:eastAsia="zh-CN"/>
        </w:rPr>
        <w:t>评价：与遗传变异数据库有关的个人评价有关遗传变异与疾病或病症之间联系的证据，并对该联系（或缺乏联系）作出论断的过程。</w:t>
      </w:r>
    </w:p>
    <w:p w14:paraId="16661179">
      <w:pPr>
        <w:pStyle w:val="36"/>
        <w:numPr>
          <w:ilvl w:val="0"/>
          <w:numId w:val="2"/>
        </w:numPr>
        <w:spacing w:before="120"/>
        <w:ind w:left="704" w:firstLineChars="0"/>
        <w:rPr>
          <w:lang w:eastAsia="zh-CN"/>
        </w:rPr>
      </w:pPr>
      <w:r>
        <w:rPr>
          <w:rFonts w:cs="宋体"/>
          <w:lang w:eastAsia="zh-CN"/>
        </w:rPr>
        <w:t>方案：用于指导评价变异与疾病或病症之间基因型-表型关系的基于证据的工具（如决策矩阵、评分系统、算法等）。</w:t>
      </w:r>
    </w:p>
    <w:p w14:paraId="64B916F6">
      <w:pPr>
        <w:pStyle w:val="36"/>
        <w:numPr>
          <w:ilvl w:val="0"/>
          <w:numId w:val="1"/>
        </w:numPr>
        <w:spacing w:before="120"/>
        <w:ind w:left="643" w:hanging="643" w:hangingChars="200"/>
        <w:outlineLvl w:val="0"/>
        <w:rPr>
          <w:b/>
          <w:bCs/>
          <w:sz w:val="32"/>
          <w:szCs w:val="32"/>
          <w:lang w:eastAsia="zh-CN"/>
        </w:rPr>
      </w:pPr>
      <w:bookmarkStart w:id="6" w:name="_Toc91756203"/>
      <w:r>
        <w:rPr>
          <w:rFonts w:cs="宋体"/>
          <w:b/>
          <w:sz w:val="32"/>
          <w:lang w:eastAsia="zh-CN"/>
        </w:rPr>
        <w:t>建议支持认可</w:t>
      </w:r>
      <w:r>
        <w:rPr>
          <w:rFonts w:hint="eastAsia" w:cs="宋体"/>
          <w:b/>
          <w:sz w:val="32"/>
          <w:lang w:eastAsia="zh-CN"/>
        </w:rPr>
        <w:t>公众可及</w:t>
      </w:r>
      <w:r>
        <w:rPr>
          <w:rFonts w:cs="宋体"/>
          <w:b/>
          <w:sz w:val="32"/>
          <w:lang w:eastAsia="zh-CN"/>
        </w:rPr>
        <w:t>的人类遗传变异数据库作为支持基于遗传和基因组的</w:t>
      </w:r>
      <w:r>
        <w:rPr>
          <w:rFonts w:hint="eastAsia" w:cs="宋体"/>
          <w:b/>
          <w:sz w:val="32"/>
          <w:lang w:eastAsia="zh-CN"/>
        </w:rPr>
        <w:t>检测</w:t>
      </w:r>
      <w:r>
        <w:rPr>
          <w:rFonts w:cs="宋体"/>
          <w:b/>
          <w:sz w:val="32"/>
          <w:lang w:eastAsia="zh-CN"/>
        </w:rPr>
        <w:t>的临床有效性的有效科学证据来源</w:t>
      </w:r>
      <w:bookmarkEnd w:id="6"/>
    </w:p>
    <w:p w14:paraId="2BB2CA90">
      <w:pPr>
        <w:spacing w:before="120"/>
        <w:rPr>
          <w:lang w:eastAsia="zh-CN"/>
        </w:rPr>
      </w:pPr>
      <w:r>
        <w:rPr>
          <w:rFonts w:cs="宋体"/>
          <w:lang w:eastAsia="zh-CN"/>
        </w:rPr>
        <w:t>FDA认为，符合以下建议的遗传变异数据库所包含的证据和论断通常构成有效科学证据，可用于支持上市前申请中基于遗传和基因组的</w:t>
      </w:r>
      <w:r>
        <w:rPr>
          <w:rFonts w:hint="eastAsia" w:cs="宋体"/>
          <w:lang w:eastAsia="zh-CN"/>
        </w:rPr>
        <w:t>检测</w:t>
      </w:r>
      <w:r>
        <w:rPr>
          <w:rFonts w:cs="宋体"/>
          <w:lang w:eastAsia="zh-CN"/>
        </w:rPr>
        <w:t>的临床有效性，因此，此类数据库可获FDA认可</w:t>
      </w:r>
      <w:r>
        <w:rPr>
          <w:rFonts w:hint="eastAsia" w:cs="宋体"/>
          <w:lang w:eastAsia="zh-CN"/>
        </w:rPr>
        <w:t>并</w:t>
      </w:r>
      <w:r>
        <w:rPr>
          <w:rFonts w:cs="宋体"/>
          <w:lang w:eastAsia="zh-CN"/>
        </w:rPr>
        <w:t>用于此类用途。</w:t>
      </w:r>
    </w:p>
    <w:p w14:paraId="0511BF12">
      <w:pPr>
        <w:spacing w:before="120"/>
        <w:rPr>
          <w:lang w:eastAsia="zh-CN"/>
        </w:rPr>
      </w:pPr>
      <w:r>
        <w:rPr>
          <w:rFonts w:cs="宋体"/>
          <w:lang w:eastAsia="zh-CN"/>
        </w:rPr>
        <w:t>FDA认为，此类遗传变异数据库将：（1）以能够为源数据的质量及其证据审查和变异论断提供足够信息和保证的方式运作；（2）为其数据来源和运作提供透明度，特别是围绕如何评价变异证据；（3）在收集、储存和报告数据和结论时遵守所有关于受保护的健康信息、患者隐私、研究受试者保护和数据安全的适用要求；以及（4）存放经确认方法产生的遗传变异信息。</w:t>
      </w:r>
    </w:p>
    <w:p w14:paraId="14DBD754">
      <w:pPr>
        <w:spacing w:before="120"/>
        <w:rPr>
          <w:lang w:eastAsia="zh-CN"/>
        </w:rPr>
      </w:pPr>
      <w:r>
        <w:rPr>
          <w:rFonts w:cs="宋体"/>
          <w:lang w:eastAsia="zh-CN"/>
        </w:rPr>
        <w:t>在以下小节中，FDA讨论了关于遗传变异数据库的运作以及其中数据汇总、整理和评价的建议，以便这些数据通常构成支持临床有效性的有效科学证据。FDA认为各遗传变异数据库可能有不同</w:t>
      </w:r>
      <w:r>
        <w:rPr>
          <w:rFonts w:hint="eastAsia" w:cs="宋体"/>
          <w:lang w:eastAsia="zh-CN"/>
        </w:rPr>
        <w:t xml:space="preserve">， </w:t>
      </w:r>
      <w:r>
        <w:rPr>
          <w:rFonts w:cs="宋体"/>
          <w:lang w:eastAsia="zh-CN"/>
        </w:rPr>
        <w:t>但</w:t>
      </w:r>
      <w:r>
        <w:rPr>
          <w:rFonts w:hint="eastAsia" w:cs="宋体"/>
          <w:lang w:eastAsia="zh-CN"/>
        </w:rPr>
        <w:t>应通过</w:t>
      </w:r>
      <w:r>
        <w:rPr>
          <w:rFonts w:cs="宋体"/>
          <w:lang w:eastAsia="zh-CN"/>
        </w:rPr>
        <w:t>同样具有科学有效性的方法来保证数据质量、临床相关性、数据安全、患者隐私和透明度。此外，FDA意识到某些专业协会已经或正在制定遗传变异整理和评价准则，这些准则可能因学科而异，但在其目的范围内可能都是适当的。遗传变异数据库管理员应集中精力，确保其程序和质量要求足够稳健，以便为他们关于基因型-表型关联的论断提供高度信心。</w:t>
      </w:r>
    </w:p>
    <w:p w14:paraId="50E0776C">
      <w:pPr>
        <w:spacing w:before="120"/>
        <w:rPr>
          <w:lang w:eastAsia="zh-CN"/>
        </w:rPr>
      </w:pPr>
      <w:r>
        <w:rPr>
          <w:rFonts w:cs="宋体"/>
          <w:lang w:eastAsia="zh-CN"/>
        </w:rPr>
        <w:br w:type="page"/>
      </w:r>
    </w:p>
    <w:p w14:paraId="4E525621">
      <w:pPr>
        <w:pStyle w:val="36"/>
        <w:numPr>
          <w:ilvl w:val="0"/>
          <w:numId w:val="3"/>
        </w:numPr>
        <w:spacing w:before="120"/>
        <w:ind w:left="1162" w:leftChars="250" w:hanging="562" w:hangingChars="200"/>
        <w:outlineLvl w:val="1"/>
        <w:rPr>
          <w:b/>
          <w:bCs/>
          <w:sz w:val="28"/>
          <w:szCs w:val="28"/>
        </w:rPr>
      </w:pPr>
      <w:bookmarkStart w:id="7" w:name="_Toc91756204"/>
      <w:r>
        <w:rPr>
          <w:rFonts w:cs="宋体"/>
          <w:b/>
          <w:sz w:val="28"/>
        </w:rPr>
        <w:t>数据库程序和运作</w:t>
      </w:r>
      <w:bookmarkEnd w:id="7"/>
    </w:p>
    <w:p w14:paraId="47BF1F68">
      <w:pPr>
        <w:spacing w:before="120"/>
        <w:rPr>
          <w:lang w:eastAsia="zh-CN"/>
        </w:rPr>
      </w:pPr>
      <w:r>
        <w:rPr>
          <w:rFonts w:cs="宋体"/>
          <w:i/>
          <w:lang w:eastAsia="zh-CN"/>
        </w:rPr>
        <w:t>透明度和</w:t>
      </w:r>
      <w:r>
        <w:rPr>
          <w:rFonts w:hint="eastAsia" w:cs="宋体"/>
          <w:i/>
          <w:lang w:eastAsia="zh-CN"/>
        </w:rPr>
        <w:t>公众可及</w:t>
      </w:r>
      <w:r>
        <w:rPr>
          <w:rFonts w:cs="宋体"/>
          <w:i/>
          <w:lang w:eastAsia="zh-CN"/>
        </w:rPr>
        <w:t>性</w:t>
      </w:r>
      <w:r>
        <w:rPr>
          <w:rFonts w:cs="宋体"/>
          <w:lang w:eastAsia="zh-CN"/>
        </w:rPr>
        <w:t>：FDA建议遗传变异数据库管理员公开有关数据来源和评价证据的标准操作程序（SOP）的足够信息，以便FDA和公众了解用于收集和评价变异证据的标准和过程，使患者和医疗服务提供者能够作出充分知情的医疗决定。</w:t>
      </w:r>
    </w:p>
    <w:p w14:paraId="0A24B672">
      <w:pPr>
        <w:spacing w:before="120"/>
        <w:rPr>
          <w:lang w:eastAsia="zh-CN"/>
        </w:rPr>
      </w:pPr>
      <w:r>
        <w:rPr>
          <w:rFonts w:cs="宋体"/>
          <w:i/>
          <w:lang w:eastAsia="zh-CN"/>
        </w:rPr>
        <w:t>SOP版本控制</w:t>
      </w:r>
      <w:r>
        <w:rPr>
          <w:rFonts w:cs="宋体"/>
          <w:lang w:eastAsia="zh-CN"/>
        </w:rPr>
        <w:t>：SOP应定义如何汇总、策划和评价变异信息。应记录这些SOP并进行版本控制。应明确记录SOP变更，并提供足够详细的变更信息，同时进行必要解释，以确保所有利益相关者了解程序变更所带来的任何局限性或影响。为了</w:t>
      </w:r>
      <w:r>
        <w:rPr>
          <w:rFonts w:hint="eastAsia" w:cs="宋体"/>
          <w:lang w:eastAsia="zh-CN"/>
        </w:rPr>
        <w:t>维护</w:t>
      </w:r>
      <w:r>
        <w:rPr>
          <w:rFonts w:cs="宋体"/>
          <w:lang w:eastAsia="zh-CN"/>
        </w:rPr>
        <w:t>优质变异论断，并确保遗传变异数据库的运作紧随技术和科学知识的发展，应每年对运作和SOP审查至少一次。</w:t>
      </w:r>
    </w:p>
    <w:p w14:paraId="3D77E8D7">
      <w:pPr>
        <w:spacing w:before="120"/>
        <w:rPr>
          <w:lang w:eastAsia="zh-CN"/>
        </w:rPr>
      </w:pPr>
      <w:r>
        <w:rPr>
          <w:rFonts w:cs="宋体"/>
          <w:i/>
          <w:lang w:eastAsia="zh-CN"/>
        </w:rPr>
        <w:t>数据保存</w:t>
      </w:r>
      <w:r>
        <w:rPr>
          <w:rFonts w:cs="宋体"/>
          <w:lang w:eastAsia="zh-CN"/>
        </w:rPr>
        <w:t>：FDA建议遗传变异数据库管理员制定</w:t>
      </w:r>
      <w:r>
        <w:rPr>
          <w:rFonts w:hint="eastAsia" w:cs="宋体"/>
          <w:lang w:eastAsia="zh-CN"/>
        </w:rPr>
        <w:t>流程</w:t>
      </w:r>
      <w:r>
        <w:rPr>
          <w:rFonts w:cs="宋体"/>
          <w:lang w:eastAsia="zh-CN"/>
        </w:rPr>
        <w:t>，以评价整个数据库的稳定性和结构，并确保数据联系得到适当维护。当遗传变异数据库包含与二级数据库的联系时，遗传变异数据库管理员应具有识别二级数据库变更的预定程序，并在一级数据库的版本控制中对其进行说明。FDA建议遗传变异数据库管理员定期对数据库进行备份，以便在必要时恢复。</w:t>
      </w:r>
    </w:p>
    <w:p w14:paraId="3C2C4723">
      <w:pPr>
        <w:spacing w:before="120"/>
        <w:rPr>
          <w:lang w:eastAsia="zh-CN"/>
        </w:rPr>
      </w:pPr>
      <w:r>
        <w:rPr>
          <w:rFonts w:cs="宋体"/>
          <w:lang w:eastAsia="zh-CN"/>
        </w:rPr>
        <w:t>遗传变异数据库管理员应制定计划，以确保在遗传变异数据库永久或暂时停止运作时（如数据库失去</w:t>
      </w:r>
      <w:r>
        <w:rPr>
          <w:rFonts w:hint="eastAsia" w:cs="宋体"/>
          <w:lang w:eastAsia="zh-CN"/>
        </w:rPr>
        <w:t>维护</w:t>
      </w:r>
      <w:r>
        <w:rPr>
          <w:rFonts w:cs="宋体"/>
          <w:lang w:eastAsia="zh-CN"/>
        </w:rPr>
        <w:t>资金、基础设施升级），数据库内容和过程得以保存。应确定在遗传变异数据库停止运作的情况下存放数据（包括版本信息和支持性SOP和文件）的地点。</w:t>
      </w:r>
    </w:p>
    <w:p w14:paraId="09B1EB0D">
      <w:pPr>
        <w:spacing w:before="120"/>
        <w:rPr>
          <w:lang w:eastAsia="zh-CN"/>
        </w:rPr>
      </w:pPr>
      <w:r>
        <w:rPr>
          <w:rFonts w:cs="宋体"/>
          <w:i/>
          <w:lang w:eastAsia="zh-CN"/>
        </w:rPr>
        <w:t>安全和隐私</w:t>
      </w:r>
      <w:r>
        <w:rPr>
          <w:rFonts w:cs="宋体"/>
          <w:lang w:eastAsia="zh-CN"/>
        </w:rPr>
        <w:t>：遗传变异数据库的运作必须符合所有涉及受保护的健康信息、患者隐私、人体研究和数据安全（如适用）的适用联邦法律和法规（如《健康保险便携性和责任法案》、《遗传信息非歧视法案》、《隐私法案》、《联邦人类受试者保护政策》（“共同规则”）等）。基因数据库管理员应确定适用的法律和法规，以确保任何要求均得到解决并以透明的方式记录。遗传变异数据库管理员还应采取适当的安全措施，确保个人身份信息和受保护健康信息的保护和隐私，并为数据库工作人员提供安全和隐私保护方面的培训。</w:t>
      </w:r>
    </w:p>
    <w:p w14:paraId="09930354">
      <w:pPr>
        <w:spacing w:before="120"/>
        <w:rPr>
          <w:lang w:eastAsia="zh-CN"/>
        </w:rPr>
      </w:pPr>
      <w:r>
        <w:rPr>
          <w:rFonts w:cs="宋体"/>
          <w:i/>
          <w:lang w:eastAsia="zh-CN"/>
        </w:rPr>
        <w:t>数据格式和命名法</w:t>
      </w:r>
      <w:r>
        <w:rPr>
          <w:rFonts w:cs="宋体"/>
          <w:lang w:eastAsia="zh-CN"/>
        </w:rPr>
        <w:t>：为了方便遗传变异数据库用于监管目的，并帮助确保变异论断的准确性和质量，遗传变异数据库管理员应采用普遍接受的数据格式，并确定基因数据库所使用的格式。此外，遗传变异数据库应使用基因组学界广泛接受的一致命名法，用于基因名称和/或符号、基因组坐标、变异、描述的临床和功能特征以及分类。遗传变异数据库管理员还应提供关于使用何种命名法的说明，以使FDA和外部用户能够准确理解所提供的信息。该标准化将有助于最大限度地减少关于变异的模糊性，并更好地在不同数据库或其他实体之间进行变异论断的比较。</w:t>
      </w:r>
    </w:p>
    <w:p w14:paraId="67F36A6E">
      <w:pPr>
        <w:spacing w:before="120"/>
        <w:rPr>
          <w:lang w:eastAsia="zh-CN"/>
        </w:rPr>
      </w:pPr>
      <w:r>
        <w:rPr>
          <w:rFonts w:cs="宋体"/>
          <w:lang w:eastAsia="zh-CN"/>
        </w:rPr>
        <w:br w:type="page"/>
      </w:r>
    </w:p>
    <w:p w14:paraId="0046F1A8">
      <w:pPr>
        <w:pStyle w:val="36"/>
        <w:numPr>
          <w:ilvl w:val="0"/>
          <w:numId w:val="3"/>
        </w:numPr>
        <w:spacing w:before="120"/>
        <w:ind w:left="1162" w:leftChars="250" w:hanging="562" w:hangingChars="200"/>
        <w:outlineLvl w:val="1"/>
        <w:rPr>
          <w:b/>
          <w:bCs/>
          <w:sz w:val="28"/>
          <w:szCs w:val="28"/>
        </w:rPr>
      </w:pPr>
      <w:bookmarkStart w:id="8" w:name="_Toc91756205"/>
      <w:r>
        <w:rPr>
          <w:rFonts w:cs="宋体"/>
          <w:b/>
          <w:sz w:val="28"/>
        </w:rPr>
        <w:t>数据质量</w:t>
      </w:r>
      <w:bookmarkEnd w:id="8"/>
    </w:p>
    <w:p w14:paraId="3CB15887">
      <w:pPr>
        <w:spacing w:before="120"/>
        <w:rPr>
          <w:lang w:eastAsia="zh-CN"/>
        </w:rPr>
      </w:pPr>
      <w:r>
        <w:rPr>
          <w:rFonts w:cs="宋体"/>
          <w:lang w:eastAsia="zh-CN"/>
        </w:rPr>
        <w:t>置于遗传变异数据库的基因型和表现型数据或临床信息必须有足够质量</w:t>
      </w:r>
      <w:r>
        <w:rPr>
          <w:rFonts w:hint="eastAsia" w:cs="宋体"/>
          <w:lang w:eastAsia="zh-CN"/>
        </w:rPr>
        <w:t>保证</w:t>
      </w:r>
      <w:r>
        <w:rPr>
          <w:rFonts w:cs="宋体"/>
          <w:lang w:eastAsia="zh-CN"/>
        </w:rPr>
        <w:t>，并以当前科学知识为基础，以便合理确保将特定基因变异与疾病或病症联系起来的论断是准确的。</w:t>
      </w:r>
    </w:p>
    <w:p w14:paraId="7A9E0A1C">
      <w:pPr>
        <w:spacing w:before="120"/>
        <w:rPr>
          <w:lang w:eastAsia="zh-CN"/>
        </w:rPr>
      </w:pPr>
      <w:r>
        <w:rPr>
          <w:rFonts w:cs="宋体"/>
          <w:i/>
          <w:lang w:eastAsia="zh-CN"/>
        </w:rPr>
        <w:t>元数据</w:t>
      </w:r>
      <w:r>
        <w:rPr>
          <w:rFonts w:cs="宋体"/>
          <w:lang w:eastAsia="zh-CN"/>
        </w:rPr>
        <w:t>：遗传变异数据库中的变异数据应附有与变异类型相应的元数据。在可能或适用的范围内，该元数据应包括用于</w:t>
      </w:r>
      <w:r>
        <w:rPr>
          <w:rFonts w:hint="eastAsia" w:cs="宋体"/>
          <w:lang w:eastAsia="zh-CN"/>
        </w:rPr>
        <w:t>检测</w:t>
      </w:r>
      <w:r>
        <w:rPr>
          <w:rFonts w:cs="宋体"/>
          <w:lang w:eastAsia="zh-CN"/>
        </w:rPr>
        <w:t>变异的</w:t>
      </w:r>
      <w:r>
        <w:rPr>
          <w:rFonts w:hint="eastAsia" w:cs="宋体"/>
          <w:lang w:eastAsia="zh-CN"/>
        </w:rPr>
        <w:t>检测</w:t>
      </w:r>
      <w:r>
        <w:rPr>
          <w:rFonts w:cs="宋体"/>
          <w:lang w:eastAsia="zh-CN"/>
        </w:rPr>
        <w:t>的分析性能信息，包括报告该变异的独立实验室和/或研究数量、报告该变异的实验室名称、用于</w:t>
      </w:r>
      <w:r>
        <w:rPr>
          <w:rFonts w:hint="eastAsia" w:cs="宋体"/>
          <w:lang w:eastAsia="zh-CN"/>
        </w:rPr>
        <w:t>检测</w:t>
      </w:r>
      <w:r>
        <w:rPr>
          <w:rFonts w:cs="宋体"/>
          <w:lang w:eastAsia="zh-CN"/>
        </w:rPr>
        <w:t>变异的</w:t>
      </w:r>
      <w:r>
        <w:rPr>
          <w:rFonts w:hint="eastAsia" w:cs="宋体"/>
          <w:lang w:eastAsia="zh-CN"/>
        </w:rPr>
        <w:t>检测</w:t>
      </w:r>
      <w:r>
        <w:rPr>
          <w:rFonts w:cs="宋体"/>
          <w:lang w:eastAsia="zh-CN"/>
        </w:rPr>
        <w:t>名称，以及所用</w:t>
      </w:r>
      <w:r>
        <w:rPr>
          <w:rFonts w:hint="eastAsia" w:cs="宋体"/>
          <w:lang w:eastAsia="zh-CN"/>
        </w:rPr>
        <w:t>检测</w:t>
      </w:r>
      <w:r>
        <w:rPr>
          <w:rFonts w:cs="宋体"/>
          <w:lang w:eastAsia="zh-CN"/>
        </w:rPr>
        <w:t>的技术特征细节（例如，参考序列版本或构建、仪器、软件、生物信息学工具等）。对于生殖系变异，元数据也应尽可能包括变异特征（可能包括但不限于患者的种族、接合性、相位和分离）。对于体细胞变异，元数据应尽可能包括关于</w:t>
      </w:r>
      <w:r>
        <w:rPr>
          <w:rFonts w:hint="eastAsia" w:cs="宋体"/>
          <w:lang w:eastAsia="zh-CN"/>
        </w:rPr>
        <w:t>检测</w:t>
      </w:r>
      <w:r>
        <w:rPr>
          <w:rFonts w:cs="宋体"/>
          <w:lang w:eastAsia="zh-CN"/>
        </w:rPr>
        <w:t>到变异的背景的补充信息（可以包括但不限于变异等位基因频率、仅肿瘤与肿瘤-正常匹配测序、细胞性）。对于多种遗传变异因素决定患某种疾病或病症的总体风险的情况，数据库管理员应在元数据中包括所用的任何多变异或多基因评分方法。在适用情况下，数据库管理员还应包括尽可能多的关于环境暴露对基因型相关疾病或病症发展的贡献的信息。</w:t>
      </w:r>
    </w:p>
    <w:p w14:paraId="1BF6BEF2">
      <w:pPr>
        <w:spacing w:before="120"/>
        <w:rPr>
          <w:lang w:eastAsia="zh-CN"/>
        </w:rPr>
      </w:pPr>
      <w:r>
        <w:rPr>
          <w:rFonts w:cs="宋体"/>
          <w:lang w:eastAsia="zh-CN"/>
        </w:rPr>
        <w:t>遗传变异数据库应清楚、透明地记录用于支持变异论断的证据来源（如文献、详细记录的病例史）。如第IV. A节所述，数据库管理员在收集和报告该元数据时应考虑到适用的安全和隐私要求。</w:t>
      </w:r>
    </w:p>
    <w:p w14:paraId="64081D9B">
      <w:pPr>
        <w:spacing w:before="120"/>
        <w:rPr>
          <w:lang w:eastAsia="zh-CN"/>
        </w:rPr>
      </w:pPr>
      <w:r>
        <w:rPr>
          <w:rFonts w:cs="宋体"/>
          <w:i/>
          <w:lang w:eastAsia="zh-CN"/>
        </w:rPr>
        <w:t>数据唯一性</w:t>
      </w:r>
      <w:r>
        <w:rPr>
          <w:rFonts w:cs="宋体"/>
          <w:lang w:eastAsia="zh-CN"/>
        </w:rPr>
        <w:t>：遗传变异数据库的运作还应包括一些确保单个数据点（例如，来自一个人的特定表型变异）在数据库中显示不超过一次的方法。</w:t>
      </w:r>
    </w:p>
    <w:p w14:paraId="2664BF64">
      <w:pPr>
        <w:pStyle w:val="36"/>
        <w:numPr>
          <w:ilvl w:val="0"/>
          <w:numId w:val="3"/>
        </w:numPr>
        <w:spacing w:before="120"/>
        <w:ind w:left="1162" w:leftChars="250" w:hanging="562" w:hangingChars="200"/>
        <w:outlineLvl w:val="1"/>
        <w:rPr>
          <w:b/>
          <w:bCs/>
          <w:sz w:val="28"/>
          <w:szCs w:val="28"/>
        </w:rPr>
      </w:pPr>
      <w:bookmarkStart w:id="9" w:name="_Toc91756206"/>
      <w:r>
        <w:rPr>
          <w:rFonts w:cs="宋体"/>
          <w:b/>
          <w:sz w:val="28"/>
        </w:rPr>
        <w:t>变异评价和论断</w:t>
      </w:r>
      <w:bookmarkEnd w:id="9"/>
    </w:p>
    <w:p w14:paraId="020F3161">
      <w:pPr>
        <w:spacing w:before="120"/>
      </w:pPr>
      <w:r>
        <w:rPr>
          <w:rFonts w:cs="宋体"/>
        </w:rPr>
        <w:br w:type="page"/>
      </w:r>
    </w:p>
    <w:p w14:paraId="1BE605BF">
      <w:pPr>
        <w:spacing w:before="120"/>
        <w:rPr>
          <w:lang w:eastAsia="zh-CN"/>
        </w:rPr>
      </w:pPr>
      <w:r>
        <w:rPr>
          <w:rFonts w:cs="宋体"/>
          <w:i/>
          <w:lang w:eastAsia="zh-CN"/>
        </w:rPr>
        <w:t>变异评价</w:t>
      </w:r>
      <w:r>
        <w:rPr>
          <w:rFonts w:cs="宋体"/>
          <w:lang w:eastAsia="zh-CN"/>
        </w:rPr>
        <w:t>：变异评价的书面SOP（包括对临床实践指南、同行评审文献和预策划知识库中数据的评价）应开放给公众进行审查。SOP通常应包括已确认的评价方案。所有遗传变异数据库的评价规则以及未来对这些规则的修改均应加以解释并开放给公众。此外，如果将来自其他来源的变异论断整合到遗传变异数据库中，则应明确指出这些外部来源的评价过程和数据质量，并由数据库管理员定期进行审计。</w:t>
      </w:r>
    </w:p>
    <w:p w14:paraId="62772A02">
      <w:pPr>
        <w:spacing w:before="120"/>
        <w:rPr>
          <w:lang w:eastAsia="zh-CN"/>
        </w:rPr>
      </w:pPr>
      <w:r>
        <w:rPr>
          <w:rFonts w:cs="宋体"/>
          <w:lang w:eastAsia="zh-CN"/>
        </w:rPr>
        <w:t>FDA认为各变异评价应由至少两名经过培训的合格</w:t>
      </w:r>
      <w:r>
        <w:rPr>
          <w:rFonts w:hint="eastAsia" w:cs="宋体"/>
          <w:lang w:eastAsia="zh-CN"/>
        </w:rPr>
        <w:t>的</w:t>
      </w:r>
      <w:r>
        <w:rPr>
          <w:rFonts w:cs="宋体"/>
          <w:lang w:eastAsia="zh-CN"/>
        </w:rPr>
        <w:t>专业人员进行，以减少错误作出任何一个论断的风险。如果数据库管理员不可能让两位独立专业人员评价相同变异，应有缓解错误论断风险的其他方法（例如，多层次审查，使用</w:t>
      </w:r>
      <w:r>
        <w:rPr>
          <w:rFonts w:hint="eastAsia" w:cs="宋体"/>
          <w:lang w:eastAsia="zh-CN"/>
        </w:rPr>
        <w:t>策展人</w:t>
      </w:r>
      <w:r>
        <w:rPr>
          <w:rFonts w:cs="宋体"/>
          <w:lang w:eastAsia="zh-CN"/>
        </w:rPr>
        <w:t>培训模块）。此外，遗传变异数据库应有解决内部评价差异的SOP。公开提供这些活动的SOP将有利于外部用户对变异评价中所用的证据进行审查。</w:t>
      </w:r>
    </w:p>
    <w:p w14:paraId="1093735C">
      <w:pPr>
        <w:spacing w:before="120"/>
        <w:rPr>
          <w:lang w:eastAsia="zh-CN"/>
        </w:rPr>
      </w:pPr>
      <w:r>
        <w:rPr>
          <w:rFonts w:cs="宋体"/>
          <w:lang w:eastAsia="zh-CN"/>
        </w:rPr>
        <w:t>FDA认为，使用公开和经确认的变异评价方案对于保证遗传变异数据库的论断构成支持</w:t>
      </w:r>
      <w:r>
        <w:rPr>
          <w:rFonts w:hint="eastAsia" w:cs="宋体"/>
          <w:lang w:eastAsia="zh-CN"/>
        </w:rPr>
        <w:t>检测</w:t>
      </w:r>
      <w:r>
        <w:rPr>
          <w:rFonts w:cs="宋体"/>
          <w:lang w:eastAsia="zh-CN"/>
        </w:rPr>
        <w:t>临床有效性的有效科学证据至关重要。FDA审查员根据</w:t>
      </w:r>
      <w:r>
        <w:rPr>
          <w:rFonts w:hint="eastAsia" w:cs="宋体"/>
          <w:lang w:eastAsia="zh-CN"/>
        </w:rPr>
        <w:t>检测</w:t>
      </w:r>
      <w:r>
        <w:rPr>
          <w:rFonts w:cs="宋体"/>
          <w:lang w:eastAsia="zh-CN"/>
        </w:rPr>
        <w:t>的预期用途和使用条件来评价证据，</w:t>
      </w:r>
      <w:r>
        <w:rPr>
          <w:rFonts w:cs="宋体"/>
          <w:vertAlign w:val="superscript"/>
          <w:lang w:eastAsia="zh-CN"/>
        </w:rPr>
        <w:t>3</w:t>
      </w:r>
      <w:r>
        <w:rPr>
          <w:rFonts w:cs="宋体"/>
          <w:lang w:eastAsia="zh-CN"/>
        </w:rPr>
        <w:t>包括在审查中考虑有关基因或疾病的具体事实（例如，疾病的人群发生率、变异发生率、变异与民族或单倍型的关系）。同样，也应将这些因素纳入最终确定的方案中。</w:t>
      </w:r>
    </w:p>
    <w:p w14:paraId="03BD41BB">
      <w:pPr>
        <w:spacing w:before="120"/>
        <w:rPr>
          <w:lang w:eastAsia="zh-CN"/>
        </w:rPr>
      </w:pPr>
      <w:r>
        <w:rPr>
          <w:rFonts w:cs="宋体"/>
          <w:i/>
          <w:lang w:eastAsia="zh-CN"/>
        </w:rPr>
        <w:t>论断</w:t>
      </w:r>
      <w:r>
        <w:rPr>
          <w:rFonts w:cs="宋体"/>
          <w:lang w:eastAsia="zh-CN"/>
        </w:rPr>
        <w:t>：用于评价变异的证据类型及其相应优势应在方案中予以界定和结合。这些方案通常应满足以下建议：</w:t>
      </w:r>
    </w:p>
    <w:p w14:paraId="0E8F43FB">
      <w:pPr>
        <w:pStyle w:val="36"/>
        <w:numPr>
          <w:ilvl w:val="0"/>
          <w:numId w:val="4"/>
        </w:numPr>
        <w:spacing w:before="120"/>
        <w:ind w:left="1271" w:firstLineChars="0"/>
        <w:rPr>
          <w:lang w:eastAsia="zh-CN"/>
        </w:rPr>
      </w:pPr>
      <w:r>
        <w:rPr>
          <w:rFonts w:cs="宋体"/>
          <w:lang w:eastAsia="zh-CN"/>
        </w:rPr>
        <w:t>方案应纳入多条科学证据（如有），并适当权衡每条证据。</w:t>
      </w:r>
    </w:p>
    <w:p w14:paraId="292FABA2">
      <w:pPr>
        <w:pStyle w:val="36"/>
        <w:numPr>
          <w:ilvl w:val="0"/>
          <w:numId w:val="4"/>
        </w:numPr>
        <w:spacing w:before="0" w:beforeLines="0"/>
        <w:ind w:left="1271" w:firstLineChars="0"/>
        <w:rPr>
          <w:lang w:eastAsia="zh-CN"/>
        </w:rPr>
      </w:pPr>
      <w:r>
        <w:rPr>
          <w:rFonts w:cs="宋体"/>
          <w:lang w:eastAsia="zh-CN"/>
        </w:rPr>
        <w:t>方案应使用分层论断系统（如致病性、可能致病性），并充分描述每层的含义。</w:t>
      </w:r>
    </w:p>
    <w:p w14:paraId="24D82937">
      <w:pPr>
        <w:pStyle w:val="36"/>
        <w:numPr>
          <w:ilvl w:val="0"/>
          <w:numId w:val="4"/>
        </w:numPr>
        <w:spacing w:before="0" w:beforeLines="0"/>
        <w:ind w:left="1271" w:firstLineChars="0"/>
        <w:rPr>
          <w:lang w:eastAsia="zh-CN"/>
        </w:rPr>
      </w:pPr>
      <w:r>
        <w:rPr>
          <w:rFonts w:cs="宋体"/>
          <w:lang w:eastAsia="zh-CN"/>
        </w:rPr>
        <w:t>方案应包括所评价的基因/疾病或病症的独特细节（如有或如适用）。</w:t>
      </w:r>
    </w:p>
    <w:p w14:paraId="13B1E1C6">
      <w:pPr>
        <w:pStyle w:val="36"/>
        <w:numPr>
          <w:ilvl w:val="0"/>
          <w:numId w:val="4"/>
        </w:numPr>
        <w:spacing w:before="0" w:beforeLines="0"/>
        <w:ind w:left="1271" w:firstLineChars="0"/>
      </w:pPr>
      <w:r>
        <w:rPr>
          <w:rFonts w:cs="宋体"/>
        </w:rPr>
        <w:t>方案应经过确认。</w:t>
      </w:r>
    </w:p>
    <w:p w14:paraId="2A2F24A6">
      <w:pPr>
        <w:pStyle w:val="36"/>
        <w:numPr>
          <w:ilvl w:val="0"/>
          <w:numId w:val="4"/>
        </w:numPr>
        <w:spacing w:before="0" w:beforeLines="0"/>
        <w:ind w:left="1271" w:firstLineChars="0"/>
        <w:rPr>
          <w:lang w:eastAsia="zh-CN"/>
        </w:rPr>
      </w:pPr>
      <w:r>
        <w:rPr>
          <w:rFonts w:cs="宋体"/>
          <w:lang w:eastAsia="zh-CN"/>
        </w:rPr>
        <w:t>所有方案和支持每个变异论断的细节均应向公众开放。</w:t>
      </w:r>
    </w:p>
    <w:p w14:paraId="6D9DC53A">
      <w:pPr>
        <w:spacing w:before="120"/>
        <w:rPr>
          <w:lang w:eastAsia="zh-CN"/>
        </w:rPr>
      </w:pPr>
      <w:r>
        <w:rPr>
          <w:rFonts w:cs="宋体"/>
          <w:lang w:eastAsia="zh-CN"/>
        </w:rPr>
        <w:t>遗传变异数据库中的论断应与确定性水平和基因型-表型关系的性质相适应，并得到充分支持。</w:t>
      </w:r>
    </w:p>
    <w:p w14:paraId="58A42280">
      <w:pPr>
        <w:spacing w:before="120"/>
        <w:rPr>
          <w:rFonts w:cs="宋体"/>
          <w:lang w:eastAsia="zh-CN"/>
        </w:rPr>
      </w:pPr>
    </w:p>
    <w:p w14:paraId="2BCC8003">
      <w:pPr>
        <w:spacing w:before="120"/>
        <w:rPr>
          <w:rFonts w:cs="宋体"/>
          <w:lang w:eastAsia="zh-CN"/>
        </w:rPr>
      </w:pPr>
    </w:p>
    <w:p w14:paraId="5F57C210">
      <w:pPr>
        <w:spacing w:before="120"/>
        <w:rPr>
          <w:rFonts w:cs="宋体"/>
          <w:lang w:eastAsia="zh-CN"/>
        </w:rPr>
      </w:pPr>
    </w:p>
    <w:p w14:paraId="44BCCAE3">
      <w:pPr>
        <w:spacing w:before="120"/>
        <w:rPr>
          <w:rFonts w:cs="宋体"/>
          <w:lang w:eastAsia="zh-CN"/>
        </w:rPr>
      </w:pPr>
    </w:p>
    <w:p w14:paraId="19C02F99">
      <w:pPr>
        <w:spacing w:before="120"/>
        <w:rPr>
          <w:rFonts w:cs="宋体"/>
          <w:lang w:eastAsia="zh-CN"/>
        </w:rPr>
      </w:pPr>
    </w:p>
    <w:p w14:paraId="7CEEBED8">
      <w:pPr>
        <w:spacing w:before="120"/>
        <w:rPr>
          <w:lang w:eastAsia="zh-CN"/>
        </w:rPr>
      </w:pPr>
      <w:r>
        <w:rPr>
          <w:rFonts w:cs="宋体"/>
          <w:lang w:eastAsia="zh-CN"/>
        </w:rPr>
        <w:t>________________________</w:t>
      </w:r>
    </w:p>
    <w:p w14:paraId="6E1C627F">
      <w:pPr>
        <w:spacing w:before="0" w:beforeLines="0"/>
        <w:rPr>
          <w:rFonts w:cs="宋体"/>
          <w:sz w:val="21"/>
          <w:szCs w:val="21"/>
          <w:lang w:eastAsia="zh-CN"/>
        </w:rPr>
      </w:pPr>
      <w:r>
        <w:rPr>
          <w:rFonts w:cs="宋体"/>
          <w:sz w:val="21"/>
          <w:szCs w:val="21"/>
          <w:vertAlign w:val="superscript"/>
          <w:lang w:eastAsia="zh-CN"/>
        </w:rPr>
        <w:t>3</w:t>
      </w:r>
      <w:r>
        <w:rPr>
          <w:rFonts w:hint="eastAsia" w:cs="宋体"/>
          <w:sz w:val="21"/>
          <w:szCs w:val="21"/>
          <w:lang w:eastAsia="zh-CN"/>
        </w:rPr>
        <w:t>《FD&amp;C法案》第513(a)(2)节；21 CFR 860.7(e)(1)。</w:t>
      </w:r>
    </w:p>
    <w:p w14:paraId="51FB900E">
      <w:pPr>
        <w:spacing w:before="120"/>
        <w:rPr>
          <w:lang w:eastAsia="zh-CN"/>
        </w:rPr>
      </w:pPr>
      <w:r>
        <w:rPr>
          <w:rFonts w:cs="宋体"/>
          <w:lang w:eastAsia="zh-CN"/>
        </w:rPr>
        <w:br w:type="page"/>
      </w:r>
    </w:p>
    <w:p w14:paraId="3AD254E9">
      <w:pPr>
        <w:spacing w:before="0" w:beforeLines="0"/>
        <w:rPr>
          <w:lang w:eastAsia="zh-CN"/>
        </w:rPr>
      </w:pPr>
      <w:r>
        <w:rPr>
          <w:rFonts w:cs="宋体"/>
          <w:lang w:eastAsia="zh-CN"/>
        </w:rPr>
        <w:t>在相关情况下，论断应报告与有关的已知变异关联。论断应有版本控制，以便识别和维护论断随时间的变更。遗传民族或单倍型变异数据库还应具有接收关于个体变异论断的反馈（例如，用户可报告关于变异论断的新证据或矛盾证据）以及记录、评价和解决（如有必要）此类差异的过程的机制。</w:t>
      </w:r>
    </w:p>
    <w:p w14:paraId="321030BC">
      <w:pPr>
        <w:spacing w:before="0" w:beforeLines="0"/>
        <w:rPr>
          <w:lang w:eastAsia="zh-CN"/>
        </w:rPr>
      </w:pPr>
      <w:r>
        <w:rPr>
          <w:rFonts w:cs="宋体"/>
          <w:lang w:eastAsia="zh-CN"/>
        </w:rPr>
        <w:t>论断及其所依据的证据应真实、无误导性，并且以清晰易懂的语言作出。为了获得FDA认可，遗传变异数据库不应包括任何有关临床治疗或诊断的建议。然而，在FDA认可的遗传变异数据库中可找到这样的论断：变异是具有临床意义的可</w:t>
      </w:r>
      <w:r>
        <w:rPr>
          <w:rFonts w:hint="eastAsia" w:cs="宋体"/>
          <w:lang w:eastAsia="zh-CN"/>
        </w:rPr>
        <w:t>利用的</w:t>
      </w:r>
      <w:r>
        <w:rPr>
          <w:rFonts w:cs="宋体"/>
          <w:lang w:eastAsia="zh-CN"/>
        </w:rPr>
        <w:t>靶向突变。</w:t>
      </w:r>
    </w:p>
    <w:p w14:paraId="322A57B7">
      <w:pPr>
        <w:spacing w:before="0" w:beforeLines="0"/>
        <w:rPr>
          <w:lang w:eastAsia="zh-CN"/>
        </w:rPr>
      </w:pPr>
      <w:r>
        <w:rPr>
          <w:rFonts w:cs="宋体"/>
          <w:lang w:eastAsia="zh-CN"/>
        </w:rPr>
        <w:t>FDA建议论断包括关于变异的描述性语言，如临床意义、致病性、良性、可能致病、可能良性、意义不明的变异等，只要此类语言真实、无误导性，并且由遗传变异数据库中详细的充分证据支持。</w:t>
      </w:r>
    </w:p>
    <w:p w14:paraId="1D73E2E5">
      <w:pPr>
        <w:spacing w:before="0" w:beforeLines="0"/>
        <w:rPr>
          <w:lang w:eastAsia="zh-CN"/>
        </w:rPr>
      </w:pPr>
      <w:r>
        <w:rPr>
          <w:rFonts w:cs="宋体"/>
          <w:lang w:eastAsia="zh-CN"/>
        </w:rPr>
        <w:t>FDA认为，根据单一证据或仅根据薄弱证据对某个变异的临床有效性作出明确论断（如致病性）通常不具有科学适当性。关于特定基因型-表型关联具有临床有效性的论断通常应涉及多条证据，至少应识别科学证据的主要来源和其他支持性证据。此外，为避免对支持某个论断的证据强度产生任何潜在误解，在适当情况下，论断应包括对与之相关的证据的明确描述。</w:t>
      </w:r>
    </w:p>
    <w:p w14:paraId="01D435C0">
      <w:pPr>
        <w:pStyle w:val="36"/>
        <w:numPr>
          <w:ilvl w:val="0"/>
          <w:numId w:val="3"/>
        </w:numPr>
        <w:spacing w:before="120"/>
        <w:ind w:left="1162" w:leftChars="250" w:hanging="562" w:hangingChars="200"/>
        <w:outlineLvl w:val="1"/>
        <w:rPr>
          <w:b/>
          <w:bCs/>
          <w:sz w:val="28"/>
          <w:szCs w:val="28"/>
        </w:rPr>
      </w:pPr>
      <w:bookmarkStart w:id="10" w:name="_Toc91756207"/>
      <w:r>
        <w:rPr>
          <w:rFonts w:cs="宋体"/>
          <w:b/>
          <w:sz w:val="28"/>
        </w:rPr>
        <w:t>专业培训和利益冲突</w:t>
      </w:r>
      <w:bookmarkEnd w:id="10"/>
    </w:p>
    <w:p w14:paraId="451EAFF6">
      <w:pPr>
        <w:spacing w:before="120"/>
        <w:rPr>
          <w:lang w:eastAsia="zh-CN"/>
        </w:rPr>
      </w:pPr>
      <w:r>
        <w:rPr>
          <w:rFonts w:cs="宋体"/>
          <w:i/>
          <w:lang w:eastAsia="zh-CN"/>
        </w:rPr>
        <w:t>专业培训</w:t>
      </w:r>
      <w:r>
        <w:rPr>
          <w:rFonts w:cs="宋体"/>
          <w:lang w:eastAsia="zh-CN"/>
        </w:rPr>
        <w:t>：FDA意识到许多不同类型的遗传学专业人员可能作为团队的一部分参与评价策划和过程（例如，遗传顾问、博士级科学家、医师）。变异评价人员的充分培训和专业知识对变异审查和评价的质量发挥重要作用。变异评价人员应已接受充分培训，并且应有相应方法来确保此类人员在随时间变化达到并保持优质标准。</w:t>
      </w:r>
    </w:p>
    <w:p w14:paraId="45514676">
      <w:pPr>
        <w:spacing w:before="120"/>
        <w:rPr>
          <w:lang w:eastAsia="zh-CN"/>
        </w:rPr>
      </w:pPr>
      <w:r>
        <w:rPr>
          <w:rFonts w:cs="宋体"/>
          <w:i/>
          <w:lang w:eastAsia="zh-CN"/>
        </w:rPr>
        <w:t>利益冲突</w:t>
      </w:r>
      <w:r>
        <w:rPr>
          <w:rFonts w:cs="宋体"/>
          <w:lang w:eastAsia="zh-CN"/>
        </w:rPr>
        <w:t>：如果利益冲突，尤其是经济利益冲突未得到适当缓解，则可能会带来偏见，</w:t>
      </w:r>
      <w:r>
        <w:rPr>
          <w:rFonts w:hint="eastAsia" w:cs="宋体"/>
          <w:lang w:eastAsia="zh-CN"/>
        </w:rPr>
        <w:t>损害</w:t>
      </w:r>
      <w:r>
        <w:rPr>
          <w:rFonts w:cs="宋体"/>
          <w:lang w:eastAsia="zh-CN"/>
        </w:rPr>
        <w:t>遗传变异数据库中变异论断的质量以及对此类论断的信心。为了获得FDA认可，应努力将任何潜在利益冲突降至最低，并使之透明化。</w:t>
      </w:r>
    </w:p>
    <w:p w14:paraId="5A090265">
      <w:pPr>
        <w:pStyle w:val="36"/>
        <w:numPr>
          <w:ilvl w:val="0"/>
          <w:numId w:val="1"/>
        </w:numPr>
        <w:spacing w:before="120"/>
        <w:ind w:left="643" w:hanging="643" w:hangingChars="200"/>
        <w:outlineLvl w:val="0"/>
        <w:rPr>
          <w:b/>
          <w:bCs/>
          <w:sz w:val="32"/>
          <w:szCs w:val="32"/>
          <w:lang w:eastAsia="zh-CN"/>
        </w:rPr>
      </w:pPr>
      <w:bookmarkStart w:id="11" w:name="_Toc91756208"/>
      <w:r>
        <w:rPr>
          <w:rFonts w:cs="宋体"/>
          <w:b/>
          <w:sz w:val="32"/>
          <w:lang w:eastAsia="zh-CN"/>
        </w:rPr>
        <w:t>FDA的遗传变异数据库认可过程</w:t>
      </w:r>
      <w:bookmarkEnd w:id="11"/>
    </w:p>
    <w:p w14:paraId="26ADBB41">
      <w:pPr>
        <w:spacing w:before="120"/>
        <w:rPr>
          <w:lang w:eastAsia="zh-CN"/>
        </w:rPr>
      </w:pPr>
      <w:r>
        <w:rPr>
          <w:rFonts w:cs="宋体"/>
          <w:lang w:eastAsia="zh-CN"/>
        </w:rPr>
        <w:br w:type="page"/>
      </w:r>
    </w:p>
    <w:p w14:paraId="71F568EE">
      <w:pPr>
        <w:spacing w:before="120"/>
        <w:rPr>
          <w:lang w:eastAsia="zh-CN"/>
        </w:rPr>
      </w:pPr>
      <w:r>
        <w:rPr>
          <w:rFonts w:cs="宋体"/>
          <w:lang w:eastAsia="zh-CN"/>
        </w:rPr>
        <w:t>FDA认为，来自遗传变异数据库的数据和论断如果遵循本文件所讨论的建议，通常会构成支持上市前申请中临床有效性的有效科学证据。因此，FDA预期对可公开访问的遗传变异数据库及其论断实施认可过程，以简化对基于遗传和基因组的</w:t>
      </w:r>
      <w:r>
        <w:rPr>
          <w:rFonts w:hint="eastAsia" w:cs="宋体"/>
          <w:lang w:eastAsia="zh-CN"/>
        </w:rPr>
        <w:t>检测</w:t>
      </w:r>
      <w:r>
        <w:rPr>
          <w:rFonts w:cs="宋体"/>
          <w:lang w:eastAsia="zh-CN"/>
        </w:rPr>
        <w:t>的上市前审查。本文件所讨论的遗传变异数据库认可过程类似于《FD&amp;C法案》第514节规定的标准认可过程，但不会根据该条款进行。已认可遗传变异数据库中的具体变异论断和基础数据通常可由基于遗传和基因组的</w:t>
      </w:r>
      <w:r>
        <w:rPr>
          <w:rFonts w:hint="eastAsia" w:cs="宋体"/>
          <w:lang w:eastAsia="zh-CN"/>
        </w:rPr>
        <w:t>检测</w:t>
      </w:r>
      <w:r>
        <w:rPr>
          <w:rFonts w:cs="宋体"/>
          <w:lang w:eastAsia="zh-CN"/>
        </w:rPr>
        <w:t>开发者提交，作为其上市前审查申请的一部分（如适用），在某些情况下无需提交有关该变异的其他临床数据。</w:t>
      </w:r>
    </w:p>
    <w:p w14:paraId="6EC754C4">
      <w:pPr>
        <w:spacing w:before="120"/>
        <w:rPr>
          <w:lang w:eastAsia="zh-CN"/>
        </w:rPr>
      </w:pPr>
      <w:r>
        <w:rPr>
          <w:rFonts w:cs="宋体"/>
          <w:lang w:eastAsia="zh-CN"/>
        </w:rPr>
        <w:t>可自愿参与FDA数据库认可过程，除了为保持认可所需的监督外，参与数据库</w:t>
      </w:r>
      <w:r>
        <w:rPr>
          <w:rFonts w:hint="eastAsia" w:cs="宋体"/>
          <w:lang w:eastAsia="zh-CN"/>
        </w:rPr>
        <w:t>的认可</w:t>
      </w:r>
      <w:r>
        <w:rPr>
          <w:rFonts w:cs="宋体"/>
          <w:lang w:eastAsia="zh-CN"/>
        </w:rPr>
        <w:t>不会受到FDA的监督。对于希望接受自愿认可的遗传变异数据库管理员，本节介绍了FDA对遗传变异数据库认可的建议过程。当来自专利来源或未获FDA认可的遗传变异数据库的证据用于支持基于遗传和基因组的</w:t>
      </w:r>
      <w:r>
        <w:rPr>
          <w:rFonts w:hint="eastAsia" w:cs="宋体"/>
          <w:lang w:eastAsia="zh-CN"/>
        </w:rPr>
        <w:t>检测</w:t>
      </w:r>
      <w:r>
        <w:rPr>
          <w:rFonts w:cs="宋体"/>
          <w:lang w:eastAsia="zh-CN"/>
        </w:rPr>
        <w:t>的临床性能时，有关这些证据来源的详细信息应包括在该</w:t>
      </w:r>
      <w:r>
        <w:rPr>
          <w:rFonts w:hint="eastAsia" w:cs="宋体"/>
          <w:lang w:eastAsia="zh-CN"/>
        </w:rPr>
        <w:t>检测</w:t>
      </w:r>
      <w:r>
        <w:rPr>
          <w:rFonts w:cs="宋体"/>
          <w:lang w:eastAsia="zh-CN"/>
        </w:rPr>
        <w:t>的上市前申请中。</w:t>
      </w:r>
    </w:p>
    <w:p w14:paraId="700BC907">
      <w:pPr>
        <w:spacing w:before="120"/>
        <w:rPr>
          <w:lang w:eastAsia="zh-CN"/>
        </w:rPr>
      </w:pPr>
      <w:r>
        <w:rPr>
          <w:rFonts w:cs="宋体"/>
          <w:lang w:eastAsia="zh-CN"/>
        </w:rPr>
        <w:t>FDA预期将遗传变异数据库的认可过程分为三个步骤：（1）自愿提交有关数据库的详细信息；（2）FDA审查遗传变异数据库的政策和程序，以获得和维护数据并作出变异论断；以及（3）FDA对数据库的认可</w:t>
      </w:r>
      <w:r>
        <w:rPr>
          <w:rFonts w:hint="eastAsia" w:cs="宋体"/>
          <w:lang w:eastAsia="zh-CN"/>
        </w:rPr>
        <w:t>的维护</w:t>
      </w:r>
      <w:r>
        <w:rPr>
          <w:rFonts w:cs="宋体"/>
          <w:lang w:eastAsia="zh-CN"/>
        </w:rPr>
        <w:t>。</w:t>
      </w:r>
      <w:r>
        <w:rPr>
          <w:rFonts w:hint="eastAsia" w:cs="宋体"/>
          <w:lang w:eastAsia="zh-CN"/>
        </w:rPr>
        <w:t>以上</w:t>
      </w:r>
      <w:r>
        <w:rPr>
          <w:rFonts w:cs="宋体"/>
          <w:lang w:eastAsia="zh-CN"/>
        </w:rPr>
        <w:t>都将在下文进行详细讨论。</w:t>
      </w:r>
    </w:p>
    <w:p w14:paraId="0F2C0C0E">
      <w:pPr>
        <w:pStyle w:val="36"/>
        <w:numPr>
          <w:ilvl w:val="0"/>
          <w:numId w:val="5"/>
        </w:numPr>
        <w:spacing w:before="120"/>
        <w:ind w:left="1162" w:leftChars="250" w:hanging="562" w:hangingChars="200"/>
        <w:outlineLvl w:val="1"/>
        <w:rPr>
          <w:b/>
          <w:bCs/>
          <w:sz w:val="28"/>
          <w:szCs w:val="28"/>
          <w:lang w:eastAsia="zh-CN"/>
        </w:rPr>
      </w:pPr>
      <w:bookmarkStart w:id="12" w:name="_Toc91756209"/>
      <w:r>
        <w:rPr>
          <w:rFonts w:cs="宋体"/>
          <w:b/>
          <w:sz w:val="28"/>
          <w:lang w:eastAsia="zh-CN"/>
        </w:rPr>
        <w:t>遗传变异数据库的认可过程</w:t>
      </w:r>
      <w:bookmarkEnd w:id="12"/>
    </w:p>
    <w:p w14:paraId="27D727F7">
      <w:pPr>
        <w:pStyle w:val="36"/>
        <w:numPr>
          <w:ilvl w:val="0"/>
          <w:numId w:val="6"/>
        </w:numPr>
        <w:spacing w:before="120"/>
        <w:ind w:left="1682" w:leftChars="500" w:hanging="482" w:hangingChars="200"/>
        <w:outlineLvl w:val="2"/>
        <w:rPr>
          <w:b/>
          <w:bCs/>
        </w:rPr>
      </w:pPr>
      <w:bookmarkStart w:id="13" w:name="_Toc91756210"/>
      <w:r>
        <w:rPr>
          <w:rFonts w:cs="宋体"/>
          <w:b/>
        </w:rPr>
        <w:t>认可申请</w:t>
      </w:r>
      <w:bookmarkEnd w:id="13"/>
    </w:p>
    <w:p w14:paraId="0424EF06">
      <w:pPr>
        <w:spacing w:before="120"/>
        <w:rPr>
          <w:lang w:eastAsia="zh-CN"/>
        </w:rPr>
      </w:pPr>
      <w:r>
        <w:rPr>
          <w:rFonts w:cs="宋体"/>
          <w:lang w:eastAsia="zh-CN"/>
        </w:rPr>
        <w:t>遗传变异数据库管理员如果希望FDA将其论断视为支持基于遗传和基因组的</w:t>
      </w:r>
      <w:r>
        <w:rPr>
          <w:rFonts w:hint="eastAsia" w:cs="宋体"/>
          <w:lang w:eastAsia="zh-CN"/>
        </w:rPr>
        <w:t>检测</w:t>
      </w:r>
      <w:r>
        <w:rPr>
          <w:rFonts w:cs="宋体"/>
          <w:lang w:eastAsia="zh-CN"/>
        </w:rPr>
        <w:t>的临床有效性的有效科学证据，应自愿向FDA提交遗传变异数据库的认可申请。FDA指出，此类要求可以是针对整个遗传变异数据库，或者经数据库管理员决定作为由数据库管理员定义的数据库子集。此类申请应证明本文件中的建议已得到遵循，或解释为何采取其他方法。FDA鼓励遗传变异数据库管理员通过Q-申请计划与FDA联系，寻求对其遗传变异数据库的认可。</w:t>
      </w:r>
      <w:r>
        <w:rPr>
          <w:rFonts w:cs="宋体"/>
          <w:vertAlign w:val="superscript"/>
          <w:lang w:eastAsia="zh-CN"/>
        </w:rPr>
        <w:t>4</w:t>
      </w:r>
      <w:r>
        <w:rPr>
          <w:rFonts w:cs="宋体"/>
          <w:lang w:eastAsia="zh-CN"/>
        </w:rPr>
        <w:t>关于数据库认可程序的更多信息以及认可申请说明，可登录FDA公共人类遗传变异数据库认可网页浏览。</w:t>
      </w:r>
      <w:r>
        <w:rPr>
          <w:rFonts w:cs="宋体"/>
          <w:vertAlign w:val="superscript"/>
          <w:lang w:eastAsia="zh-CN"/>
        </w:rPr>
        <w:t>5</w:t>
      </w:r>
    </w:p>
    <w:p w14:paraId="17F266D0">
      <w:pPr>
        <w:spacing w:before="120"/>
        <w:rPr>
          <w:rFonts w:cs="宋体"/>
          <w:lang w:eastAsia="zh-CN"/>
        </w:rPr>
      </w:pPr>
    </w:p>
    <w:p w14:paraId="495F04CA">
      <w:pPr>
        <w:spacing w:before="120"/>
        <w:rPr>
          <w:rFonts w:cs="宋体"/>
          <w:lang w:eastAsia="zh-CN"/>
        </w:rPr>
      </w:pPr>
    </w:p>
    <w:p w14:paraId="5D47A14F">
      <w:pPr>
        <w:spacing w:before="120"/>
        <w:rPr>
          <w:lang w:eastAsia="zh-CN"/>
        </w:rPr>
      </w:pPr>
      <w:r>
        <w:rPr>
          <w:rFonts w:cs="宋体"/>
          <w:lang w:eastAsia="zh-CN"/>
        </w:rPr>
        <w:t>________________________</w:t>
      </w:r>
    </w:p>
    <w:p w14:paraId="20042B11">
      <w:pPr>
        <w:spacing w:before="0" w:beforeLines="0"/>
        <w:rPr>
          <w:sz w:val="21"/>
          <w:szCs w:val="21"/>
          <w:lang w:eastAsia="zh-CN"/>
        </w:rPr>
      </w:pPr>
      <w:r>
        <w:rPr>
          <w:rFonts w:cs="宋体"/>
          <w:sz w:val="21"/>
          <w:vertAlign w:val="superscript"/>
          <w:lang w:eastAsia="zh-CN"/>
        </w:rPr>
        <w:t>4</w:t>
      </w:r>
      <w:r>
        <w:rPr>
          <w:rFonts w:cs="宋体"/>
          <w:sz w:val="21"/>
          <w:lang w:eastAsia="zh-CN"/>
        </w:rPr>
        <w:t>关于Q-申请计划的更多信息，参见FDA指南文件《医疗器械申请的反馈请求：预申请</w:t>
      </w:r>
      <w:r>
        <w:rPr>
          <w:rFonts w:hint="eastAsia" w:cs="宋体"/>
          <w:sz w:val="21"/>
          <w:lang w:eastAsia="zh-CN"/>
        </w:rPr>
        <w:t>计划</w:t>
      </w:r>
      <w:r>
        <w:rPr>
          <w:rFonts w:cs="宋体"/>
          <w:sz w:val="21"/>
          <w:lang w:eastAsia="zh-CN"/>
        </w:rPr>
        <w:t>和与美国食品药品监督管理局工作人员的会议 - 行业和FDA工作人员指南》 （</w:t>
      </w:r>
      <w:r>
        <w:rPr>
          <w:rFonts w:cs="宋体"/>
          <w:color w:val="0000FF"/>
          <w:sz w:val="21"/>
          <w:u w:val="single"/>
          <w:lang w:eastAsia="zh-CN"/>
        </w:rPr>
        <w:t>https://www.fda.gov/downloads/medicaldevices/deviceregulationandguidance/guidancedocuments/ucm311176.pdf</w:t>
      </w:r>
      <w:r>
        <w:rPr>
          <w:rFonts w:cs="宋体"/>
          <w:sz w:val="21"/>
          <w:lang w:eastAsia="zh-CN"/>
        </w:rPr>
        <w:t>）</w:t>
      </w:r>
    </w:p>
    <w:p w14:paraId="5AF4FD12">
      <w:pPr>
        <w:spacing w:before="0" w:beforeLines="0"/>
        <w:rPr>
          <w:sz w:val="21"/>
          <w:szCs w:val="21"/>
        </w:rPr>
      </w:pPr>
      <w:r>
        <w:rPr>
          <w:rFonts w:cs="宋体"/>
          <w:sz w:val="21"/>
          <w:vertAlign w:val="superscript"/>
        </w:rPr>
        <w:t>5</w:t>
      </w:r>
      <w:r>
        <w:rPr>
          <w:rFonts w:cs="宋体"/>
          <w:i/>
          <w:sz w:val="21"/>
        </w:rPr>
        <w:t>请参见</w:t>
      </w:r>
      <w:r>
        <w:rPr>
          <w:rFonts w:cs="宋体"/>
          <w:color w:val="0000FF"/>
          <w:sz w:val="21"/>
          <w:u w:val="single"/>
        </w:rPr>
        <w:t>https://www.fda.gov/MedicalDevices/ProductsandMedicalProcedures/InVitroDiagnostics/</w:t>
      </w:r>
      <w:r>
        <w:rPr>
          <w:rFonts w:hint="eastAsia" w:cs="宋体"/>
          <w:color w:val="0000FF"/>
          <w:sz w:val="21"/>
          <w:u w:val="single"/>
          <w:lang w:eastAsia="zh-CN"/>
        </w:rPr>
        <w:t xml:space="preserve"> </w:t>
      </w:r>
      <w:r>
        <w:rPr>
          <w:rFonts w:cs="宋体"/>
          <w:color w:val="0000FF"/>
          <w:sz w:val="21"/>
          <w:u w:val="single"/>
        </w:rPr>
        <w:t>PrecisionMedicine-MedicalDevices/ucm603675.htm.</w:t>
      </w:r>
    </w:p>
    <w:p w14:paraId="039D89D6">
      <w:pPr>
        <w:spacing w:before="120"/>
      </w:pPr>
      <w:r>
        <w:rPr>
          <w:rFonts w:cs="宋体"/>
        </w:rPr>
        <w:br w:type="page"/>
      </w:r>
    </w:p>
    <w:p w14:paraId="4DBD989B">
      <w:pPr>
        <w:pStyle w:val="36"/>
        <w:numPr>
          <w:ilvl w:val="0"/>
          <w:numId w:val="6"/>
        </w:numPr>
        <w:spacing w:before="120"/>
        <w:ind w:left="1682" w:leftChars="500" w:hanging="482" w:hangingChars="200"/>
        <w:outlineLvl w:val="2"/>
        <w:rPr>
          <w:b/>
          <w:bCs/>
          <w:lang w:eastAsia="zh-CN"/>
        </w:rPr>
      </w:pPr>
      <w:bookmarkStart w:id="14" w:name="_Toc91756211"/>
      <w:r>
        <w:rPr>
          <w:rFonts w:cs="宋体"/>
          <w:b/>
          <w:lang w:eastAsia="zh-CN"/>
        </w:rPr>
        <w:t>FDA对遗传变异数据库政策和程序的审查</w:t>
      </w:r>
      <w:bookmarkEnd w:id="14"/>
    </w:p>
    <w:p w14:paraId="7D943F2E">
      <w:pPr>
        <w:spacing w:before="120"/>
        <w:rPr>
          <w:lang w:eastAsia="zh-CN"/>
        </w:rPr>
      </w:pPr>
      <w:r>
        <w:rPr>
          <w:rFonts w:cs="宋体"/>
          <w:lang w:eastAsia="zh-CN"/>
        </w:rPr>
        <w:t>本节旨在向遗传变异数据库管理员提供更多信息，说明应向FDA工作人员提供何种类型的文件，进行遗传变异数据库的自愿认可。完整文件应涉及本指南中的所有建议。</w:t>
      </w:r>
    </w:p>
    <w:p w14:paraId="3B48D5DA">
      <w:pPr>
        <w:spacing w:before="120"/>
        <w:rPr>
          <w:lang w:eastAsia="zh-CN"/>
        </w:rPr>
      </w:pPr>
      <w:r>
        <w:rPr>
          <w:rFonts w:cs="宋体"/>
          <w:lang w:eastAsia="zh-CN"/>
        </w:rPr>
        <w:t>在申请认可时应提交以下类型的文件，这些文件表明本指南中的建议已获得满足：</w:t>
      </w:r>
    </w:p>
    <w:p w14:paraId="7440D5B2">
      <w:pPr>
        <w:pStyle w:val="36"/>
        <w:numPr>
          <w:ilvl w:val="0"/>
          <w:numId w:val="7"/>
        </w:numPr>
        <w:spacing w:before="120"/>
        <w:ind w:left="704" w:firstLineChars="0"/>
        <w:rPr>
          <w:lang w:eastAsia="zh-CN"/>
        </w:rPr>
      </w:pPr>
      <w:r>
        <w:rPr>
          <w:rFonts w:cs="宋体"/>
          <w:lang w:eastAsia="zh-CN"/>
        </w:rPr>
        <w:t>与本指南中建议有关的SOP、政策或其他文件，如：</w:t>
      </w:r>
    </w:p>
    <w:p w14:paraId="76531522">
      <w:pPr>
        <w:pStyle w:val="36"/>
        <w:numPr>
          <w:ilvl w:val="0"/>
          <w:numId w:val="8"/>
        </w:numPr>
        <w:spacing w:before="0" w:beforeLines="0"/>
        <w:ind w:left="1407" w:firstLineChars="0"/>
        <w:rPr>
          <w:lang w:eastAsia="zh-CN"/>
        </w:rPr>
      </w:pPr>
      <w:r>
        <w:rPr>
          <w:rFonts w:cs="宋体"/>
          <w:lang w:eastAsia="zh-CN"/>
        </w:rPr>
        <w:t>遗传变异数据库的通用运作</w:t>
      </w:r>
    </w:p>
    <w:p w14:paraId="6C5EA2C6">
      <w:pPr>
        <w:pStyle w:val="36"/>
        <w:numPr>
          <w:ilvl w:val="0"/>
          <w:numId w:val="8"/>
        </w:numPr>
        <w:spacing w:before="0" w:beforeLines="0"/>
        <w:ind w:left="1407" w:firstLineChars="0"/>
        <w:rPr>
          <w:lang w:eastAsia="zh-CN"/>
        </w:rPr>
      </w:pPr>
      <w:r>
        <w:rPr>
          <w:rFonts w:cs="宋体"/>
          <w:lang w:eastAsia="zh-CN"/>
        </w:rPr>
        <w:t>个人可识别信息和受保护健康信息的保密性和隐私性</w:t>
      </w:r>
    </w:p>
    <w:p w14:paraId="059775A7">
      <w:pPr>
        <w:pStyle w:val="36"/>
        <w:numPr>
          <w:ilvl w:val="0"/>
          <w:numId w:val="8"/>
        </w:numPr>
        <w:spacing w:before="0" w:beforeLines="0"/>
        <w:ind w:left="1407" w:firstLineChars="0"/>
      </w:pPr>
      <w:r>
        <w:rPr>
          <w:rFonts w:cs="宋体"/>
        </w:rPr>
        <w:t>数据完整性和安全</w:t>
      </w:r>
    </w:p>
    <w:p w14:paraId="1E89348D">
      <w:pPr>
        <w:pStyle w:val="36"/>
        <w:numPr>
          <w:ilvl w:val="0"/>
          <w:numId w:val="8"/>
        </w:numPr>
        <w:spacing w:before="0" w:beforeLines="0"/>
        <w:ind w:left="1407" w:firstLineChars="0"/>
        <w:rPr>
          <w:lang w:eastAsia="zh-CN"/>
        </w:rPr>
      </w:pPr>
      <w:r>
        <w:rPr>
          <w:rFonts w:cs="宋体"/>
          <w:lang w:eastAsia="zh-CN"/>
        </w:rPr>
        <w:t>策划、变异评价和再评价</w:t>
      </w:r>
    </w:p>
    <w:p w14:paraId="10B1D77F">
      <w:pPr>
        <w:pStyle w:val="36"/>
        <w:numPr>
          <w:ilvl w:val="0"/>
          <w:numId w:val="8"/>
        </w:numPr>
        <w:spacing w:before="0" w:beforeLines="0"/>
        <w:ind w:left="1407" w:firstLineChars="0"/>
        <w:rPr>
          <w:lang w:eastAsia="zh-CN"/>
        </w:rPr>
      </w:pPr>
      <w:r>
        <w:rPr>
          <w:rFonts w:cs="宋体"/>
          <w:lang w:eastAsia="zh-CN"/>
        </w:rPr>
        <w:t>策划、评价、隐私和安全以及其他相关活动的培训</w:t>
      </w:r>
    </w:p>
    <w:p w14:paraId="11A4E78D">
      <w:pPr>
        <w:pStyle w:val="36"/>
        <w:numPr>
          <w:ilvl w:val="0"/>
          <w:numId w:val="7"/>
        </w:numPr>
        <w:spacing w:before="0" w:beforeLines="0"/>
        <w:ind w:left="704" w:firstLineChars="0"/>
      </w:pPr>
      <w:r>
        <w:rPr>
          <w:rFonts w:cs="宋体"/>
        </w:rPr>
        <w:t>评价SOP的确认研究</w:t>
      </w:r>
    </w:p>
    <w:p w14:paraId="7E53B97A">
      <w:pPr>
        <w:pStyle w:val="36"/>
        <w:numPr>
          <w:ilvl w:val="0"/>
          <w:numId w:val="7"/>
        </w:numPr>
        <w:spacing w:before="0" w:beforeLines="0"/>
        <w:ind w:left="704" w:firstLineChars="0"/>
        <w:rPr>
          <w:lang w:eastAsia="zh-CN"/>
        </w:rPr>
      </w:pPr>
      <w:r>
        <w:rPr>
          <w:rFonts w:cs="宋体"/>
          <w:lang w:eastAsia="zh-CN"/>
        </w:rPr>
        <w:t>变异评价人员的资格和人员批准政策文件</w:t>
      </w:r>
    </w:p>
    <w:p w14:paraId="6CFF726E">
      <w:pPr>
        <w:pStyle w:val="36"/>
        <w:numPr>
          <w:ilvl w:val="0"/>
          <w:numId w:val="7"/>
        </w:numPr>
        <w:spacing w:before="0" w:beforeLines="0"/>
        <w:ind w:left="704" w:firstLineChars="0"/>
      </w:pPr>
      <w:r>
        <w:rPr>
          <w:rFonts w:cs="宋体"/>
        </w:rPr>
        <w:t>数据保存计划</w:t>
      </w:r>
    </w:p>
    <w:p w14:paraId="1ED5E292">
      <w:pPr>
        <w:pStyle w:val="36"/>
        <w:numPr>
          <w:ilvl w:val="0"/>
          <w:numId w:val="7"/>
        </w:numPr>
        <w:spacing w:before="0" w:beforeLines="0"/>
        <w:ind w:left="704" w:firstLineChars="0"/>
        <w:rPr>
          <w:lang w:eastAsia="zh-CN"/>
        </w:rPr>
      </w:pPr>
      <w:r>
        <w:rPr>
          <w:rFonts w:cs="宋体"/>
          <w:lang w:eastAsia="zh-CN"/>
        </w:rPr>
        <w:t>利益冲突政策和利益冲突披露</w:t>
      </w:r>
    </w:p>
    <w:p w14:paraId="0E61B137">
      <w:pPr>
        <w:pStyle w:val="36"/>
        <w:numPr>
          <w:ilvl w:val="0"/>
          <w:numId w:val="7"/>
        </w:numPr>
        <w:spacing w:before="0" w:beforeLines="0"/>
        <w:ind w:left="704" w:firstLineChars="0"/>
        <w:rPr>
          <w:lang w:eastAsia="zh-CN"/>
        </w:rPr>
      </w:pPr>
      <w:r>
        <w:rPr>
          <w:rFonts w:cs="宋体"/>
          <w:lang w:eastAsia="zh-CN"/>
        </w:rPr>
        <w:t>将所有建议文件通过网络链接向公众开放的承诺</w:t>
      </w:r>
    </w:p>
    <w:p w14:paraId="54D84AF8">
      <w:pPr>
        <w:spacing w:before="120"/>
        <w:rPr>
          <w:lang w:eastAsia="zh-CN"/>
        </w:rPr>
      </w:pPr>
      <w:r>
        <w:rPr>
          <w:rFonts w:cs="宋体"/>
          <w:lang w:eastAsia="zh-CN"/>
        </w:rPr>
        <w:t>申请应附有说明信，其中应详细说明以下信息：</w:t>
      </w:r>
    </w:p>
    <w:p w14:paraId="08C0EA95">
      <w:pPr>
        <w:pStyle w:val="36"/>
        <w:numPr>
          <w:ilvl w:val="0"/>
          <w:numId w:val="7"/>
        </w:numPr>
        <w:spacing w:before="120"/>
        <w:ind w:left="704" w:firstLineChars="0"/>
        <w:rPr>
          <w:lang w:eastAsia="zh-CN"/>
        </w:rPr>
      </w:pPr>
      <w:r>
        <w:rPr>
          <w:rFonts w:cs="宋体"/>
          <w:lang w:eastAsia="zh-CN"/>
        </w:rPr>
        <w:t>遗传变异数据库论断所涉及变异类型的声明（例如，生殖系）</w:t>
      </w:r>
    </w:p>
    <w:p w14:paraId="6BF40B7A">
      <w:pPr>
        <w:pStyle w:val="36"/>
        <w:numPr>
          <w:ilvl w:val="0"/>
          <w:numId w:val="7"/>
        </w:numPr>
        <w:spacing w:before="0" w:beforeLines="0"/>
        <w:ind w:left="704" w:firstLineChars="0"/>
        <w:rPr>
          <w:lang w:eastAsia="zh-CN"/>
        </w:rPr>
      </w:pPr>
      <w:r>
        <w:rPr>
          <w:rFonts w:cs="宋体"/>
          <w:lang w:eastAsia="zh-CN"/>
        </w:rPr>
        <w:t>寻求认可的数据库范围或部分</w:t>
      </w:r>
    </w:p>
    <w:p w14:paraId="0C692DC0">
      <w:pPr>
        <w:pStyle w:val="36"/>
        <w:numPr>
          <w:ilvl w:val="0"/>
          <w:numId w:val="7"/>
        </w:numPr>
        <w:spacing w:before="0" w:beforeLines="0"/>
        <w:ind w:left="704" w:firstLineChars="0"/>
      </w:pPr>
      <w:r>
        <w:rPr>
          <w:rFonts w:cs="宋体"/>
        </w:rPr>
        <w:t>联系点</w:t>
      </w:r>
    </w:p>
    <w:p w14:paraId="3A0CDDEA">
      <w:pPr>
        <w:pStyle w:val="36"/>
        <w:numPr>
          <w:ilvl w:val="0"/>
          <w:numId w:val="7"/>
        </w:numPr>
        <w:spacing w:before="0" w:beforeLines="0"/>
        <w:ind w:left="704" w:firstLineChars="0"/>
      </w:pPr>
      <w:r>
        <w:rPr>
          <w:rFonts w:cs="宋体"/>
        </w:rPr>
        <w:t>公司名称</w:t>
      </w:r>
    </w:p>
    <w:p w14:paraId="1AAA3892">
      <w:pPr>
        <w:pStyle w:val="36"/>
        <w:numPr>
          <w:ilvl w:val="0"/>
          <w:numId w:val="7"/>
        </w:numPr>
        <w:spacing w:before="0" w:beforeLines="0"/>
        <w:ind w:left="704" w:firstLineChars="0"/>
        <w:rPr>
          <w:lang w:eastAsia="zh-CN"/>
        </w:rPr>
      </w:pPr>
      <w:r>
        <w:rPr>
          <w:rFonts w:cs="宋体"/>
          <w:lang w:eastAsia="zh-CN"/>
        </w:rPr>
        <w:t>申请人认为提交的所有信息均真实、准确，未遗漏任何重大事实的声明。</w:t>
      </w:r>
    </w:p>
    <w:p w14:paraId="0F48F55C">
      <w:pPr>
        <w:spacing w:before="120"/>
        <w:rPr>
          <w:lang w:eastAsia="zh-CN"/>
        </w:rPr>
      </w:pPr>
      <w:r>
        <w:rPr>
          <w:rFonts w:cs="宋体"/>
          <w:lang w:eastAsia="zh-CN"/>
        </w:rPr>
        <w:t>作为其认可过程的一部分，FDA可能酌情验证变异论断子集，以确保其得到支持，并确保遗传变异数据库遵循其SOP。</w:t>
      </w:r>
    </w:p>
    <w:p w14:paraId="7CF9865C">
      <w:pPr>
        <w:spacing w:before="120"/>
        <w:rPr>
          <w:lang w:eastAsia="zh-CN"/>
        </w:rPr>
      </w:pPr>
      <w:r>
        <w:rPr>
          <w:rFonts w:cs="宋体"/>
          <w:lang w:eastAsia="zh-CN"/>
        </w:rPr>
        <w:br w:type="page"/>
      </w:r>
    </w:p>
    <w:p w14:paraId="0BA4839E">
      <w:pPr>
        <w:spacing w:before="120"/>
        <w:rPr>
          <w:lang w:eastAsia="zh-CN"/>
        </w:rPr>
      </w:pPr>
      <w:r>
        <w:rPr>
          <w:rFonts w:cs="宋体"/>
          <w:lang w:eastAsia="zh-CN"/>
        </w:rPr>
        <w:t>在认可之前，FDA通常预期对这些信息进行保密，除非法律要求，否则不会公开披露。</w:t>
      </w:r>
      <w:r>
        <w:rPr>
          <w:rFonts w:cs="宋体"/>
          <w:vertAlign w:val="superscript"/>
          <w:lang w:eastAsia="zh-CN"/>
        </w:rPr>
        <w:t>6</w:t>
      </w:r>
      <w:r>
        <w:rPr>
          <w:rFonts w:cs="宋体"/>
          <w:lang w:eastAsia="zh-CN"/>
        </w:rPr>
        <w:t>在认可时，数据库管理员应将这些信息向公众开放，公众可访问遗传变异数据库网站进行查阅。FDA还预期在其网站上提供所有FDA认可的遗传变异数据库名单，以及关于这些数据库的其他相关公开信息（如认可决定总结）。</w:t>
      </w:r>
    </w:p>
    <w:p w14:paraId="4159F22E">
      <w:pPr>
        <w:pStyle w:val="36"/>
        <w:numPr>
          <w:ilvl w:val="0"/>
          <w:numId w:val="6"/>
        </w:numPr>
        <w:spacing w:before="120"/>
        <w:ind w:left="1682" w:leftChars="500" w:hanging="482" w:hangingChars="200"/>
        <w:outlineLvl w:val="2"/>
        <w:rPr>
          <w:b/>
          <w:bCs/>
        </w:rPr>
      </w:pPr>
      <w:bookmarkStart w:id="15" w:name="_Toc91756212"/>
      <w:r>
        <w:rPr>
          <w:rFonts w:cs="宋体"/>
          <w:b/>
        </w:rPr>
        <w:t>FDA认可的维护</w:t>
      </w:r>
      <w:bookmarkEnd w:id="15"/>
    </w:p>
    <w:p w14:paraId="32ACA7E0">
      <w:pPr>
        <w:spacing w:before="120"/>
        <w:rPr>
          <w:lang w:eastAsia="zh-CN"/>
        </w:rPr>
      </w:pPr>
      <w:r>
        <w:rPr>
          <w:rFonts w:cs="宋体"/>
          <w:lang w:eastAsia="zh-CN"/>
        </w:rPr>
        <w:t>FDA预期每年对FDA认可的数据库进行审查，但可能会酌情增加或减少审查频率，以验证这些数据库是否继续遵循其SOP以及本指南中的建议。</w:t>
      </w:r>
    </w:p>
    <w:p w14:paraId="24B11C0F">
      <w:pPr>
        <w:spacing w:before="120"/>
        <w:rPr>
          <w:lang w:eastAsia="zh-CN"/>
        </w:rPr>
      </w:pPr>
      <w:r>
        <w:rPr>
          <w:rFonts w:cs="宋体"/>
          <w:lang w:eastAsia="zh-CN"/>
        </w:rPr>
        <w:t>继续保持政策、程序和论断的透明度，将在保持对遗传变异数据库的信心从而保持对数据库的认可方面起到关键作用。FDA认为，用户和公众能够查阅有关遗传变异数据库的能力和局限性的信息至关重要，以便患者和医疗服务提供者可以做出充分知情的医疗决定。遗传变异数据库的管理员应在其网站上记录并公开对数据库SOP的任何变更或更新。FDA计划根据这些已记录并公开的透明信息，定期审查其对遗传变异数据库的认可。作为该过程的一部分，FDA将验证SOP的更新是否已如第IV节所述公开。FDA还可以“抽查”关于基因变异的论断，以确保这些论断继续得到支持，并确保遗传变异数据库继续遵循其SOP评价。如果遗传变异数据库未按照其认可规范予以维护，FDA可能撤销对其的认可。如果撤销认可，FDA将不可能认为来自此类遗传变异数据库的论断构成支持</w:t>
      </w:r>
      <w:r>
        <w:rPr>
          <w:rFonts w:hint="eastAsia" w:cs="宋体"/>
          <w:lang w:eastAsia="zh-CN"/>
        </w:rPr>
        <w:t>检测</w:t>
      </w:r>
      <w:r>
        <w:rPr>
          <w:rFonts w:cs="宋体"/>
          <w:lang w:eastAsia="zh-CN"/>
        </w:rPr>
        <w:t>临床有效性的有效科学证据，FDA将评</w:t>
      </w:r>
      <w:r>
        <w:rPr>
          <w:rFonts w:hint="eastAsia" w:cs="宋体"/>
          <w:lang w:eastAsia="zh-CN"/>
        </w:rPr>
        <w:t>估何种监管措施对于</w:t>
      </w:r>
      <w:r>
        <w:rPr>
          <w:rFonts w:cs="宋体"/>
          <w:lang w:eastAsia="zh-CN"/>
        </w:rPr>
        <w:t>此类论断支持的IVD</w:t>
      </w:r>
      <w:r>
        <w:rPr>
          <w:rFonts w:hint="eastAsia" w:cs="宋体"/>
          <w:lang w:eastAsia="zh-CN"/>
        </w:rPr>
        <w:t>而言更为合适。</w:t>
      </w:r>
    </w:p>
    <w:p w14:paraId="398E4391">
      <w:pPr>
        <w:pStyle w:val="36"/>
        <w:numPr>
          <w:ilvl w:val="0"/>
          <w:numId w:val="5"/>
        </w:numPr>
        <w:spacing w:before="120"/>
        <w:ind w:left="1162" w:leftChars="250" w:hanging="562" w:hangingChars="200"/>
        <w:outlineLvl w:val="1"/>
        <w:rPr>
          <w:b/>
          <w:bCs/>
          <w:sz w:val="28"/>
          <w:szCs w:val="28"/>
        </w:rPr>
      </w:pPr>
      <w:bookmarkStart w:id="16" w:name="_Toc91756213"/>
      <w:r>
        <w:rPr>
          <w:rFonts w:cs="宋体"/>
          <w:b/>
          <w:sz w:val="28"/>
        </w:rPr>
        <w:t>使用第三方</w:t>
      </w:r>
      <w:bookmarkEnd w:id="16"/>
    </w:p>
    <w:p w14:paraId="21C2DC88">
      <w:pPr>
        <w:spacing w:before="120"/>
        <w:rPr>
          <w:lang w:eastAsia="zh-CN"/>
        </w:rPr>
      </w:pPr>
      <w:r>
        <w:rPr>
          <w:rFonts w:cs="宋体"/>
          <w:lang w:eastAsia="zh-CN"/>
        </w:rPr>
        <w:t>FDA有一个针对合格医疗器械的既定第三方510(k)审查项目。</w:t>
      </w:r>
      <w:r>
        <w:rPr>
          <w:rFonts w:cs="宋体"/>
          <w:vertAlign w:val="superscript"/>
          <w:lang w:eastAsia="zh-CN"/>
        </w:rPr>
        <w:t>7</w:t>
      </w:r>
      <w:r>
        <w:rPr>
          <w:rFonts w:cs="宋体"/>
          <w:lang w:eastAsia="zh-CN"/>
        </w:rPr>
        <w:t>对于遗传变异数据库，FDA可能考虑在未来利用第三方来协助遗传变异数据库的认可。FDA寻求与那些在遗传变异数据库以及基于遗传和基因组的</w:t>
      </w:r>
      <w:r>
        <w:rPr>
          <w:rFonts w:hint="eastAsia" w:cs="宋体"/>
          <w:lang w:eastAsia="zh-CN"/>
        </w:rPr>
        <w:t>检测</w:t>
      </w:r>
      <w:r>
        <w:rPr>
          <w:rFonts w:cs="宋体"/>
          <w:lang w:eastAsia="zh-CN"/>
        </w:rPr>
        <w:t>方面富有经验，并能遵守FDA政策（包括有关筛选利益冲突的政策）的相关方合作。</w:t>
      </w:r>
    </w:p>
    <w:p w14:paraId="4B93127D">
      <w:pPr>
        <w:spacing w:before="120"/>
        <w:rPr>
          <w:rFonts w:cs="宋体"/>
          <w:lang w:eastAsia="zh-CN"/>
        </w:rPr>
      </w:pPr>
    </w:p>
    <w:p w14:paraId="64393161">
      <w:pPr>
        <w:spacing w:before="120"/>
        <w:rPr>
          <w:rFonts w:cs="宋体"/>
          <w:lang w:eastAsia="zh-CN"/>
        </w:rPr>
      </w:pPr>
    </w:p>
    <w:p w14:paraId="01284CA1">
      <w:pPr>
        <w:spacing w:before="120"/>
        <w:rPr>
          <w:rFonts w:cs="宋体"/>
          <w:lang w:eastAsia="zh-CN"/>
        </w:rPr>
      </w:pPr>
    </w:p>
    <w:p w14:paraId="02106FAB">
      <w:pPr>
        <w:spacing w:before="120"/>
        <w:rPr>
          <w:rFonts w:cs="宋体"/>
          <w:lang w:eastAsia="zh-CN"/>
        </w:rPr>
      </w:pPr>
    </w:p>
    <w:p w14:paraId="4B98A8EC">
      <w:pPr>
        <w:spacing w:before="120"/>
        <w:rPr>
          <w:lang w:eastAsia="zh-CN"/>
        </w:rPr>
      </w:pPr>
      <w:r>
        <w:rPr>
          <w:rFonts w:cs="宋体"/>
          <w:lang w:eastAsia="zh-CN"/>
        </w:rPr>
        <w:t>________________________</w:t>
      </w:r>
    </w:p>
    <w:p w14:paraId="3A9534BF">
      <w:pPr>
        <w:spacing w:before="0" w:beforeLines="0"/>
        <w:rPr>
          <w:sz w:val="21"/>
          <w:szCs w:val="21"/>
          <w:lang w:eastAsia="zh-CN"/>
        </w:rPr>
      </w:pPr>
      <w:r>
        <w:rPr>
          <w:rFonts w:cs="宋体"/>
          <w:sz w:val="21"/>
          <w:vertAlign w:val="superscript"/>
          <w:lang w:eastAsia="zh-CN"/>
        </w:rPr>
        <w:t>6</w:t>
      </w:r>
      <w:r>
        <w:rPr>
          <w:rFonts w:cs="宋体"/>
          <w:i/>
          <w:sz w:val="21"/>
          <w:lang w:eastAsia="zh-CN"/>
        </w:rPr>
        <w:t>参见，</w:t>
      </w:r>
      <w:r>
        <w:rPr>
          <w:rFonts w:cs="宋体"/>
          <w:sz w:val="21"/>
          <w:lang w:eastAsia="zh-CN"/>
        </w:rPr>
        <w:t>例如：《FD&amp;C法案》第 301(j)和 520(c)节、《商业秘密法案》（18 U.S.C.1905）、《信息自由法》（5 U.S.C.552）以及FDA在21 CFR第20部分的信息披露法规。</w:t>
      </w:r>
    </w:p>
    <w:p w14:paraId="091547CD">
      <w:pPr>
        <w:spacing w:before="0" w:beforeLines="0"/>
        <w:rPr>
          <w:rFonts w:cs="宋体"/>
          <w:sz w:val="21"/>
          <w:lang w:eastAsia="zh-CN"/>
        </w:rPr>
      </w:pPr>
      <w:r>
        <w:rPr>
          <w:rFonts w:cs="宋体"/>
          <w:sz w:val="21"/>
          <w:vertAlign w:val="superscript"/>
          <w:lang w:eastAsia="zh-CN"/>
        </w:rPr>
        <w:t>7</w:t>
      </w:r>
      <w:r>
        <w:rPr>
          <w:rFonts w:cs="宋体"/>
          <w:sz w:val="21"/>
          <w:lang w:eastAsia="zh-CN"/>
        </w:rPr>
        <w:t>有关其他信息（包括有关该主题的指南文件），请参见FDA的第三方审查项目网站 （</w:t>
      </w:r>
      <w:r>
        <w:rPr>
          <w:rFonts w:cs="宋体"/>
          <w:color w:val="0000FF"/>
          <w:sz w:val="21"/>
          <w:u w:val="single"/>
          <w:lang w:eastAsia="zh-CN"/>
        </w:rPr>
        <w:t>https:/www.fda.gov/MedicalDevices/DeviceRegulationandGuidance/HowtoMarketYourDevice/PremarketSubmissions/ThirdParyReview/default.htm</w:t>
      </w:r>
      <w:r>
        <w:rPr>
          <w:rFonts w:cs="宋体"/>
          <w:sz w:val="21"/>
          <w:lang w:eastAsia="zh-CN"/>
        </w:rPr>
        <w:t>）。</w:t>
      </w:r>
    </w:p>
    <w:p w14:paraId="107030BC">
      <w:pPr>
        <w:spacing w:before="0" w:beforeLines="0"/>
        <w:rPr>
          <w:lang w:eastAsia="zh-CN"/>
        </w:rPr>
      </w:pPr>
      <w:r>
        <w:rPr>
          <w:rFonts w:cs="宋体"/>
          <w:sz w:val="21"/>
          <w:lang w:eastAsia="zh-CN"/>
        </w:rPr>
        <w:br w:type="page"/>
      </w:r>
    </w:p>
    <w:p w14:paraId="3B0A44AF">
      <w:pPr>
        <w:pStyle w:val="36"/>
        <w:numPr>
          <w:ilvl w:val="0"/>
          <w:numId w:val="5"/>
        </w:numPr>
        <w:spacing w:before="120"/>
        <w:ind w:left="1162" w:leftChars="250" w:hanging="562" w:hangingChars="200"/>
        <w:outlineLvl w:val="1"/>
        <w:rPr>
          <w:b/>
          <w:bCs/>
          <w:sz w:val="28"/>
          <w:szCs w:val="28"/>
          <w:lang w:eastAsia="zh-CN"/>
        </w:rPr>
      </w:pPr>
      <w:bookmarkStart w:id="17" w:name="_Toc91756214"/>
      <w:r>
        <w:rPr>
          <w:rFonts w:cs="宋体"/>
          <w:b/>
          <w:sz w:val="28"/>
          <w:lang w:eastAsia="zh-CN"/>
        </w:rPr>
        <w:t>FDA认可的遗传变异数据库的数据和论断使用</w:t>
      </w:r>
      <w:bookmarkEnd w:id="17"/>
    </w:p>
    <w:p w14:paraId="13F9C3BF">
      <w:pPr>
        <w:spacing w:before="120"/>
        <w:rPr>
          <w:lang w:eastAsia="zh-CN"/>
        </w:rPr>
      </w:pPr>
      <w:r>
        <w:rPr>
          <w:rFonts w:cs="宋体"/>
          <w:lang w:eastAsia="zh-CN"/>
        </w:rPr>
        <w:t>来自FDA认可的遗传变异数据库的数据通常构成有效科学证据，可用于支持在上市前申请中所提供的此类数据库论断中所体现的基因型-表型关系的临床有效性。根据该政策，FDA期望测试开发者能够使用FDA认可的遗传变异数据库来建立，至少是部分建立其测试的临床有效性。对于依靠FDA认可的遗传变异数据库进行的上市前申请，机构可能根据这些遗传变异数据库中发现的某些变异论断证据的充分性，决定无需提交任何其他有效科学证据来证明这些论断。</w:t>
      </w:r>
    </w:p>
    <w:p w14:paraId="6FD72584">
      <w:pPr>
        <w:pStyle w:val="36"/>
        <w:numPr>
          <w:ilvl w:val="0"/>
          <w:numId w:val="1"/>
        </w:numPr>
        <w:spacing w:before="120"/>
        <w:ind w:left="643" w:hanging="643" w:hangingChars="200"/>
        <w:outlineLvl w:val="0"/>
        <w:rPr>
          <w:b/>
          <w:bCs/>
          <w:sz w:val="32"/>
          <w:szCs w:val="32"/>
        </w:rPr>
      </w:pPr>
      <w:bookmarkStart w:id="18" w:name="_Toc91756215"/>
      <w:r>
        <w:rPr>
          <w:rFonts w:cs="宋体"/>
          <w:b/>
          <w:sz w:val="32"/>
        </w:rPr>
        <w:t>1995年《文书削减法》</w:t>
      </w:r>
      <w:bookmarkEnd w:id="18"/>
    </w:p>
    <w:p w14:paraId="2BC71C76">
      <w:pPr>
        <w:spacing w:before="120"/>
        <w:rPr>
          <w:lang w:eastAsia="zh-CN"/>
        </w:rPr>
      </w:pPr>
      <w:r>
        <w:rPr>
          <w:rFonts w:cs="宋体"/>
          <w:lang w:eastAsia="zh-CN"/>
        </w:rPr>
        <w:t>本指南包含信息收集规定，须按照1995年《文书削减法》（《美国法典》第44章第3501-3520条）由预算管理办公室（OMB）对此类规定进行审查。</w:t>
      </w:r>
    </w:p>
    <w:p w14:paraId="109B96BD">
      <w:pPr>
        <w:spacing w:before="120"/>
        <w:rPr>
          <w:lang w:eastAsia="zh-CN"/>
        </w:rPr>
      </w:pPr>
      <w:r>
        <w:rPr>
          <w:rFonts w:cs="宋体"/>
          <w:lang w:eastAsia="zh-CN"/>
        </w:rPr>
        <w:t>估计完成信息收集所需的时间为平均每个响应101小时，其中包括审查指令、搜索现有数据源、收集所需数据以及完成和审查信息收集所需的时间。请将有关耗时估计的意见发送至：</w:t>
      </w:r>
    </w:p>
    <w:p w14:paraId="3BF28928">
      <w:pPr>
        <w:spacing w:before="120"/>
        <w:ind w:left="567"/>
        <w:rPr>
          <w:lang w:eastAsia="zh-CN"/>
        </w:rPr>
      </w:pPr>
      <w:r>
        <w:rPr>
          <w:rFonts w:cs="宋体"/>
          <w:lang w:eastAsia="zh-CN"/>
        </w:rPr>
        <w:t>FDA PRA工作人员，</w:t>
      </w:r>
    </w:p>
    <w:p w14:paraId="62849BB8">
      <w:pPr>
        <w:spacing w:before="60" w:beforeLines="25"/>
        <w:ind w:left="567"/>
        <w:rPr>
          <w:lang w:eastAsia="zh-CN"/>
        </w:rPr>
      </w:pPr>
      <w:r>
        <w:rPr>
          <w:rFonts w:cs="宋体"/>
          <w:lang w:eastAsia="zh-CN"/>
        </w:rPr>
        <w:t>运营办公室，</w:t>
      </w:r>
    </w:p>
    <w:p w14:paraId="1456DA08">
      <w:pPr>
        <w:spacing w:before="60" w:beforeLines="25"/>
        <w:ind w:left="567"/>
        <w:rPr>
          <w:lang w:eastAsia="zh-CN"/>
        </w:rPr>
      </w:pPr>
      <w:r>
        <w:rPr>
          <w:rFonts w:cs="宋体"/>
          <w:lang w:eastAsia="zh-CN"/>
        </w:rPr>
        <w:t>美国食品药品监督管理局，</w:t>
      </w:r>
    </w:p>
    <w:p w14:paraId="62F725DE">
      <w:pPr>
        <w:spacing w:before="60" w:beforeLines="25"/>
        <w:ind w:left="567"/>
      </w:pPr>
      <w:r>
        <w:rPr>
          <w:rFonts w:cs="宋体"/>
        </w:rPr>
        <w:t>PRAStaff@fda.hhs.gov</w:t>
      </w:r>
    </w:p>
    <w:p w14:paraId="3E74A1FF">
      <w:pPr>
        <w:spacing w:before="120"/>
        <w:rPr>
          <w:lang w:eastAsia="zh-CN"/>
        </w:rPr>
      </w:pPr>
      <w:r>
        <w:rPr>
          <w:rFonts w:cs="宋体"/>
          <w:lang w:eastAsia="zh-CN"/>
        </w:rPr>
        <w:t>除非显示当前有效的OMB控制编号，否则机构不得进行或发起信息收集，也不得要求患者针对信息收集给出回应。本次信息收集的OMB控制编号为0910-0850（失效日期为2021年3月31日）。</w:t>
      </w:r>
    </w:p>
    <w:p w14:paraId="2F326C0B">
      <w:pPr>
        <w:pBdr>
          <w:bottom w:val="single" w:color="auto" w:sz="4" w:space="1"/>
        </w:pBdr>
        <w:spacing w:before="120"/>
        <w:jc w:val="center"/>
        <w:rPr>
          <w:rFonts w:hint="eastAsia" w:eastAsia="等线"/>
          <w:lang w:eastAsia="zh-CN"/>
        </w:rPr>
      </w:pPr>
    </w:p>
    <w:p w14:paraId="4A35E6B0">
      <w:pPr>
        <w:pBdr>
          <w:bottom w:val="single" w:color="auto" w:sz="4" w:space="1"/>
        </w:pBdr>
        <w:spacing w:before="120"/>
        <w:jc w:val="center"/>
        <w:rPr>
          <w:rFonts w:hint="eastAsia" w:eastAsia="等线"/>
          <w:lang w:eastAsia="zh-CN"/>
        </w:rPr>
      </w:pPr>
    </w:p>
    <w:p w14:paraId="2CFA8C81">
      <w:pPr>
        <w:pBdr>
          <w:bottom w:val="single" w:color="auto" w:sz="4" w:space="1"/>
        </w:pBdr>
        <w:spacing w:before="120"/>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13"/>
                    <a:stretch>
                      <a:fillRect/>
                    </a:stretch>
                  </pic:blipFill>
                  <pic:spPr>
                    <a:xfrm>
                      <a:off x="0" y="0"/>
                      <a:ext cx="5210175" cy="7343775"/>
                    </a:xfrm>
                    <a:prstGeom prst="rect">
                      <a:avLst/>
                    </a:prstGeom>
                  </pic:spPr>
                </pic:pic>
              </a:graphicData>
            </a:graphic>
          </wp:inline>
        </w:drawing>
      </w:r>
    </w:p>
    <w:sectPr>
      <w:headerReference r:id="rId7" w:type="first"/>
      <w:footerReference r:id="rId10" w:type="first"/>
      <w:headerReference r:id="rId5" w:type="default"/>
      <w:footerReference r:id="rId8" w:type="default"/>
      <w:headerReference r:id="rId6" w:type="even"/>
      <w:footerReference r:id="rId9" w:type="even"/>
      <w:footnotePr>
        <w:numStart w:val="3"/>
      </w:footnotePr>
      <w:type w:val="continuous"/>
      <w:pgSz w:w="11906" w:h="16838"/>
      <w:pgMar w:top="1418" w:right="1418" w:bottom="1418" w:left="1418"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C05E9">
    <w:pPr>
      <w:pStyle w:val="32"/>
      <w:spacing w:before="0" w:beforeLines="0" w:line="240" w:lineRule="auto"/>
      <w:jc w:val="right"/>
    </w:pPr>
    <w:r>
      <w:rPr>
        <w:vanish/>
      </w:rPr>
      <w:fldChar w:fldCharType="begin"/>
    </w:r>
    <w:r>
      <w:rPr>
        <w:vanish/>
      </w:rPr>
      <w:instrText xml:space="preserve">PAGE   \* MERGEFORMAT</w:instrText>
    </w:r>
    <w:r>
      <w:rPr>
        <w:vanish/>
      </w:rPr>
      <w:fldChar w:fldCharType="separate"/>
    </w:r>
    <w:r>
      <w:rPr>
        <w:lang w:val="zh-CN" w:eastAsia="zh-CN"/>
      </w:rPr>
      <w:t>16</w:t>
    </w:r>
    <w:r>
      <w:rPr>
        <w:vanish/>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52B17">
    <w:pPr>
      <w:pStyle w:val="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469E">
    <w:pPr>
      <w:pStyle w:val="32"/>
      <w:spacing w:before="0" w:beforeLines="0" w:line="240" w:lineRule="auto"/>
      <w:jc w:val="cen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74374">
    <w:pPr>
      <w:pStyle w:val="32"/>
      <w:spacing w:before="0" w:beforeLines="0" w:line="240" w:lineRule="auto"/>
      <w:jc w:val="center"/>
      <w:rPr>
        <w:b/>
        <w:bCs/>
        <w:i/>
        <w:iCs/>
      </w:rPr>
    </w:pPr>
    <w:r>
      <w:rPr>
        <w:rFonts w:hint="eastAsia" w:cs="宋体"/>
        <w:b/>
        <w:i/>
      </w:rPr>
      <w:t>所含建议不具约束力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2786B">
    <w:pPr>
      <w:pStyle w:val="5"/>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281B8">
    <w:pPr>
      <w:pStyle w:val="32"/>
      <w:spacing w:before="0" w:beforeLines="0" w:line="240" w:lineRule="auto"/>
      <w:jc w:val="center"/>
      <w:rPr>
        <w:b/>
        <w:bCs/>
        <w:i/>
        <w:iCs/>
      </w:rPr>
    </w:pPr>
    <w:r>
      <w:rPr>
        <w:rFonts w:hint="eastAsia" w:cs="宋体"/>
        <w:b/>
        <w:i/>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C6ECC"/>
    <w:multiLevelType w:val="multilevel"/>
    <w:tmpl w:val="15CC6ECC"/>
    <w:lvl w:ilvl="0" w:tentative="0">
      <w:start w:val="1"/>
      <w:numFmt w:val="upperRoman"/>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732528"/>
    <w:multiLevelType w:val="multilevel"/>
    <w:tmpl w:val="1C732528"/>
    <w:lvl w:ilvl="0" w:tentative="0">
      <w:start w:val="1"/>
      <w:numFmt w:val="upp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2E738FB"/>
    <w:multiLevelType w:val="multilevel"/>
    <w:tmpl w:val="22E738FB"/>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72B6335"/>
    <w:multiLevelType w:val="multilevel"/>
    <w:tmpl w:val="272B6335"/>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BF646DD"/>
    <w:multiLevelType w:val="multilevel"/>
    <w:tmpl w:val="2BF646DD"/>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E4F60A2"/>
    <w:multiLevelType w:val="multilevel"/>
    <w:tmpl w:val="4E4F60A2"/>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58A6058"/>
    <w:multiLevelType w:val="multilevel"/>
    <w:tmpl w:val="558A6058"/>
    <w:lvl w:ilvl="0" w:tentative="0">
      <w:start w:val="1"/>
      <w:numFmt w:val="upp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5983FE4"/>
    <w:multiLevelType w:val="multilevel"/>
    <w:tmpl w:val="65983FE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6"/>
  </w:num>
  <w:num w:numId="4">
    <w:abstractNumId w:val="5"/>
  </w:num>
  <w:num w:numId="5">
    <w:abstractNumId w:val="1"/>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81"/>
  <w:drawingGridVerticalSpacing w:val="181"/>
  <w:characterSpacingControl w:val="compressPunctuation"/>
  <w:footnotePr>
    <w:numStart w:val="3"/>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37"/>
    <w:rsid w:val="00013AC1"/>
    <w:rsid w:val="000537F6"/>
    <w:rsid w:val="00095561"/>
    <w:rsid w:val="000E2BDD"/>
    <w:rsid w:val="00157451"/>
    <w:rsid w:val="00292E7E"/>
    <w:rsid w:val="00296E05"/>
    <w:rsid w:val="00312E70"/>
    <w:rsid w:val="003347FC"/>
    <w:rsid w:val="003A3768"/>
    <w:rsid w:val="003E6EEC"/>
    <w:rsid w:val="003F0B03"/>
    <w:rsid w:val="00420413"/>
    <w:rsid w:val="00443404"/>
    <w:rsid w:val="00550DD3"/>
    <w:rsid w:val="005707FF"/>
    <w:rsid w:val="00583035"/>
    <w:rsid w:val="005C21D2"/>
    <w:rsid w:val="00615772"/>
    <w:rsid w:val="006323D2"/>
    <w:rsid w:val="00645FDC"/>
    <w:rsid w:val="0065358B"/>
    <w:rsid w:val="006C6ACE"/>
    <w:rsid w:val="00766C9F"/>
    <w:rsid w:val="00774F2B"/>
    <w:rsid w:val="00797094"/>
    <w:rsid w:val="007B59A5"/>
    <w:rsid w:val="007C2ADC"/>
    <w:rsid w:val="008C2BFB"/>
    <w:rsid w:val="009076E1"/>
    <w:rsid w:val="0092518D"/>
    <w:rsid w:val="009A0154"/>
    <w:rsid w:val="009C5691"/>
    <w:rsid w:val="00A937CD"/>
    <w:rsid w:val="00B32D3A"/>
    <w:rsid w:val="00BD5535"/>
    <w:rsid w:val="00C22FFB"/>
    <w:rsid w:val="00C71ACA"/>
    <w:rsid w:val="00CC3411"/>
    <w:rsid w:val="00D36557"/>
    <w:rsid w:val="00D703FC"/>
    <w:rsid w:val="00DA4F88"/>
    <w:rsid w:val="00DB1404"/>
    <w:rsid w:val="00DD1382"/>
    <w:rsid w:val="00DD69AD"/>
    <w:rsid w:val="00DE285D"/>
    <w:rsid w:val="00E02E55"/>
    <w:rsid w:val="00E70024"/>
    <w:rsid w:val="00ED54C7"/>
    <w:rsid w:val="00F1355C"/>
    <w:rsid w:val="00F300CA"/>
    <w:rsid w:val="00F438B9"/>
    <w:rsid w:val="00F80088"/>
    <w:rsid w:val="00FA0D4C"/>
    <w:rsid w:val="00FA12AF"/>
    <w:rsid w:val="00FD7831"/>
    <w:rsid w:val="00FE0637"/>
    <w:rsid w:val="033F0F27"/>
    <w:rsid w:val="14CE2940"/>
    <w:rsid w:val="16925FD8"/>
    <w:rsid w:val="383B4019"/>
    <w:rsid w:val="4F6B1F9B"/>
    <w:rsid w:val="52676128"/>
    <w:rsid w:val="5BF55C2B"/>
    <w:rsid w:val="5C7F6337"/>
    <w:rsid w:val="63E576BE"/>
    <w:rsid w:val="74FF2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Theme="minorEastAsia"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50" w:beforeLines="50" w:line="300" w:lineRule="auto"/>
      <w:jc w:val="both"/>
    </w:pPr>
    <w:rPr>
      <w:rFonts w:ascii="Times New Roman" w:hAnsi="Times New Roman" w:eastAsia="宋体" w:cs="Courier New"/>
      <w:color w:val="000000"/>
      <w:sz w:val="24"/>
      <w:szCs w:val="24"/>
      <w:lang w:val="en-US" w:eastAsia="en-US" w:bidi="en-US"/>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unhideWhenUsed/>
    <w:uiPriority w:val="39"/>
    <w:pPr>
      <w:ind w:left="840" w:leftChars="400"/>
    </w:pPr>
  </w:style>
  <w:style w:type="paragraph" w:styleId="3">
    <w:name w:val="Balloon Text"/>
    <w:basedOn w:val="1"/>
    <w:link w:val="37"/>
    <w:semiHidden/>
    <w:unhideWhenUsed/>
    <w:qFormat/>
    <w:uiPriority w:val="99"/>
    <w:pPr>
      <w:spacing w:before="0" w:line="240" w:lineRule="auto"/>
    </w:pPr>
    <w:rPr>
      <w:sz w:val="18"/>
      <w:szCs w:val="18"/>
    </w:rPr>
  </w:style>
  <w:style w:type="paragraph" w:styleId="4">
    <w:name w:val="footer"/>
    <w:basedOn w:val="1"/>
    <w:link w:val="34"/>
    <w:unhideWhenUsed/>
    <w:qFormat/>
    <w:uiPriority w:val="99"/>
    <w:pPr>
      <w:tabs>
        <w:tab w:val="center" w:pos="4153"/>
        <w:tab w:val="right" w:pos="8306"/>
      </w:tabs>
      <w:spacing w:line="240" w:lineRule="auto"/>
      <w:jc w:val="left"/>
    </w:pPr>
    <w:rPr>
      <w:sz w:val="18"/>
      <w:szCs w:val="18"/>
    </w:rPr>
  </w:style>
  <w:style w:type="paragraph" w:styleId="5">
    <w:name w:val="header"/>
    <w:basedOn w:val="1"/>
    <w:link w:val="33"/>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脚注_"/>
    <w:basedOn w:val="10"/>
    <w:link w:val="13"/>
    <w:qFormat/>
    <w:uiPriority w:val="0"/>
    <w:rPr>
      <w:rFonts w:ascii="Times New Roman" w:hAnsi="Times New Roman" w:eastAsia="Times New Roman" w:cs="Times New Roman"/>
      <w:sz w:val="20"/>
      <w:szCs w:val="20"/>
      <w:u w:val="none"/>
      <w:shd w:val="clear" w:color="auto" w:fill="auto"/>
    </w:rPr>
  </w:style>
  <w:style w:type="paragraph" w:customStyle="1" w:styleId="13">
    <w:name w:val="脚注"/>
    <w:basedOn w:val="1"/>
    <w:link w:val="12"/>
    <w:qFormat/>
    <w:uiPriority w:val="0"/>
    <w:rPr>
      <w:rFonts w:eastAsia="Times New Roman" w:cs="Times New Roman"/>
      <w:sz w:val="20"/>
      <w:szCs w:val="20"/>
    </w:rPr>
  </w:style>
  <w:style w:type="character" w:customStyle="1" w:styleId="14">
    <w:name w:val="其他_"/>
    <w:basedOn w:val="10"/>
    <w:link w:val="15"/>
    <w:qFormat/>
    <w:uiPriority w:val="0"/>
    <w:rPr>
      <w:rFonts w:ascii="Times New Roman" w:hAnsi="Times New Roman" w:eastAsia="Times New Roman" w:cs="Times New Roman"/>
      <w:u w:val="none"/>
      <w:shd w:val="clear" w:color="auto" w:fill="auto"/>
    </w:rPr>
  </w:style>
  <w:style w:type="paragraph" w:customStyle="1" w:styleId="15">
    <w:name w:val="其他"/>
    <w:basedOn w:val="1"/>
    <w:link w:val="14"/>
    <w:qFormat/>
    <w:uiPriority w:val="0"/>
    <w:pPr>
      <w:spacing w:after="240"/>
    </w:pPr>
    <w:rPr>
      <w:rFonts w:eastAsia="Times New Roman" w:cs="Times New Roman"/>
    </w:rPr>
  </w:style>
  <w:style w:type="character" w:customStyle="1" w:styleId="16">
    <w:name w:val="正文文本 (2)_"/>
    <w:basedOn w:val="10"/>
    <w:link w:val="17"/>
    <w:qFormat/>
    <w:uiPriority w:val="0"/>
    <w:rPr>
      <w:rFonts w:ascii="Times New Roman" w:hAnsi="Times New Roman" w:eastAsia="Times New Roman" w:cs="Times New Roman"/>
      <w:b/>
      <w:bCs/>
      <w:sz w:val="56"/>
      <w:szCs w:val="56"/>
      <w:u w:val="none"/>
      <w:shd w:val="clear" w:color="auto" w:fill="auto"/>
    </w:rPr>
  </w:style>
  <w:style w:type="paragraph" w:customStyle="1" w:styleId="17">
    <w:name w:val="正文文本 (2)"/>
    <w:basedOn w:val="1"/>
    <w:link w:val="16"/>
    <w:qFormat/>
    <w:uiPriority w:val="0"/>
    <w:pPr>
      <w:spacing w:after="240"/>
      <w:jc w:val="center"/>
    </w:pPr>
    <w:rPr>
      <w:rFonts w:eastAsia="Times New Roman" w:cs="Times New Roman"/>
      <w:b/>
      <w:bCs/>
      <w:sz w:val="56"/>
      <w:szCs w:val="56"/>
    </w:rPr>
  </w:style>
  <w:style w:type="character" w:customStyle="1" w:styleId="18">
    <w:name w:val="正文文本_"/>
    <w:basedOn w:val="10"/>
    <w:link w:val="19"/>
    <w:qFormat/>
    <w:uiPriority w:val="0"/>
    <w:rPr>
      <w:rFonts w:ascii="Times New Roman" w:hAnsi="Times New Roman" w:eastAsia="Times New Roman" w:cs="Times New Roman"/>
      <w:u w:val="none"/>
      <w:shd w:val="clear" w:color="auto" w:fill="auto"/>
    </w:rPr>
  </w:style>
  <w:style w:type="paragraph" w:customStyle="1" w:styleId="19">
    <w:name w:val="正文文本1"/>
    <w:basedOn w:val="1"/>
    <w:link w:val="18"/>
    <w:qFormat/>
    <w:uiPriority w:val="0"/>
    <w:pPr>
      <w:spacing w:after="240"/>
    </w:pPr>
    <w:rPr>
      <w:rFonts w:eastAsia="Times New Roman" w:cs="Times New Roman"/>
    </w:rPr>
  </w:style>
  <w:style w:type="character" w:customStyle="1" w:styleId="20">
    <w:name w:val="页眉或页脚 (2)_"/>
    <w:basedOn w:val="10"/>
    <w:link w:val="21"/>
    <w:qFormat/>
    <w:uiPriority w:val="0"/>
    <w:rPr>
      <w:rFonts w:ascii="Times New Roman" w:hAnsi="Times New Roman" w:eastAsia="Times New Roman" w:cs="Times New Roman"/>
      <w:sz w:val="20"/>
      <w:szCs w:val="20"/>
      <w:u w:val="none"/>
      <w:shd w:val="clear" w:color="auto" w:fill="auto"/>
    </w:rPr>
  </w:style>
  <w:style w:type="paragraph" w:customStyle="1" w:styleId="21">
    <w:name w:val="页眉或页脚 (2)"/>
    <w:basedOn w:val="1"/>
    <w:link w:val="20"/>
    <w:qFormat/>
    <w:uiPriority w:val="0"/>
    <w:rPr>
      <w:rFonts w:eastAsia="Times New Roman" w:cs="Times New Roman"/>
      <w:sz w:val="20"/>
      <w:szCs w:val="20"/>
    </w:rPr>
  </w:style>
  <w:style w:type="character" w:customStyle="1" w:styleId="22">
    <w:name w:val="正文文本 (3)_"/>
    <w:basedOn w:val="10"/>
    <w:link w:val="23"/>
    <w:qFormat/>
    <w:uiPriority w:val="0"/>
    <w:rPr>
      <w:rFonts w:ascii="Times New Roman" w:hAnsi="Times New Roman" w:eastAsia="Times New Roman" w:cs="Times New Roman"/>
      <w:b/>
      <w:bCs/>
      <w:sz w:val="36"/>
      <w:szCs w:val="36"/>
      <w:u w:val="none"/>
      <w:shd w:val="clear" w:color="auto" w:fill="auto"/>
    </w:rPr>
  </w:style>
  <w:style w:type="paragraph" w:customStyle="1" w:styleId="23">
    <w:name w:val="正文文本 (3)"/>
    <w:basedOn w:val="1"/>
    <w:link w:val="22"/>
    <w:qFormat/>
    <w:uiPriority w:val="0"/>
    <w:pPr>
      <w:spacing w:after="240"/>
    </w:pPr>
    <w:rPr>
      <w:rFonts w:eastAsia="Times New Roman" w:cs="Times New Roman"/>
      <w:b/>
      <w:bCs/>
      <w:sz w:val="36"/>
      <w:szCs w:val="36"/>
    </w:rPr>
  </w:style>
  <w:style w:type="character" w:customStyle="1" w:styleId="24">
    <w:name w:val="目录_"/>
    <w:basedOn w:val="10"/>
    <w:link w:val="25"/>
    <w:qFormat/>
    <w:uiPriority w:val="0"/>
    <w:rPr>
      <w:rFonts w:ascii="Times New Roman" w:hAnsi="Times New Roman" w:eastAsia="Times New Roman" w:cs="Times New Roman"/>
      <w:u w:val="none"/>
      <w:shd w:val="clear" w:color="auto" w:fill="auto"/>
    </w:rPr>
  </w:style>
  <w:style w:type="paragraph" w:customStyle="1" w:styleId="25">
    <w:name w:val="目录"/>
    <w:basedOn w:val="1"/>
    <w:link w:val="24"/>
    <w:qFormat/>
    <w:uiPriority w:val="0"/>
    <w:pPr>
      <w:spacing w:after="240"/>
      <w:ind w:left="1100"/>
    </w:pPr>
    <w:rPr>
      <w:rFonts w:eastAsia="Times New Roman" w:cs="Times New Roman"/>
    </w:rPr>
  </w:style>
  <w:style w:type="character" w:customStyle="1" w:styleId="26">
    <w:name w:val="标题 #1_"/>
    <w:basedOn w:val="10"/>
    <w:link w:val="27"/>
    <w:qFormat/>
    <w:uiPriority w:val="0"/>
    <w:rPr>
      <w:rFonts w:ascii="Times New Roman" w:hAnsi="Times New Roman" w:eastAsia="Times New Roman" w:cs="Times New Roman"/>
      <w:b/>
      <w:bCs/>
      <w:sz w:val="36"/>
      <w:szCs w:val="36"/>
      <w:u w:val="none"/>
      <w:shd w:val="clear" w:color="auto" w:fill="auto"/>
    </w:rPr>
  </w:style>
  <w:style w:type="paragraph" w:customStyle="1" w:styleId="27">
    <w:name w:val="标题 #1"/>
    <w:basedOn w:val="1"/>
    <w:link w:val="26"/>
    <w:qFormat/>
    <w:uiPriority w:val="0"/>
    <w:pPr>
      <w:spacing w:after="240"/>
      <w:ind w:left="620" w:hanging="620"/>
      <w:outlineLvl w:val="0"/>
    </w:pPr>
    <w:rPr>
      <w:rFonts w:eastAsia="Times New Roman" w:cs="Times New Roman"/>
      <w:b/>
      <w:bCs/>
      <w:sz w:val="36"/>
      <w:szCs w:val="36"/>
    </w:rPr>
  </w:style>
  <w:style w:type="character" w:customStyle="1" w:styleId="28">
    <w:name w:val="标题 #2_"/>
    <w:basedOn w:val="10"/>
    <w:link w:val="29"/>
    <w:qFormat/>
    <w:uiPriority w:val="0"/>
    <w:rPr>
      <w:rFonts w:ascii="Times New Roman" w:hAnsi="Times New Roman" w:eastAsia="Times New Roman" w:cs="Times New Roman"/>
      <w:b/>
      <w:bCs/>
      <w:sz w:val="32"/>
      <w:szCs w:val="32"/>
      <w:u w:val="none"/>
      <w:shd w:val="clear" w:color="auto" w:fill="auto"/>
    </w:rPr>
  </w:style>
  <w:style w:type="paragraph" w:customStyle="1" w:styleId="29">
    <w:name w:val="标题 #2"/>
    <w:basedOn w:val="1"/>
    <w:link w:val="28"/>
    <w:qFormat/>
    <w:uiPriority w:val="0"/>
    <w:pPr>
      <w:spacing w:after="240"/>
      <w:ind w:firstLine="740"/>
      <w:outlineLvl w:val="1"/>
    </w:pPr>
    <w:rPr>
      <w:rFonts w:eastAsia="Times New Roman" w:cs="Times New Roman"/>
      <w:b/>
      <w:bCs/>
      <w:sz w:val="32"/>
      <w:szCs w:val="32"/>
    </w:rPr>
  </w:style>
  <w:style w:type="character" w:customStyle="1" w:styleId="30">
    <w:name w:val="标题 #3_"/>
    <w:basedOn w:val="10"/>
    <w:link w:val="31"/>
    <w:qFormat/>
    <w:uiPriority w:val="0"/>
    <w:rPr>
      <w:rFonts w:ascii="Times New Roman" w:hAnsi="Times New Roman" w:eastAsia="Times New Roman" w:cs="Times New Roman"/>
      <w:b/>
      <w:bCs/>
      <w:sz w:val="28"/>
      <w:szCs w:val="28"/>
      <w:u w:val="none"/>
      <w:shd w:val="clear" w:color="auto" w:fill="auto"/>
    </w:rPr>
  </w:style>
  <w:style w:type="paragraph" w:customStyle="1" w:styleId="31">
    <w:name w:val="标题 #3"/>
    <w:basedOn w:val="1"/>
    <w:link w:val="30"/>
    <w:qFormat/>
    <w:uiPriority w:val="0"/>
    <w:pPr>
      <w:spacing w:after="250"/>
      <w:ind w:left="1820" w:hanging="180"/>
      <w:outlineLvl w:val="2"/>
    </w:pPr>
    <w:rPr>
      <w:rFonts w:eastAsia="Times New Roman" w:cs="Times New Roman"/>
      <w:b/>
      <w:bCs/>
      <w:sz w:val="28"/>
      <w:szCs w:val="28"/>
    </w:rPr>
  </w:style>
  <w:style w:type="paragraph" w:styleId="32">
    <w:name w:val="No Spacing"/>
    <w:qFormat/>
    <w:uiPriority w:val="1"/>
    <w:pPr>
      <w:widowControl w:val="0"/>
      <w:snapToGrid w:val="0"/>
      <w:spacing w:before="15" w:beforeLines="15" w:line="276" w:lineRule="auto"/>
      <w:jc w:val="both"/>
    </w:pPr>
    <w:rPr>
      <w:rFonts w:ascii="Times New Roman" w:hAnsi="Times New Roman" w:eastAsia="宋体" w:cs="Courier New"/>
      <w:color w:val="000000"/>
      <w:sz w:val="21"/>
      <w:szCs w:val="24"/>
      <w:lang w:val="en-US" w:eastAsia="en-US" w:bidi="en-US"/>
    </w:rPr>
  </w:style>
  <w:style w:type="character" w:customStyle="1" w:styleId="33">
    <w:name w:val="页眉 Char"/>
    <w:basedOn w:val="10"/>
    <w:link w:val="5"/>
    <w:qFormat/>
    <w:uiPriority w:val="99"/>
    <w:rPr>
      <w:rFonts w:ascii="Times New Roman" w:hAnsi="Times New Roman" w:eastAsia="宋体"/>
      <w:color w:val="000000"/>
      <w:sz w:val="18"/>
      <w:szCs w:val="18"/>
    </w:rPr>
  </w:style>
  <w:style w:type="character" w:customStyle="1" w:styleId="34">
    <w:name w:val="页脚 Char"/>
    <w:basedOn w:val="10"/>
    <w:link w:val="4"/>
    <w:qFormat/>
    <w:uiPriority w:val="99"/>
    <w:rPr>
      <w:rFonts w:ascii="Times New Roman" w:hAnsi="Times New Roman" w:eastAsia="宋体"/>
      <w:color w:val="000000"/>
      <w:sz w:val="18"/>
      <w:szCs w:val="18"/>
    </w:rPr>
  </w:style>
  <w:style w:type="character" w:customStyle="1" w:styleId="35">
    <w:name w:val="未处理的提及1"/>
    <w:basedOn w:val="10"/>
    <w:semiHidden/>
    <w:unhideWhenUsed/>
    <w:uiPriority w:val="99"/>
    <w:rPr>
      <w:color w:val="605E5C"/>
      <w:shd w:val="clear" w:color="auto" w:fill="E1DFDD"/>
    </w:rPr>
  </w:style>
  <w:style w:type="paragraph" w:styleId="36">
    <w:name w:val="List Paragraph"/>
    <w:basedOn w:val="1"/>
    <w:qFormat/>
    <w:uiPriority w:val="34"/>
    <w:pPr>
      <w:ind w:firstLine="420" w:firstLineChars="200"/>
    </w:pPr>
  </w:style>
  <w:style w:type="character" w:customStyle="1" w:styleId="37">
    <w:name w:val="批注框文本 Char"/>
    <w:basedOn w:val="10"/>
    <w:link w:val="3"/>
    <w:semiHidden/>
    <w:uiPriority w:val="99"/>
    <w:rPr>
      <w:rFonts w:ascii="Times New Roman" w:hAnsi="Times New Roman" w:eastAsia="宋体"/>
      <w:color w:val="000000"/>
      <w:sz w:val="18"/>
      <w:szCs w:val="18"/>
    </w:rPr>
  </w:style>
  <w:style w:type="paragraph" w:customStyle="1" w:styleId="38">
    <w:name w:val="修订1"/>
    <w:hidden/>
    <w:semiHidden/>
    <w:qFormat/>
    <w:uiPriority w:val="99"/>
    <w:rPr>
      <w:rFonts w:ascii="Times New Roman" w:hAnsi="Times New Roman" w:eastAsia="宋体" w:cs="Courier New"/>
      <w:color w:val="000000"/>
      <w:sz w:val="24"/>
      <w:szCs w:val="24"/>
      <w:lang w:val="en-US" w:eastAsia="en-US" w:bidi="en-US"/>
    </w:rPr>
  </w:style>
  <w:style w:type="paragraph" w:customStyle="1" w:styleId="39">
    <w:name w:val="Revision"/>
    <w:hidden/>
    <w:semiHidden/>
    <w:uiPriority w:val="99"/>
    <w:rPr>
      <w:rFonts w:ascii="Times New Roman" w:hAnsi="Times New Roman" w:eastAsia="宋体" w:cs="Courier New"/>
      <w:color w:val="000000"/>
      <w:sz w:val="24"/>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21FF4-C753-4C30-8A90-79012318439D}">
  <ds:schemaRefs/>
</ds:datastoreItem>
</file>

<file path=docProps/app.xml><?xml version="1.0" encoding="utf-8"?>
<Properties xmlns="http://schemas.openxmlformats.org/officeDocument/2006/extended-properties" xmlns:vt="http://schemas.openxmlformats.org/officeDocument/2006/docPropsVTypes">
  <Template>Normal</Template>
  <Pages>16</Pages>
  <Words>10309</Words>
  <Characters>11742</Characters>
  <Lines>92</Lines>
  <Paragraphs>26</Paragraphs>
  <TotalTime>28</TotalTime>
  <ScaleCrop>false</ScaleCrop>
  <LinksUpToDate>false</LinksUpToDate>
  <CharactersWithSpaces>11821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2022-03-10T08:22:00Z</dcterms:created>
  <dc:creator>CDRH CBER</dc:creator>
  <cp:lastModifiedBy>太极箫客</cp:lastModifiedBy>
  <dcterms:modified xsi:type="dcterms:W3CDTF">2025-08-14T06:33:03Z</dcterms:modified>
  <dc:title>Use of Public Human Genetic Variant Databases to Support Clinical Validity for Genetic and Genomic-Based In Vitro Diagnostics - Guidance for Stakeholders and Food and Drug Administration Staff</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28C03E3C35A94CB0AA1DC19352962A03</vt:lpwstr>
  </property>
  <property fmtid="{D5CDD505-2E9C-101B-9397-08002B2CF9AE}" pid="4" name="KSOTemplateDocerSaveRecord">
    <vt:lpwstr>eyJoZGlkIjoiMDJiMzI3ODBiNTFmMWRjNDUyMjM1ZmZjODY5NDc2MWMiLCJ1c2VySWQiOiI0NTQ4Nzg1NzAifQ==</vt:lpwstr>
  </property>
</Properties>
</file>