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DC66C">
      <w:pPr>
        <w:spacing w:before="149"/>
        <w:rPr>
          <w:snapToGrid w:val="0"/>
          <w:szCs w:val="24"/>
          <w:lang w:eastAsia="zh-CN"/>
        </w:rPr>
      </w:pPr>
      <w:bookmarkStart w:id="2" w:name="_GoBack"/>
      <w:bookmarkEnd w:id="2"/>
      <w:r>
        <w:rPr>
          <w:b/>
          <w:i/>
          <w:snapToGrid w:val="0"/>
          <w:lang w:eastAsia="zh-CN"/>
        </w:rPr>
        <w:t>CDRH</w:t>
      </w:r>
      <w:r>
        <w:rPr>
          <w:rFonts w:hint="eastAsia"/>
          <w:b/>
          <w:i/>
          <w:snapToGrid w:val="0"/>
          <w:lang w:eastAsia="zh-CN"/>
        </w:rPr>
        <w:t>最终指南2——封面页</w:t>
      </w:r>
    </w:p>
    <w:p w14:paraId="25D74F4D">
      <w:pPr>
        <w:spacing w:before="149"/>
        <w:jc w:val="center"/>
        <w:rPr>
          <w:snapToGrid w:val="0"/>
          <w:sz w:val="36"/>
          <w:szCs w:val="36"/>
          <w:lang w:eastAsia="zh-CN"/>
        </w:rPr>
      </w:pPr>
      <w:r>
        <w:rPr>
          <w:rFonts w:hint="eastAsia"/>
          <w:snapToGrid w:val="0"/>
          <w:sz w:val="36"/>
          <w:szCs w:val="36"/>
          <w:lang w:eastAsia="zh-CN"/>
        </w:rPr>
        <w:t>行业指南</w:t>
      </w:r>
    </w:p>
    <w:p w14:paraId="459CC455">
      <w:pPr>
        <w:spacing w:before="149"/>
        <w:rPr>
          <w:snapToGrid w:val="0"/>
          <w:szCs w:val="51"/>
          <w:lang w:eastAsia="zh-CN"/>
        </w:rPr>
      </w:pPr>
    </w:p>
    <w:p w14:paraId="711DAB5E">
      <w:pPr>
        <w:spacing w:before="149"/>
        <w:jc w:val="center"/>
        <w:rPr>
          <w:b/>
          <w:snapToGrid w:val="0"/>
          <w:sz w:val="44"/>
          <w:szCs w:val="44"/>
          <w:lang w:eastAsia="zh-CN"/>
        </w:rPr>
      </w:pPr>
      <w:r>
        <w:rPr>
          <w:rFonts w:hint="eastAsia"/>
          <w:b/>
          <w:snapToGrid w:val="0"/>
          <w:sz w:val="44"/>
          <w:szCs w:val="44"/>
          <w:lang w:eastAsia="zh-CN"/>
        </w:rPr>
        <w:t>体外</w:t>
      </w:r>
      <w:r>
        <w:rPr>
          <w:b/>
          <w:snapToGrid w:val="0"/>
          <w:sz w:val="44"/>
          <w:szCs w:val="44"/>
          <w:lang w:eastAsia="zh-CN"/>
        </w:rPr>
        <w:t>诊断</w:t>
      </w:r>
      <w:r>
        <w:rPr>
          <w:rFonts w:hint="eastAsia"/>
          <w:b/>
          <w:snapToGrid w:val="0"/>
          <w:sz w:val="44"/>
          <w:szCs w:val="44"/>
          <w:lang w:eastAsia="zh-CN"/>
        </w:rPr>
        <w:t>钠</w:t>
      </w:r>
      <w:r>
        <w:rPr>
          <w:b/>
          <w:snapToGrid w:val="0"/>
          <w:sz w:val="44"/>
          <w:szCs w:val="44"/>
          <w:lang w:eastAsia="zh-CN"/>
        </w:rPr>
        <w:t>试验系统</w:t>
      </w:r>
    </w:p>
    <w:p w14:paraId="341CA77F">
      <w:pPr>
        <w:spacing w:before="149"/>
        <w:rPr>
          <w:b/>
          <w:bCs/>
          <w:snapToGrid w:val="0"/>
          <w:szCs w:val="60"/>
          <w:lang w:eastAsia="zh-CN"/>
        </w:rPr>
      </w:pPr>
    </w:p>
    <w:p w14:paraId="204D3B4C">
      <w:pPr>
        <w:spacing w:before="149"/>
        <w:rPr>
          <w:b/>
          <w:bCs/>
          <w:snapToGrid w:val="0"/>
          <w:szCs w:val="49"/>
          <w:lang w:eastAsia="zh-CN"/>
        </w:rPr>
      </w:pPr>
    </w:p>
    <w:p w14:paraId="24303CF3">
      <w:pPr>
        <w:spacing w:before="149"/>
        <w:rPr>
          <w:b/>
          <w:bCs/>
          <w:snapToGrid w:val="0"/>
          <w:szCs w:val="49"/>
          <w:lang w:eastAsia="zh-CN"/>
        </w:rPr>
      </w:pPr>
    </w:p>
    <w:p w14:paraId="75DB2804">
      <w:pPr>
        <w:spacing w:before="149"/>
        <w:jc w:val="center"/>
        <w:rPr>
          <w:snapToGrid w:val="0"/>
          <w:szCs w:val="28"/>
          <w:lang w:eastAsia="zh-CN"/>
        </w:rPr>
      </w:pPr>
      <w:r>
        <w:rPr>
          <w:b/>
          <w:snapToGrid w:val="0"/>
          <w:lang w:eastAsia="zh-CN"/>
        </w:rPr>
        <w:t>发布日期</w:t>
      </w:r>
      <w:r>
        <w:rPr>
          <w:rFonts w:hint="eastAsia"/>
          <w:b/>
          <w:snapToGrid w:val="0"/>
          <w:lang w:eastAsia="zh-CN"/>
        </w:rPr>
        <w:t>：</w:t>
      </w:r>
      <w:r>
        <w:rPr>
          <w:b/>
          <w:snapToGrid w:val="0"/>
          <w:lang w:eastAsia="zh-CN"/>
        </w:rPr>
        <w:t>1998年</w:t>
      </w:r>
      <w:r>
        <w:rPr>
          <w:rFonts w:hint="eastAsia"/>
          <w:b/>
          <w:snapToGrid w:val="0"/>
          <w:lang w:eastAsia="zh-CN"/>
        </w:rPr>
        <w:t>7月6日</w:t>
      </w:r>
    </w:p>
    <w:p w14:paraId="012D03BD">
      <w:pPr>
        <w:spacing w:before="149"/>
        <w:rPr>
          <w:b/>
          <w:bCs/>
          <w:snapToGrid w:val="0"/>
          <w:szCs w:val="28"/>
          <w:lang w:eastAsia="zh-CN"/>
        </w:rPr>
      </w:pPr>
    </w:p>
    <w:p w14:paraId="0B8C4B21">
      <w:pPr>
        <w:spacing w:before="149"/>
        <w:rPr>
          <w:b/>
          <w:bCs/>
          <w:snapToGrid w:val="0"/>
          <w:szCs w:val="28"/>
          <w:lang w:eastAsia="zh-CN"/>
        </w:rPr>
      </w:pPr>
    </w:p>
    <w:p w14:paraId="7ADEAFA7">
      <w:pPr>
        <w:spacing w:before="149"/>
        <w:rPr>
          <w:b/>
          <w:bCs/>
          <w:snapToGrid w:val="0"/>
          <w:szCs w:val="28"/>
          <w:lang w:eastAsia="zh-CN"/>
        </w:rPr>
      </w:pPr>
    </w:p>
    <w:p w14:paraId="41EC6895">
      <w:pPr>
        <w:spacing w:before="149"/>
        <w:rPr>
          <w:b/>
          <w:bCs/>
          <w:snapToGrid w:val="0"/>
          <w:szCs w:val="28"/>
          <w:lang w:eastAsia="zh-CN"/>
        </w:rPr>
      </w:pPr>
    </w:p>
    <w:p w14:paraId="0C0E32EC">
      <w:pPr>
        <w:spacing w:before="149"/>
        <w:rPr>
          <w:b/>
          <w:bCs/>
          <w:snapToGrid w:val="0"/>
          <w:szCs w:val="28"/>
          <w:lang w:eastAsia="zh-CN"/>
        </w:rPr>
      </w:pPr>
    </w:p>
    <w:p w14:paraId="43CA8CBE">
      <w:pPr>
        <w:spacing w:before="149"/>
        <w:rPr>
          <w:b/>
          <w:bCs/>
          <w:snapToGrid w:val="0"/>
          <w:szCs w:val="28"/>
          <w:lang w:eastAsia="zh-CN"/>
        </w:rPr>
      </w:pPr>
    </w:p>
    <w:p w14:paraId="48B30CAE">
      <w:pPr>
        <w:spacing w:before="149"/>
        <w:rPr>
          <w:b/>
          <w:bCs/>
          <w:snapToGrid w:val="0"/>
          <w:szCs w:val="28"/>
          <w:lang w:eastAsia="zh-CN"/>
        </w:rPr>
      </w:pPr>
    </w:p>
    <w:p w14:paraId="02F25C9C">
      <w:pPr>
        <w:spacing w:before="149"/>
        <w:rPr>
          <w:b/>
          <w:bCs/>
          <w:snapToGrid w:val="0"/>
          <w:szCs w:val="28"/>
          <w:lang w:eastAsia="zh-CN"/>
        </w:rPr>
      </w:pPr>
    </w:p>
    <w:p w14:paraId="4C783E60">
      <w:pPr>
        <w:spacing w:before="149"/>
        <w:rPr>
          <w:b/>
          <w:bCs/>
          <w:snapToGrid w:val="0"/>
          <w:szCs w:val="28"/>
          <w:lang w:eastAsia="zh-CN"/>
        </w:rPr>
      </w:pPr>
    </w:p>
    <w:p w14:paraId="3191ABB0">
      <w:pPr>
        <w:spacing w:before="149"/>
        <w:jc w:val="right"/>
        <w:rPr>
          <w:snapToGrid w:val="0"/>
          <w:szCs w:val="24"/>
          <w:lang w:eastAsia="zh-CN"/>
        </w:rPr>
      </w:pPr>
      <w:r>
        <w:rPr>
          <w:b/>
          <w:snapToGrid w:val="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958850</wp:posOffset>
            </wp:positionH>
            <wp:positionV relativeFrom="paragraph">
              <wp:posOffset>53975</wp:posOffset>
            </wp:positionV>
            <wp:extent cx="1036320" cy="113982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snapToGrid w:val="0"/>
          <w:lang w:eastAsia="zh-CN"/>
        </w:rPr>
        <w:t>美国</w:t>
      </w:r>
      <w:r>
        <w:rPr>
          <w:b/>
          <w:snapToGrid w:val="0"/>
          <w:lang w:eastAsia="zh-CN"/>
        </w:rPr>
        <w:t>卫生与公共服务部</w:t>
      </w:r>
      <w:r>
        <w:rPr>
          <w:rFonts w:hint="eastAsia"/>
          <w:snapToGrid w:val="0"/>
          <w:lang w:eastAsia="zh-CN"/>
        </w:rPr>
        <w:br w:type="textWrapping"/>
      </w:r>
      <w:r>
        <w:rPr>
          <w:rFonts w:hint="eastAsia"/>
          <w:b/>
          <w:snapToGrid w:val="0"/>
          <w:lang w:eastAsia="zh-CN"/>
        </w:rPr>
        <w:t>食品</w:t>
      </w:r>
      <w:r>
        <w:rPr>
          <w:b/>
          <w:snapToGrid w:val="0"/>
          <w:lang w:eastAsia="zh-CN"/>
        </w:rPr>
        <w:t>药品监督管理局</w:t>
      </w:r>
      <w:r>
        <w:rPr>
          <w:rFonts w:hint="eastAsia"/>
          <w:b/>
          <w:snapToGrid w:val="0"/>
          <w:lang w:eastAsia="zh-CN"/>
        </w:rPr>
        <w:br w:type="textWrapping"/>
      </w:r>
      <w:r>
        <w:rPr>
          <w:rFonts w:hint="eastAsia"/>
          <w:b/>
          <w:snapToGrid w:val="0"/>
          <w:lang w:eastAsia="zh-CN"/>
        </w:rPr>
        <w:t>器械与放射健康中心</w:t>
      </w:r>
    </w:p>
    <w:p w14:paraId="1CE02AB0">
      <w:pPr>
        <w:spacing w:before="149"/>
        <w:jc w:val="right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化学、</w:t>
      </w:r>
      <w:r>
        <w:rPr>
          <w:b/>
          <w:snapToGrid w:val="0"/>
          <w:lang w:eastAsia="zh-CN"/>
        </w:rPr>
        <w:t>毒理学与血液学科</w:t>
      </w:r>
      <w:r>
        <w:rPr>
          <w:rFonts w:hint="eastAsia"/>
          <w:b/>
          <w:snapToGrid w:val="0"/>
          <w:lang w:eastAsia="zh-CN"/>
        </w:rPr>
        <w:br w:type="textWrapping"/>
      </w:r>
      <w:r>
        <w:rPr>
          <w:rFonts w:hint="eastAsia"/>
          <w:b/>
          <w:snapToGrid w:val="0"/>
          <w:lang w:eastAsia="zh-CN"/>
        </w:rPr>
        <w:t>临床</w:t>
      </w:r>
      <w:r>
        <w:rPr>
          <w:b/>
          <w:snapToGrid w:val="0"/>
          <w:lang w:eastAsia="zh-CN"/>
        </w:rPr>
        <w:t>实验室器械部</w:t>
      </w:r>
      <w:r>
        <w:rPr>
          <w:rFonts w:hint="eastAsia"/>
          <w:b/>
          <w:snapToGrid w:val="0"/>
          <w:lang w:eastAsia="zh-CN"/>
        </w:rPr>
        <w:br w:type="textWrapping"/>
      </w:r>
      <w:r>
        <w:rPr>
          <w:rFonts w:hint="eastAsia"/>
          <w:b/>
          <w:snapToGrid w:val="0"/>
          <w:lang w:eastAsia="zh-CN"/>
        </w:rPr>
        <w:t>器械</w:t>
      </w:r>
      <w:r>
        <w:rPr>
          <w:b/>
          <w:snapToGrid w:val="0"/>
          <w:lang w:eastAsia="zh-CN"/>
        </w:rPr>
        <w:t>评估办公室</w:t>
      </w:r>
    </w:p>
    <w:p w14:paraId="35EA3854">
      <w:pPr>
        <w:spacing w:before="149"/>
        <w:jc w:val="center"/>
        <w:rPr>
          <w:snapToGrid w:val="0"/>
          <w:sz w:val="32"/>
          <w:szCs w:val="32"/>
          <w:lang w:eastAsia="zh-CN"/>
        </w:rPr>
      </w:pPr>
      <w:r>
        <w:rPr>
          <w:snapToGrid w:val="0"/>
          <w:szCs w:val="24"/>
          <w:lang w:eastAsia="zh-CN"/>
        </w:rPr>
        <w:br w:type="page"/>
      </w:r>
      <w:r>
        <w:rPr>
          <w:rFonts w:hint="eastAsia"/>
          <w:b/>
          <w:snapToGrid w:val="0"/>
          <w:sz w:val="32"/>
          <w:szCs w:val="32"/>
          <w:lang w:eastAsia="zh-CN"/>
        </w:rPr>
        <w:t>前言</w:t>
      </w:r>
    </w:p>
    <w:p w14:paraId="1FA1FA92">
      <w:pPr>
        <w:spacing w:before="149"/>
        <w:rPr>
          <w:b/>
          <w:bCs/>
          <w:snapToGrid w:val="0"/>
          <w:szCs w:val="20"/>
          <w:lang w:eastAsia="zh-CN"/>
        </w:rPr>
      </w:pPr>
    </w:p>
    <w:p w14:paraId="658B6E85">
      <w:pPr>
        <w:spacing w:before="149"/>
        <w:rPr>
          <w:b/>
          <w:bCs/>
          <w:snapToGrid w:val="0"/>
          <w:sz w:val="28"/>
          <w:szCs w:val="28"/>
          <w:lang w:eastAsia="zh-CN"/>
        </w:rPr>
      </w:pPr>
      <w:r>
        <w:rPr>
          <w:rFonts w:hint="eastAsia"/>
          <w:b/>
          <w:snapToGrid w:val="0"/>
          <w:sz w:val="28"/>
          <w:szCs w:val="28"/>
          <w:lang w:eastAsia="zh-CN"/>
        </w:rPr>
        <w:t>公众</w:t>
      </w:r>
      <w:r>
        <w:rPr>
          <w:b/>
          <w:snapToGrid w:val="0"/>
          <w:sz w:val="28"/>
          <w:szCs w:val="28"/>
          <w:lang w:eastAsia="zh-CN"/>
        </w:rPr>
        <w:t>评论</w:t>
      </w:r>
    </w:p>
    <w:p w14:paraId="3DF8CBD8">
      <w:pPr>
        <w:spacing w:before="149"/>
        <w:ind w:left="480" w:leftChars="200"/>
        <w:rPr>
          <w:snapToGrid w:val="0"/>
          <w:szCs w:val="24"/>
          <w:lang w:eastAsia="zh-CN"/>
        </w:rPr>
      </w:pPr>
      <w:r>
        <w:rPr>
          <w:rFonts w:hint="eastAsia"/>
          <w:snapToGrid w:val="0"/>
          <w:szCs w:val="24"/>
          <w:lang w:eastAsia="zh-CN" w:bidi="zh-CN"/>
        </w:rPr>
        <w:t>可随时向临床实验室器械部门的Joseph L.Hackett博士提交评论和建议，</w:t>
      </w:r>
      <w:r>
        <w:rPr>
          <w:rFonts w:hint="eastAsia"/>
          <w:snapToGrid w:val="0"/>
          <w:lang w:eastAsia="zh-CN"/>
        </w:rPr>
        <w:t>供部门审议</w:t>
      </w:r>
      <w:r>
        <w:rPr>
          <w:rFonts w:hint="eastAsia"/>
          <w:snapToGrid w:val="0"/>
          <w:szCs w:val="24"/>
          <w:lang w:eastAsia="zh-CN" w:bidi="zh-CN"/>
        </w:rPr>
        <w:t>，</w:t>
      </w:r>
      <w:r>
        <w:rPr>
          <w:rFonts w:hint="eastAsia"/>
          <w:snapToGrid w:val="0"/>
          <w:szCs w:val="24"/>
          <w:lang w:eastAsia="zh-CN"/>
        </w:rPr>
        <w:t>HFZ-440，9200 Corporate Blvd，Rockville，邮编20850</w:t>
      </w:r>
      <w:r>
        <w:rPr>
          <w:rFonts w:hint="eastAsia"/>
          <w:snapToGrid w:val="0"/>
          <w:szCs w:val="24"/>
          <w:lang w:eastAsia="zh-CN" w:bidi="zh-CN"/>
        </w:rPr>
        <w:t>。</w:t>
      </w:r>
      <w:bookmarkStart w:id="0" w:name="OLE_LINK2"/>
      <w:bookmarkStart w:id="1" w:name="OLE_LINK1"/>
      <w:r>
        <w:rPr>
          <w:rFonts w:hint="eastAsia"/>
          <w:snapToGrid w:val="0"/>
          <w:szCs w:val="24"/>
          <w:lang w:eastAsia="zh-CN" w:bidi="zh-CN"/>
        </w:rPr>
        <w:t>可能直到文件下次修订或更新时，评论才会被机构受理。</w:t>
      </w:r>
      <w:bookmarkEnd w:id="0"/>
      <w:bookmarkEnd w:id="1"/>
      <w:r>
        <w:rPr>
          <w:rFonts w:hint="eastAsia"/>
          <w:snapToGrid w:val="0"/>
          <w:szCs w:val="24"/>
          <w:lang w:eastAsia="zh-CN" w:bidi="zh-CN"/>
        </w:rPr>
        <w:t>有关本指南的使用或解释的问题，请联系Joseph L. Hackett博士，电话：301-594-3084。</w:t>
      </w:r>
    </w:p>
    <w:p w14:paraId="2B2D6BE5">
      <w:pPr>
        <w:spacing w:before="149"/>
        <w:rPr>
          <w:snapToGrid w:val="0"/>
          <w:szCs w:val="26"/>
          <w:lang w:eastAsia="zh-CN"/>
        </w:rPr>
      </w:pPr>
    </w:p>
    <w:p w14:paraId="5438BAAC">
      <w:pPr>
        <w:spacing w:before="149"/>
        <w:rPr>
          <w:b/>
          <w:snapToGrid w:val="0"/>
          <w:sz w:val="28"/>
          <w:szCs w:val="28"/>
          <w:lang w:eastAsia="zh-CN"/>
        </w:rPr>
      </w:pPr>
      <w:r>
        <w:rPr>
          <w:rFonts w:hint="eastAsia"/>
          <w:b/>
          <w:snapToGrid w:val="0"/>
          <w:sz w:val="28"/>
          <w:szCs w:val="28"/>
          <w:lang w:eastAsia="zh-CN"/>
        </w:rPr>
        <w:t>其它</w:t>
      </w:r>
      <w:r>
        <w:rPr>
          <w:b/>
          <w:snapToGrid w:val="0"/>
          <w:sz w:val="28"/>
          <w:szCs w:val="28"/>
          <w:lang w:eastAsia="zh-CN"/>
        </w:rPr>
        <w:t>副本</w:t>
      </w:r>
    </w:p>
    <w:p w14:paraId="12B28780">
      <w:pPr>
        <w:spacing w:before="149"/>
        <w:ind w:left="480" w:leftChars="200"/>
        <w:rPr>
          <w:snapToGrid w:val="0"/>
          <w:szCs w:val="24"/>
          <w:lang w:eastAsia="zh-CN" w:bidi="zh-CN"/>
        </w:rPr>
      </w:pPr>
      <w:r>
        <w:rPr>
          <w:rFonts w:hint="eastAsia"/>
          <w:snapToGrid w:val="0"/>
          <w:szCs w:val="24"/>
          <w:lang w:eastAsia="zh-CN" w:bidi="zh-CN"/>
        </w:rPr>
        <w:t>万维网/CDRH主页：</w:t>
      </w:r>
      <w:r>
        <w:fldChar w:fldCharType="begin"/>
      </w:r>
      <w:r>
        <w:instrText xml:space="preserve"> HYPERLINK "http://www.fda.gov/cdrh" </w:instrText>
      </w:r>
      <w:r>
        <w:fldChar w:fldCharType="separate"/>
      </w:r>
      <w:r>
        <w:rPr>
          <w:rStyle w:val="10"/>
          <w:rFonts w:eastAsia="宋体" w:cs="Arial"/>
          <w:snapToGrid w:val="0"/>
          <w:szCs w:val="24"/>
          <w:lang w:eastAsia="zh-CN" w:bidi="zh-CN"/>
        </w:rPr>
        <w:t>http: //www.fda.gov/cdrh</w:t>
      </w:r>
      <w:r>
        <w:rPr>
          <w:rStyle w:val="10"/>
          <w:rFonts w:eastAsia="宋体" w:cs="Arial"/>
          <w:snapToGrid w:val="0"/>
          <w:szCs w:val="24"/>
          <w:lang w:eastAsia="zh-CN" w:bidi="zh-CN"/>
        </w:rPr>
        <w:fldChar w:fldCharType="end"/>
      </w:r>
      <w:r>
        <w:rPr>
          <w:rFonts w:hint="eastAsia"/>
          <w:snapToGrid w:val="0"/>
          <w:szCs w:val="24"/>
          <w:lang w:eastAsia="zh-CN" w:bidi="zh-CN"/>
        </w:rPr>
        <w:t>，或资源索取自动回传系统，电话：1-800-899-0381或301-827-0111，在提示输入文档索取号时输入指定数字1109。</w:t>
      </w:r>
    </w:p>
    <w:p w14:paraId="63E7A619">
      <w:pPr>
        <w:spacing w:before="149"/>
        <w:ind w:left="480" w:leftChars="200"/>
        <w:rPr>
          <w:b/>
          <w:bCs/>
          <w:snapToGrid w:val="0"/>
          <w:lang w:eastAsia="zh-CN"/>
        </w:rPr>
      </w:pPr>
      <w:r>
        <w:rPr>
          <w:snapToGrid w:val="0"/>
          <w:lang w:eastAsia="zh-CN"/>
        </w:rPr>
        <w:br w:type="page"/>
      </w:r>
      <w:r>
        <w:rPr>
          <w:rFonts w:hint="eastAsia"/>
          <w:b/>
          <w:snapToGrid w:val="0"/>
          <w:lang w:eastAsia="zh-CN"/>
        </w:rPr>
        <w:t>指导性</w:t>
      </w:r>
      <w:r>
        <w:rPr>
          <w:b/>
          <w:snapToGrid w:val="0"/>
          <w:lang w:eastAsia="zh-CN"/>
        </w:rPr>
        <w:t>文件</w:t>
      </w:r>
    </w:p>
    <w:p w14:paraId="0296DB60">
      <w:pPr>
        <w:spacing w:before="149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器械：</w:t>
      </w:r>
      <w:r>
        <w:rPr>
          <w:b/>
          <w:snapToGrid w:val="0"/>
          <w:lang w:eastAsia="zh-CN"/>
        </w:rPr>
        <w:t>体外诊断</w:t>
      </w:r>
      <w:r>
        <w:rPr>
          <w:rFonts w:hint="eastAsia"/>
          <w:b/>
          <w:snapToGrid w:val="0"/>
          <w:lang w:eastAsia="zh-CN"/>
        </w:rPr>
        <w:t>钠</w:t>
      </w:r>
      <w:r>
        <w:rPr>
          <w:b/>
          <w:snapToGrid w:val="0"/>
          <w:lang w:eastAsia="zh-CN"/>
        </w:rPr>
        <w:t>试验系统</w:t>
      </w:r>
    </w:p>
    <w:p w14:paraId="5249CA04">
      <w:pPr>
        <w:pStyle w:val="12"/>
        <w:numPr>
          <w:ilvl w:val="0"/>
          <w:numId w:val="1"/>
        </w:numPr>
        <w:spacing w:before="149"/>
        <w:ind w:left="482" w:hanging="482" w:hangingChars="200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器械</w:t>
      </w:r>
      <w:r>
        <w:rPr>
          <w:b/>
          <w:snapToGrid w:val="0"/>
          <w:lang w:eastAsia="zh-CN"/>
        </w:rPr>
        <w:t>描述</w:t>
      </w:r>
    </w:p>
    <w:p w14:paraId="733CC8EF">
      <w:pPr>
        <w:spacing w:before="149"/>
        <w:ind w:left="480" w:leftChars="200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通用名称：</w:t>
      </w:r>
      <w:r>
        <w:rPr>
          <w:rFonts w:hint="eastAsia"/>
          <w:snapToGrid w:val="0"/>
          <w:lang w:eastAsia="zh-CN"/>
        </w:rPr>
        <w:t>钠</w:t>
      </w:r>
      <w:r>
        <w:rPr>
          <w:snapToGrid w:val="0"/>
          <w:lang w:eastAsia="zh-CN"/>
        </w:rPr>
        <w:t>试验系统</w:t>
      </w:r>
    </w:p>
    <w:p w14:paraId="1227530C">
      <w:pPr>
        <w:spacing w:before="149"/>
        <w:ind w:left="480" w:leftChars="200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类别：</w:t>
      </w:r>
      <w:r>
        <w:rPr>
          <w:snapToGrid w:val="0"/>
          <w:lang w:eastAsia="zh-CN"/>
        </w:rPr>
        <w:t>II</w:t>
      </w:r>
    </w:p>
    <w:p w14:paraId="747A3248">
      <w:pPr>
        <w:spacing w:before="149"/>
        <w:ind w:left="480" w:leftChars="200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分类小组：</w:t>
      </w:r>
      <w:r>
        <w:rPr>
          <w:rFonts w:hint="eastAsia"/>
          <w:snapToGrid w:val="0"/>
          <w:lang w:eastAsia="zh-CN"/>
        </w:rPr>
        <w:t>临床</w:t>
      </w:r>
      <w:r>
        <w:rPr>
          <w:snapToGrid w:val="0"/>
          <w:lang w:eastAsia="zh-CN"/>
        </w:rPr>
        <w:t>化学（</w:t>
      </w:r>
      <w:r>
        <w:rPr>
          <w:rFonts w:hint="eastAsia"/>
          <w:snapToGrid w:val="0"/>
          <w:lang w:eastAsia="zh-CN"/>
        </w:rPr>
        <w:t>75</w:t>
      </w:r>
      <w:r>
        <w:rPr>
          <w:snapToGrid w:val="0"/>
          <w:lang w:eastAsia="zh-CN"/>
        </w:rPr>
        <w:t>）</w:t>
      </w:r>
    </w:p>
    <w:p w14:paraId="1557F6EF">
      <w:pPr>
        <w:spacing w:before="149"/>
        <w:ind w:left="480" w:leftChars="200"/>
        <w:rPr>
          <w:b/>
          <w:bCs/>
          <w:snapToGrid w:val="0"/>
          <w:lang w:eastAsia="zh-CN"/>
        </w:rPr>
      </w:pPr>
      <w:r>
        <w:rPr>
          <w:rFonts w:hint="eastAsia"/>
          <w:b/>
          <w:snapToGrid w:val="0"/>
          <w:lang w:eastAsia="zh-CN"/>
        </w:rPr>
        <w:t>产品</w:t>
      </w:r>
      <w:r>
        <w:rPr>
          <w:b/>
          <w:snapToGrid w:val="0"/>
          <w:lang w:eastAsia="zh-CN"/>
        </w:rPr>
        <w:t>代码</w:t>
      </w:r>
      <w:r>
        <w:rPr>
          <w:rFonts w:hint="eastAsia"/>
          <w:b/>
          <w:snapToGrid w:val="0"/>
          <w:lang w:eastAsia="zh-CN"/>
        </w:rPr>
        <w:t>：</w:t>
      </w:r>
    </w:p>
    <w:p w14:paraId="1FFCED34">
      <w:pPr>
        <w:spacing w:before="149"/>
        <w:ind w:left="960" w:leftChars="4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JGT，火焰光度法，钠</w:t>
      </w:r>
    </w:p>
    <w:p w14:paraId="10929D3F">
      <w:pPr>
        <w:spacing w:before="149"/>
        <w:ind w:left="960" w:leftChars="4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CEM，离子选择性电极法，钠</w:t>
      </w:r>
    </w:p>
    <w:p w14:paraId="47C25EF0">
      <w:pPr>
        <w:spacing w:before="149"/>
        <w:ind w:left="960" w:leftChars="4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CEJ，乙酸双氧铀/乙酸锌，钠</w:t>
      </w:r>
    </w:p>
    <w:p w14:paraId="6E9A990E">
      <w:pPr>
        <w:spacing w:before="149"/>
        <w:ind w:left="480" w:left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法规编号：</w:t>
      </w:r>
      <w:r>
        <w:rPr>
          <w:snapToGrid w:val="0"/>
          <w:lang w:eastAsia="zh-CN"/>
        </w:rPr>
        <w:t>21 CFR 862.</w:t>
      </w:r>
      <w:r>
        <w:rPr>
          <w:rFonts w:hint="eastAsia"/>
          <w:snapToGrid w:val="0"/>
          <w:lang w:eastAsia="zh-CN"/>
        </w:rPr>
        <w:t>1665</w:t>
      </w:r>
    </w:p>
    <w:p w14:paraId="783F97B0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钠</w:t>
      </w:r>
      <w:r>
        <w:rPr>
          <w:snapToGrid w:val="0"/>
          <w:lang w:eastAsia="zh-CN"/>
        </w:rPr>
        <w:t>试验系统是一种旨在测量血</w:t>
      </w:r>
      <w:r>
        <w:rPr>
          <w:rFonts w:hint="eastAsia"/>
          <w:snapToGrid w:val="0"/>
          <w:lang w:eastAsia="zh-CN"/>
        </w:rPr>
        <w:t>清、血浆和尿液中钠的数量的器械。</w:t>
      </w:r>
    </w:p>
    <w:p w14:paraId="2C124640">
      <w:pPr>
        <w:pStyle w:val="12"/>
        <w:numPr>
          <w:ilvl w:val="0"/>
          <w:numId w:val="1"/>
        </w:numPr>
        <w:spacing w:before="149"/>
        <w:ind w:left="482" w:hanging="482" w:hangingChars="200"/>
        <w:rPr>
          <w:b/>
          <w:snapToGrid w:val="0"/>
          <w:lang w:eastAsia="zh-CN"/>
        </w:rPr>
      </w:pPr>
      <w:r>
        <w:rPr>
          <w:rFonts w:hint="eastAsia"/>
          <w:b/>
          <w:snapToGrid w:val="0"/>
          <w:lang w:eastAsia="zh-CN"/>
        </w:rPr>
        <w:t>适应症</w:t>
      </w:r>
    </w:p>
    <w:p w14:paraId="3C71F472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由</w:t>
      </w:r>
      <w:r>
        <w:rPr>
          <w:snapToGrid w:val="0"/>
          <w:lang w:eastAsia="zh-CN"/>
        </w:rPr>
        <w:t>此仪器得到的测量值用于</w:t>
      </w:r>
      <w:r>
        <w:rPr>
          <w:rFonts w:hint="eastAsia"/>
          <w:snapToGrid w:val="0"/>
          <w:lang w:eastAsia="zh-CN"/>
        </w:rPr>
        <w:t>诊断</w:t>
      </w:r>
      <w:r>
        <w:rPr>
          <w:snapToGrid w:val="0"/>
          <w:lang w:eastAsia="zh-CN"/>
        </w:rPr>
        <w:t>和治疗醛甾酮增多症</w:t>
      </w:r>
      <w:r>
        <w:rPr>
          <w:rFonts w:hint="eastAsia"/>
          <w:snapToGrid w:val="0"/>
          <w:lang w:eastAsia="zh-CN"/>
        </w:rPr>
        <w:t>（醛甾酮激素分泌过多）、尿崩症（慢性排出大量低比重尿，伴随烦渴）、肾上腺性高血压、阿狄森氏病（肾上腺毁坏造成）、脱水、抗利尿激素不当分泌或其它与电解质紊乱有关的疾病。</w:t>
      </w:r>
    </w:p>
    <w:p w14:paraId="2137AED3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预期的患者群体可以是成人、儿童和新生儿，而使用环境可以是医院（例如：呼吸护理或实验室部门）、急救情况（例如：重症监护室、手术、急诊部）或病人床边/附近的护理情况。</w:t>
      </w:r>
    </w:p>
    <w:p w14:paraId="669EAF53">
      <w:pPr>
        <w:pStyle w:val="12"/>
        <w:numPr>
          <w:ilvl w:val="0"/>
          <w:numId w:val="1"/>
        </w:numPr>
        <w:spacing w:before="149"/>
        <w:ind w:left="482" w:hanging="482" w:hangingChars="200"/>
        <w:rPr>
          <w:b/>
          <w:snapToGrid w:val="0"/>
          <w:lang w:eastAsia="zh-CN"/>
        </w:rPr>
      </w:pPr>
      <w:r>
        <w:rPr>
          <w:rFonts w:hint="eastAsia"/>
          <w:b/>
          <w:snapToGrid w:val="0"/>
          <w:lang w:eastAsia="zh-CN"/>
        </w:rPr>
        <w:t>具体</w:t>
      </w:r>
      <w:r>
        <w:rPr>
          <w:b/>
          <w:snapToGrid w:val="0"/>
          <w:lang w:eastAsia="zh-CN"/>
        </w:rPr>
        <w:t>性能特征</w:t>
      </w:r>
    </w:p>
    <w:p w14:paraId="21A3A171">
      <w:pPr>
        <w:pStyle w:val="12"/>
        <w:numPr>
          <w:ilvl w:val="0"/>
          <w:numId w:val="2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临床</w:t>
      </w:r>
      <w:r>
        <w:rPr>
          <w:snapToGrid w:val="0"/>
          <w:lang w:eastAsia="zh-CN"/>
        </w:rPr>
        <w:t>前/</w:t>
      </w:r>
      <w:r>
        <w:rPr>
          <w:rFonts w:hint="eastAsia"/>
          <w:snapToGrid w:val="0"/>
          <w:lang w:eastAsia="zh-CN"/>
        </w:rPr>
        <w:t>实验室/体外研究</w:t>
      </w:r>
    </w:p>
    <w:p w14:paraId="33106E13">
      <w:pPr>
        <w:spacing w:before="149"/>
        <w:rPr>
          <w:snapToGrid w:val="0"/>
          <w:szCs w:val="24"/>
          <w:lang w:eastAsia="zh-CN" w:bidi="zh-CN"/>
        </w:rPr>
      </w:pPr>
      <w:r>
        <w:rPr>
          <w:rFonts w:hint="eastAsia"/>
          <w:snapToGrid w:val="0"/>
          <w:szCs w:val="24"/>
          <w:lang w:eastAsia="zh-CN" w:bidi="zh-CN"/>
        </w:rPr>
        <w:t>提交资料中应包括以下八个性能特征（＃1方法比较-＃8预期值）。应为声称具有适合分析样品类型的器械提供数据支持：</w:t>
      </w:r>
    </w:p>
    <w:p w14:paraId="77301466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方法对比</w:t>
      </w:r>
    </w:p>
    <w:p w14:paraId="4DB5A3B7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斜率、截距</w:t>
      </w:r>
    </w:p>
    <w:p w14:paraId="30D669BD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相关系数</w:t>
      </w:r>
    </w:p>
    <w:p w14:paraId="77A87D3E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试验样品的范围</w:t>
      </w:r>
    </w:p>
    <w:p w14:paraId="20EDE743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估计的标准误差</w:t>
      </w:r>
    </w:p>
    <w:p w14:paraId="3612511F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偏差和偏差图</w:t>
      </w:r>
    </w:p>
    <w:p w14:paraId="4BEAA632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试验的样本数</w:t>
      </w:r>
    </w:p>
    <w:p w14:paraId="0BEC6345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数据图</w:t>
      </w:r>
    </w:p>
    <w:p w14:paraId="55E6A366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精确度</w:t>
      </w:r>
    </w:p>
    <w:p w14:paraId="1E1BEBAA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运行内（测定，和</w:t>
      </w:r>
    </w:p>
    <w:p w14:paraId="7109BF04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运行间（测定），或</w:t>
      </w:r>
    </w:p>
    <w:p w14:paraId="2ACDB716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总值</w:t>
      </w:r>
    </w:p>
    <w:p w14:paraId="62233F96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标准偏差和变异系数</w:t>
      </w:r>
    </w:p>
    <w:p w14:paraId="4D106B9E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snapToGrid w:val="0"/>
          <w:lang w:eastAsia="zh-CN"/>
        </w:rPr>
        <w:t>线性</w:t>
      </w:r>
    </w:p>
    <w:p w14:paraId="46F56DA4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回收、稀释等</w:t>
      </w:r>
    </w:p>
    <w:p w14:paraId="6CA76FDC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灵敏度</w:t>
      </w:r>
    </w:p>
    <w:p w14:paraId="44B5944F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最小检测限值，或</w:t>
      </w:r>
    </w:p>
    <w:p w14:paraId="1F02FCAA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分析灵敏度</w:t>
      </w:r>
    </w:p>
    <w:p w14:paraId="46ECA712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干扰</w:t>
      </w:r>
    </w:p>
    <w:p w14:paraId="7CB678AA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内源性，如胆红素、血红蛋白、脂肪等</w:t>
      </w:r>
    </w:p>
    <w:p w14:paraId="61096C6B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外源性，如药物、抗凝剂等</w:t>
      </w:r>
    </w:p>
    <w:p w14:paraId="22DA30FA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稳定性</w:t>
      </w:r>
      <w:r>
        <w:rPr>
          <w:snapToGrid w:val="0"/>
          <w:lang w:eastAsia="zh-CN"/>
        </w:rPr>
        <w:t>总结</w:t>
      </w:r>
    </w:p>
    <w:p w14:paraId="68FE824D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校准区间</w:t>
      </w:r>
    </w:p>
    <w:p w14:paraId="5F7163D6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质检间隔</w:t>
      </w:r>
    </w:p>
    <w:p w14:paraId="0F15DF51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质检材料</w:t>
      </w:r>
    </w:p>
    <w:p w14:paraId="17AD27D7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校准材料</w:t>
      </w:r>
    </w:p>
    <w:p w14:paraId="00D446A3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软件</w:t>
      </w:r>
    </w:p>
    <w:p w14:paraId="21CCDB7F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确认信息</w:t>
      </w:r>
    </w:p>
    <w:p w14:paraId="591057B9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认证信息</w:t>
      </w:r>
    </w:p>
    <w:p w14:paraId="30ACE7DE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snapToGrid w:val="0"/>
          <w:lang w:eastAsia="zh-CN"/>
        </w:rPr>
        <w:t>预期值</w:t>
      </w:r>
    </w:p>
    <w:p w14:paraId="1A32F9DD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参考文件、参考区间或</w:t>
      </w:r>
    </w:p>
    <w:p w14:paraId="68EEF1DE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人口研究、参考区间，</w:t>
      </w:r>
    </w:p>
    <w:p w14:paraId="17563A78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医学决策点和/或</w:t>
      </w:r>
    </w:p>
    <w:p w14:paraId="2E93B66A">
      <w:pPr>
        <w:pStyle w:val="12"/>
        <w:numPr>
          <w:ilvl w:val="0"/>
          <w:numId w:val="4"/>
        </w:numPr>
        <w:spacing w:before="89" w:beforeLines="3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关键决策点</w:t>
      </w:r>
    </w:p>
    <w:p w14:paraId="0C3B6DB0">
      <w:pPr>
        <w:pStyle w:val="12"/>
        <w:numPr>
          <w:ilvl w:val="0"/>
          <w:numId w:val="2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临床研究</w:t>
      </w:r>
    </w:p>
    <w:p w14:paraId="5F0C77E5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应该进行如上所述的方法比较研究，将性能与所述器械的性能以及适当的参考方法进行比较，证明实质等同性。患者的统计学显著样本</w:t>
      </w:r>
      <w:r>
        <w:rPr>
          <w:rFonts w:hint="eastAsia"/>
          <w:snapToGrid w:val="0"/>
          <w:lang w:eastAsia="zh-CN"/>
        </w:rPr>
        <w:t>来自于</w:t>
      </w:r>
      <w:r>
        <w:rPr>
          <w:snapToGrid w:val="0"/>
          <w:lang w:eastAsia="zh-CN"/>
        </w:rPr>
        <w:t>代表</w:t>
      </w:r>
      <w:r>
        <w:rPr>
          <w:rFonts w:hint="eastAsia"/>
          <w:snapToGrid w:val="0"/>
          <w:lang w:eastAsia="zh-CN"/>
        </w:rPr>
        <w:t>拟定</w:t>
      </w:r>
      <w:r>
        <w:rPr>
          <w:snapToGrid w:val="0"/>
          <w:lang w:eastAsia="zh-CN"/>
        </w:rPr>
        <w:t>预期用途的群体，</w:t>
      </w:r>
      <w:r>
        <w:rPr>
          <w:rFonts w:hint="eastAsia"/>
          <w:snapToGrid w:val="0"/>
          <w:lang w:eastAsia="zh-CN"/>
        </w:rPr>
        <w:t>包括</w:t>
      </w:r>
      <w:r>
        <w:rPr>
          <w:snapToGrid w:val="0"/>
          <w:lang w:eastAsia="zh-CN"/>
        </w:rPr>
        <w:t>适当的测定范围。</w:t>
      </w:r>
    </w:p>
    <w:p w14:paraId="33C97A7D">
      <w:pPr>
        <w:pStyle w:val="12"/>
        <w:numPr>
          <w:ilvl w:val="0"/>
          <w:numId w:val="2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snapToGrid w:val="0"/>
          <w:lang w:eastAsia="zh-CN"/>
        </w:rPr>
        <w:t>应计算和报告所选决策点的总测量误差。</w:t>
      </w:r>
    </w:p>
    <w:p w14:paraId="1C1A09D1">
      <w:pPr>
        <w:pStyle w:val="12"/>
        <w:numPr>
          <w:ilvl w:val="0"/>
          <w:numId w:val="1"/>
        </w:numPr>
        <w:spacing w:before="149"/>
        <w:ind w:left="482" w:hanging="482" w:hangingChars="200"/>
        <w:rPr>
          <w:b/>
          <w:snapToGrid w:val="0"/>
          <w:lang w:eastAsia="zh-CN"/>
        </w:rPr>
      </w:pPr>
      <w:r>
        <w:rPr>
          <w:rFonts w:hint="eastAsia"/>
          <w:b/>
          <w:snapToGrid w:val="0"/>
          <w:lang w:eastAsia="zh-CN"/>
        </w:rPr>
        <w:t>标签注意事项：</w:t>
      </w:r>
    </w:p>
    <w:p w14:paraId="5D04B293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参考</w:t>
      </w:r>
      <w:r>
        <w:rPr>
          <w:snapToGrid w:val="0"/>
          <w:lang w:eastAsia="zh-CN"/>
        </w:rPr>
        <w:t>21 CFR 809.10</w:t>
      </w:r>
      <w:r>
        <w:rPr>
          <w:rFonts w:hint="eastAsia"/>
          <w:snapToGrid w:val="0"/>
          <w:lang w:eastAsia="zh-CN"/>
        </w:rPr>
        <w:t>。</w:t>
      </w:r>
    </w:p>
    <w:p w14:paraId="17EAE5FA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其它：对于用于诊断目的的多用途</w:t>
      </w:r>
      <w:r>
        <w:rPr>
          <w:rFonts w:hint="eastAsia"/>
          <w:snapToGrid w:val="0"/>
          <w:lang w:eastAsia="zh-CN"/>
        </w:rPr>
        <w:t>工具</w:t>
      </w:r>
      <w:r>
        <w:rPr>
          <w:snapToGrid w:val="0"/>
          <w:lang w:eastAsia="zh-CN"/>
        </w:rPr>
        <w:t>，参见21 CFR 809.10 (b)（1），（2），（6），（14）和（15）。</w:t>
      </w:r>
    </w:p>
    <w:p w14:paraId="595E5EB0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清单</w:t>
      </w:r>
    </w:p>
    <w:p w14:paraId="656ACB24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说明</w:t>
      </w:r>
      <w:r>
        <w:rPr>
          <w:rFonts w:hint="eastAsia"/>
          <w:snapToGrid w:val="0"/>
          <w:lang w:eastAsia="zh-CN"/>
        </w:rPr>
        <w:t>：在贵公司准备提交钠试验系统的上市前通告时，将此清单作为指南。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  <w:gridCol w:w="1098"/>
      </w:tblGrid>
      <w:tr w14:paraId="0FD5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2F9FAF55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根据21 CFR 807.87（j）逐字记录的真实和准确的声明。</w:t>
            </w:r>
          </w:p>
        </w:tc>
        <w:tc>
          <w:tcPr>
            <w:tcW w:w="1098" w:type="dxa"/>
          </w:tcPr>
          <w:p w14:paraId="4822A82D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6582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7BCCDE35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分别根据21 CFR 807.92或21 CFR 807.93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的</w:t>
            </w:r>
            <w:r>
              <w:rPr>
                <w:snapToGrid w:val="0"/>
                <w:sz w:val="21"/>
                <w:szCs w:val="21"/>
                <w:lang w:eastAsia="zh-CN"/>
              </w:rPr>
              <w:t>510（k）摘要或声明。</w:t>
            </w:r>
          </w:p>
        </w:tc>
        <w:tc>
          <w:tcPr>
            <w:tcW w:w="1098" w:type="dxa"/>
          </w:tcPr>
          <w:p w14:paraId="796BD63F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79DF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6FBD0DA7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适应症在一个单独页面上。</w:t>
            </w:r>
          </w:p>
        </w:tc>
        <w:tc>
          <w:tcPr>
            <w:tcW w:w="1098" w:type="dxa"/>
          </w:tcPr>
          <w:p w14:paraId="6F0D798E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72EF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3B84141B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体外诊断产品标签（21 CFR 809.10（b）</w:t>
            </w:r>
          </w:p>
        </w:tc>
        <w:tc>
          <w:tcPr>
            <w:tcW w:w="1098" w:type="dxa"/>
          </w:tcPr>
          <w:p w14:paraId="25BA30D7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43DC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 w14:paraId="75422365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临床前数据：</w:t>
            </w:r>
          </w:p>
        </w:tc>
      </w:tr>
      <w:tr w14:paraId="627D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2878E278">
            <w:pPr>
              <w:spacing w:before="59" w:beforeLines="20" w:after="59" w:afterLines="20" w:line="260" w:lineRule="exact"/>
              <w:ind w:left="480" w:leftChars="200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干扰研究</w:t>
            </w:r>
          </w:p>
        </w:tc>
        <w:tc>
          <w:tcPr>
            <w:tcW w:w="1098" w:type="dxa"/>
          </w:tcPr>
          <w:p w14:paraId="596AF3C9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7C64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3DDEF561">
            <w:pPr>
              <w:spacing w:before="59" w:beforeLines="20" w:after="59" w:afterLines="20" w:line="260" w:lineRule="exact"/>
              <w:ind w:left="480" w:leftChars="200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线性研究</w:t>
            </w:r>
          </w:p>
        </w:tc>
        <w:tc>
          <w:tcPr>
            <w:tcW w:w="1098" w:type="dxa"/>
          </w:tcPr>
          <w:p w14:paraId="3BB8110B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09350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3EC10F98">
            <w:pPr>
              <w:spacing w:before="59" w:beforeLines="20" w:after="59" w:afterLines="20" w:line="260" w:lineRule="exact"/>
              <w:ind w:left="480" w:leftChars="200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医学决策层的精确研究</w:t>
            </w:r>
          </w:p>
        </w:tc>
        <w:tc>
          <w:tcPr>
            <w:tcW w:w="1098" w:type="dxa"/>
          </w:tcPr>
          <w:p w14:paraId="48403B4C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461C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40ECCF8A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临床数据（方法比较）</w:t>
            </w:r>
          </w:p>
        </w:tc>
        <w:tc>
          <w:tcPr>
            <w:tcW w:w="1098" w:type="dxa"/>
          </w:tcPr>
          <w:p w14:paraId="35F9AF96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</w:tbl>
    <w:p w14:paraId="75625F2F">
      <w:pPr>
        <w:spacing w:before="149"/>
        <w:rPr>
          <w:snapToGrid w:val="0"/>
          <w:lang w:eastAsia="zh-CN"/>
        </w:rPr>
      </w:pPr>
    </w:p>
    <w:p w14:paraId="440D293B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参考文件：</w:t>
      </w:r>
    </w:p>
    <w:p w14:paraId="0DC2422F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协助</w:t>
      </w:r>
      <w:r>
        <w:rPr>
          <w:rFonts w:hint="eastAsia"/>
          <w:snapToGrid w:val="0"/>
          <w:lang w:eastAsia="zh-CN"/>
        </w:rPr>
        <w:t>申办方</w:t>
      </w:r>
      <w:r>
        <w:rPr>
          <w:snapToGrid w:val="0"/>
          <w:lang w:eastAsia="zh-CN"/>
        </w:rPr>
        <w:t>确定本文件第三部分所述的具体性能特征的方法可使用NCCLS文件或下列参考文件之一获得：</w:t>
      </w:r>
    </w:p>
    <w:p w14:paraId="547678DB">
      <w:pPr>
        <w:spacing w:before="149"/>
        <w:rPr>
          <w:snapToGrid w:val="0"/>
          <w:lang w:eastAsia="zh-CN"/>
        </w:rPr>
      </w:pPr>
      <w:r>
        <w:rPr>
          <w:snapToGrid w:val="0"/>
        </w:rPr>
        <w:t>Carey RN和Garber CC：临床化学方法的评价——理论、分析和相关性；Kaplan LA</w:t>
      </w:r>
      <w:r>
        <w:rPr>
          <w:rFonts w:hint="eastAsia"/>
          <w:snapToGrid w:val="0"/>
          <w:lang w:eastAsia="zh-CN"/>
        </w:rPr>
        <w:t>和</w:t>
      </w:r>
      <w:r>
        <w:rPr>
          <w:snapToGrid w:val="0"/>
        </w:rPr>
        <w:t>Pesce AJ (eds)，CV Mosby Company，St. Louis，1984</w:t>
      </w:r>
      <w:r>
        <w:rPr>
          <w:rFonts w:hint="eastAsia"/>
          <w:snapToGrid w:val="0"/>
          <w:lang w:eastAsia="zh-CN"/>
        </w:rPr>
        <w:t>。</w:t>
      </w:r>
    </w:p>
    <w:p w14:paraId="4FDB587B">
      <w:pPr>
        <w:spacing w:before="149"/>
        <w:rPr>
          <w:snapToGrid w:val="0"/>
          <w:lang w:eastAsia="zh-CN"/>
        </w:rPr>
      </w:pPr>
      <w:r>
        <w:rPr>
          <w:snapToGrid w:val="0"/>
        </w:rPr>
        <w:t>Koch DD和Peters T：临床化学Tietz教科书中的方法选择和评价（Burtis CA</w:t>
      </w:r>
      <w:r>
        <w:rPr>
          <w:rFonts w:hint="eastAsia"/>
          <w:snapToGrid w:val="0"/>
          <w:lang w:eastAsia="zh-CN"/>
        </w:rPr>
        <w:t>和</w:t>
      </w:r>
      <w:r>
        <w:rPr>
          <w:snapToGrid w:val="0"/>
        </w:rPr>
        <w:t>Ashwood ER，WKB Saunders Co，Philadelphia，1994</w:t>
      </w:r>
      <w:r>
        <w:rPr>
          <w:rFonts w:hint="eastAsia"/>
          <w:snapToGrid w:val="0"/>
          <w:lang w:eastAsia="zh-CN"/>
        </w:rPr>
        <w:t>。</w:t>
      </w:r>
    </w:p>
    <w:p w14:paraId="5DD0D801">
      <w:pPr>
        <w:spacing w:before="149"/>
        <w:rPr>
          <w:rFonts w:hint="eastAsia" w:eastAsia="宋体"/>
          <w:lang w:eastAsia="zh-CN"/>
        </w:rPr>
      </w:pPr>
    </w:p>
    <w:p w14:paraId="37B7992F">
      <w:pPr>
        <w:spacing w:before="149"/>
        <w:jc w:val="center"/>
        <w:rPr>
          <w:rFonts w:hint="eastAsia" w:eastAsia="宋体"/>
          <w:lang w:eastAsia="zh-CN"/>
        </w:rPr>
      </w:pPr>
    </w:p>
    <w:p w14:paraId="5B3117CE">
      <w:pPr>
        <w:spacing w:before="149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8" w:right="1418" w:bottom="1418" w:left="1418" w:header="720" w:footer="720" w:gutter="0"/>
      <w:cols w:space="720" w:num="1"/>
      <w:docGrid w:type="lines"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D01E8"/>
    <w:multiLevelType w:val="multilevel"/>
    <w:tmpl w:val="15DD01E8"/>
    <w:lvl w:ilvl="0" w:tentative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8E710D"/>
    <w:multiLevelType w:val="multilevel"/>
    <w:tmpl w:val="468E710D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ED4596D"/>
    <w:multiLevelType w:val="multilevel"/>
    <w:tmpl w:val="4ED4596D"/>
    <w:lvl w:ilvl="0" w:tentative="0">
      <w:start w:val="1"/>
      <w:numFmt w:val="upperLetter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0C2007"/>
    <w:multiLevelType w:val="multilevel"/>
    <w:tmpl w:val="570C200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dit="readOnly" w:enforcement="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A4"/>
    <w:rsid w:val="000542D7"/>
    <w:rsid w:val="0007246A"/>
    <w:rsid w:val="00097B1B"/>
    <w:rsid w:val="000F0124"/>
    <w:rsid w:val="00136BC4"/>
    <w:rsid w:val="00150D84"/>
    <w:rsid w:val="00254601"/>
    <w:rsid w:val="002A147A"/>
    <w:rsid w:val="002B0561"/>
    <w:rsid w:val="00357E4C"/>
    <w:rsid w:val="003B38F5"/>
    <w:rsid w:val="003C761B"/>
    <w:rsid w:val="004F6ADD"/>
    <w:rsid w:val="00567FA4"/>
    <w:rsid w:val="00574CC6"/>
    <w:rsid w:val="005F153E"/>
    <w:rsid w:val="00685E83"/>
    <w:rsid w:val="006C0CB1"/>
    <w:rsid w:val="006E163B"/>
    <w:rsid w:val="00843C81"/>
    <w:rsid w:val="00964247"/>
    <w:rsid w:val="009B57E5"/>
    <w:rsid w:val="00A27603"/>
    <w:rsid w:val="00A379B0"/>
    <w:rsid w:val="00A55CE4"/>
    <w:rsid w:val="00A9023E"/>
    <w:rsid w:val="00AA46A6"/>
    <w:rsid w:val="00B30264"/>
    <w:rsid w:val="00B56627"/>
    <w:rsid w:val="00C07474"/>
    <w:rsid w:val="00C22650"/>
    <w:rsid w:val="00C62B45"/>
    <w:rsid w:val="00CB0B17"/>
    <w:rsid w:val="00CF5F3F"/>
    <w:rsid w:val="00D80DCC"/>
    <w:rsid w:val="00DE47F2"/>
    <w:rsid w:val="00E225AB"/>
    <w:rsid w:val="7779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before="50" w:beforeLines="50" w:line="300" w:lineRule="auto"/>
      <w:jc w:val="both"/>
    </w:pPr>
    <w:rPr>
      <w:rFonts w:ascii="Arial" w:hAnsi="Arial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00"/>
      <w:outlineLvl w:val="0"/>
    </w:pPr>
    <w:rPr>
      <w:rFonts w:ascii="Times New Roman" w:hAnsi="Times New Roman" w:eastAsia="Times New Roman"/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ind w:left="820"/>
      <w:outlineLvl w:val="1"/>
    </w:pPr>
    <w:rPr>
      <w:rFonts w:ascii="Times New Roman" w:hAnsi="Times New Roman" w:eastAsia="Times New Roman"/>
      <w:b/>
      <w:bCs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7"/>
      <w:ind w:left="1540"/>
    </w:pPr>
    <w:rPr>
      <w:rFonts w:ascii="Times New Roman" w:hAnsi="Times New Roman" w:eastAsia="Times New Roman"/>
      <w:szCs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34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1258</Words>
  <Characters>1617</Characters>
  <Lines>12</Lines>
  <Paragraphs>3</Paragraphs>
  <TotalTime>1</TotalTime>
  <ScaleCrop>false</ScaleCrop>
  <LinksUpToDate>false</LinksUpToDate>
  <CharactersWithSpaces>1652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2017-04-06T11:12:00Z</dcterms:created>
  <dc:creator>ODE</dc:creator>
  <cp:lastModifiedBy>太极箫客</cp:lastModifiedBy>
  <dcterms:modified xsi:type="dcterms:W3CDTF">2025-08-14T06:32:51Z</dcterms:modified>
  <dc:title>Guidance Creatinine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2017-02-28T00:00:00Z</vt:filetime>
  </property>
  <property fmtid="{D5CDD505-2E9C-101B-9397-08002B2CF9AE}" pid="4" name="KSOTemplateDocerSaveRecord">
    <vt:lpwstr>eyJoZGlkIjoiMDJiMzI3ODBiNTFmMWRjNDUyMjM1ZmZjODY5NDc2MWMiLCJ1c2VySWQiOiI0NTQ4Nzg1NzAifQ==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AEB4C45AF89142B49DD34837F1187FA8_12</vt:lpwstr>
  </property>
</Properties>
</file>