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38607">
      <w:pPr>
        <w:snapToGrid w:val="0"/>
        <w:spacing w:line="300" w:lineRule="auto"/>
        <w:jc w:val="center"/>
        <w:rPr>
          <w:rFonts w:ascii="Arial" w:hAnsi="Arial" w:eastAsia="宋体" w:cs="Arial"/>
          <w:b/>
          <w:sz w:val="36"/>
          <w:szCs w:val="36"/>
        </w:rPr>
      </w:pPr>
      <w:bookmarkStart w:id="70" w:name="_GoBack"/>
      <w:bookmarkEnd w:id="70"/>
      <w:bookmarkStart w:id="0" w:name="OLE_LINK71"/>
      <w:bookmarkStart w:id="1" w:name="OLE_LINK70"/>
      <w:r>
        <w:rPr>
          <w:rFonts w:ascii="Arial" w:hAnsi="Arial" w:eastAsia="宋体" w:cs="Arial"/>
          <w:b/>
          <w:sz w:val="36"/>
          <w:szCs w:val="36"/>
        </w:rPr>
        <w:t>行业、临床实验室和食品药品监督管理局</w:t>
      </w:r>
      <w:r>
        <w:rPr>
          <w:rFonts w:ascii="Arial" w:hAnsi="Arial" w:eastAsia="宋体" w:cs="Arial"/>
          <w:b/>
          <w:sz w:val="36"/>
          <w:szCs w:val="36"/>
        </w:rPr>
        <w:br w:type="textWrapping"/>
      </w:r>
      <w:r>
        <w:rPr>
          <w:rFonts w:ascii="Arial" w:hAnsi="Arial" w:eastAsia="宋体" w:cs="Arial"/>
          <w:b/>
          <w:sz w:val="36"/>
          <w:szCs w:val="36"/>
        </w:rPr>
        <w:t>工作人员指南草案</w:t>
      </w:r>
    </w:p>
    <w:p w14:paraId="461F5E87">
      <w:pPr>
        <w:snapToGrid w:val="0"/>
        <w:spacing w:line="300" w:lineRule="auto"/>
        <w:jc w:val="center"/>
        <w:rPr>
          <w:rFonts w:ascii="Arial" w:hAnsi="Arial" w:eastAsia="宋体" w:cs="Arial"/>
          <w:b/>
          <w:sz w:val="36"/>
          <w:szCs w:val="36"/>
        </w:rPr>
      </w:pPr>
      <w:r>
        <w:rPr>
          <w:rFonts w:ascii="Arial" w:hAnsi="Arial" w:eastAsia="宋体" w:cs="Arial"/>
          <w:b/>
          <w:sz w:val="36"/>
          <w:szCs w:val="36"/>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55245</wp:posOffset>
                </wp:positionV>
                <wp:extent cx="5328920" cy="0"/>
                <wp:effectExtent l="0" t="0" r="24130" b="19050"/>
                <wp:wrapNone/>
                <wp:docPr id="2" name="直接连接符 2"/>
                <wp:cNvGraphicFramePr/>
                <a:graphic xmlns:a="http://schemas.openxmlformats.org/drawingml/2006/main">
                  <a:graphicData uri="http://schemas.microsoft.com/office/word/2010/wordprocessingShape">
                    <wps:wsp>
                      <wps:cNvCnPr/>
                      <wps:spPr>
                        <a:xfrm>
                          <a:off x="0" y="0"/>
                          <a:ext cx="532908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4.35pt;height:0pt;width:419.6pt;z-index:251659264;mso-width-relative:page;mso-height-relative:page;" filled="f" stroked="t" coordsize="21600,21600" o:gfxdata="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ufvm10wAAAAUBAAAPAAAAAAAAAAEAIAAA&#10;ACIAAABkcnMvZG93bnJldi54bWxQSwECFAAUAAAACACHTuJAvVD1BtgBAACaAwAADgAAAAAAAAAB&#10;ACAAAAAiAQAAZHJzL2Uyb0RvYy54bWxQSwUGAAAAAAYABgBZAQAAbAUAAAAA&#10;">
                <v:fill on="f" focussize="0,0"/>
                <v:stroke color="#000000 [3213]" joinstyle="round"/>
                <v:imagedata o:title=""/>
                <o:lock v:ext="edit" aspectratio="f"/>
              </v:line>
            </w:pict>
          </mc:Fallback>
        </mc:AlternateContent>
      </w:r>
    </w:p>
    <w:p w14:paraId="6A3D6CA8">
      <w:pPr>
        <w:snapToGrid w:val="0"/>
        <w:spacing w:line="300" w:lineRule="auto"/>
        <w:jc w:val="center"/>
        <w:rPr>
          <w:rFonts w:ascii="Arial" w:hAnsi="Arial" w:eastAsia="宋体" w:cs="Arial"/>
          <w:b/>
          <w:sz w:val="36"/>
          <w:szCs w:val="36"/>
        </w:rPr>
      </w:pPr>
      <w:r>
        <w:rPr>
          <w:rFonts w:ascii="Arial" w:hAnsi="Arial" w:eastAsia="宋体" w:cs="Arial"/>
          <w:b/>
          <w:sz w:val="36"/>
          <w:szCs w:val="36"/>
        </w:rPr>
        <w:t>体外诊断多变量指数测定试剂盒</w:t>
      </w:r>
    </w:p>
    <w:bookmarkEnd w:id="0"/>
    <w:bookmarkEnd w:id="1"/>
    <w:p w14:paraId="1A08950E">
      <w:pPr>
        <w:snapToGrid w:val="0"/>
        <w:spacing w:line="300" w:lineRule="auto"/>
        <w:rPr>
          <w:rFonts w:ascii="Arial" w:hAnsi="Arial" w:eastAsia="宋体" w:cs="Arial"/>
          <w:b/>
        </w:rPr>
      </w:pPr>
    </w:p>
    <w:p w14:paraId="1643836B">
      <w:pPr>
        <w:snapToGrid w:val="0"/>
        <w:spacing w:line="300" w:lineRule="auto"/>
        <w:jc w:val="center"/>
        <w:rPr>
          <w:rFonts w:ascii="Arial" w:hAnsi="Arial" w:eastAsia="宋体" w:cs="Arial"/>
          <w:b/>
        </w:rPr>
      </w:pPr>
      <w:r>
        <w:rPr>
          <w:rFonts w:ascii="Arial" w:hAnsi="Arial" w:eastAsia="宋体" w:cs="Arial"/>
          <w:b/>
        </w:rPr>
        <w:t>指南草案</w:t>
      </w:r>
    </w:p>
    <w:p w14:paraId="4B1B99AA">
      <w:pPr>
        <w:snapToGrid w:val="0"/>
        <w:spacing w:line="300" w:lineRule="auto"/>
        <w:rPr>
          <w:rFonts w:ascii="Arial" w:hAnsi="Arial" w:eastAsia="宋体" w:cs="Arial"/>
        </w:rPr>
      </w:pPr>
    </w:p>
    <w:p w14:paraId="0A6FB61B">
      <w:pPr>
        <w:snapToGrid w:val="0"/>
        <w:spacing w:line="300" w:lineRule="auto"/>
        <w:jc w:val="center"/>
        <w:rPr>
          <w:rFonts w:ascii="Arial" w:hAnsi="Arial" w:eastAsia="宋体" w:cs="Arial"/>
          <w:b/>
        </w:rPr>
      </w:pPr>
      <w:r>
        <w:rPr>
          <w:rFonts w:ascii="Arial" w:hAnsi="Arial" w:eastAsia="宋体" w:cs="Arial"/>
          <w:b/>
        </w:rPr>
        <w:t>本指南发布仅为评论目的</w:t>
      </w:r>
    </w:p>
    <w:p w14:paraId="21B9AE9B">
      <w:pPr>
        <w:snapToGrid w:val="0"/>
        <w:spacing w:line="300" w:lineRule="auto"/>
        <w:jc w:val="center"/>
        <w:rPr>
          <w:rFonts w:ascii="Arial" w:hAnsi="Arial" w:eastAsia="宋体" w:cs="Arial"/>
          <w:b/>
        </w:rPr>
      </w:pPr>
      <w:r>
        <w:rPr>
          <w:rFonts w:ascii="Arial" w:hAnsi="Arial" w:eastAsia="宋体" w:cs="Arial"/>
          <w:b/>
        </w:rPr>
        <w:t>发布日期：2007年7月26日</w:t>
      </w:r>
    </w:p>
    <w:p w14:paraId="2F5B3015">
      <w:pPr>
        <w:snapToGrid w:val="0"/>
        <w:spacing w:line="300" w:lineRule="auto"/>
        <w:rPr>
          <w:rFonts w:ascii="Arial" w:hAnsi="Arial" w:eastAsia="宋体" w:cs="Arial"/>
        </w:rPr>
      </w:pPr>
    </w:p>
    <w:p w14:paraId="730C5137">
      <w:pPr>
        <w:snapToGrid w:val="0"/>
        <w:spacing w:line="300" w:lineRule="auto"/>
        <w:rPr>
          <w:rFonts w:ascii="Arial" w:hAnsi="Arial" w:eastAsia="宋体" w:cs="Arial"/>
        </w:rPr>
      </w:pPr>
      <w:r>
        <w:rPr>
          <w:rFonts w:ascii="Arial" w:hAnsi="Arial" w:eastAsia="宋体" w:cs="Arial"/>
        </w:rPr>
        <w:t>对本文件草案若有评论和建议应在宣布本文件草案可获取的通知在联邦公报发布后30天内予以提交。书面评论可提交至食品药品监督管理局文档管理部。通讯地址：5630 Fishers Lane, Room 1061, （HFA-305）, Rockville, MD, 20852。若为电子评论可提交至</w:t>
      </w:r>
      <w:r>
        <w:rPr>
          <w:rFonts w:ascii="Arial" w:hAnsi="Arial" w:eastAsia="宋体" w:cs="Arial"/>
          <w:color w:val="0000FF"/>
          <w:u w:val="single"/>
        </w:rPr>
        <w:t>http://www.fda.gov/dockets/ecomments</w:t>
      </w:r>
      <w:r>
        <w:rPr>
          <w:rFonts w:ascii="Arial" w:hAnsi="Arial" w:eastAsia="宋体" w:cs="Arial"/>
        </w:rPr>
        <w:t>网站。提交评论时，请注明</w:t>
      </w:r>
      <w:r>
        <w:rPr>
          <w:rFonts w:hint="eastAsia" w:ascii="Arial" w:hAnsi="Arial" w:eastAsia="宋体" w:cs="Arial"/>
        </w:rPr>
        <w:t>文档</w:t>
      </w:r>
      <w:r>
        <w:rPr>
          <w:rFonts w:ascii="Arial" w:hAnsi="Arial" w:eastAsia="宋体" w:cs="Arial"/>
        </w:rPr>
        <w:t>编号2006D-0347。</w:t>
      </w:r>
    </w:p>
    <w:p w14:paraId="528418E5">
      <w:pPr>
        <w:snapToGrid w:val="0"/>
        <w:spacing w:line="300" w:lineRule="auto"/>
        <w:rPr>
          <w:rFonts w:ascii="Arial" w:hAnsi="Arial" w:eastAsia="宋体" w:cs="Arial"/>
        </w:rPr>
      </w:pPr>
    </w:p>
    <w:p w14:paraId="03D2913A">
      <w:pPr>
        <w:snapToGrid w:val="0"/>
        <w:spacing w:line="300" w:lineRule="auto"/>
        <w:rPr>
          <w:rFonts w:ascii="Arial" w:hAnsi="Arial" w:eastAsia="宋体" w:cs="Arial"/>
        </w:rPr>
      </w:pPr>
      <w:r>
        <w:rPr>
          <w:rFonts w:ascii="Arial" w:hAnsi="Arial" w:eastAsia="宋体" w:cs="Arial"/>
        </w:rPr>
        <w:t>对本文件若有疑问，请与Courtney Harper联系。联系电话：240-276-0694，电子信箱：</w:t>
      </w:r>
      <w:r>
        <w:rPr>
          <w:rFonts w:ascii="Arial" w:hAnsi="Arial" w:eastAsia="宋体" w:cs="Arial"/>
          <w:color w:val="0000FF"/>
          <w:u w:val="single"/>
        </w:rPr>
        <w:t>courtney.harper@fda.hhs.gov</w:t>
      </w:r>
      <w:r>
        <w:rPr>
          <w:rFonts w:ascii="Arial" w:hAnsi="Arial" w:eastAsia="宋体" w:cs="Arial"/>
        </w:rPr>
        <w:t>。对本文件适用于</w:t>
      </w:r>
      <w:bookmarkStart w:id="2" w:name="OLE_LINK54"/>
      <w:bookmarkStart w:id="3" w:name="OLE_LINK53"/>
      <w:r>
        <w:rPr>
          <w:rFonts w:ascii="Arial" w:hAnsi="Arial" w:eastAsia="宋体" w:cs="Arial"/>
        </w:rPr>
        <w:t>生物制剂评价研究中心</w:t>
      </w:r>
      <w:bookmarkEnd w:id="2"/>
      <w:bookmarkEnd w:id="3"/>
      <w:r>
        <w:rPr>
          <w:rFonts w:ascii="Arial" w:hAnsi="Arial" w:eastAsia="宋体" w:cs="Arial"/>
        </w:rPr>
        <w:t>（CBER）监管器械时若有疑问，请致电301-827-3518与Martin Ruta联系。</w:t>
      </w:r>
    </w:p>
    <w:p w14:paraId="640238FA">
      <w:pPr>
        <w:snapToGrid w:val="0"/>
        <w:spacing w:line="300" w:lineRule="auto"/>
        <w:rPr>
          <w:rFonts w:ascii="Arial" w:hAnsi="Arial" w:eastAsia="宋体" w:cs="Arial"/>
        </w:rPr>
      </w:pPr>
    </w:p>
    <w:p w14:paraId="1FDF1CF9">
      <w:pPr>
        <w:snapToGrid w:val="0"/>
        <w:spacing w:line="300" w:lineRule="auto"/>
        <w:rPr>
          <w:rFonts w:ascii="Arial" w:hAnsi="Arial" w:eastAsia="宋体" w:cs="Arial"/>
        </w:rPr>
      </w:pPr>
    </w:p>
    <w:p w14:paraId="33BE1974">
      <w:pPr>
        <w:snapToGrid w:val="0"/>
        <w:spacing w:line="300" w:lineRule="auto"/>
        <w:rPr>
          <w:rFonts w:ascii="Arial" w:hAnsi="Arial" w:eastAsia="宋体" w:cs="Arial"/>
        </w:rPr>
      </w:pPr>
    </w:p>
    <w:p w14:paraId="0E670728">
      <w:pPr>
        <w:snapToGrid w:val="0"/>
        <w:spacing w:line="300" w:lineRule="auto"/>
        <w:rPr>
          <w:rFonts w:ascii="Arial" w:hAnsi="Arial" w:eastAsia="宋体" w:cs="Arial"/>
        </w:rPr>
      </w:pPr>
    </w:p>
    <w:p w14:paraId="4509225C">
      <w:pPr>
        <w:snapToGrid w:val="0"/>
        <w:spacing w:line="300" w:lineRule="auto"/>
        <w:rPr>
          <w:rFonts w:ascii="Arial" w:hAnsi="Arial" w:eastAsia="宋体" w:cs="Arial"/>
        </w:rPr>
      </w:pPr>
    </w:p>
    <w:p w14:paraId="2357D68C">
      <w:pPr>
        <w:snapToGrid w:val="0"/>
        <w:spacing w:line="300" w:lineRule="auto"/>
        <w:rPr>
          <w:rFonts w:ascii="Arial" w:hAnsi="Arial" w:eastAsia="宋体" w:cs="Arial"/>
        </w:rPr>
      </w:pPr>
    </w:p>
    <w:p w14:paraId="354A296B">
      <w:pPr>
        <w:snapToGrid w:val="0"/>
        <w:spacing w:line="300" w:lineRule="auto"/>
        <w:rPr>
          <w:rFonts w:ascii="Arial" w:hAnsi="Arial" w:eastAsia="宋体" w:cs="Arial"/>
        </w:rPr>
      </w:pPr>
    </w:p>
    <w:p w14:paraId="2C3CA7DB">
      <w:pPr>
        <w:snapToGrid w:val="0"/>
        <w:spacing w:line="300" w:lineRule="auto"/>
        <w:rPr>
          <w:rFonts w:ascii="Arial" w:hAnsi="Arial" w:eastAsia="宋体" w:cs="Arial"/>
        </w:rPr>
      </w:pPr>
    </w:p>
    <w:p w14:paraId="0B399DCF">
      <w:pPr>
        <w:snapToGrid w:val="0"/>
        <w:spacing w:line="300" w:lineRule="auto"/>
        <w:rPr>
          <w:rFonts w:ascii="Arial" w:hAnsi="Arial" w:eastAsia="宋体" w:cs="Arial"/>
        </w:rPr>
      </w:pPr>
    </w:p>
    <w:p w14:paraId="5040A77B">
      <w:pPr>
        <w:snapToGrid w:val="0"/>
        <w:spacing w:line="300" w:lineRule="auto"/>
        <w:rPr>
          <w:rFonts w:ascii="Arial" w:hAnsi="Arial" w:eastAsia="宋体" w:cs="Arial"/>
        </w:rPr>
      </w:pPr>
    </w:p>
    <w:p w14:paraId="282A8391">
      <w:pPr>
        <w:snapToGrid w:val="0"/>
        <w:spacing w:line="300" w:lineRule="auto"/>
        <w:rPr>
          <w:rFonts w:ascii="Arial" w:hAnsi="Arial" w:eastAsia="宋体" w:cs="Arial"/>
        </w:rPr>
      </w:pPr>
    </w:p>
    <w:p w14:paraId="6AF0AA22">
      <w:pPr>
        <w:snapToGrid w:val="0"/>
        <w:spacing w:line="300" w:lineRule="auto"/>
        <w:rPr>
          <w:rFonts w:ascii="Arial" w:hAnsi="Arial" w:eastAsia="宋体" w:cs="Arial"/>
        </w:rPr>
      </w:pPr>
      <w:r>
        <w:rPr>
          <w:rFonts w:hint="eastAsia" w:ascii="Arial" w:hAnsi="Arial" w:eastAsia="宋体" w:cs="Arial"/>
        </w:rPr>
        <mc:AlternateContent>
          <mc:Choice Requires="wps">
            <w:drawing>
              <wp:anchor distT="0" distB="0" distL="114300" distR="114300" simplePos="0" relativeHeight="251660288" behindDoc="0" locked="0" layoutInCell="1" allowOverlap="1">
                <wp:simplePos x="0" y="0"/>
                <wp:positionH relativeFrom="column">
                  <wp:posOffset>48260</wp:posOffset>
                </wp:positionH>
                <wp:positionV relativeFrom="paragraph">
                  <wp:posOffset>164465</wp:posOffset>
                </wp:positionV>
                <wp:extent cx="1925955" cy="1363980"/>
                <wp:effectExtent l="0" t="0" r="0" b="7620"/>
                <wp:wrapNone/>
                <wp:docPr id="3" name="文本框 3"/>
                <wp:cNvGraphicFramePr/>
                <a:graphic xmlns:a="http://schemas.openxmlformats.org/drawingml/2006/main">
                  <a:graphicData uri="http://schemas.microsoft.com/office/word/2010/wordprocessingShape">
                    <wps:wsp>
                      <wps:cNvSpPr txBox="1"/>
                      <wps:spPr>
                        <a:xfrm>
                          <a:off x="0" y="0"/>
                          <a:ext cx="1926236" cy="136410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8E098B">
                            <w:r>
                              <w:drawing>
                                <wp:inline distT="0" distB="0" distL="0" distR="0">
                                  <wp:extent cx="1736725" cy="10236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736725" cy="10236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pt;margin-top:12.95pt;height:107.4pt;width:151.65pt;z-index:251660288;mso-width-relative:page;mso-height-relative:page;" fillcolor="#FFFFFF [3212]" filled="t" stroked="f" coordsize="21600,21600" o:gfxdata="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kaUulNQAAAAIAQAA&#10;DwAAAAAAAAABACAAAAAiAAAAZHJzL2Rvd25yZXYueG1sUEsBAhQAFAAAAAgAh07iQGQ14KFWAgAA&#10;ngQAAA4AAAAAAAAAAQAgAAAAIwEAAGRycy9lMm9Eb2MueG1sUEsFBgAAAAAGAAYAWQEAAOsFAAAA&#10;AA==&#10;">
                <v:fill on="t" focussize="0,0"/>
                <v:stroke on="f" weight="0.5pt"/>
                <v:imagedata o:title=""/>
                <o:lock v:ext="edit" aspectratio="f"/>
                <v:textbox>
                  <w:txbxContent>
                    <w:p w14:paraId="4F8E098B">
                      <w:r>
                        <w:drawing>
                          <wp:inline distT="0" distB="0" distL="0" distR="0">
                            <wp:extent cx="1736725" cy="10236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736725" cy="1023620"/>
                                    </a:xfrm>
                                    <a:prstGeom prst="rect">
                                      <a:avLst/>
                                    </a:prstGeom>
                                  </pic:spPr>
                                </pic:pic>
                              </a:graphicData>
                            </a:graphic>
                          </wp:inline>
                        </w:drawing>
                      </w:r>
                    </w:p>
                  </w:txbxContent>
                </v:textbox>
              </v:shape>
            </w:pict>
          </mc:Fallback>
        </mc:AlternateContent>
      </w:r>
    </w:p>
    <w:p w14:paraId="1E7655B3">
      <w:pPr>
        <w:snapToGrid w:val="0"/>
        <w:spacing w:line="300" w:lineRule="auto"/>
        <w:jc w:val="right"/>
        <w:rPr>
          <w:rFonts w:ascii="Arial" w:hAnsi="Arial" w:eastAsia="宋体" w:cs="Arial"/>
        </w:rPr>
      </w:pPr>
      <w:r>
        <w:rPr>
          <w:rFonts w:ascii="Arial" w:hAnsi="Arial" w:eastAsia="宋体" w:cs="Arial"/>
        </w:rPr>
        <w:t>美国卫生</w:t>
      </w:r>
      <w:r>
        <w:rPr>
          <w:rFonts w:hint="eastAsia" w:ascii="Arial" w:hAnsi="Arial" w:eastAsia="宋体" w:cs="Arial"/>
        </w:rPr>
        <w:t>与</w:t>
      </w:r>
      <w:r>
        <w:rPr>
          <w:rFonts w:ascii="Arial" w:hAnsi="Arial" w:eastAsia="宋体" w:cs="Arial"/>
        </w:rPr>
        <w:t>公众服务部</w:t>
      </w:r>
    </w:p>
    <w:p w14:paraId="442C785C">
      <w:pPr>
        <w:snapToGrid w:val="0"/>
        <w:spacing w:line="300" w:lineRule="auto"/>
        <w:jc w:val="right"/>
        <w:rPr>
          <w:rFonts w:ascii="Arial" w:hAnsi="Arial" w:eastAsia="宋体" w:cs="Arial"/>
        </w:rPr>
      </w:pPr>
      <w:r>
        <w:rPr>
          <w:rFonts w:ascii="Arial" w:hAnsi="Arial" w:eastAsia="宋体" w:cs="Arial"/>
        </w:rPr>
        <w:t>食品药品监督管理局</w:t>
      </w:r>
    </w:p>
    <w:p w14:paraId="43C3299B">
      <w:pPr>
        <w:snapToGrid w:val="0"/>
        <w:spacing w:line="300" w:lineRule="auto"/>
        <w:jc w:val="right"/>
        <w:rPr>
          <w:rFonts w:ascii="Arial" w:hAnsi="Arial" w:eastAsia="宋体" w:cs="Arial"/>
        </w:rPr>
      </w:pPr>
      <w:bookmarkStart w:id="4" w:name="OLE_LINK55"/>
      <w:bookmarkStart w:id="5" w:name="OLE_LINK56"/>
      <w:r>
        <w:rPr>
          <w:rFonts w:ascii="Arial" w:hAnsi="Arial" w:eastAsia="宋体" w:cs="Arial"/>
        </w:rPr>
        <w:t>医疗器械</w:t>
      </w:r>
      <w:r>
        <w:rPr>
          <w:rFonts w:hint="eastAsia" w:ascii="Arial" w:hAnsi="Arial" w:eastAsia="宋体" w:cs="Arial"/>
        </w:rPr>
        <w:t>与</w:t>
      </w:r>
      <w:r>
        <w:rPr>
          <w:rFonts w:ascii="Arial" w:hAnsi="Arial" w:eastAsia="宋体" w:cs="Arial"/>
        </w:rPr>
        <w:t>放射</w:t>
      </w:r>
      <w:r>
        <w:rPr>
          <w:rFonts w:hint="eastAsia" w:ascii="Arial" w:hAnsi="Arial" w:eastAsia="宋体" w:cs="Arial"/>
        </w:rPr>
        <w:t>健康</w:t>
      </w:r>
      <w:r>
        <w:rPr>
          <w:rFonts w:ascii="Arial" w:hAnsi="Arial" w:eastAsia="宋体" w:cs="Arial"/>
        </w:rPr>
        <w:t>中心</w:t>
      </w:r>
    </w:p>
    <w:bookmarkEnd w:id="4"/>
    <w:bookmarkEnd w:id="5"/>
    <w:p w14:paraId="103578FA">
      <w:pPr>
        <w:snapToGrid w:val="0"/>
        <w:spacing w:line="300" w:lineRule="auto"/>
        <w:jc w:val="right"/>
        <w:rPr>
          <w:rFonts w:ascii="Arial" w:hAnsi="Arial" w:eastAsia="宋体" w:cs="Arial"/>
        </w:rPr>
      </w:pPr>
      <w:r>
        <w:rPr>
          <w:rFonts w:ascii="Arial" w:hAnsi="Arial" w:eastAsia="宋体" w:cs="Arial"/>
        </w:rPr>
        <w:t>体外诊断器械</w:t>
      </w:r>
      <w:r>
        <w:rPr>
          <w:rFonts w:hint="eastAsia" w:ascii="Arial" w:hAnsi="Arial" w:eastAsia="宋体" w:cs="Arial"/>
        </w:rPr>
        <w:t>评估</w:t>
      </w:r>
      <w:r>
        <w:rPr>
          <w:rFonts w:ascii="Arial" w:hAnsi="Arial" w:eastAsia="宋体" w:cs="Arial"/>
        </w:rPr>
        <w:t>和安全办公室</w:t>
      </w:r>
    </w:p>
    <w:p w14:paraId="11D92D3D">
      <w:pPr>
        <w:snapToGrid w:val="0"/>
        <w:spacing w:line="300" w:lineRule="auto"/>
        <w:jc w:val="right"/>
        <w:rPr>
          <w:rFonts w:ascii="Arial" w:hAnsi="Arial" w:eastAsia="宋体" w:cs="Arial"/>
        </w:rPr>
      </w:pPr>
      <w:r>
        <w:rPr>
          <w:rFonts w:ascii="Arial" w:hAnsi="Arial" w:eastAsia="宋体" w:cs="Arial"/>
        </w:rPr>
        <w:t>生物制剂评价研究中心</w:t>
      </w:r>
    </w:p>
    <w:p w14:paraId="3E03B131">
      <w:pPr>
        <w:snapToGrid w:val="0"/>
        <w:spacing w:line="300" w:lineRule="auto"/>
        <w:ind w:firstLine="6091" w:firstLineChars="2889"/>
        <w:jc w:val="left"/>
        <w:rPr>
          <w:rFonts w:ascii="Arial" w:hAnsi="Arial" w:eastAsia="宋体" w:cs="Arial"/>
          <w:b/>
        </w:rPr>
      </w:pPr>
      <w:r>
        <w:rPr>
          <w:rFonts w:ascii="Arial" w:hAnsi="Arial" w:eastAsia="宋体" w:cs="Arial"/>
          <w:b/>
        </w:rPr>
        <w:t>前言</w:t>
      </w:r>
    </w:p>
    <w:p w14:paraId="03895337">
      <w:pPr>
        <w:widowControl/>
        <w:jc w:val="left"/>
        <w:rPr>
          <w:rFonts w:ascii="Arial" w:hAnsi="Arial" w:eastAsia="宋体" w:cs="Arial"/>
          <w:b/>
          <w:color w:val="FF0000"/>
        </w:rPr>
      </w:pPr>
      <w:r>
        <w:rPr>
          <w:rFonts w:ascii="Arial" w:hAnsi="Arial" w:eastAsia="宋体" w:cs="Arial"/>
          <w:b/>
          <w:color w:val="FF0000"/>
        </w:rPr>
        <w:br w:type="page"/>
      </w:r>
    </w:p>
    <w:p w14:paraId="6C16C889">
      <w:pPr>
        <w:snapToGrid w:val="0"/>
        <w:spacing w:line="300" w:lineRule="auto"/>
        <w:rPr>
          <w:rFonts w:ascii="Arial" w:hAnsi="Arial" w:eastAsia="宋体" w:cs="Arial"/>
          <w:b/>
        </w:rPr>
      </w:pPr>
      <w:r>
        <w:rPr>
          <w:rFonts w:ascii="Arial" w:hAnsi="Arial" w:eastAsia="宋体" w:cs="Arial"/>
          <w:b/>
        </w:rPr>
        <w:t>其他副本</w:t>
      </w:r>
    </w:p>
    <w:p w14:paraId="6DD76902">
      <w:pPr>
        <w:snapToGrid w:val="0"/>
        <w:spacing w:line="300" w:lineRule="auto"/>
        <w:rPr>
          <w:rFonts w:ascii="Arial" w:hAnsi="Arial" w:eastAsia="宋体" w:cs="Arial"/>
        </w:rPr>
      </w:pPr>
    </w:p>
    <w:p w14:paraId="33762C5F">
      <w:pPr>
        <w:snapToGrid w:val="0"/>
        <w:spacing w:line="300" w:lineRule="auto"/>
        <w:rPr>
          <w:rFonts w:ascii="Arial" w:hAnsi="Arial" w:eastAsia="宋体" w:cs="Arial"/>
        </w:rPr>
      </w:pPr>
      <w:r>
        <w:rPr>
          <w:rFonts w:ascii="Arial" w:hAnsi="Arial" w:eastAsia="宋体" w:cs="Arial"/>
        </w:rPr>
        <w:t>其他副本可从网上下载。下载网址：</w:t>
      </w:r>
      <w:r>
        <w:fldChar w:fldCharType="begin"/>
      </w:r>
      <w:r>
        <w:instrText xml:space="preserve"> HYPERLINK "http://www.fda.gov/cdrh/oivd/guidance/1610.pdf" </w:instrText>
      </w:r>
      <w:r>
        <w:fldChar w:fldCharType="separate"/>
      </w:r>
      <w:r>
        <w:rPr>
          <w:rStyle w:val="8"/>
          <w:rFonts w:ascii="Arial" w:hAnsi="Arial" w:eastAsia="宋体" w:cs="Arial"/>
        </w:rPr>
        <w:t>http://www.fda.gov/cdrh/oivd/guidance/1610.pdf</w:t>
      </w:r>
      <w:r>
        <w:rPr>
          <w:rStyle w:val="8"/>
          <w:rFonts w:ascii="Arial" w:hAnsi="Arial" w:eastAsia="宋体" w:cs="Arial"/>
        </w:rPr>
        <w:fldChar w:fldCharType="end"/>
      </w:r>
      <w:r>
        <w:rPr>
          <w:rFonts w:ascii="Arial" w:hAnsi="Arial" w:eastAsia="宋体" w:cs="Arial"/>
        </w:rPr>
        <w:t>或</w:t>
      </w:r>
      <w:r>
        <w:fldChar w:fldCharType="begin"/>
      </w:r>
      <w:r>
        <w:instrText xml:space="preserve"> HYPERLINK "http://www.fda.gov/cber/guidelines.htm" </w:instrText>
      </w:r>
      <w:r>
        <w:fldChar w:fldCharType="separate"/>
      </w:r>
      <w:r>
        <w:rPr>
          <w:rStyle w:val="8"/>
          <w:rFonts w:ascii="Arial" w:hAnsi="Arial" w:eastAsia="宋体" w:cs="Arial"/>
        </w:rPr>
        <w:t>http://www.fda.gov/cber/guidelines.htm</w:t>
      </w:r>
      <w:r>
        <w:rPr>
          <w:rStyle w:val="8"/>
          <w:rFonts w:ascii="Arial" w:hAnsi="Arial" w:eastAsia="宋体" w:cs="Arial"/>
        </w:rPr>
        <w:fldChar w:fldCharType="end"/>
      </w:r>
      <w:r>
        <w:rPr>
          <w:rFonts w:ascii="Arial" w:hAnsi="Arial" w:eastAsia="宋体" w:cs="Arial"/>
        </w:rPr>
        <w:t>。贵公司还可发送电邮申请至</w:t>
      </w:r>
      <w:r>
        <w:rPr>
          <w:rStyle w:val="8"/>
          <w:rFonts w:ascii="Arial" w:hAnsi="Arial" w:cs="Arial"/>
        </w:rPr>
        <w:t>dsmica@fda.hhs.gov</w:t>
      </w:r>
      <w:r>
        <w:rPr>
          <w:rFonts w:ascii="Arial" w:hAnsi="Arial" w:eastAsia="宋体" w:cs="Arial"/>
        </w:rPr>
        <w:t>获取本指南的电子副本或发送传真申请至240-276-3151获取复印件。请用文件编号1610确认贵公司索取的指南。本指南的副本还可从下列机构获得：</w:t>
      </w:r>
    </w:p>
    <w:p w14:paraId="6B0CB738">
      <w:pPr>
        <w:snapToGrid w:val="0"/>
        <w:spacing w:line="300" w:lineRule="auto"/>
        <w:rPr>
          <w:rFonts w:ascii="Arial" w:hAnsi="Arial" w:eastAsia="宋体" w:cs="Arial"/>
        </w:rPr>
      </w:pPr>
    </w:p>
    <w:p w14:paraId="0A0D78EF">
      <w:pPr>
        <w:snapToGrid w:val="0"/>
        <w:spacing w:line="300" w:lineRule="auto"/>
        <w:rPr>
          <w:rFonts w:ascii="Arial" w:hAnsi="Arial" w:eastAsia="宋体" w:cs="Arial"/>
        </w:rPr>
      </w:pPr>
      <w:r>
        <w:rPr>
          <w:rFonts w:ascii="Arial" w:hAnsi="Arial" w:eastAsia="宋体" w:cs="Arial"/>
        </w:rPr>
        <w:t>交流、培训和制造商援助办公室, HFM-40</w:t>
      </w:r>
    </w:p>
    <w:p w14:paraId="147669EB">
      <w:pPr>
        <w:snapToGrid w:val="0"/>
        <w:spacing w:line="300" w:lineRule="auto"/>
        <w:rPr>
          <w:rFonts w:ascii="Arial" w:hAnsi="Arial" w:eastAsia="宋体" w:cs="Arial"/>
        </w:rPr>
      </w:pPr>
      <w:r>
        <w:rPr>
          <w:rFonts w:ascii="Arial" w:hAnsi="Arial" w:eastAsia="宋体" w:cs="Arial"/>
        </w:rPr>
        <w:t>生物评估和调查中心</w:t>
      </w:r>
    </w:p>
    <w:p w14:paraId="4073B513">
      <w:pPr>
        <w:snapToGrid w:val="0"/>
        <w:spacing w:line="300" w:lineRule="auto"/>
        <w:rPr>
          <w:rFonts w:ascii="Arial" w:hAnsi="Arial" w:eastAsia="宋体" w:cs="Arial"/>
        </w:rPr>
      </w:pPr>
      <w:r>
        <w:rPr>
          <w:rFonts w:ascii="Arial" w:hAnsi="Arial" w:eastAsia="宋体" w:cs="Arial"/>
        </w:rPr>
        <w:t>食品药品监督管理局</w:t>
      </w:r>
    </w:p>
    <w:p w14:paraId="73684647">
      <w:pPr>
        <w:snapToGrid w:val="0"/>
        <w:spacing w:line="300" w:lineRule="auto"/>
        <w:rPr>
          <w:rFonts w:ascii="Arial" w:hAnsi="Arial" w:eastAsia="宋体" w:cs="Arial"/>
        </w:rPr>
      </w:pPr>
      <w:r>
        <w:rPr>
          <w:rFonts w:ascii="Arial" w:hAnsi="Arial" w:eastAsia="宋体" w:cs="Arial"/>
        </w:rPr>
        <w:t>1401 Rockville Pike, Suite 200N, Rockville, MD 20852-1448</w:t>
      </w:r>
    </w:p>
    <w:p w14:paraId="7B66C027">
      <w:pPr>
        <w:snapToGrid w:val="0"/>
        <w:spacing w:line="300" w:lineRule="auto"/>
        <w:rPr>
          <w:rFonts w:ascii="Arial" w:hAnsi="Arial" w:eastAsia="宋体" w:cs="Arial"/>
        </w:rPr>
      </w:pPr>
      <w:r>
        <w:rPr>
          <w:rFonts w:ascii="Arial" w:hAnsi="Arial" w:eastAsia="宋体" w:cs="Arial"/>
        </w:rPr>
        <w:t>电话：800-835-4709或301-827-1800</w:t>
      </w:r>
    </w:p>
    <w:p w14:paraId="13FF3CFD">
      <w:pPr>
        <w:snapToGrid w:val="0"/>
        <w:spacing w:line="300" w:lineRule="auto"/>
        <w:rPr>
          <w:rFonts w:ascii="Arial" w:hAnsi="Arial" w:eastAsia="宋体" w:cs="Arial"/>
        </w:rPr>
      </w:pPr>
    </w:p>
    <w:p w14:paraId="368E63A3">
      <w:pPr>
        <w:snapToGrid w:val="0"/>
        <w:spacing w:line="300" w:lineRule="auto"/>
        <w:rPr>
          <w:rFonts w:ascii="Arial" w:hAnsi="Arial" w:eastAsia="宋体" w:cs="Arial"/>
        </w:rPr>
      </w:pPr>
    </w:p>
    <w:p w14:paraId="3C744EFE">
      <w:pPr>
        <w:snapToGrid w:val="0"/>
        <w:spacing w:line="300" w:lineRule="auto"/>
        <w:rPr>
          <w:rFonts w:ascii="Arial" w:hAnsi="Arial" w:eastAsia="宋体" w:cs="Arial"/>
        </w:rPr>
      </w:pPr>
    </w:p>
    <w:p w14:paraId="114F7874">
      <w:pPr>
        <w:widowControl/>
        <w:jc w:val="left"/>
        <w:rPr>
          <w:rFonts w:ascii="Arial" w:hAnsi="Arial" w:eastAsia="宋体" w:cs="Arial"/>
          <w:b/>
        </w:rPr>
      </w:pPr>
      <w:r>
        <w:rPr>
          <w:rFonts w:ascii="Arial" w:hAnsi="Arial" w:eastAsia="宋体" w:cs="Arial"/>
          <w:b/>
        </w:rPr>
        <w:br w:type="page"/>
      </w:r>
    </w:p>
    <w:p w14:paraId="0CB0C408">
      <w:pPr>
        <w:snapToGrid w:val="0"/>
        <w:spacing w:line="300" w:lineRule="auto"/>
        <w:jc w:val="center"/>
        <w:rPr>
          <w:rFonts w:ascii="Arial" w:hAnsi="Arial" w:eastAsia="宋体" w:cs="Arial"/>
          <w:b/>
          <w:sz w:val="36"/>
          <w:szCs w:val="36"/>
        </w:rPr>
      </w:pPr>
      <w:r>
        <w:rPr>
          <w:rFonts w:ascii="Arial" w:hAnsi="Arial" w:eastAsia="宋体" w:cs="Arial"/>
          <w:b/>
          <w:sz w:val="36"/>
          <w:szCs w:val="36"/>
        </w:rPr>
        <w:t>行业、临床实验室和食品药品监督管理局工作人员指南草案</w:t>
      </w:r>
    </w:p>
    <w:p w14:paraId="7034DFB4">
      <w:pPr>
        <w:snapToGrid w:val="0"/>
        <w:spacing w:line="300" w:lineRule="auto"/>
        <w:jc w:val="center"/>
        <w:rPr>
          <w:rFonts w:ascii="Arial" w:hAnsi="Arial" w:eastAsia="宋体" w:cs="Arial"/>
          <w:b/>
          <w:sz w:val="36"/>
          <w:szCs w:val="36"/>
        </w:rPr>
      </w:pPr>
      <w:r>
        <w:rPr>
          <w:rFonts w:ascii="Arial" w:hAnsi="Arial" w:eastAsia="宋体" w:cs="Arial"/>
          <w:b/>
          <w:sz w:val="36"/>
          <w:szCs w:val="36"/>
        </w:rPr>
        <mc:AlternateContent>
          <mc:Choice Requires="wps">
            <w:drawing>
              <wp:anchor distT="0" distB="0" distL="114300" distR="114300" simplePos="0" relativeHeight="251661312" behindDoc="0" locked="0" layoutInCell="1" allowOverlap="1">
                <wp:simplePos x="0" y="0"/>
                <wp:positionH relativeFrom="column">
                  <wp:posOffset>56515</wp:posOffset>
                </wp:positionH>
                <wp:positionV relativeFrom="paragraph">
                  <wp:posOffset>53340</wp:posOffset>
                </wp:positionV>
                <wp:extent cx="5210810" cy="0"/>
                <wp:effectExtent l="0" t="0" r="27940" b="19050"/>
                <wp:wrapNone/>
                <wp:docPr id="4" name="直接连接符 4"/>
                <wp:cNvGraphicFramePr/>
                <a:graphic xmlns:a="http://schemas.openxmlformats.org/drawingml/2006/main">
                  <a:graphicData uri="http://schemas.microsoft.com/office/word/2010/wordprocessingShape">
                    <wps:wsp>
                      <wps:cNvCnPr/>
                      <wps:spPr>
                        <a:xfrm>
                          <a:off x="0" y="0"/>
                          <a:ext cx="52110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45pt;margin-top:4.2pt;height:0pt;width:410.3pt;z-index:251661312;mso-width-relative:page;mso-height-relative:page;" filled="f" stroked="t" coordsize="21600,21600" o:gfxdata="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6vFVN9MAAAAFAQAADwAAAAAAAAABACAA&#10;AAAiAAAAZHJzL2Rvd25yZXYueG1sUEsBAhQAFAAAAAgAh07iQEyn+czZAQAAmgMAAA4AAAAAAAAA&#10;AQAgAAAAIgEAAGRycy9lMm9Eb2MueG1sUEsFBgAAAAAGAAYAWQEAAG0FAAAAAA==&#10;">
                <v:fill on="f" focussize="0,0"/>
                <v:stroke color="#000000 [3213]" joinstyle="round"/>
                <v:imagedata o:title=""/>
                <o:lock v:ext="edit" aspectratio="f"/>
              </v:line>
            </w:pict>
          </mc:Fallback>
        </mc:AlternateContent>
      </w:r>
    </w:p>
    <w:p w14:paraId="54EE25B5">
      <w:pPr>
        <w:snapToGrid w:val="0"/>
        <w:spacing w:line="300" w:lineRule="auto"/>
        <w:jc w:val="center"/>
        <w:rPr>
          <w:rFonts w:ascii="Arial" w:hAnsi="Arial" w:eastAsia="宋体" w:cs="Arial"/>
          <w:b/>
          <w:sz w:val="36"/>
          <w:szCs w:val="36"/>
        </w:rPr>
      </w:pPr>
      <w:r>
        <w:rPr>
          <w:rFonts w:ascii="Arial" w:hAnsi="Arial" w:eastAsia="宋体" w:cs="Arial"/>
          <w:b/>
          <w:sz w:val="36"/>
          <w:szCs w:val="36"/>
        </w:rPr>
        <w:t>体外诊断多变量指数测定试剂盒</w:t>
      </w:r>
    </w:p>
    <w:p w14:paraId="035FBF55">
      <w:pPr>
        <w:snapToGrid w:val="0"/>
        <w:spacing w:line="300" w:lineRule="auto"/>
        <w:rPr>
          <w:rFonts w:ascii="Arial" w:hAnsi="Arial" w:eastAsia="宋体" w:cs="Aria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B1F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24" w:space="0"/>
              <w:left w:val="single" w:color="auto" w:sz="24" w:space="0"/>
              <w:bottom w:val="single" w:color="auto" w:sz="24" w:space="0"/>
              <w:right w:val="single" w:color="auto" w:sz="24" w:space="0"/>
            </w:tcBorders>
          </w:tcPr>
          <w:p w14:paraId="6E8D15B2">
            <w:pPr>
              <w:snapToGrid w:val="0"/>
              <w:spacing w:line="300" w:lineRule="auto"/>
              <w:rPr>
                <w:rFonts w:ascii="Arial" w:hAnsi="Arial" w:eastAsia="宋体" w:cs="Arial"/>
                <w:i/>
              </w:rPr>
            </w:pPr>
            <w:r>
              <w:rPr>
                <w:rFonts w:ascii="Arial" w:hAnsi="Arial" w:eastAsia="宋体" w:cs="Arial"/>
                <w:i/>
              </w:rPr>
              <w:t>本指南草案在定稿时代表食品药品监督管理局目前对该主题的意见。</w:t>
            </w:r>
            <w:r>
              <w:rPr>
                <w:rFonts w:hint="eastAsia" w:ascii="Arial" w:hAnsi="Arial" w:eastAsia="宋体" w:cs="Arial"/>
                <w:i/>
              </w:rPr>
              <w:t>其不会为任何人创造或赋予任何权利，也不对FDA或公众具有约束力。如果替代方法满足适用的法律、法规或其两者的要求，可以使用替代方法。如果贵公司希望讨论一种替代方法，请联系负责实施本指南的FDA工作人员。如果贵公司无法确定适当的FDA工作人员，请拨打本指南标题页上列出的合适的电话号码。</w:t>
            </w:r>
          </w:p>
        </w:tc>
      </w:tr>
    </w:tbl>
    <w:p w14:paraId="3DBEA531">
      <w:pPr>
        <w:snapToGrid w:val="0"/>
        <w:spacing w:line="300" w:lineRule="auto"/>
        <w:rPr>
          <w:rFonts w:ascii="Arial" w:hAnsi="Arial" w:eastAsia="宋体" w:cs="Arial"/>
        </w:rPr>
      </w:pPr>
    </w:p>
    <w:p w14:paraId="07A02174">
      <w:pPr>
        <w:snapToGrid w:val="0"/>
        <w:spacing w:line="300" w:lineRule="auto"/>
        <w:rPr>
          <w:rFonts w:ascii="Arial" w:hAnsi="Arial" w:eastAsia="宋体" w:cs="Arial"/>
          <w:b/>
        </w:rPr>
      </w:pPr>
      <w:r>
        <w:rPr>
          <w:rFonts w:ascii="Arial" w:hAnsi="Arial" w:eastAsia="宋体" w:cs="Arial"/>
          <w:b/>
        </w:rPr>
        <w:t>简介</w:t>
      </w:r>
    </w:p>
    <w:p w14:paraId="4C037037">
      <w:pPr>
        <w:snapToGrid w:val="0"/>
        <w:spacing w:line="300" w:lineRule="auto"/>
        <w:rPr>
          <w:rFonts w:ascii="Arial" w:hAnsi="Arial" w:eastAsia="宋体" w:cs="Arial"/>
        </w:rPr>
      </w:pPr>
    </w:p>
    <w:p w14:paraId="5A2983D7">
      <w:pPr>
        <w:snapToGrid w:val="0"/>
        <w:spacing w:line="300" w:lineRule="auto"/>
        <w:rPr>
          <w:rFonts w:ascii="Arial" w:hAnsi="Arial" w:eastAsia="宋体" w:cs="Arial"/>
        </w:rPr>
      </w:pPr>
      <w:r>
        <w:rPr>
          <w:rFonts w:ascii="Arial" w:hAnsi="Arial" w:eastAsia="宋体" w:cs="Arial"/>
        </w:rPr>
        <w:t>本指南草案对一类称之为</w:t>
      </w:r>
      <w:bookmarkStart w:id="6" w:name="OLE_LINK124"/>
      <w:bookmarkStart w:id="7" w:name="OLE_LINK81"/>
      <w:bookmarkStart w:id="8" w:name="OLE_LINK82"/>
      <w:r>
        <w:rPr>
          <w:rFonts w:ascii="Arial" w:hAnsi="Arial" w:eastAsia="宋体" w:cs="Arial"/>
        </w:rPr>
        <w:t>体外诊断多变量指数测定试剂盒</w:t>
      </w:r>
      <w:bookmarkEnd w:id="6"/>
      <w:bookmarkEnd w:id="7"/>
      <w:bookmarkEnd w:id="8"/>
      <w:r>
        <w:rPr>
          <w:rFonts w:ascii="Arial" w:hAnsi="Arial" w:eastAsia="宋体" w:cs="Arial"/>
        </w:rPr>
        <w:t>（</w:t>
      </w:r>
      <w:bookmarkStart w:id="9" w:name="OLE_LINK16"/>
      <w:bookmarkStart w:id="10" w:name="OLE_LINK17"/>
      <w:r>
        <w:rPr>
          <w:rFonts w:ascii="Arial" w:hAnsi="Arial" w:eastAsia="宋体" w:cs="Arial"/>
        </w:rPr>
        <w:t>IVDMIA</w:t>
      </w:r>
      <w:bookmarkEnd w:id="9"/>
      <w:bookmarkEnd w:id="10"/>
      <w:r>
        <w:rPr>
          <w:rFonts w:ascii="Arial" w:hAnsi="Arial" w:eastAsia="宋体" w:cs="Arial"/>
        </w:rPr>
        <w:t>）的体外诊断器械的定义和监管现状进行了讨论。</w:t>
      </w:r>
    </w:p>
    <w:p w14:paraId="2E734B40">
      <w:pPr>
        <w:snapToGrid w:val="0"/>
        <w:spacing w:line="300" w:lineRule="auto"/>
        <w:rPr>
          <w:rFonts w:ascii="Arial" w:hAnsi="Arial" w:eastAsia="宋体" w:cs="Arial"/>
        </w:rPr>
      </w:pPr>
    </w:p>
    <w:p w14:paraId="2CC01D39">
      <w:pPr>
        <w:snapToGrid w:val="0"/>
        <w:spacing w:line="300" w:lineRule="auto"/>
        <w:rPr>
          <w:rFonts w:ascii="Arial" w:hAnsi="Arial" w:eastAsia="宋体" w:cs="Arial"/>
        </w:rPr>
      </w:pPr>
      <w:r>
        <w:rPr>
          <w:rFonts w:ascii="Arial" w:hAnsi="Arial" w:eastAsia="宋体" w:cs="Arial"/>
        </w:rPr>
        <w:t>本指南草案还对IVDMIA的上市前路径和上市后要求进行了讨论。对所有医疗器械而言，监管分类都是由预期用途和器械风险决定的。</w:t>
      </w:r>
    </w:p>
    <w:p w14:paraId="49196012">
      <w:pPr>
        <w:snapToGrid w:val="0"/>
        <w:spacing w:line="300" w:lineRule="auto"/>
        <w:rPr>
          <w:rFonts w:ascii="Arial" w:hAnsi="Arial" w:eastAsia="宋体" w:cs="Arial"/>
        </w:rPr>
      </w:pPr>
    </w:p>
    <w:p w14:paraId="369D9047">
      <w:pPr>
        <w:snapToGrid w:val="0"/>
        <w:spacing w:line="300" w:lineRule="auto"/>
        <w:rPr>
          <w:rFonts w:ascii="Arial" w:hAnsi="Arial" w:eastAsia="宋体" w:cs="Arial"/>
        </w:rPr>
      </w:pPr>
      <w:r>
        <w:rPr>
          <w:rFonts w:ascii="Arial" w:hAnsi="Arial" w:eastAsia="宋体" w:cs="Arial"/>
        </w:rPr>
        <w:t>食品药品监督管理局的指南（包括本指南）未确立法律强制责任，它只是描述了本局目前对某个主题的意见，仅能将其视为推荐规范，除非引用了具体的监管或法定要求。在本局的指南中使用“应当”一词意味着建议或推荐执行某事项，而不是要求执行某事项。</w:t>
      </w:r>
    </w:p>
    <w:p w14:paraId="137070AE">
      <w:pPr>
        <w:snapToGrid w:val="0"/>
        <w:spacing w:line="300" w:lineRule="auto"/>
        <w:rPr>
          <w:rFonts w:ascii="Arial" w:hAnsi="Arial" w:eastAsia="宋体" w:cs="Arial"/>
        </w:rPr>
      </w:pPr>
    </w:p>
    <w:p w14:paraId="170CF1FF">
      <w:pPr>
        <w:snapToGrid w:val="0"/>
        <w:spacing w:line="300" w:lineRule="auto"/>
        <w:rPr>
          <w:rFonts w:ascii="Arial" w:hAnsi="Arial" w:eastAsia="宋体" w:cs="Arial"/>
          <w:b/>
        </w:rPr>
      </w:pPr>
      <w:r>
        <w:rPr>
          <w:rFonts w:ascii="Arial" w:hAnsi="Arial" w:eastAsia="宋体" w:cs="Arial"/>
          <w:b/>
        </w:rPr>
        <w:t>背景</w:t>
      </w:r>
    </w:p>
    <w:p w14:paraId="5A94D255">
      <w:pPr>
        <w:snapToGrid w:val="0"/>
        <w:spacing w:line="300" w:lineRule="auto"/>
        <w:rPr>
          <w:rFonts w:ascii="Arial" w:hAnsi="Arial" w:eastAsia="宋体" w:cs="Arial"/>
        </w:rPr>
      </w:pPr>
    </w:p>
    <w:p w14:paraId="6788A4B8">
      <w:pPr>
        <w:snapToGrid w:val="0"/>
        <w:spacing w:line="300" w:lineRule="auto"/>
        <w:rPr>
          <w:rFonts w:ascii="Arial" w:hAnsi="Arial" w:eastAsia="宋体" w:cs="Arial"/>
        </w:rPr>
      </w:pPr>
      <w:r>
        <w:rPr>
          <w:rFonts w:ascii="Arial" w:hAnsi="Arial" w:eastAsia="宋体" w:cs="Arial"/>
        </w:rPr>
        <w:t>食品、药品和化妆品法案（简称法案）在第201（h）部分对器械的定义给出了详细描述。其在相关部分给出了这样的陈述：“术语‘器械’…是指仪器、器具、用具、机器、专用工具、植入物、体外试剂或其它相似或相关物品（包括任何成分、组件、零件或附件）…，拟将其（2）用于疾病或其它病理状态的诊断或用于治愈、减轻、治疗或预防人类或其它动物疾病…”（21 USC 321（h））。在本指南的进一步描述中，IVDMIA是一种这样的器械：</w:t>
      </w:r>
    </w:p>
    <w:p w14:paraId="4B88B7EA">
      <w:pPr>
        <w:snapToGrid w:val="0"/>
        <w:spacing w:line="300" w:lineRule="auto"/>
        <w:rPr>
          <w:rFonts w:ascii="Arial" w:hAnsi="Arial" w:eastAsia="宋体" w:cs="Arial"/>
        </w:rPr>
      </w:pPr>
    </w:p>
    <w:p w14:paraId="78B0189D">
      <w:pPr>
        <w:widowControl/>
        <w:jc w:val="left"/>
        <w:rPr>
          <w:rFonts w:ascii="Arial" w:hAnsi="Arial" w:eastAsia="宋体" w:cs="Arial"/>
          <w:b/>
          <w:color w:val="FF0000"/>
        </w:rPr>
      </w:pPr>
      <w:bookmarkStart w:id="11" w:name="OLE_LINK23"/>
      <w:bookmarkStart w:id="12" w:name="OLE_LINK24"/>
      <w:r>
        <w:rPr>
          <w:rFonts w:ascii="Arial" w:hAnsi="Arial" w:eastAsia="宋体" w:cs="Arial"/>
          <w:b/>
          <w:color w:val="FF0000"/>
        </w:rPr>
        <w:br w:type="page"/>
      </w:r>
    </w:p>
    <w:p w14:paraId="64095BCF">
      <w:pPr>
        <w:snapToGrid w:val="0"/>
        <w:spacing w:line="300" w:lineRule="auto"/>
        <w:rPr>
          <w:rFonts w:ascii="Arial" w:hAnsi="Arial" w:eastAsia="宋体" w:cs="Arial"/>
        </w:rPr>
      </w:pPr>
      <w:r>
        <w:rPr>
          <w:rFonts w:ascii="Arial" w:hAnsi="Arial" w:eastAsia="宋体" w:cs="Arial"/>
        </w:rPr>
        <w:t>1）它利用一种解释功能将多个变量测定值结合起来</w:t>
      </w:r>
      <w:bookmarkStart w:id="13" w:name="OLE_LINK126"/>
      <w:r>
        <w:rPr>
          <w:rFonts w:ascii="Arial" w:hAnsi="Arial" w:eastAsia="宋体" w:cs="Arial"/>
        </w:rPr>
        <w:t>针对患者</w:t>
      </w:r>
      <w:bookmarkEnd w:id="13"/>
      <w:r>
        <w:rPr>
          <w:rFonts w:ascii="Arial" w:hAnsi="Arial" w:eastAsia="宋体" w:cs="Arial"/>
        </w:rPr>
        <w:t>生成一个结果（如“分类”、“分值”、“指数”等），用来对疾病或其它病理状态做出诊断或用来治愈、减轻、治疗或预防疾病。</w:t>
      </w:r>
    </w:p>
    <w:p w14:paraId="39E6B9FA">
      <w:pPr>
        <w:snapToGrid w:val="0"/>
        <w:spacing w:line="300" w:lineRule="auto"/>
        <w:rPr>
          <w:rFonts w:ascii="Arial" w:hAnsi="Arial" w:eastAsia="宋体" w:cs="Arial"/>
        </w:rPr>
      </w:pPr>
      <w:r>
        <w:rPr>
          <w:rFonts w:ascii="Arial" w:hAnsi="Arial" w:eastAsia="宋体" w:cs="Arial"/>
        </w:rPr>
        <w:t>2）它所给结果的出处不透明且不能为终端用户独立获得或验证。</w:t>
      </w:r>
    </w:p>
    <w:bookmarkEnd w:id="11"/>
    <w:bookmarkEnd w:id="12"/>
    <w:p w14:paraId="0B75D49F">
      <w:pPr>
        <w:snapToGrid w:val="0"/>
        <w:spacing w:line="300" w:lineRule="auto"/>
        <w:rPr>
          <w:rFonts w:ascii="Arial" w:hAnsi="Arial" w:eastAsia="宋体" w:cs="Arial"/>
        </w:rPr>
      </w:pPr>
    </w:p>
    <w:p w14:paraId="79B8A7CE">
      <w:pPr>
        <w:snapToGrid w:val="0"/>
        <w:spacing w:line="300" w:lineRule="auto"/>
        <w:rPr>
          <w:rFonts w:ascii="Arial" w:hAnsi="Arial" w:eastAsia="宋体" w:cs="Arial"/>
        </w:rPr>
      </w:pPr>
      <w:r>
        <w:rPr>
          <w:rFonts w:ascii="Arial" w:hAnsi="Arial" w:eastAsia="宋体" w:cs="Arial"/>
        </w:rPr>
        <w:t>IVDMIA是在法案意图之内的一种器械。</w:t>
      </w:r>
    </w:p>
    <w:p w14:paraId="456FC14C">
      <w:pPr>
        <w:snapToGrid w:val="0"/>
        <w:spacing w:line="300" w:lineRule="auto"/>
        <w:rPr>
          <w:rFonts w:ascii="Arial" w:hAnsi="Arial" w:eastAsia="宋体" w:cs="Arial"/>
        </w:rPr>
      </w:pPr>
    </w:p>
    <w:p w14:paraId="7C1DB9D3">
      <w:pPr>
        <w:snapToGrid w:val="0"/>
        <w:spacing w:line="300" w:lineRule="auto"/>
        <w:rPr>
          <w:rFonts w:ascii="Arial" w:hAnsi="Arial" w:eastAsia="宋体" w:cs="Arial"/>
        </w:rPr>
      </w:pPr>
      <w:r>
        <w:rPr>
          <w:rFonts w:ascii="Arial" w:hAnsi="Arial" w:eastAsia="宋体" w:cs="Arial"/>
        </w:rPr>
        <w:t>某些IVDMIA是药事未核准检验（LDT）产品。药事未核准检验产品是由一家临床实验室开发的仅供本实验室使用的检验产品。实验室开发的IVDMIA是一个亚组的特殊药事未核准检验产品。虽然食品药品监督管理局已声明“开发‘机构内部用’检验产品的临床实验室充当了医疗器械制造商的角色，按法案（62 FR 62249）规定要接受食品药品监督管理局的管辖”，但本局通常对标准药事未核准检验产品行使执法自由裁量权。标准药事未核准检验产品是指主要使用被测物专用试剂、通用试剂（21 CFR 864.4010）、通用实验室设备（21 CFR 862.2050）、其它实验室仪器配置（21 CFR第864部D亚部）和对照品（21 CFR 862.1660）的药事未核准检验产品。在</w:t>
      </w:r>
      <w:bookmarkStart w:id="14" w:name="OLE_LINK19"/>
      <w:bookmarkStart w:id="15" w:name="OLE_LINK18"/>
      <w:r>
        <w:rPr>
          <w:rFonts w:ascii="Arial" w:hAnsi="Arial" w:eastAsia="宋体" w:cs="Arial"/>
        </w:rPr>
        <w:t>IVDMIA</w:t>
      </w:r>
      <w:bookmarkEnd w:id="14"/>
      <w:bookmarkEnd w:id="15"/>
      <w:r>
        <w:rPr>
          <w:rFonts w:ascii="Arial" w:hAnsi="Arial" w:eastAsia="宋体" w:cs="Arial"/>
        </w:rPr>
        <w:t>中包含了本指南“IVDMIA的定义和监管现状”部分描述的成分。这些成分并不在药事未核准检验的主要成分之列（如复杂、独特的解释功能）。因此，IVDMIA不在食品药品监督管理局通常行使执法自由裁量权的药事未核准检验产品的范围之内。</w:t>
      </w:r>
    </w:p>
    <w:p w14:paraId="2B3E6FF9">
      <w:pPr>
        <w:snapToGrid w:val="0"/>
        <w:spacing w:line="300" w:lineRule="auto"/>
        <w:rPr>
          <w:rFonts w:ascii="Arial" w:hAnsi="Arial" w:eastAsia="宋体" w:cs="Arial"/>
        </w:rPr>
      </w:pPr>
    </w:p>
    <w:p w14:paraId="6E4D7E11">
      <w:pPr>
        <w:snapToGrid w:val="0"/>
        <w:spacing w:line="300" w:lineRule="auto"/>
        <w:rPr>
          <w:rFonts w:ascii="Arial" w:hAnsi="Arial" w:eastAsia="宋体" w:cs="Arial"/>
        </w:rPr>
      </w:pPr>
      <w:r>
        <w:rPr>
          <w:rFonts w:ascii="Arial" w:hAnsi="Arial" w:eastAsia="宋体" w:cs="Arial"/>
        </w:rPr>
        <w:t>IVDMIA提出了安全性和有效性的重大问题。该类检验产品是根据在多变量数据和临床结局间观察到的相关关系而开发的，所以这些主张的临床有效性对</w:t>
      </w:r>
      <w:bookmarkStart w:id="16" w:name="OLE_LINK2"/>
      <w:bookmarkStart w:id="17" w:name="OLE_LINK1"/>
      <w:r>
        <w:rPr>
          <w:rFonts w:ascii="Arial" w:hAnsi="Arial" w:eastAsia="宋体" w:cs="Arial"/>
        </w:rPr>
        <w:t>患者、实验室工作人</w:t>
      </w:r>
      <w:bookmarkEnd w:id="16"/>
      <w:bookmarkEnd w:id="17"/>
      <w:r>
        <w:rPr>
          <w:rFonts w:ascii="Arial" w:hAnsi="Arial" w:eastAsia="宋体" w:cs="Arial"/>
        </w:rPr>
        <w:t>员和订购这些检验产品的临床医生是不透明的。另外，</w:t>
      </w:r>
      <w:bookmarkStart w:id="18" w:name="OLE_LINK20"/>
      <w:bookmarkStart w:id="19" w:name="OLE_LINK21"/>
      <w:r>
        <w:rPr>
          <w:rFonts w:ascii="Arial" w:hAnsi="Arial" w:eastAsia="宋体" w:cs="Arial"/>
        </w:rPr>
        <w:t>IVDMIA</w:t>
      </w:r>
      <w:bookmarkEnd w:id="18"/>
      <w:bookmarkEnd w:id="19"/>
      <w:r>
        <w:rPr>
          <w:rFonts w:ascii="Arial" w:hAnsi="Arial" w:eastAsia="宋体" w:cs="Arial"/>
        </w:rPr>
        <w:t>往往拥有高风险的预期用途。食品药品监督管理局担忧的是，在食品药品监督管理局尚不确保某种IVDMIA在临床上得到确认且医疗保健执业医生自身不能在临床上确认该检验产品时，患者依靠具有高风险预期用途的IVDMIA做出关键性医疗保健决定。因此，食品药品监督管理局需对这些器械进行监管，以确保IVDMIA对其预期用途安全、有效。</w:t>
      </w:r>
    </w:p>
    <w:p w14:paraId="7FDAC8AD">
      <w:pPr>
        <w:snapToGrid w:val="0"/>
        <w:spacing w:line="300" w:lineRule="auto"/>
        <w:rPr>
          <w:rFonts w:ascii="Arial" w:hAnsi="Arial" w:eastAsia="宋体" w:cs="Arial"/>
        </w:rPr>
      </w:pPr>
    </w:p>
    <w:p w14:paraId="1F591979">
      <w:pPr>
        <w:snapToGrid w:val="0"/>
        <w:spacing w:line="300" w:lineRule="auto"/>
        <w:rPr>
          <w:rFonts w:ascii="Arial" w:hAnsi="Arial" w:eastAsia="宋体" w:cs="Arial"/>
        </w:rPr>
      </w:pPr>
      <w:r>
        <w:rPr>
          <w:rFonts w:ascii="Arial" w:hAnsi="Arial" w:eastAsia="宋体" w:cs="Arial"/>
        </w:rPr>
        <w:t>食品药品监督管理局拟借助本指南草案将IVDMIA确认为一种分立类别器械。在文件中，食品药品监督管理局还阐述了这样的观点：即便在作为药事未核准检验产品订购时，IVDMIA亦必须符合法案和食品药品监督管理局法规中的上市前与上市后器械要求，对大多数II类和III类器械而言，其中包括上市前审查要求。</w:t>
      </w:r>
    </w:p>
    <w:p w14:paraId="7971B4BD">
      <w:pPr>
        <w:snapToGrid w:val="0"/>
        <w:spacing w:line="300" w:lineRule="auto"/>
        <w:rPr>
          <w:rFonts w:ascii="Arial" w:hAnsi="Arial" w:eastAsia="宋体" w:cs="Arial"/>
        </w:rPr>
      </w:pPr>
    </w:p>
    <w:p w14:paraId="05D113EA">
      <w:pPr>
        <w:snapToGrid w:val="0"/>
        <w:spacing w:line="300" w:lineRule="auto"/>
        <w:rPr>
          <w:rFonts w:ascii="Arial" w:hAnsi="Arial" w:eastAsia="宋体" w:cs="Arial"/>
          <w:b/>
        </w:rPr>
      </w:pPr>
      <w:r>
        <w:rPr>
          <w:rFonts w:ascii="Arial" w:hAnsi="Arial" w:eastAsia="宋体" w:cs="Arial"/>
          <w:b/>
        </w:rPr>
        <w:t>最小负担法</w:t>
      </w:r>
    </w:p>
    <w:p w14:paraId="79B3BC92">
      <w:pPr>
        <w:snapToGrid w:val="0"/>
        <w:spacing w:line="300" w:lineRule="auto"/>
        <w:rPr>
          <w:rFonts w:ascii="Arial" w:hAnsi="Arial" w:eastAsia="宋体" w:cs="Arial"/>
          <w:b/>
        </w:rPr>
      </w:pPr>
    </w:p>
    <w:p w14:paraId="11ABF8C6">
      <w:pPr>
        <w:snapToGrid w:val="0"/>
        <w:spacing w:line="300" w:lineRule="auto"/>
        <w:rPr>
          <w:rFonts w:ascii="Arial" w:hAnsi="Arial" w:eastAsia="宋体" w:cs="Arial"/>
        </w:rPr>
      </w:pPr>
      <w:r>
        <w:rPr>
          <w:rFonts w:ascii="Arial" w:hAnsi="Arial" w:eastAsia="宋体" w:cs="Arial"/>
        </w:rPr>
        <w:t>本指南反映我们对我们认为与IVDMIA相关的重大问题以及我们认为处理这些问题的最小负担法进行了仔细审查。然而，如果贵公司对是否存在负担更小的方法有所评论，请按本文件封面的提示提交贵公司的评论。</w:t>
      </w:r>
    </w:p>
    <w:p w14:paraId="6A7B501E">
      <w:pPr>
        <w:snapToGrid w:val="0"/>
        <w:spacing w:line="300" w:lineRule="auto"/>
        <w:rPr>
          <w:rFonts w:ascii="Arial" w:hAnsi="Arial" w:eastAsia="宋体" w:cs="Arial"/>
        </w:rPr>
      </w:pPr>
    </w:p>
    <w:p w14:paraId="489BD178">
      <w:pPr>
        <w:widowControl/>
        <w:jc w:val="left"/>
        <w:rPr>
          <w:rFonts w:ascii="Arial" w:hAnsi="Arial" w:eastAsia="宋体" w:cs="Arial"/>
          <w:b/>
          <w:color w:val="FF0000"/>
        </w:rPr>
      </w:pPr>
      <w:r>
        <w:rPr>
          <w:rFonts w:ascii="Arial" w:hAnsi="Arial" w:eastAsia="宋体" w:cs="Arial"/>
          <w:b/>
          <w:color w:val="FF0000"/>
        </w:rPr>
        <w:br w:type="page"/>
      </w:r>
    </w:p>
    <w:p w14:paraId="6263ABD3">
      <w:pPr>
        <w:snapToGrid w:val="0"/>
        <w:spacing w:line="300" w:lineRule="auto"/>
        <w:rPr>
          <w:rFonts w:ascii="Arial" w:hAnsi="Arial" w:eastAsia="宋体" w:cs="Arial"/>
          <w:b/>
        </w:rPr>
      </w:pPr>
      <w:r>
        <w:rPr>
          <w:rFonts w:ascii="Arial" w:hAnsi="Arial" w:eastAsia="宋体" w:cs="Arial"/>
          <w:b/>
        </w:rPr>
        <w:t>IVDMIA的定义和监管现状</w:t>
      </w:r>
    </w:p>
    <w:p w14:paraId="35EDC71A">
      <w:pPr>
        <w:snapToGrid w:val="0"/>
        <w:spacing w:line="300" w:lineRule="auto"/>
        <w:rPr>
          <w:rFonts w:ascii="Arial" w:hAnsi="Arial" w:eastAsia="宋体" w:cs="Arial"/>
        </w:rPr>
      </w:pPr>
    </w:p>
    <w:p w14:paraId="786ED4CC">
      <w:pPr>
        <w:snapToGrid w:val="0"/>
        <w:spacing w:line="300" w:lineRule="auto"/>
        <w:rPr>
          <w:rFonts w:ascii="Arial" w:hAnsi="Arial" w:eastAsia="宋体" w:cs="Arial"/>
          <w:b/>
        </w:rPr>
      </w:pPr>
      <w:r>
        <w:rPr>
          <w:rFonts w:ascii="Arial" w:hAnsi="Arial" w:eastAsia="宋体" w:cs="Arial"/>
          <w:b/>
        </w:rPr>
        <w:t>定义</w:t>
      </w:r>
    </w:p>
    <w:p w14:paraId="1811840B">
      <w:pPr>
        <w:snapToGrid w:val="0"/>
        <w:spacing w:line="300" w:lineRule="auto"/>
        <w:rPr>
          <w:rFonts w:ascii="Arial" w:hAnsi="Arial" w:eastAsia="宋体" w:cs="Arial"/>
          <w:b/>
        </w:rPr>
      </w:pPr>
    </w:p>
    <w:p w14:paraId="061B395F">
      <w:pPr>
        <w:snapToGrid w:val="0"/>
        <w:spacing w:line="300" w:lineRule="auto"/>
        <w:rPr>
          <w:rFonts w:ascii="宋体" w:hAnsi="宋体" w:eastAsia="宋体" w:cs="Arial"/>
          <w:b/>
        </w:rPr>
      </w:pPr>
      <w:r>
        <w:rPr>
          <w:rFonts w:ascii="Arial" w:hAnsi="Arial" w:eastAsia="宋体" w:cs="Arial"/>
        </w:rPr>
        <w:t>IVDMIA</w:t>
      </w:r>
      <w:r>
        <w:rPr>
          <w:rFonts w:hint="eastAsia" w:ascii="Arial" w:hAnsi="Arial" w:eastAsia="宋体" w:cs="Arial"/>
        </w:rPr>
        <w:t>器械为</w:t>
      </w:r>
      <w:r>
        <w:rPr>
          <w:rFonts w:hint="eastAsia" w:ascii="宋体" w:hAnsi="宋体" w:eastAsia="宋体" w:cs="Times New Roman"/>
          <w:kern w:val="0"/>
          <w:sz w:val="24"/>
          <w:szCs w:val="24"/>
        </w:rPr>
        <w:t>：</w:t>
      </w:r>
    </w:p>
    <w:p w14:paraId="16333CED">
      <w:pPr>
        <w:snapToGrid w:val="0"/>
        <w:spacing w:line="300" w:lineRule="auto"/>
        <w:rPr>
          <w:rFonts w:ascii="Arial" w:hAnsi="Arial" w:eastAsia="宋体" w:cs="Arial"/>
        </w:rPr>
      </w:pPr>
    </w:p>
    <w:p w14:paraId="01DA198F">
      <w:pPr>
        <w:snapToGrid w:val="0"/>
        <w:spacing w:line="300" w:lineRule="auto"/>
        <w:ind w:left="699" w:leftChars="180" w:hanging="321" w:hangingChars="153"/>
        <w:rPr>
          <w:rFonts w:ascii="Arial" w:hAnsi="Arial" w:eastAsia="宋体" w:cs="Arial"/>
        </w:rPr>
      </w:pPr>
      <w:r>
        <w:rPr>
          <w:rFonts w:ascii="Arial" w:hAnsi="Arial" w:eastAsia="宋体" w:cs="Arial"/>
        </w:rPr>
        <w:t>1）它利用一种解释功能将多个变量测定值结合起来针对患者生成一个结果（如“分类”、“分值”、“指数”等），用来对疾病或其它病理状态做出诊断或用来治愈、减轻、治疗或预防疾病。</w:t>
      </w:r>
    </w:p>
    <w:p w14:paraId="6D193C1D">
      <w:pPr>
        <w:snapToGrid w:val="0"/>
        <w:spacing w:line="300" w:lineRule="auto"/>
        <w:ind w:left="699" w:leftChars="180" w:hanging="321" w:hangingChars="153"/>
        <w:rPr>
          <w:rFonts w:ascii="Arial" w:hAnsi="Arial" w:eastAsia="宋体" w:cs="Arial"/>
        </w:rPr>
      </w:pPr>
      <w:r>
        <w:rPr>
          <w:rFonts w:ascii="Arial" w:hAnsi="Arial" w:eastAsia="宋体" w:cs="Arial"/>
        </w:rPr>
        <w:t>2）它所给结果的出处不透明且不能为终端用户独立获得或验证。</w:t>
      </w:r>
    </w:p>
    <w:p w14:paraId="172D63B9">
      <w:pPr>
        <w:snapToGrid w:val="0"/>
        <w:spacing w:line="300" w:lineRule="auto"/>
        <w:rPr>
          <w:rFonts w:ascii="Arial" w:hAnsi="Arial" w:eastAsia="宋体" w:cs="Arial"/>
        </w:rPr>
      </w:pPr>
    </w:p>
    <w:p w14:paraId="79EFCA92">
      <w:pPr>
        <w:snapToGrid w:val="0"/>
        <w:spacing w:line="300" w:lineRule="auto"/>
        <w:rPr>
          <w:rFonts w:ascii="Arial" w:hAnsi="Arial" w:eastAsia="宋体" w:cs="Arial"/>
          <w:i/>
        </w:rPr>
      </w:pPr>
      <w:r>
        <w:rPr>
          <w:rFonts w:ascii="Arial" w:hAnsi="Arial" w:eastAsia="宋体" w:cs="Arial"/>
          <w:i/>
        </w:rPr>
        <w:t>虽然孤立或组合的输入变量对临床医生可能有意义，但临床医生不能自行对IVDMIA结果的临床意义进行验证。另外，订货医生不能自行获得IVDMIA结果，亦不能独立对该结果做出解释。在用于患者管理时为了对IVDMIA结果作出解释，订货医生需要检验产品开发商提供的信息，而不是通常从临床共同体接收的信息。对一个IVDMIA来说，该信息是与该器械的预期用途有关的针对患者的单一结果。</w:t>
      </w:r>
    </w:p>
    <w:p w14:paraId="2D22FBC6">
      <w:pPr>
        <w:snapToGrid w:val="0"/>
        <w:spacing w:line="300" w:lineRule="auto"/>
        <w:rPr>
          <w:rFonts w:ascii="Arial" w:hAnsi="Arial" w:eastAsia="宋体" w:cs="Arial"/>
        </w:rPr>
      </w:pPr>
    </w:p>
    <w:p w14:paraId="395B6605">
      <w:pPr>
        <w:snapToGrid w:val="0"/>
        <w:spacing w:line="300" w:lineRule="auto"/>
        <w:rPr>
          <w:rFonts w:ascii="Arial" w:hAnsi="Arial" w:eastAsia="宋体" w:cs="Arial"/>
          <w:b/>
        </w:rPr>
      </w:pPr>
      <w:r>
        <w:rPr>
          <w:rFonts w:ascii="Arial" w:hAnsi="Arial" w:eastAsia="宋体" w:cs="Arial"/>
          <w:b/>
        </w:rPr>
        <w:t>实例</w:t>
      </w:r>
    </w:p>
    <w:p w14:paraId="0DAD020F">
      <w:pPr>
        <w:snapToGrid w:val="0"/>
        <w:spacing w:line="300" w:lineRule="auto"/>
        <w:rPr>
          <w:rFonts w:ascii="Arial" w:hAnsi="Arial" w:eastAsia="宋体" w:cs="Arial"/>
        </w:rPr>
      </w:pPr>
    </w:p>
    <w:p w14:paraId="71ADF0E6">
      <w:pPr>
        <w:snapToGrid w:val="0"/>
        <w:spacing w:line="300" w:lineRule="auto"/>
        <w:rPr>
          <w:rFonts w:ascii="Arial" w:hAnsi="Arial" w:eastAsia="宋体" w:cs="Arial"/>
        </w:rPr>
      </w:pPr>
      <w:r>
        <w:rPr>
          <w:rFonts w:ascii="Arial" w:hAnsi="Arial" w:eastAsia="宋体" w:cs="Arial"/>
        </w:rPr>
        <w:t>下面这些类型的器械将许多输入变量的数据结合起来生成了一个类别或分值（通常是一个单变量结果）且临床医生不能独立对这些输入变量进行分析并做出相同的解释，因此它们是符合IVDMIA定义的真实或假定的器械实例。一般来说，IVDMIA可使用通过测定或观察得到的多个变量的结果值（如患者的年龄、体重、代谢产物水平和基因表达水平）。然后，针对IVDMIA的独特解释功能会将这些变量结合起来并进行分析，得出一个分值。例如，IVDMIA的预期用途是根据该分值诊断疾病或预测疾病风险。下面是更具体的IVDMIA实例：</w:t>
      </w:r>
    </w:p>
    <w:p w14:paraId="609BB0AA">
      <w:pPr>
        <w:snapToGrid w:val="0"/>
        <w:spacing w:line="300" w:lineRule="auto"/>
        <w:rPr>
          <w:rFonts w:ascii="Arial" w:hAnsi="Arial" w:eastAsia="宋体" w:cs="Arial"/>
        </w:rPr>
      </w:pPr>
    </w:p>
    <w:p w14:paraId="69D24E20">
      <w:pPr>
        <w:pStyle w:val="12"/>
        <w:numPr>
          <w:ilvl w:val="0"/>
          <w:numId w:val="1"/>
        </w:numPr>
        <w:snapToGrid w:val="0"/>
        <w:spacing w:line="300" w:lineRule="auto"/>
        <w:ind w:left="770" w:hanging="364" w:firstLineChars="0"/>
        <w:rPr>
          <w:rFonts w:ascii="Arial" w:hAnsi="Arial" w:eastAsia="宋体" w:cs="Arial"/>
        </w:rPr>
      </w:pPr>
      <w:bookmarkStart w:id="20" w:name="OLE_LINK65"/>
      <w:bookmarkStart w:id="21" w:name="OLE_LINK64"/>
      <w:bookmarkStart w:id="22" w:name="OLE_LINK66"/>
      <w:r>
        <w:rPr>
          <w:rFonts w:ascii="Arial" w:hAnsi="Arial" w:eastAsia="宋体" w:cs="Arial"/>
        </w:rPr>
        <w:t>根据21 CFR 866.6040的规定予以分类的器械，用于乳腺癌预后预测的基因表达谱分析产品。</w:t>
      </w:r>
      <w:bookmarkEnd w:id="20"/>
      <w:bookmarkEnd w:id="21"/>
      <w:bookmarkEnd w:id="22"/>
    </w:p>
    <w:p w14:paraId="27177523">
      <w:pPr>
        <w:pStyle w:val="12"/>
        <w:numPr>
          <w:ilvl w:val="0"/>
          <w:numId w:val="1"/>
        </w:numPr>
        <w:snapToGrid w:val="0"/>
        <w:spacing w:line="300" w:lineRule="auto"/>
        <w:ind w:left="770" w:hanging="364" w:firstLineChars="0"/>
        <w:rPr>
          <w:rFonts w:ascii="Arial" w:hAnsi="Arial" w:eastAsia="宋体" w:cs="Arial"/>
        </w:rPr>
      </w:pPr>
      <w:r>
        <w:rPr>
          <w:rFonts w:ascii="Arial" w:hAnsi="Arial" w:eastAsia="宋体" w:cs="Arial"/>
        </w:rPr>
        <w:t>将多个免疫测定的定量结果整合在一起，得到一个定性“分值”，用于预测个体发生某种疾病或病理状态风险的器械。</w:t>
      </w:r>
    </w:p>
    <w:p w14:paraId="79FC347A">
      <w:pPr>
        <w:pStyle w:val="12"/>
        <w:numPr>
          <w:ilvl w:val="0"/>
          <w:numId w:val="1"/>
        </w:numPr>
        <w:snapToGrid w:val="0"/>
        <w:spacing w:line="300" w:lineRule="auto"/>
        <w:ind w:left="770" w:hanging="364" w:firstLineChars="0"/>
        <w:rPr>
          <w:rFonts w:ascii="Arial" w:hAnsi="Arial" w:eastAsia="宋体" w:cs="Arial"/>
        </w:rPr>
      </w:pPr>
      <w:r>
        <w:rPr>
          <w:rFonts w:ascii="Arial" w:hAnsi="Arial" w:eastAsia="宋体" w:cs="Arial"/>
        </w:rPr>
        <w:t>将患者的年龄、性别和多个基因的基因型整合在一起，用于预测患者罹患某种疾病或病理状态的风险或对某种疾病或病理状态做出诊断的器械。</w:t>
      </w:r>
    </w:p>
    <w:p w14:paraId="38DCCC4C">
      <w:pPr>
        <w:snapToGrid w:val="0"/>
        <w:spacing w:line="300" w:lineRule="auto"/>
        <w:rPr>
          <w:rFonts w:ascii="Arial" w:hAnsi="Arial" w:eastAsia="宋体" w:cs="Arial"/>
        </w:rPr>
      </w:pPr>
    </w:p>
    <w:p w14:paraId="501280F8">
      <w:pPr>
        <w:widowControl/>
        <w:jc w:val="left"/>
        <w:rPr>
          <w:rFonts w:ascii="Arial" w:hAnsi="Arial" w:eastAsia="宋体" w:cs="Arial"/>
        </w:rPr>
      </w:pPr>
      <w:r>
        <w:rPr>
          <w:rFonts w:ascii="Arial" w:hAnsi="Arial" w:eastAsia="宋体" w:cs="Arial"/>
        </w:rPr>
        <w:br w:type="page"/>
      </w:r>
    </w:p>
    <w:p w14:paraId="23C251C4">
      <w:pPr>
        <w:snapToGrid w:val="0"/>
        <w:spacing w:line="300" w:lineRule="auto"/>
        <w:rPr>
          <w:rFonts w:ascii="Arial" w:hAnsi="Arial" w:eastAsia="宋体" w:cs="Arial"/>
        </w:rPr>
      </w:pPr>
      <w:r>
        <w:rPr>
          <w:rFonts w:ascii="Arial" w:hAnsi="Arial" w:eastAsia="宋体" w:cs="Arial"/>
        </w:rPr>
        <w:t>IVDMIA结果可采用许多方式予以表达，其中包括二分结果（如是或否）、分类（如疾病类型或等级、疾病阳性或阴性）、序数结果（如低、中、高风险）或连续结果（如0-50量表上的“18”分值）。</w:t>
      </w:r>
    </w:p>
    <w:p w14:paraId="47F5B9A6">
      <w:pPr>
        <w:snapToGrid w:val="0"/>
        <w:spacing w:line="300" w:lineRule="auto"/>
        <w:rPr>
          <w:rFonts w:ascii="Arial" w:hAnsi="Arial" w:eastAsia="宋体" w:cs="Arial"/>
        </w:rPr>
      </w:pPr>
    </w:p>
    <w:p w14:paraId="1A6E6CAB">
      <w:pPr>
        <w:snapToGrid w:val="0"/>
        <w:spacing w:line="300" w:lineRule="auto"/>
        <w:rPr>
          <w:rFonts w:ascii="Arial" w:hAnsi="Arial" w:eastAsia="宋体" w:cs="Arial"/>
        </w:rPr>
      </w:pPr>
      <w:r>
        <w:rPr>
          <w:rFonts w:ascii="Arial" w:hAnsi="Arial" w:eastAsia="宋体" w:cs="Arial"/>
        </w:rPr>
        <w:t>相比之下，食品药品监督管理局不将具有某种功能的器械视作IVDMIA。这种功能有助于对多个变量作出解释，而医疗保健执业医生可能以另外方式自行对这些变量作出解释。关于下面这些器械，食品药品监督管理局不将其视作符合IVDMIA定义，且超出了本指南的范畴：</w:t>
      </w:r>
    </w:p>
    <w:p w14:paraId="3D6CAD8B">
      <w:pPr>
        <w:snapToGrid w:val="0"/>
        <w:spacing w:line="300" w:lineRule="auto"/>
        <w:rPr>
          <w:rFonts w:ascii="Arial" w:hAnsi="Arial" w:eastAsia="宋体" w:cs="Arial"/>
        </w:rPr>
      </w:pPr>
    </w:p>
    <w:p w14:paraId="68D642BA">
      <w:pPr>
        <w:pStyle w:val="12"/>
        <w:numPr>
          <w:ilvl w:val="0"/>
          <w:numId w:val="1"/>
        </w:numPr>
        <w:snapToGrid w:val="0"/>
        <w:spacing w:line="300" w:lineRule="auto"/>
        <w:ind w:left="770" w:hanging="364" w:firstLineChars="0"/>
        <w:rPr>
          <w:rFonts w:ascii="Arial" w:hAnsi="Arial" w:eastAsia="宋体" w:cs="Arial"/>
        </w:rPr>
      </w:pPr>
      <w:r>
        <w:rPr>
          <w:rFonts w:ascii="Arial" w:hAnsi="Arial" w:eastAsia="宋体" w:cs="Arial"/>
        </w:rPr>
        <w:t>将多个变量融进针对患者单一结果中的器械。该结果有助于</w:t>
      </w:r>
      <w:bookmarkStart w:id="23" w:name="OLE_LINK43"/>
      <w:bookmarkStart w:id="24" w:name="OLE_LINK44"/>
      <w:r>
        <w:rPr>
          <w:rFonts w:ascii="Arial" w:hAnsi="Arial" w:eastAsia="宋体" w:cs="Arial"/>
        </w:rPr>
        <w:t>对变量进行解释</w:t>
      </w:r>
      <w:bookmarkEnd w:id="23"/>
      <w:bookmarkEnd w:id="24"/>
      <w:r>
        <w:rPr>
          <w:rFonts w:ascii="Arial" w:hAnsi="Arial" w:eastAsia="宋体" w:cs="Arial"/>
        </w:rPr>
        <w:t>，而临床医生可因拥有广泛经验和使用该器械方面的培训而自行对变量进行解释（如标准母系三重筛检检测－孕期第2个三月期甲胎蛋白、绒毛膜促性腺激素和雌三醇）。</w:t>
      </w:r>
    </w:p>
    <w:p w14:paraId="59444053">
      <w:pPr>
        <w:pStyle w:val="12"/>
        <w:snapToGrid w:val="0"/>
        <w:spacing w:line="300" w:lineRule="auto"/>
        <w:ind w:left="770" w:firstLine="0" w:firstLineChars="0"/>
        <w:rPr>
          <w:rFonts w:ascii="Arial" w:hAnsi="Arial" w:eastAsia="宋体" w:cs="Arial"/>
        </w:rPr>
      </w:pPr>
    </w:p>
    <w:p w14:paraId="3F4AEC28">
      <w:pPr>
        <w:pStyle w:val="12"/>
        <w:numPr>
          <w:ilvl w:val="0"/>
          <w:numId w:val="1"/>
        </w:numPr>
        <w:snapToGrid w:val="0"/>
        <w:spacing w:line="300" w:lineRule="auto"/>
        <w:ind w:left="770" w:hanging="364" w:firstLineChars="0"/>
        <w:rPr>
          <w:rFonts w:ascii="Arial" w:hAnsi="Arial" w:eastAsia="宋体" w:cs="Arial"/>
        </w:rPr>
      </w:pPr>
      <w:r>
        <w:rPr>
          <w:rFonts w:ascii="Arial" w:hAnsi="Arial" w:eastAsia="宋体" w:cs="Arial"/>
        </w:rPr>
        <w:t>基因型确定（如囊性纤维化跨膜转导调节因子基因型分型）－该类器械提供了</w:t>
      </w:r>
      <w:bookmarkStart w:id="25" w:name="OLE_LINK5"/>
      <w:bookmarkStart w:id="26" w:name="OLE_LINK6"/>
      <w:r>
        <w:rPr>
          <w:rFonts w:ascii="Arial" w:hAnsi="Arial" w:eastAsia="宋体" w:cs="Arial"/>
        </w:rPr>
        <w:t>与兴趣表型</w:t>
      </w:r>
      <w:bookmarkEnd w:id="25"/>
      <w:bookmarkEnd w:id="26"/>
      <w:r>
        <w:rPr>
          <w:rFonts w:ascii="Arial" w:hAnsi="Arial" w:eastAsia="宋体" w:cs="Arial"/>
        </w:rPr>
        <w:t>存在明确关联的基因型鉴定。该器械虽然测定了多个变量（位点、等位基因、突变）并得出了一个单一结果（基因型或预测表型），</w:t>
      </w:r>
      <w:bookmarkStart w:id="27" w:name="OLE_LINK10"/>
      <w:bookmarkStart w:id="28" w:name="OLE_LINK11"/>
      <w:r>
        <w:rPr>
          <w:rFonts w:ascii="Arial" w:hAnsi="Arial" w:eastAsia="宋体" w:cs="Arial"/>
        </w:rPr>
        <w:t>但未包含独特解释功能，而是相反，提供了临床医生可自行做出的对具体变量的标准解释。</w:t>
      </w:r>
    </w:p>
    <w:bookmarkEnd w:id="27"/>
    <w:bookmarkEnd w:id="28"/>
    <w:p w14:paraId="1DBACAF2">
      <w:pPr>
        <w:pStyle w:val="12"/>
        <w:snapToGrid w:val="0"/>
        <w:spacing w:line="300" w:lineRule="auto"/>
        <w:ind w:left="770" w:firstLine="0" w:firstLineChars="0"/>
        <w:rPr>
          <w:rFonts w:ascii="Arial" w:hAnsi="Arial" w:eastAsia="宋体" w:cs="Arial"/>
        </w:rPr>
      </w:pPr>
    </w:p>
    <w:p w14:paraId="12739A2B">
      <w:pPr>
        <w:pStyle w:val="12"/>
        <w:numPr>
          <w:ilvl w:val="0"/>
          <w:numId w:val="1"/>
        </w:numPr>
        <w:snapToGrid w:val="0"/>
        <w:spacing w:line="300" w:lineRule="auto"/>
        <w:ind w:left="770" w:hanging="364" w:firstLineChars="0"/>
        <w:rPr>
          <w:rFonts w:ascii="Arial" w:hAnsi="Arial" w:eastAsia="宋体" w:cs="Arial"/>
        </w:rPr>
      </w:pPr>
      <w:r>
        <w:rPr>
          <w:rFonts w:ascii="Arial" w:hAnsi="Arial" w:eastAsia="宋体" w:cs="Arial"/>
        </w:rPr>
        <w:t>染色体拷贝数确定－该类器械拟在患者的染色体DNA中确认异常或病态的数值变化（获得和丢失）。该器械虽然可测定多个变量，但未包含独特解释功能，相反，仅提供了临床医生可自行做出的对具体变量的标准解释。</w:t>
      </w:r>
    </w:p>
    <w:p w14:paraId="039B0E63">
      <w:pPr>
        <w:pStyle w:val="12"/>
        <w:snapToGrid w:val="0"/>
        <w:spacing w:line="300" w:lineRule="auto"/>
        <w:ind w:left="770" w:firstLine="0" w:firstLineChars="0"/>
        <w:rPr>
          <w:rFonts w:ascii="Arial" w:hAnsi="Arial" w:eastAsia="宋体" w:cs="Arial"/>
        </w:rPr>
      </w:pPr>
    </w:p>
    <w:p w14:paraId="2A2FB2AE">
      <w:pPr>
        <w:pStyle w:val="12"/>
        <w:numPr>
          <w:ilvl w:val="0"/>
          <w:numId w:val="1"/>
        </w:numPr>
        <w:snapToGrid w:val="0"/>
        <w:spacing w:line="300" w:lineRule="auto"/>
        <w:ind w:left="770" w:hanging="364" w:firstLineChars="0"/>
        <w:rPr>
          <w:rFonts w:ascii="Arial" w:hAnsi="Arial" w:eastAsia="宋体" w:cs="Arial"/>
        </w:rPr>
      </w:pPr>
      <w:r>
        <w:rPr>
          <w:rFonts w:ascii="Arial" w:hAnsi="Arial" w:eastAsia="宋体" w:cs="Arial"/>
        </w:rPr>
        <w:t>常见临床计算（如肌酸酐清除率、胆固醇比值确定、估计肾小球滤过率）－该器械虽然测定了多个变量并计算出一个单一结果，但未包含独特解释功能，而是相反，仅提供了临床医生可自行做出的对具体变量的标准解释。</w:t>
      </w:r>
    </w:p>
    <w:p w14:paraId="047B66E3">
      <w:pPr>
        <w:pStyle w:val="12"/>
        <w:snapToGrid w:val="0"/>
        <w:spacing w:line="300" w:lineRule="auto"/>
        <w:ind w:left="770" w:firstLine="0" w:firstLineChars="0"/>
        <w:rPr>
          <w:rFonts w:ascii="Arial" w:hAnsi="Arial" w:eastAsia="宋体" w:cs="Arial"/>
        </w:rPr>
      </w:pPr>
    </w:p>
    <w:p w14:paraId="322E192E">
      <w:pPr>
        <w:pStyle w:val="12"/>
        <w:numPr>
          <w:ilvl w:val="0"/>
          <w:numId w:val="1"/>
        </w:numPr>
        <w:snapToGrid w:val="0"/>
        <w:spacing w:line="300" w:lineRule="auto"/>
        <w:ind w:left="770" w:hanging="364" w:firstLineChars="0"/>
        <w:rPr>
          <w:rFonts w:ascii="Arial" w:hAnsi="Arial" w:eastAsia="宋体" w:cs="Arial"/>
        </w:rPr>
      </w:pPr>
      <w:r>
        <w:rPr>
          <w:rFonts w:ascii="Arial" w:hAnsi="Arial" w:eastAsia="宋体" w:cs="Arial"/>
        </w:rPr>
        <w:t>临床决策支持工具类器械－该类器械通过对储存临床信息的分析，根据具体临床参数（如超范围结果、潜在药物交互作用、补充检验机会等）标示患者结果、建立疾病记录、在完整报告中总结患者特异性信息和/或追踪患者的治疗情况或疾病结局。在这些软件平台上所做的分析并不代表独特解释功能，相反，仅总结了临床医生可自行做出的对具体变量的标准解释。</w:t>
      </w:r>
    </w:p>
    <w:p w14:paraId="0E295B3F">
      <w:pPr>
        <w:widowControl/>
        <w:jc w:val="left"/>
        <w:rPr>
          <w:rFonts w:ascii="Arial" w:hAnsi="Arial" w:eastAsia="宋体" w:cs="Arial"/>
          <w:b/>
          <w:color w:val="FF0000"/>
        </w:rPr>
      </w:pPr>
      <w:r>
        <w:rPr>
          <w:rFonts w:ascii="Arial" w:hAnsi="Arial" w:eastAsia="宋体" w:cs="Arial"/>
          <w:b/>
          <w:color w:val="FF0000"/>
        </w:rPr>
        <w:br w:type="page"/>
      </w:r>
    </w:p>
    <w:p w14:paraId="6568111D">
      <w:pPr>
        <w:pStyle w:val="12"/>
        <w:numPr>
          <w:ilvl w:val="0"/>
          <w:numId w:val="1"/>
        </w:numPr>
        <w:snapToGrid w:val="0"/>
        <w:spacing w:line="300" w:lineRule="auto"/>
        <w:ind w:left="770" w:hanging="364" w:firstLineChars="0"/>
        <w:rPr>
          <w:rFonts w:ascii="Arial" w:hAnsi="Arial" w:eastAsia="宋体" w:cs="Arial"/>
        </w:rPr>
      </w:pPr>
      <w:r>
        <w:rPr>
          <w:rFonts w:ascii="Arial" w:hAnsi="Arial" w:eastAsia="宋体" w:cs="Arial"/>
        </w:rPr>
        <w:t>常见、公开的人口统计1风险计算结果（如盖尔指数、弗明汉风险评分）－这些类型的计算结果通过经同行评议的出版物、操作指南等广泛散发，对临床共同体来说通常是可免费获得的。临床医生可在他们自己的临床知识和平时从临床共同体接受的信息所形成的背景下使用和解释该类计算结果。</w:t>
      </w:r>
    </w:p>
    <w:p w14:paraId="0721ED91">
      <w:pPr>
        <w:snapToGrid w:val="0"/>
        <w:spacing w:line="300" w:lineRule="auto"/>
        <w:rPr>
          <w:rFonts w:ascii="Arial" w:hAnsi="Arial" w:eastAsia="宋体" w:cs="Arial"/>
        </w:rPr>
      </w:pPr>
    </w:p>
    <w:p w14:paraId="10E95323">
      <w:pPr>
        <w:snapToGrid w:val="0"/>
        <w:spacing w:line="300" w:lineRule="auto"/>
        <w:rPr>
          <w:rFonts w:ascii="Arial" w:hAnsi="Arial" w:eastAsia="宋体" w:cs="Arial"/>
        </w:rPr>
      </w:pPr>
      <w:r>
        <w:rPr>
          <w:rFonts w:ascii="Arial" w:hAnsi="Arial" w:eastAsia="宋体" w:cs="Arial"/>
        </w:rPr>
        <w:t>我们给出上面实例的目的是提供一般性例证，帮助制造商理解这些特性。同时具备这些特性时表明可将该器械视为IVDMIA。这个清单并非详尽。上述器械如果发生变化，可进一步影响是否将器械视为IVDMIA。制造商应根据上述定义谨慎确定是否将一种多变量器械视为</w:t>
      </w:r>
      <w:r>
        <w:rPr>
          <w:rFonts w:ascii="Arial" w:hAnsi="Arial" w:eastAsia="宋体" w:cs="Arial"/>
          <w:kern w:val="0"/>
        </w:rPr>
        <w:t>IVDMIA。制造商如果不确定一种器械是否IVDMIA，可与</w:t>
      </w:r>
      <w:bookmarkStart w:id="29" w:name="OLE_LINK13"/>
      <w:r>
        <w:rPr>
          <w:rFonts w:ascii="Arial" w:hAnsi="Arial" w:eastAsia="宋体" w:cs="Arial"/>
          <w:kern w:val="0"/>
        </w:rPr>
        <w:t>体外诊断器械评价和安全办公室</w:t>
      </w:r>
      <w:bookmarkEnd w:id="29"/>
      <w:r>
        <w:rPr>
          <w:rFonts w:ascii="Arial" w:hAnsi="Arial" w:eastAsia="宋体" w:cs="Arial"/>
          <w:kern w:val="0"/>
        </w:rPr>
        <w:t>（OIVD）进行磋商。</w:t>
      </w:r>
    </w:p>
    <w:p w14:paraId="0CCAE25C">
      <w:pPr>
        <w:snapToGrid w:val="0"/>
        <w:spacing w:line="300" w:lineRule="auto"/>
        <w:rPr>
          <w:rFonts w:ascii="Arial" w:hAnsi="Arial" w:eastAsia="宋体" w:cs="Arial"/>
        </w:rPr>
      </w:pPr>
    </w:p>
    <w:p w14:paraId="09807012">
      <w:pPr>
        <w:snapToGrid w:val="0"/>
        <w:spacing w:line="300" w:lineRule="auto"/>
        <w:rPr>
          <w:rFonts w:ascii="Arial" w:hAnsi="Arial" w:eastAsia="宋体" w:cs="Arial"/>
          <w:b/>
        </w:rPr>
      </w:pPr>
      <w:r>
        <w:rPr>
          <w:rFonts w:ascii="Arial" w:hAnsi="Arial" w:eastAsia="宋体" w:cs="Arial"/>
          <w:b/>
        </w:rPr>
        <w:t>对IVDMIA的上市前和上市后要求</w:t>
      </w:r>
    </w:p>
    <w:p w14:paraId="3F71F7B4">
      <w:pPr>
        <w:snapToGrid w:val="0"/>
        <w:spacing w:line="300" w:lineRule="auto"/>
        <w:rPr>
          <w:rFonts w:ascii="Arial" w:hAnsi="Arial" w:eastAsia="宋体" w:cs="Arial"/>
        </w:rPr>
      </w:pPr>
    </w:p>
    <w:p w14:paraId="39E70C28">
      <w:pPr>
        <w:snapToGrid w:val="0"/>
        <w:spacing w:line="300" w:lineRule="auto"/>
        <w:rPr>
          <w:rFonts w:ascii="Arial" w:hAnsi="Arial" w:eastAsia="宋体" w:cs="Arial"/>
          <w:b/>
        </w:rPr>
      </w:pPr>
      <w:r>
        <w:rPr>
          <w:rFonts w:ascii="Arial" w:hAnsi="Arial" w:eastAsia="宋体" w:cs="Arial"/>
          <w:b/>
        </w:rPr>
        <w:t>IVDMIA法规</w:t>
      </w:r>
    </w:p>
    <w:p w14:paraId="13414C2A">
      <w:pPr>
        <w:snapToGrid w:val="0"/>
        <w:spacing w:line="300" w:lineRule="auto"/>
        <w:rPr>
          <w:rFonts w:ascii="Arial" w:hAnsi="Arial" w:eastAsia="宋体" w:cs="Arial"/>
        </w:rPr>
      </w:pPr>
    </w:p>
    <w:p w14:paraId="655CD11B">
      <w:pPr>
        <w:snapToGrid w:val="0"/>
        <w:spacing w:line="300" w:lineRule="auto"/>
        <w:rPr>
          <w:rFonts w:ascii="Arial" w:hAnsi="Arial" w:eastAsia="宋体" w:cs="Arial"/>
        </w:rPr>
      </w:pPr>
      <w:r>
        <w:rPr>
          <w:rFonts w:ascii="Arial" w:hAnsi="Arial" w:eastAsia="宋体" w:cs="Arial"/>
        </w:rPr>
        <w:t>与所有器械（包括所有体外诊断器械）一样，食品药品监督管理局将采用基于风险的方法处理IVDMIA法规（21 USC 360c（a）（1））。下面描述的是关于食品药品监督管理局监管器械上市前和上市后要求的一般信息。关于这些要求的更多信息见附件。</w:t>
      </w:r>
    </w:p>
    <w:p w14:paraId="0AA189A0">
      <w:pPr>
        <w:snapToGrid w:val="0"/>
        <w:spacing w:line="300" w:lineRule="auto"/>
        <w:rPr>
          <w:rFonts w:ascii="Arial" w:hAnsi="Arial" w:eastAsia="宋体" w:cs="Arial"/>
        </w:rPr>
      </w:pPr>
    </w:p>
    <w:p w14:paraId="3CA96E6C">
      <w:pPr>
        <w:snapToGrid w:val="0"/>
        <w:spacing w:line="300" w:lineRule="auto"/>
        <w:rPr>
          <w:rFonts w:ascii="Arial" w:hAnsi="Arial" w:eastAsia="宋体" w:cs="Arial"/>
          <w:b/>
        </w:rPr>
      </w:pPr>
      <w:r>
        <w:rPr>
          <w:rFonts w:ascii="Arial" w:hAnsi="Arial" w:eastAsia="宋体" w:cs="Arial"/>
          <w:b/>
        </w:rPr>
        <w:t>1. 510（k）上市前通告或上市前批准？</w:t>
      </w:r>
    </w:p>
    <w:p w14:paraId="7574DC04">
      <w:pPr>
        <w:snapToGrid w:val="0"/>
        <w:spacing w:line="300" w:lineRule="auto"/>
        <w:rPr>
          <w:rFonts w:ascii="Arial" w:hAnsi="Arial" w:eastAsia="宋体" w:cs="Arial"/>
        </w:rPr>
      </w:pPr>
    </w:p>
    <w:p w14:paraId="7A6623C5">
      <w:pPr>
        <w:snapToGrid w:val="0"/>
        <w:spacing w:line="300" w:lineRule="auto"/>
        <w:rPr>
          <w:rFonts w:ascii="Arial" w:hAnsi="Arial" w:eastAsia="宋体" w:cs="Arial"/>
        </w:rPr>
      </w:pPr>
      <w:r>
        <w:rPr>
          <w:rFonts w:ascii="Arial" w:hAnsi="Arial" w:eastAsia="宋体" w:cs="Arial"/>
        </w:rPr>
        <w:t>根据</w:t>
      </w:r>
      <w:bookmarkStart w:id="30" w:name="OLE_LINK45"/>
      <w:bookmarkStart w:id="31" w:name="OLE_LINK46"/>
      <w:r>
        <w:rPr>
          <w:rFonts w:ascii="Arial" w:hAnsi="Arial" w:eastAsia="宋体" w:cs="Arial"/>
        </w:rPr>
        <w:t>确保器械安全性和有效性所需的控制水平</w:t>
      </w:r>
      <w:bookmarkEnd w:id="30"/>
      <w:bookmarkEnd w:id="31"/>
      <w:r>
        <w:rPr>
          <w:rFonts w:ascii="Arial" w:hAnsi="Arial" w:eastAsia="宋体" w:cs="Arial"/>
        </w:rPr>
        <w:t>将医疗器械（包括IVDMIA）确定为3个监管类别之一。将这3个类别的名称定为I类（低风险）、II类（中风险）和III类（高风险）（21 USC § 360c）。IVDMIA的分类取决于其预期用途和确保器械安全性和有效性所需的控制水平。尽管某些技术（如基因表达谱分析）生成了可能结合在一起并用于IVDMIA的数据类型，但IVDMIA与所有器械一样是根据预期用途的风险水平而不是所涉技术的等级进行分类的。I类医疗器械通常享受上市前审查豁免待遇并依靠通用控制措施（如登记、列示和良好生产规范）确保低风险器械的安全性和有效性。II类医疗器械通常需食品药品监督管理局给予上市前通告申请（510（k））许可（21 U.S.C. § 360）。III类医疗器械需提交上市前批准（Premarket Approval，PMA）申请（21 U.S.C. § 360e）。[关于器械分类的补充信息见：</w:t>
      </w:r>
      <w:r>
        <w:rPr>
          <w:rFonts w:ascii="Arial" w:hAnsi="Arial" w:eastAsia="宋体" w:cs="Arial"/>
          <w:color w:val="0000FF"/>
          <w:u w:val="single"/>
        </w:rPr>
        <w:t>http://www.fda.gov/cdrh/devadvice/3132.html</w:t>
      </w:r>
      <w:r>
        <w:rPr>
          <w:rFonts w:ascii="Arial" w:hAnsi="Arial" w:eastAsia="宋体" w:cs="Arial"/>
        </w:rPr>
        <w:t>]</w:t>
      </w:r>
    </w:p>
    <w:p w14:paraId="50A95A2E">
      <w:pPr>
        <w:snapToGrid w:val="0"/>
        <w:spacing w:line="300" w:lineRule="auto"/>
        <w:rPr>
          <w:rFonts w:ascii="Arial" w:hAnsi="Arial" w:eastAsia="宋体" w:cs="Arial"/>
        </w:rPr>
      </w:pPr>
    </w:p>
    <w:p w14:paraId="56B44E3C">
      <w:pPr>
        <w:snapToGrid w:val="0"/>
        <w:spacing w:line="300" w:lineRule="auto"/>
        <w:rPr>
          <w:rFonts w:ascii="Arial" w:hAnsi="Arial" w:eastAsia="宋体" w:cs="Arial"/>
        </w:rPr>
      </w:pPr>
    </w:p>
    <w:p w14:paraId="3882D110">
      <w:pPr>
        <w:snapToGrid w:val="0"/>
        <w:spacing w:line="300" w:lineRule="auto"/>
        <w:rPr>
          <w:rFonts w:ascii="Arial" w:hAnsi="Arial" w:eastAsia="宋体" w:cs="Arial"/>
        </w:rPr>
      </w:pPr>
    </w:p>
    <w:p w14:paraId="3303D5A3">
      <w:pPr>
        <w:snapToGrid w:val="0"/>
        <w:spacing w:line="300" w:lineRule="auto"/>
        <w:rPr>
          <w:rFonts w:ascii="Arial" w:hAnsi="Arial" w:eastAsia="宋体" w:cs="Arial"/>
        </w:rPr>
      </w:pPr>
    </w:p>
    <w:p w14:paraId="540569CA">
      <w:pPr>
        <w:snapToGrid w:val="0"/>
        <w:spacing w:line="300" w:lineRule="auto"/>
        <w:rPr>
          <w:rFonts w:ascii="Arial" w:hAnsi="Arial" w:eastAsia="宋体" w:cs="Arial"/>
        </w:rPr>
      </w:pPr>
    </w:p>
    <w:p w14:paraId="099BF95C">
      <w:pPr>
        <w:snapToGrid w:val="0"/>
        <w:spacing w:line="300" w:lineRule="auto"/>
        <w:rPr>
          <w:rFonts w:ascii="Arial" w:hAnsi="Arial" w:eastAsia="宋体" w:cs="Arial"/>
        </w:rPr>
      </w:pPr>
    </w:p>
    <w:p w14:paraId="597D17C1">
      <w:pPr>
        <w:snapToGrid w:val="0"/>
        <w:spacing w:line="300" w:lineRule="auto"/>
        <w:rPr>
          <w:rFonts w:ascii="Arial" w:hAnsi="Arial" w:eastAsia="宋体" w:cs="Arial"/>
        </w:rPr>
      </w:pPr>
    </w:p>
    <w:p w14:paraId="077282E6">
      <w:pPr>
        <w:snapToGrid w:val="0"/>
        <w:spacing w:line="300" w:lineRule="auto"/>
        <w:rPr>
          <w:rFonts w:ascii="Arial" w:hAnsi="Arial" w:eastAsia="宋体" w:cs="Arial"/>
        </w:rPr>
      </w:pPr>
    </w:p>
    <w:p w14:paraId="20432F9C">
      <w:pPr>
        <w:snapToGrid w:val="0"/>
        <w:spacing w:line="300" w:lineRule="auto"/>
        <w:rPr>
          <w:rFonts w:ascii="Arial" w:hAnsi="Arial" w:eastAsia="宋体" w:cs="Arial"/>
        </w:rPr>
      </w:pPr>
      <w:r>
        <w:rPr>
          <w:rFonts w:ascii="Arial" w:hAnsi="Arial" w:eastAsia="宋体" w:cs="Arial"/>
        </w:rPr>
        <w:t>_____________________________</w:t>
      </w:r>
    </w:p>
    <w:p w14:paraId="1C8D9A8D">
      <w:pPr>
        <w:snapToGrid w:val="0"/>
        <w:spacing w:line="300" w:lineRule="auto"/>
        <w:rPr>
          <w:rFonts w:ascii="Arial" w:hAnsi="Arial" w:eastAsia="宋体" w:cs="Arial"/>
          <w:sz w:val="18"/>
          <w:szCs w:val="18"/>
        </w:rPr>
      </w:pPr>
      <w:r>
        <w:rPr>
          <w:rFonts w:ascii="Arial" w:hAnsi="Arial" w:eastAsia="宋体" w:cs="Arial"/>
          <w:sz w:val="18"/>
          <w:szCs w:val="18"/>
          <w:vertAlign w:val="superscript"/>
        </w:rPr>
        <w:t>1</w:t>
      </w:r>
      <w:r>
        <w:rPr>
          <w:rFonts w:ascii="Arial" w:hAnsi="Arial" w:eastAsia="宋体" w:cs="Arial"/>
          <w:sz w:val="18"/>
          <w:szCs w:val="18"/>
        </w:rPr>
        <w:t>此处的人口统计是指只有临床变量（如年龄、种族、家族史）才用作输入信息，不包括被测物体外测定所得信息。</w:t>
      </w:r>
    </w:p>
    <w:p w14:paraId="2A27D5FC">
      <w:pPr>
        <w:snapToGrid w:val="0"/>
        <w:spacing w:line="300" w:lineRule="auto"/>
        <w:rPr>
          <w:rFonts w:ascii="Arial" w:hAnsi="Arial" w:eastAsia="宋体" w:cs="Arial"/>
        </w:rPr>
      </w:pPr>
      <w:r>
        <w:rPr>
          <w:rFonts w:ascii="Arial" w:hAnsi="Arial" w:eastAsia="宋体" w:cs="Arial"/>
        </w:rPr>
        <w:t>我们认为，尽管用于低风险适用指征的IVDMIA可以是I类器械，但大多数IVDMIA是II类或III类器械。例如，拟用于癌症患者复发风险指征的器械可能是II类器械（根据21 CFR 866.6040的规定予以分类的器械，用于乳腺癌预后预测的基因表达谱分析产品），而拟用于预测哪些患者应接受化疗的同一器械可能需要上市前批准。关于如何对拥有新预期用途的器械进行分类和监管的更多信息见附录。</w:t>
      </w:r>
    </w:p>
    <w:p w14:paraId="4886F203">
      <w:pPr>
        <w:snapToGrid w:val="0"/>
        <w:spacing w:line="300" w:lineRule="auto"/>
        <w:rPr>
          <w:rFonts w:ascii="Arial" w:hAnsi="Arial" w:eastAsia="宋体" w:cs="Arial"/>
        </w:rPr>
      </w:pPr>
    </w:p>
    <w:p w14:paraId="7B86C272">
      <w:pPr>
        <w:snapToGrid w:val="0"/>
        <w:spacing w:line="300" w:lineRule="auto"/>
        <w:rPr>
          <w:rFonts w:ascii="Arial" w:hAnsi="Arial" w:eastAsia="宋体" w:cs="Arial"/>
        </w:rPr>
      </w:pPr>
      <w:r>
        <w:rPr>
          <w:rFonts w:ascii="Arial" w:hAnsi="Arial" w:eastAsia="宋体" w:cs="Arial"/>
        </w:rPr>
        <w:t>食品药品监督管理局认为，作为上市前审查流程的组成部分，做出任何安全性和有效性判定时均应包含对整个系统性能（包括输入变量的准确测定、使用说明和分析或临床预期性能）的审查而非仅对检验产品的某些亚成分进行审查。这样做的原因是，为了获得有意义的结果必然要使用整个系统（如患者的人口统计信息、附属临床信息、标本获得、准备、被测物测定、分析和报告）。</w:t>
      </w:r>
      <w:bookmarkStart w:id="32" w:name="OLE_LINK76"/>
      <w:r>
        <w:rPr>
          <w:rFonts w:ascii="Arial" w:hAnsi="Arial" w:eastAsia="宋体" w:cs="Arial"/>
        </w:rPr>
        <w:t>整体看</w:t>
      </w:r>
      <w:bookmarkEnd w:id="32"/>
      <w:r>
        <w:rPr>
          <w:rFonts w:ascii="Arial" w:hAnsi="Arial" w:eastAsia="宋体" w:cs="Arial"/>
        </w:rPr>
        <w:t>来，IVDMIA法规与其它器械（包括临床化学检验系统（</w:t>
      </w:r>
      <w:bookmarkStart w:id="33" w:name="OLE_LINK75"/>
      <w:bookmarkStart w:id="34" w:name="OLE_LINK77"/>
      <w:r>
        <w:rPr>
          <w:rFonts w:ascii="Arial" w:hAnsi="Arial" w:eastAsia="宋体" w:cs="Arial"/>
        </w:rPr>
        <w:t>21 CFR第862部B亚部</w:t>
      </w:r>
      <w:bookmarkEnd w:id="33"/>
      <w:bookmarkEnd w:id="34"/>
      <w:r>
        <w:rPr>
          <w:rFonts w:ascii="Arial" w:hAnsi="Arial" w:eastAsia="宋体" w:cs="Arial"/>
        </w:rPr>
        <w:t>）和临床毒理学检验系统（21 CFR第862部D亚部））的法规和分类是一致的。用于献血者艾滋病病毒（HIV）和丙肝病毒（HCV）筛检的药事未核准检验产品尽管不是IVDMIA，但为了按公共卫生服务法案第351节</w:t>
      </w:r>
      <w:r>
        <w:rPr>
          <w:rFonts w:ascii="Arial" w:hAnsi="Arial" w:eastAsia="宋体" w:cs="Arial"/>
          <w:vertAlign w:val="superscript"/>
        </w:rPr>
        <w:t>2</w:t>
      </w:r>
      <w:r>
        <w:rPr>
          <w:rFonts w:ascii="Arial" w:hAnsi="Arial" w:eastAsia="宋体" w:cs="Arial"/>
        </w:rPr>
        <w:t>的要求确保血制品的安全，食品药品监督管理局将其作为整体器械实施监管。</w:t>
      </w:r>
    </w:p>
    <w:p w14:paraId="0BC5F1D1">
      <w:pPr>
        <w:snapToGrid w:val="0"/>
        <w:spacing w:line="300" w:lineRule="auto"/>
        <w:rPr>
          <w:rFonts w:ascii="Arial" w:hAnsi="Arial" w:eastAsia="宋体" w:cs="Arial"/>
        </w:rPr>
      </w:pPr>
    </w:p>
    <w:p w14:paraId="6B6D78EE">
      <w:pPr>
        <w:snapToGrid w:val="0"/>
        <w:spacing w:line="300" w:lineRule="auto"/>
        <w:rPr>
          <w:rFonts w:ascii="Arial" w:hAnsi="Arial" w:eastAsia="宋体" w:cs="Arial"/>
        </w:rPr>
      </w:pPr>
      <w:r>
        <w:rPr>
          <w:rFonts w:ascii="Arial" w:hAnsi="Arial" w:eastAsia="宋体" w:cs="Arial"/>
        </w:rPr>
        <w:t>上市前申请中支持IVDMIA预期用途和适用指征的分析与临床性能数据</w:t>
      </w:r>
      <w:bookmarkStart w:id="35" w:name="OLE_LINK79"/>
      <w:r>
        <w:rPr>
          <w:rFonts w:ascii="Arial" w:hAnsi="Arial" w:eastAsia="宋体" w:cs="Arial"/>
        </w:rPr>
        <w:t>应通过研究予以获取</w:t>
      </w:r>
      <w:bookmarkEnd w:id="35"/>
      <w:r>
        <w:rPr>
          <w:rFonts w:ascii="Arial" w:hAnsi="Arial" w:eastAsia="宋体" w:cs="Arial"/>
        </w:rPr>
        <w:t>。在研究中应包含预期用途人群。应根据器械的预期用途开展研究。如果临床研究数据对支持预期用途是必要的，理想的做法是开展之前经过认真设计的前瞻性研究。然而，如果申办方能证实备选方法可对安全性和有效性提供足够保证，我们会考虑采用备选方法对IVDMIA用于特殊预期用途的性能进行评价。例如，如果研究设计和样本构成体现了器械在预期人群中的预期用途，有时可能会采用存档标本和/或回顾性数据支持许可或批准。如果使用回顾性数据，应避免样本出现选择偏差。如果设计采用存档标本进行研究，这些标本应是正确采集和储存的标本。</w:t>
      </w:r>
    </w:p>
    <w:p w14:paraId="182FD0EF">
      <w:pPr>
        <w:snapToGrid w:val="0"/>
        <w:spacing w:line="300" w:lineRule="auto"/>
        <w:rPr>
          <w:rFonts w:ascii="Arial" w:hAnsi="Arial" w:eastAsia="宋体" w:cs="Arial"/>
        </w:rPr>
      </w:pPr>
    </w:p>
    <w:p w14:paraId="3A3F9D27">
      <w:pPr>
        <w:snapToGrid w:val="0"/>
        <w:spacing w:line="300" w:lineRule="auto"/>
        <w:rPr>
          <w:rFonts w:ascii="Arial" w:hAnsi="Arial" w:eastAsia="宋体" w:cs="Arial"/>
          <w:b/>
        </w:rPr>
      </w:pPr>
      <w:r>
        <w:rPr>
          <w:rFonts w:ascii="Arial" w:hAnsi="Arial" w:eastAsia="宋体" w:cs="Arial"/>
          <w:b/>
        </w:rPr>
        <w:t>2. IVDMIA的研究用途</w:t>
      </w:r>
    </w:p>
    <w:p w14:paraId="6FB23773">
      <w:pPr>
        <w:snapToGrid w:val="0"/>
        <w:spacing w:line="300" w:lineRule="auto"/>
        <w:rPr>
          <w:rFonts w:ascii="Arial" w:hAnsi="Arial" w:eastAsia="宋体" w:cs="Arial"/>
        </w:rPr>
      </w:pPr>
    </w:p>
    <w:p w14:paraId="0A56E8F8">
      <w:pPr>
        <w:snapToGrid w:val="0"/>
        <w:spacing w:line="300" w:lineRule="auto"/>
        <w:rPr>
          <w:rFonts w:ascii="Arial" w:hAnsi="Arial" w:eastAsia="宋体" w:cs="Arial"/>
        </w:rPr>
      </w:pPr>
    </w:p>
    <w:p w14:paraId="35FB2842">
      <w:pPr>
        <w:snapToGrid w:val="0"/>
        <w:spacing w:line="300" w:lineRule="auto"/>
        <w:rPr>
          <w:rFonts w:ascii="Arial" w:hAnsi="Arial" w:eastAsia="宋体" w:cs="Arial"/>
        </w:rPr>
      </w:pPr>
    </w:p>
    <w:p w14:paraId="4DBB2B25">
      <w:pPr>
        <w:snapToGrid w:val="0"/>
        <w:spacing w:line="300" w:lineRule="auto"/>
        <w:rPr>
          <w:rFonts w:ascii="Arial" w:hAnsi="Arial" w:eastAsia="宋体" w:cs="Arial"/>
        </w:rPr>
      </w:pPr>
    </w:p>
    <w:p w14:paraId="6F7D03E8">
      <w:pPr>
        <w:snapToGrid w:val="0"/>
        <w:spacing w:line="300" w:lineRule="auto"/>
        <w:rPr>
          <w:rFonts w:ascii="Arial" w:hAnsi="Arial" w:eastAsia="宋体" w:cs="Arial"/>
        </w:rPr>
      </w:pPr>
    </w:p>
    <w:p w14:paraId="5492FECF">
      <w:pPr>
        <w:snapToGrid w:val="0"/>
        <w:spacing w:line="300" w:lineRule="auto"/>
        <w:rPr>
          <w:rFonts w:ascii="Arial" w:hAnsi="Arial" w:eastAsia="宋体" w:cs="Arial"/>
        </w:rPr>
      </w:pPr>
    </w:p>
    <w:p w14:paraId="1088AB3F">
      <w:pPr>
        <w:snapToGrid w:val="0"/>
        <w:spacing w:line="300" w:lineRule="auto"/>
        <w:rPr>
          <w:rFonts w:ascii="Arial" w:hAnsi="Arial" w:eastAsia="宋体" w:cs="Arial"/>
        </w:rPr>
      </w:pPr>
    </w:p>
    <w:p w14:paraId="56C3ADCF">
      <w:pPr>
        <w:snapToGrid w:val="0"/>
        <w:spacing w:line="300" w:lineRule="auto"/>
        <w:rPr>
          <w:rFonts w:ascii="Arial" w:hAnsi="Arial" w:eastAsia="宋体" w:cs="Arial"/>
        </w:rPr>
      </w:pPr>
    </w:p>
    <w:p w14:paraId="15C71EA8">
      <w:pPr>
        <w:snapToGrid w:val="0"/>
        <w:spacing w:line="300" w:lineRule="auto"/>
        <w:rPr>
          <w:rFonts w:ascii="Arial" w:hAnsi="Arial" w:eastAsia="宋体" w:cs="Arial"/>
        </w:rPr>
      </w:pPr>
    </w:p>
    <w:p w14:paraId="2E5EA928">
      <w:pPr>
        <w:snapToGrid w:val="0"/>
        <w:spacing w:line="300" w:lineRule="auto"/>
        <w:rPr>
          <w:rFonts w:ascii="Arial" w:hAnsi="Arial" w:eastAsia="宋体" w:cs="Arial"/>
        </w:rPr>
      </w:pPr>
    </w:p>
    <w:p w14:paraId="3937F08D">
      <w:pPr>
        <w:snapToGrid w:val="0"/>
        <w:spacing w:line="300" w:lineRule="auto"/>
        <w:rPr>
          <w:rFonts w:ascii="Arial" w:hAnsi="Arial" w:eastAsia="宋体" w:cs="Arial"/>
        </w:rPr>
      </w:pPr>
    </w:p>
    <w:p w14:paraId="0AD2E452">
      <w:pPr>
        <w:snapToGrid w:val="0"/>
        <w:spacing w:line="300" w:lineRule="auto"/>
        <w:rPr>
          <w:rFonts w:ascii="Arial" w:hAnsi="Arial" w:eastAsia="宋体" w:cs="Arial"/>
        </w:rPr>
      </w:pPr>
    </w:p>
    <w:p w14:paraId="40FB69FD">
      <w:pPr>
        <w:snapToGrid w:val="0"/>
        <w:spacing w:line="300" w:lineRule="auto"/>
        <w:rPr>
          <w:rFonts w:ascii="Arial" w:hAnsi="Arial" w:eastAsia="宋体" w:cs="Arial"/>
        </w:rPr>
      </w:pPr>
    </w:p>
    <w:p w14:paraId="2E0D4782">
      <w:pPr>
        <w:snapToGrid w:val="0"/>
        <w:spacing w:line="300" w:lineRule="auto"/>
        <w:rPr>
          <w:rFonts w:ascii="Arial" w:hAnsi="Arial" w:eastAsia="宋体" w:cs="Arial"/>
        </w:rPr>
      </w:pPr>
      <w:r>
        <w:rPr>
          <w:rFonts w:ascii="Arial" w:hAnsi="Arial" w:eastAsia="宋体" w:cs="Arial"/>
        </w:rPr>
        <w:t>_______________________</w:t>
      </w:r>
    </w:p>
    <w:p w14:paraId="7B45C757">
      <w:pPr>
        <w:snapToGrid w:val="0"/>
        <w:spacing w:line="300" w:lineRule="auto"/>
        <w:rPr>
          <w:rFonts w:ascii="Arial" w:hAnsi="Arial" w:eastAsia="宋体" w:cs="Arial"/>
          <w:sz w:val="18"/>
          <w:szCs w:val="18"/>
        </w:rPr>
      </w:pPr>
      <w:r>
        <w:rPr>
          <w:rFonts w:ascii="Arial" w:hAnsi="Arial" w:eastAsia="宋体" w:cs="Arial"/>
          <w:sz w:val="18"/>
          <w:szCs w:val="18"/>
          <w:vertAlign w:val="superscript"/>
        </w:rPr>
        <w:t>2</w:t>
      </w:r>
      <w:r>
        <w:rPr>
          <w:rFonts w:ascii="Arial" w:hAnsi="Arial" w:eastAsia="宋体" w:cs="Arial"/>
          <w:sz w:val="18"/>
          <w:szCs w:val="18"/>
        </w:rPr>
        <w:t>关于此类检验产品批准的信息，请与生物制剂评价研究中心新现疾病和输血传播疾病部联系。</w:t>
      </w:r>
    </w:p>
    <w:p w14:paraId="3CD6CEDD">
      <w:pPr>
        <w:widowControl/>
        <w:jc w:val="left"/>
        <w:rPr>
          <w:rFonts w:ascii="Arial" w:hAnsi="Arial" w:eastAsia="宋体" w:cs="Arial"/>
        </w:rPr>
      </w:pPr>
      <w:r>
        <w:rPr>
          <w:rFonts w:ascii="Arial" w:hAnsi="Arial" w:eastAsia="宋体" w:cs="Arial"/>
        </w:rPr>
        <w:br w:type="page"/>
      </w:r>
    </w:p>
    <w:p w14:paraId="249AAC3A">
      <w:pPr>
        <w:snapToGrid w:val="0"/>
        <w:spacing w:line="300" w:lineRule="auto"/>
        <w:rPr>
          <w:rFonts w:ascii="Arial" w:hAnsi="Arial" w:eastAsia="宋体" w:cs="Arial"/>
        </w:rPr>
      </w:pPr>
      <w:r>
        <w:rPr>
          <w:rFonts w:ascii="Arial" w:hAnsi="Arial" w:eastAsia="宋体" w:cs="Arial"/>
        </w:rPr>
        <w:t>为支持IVDMIA上市前申请而采用人体标本</w:t>
      </w:r>
      <w:r>
        <w:rPr>
          <w:rFonts w:ascii="Arial" w:hAnsi="Arial" w:eastAsia="宋体" w:cs="Arial"/>
          <w:vertAlign w:val="superscript"/>
        </w:rPr>
        <w:t>3</w:t>
      </w:r>
      <w:r>
        <w:rPr>
          <w:rFonts w:ascii="Arial" w:hAnsi="Arial" w:eastAsia="宋体" w:cs="Arial"/>
        </w:rPr>
        <w:t>进行的临床研究受21 CFR第50部人类受试者研究要求的支配。在该研究阶段，要对产品的安全性和有效性进行研究，即在预期患者人群中确定产品的临床性能特征和期望值。在这些产品上必须标注“仅供研究之用。该产品的性能特征尚未得到确定。”（21 CFR 809.10（c）（2）（ii））尽管许多体外诊断研究（如使用设盲数据或回顾性数据的研究）享受某些</w:t>
      </w:r>
      <w:bookmarkStart w:id="36" w:name="OLE_LINK15"/>
      <w:bookmarkStart w:id="37" w:name="OLE_LINK14"/>
      <w:r>
        <w:rPr>
          <w:rFonts w:ascii="Arial" w:hAnsi="Arial" w:eastAsia="宋体" w:cs="Arial"/>
        </w:rPr>
        <w:t>研究性器械豁免</w:t>
      </w:r>
      <w:bookmarkEnd w:id="36"/>
      <w:bookmarkEnd w:id="37"/>
      <w:r>
        <w:rPr>
          <w:rFonts w:ascii="Arial" w:hAnsi="Arial" w:eastAsia="宋体" w:cs="Arial"/>
        </w:rPr>
        <w:t>（investigational device exemption，IDE）要求豁免待遇（包括食品药品监督管理局批准前），但根据所做研究的性质，申办方可能需要一份经过批准的研究性器械豁免（21 CFR第812部）。</w:t>
      </w:r>
    </w:p>
    <w:p w14:paraId="2FF04DDB">
      <w:pPr>
        <w:snapToGrid w:val="0"/>
        <w:spacing w:line="300" w:lineRule="auto"/>
        <w:rPr>
          <w:rFonts w:ascii="Arial" w:hAnsi="Arial" w:eastAsia="宋体" w:cs="Arial"/>
        </w:rPr>
      </w:pPr>
    </w:p>
    <w:p w14:paraId="5F8885EC">
      <w:pPr>
        <w:snapToGrid w:val="0"/>
        <w:spacing w:line="300" w:lineRule="auto"/>
        <w:rPr>
          <w:rFonts w:ascii="Arial" w:hAnsi="Arial" w:eastAsia="宋体" w:cs="Arial"/>
        </w:rPr>
      </w:pPr>
      <w:r>
        <w:rPr>
          <w:rFonts w:ascii="Arial" w:hAnsi="Arial" w:eastAsia="宋体" w:cs="Arial"/>
        </w:rPr>
        <w:t>食品药品监督管理局建议申办方在这些诊断方法的开发过程中及早且经常与本局交流意见并适当利用科学、医学和统计学专长确保在提交给食品药品监督管理局的提交资料中对安全性和有效性的临界值做出妥善处理。体外诊断器械评价和安全办公室建议采用研究性器械豁免前流程（方案审查）帮助完成监管流程。</w:t>
      </w:r>
    </w:p>
    <w:p w14:paraId="3FE48B71">
      <w:pPr>
        <w:snapToGrid w:val="0"/>
        <w:spacing w:line="300" w:lineRule="auto"/>
        <w:rPr>
          <w:rFonts w:ascii="Arial" w:hAnsi="Arial" w:eastAsia="宋体" w:cs="Arial"/>
        </w:rPr>
      </w:pPr>
    </w:p>
    <w:p w14:paraId="49AE33B0">
      <w:pPr>
        <w:snapToGrid w:val="0"/>
        <w:spacing w:line="300" w:lineRule="auto"/>
        <w:rPr>
          <w:rFonts w:ascii="Arial" w:hAnsi="Arial" w:eastAsia="宋体" w:cs="Arial"/>
          <w:b/>
        </w:rPr>
      </w:pPr>
      <w:r>
        <w:rPr>
          <w:rFonts w:ascii="Arial" w:hAnsi="Arial" w:eastAsia="宋体" w:cs="Arial"/>
          <w:b/>
        </w:rPr>
        <w:t>3. 上市后要求</w:t>
      </w:r>
    </w:p>
    <w:p w14:paraId="3A8F508B">
      <w:pPr>
        <w:snapToGrid w:val="0"/>
        <w:spacing w:line="300" w:lineRule="auto"/>
        <w:rPr>
          <w:rFonts w:ascii="Arial" w:hAnsi="Arial" w:eastAsia="宋体" w:cs="Arial"/>
        </w:rPr>
      </w:pPr>
    </w:p>
    <w:p w14:paraId="3013A41F">
      <w:pPr>
        <w:snapToGrid w:val="0"/>
        <w:spacing w:line="300" w:lineRule="auto"/>
        <w:rPr>
          <w:rFonts w:ascii="Arial" w:hAnsi="Arial" w:eastAsia="宋体" w:cs="Arial"/>
        </w:rPr>
      </w:pPr>
      <w:r>
        <w:rPr>
          <w:rFonts w:ascii="Arial" w:hAnsi="Arial" w:eastAsia="宋体" w:cs="Arial"/>
        </w:rPr>
        <w:t>像大多数器械一样，IVDMIA受21 CFR第820部描述的质量体系法规（QS法规）的支配。食品药品监督管理局认识到，1988年</w:t>
      </w:r>
      <w:bookmarkStart w:id="38" w:name="OLE_LINK96"/>
      <w:bookmarkStart w:id="39" w:name="OLE_LINK95"/>
      <w:r>
        <w:rPr>
          <w:rFonts w:ascii="Arial" w:hAnsi="Arial" w:eastAsia="宋体" w:cs="Arial"/>
        </w:rPr>
        <w:t>临床实验室改进法案</w:t>
      </w:r>
      <w:bookmarkEnd w:id="38"/>
      <w:bookmarkEnd w:id="39"/>
      <w:r>
        <w:rPr>
          <w:rFonts w:ascii="Arial" w:hAnsi="Arial" w:eastAsia="宋体" w:cs="Arial"/>
        </w:rPr>
        <w:t>（CLIA）的某些要求可能部分满足质量体系法规的相应要求。食品药品监督管理局计划发布指南帮助生产IVDMIA的实验室遵从质量体系法规。在此类最终指南公布前，食品药品监督管理局计划在质量体系要求的上市后执行方面对此类实验室行使执法自由裁量权。关于III类器械上市前批准申请的质量体系部分，见附件的上市前批准部分。</w:t>
      </w:r>
    </w:p>
    <w:p w14:paraId="30D9D097">
      <w:pPr>
        <w:snapToGrid w:val="0"/>
        <w:spacing w:line="300" w:lineRule="auto"/>
        <w:rPr>
          <w:rFonts w:ascii="Arial" w:hAnsi="Arial" w:eastAsia="宋体" w:cs="Arial"/>
        </w:rPr>
      </w:pPr>
    </w:p>
    <w:p w14:paraId="1EDF7FD0">
      <w:pPr>
        <w:snapToGrid w:val="0"/>
        <w:spacing w:line="300" w:lineRule="auto"/>
        <w:rPr>
          <w:rFonts w:ascii="Arial" w:hAnsi="Arial" w:eastAsia="宋体" w:cs="Arial"/>
        </w:rPr>
      </w:pPr>
      <w:r>
        <w:rPr>
          <w:rFonts w:ascii="Arial" w:hAnsi="Arial" w:eastAsia="宋体" w:cs="Arial"/>
        </w:rPr>
        <w:t>IVDMIA制造商还必须遵从</w:t>
      </w:r>
      <w:bookmarkStart w:id="40" w:name="OLE_LINK37"/>
      <w:bookmarkStart w:id="41" w:name="OLE_LINK36"/>
      <w:r>
        <w:rPr>
          <w:rFonts w:ascii="Arial" w:hAnsi="Arial" w:eastAsia="宋体" w:cs="Arial"/>
        </w:rPr>
        <w:t>医疗器械报告</w:t>
      </w:r>
      <w:bookmarkEnd w:id="40"/>
      <w:bookmarkEnd w:id="41"/>
      <w:r>
        <w:rPr>
          <w:rFonts w:ascii="Arial" w:hAnsi="Arial" w:eastAsia="宋体" w:cs="Arial"/>
        </w:rPr>
        <w:t>（MDR）法规的要求（21 CFR第803部）。实验室作为器械用户设施在其生产能力方面目前受医疗器械报告法规某些条款的支配（21 CFR 803.3）。这些条款要求用户设施向食品药品监督管理局和器械制造商报告可合理提示某器械已导致或促成某患者死亡的信息（21 CFR 830.30（a）（1））。用户设施还必须向器械制造商报告可合理提示某器械可能已促成某种严重损伤的信息。如果不知道制造商是谁，则向食品药品监督管理局报告（21 CFR 803.30（a）（2））。制造商还有一些补充报告要求，包括将严重损伤和器械故障报告提交给食品药品监督管理局（21 CFR 830.50（a））。生产IVDMIA的实验室应遵从适用于制造商及其IVDMIA器械的医疗器械报告要求。</w:t>
      </w:r>
    </w:p>
    <w:p w14:paraId="59AFF2EC">
      <w:pPr>
        <w:snapToGrid w:val="0"/>
        <w:spacing w:line="300" w:lineRule="auto"/>
        <w:rPr>
          <w:rFonts w:ascii="Arial" w:hAnsi="Arial" w:eastAsia="宋体" w:cs="Arial"/>
        </w:rPr>
      </w:pPr>
    </w:p>
    <w:p w14:paraId="2D85862B">
      <w:pPr>
        <w:snapToGrid w:val="0"/>
        <w:spacing w:line="300" w:lineRule="auto"/>
        <w:rPr>
          <w:rFonts w:ascii="Arial" w:hAnsi="Arial" w:eastAsia="宋体" w:cs="Arial"/>
        </w:rPr>
      </w:pPr>
    </w:p>
    <w:p w14:paraId="29F750CA">
      <w:pPr>
        <w:snapToGrid w:val="0"/>
        <w:spacing w:line="300" w:lineRule="auto"/>
        <w:rPr>
          <w:rFonts w:ascii="Arial" w:hAnsi="Arial" w:eastAsia="宋体" w:cs="Arial"/>
        </w:rPr>
      </w:pPr>
    </w:p>
    <w:p w14:paraId="43848AB6">
      <w:pPr>
        <w:snapToGrid w:val="0"/>
        <w:spacing w:line="300" w:lineRule="auto"/>
        <w:rPr>
          <w:rFonts w:ascii="Arial" w:hAnsi="Arial" w:eastAsia="宋体" w:cs="Arial"/>
        </w:rPr>
      </w:pPr>
    </w:p>
    <w:p w14:paraId="69F92721">
      <w:pPr>
        <w:snapToGrid w:val="0"/>
        <w:spacing w:line="300" w:lineRule="auto"/>
        <w:rPr>
          <w:rFonts w:ascii="Arial" w:hAnsi="Arial" w:eastAsia="宋体" w:cs="Arial"/>
        </w:rPr>
      </w:pPr>
    </w:p>
    <w:p w14:paraId="0DAD7962">
      <w:pPr>
        <w:snapToGrid w:val="0"/>
        <w:spacing w:line="300" w:lineRule="auto"/>
        <w:rPr>
          <w:rFonts w:ascii="Arial" w:hAnsi="Arial" w:eastAsia="宋体" w:cs="Arial"/>
        </w:rPr>
      </w:pPr>
    </w:p>
    <w:p w14:paraId="0400AC06">
      <w:pPr>
        <w:snapToGrid w:val="0"/>
        <w:spacing w:line="300" w:lineRule="auto"/>
        <w:rPr>
          <w:rFonts w:ascii="Arial" w:hAnsi="Arial" w:eastAsia="宋体" w:cs="Arial"/>
        </w:rPr>
      </w:pPr>
    </w:p>
    <w:p w14:paraId="066043B5">
      <w:pPr>
        <w:snapToGrid w:val="0"/>
        <w:spacing w:line="300" w:lineRule="auto"/>
        <w:rPr>
          <w:rFonts w:ascii="Arial" w:hAnsi="Arial" w:eastAsia="宋体" w:cs="Arial"/>
        </w:rPr>
      </w:pPr>
    </w:p>
    <w:p w14:paraId="729D5675">
      <w:pPr>
        <w:snapToGrid w:val="0"/>
        <w:spacing w:line="300" w:lineRule="auto"/>
        <w:rPr>
          <w:rFonts w:ascii="Arial" w:hAnsi="Arial" w:eastAsia="宋体" w:cs="Arial"/>
        </w:rPr>
      </w:pPr>
      <w:r>
        <w:rPr>
          <w:rFonts w:ascii="Arial" w:hAnsi="Arial" w:eastAsia="宋体" w:cs="Arial"/>
        </w:rPr>
        <w:t>_____________________</w:t>
      </w:r>
    </w:p>
    <w:p w14:paraId="6A9C143B">
      <w:pPr>
        <w:snapToGrid w:val="0"/>
        <w:spacing w:line="300" w:lineRule="auto"/>
        <w:rPr>
          <w:rFonts w:ascii="Arial" w:hAnsi="Arial" w:eastAsia="宋体" w:cs="Arial"/>
          <w:sz w:val="18"/>
          <w:szCs w:val="18"/>
        </w:rPr>
      </w:pPr>
      <w:r>
        <w:rPr>
          <w:rFonts w:ascii="Arial" w:hAnsi="Arial" w:eastAsia="宋体" w:cs="Arial"/>
          <w:sz w:val="18"/>
          <w:szCs w:val="18"/>
          <w:vertAlign w:val="superscript"/>
        </w:rPr>
        <w:t>3</w:t>
      </w:r>
      <w:r>
        <w:rPr>
          <w:rFonts w:ascii="Arial" w:hAnsi="Arial" w:eastAsia="宋体" w:cs="Arial"/>
          <w:sz w:val="18"/>
          <w:szCs w:val="18"/>
        </w:rPr>
        <w:t>食品药品监督管理局关于采用不可分别辨识的剩余人体标本进行体外诊断器械研究时知情同意的指南见：</w:t>
      </w:r>
      <w:r>
        <w:fldChar w:fldCharType="begin"/>
      </w:r>
      <w:r>
        <w:instrText xml:space="preserve"> HYPERLINK "http://www.fda.gov/cdrh/oivd/guidance/1588.pdf" </w:instrText>
      </w:r>
      <w:r>
        <w:fldChar w:fldCharType="separate"/>
      </w:r>
      <w:r>
        <w:rPr>
          <w:rStyle w:val="8"/>
          <w:rFonts w:ascii="Arial" w:hAnsi="Arial" w:eastAsia="宋体" w:cs="Arial"/>
          <w:sz w:val="18"/>
          <w:szCs w:val="18"/>
        </w:rPr>
        <w:t>http://www.fda.gov/cdrh/oivd/guidance/1588.pdf</w:t>
      </w:r>
      <w:r>
        <w:rPr>
          <w:rStyle w:val="8"/>
          <w:rFonts w:ascii="Arial" w:hAnsi="Arial" w:eastAsia="宋体" w:cs="Arial"/>
          <w:sz w:val="18"/>
          <w:szCs w:val="18"/>
        </w:rPr>
        <w:fldChar w:fldCharType="end"/>
      </w:r>
    </w:p>
    <w:p w14:paraId="6E65C22B">
      <w:pPr>
        <w:widowControl/>
        <w:jc w:val="left"/>
        <w:rPr>
          <w:rFonts w:ascii="Arial" w:hAnsi="Arial" w:eastAsia="宋体" w:cs="Arial"/>
          <w:b/>
          <w:color w:val="FF0000"/>
        </w:rPr>
      </w:pPr>
      <w:r>
        <w:rPr>
          <w:rFonts w:ascii="Arial" w:hAnsi="Arial" w:eastAsia="宋体" w:cs="Arial"/>
          <w:b/>
          <w:color w:val="FF0000"/>
        </w:rPr>
        <w:br w:type="page"/>
      </w:r>
    </w:p>
    <w:p w14:paraId="1B786FC5">
      <w:pPr>
        <w:snapToGrid w:val="0"/>
        <w:spacing w:line="300" w:lineRule="auto"/>
        <w:rPr>
          <w:rFonts w:ascii="Arial" w:hAnsi="Arial" w:eastAsia="宋体" w:cs="Arial"/>
          <w:b/>
        </w:rPr>
      </w:pPr>
      <w:r>
        <w:rPr>
          <w:rFonts w:ascii="Arial" w:hAnsi="Arial" w:eastAsia="宋体" w:cs="Arial"/>
          <w:b/>
        </w:rPr>
        <w:t>提交IVDMIA供食品药品监督管理局审查的时间线</w:t>
      </w:r>
    </w:p>
    <w:p w14:paraId="1471A6E7">
      <w:pPr>
        <w:snapToGrid w:val="0"/>
        <w:spacing w:line="300" w:lineRule="auto"/>
        <w:rPr>
          <w:rFonts w:ascii="Arial" w:hAnsi="Arial" w:eastAsia="宋体" w:cs="Arial"/>
        </w:rPr>
      </w:pPr>
    </w:p>
    <w:p w14:paraId="57FD6F8F">
      <w:pPr>
        <w:snapToGrid w:val="0"/>
        <w:spacing w:line="300" w:lineRule="auto"/>
        <w:rPr>
          <w:rFonts w:ascii="Arial" w:hAnsi="Arial" w:eastAsia="宋体" w:cs="Arial"/>
        </w:rPr>
      </w:pPr>
      <w:r>
        <w:rPr>
          <w:rFonts w:ascii="Arial" w:hAnsi="Arial" w:eastAsia="宋体" w:cs="Arial"/>
        </w:rPr>
        <w:t>为帮助IVDMIA制造商遵从器械监管要求，食品药品监督管理局计划在本指南最终版本公布后的最初过渡期内就某些要求行使执法自由裁量权。最终指南公布后12个月，食品药品监督管理局计划对</w:t>
      </w:r>
      <w:bookmarkStart w:id="42" w:name="OLE_LINK12"/>
      <w:bookmarkStart w:id="43" w:name="OLE_LINK9"/>
      <w:r>
        <w:rPr>
          <w:rFonts w:ascii="Arial" w:hAnsi="Arial" w:eastAsia="宋体" w:cs="Arial"/>
        </w:rPr>
        <w:t>当前销售的实验室开发的IVDMIA</w:t>
      </w:r>
      <w:bookmarkEnd w:id="42"/>
      <w:bookmarkEnd w:id="43"/>
      <w:r>
        <w:rPr>
          <w:rFonts w:ascii="Arial" w:hAnsi="Arial" w:eastAsia="宋体" w:cs="Arial"/>
        </w:rPr>
        <w:t>就所有监管要求行使执法自由裁量权。如果制造商在最终指南公布后的首个12个月内提交510（k）提交资料或上市前批准申请，食品药品监督管理局计划对当前销售的实验室开发的IVDMIA附加6个月行使执法自由裁量权。</w:t>
      </w:r>
      <w:r>
        <w:rPr>
          <w:rFonts w:ascii="Arial" w:hAnsi="Arial" w:eastAsia="宋体" w:cs="Arial"/>
          <w:vertAlign w:val="superscript"/>
        </w:rPr>
        <w:t>4</w:t>
      </w:r>
    </w:p>
    <w:p w14:paraId="5DAF461B">
      <w:pPr>
        <w:snapToGrid w:val="0"/>
        <w:spacing w:line="300" w:lineRule="auto"/>
        <w:rPr>
          <w:rFonts w:ascii="Arial" w:hAnsi="Arial" w:eastAsia="宋体" w:cs="Arial"/>
        </w:rPr>
      </w:pPr>
    </w:p>
    <w:p w14:paraId="71EF71DA">
      <w:pPr>
        <w:snapToGrid w:val="0"/>
        <w:spacing w:line="300" w:lineRule="auto"/>
        <w:rPr>
          <w:rFonts w:ascii="Arial" w:hAnsi="Arial" w:eastAsia="宋体" w:cs="Arial"/>
        </w:rPr>
      </w:pPr>
      <w:r>
        <w:rPr>
          <w:rFonts w:ascii="Arial" w:hAnsi="Arial" w:eastAsia="宋体" w:cs="Arial"/>
        </w:rPr>
        <w:t>所有当前销售的实验室开发的IVDMIA如果在最终指南公布后18个月内未收到销售许可或批准，食品药品监督管理局计划对其强制执行监管要求。</w:t>
      </w:r>
    </w:p>
    <w:p w14:paraId="3680FB22">
      <w:pPr>
        <w:snapToGrid w:val="0"/>
        <w:spacing w:line="300" w:lineRule="auto"/>
        <w:rPr>
          <w:rFonts w:ascii="Arial" w:hAnsi="Arial" w:eastAsia="宋体" w:cs="Arial"/>
        </w:rPr>
      </w:pPr>
    </w:p>
    <w:p w14:paraId="51BBB485">
      <w:pPr>
        <w:snapToGrid w:val="0"/>
        <w:spacing w:line="300" w:lineRule="auto"/>
        <w:rPr>
          <w:rFonts w:ascii="Arial" w:hAnsi="Arial" w:eastAsia="宋体" w:cs="Arial"/>
        </w:rPr>
      </w:pPr>
    </w:p>
    <w:p w14:paraId="3F63F3C6">
      <w:pPr>
        <w:snapToGrid w:val="0"/>
        <w:spacing w:line="300" w:lineRule="auto"/>
        <w:rPr>
          <w:rFonts w:ascii="Arial" w:hAnsi="Arial" w:eastAsia="宋体" w:cs="Arial"/>
        </w:rPr>
      </w:pPr>
    </w:p>
    <w:p w14:paraId="51BE2FF9">
      <w:pPr>
        <w:snapToGrid w:val="0"/>
        <w:spacing w:line="300" w:lineRule="auto"/>
        <w:rPr>
          <w:rFonts w:ascii="Arial" w:hAnsi="Arial" w:eastAsia="宋体" w:cs="Arial"/>
        </w:rPr>
      </w:pPr>
    </w:p>
    <w:p w14:paraId="58785DF3">
      <w:pPr>
        <w:snapToGrid w:val="0"/>
        <w:spacing w:line="300" w:lineRule="auto"/>
        <w:rPr>
          <w:rFonts w:ascii="Arial" w:hAnsi="Arial" w:eastAsia="宋体" w:cs="Arial"/>
        </w:rPr>
      </w:pPr>
    </w:p>
    <w:p w14:paraId="419FDC13">
      <w:pPr>
        <w:snapToGrid w:val="0"/>
        <w:spacing w:line="300" w:lineRule="auto"/>
        <w:rPr>
          <w:rFonts w:ascii="Arial" w:hAnsi="Arial" w:eastAsia="宋体" w:cs="Arial"/>
        </w:rPr>
      </w:pPr>
    </w:p>
    <w:p w14:paraId="44D43DD2">
      <w:pPr>
        <w:snapToGrid w:val="0"/>
        <w:spacing w:line="300" w:lineRule="auto"/>
        <w:rPr>
          <w:rFonts w:ascii="Arial" w:hAnsi="Arial" w:eastAsia="宋体" w:cs="Arial"/>
        </w:rPr>
      </w:pPr>
    </w:p>
    <w:p w14:paraId="6D6A767D">
      <w:pPr>
        <w:snapToGrid w:val="0"/>
        <w:spacing w:line="300" w:lineRule="auto"/>
        <w:rPr>
          <w:rFonts w:ascii="Arial" w:hAnsi="Arial" w:eastAsia="宋体" w:cs="Arial"/>
        </w:rPr>
      </w:pPr>
    </w:p>
    <w:p w14:paraId="60E39163">
      <w:pPr>
        <w:snapToGrid w:val="0"/>
        <w:spacing w:line="300" w:lineRule="auto"/>
        <w:rPr>
          <w:rFonts w:ascii="Arial" w:hAnsi="Arial" w:eastAsia="宋体" w:cs="Arial"/>
        </w:rPr>
      </w:pPr>
    </w:p>
    <w:p w14:paraId="48B46A6F">
      <w:pPr>
        <w:snapToGrid w:val="0"/>
        <w:spacing w:line="300" w:lineRule="auto"/>
        <w:rPr>
          <w:rFonts w:ascii="Arial" w:hAnsi="Arial" w:eastAsia="宋体" w:cs="Arial"/>
        </w:rPr>
      </w:pPr>
    </w:p>
    <w:p w14:paraId="6357F157">
      <w:pPr>
        <w:snapToGrid w:val="0"/>
        <w:spacing w:line="300" w:lineRule="auto"/>
        <w:rPr>
          <w:rFonts w:ascii="Arial" w:hAnsi="Arial" w:eastAsia="宋体" w:cs="Arial"/>
        </w:rPr>
      </w:pPr>
    </w:p>
    <w:p w14:paraId="1C9B71F9">
      <w:pPr>
        <w:snapToGrid w:val="0"/>
        <w:spacing w:line="300" w:lineRule="auto"/>
        <w:rPr>
          <w:rFonts w:ascii="Arial" w:hAnsi="Arial" w:eastAsia="宋体" w:cs="Arial"/>
        </w:rPr>
      </w:pPr>
    </w:p>
    <w:p w14:paraId="25AFDA7A">
      <w:pPr>
        <w:snapToGrid w:val="0"/>
        <w:spacing w:line="300" w:lineRule="auto"/>
        <w:rPr>
          <w:rFonts w:ascii="Arial" w:hAnsi="Arial" w:eastAsia="宋体" w:cs="Arial"/>
        </w:rPr>
      </w:pPr>
    </w:p>
    <w:p w14:paraId="46CF41A0">
      <w:pPr>
        <w:snapToGrid w:val="0"/>
        <w:spacing w:line="300" w:lineRule="auto"/>
        <w:rPr>
          <w:rFonts w:ascii="Arial" w:hAnsi="Arial" w:eastAsia="宋体" w:cs="Arial"/>
        </w:rPr>
      </w:pPr>
    </w:p>
    <w:p w14:paraId="5B190570">
      <w:pPr>
        <w:snapToGrid w:val="0"/>
        <w:spacing w:line="300" w:lineRule="auto"/>
        <w:rPr>
          <w:rFonts w:ascii="Arial" w:hAnsi="Arial" w:eastAsia="宋体" w:cs="Arial"/>
        </w:rPr>
      </w:pPr>
    </w:p>
    <w:p w14:paraId="0B576030">
      <w:pPr>
        <w:snapToGrid w:val="0"/>
        <w:spacing w:line="300" w:lineRule="auto"/>
        <w:rPr>
          <w:rFonts w:ascii="Arial" w:hAnsi="Arial" w:eastAsia="宋体" w:cs="Arial"/>
        </w:rPr>
      </w:pPr>
    </w:p>
    <w:p w14:paraId="03A5530A">
      <w:pPr>
        <w:snapToGrid w:val="0"/>
        <w:spacing w:line="300" w:lineRule="auto"/>
        <w:rPr>
          <w:rFonts w:ascii="Arial" w:hAnsi="Arial" w:eastAsia="宋体" w:cs="Arial"/>
        </w:rPr>
      </w:pPr>
    </w:p>
    <w:p w14:paraId="78A92DE0">
      <w:pPr>
        <w:snapToGrid w:val="0"/>
        <w:spacing w:line="300" w:lineRule="auto"/>
        <w:rPr>
          <w:rFonts w:ascii="Arial" w:hAnsi="Arial" w:eastAsia="宋体" w:cs="Arial"/>
        </w:rPr>
      </w:pPr>
    </w:p>
    <w:p w14:paraId="614E3160">
      <w:pPr>
        <w:snapToGrid w:val="0"/>
        <w:spacing w:line="300" w:lineRule="auto"/>
        <w:rPr>
          <w:rFonts w:ascii="Arial" w:hAnsi="Arial" w:eastAsia="宋体" w:cs="Arial"/>
        </w:rPr>
      </w:pPr>
    </w:p>
    <w:p w14:paraId="2093B3E0">
      <w:pPr>
        <w:snapToGrid w:val="0"/>
        <w:spacing w:line="300" w:lineRule="auto"/>
        <w:rPr>
          <w:rFonts w:ascii="Arial" w:hAnsi="Arial" w:eastAsia="宋体" w:cs="Arial"/>
        </w:rPr>
      </w:pPr>
    </w:p>
    <w:p w14:paraId="5FD3AB4D">
      <w:pPr>
        <w:snapToGrid w:val="0"/>
        <w:spacing w:line="300" w:lineRule="auto"/>
        <w:rPr>
          <w:rFonts w:ascii="Arial" w:hAnsi="Arial" w:eastAsia="宋体" w:cs="Arial"/>
        </w:rPr>
      </w:pPr>
    </w:p>
    <w:p w14:paraId="16323EF2">
      <w:pPr>
        <w:snapToGrid w:val="0"/>
        <w:spacing w:line="300" w:lineRule="auto"/>
        <w:rPr>
          <w:rFonts w:ascii="Arial" w:hAnsi="Arial" w:eastAsia="宋体" w:cs="Arial"/>
        </w:rPr>
      </w:pPr>
    </w:p>
    <w:p w14:paraId="05DFED0F">
      <w:pPr>
        <w:snapToGrid w:val="0"/>
        <w:spacing w:line="300" w:lineRule="auto"/>
        <w:rPr>
          <w:rFonts w:ascii="Arial" w:hAnsi="Arial" w:eastAsia="宋体" w:cs="Arial"/>
        </w:rPr>
      </w:pPr>
    </w:p>
    <w:p w14:paraId="2F543E70">
      <w:pPr>
        <w:snapToGrid w:val="0"/>
        <w:spacing w:line="300" w:lineRule="auto"/>
        <w:rPr>
          <w:rFonts w:ascii="Arial" w:hAnsi="Arial" w:eastAsia="宋体" w:cs="Arial"/>
        </w:rPr>
      </w:pPr>
    </w:p>
    <w:p w14:paraId="47D9F9BA">
      <w:pPr>
        <w:snapToGrid w:val="0"/>
        <w:spacing w:line="300" w:lineRule="auto"/>
        <w:rPr>
          <w:rFonts w:ascii="Arial" w:hAnsi="Arial" w:eastAsia="宋体" w:cs="Arial"/>
        </w:rPr>
      </w:pPr>
    </w:p>
    <w:p w14:paraId="44202E5D">
      <w:pPr>
        <w:snapToGrid w:val="0"/>
        <w:spacing w:line="300" w:lineRule="auto"/>
        <w:rPr>
          <w:rFonts w:ascii="Arial" w:hAnsi="Arial" w:eastAsia="宋体" w:cs="Arial"/>
        </w:rPr>
      </w:pPr>
    </w:p>
    <w:p w14:paraId="300025CF">
      <w:pPr>
        <w:snapToGrid w:val="0"/>
        <w:spacing w:line="300" w:lineRule="auto"/>
        <w:rPr>
          <w:rFonts w:ascii="Arial" w:hAnsi="Arial" w:eastAsia="宋体" w:cs="Arial"/>
        </w:rPr>
      </w:pPr>
      <w:r>
        <w:rPr>
          <w:rFonts w:ascii="Arial" w:hAnsi="Arial" w:eastAsia="宋体" w:cs="Arial"/>
        </w:rPr>
        <w:t>__________________________</w:t>
      </w:r>
    </w:p>
    <w:p w14:paraId="39870DCC">
      <w:pPr>
        <w:snapToGrid w:val="0"/>
        <w:spacing w:line="300" w:lineRule="auto"/>
        <w:rPr>
          <w:rFonts w:ascii="Arial" w:hAnsi="Arial" w:eastAsia="宋体" w:cs="Arial"/>
          <w:sz w:val="18"/>
          <w:szCs w:val="18"/>
        </w:rPr>
      </w:pPr>
      <w:r>
        <w:rPr>
          <w:rFonts w:ascii="Arial" w:hAnsi="Arial" w:eastAsia="宋体" w:cs="Arial"/>
          <w:sz w:val="18"/>
          <w:szCs w:val="18"/>
          <w:vertAlign w:val="superscript"/>
        </w:rPr>
        <w:t>4</w:t>
      </w:r>
      <w:r>
        <w:rPr>
          <w:rFonts w:ascii="Arial" w:hAnsi="Arial" w:eastAsia="宋体" w:cs="Arial"/>
          <w:sz w:val="18"/>
          <w:szCs w:val="18"/>
        </w:rPr>
        <w:t>如上“上市后要求”项下所述，</w:t>
      </w:r>
      <w:bookmarkStart w:id="44" w:name="OLE_LINK3"/>
      <w:r>
        <w:rPr>
          <w:rFonts w:ascii="Arial" w:hAnsi="Arial" w:eastAsia="宋体" w:cs="Arial"/>
          <w:sz w:val="18"/>
          <w:szCs w:val="18"/>
        </w:rPr>
        <w:t xml:space="preserve"> </w:t>
      </w:r>
      <w:bookmarkEnd w:id="44"/>
      <w:r>
        <w:rPr>
          <w:rFonts w:ascii="Arial" w:hAnsi="Arial" w:eastAsia="宋体" w:cs="Arial"/>
          <w:sz w:val="18"/>
          <w:szCs w:val="18"/>
        </w:rPr>
        <w:t>关于对本局专门发布质量体系指南前生产IVDMIA的实验室如何执行上市后质量体系法规，食品药品监督管理局的计划是继续行使执法自由裁量权。关于III类器械的上市前批准申请的质量体系部分见附录的上市前批准部分。如附录中“</w:t>
      </w:r>
      <w:bookmarkStart w:id="45" w:name="OLE_LINK42"/>
      <w:bookmarkStart w:id="46" w:name="OLE_LINK41"/>
      <w:r>
        <w:rPr>
          <w:rFonts w:ascii="Arial" w:hAnsi="Arial" w:eastAsia="宋体" w:cs="Arial"/>
          <w:sz w:val="18"/>
          <w:szCs w:val="18"/>
        </w:rPr>
        <w:t>适用于罕见疾病诊断的人道主义用途豁免</w:t>
      </w:r>
      <w:bookmarkEnd w:id="45"/>
      <w:bookmarkEnd w:id="46"/>
      <w:r>
        <w:rPr>
          <w:rFonts w:ascii="Arial" w:hAnsi="Arial" w:eastAsia="宋体" w:cs="Arial"/>
          <w:sz w:val="18"/>
          <w:szCs w:val="18"/>
        </w:rPr>
        <w:t>”项下所述，食品药品监督管理局仍打算对实验室开发的符合人道主义用途器械定义（21 CFR § 814.3（n））的IVDMIA行使自由裁量权。</w:t>
      </w:r>
    </w:p>
    <w:p w14:paraId="57EEEEDE">
      <w:pPr>
        <w:widowControl/>
        <w:jc w:val="left"/>
        <w:rPr>
          <w:rFonts w:ascii="Arial" w:hAnsi="Arial" w:eastAsia="宋体" w:cs="Arial"/>
          <w:b/>
          <w:color w:val="FF0000"/>
        </w:rPr>
      </w:pPr>
      <w:r>
        <w:rPr>
          <w:rFonts w:ascii="Arial" w:hAnsi="Arial" w:eastAsia="宋体" w:cs="Arial"/>
          <w:b/>
          <w:color w:val="FF0000"/>
        </w:rPr>
        <w:br w:type="page"/>
      </w:r>
    </w:p>
    <w:p w14:paraId="1886EF1E">
      <w:pPr>
        <w:snapToGrid w:val="0"/>
        <w:spacing w:line="300" w:lineRule="auto"/>
        <w:jc w:val="center"/>
        <w:rPr>
          <w:rFonts w:ascii="Arial" w:hAnsi="Arial" w:eastAsia="宋体" w:cs="Arial"/>
          <w:b/>
        </w:rPr>
      </w:pPr>
      <w:r>
        <w:rPr>
          <w:rFonts w:ascii="Arial" w:hAnsi="Arial" w:eastAsia="宋体" w:cs="Arial"/>
          <w:b/>
        </w:rPr>
        <w:t>附录：器械法规的基本信息</w:t>
      </w:r>
    </w:p>
    <w:p w14:paraId="62699AA7">
      <w:pPr>
        <w:snapToGrid w:val="0"/>
        <w:spacing w:line="300" w:lineRule="auto"/>
        <w:rPr>
          <w:rFonts w:ascii="Arial" w:hAnsi="Arial" w:eastAsia="宋体" w:cs="Arial"/>
        </w:rPr>
      </w:pPr>
    </w:p>
    <w:p w14:paraId="1751041B">
      <w:pPr>
        <w:snapToGrid w:val="0"/>
        <w:spacing w:line="300" w:lineRule="auto"/>
        <w:rPr>
          <w:rFonts w:ascii="Arial" w:hAnsi="Arial" w:eastAsia="宋体" w:cs="Arial"/>
          <w:b/>
        </w:rPr>
      </w:pPr>
      <w:r>
        <w:rPr>
          <w:rFonts w:ascii="Arial" w:hAnsi="Arial" w:eastAsia="宋体" w:cs="Arial"/>
          <w:b/>
        </w:rPr>
        <w:t>登记和列示</w:t>
      </w:r>
    </w:p>
    <w:p w14:paraId="6AF7C3A8">
      <w:pPr>
        <w:snapToGrid w:val="0"/>
        <w:spacing w:line="300" w:lineRule="auto"/>
        <w:rPr>
          <w:rFonts w:ascii="Arial" w:hAnsi="Arial" w:eastAsia="宋体" w:cs="Arial"/>
        </w:rPr>
      </w:pPr>
    </w:p>
    <w:p w14:paraId="349F481A">
      <w:pPr>
        <w:snapToGrid w:val="0"/>
        <w:spacing w:line="300" w:lineRule="auto"/>
        <w:rPr>
          <w:rFonts w:ascii="Arial" w:hAnsi="Arial" w:eastAsia="宋体" w:cs="Arial"/>
        </w:rPr>
      </w:pPr>
      <w:r>
        <w:rPr>
          <w:rFonts w:ascii="Arial" w:hAnsi="Arial" w:eastAsia="宋体" w:cs="Arial"/>
        </w:rPr>
        <w:t>与所有监管器械一样，对</w:t>
      </w:r>
      <w:bookmarkStart w:id="47" w:name="OLE_LINK7"/>
      <w:bookmarkStart w:id="48" w:name="OLE_LINK8"/>
      <w:r>
        <w:rPr>
          <w:rFonts w:ascii="Arial" w:hAnsi="Arial" w:eastAsia="宋体" w:cs="Arial"/>
        </w:rPr>
        <w:t>IVDMIA</w:t>
      </w:r>
      <w:bookmarkEnd w:id="47"/>
      <w:bookmarkEnd w:id="48"/>
      <w:r>
        <w:rPr>
          <w:rFonts w:ascii="Arial" w:hAnsi="Arial" w:eastAsia="宋体" w:cs="Arial"/>
        </w:rPr>
        <w:t>制造商正在销售的IVDMIA，食品药品监督管理局要求制造商向其登记</w:t>
      </w:r>
      <w:r>
        <w:rPr>
          <w:rFonts w:ascii="Arial" w:hAnsi="Arial" w:eastAsia="宋体" w:cs="Arial"/>
          <w:vertAlign w:val="superscript"/>
        </w:rPr>
        <w:t>5</w:t>
      </w:r>
      <w:r>
        <w:rPr>
          <w:rFonts w:ascii="Arial" w:hAnsi="Arial" w:eastAsia="宋体" w:cs="Arial"/>
        </w:rPr>
        <w:t>并列示</w:t>
      </w:r>
      <w:r>
        <w:rPr>
          <w:rFonts w:ascii="Arial" w:hAnsi="Arial" w:eastAsia="宋体" w:cs="Arial"/>
          <w:vertAlign w:val="superscript"/>
        </w:rPr>
        <w:t>6</w:t>
      </w:r>
      <w:r>
        <w:rPr>
          <w:rFonts w:ascii="Arial" w:hAnsi="Arial" w:eastAsia="宋体" w:cs="Arial"/>
        </w:rPr>
        <w:t>或予以确认（21 USC § 360、21 CFR第807部）。登记和列示是保证食品药品监督管理局知晓谁在销售器械和企业在产或在售器械类型的一种手段。</w:t>
      </w:r>
    </w:p>
    <w:p w14:paraId="175D2AA7">
      <w:pPr>
        <w:snapToGrid w:val="0"/>
        <w:spacing w:line="300" w:lineRule="auto"/>
        <w:rPr>
          <w:rFonts w:ascii="Arial" w:hAnsi="Arial" w:eastAsia="宋体" w:cs="Arial"/>
        </w:rPr>
      </w:pPr>
    </w:p>
    <w:p w14:paraId="4FA2A978">
      <w:pPr>
        <w:snapToGrid w:val="0"/>
        <w:spacing w:line="300" w:lineRule="auto"/>
        <w:rPr>
          <w:rFonts w:ascii="Arial" w:hAnsi="Arial" w:eastAsia="宋体" w:cs="Arial"/>
        </w:rPr>
      </w:pPr>
      <w:r>
        <w:rPr>
          <w:rFonts w:ascii="Arial" w:hAnsi="Arial" w:eastAsia="宋体" w:cs="Arial"/>
        </w:rPr>
        <w:t>注册企业时需填写食品药品监督管理局2891表“器械企业登记表”。该表必须由表上指定的官方联系人填写并提交给食品药品监督管理局（21 CFR 807.22（a））。</w:t>
      </w:r>
      <w:r>
        <w:rPr>
          <w:rFonts w:ascii="Arial" w:hAnsi="Arial" w:eastAsia="宋体" w:cs="Arial"/>
          <w:vertAlign w:val="superscript"/>
        </w:rPr>
        <w:t>7</w:t>
      </w:r>
      <w:r>
        <w:rPr>
          <w:rFonts w:ascii="Arial" w:hAnsi="Arial" w:eastAsia="宋体" w:cs="Arial"/>
        </w:rPr>
        <w:t>医疗器械需在开始销售后30天内填写食品药品监督管理局2892表器械列示</w:t>
      </w:r>
      <w:r>
        <w:rPr>
          <w:rFonts w:ascii="Arial" w:hAnsi="Arial" w:eastAsia="宋体" w:cs="Arial"/>
          <w:vertAlign w:val="superscript"/>
        </w:rPr>
        <w:t>8</w:t>
      </w:r>
      <w:r>
        <w:rPr>
          <w:rFonts w:ascii="Arial" w:hAnsi="Arial" w:eastAsia="宋体" w:cs="Arial"/>
        </w:rPr>
        <w:t>（21 CFR 807.22（b））。</w:t>
      </w:r>
    </w:p>
    <w:p w14:paraId="3BAC9231">
      <w:pPr>
        <w:snapToGrid w:val="0"/>
        <w:spacing w:line="300" w:lineRule="auto"/>
        <w:rPr>
          <w:rFonts w:ascii="Arial" w:hAnsi="Arial" w:eastAsia="宋体" w:cs="Arial"/>
        </w:rPr>
      </w:pPr>
    </w:p>
    <w:p w14:paraId="5EFC06C4">
      <w:pPr>
        <w:snapToGrid w:val="0"/>
        <w:spacing w:line="300" w:lineRule="auto"/>
        <w:rPr>
          <w:rFonts w:ascii="Arial" w:hAnsi="Arial" w:eastAsia="宋体" w:cs="Arial"/>
          <w:b/>
        </w:rPr>
      </w:pPr>
      <w:r>
        <w:rPr>
          <w:rFonts w:ascii="Arial" w:hAnsi="Arial" w:eastAsia="宋体" w:cs="Arial"/>
          <w:b/>
        </w:rPr>
        <w:t>提交IVDMIA供上市前审查</w:t>
      </w:r>
    </w:p>
    <w:p w14:paraId="6D3C1F3A">
      <w:pPr>
        <w:snapToGrid w:val="0"/>
        <w:spacing w:line="300" w:lineRule="auto"/>
        <w:rPr>
          <w:rFonts w:ascii="Arial" w:hAnsi="Arial" w:eastAsia="宋体" w:cs="Arial"/>
        </w:rPr>
      </w:pPr>
    </w:p>
    <w:p w14:paraId="4C25DF41">
      <w:pPr>
        <w:snapToGrid w:val="0"/>
        <w:spacing w:line="300" w:lineRule="auto"/>
        <w:rPr>
          <w:rFonts w:ascii="Arial" w:hAnsi="Arial" w:eastAsia="宋体" w:cs="Arial"/>
          <w:u w:val="single"/>
        </w:rPr>
      </w:pPr>
      <w:r>
        <w:rPr>
          <w:rFonts w:ascii="Arial" w:hAnsi="Arial" w:eastAsia="宋体" w:cs="Arial"/>
          <w:u w:val="single"/>
        </w:rPr>
        <w:t>上市前通告</w:t>
      </w:r>
    </w:p>
    <w:p w14:paraId="5FEF6329">
      <w:pPr>
        <w:snapToGrid w:val="0"/>
        <w:spacing w:line="300" w:lineRule="auto"/>
        <w:rPr>
          <w:rFonts w:ascii="Arial" w:hAnsi="Arial" w:eastAsia="宋体" w:cs="Arial"/>
        </w:rPr>
      </w:pPr>
    </w:p>
    <w:p w14:paraId="35EA412C">
      <w:pPr>
        <w:snapToGrid w:val="0"/>
        <w:spacing w:line="300" w:lineRule="auto"/>
        <w:rPr>
          <w:rFonts w:ascii="Arial" w:hAnsi="Arial" w:eastAsia="宋体" w:cs="Arial"/>
        </w:rPr>
      </w:pPr>
      <w:r>
        <w:rPr>
          <w:rFonts w:ascii="Arial" w:hAnsi="Arial" w:eastAsia="宋体" w:cs="Arial"/>
        </w:rPr>
        <w:t>拟销售不以其它方式享受豁免待遇</w:t>
      </w:r>
      <w:r>
        <w:rPr>
          <w:rFonts w:ascii="Arial" w:hAnsi="Arial" w:eastAsia="宋体" w:cs="Arial"/>
          <w:vertAlign w:val="superscript"/>
        </w:rPr>
        <w:t>9</w:t>
      </w:r>
      <w:r>
        <w:rPr>
          <w:rFonts w:ascii="Arial" w:hAnsi="Arial" w:eastAsia="宋体" w:cs="Arial"/>
        </w:rPr>
        <w:t>的I类或II类器械的每个制造商（21 USC § 360（l）-（m））必须向食品药品监督管理局提交</w:t>
      </w:r>
      <w:bookmarkStart w:id="49" w:name="OLE_LINK31"/>
      <w:r>
        <w:rPr>
          <w:rFonts w:ascii="Arial" w:hAnsi="Arial" w:eastAsia="宋体" w:cs="Arial"/>
        </w:rPr>
        <w:t>510（k）提交资料</w:t>
      </w:r>
      <w:bookmarkEnd w:id="49"/>
      <w:r>
        <w:rPr>
          <w:rFonts w:ascii="Arial" w:hAnsi="Arial" w:eastAsia="宋体" w:cs="Arial"/>
        </w:rPr>
        <w:t>。510（k）提交资料是为向食品药品监督管理局证明将要销售的器械与某种具有相同预期用途的合法销售器械（比较器械）“实质等同”（SE）而制作的上市前提交资料（21 USC § 360c（i）、21 CFR 807.92（a）（3））。然而，21 CFR第807部E亚部份在描述对510（k）提交资料的要求时并未提及510（k）“表”。申请提交人必须对其器械与一种或多种类似的合法销售器械做出比较。如21 CFR 807.92（a）（3）所述，合法销售器械是1976年5月28日前合法销售的器械（修正案前器械）或从III类重新归为II类或I类的器械或在510（k）审批过程中发现实质等同的器械。尽管经常选择最近经510（k）途径获得许可的器械作为比较器械并要求与其等同，但任何具有相同预期用途的合法销售器械均可作为比较器械。经上市前批准申请流程获批的III类器械不能作为II类器械的比较器械。</w:t>
      </w:r>
    </w:p>
    <w:p w14:paraId="378D4E66">
      <w:pPr>
        <w:snapToGrid w:val="0"/>
        <w:spacing w:line="300" w:lineRule="auto"/>
        <w:rPr>
          <w:rFonts w:ascii="Arial" w:hAnsi="Arial" w:eastAsia="宋体" w:cs="Arial"/>
        </w:rPr>
      </w:pPr>
    </w:p>
    <w:p w14:paraId="2898D0F5">
      <w:pPr>
        <w:snapToGrid w:val="0"/>
        <w:spacing w:line="300" w:lineRule="auto"/>
        <w:rPr>
          <w:rFonts w:ascii="Arial" w:hAnsi="Arial" w:eastAsia="宋体" w:cs="Arial"/>
        </w:rPr>
      </w:pPr>
    </w:p>
    <w:p w14:paraId="2D7FE13F">
      <w:pPr>
        <w:snapToGrid w:val="0"/>
        <w:spacing w:line="300" w:lineRule="auto"/>
        <w:rPr>
          <w:rFonts w:ascii="Arial" w:hAnsi="Arial" w:eastAsia="宋体" w:cs="Arial"/>
        </w:rPr>
      </w:pPr>
    </w:p>
    <w:p w14:paraId="4737B102">
      <w:pPr>
        <w:snapToGrid w:val="0"/>
        <w:spacing w:line="300" w:lineRule="auto"/>
        <w:rPr>
          <w:rFonts w:ascii="Arial" w:hAnsi="Arial" w:eastAsia="宋体" w:cs="Arial"/>
        </w:rPr>
      </w:pPr>
    </w:p>
    <w:p w14:paraId="50C5F9D6">
      <w:pPr>
        <w:snapToGrid w:val="0"/>
        <w:spacing w:line="300" w:lineRule="auto"/>
        <w:rPr>
          <w:rFonts w:ascii="Arial" w:hAnsi="Arial" w:eastAsia="宋体" w:cs="Arial"/>
        </w:rPr>
      </w:pPr>
      <w:r>
        <w:rPr>
          <w:rFonts w:ascii="Arial" w:hAnsi="Arial" w:eastAsia="宋体" w:cs="Arial"/>
        </w:rPr>
        <w:t>_____________________________</w:t>
      </w:r>
    </w:p>
    <w:p w14:paraId="335B0A58">
      <w:pPr>
        <w:snapToGrid w:val="0"/>
        <w:spacing w:line="300" w:lineRule="auto"/>
        <w:jc w:val="left"/>
        <w:rPr>
          <w:rFonts w:ascii="Arial" w:hAnsi="Arial" w:eastAsia="宋体" w:cs="Arial"/>
          <w:sz w:val="18"/>
          <w:szCs w:val="18"/>
        </w:rPr>
      </w:pPr>
      <w:r>
        <w:rPr>
          <w:rFonts w:ascii="Arial" w:hAnsi="Arial" w:eastAsia="宋体" w:cs="Arial"/>
          <w:sz w:val="18"/>
          <w:szCs w:val="18"/>
          <w:vertAlign w:val="superscript"/>
        </w:rPr>
        <w:t>5</w:t>
      </w:r>
      <w:r>
        <w:rPr>
          <w:rFonts w:ascii="Arial" w:hAnsi="Arial" w:eastAsia="宋体" w:cs="Arial"/>
          <w:sz w:val="18"/>
          <w:szCs w:val="18"/>
        </w:rPr>
        <w:t>企业注册信息见：</w:t>
      </w:r>
      <w:r>
        <w:fldChar w:fldCharType="begin"/>
      </w:r>
      <w:r>
        <w:instrText xml:space="preserve"> HYPERLINK "http://www.fda.gov/cdrh/devadvice/341.html" </w:instrText>
      </w:r>
      <w:r>
        <w:fldChar w:fldCharType="separate"/>
      </w:r>
      <w:r>
        <w:rPr>
          <w:rStyle w:val="8"/>
          <w:rFonts w:ascii="Arial" w:hAnsi="Arial" w:eastAsia="宋体" w:cs="Arial"/>
          <w:sz w:val="18"/>
          <w:szCs w:val="18"/>
        </w:rPr>
        <w:t>http://www.fda.gov/cdrh/devadvice/341.html</w:t>
      </w:r>
      <w:r>
        <w:rPr>
          <w:rStyle w:val="8"/>
          <w:rFonts w:ascii="Arial" w:hAnsi="Arial" w:eastAsia="宋体" w:cs="Arial"/>
          <w:sz w:val="18"/>
          <w:szCs w:val="18"/>
        </w:rPr>
        <w:fldChar w:fldCharType="end"/>
      </w:r>
      <w:r>
        <w:rPr>
          <w:rFonts w:ascii="Arial" w:hAnsi="Arial" w:eastAsia="宋体" w:cs="Arial"/>
          <w:sz w:val="18"/>
          <w:szCs w:val="18"/>
        </w:rPr>
        <w:t>。</w:t>
      </w:r>
    </w:p>
    <w:p w14:paraId="7A491127">
      <w:pPr>
        <w:snapToGrid w:val="0"/>
        <w:spacing w:line="300" w:lineRule="auto"/>
        <w:jc w:val="left"/>
        <w:rPr>
          <w:rFonts w:ascii="Arial" w:hAnsi="Arial" w:eastAsia="宋体" w:cs="Arial"/>
          <w:sz w:val="18"/>
          <w:szCs w:val="18"/>
        </w:rPr>
      </w:pPr>
      <w:r>
        <w:rPr>
          <w:rFonts w:ascii="Arial" w:hAnsi="Arial" w:eastAsia="宋体" w:cs="Arial"/>
          <w:sz w:val="18"/>
          <w:szCs w:val="18"/>
          <w:vertAlign w:val="superscript"/>
        </w:rPr>
        <w:t>6</w:t>
      </w:r>
      <w:r>
        <w:rPr>
          <w:rFonts w:ascii="Arial" w:hAnsi="Arial" w:eastAsia="宋体" w:cs="Arial"/>
          <w:sz w:val="18"/>
          <w:szCs w:val="18"/>
        </w:rPr>
        <w:t>向食品药品监督管理局提供器械列示的相关信息见：</w:t>
      </w:r>
      <w:r>
        <w:fldChar w:fldCharType="begin"/>
      </w:r>
      <w:r>
        <w:instrText xml:space="preserve"> HYPERLINK "http://www.fda.gov/cdrh/devadvice/342.html" </w:instrText>
      </w:r>
      <w:r>
        <w:fldChar w:fldCharType="separate"/>
      </w:r>
      <w:r>
        <w:rPr>
          <w:rStyle w:val="8"/>
          <w:rFonts w:ascii="Arial" w:hAnsi="Arial" w:eastAsia="宋体" w:cs="Arial"/>
          <w:sz w:val="18"/>
          <w:szCs w:val="18"/>
        </w:rPr>
        <w:t>http://www.fda.gov/cdrh/devadvice/342.html</w:t>
      </w:r>
      <w:r>
        <w:rPr>
          <w:rStyle w:val="8"/>
          <w:rFonts w:ascii="Arial" w:hAnsi="Arial" w:eastAsia="宋体" w:cs="Arial"/>
          <w:sz w:val="18"/>
          <w:szCs w:val="18"/>
        </w:rPr>
        <w:fldChar w:fldCharType="end"/>
      </w:r>
      <w:r>
        <w:rPr>
          <w:rFonts w:ascii="Arial" w:hAnsi="Arial" w:eastAsia="宋体" w:cs="Arial"/>
          <w:sz w:val="18"/>
          <w:szCs w:val="18"/>
        </w:rPr>
        <w:t>。</w:t>
      </w:r>
    </w:p>
    <w:p w14:paraId="7A3EC077">
      <w:pPr>
        <w:snapToGrid w:val="0"/>
        <w:spacing w:line="300" w:lineRule="auto"/>
        <w:jc w:val="left"/>
        <w:rPr>
          <w:rFonts w:ascii="Arial" w:hAnsi="Arial" w:eastAsia="宋体" w:cs="Arial"/>
          <w:sz w:val="18"/>
          <w:szCs w:val="18"/>
        </w:rPr>
      </w:pPr>
      <w:r>
        <w:rPr>
          <w:rFonts w:ascii="Arial" w:hAnsi="Arial" w:eastAsia="宋体" w:cs="Arial"/>
          <w:sz w:val="18"/>
          <w:szCs w:val="18"/>
          <w:vertAlign w:val="superscript"/>
        </w:rPr>
        <w:t>7</w:t>
      </w:r>
      <w:bookmarkStart w:id="50" w:name="OLE_LINK58"/>
      <w:bookmarkStart w:id="51" w:name="OLE_LINK57"/>
      <w:r>
        <w:rPr>
          <w:rFonts w:ascii="Arial" w:hAnsi="Arial" w:eastAsia="宋体" w:cs="Arial"/>
          <w:sz w:val="18"/>
          <w:szCs w:val="18"/>
        </w:rPr>
        <w:t>若使用</w:t>
      </w:r>
      <w:bookmarkStart w:id="52" w:name="OLE_LINK47"/>
      <w:bookmarkStart w:id="53" w:name="OLE_LINK49"/>
      <w:bookmarkStart w:id="54" w:name="OLE_LINK48"/>
      <w:r>
        <w:rPr>
          <w:rFonts w:ascii="Arial" w:hAnsi="Arial" w:eastAsia="宋体" w:cs="Arial"/>
          <w:sz w:val="18"/>
          <w:szCs w:val="18"/>
        </w:rPr>
        <w:t>食品药品监督管理局2891表</w:t>
      </w:r>
      <w:bookmarkEnd w:id="52"/>
      <w:bookmarkEnd w:id="53"/>
      <w:bookmarkEnd w:id="54"/>
      <w:r>
        <w:rPr>
          <w:rFonts w:ascii="Arial" w:hAnsi="Arial" w:eastAsia="宋体" w:cs="Arial"/>
          <w:sz w:val="18"/>
          <w:szCs w:val="18"/>
        </w:rPr>
        <w:t>的PDF启用版本，请访问：</w:t>
      </w:r>
      <w:bookmarkEnd w:id="50"/>
      <w:bookmarkEnd w:id="51"/>
      <w:r>
        <w:rPr>
          <w:rFonts w:ascii="Arial" w:hAnsi="Arial" w:eastAsia="宋体" w:cs="Arial"/>
          <w:sz w:val="18"/>
          <w:szCs w:val="18"/>
        </w:rPr>
        <w:fldChar w:fldCharType="begin"/>
      </w:r>
      <w:r>
        <w:rPr>
          <w:rFonts w:ascii="Arial" w:hAnsi="Arial" w:eastAsia="宋体" w:cs="Arial"/>
          <w:sz w:val="18"/>
          <w:szCs w:val="18"/>
        </w:rPr>
        <w:instrText xml:space="preserve"> HYPERLINK "http://www.accessdata.fda.gov/scripts/cdrh/cfdocs/cfRL/printforms.cfm" </w:instrText>
      </w:r>
      <w:r>
        <w:rPr>
          <w:rFonts w:ascii="Arial" w:hAnsi="Arial" w:eastAsia="宋体" w:cs="Arial"/>
          <w:sz w:val="18"/>
          <w:szCs w:val="18"/>
        </w:rPr>
        <w:fldChar w:fldCharType="separate"/>
      </w:r>
      <w:r>
        <w:rPr>
          <w:rStyle w:val="8"/>
          <w:rFonts w:ascii="Arial" w:hAnsi="Arial" w:eastAsia="宋体" w:cs="Arial"/>
          <w:sz w:val="18"/>
          <w:szCs w:val="18"/>
        </w:rPr>
        <w:t>http://www.accessdata.fda.gov/scripts/cdrh/cfdocs/cfRL/printforms.cfm</w:t>
      </w:r>
      <w:r>
        <w:rPr>
          <w:rFonts w:ascii="Arial" w:hAnsi="Arial" w:eastAsia="宋体" w:cs="Arial"/>
          <w:sz w:val="18"/>
          <w:szCs w:val="18"/>
        </w:rPr>
        <w:fldChar w:fldCharType="end"/>
      </w:r>
      <w:r>
        <w:rPr>
          <w:rFonts w:ascii="Arial" w:hAnsi="Arial" w:eastAsia="宋体" w:cs="Arial"/>
          <w:sz w:val="18"/>
          <w:szCs w:val="18"/>
        </w:rPr>
        <w:t>并选择“填表”获取</w:t>
      </w:r>
      <w:bookmarkStart w:id="55" w:name="OLE_LINK61"/>
      <w:bookmarkStart w:id="56" w:name="OLE_LINK62"/>
      <w:r>
        <w:rPr>
          <w:rFonts w:ascii="Arial" w:hAnsi="Arial" w:eastAsia="宋体" w:cs="Arial"/>
          <w:sz w:val="18"/>
          <w:szCs w:val="18"/>
        </w:rPr>
        <w:t>食品药品监督管理局2891表</w:t>
      </w:r>
      <w:bookmarkEnd w:id="55"/>
      <w:bookmarkEnd w:id="56"/>
      <w:r>
        <w:rPr>
          <w:rFonts w:ascii="Arial" w:hAnsi="Arial" w:eastAsia="宋体" w:cs="Arial"/>
          <w:sz w:val="18"/>
          <w:szCs w:val="18"/>
        </w:rPr>
        <w:t>。</w:t>
      </w:r>
      <w:bookmarkStart w:id="57" w:name="OLE_LINK68"/>
      <w:bookmarkStart w:id="58" w:name="OLE_LINK69"/>
      <w:r>
        <w:rPr>
          <w:rFonts w:ascii="Arial" w:hAnsi="Arial" w:eastAsia="宋体" w:cs="Arial"/>
          <w:sz w:val="18"/>
          <w:szCs w:val="18"/>
        </w:rPr>
        <w:t>阅读填表说明并在线填写表格，然后打印填好的表格。器械列示的其它信息见：</w:t>
      </w:r>
      <w:bookmarkEnd w:id="57"/>
      <w:bookmarkEnd w:id="58"/>
      <w:r>
        <w:rPr>
          <w:rFonts w:ascii="Arial" w:hAnsi="Arial" w:eastAsia="宋体" w:cs="Arial"/>
          <w:sz w:val="18"/>
          <w:szCs w:val="18"/>
        </w:rPr>
        <w:fldChar w:fldCharType="begin"/>
      </w:r>
      <w:r>
        <w:rPr>
          <w:rFonts w:ascii="Arial" w:hAnsi="Arial" w:eastAsia="宋体" w:cs="Arial"/>
          <w:sz w:val="18"/>
          <w:szCs w:val="18"/>
        </w:rPr>
        <w:instrText xml:space="preserve"> HYPERLINK "http://www.fda.gov/cdrh/devadvice/341.html" </w:instrText>
      </w:r>
      <w:r>
        <w:rPr>
          <w:rFonts w:ascii="Arial" w:hAnsi="Arial" w:eastAsia="宋体" w:cs="Arial"/>
          <w:sz w:val="18"/>
          <w:szCs w:val="18"/>
        </w:rPr>
        <w:fldChar w:fldCharType="separate"/>
      </w:r>
      <w:r>
        <w:rPr>
          <w:rStyle w:val="8"/>
          <w:rFonts w:ascii="Arial" w:hAnsi="Arial" w:eastAsia="宋体" w:cs="Arial"/>
          <w:sz w:val="18"/>
          <w:szCs w:val="18"/>
        </w:rPr>
        <w:t>http://www.fda.gov/cdrh/devadvice/341.html</w:t>
      </w:r>
      <w:r>
        <w:rPr>
          <w:rFonts w:ascii="Arial" w:hAnsi="Arial" w:eastAsia="宋体" w:cs="Arial"/>
          <w:sz w:val="18"/>
          <w:szCs w:val="18"/>
        </w:rPr>
        <w:fldChar w:fldCharType="end"/>
      </w:r>
      <w:r>
        <w:rPr>
          <w:rFonts w:ascii="Arial" w:hAnsi="Arial" w:eastAsia="宋体" w:cs="Arial"/>
          <w:sz w:val="18"/>
          <w:szCs w:val="18"/>
        </w:rPr>
        <w:t>。</w:t>
      </w:r>
    </w:p>
    <w:p w14:paraId="6F5A6A85">
      <w:pPr>
        <w:snapToGrid w:val="0"/>
        <w:spacing w:line="300" w:lineRule="auto"/>
        <w:jc w:val="left"/>
        <w:rPr>
          <w:rFonts w:ascii="Arial" w:hAnsi="Arial" w:eastAsia="宋体" w:cs="Arial"/>
          <w:sz w:val="18"/>
          <w:szCs w:val="18"/>
        </w:rPr>
      </w:pPr>
      <w:r>
        <w:rPr>
          <w:rFonts w:ascii="Arial" w:hAnsi="Arial" w:eastAsia="宋体" w:cs="Arial"/>
          <w:sz w:val="18"/>
          <w:szCs w:val="18"/>
          <w:vertAlign w:val="superscript"/>
        </w:rPr>
        <w:t>8</w:t>
      </w:r>
      <w:r>
        <w:rPr>
          <w:rFonts w:ascii="Arial" w:hAnsi="Arial" w:eastAsia="宋体" w:cs="Arial"/>
          <w:sz w:val="18"/>
          <w:szCs w:val="18"/>
        </w:rPr>
        <w:t>若使用食品药品监督管理局2892表的PDF启用版本，请访问：</w:t>
      </w:r>
      <w:r>
        <w:fldChar w:fldCharType="begin"/>
      </w:r>
      <w:r>
        <w:instrText xml:space="preserve"> HYPERLINK "http://www.accessdata.fda.gov/scripts/cdrh/cfdocs/cfRL/printforms.cfm" </w:instrText>
      </w:r>
      <w:r>
        <w:fldChar w:fldCharType="separate"/>
      </w:r>
      <w:r>
        <w:rPr>
          <w:rStyle w:val="8"/>
          <w:rFonts w:ascii="Arial" w:hAnsi="Arial" w:eastAsia="宋体" w:cs="Arial"/>
          <w:sz w:val="18"/>
          <w:szCs w:val="18"/>
        </w:rPr>
        <w:t>http://www.accessdata.fda.gov/scripts/cdrh/cfdocs/cfRL/printforms.cfm</w:t>
      </w:r>
      <w:r>
        <w:rPr>
          <w:rStyle w:val="8"/>
          <w:rFonts w:ascii="Arial" w:hAnsi="Arial" w:eastAsia="宋体" w:cs="Arial"/>
          <w:sz w:val="18"/>
          <w:szCs w:val="18"/>
        </w:rPr>
        <w:fldChar w:fldCharType="end"/>
      </w:r>
      <w:r>
        <w:rPr>
          <w:rFonts w:ascii="Arial" w:hAnsi="Arial" w:eastAsia="宋体" w:cs="Arial"/>
          <w:sz w:val="18"/>
          <w:szCs w:val="18"/>
        </w:rPr>
        <w:t>并点击“填表”获取食品药品监督管理局2892表。阅读填表说明并在线填写表格，然后打印填好的表格。器械列示的其它信息见：</w:t>
      </w:r>
      <w:bookmarkStart w:id="59" w:name="OLE_LINK67"/>
      <w:bookmarkStart w:id="60" w:name="OLE_LINK63"/>
      <w:r>
        <w:rPr>
          <w:rFonts w:ascii="Arial" w:hAnsi="Arial" w:eastAsia="宋体" w:cs="Arial"/>
          <w:sz w:val="18"/>
          <w:szCs w:val="18"/>
        </w:rPr>
        <w:fldChar w:fldCharType="begin"/>
      </w:r>
      <w:r>
        <w:rPr>
          <w:rFonts w:ascii="Arial" w:hAnsi="Arial" w:eastAsia="宋体" w:cs="Arial"/>
          <w:sz w:val="18"/>
          <w:szCs w:val="18"/>
        </w:rPr>
        <w:instrText xml:space="preserve"> HYPERLINK "http://www.fda.gov/cdrh/devadvice/342.html" </w:instrText>
      </w:r>
      <w:r>
        <w:rPr>
          <w:rFonts w:ascii="Arial" w:hAnsi="Arial" w:eastAsia="宋体" w:cs="Arial"/>
          <w:sz w:val="18"/>
          <w:szCs w:val="18"/>
        </w:rPr>
        <w:fldChar w:fldCharType="separate"/>
      </w:r>
      <w:r>
        <w:rPr>
          <w:rStyle w:val="8"/>
          <w:rFonts w:ascii="Arial" w:hAnsi="Arial" w:eastAsia="宋体" w:cs="Arial"/>
          <w:sz w:val="18"/>
          <w:szCs w:val="18"/>
        </w:rPr>
        <w:t>http://www.fda.gov/cdrh/devadvice/342.html</w:t>
      </w:r>
      <w:r>
        <w:rPr>
          <w:rFonts w:ascii="Arial" w:hAnsi="Arial" w:eastAsia="宋体" w:cs="Arial"/>
          <w:sz w:val="18"/>
          <w:szCs w:val="18"/>
        </w:rPr>
        <w:fldChar w:fldCharType="end"/>
      </w:r>
      <w:bookmarkEnd w:id="59"/>
      <w:bookmarkEnd w:id="60"/>
      <w:r>
        <w:rPr>
          <w:rFonts w:ascii="Arial" w:hAnsi="Arial" w:eastAsia="宋体" w:cs="Arial"/>
          <w:sz w:val="18"/>
          <w:szCs w:val="18"/>
        </w:rPr>
        <w:t>。</w:t>
      </w:r>
    </w:p>
    <w:p w14:paraId="4E598B00">
      <w:pPr>
        <w:snapToGrid w:val="0"/>
        <w:spacing w:line="300" w:lineRule="auto"/>
        <w:jc w:val="left"/>
        <w:rPr>
          <w:rFonts w:ascii="Arial" w:hAnsi="Arial" w:eastAsia="宋体" w:cs="Arial"/>
          <w:sz w:val="18"/>
          <w:szCs w:val="18"/>
        </w:rPr>
      </w:pPr>
      <w:r>
        <w:rPr>
          <w:rFonts w:ascii="Arial" w:hAnsi="Arial" w:eastAsia="宋体" w:cs="Arial"/>
          <w:sz w:val="18"/>
          <w:szCs w:val="18"/>
          <w:vertAlign w:val="superscript"/>
        </w:rPr>
        <w:t>9</w:t>
      </w:r>
      <w:r>
        <w:rPr>
          <w:rFonts w:ascii="Arial" w:hAnsi="Arial" w:eastAsia="宋体" w:cs="Arial"/>
          <w:sz w:val="18"/>
          <w:szCs w:val="18"/>
        </w:rPr>
        <w:t>保留I类器械需在销售前获得许可。见：1998年2月2日发布的用于保留I类器械列示的63 FR 5387。</w:t>
      </w:r>
    </w:p>
    <w:p w14:paraId="39F2AD0F">
      <w:pPr>
        <w:widowControl/>
        <w:jc w:val="left"/>
        <w:rPr>
          <w:rFonts w:ascii="Arial" w:hAnsi="Arial" w:eastAsia="宋体" w:cs="Arial"/>
          <w:b/>
          <w:color w:val="FF0000"/>
        </w:rPr>
      </w:pPr>
    </w:p>
    <w:p w14:paraId="42286D4E">
      <w:pPr>
        <w:snapToGrid w:val="0"/>
        <w:spacing w:line="300" w:lineRule="auto"/>
        <w:rPr>
          <w:rFonts w:ascii="Arial" w:hAnsi="Arial" w:eastAsia="宋体" w:cs="Arial"/>
        </w:rPr>
      </w:pPr>
      <w:r>
        <w:rPr>
          <w:rFonts w:ascii="Arial" w:hAnsi="Arial" w:eastAsia="宋体" w:cs="Arial"/>
        </w:rPr>
        <w:t>实质等同是根据预期用途、设计、性能、安全性、有效性、贴标、标准和其它特征（如果适用的话）而确立的，但不要求这些器械是完全相同的（21 USC § 360c（i））。另外，体外诊断器械评价和安全办公室在网上张贴了II类器械审查概要</w:t>
      </w:r>
      <w:r>
        <w:rPr>
          <w:rFonts w:ascii="Arial" w:hAnsi="Arial" w:eastAsia="宋体" w:cs="Arial"/>
          <w:vertAlign w:val="superscript"/>
        </w:rPr>
        <w:t>10</w:t>
      </w:r>
      <w:r>
        <w:rPr>
          <w:rFonts w:ascii="Arial" w:hAnsi="Arial" w:eastAsia="宋体" w:cs="Arial"/>
        </w:rPr>
        <w:t>。这些文件总结了确立II类器械与其比较器械实质等同所用的数据。为了更好地理解提交提交资料的常见元素，制造商对这些概要中提供的信息和数据类型进行审查可能是有益的。</w:t>
      </w:r>
    </w:p>
    <w:p w14:paraId="56DF0EA2">
      <w:pPr>
        <w:snapToGrid w:val="0"/>
        <w:spacing w:line="300" w:lineRule="auto"/>
        <w:rPr>
          <w:rFonts w:ascii="Arial" w:hAnsi="Arial" w:eastAsia="宋体" w:cs="Arial"/>
        </w:rPr>
      </w:pPr>
    </w:p>
    <w:p w14:paraId="2137261D">
      <w:pPr>
        <w:snapToGrid w:val="0"/>
        <w:spacing w:line="300" w:lineRule="auto"/>
        <w:rPr>
          <w:rFonts w:ascii="Arial" w:hAnsi="Arial" w:eastAsia="宋体" w:cs="Arial"/>
        </w:rPr>
      </w:pPr>
      <w:r>
        <w:rPr>
          <w:rFonts w:ascii="Arial" w:hAnsi="Arial" w:eastAsia="宋体" w:cs="Arial"/>
        </w:rPr>
        <w:t>制造商在收到宣布某器械实质等同的指令前，不得继续销售该器械（21 USC § 352（o））。</w:t>
      </w:r>
      <w:bookmarkStart w:id="61" w:name="OLE_LINK91"/>
      <w:r>
        <w:rPr>
          <w:rFonts w:ascii="Arial" w:hAnsi="Arial" w:eastAsia="宋体" w:cs="Arial"/>
        </w:rPr>
        <w:t>该</w:t>
      </w:r>
      <w:bookmarkEnd w:id="61"/>
      <w:r>
        <w:rPr>
          <w:rFonts w:ascii="Arial" w:hAnsi="Arial" w:eastAsia="宋体" w:cs="Arial"/>
        </w:rPr>
        <w:t>器械一旦被认</w:t>
      </w:r>
      <w:bookmarkStart w:id="62" w:name="OLE_LINK90"/>
      <w:r>
        <w:rPr>
          <w:rFonts w:ascii="Arial" w:hAnsi="Arial" w:eastAsia="宋体" w:cs="Arial"/>
        </w:rPr>
        <w:t>定</w:t>
      </w:r>
      <w:bookmarkEnd w:id="62"/>
      <w:r>
        <w:rPr>
          <w:rFonts w:ascii="Arial" w:hAnsi="Arial" w:eastAsia="宋体" w:cs="Arial"/>
        </w:rPr>
        <w:t>为实质等同，即可在美国销售。这意味着“许可”该器械用于商业分销。实质等同认定根据申办方提交的信息通常在90天内做出。</w:t>
      </w:r>
      <w:r>
        <w:rPr>
          <w:rFonts w:ascii="Arial" w:hAnsi="Arial" w:eastAsia="宋体" w:cs="Arial"/>
          <w:vertAlign w:val="superscript"/>
        </w:rPr>
        <w:t>11</w:t>
      </w:r>
    </w:p>
    <w:p w14:paraId="6B69BE87">
      <w:pPr>
        <w:snapToGrid w:val="0"/>
        <w:spacing w:line="300" w:lineRule="auto"/>
        <w:rPr>
          <w:rFonts w:ascii="Arial" w:hAnsi="Arial" w:eastAsia="宋体" w:cs="Arial"/>
        </w:rPr>
      </w:pPr>
    </w:p>
    <w:p w14:paraId="6FC5FD57">
      <w:pPr>
        <w:snapToGrid w:val="0"/>
        <w:spacing w:line="300" w:lineRule="auto"/>
        <w:rPr>
          <w:rFonts w:ascii="Arial" w:hAnsi="Arial" w:eastAsia="宋体" w:cs="Arial"/>
          <w:u w:val="single"/>
        </w:rPr>
      </w:pPr>
      <w:r>
        <w:rPr>
          <w:rFonts w:ascii="Arial" w:hAnsi="Arial" w:eastAsia="宋体" w:cs="Arial"/>
          <w:u w:val="single"/>
        </w:rPr>
        <w:t>更新分类</w:t>
      </w:r>
    </w:p>
    <w:p w14:paraId="78D684AA">
      <w:pPr>
        <w:snapToGrid w:val="0"/>
        <w:spacing w:line="300" w:lineRule="auto"/>
        <w:rPr>
          <w:rFonts w:ascii="Arial" w:hAnsi="Arial" w:eastAsia="宋体" w:cs="Arial"/>
        </w:rPr>
      </w:pPr>
    </w:p>
    <w:p w14:paraId="72CE8942">
      <w:pPr>
        <w:snapToGrid w:val="0"/>
        <w:spacing w:line="300" w:lineRule="auto"/>
        <w:rPr>
          <w:rFonts w:ascii="Arial" w:hAnsi="Arial" w:eastAsia="宋体" w:cs="Arial"/>
        </w:rPr>
      </w:pPr>
      <w:r>
        <w:rPr>
          <w:rFonts w:ascii="Arial" w:hAnsi="Arial" w:eastAsia="宋体" w:cs="Arial"/>
        </w:rPr>
        <w:t>更新流程</w:t>
      </w:r>
      <w:r>
        <w:rPr>
          <w:rFonts w:ascii="Arial" w:hAnsi="Arial" w:eastAsia="宋体" w:cs="Arial"/>
          <w:vertAlign w:val="superscript"/>
        </w:rPr>
        <w:t>12</w:t>
      </w:r>
      <w:r>
        <w:rPr>
          <w:rFonts w:ascii="Arial" w:hAnsi="Arial" w:eastAsia="宋体" w:cs="Arial"/>
        </w:rPr>
        <w:t>是适用于某些新器械的一种机制。这些新器械已自动归为III类器械且无法识别为相同的比较器械。该流程允许制造商基于风险申请将符合I类或II类器械定义的III类器械调低分类为具有中低风险的I类或II类器械（21 USC § 360c（f）（2））。</w:t>
      </w:r>
    </w:p>
    <w:p w14:paraId="0BFC86C6">
      <w:pPr>
        <w:snapToGrid w:val="0"/>
        <w:spacing w:line="300" w:lineRule="auto"/>
        <w:rPr>
          <w:rFonts w:ascii="Arial" w:hAnsi="Arial" w:eastAsia="宋体" w:cs="Arial"/>
        </w:rPr>
      </w:pPr>
    </w:p>
    <w:p w14:paraId="000FFDDF">
      <w:pPr>
        <w:snapToGrid w:val="0"/>
        <w:spacing w:line="300" w:lineRule="auto"/>
        <w:rPr>
          <w:rFonts w:ascii="Arial" w:hAnsi="Arial" w:eastAsia="宋体" w:cs="Arial"/>
        </w:rPr>
      </w:pPr>
      <w:r>
        <w:rPr>
          <w:rFonts w:ascii="Arial" w:hAnsi="Arial" w:eastAsia="宋体" w:cs="Arial"/>
        </w:rPr>
        <w:t>通过更新流程对一种器械进行分类时，一种新法规就应运而生。该法规对器械类型做出了描述。对II类器械，该法规则通常对一个特殊控制指南做出描述（21 USC §§ 360c（a）（1）（B）, 360c（e）（2））。该特殊控制指南详细描述了器械类型的范围和用于提交具有相同预期用途后续器械的推荐规范。</w:t>
      </w:r>
    </w:p>
    <w:p w14:paraId="3A70F36B">
      <w:pPr>
        <w:snapToGrid w:val="0"/>
        <w:spacing w:line="300" w:lineRule="auto"/>
        <w:rPr>
          <w:rFonts w:ascii="Arial" w:hAnsi="Arial" w:eastAsia="宋体" w:cs="Arial"/>
        </w:rPr>
      </w:pPr>
    </w:p>
    <w:p w14:paraId="7AB7E31B">
      <w:pPr>
        <w:snapToGrid w:val="0"/>
        <w:spacing w:line="300" w:lineRule="auto"/>
        <w:rPr>
          <w:rFonts w:ascii="Arial" w:hAnsi="Arial" w:eastAsia="宋体" w:cs="Arial"/>
        </w:rPr>
      </w:pPr>
      <w:r>
        <w:rPr>
          <w:rFonts w:ascii="Arial" w:hAnsi="Arial" w:eastAsia="宋体" w:cs="Arial"/>
        </w:rPr>
        <w:t>通过更新流程归为II类的器械可用作具有相同预期用途其它器械的比较器械（21 USC § 360c（f）（2）（B））。请注意，如果如下所述将一种器械认定为III类高风险器械，将不准提出更新申请并要求器械制造商提交上市前批准申请（21 USC § 360c（f）（2）（B）（ii））。因为这个原因，我们建议认为其新器械可能符合调低分类条件的任何制造商在提交更新510（k）提交资料前与食品药品监督管理局进行协商。</w:t>
      </w:r>
    </w:p>
    <w:p w14:paraId="4C2D869D">
      <w:pPr>
        <w:snapToGrid w:val="0"/>
        <w:spacing w:line="300" w:lineRule="auto"/>
        <w:rPr>
          <w:rFonts w:ascii="Arial" w:hAnsi="Arial" w:eastAsia="宋体" w:cs="Arial"/>
        </w:rPr>
      </w:pPr>
    </w:p>
    <w:p w14:paraId="702DB531">
      <w:pPr>
        <w:snapToGrid w:val="0"/>
        <w:spacing w:line="300" w:lineRule="auto"/>
        <w:rPr>
          <w:rFonts w:ascii="Arial" w:hAnsi="Arial" w:eastAsia="宋体" w:cs="Arial"/>
          <w:u w:val="single"/>
        </w:rPr>
      </w:pPr>
      <w:r>
        <w:rPr>
          <w:rFonts w:ascii="Arial" w:hAnsi="Arial" w:eastAsia="宋体" w:cs="Arial"/>
          <w:u w:val="single"/>
        </w:rPr>
        <w:t>上市前批准（PMA）</w:t>
      </w:r>
    </w:p>
    <w:p w14:paraId="55C0713B">
      <w:pPr>
        <w:snapToGrid w:val="0"/>
        <w:spacing w:line="300" w:lineRule="auto"/>
        <w:rPr>
          <w:rFonts w:ascii="Arial" w:hAnsi="Arial" w:eastAsia="宋体" w:cs="Arial"/>
        </w:rPr>
      </w:pPr>
    </w:p>
    <w:p w14:paraId="5444648F">
      <w:pPr>
        <w:snapToGrid w:val="0"/>
        <w:spacing w:line="300" w:lineRule="auto"/>
        <w:rPr>
          <w:rFonts w:ascii="Arial" w:hAnsi="Arial" w:eastAsia="宋体" w:cs="Arial"/>
        </w:rPr>
      </w:pPr>
    </w:p>
    <w:p w14:paraId="1CEEE286">
      <w:pPr>
        <w:snapToGrid w:val="0"/>
        <w:spacing w:line="300" w:lineRule="auto"/>
        <w:rPr>
          <w:rFonts w:ascii="Arial" w:hAnsi="Arial" w:eastAsia="宋体" w:cs="Arial"/>
        </w:rPr>
      </w:pPr>
    </w:p>
    <w:p w14:paraId="2052F8ED">
      <w:pPr>
        <w:snapToGrid w:val="0"/>
        <w:spacing w:line="300" w:lineRule="auto"/>
        <w:rPr>
          <w:rFonts w:ascii="Arial" w:hAnsi="Arial" w:eastAsia="宋体" w:cs="Arial"/>
        </w:rPr>
      </w:pPr>
    </w:p>
    <w:p w14:paraId="4779A3D1">
      <w:pPr>
        <w:snapToGrid w:val="0"/>
        <w:spacing w:line="300" w:lineRule="auto"/>
        <w:rPr>
          <w:rFonts w:ascii="Arial" w:hAnsi="Arial" w:eastAsia="宋体" w:cs="Arial"/>
        </w:rPr>
      </w:pPr>
    </w:p>
    <w:p w14:paraId="0E725229">
      <w:pPr>
        <w:snapToGrid w:val="0"/>
        <w:spacing w:line="300" w:lineRule="auto"/>
        <w:rPr>
          <w:rFonts w:ascii="Arial" w:hAnsi="Arial" w:eastAsia="宋体" w:cs="Arial"/>
        </w:rPr>
      </w:pPr>
    </w:p>
    <w:p w14:paraId="1CF9E73B">
      <w:pPr>
        <w:snapToGrid w:val="0"/>
        <w:spacing w:line="300" w:lineRule="auto"/>
        <w:rPr>
          <w:rFonts w:ascii="Arial" w:hAnsi="Arial" w:eastAsia="宋体" w:cs="Arial"/>
        </w:rPr>
      </w:pPr>
    </w:p>
    <w:p w14:paraId="760B50A4">
      <w:pPr>
        <w:snapToGrid w:val="0"/>
        <w:spacing w:line="300" w:lineRule="auto"/>
        <w:rPr>
          <w:rFonts w:ascii="Arial" w:hAnsi="Arial" w:eastAsia="宋体" w:cs="Arial"/>
        </w:rPr>
      </w:pPr>
    </w:p>
    <w:p w14:paraId="473C465A">
      <w:pPr>
        <w:snapToGrid w:val="0"/>
        <w:spacing w:line="300" w:lineRule="auto"/>
        <w:rPr>
          <w:rFonts w:ascii="Arial" w:hAnsi="Arial" w:eastAsia="宋体" w:cs="Arial"/>
        </w:rPr>
      </w:pPr>
      <w:r>
        <w:rPr>
          <w:rFonts w:ascii="Arial" w:hAnsi="Arial" w:eastAsia="宋体" w:cs="Arial"/>
        </w:rPr>
        <w:t>_____________________________</w:t>
      </w:r>
    </w:p>
    <w:p w14:paraId="1D8D8CBE">
      <w:pPr>
        <w:snapToGrid w:val="0"/>
        <w:spacing w:line="300" w:lineRule="auto"/>
        <w:jc w:val="left"/>
        <w:rPr>
          <w:rFonts w:ascii="Arial" w:hAnsi="Arial" w:eastAsia="宋体" w:cs="Arial"/>
          <w:sz w:val="18"/>
          <w:szCs w:val="18"/>
        </w:rPr>
      </w:pPr>
      <w:r>
        <w:rPr>
          <w:rFonts w:ascii="Arial" w:hAnsi="Arial" w:eastAsia="宋体" w:cs="Arial"/>
          <w:sz w:val="18"/>
          <w:szCs w:val="18"/>
          <w:vertAlign w:val="superscript"/>
        </w:rPr>
        <w:t>10</w:t>
      </w:r>
      <w:r>
        <w:rPr>
          <w:rFonts w:ascii="Arial" w:hAnsi="Arial" w:eastAsia="宋体" w:cs="Arial"/>
          <w:sz w:val="18"/>
          <w:szCs w:val="18"/>
        </w:rPr>
        <w:t>关于已获许可II类器械的一个可搜索数据库见：</w:t>
      </w:r>
      <w:r>
        <w:fldChar w:fldCharType="begin"/>
      </w:r>
      <w:r>
        <w:instrText xml:space="preserve"> HYPERLINK "http://www.accessdata.fda.gov/scripts/cdrh/cfdocs/cfPMN/pmn.cfm?IVDProducts=on" </w:instrText>
      </w:r>
      <w:r>
        <w:fldChar w:fldCharType="separate"/>
      </w:r>
      <w:r>
        <w:rPr>
          <w:rStyle w:val="8"/>
          <w:rFonts w:ascii="Arial" w:hAnsi="Arial" w:eastAsia="宋体" w:cs="Arial"/>
          <w:sz w:val="18"/>
          <w:szCs w:val="18"/>
        </w:rPr>
        <w:t>http://www.accessdata.fda.gov/scripts/cdrh/cfdocs/cfPMN/pmn.cfm?IVDProducts=on</w:t>
      </w:r>
      <w:r>
        <w:rPr>
          <w:rStyle w:val="8"/>
          <w:rFonts w:ascii="Arial" w:hAnsi="Arial" w:eastAsia="宋体" w:cs="Arial"/>
          <w:sz w:val="18"/>
          <w:szCs w:val="18"/>
        </w:rPr>
        <w:fldChar w:fldCharType="end"/>
      </w:r>
      <w:r>
        <w:rPr>
          <w:rFonts w:ascii="Arial" w:hAnsi="Arial" w:eastAsia="宋体" w:cs="Arial"/>
          <w:sz w:val="18"/>
          <w:szCs w:val="18"/>
        </w:rPr>
        <w:t>。</w:t>
      </w:r>
    </w:p>
    <w:p w14:paraId="1E72913D">
      <w:pPr>
        <w:snapToGrid w:val="0"/>
        <w:spacing w:line="300" w:lineRule="auto"/>
        <w:jc w:val="left"/>
        <w:rPr>
          <w:rFonts w:ascii="Arial" w:hAnsi="Arial" w:eastAsia="宋体" w:cs="Arial"/>
          <w:sz w:val="18"/>
          <w:szCs w:val="18"/>
        </w:rPr>
      </w:pPr>
      <w:r>
        <w:rPr>
          <w:rFonts w:ascii="Arial" w:hAnsi="Arial" w:eastAsia="宋体" w:cs="Arial"/>
          <w:sz w:val="18"/>
          <w:szCs w:val="18"/>
          <w:vertAlign w:val="superscript"/>
        </w:rPr>
        <w:t>11</w:t>
      </w:r>
      <w:r>
        <w:rPr>
          <w:rFonts w:ascii="Arial" w:hAnsi="Arial" w:eastAsia="宋体" w:cs="Arial"/>
          <w:sz w:val="18"/>
          <w:szCs w:val="18"/>
        </w:rPr>
        <w:t xml:space="preserve">关于上市前通告的补充信息见： </w:t>
      </w:r>
      <w:r>
        <w:fldChar w:fldCharType="begin"/>
      </w:r>
      <w:r>
        <w:instrText xml:space="preserve"> HYPERLINK "http://www.fda.gov/cdrh/devadvice/314.html" </w:instrText>
      </w:r>
      <w:r>
        <w:fldChar w:fldCharType="separate"/>
      </w:r>
      <w:r>
        <w:rPr>
          <w:rStyle w:val="8"/>
          <w:rFonts w:ascii="Arial" w:hAnsi="Arial" w:eastAsia="宋体" w:cs="Arial"/>
          <w:sz w:val="18"/>
          <w:szCs w:val="18"/>
        </w:rPr>
        <w:t>http://www.fda.gov/cdrh/devadvice/314.html</w:t>
      </w:r>
      <w:r>
        <w:rPr>
          <w:rStyle w:val="8"/>
          <w:rFonts w:ascii="Arial" w:hAnsi="Arial" w:eastAsia="宋体" w:cs="Arial"/>
          <w:sz w:val="18"/>
          <w:szCs w:val="18"/>
        </w:rPr>
        <w:fldChar w:fldCharType="end"/>
      </w:r>
      <w:r>
        <w:rPr>
          <w:rFonts w:ascii="Arial" w:hAnsi="Arial" w:eastAsia="宋体" w:cs="Arial"/>
          <w:sz w:val="18"/>
          <w:szCs w:val="18"/>
        </w:rPr>
        <w:t>。</w:t>
      </w:r>
    </w:p>
    <w:p w14:paraId="27BAE3A7">
      <w:pPr>
        <w:snapToGrid w:val="0"/>
        <w:spacing w:line="300" w:lineRule="auto"/>
        <w:jc w:val="left"/>
        <w:rPr>
          <w:rFonts w:ascii="Arial" w:hAnsi="Arial" w:eastAsia="宋体" w:cs="Arial"/>
          <w:sz w:val="18"/>
          <w:szCs w:val="18"/>
        </w:rPr>
      </w:pPr>
      <w:r>
        <w:rPr>
          <w:rFonts w:ascii="Arial" w:hAnsi="Arial" w:eastAsia="宋体" w:cs="Arial"/>
          <w:sz w:val="18"/>
          <w:szCs w:val="18"/>
          <w:vertAlign w:val="superscript"/>
        </w:rPr>
        <w:t>12</w:t>
      </w:r>
      <w:r>
        <w:rPr>
          <w:rFonts w:ascii="Arial" w:hAnsi="Arial" w:eastAsia="宋体" w:cs="Arial"/>
          <w:sz w:val="18"/>
          <w:szCs w:val="18"/>
        </w:rPr>
        <w:t>关于更新流程的补充信息见：</w:t>
      </w:r>
      <w:r>
        <w:fldChar w:fldCharType="begin"/>
      </w:r>
      <w:r>
        <w:instrText xml:space="preserve"> HYPERLINK "http://www.fda.gov/cdrh/modact/clasiii.pdf" </w:instrText>
      </w:r>
      <w:r>
        <w:fldChar w:fldCharType="separate"/>
      </w:r>
      <w:r>
        <w:rPr>
          <w:rStyle w:val="8"/>
          <w:rFonts w:ascii="Arial" w:hAnsi="Arial" w:eastAsia="宋体" w:cs="Arial"/>
          <w:sz w:val="18"/>
          <w:szCs w:val="18"/>
        </w:rPr>
        <w:t>http://www.fda.gov/cdrh/modact/clasiii.pdf</w:t>
      </w:r>
      <w:r>
        <w:rPr>
          <w:rStyle w:val="8"/>
          <w:rFonts w:ascii="Arial" w:hAnsi="Arial" w:eastAsia="宋体" w:cs="Arial"/>
          <w:sz w:val="18"/>
          <w:szCs w:val="18"/>
        </w:rPr>
        <w:fldChar w:fldCharType="end"/>
      </w:r>
      <w:r>
        <w:rPr>
          <w:rFonts w:ascii="Arial" w:hAnsi="Arial" w:eastAsia="宋体" w:cs="Arial"/>
          <w:sz w:val="18"/>
          <w:szCs w:val="18"/>
        </w:rPr>
        <w:t>。</w:t>
      </w:r>
    </w:p>
    <w:p w14:paraId="6BBA669D">
      <w:pPr>
        <w:widowControl/>
        <w:jc w:val="left"/>
        <w:rPr>
          <w:rFonts w:ascii="Arial" w:hAnsi="Arial" w:eastAsia="宋体" w:cs="Arial"/>
          <w:b/>
          <w:color w:val="FF0000"/>
        </w:rPr>
      </w:pPr>
    </w:p>
    <w:p w14:paraId="21A760EF">
      <w:pPr>
        <w:snapToGrid w:val="0"/>
        <w:spacing w:line="300" w:lineRule="auto"/>
        <w:rPr>
          <w:rFonts w:ascii="Arial" w:hAnsi="Arial" w:eastAsia="宋体" w:cs="Arial"/>
        </w:rPr>
      </w:pPr>
      <w:r>
        <w:rPr>
          <w:rFonts w:ascii="Arial" w:hAnsi="Arial" w:eastAsia="宋体" w:cs="Arial"/>
        </w:rPr>
        <w:t>上市前批准是食品药品监督管理局为对III类医疗器械的安全性和有效性进行评价而设置的科学和监管审查流程。III类器械是指那些支持或维持人的生命、在预防对人体健康造成损害方面具有实质意义或带来一种潜在、不合理的疾病或损伤风险的器械（21 USC § 360c（a）（1）（C））。大多数III类器械在销售前需根据法案第515节的规定由食品药品监督管理局批准其上市前批准申请（PMA）（21 USC § 360e（a））。对上市前批准申请的批准是根据食品药品监督管理局的一个认定作出的。该认定的内涵是该申请中包含了可对该器械用于其预期用途时安全、有效提供合理保证的全部研究报告（21 USC § 360e（c）（1））。对于上市前批准申请中用于应对质量体系要求的部分，食品药品监督管理局将与申请人同心协力共同确定用于开发此类系统的最小负担法。</w:t>
      </w:r>
    </w:p>
    <w:p w14:paraId="1AA1AF79">
      <w:pPr>
        <w:snapToGrid w:val="0"/>
        <w:spacing w:line="300" w:lineRule="auto"/>
        <w:rPr>
          <w:rFonts w:ascii="Arial" w:hAnsi="Arial" w:eastAsia="宋体" w:cs="Arial"/>
        </w:rPr>
      </w:pPr>
    </w:p>
    <w:p w14:paraId="1256B0BE">
      <w:pPr>
        <w:snapToGrid w:val="0"/>
        <w:spacing w:line="300" w:lineRule="auto"/>
        <w:rPr>
          <w:rFonts w:ascii="Arial" w:hAnsi="Arial" w:eastAsia="宋体" w:cs="Arial"/>
          <w:b/>
        </w:rPr>
      </w:pPr>
      <w:r>
        <w:rPr>
          <w:rFonts w:ascii="Arial" w:hAnsi="Arial" w:eastAsia="宋体" w:cs="Arial"/>
          <w:b/>
        </w:rPr>
        <w:t>适用于罕见疾病诊断的人道主义用途豁免</w:t>
      </w:r>
    </w:p>
    <w:p w14:paraId="78A4BA85">
      <w:pPr>
        <w:snapToGrid w:val="0"/>
        <w:spacing w:line="300" w:lineRule="auto"/>
        <w:rPr>
          <w:rFonts w:ascii="Arial" w:hAnsi="Arial" w:eastAsia="宋体" w:cs="Arial"/>
        </w:rPr>
      </w:pPr>
    </w:p>
    <w:p w14:paraId="14A4F009">
      <w:pPr>
        <w:snapToGrid w:val="0"/>
        <w:spacing w:line="300" w:lineRule="auto"/>
        <w:rPr>
          <w:rFonts w:ascii="Arial" w:hAnsi="Arial" w:eastAsia="宋体" w:cs="Arial"/>
        </w:rPr>
      </w:pPr>
      <w:r>
        <w:rPr>
          <w:rFonts w:ascii="Arial" w:hAnsi="Arial" w:eastAsia="宋体" w:cs="Arial"/>
        </w:rPr>
        <w:t>人道主义用途器械（HUD）（21 CFR第814部H亚部）是拟通过对每年在美国累及或出现症状人数少于4,000人的某种疾病或病理状态的治疗或诊断而使患者受益的一类器械。该法规的人道主义用途器械条款为这类器械提供了简短的监管路径。设立该条款的目的是激励开发商开发器械，用于治疗或诊断影响这些人群的疾病。</w:t>
      </w:r>
    </w:p>
    <w:p w14:paraId="01A558BE">
      <w:pPr>
        <w:snapToGrid w:val="0"/>
        <w:spacing w:line="300" w:lineRule="auto"/>
        <w:rPr>
          <w:rFonts w:ascii="Arial" w:hAnsi="Arial" w:eastAsia="宋体" w:cs="Arial"/>
        </w:rPr>
      </w:pPr>
    </w:p>
    <w:p w14:paraId="0ED94743">
      <w:pPr>
        <w:snapToGrid w:val="0"/>
        <w:spacing w:line="300" w:lineRule="auto"/>
        <w:rPr>
          <w:rFonts w:ascii="Arial" w:hAnsi="Arial" w:eastAsia="宋体" w:cs="Arial"/>
        </w:rPr>
      </w:pPr>
      <w:r>
        <w:rPr>
          <w:rFonts w:ascii="Arial" w:hAnsi="Arial" w:eastAsia="宋体" w:cs="Arial"/>
        </w:rPr>
        <w:t>对于实验室开发的符合人道主义用途器械定义的IVDMIA，食品药品监督管理局计划继续就监管要求行使执法自由裁量权。</w:t>
      </w:r>
    </w:p>
    <w:p w14:paraId="146F6132">
      <w:pPr>
        <w:snapToGrid w:val="0"/>
        <w:spacing w:line="300" w:lineRule="auto"/>
        <w:rPr>
          <w:rFonts w:ascii="Arial" w:hAnsi="Arial" w:eastAsia="宋体" w:cs="Arial"/>
        </w:rPr>
      </w:pPr>
    </w:p>
    <w:p w14:paraId="729EB589">
      <w:pPr>
        <w:snapToGrid w:val="0"/>
        <w:spacing w:line="300" w:lineRule="auto"/>
        <w:rPr>
          <w:rFonts w:ascii="Arial" w:hAnsi="Arial" w:eastAsia="宋体" w:cs="Arial"/>
          <w:b/>
        </w:rPr>
      </w:pPr>
      <w:r>
        <w:rPr>
          <w:rFonts w:ascii="Arial" w:hAnsi="Arial" w:eastAsia="宋体" w:cs="Arial"/>
          <w:b/>
        </w:rPr>
        <w:t>对已获许可或批准IVDMIA的改进</w:t>
      </w:r>
    </w:p>
    <w:p w14:paraId="2EE67346">
      <w:pPr>
        <w:snapToGrid w:val="0"/>
        <w:spacing w:line="300" w:lineRule="auto"/>
        <w:rPr>
          <w:rFonts w:ascii="Arial" w:hAnsi="Arial" w:eastAsia="宋体" w:cs="Arial"/>
        </w:rPr>
      </w:pPr>
    </w:p>
    <w:p w14:paraId="67735654">
      <w:pPr>
        <w:snapToGrid w:val="0"/>
        <w:spacing w:line="300" w:lineRule="auto"/>
        <w:rPr>
          <w:rFonts w:ascii="Arial" w:hAnsi="Arial" w:eastAsia="宋体" w:cs="Arial"/>
        </w:rPr>
      </w:pPr>
      <w:r>
        <w:rPr>
          <w:rFonts w:ascii="Arial" w:hAnsi="Arial" w:eastAsia="宋体" w:cs="Arial"/>
        </w:rPr>
        <w:t>食品药品监督管理局有一系列既定机制适应所有医疗器械（包括体外诊断器械）的迭代特性。</w:t>
      </w:r>
    </w:p>
    <w:p w14:paraId="195A1E09">
      <w:pPr>
        <w:snapToGrid w:val="0"/>
        <w:spacing w:line="300" w:lineRule="auto"/>
        <w:rPr>
          <w:rFonts w:ascii="Arial" w:hAnsi="Arial" w:eastAsia="宋体" w:cs="Arial"/>
        </w:rPr>
      </w:pPr>
    </w:p>
    <w:p w14:paraId="6F9E2071">
      <w:pPr>
        <w:snapToGrid w:val="0"/>
        <w:spacing w:line="300" w:lineRule="auto"/>
        <w:rPr>
          <w:rFonts w:ascii="Arial" w:hAnsi="Arial" w:eastAsia="宋体" w:cs="Arial"/>
        </w:rPr>
      </w:pPr>
      <w:r>
        <w:rPr>
          <w:rFonts w:ascii="Arial" w:hAnsi="Arial" w:eastAsia="宋体" w:cs="Arial"/>
        </w:rPr>
        <w:t>对II类器械的产品设计做出较小变更的器械制造商应查阅食品药品监督管理局标题为“决定何时提交510（k）提交资料用于现有器械变更</w:t>
      </w:r>
      <w:r>
        <w:rPr>
          <w:rFonts w:ascii="Arial" w:hAnsi="Arial" w:eastAsia="宋体" w:cs="Arial"/>
          <w:vertAlign w:val="superscript"/>
        </w:rPr>
        <w:t>13</w:t>
      </w:r>
      <w:r>
        <w:rPr>
          <w:rFonts w:ascii="Arial" w:hAnsi="Arial" w:eastAsia="宋体" w:cs="Arial"/>
        </w:rPr>
        <w:t>”的指南。只要器械性能无重大变更，该文件描述的推荐规范允许不重新提交510（k）提交资料即可对已获许可器械做出较小变更。体外诊断器械评价和安全办公室认为有必要对体外诊断器械不断做出改进；</w:t>
      </w:r>
      <w:bookmarkStart w:id="63" w:name="OLE_LINK27"/>
      <w:bookmarkStart w:id="64" w:name="OLE_LINK29"/>
      <w:r>
        <w:rPr>
          <w:rFonts w:ascii="Arial" w:hAnsi="Arial" w:eastAsia="宋体" w:cs="Arial"/>
        </w:rPr>
        <w:t>对510（k）申请已获</w:t>
      </w:r>
      <w:bookmarkEnd w:id="63"/>
      <w:bookmarkEnd w:id="64"/>
      <w:r>
        <w:rPr>
          <w:rFonts w:ascii="Arial" w:hAnsi="Arial" w:eastAsia="宋体" w:cs="Arial"/>
        </w:rPr>
        <w:t>许可的器械，</w:t>
      </w:r>
      <w:bookmarkStart w:id="65" w:name="OLE_LINK28"/>
      <w:r>
        <w:rPr>
          <w:rFonts w:ascii="Arial" w:hAnsi="Arial" w:eastAsia="宋体" w:cs="Arial"/>
        </w:rPr>
        <w:t>制造商可以</w:t>
      </w:r>
      <w:bookmarkEnd w:id="65"/>
      <w:r>
        <w:rPr>
          <w:rFonts w:ascii="Arial" w:hAnsi="Arial" w:eastAsia="宋体" w:cs="Arial"/>
        </w:rPr>
        <w:t>安全地做出许多变更并予以确认；实施变更前，用于支持变更的证明文件可实时保存，不需食品药品监督管理局审查。</w:t>
      </w:r>
    </w:p>
    <w:p w14:paraId="1E4364E0">
      <w:pPr>
        <w:snapToGrid w:val="0"/>
        <w:spacing w:line="300" w:lineRule="auto"/>
        <w:rPr>
          <w:rFonts w:ascii="Arial" w:hAnsi="Arial" w:eastAsia="宋体" w:cs="Arial"/>
        </w:rPr>
      </w:pPr>
    </w:p>
    <w:p w14:paraId="135413D1">
      <w:pPr>
        <w:snapToGrid w:val="0"/>
        <w:spacing w:line="300" w:lineRule="auto"/>
        <w:rPr>
          <w:rFonts w:ascii="Arial" w:hAnsi="Arial" w:eastAsia="宋体" w:cs="Arial"/>
        </w:rPr>
      </w:pPr>
      <w:r>
        <w:rPr>
          <w:rFonts w:ascii="Arial" w:hAnsi="Arial" w:eastAsia="宋体" w:cs="Arial"/>
        </w:rPr>
        <w:t>对产品设计作出重大变更但未对预期用途或基本技术做出变更的II类体外诊断器械制造商可根据“510（k）新范本－在上市前通告中证明实质等同的备选方法</w:t>
      </w:r>
      <w:r>
        <w:rPr>
          <w:rFonts w:ascii="Arial" w:hAnsi="Arial" w:eastAsia="宋体" w:cs="Arial"/>
          <w:vertAlign w:val="superscript"/>
        </w:rPr>
        <w:t>14</w:t>
      </w:r>
      <w:r>
        <w:rPr>
          <w:rFonts w:ascii="Arial" w:hAnsi="Arial" w:eastAsia="宋体" w:cs="Arial"/>
        </w:rPr>
        <w:t>”所述提交一份称作“特别版510（k）提交资料”的改进提交资料。这份文件根据与器械改进相关的重点信息留出了一个改进（30天）审查流程。其中的重点信息包括了对用于制造器械的设计控制工作的概述、对用于评估器械改进影响的风险分析的鉴定、对验证和/或确认工作的鉴定以及对符合设计控制的声明。</w:t>
      </w:r>
    </w:p>
    <w:p w14:paraId="49C91EF5">
      <w:pPr>
        <w:snapToGrid w:val="0"/>
        <w:spacing w:line="300" w:lineRule="auto"/>
        <w:rPr>
          <w:rFonts w:ascii="Arial" w:hAnsi="Arial" w:eastAsia="宋体" w:cs="Arial"/>
        </w:rPr>
      </w:pPr>
    </w:p>
    <w:p w14:paraId="5626F354">
      <w:pPr>
        <w:snapToGrid w:val="0"/>
        <w:spacing w:line="300" w:lineRule="auto"/>
        <w:rPr>
          <w:rFonts w:ascii="Arial" w:hAnsi="Arial" w:eastAsia="宋体" w:cs="Arial"/>
        </w:rPr>
      </w:pPr>
      <w:r>
        <w:rPr>
          <w:rFonts w:ascii="Arial" w:hAnsi="Arial" w:eastAsia="宋体" w:cs="Arial"/>
        </w:rPr>
        <w:t>____________________________</w:t>
      </w:r>
    </w:p>
    <w:p w14:paraId="2CFD9000">
      <w:pPr>
        <w:snapToGrid w:val="0"/>
        <w:spacing w:line="300" w:lineRule="auto"/>
        <w:rPr>
          <w:rFonts w:ascii="Arial" w:hAnsi="Arial" w:eastAsia="宋体" w:cs="Arial"/>
          <w:sz w:val="18"/>
          <w:szCs w:val="18"/>
        </w:rPr>
      </w:pPr>
      <w:r>
        <w:rPr>
          <w:rFonts w:ascii="Arial" w:hAnsi="Arial" w:eastAsia="宋体" w:cs="Arial"/>
          <w:sz w:val="18"/>
          <w:szCs w:val="18"/>
          <w:vertAlign w:val="superscript"/>
        </w:rPr>
        <w:t>13</w:t>
      </w:r>
      <w:r>
        <w:fldChar w:fldCharType="begin"/>
      </w:r>
      <w:r>
        <w:instrText xml:space="preserve"> HYPERLINK "http://www.fda.gov/cdrh/ode/510kmod.html" </w:instrText>
      </w:r>
      <w:r>
        <w:fldChar w:fldCharType="separate"/>
      </w:r>
      <w:r>
        <w:rPr>
          <w:rStyle w:val="8"/>
          <w:rFonts w:ascii="Arial" w:hAnsi="Arial" w:eastAsia="宋体" w:cs="Arial"/>
          <w:sz w:val="18"/>
          <w:szCs w:val="18"/>
        </w:rPr>
        <w:t>http://www.fda.gov/cdrh/ode/510kmod.html</w:t>
      </w:r>
      <w:r>
        <w:rPr>
          <w:rStyle w:val="8"/>
          <w:rFonts w:ascii="Arial" w:hAnsi="Arial" w:eastAsia="宋体" w:cs="Arial"/>
          <w:sz w:val="18"/>
          <w:szCs w:val="18"/>
        </w:rPr>
        <w:fldChar w:fldCharType="end"/>
      </w:r>
    </w:p>
    <w:p w14:paraId="60DDE37E">
      <w:pPr>
        <w:snapToGrid w:val="0"/>
        <w:spacing w:line="300" w:lineRule="auto"/>
        <w:rPr>
          <w:rFonts w:ascii="Arial" w:hAnsi="Arial" w:eastAsia="宋体" w:cs="Arial"/>
          <w:sz w:val="18"/>
          <w:szCs w:val="18"/>
        </w:rPr>
      </w:pPr>
      <w:r>
        <w:rPr>
          <w:rFonts w:ascii="Arial" w:hAnsi="Arial" w:eastAsia="宋体" w:cs="Arial"/>
          <w:sz w:val="18"/>
          <w:szCs w:val="18"/>
          <w:vertAlign w:val="superscript"/>
        </w:rPr>
        <w:t>14</w:t>
      </w:r>
      <w:r>
        <w:rPr>
          <w:rFonts w:ascii="Arial" w:hAnsi="Arial" w:eastAsia="宋体" w:cs="Arial"/>
          <w:sz w:val="18"/>
          <w:szCs w:val="18"/>
        </w:rPr>
        <w:t>1998年3月发布的最终指南：</w:t>
      </w:r>
      <w:r>
        <w:fldChar w:fldCharType="begin"/>
      </w:r>
      <w:r>
        <w:instrText xml:space="preserve"> HYPERLINK "http://www.fda.gov/cdrh/ode/parad510.html" </w:instrText>
      </w:r>
      <w:r>
        <w:fldChar w:fldCharType="separate"/>
      </w:r>
      <w:r>
        <w:rPr>
          <w:rStyle w:val="8"/>
          <w:rFonts w:ascii="Arial" w:hAnsi="Arial" w:eastAsia="宋体" w:cs="Arial"/>
          <w:sz w:val="18"/>
          <w:szCs w:val="18"/>
        </w:rPr>
        <w:t>http://www.fda.gov/cdrh/ode/parad510.html</w:t>
      </w:r>
      <w:r>
        <w:rPr>
          <w:rStyle w:val="8"/>
          <w:rFonts w:ascii="Arial" w:hAnsi="Arial" w:eastAsia="宋体" w:cs="Arial"/>
          <w:sz w:val="18"/>
          <w:szCs w:val="18"/>
        </w:rPr>
        <w:fldChar w:fldCharType="end"/>
      </w:r>
    </w:p>
    <w:p w14:paraId="522B12CF">
      <w:pPr>
        <w:snapToGrid w:val="0"/>
        <w:spacing w:line="300" w:lineRule="auto"/>
        <w:rPr>
          <w:rFonts w:ascii="Arial" w:hAnsi="Arial" w:eastAsia="宋体" w:cs="Arial"/>
        </w:rPr>
      </w:pPr>
      <w:r>
        <w:rPr>
          <w:rFonts w:ascii="Arial" w:hAnsi="Arial" w:eastAsia="宋体" w:cs="Arial"/>
        </w:rPr>
        <w:t>对经过上市前批准申请获得批准的III类器械的变更根据器械改进程度以不同方式进行处理。对生产规程或生产方法做出改进的III类体外诊断器械制造商可提交一份称作上市前批准申请30天补充申请的改进提交资料。对III类器械的较小改进采用称作实时补充申请的一种上市前批准补充申请进行审查。提供该申请的目的是供食品药品监督管理局实时进行重点、高效审查。对重要改进（包括改变器械预期用途或基本技术的改进）在其它类型上市前批准补充申请的背景下进行审查。然而，对这些补充申请并不总是需要对生产信息进行新的审查或对设施进行新的检查</w:t>
      </w:r>
      <w:r>
        <w:rPr>
          <w:rFonts w:ascii="Arial" w:hAnsi="Arial" w:eastAsia="宋体" w:cs="Arial"/>
          <w:vertAlign w:val="superscript"/>
        </w:rPr>
        <w:t>15</w:t>
      </w:r>
      <w:r>
        <w:rPr>
          <w:rFonts w:ascii="Arial" w:hAnsi="Arial" w:eastAsia="宋体" w:cs="Arial"/>
        </w:rPr>
        <w:t>。</w:t>
      </w:r>
    </w:p>
    <w:p w14:paraId="42965393">
      <w:pPr>
        <w:snapToGrid w:val="0"/>
        <w:spacing w:line="300" w:lineRule="auto"/>
        <w:rPr>
          <w:rFonts w:ascii="Arial" w:hAnsi="Arial" w:eastAsia="宋体" w:cs="Arial"/>
        </w:rPr>
      </w:pPr>
    </w:p>
    <w:p w14:paraId="1FCBC69B">
      <w:pPr>
        <w:snapToGrid w:val="0"/>
        <w:spacing w:line="300" w:lineRule="auto"/>
        <w:rPr>
          <w:rFonts w:ascii="Arial" w:hAnsi="Arial" w:eastAsia="宋体" w:cs="Arial"/>
        </w:rPr>
      </w:pPr>
      <w:r>
        <w:rPr>
          <w:rFonts w:ascii="Arial" w:hAnsi="Arial" w:eastAsia="宋体" w:cs="Arial"/>
        </w:rPr>
        <w:t>体外诊断器械评价和安全办公室认识到，IVDMIA因其非常性质提出了独特的技术或生物信息挑战。应对这些挑战可能需要经过审慎考虑的器械变更方法。例如，用于导出器械的患者队列数据与用于检验产品开发的导出流程本身通常会对最终检验结果产生重大影响。即便是对检验输入信息的较小改进亦可能对检验性能产生深远影响。对</w:t>
      </w:r>
      <w:bookmarkStart w:id="66" w:name="OLE_LINK60"/>
      <w:bookmarkStart w:id="67" w:name="OLE_LINK59"/>
      <w:r>
        <w:rPr>
          <w:rFonts w:ascii="Arial" w:hAnsi="Arial" w:eastAsia="宋体" w:cs="Arial"/>
        </w:rPr>
        <w:t>IVDMIA变更</w:t>
      </w:r>
      <w:bookmarkEnd w:id="66"/>
      <w:bookmarkEnd w:id="67"/>
      <w:r>
        <w:rPr>
          <w:rFonts w:ascii="Arial" w:hAnsi="Arial" w:eastAsia="宋体" w:cs="Arial"/>
        </w:rPr>
        <w:t>如何在新产品生命周期的早期对检验性能、解释和结果造成影响经过深思熟虑后，我们认为申办方可与食品药品监督管理局通力合作建立机制确保以最佳应对公共卫生需求的方式监管IVDMIA变更。</w:t>
      </w:r>
    </w:p>
    <w:p w14:paraId="5C9C0A71">
      <w:pPr>
        <w:snapToGrid w:val="0"/>
        <w:spacing w:line="300" w:lineRule="auto"/>
        <w:rPr>
          <w:rFonts w:ascii="Arial" w:hAnsi="Arial" w:eastAsia="宋体" w:cs="Arial"/>
        </w:rPr>
      </w:pPr>
    </w:p>
    <w:p w14:paraId="33D11188">
      <w:pPr>
        <w:snapToGrid w:val="0"/>
        <w:spacing w:line="300" w:lineRule="auto"/>
        <w:rPr>
          <w:rFonts w:ascii="Arial" w:hAnsi="Arial" w:eastAsia="宋体" w:cs="Arial"/>
          <w:b/>
        </w:rPr>
      </w:pPr>
      <w:r>
        <w:rPr>
          <w:rFonts w:ascii="Arial" w:hAnsi="Arial" w:eastAsia="宋体" w:cs="Arial"/>
          <w:b/>
        </w:rPr>
        <w:t>贴标</w:t>
      </w:r>
    </w:p>
    <w:p w14:paraId="29C63410">
      <w:pPr>
        <w:snapToGrid w:val="0"/>
        <w:spacing w:line="300" w:lineRule="auto"/>
        <w:rPr>
          <w:rFonts w:ascii="Arial" w:hAnsi="Arial" w:eastAsia="宋体" w:cs="Arial"/>
        </w:rPr>
      </w:pPr>
    </w:p>
    <w:p w14:paraId="06DF928F">
      <w:pPr>
        <w:snapToGrid w:val="0"/>
        <w:spacing w:line="300" w:lineRule="auto"/>
        <w:rPr>
          <w:rFonts w:ascii="Arial" w:hAnsi="Arial" w:eastAsia="宋体" w:cs="Arial"/>
        </w:rPr>
      </w:pPr>
      <w:r>
        <w:rPr>
          <w:rFonts w:ascii="Arial" w:hAnsi="Arial" w:eastAsia="宋体" w:cs="Arial"/>
        </w:rPr>
        <w:t>体外诊断器械（包括IVDMIA）受贴标要求“除非此类信息不适用”的支配（21 CFR § 809.10）。要求出现在狭义标签上且适合于IVDMIA的信息包括专利名称和既定检验产品名称（若有的话）、检验产品的预期用途或用途、对警告语和注意事项的陈述、制造商名称和制造商的生产地点（21 CFR § 809.10（a））。食品药品监督管理局不考虑将批号或控制号作为对IVDMIA的适用要求。</w:t>
      </w:r>
    </w:p>
    <w:p w14:paraId="248EAE13">
      <w:pPr>
        <w:snapToGrid w:val="0"/>
        <w:spacing w:line="300" w:lineRule="auto"/>
        <w:rPr>
          <w:rFonts w:ascii="Arial" w:hAnsi="Arial" w:eastAsia="宋体" w:cs="Arial"/>
        </w:rPr>
      </w:pPr>
    </w:p>
    <w:p w14:paraId="66F25E8A">
      <w:pPr>
        <w:snapToGrid w:val="0"/>
        <w:spacing w:line="300" w:lineRule="auto"/>
        <w:rPr>
          <w:rFonts w:ascii="Arial" w:hAnsi="Arial" w:eastAsia="宋体" w:cs="Arial"/>
        </w:rPr>
      </w:pPr>
      <w:r>
        <w:rPr>
          <w:rFonts w:ascii="Arial" w:hAnsi="Arial" w:eastAsia="宋体" w:cs="Arial"/>
        </w:rPr>
        <w:t>我们建议生产IVDMIA的实验室建立并维护符合此类要求的电子标签，制作此类公开可用的标签并在</w:t>
      </w:r>
      <w:bookmarkStart w:id="68" w:name="OLE_LINK83"/>
      <w:bookmarkStart w:id="69" w:name="OLE_LINK84"/>
      <w:r>
        <w:rPr>
          <w:rFonts w:ascii="Arial" w:hAnsi="Arial" w:eastAsia="宋体" w:cs="Arial"/>
        </w:rPr>
        <w:t>IVDMIA的实验室报告</w:t>
      </w:r>
      <w:bookmarkEnd w:id="68"/>
      <w:bookmarkEnd w:id="69"/>
      <w:r>
        <w:rPr>
          <w:rFonts w:ascii="Arial" w:hAnsi="Arial" w:eastAsia="宋体" w:cs="Arial"/>
        </w:rPr>
        <w:t>上注明此类电子标签的网址。我们还建议开发IVDMIA的实验室在实验室维护此类标签并在IVDMIA的实验室报告上包含指出此类标签可申请获得的文字。</w:t>
      </w:r>
    </w:p>
    <w:p w14:paraId="5C3B84F8">
      <w:pPr>
        <w:snapToGrid w:val="0"/>
        <w:spacing w:line="300" w:lineRule="auto"/>
        <w:rPr>
          <w:rFonts w:ascii="Arial" w:hAnsi="Arial" w:eastAsia="宋体" w:cs="Arial"/>
        </w:rPr>
      </w:pPr>
    </w:p>
    <w:p w14:paraId="193B6735">
      <w:pPr>
        <w:snapToGrid w:val="0"/>
        <w:spacing w:line="300" w:lineRule="auto"/>
        <w:rPr>
          <w:rFonts w:ascii="Arial" w:hAnsi="Arial" w:eastAsia="宋体" w:cs="Arial"/>
        </w:rPr>
      </w:pPr>
    </w:p>
    <w:p w14:paraId="3B4DDF2F">
      <w:pPr>
        <w:snapToGrid w:val="0"/>
        <w:spacing w:line="300" w:lineRule="auto"/>
        <w:rPr>
          <w:rFonts w:ascii="Arial" w:hAnsi="Arial" w:eastAsia="宋体" w:cs="Arial"/>
        </w:rPr>
      </w:pPr>
    </w:p>
    <w:p w14:paraId="6A30CAF3">
      <w:pPr>
        <w:snapToGrid w:val="0"/>
        <w:spacing w:line="300" w:lineRule="auto"/>
        <w:rPr>
          <w:rFonts w:ascii="Arial" w:hAnsi="Arial" w:eastAsia="宋体" w:cs="Arial"/>
        </w:rPr>
      </w:pPr>
    </w:p>
    <w:p w14:paraId="57BCEA90">
      <w:pPr>
        <w:snapToGrid w:val="0"/>
        <w:spacing w:line="300" w:lineRule="auto"/>
        <w:rPr>
          <w:rFonts w:ascii="Arial" w:hAnsi="Arial" w:eastAsia="宋体" w:cs="Arial"/>
        </w:rPr>
      </w:pPr>
    </w:p>
    <w:p w14:paraId="64A5459B">
      <w:pPr>
        <w:snapToGrid w:val="0"/>
        <w:spacing w:line="300" w:lineRule="auto"/>
        <w:rPr>
          <w:rFonts w:ascii="Arial" w:hAnsi="Arial" w:eastAsia="宋体" w:cs="Arial"/>
        </w:rPr>
      </w:pPr>
    </w:p>
    <w:p w14:paraId="4A375610">
      <w:pPr>
        <w:snapToGrid w:val="0"/>
        <w:spacing w:line="300" w:lineRule="auto"/>
        <w:rPr>
          <w:rFonts w:ascii="Arial" w:hAnsi="Arial" w:eastAsia="宋体" w:cs="Arial"/>
        </w:rPr>
      </w:pPr>
    </w:p>
    <w:p w14:paraId="617E3CCA">
      <w:pPr>
        <w:snapToGrid w:val="0"/>
        <w:spacing w:line="300" w:lineRule="auto"/>
        <w:rPr>
          <w:rFonts w:ascii="Arial" w:hAnsi="Arial" w:eastAsia="宋体" w:cs="Arial"/>
        </w:rPr>
      </w:pPr>
    </w:p>
    <w:p w14:paraId="2093CF43">
      <w:pPr>
        <w:snapToGrid w:val="0"/>
        <w:spacing w:line="300" w:lineRule="auto"/>
        <w:rPr>
          <w:rFonts w:ascii="Arial" w:hAnsi="Arial" w:eastAsia="宋体" w:cs="Arial"/>
        </w:rPr>
      </w:pPr>
    </w:p>
    <w:p w14:paraId="560BF382">
      <w:pPr>
        <w:snapToGrid w:val="0"/>
        <w:spacing w:line="300" w:lineRule="auto"/>
        <w:rPr>
          <w:rFonts w:ascii="Arial" w:hAnsi="Arial" w:eastAsia="宋体" w:cs="Arial"/>
        </w:rPr>
      </w:pPr>
    </w:p>
    <w:p w14:paraId="0899DF38">
      <w:pPr>
        <w:snapToGrid w:val="0"/>
        <w:spacing w:line="300" w:lineRule="auto"/>
        <w:rPr>
          <w:rFonts w:ascii="Arial" w:hAnsi="Arial" w:eastAsia="宋体" w:cs="Arial"/>
        </w:rPr>
      </w:pPr>
    </w:p>
    <w:p w14:paraId="364C3BBC">
      <w:pPr>
        <w:snapToGrid w:val="0"/>
        <w:spacing w:line="300" w:lineRule="auto"/>
        <w:rPr>
          <w:rFonts w:ascii="Arial" w:hAnsi="Arial" w:eastAsia="宋体" w:cs="Arial"/>
        </w:rPr>
      </w:pPr>
      <w:r>
        <w:rPr>
          <w:rFonts w:ascii="Arial" w:hAnsi="Arial" w:eastAsia="宋体" w:cs="Arial"/>
        </w:rPr>
        <w:t>_________________________</w:t>
      </w:r>
    </w:p>
    <w:p w14:paraId="4353C738">
      <w:pPr>
        <w:snapToGrid w:val="0"/>
        <w:spacing w:line="300" w:lineRule="auto"/>
        <w:rPr>
          <w:rFonts w:ascii="Arial" w:hAnsi="Arial" w:eastAsia="宋体" w:cs="Arial"/>
          <w:sz w:val="18"/>
          <w:szCs w:val="18"/>
        </w:rPr>
      </w:pPr>
      <w:r>
        <w:rPr>
          <w:rFonts w:ascii="Arial" w:hAnsi="Arial" w:eastAsia="宋体" w:cs="Arial"/>
          <w:sz w:val="18"/>
          <w:szCs w:val="18"/>
          <w:vertAlign w:val="superscript"/>
        </w:rPr>
        <w:t>15</w:t>
      </w:r>
      <w:r>
        <w:rPr>
          <w:rFonts w:ascii="Arial" w:hAnsi="Arial" w:eastAsia="宋体" w:cs="Arial"/>
          <w:sz w:val="18"/>
          <w:szCs w:val="18"/>
        </w:rPr>
        <w:t>补充信息见：</w:t>
      </w:r>
      <w:r>
        <w:fldChar w:fldCharType="begin"/>
      </w:r>
      <w:r>
        <w:instrText xml:space="preserve"> HYPERLINK "http://www.fda.gov/cdrh/ode/guidance/1584.pdf" </w:instrText>
      </w:r>
      <w:r>
        <w:fldChar w:fldCharType="separate"/>
      </w:r>
      <w:r>
        <w:rPr>
          <w:rStyle w:val="8"/>
          <w:rFonts w:ascii="Arial" w:hAnsi="Arial" w:eastAsia="宋体" w:cs="Arial"/>
          <w:sz w:val="18"/>
          <w:szCs w:val="18"/>
        </w:rPr>
        <w:t>http://www.fda.gov/cdrh/ode/guidance/1584.pdf</w:t>
      </w:r>
      <w:r>
        <w:rPr>
          <w:rStyle w:val="8"/>
          <w:rFonts w:ascii="Arial" w:hAnsi="Arial" w:eastAsia="宋体" w:cs="Arial"/>
          <w:sz w:val="18"/>
          <w:szCs w:val="18"/>
        </w:rPr>
        <w:fldChar w:fldCharType="end"/>
      </w:r>
    </w:p>
    <w:p w14:paraId="57EE538D">
      <w:pPr>
        <w:widowControl/>
        <w:jc w:val="left"/>
        <w:rPr>
          <w:rFonts w:ascii="Arial" w:hAnsi="Arial" w:eastAsia="宋体" w:cs="Arial"/>
          <w:b/>
          <w:color w:val="FF0000"/>
        </w:rPr>
      </w:pPr>
    </w:p>
    <w:p w14:paraId="5EAAFAD3">
      <w:pPr>
        <w:snapToGrid w:val="0"/>
        <w:spacing w:line="300" w:lineRule="auto"/>
        <w:rPr>
          <w:rFonts w:ascii="Arial" w:hAnsi="Arial" w:eastAsia="宋体" w:cs="Arial"/>
        </w:rPr>
      </w:pPr>
      <w:r>
        <w:rPr>
          <w:rFonts w:ascii="Arial" w:hAnsi="Arial" w:eastAsia="宋体" w:cs="Arial"/>
        </w:rPr>
        <w:t>体外诊断器械还要受补充贴标要求的支配（21 CFR 809.10（b））。当食品药品监督管理局为某种特定类型的IVDMIA发布特殊控制指南或批准一种特殊IVDMIA时，本局将像对所有器械所做的那样为该产品或产品类型提出适用的贴标要求。食品药品监督管理局鼓励IVDMIA制造商在其上市前提交资料中指出他们认为临床实验室改进法案的要求符合食品药品监督管理局贴标要求之处。</w:t>
      </w:r>
    </w:p>
    <w:p w14:paraId="6D3F865E">
      <w:pPr>
        <w:snapToGrid w:val="0"/>
        <w:spacing w:line="300" w:lineRule="auto"/>
        <w:rPr>
          <w:rFonts w:ascii="Arial" w:hAnsi="Arial" w:eastAsia="宋体" w:cs="Arial"/>
        </w:rPr>
      </w:pPr>
    </w:p>
    <w:p w14:paraId="7FF30BF8">
      <w:pPr>
        <w:snapToGrid w:val="0"/>
        <w:spacing w:line="300" w:lineRule="auto"/>
        <w:rPr>
          <w:rFonts w:ascii="Arial" w:hAnsi="Arial" w:eastAsia="宋体" w:cs="Arial"/>
        </w:rPr>
      </w:pPr>
    </w:p>
    <w:p w14:paraId="0ADE3888">
      <w:pPr>
        <w:snapToGrid w:val="0"/>
        <w:spacing w:line="300" w:lineRule="auto"/>
        <w:rPr>
          <w:rFonts w:ascii="Arial" w:hAnsi="Arial" w:eastAsia="宋体" w:cs="Arial"/>
        </w:rPr>
      </w:pPr>
    </w:p>
    <w:p w14:paraId="16D11B12">
      <w:pPr>
        <w:snapToGrid w:val="0"/>
        <w:spacing w:line="300" w:lineRule="auto"/>
        <w:rPr>
          <w:rFonts w:ascii="Arial" w:hAnsi="Arial" w:eastAsia="宋体" w:cs="Arial"/>
        </w:rPr>
      </w:pPr>
    </w:p>
    <w:p w14:paraId="34F5935C">
      <w:pPr>
        <w:snapToGrid w:val="0"/>
        <w:spacing w:line="300" w:lineRule="auto"/>
        <w:rPr>
          <w:rFonts w:ascii="Arial" w:hAnsi="Arial" w:eastAsia="宋体" w:cs="Arial"/>
        </w:rPr>
      </w:pPr>
    </w:p>
    <w:p w14:paraId="52DED695">
      <w:pPr>
        <w:snapToGrid w:val="0"/>
        <w:spacing w:line="300" w:lineRule="auto"/>
        <w:jc w:val="center"/>
        <w:rPr>
          <w:rFonts w:hint="eastAsia" w:eastAsia="宋体"/>
          <w:lang w:eastAsia="zh-CN"/>
        </w:rPr>
      </w:pPr>
    </w:p>
    <w:p w14:paraId="532507B0">
      <w:pPr>
        <w:snapToGrid w:val="0"/>
        <w:spacing w:line="300" w:lineRule="auto"/>
        <w:jc w:val="center"/>
        <w:rPr>
          <w:rFonts w:hint="eastAsia" w:eastAsia="宋体"/>
          <w:lang w:eastAsia="zh-CN"/>
        </w:rPr>
      </w:pPr>
    </w:p>
    <w:p w14:paraId="26CAD9B6">
      <w:pPr>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5" name="图片 5" descr="2"/>
            <wp:cNvGraphicFramePr/>
            <a:graphic xmlns:a="http://schemas.openxmlformats.org/drawingml/2006/main">
              <a:graphicData uri="http://schemas.openxmlformats.org/drawingml/2006/picture">
                <pic:pic xmlns:pic="http://schemas.openxmlformats.org/drawingml/2006/picture">
                  <pic:nvPicPr>
                    <pic:cNvPr id="5" name="图片 5"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78293479"/>
      <w:docPartObj>
        <w:docPartGallery w:val="AutoText"/>
      </w:docPartObj>
    </w:sdtPr>
    <w:sdtEndPr>
      <w:rPr>
        <w:rFonts w:ascii="Arial" w:hAnsi="Arial" w:cs="Arial"/>
        <w:sz w:val="21"/>
        <w:szCs w:val="21"/>
      </w:rPr>
    </w:sdtEndPr>
    <w:sdtContent>
      <w:p w14:paraId="58ED1A4F">
        <w:pPr>
          <w:pStyle w:val="3"/>
          <w:jc w:val="right"/>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15</w:t>
        </w:r>
        <w:r>
          <w:rPr>
            <w:rFonts w:ascii="Arial" w:hAnsi="Arial" w:cs="Arial"/>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49204">
    <w:pPr>
      <w:snapToGrid w:val="0"/>
      <w:spacing w:line="300" w:lineRule="auto"/>
      <w:jc w:val="center"/>
      <w:rPr>
        <w:rFonts w:ascii="Arial" w:hAnsi="Arial" w:eastAsia="宋体" w:cs="Arial"/>
        <w:i/>
        <w:color w:val="000000" w:themeColor="text1"/>
        <w14:textFill>
          <w14:solidFill>
            <w14:schemeClr w14:val="tx1"/>
          </w14:solidFill>
        </w14:textFill>
      </w:rPr>
    </w:pPr>
    <w:r>
      <w:rPr>
        <w:rFonts w:ascii="Arial" w:hAnsi="Arial" w:eastAsia="宋体" w:cs="Arial"/>
        <w:i/>
        <w:color w:val="000000" w:themeColor="text1"/>
        <w14:textFill>
          <w14:solidFill>
            <w14:schemeClr w14:val="tx1"/>
          </w14:solidFill>
        </w14:textFill>
      </w:rPr>
      <w:t>文件草案－不用于执行</w:t>
    </w:r>
  </w:p>
  <w:p w14:paraId="51C51038">
    <w:pPr>
      <w:snapToGrid w:val="0"/>
      <w:spacing w:line="300" w:lineRule="auto"/>
      <w:jc w:val="center"/>
      <w:rPr>
        <w:rFonts w:ascii="Arial" w:hAnsi="Arial" w:eastAsia="宋体" w:cs="Arial"/>
        <w:i/>
        <w:color w:val="000000" w:themeColor="text1"/>
        <w14:textFill>
          <w14:solidFill>
            <w14:schemeClr w14:val="tx1"/>
          </w14:solidFill>
        </w14:textFill>
      </w:rPr>
    </w:pPr>
    <w:r>
      <w:rPr>
        <w:rFonts w:ascii="Arial" w:hAnsi="Arial" w:eastAsia="宋体" w:cs="Arial"/>
        <w:i/>
        <w:color w:val="000000" w:themeColor="text1"/>
        <w14:textFill>
          <w14:solidFill>
            <w14:schemeClr w14:val="tx1"/>
          </w14:solidFill>
        </w14:textFill>
      </w:rPr>
      <w:t>内含无约束力推荐规范</w:t>
    </w:r>
  </w:p>
  <w:p w14:paraId="619FD67B">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9E4DC8"/>
    <w:multiLevelType w:val="multilevel"/>
    <w:tmpl w:val="0C9E4DC8"/>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758"/>
    <w:rsid w:val="00001267"/>
    <w:rsid w:val="00003F75"/>
    <w:rsid w:val="00012250"/>
    <w:rsid w:val="000154FD"/>
    <w:rsid w:val="000178F5"/>
    <w:rsid w:val="000224A4"/>
    <w:rsid w:val="00042291"/>
    <w:rsid w:val="000440F5"/>
    <w:rsid w:val="00047C7A"/>
    <w:rsid w:val="000500E4"/>
    <w:rsid w:val="0005157D"/>
    <w:rsid w:val="00051AF9"/>
    <w:rsid w:val="000532EE"/>
    <w:rsid w:val="00054E8E"/>
    <w:rsid w:val="0006114C"/>
    <w:rsid w:val="00066BA2"/>
    <w:rsid w:val="00072DE3"/>
    <w:rsid w:val="00082BD2"/>
    <w:rsid w:val="000921A5"/>
    <w:rsid w:val="00095456"/>
    <w:rsid w:val="000A2661"/>
    <w:rsid w:val="000A38EF"/>
    <w:rsid w:val="000B157A"/>
    <w:rsid w:val="000B2A96"/>
    <w:rsid w:val="000C1019"/>
    <w:rsid w:val="000C2E8F"/>
    <w:rsid w:val="000D08CA"/>
    <w:rsid w:val="000D0B81"/>
    <w:rsid w:val="000D30F6"/>
    <w:rsid w:val="000E20EC"/>
    <w:rsid w:val="000E2D8B"/>
    <w:rsid w:val="000E4EF1"/>
    <w:rsid w:val="000E6CBF"/>
    <w:rsid w:val="001020A0"/>
    <w:rsid w:val="001060CA"/>
    <w:rsid w:val="0011765A"/>
    <w:rsid w:val="00124681"/>
    <w:rsid w:val="00127D27"/>
    <w:rsid w:val="00132A4A"/>
    <w:rsid w:val="0013625C"/>
    <w:rsid w:val="00147BE0"/>
    <w:rsid w:val="0017260E"/>
    <w:rsid w:val="001758D1"/>
    <w:rsid w:val="0018069B"/>
    <w:rsid w:val="00180AC1"/>
    <w:rsid w:val="001823C8"/>
    <w:rsid w:val="001824BC"/>
    <w:rsid w:val="0018734C"/>
    <w:rsid w:val="001938D9"/>
    <w:rsid w:val="001948B6"/>
    <w:rsid w:val="00194C2C"/>
    <w:rsid w:val="001A45DD"/>
    <w:rsid w:val="001A67C0"/>
    <w:rsid w:val="001B0F9F"/>
    <w:rsid w:val="001B18FF"/>
    <w:rsid w:val="001B5BF0"/>
    <w:rsid w:val="001B74AE"/>
    <w:rsid w:val="001C1873"/>
    <w:rsid w:val="001C5187"/>
    <w:rsid w:val="001D2125"/>
    <w:rsid w:val="001F2B1B"/>
    <w:rsid w:val="001F462C"/>
    <w:rsid w:val="001F69A3"/>
    <w:rsid w:val="001F77B8"/>
    <w:rsid w:val="0021270F"/>
    <w:rsid w:val="00216CFA"/>
    <w:rsid w:val="00217AD0"/>
    <w:rsid w:val="00221A6D"/>
    <w:rsid w:val="00224096"/>
    <w:rsid w:val="00233AB5"/>
    <w:rsid w:val="00235606"/>
    <w:rsid w:val="00242B41"/>
    <w:rsid w:val="002445DE"/>
    <w:rsid w:val="0024601D"/>
    <w:rsid w:val="00246554"/>
    <w:rsid w:val="00246794"/>
    <w:rsid w:val="00250851"/>
    <w:rsid w:val="00252A33"/>
    <w:rsid w:val="0025534E"/>
    <w:rsid w:val="0025625B"/>
    <w:rsid w:val="00272273"/>
    <w:rsid w:val="00273DC2"/>
    <w:rsid w:val="00277FE7"/>
    <w:rsid w:val="002801B2"/>
    <w:rsid w:val="00281285"/>
    <w:rsid w:val="0028451D"/>
    <w:rsid w:val="002871AA"/>
    <w:rsid w:val="002938A0"/>
    <w:rsid w:val="00296946"/>
    <w:rsid w:val="002B0A1E"/>
    <w:rsid w:val="002B165F"/>
    <w:rsid w:val="002B44AD"/>
    <w:rsid w:val="002B7067"/>
    <w:rsid w:val="002B73B4"/>
    <w:rsid w:val="002C43E3"/>
    <w:rsid w:val="002C6D69"/>
    <w:rsid w:val="002D1B2B"/>
    <w:rsid w:val="002E6E3B"/>
    <w:rsid w:val="002F1547"/>
    <w:rsid w:val="002F34E2"/>
    <w:rsid w:val="002F7507"/>
    <w:rsid w:val="00300521"/>
    <w:rsid w:val="00307193"/>
    <w:rsid w:val="00310BA5"/>
    <w:rsid w:val="0031324B"/>
    <w:rsid w:val="00327B31"/>
    <w:rsid w:val="003302FD"/>
    <w:rsid w:val="00343B6C"/>
    <w:rsid w:val="00356BAF"/>
    <w:rsid w:val="003665A9"/>
    <w:rsid w:val="00380195"/>
    <w:rsid w:val="0038682F"/>
    <w:rsid w:val="003A3967"/>
    <w:rsid w:val="003A4ACE"/>
    <w:rsid w:val="003B31DE"/>
    <w:rsid w:val="003C6058"/>
    <w:rsid w:val="003D3A22"/>
    <w:rsid w:val="003D3EC9"/>
    <w:rsid w:val="003D4456"/>
    <w:rsid w:val="003D4542"/>
    <w:rsid w:val="003E3EFD"/>
    <w:rsid w:val="003F314D"/>
    <w:rsid w:val="003F54AD"/>
    <w:rsid w:val="00400ABE"/>
    <w:rsid w:val="00403BCD"/>
    <w:rsid w:val="004071EA"/>
    <w:rsid w:val="00414D77"/>
    <w:rsid w:val="00416230"/>
    <w:rsid w:val="00417D53"/>
    <w:rsid w:val="0042338B"/>
    <w:rsid w:val="004274A8"/>
    <w:rsid w:val="00431A5A"/>
    <w:rsid w:val="00433C39"/>
    <w:rsid w:val="0043571C"/>
    <w:rsid w:val="004374C2"/>
    <w:rsid w:val="004378F4"/>
    <w:rsid w:val="0044082B"/>
    <w:rsid w:val="00444C95"/>
    <w:rsid w:val="00446A23"/>
    <w:rsid w:val="004569DF"/>
    <w:rsid w:val="004636EC"/>
    <w:rsid w:val="00470C9A"/>
    <w:rsid w:val="00471C6A"/>
    <w:rsid w:val="00472BDA"/>
    <w:rsid w:val="00483BE7"/>
    <w:rsid w:val="00483DA7"/>
    <w:rsid w:val="0048740A"/>
    <w:rsid w:val="00490A2D"/>
    <w:rsid w:val="004947D0"/>
    <w:rsid w:val="00495519"/>
    <w:rsid w:val="004A1A6D"/>
    <w:rsid w:val="004A2C3D"/>
    <w:rsid w:val="004A7E59"/>
    <w:rsid w:val="004B1C37"/>
    <w:rsid w:val="004B4255"/>
    <w:rsid w:val="004C2A96"/>
    <w:rsid w:val="004C6ED9"/>
    <w:rsid w:val="004D26D6"/>
    <w:rsid w:val="004D3826"/>
    <w:rsid w:val="004D4450"/>
    <w:rsid w:val="004E538A"/>
    <w:rsid w:val="004E6408"/>
    <w:rsid w:val="004F0B9D"/>
    <w:rsid w:val="004F16AA"/>
    <w:rsid w:val="004F4978"/>
    <w:rsid w:val="004F69C7"/>
    <w:rsid w:val="005159EA"/>
    <w:rsid w:val="00517C6C"/>
    <w:rsid w:val="00523AD7"/>
    <w:rsid w:val="00540D45"/>
    <w:rsid w:val="00551722"/>
    <w:rsid w:val="00556260"/>
    <w:rsid w:val="005567F6"/>
    <w:rsid w:val="0056012C"/>
    <w:rsid w:val="005606D5"/>
    <w:rsid w:val="00562FBE"/>
    <w:rsid w:val="00563FAF"/>
    <w:rsid w:val="005708B5"/>
    <w:rsid w:val="00575990"/>
    <w:rsid w:val="00577C97"/>
    <w:rsid w:val="00586E5B"/>
    <w:rsid w:val="005955FE"/>
    <w:rsid w:val="005B2D78"/>
    <w:rsid w:val="005B7962"/>
    <w:rsid w:val="005C514C"/>
    <w:rsid w:val="005D3EF0"/>
    <w:rsid w:val="005D5A15"/>
    <w:rsid w:val="005E4E25"/>
    <w:rsid w:val="005E5DAD"/>
    <w:rsid w:val="005E6086"/>
    <w:rsid w:val="005E7143"/>
    <w:rsid w:val="005E7819"/>
    <w:rsid w:val="005E7967"/>
    <w:rsid w:val="005F34C5"/>
    <w:rsid w:val="006005C6"/>
    <w:rsid w:val="00602F0C"/>
    <w:rsid w:val="00605545"/>
    <w:rsid w:val="0060796E"/>
    <w:rsid w:val="0061102D"/>
    <w:rsid w:val="0062292F"/>
    <w:rsid w:val="00622EB3"/>
    <w:rsid w:val="00624ED4"/>
    <w:rsid w:val="00633E93"/>
    <w:rsid w:val="006348D6"/>
    <w:rsid w:val="00635340"/>
    <w:rsid w:val="006464D2"/>
    <w:rsid w:val="00652BD7"/>
    <w:rsid w:val="00654C8C"/>
    <w:rsid w:val="006562E4"/>
    <w:rsid w:val="0065740D"/>
    <w:rsid w:val="00661338"/>
    <w:rsid w:val="0066133A"/>
    <w:rsid w:val="00666A1C"/>
    <w:rsid w:val="00666F06"/>
    <w:rsid w:val="006724A4"/>
    <w:rsid w:val="006741D3"/>
    <w:rsid w:val="00677B9D"/>
    <w:rsid w:val="00681CE4"/>
    <w:rsid w:val="00692E77"/>
    <w:rsid w:val="0069375B"/>
    <w:rsid w:val="00693988"/>
    <w:rsid w:val="00695227"/>
    <w:rsid w:val="006A4894"/>
    <w:rsid w:val="006B417A"/>
    <w:rsid w:val="006B55EE"/>
    <w:rsid w:val="006C414C"/>
    <w:rsid w:val="006D422F"/>
    <w:rsid w:val="006E24EE"/>
    <w:rsid w:val="006E2CA2"/>
    <w:rsid w:val="006E7343"/>
    <w:rsid w:val="006F25DF"/>
    <w:rsid w:val="00706EDB"/>
    <w:rsid w:val="00710FCA"/>
    <w:rsid w:val="00715564"/>
    <w:rsid w:val="00716E28"/>
    <w:rsid w:val="007170FA"/>
    <w:rsid w:val="00721C56"/>
    <w:rsid w:val="00731F1C"/>
    <w:rsid w:val="007348A5"/>
    <w:rsid w:val="0075102C"/>
    <w:rsid w:val="00752375"/>
    <w:rsid w:val="007544E4"/>
    <w:rsid w:val="0077005D"/>
    <w:rsid w:val="007734FC"/>
    <w:rsid w:val="00777389"/>
    <w:rsid w:val="0077769F"/>
    <w:rsid w:val="007916FF"/>
    <w:rsid w:val="00791DFC"/>
    <w:rsid w:val="00793C5F"/>
    <w:rsid w:val="00794018"/>
    <w:rsid w:val="007A22C0"/>
    <w:rsid w:val="007A497C"/>
    <w:rsid w:val="007A6659"/>
    <w:rsid w:val="007B168B"/>
    <w:rsid w:val="007B57B6"/>
    <w:rsid w:val="007C1A35"/>
    <w:rsid w:val="007C5AC4"/>
    <w:rsid w:val="007C5BC3"/>
    <w:rsid w:val="007D1932"/>
    <w:rsid w:val="007D33C6"/>
    <w:rsid w:val="007D4758"/>
    <w:rsid w:val="007D5AEF"/>
    <w:rsid w:val="007D7673"/>
    <w:rsid w:val="007E15D3"/>
    <w:rsid w:val="007E1B1C"/>
    <w:rsid w:val="007E3426"/>
    <w:rsid w:val="007E7563"/>
    <w:rsid w:val="007E77A6"/>
    <w:rsid w:val="007F231A"/>
    <w:rsid w:val="007F78F5"/>
    <w:rsid w:val="00800351"/>
    <w:rsid w:val="00801C00"/>
    <w:rsid w:val="0080443A"/>
    <w:rsid w:val="008055D8"/>
    <w:rsid w:val="00805614"/>
    <w:rsid w:val="008152EC"/>
    <w:rsid w:val="008173C6"/>
    <w:rsid w:val="0084309D"/>
    <w:rsid w:val="00844740"/>
    <w:rsid w:val="00845347"/>
    <w:rsid w:val="008561E1"/>
    <w:rsid w:val="00865214"/>
    <w:rsid w:val="008723B2"/>
    <w:rsid w:val="00872D06"/>
    <w:rsid w:val="00877917"/>
    <w:rsid w:val="00880DB1"/>
    <w:rsid w:val="0088411F"/>
    <w:rsid w:val="0088692B"/>
    <w:rsid w:val="008A2A18"/>
    <w:rsid w:val="008A4FEA"/>
    <w:rsid w:val="008A56E7"/>
    <w:rsid w:val="008A6E8E"/>
    <w:rsid w:val="008B0B6B"/>
    <w:rsid w:val="008B34D7"/>
    <w:rsid w:val="008B61DB"/>
    <w:rsid w:val="008C348A"/>
    <w:rsid w:val="008C5F7B"/>
    <w:rsid w:val="008C6336"/>
    <w:rsid w:val="008D198D"/>
    <w:rsid w:val="008D2B4E"/>
    <w:rsid w:val="008E18E0"/>
    <w:rsid w:val="008E69AD"/>
    <w:rsid w:val="008E6DF0"/>
    <w:rsid w:val="008F317D"/>
    <w:rsid w:val="00902116"/>
    <w:rsid w:val="00904C87"/>
    <w:rsid w:val="009331C9"/>
    <w:rsid w:val="00933B57"/>
    <w:rsid w:val="009340CA"/>
    <w:rsid w:val="00935DB0"/>
    <w:rsid w:val="0093663B"/>
    <w:rsid w:val="00947E9F"/>
    <w:rsid w:val="009530B8"/>
    <w:rsid w:val="00955E25"/>
    <w:rsid w:val="00957AFE"/>
    <w:rsid w:val="0096547E"/>
    <w:rsid w:val="00971770"/>
    <w:rsid w:val="0097301B"/>
    <w:rsid w:val="009744B9"/>
    <w:rsid w:val="00976877"/>
    <w:rsid w:val="00976DB8"/>
    <w:rsid w:val="00985A07"/>
    <w:rsid w:val="009864A7"/>
    <w:rsid w:val="00995819"/>
    <w:rsid w:val="009A030F"/>
    <w:rsid w:val="009A67CA"/>
    <w:rsid w:val="009A78C6"/>
    <w:rsid w:val="009B16C7"/>
    <w:rsid w:val="009B6954"/>
    <w:rsid w:val="009D689C"/>
    <w:rsid w:val="009E4338"/>
    <w:rsid w:val="009E5161"/>
    <w:rsid w:val="009F1CC5"/>
    <w:rsid w:val="009F6008"/>
    <w:rsid w:val="00A06548"/>
    <w:rsid w:val="00A10525"/>
    <w:rsid w:val="00A2783D"/>
    <w:rsid w:val="00A27E53"/>
    <w:rsid w:val="00A36629"/>
    <w:rsid w:val="00A40083"/>
    <w:rsid w:val="00A421C1"/>
    <w:rsid w:val="00A426CB"/>
    <w:rsid w:val="00A4302D"/>
    <w:rsid w:val="00A46FB4"/>
    <w:rsid w:val="00A53B40"/>
    <w:rsid w:val="00A62199"/>
    <w:rsid w:val="00A65DEB"/>
    <w:rsid w:val="00A669AA"/>
    <w:rsid w:val="00A7665B"/>
    <w:rsid w:val="00A779A2"/>
    <w:rsid w:val="00A8408D"/>
    <w:rsid w:val="00A900B9"/>
    <w:rsid w:val="00A95B4B"/>
    <w:rsid w:val="00A962E1"/>
    <w:rsid w:val="00AA18D3"/>
    <w:rsid w:val="00AA243B"/>
    <w:rsid w:val="00AA59FF"/>
    <w:rsid w:val="00AB1E3C"/>
    <w:rsid w:val="00AD49D9"/>
    <w:rsid w:val="00AD536F"/>
    <w:rsid w:val="00AE15D8"/>
    <w:rsid w:val="00AE246E"/>
    <w:rsid w:val="00AF02DE"/>
    <w:rsid w:val="00AF1436"/>
    <w:rsid w:val="00AF31B1"/>
    <w:rsid w:val="00AF44F5"/>
    <w:rsid w:val="00AF71D0"/>
    <w:rsid w:val="00B07153"/>
    <w:rsid w:val="00B077C4"/>
    <w:rsid w:val="00B07FEB"/>
    <w:rsid w:val="00B07FF6"/>
    <w:rsid w:val="00B164D1"/>
    <w:rsid w:val="00B17962"/>
    <w:rsid w:val="00B203BA"/>
    <w:rsid w:val="00B236D2"/>
    <w:rsid w:val="00B240B4"/>
    <w:rsid w:val="00B24E06"/>
    <w:rsid w:val="00B33E60"/>
    <w:rsid w:val="00B50AAC"/>
    <w:rsid w:val="00B50D8C"/>
    <w:rsid w:val="00B518E3"/>
    <w:rsid w:val="00B55EC0"/>
    <w:rsid w:val="00B56587"/>
    <w:rsid w:val="00B6080C"/>
    <w:rsid w:val="00B62883"/>
    <w:rsid w:val="00B724FC"/>
    <w:rsid w:val="00B80EBF"/>
    <w:rsid w:val="00B8328D"/>
    <w:rsid w:val="00B948A2"/>
    <w:rsid w:val="00B94C23"/>
    <w:rsid w:val="00BA0CA9"/>
    <w:rsid w:val="00BB4840"/>
    <w:rsid w:val="00BB4C54"/>
    <w:rsid w:val="00BC204E"/>
    <w:rsid w:val="00BC482D"/>
    <w:rsid w:val="00BC7884"/>
    <w:rsid w:val="00BC7B33"/>
    <w:rsid w:val="00BD1906"/>
    <w:rsid w:val="00BE17F0"/>
    <w:rsid w:val="00BE6689"/>
    <w:rsid w:val="00BE6F54"/>
    <w:rsid w:val="00C15DC3"/>
    <w:rsid w:val="00C16DD4"/>
    <w:rsid w:val="00C20AB4"/>
    <w:rsid w:val="00C2401B"/>
    <w:rsid w:val="00C261EA"/>
    <w:rsid w:val="00C26EE4"/>
    <w:rsid w:val="00C310BD"/>
    <w:rsid w:val="00C347E4"/>
    <w:rsid w:val="00C40F9F"/>
    <w:rsid w:val="00C508AD"/>
    <w:rsid w:val="00C546D7"/>
    <w:rsid w:val="00C649C5"/>
    <w:rsid w:val="00C757FC"/>
    <w:rsid w:val="00C85402"/>
    <w:rsid w:val="00C85520"/>
    <w:rsid w:val="00C87371"/>
    <w:rsid w:val="00C875C4"/>
    <w:rsid w:val="00C975A0"/>
    <w:rsid w:val="00CA13B0"/>
    <w:rsid w:val="00CA27FA"/>
    <w:rsid w:val="00CA5C05"/>
    <w:rsid w:val="00CA7218"/>
    <w:rsid w:val="00CB2F35"/>
    <w:rsid w:val="00CB3576"/>
    <w:rsid w:val="00CB3FC9"/>
    <w:rsid w:val="00CB40A1"/>
    <w:rsid w:val="00CB5E79"/>
    <w:rsid w:val="00CC1CFE"/>
    <w:rsid w:val="00CD7381"/>
    <w:rsid w:val="00CF0625"/>
    <w:rsid w:val="00CF59F2"/>
    <w:rsid w:val="00D01D88"/>
    <w:rsid w:val="00D12049"/>
    <w:rsid w:val="00D162AB"/>
    <w:rsid w:val="00D21E0B"/>
    <w:rsid w:val="00D375E9"/>
    <w:rsid w:val="00D41C88"/>
    <w:rsid w:val="00D5424C"/>
    <w:rsid w:val="00D55FBC"/>
    <w:rsid w:val="00D60FCF"/>
    <w:rsid w:val="00D754AB"/>
    <w:rsid w:val="00D80275"/>
    <w:rsid w:val="00D80B37"/>
    <w:rsid w:val="00DA138E"/>
    <w:rsid w:val="00DA3461"/>
    <w:rsid w:val="00DA3C84"/>
    <w:rsid w:val="00DA5E4E"/>
    <w:rsid w:val="00DC2A5A"/>
    <w:rsid w:val="00DC520E"/>
    <w:rsid w:val="00DC7EAC"/>
    <w:rsid w:val="00DD231F"/>
    <w:rsid w:val="00DD3C2C"/>
    <w:rsid w:val="00DE3417"/>
    <w:rsid w:val="00DE77C2"/>
    <w:rsid w:val="00DE7EAB"/>
    <w:rsid w:val="00DF22B9"/>
    <w:rsid w:val="00DF7EB8"/>
    <w:rsid w:val="00E10C72"/>
    <w:rsid w:val="00E1309B"/>
    <w:rsid w:val="00E15790"/>
    <w:rsid w:val="00E200A8"/>
    <w:rsid w:val="00E23EF5"/>
    <w:rsid w:val="00E2417E"/>
    <w:rsid w:val="00E377D8"/>
    <w:rsid w:val="00E40688"/>
    <w:rsid w:val="00E4153C"/>
    <w:rsid w:val="00E415CA"/>
    <w:rsid w:val="00E41723"/>
    <w:rsid w:val="00E45A47"/>
    <w:rsid w:val="00E47176"/>
    <w:rsid w:val="00E50D06"/>
    <w:rsid w:val="00E52460"/>
    <w:rsid w:val="00E560C0"/>
    <w:rsid w:val="00E57873"/>
    <w:rsid w:val="00E6471A"/>
    <w:rsid w:val="00E64AF5"/>
    <w:rsid w:val="00E64BDB"/>
    <w:rsid w:val="00E650F6"/>
    <w:rsid w:val="00E66910"/>
    <w:rsid w:val="00E679B7"/>
    <w:rsid w:val="00E77CD4"/>
    <w:rsid w:val="00E95324"/>
    <w:rsid w:val="00E95C75"/>
    <w:rsid w:val="00EA2D1D"/>
    <w:rsid w:val="00EA3621"/>
    <w:rsid w:val="00EB509D"/>
    <w:rsid w:val="00EB7B25"/>
    <w:rsid w:val="00EC556A"/>
    <w:rsid w:val="00ED541F"/>
    <w:rsid w:val="00ED54F6"/>
    <w:rsid w:val="00EE108A"/>
    <w:rsid w:val="00EE2146"/>
    <w:rsid w:val="00EE6AC5"/>
    <w:rsid w:val="00EF370A"/>
    <w:rsid w:val="00EF627F"/>
    <w:rsid w:val="00EF6A6F"/>
    <w:rsid w:val="00F03AFE"/>
    <w:rsid w:val="00F07BCE"/>
    <w:rsid w:val="00F11CC5"/>
    <w:rsid w:val="00F1342C"/>
    <w:rsid w:val="00F21C7A"/>
    <w:rsid w:val="00F22377"/>
    <w:rsid w:val="00F2306A"/>
    <w:rsid w:val="00F40103"/>
    <w:rsid w:val="00F4086C"/>
    <w:rsid w:val="00F44823"/>
    <w:rsid w:val="00F46E5B"/>
    <w:rsid w:val="00F53C8E"/>
    <w:rsid w:val="00F54EC8"/>
    <w:rsid w:val="00F65689"/>
    <w:rsid w:val="00F7122A"/>
    <w:rsid w:val="00F7136A"/>
    <w:rsid w:val="00F85D7C"/>
    <w:rsid w:val="00F90AA3"/>
    <w:rsid w:val="00F91B08"/>
    <w:rsid w:val="00F91E9D"/>
    <w:rsid w:val="00FB40B1"/>
    <w:rsid w:val="00FC099F"/>
    <w:rsid w:val="00FC1798"/>
    <w:rsid w:val="00FD04C9"/>
    <w:rsid w:val="00FD3CEE"/>
    <w:rsid w:val="00FF1DAA"/>
    <w:rsid w:val="76B1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000FF" w:themeColor="hyperlink"/>
      <w:u w:val="single"/>
      <w14:textFill>
        <w14:solidFill>
          <w14:schemeClr w14:val="hlink"/>
        </w14:solidFill>
      </w14:textFill>
    </w:rPr>
  </w:style>
  <w:style w:type="character" w:customStyle="1" w:styleId="9">
    <w:name w:val="批注框文本 Char"/>
    <w:basedOn w:val="7"/>
    <w:link w:val="2"/>
    <w:semiHidden/>
    <w:uiPriority w:val="99"/>
    <w:rPr>
      <w:sz w:val="18"/>
      <w:szCs w:val="18"/>
    </w:rPr>
  </w:style>
  <w:style w:type="character" w:customStyle="1" w:styleId="10">
    <w:name w:val="页眉 Char"/>
    <w:basedOn w:val="7"/>
    <w:link w:val="4"/>
    <w:qFormat/>
    <w:uiPriority w:val="99"/>
    <w:rPr>
      <w:sz w:val="18"/>
      <w:szCs w:val="18"/>
    </w:rPr>
  </w:style>
  <w:style w:type="character" w:customStyle="1" w:styleId="11">
    <w:name w:val="页脚 Char"/>
    <w:basedOn w:val="7"/>
    <w:link w:val="3"/>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15</Pages>
  <Words>10169</Words>
  <Characters>12352</Characters>
  <Lines>97</Lines>
  <Paragraphs>27</Paragraphs>
  <TotalTime>0</TotalTime>
  <ScaleCrop>false</ScaleCrop>
  <LinksUpToDate>false</LinksUpToDate>
  <CharactersWithSpaces>12481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2017-04-10T07:28:00Z</dcterms:created>
  <dc:creator>BH</dc:creator>
  <cp:lastModifiedBy>太极箫客</cp:lastModifiedBy>
  <dcterms:modified xsi:type="dcterms:W3CDTF">2025-08-14T06:32:01Z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FCD6198583894CADBB72E83DD26EDA36_12</vt:lpwstr>
  </property>
</Properties>
</file>