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63E4C">
      <w:pPr>
        <w:pBdr>
          <w:bottom w:val="single" w:color="auto" w:sz="4" w:space="1"/>
        </w:pBdr>
        <w:spacing w:before="120" w:beforeLines="50" w:line="300" w:lineRule="auto"/>
        <w:jc w:val="center"/>
        <w:rPr>
          <w:rFonts w:cs="Times New Roman"/>
          <w:b/>
          <w:sz w:val="44"/>
          <w:szCs w:val="24"/>
          <w:lang w:eastAsia="zh-CN"/>
        </w:rPr>
      </w:pPr>
      <w:bookmarkStart w:id="16" w:name="_GoBack"/>
      <w:bookmarkEnd w:id="16"/>
      <w:r>
        <w:rPr>
          <w:rFonts w:cs="宋体"/>
          <w:b/>
          <w:sz w:val="44"/>
          <w:lang w:eastAsia="zh-CN"/>
        </w:rPr>
        <w:t>体外诊断器械的替代试剂和仪器系列政策</w:t>
      </w:r>
    </w:p>
    <w:p w14:paraId="23D0DA9B">
      <w:pPr>
        <w:spacing w:before="120" w:beforeLines="50" w:line="300" w:lineRule="auto"/>
        <w:jc w:val="center"/>
        <w:rPr>
          <w:rFonts w:cs="Times New Roman"/>
          <w:b/>
          <w:sz w:val="44"/>
          <w:szCs w:val="24"/>
          <w:lang w:eastAsia="zh-CN"/>
        </w:rPr>
      </w:pPr>
      <w:r>
        <w:rPr>
          <w:rFonts w:cs="宋体"/>
          <w:b/>
          <w:sz w:val="44"/>
          <w:lang w:eastAsia="zh-CN"/>
        </w:rPr>
        <w:t>行业和美国食品药品监督管理局工作人员指南草案</w:t>
      </w:r>
    </w:p>
    <w:p w14:paraId="1E5F337E">
      <w:pPr>
        <w:spacing w:before="120" w:beforeLines="50" w:line="300" w:lineRule="auto"/>
        <w:jc w:val="center"/>
        <w:rPr>
          <w:rFonts w:cs="Times New Roman"/>
          <w:b/>
          <w:i/>
          <w:sz w:val="24"/>
          <w:szCs w:val="24"/>
          <w:lang w:eastAsia="zh-CN"/>
        </w:rPr>
      </w:pPr>
      <w:r>
        <w:rPr>
          <w:rFonts w:cs="宋体"/>
          <w:b/>
          <w:i/>
          <w:sz w:val="24"/>
          <w:lang w:eastAsia="zh-CN"/>
        </w:rPr>
        <w:t>指南草案</w:t>
      </w:r>
    </w:p>
    <w:p w14:paraId="454731AE">
      <w:pPr>
        <w:spacing w:before="120" w:beforeLines="50" w:line="300" w:lineRule="auto"/>
        <w:jc w:val="center"/>
        <w:rPr>
          <w:rFonts w:cs="Times New Roman"/>
          <w:b/>
          <w:sz w:val="24"/>
          <w:szCs w:val="24"/>
          <w:lang w:eastAsia="zh-CN"/>
        </w:rPr>
      </w:pPr>
      <w:r>
        <w:rPr>
          <w:rFonts w:cs="宋体"/>
          <w:b/>
          <w:sz w:val="24"/>
          <w:lang w:eastAsia="zh-CN"/>
        </w:rPr>
        <w:t>本指南草案仅供征求意见</w:t>
      </w:r>
    </w:p>
    <w:p w14:paraId="5749AFEF">
      <w:pPr>
        <w:spacing w:before="120" w:beforeLines="50" w:line="300" w:lineRule="auto"/>
        <w:jc w:val="center"/>
        <w:rPr>
          <w:rFonts w:cs="Times New Roman"/>
          <w:b/>
          <w:sz w:val="24"/>
          <w:szCs w:val="24"/>
          <w:lang w:eastAsia="zh-CN"/>
        </w:rPr>
      </w:pPr>
      <w:r>
        <w:rPr>
          <w:rFonts w:cs="宋体"/>
          <w:b/>
          <w:sz w:val="24"/>
          <w:lang w:eastAsia="zh-CN"/>
        </w:rPr>
        <w:t>文件发布日期：2017年12月</w:t>
      </w:r>
      <w:r>
        <w:rPr>
          <w:rFonts w:hint="eastAsia" w:cs="宋体"/>
          <w:b/>
          <w:sz w:val="24"/>
          <w:lang w:eastAsia="zh-CN"/>
        </w:rPr>
        <w:t>1</w:t>
      </w:r>
      <w:r>
        <w:rPr>
          <w:rFonts w:cs="宋体"/>
          <w:b/>
          <w:sz w:val="24"/>
          <w:lang w:eastAsia="zh-CN"/>
        </w:rPr>
        <w:t>8日</w:t>
      </w:r>
    </w:p>
    <w:p w14:paraId="40EF47DB">
      <w:pPr>
        <w:spacing w:before="120" w:beforeLines="50" w:line="300" w:lineRule="auto"/>
        <w:rPr>
          <w:rFonts w:cs="Times New Roman"/>
          <w:sz w:val="24"/>
          <w:szCs w:val="24"/>
          <w:lang w:eastAsia="zh-CN"/>
        </w:rPr>
      </w:pPr>
      <w:r>
        <w:rPr>
          <w:rFonts w:hint="eastAsia" w:cs="宋体"/>
          <w:sz w:val="24"/>
          <w:lang w:eastAsia="zh-CN"/>
        </w:rPr>
        <w:t>请</w:t>
      </w:r>
      <w:r>
        <w:rPr>
          <w:rFonts w:cs="宋体"/>
          <w:sz w:val="24"/>
          <w:lang w:eastAsia="zh-CN"/>
        </w:rPr>
        <w:t>在《联邦公报》刊登本指南</w:t>
      </w:r>
      <w:r>
        <w:rPr>
          <w:rFonts w:hint="eastAsia" w:cs="宋体"/>
          <w:sz w:val="24"/>
          <w:lang w:eastAsia="zh-CN"/>
        </w:rPr>
        <w:t>草案的发布通知</w:t>
      </w:r>
      <w:r>
        <w:rPr>
          <w:rFonts w:cs="宋体"/>
          <w:sz w:val="24"/>
          <w:lang w:eastAsia="zh-CN"/>
        </w:rPr>
        <w:t>后90天内提</w:t>
      </w:r>
      <w:r>
        <w:rPr>
          <w:rFonts w:hint="eastAsia" w:cs="宋体"/>
          <w:sz w:val="24"/>
          <w:lang w:eastAsia="zh-CN"/>
        </w:rPr>
        <w:t>交</w:t>
      </w:r>
      <w:r>
        <w:rPr>
          <w:rFonts w:cs="宋体"/>
          <w:sz w:val="24"/>
          <w:lang w:eastAsia="zh-CN"/>
        </w:rPr>
        <w:t>对本文件草案的意见和建议。可将电子版意见提交至</w:t>
      </w:r>
      <w:r>
        <w:fldChar w:fldCharType="begin"/>
      </w:r>
      <w:r>
        <w:instrText xml:space="preserve"> HYPERLINK "https://www.regulations.gov" </w:instrText>
      </w:r>
      <w:r>
        <w:fldChar w:fldCharType="separate"/>
      </w:r>
      <w:r>
        <w:rPr>
          <w:rStyle w:val="16"/>
          <w:rFonts w:cs="宋体"/>
          <w:sz w:val="24"/>
          <w:lang w:eastAsia="zh-CN"/>
        </w:rPr>
        <w:t>https://www.regulations.gov</w:t>
      </w:r>
      <w:r>
        <w:rPr>
          <w:rStyle w:val="16"/>
          <w:rFonts w:cs="宋体"/>
          <w:sz w:val="24"/>
          <w:lang w:eastAsia="zh-CN"/>
        </w:rPr>
        <w:fldChar w:fldCharType="end"/>
      </w:r>
      <w:r>
        <w:rPr>
          <w:rFonts w:hint="eastAsia" w:cs="宋体"/>
          <w:sz w:val="24"/>
          <w:lang w:eastAsia="zh-CN"/>
        </w:rPr>
        <w:t>，</w:t>
      </w:r>
      <w:r>
        <w:rPr>
          <w:rFonts w:cs="宋体"/>
          <w:sz w:val="24"/>
          <w:lang w:eastAsia="zh-CN"/>
        </w:rPr>
        <w:t>书面意见提交至美国食品药品监督管理局</w:t>
      </w:r>
      <w:r>
        <w:rPr>
          <w:rFonts w:hint="eastAsia" w:cs="宋体"/>
          <w:sz w:val="24"/>
          <w:lang w:eastAsia="zh-CN"/>
        </w:rPr>
        <w:t>备案文件管理部，地址为5630 Fishers Lane, Room 1061, (HFA-305), Rockville, MD 20852。</w:t>
      </w:r>
      <w:r>
        <w:rPr>
          <w:rFonts w:cs="宋体"/>
          <w:sz w:val="24"/>
          <w:lang w:eastAsia="zh-CN"/>
        </w:rPr>
        <w:t>所</w:t>
      </w:r>
      <w:r>
        <w:rPr>
          <w:rFonts w:hint="eastAsia" w:cs="宋体"/>
          <w:sz w:val="24"/>
          <w:lang w:eastAsia="zh-CN"/>
        </w:rPr>
        <w:t>有</w:t>
      </w:r>
      <w:r>
        <w:rPr>
          <w:rFonts w:cs="宋体"/>
          <w:sz w:val="24"/>
          <w:lang w:eastAsia="zh-CN"/>
        </w:rPr>
        <w:t>意见</w:t>
      </w:r>
      <w:r>
        <w:rPr>
          <w:rFonts w:hint="eastAsia" w:cs="宋体"/>
          <w:sz w:val="24"/>
          <w:lang w:eastAsia="zh-CN"/>
        </w:rPr>
        <w:t>均应</w:t>
      </w:r>
      <w:r>
        <w:rPr>
          <w:rFonts w:cs="宋体"/>
          <w:sz w:val="24"/>
          <w:lang w:eastAsia="zh-CN"/>
        </w:rPr>
        <w:t>注明《联邦公报》发布的通知中列示的备案</w:t>
      </w:r>
      <w:r>
        <w:rPr>
          <w:rFonts w:hint="eastAsia" w:cs="宋体"/>
          <w:sz w:val="24"/>
          <w:lang w:eastAsia="zh-CN"/>
        </w:rPr>
        <w:t>文件</w:t>
      </w:r>
      <w:r>
        <w:rPr>
          <w:rFonts w:cs="宋体"/>
          <w:sz w:val="24"/>
          <w:lang w:eastAsia="zh-CN"/>
        </w:rPr>
        <w:t>编号。</w:t>
      </w:r>
    </w:p>
    <w:p w14:paraId="36A462D8">
      <w:pPr>
        <w:spacing w:before="120" w:beforeLines="50" w:line="300" w:lineRule="auto"/>
        <w:rPr>
          <w:rFonts w:cs="Times New Roman"/>
          <w:sz w:val="24"/>
          <w:szCs w:val="24"/>
          <w:lang w:eastAsia="zh-CN"/>
        </w:rPr>
      </w:pPr>
      <w:r>
        <w:rPr>
          <w:rFonts w:cs="宋体"/>
          <w:sz w:val="24"/>
          <w:lang w:eastAsia="zh-CN"/>
        </w:rPr>
        <w:t>如对本文件有关CDRH监管器械的内容有任何疑问，请致电1-301-796-6142与Avis Danishefsky联系，或发送电子邮件至</w:t>
      </w:r>
      <w:r>
        <w:rPr>
          <w:rFonts w:cs="宋体"/>
          <w:color w:val="0000FF"/>
          <w:sz w:val="24"/>
          <w:u w:val="single"/>
          <w:lang w:eastAsia="zh-CN"/>
        </w:rPr>
        <w:t>Avis.Danishefsky@fda.hhs.gov</w:t>
      </w:r>
      <w:r>
        <w:rPr>
          <w:rFonts w:cs="宋体"/>
          <w:sz w:val="24"/>
          <w:lang w:eastAsia="zh-CN"/>
        </w:rPr>
        <w:t>。</w:t>
      </w:r>
    </w:p>
    <w:p w14:paraId="5B70BA7B">
      <w:pPr>
        <w:spacing w:before="120" w:beforeLines="50" w:line="300" w:lineRule="auto"/>
        <w:jc w:val="center"/>
        <w:rPr>
          <w:rFonts w:cs="Times New Roman"/>
          <w:b/>
          <w:sz w:val="24"/>
          <w:szCs w:val="24"/>
          <w:lang w:eastAsia="zh-CN"/>
        </w:rPr>
      </w:pPr>
      <w:r>
        <w:rPr>
          <w:rFonts w:cs="宋体"/>
          <w:b/>
          <w:sz w:val="24"/>
          <w:lang w:eastAsia="zh-CN"/>
        </w:rPr>
        <w:t>本文件定稿后，将取代2003年12月11日的《替代试剂和仪器系列政策》。</w:t>
      </w:r>
    </w:p>
    <w:p w14:paraId="0EAEDB80">
      <w:pPr>
        <w:spacing w:before="120" w:beforeLines="50" w:line="300" w:lineRule="auto"/>
        <w:rPr>
          <w:rFonts w:cs="Times New Roman"/>
          <w:b/>
          <w:sz w:val="24"/>
          <w:szCs w:val="24"/>
          <w:lang w:eastAsia="zh-CN"/>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77"/>
        <w:gridCol w:w="5210"/>
      </w:tblGrid>
      <w:tr w14:paraId="17FC1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77" w:type="dxa"/>
          </w:tcPr>
          <w:p w14:paraId="652776AB">
            <w:pPr>
              <w:spacing w:before="120" w:beforeLines="50" w:line="300" w:lineRule="auto"/>
              <w:rPr>
                <w:rFonts w:cs="Times New Roman"/>
                <w:b/>
                <w:sz w:val="24"/>
                <w:szCs w:val="24"/>
              </w:rPr>
            </w:pPr>
            <w:r>
              <w:rPr>
                <w:rFonts w:cs="宋体"/>
                <w:lang w:eastAsia="zh-CN"/>
              </w:rPr>
              <w:drawing>
                <wp:inline distT="0" distB="0" distL="0" distR="0">
                  <wp:extent cx="2448560" cy="4997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462550" cy="502863"/>
                          </a:xfrm>
                          <a:prstGeom prst="rect">
                            <a:avLst/>
                          </a:prstGeom>
                        </pic:spPr>
                      </pic:pic>
                    </a:graphicData>
                  </a:graphic>
                </wp:inline>
              </w:drawing>
            </w:r>
          </w:p>
        </w:tc>
        <w:tc>
          <w:tcPr>
            <w:tcW w:w="5210" w:type="dxa"/>
          </w:tcPr>
          <w:p w14:paraId="36006EAA">
            <w:pPr>
              <w:spacing w:before="120" w:beforeLines="50" w:line="300" w:lineRule="auto"/>
              <w:jc w:val="right"/>
              <w:rPr>
                <w:rFonts w:cs="Times New Roman"/>
                <w:b/>
                <w:sz w:val="24"/>
                <w:szCs w:val="24"/>
                <w:lang w:eastAsia="zh-CN"/>
              </w:rPr>
            </w:pPr>
            <w:r>
              <w:rPr>
                <w:rFonts w:cs="宋体"/>
                <w:b/>
                <w:sz w:val="24"/>
                <w:lang w:eastAsia="zh-CN"/>
              </w:rPr>
              <w:t>美国卫生与</w:t>
            </w:r>
            <w:r>
              <w:rPr>
                <w:rFonts w:hint="eastAsia" w:cs="宋体"/>
                <w:b/>
                <w:sz w:val="24"/>
                <w:lang w:eastAsia="zh-CN"/>
              </w:rPr>
              <w:t>公众</w:t>
            </w:r>
            <w:r>
              <w:rPr>
                <w:rFonts w:cs="宋体"/>
                <w:b/>
                <w:sz w:val="24"/>
                <w:lang w:eastAsia="zh-CN"/>
              </w:rPr>
              <w:t>服务部</w:t>
            </w:r>
          </w:p>
          <w:p w14:paraId="49A242DA">
            <w:pPr>
              <w:spacing w:before="120" w:beforeLines="50" w:line="300" w:lineRule="auto"/>
              <w:jc w:val="right"/>
              <w:rPr>
                <w:rFonts w:cs="Times New Roman"/>
                <w:b/>
                <w:sz w:val="24"/>
                <w:szCs w:val="24"/>
                <w:lang w:eastAsia="zh-CN"/>
              </w:rPr>
            </w:pPr>
            <w:r>
              <w:rPr>
                <w:rFonts w:cs="宋体"/>
                <w:b/>
                <w:sz w:val="24"/>
                <w:lang w:eastAsia="zh-CN"/>
              </w:rPr>
              <w:t>美国食品药品监督管理局</w:t>
            </w:r>
          </w:p>
          <w:p w14:paraId="70EB8FE4">
            <w:pPr>
              <w:spacing w:before="120" w:beforeLines="50" w:line="300" w:lineRule="auto"/>
              <w:jc w:val="right"/>
              <w:rPr>
                <w:rFonts w:cs="Times New Roman"/>
                <w:b/>
                <w:sz w:val="24"/>
                <w:szCs w:val="24"/>
                <w:lang w:eastAsia="zh-CN"/>
              </w:rPr>
            </w:pPr>
            <w:r>
              <w:rPr>
                <w:rFonts w:cs="宋体"/>
                <w:b/>
                <w:sz w:val="24"/>
                <w:lang w:eastAsia="zh-CN"/>
              </w:rPr>
              <w:t>医疗器械和辐射健康中心</w:t>
            </w:r>
          </w:p>
        </w:tc>
      </w:tr>
    </w:tbl>
    <w:p w14:paraId="3C1F016A">
      <w:pPr>
        <w:spacing w:before="120" w:beforeLines="50" w:line="300" w:lineRule="auto"/>
        <w:rPr>
          <w:rFonts w:cs="Times New Roman"/>
          <w:b/>
          <w:sz w:val="24"/>
          <w:szCs w:val="24"/>
          <w:lang w:eastAsia="zh-CN"/>
        </w:rPr>
      </w:pPr>
      <w:r>
        <w:rPr>
          <w:rFonts w:cs="宋体"/>
          <w:sz w:val="24"/>
          <w:lang w:eastAsia="zh-CN"/>
        </w:rPr>
        <w:br w:type="page"/>
      </w:r>
    </w:p>
    <w:p w14:paraId="0C861C46">
      <w:pPr>
        <w:spacing w:before="120" w:beforeLines="50" w:line="300" w:lineRule="auto"/>
        <w:jc w:val="center"/>
        <w:rPr>
          <w:rFonts w:cs="Times New Roman"/>
          <w:b/>
          <w:sz w:val="44"/>
          <w:szCs w:val="44"/>
          <w:lang w:eastAsia="zh-CN"/>
        </w:rPr>
      </w:pPr>
      <w:r>
        <w:rPr>
          <w:rFonts w:cs="宋体"/>
          <w:b/>
          <w:sz w:val="44"/>
          <w:lang w:eastAsia="zh-CN"/>
        </w:rPr>
        <w:t>前言</w:t>
      </w:r>
    </w:p>
    <w:p w14:paraId="0FF757F7">
      <w:pPr>
        <w:spacing w:before="120" w:beforeLines="50" w:line="300" w:lineRule="auto"/>
        <w:rPr>
          <w:rFonts w:cs="Times New Roman"/>
          <w:b/>
          <w:sz w:val="32"/>
          <w:szCs w:val="32"/>
          <w:lang w:eastAsia="zh-CN"/>
        </w:rPr>
      </w:pPr>
      <w:r>
        <w:rPr>
          <w:rFonts w:cs="宋体"/>
          <w:b/>
          <w:sz w:val="32"/>
          <w:lang w:eastAsia="zh-CN"/>
        </w:rPr>
        <w:t>更多副本</w:t>
      </w:r>
    </w:p>
    <w:p w14:paraId="1EF64A7E">
      <w:pPr>
        <w:spacing w:before="120" w:beforeLines="50" w:line="300" w:lineRule="auto"/>
        <w:rPr>
          <w:rFonts w:cs="Times New Roman"/>
          <w:b/>
          <w:sz w:val="32"/>
          <w:szCs w:val="32"/>
          <w:lang w:eastAsia="zh-CN"/>
        </w:rPr>
      </w:pPr>
      <w:r>
        <w:rPr>
          <w:rFonts w:cs="宋体"/>
          <w:b/>
          <w:sz w:val="32"/>
          <w:lang w:eastAsia="zh-CN"/>
        </w:rPr>
        <w:t>CDRH</w:t>
      </w:r>
    </w:p>
    <w:p w14:paraId="69947A3E">
      <w:pPr>
        <w:spacing w:before="120" w:beforeLines="50" w:line="300" w:lineRule="auto"/>
        <w:rPr>
          <w:rFonts w:cs="Times New Roman"/>
          <w:sz w:val="24"/>
          <w:szCs w:val="24"/>
          <w:lang w:eastAsia="zh-CN"/>
        </w:rPr>
      </w:pPr>
      <w:r>
        <w:rPr>
          <w:rFonts w:cs="宋体"/>
          <w:sz w:val="24"/>
          <w:lang w:eastAsia="zh-CN"/>
        </w:rPr>
        <w:t>更多副本可通过互联网获得</w:t>
      </w:r>
      <w:r>
        <w:rPr>
          <w:rFonts w:hint="eastAsia" w:cs="宋体"/>
          <w:sz w:val="24"/>
          <w:lang w:eastAsia="zh-CN"/>
        </w:rPr>
        <w:t>。</w:t>
      </w:r>
      <w:r>
        <w:rPr>
          <w:rFonts w:cs="宋体"/>
          <w:sz w:val="24"/>
          <w:lang w:eastAsia="zh-CN"/>
        </w:rPr>
        <w:t>也可</w:t>
      </w:r>
      <w:r>
        <w:rPr>
          <w:rFonts w:hint="eastAsia" w:cs="宋体"/>
          <w:sz w:val="24"/>
          <w:lang w:eastAsia="zh-CN"/>
        </w:rPr>
        <w:t>以</w:t>
      </w:r>
      <w:r>
        <w:rPr>
          <w:rFonts w:cs="宋体"/>
          <w:sz w:val="24"/>
          <w:lang w:eastAsia="zh-CN"/>
        </w:rPr>
        <w:t>通过电子邮件发送请求至</w:t>
      </w:r>
      <w:r>
        <w:rPr>
          <w:rFonts w:cs="宋体"/>
          <w:color w:val="0000FF"/>
          <w:sz w:val="24"/>
          <w:u w:val="single"/>
          <w:lang w:eastAsia="zh-CN"/>
        </w:rPr>
        <w:t>CDRH-Guidance@fda.hhs.gov</w:t>
      </w:r>
      <w:r>
        <w:rPr>
          <w:rFonts w:cs="宋体"/>
          <w:sz w:val="24"/>
          <w:lang w:eastAsia="zh-CN"/>
        </w:rPr>
        <w:t>获取本指南的副本。请使用文件编号16045</w:t>
      </w:r>
      <w:r>
        <w:rPr>
          <w:rFonts w:hint="eastAsia" w:cs="宋体"/>
          <w:sz w:val="24"/>
          <w:lang w:eastAsia="zh-CN"/>
        </w:rPr>
        <w:t>来</w:t>
      </w:r>
      <w:r>
        <w:rPr>
          <w:rFonts w:cs="宋体"/>
          <w:sz w:val="24"/>
          <w:lang w:eastAsia="zh-CN"/>
        </w:rPr>
        <w:t>注明所要求获取的指南。</w:t>
      </w:r>
    </w:p>
    <w:p w14:paraId="00229EC1">
      <w:pPr>
        <w:spacing w:before="120" w:beforeLines="50" w:line="300" w:lineRule="auto"/>
        <w:rPr>
          <w:rFonts w:cs="Times New Roman"/>
          <w:b/>
          <w:sz w:val="24"/>
          <w:szCs w:val="24"/>
          <w:lang w:eastAsia="zh-CN"/>
        </w:rPr>
      </w:pPr>
      <w:r>
        <w:rPr>
          <w:rFonts w:cs="宋体"/>
          <w:sz w:val="24"/>
          <w:lang w:eastAsia="zh-CN"/>
        </w:rPr>
        <w:br w:type="page"/>
      </w:r>
    </w:p>
    <w:p w14:paraId="4B30F9C0">
      <w:pPr>
        <w:spacing w:before="120" w:beforeLines="50" w:line="300" w:lineRule="auto"/>
        <w:jc w:val="center"/>
        <w:rPr>
          <w:rFonts w:cs="Times New Roman"/>
          <w:b/>
          <w:sz w:val="32"/>
          <w:szCs w:val="32"/>
        </w:rPr>
      </w:pPr>
      <w:r>
        <w:rPr>
          <w:rFonts w:cs="宋体"/>
          <w:b/>
          <w:sz w:val="32"/>
        </w:rPr>
        <w:t>目录</w:t>
      </w:r>
    </w:p>
    <w:p w14:paraId="6E5D6BA5">
      <w:pPr>
        <w:pStyle w:val="10"/>
        <w:rPr>
          <w:rFonts w:asciiTheme="minorHAnsi" w:hAnsiTheme="minorHAnsi" w:eastAsiaTheme="minorEastAsia"/>
          <w:kern w:val="2"/>
          <w:sz w:val="21"/>
          <w:szCs w:val="22"/>
          <w:lang w:eastAsia="zh-CN"/>
        </w:rPr>
      </w:pPr>
      <w:r>
        <w:rPr>
          <w:rFonts w:cs="Times New Roman"/>
          <w:b/>
          <w:lang w:eastAsia="zh-CN"/>
        </w:rPr>
        <w:fldChar w:fldCharType="begin"/>
      </w:r>
      <w:r>
        <w:rPr>
          <w:rFonts w:cs="Times New Roman"/>
          <w:b/>
          <w:lang w:eastAsia="zh-CN"/>
        </w:rPr>
        <w:instrText xml:space="preserve"> </w:instrText>
      </w:r>
      <w:r>
        <w:rPr>
          <w:rFonts w:hint="eastAsia" w:cs="Times New Roman"/>
          <w:b/>
          <w:lang w:eastAsia="zh-CN"/>
        </w:rPr>
        <w:instrText xml:space="preserve">TOC \o "1-3" \h \z \u</w:instrText>
      </w:r>
      <w:r>
        <w:rPr>
          <w:rFonts w:cs="Times New Roman"/>
          <w:b/>
          <w:lang w:eastAsia="zh-CN"/>
        </w:rPr>
        <w:instrText xml:space="preserve"> </w:instrText>
      </w:r>
      <w:r>
        <w:rPr>
          <w:rFonts w:cs="Times New Roman"/>
          <w:b/>
          <w:lang w:eastAsia="zh-CN"/>
        </w:rPr>
        <w:fldChar w:fldCharType="separate"/>
      </w:r>
      <w:r>
        <w:fldChar w:fldCharType="begin"/>
      </w:r>
      <w:r>
        <w:instrText xml:space="preserve"> HYPERLINK \l "_Toc97887057" </w:instrText>
      </w:r>
      <w:r>
        <w:fldChar w:fldCharType="separate"/>
      </w:r>
      <w:r>
        <w:rPr>
          <w:rStyle w:val="16"/>
          <w:rFonts w:cs="宋体"/>
          <w:lang w:eastAsia="zh-CN"/>
        </w:rPr>
        <w:t>I.</w:t>
      </w:r>
      <w:r>
        <w:rPr>
          <w:rFonts w:asciiTheme="minorHAnsi" w:hAnsiTheme="minorHAnsi" w:eastAsiaTheme="minorEastAsia"/>
          <w:kern w:val="2"/>
          <w:sz w:val="21"/>
          <w:szCs w:val="22"/>
          <w:lang w:eastAsia="zh-CN"/>
        </w:rPr>
        <w:tab/>
      </w:r>
      <w:r>
        <w:rPr>
          <w:rStyle w:val="16"/>
          <w:rFonts w:hint="eastAsia" w:cs="宋体"/>
          <w:lang w:eastAsia="zh-CN"/>
        </w:rPr>
        <w:t>引言</w:t>
      </w:r>
      <w:r>
        <w:tab/>
      </w:r>
      <w:r>
        <w:fldChar w:fldCharType="begin"/>
      </w:r>
      <w:r>
        <w:instrText xml:space="preserve"> PAGEREF _Toc97887057 \h </w:instrText>
      </w:r>
      <w:r>
        <w:fldChar w:fldCharType="separate"/>
      </w:r>
      <w:r>
        <w:t>1</w:t>
      </w:r>
      <w:r>
        <w:fldChar w:fldCharType="end"/>
      </w:r>
      <w:r>
        <w:fldChar w:fldCharType="end"/>
      </w:r>
    </w:p>
    <w:p w14:paraId="10F7800C">
      <w:pPr>
        <w:pStyle w:val="10"/>
        <w:rPr>
          <w:rFonts w:asciiTheme="minorHAnsi" w:hAnsiTheme="minorHAnsi" w:eastAsiaTheme="minorEastAsia"/>
          <w:kern w:val="2"/>
          <w:sz w:val="21"/>
          <w:szCs w:val="22"/>
          <w:lang w:eastAsia="zh-CN"/>
        </w:rPr>
      </w:pPr>
      <w:r>
        <w:fldChar w:fldCharType="begin"/>
      </w:r>
      <w:r>
        <w:instrText xml:space="preserve"> HYPERLINK \l "_Toc97887058" </w:instrText>
      </w:r>
      <w:r>
        <w:fldChar w:fldCharType="separate"/>
      </w:r>
      <w:r>
        <w:rPr>
          <w:rStyle w:val="16"/>
          <w:rFonts w:cs="宋体"/>
          <w:lang w:eastAsia="zh-CN"/>
        </w:rPr>
        <w:t>II.</w:t>
      </w:r>
      <w:r>
        <w:rPr>
          <w:rFonts w:asciiTheme="minorHAnsi" w:hAnsiTheme="minorHAnsi" w:eastAsiaTheme="minorEastAsia"/>
          <w:kern w:val="2"/>
          <w:sz w:val="21"/>
          <w:szCs w:val="22"/>
          <w:lang w:eastAsia="zh-CN"/>
        </w:rPr>
        <w:tab/>
      </w:r>
      <w:r>
        <w:rPr>
          <w:rStyle w:val="16"/>
          <w:rFonts w:hint="eastAsia" w:cs="宋体"/>
          <w:lang w:eastAsia="zh-CN"/>
        </w:rPr>
        <w:t>范围</w:t>
      </w:r>
      <w:r>
        <w:tab/>
      </w:r>
      <w:r>
        <w:fldChar w:fldCharType="begin"/>
      </w:r>
      <w:r>
        <w:instrText xml:space="preserve"> PAGEREF _Toc97887058 \h </w:instrText>
      </w:r>
      <w:r>
        <w:fldChar w:fldCharType="separate"/>
      </w:r>
      <w:r>
        <w:t>2</w:t>
      </w:r>
      <w:r>
        <w:fldChar w:fldCharType="end"/>
      </w:r>
      <w:r>
        <w:fldChar w:fldCharType="end"/>
      </w:r>
    </w:p>
    <w:p w14:paraId="01F8145F">
      <w:pPr>
        <w:pStyle w:val="10"/>
        <w:rPr>
          <w:rFonts w:asciiTheme="minorHAnsi" w:hAnsiTheme="minorHAnsi" w:eastAsiaTheme="minorEastAsia"/>
          <w:kern w:val="2"/>
          <w:sz w:val="21"/>
          <w:szCs w:val="22"/>
          <w:lang w:eastAsia="zh-CN"/>
        </w:rPr>
      </w:pPr>
      <w:r>
        <w:fldChar w:fldCharType="begin"/>
      </w:r>
      <w:r>
        <w:instrText xml:space="preserve"> HYPERLINK \l "_Toc97887059" </w:instrText>
      </w:r>
      <w:r>
        <w:fldChar w:fldCharType="separate"/>
      </w:r>
      <w:r>
        <w:rPr>
          <w:rStyle w:val="16"/>
          <w:rFonts w:cs="宋体"/>
        </w:rPr>
        <w:t>III.</w:t>
      </w:r>
      <w:r>
        <w:rPr>
          <w:rFonts w:asciiTheme="minorHAnsi" w:hAnsiTheme="minorHAnsi" w:eastAsiaTheme="minorEastAsia"/>
          <w:kern w:val="2"/>
          <w:sz w:val="21"/>
          <w:szCs w:val="22"/>
          <w:lang w:eastAsia="zh-CN"/>
        </w:rPr>
        <w:tab/>
      </w:r>
      <w:r>
        <w:rPr>
          <w:rStyle w:val="16"/>
          <w:rFonts w:hint="eastAsia" w:cs="宋体"/>
        </w:rPr>
        <w:t>替代试剂政策</w:t>
      </w:r>
      <w:r>
        <w:tab/>
      </w:r>
      <w:r>
        <w:fldChar w:fldCharType="begin"/>
      </w:r>
      <w:r>
        <w:instrText xml:space="preserve"> PAGEREF _Toc97887059 \h </w:instrText>
      </w:r>
      <w:r>
        <w:fldChar w:fldCharType="separate"/>
      </w:r>
      <w:r>
        <w:t>4</w:t>
      </w:r>
      <w:r>
        <w:fldChar w:fldCharType="end"/>
      </w:r>
      <w:r>
        <w:fldChar w:fldCharType="end"/>
      </w:r>
    </w:p>
    <w:p w14:paraId="253222FB">
      <w:pPr>
        <w:pStyle w:val="11"/>
        <w:rPr>
          <w:rFonts w:asciiTheme="minorHAnsi" w:hAnsiTheme="minorHAnsi" w:eastAsiaTheme="minorEastAsia"/>
          <w:kern w:val="2"/>
          <w:sz w:val="21"/>
          <w:szCs w:val="22"/>
          <w:lang w:eastAsia="zh-CN"/>
        </w:rPr>
      </w:pPr>
      <w:r>
        <w:fldChar w:fldCharType="begin"/>
      </w:r>
      <w:r>
        <w:instrText xml:space="preserve"> HYPERLINK \l "_Toc97887060" </w:instrText>
      </w:r>
      <w:r>
        <w:fldChar w:fldCharType="separate"/>
      </w:r>
      <w:r>
        <w:rPr>
          <w:rStyle w:val="16"/>
          <w:rFonts w:cs="宋体"/>
          <w:lang w:eastAsia="zh-CN"/>
        </w:rPr>
        <w:t>A.</w:t>
      </w:r>
      <w:r>
        <w:rPr>
          <w:rFonts w:asciiTheme="minorHAnsi" w:hAnsiTheme="minorHAnsi" w:eastAsiaTheme="minorEastAsia"/>
          <w:kern w:val="2"/>
          <w:sz w:val="21"/>
          <w:szCs w:val="22"/>
          <w:lang w:eastAsia="zh-CN"/>
        </w:rPr>
        <w:tab/>
      </w:r>
      <w:r>
        <w:rPr>
          <w:rStyle w:val="16"/>
          <w:rFonts w:hint="eastAsia" w:cs="宋体"/>
          <w:lang w:eastAsia="zh-CN"/>
        </w:rPr>
        <w:t>检测系统操作原理</w:t>
      </w:r>
      <w:r>
        <w:tab/>
      </w:r>
      <w:r>
        <w:fldChar w:fldCharType="begin"/>
      </w:r>
      <w:r>
        <w:instrText xml:space="preserve"> PAGEREF _Toc97887060 \h </w:instrText>
      </w:r>
      <w:r>
        <w:fldChar w:fldCharType="separate"/>
      </w:r>
      <w:r>
        <w:t>4</w:t>
      </w:r>
      <w:r>
        <w:fldChar w:fldCharType="end"/>
      </w:r>
      <w:r>
        <w:fldChar w:fldCharType="end"/>
      </w:r>
    </w:p>
    <w:p w14:paraId="0F74BFF2">
      <w:pPr>
        <w:pStyle w:val="11"/>
        <w:rPr>
          <w:rFonts w:asciiTheme="minorHAnsi" w:hAnsiTheme="minorHAnsi" w:eastAsiaTheme="minorEastAsia"/>
          <w:kern w:val="2"/>
          <w:sz w:val="21"/>
          <w:szCs w:val="22"/>
          <w:lang w:eastAsia="zh-CN"/>
        </w:rPr>
      </w:pPr>
      <w:r>
        <w:fldChar w:fldCharType="begin"/>
      </w:r>
      <w:r>
        <w:instrText xml:space="preserve"> HYPERLINK \l "_Toc97887061" </w:instrText>
      </w:r>
      <w:r>
        <w:fldChar w:fldCharType="separate"/>
      </w:r>
      <w:r>
        <w:rPr>
          <w:rStyle w:val="16"/>
          <w:rFonts w:cs="宋体"/>
          <w:lang w:eastAsia="zh-CN"/>
        </w:rPr>
        <w:t>B.</w:t>
      </w:r>
      <w:r>
        <w:rPr>
          <w:rFonts w:asciiTheme="minorHAnsi" w:hAnsiTheme="minorHAnsi" w:eastAsiaTheme="minorEastAsia"/>
          <w:kern w:val="2"/>
          <w:sz w:val="21"/>
          <w:szCs w:val="22"/>
          <w:lang w:eastAsia="zh-CN"/>
        </w:rPr>
        <w:tab/>
      </w:r>
      <w:r>
        <w:rPr>
          <w:rStyle w:val="16"/>
          <w:rFonts w:hint="eastAsia" w:cs="宋体"/>
          <w:lang w:eastAsia="zh-CN"/>
        </w:rPr>
        <w:t>基于风险的评估</w:t>
      </w:r>
      <w:r>
        <w:tab/>
      </w:r>
      <w:r>
        <w:fldChar w:fldCharType="begin"/>
      </w:r>
      <w:r>
        <w:instrText xml:space="preserve"> PAGEREF _Toc97887061 \h </w:instrText>
      </w:r>
      <w:r>
        <w:fldChar w:fldCharType="separate"/>
      </w:r>
      <w:r>
        <w:t>6</w:t>
      </w:r>
      <w:r>
        <w:fldChar w:fldCharType="end"/>
      </w:r>
      <w:r>
        <w:fldChar w:fldCharType="end"/>
      </w:r>
    </w:p>
    <w:p w14:paraId="0CF45958">
      <w:pPr>
        <w:pStyle w:val="11"/>
        <w:rPr>
          <w:rFonts w:asciiTheme="minorHAnsi" w:hAnsiTheme="minorHAnsi" w:eastAsiaTheme="minorEastAsia"/>
          <w:kern w:val="2"/>
          <w:sz w:val="21"/>
          <w:szCs w:val="22"/>
          <w:lang w:eastAsia="zh-CN"/>
        </w:rPr>
      </w:pPr>
      <w:r>
        <w:fldChar w:fldCharType="begin"/>
      </w:r>
      <w:r>
        <w:instrText xml:space="preserve"> HYPERLINK \l "_Toc97887062" </w:instrText>
      </w:r>
      <w:r>
        <w:fldChar w:fldCharType="separate"/>
      </w:r>
      <w:r>
        <w:rPr>
          <w:rStyle w:val="16"/>
          <w:rFonts w:cs="宋体"/>
          <w:lang w:eastAsia="zh-CN"/>
        </w:rPr>
        <w:t>C.</w:t>
      </w:r>
      <w:r>
        <w:rPr>
          <w:rFonts w:asciiTheme="minorHAnsi" w:hAnsiTheme="minorHAnsi" w:eastAsiaTheme="minorEastAsia"/>
          <w:kern w:val="2"/>
          <w:sz w:val="21"/>
          <w:szCs w:val="22"/>
          <w:lang w:eastAsia="zh-CN"/>
        </w:rPr>
        <w:tab/>
      </w:r>
      <w:r>
        <w:rPr>
          <w:rStyle w:val="16"/>
          <w:rFonts w:hint="eastAsia" w:cs="宋体"/>
          <w:lang w:eastAsia="zh-CN"/>
        </w:rPr>
        <w:t>设计验证和</w:t>
      </w:r>
      <w:r>
        <w:rPr>
          <w:rStyle w:val="16"/>
          <w:rFonts w:cs="宋体"/>
          <w:lang w:eastAsia="zh-CN"/>
        </w:rPr>
        <w:t>/</w:t>
      </w:r>
      <w:r>
        <w:rPr>
          <w:rStyle w:val="16"/>
          <w:rFonts w:hint="eastAsia" w:cs="宋体"/>
          <w:lang w:eastAsia="zh-CN"/>
        </w:rPr>
        <w:t>或确认活动</w:t>
      </w:r>
      <w:r>
        <w:tab/>
      </w:r>
      <w:r>
        <w:fldChar w:fldCharType="begin"/>
      </w:r>
      <w:r>
        <w:instrText xml:space="preserve"> PAGEREF _Toc97887062 \h </w:instrText>
      </w:r>
      <w:r>
        <w:fldChar w:fldCharType="separate"/>
      </w:r>
      <w:r>
        <w:t>7</w:t>
      </w:r>
      <w:r>
        <w:fldChar w:fldCharType="end"/>
      </w:r>
      <w:r>
        <w:fldChar w:fldCharType="end"/>
      </w:r>
    </w:p>
    <w:p w14:paraId="151441D0">
      <w:pPr>
        <w:pStyle w:val="11"/>
        <w:rPr>
          <w:rFonts w:asciiTheme="minorHAnsi" w:hAnsiTheme="minorHAnsi" w:eastAsiaTheme="minorEastAsia"/>
          <w:kern w:val="2"/>
          <w:sz w:val="21"/>
          <w:szCs w:val="22"/>
          <w:lang w:eastAsia="zh-CN"/>
        </w:rPr>
      </w:pPr>
      <w:r>
        <w:fldChar w:fldCharType="begin"/>
      </w:r>
      <w:r>
        <w:instrText xml:space="preserve"> HYPERLINK \l "_Toc97887063" </w:instrText>
      </w:r>
      <w:r>
        <w:fldChar w:fldCharType="separate"/>
      </w:r>
      <w:r>
        <w:rPr>
          <w:rStyle w:val="16"/>
          <w:rFonts w:cs="宋体"/>
          <w:lang w:eastAsia="zh-CN"/>
        </w:rPr>
        <w:t>D.</w:t>
      </w:r>
      <w:r>
        <w:rPr>
          <w:rFonts w:asciiTheme="minorHAnsi" w:hAnsiTheme="minorHAnsi" w:eastAsiaTheme="minorEastAsia"/>
          <w:kern w:val="2"/>
          <w:sz w:val="21"/>
          <w:szCs w:val="22"/>
          <w:lang w:eastAsia="zh-CN"/>
        </w:rPr>
        <w:tab/>
      </w:r>
      <w:r>
        <w:rPr>
          <w:rStyle w:val="16"/>
          <w:rFonts w:hint="eastAsia" w:cs="宋体"/>
          <w:lang w:eastAsia="zh-CN"/>
        </w:rPr>
        <w:t>文档</w:t>
      </w:r>
      <w:r>
        <w:tab/>
      </w:r>
      <w:r>
        <w:fldChar w:fldCharType="begin"/>
      </w:r>
      <w:r>
        <w:instrText xml:space="preserve"> PAGEREF _Toc97887063 \h </w:instrText>
      </w:r>
      <w:r>
        <w:fldChar w:fldCharType="separate"/>
      </w:r>
      <w:r>
        <w:t>9</w:t>
      </w:r>
      <w:r>
        <w:fldChar w:fldCharType="end"/>
      </w:r>
      <w:r>
        <w:fldChar w:fldCharType="end"/>
      </w:r>
    </w:p>
    <w:p w14:paraId="452D8EEC">
      <w:pPr>
        <w:pStyle w:val="10"/>
        <w:rPr>
          <w:rFonts w:asciiTheme="minorHAnsi" w:hAnsiTheme="minorHAnsi" w:eastAsiaTheme="minorEastAsia"/>
          <w:kern w:val="2"/>
          <w:sz w:val="21"/>
          <w:szCs w:val="22"/>
          <w:lang w:eastAsia="zh-CN"/>
        </w:rPr>
      </w:pPr>
      <w:r>
        <w:fldChar w:fldCharType="begin"/>
      </w:r>
      <w:r>
        <w:instrText xml:space="preserve"> HYPERLINK \l "_Toc97887064" </w:instrText>
      </w:r>
      <w:r>
        <w:fldChar w:fldCharType="separate"/>
      </w:r>
      <w:r>
        <w:rPr>
          <w:rStyle w:val="16"/>
          <w:rFonts w:cs="宋体"/>
          <w:lang w:eastAsia="zh-CN"/>
        </w:rPr>
        <w:t>IV.</w:t>
      </w:r>
      <w:r>
        <w:rPr>
          <w:rFonts w:asciiTheme="minorHAnsi" w:hAnsiTheme="minorHAnsi" w:eastAsiaTheme="minorEastAsia"/>
          <w:kern w:val="2"/>
          <w:sz w:val="21"/>
          <w:szCs w:val="22"/>
          <w:lang w:eastAsia="zh-CN"/>
        </w:rPr>
        <w:tab/>
      </w:r>
      <w:r>
        <w:rPr>
          <w:rStyle w:val="16"/>
          <w:rFonts w:hint="eastAsia" w:cs="宋体"/>
          <w:lang w:eastAsia="zh-CN"/>
        </w:rPr>
        <w:t>仪器系列政策</w:t>
      </w:r>
      <w:r>
        <w:tab/>
      </w:r>
      <w:r>
        <w:fldChar w:fldCharType="begin"/>
      </w:r>
      <w:r>
        <w:instrText xml:space="preserve"> PAGEREF _Toc97887064 \h </w:instrText>
      </w:r>
      <w:r>
        <w:fldChar w:fldCharType="separate"/>
      </w:r>
      <w:r>
        <w:t>9</w:t>
      </w:r>
      <w:r>
        <w:fldChar w:fldCharType="end"/>
      </w:r>
      <w:r>
        <w:fldChar w:fldCharType="end"/>
      </w:r>
    </w:p>
    <w:p w14:paraId="7FD0BCB6">
      <w:pPr>
        <w:pStyle w:val="10"/>
        <w:rPr>
          <w:rFonts w:asciiTheme="minorHAnsi" w:hAnsiTheme="minorHAnsi" w:eastAsiaTheme="minorEastAsia"/>
          <w:kern w:val="2"/>
          <w:sz w:val="21"/>
          <w:szCs w:val="22"/>
          <w:lang w:eastAsia="zh-CN"/>
        </w:rPr>
      </w:pPr>
      <w:r>
        <w:fldChar w:fldCharType="begin"/>
      </w:r>
      <w:r>
        <w:instrText xml:space="preserve"> HYPERLINK \l "_Toc97887065" </w:instrText>
      </w:r>
      <w:r>
        <w:fldChar w:fldCharType="separate"/>
      </w:r>
      <w:r>
        <w:rPr>
          <w:rStyle w:val="16"/>
          <w:rFonts w:cs="宋体"/>
          <w:lang w:eastAsia="zh-CN"/>
        </w:rPr>
        <w:t>V.</w:t>
      </w:r>
      <w:r>
        <w:rPr>
          <w:rFonts w:asciiTheme="minorHAnsi" w:hAnsiTheme="minorHAnsi" w:eastAsiaTheme="minorEastAsia"/>
          <w:kern w:val="2"/>
          <w:sz w:val="21"/>
          <w:szCs w:val="22"/>
          <w:lang w:eastAsia="zh-CN"/>
        </w:rPr>
        <w:tab/>
      </w:r>
      <w:r>
        <w:rPr>
          <w:rStyle w:val="16"/>
          <w:rFonts w:hint="eastAsia" w:cs="宋体"/>
          <w:lang w:eastAsia="zh-CN"/>
        </w:rPr>
        <w:t>示例</w:t>
      </w:r>
      <w:r>
        <w:tab/>
      </w:r>
      <w:r>
        <w:fldChar w:fldCharType="begin"/>
      </w:r>
      <w:r>
        <w:instrText xml:space="preserve"> PAGEREF _Toc97887065 \h </w:instrText>
      </w:r>
      <w:r>
        <w:fldChar w:fldCharType="separate"/>
      </w:r>
      <w:r>
        <w:t>10</w:t>
      </w:r>
      <w:r>
        <w:fldChar w:fldCharType="end"/>
      </w:r>
      <w:r>
        <w:fldChar w:fldCharType="end"/>
      </w:r>
    </w:p>
    <w:p w14:paraId="05E48F2D">
      <w:pPr>
        <w:pStyle w:val="10"/>
        <w:rPr>
          <w:rFonts w:asciiTheme="minorHAnsi" w:hAnsiTheme="minorHAnsi" w:eastAsiaTheme="minorEastAsia"/>
          <w:kern w:val="2"/>
          <w:sz w:val="21"/>
          <w:szCs w:val="22"/>
          <w:lang w:eastAsia="zh-CN"/>
        </w:rPr>
      </w:pPr>
      <w:r>
        <w:fldChar w:fldCharType="begin"/>
      </w:r>
      <w:r>
        <w:instrText xml:space="preserve"> HYPERLINK \l "_Toc97887066" </w:instrText>
      </w:r>
      <w:r>
        <w:fldChar w:fldCharType="separate"/>
      </w:r>
      <w:r>
        <w:rPr>
          <w:rStyle w:val="16"/>
          <w:rFonts w:cs="宋体"/>
          <w:lang w:eastAsia="zh-CN"/>
        </w:rPr>
        <w:t>VI.</w:t>
      </w:r>
      <w:r>
        <w:rPr>
          <w:rFonts w:asciiTheme="minorHAnsi" w:hAnsiTheme="minorHAnsi" w:eastAsiaTheme="minorEastAsia"/>
          <w:kern w:val="2"/>
          <w:sz w:val="21"/>
          <w:szCs w:val="22"/>
          <w:lang w:eastAsia="zh-CN"/>
        </w:rPr>
        <w:tab/>
      </w:r>
      <w:r>
        <w:rPr>
          <w:rStyle w:val="16"/>
          <w:rFonts w:hint="eastAsia" w:cs="宋体"/>
          <w:lang w:eastAsia="zh-CN"/>
        </w:rPr>
        <w:t>标识</w:t>
      </w:r>
      <w:r>
        <w:tab/>
      </w:r>
      <w:r>
        <w:fldChar w:fldCharType="begin"/>
      </w:r>
      <w:r>
        <w:instrText xml:space="preserve"> PAGEREF _Toc97887066 \h </w:instrText>
      </w:r>
      <w:r>
        <w:fldChar w:fldCharType="separate"/>
      </w:r>
      <w:r>
        <w:t>13</w:t>
      </w:r>
      <w:r>
        <w:fldChar w:fldCharType="end"/>
      </w:r>
      <w:r>
        <w:fldChar w:fldCharType="end"/>
      </w:r>
    </w:p>
    <w:p w14:paraId="2C556AF8">
      <w:pPr>
        <w:pStyle w:val="10"/>
        <w:rPr>
          <w:rFonts w:asciiTheme="minorHAnsi" w:hAnsiTheme="minorHAnsi" w:eastAsiaTheme="minorEastAsia"/>
          <w:kern w:val="2"/>
          <w:sz w:val="21"/>
          <w:szCs w:val="22"/>
          <w:lang w:eastAsia="zh-CN"/>
        </w:rPr>
      </w:pPr>
      <w:r>
        <w:fldChar w:fldCharType="begin"/>
      </w:r>
      <w:r>
        <w:instrText xml:space="preserve"> HYPERLINK \l "_Toc97887067" </w:instrText>
      </w:r>
      <w:r>
        <w:fldChar w:fldCharType="separate"/>
      </w:r>
      <w:r>
        <w:rPr>
          <w:rStyle w:val="16"/>
          <w:rFonts w:cs="宋体"/>
          <w:lang w:eastAsia="zh-CN"/>
        </w:rPr>
        <w:t>VII.</w:t>
      </w:r>
      <w:r>
        <w:rPr>
          <w:rFonts w:asciiTheme="minorHAnsi" w:hAnsiTheme="minorHAnsi" w:eastAsiaTheme="minorEastAsia"/>
          <w:kern w:val="2"/>
          <w:sz w:val="21"/>
          <w:szCs w:val="22"/>
          <w:lang w:eastAsia="zh-CN"/>
        </w:rPr>
        <w:tab/>
      </w:r>
      <w:r>
        <w:rPr>
          <w:rStyle w:val="16"/>
          <w:rFonts w:hint="eastAsia" w:cs="宋体"/>
          <w:lang w:eastAsia="zh-CN"/>
        </w:rPr>
        <w:t>《临床实验室改进修正案》（</w:t>
      </w:r>
      <w:r>
        <w:rPr>
          <w:rStyle w:val="16"/>
          <w:rFonts w:cs="宋体"/>
          <w:lang w:eastAsia="zh-CN"/>
        </w:rPr>
        <w:t>CLIA</w:t>
      </w:r>
      <w:r>
        <w:rPr>
          <w:rStyle w:val="16"/>
          <w:rFonts w:hint="eastAsia" w:cs="宋体"/>
          <w:lang w:eastAsia="zh-CN"/>
        </w:rPr>
        <w:t>）分类</w:t>
      </w:r>
      <w:r>
        <w:tab/>
      </w:r>
      <w:r>
        <w:fldChar w:fldCharType="begin"/>
      </w:r>
      <w:r>
        <w:instrText xml:space="preserve"> PAGEREF _Toc97887067 \h </w:instrText>
      </w:r>
      <w:r>
        <w:fldChar w:fldCharType="separate"/>
      </w:r>
      <w:r>
        <w:t>13</w:t>
      </w:r>
      <w:r>
        <w:fldChar w:fldCharType="end"/>
      </w:r>
      <w:r>
        <w:fldChar w:fldCharType="end"/>
      </w:r>
    </w:p>
    <w:p w14:paraId="63F579B8">
      <w:pPr>
        <w:pStyle w:val="10"/>
        <w:rPr>
          <w:rFonts w:asciiTheme="minorHAnsi" w:hAnsiTheme="minorHAnsi" w:eastAsiaTheme="minorEastAsia"/>
          <w:kern w:val="2"/>
          <w:sz w:val="21"/>
          <w:szCs w:val="22"/>
          <w:lang w:eastAsia="zh-CN"/>
        </w:rPr>
      </w:pPr>
      <w:r>
        <w:fldChar w:fldCharType="begin"/>
      </w:r>
      <w:r>
        <w:instrText xml:space="preserve"> HYPERLINK \l "_Toc97887068" </w:instrText>
      </w:r>
      <w:r>
        <w:fldChar w:fldCharType="separate"/>
      </w:r>
      <w:r>
        <w:rPr>
          <w:rStyle w:val="16"/>
          <w:rFonts w:hint="eastAsia" w:cs="宋体"/>
          <w:lang w:eastAsia="zh-CN"/>
        </w:rPr>
        <w:t>附录：定义</w:t>
      </w:r>
      <w:r>
        <w:tab/>
      </w:r>
      <w:r>
        <w:fldChar w:fldCharType="begin"/>
      </w:r>
      <w:r>
        <w:instrText xml:space="preserve"> PAGEREF _Toc97887068 \h </w:instrText>
      </w:r>
      <w:r>
        <w:fldChar w:fldCharType="separate"/>
      </w:r>
      <w:r>
        <w:t>15</w:t>
      </w:r>
      <w:r>
        <w:fldChar w:fldCharType="end"/>
      </w:r>
      <w:r>
        <w:fldChar w:fldCharType="end"/>
      </w:r>
    </w:p>
    <w:p w14:paraId="3FD08E37">
      <w:pPr>
        <w:spacing w:before="120" w:beforeLines="50" w:line="300" w:lineRule="auto"/>
        <w:rPr>
          <w:rFonts w:cs="Times New Roman"/>
          <w:b/>
          <w:sz w:val="24"/>
          <w:szCs w:val="24"/>
          <w:lang w:eastAsia="zh-CN"/>
        </w:rPr>
      </w:pPr>
      <w:r>
        <w:rPr>
          <w:rFonts w:cs="Times New Roman"/>
          <w:b/>
          <w:sz w:val="24"/>
          <w:szCs w:val="24"/>
          <w:lang w:eastAsia="zh-CN"/>
        </w:rPr>
        <w:fldChar w:fldCharType="end"/>
      </w:r>
    </w:p>
    <w:p w14:paraId="3EEC9B03">
      <w:pPr>
        <w:spacing w:before="120" w:beforeLines="50" w:line="300" w:lineRule="auto"/>
        <w:rPr>
          <w:rFonts w:cs="Times New Roman"/>
          <w:b/>
          <w:sz w:val="24"/>
          <w:szCs w:val="24"/>
        </w:rPr>
        <w:sectPr>
          <w:headerReference r:id="rId3" w:type="default"/>
          <w:footerReference r:id="rId4" w:type="default"/>
          <w:pgSz w:w="11907" w:h="16840"/>
          <w:pgMar w:top="1418" w:right="1418" w:bottom="1418" w:left="1418" w:header="720" w:footer="720" w:gutter="0"/>
          <w:cols w:space="720" w:num="1"/>
          <w:docGrid w:linePitch="286" w:charSpace="0"/>
        </w:sectPr>
      </w:pPr>
    </w:p>
    <w:p w14:paraId="1603A36D">
      <w:pPr>
        <w:pBdr>
          <w:bottom w:val="single" w:color="auto" w:sz="4" w:space="1"/>
        </w:pBdr>
        <w:spacing w:before="120" w:beforeLines="50" w:line="300" w:lineRule="auto"/>
        <w:jc w:val="center"/>
        <w:rPr>
          <w:rFonts w:cs="Times New Roman"/>
          <w:b/>
          <w:sz w:val="44"/>
          <w:szCs w:val="44"/>
          <w:lang w:eastAsia="zh-CN"/>
        </w:rPr>
      </w:pPr>
      <w:r>
        <w:rPr>
          <w:rFonts w:cs="宋体"/>
          <w:b/>
          <w:sz w:val="44"/>
          <w:lang w:eastAsia="zh-CN"/>
        </w:rPr>
        <w:t>体外诊断器械的替代试剂和仪器系列政策</w:t>
      </w:r>
    </w:p>
    <w:p w14:paraId="24A13E34">
      <w:pPr>
        <w:spacing w:before="120" w:beforeLines="50" w:line="300" w:lineRule="auto"/>
        <w:jc w:val="center"/>
        <w:rPr>
          <w:rFonts w:cs="Times New Roman"/>
          <w:b/>
          <w:sz w:val="44"/>
          <w:szCs w:val="44"/>
          <w:lang w:eastAsia="zh-CN"/>
        </w:rPr>
      </w:pPr>
      <w:r>
        <w:rPr>
          <w:rFonts w:cs="宋体"/>
          <w:b/>
          <w:sz w:val="44"/>
          <w:lang w:eastAsia="zh-CN"/>
        </w:rPr>
        <w:t>行业和美国食品药品监督管理局工作人员指南草案</w:t>
      </w:r>
    </w:p>
    <w:p w14:paraId="58DC0DCE">
      <w:pPr>
        <w:pBdr>
          <w:top w:val="single" w:color="auto" w:sz="4" w:space="1"/>
          <w:left w:val="single" w:color="auto" w:sz="4" w:space="4"/>
          <w:bottom w:val="single" w:color="auto" w:sz="4" w:space="1"/>
          <w:right w:val="single" w:color="auto" w:sz="4" w:space="4"/>
        </w:pBdr>
        <w:spacing w:before="120" w:beforeLines="50" w:line="300" w:lineRule="auto"/>
        <w:rPr>
          <w:rFonts w:cs="Times New Roman"/>
          <w:b/>
          <w:i/>
          <w:sz w:val="24"/>
          <w:szCs w:val="24"/>
          <w:lang w:eastAsia="zh-CN"/>
        </w:rPr>
      </w:pPr>
      <w:r>
        <w:rPr>
          <w:rFonts w:hint="eastAsia" w:cs="宋体"/>
          <w:b/>
          <w:i/>
          <w:sz w:val="24"/>
          <w:lang w:eastAsia="zh-CN"/>
        </w:rPr>
        <w:t>本指南草案的定稿将代表美国食品药品监督管理局（FDA）目前关于该主题的思考。其不会为任何人创造或赋予任何权利，也不会对FDA或公众产生约束。如果替代方法满足适用的法律法规的要求，则可以使用该方法。如需讨论替代方法，请联系标题页负责实施本指南文件的FDA工作人员或办公室。</w:t>
      </w:r>
    </w:p>
    <w:p w14:paraId="0D0A8B87">
      <w:pPr>
        <w:pStyle w:val="2"/>
        <w:rPr>
          <w:lang w:eastAsia="zh-CN"/>
        </w:rPr>
      </w:pPr>
      <w:bookmarkStart w:id="0" w:name="_Toc97887057"/>
      <w:r>
        <w:rPr>
          <w:rFonts w:cs="宋体"/>
          <w:lang w:eastAsia="zh-CN"/>
        </w:rPr>
        <w:t>I.</w:t>
      </w:r>
      <w:r>
        <w:rPr>
          <w:rFonts w:cs="宋体"/>
          <w:lang w:eastAsia="zh-CN"/>
        </w:rPr>
        <w:tab/>
      </w:r>
      <w:r>
        <w:rPr>
          <w:rFonts w:cs="宋体"/>
          <w:lang w:eastAsia="zh-CN"/>
        </w:rPr>
        <w:t>引言</w:t>
      </w:r>
      <w:bookmarkEnd w:id="0"/>
    </w:p>
    <w:p w14:paraId="68977EE6">
      <w:pPr>
        <w:spacing w:before="120" w:beforeLines="50" w:line="300" w:lineRule="auto"/>
        <w:rPr>
          <w:rFonts w:cs="Times New Roman"/>
          <w:sz w:val="24"/>
          <w:szCs w:val="24"/>
          <w:lang w:eastAsia="zh-CN"/>
        </w:rPr>
      </w:pPr>
      <w:r>
        <w:rPr>
          <w:rFonts w:cs="宋体"/>
          <w:sz w:val="24"/>
          <w:lang w:eastAsia="zh-CN"/>
        </w:rPr>
        <w:t>2003年，FDA发布了关于体外诊断（IVD）器械的更新指南《替代试剂和仪器系列政策》</w:t>
      </w:r>
      <w:r>
        <w:rPr>
          <w:rFonts w:hint="eastAsia" w:cs="宋体"/>
          <w:sz w:val="24"/>
          <w:lang w:eastAsia="zh-CN"/>
        </w:rPr>
        <w:t>，该</w:t>
      </w:r>
      <w:r>
        <w:rPr>
          <w:rFonts w:cs="宋体"/>
          <w:sz w:val="24"/>
          <w:lang w:eastAsia="zh-CN"/>
        </w:rPr>
        <w:t>指南描述了制造商在</w:t>
      </w:r>
      <w:r>
        <w:rPr>
          <w:rFonts w:hint="eastAsia" w:cs="宋体"/>
          <w:sz w:val="24"/>
          <w:lang w:eastAsia="zh-CN"/>
        </w:rPr>
        <w:t>将（之前基于特定仪器的性能特征获批使用的）检测试剂应用于（之前获批或与之前获批的另一仪器属于同一仪器系列的）其他仪器上</w:t>
      </w:r>
      <w:r>
        <w:rPr>
          <w:rFonts w:cs="宋体"/>
          <w:sz w:val="24"/>
          <w:lang w:eastAsia="zh-CN"/>
        </w:rPr>
        <w:t>时要遵循的机制。通过2003年发布的指南中所述方法，当采用合理的验证方案根据预先规定的验收标准进行评价时，制造商</w:t>
      </w:r>
      <w:r>
        <w:rPr>
          <w:rFonts w:hint="eastAsia" w:cs="宋体"/>
          <w:sz w:val="24"/>
          <w:lang w:eastAsia="zh-CN"/>
        </w:rPr>
        <w:t>可</w:t>
      </w:r>
      <w:r>
        <w:rPr>
          <w:rFonts w:cs="宋体"/>
          <w:sz w:val="24"/>
          <w:lang w:eastAsia="zh-CN"/>
        </w:rPr>
        <w:t>制定充分的控制措施，以保持该类已修改器械的获批器械所证明的安全性和有效性水平，而无需提交上市前通知（510(k)）。</w:t>
      </w:r>
    </w:p>
    <w:p w14:paraId="16EC3AFD">
      <w:pPr>
        <w:spacing w:before="120" w:beforeLines="50" w:line="300" w:lineRule="auto"/>
        <w:rPr>
          <w:rFonts w:cs="Times New Roman"/>
          <w:sz w:val="24"/>
          <w:szCs w:val="24"/>
          <w:lang w:eastAsia="zh-CN"/>
        </w:rPr>
      </w:pPr>
      <w:r>
        <w:rPr>
          <w:rFonts w:cs="宋体"/>
          <w:sz w:val="24"/>
          <w:lang w:eastAsia="zh-CN"/>
        </w:rPr>
        <w:t>FDA认为，本指南对公共健康至关重要，因为本指南推动了更及时更广泛的临床实验室试验，以使患者受益。为了确保全部益处得以实现，FDA</w:t>
      </w:r>
      <w:r>
        <w:rPr>
          <w:rFonts w:hint="eastAsia" w:cs="宋体"/>
          <w:sz w:val="24"/>
          <w:lang w:eastAsia="zh-CN"/>
        </w:rPr>
        <w:t>进行了详细的说明</w:t>
      </w:r>
      <w:r>
        <w:rPr>
          <w:rFonts w:cs="宋体"/>
          <w:sz w:val="24"/>
          <w:lang w:eastAsia="zh-CN"/>
        </w:rPr>
        <w:t>，以帮助制造商和FDA更好地应用本指南中的概念。</w:t>
      </w:r>
    </w:p>
    <w:p w14:paraId="7F9FB1EE">
      <w:pPr>
        <w:spacing w:before="120" w:beforeLines="50" w:line="300" w:lineRule="auto"/>
        <w:rPr>
          <w:rFonts w:cs="Times New Roman"/>
          <w:sz w:val="24"/>
          <w:szCs w:val="24"/>
          <w:lang w:eastAsia="zh-CN"/>
        </w:rPr>
      </w:pPr>
      <w:r>
        <w:rPr>
          <w:rFonts w:cs="宋体"/>
          <w:sz w:val="24"/>
          <w:lang w:eastAsia="zh-CN"/>
        </w:rPr>
        <w:t>为了使术语与先前指南和FDA</w:t>
      </w:r>
      <w:r>
        <w:rPr>
          <w:rFonts w:hint="eastAsia" w:cs="宋体"/>
          <w:sz w:val="24"/>
          <w:lang w:eastAsia="zh-CN"/>
        </w:rPr>
        <w:t>与</w:t>
      </w:r>
      <w:r>
        <w:rPr>
          <w:rFonts w:cs="宋体"/>
          <w:sz w:val="24"/>
          <w:lang w:eastAsia="zh-CN"/>
        </w:rPr>
        <w:t>制造商</w:t>
      </w:r>
      <w:r>
        <w:rPr>
          <w:rFonts w:hint="eastAsia" w:cs="宋体"/>
          <w:sz w:val="24"/>
          <w:lang w:eastAsia="zh-CN"/>
        </w:rPr>
        <w:t>之间的</w:t>
      </w:r>
      <w:r>
        <w:rPr>
          <w:rFonts w:cs="宋体"/>
          <w:sz w:val="24"/>
          <w:lang w:eastAsia="zh-CN"/>
        </w:rPr>
        <w:t>沟通</w:t>
      </w:r>
      <w:r>
        <w:rPr>
          <w:rFonts w:hint="eastAsia" w:cs="宋体"/>
          <w:sz w:val="24"/>
          <w:lang w:eastAsia="zh-CN"/>
        </w:rPr>
        <w:t>内容</w:t>
      </w:r>
      <w:r>
        <w:rPr>
          <w:rFonts w:cs="宋体"/>
          <w:sz w:val="24"/>
          <w:lang w:eastAsia="zh-CN"/>
        </w:rPr>
        <w:t>保持一致，本指南草案继续使用术语“替代试剂”和“仪器系列政策”。</w:t>
      </w:r>
      <w:r>
        <w:rPr>
          <w:rFonts w:hint="eastAsia" w:cs="宋体"/>
          <w:sz w:val="24"/>
          <w:lang w:eastAsia="zh-CN"/>
        </w:rPr>
        <w:t>由于目前检测系统中大多数检测试剂由多种试剂组成，</w:t>
      </w:r>
      <w:r>
        <w:rPr>
          <w:rFonts w:cs="宋体"/>
          <w:sz w:val="24"/>
          <w:lang w:eastAsia="zh-CN"/>
        </w:rPr>
        <w:t>在本指南草案的讨论中</w:t>
      </w:r>
      <w:r>
        <w:rPr>
          <w:rFonts w:hint="eastAsia" w:cs="宋体"/>
          <w:sz w:val="24"/>
          <w:lang w:eastAsia="zh-CN"/>
        </w:rPr>
        <w:t>使用</w:t>
      </w:r>
      <w:r>
        <w:rPr>
          <w:rFonts w:cs="宋体"/>
          <w:sz w:val="24"/>
          <w:lang w:eastAsia="zh-CN"/>
        </w:rPr>
        <w:t>术语“</w:t>
      </w:r>
      <w:r>
        <w:rPr>
          <w:rFonts w:cs="宋体"/>
          <w:color w:val="0000FF"/>
          <w:sz w:val="24"/>
          <w:u w:val="single"/>
          <w:lang w:eastAsia="zh-CN"/>
        </w:rPr>
        <w:t>检测试剂</w:t>
      </w:r>
      <w:r>
        <w:rPr>
          <w:rFonts w:cs="宋体"/>
          <w:sz w:val="24"/>
          <w:lang w:eastAsia="zh-CN"/>
        </w:rPr>
        <w:t>”代替术语“</w:t>
      </w:r>
      <w:r>
        <w:rPr>
          <w:rFonts w:cs="宋体"/>
          <w:color w:val="0000FF"/>
          <w:sz w:val="24"/>
          <w:u w:val="single"/>
          <w:lang w:eastAsia="zh-CN"/>
        </w:rPr>
        <w:t>试剂</w:t>
      </w:r>
      <w:r>
        <w:rPr>
          <w:rFonts w:cs="宋体"/>
          <w:sz w:val="24"/>
          <w:lang w:eastAsia="zh-CN"/>
        </w:rPr>
        <w:t>”，以更好地代表典型情况。有关本指南中使用的术语定义，</w:t>
      </w:r>
      <w:r>
        <w:rPr>
          <w:rFonts w:cs="宋体"/>
          <w:i/>
          <w:sz w:val="24"/>
          <w:lang w:eastAsia="zh-CN"/>
        </w:rPr>
        <w:t>参见</w:t>
      </w:r>
      <w:r>
        <w:rPr>
          <w:rFonts w:cs="宋体"/>
          <w:sz w:val="24"/>
          <w:lang w:eastAsia="zh-CN"/>
        </w:rPr>
        <w:t>附录。</w:t>
      </w:r>
    </w:p>
    <w:p w14:paraId="2C79F63E">
      <w:pPr>
        <w:spacing w:before="120" w:beforeLines="50" w:line="300" w:lineRule="auto"/>
        <w:jc w:val="left"/>
        <w:rPr>
          <w:rFonts w:cs="Times New Roman"/>
          <w:sz w:val="24"/>
          <w:szCs w:val="24"/>
          <w:lang w:eastAsia="zh-CN"/>
        </w:rPr>
      </w:pPr>
      <w:r>
        <w:rPr>
          <w:rFonts w:cs="宋体"/>
          <w:sz w:val="24"/>
          <w:lang w:eastAsia="zh-CN"/>
        </w:rPr>
        <w:t>本指南草案</w:t>
      </w:r>
      <w:r>
        <w:rPr>
          <w:rFonts w:hint="eastAsia" w:cs="宋体"/>
          <w:sz w:val="24"/>
          <w:lang w:eastAsia="zh-CN"/>
        </w:rPr>
        <w:t>的</w:t>
      </w:r>
      <w:r>
        <w:rPr>
          <w:rFonts w:cs="宋体"/>
          <w:sz w:val="24"/>
          <w:lang w:eastAsia="zh-CN"/>
        </w:rPr>
        <w:t>定稿旨在更新并阐明面向IVD器械制造商和FDA工作人员的替代试剂和仪器系列政策。本指南草案纳入了FDA指南《何时为现有器械变更申报510(k)的决定》中的概念和建议（</w:t>
      </w:r>
      <w:r>
        <w:rPr>
          <w:rFonts w:cs="宋体"/>
          <w:color w:val="0000FF"/>
          <w:sz w:val="24"/>
          <w:u w:val="single"/>
          <w:lang w:eastAsia="zh-CN"/>
        </w:rPr>
        <w:t>https://www.fda.gov/downloads/medicaldevices/deviceregulationandguidance/guidancedocuments/ucm514 771.pdf</w:t>
      </w:r>
      <w:r>
        <w:rPr>
          <w:rFonts w:cs="宋体"/>
          <w:sz w:val="24"/>
          <w:lang w:eastAsia="zh-CN"/>
        </w:rPr>
        <w:t>），具体包含以下方面的建议和信息：</w:t>
      </w:r>
    </w:p>
    <w:p w14:paraId="5DE868E3">
      <w:pPr>
        <w:spacing w:before="120" w:beforeLines="50" w:line="300" w:lineRule="auto"/>
        <w:rPr>
          <w:rFonts w:cs="Times New Roman"/>
          <w:sz w:val="24"/>
          <w:szCs w:val="24"/>
          <w:lang w:eastAsia="zh-CN"/>
        </w:rPr>
      </w:pPr>
      <w:r>
        <w:rPr>
          <w:rFonts w:cs="宋体"/>
          <w:sz w:val="24"/>
          <w:lang w:eastAsia="zh-CN"/>
        </w:rPr>
        <w:br w:type="page"/>
      </w:r>
    </w:p>
    <w:p w14:paraId="380CA76E">
      <w:pPr>
        <w:pStyle w:val="22"/>
        <w:numPr>
          <w:ilvl w:val="0"/>
          <w:numId w:val="1"/>
        </w:numPr>
        <w:snapToGrid w:val="0"/>
        <w:spacing w:before="36" w:beforeLines="15" w:line="276" w:lineRule="auto"/>
        <w:ind w:firstLineChars="0"/>
        <w:rPr>
          <w:rFonts w:cs="Times New Roman"/>
          <w:sz w:val="24"/>
          <w:szCs w:val="24"/>
          <w:lang w:eastAsia="zh-CN"/>
        </w:rPr>
      </w:pPr>
      <w:r>
        <w:rPr>
          <w:rFonts w:cs="宋体"/>
          <w:sz w:val="24"/>
          <w:lang w:eastAsia="zh-CN"/>
        </w:rPr>
        <w:t>制造商在确定替代试剂政策或仪器系列政策是否适用时的初步考虑（第II节）</w:t>
      </w:r>
    </w:p>
    <w:p w14:paraId="587FEE11">
      <w:pPr>
        <w:pStyle w:val="22"/>
        <w:numPr>
          <w:ilvl w:val="0"/>
          <w:numId w:val="2"/>
        </w:numPr>
        <w:snapToGrid w:val="0"/>
        <w:spacing w:before="36" w:beforeLines="15" w:line="276" w:lineRule="auto"/>
        <w:ind w:left="420" w:leftChars="200" w:firstLineChars="0"/>
        <w:rPr>
          <w:rFonts w:cs="Times New Roman"/>
          <w:sz w:val="24"/>
          <w:szCs w:val="24"/>
          <w:lang w:eastAsia="zh-CN"/>
        </w:rPr>
      </w:pPr>
      <w:r>
        <w:rPr>
          <w:rFonts w:cs="宋体"/>
          <w:sz w:val="24"/>
          <w:lang w:eastAsia="zh-CN"/>
        </w:rPr>
        <w:t>替代试剂政策（第III节）</w:t>
      </w:r>
    </w:p>
    <w:p w14:paraId="3EDCEA7A">
      <w:pPr>
        <w:pStyle w:val="22"/>
        <w:numPr>
          <w:ilvl w:val="0"/>
          <w:numId w:val="1"/>
        </w:numPr>
        <w:snapToGrid w:val="0"/>
        <w:spacing w:before="36" w:beforeLines="15" w:line="276" w:lineRule="auto"/>
        <w:ind w:firstLineChars="0"/>
        <w:rPr>
          <w:rFonts w:cs="Times New Roman"/>
          <w:sz w:val="24"/>
          <w:szCs w:val="24"/>
          <w:lang w:eastAsia="zh-CN"/>
        </w:rPr>
      </w:pPr>
      <w:r>
        <w:rPr>
          <w:rFonts w:cs="宋体"/>
          <w:sz w:val="24"/>
          <w:lang w:eastAsia="zh-CN"/>
        </w:rPr>
        <w:t>仪器系列政策（第IV节）</w:t>
      </w:r>
    </w:p>
    <w:p w14:paraId="3C1C1E2A">
      <w:pPr>
        <w:pStyle w:val="22"/>
        <w:numPr>
          <w:ilvl w:val="0"/>
          <w:numId w:val="2"/>
        </w:numPr>
        <w:snapToGrid w:val="0"/>
        <w:spacing w:before="36" w:beforeLines="15" w:line="276" w:lineRule="auto"/>
        <w:ind w:left="420" w:leftChars="200" w:firstLineChars="0"/>
        <w:rPr>
          <w:rFonts w:cs="Times New Roman"/>
          <w:sz w:val="24"/>
          <w:szCs w:val="24"/>
          <w:lang w:eastAsia="zh-CN"/>
        </w:rPr>
      </w:pPr>
      <w:r>
        <w:rPr>
          <w:rFonts w:cs="宋体"/>
          <w:sz w:val="24"/>
          <w:lang w:eastAsia="zh-CN"/>
        </w:rPr>
        <w:t>说明性情况和示例（第V节）</w:t>
      </w:r>
    </w:p>
    <w:p w14:paraId="1DBE14EA">
      <w:pPr>
        <w:pStyle w:val="22"/>
        <w:numPr>
          <w:ilvl w:val="0"/>
          <w:numId w:val="1"/>
        </w:numPr>
        <w:snapToGrid w:val="0"/>
        <w:spacing w:before="36" w:beforeLines="15" w:line="276" w:lineRule="auto"/>
        <w:ind w:firstLineChars="0"/>
        <w:rPr>
          <w:rFonts w:cs="Times New Roman"/>
          <w:sz w:val="24"/>
          <w:szCs w:val="24"/>
          <w:lang w:eastAsia="zh-CN"/>
        </w:rPr>
      </w:pPr>
      <w:r>
        <w:rPr>
          <w:rFonts w:cs="宋体"/>
          <w:sz w:val="24"/>
          <w:lang w:eastAsia="zh-CN"/>
        </w:rPr>
        <w:t>标签注意事项（第VI节）</w:t>
      </w:r>
    </w:p>
    <w:p w14:paraId="20351ED0">
      <w:pPr>
        <w:pStyle w:val="22"/>
        <w:numPr>
          <w:ilvl w:val="0"/>
          <w:numId w:val="2"/>
        </w:numPr>
        <w:snapToGrid w:val="0"/>
        <w:spacing w:before="36" w:beforeLines="15" w:line="276" w:lineRule="auto"/>
        <w:ind w:left="420" w:leftChars="200" w:firstLineChars="0"/>
        <w:rPr>
          <w:rFonts w:cs="Times New Roman"/>
          <w:sz w:val="24"/>
          <w:szCs w:val="24"/>
          <w:lang w:eastAsia="zh-CN"/>
        </w:rPr>
      </w:pPr>
      <w:r>
        <w:rPr>
          <w:rFonts w:cs="宋体"/>
          <w:sz w:val="24"/>
          <w:lang w:eastAsia="zh-CN"/>
        </w:rPr>
        <w:t>当制造商考虑本指南所述注意事项后，决定不需要提交510(k)时的临床实验室改进修正案（CLIA）的分类（第VII节）。</w:t>
      </w:r>
    </w:p>
    <w:p w14:paraId="30EBE82E">
      <w:pPr>
        <w:spacing w:before="120" w:beforeLines="50" w:line="300" w:lineRule="auto"/>
        <w:rPr>
          <w:rFonts w:cs="Times New Roman"/>
          <w:sz w:val="24"/>
          <w:szCs w:val="24"/>
          <w:lang w:eastAsia="zh-CN"/>
        </w:rPr>
      </w:pPr>
      <w:r>
        <w:rPr>
          <w:rFonts w:hint="eastAsia" w:cs="宋体"/>
          <w:sz w:val="24"/>
          <w:lang w:eastAsia="zh-CN"/>
        </w:rPr>
        <w:t>FDA指导性文件，包括本指南在内，不具有法律强制责任。相反，指南表明了该机构目前关于该主题的思考，除非引用具体的法规或法律要求，否则只应视为建议。在本机构指南中使用词语“应”是指建议或推荐进行某一事项，并非强制要求。</w:t>
      </w:r>
    </w:p>
    <w:p w14:paraId="653705A6">
      <w:pPr>
        <w:pStyle w:val="2"/>
        <w:rPr>
          <w:lang w:eastAsia="zh-CN"/>
        </w:rPr>
      </w:pPr>
      <w:bookmarkStart w:id="1" w:name="_Toc97887058"/>
      <w:r>
        <w:rPr>
          <w:rFonts w:cs="宋体"/>
          <w:lang w:eastAsia="zh-CN"/>
        </w:rPr>
        <w:t>II.</w:t>
      </w:r>
      <w:r>
        <w:rPr>
          <w:rFonts w:cs="宋体"/>
          <w:lang w:eastAsia="zh-CN"/>
        </w:rPr>
        <w:tab/>
      </w:r>
      <w:r>
        <w:rPr>
          <w:rFonts w:cs="宋体"/>
          <w:lang w:eastAsia="zh-CN"/>
        </w:rPr>
        <w:t>范围</w:t>
      </w:r>
      <w:bookmarkEnd w:id="1"/>
    </w:p>
    <w:p w14:paraId="0AE0A273">
      <w:pPr>
        <w:spacing w:before="120" w:beforeLines="50" w:line="300" w:lineRule="auto"/>
        <w:rPr>
          <w:rFonts w:cs="Times New Roman"/>
          <w:sz w:val="24"/>
          <w:szCs w:val="24"/>
          <w:lang w:eastAsia="zh-CN"/>
        </w:rPr>
      </w:pPr>
      <w:r>
        <w:rPr>
          <w:rFonts w:cs="宋体"/>
          <w:sz w:val="24"/>
          <w:lang w:eastAsia="zh-CN"/>
        </w:rPr>
        <w:t>本指南适用于CDRH监管的IVD</w:t>
      </w:r>
      <w:r>
        <w:rPr>
          <w:rFonts w:cs="宋体"/>
          <w:color w:val="0000FF"/>
          <w:sz w:val="24"/>
          <w:u w:val="single"/>
          <w:lang w:eastAsia="zh-CN"/>
        </w:rPr>
        <w:t>检测系统</w:t>
      </w:r>
      <w:r>
        <w:rPr>
          <w:rFonts w:cs="宋体"/>
          <w:sz w:val="24"/>
          <w:lang w:eastAsia="zh-CN"/>
        </w:rPr>
        <w:t>，该系统由受510(k)约束的检测试剂组成，在检测试剂制造商指定的自动实验室仪器上运行。具体来说，本指南</w:t>
      </w:r>
      <w:r>
        <w:rPr>
          <w:rFonts w:hint="eastAsia" w:cs="宋体"/>
          <w:sz w:val="24"/>
          <w:lang w:eastAsia="zh-CN"/>
        </w:rPr>
        <w:t>说明</w:t>
      </w:r>
      <w:r>
        <w:rPr>
          <w:rFonts w:cs="宋体"/>
          <w:sz w:val="24"/>
          <w:lang w:eastAsia="zh-CN"/>
        </w:rPr>
        <w:t>了制造商将原先获批检测试剂应用于（之前获批或与获批的另一仪器属于同一仪器系列</w:t>
      </w:r>
      <w:r>
        <w:rPr>
          <w:rFonts w:hint="eastAsia" w:cs="宋体"/>
          <w:sz w:val="24"/>
          <w:lang w:eastAsia="zh-CN"/>
        </w:rPr>
        <w:t>的</w:t>
      </w:r>
      <w:r>
        <w:rPr>
          <w:rFonts w:cs="宋体"/>
          <w:sz w:val="24"/>
          <w:lang w:eastAsia="zh-CN"/>
        </w:rPr>
        <w:t>）其他仪器上</w:t>
      </w:r>
      <w:r>
        <w:rPr>
          <w:rFonts w:hint="eastAsia" w:cs="宋体"/>
          <w:sz w:val="24"/>
          <w:lang w:eastAsia="zh-CN"/>
        </w:rPr>
        <w:t>时所应遵循的要求</w:t>
      </w:r>
      <w:r>
        <w:rPr>
          <w:rFonts w:cs="宋体"/>
          <w:sz w:val="24"/>
          <w:lang w:eastAsia="zh-CN"/>
        </w:rPr>
        <w:t>。</w:t>
      </w:r>
    </w:p>
    <w:p w14:paraId="66C4D3E4">
      <w:pPr>
        <w:snapToGrid w:val="0"/>
        <w:spacing w:before="36" w:beforeLines="15" w:line="276" w:lineRule="auto"/>
        <w:rPr>
          <w:rFonts w:cs="Times New Roman"/>
          <w:sz w:val="24"/>
          <w:szCs w:val="24"/>
          <w:lang w:eastAsia="zh-CN"/>
        </w:rPr>
      </w:pPr>
      <w:r>
        <w:rPr>
          <w:rFonts w:hint="eastAsia" w:cs="宋体"/>
          <w:sz w:val="24"/>
          <w:lang w:eastAsia="zh-CN"/>
        </w:rPr>
        <w:t>本指南预期不用于下列器械：</w:t>
      </w:r>
    </w:p>
    <w:p w14:paraId="2801C1EC">
      <w:pPr>
        <w:pStyle w:val="22"/>
        <w:numPr>
          <w:ilvl w:val="0"/>
          <w:numId w:val="3"/>
        </w:numPr>
        <w:snapToGrid w:val="0"/>
        <w:spacing w:before="36" w:beforeLines="15" w:line="276" w:lineRule="auto"/>
        <w:ind w:left="420" w:leftChars="200" w:firstLineChars="0"/>
        <w:rPr>
          <w:rFonts w:cs="Times New Roman"/>
          <w:sz w:val="24"/>
          <w:szCs w:val="24"/>
          <w:lang w:eastAsia="zh-CN"/>
        </w:rPr>
      </w:pPr>
      <w:r>
        <w:rPr>
          <w:rFonts w:cs="宋体"/>
          <w:sz w:val="24"/>
          <w:lang w:eastAsia="zh-CN"/>
        </w:rPr>
        <w:t>将获批检测试剂应用于新仪器之外的修改</w:t>
      </w:r>
      <w:r>
        <w:rPr>
          <w:rFonts w:cs="宋体"/>
          <w:sz w:val="24"/>
          <w:vertAlign w:val="superscript"/>
          <w:lang w:eastAsia="zh-CN"/>
        </w:rPr>
        <w:t>1</w:t>
      </w:r>
    </w:p>
    <w:p w14:paraId="66794A62">
      <w:pPr>
        <w:pStyle w:val="22"/>
        <w:numPr>
          <w:ilvl w:val="0"/>
          <w:numId w:val="3"/>
        </w:numPr>
        <w:snapToGrid w:val="0"/>
        <w:spacing w:before="36" w:beforeLines="15" w:line="276" w:lineRule="auto"/>
        <w:ind w:left="420" w:leftChars="200" w:firstLineChars="0"/>
        <w:rPr>
          <w:rFonts w:cs="Times New Roman"/>
          <w:sz w:val="24"/>
          <w:szCs w:val="24"/>
          <w:lang w:eastAsia="zh-CN"/>
        </w:rPr>
      </w:pPr>
      <w:r>
        <w:rPr>
          <w:rFonts w:cs="宋体"/>
          <w:sz w:val="24"/>
          <w:lang w:eastAsia="zh-CN"/>
        </w:rPr>
        <w:t>III类器械</w:t>
      </w:r>
      <w:r>
        <w:rPr>
          <w:rFonts w:cs="宋体"/>
          <w:sz w:val="24"/>
          <w:vertAlign w:val="superscript"/>
          <w:lang w:eastAsia="zh-CN"/>
        </w:rPr>
        <w:t>2</w:t>
      </w:r>
    </w:p>
    <w:p w14:paraId="56276EA9">
      <w:pPr>
        <w:pStyle w:val="22"/>
        <w:numPr>
          <w:ilvl w:val="0"/>
          <w:numId w:val="3"/>
        </w:numPr>
        <w:snapToGrid w:val="0"/>
        <w:spacing w:before="36" w:beforeLines="15" w:line="276" w:lineRule="auto"/>
        <w:ind w:left="420" w:leftChars="200" w:firstLineChars="0"/>
        <w:rPr>
          <w:rFonts w:cs="Times New Roman"/>
          <w:sz w:val="24"/>
          <w:szCs w:val="24"/>
          <w:lang w:eastAsia="zh-CN"/>
        </w:rPr>
      </w:pPr>
      <w:r>
        <w:rPr>
          <w:rFonts w:cs="宋体"/>
          <w:sz w:val="24"/>
          <w:lang w:eastAsia="zh-CN"/>
        </w:rPr>
        <w:t>用于支持血库操作的器械</w:t>
      </w:r>
    </w:p>
    <w:p w14:paraId="41CD3A29">
      <w:pPr>
        <w:pStyle w:val="22"/>
        <w:numPr>
          <w:ilvl w:val="0"/>
          <w:numId w:val="3"/>
        </w:numPr>
        <w:snapToGrid w:val="0"/>
        <w:spacing w:before="36" w:beforeLines="15" w:line="276" w:lineRule="auto"/>
        <w:ind w:left="420" w:leftChars="200" w:firstLineChars="0"/>
        <w:rPr>
          <w:rFonts w:cs="Times New Roman"/>
          <w:sz w:val="24"/>
          <w:szCs w:val="24"/>
          <w:lang w:eastAsia="zh-CN"/>
        </w:rPr>
      </w:pPr>
      <w:r>
        <w:rPr>
          <w:rFonts w:cs="宋体"/>
          <w:sz w:val="24"/>
          <w:lang w:eastAsia="zh-CN"/>
        </w:rPr>
        <w:t>适用于</w:t>
      </w:r>
      <w:bookmarkStart w:id="2" w:name="OLE_LINK1"/>
      <w:r>
        <w:rPr>
          <w:rFonts w:cs="宋体"/>
          <w:sz w:val="24"/>
          <w:lang w:eastAsia="zh-CN"/>
        </w:rPr>
        <w:t>床旁检测</w:t>
      </w:r>
      <w:bookmarkEnd w:id="2"/>
      <w:r>
        <w:rPr>
          <w:rFonts w:cs="宋体"/>
          <w:sz w:val="24"/>
          <w:lang w:eastAsia="zh-CN"/>
        </w:rPr>
        <w:t>的器械</w:t>
      </w:r>
    </w:p>
    <w:p w14:paraId="793D1EE4">
      <w:pPr>
        <w:pStyle w:val="22"/>
        <w:numPr>
          <w:ilvl w:val="0"/>
          <w:numId w:val="3"/>
        </w:numPr>
        <w:snapToGrid w:val="0"/>
        <w:spacing w:before="36" w:beforeLines="15" w:line="276" w:lineRule="auto"/>
        <w:ind w:left="420" w:leftChars="200" w:firstLineChars="0"/>
        <w:rPr>
          <w:rFonts w:cs="Times New Roman"/>
          <w:sz w:val="24"/>
          <w:szCs w:val="24"/>
          <w:lang w:eastAsia="zh-CN"/>
        </w:rPr>
      </w:pPr>
      <w:r>
        <w:rPr>
          <w:rFonts w:cs="宋体"/>
          <w:sz w:val="24"/>
          <w:lang w:eastAsia="zh-CN"/>
        </w:rPr>
        <w:t>适用于非处方（OTC）使用的器械</w:t>
      </w:r>
    </w:p>
    <w:p w14:paraId="38D71587">
      <w:pPr>
        <w:pStyle w:val="22"/>
        <w:numPr>
          <w:ilvl w:val="0"/>
          <w:numId w:val="3"/>
        </w:numPr>
        <w:snapToGrid w:val="0"/>
        <w:spacing w:before="36" w:beforeLines="15" w:line="276" w:lineRule="auto"/>
        <w:ind w:left="420" w:leftChars="200" w:firstLineChars="0"/>
        <w:rPr>
          <w:rFonts w:cs="Times New Roman"/>
          <w:sz w:val="24"/>
          <w:szCs w:val="24"/>
          <w:lang w:eastAsia="zh-CN"/>
        </w:rPr>
      </w:pPr>
      <w:r>
        <w:rPr>
          <w:rFonts w:cs="宋体"/>
          <w:sz w:val="24"/>
          <w:lang w:eastAsia="zh-CN"/>
        </w:rPr>
        <w:t>适用于家庭使用的</w:t>
      </w:r>
      <w:r>
        <w:rPr>
          <w:rFonts w:hint="eastAsia" w:cs="宋体"/>
          <w:sz w:val="24"/>
          <w:lang w:eastAsia="zh-CN"/>
        </w:rPr>
        <w:t>处方</w:t>
      </w:r>
      <w:r>
        <w:rPr>
          <w:rFonts w:cs="宋体"/>
          <w:sz w:val="24"/>
          <w:lang w:eastAsia="zh-CN"/>
        </w:rPr>
        <w:t>器械</w:t>
      </w:r>
    </w:p>
    <w:p w14:paraId="2E61A9E5">
      <w:pPr>
        <w:spacing w:before="120" w:beforeLines="50" w:line="300" w:lineRule="auto"/>
        <w:rPr>
          <w:rFonts w:cs="Times New Roman"/>
          <w:sz w:val="24"/>
          <w:szCs w:val="24"/>
          <w:lang w:eastAsia="zh-CN"/>
        </w:rPr>
      </w:pPr>
      <w:r>
        <w:rPr>
          <w:rFonts w:cs="宋体"/>
          <w:sz w:val="24"/>
          <w:lang w:eastAsia="zh-CN"/>
        </w:rPr>
        <w:t>FDA还就特殊情况下分类法规中确定的专用器械和/或特定要求（例如：特殊控制措施）的修改制定了最终指南。</w:t>
      </w:r>
      <w:r>
        <w:rPr>
          <w:rFonts w:cs="宋体"/>
          <w:sz w:val="24"/>
          <w:vertAlign w:val="superscript"/>
          <w:lang w:eastAsia="zh-CN"/>
        </w:rPr>
        <w:t>3</w:t>
      </w:r>
    </w:p>
    <w:p w14:paraId="73BF8576">
      <w:pPr>
        <w:pStyle w:val="21"/>
        <w:snapToGrid w:val="0"/>
        <w:rPr>
          <w:lang w:eastAsia="zh-CN"/>
        </w:rPr>
      </w:pPr>
      <w:r>
        <w:rPr>
          <w:lang w:eastAsia="zh-CN"/>
        </w:rPr>
        <w:t>______________________</w:t>
      </w:r>
    </w:p>
    <w:p w14:paraId="157006D1">
      <w:pPr>
        <w:pStyle w:val="21"/>
        <w:snapToGrid w:val="0"/>
        <w:jc w:val="left"/>
        <w:rPr>
          <w:lang w:eastAsia="zh-CN"/>
        </w:rPr>
      </w:pPr>
      <w:r>
        <w:rPr>
          <w:vertAlign w:val="superscript"/>
          <w:lang w:eastAsia="zh-CN"/>
        </w:rPr>
        <w:t xml:space="preserve">1 </w:t>
      </w:r>
      <w:r>
        <w:rPr>
          <w:lang w:eastAsia="zh-CN"/>
        </w:rPr>
        <w:tab/>
      </w:r>
      <w:r>
        <w:rPr>
          <w:lang w:eastAsia="zh-CN"/>
        </w:rPr>
        <w:t>除将获批的检测试剂应用于新仪器之外，与受510(k)约束的器械修改相关的其他信息可在以下指南中获得：《何时为现有器械变更申报510(k)的决定》（</w:t>
      </w:r>
      <w:r>
        <w:rPr>
          <w:color w:val="0000FF"/>
          <w:u w:val="single"/>
          <w:lang w:eastAsia="zh-CN"/>
        </w:rPr>
        <w:t>https://www.fda.gov/downloads/MedicalDevices/DeviceRegulationandGuidance/GuidanceDocuments/UCM514771.pdf</w:t>
      </w:r>
      <w:r>
        <w:rPr>
          <w:lang w:eastAsia="zh-CN"/>
        </w:rPr>
        <w:t>）和《何时为现有器械软件变更申报510(k)的决定》（</w:t>
      </w:r>
      <w:r>
        <w:rPr>
          <w:color w:val="0000FF"/>
          <w:u w:val="single"/>
          <w:lang w:eastAsia="zh-CN"/>
        </w:rPr>
        <w:t>https://www.fda.gov/downloads/MedicalDevices/DeviceRegulationandGuidance/GuidanceDocuments/UCM514737.pdf</w:t>
      </w:r>
      <w:r>
        <w:rPr>
          <w:lang w:eastAsia="zh-CN"/>
        </w:rPr>
        <w:t>）。</w:t>
      </w:r>
    </w:p>
    <w:p w14:paraId="05C238A6">
      <w:pPr>
        <w:pStyle w:val="21"/>
        <w:snapToGrid w:val="0"/>
      </w:pPr>
      <w:r>
        <w:rPr>
          <w:vertAlign w:val="superscript"/>
        </w:rPr>
        <w:t>2</w:t>
      </w:r>
      <w:r>
        <w:tab/>
      </w:r>
      <w:r>
        <w:t>关于III类检测试剂的检测系统的修改，</w:t>
      </w:r>
      <w:r>
        <w:rPr>
          <w:i/>
        </w:rPr>
        <w:t>参见</w:t>
      </w:r>
      <w:r>
        <w:t>FDA指南文件《体外诊断器械的测定迁移研究》（</w:t>
      </w:r>
      <w:r>
        <w:rPr>
          <w:color w:val="0000FF"/>
          <w:u w:val="single"/>
        </w:rPr>
        <w:t>https://www.fda.gov/downloads/medicaldevices/deviceregulationandguidance/guidancedocuments/ucm092752.pdf</w:t>
      </w:r>
      <w:r>
        <w:t>)。</w:t>
      </w:r>
    </w:p>
    <w:p w14:paraId="0703FF0A">
      <w:pPr>
        <w:pStyle w:val="21"/>
        <w:snapToGrid w:val="0"/>
        <w:rPr>
          <w:lang w:eastAsia="zh-CN"/>
        </w:rPr>
      </w:pPr>
      <w:r>
        <w:rPr>
          <w:vertAlign w:val="superscript"/>
          <w:lang w:eastAsia="zh-CN"/>
        </w:rPr>
        <w:t xml:space="preserve">3 </w:t>
      </w:r>
      <w:r>
        <w:rPr>
          <w:lang w:eastAsia="zh-CN"/>
        </w:rPr>
        <w:tab/>
      </w:r>
      <w:r>
        <w:rPr>
          <w:lang w:eastAsia="zh-CN"/>
        </w:rPr>
        <w:t>可点击</w:t>
      </w:r>
      <w:r>
        <w:rPr>
          <w:color w:val="0000FF"/>
          <w:u w:val="single"/>
          <w:lang w:eastAsia="zh-CN"/>
        </w:rPr>
        <w:t>此处</w:t>
      </w:r>
      <w:r>
        <w:rPr>
          <w:lang w:eastAsia="zh-CN"/>
        </w:rPr>
        <w:t>获取OIR最终指南文件。</w:t>
      </w:r>
      <w:r>
        <w:rPr>
          <w:rFonts w:cs="宋体"/>
          <w:sz w:val="24"/>
          <w:lang w:eastAsia="zh-CN"/>
        </w:rPr>
        <w:br w:type="page"/>
      </w:r>
    </w:p>
    <w:p w14:paraId="3F5BE817">
      <w:pPr>
        <w:spacing w:before="120" w:beforeLines="50" w:line="300" w:lineRule="auto"/>
        <w:rPr>
          <w:rFonts w:cs="Times New Roman"/>
          <w:sz w:val="24"/>
          <w:szCs w:val="24"/>
          <w:lang w:eastAsia="zh-CN"/>
        </w:rPr>
      </w:pPr>
      <w:r>
        <w:rPr>
          <w:rFonts w:cs="宋体"/>
          <w:sz w:val="24"/>
        </w:rPr>
        <w:t>部分当前专用器械最终指南或特殊控制措施规定，替代试剂和仪器系列政策不适用于该器械类型（例如，《II类特殊控制指导文件：临床多元检测系统仪器》）（</w:t>
      </w:r>
      <w:r>
        <w:rPr>
          <w:rFonts w:cs="宋体"/>
          <w:color w:val="0000FF"/>
          <w:sz w:val="24"/>
          <w:u w:val="single"/>
        </w:rPr>
        <w:t>https://www.fda.gov/MedicalDevices/DeviceRegulationandGuidance/GuidanceDocuments/ucm077819.htm</w:t>
      </w:r>
      <w:r>
        <w:rPr>
          <w:rFonts w:cs="宋体"/>
          <w:sz w:val="24"/>
        </w:rPr>
        <w:t>）。</w:t>
      </w:r>
      <w:r>
        <w:rPr>
          <w:rFonts w:cs="宋体"/>
          <w:sz w:val="24"/>
          <w:lang w:eastAsia="zh-CN"/>
        </w:rPr>
        <w:t>本指南</w:t>
      </w:r>
      <w:bookmarkStart w:id="3" w:name="OLE_LINK2"/>
      <w:r>
        <w:rPr>
          <w:rFonts w:hint="eastAsia" w:cs="宋体"/>
          <w:sz w:val="24"/>
          <w:lang w:eastAsia="zh-CN"/>
        </w:rPr>
        <w:t>的</w:t>
      </w:r>
      <w:r>
        <w:rPr>
          <w:rFonts w:cs="宋体"/>
          <w:sz w:val="24"/>
          <w:lang w:eastAsia="zh-CN"/>
        </w:rPr>
        <w:t>定稿</w:t>
      </w:r>
      <w:bookmarkEnd w:id="3"/>
      <w:r>
        <w:rPr>
          <w:rFonts w:cs="宋体"/>
          <w:sz w:val="24"/>
          <w:lang w:eastAsia="zh-CN"/>
        </w:rPr>
        <w:t>将对此类声明进行修改，以便本指南所述的替代试剂政策和仪器系列政策适用于此类器械类型。基于FDA对分类器械类型的当前理解和经验，FDA认为本指南提供的建议可提供替代缓解措施，</w:t>
      </w:r>
      <w:r>
        <w:rPr>
          <w:rFonts w:hint="eastAsia" w:cs="宋体"/>
          <w:sz w:val="24"/>
          <w:lang w:eastAsia="zh-CN"/>
        </w:rPr>
        <w:t>且</w:t>
      </w:r>
      <w:r>
        <w:rPr>
          <w:rFonts w:cs="宋体"/>
          <w:sz w:val="24"/>
          <w:lang w:eastAsia="zh-CN"/>
        </w:rPr>
        <w:t>该措施可提供同等安全性和有效性保证，但可能需要考虑其他因素。本指南</w:t>
      </w:r>
      <w:r>
        <w:rPr>
          <w:rFonts w:hint="eastAsia" w:cs="宋体"/>
          <w:sz w:val="24"/>
          <w:lang w:eastAsia="zh-CN"/>
        </w:rPr>
        <w:t>的</w:t>
      </w:r>
      <w:r>
        <w:rPr>
          <w:rFonts w:cs="宋体"/>
          <w:sz w:val="24"/>
          <w:lang w:eastAsia="zh-CN"/>
        </w:rPr>
        <w:t>定稿</w:t>
      </w:r>
      <w:r>
        <w:rPr>
          <w:rFonts w:hint="eastAsia" w:cs="宋体"/>
          <w:sz w:val="24"/>
          <w:lang w:eastAsia="zh-CN"/>
        </w:rPr>
        <w:t>预期不用于</w:t>
      </w:r>
      <w:r>
        <w:rPr>
          <w:rFonts w:cs="宋体"/>
          <w:sz w:val="24"/>
          <w:lang w:eastAsia="zh-CN"/>
        </w:rPr>
        <w:t>取代此类专用器械最终指南或特殊控制措施中包含的任何其他内容，但可能涵盖此类专用器械指南或特殊控制措施中未涉及的领域。</w:t>
      </w:r>
    </w:p>
    <w:p w14:paraId="43E3A2CE">
      <w:pPr>
        <w:spacing w:before="120" w:beforeLines="50" w:line="300" w:lineRule="auto"/>
        <w:jc w:val="left"/>
        <w:rPr>
          <w:rFonts w:cs="Times New Roman"/>
          <w:sz w:val="24"/>
          <w:szCs w:val="24"/>
          <w:lang w:eastAsia="zh-CN"/>
        </w:rPr>
      </w:pPr>
      <w:r>
        <w:rPr>
          <w:rFonts w:cs="宋体"/>
          <w:sz w:val="24"/>
          <w:lang w:eastAsia="zh-CN"/>
        </w:rPr>
        <w:t>本指南中的建议基于FDA在先前具有既定性能的获批检测系统方面的经验。迄今，替代试剂政策</w:t>
      </w:r>
      <w:r>
        <w:rPr>
          <w:rFonts w:hint="eastAsia" w:cs="宋体"/>
          <w:sz w:val="24"/>
          <w:lang w:eastAsia="zh-CN"/>
        </w:rPr>
        <w:t>主要用于</w:t>
      </w:r>
      <w:r>
        <w:rPr>
          <w:rFonts w:cs="宋体"/>
          <w:sz w:val="24"/>
          <w:lang w:eastAsia="zh-CN"/>
        </w:rPr>
        <w:t>传统的实验室自动生化免疫分析。将本指南用于其他类型的检测系统可能</w:t>
      </w:r>
      <w:r>
        <w:rPr>
          <w:rFonts w:hint="eastAsia" w:cs="宋体"/>
          <w:sz w:val="24"/>
          <w:lang w:eastAsia="zh-CN"/>
        </w:rPr>
        <w:t>需纳入</w:t>
      </w:r>
      <w:r>
        <w:rPr>
          <w:rFonts w:cs="宋体"/>
          <w:sz w:val="24"/>
          <w:lang w:eastAsia="zh-CN"/>
        </w:rPr>
        <w:t>其他</w:t>
      </w:r>
      <w:r>
        <w:rPr>
          <w:rFonts w:hint="eastAsia" w:cs="宋体"/>
          <w:sz w:val="24"/>
          <w:lang w:eastAsia="zh-CN"/>
        </w:rPr>
        <w:t>考虑因素</w:t>
      </w:r>
      <w:r>
        <w:rPr>
          <w:rFonts w:cs="宋体"/>
          <w:sz w:val="24"/>
          <w:lang w:eastAsia="zh-CN"/>
        </w:rPr>
        <w:t>。制造商可在初始510(k)计划期间（即，如果可以预见未来对检测试剂仪器组合的修改）和/或在初始批准检测试剂的任何时间，利用预提交程序获得关于本政策对检测试剂的适当应用的反馈。有关预提交程序的信息，请参阅FDA的指南《请求获取医疗器械申请的反馈意见：预</w:t>
      </w:r>
      <w:r>
        <w:rPr>
          <w:rFonts w:hint="eastAsia" w:cs="宋体"/>
          <w:sz w:val="24"/>
          <w:lang w:eastAsia="zh-CN"/>
        </w:rPr>
        <w:t>申请计划</w:t>
      </w:r>
      <w:r>
        <w:rPr>
          <w:rFonts w:cs="宋体"/>
          <w:sz w:val="24"/>
          <w:lang w:eastAsia="zh-CN"/>
        </w:rPr>
        <w:t>及与美国食品药品监督管理局工作人员的会议》，网址：（</w:t>
      </w:r>
      <w:r>
        <w:rPr>
          <w:rFonts w:cs="宋体"/>
          <w:color w:val="0000FF"/>
          <w:sz w:val="24"/>
          <w:u w:val="single"/>
          <w:lang w:eastAsia="zh-CN"/>
        </w:rPr>
        <w:t>https://www.fda.gov/downloads/medicaldevices/deviceregulationandguidance/guidancedocuments/ucm311176.pdf</w:t>
      </w:r>
      <w:r>
        <w:rPr>
          <w:rFonts w:cs="宋体"/>
          <w:sz w:val="24"/>
          <w:lang w:eastAsia="zh-CN"/>
        </w:rPr>
        <w:t>）。</w:t>
      </w:r>
    </w:p>
    <w:p w14:paraId="0EE99A9F">
      <w:pPr>
        <w:spacing w:before="120" w:beforeLines="50" w:line="300" w:lineRule="auto"/>
        <w:rPr>
          <w:rFonts w:cs="Times New Roman"/>
          <w:sz w:val="24"/>
          <w:szCs w:val="24"/>
          <w:lang w:eastAsia="zh-CN"/>
        </w:rPr>
      </w:pPr>
      <w:r>
        <w:rPr>
          <w:rFonts w:cs="宋体"/>
          <w:sz w:val="24"/>
          <w:lang w:eastAsia="zh-CN"/>
        </w:rPr>
        <w:t>本指南</w:t>
      </w:r>
      <w:r>
        <w:rPr>
          <w:rFonts w:hint="eastAsia" w:cs="宋体"/>
          <w:sz w:val="24"/>
          <w:lang w:eastAsia="zh-CN"/>
        </w:rPr>
        <w:t>的定稿</w:t>
      </w:r>
      <w:r>
        <w:rPr>
          <w:rFonts w:cs="宋体"/>
          <w:sz w:val="24"/>
          <w:lang w:eastAsia="zh-CN"/>
        </w:rPr>
        <w:t>适用于大范围的已上市I类“</w:t>
      </w:r>
      <w:r>
        <w:rPr>
          <w:rFonts w:hint="eastAsia" w:cs="宋体"/>
          <w:sz w:val="24"/>
          <w:lang w:eastAsia="zh-CN"/>
        </w:rPr>
        <w:t>保留</w:t>
      </w:r>
      <w:r>
        <w:rPr>
          <w:rFonts w:cs="宋体"/>
          <w:sz w:val="24"/>
          <w:lang w:eastAsia="zh-CN"/>
        </w:rPr>
        <w:t>”或II类510(k) IVD检测系统，</w:t>
      </w:r>
      <w:r>
        <w:rPr>
          <w:rFonts w:hint="eastAsia" w:cs="宋体"/>
          <w:sz w:val="24"/>
          <w:lang w:eastAsia="zh-CN"/>
        </w:rPr>
        <w:t>此类系统预期供</w:t>
      </w:r>
      <w:r>
        <w:rPr>
          <w:rFonts w:cs="宋体"/>
          <w:sz w:val="24"/>
          <w:lang w:eastAsia="zh-CN"/>
        </w:rPr>
        <w:t>中等或高复杂性的CLIA监管实验室</w:t>
      </w:r>
      <w:r>
        <w:rPr>
          <w:rFonts w:hint="eastAsia" w:cs="宋体"/>
          <w:sz w:val="24"/>
          <w:lang w:eastAsia="zh-CN"/>
        </w:rPr>
        <w:t>使用</w:t>
      </w:r>
      <w:r>
        <w:rPr>
          <w:rFonts w:cs="宋体"/>
          <w:sz w:val="24"/>
          <w:lang w:eastAsia="zh-CN"/>
        </w:rPr>
        <w:t>。虽然大多数自动化临床仪器本身被归类为I类且豁免510(k)，但将试剂/仪器系统视为“组合器械”。如果系统中试剂声明符合I类</w:t>
      </w:r>
      <w:r>
        <w:rPr>
          <w:rFonts w:hint="eastAsia" w:cs="宋体"/>
          <w:sz w:val="24"/>
          <w:lang w:eastAsia="zh-CN"/>
        </w:rPr>
        <w:t>保留</w:t>
      </w:r>
      <w:r>
        <w:rPr>
          <w:rFonts w:cs="宋体"/>
          <w:sz w:val="24"/>
          <w:lang w:eastAsia="zh-CN"/>
        </w:rPr>
        <w:t>或II类器械的定义，则需要510(k)（</w:t>
      </w:r>
      <w:r>
        <w:rPr>
          <w:rFonts w:cs="宋体"/>
          <w:i/>
          <w:sz w:val="24"/>
          <w:lang w:eastAsia="zh-CN"/>
        </w:rPr>
        <w:t>参见</w:t>
      </w:r>
      <w:r>
        <w:rPr>
          <w:rFonts w:cs="宋体"/>
          <w:sz w:val="24"/>
          <w:lang w:eastAsia="zh-CN"/>
        </w:rPr>
        <w:t>《联邦食品、药品和化妆品法案》（《FD&amp;C法案》）第510(k)节、第510(l)节和第513(a)节以及21 CFR 807.81和860.3规定；</w:t>
      </w:r>
      <w:r>
        <w:rPr>
          <w:rFonts w:cs="宋体"/>
          <w:i/>
          <w:sz w:val="24"/>
          <w:lang w:eastAsia="zh-CN"/>
        </w:rPr>
        <w:t>另请参见</w:t>
      </w:r>
      <w:r>
        <w:rPr>
          <w:rFonts w:cs="宋体"/>
          <w:sz w:val="24"/>
          <w:lang w:eastAsia="zh-CN"/>
        </w:rPr>
        <w:t>21 CFR 862.9、21 CFR 864.9或21 CFR 866.9（取决于器械的分类部分）中</w:t>
      </w:r>
      <w:r>
        <w:rPr>
          <w:rFonts w:hint="eastAsia" w:cs="宋体"/>
          <w:sz w:val="24"/>
          <w:lang w:eastAsia="zh-CN"/>
        </w:rPr>
        <w:t>规定的</w:t>
      </w:r>
      <w:r>
        <w:rPr>
          <w:rFonts w:cs="宋体"/>
          <w:sz w:val="24"/>
          <w:lang w:eastAsia="zh-CN"/>
        </w:rPr>
        <w:t>上市前通知要求豁免限制。在510(k)审查时，CDRH对“组合器械”提出了适用于单一器械的</w:t>
      </w:r>
      <w:r>
        <w:rPr>
          <w:rFonts w:hint="eastAsia" w:cs="宋体"/>
          <w:sz w:val="24"/>
          <w:lang w:eastAsia="zh-CN"/>
        </w:rPr>
        <w:t>相同</w:t>
      </w:r>
      <w:r>
        <w:rPr>
          <w:rFonts w:cs="宋体"/>
          <w:sz w:val="24"/>
          <w:lang w:eastAsia="zh-CN"/>
        </w:rPr>
        <w:t>问题和要求，包括备案文件要求。</w:t>
      </w:r>
      <w:r>
        <w:rPr>
          <w:rFonts w:hint="eastAsia" w:cs="宋体"/>
          <w:sz w:val="24"/>
          <w:lang w:eastAsia="zh-CN"/>
        </w:rPr>
        <w:t>当认定这类器械具有实质等同性时，这类器械与不同类别的器械组合，并归入同品种器械的最高类别中，除非该组合器械可作为单独产品受到监管（例如，可拆卸器械）。</w:t>
      </w:r>
      <w:r>
        <w:rPr>
          <w:rFonts w:cs="宋体"/>
          <w:sz w:val="24"/>
          <w:lang w:eastAsia="zh-CN"/>
        </w:rPr>
        <w:t>在后一种情况下，可单独监管的产品将按照单独类别进行监管。</w:t>
      </w:r>
    </w:p>
    <w:p w14:paraId="32DD7AD0">
      <w:pPr>
        <w:spacing w:before="120" w:beforeLines="50" w:line="300" w:lineRule="auto"/>
        <w:rPr>
          <w:rFonts w:cs="Times New Roman"/>
          <w:sz w:val="24"/>
          <w:szCs w:val="24"/>
          <w:lang w:eastAsia="zh-CN"/>
        </w:rPr>
      </w:pPr>
      <w:r>
        <w:rPr>
          <w:rFonts w:cs="宋体"/>
          <w:sz w:val="24"/>
          <w:lang w:eastAsia="zh-CN"/>
        </w:rPr>
        <w:t>以下表格旨在帮助阐明本指南不同章节应考虑的监管情况。在这类示例中：</w:t>
      </w:r>
    </w:p>
    <w:p w14:paraId="75BD481D">
      <w:pPr>
        <w:pStyle w:val="22"/>
        <w:numPr>
          <w:ilvl w:val="0"/>
          <w:numId w:val="4"/>
        </w:numPr>
        <w:snapToGrid w:val="0"/>
        <w:spacing w:before="36" w:beforeLines="15" w:line="276" w:lineRule="auto"/>
        <w:ind w:left="420" w:leftChars="200" w:firstLineChars="0"/>
        <w:rPr>
          <w:rFonts w:cs="Times New Roman"/>
          <w:sz w:val="24"/>
          <w:szCs w:val="24"/>
          <w:lang w:eastAsia="zh-CN"/>
        </w:rPr>
      </w:pPr>
      <w:r>
        <w:rPr>
          <w:rFonts w:cs="宋体"/>
          <w:sz w:val="24"/>
          <w:lang w:eastAsia="zh-CN"/>
        </w:rPr>
        <w:t>根据仪器A’展示的性能，先前获批在仪器A’上运行检测试剂A。</w:t>
      </w:r>
    </w:p>
    <w:p w14:paraId="79847678">
      <w:pPr>
        <w:pStyle w:val="22"/>
        <w:numPr>
          <w:ilvl w:val="0"/>
          <w:numId w:val="4"/>
        </w:numPr>
        <w:snapToGrid w:val="0"/>
        <w:spacing w:before="36" w:beforeLines="15" w:line="276" w:lineRule="auto"/>
        <w:ind w:left="420" w:leftChars="200" w:firstLineChars="0"/>
        <w:rPr>
          <w:rFonts w:cs="Times New Roman"/>
          <w:sz w:val="24"/>
          <w:szCs w:val="24"/>
          <w:lang w:eastAsia="zh-CN"/>
        </w:rPr>
      </w:pPr>
      <w:r>
        <w:rPr>
          <w:rFonts w:cs="宋体"/>
          <w:sz w:val="24"/>
          <w:lang w:eastAsia="zh-CN"/>
        </w:rPr>
        <w:t>根据仪器B’展示的性能，先前获批在仪器B’上运行检测试剂B。</w:t>
      </w:r>
    </w:p>
    <w:p w14:paraId="69C1D633">
      <w:pPr>
        <w:pStyle w:val="22"/>
        <w:numPr>
          <w:ilvl w:val="0"/>
          <w:numId w:val="4"/>
        </w:numPr>
        <w:snapToGrid w:val="0"/>
        <w:spacing w:before="36" w:beforeLines="15" w:line="276" w:lineRule="auto"/>
        <w:ind w:left="420" w:leftChars="200" w:firstLineChars="0"/>
        <w:rPr>
          <w:rFonts w:cs="Times New Roman"/>
          <w:sz w:val="24"/>
          <w:szCs w:val="24"/>
          <w:lang w:eastAsia="zh-CN"/>
        </w:rPr>
      </w:pPr>
      <w:r>
        <w:rPr>
          <w:rFonts w:cs="宋体"/>
          <w:sz w:val="24"/>
          <w:lang w:eastAsia="zh-CN"/>
        </w:rPr>
        <w:t>检测试剂C和仪器C’均不属于获批检测系统的一部分。</w:t>
      </w:r>
    </w:p>
    <w:p w14:paraId="4C433F10">
      <w:pPr>
        <w:spacing w:before="120" w:beforeLines="50" w:line="300" w:lineRule="auto"/>
        <w:rPr>
          <w:rFonts w:cs="Times New Roman"/>
          <w:sz w:val="24"/>
          <w:szCs w:val="24"/>
          <w:lang w:eastAsia="zh-CN"/>
        </w:rPr>
      </w:pPr>
      <w:r>
        <w:rPr>
          <w:rFonts w:cs="宋体"/>
          <w:sz w:val="24"/>
          <w:lang w:eastAsia="zh-CN"/>
        </w:rPr>
        <w:br w:type="page"/>
      </w:r>
    </w:p>
    <w:p w14:paraId="4AD72F2A">
      <w:pPr>
        <w:spacing w:before="120" w:beforeLines="50" w:line="300" w:lineRule="auto"/>
        <w:rPr>
          <w:rFonts w:cs="Times New Roman"/>
          <w:sz w:val="24"/>
          <w:szCs w:val="24"/>
          <w:lang w:eastAsia="zh-CN"/>
        </w:rPr>
      </w:pP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63"/>
        <w:gridCol w:w="1107"/>
        <w:gridCol w:w="715"/>
        <w:gridCol w:w="1432"/>
        <w:gridCol w:w="4270"/>
      </w:tblGrid>
      <w:tr w14:paraId="6C354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49" w:type="pct"/>
          </w:tcPr>
          <w:p w14:paraId="3C393CBE">
            <w:pPr>
              <w:spacing w:before="36" w:beforeLines="15" w:line="276" w:lineRule="auto"/>
              <w:jc w:val="center"/>
              <w:rPr>
                <w:rFonts w:cs="Times New Roman"/>
                <w:lang w:eastAsia="zh-CN"/>
              </w:rPr>
            </w:pPr>
          </w:p>
        </w:tc>
        <w:tc>
          <w:tcPr>
            <w:tcW w:w="1752" w:type="pct"/>
            <w:gridSpan w:val="3"/>
          </w:tcPr>
          <w:p w14:paraId="7ADC20BB">
            <w:pPr>
              <w:spacing w:before="36" w:beforeLines="15" w:line="276" w:lineRule="auto"/>
              <w:jc w:val="center"/>
              <w:rPr>
                <w:rFonts w:cs="Times New Roman"/>
                <w:b/>
                <w:lang w:eastAsia="zh-CN"/>
              </w:rPr>
            </w:pPr>
            <w:r>
              <w:rPr>
                <w:rFonts w:cs="宋体"/>
                <w:b/>
                <w:lang w:eastAsia="zh-CN"/>
              </w:rPr>
              <w:t>已获批检测系统由以下部分组成</w:t>
            </w:r>
          </w:p>
        </w:tc>
        <w:tc>
          <w:tcPr>
            <w:tcW w:w="2299" w:type="pct"/>
          </w:tcPr>
          <w:p w14:paraId="69E0B2B9">
            <w:pPr>
              <w:spacing w:before="36" w:beforeLines="15" w:line="276" w:lineRule="auto"/>
              <w:jc w:val="center"/>
              <w:rPr>
                <w:rFonts w:cs="Times New Roman"/>
                <w:b/>
                <w:lang w:eastAsia="zh-CN"/>
              </w:rPr>
            </w:pPr>
            <w:r>
              <w:rPr>
                <w:rFonts w:cs="宋体"/>
                <w:b/>
                <w:lang w:eastAsia="zh-CN"/>
              </w:rPr>
              <w:t>不属于先前获批检测系统的一部分</w:t>
            </w:r>
          </w:p>
        </w:tc>
      </w:tr>
      <w:tr w14:paraId="53C56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49" w:type="pct"/>
          </w:tcPr>
          <w:p w14:paraId="533432DB">
            <w:pPr>
              <w:spacing w:before="36" w:beforeLines="15" w:line="276" w:lineRule="auto"/>
              <w:jc w:val="center"/>
              <w:rPr>
                <w:rFonts w:cs="Times New Roman"/>
                <w:b/>
              </w:rPr>
            </w:pPr>
            <w:r>
              <w:rPr>
                <w:rFonts w:cs="宋体"/>
                <w:b/>
              </w:rPr>
              <w:t>检测试剂</w:t>
            </w:r>
          </w:p>
        </w:tc>
        <w:tc>
          <w:tcPr>
            <w:tcW w:w="596" w:type="pct"/>
          </w:tcPr>
          <w:p w14:paraId="148FDE64">
            <w:pPr>
              <w:spacing w:before="36" w:beforeLines="15" w:line="276" w:lineRule="auto"/>
              <w:jc w:val="center"/>
              <w:rPr>
                <w:rFonts w:cs="Times New Roman"/>
              </w:rPr>
            </w:pPr>
            <w:r>
              <w:rPr>
                <w:rFonts w:cs="Times New Roman"/>
              </w:rPr>
              <w:t>A</w:t>
            </w:r>
          </w:p>
        </w:tc>
        <w:tc>
          <w:tcPr>
            <w:tcW w:w="385" w:type="pct"/>
            <w:vMerge w:val="restart"/>
          </w:tcPr>
          <w:p w14:paraId="6E536C34">
            <w:pPr>
              <w:spacing w:before="36" w:beforeLines="15" w:line="276" w:lineRule="auto"/>
              <w:jc w:val="center"/>
              <w:rPr>
                <w:rFonts w:cs="Times New Roman"/>
              </w:rPr>
            </w:pPr>
            <w:r>
              <w:rPr>
                <w:rFonts w:cs="宋体"/>
              </w:rPr>
              <w:t>或</w:t>
            </w:r>
          </w:p>
        </w:tc>
        <w:tc>
          <w:tcPr>
            <w:tcW w:w="771" w:type="pct"/>
          </w:tcPr>
          <w:p w14:paraId="116B0AD8">
            <w:pPr>
              <w:spacing w:before="36" w:beforeLines="15" w:line="276" w:lineRule="auto"/>
              <w:jc w:val="center"/>
              <w:rPr>
                <w:rFonts w:cs="Times New Roman"/>
                <w:vanish/>
              </w:rPr>
            </w:pPr>
            <w:r>
              <w:rPr>
                <w:rFonts w:cs="Times New Roman"/>
              </w:rPr>
              <w:t>B</w:t>
            </w:r>
          </w:p>
        </w:tc>
        <w:tc>
          <w:tcPr>
            <w:tcW w:w="2299" w:type="pct"/>
          </w:tcPr>
          <w:p w14:paraId="528BAF00">
            <w:pPr>
              <w:spacing w:before="36" w:beforeLines="15" w:line="276" w:lineRule="auto"/>
              <w:jc w:val="center"/>
              <w:rPr>
                <w:rFonts w:cs="Times New Roman"/>
              </w:rPr>
            </w:pPr>
            <w:r>
              <w:rPr>
                <w:rFonts w:cs="Times New Roman"/>
              </w:rPr>
              <w:t>C</w:t>
            </w:r>
          </w:p>
        </w:tc>
      </w:tr>
      <w:tr w14:paraId="1CE30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49" w:type="pct"/>
          </w:tcPr>
          <w:p w14:paraId="56C53319">
            <w:pPr>
              <w:spacing w:before="36" w:beforeLines="15" w:line="276" w:lineRule="auto"/>
              <w:jc w:val="center"/>
              <w:rPr>
                <w:rFonts w:cs="Times New Roman"/>
                <w:b/>
              </w:rPr>
            </w:pPr>
            <w:r>
              <w:rPr>
                <w:rFonts w:cs="宋体"/>
                <w:b/>
              </w:rPr>
              <w:t>仪器</w:t>
            </w:r>
          </w:p>
        </w:tc>
        <w:tc>
          <w:tcPr>
            <w:tcW w:w="596" w:type="pct"/>
          </w:tcPr>
          <w:p w14:paraId="664621F1">
            <w:pPr>
              <w:spacing w:before="36" w:beforeLines="15" w:line="276" w:lineRule="auto"/>
              <w:jc w:val="center"/>
              <w:rPr>
                <w:rFonts w:cs="Times New Roman"/>
              </w:rPr>
            </w:pPr>
            <w:r>
              <w:rPr>
                <w:rFonts w:cs="Times New Roman"/>
              </w:rPr>
              <w:t>A’</w:t>
            </w:r>
          </w:p>
        </w:tc>
        <w:tc>
          <w:tcPr>
            <w:tcW w:w="385" w:type="pct"/>
            <w:vMerge w:val="continue"/>
            <w:tcBorders>
              <w:top w:val="nil"/>
            </w:tcBorders>
          </w:tcPr>
          <w:p w14:paraId="2B910EEA">
            <w:pPr>
              <w:spacing w:before="36" w:beforeLines="15" w:line="276" w:lineRule="auto"/>
              <w:jc w:val="center"/>
              <w:rPr>
                <w:rFonts w:cs="Times New Roman"/>
              </w:rPr>
            </w:pPr>
          </w:p>
        </w:tc>
        <w:tc>
          <w:tcPr>
            <w:tcW w:w="771" w:type="pct"/>
          </w:tcPr>
          <w:p w14:paraId="76F60437">
            <w:pPr>
              <w:spacing w:before="36" w:beforeLines="15" w:line="276" w:lineRule="auto"/>
              <w:jc w:val="center"/>
              <w:rPr>
                <w:rFonts w:cs="Times New Roman"/>
                <w:vanish/>
              </w:rPr>
            </w:pPr>
            <w:r>
              <w:rPr>
                <w:rFonts w:cs="Times New Roman"/>
              </w:rPr>
              <w:t>B’</w:t>
            </w:r>
          </w:p>
        </w:tc>
        <w:tc>
          <w:tcPr>
            <w:tcW w:w="2299" w:type="pct"/>
          </w:tcPr>
          <w:p w14:paraId="570CB0AF">
            <w:pPr>
              <w:spacing w:before="36" w:beforeLines="15" w:line="276" w:lineRule="auto"/>
              <w:jc w:val="center"/>
              <w:rPr>
                <w:rFonts w:cs="Times New Roman"/>
              </w:rPr>
            </w:pPr>
            <w:r>
              <w:rPr>
                <w:rFonts w:cs="Times New Roman"/>
              </w:rPr>
              <w:t>C’</w:t>
            </w:r>
          </w:p>
        </w:tc>
      </w:tr>
    </w:tbl>
    <w:p w14:paraId="4CECC0D5">
      <w:pPr>
        <w:spacing w:before="120" w:beforeLines="50" w:line="300" w:lineRule="auto"/>
        <w:jc w:val="center"/>
        <w:rPr>
          <w:rFonts w:cs="Times New Roman"/>
          <w:sz w:val="24"/>
          <w:szCs w:val="24"/>
        </w:rPr>
      </w:pP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06"/>
        <w:gridCol w:w="5881"/>
      </w:tblGrid>
      <w:tr w14:paraId="308D0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834" w:type="pct"/>
          </w:tcPr>
          <w:p w14:paraId="31AE945B">
            <w:pPr>
              <w:spacing w:before="36" w:beforeLines="15" w:line="276" w:lineRule="auto"/>
              <w:jc w:val="center"/>
              <w:rPr>
                <w:rFonts w:cs="Times New Roman"/>
                <w:b/>
              </w:rPr>
            </w:pPr>
            <w:r>
              <w:rPr>
                <w:rFonts w:cs="宋体"/>
                <w:b/>
              </w:rPr>
              <w:t>检测试剂和仪器组合</w:t>
            </w:r>
          </w:p>
        </w:tc>
        <w:tc>
          <w:tcPr>
            <w:tcW w:w="3166" w:type="pct"/>
          </w:tcPr>
          <w:p w14:paraId="117E2CE5">
            <w:pPr>
              <w:spacing w:before="36" w:beforeLines="15" w:line="276" w:lineRule="auto"/>
              <w:jc w:val="center"/>
              <w:rPr>
                <w:rFonts w:cs="Times New Roman"/>
                <w:b/>
                <w:lang w:eastAsia="zh-CN"/>
              </w:rPr>
            </w:pPr>
            <w:r>
              <w:rPr>
                <w:rFonts w:cs="宋体"/>
                <w:b/>
                <w:lang w:eastAsia="zh-CN"/>
              </w:rPr>
              <w:t>本指南中适用的监管政策</w:t>
            </w:r>
          </w:p>
        </w:tc>
      </w:tr>
      <w:tr w14:paraId="6A833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834" w:type="pct"/>
          </w:tcPr>
          <w:p w14:paraId="2E08DEA7">
            <w:pPr>
              <w:spacing w:before="36" w:beforeLines="15" w:line="276" w:lineRule="auto"/>
              <w:jc w:val="left"/>
              <w:rPr>
                <w:rFonts w:cs="Times New Roman"/>
                <w:b/>
              </w:rPr>
            </w:pPr>
            <w:r>
              <w:rPr>
                <w:rFonts w:cs="宋体"/>
                <w:b/>
              </w:rPr>
              <w:t>A+B’或B+A’</w:t>
            </w:r>
          </w:p>
        </w:tc>
        <w:tc>
          <w:tcPr>
            <w:tcW w:w="3166" w:type="pct"/>
          </w:tcPr>
          <w:p w14:paraId="255289F5">
            <w:pPr>
              <w:spacing w:before="36" w:beforeLines="15" w:line="276" w:lineRule="auto"/>
              <w:jc w:val="left"/>
              <w:rPr>
                <w:rFonts w:cs="Times New Roman"/>
                <w:lang w:eastAsia="zh-CN"/>
              </w:rPr>
            </w:pPr>
            <w:r>
              <w:rPr>
                <w:rFonts w:cs="宋体"/>
                <w:i/>
                <w:lang w:eastAsia="zh-CN"/>
              </w:rPr>
              <w:t>参见</w:t>
            </w:r>
            <w:r>
              <w:rPr>
                <w:rFonts w:cs="宋体"/>
                <w:lang w:eastAsia="zh-CN"/>
              </w:rPr>
              <w:t>第III节（替代试剂政策）</w:t>
            </w:r>
          </w:p>
        </w:tc>
      </w:tr>
      <w:tr w14:paraId="3EF91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834" w:type="pct"/>
          </w:tcPr>
          <w:p w14:paraId="469329EA">
            <w:pPr>
              <w:spacing w:before="36" w:beforeLines="15" w:line="276" w:lineRule="auto"/>
              <w:jc w:val="left"/>
              <w:rPr>
                <w:rFonts w:cs="Times New Roman"/>
                <w:b/>
              </w:rPr>
            </w:pPr>
            <w:r>
              <w:rPr>
                <w:rFonts w:cs="宋体"/>
                <w:b/>
              </w:rPr>
              <w:t>A+C’或B+C’</w:t>
            </w:r>
          </w:p>
        </w:tc>
        <w:tc>
          <w:tcPr>
            <w:tcW w:w="3166" w:type="pct"/>
          </w:tcPr>
          <w:p w14:paraId="16BBD578">
            <w:pPr>
              <w:spacing w:before="36" w:beforeLines="15" w:line="276" w:lineRule="auto"/>
              <w:jc w:val="left"/>
              <w:rPr>
                <w:rFonts w:cs="Times New Roman"/>
                <w:lang w:eastAsia="zh-CN"/>
              </w:rPr>
            </w:pPr>
            <w:r>
              <w:rPr>
                <w:rFonts w:cs="宋体"/>
                <w:i/>
                <w:lang w:eastAsia="zh-CN"/>
              </w:rPr>
              <w:t>参见</w:t>
            </w:r>
            <w:r>
              <w:rPr>
                <w:rFonts w:cs="宋体"/>
                <w:lang w:eastAsia="zh-CN"/>
              </w:rPr>
              <w:t>第III节和IV节（仪器系列政策）</w:t>
            </w:r>
          </w:p>
        </w:tc>
      </w:tr>
      <w:tr w14:paraId="71086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834" w:type="pct"/>
          </w:tcPr>
          <w:p w14:paraId="7645F90D">
            <w:pPr>
              <w:spacing w:before="36" w:beforeLines="15" w:line="276" w:lineRule="auto"/>
              <w:jc w:val="left"/>
              <w:rPr>
                <w:rFonts w:cs="Times New Roman"/>
                <w:b/>
              </w:rPr>
            </w:pPr>
            <w:r>
              <w:rPr>
                <w:rFonts w:cs="宋体"/>
                <w:b/>
              </w:rPr>
              <w:t>C+C’、C+B’或C+A’</w:t>
            </w:r>
          </w:p>
        </w:tc>
        <w:tc>
          <w:tcPr>
            <w:tcW w:w="3166" w:type="pct"/>
          </w:tcPr>
          <w:p w14:paraId="7570520B">
            <w:pPr>
              <w:spacing w:before="36" w:beforeLines="15" w:line="276" w:lineRule="auto"/>
              <w:jc w:val="left"/>
              <w:rPr>
                <w:rFonts w:cs="Times New Roman"/>
              </w:rPr>
            </w:pPr>
            <w:r>
              <w:rPr>
                <w:rFonts w:cs="宋体"/>
              </w:rPr>
              <w:t>无（超出范围）；提交510(k)（21 CFR 807.81(a)(2)）</w:t>
            </w:r>
          </w:p>
        </w:tc>
      </w:tr>
    </w:tbl>
    <w:p w14:paraId="6A5536D3">
      <w:pPr>
        <w:pStyle w:val="2"/>
      </w:pPr>
      <w:bookmarkStart w:id="4" w:name="_Toc97887059"/>
      <w:r>
        <w:rPr>
          <w:rFonts w:cs="宋体"/>
        </w:rPr>
        <w:t>III.</w:t>
      </w:r>
      <w:r>
        <w:rPr>
          <w:rFonts w:cs="宋体"/>
        </w:rPr>
        <w:tab/>
      </w:r>
      <w:r>
        <w:rPr>
          <w:rFonts w:cs="宋体"/>
        </w:rPr>
        <w:t>替代试剂政策</w:t>
      </w:r>
      <w:bookmarkEnd w:id="4"/>
    </w:p>
    <w:p w14:paraId="622539DB">
      <w:pPr>
        <w:spacing w:before="120" w:beforeLines="50" w:line="300" w:lineRule="auto"/>
        <w:rPr>
          <w:rFonts w:cs="Times New Roman"/>
          <w:sz w:val="24"/>
          <w:szCs w:val="24"/>
          <w:lang w:eastAsia="zh-CN"/>
        </w:rPr>
      </w:pPr>
      <w:r>
        <w:rPr>
          <w:rFonts w:cs="宋体"/>
          <w:sz w:val="24"/>
          <w:lang w:eastAsia="zh-CN"/>
        </w:rPr>
        <w:t>一般而言，检测系统510(k)许可</w:t>
      </w:r>
      <w:r>
        <w:rPr>
          <w:rFonts w:hint="eastAsia" w:cs="宋体"/>
          <w:sz w:val="24"/>
          <w:lang w:eastAsia="zh-CN"/>
        </w:rPr>
        <w:t>基于</w:t>
      </w:r>
      <w:r>
        <w:rPr>
          <w:rFonts w:cs="宋体"/>
          <w:sz w:val="24"/>
          <w:lang w:eastAsia="zh-CN"/>
        </w:rPr>
        <w:t>用检测试剂制造商指定的一个仪器（或多个仪器）证明检测试剂性能特征。</w:t>
      </w:r>
      <w:r>
        <w:rPr>
          <w:rFonts w:hint="eastAsia" w:cs="宋体"/>
          <w:sz w:val="24"/>
          <w:lang w:eastAsia="zh-CN"/>
        </w:rPr>
        <w:t>一旦根据特定仪器性能批准检测试剂，则检测试剂制造商可选择对检测系统进行修改，其方法是将相同的获批检测试剂应用于其他实验仪器上（作为先前获批检测系统一部分进行评价）。将此类检测试剂称为</w:t>
      </w:r>
      <w:r>
        <w:rPr>
          <w:rFonts w:hint="eastAsia" w:cs="宋体"/>
          <w:color w:val="0000FF"/>
          <w:sz w:val="24"/>
          <w:u w:val="single"/>
          <w:lang w:eastAsia="zh-CN"/>
        </w:rPr>
        <w:t>替代试剂</w:t>
      </w:r>
      <w:r>
        <w:rPr>
          <w:rFonts w:hint="eastAsia" w:cs="宋体"/>
          <w:sz w:val="24"/>
          <w:lang w:eastAsia="zh-CN"/>
        </w:rPr>
        <w:t>。通常</w:t>
      </w:r>
      <w:r>
        <w:rPr>
          <w:rFonts w:cs="宋体"/>
          <w:sz w:val="24"/>
          <w:lang w:eastAsia="zh-CN"/>
        </w:rPr>
        <w:t>情况</w:t>
      </w:r>
      <w:r>
        <w:rPr>
          <w:rFonts w:hint="eastAsia" w:cs="宋体"/>
          <w:sz w:val="24"/>
          <w:lang w:eastAsia="zh-CN"/>
        </w:rPr>
        <w:t>下，</w:t>
      </w:r>
      <w:r>
        <w:rPr>
          <w:rFonts w:cs="宋体"/>
          <w:sz w:val="24"/>
          <w:lang w:eastAsia="zh-CN"/>
        </w:rPr>
        <w:t>检测试剂和仪器均由同一制造商生产。然而，替代试剂政策也可适用于检测试剂和仪器分别由不同的制造商生产的情况。检测试剂制造商应根据检测试剂质量体系要求，评估新型检测试剂和仪器组合的能力和性能，以确保检测系统的性能可以接受。此外，检测试剂制造商有责任确保修改后的检测系统继续符合设计规范。FDA鼓励检测试剂制造商与仪器制造商之间进行沟通，以确保对仪器的任何变更不会影响检测系统的性能。</w:t>
      </w:r>
    </w:p>
    <w:p w14:paraId="49297467">
      <w:pPr>
        <w:spacing w:before="120" w:beforeLines="50" w:line="300" w:lineRule="auto"/>
        <w:rPr>
          <w:rFonts w:cs="Times New Roman"/>
          <w:sz w:val="24"/>
          <w:szCs w:val="24"/>
          <w:lang w:eastAsia="zh-CN"/>
        </w:rPr>
      </w:pPr>
      <w:r>
        <w:rPr>
          <w:rFonts w:cs="宋体"/>
          <w:sz w:val="24"/>
          <w:lang w:eastAsia="zh-CN"/>
        </w:rPr>
        <w:t>制造商计划通过在新仪器上应用获批的检测试剂来修改其检测系统，且在考虑到下述因素后应确定是否需要提交510(k)。制造商在应用逻辑方案并考虑下述问题（即</w:t>
      </w:r>
      <w:r>
        <w:rPr>
          <w:rFonts w:hint="eastAsia" w:cs="宋体"/>
          <w:sz w:val="24"/>
          <w:lang w:eastAsia="zh-CN"/>
        </w:rPr>
        <w:t>，</w:t>
      </w:r>
      <w:r>
        <w:rPr>
          <w:rFonts w:cs="宋体"/>
          <w:sz w:val="24"/>
          <w:lang w:eastAsia="zh-CN"/>
        </w:rPr>
        <w:t>检测系统操作原理、基于风险的评估以及验证和/或确认活动）后，如果其确定不需要提交新的510(k)，且继续使用修改后的检测系统，</w:t>
      </w:r>
      <w:r>
        <w:rPr>
          <w:rFonts w:hint="eastAsia" w:cs="宋体"/>
          <w:sz w:val="24"/>
          <w:lang w:eastAsia="zh-CN"/>
        </w:rPr>
        <w:t>则制造商应确保记录（作为器械主记录的一部分）该变更与是否需要提交新的</w:t>
      </w:r>
      <w:r>
        <w:rPr>
          <w:rFonts w:cs="宋体"/>
          <w:sz w:val="24"/>
          <w:lang w:eastAsia="zh-CN"/>
        </w:rPr>
        <w:t>510(k)</w:t>
      </w:r>
      <w:r>
        <w:rPr>
          <w:rFonts w:hint="eastAsia" w:cs="宋体"/>
          <w:sz w:val="24"/>
          <w:lang w:eastAsia="zh-CN"/>
        </w:rPr>
        <w:t>的评估（</w:t>
      </w:r>
      <w:r>
        <w:rPr>
          <w:rFonts w:hint="eastAsia" w:cs="宋体"/>
          <w:i/>
          <w:sz w:val="24"/>
          <w:lang w:eastAsia="zh-CN"/>
        </w:rPr>
        <w:t>参见</w:t>
      </w:r>
      <w:r>
        <w:rPr>
          <w:rFonts w:hint="eastAsia" w:cs="宋体"/>
          <w:sz w:val="24"/>
          <w:lang w:eastAsia="zh-CN"/>
        </w:rPr>
        <w:t>第</w:t>
      </w:r>
      <w:r>
        <w:rPr>
          <w:rFonts w:cs="宋体"/>
          <w:sz w:val="24"/>
          <w:lang w:eastAsia="zh-CN"/>
        </w:rPr>
        <w:t>III.D</w:t>
      </w:r>
      <w:r>
        <w:rPr>
          <w:rFonts w:hint="eastAsia" w:cs="宋体"/>
          <w:sz w:val="24"/>
          <w:lang w:eastAsia="zh-CN"/>
        </w:rPr>
        <w:t>节）。</w:t>
      </w:r>
    </w:p>
    <w:p w14:paraId="56637832">
      <w:pPr>
        <w:pStyle w:val="3"/>
        <w:rPr>
          <w:lang w:eastAsia="zh-CN"/>
        </w:rPr>
      </w:pPr>
      <w:bookmarkStart w:id="5" w:name="_Toc97887060"/>
      <w:r>
        <w:rPr>
          <w:rFonts w:cs="宋体"/>
          <w:lang w:eastAsia="zh-CN"/>
        </w:rPr>
        <w:t>A.</w:t>
      </w:r>
      <w:r>
        <w:rPr>
          <w:rFonts w:cs="宋体"/>
          <w:lang w:eastAsia="zh-CN"/>
        </w:rPr>
        <w:tab/>
      </w:r>
      <w:r>
        <w:rPr>
          <w:rFonts w:cs="宋体"/>
          <w:lang w:eastAsia="zh-CN"/>
        </w:rPr>
        <w:t>检测系统操作原理</w:t>
      </w:r>
      <w:bookmarkEnd w:id="5"/>
    </w:p>
    <w:p w14:paraId="4106FBC4">
      <w:pPr>
        <w:spacing w:before="120" w:beforeLines="50" w:line="300" w:lineRule="auto"/>
        <w:rPr>
          <w:rFonts w:cs="Times New Roman"/>
          <w:sz w:val="24"/>
          <w:szCs w:val="24"/>
          <w:lang w:eastAsia="zh-CN"/>
        </w:rPr>
      </w:pPr>
      <w:r>
        <w:rPr>
          <w:rFonts w:cs="宋体"/>
          <w:sz w:val="24"/>
          <w:lang w:eastAsia="zh-CN"/>
        </w:rPr>
        <w:t>迄今，替代试剂政策主要用于传统的实验室自动生化免疫分析。如</w:t>
      </w:r>
      <w:r>
        <w:rPr>
          <w:rFonts w:hint="eastAsia" w:cs="宋体"/>
          <w:sz w:val="24"/>
          <w:lang w:eastAsia="zh-CN"/>
        </w:rPr>
        <w:t>在</w:t>
      </w:r>
      <w:r>
        <w:rPr>
          <w:rFonts w:cs="宋体"/>
          <w:sz w:val="24"/>
          <w:lang w:eastAsia="zh-CN"/>
        </w:rPr>
        <w:t>本指南</w:t>
      </w:r>
      <w:r>
        <w:rPr>
          <w:rFonts w:hint="eastAsia" w:cs="宋体"/>
          <w:sz w:val="24"/>
          <w:lang w:eastAsia="zh-CN"/>
        </w:rPr>
        <w:t>对</w:t>
      </w:r>
      <w:r>
        <w:rPr>
          <w:rFonts w:cs="宋体"/>
          <w:sz w:val="24"/>
          <w:lang w:eastAsia="zh-CN"/>
        </w:rPr>
        <w:t>不断发展的技术</w:t>
      </w:r>
      <w:r>
        <w:rPr>
          <w:rFonts w:hint="eastAsia" w:cs="宋体"/>
          <w:sz w:val="24"/>
          <w:lang w:eastAsia="zh-CN"/>
        </w:rPr>
        <w:t>的适用性方面</w:t>
      </w:r>
      <w:r>
        <w:rPr>
          <w:rFonts w:cs="宋体"/>
          <w:sz w:val="24"/>
          <w:lang w:eastAsia="zh-CN"/>
        </w:rPr>
        <w:t>有任何疑问，</w:t>
      </w:r>
      <w:r>
        <w:rPr>
          <w:rFonts w:hint="eastAsia" w:cs="宋体"/>
          <w:sz w:val="24"/>
          <w:lang w:eastAsia="zh-CN"/>
        </w:rPr>
        <w:t>可</w:t>
      </w:r>
      <w:r>
        <w:rPr>
          <w:rFonts w:cs="宋体"/>
          <w:sz w:val="24"/>
          <w:lang w:eastAsia="zh-CN"/>
        </w:rPr>
        <w:t>与FDA相应审评部门联系。</w:t>
      </w:r>
      <w:r>
        <w:rPr>
          <w:rFonts w:hint="eastAsia" w:cs="宋体"/>
          <w:sz w:val="24"/>
          <w:lang w:eastAsia="zh-CN"/>
        </w:rPr>
        <w:t>如果可预见未来要进行的修改，则可使用预提交程序或在初始检测系统上市前审查过程中予以完成。</w:t>
      </w:r>
    </w:p>
    <w:p w14:paraId="43F573BB">
      <w:pPr>
        <w:spacing w:before="120" w:beforeLines="50" w:line="300" w:lineRule="auto"/>
        <w:rPr>
          <w:rFonts w:cs="宋体"/>
          <w:b/>
          <w:sz w:val="24"/>
          <w:u w:val="single"/>
          <w:lang w:eastAsia="zh-CN"/>
        </w:rPr>
      </w:pPr>
    </w:p>
    <w:p w14:paraId="3A65AB7E">
      <w:pPr>
        <w:spacing w:before="120" w:beforeLines="50" w:line="300" w:lineRule="auto"/>
        <w:rPr>
          <w:rFonts w:cs="Times New Roman"/>
          <w:b/>
          <w:sz w:val="24"/>
          <w:szCs w:val="24"/>
          <w:u w:val="single"/>
          <w:lang w:eastAsia="zh-CN"/>
        </w:rPr>
      </w:pPr>
      <w:r>
        <w:rPr>
          <w:rFonts w:cs="宋体"/>
          <w:b/>
          <w:sz w:val="24"/>
          <w:u w:val="single"/>
          <w:lang w:eastAsia="zh-CN"/>
        </w:rPr>
        <w:t>A1.</w:t>
      </w:r>
      <w:r>
        <w:rPr>
          <w:rFonts w:cs="宋体"/>
          <w:u w:val="single"/>
          <w:lang w:eastAsia="zh-CN"/>
        </w:rPr>
        <w:tab/>
      </w:r>
      <w:r>
        <w:rPr>
          <w:rFonts w:cs="宋体"/>
          <w:b/>
          <w:sz w:val="24"/>
          <w:u w:val="single"/>
          <w:lang w:eastAsia="zh-CN"/>
        </w:rPr>
        <w:t>检测试剂关键组分和基本检测原理</w:t>
      </w:r>
    </w:p>
    <w:p w14:paraId="6970E374">
      <w:pPr>
        <w:spacing w:before="120" w:beforeLines="50" w:line="300" w:lineRule="auto"/>
        <w:rPr>
          <w:rFonts w:cs="Times New Roman"/>
          <w:sz w:val="24"/>
          <w:szCs w:val="24"/>
          <w:lang w:eastAsia="zh-CN"/>
        </w:rPr>
      </w:pPr>
      <w:r>
        <w:rPr>
          <w:rFonts w:cs="宋体"/>
          <w:sz w:val="24"/>
          <w:lang w:eastAsia="zh-CN"/>
        </w:rPr>
        <w:t>制造商应首先利用上述第II节中的表格来确定替代试剂政策</w:t>
      </w:r>
      <w:r>
        <w:rPr>
          <w:rFonts w:hint="eastAsia" w:cs="宋体"/>
          <w:sz w:val="24"/>
          <w:lang w:eastAsia="zh-CN"/>
        </w:rPr>
        <w:t>对</w:t>
      </w:r>
      <w:r>
        <w:rPr>
          <w:rFonts w:cs="宋体"/>
          <w:sz w:val="24"/>
          <w:lang w:eastAsia="zh-CN"/>
        </w:rPr>
        <w:t>新检测系统</w:t>
      </w:r>
      <w:r>
        <w:rPr>
          <w:rFonts w:hint="eastAsia" w:cs="宋体"/>
          <w:sz w:val="24"/>
          <w:lang w:eastAsia="zh-CN"/>
        </w:rPr>
        <w:t>的适用性</w:t>
      </w:r>
      <w:r>
        <w:rPr>
          <w:rFonts w:cs="宋体"/>
          <w:sz w:val="24"/>
          <w:lang w:eastAsia="zh-CN"/>
        </w:rPr>
        <w:t>。然后，检测试剂制造商应确定在其他仪器上使用获批的检测试剂是否需要变更检测试剂关键组分或基本检测原理（提交新的510(k)</w:t>
      </w:r>
      <w:r>
        <w:rPr>
          <w:rFonts w:hint="eastAsia" w:cs="宋体"/>
          <w:sz w:val="24"/>
          <w:lang w:eastAsia="zh-CN"/>
        </w:rPr>
        <w:t>时需包含相关内容</w:t>
      </w:r>
      <w:r>
        <w:rPr>
          <w:rFonts w:cs="宋体"/>
          <w:sz w:val="24"/>
          <w:lang w:eastAsia="zh-CN"/>
        </w:rPr>
        <w:t>）。如果对检测系统的修改改变了该检测系统的关键组件或此类操作原理，</w:t>
      </w:r>
      <w:r>
        <w:rPr>
          <w:rFonts w:hint="eastAsia" w:cs="宋体"/>
          <w:sz w:val="24"/>
          <w:lang w:eastAsia="zh-CN"/>
        </w:rPr>
        <w:t>则</w:t>
      </w:r>
      <w:r>
        <w:rPr>
          <w:rFonts w:cs="宋体"/>
          <w:sz w:val="24"/>
          <w:lang w:eastAsia="zh-CN"/>
        </w:rPr>
        <w:t>可能会严重影响安全性和有效性，在这种情况下需提交新的510(k)（21 CFR 807.81(a)(3)(i)）。检测试剂关键组分可包括特异性抗原抗体或酶-底物组分、共轭物或信号组分、反应面或分离方法中使用的组分。基本检测原理可包括检测模式（例如：离子选择性电极、比色及吸光光度法、荧光检测、比浊法以及散射比浊法）、测量方法（如终点或速率测量；定量、半定量或定性）、信号处理方法、数据采集和解释，或检测试剂特定的预分析步骤。如果为了将检测试剂应用于其他仪器上，需要修改检测试剂关键组分或基本检测原理，可能需要提交510(k)。</w:t>
      </w:r>
      <w:r>
        <w:rPr>
          <w:rFonts w:hint="eastAsia" w:cs="宋体"/>
          <w:sz w:val="24"/>
          <w:lang w:eastAsia="zh-CN"/>
        </w:rPr>
        <w:t>对于检测试剂值分配方法或校准方案的重大变更，也可能需要提交</w:t>
      </w:r>
      <w:r>
        <w:rPr>
          <w:rFonts w:cs="宋体"/>
          <w:sz w:val="24"/>
          <w:lang w:eastAsia="zh-CN"/>
        </w:rPr>
        <w:t>510(k)</w:t>
      </w:r>
      <w:r>
        <w:rPr>
          <w:rFonts w:hint="eastAsia" w:cs="宋体"/>
          <w:sz w:val="24"/>
          <w:lang w:eastAsia="zh-CN"/>
        </w:rPr>
        <w:t>，因为此类变更很可能对整体检测性能至关重要，并导致对标签中性能报告的修改。</w:t>
      </w:r>
    </w:p>
    <w:p w14:paraId="2AD2BB73">
      <w:pPr>
        <w:spacing w:before="120" w:beforeLines="50" w:line="300" w:lineRule="auto"/>
        <w:rPr>
          <w:rFonts w:cs="Times New Roman"/>
          <w:sz w:val="24"/>
          <w:szCs w:val="24"/>
          <w:lang w:eastAsia="zh-CN"/>
        </w:rPr>
      </w:pPr>
      <w:r>
        <w:rPr>
          <w:rFonts w:cs="宋体"/>
          <w:sz w:val="24"/>
          <w:lang w:eastAsia="zh-CN"/>
        </w:rPr>
        <w:t>检测系统变更不太可能影响检测试剂性能或检测系统操作原理，其相关示例包括对外试剂盒或试剂防腐剂的修改；但是，制造商应进行基于风险的评估以及设计验证和/或确认活动进行确认。</w:t>
      </w:r>
    </w:p>
    <w:p w14:paraId="716DEA3D">
      <w:pPr>
        <w:spacing w:before="120" w:beforeLines="50" w:line="300" w:lineRule="auto"/>
        <w:rPr>
          <w:rFonts w:cs="Times New Roman"/>
          <w:sz w:val="24"/>
          <w:szCs w:val="24"/>
          <w:lang w:eastAsia="zh-CN"/>
        </w:rPr>
      </w:pPr>
      <w:r>
        <w:rPr>
          <w:rFonts w:cs="宋体"/>
          <w:sz w:val="24"/>
          <w:lang w:eastAsia="zh-CN"/>
        </w:rPr>
        <w:t>如果获批检测试剂在其他仪器的应用不会改变检测试剂关键组分或基本检测原理，则进入第A2节。</w:t>
      </w:r>
    </w:p>
    <w:p w14:paraId="20C02098">
      <w:pPr>
        <w:spacing w:before="120" w:beforeLines="50" w:line="300" w:lineRule="auto"/>
        <w:rPr>
          <w:rFonts w:cs="Times New Roman"/>
          <w:b/>
          <w:sz w:val="24"/>
          <w:szCs w:val="24"/>
          <w:u w:val="single"/>
          <w:lang w:eastAsia="zh-CN"/>
        </w:rPr>
      </w:pPr>
      <w:r>
        <w:rPr>
          <w:rFonts w:cs="宋体"/>
          <w:b/>
          <w:sz w:val="24"/>
          <w:u w:val="single"/>
          <w:lang w:eastAsia="zh-CN"/>
        </w:rPr>
        <w:t>A2.仪器原理</w:t>
      </w:r>
    </w:p>
    <w:p w14:paraId="05AF3992">
      <w:pPr>
        <w:spacing w:before="120" w:beforeLines="50" w:line="300" w:lineRule="auto"/>
        <w:rPr>
          <w:rFonts w:cs="Times New Roman"/>
          <w:sz w:val="24"/>
          <w:szCs w:val="24"/>
          <w:lang w:eastAsia="zh-CN"/>
        </w:rPr>
      </w:pPr>
      <w:r>
        <w:rPr>
          <w:rFonts w:cs="宋体"/>
          <w:sz w:val="24"/>
          <w:lang w:eastAsia="zh-CN"/>
        </w:rPr>
        <w:t>检测试剂制造商应确认，拟用于检测试剂的仪器分析原理与获批的510(k)中证实试剂性能所用仪器的分析原理相似</w:t>
      </w:r>
      <w:r>
        <w:rPr>
          <w:rFonts w:hint="eastAsia" w:cs="宋体"/>
          <w:sz w:val="24"/>
          <w:lang w:eastAsia="zh-CN"/>
        </w:rPr>
        <w:t>，</w:t>
      </w:r>
      <w:r>
        <w:rPr>
          <w:rFonts w:cs="宋体"/>
          <w:sz w:val="24"/>
          <w:lang w:eastAsia="zh-CN"/>
        </w:rPr>
        <w:t>例如，这两种仪器应该具有共同的检测和测量方法、反应条件控制以及信号处理。检测试剂制造商应确认，与检测试剂相关的新仪器的基本能力在510(k)许可中已得到证明（</w:t>
      </w:r>
      <w:r>
        <w:rPr>
          <w:rFonts w:cs="宋体"/>
          <w:i/>
          <w:sz w:val="24"/>
          <w:lang w:eastAsia="zh-CN"/>
        </w:rPr>
        <w:t>参见</w:t>
      </w:r>
      <w:r>
        <w:rPr>
          <w:rFonts w:cs="宋体"/>
          <w:sz w:val="24"/>
          <w:lang w:eastAsia="zh-CN"/>
        </w:rPr>
        <w:t>下文第V节中的示例2）。如果这些条件不适用，可能需要提交510(k)。</w:t>
      </w:r>
    </w:p>
    <w:p w14:paraId="2E403B0E">
      <w:pPr>
        <w:spacing w:before="120" w:beforeLines="50" w:line="300" w:lineRule="auto"/>
        <w:rPr>
          <w:rFonts w:cs="Times New Roman"/>
          <w:sz w:val="24"/>
          <w:szCs w:val="24"/>
          <w:lang w:eastAsia="zh-CN"/>
        </w:rPr>
      </w:pPr>
      <w:r>
        <w:rPr>
          <w:rFonts w:cs="宋体"/>
          <w:sz w:val="24"/>
          <w:lang w:eastAsia="zh-CN"/>
        </w:rPr>
        <w:t>替代试剂政策适用于开放系统。在本指南中，开放系统具有预期与各种检测试剂类型联合使用的通用特性，</w:t>
      </w:r>
      <w:r>
        <w:rPr>
          <w:rFonts w:hint="eastAsia" w:cs="宋体"/>
          <w:sz w:val="24"/>
          <w:lang w:eastAsia="zh-CN"/>
        </w:rPr>
        <w:t>包括具有类似方法的检测类型（如类似的检测方法、类似的处理和判读软件）。</w:t>
      </w:r>
      <w:r>
        <w:rPr>
          <w:rFonts w:cs="宋体"/>
          <w:sz w:val="24"/>
          <w:lang w:eastAsia="zh-CN"/>
        </w:rPr>
        <w:t>开放系统通常不会（例如：通过软件）</w:t>
      </w:r>
      <w:r>
        <w:rPr>
          <w:rFonts w:hint="eastAsia" w:cs="宋体"/>
          <w:sz w:val="24"/>
          <w:lang w:eastAsia="zh-CN"/>
        </w:rPr>
        <w:t>限制</w:t>
      </w:r>
      <w:r>
        <w:rPr>
          <w:rFonts w:cs="宋体"/>
          <w:sz w:val="24"/>
          <w:lang w:eastAsia="zh-CN"/>
        </w:rPr>
        <w:t>仅与某些类型的试剂联合使用或仅检测某些类型的分析物。</w:t>
      </w:r>
    </w:p>
    <w:p w14:paraId="71265795">
      <w:pPr>
        <w:spacing w:before="120" w:beforeLines="50" w:line="300" w:lineRule="auto"/>
        <w:rPr>
          <w:rFonts w:cs="Times New Roman"/>
          <w:sz w:val="24"/>
          <w:szCs w:val="24"/>
          <w:lang w:eastAsia="zh-CN"/>
        </w:rPr>
      </w:pPr>
      <w:r>
        <w:rPr>
          <w:rFonts w:cs="宋体"/>
          <w:sz w:val="24"/>
          <w:lang w:eastAsia="zh-CN"/>
        </w:rPr>
        <w:t>替代试剂政策不适用于封闭性系统。在本指南中，封闭性系统包括预期与专用试剂或试剂类型以及专用反应方案联合使用的仪器。</w:t>
      </w:r>
    </w:p>
    <w:p w14:paraId="66FAE49D">
      <w:pPr>
        <w:spacing w:before="120" w:beforeLines="50" w:line="300" w:lineRule="auto"/>
        <w:rPr>
          <w:rFonts w:cs="Times New Roman"/>
          <w:sz w:val="24"/>
          <w:szCs w:val="24"/>
          <w:lang w:eastAsia="zh-CN"/>
        </w:rPr>
      </w:pPr>
      <w:r>
        <w:rPr>
          <w:rFonts w:cs="宋体"/>
          <w:sz w:val="24"/>
          <w:lang w:eastAsia="zh-CN"/>
        </w:rPr>
        <w:t>如果为了在仪器上运行检测试剂，需要对软件进行修改，例如系统集成、系统限制（如上所述）、信号处理、数据采集、判读或生成临床结果所需的其他计算，则可能需要提交新的510(k)。</w:t>
      </w:r>
      <w:r>
        <w:rPr>
          <w:rFonts w:cs="宋体"/>
          <w:sz w:val="24"/>
          <w:lang w:eastAsia="zh-CN"/>
        </w:rPr>
        <w:br w:type="page"/>
      </w:r>
    </w:p>
    <w:p w14:paraId="4221540B">
      <w:pPr>
        <w:spacing w:before="120" w:beforeLines="50" w:line="300" w:lineRule="auto"/>
        <w:rPr>
          <w:rFonts w:cs="Times New Roman"/>
          <w:sz w:val="24"/>
          <w:szCs w:val="24"/>
          <w:lang w:eastAsia="zh-CN"/>
        </w:rPr>
      </w:pPr>
      <w:r>
        <w:rPr>
          <w:rFonts w:cs="宋体"/>
          <w:sz w:val="24"/>
          <w:lang w:eastAsia="zh-CN"/>
        </w:rPr>
        <w:t>如果获批的检测试剂在其他仪器的应用不会改变仪器原理或软件，则进入第III.B节。</w:t>
      </w:r>
    </w:p>
    <w:p w14:paraId="13A21140">
      <w:pPr>
        <w:pStyle w:val="3"/>
        <w:rPr>
          <w:lang w:eastAsia="zh-CN"/>
        </w:rPr>
      </w:pPr>
      <w:bookmarkStart w:id="6" w:name="_Toc97887061"/>
      <w:r>
        <w:rPr>
          <w:rFonts w:cs="宋体"/>
          <w:lang w:eastAsia="zh-CN"/>
        </w:rPr>
        <w:t>B.</w:t>
      </w:r>
      <w:r>
        <w:rPr>
          <w:rFonts w:cs="宋体"/>
          <w:lang w:eastAsia="zh-CN"/>
        </w:rPr>
        <w:tab/>
      </w:r>
      <w:r>
        <w:rPr>
          <w:rFonts w:cs="宋体"/>
          <w:lang w:eastAsia="zh-CN"/>
        </w:rPr>
        <w:t>基于风险的评估</w:t>
      </w:r>
      <w:bookmarkEnd w:id="6"/>
    </w:p>
    <w:p w14:paraId="4B7C8344">
      <w:pPr>
        <w:spacing w:before="120" w:beforeLines="50" w:line="300" w:lineRule="auto"/>
        <w:rPr>
          <w:rFonts w:cs="Times New Roman"/>
          <w:sz w:val="24"/>
          <w:szCs w:val="24"/>
        </w:rPr>
      </w:pPr>
      <w:r>
        <w:rPr>
          <w:rFonts w:cs="宋体"/>
          <w:sz w:val="24"/>
          <w:lang w:eastAsia="zh-CN"/>
        </w:rPr>
        <w:t>检测试剂制造商应对任何修改的检测系统进行基于风险的评估。</w:t>
      </w:r>
      <w:r>
        <w:rPr>
          <w:rFonts w:cs="宋体"/>
          <w:sz w:val="24"/>
          <w:vertAlign w:val="superscript"/>
          <w:lang w:eastAsia="zh-CN"/>
        </w:rPr>
        <w:t>4</w:t>
      </w:r>
      <w:r>
        <w:rPr>
          <w:rFonts w:cs="宋体"/>
          <w:sz w:val="24"/>
          <w:lang w:eastAsia="zh-CN"/>
        </w:rPr>
        <w:t>基于风险的评估应涉及分析和临床性能、适用范围以及可能影响IVD风险特征的任何其他因素。</w:t>
      </w:r>
      <w:r>
        <w:rPr>
          <w:rFonts w:cs="宋体"/>
          <w:sz w:val="24"/>
        </w:rPr>
        <w:t>关于基于风险的初始评估的更多信息，请</w:t>
      </w:r>
      <w:r>
        <w:rPr>
          <w:rFonts w:cs="宋体"/>
          <w:i/>
          <w:sz w:val="24"/>
        </w:rPr>
        <w:t>参见</w:t>
      </w:r>
      <w:r>
        <w:rPr>
          <w:rFonts w:cs="宋体"/>
          <w:sz w:val="24"/>
        </w:rPr>
        <w:t>FDA指南《何时为现有器械变更申报510(k)的决定》（</w:t>
      </w:r>
      <w:r>
        <w:rPr>
          <w:rFonts w:cs="宋体"/>
          <w:color w:val="0000FF"/>
          <w:sz w:val="24"/>
          <w:u w:val="single"/>
        </w:rPr>
        <w:t>https://www.fda.gov/downloads/medicaldevices/deviceregulationandguidance/guidancedocuments/ucm514 771.pdf</w:t>
      </w:r>
      <w:r>
        <w:rPr>
          <w:rFonts w:cs="宋体"/>
          <w:sz w:val="24"/>
        </w:rPr>
        <w:t>）。</w:t>
      </w:r>
    </w:p>
    <w:p w14:paraId="02C49854">
      <w:pPr>
        <w:spacing w:before="120" w:beforeLines="50" w:line="300" w:lineRule="auto"/>
        <w:rPr>
          <w:rFonts w:cs="Times New Roman"/>
          <w:b/>
          <w:sz w:val="24"/>
          <w:szCs w:val="24"/>
          <w:u w:val="single"/>
          <w:lang w:eastAsia="zh-CN"/>
        </w:rPr>
      </w:pPr>
      <w:r>
        <w:rPr>
          <w:rFonts w:cs="宋体"/>
          <w:b/>
          <w:sz w:val="24"/>
          <w:u w:val="single"/>
          <w:lang w:eastAsia="zh-CN"/>
        </w:rPr>
        <w:t>B1.</w:t>
      </w:r>
      <w:r>
        <w:rPr>
          <w:rFonts w:cs="宋体"/>
          <w:u w:val="single"/>
          <w:lang w:eastAsia="zh-CN"/>
        </w:rPr>
        <w:tab/>
      </w:r>
      <w:r>
        <w:rPr>
          <w:rFonts w:cs="宋体"/>
          <w:b/>
          <w:sz w:val="24"/>
          <w:u w:val="single"/>
          <w:lang w:eastAsia="zh-CN"/>
        </w:rPr>
        <w:t>性能</w:t>
      </w:r>
    </w:p>
    <w:p w14:paraId="4B149313">
      <w:pPr>
        <w:spacing w:before="120" w:beforeLines="50" w:line="300" w:lineRule="auto"/>
        <w:rPr>
          <w:rFonts w:cs="Times New Roman"/>
          <w:sz w:val="24"/>
          <w:szCs w:val="24"/>
          <w:lang w:eastAsia="zh-CN"/>
        </w:rPr>
      </w:pPr>
      <w:r>
        <w:rPr>
          <w:rFonts w:cs="宋体"/>
          <w:sz w:val="24"/>
          <w:lang w:eastAsia="zh-CN"/>
        </w:rPr>
        <w:t>当基于风险的评估表明修改后的检测系统性能可能显著变化（例如具有统计学或临床意义上显著变化），</w:t>
      </w:r>
      <w:r>
        <w:rPr>
          <w:rFonts w:hint="eastAsia" w:cs="宋体"/>
          <w:sz w:val="24"/>
          <w:lang w:eastAsia="zh-CN"/>
        </w:rPr>
        <w:t>且</w:t>
      </w:r>
      <w:r>
        <w:rPr>
          <w:rFonts w:cs="宋体"/>
          <w:sz w:val="24"/>
          <w:lang w:eastAsia="zh-CN"/>
        </w:rPr>
        <w:t>该变化与已获批检测系统标签中的性能声明相关</w:t>
      </w:r>
      <w:r>
        <w:rPr>
          <w:rFonts w:hint="eastAsia" w:cs="宋体"/>
          <w:sz w:val="24"/>
          <w:lang w:eastAsia="zh-CN"/>
        </w:rPr>
        <w:t>时</w:t>
      </w:r>
      <w:r>
        <w:rPr>
          <w:rFonts w:cs="宋体"/>
          <w:sz w:val="24"/>
          <w:lang w:eastAsia="zh-CN"/>
        </w:rPr>
        <w:t>，可能需要提交510(k)。制造商基于风险的评估应（适用时）确定新的风险或显著改变的现有风险。更多信息，</w:t>
      </w:r>
      <w:r>
        <w:rPr>
          <w:rFonts w:cs="宋体"/>
          <w:i/>
          <w:sz w:val="24"/>
          <w:lang w:eastAsia="zh-CN"/>
        </w:rPr>
        <w:t>参见</w:t>
      </w:r>
      <w:r>
        <w:rPr>
          <w:rFonts w:cs="宋体"/>
          <w:sz w:val="24"/>
          <w:lang w:eastAsia="zh-CN"/>
        </w:rPr>
        <w:t>FDA指南《何时为现有器械变更申报510(k)的决定》（</w:t>
      </w:r>
      <w:r>
        <w:rPr>
          <w:rFonts w:cs="宋体"/>
          <w:color w:val="0000FF"/>
          <w:sz w:val="24"/>
          <w:u w:val="single"/>
          <w:lang w:eastAsia="zh-CN"/>
        </w:rPr>
        <w:t>https://www.fda.gov/downloads/medicaldevices/deviceregulationandguidance/guidancedocuments/ucm514771.pdf</w:t>
      </w:r>
      <w:r>
        <w:rPr>
          <w:rFonts w:cs="宋体"/>
          <w:sz w:val="24"/>
          <w:lang w:eastAsia="zh-CN"/>
        </w:rPr>
        <w:t>）第5.D.3节。</w:t>
      </w:r>
      <w:r>
        <w:rPr>
          <w:rFonts w:hint="eastAsia" w:cs="宋体"/>
          <w:sz w:val="24"/>
          <w:lang w:eastAsia="zh-CN"/>
        </w:rPr>
        <w:t>如</w:t>
      </w:r>
      <w:r>
        <w:rPr>
          <w:rFonts w:cs="宋体"/>
          <w:sz w:val="24"/>
          <w:lang w:eastAsia="zh-CN"/>
        </w:rPr>
        <w:t>检测系统性能特征（例如，精确度、线性或回收率、干扰、检测试剂溯源性、检测限、方法对比中观察到的偏差或散射）</w:t>
      </w:r>
      <w:r>
        <w:rPr>
          <w:rFonts w:hint="eastAsia" w:cs="宋体"/>
          <w:sz w:val="24"/>
          <w:lang w:eastAsia="zh-CN"/>
        </w:rPr>
        <w:t>发生</w:t>
      </w:r>
      <w:r>
        <w:rPr>
          <w:rFonts w:cs="宋体"/>
          <w:sz w:val="24"/>
          <w:lang w:eastAsia="zh-CN"/>
        </w:rPr>
        <w:t>变更</w:t>
      </w:r>
      <w:r>
        <w:rPr>
          <w:rFonts w:hint="eastAsia" w:cs="宋体"/>
          <w:sz w:val="24"/>
          <w:lang w:eastAsia="zh-CN"/>
        </w:rPr>
        <w:t>，且</w:t>
      </w:r>
      <w:r>
        <w:rPr>
          <w:rFonts w:cs="宋体"/>
          <w:sz w:val="24"/>
          <w:lang w:eastAsia="zh-CN"/>
        </w:rPr>
        <w:t>不同于获批的检测系统标签中所示内容</w:t>
      </w:r>
      <w:r>
        <w:rPr>
          <w:rFonts w:hint="eastAsia" w:cs="宋体"/>
          <w:sz w:val="24"/>
          <w:lang w:eastAsia="zh-CN"/>
        </w:rPr>
        <w:t>，则</w:t>
      </w:r>
      <w:r>
        <w:rPr>
          <w:rFonts w:cs="宋体"/>
          <w:sz w:val="24"/>
          <w:lang w:eastAsia="zh-CN"/>
        </w:rPr>
        <w:t>可能会影响临床决策</w:t>
      </w:r>
      <w:r>
        <w:rPr>
          <w:rFonts w:hint="eastAsia" w:cs="宋体"/>
          <w:sz w:val="24"/>
          <w:lang w:eastAsia="zh-CN"/>
        </w:rPr>
        <w:t>，</w:t>
      </w:r>
      <w:r>
        <w:rPr>
          <w:rFonts w:cs="宋体"/>
          <w:sz w:val="24"/>
          <w:lang w:eastAsia="zh-CN"/>
        </w:rPr>
        <w:t>例如，如果预期使用人群的参考范围（或声明的临界值浓度）因仪器变更而预计发生变更，则将其视为临床性能变更，且可能需提交510(k)。</w:t>
      </w:r>
    </w:p>
    <w:p w14:paraId="6F5B2175">
      <w:pPr>
        <w:spacing w:before="120" w:beforeLines="50" w:line="300" w:lineRule="auto"/>
        <w:rPr>
          <w:rFonts w:cs="Times New Roman"/>
          <w:b/>
          <w:sz w:val="24"/>
          <w:szCs w:val="24"/>
          <w:u w:val="single"/>
          <w:lang w:eastAsia="zh-CN"/>
        </w:rPr>
      </w:pPr>
      <w:r>
        <w:rPr>
          <w:rFonts w:cs="宋体"/>
          <w:b/>
          <w:sz w:val="24"/>
          <w:u w:val="single"/>
          <w:lang w:eastAsia="zh-CN"/>
        </w:rPr>
        <w:t>B2.</w:t>
      </w:r>
      <w:r>
        <w:rPr>
          <w:rFonts w:cs="宋体"/>
          <w:u w:val="single"/>
          <w:lang w:eastAsia="zh-CN"/>
        </w:rPr>
        <w:tab/>
      </w:r>
      <w:r>
        <w:rPr>
          <w:rFonts w:cs="宋体"/>
          <w:b/>
          <w:sz w:val="24"/>
          <w:u w:val="single"/>
          <w:lang w:eastAsia="zh-CN"/>
        </w:rPr>
        <w:t>影响适用范围的标签变更</w:t>
      </w:r>
    </w:p>
    <w:p w14:paraId="161F8961">
      <w:pPr>
        <w:spacing w:before="120" w:beforeLines="50" w:line="300" w:lineRule="auto"/>
        <w:jc w:val="left"/>
        <w:rPr>
          <w:rFonts w:hint="eastAsia" w:cs="宋体"/>
          <w:sz w:val="24"/>
          <w:lang w:eastAsia="zh-CN"/>
        </w:rPr>
      </w:pPr>
      <w:r>
        <w:rPr>
          <w:rFonts w:cs="宋体"/>
          <w:sz w:val="24"/>
          <w:lang w:eastAsia="zh-CN"/>
        </w:rPr>
        <w:t>在每次基于风险的评估中，制造商应考虑获批的适用范围以及与此类使用相关的临床需求和性能。关于</w:t>
      </w:r>
      <w:r>
        <w:rPr>
          <w:rFonts w:hint="eastAsia" w:cs="宋体"/>
          <w:sz w:val="24"/>
          <w:lang w:eastAsia="zh-CN"/>
        </w:rPr>
        <w:t>需针对</w:t>
      </w:r>
      <w:r>
        <w:rPr>
          <w:rFonts w:cs="宋体"/>
          <w:sz w:val="24"/>
          <w:lang w:eastAsia="zh-CN"/>
        </w:rPr>
        <w:t>适用范围变更申报510(k)的更多信息，</w:t>
      </w:r>
      <w:r>
        <w:rPr>
          <w:rFonts w:cs="宋体"/>
          <w:i/>
          <w:sz w:val="24"/>
          <w:lang w:eastAsia="zh-CN"/>
        </w:rPr>
        <w:t>参见</w:t>
      </w:r>
      <w:r>
        <w:rPr>
          <w:rFonts w:cs="宋体"/>
          <w:sz w:val="24"/>
          <w:lang w:eastAsia="zh-CN"/>
        </w:rPr>
        <w:t>FDA指南《何时为现有器械变更申报510(k)的决定》（</w:t>
      </w:r>
      <w:r>
        <w:rPr>
          <w:rFonts w:cs="宋体"/>
          <w:color w:val="0000FF"/>
          <w:sz w:val="24"/>
          <w:u w:val="single"/>
          <w:lang w:eastAsia="zh-CN"/>
        </w:rPr>
        <w:t>https://www.fda.gov/downloads/medicaldevices/deviceregulationandguidance/guidancedocuments/ucm514771.pdf</w:t>
      </w:r>
      <w:r>
        <w:rPr>
          <w:rFonts w:cs="宋体"/>
          <w:sz w:val="24"/>
          <w:lang w:eastAsia="zh-CN"/>
        </w:rPr>
        <w:t>）第5.A节。可能需要申报510(k)</w:t>
      </w:r>
      <w:r>
        <w:rPr>
          <w:rFonts w:hint="eastAsia" w:cs="宋体"/>
          <w:sz w:val="24"/>
          <w:lang w:eastAsia="zh-CN"/>
        </w:rPr>
        <w:t>且</w:t>
      </w:r>
      <w:r>
        <w:rPr>
          <w:rFonts w:cs="宋体"/>
          <w:sz w:val="24"/>
          <w:lang w:eastAsia="zh-CN"/>
        </w:rPr>
        <w:t>影响适用范围的标签变更示例包括（但不限于）定性结果、半定量结果与定量结果之间的输出变更、临床样本类型变更（例如，从血清到脑脊液（CSF）、尿液或全血）或性能声明的重大变更（例如临界值的变更），或检测试剂增加“高灵敏度”性能声明。</w:t>
      </w:r>
    </w:p>
    <w:p w14:paraId="215F5F26">
      <w:pPr>
        <w:spacing w:before="120" w:beforeLines="50" w:line="300" w:lineRule="auto"/>
        <w:jc w:val="left"/>
        <w:rPr>
          <w:rFonts w:hint="eastAsia" w:cs="宋体"/>
          <w:sz w:val="24"/>
          <w:lang w:eastAsia="zh-CN"/>
        </w:rPr>
      </w:pPr>
    </w:p>
    <w:p w14:paraId="62D202BA">
      <w:pPr>
        <w:spacing w:before="120" w:beforeLines="50" w:line="300" w:lineRule="auto"/>
        <w:jc w:val="left"/>
        <w:rPr>
          <w:rFonts w:hint="eastAsia" w:cs="宋体"/>
          <w:sz w:val="24"/>
          <w:lang w:eastAsia="zh-CN"/>
        </w:rPr>
      </w:pPr>
    </w:p>
    <w:p w14:paraId="29F118D0">
      <w:pPr>
        <w:spacing w:before="120" w:beforeLines="50" w:line="300" w:lineRule="auto"/>
        <w:jc w:val="left"/>
        <w:rPr>
          <w:rFonts w:cs="Times New Roman"/>
          <w:sz w:val="24"/>
          <w:szCs w:val="24"/>
          <w:lang w:eastAsia="zh-CN"/>
        </w:rPr>
      </w:pPr>
    </w:p>
    <w:p w14:paraId="52E61C17">
      <w:pPr>
        <w:pStyle w:val="21"/>
        <w:rPr>
          <w:lang w:eastAsia="zh-CN"/>
        </w:rPr>
      </w:pPr>
      <w:r>
        <w:rPr>
          <w:rFonts w:cs="宋体"/>
          <w:lang w:eastAsia="zh-CN"/>
        </w:rPr>
        <w:t>__________________</w:t>
      </w:r>
    </w:p>
    <w:p w14:paraId="60D06DA1">
      <w:pPr>
        <w:pStyle w:val="21"/>
        <w:rPr>
          <w:lang w:eastAsia="zh-CN"/>
        </w:rPr>
      </w:pPr>
      <w:r>
        <w:rPr>
          <w:rFonts w:cs="宋体"/>
          <w:vertAlign w:val="superscript"/>
          <w:lang w:eastAsia="zh-CN"/>
        </w:rPr>
        <w:t xml:space="preserve">4 </w:t>
      </w:r>
      <w:r>
        <w:rPr>
          <w:rFonts w:cs="宋体"/>
          <w:lang w:eastAsia="zh-CN"/>
        </w:rPr>
        <w:tab/>
      </w:r>
      <w:r>
        <w:rPr>
          <w:rFonts w:cs="宋体"/>
          <w:lang w:eastAsia="zh-CN"/>
        </w:rPr>
        <w:t>制造商应注意，作为设计验证的一部分，可能需要进行风险分析（</w:t>
      </w:r>
      <w:r>
        <w:rPr>
          <w:rFonts w:cs="宋体"/>
          <w:i/>
          <w:lang w:eastAsia="zh-CN"/>
        </w:rPr>
        <w:t>参见</w:t>
      </w:r>
      <w:r>
        <w:rPr>
          <w:rFonts w:cs="宋体"/>
          <w:lang w:eastAsia="zh-CN"/>
        </w:rPr>
        <w:t>21 CFR 820.30(g)）。</w:t>
      </w:r>
    </w:p>
    <w:p w14:paraId="370A9A12">
      <w:pPr>
        <w:spacing w:before="120" w:beforeLines="50" w:line="300" w:lineRule="auto"/>
        <w:rPr>
          <w:rFonts w:cs="Times New Roman"/>
          <w:sz w:val="24"/>
          <w:szCs w:val="24"/>
          <w:lang w:eastAsia="zh-CN"/>
        </w:rPr>
      </w:pPr>
      <w:r>
        <w:rPr>
          <w:rFonts w:cs="宋体"/>
          <w:sz w:val="24"/>
          <w:lang w:eastAsia="zh-CN"/>
        </w:rPr>
        <w:br w:type="page"/>
      </w:r>
    </w:p>
    <w:p w14:paraId="2CC5838D">
      <w:pPr>
        <w:spacing w:before="120" w:beforeLines="50" w:line="300" w:lineRule="auto"/>
        <w:rPr>
          <w:rFonts w:cs="Times New Roman"/>
          <w:sz w:val="24"/>
          <w:szCs w:val="24"/>
          <w:lang w:eastAsia="zh-CN"/>
        </w:rPr>
      </w:pPr>
      <w:r>
        <w:rPr>
          <w:rFonts w:cs="宋体"/>
          <w:sz w:val="24"/>
          <w:lang w:eastAsia="zh-CN"/>
        </w:rPr>
        <w:t>除了特别考虑性能和影响适用范围的标签变更外，制造商还应考虑对特定检测技术变更的敏感性</w:t>
      </w:r>
      <w:r>
        <w:rPr>
          <w:rFonts w:hint="eastAsia" w:cs="宋体"/>
          <w:sz w:val="24"/>
          <w:lang w:eastAsia="zh-CN"/>
        </w:rPr>
        <w:t>，</w:t>
      </w:r>
      <w:r>
        <w:rPr>
          <w:rFonts w:cs="宋体"/>
          <w:sz w:val="24"/>
          <w:lang w:eastAsia="zh-CN"/>
        </w:rPr>
        <w:t>例如，出现以下情况时应当特别注意：新仪器检测组合包括对反应条件的修改，特别是对检测试剂参数微小变化敏感的技术（例如，抗体抗原反应中的温度变化）或结果的微小差异可能影响临床决策（例如，肌钙蛋白检测的分析灵敏度的微小变化可能明显影响临床检测试剂性能）。在临床决策方面有临床意义的变更可能需要提交510(k)。</w:t>
      </w:r>
    </w:p>
    <w:p w14:paraId="305477FD">
      <w:pPr>
        <w:spacing w:before="120" w:beforeLines="50" w:line="300" w:lineRule="auto"/>
        <w:rPr>
          <w:rFonts w:cs="Times New Roman"/>
          <w:sz w:val="24"/>
          <w:szCs w:val="24"/>
          <w:lang w:eastAsia="zh-CN"/>
        </w:rPr>
      </w:pPr>
      <w:r>
        <w:rPr>
          <w:rFonts w:cs="宋体"/>
          <w:sz w:val="24"/>
          <w:lang w:eastAsia="zh-CN"/>
        </w:rPr>
        <w:t>总之，如果基于风险的初始评估中未提出上述任何问题，或没有确定新的风险或显著改变现有风险，则制造商应进行检测以对初始评估进行验证</w:t>
      </w:r>
      <w:r>
        <w:rPr>
          <w:rFonts w:hint="eastAsia" w:cs="宋体"/>
          <w:sz w:val="24"/>
          <w:lang w:eastAsia="zh-CN"/>
        </w:rPr>
        <w:t>，相关内容参见</w:t>
      </w:r>
      <w:r>
        <w:rPr>
          <w:rFonts w:cs="宋体"/>
          <w:sz w:val="24"/>
          <w:lang w:eastAsia="zh-CN"/>
        </w:rPr>
        <w:t>第III.C节。</w:t>
      </w:r>
    </w:p>
    <w:p w14:paraId="338BEE7E">
      <w:pPr>
        <w:pStyle w:val="3"/>
        <w:rPr>
          <w:lang w:eastAsia="zh-CN"/>
        </w:rPr>
      </w:pPr>
      <w:bookmarkStart w:id="7" w:name="_Toc97887062"/>
      <w:r>
        <w:rPr>
          <w:rFonts w:cs="宋体"/>
          <w:lang w:eastAsia="zh-CN"/>
        </w:rPr>
        <w:t>C.</w:t>
      </w:r>
      <w:r>
        <w:rPr>
          <w:rFonts w:cs="宋体"/>
          <w:lang w:eastAsia="zh-CN"/>
        </w:rPr>
        <w:tab/>
      </w:r>
      <w:r>
        <w:rPr>
          <w:rFonts w:cs="宋体"/>
          <w:lang w:eastAsia="zh-CN"/>
        </w:rPr>
        <w:t>设计验证和/或确认活动</w:t>
      </w:r>
      <w:bookmarkEnd w:id="7"/>
    </w:p>
    <w:p w14:paraId="1A49197D">
      <w:pPr>
        <w:spacing w:before="120" w:beforeLines="50" w:line="300" w:lineRule="auto"/>
        <w:rPr>
          <w:rFonts w:cs="Times New Roman"/>
          <w:sz w:val="24"/>
          <w:szCs w:val="24"/>
          <w:lang w:eastAsia="zh-CN"/>
        </w:rPr>
      </w:pPr>
      <w:r>
        <w:rPr>
          <w:rFonts w:cs="宋体"/>
          <w:sz w:val="24"/>
          <w:lang w:eastAsia="zh-CN"/>
        </w:rPr>
        <w:t>作为设计控制的一部分，检测试剂制造商负责验证和/或确认修改的检测系统（</w:t>
      </w:r>
      <w:r>
        <w:rPr>
          <w:rFonts w:cs="宋体"/>
          <w:i/>
          <w:sz w:val="24"/>
          <w:lang w:eastAsia="zh-CN"/>
        </w:rPr>
        <w:t>参见</w:t>
      </w:r>
      <w:r>
        <w:rPr>
          <w:rFonts w:cs="宋体"/>
          <w:sz w:val="24"/>
          <w:lang w:eastAsia="zh-CN"/>
        </w:rPr>
        <w:t>21 CFR 820.30）。验证与确认活动应基于制造商的质量过程，包括对专用器械和相关变更的基于风险的评估。</w:t>
      </w:r>
    </w:p>
    <w:p w14:paraId="01638F5B">
      <w:pPr>
        <w:spacing w:before="120" w:beforeLines="50" w:line="300" w:lineRule="auto"/>
        <w:rPr>
          <w:rFonts w:cs="Times New Roman"/>
          <w:b/>
          <w:sz w:val="24"/>
          <w:szCs w:val="24"/>
          <w:u w:val="single"/>
          <w:lang w:eastAsia="zh-CN"/>
        </w:rPr>
      </w:pPr>
      <w:r>
        <w:rPr>
          <w:rFonts w:cs="宋体"/>
          <w:b/>
          <w:sz w:val="24"/>
          <w:u w:val="single"/>
          <w:lang w:eastAsia="zh-CN"/>
        </w:rPr>
        <w:t>C1.</w:t>
      </w:r>
      <w:r>
        <w:rPr>
          <w:rFonts w:cs="宋体"/>
          <w:u w:val="single"/>
          <w:lang w:eastAsia="zh-CN"/>
        </w:rPr>
        <w:tab/>
      </w:r>
      <w:r>
        <w:rPr>
          <w:rFonts w:cs="宋体"/>
          <w:b/>
          <w:sz w:val="24"/>
          <w:u w:val="single"/>
          <w:lang w:eastAsia="zh-CN"/>
        </w:rPr>
        <w:t>方案和验收标准的考量</w:t>
      </w:r>
    </w:p>
    <w:p w14:paraId="637F3959">
      <w:pPr>
        <w:spacing w:before="120" w:beforeLines="50" w:line="300" w:lineRule="auto"/>
        <w:rPr>
          <w:rFonts w:cs="Times New Roman"/>
          <w:sz w:val="24"/>
          <w:szCs w:val="24"/>
          <w:lang w:eastAsia="zh-CN"/>
        </w:rPr>
      </w:pPr>
      <w:r>
        <w:rPr>
          <w:rFonts w:hint="eastAsia" w:cs="宋体"/>
          <w:sz w:val="24"/>
          <w:lang w:eastAsia="zh-CN"/>
        </w:rPr>
        <w:t>针对</w:t>
      </w:r>
      <w:r>
        <w:rPr>
          <w:rFonts w:cs="宋体"/>
          <w:sz w:val="24"/>
          <w:lang w:eastAsia="zh-CN"/>
        </w:rPr>
        <w:t>IVD</w:t>
      </w:r>
      <w:r>
        <w:rPr>
          <w:rFonts w:hint="eastAsia" w:cs="宋体"/>
          <w:sz w:val="24"/>
          <w:lang w:eastAsia="zh-CN"/>
        </w:rPr>
        <w:t>，应利用已确立用于评价专用器械的标准方法和性能标准（如适用）（例如，用于支持原始</w:t>
      </w:r>
      <w:r>
        <w:rPr>
          <w:rFonts w:cs="宋体"/>
          <w:sz w:val="24"/>
          <w:lang w:eastAsia="zh-CN"/>
        </w:rPr>
        <w:t>510(k)</w:t>
      </w:r>
      <w:r>
        <w:rPr>
          <w:rFonts w:hint="eastAsia" w:cs="宋体"/>
          <w:sz w:val="24"/>
          <w:lang w:eastAsia="zh-CN"/>
        </w:rPr>
        <w:t>的方案和标准，或原始</w:t>
      </w:r>
      <w:r>
        <w:rPr>
          <w:rFonts w:cs="宋体"/>
          <w:sz w:val="24"/>
          <w:lang w:eastAsia="zh-CN"/>
        </w:rPr>
        <w:t>510(k)</w:t>
      </w:r>
      <w:r>
        <w:rPr>
          <w:rFonts w:hint="eastAsia" w:cs="宋体"/>
          <w:sz w:val="24"/>
          <w:lang w:eastAsia="zh-CN"/>
        </w:rPr>
        <w:t>中确立的（描述如何评价预期变更的）方案和标准）验证和确认修改（如适用）。</w:t>
      </w:r>
      <w:r>
        <w:rPr>
          <w:rFonts w:cs="宋体"/>
          <w:sz w:val="24"/>
          <w:lang w:eastAsia="zh-CN"/>
        </w:rPr>
        <w:t>检测试剂制造商应在检测前针对每项检测试剂制定检测方案和预先规定的验收标准。该方案应具有充分的稳健性和挑战性，以确保识别新仪器-检测试剂组合性能的任何重大变更（与获批仪器-检测试剂系统的性能相比）。验收标准应具有临床合理性，并确保继续符合已获批检测系统标签中的所有性能声明。如果评价变更需要验证或确认试验方法或验收标准（上述讨论的方法或标准除外），则该变更很可能会显著影响安全性或有效性，</w:t>
      </w:r>
      <w:r>
        <w:rPr>
          <w:rFonts w:hint="eastAsia" w:cs="宋体"/>
          <w:sz w:val="24"/>
          <w:lang w:eastAsia="zh-CN"/>
        </w:rPr>
        <w:t>因此</w:t>
      </w:r>
      <w:r>
        <w:rPr>
          <w:rFonts w:cs="宋体"/>
          <w:sz w:val="24"/>
          <w:lang w:eastAsia="zh-CN"/>
        </w:rPr>
        <w:t>需提交新的510(k)。</w:t>
      </w:r>
    </w:p>
    <w:p w14:paraId="22C7FA61">
      <w:pPr>
        <w:spacing w:before="120" w:beforeLines="50" w:line="300" w:lineRule="auto"/>
        <w:rPr>
          <w:rFonts w:cs="Times New Roman"/>
          <w:sz w:val="24"/>
          <w:szCs w:val="24"/>
          <w:lang w:eastAsia="zh-CN"/>
        </w:rPr>
      </w:pPr>
      <w:r>
        <w:rPr>
          <w:rFonts w:cs="宋体"/>
          <w:sz w:val="24"/>
          <w:lang w:eastAsia="zh-CN"/>
        </w:rPr>
        <w:t>例如，如果检测试剂的获批510(k)中包括以下类型的方案，则制造商应考虑将其纳入新检测试剂-仪器组合的检测方案中：</w:t>
      </w:r>
    </w:p>
    <w:p w14:paraId="6CDD2185">
      <w:pPr>
        <w:pStyle w:val="22"/>
        <w:numPr>
          <w:ilvl w:val="0"/>
          <w:numId w:val="5"/>
        </w:numPr>
        <w:snapToGrid w:val="0"/>
        <w:spacing w:before="36" w:beforeLines="15" w:line="276" w:lineRule="auto"/>
        <w:ind w:left="420" w:leftChars="200" w:firstLineChars="0"/>
        <w:rPr>
          <w:rFonts w:cs="Times New Roman"/>
          <w:sz w:val="24"/>
          <w:szCs w:val="24"/>
          <w:lang w:eastAsia="zh-CN"/>
        </w:rPr>
      </w:pPr>
      <w:r>
        <w:rPr>
          <w:rFonts w:cs="宋体"/>
          <w:sz w:val="24"/>
          <w:lang w:eastAsia="zh-CN"/>
        </w:rPr>
        <w:t>根据CLSI（临床和实验室标准协会）指南EP-17进行的检测，旨在支持规定的空白限、检测限和定量限。</w:t>
      </w:r>
    </w:p>
    <w:p w14:paraId="7A5BD3B0">
      <w:pPr>
        <w:pStyle w:val="22"/>
        <w:numPr>
          <w:ilvl w:val="0"/>
          <w:numId w:val="5"/>
        </w:numPr>
        <w:snapToGrid w:val="0"/>
        <w:spacing w:before="36" w:beforeLines="15" w:line="276" w:lineRule="auto"/>
        <w:ind w:left="420" w:leftChars="200" w:firstLineChars="0"/>
        <w:rPr>
          <w:rFonts w:cs="Times New Roman"/>
          <w:sz w:val="24"/>
          <w:szCs w:val="24"/>
          <w:lang w:eastAsia="zh-CN"/>
        </w:rPr>
      </w:pPr>
      <w:r>
        <w:rPr>
          <w:rFonts w:cs="宋体"/>
          <w:sz w:val="24"/>
          <w:lang w:eastAsia="zh-CN"/>
        </w:rPr>
        <w:t>根据CLSI指南EP-05进行的检测，旨在支持声明的测量范围</w:t>
      </w:r>
      <w:r>
        <w:rPr>
          <w:rFonts w:hint="eastAsia" w:cs="宋体"/>
          <w:sz w:val="24"/>
          <w:lang w:eastAsia="zh-CN"/>
        </w:rPr>
        <w:t>限值</w:t>
      </w:r>
      <w:r>
        <w:rPr>
          <w:rFonts w:cs="宋体"/>
          <w:sz w:val="24"/>
          <w:lang w:eastAsia="zh-CN"/>
        </w:rPr>
        <w:t>与医疗决策点的精密度。</w:t>
      </w:r>
    </w:p>
    <w:p w14:paraId="2FD50831">
      <w:pPr>
        <w:pStyle w:val="22"/>
        <w:numPr>
          <w:ilvl w:val="0"/>
          <w:numId w:val="5"/>
        </w:numPr>
        <w:snapToGrid w:val="0"/>
        <w:spacing w:before="36" w:beforeLines="15" w:line="276" w:lineRule="auto"/>
        <w:ind w:left="420" w:leftChars="200" w:firstLineChars="0"/>
        <w:rPr>
          <w:rFonts w:cs="Times New Roman"/>
          <w:sz w:val="24"/>
          <w:szCs w:val="24"/>
          <w:lang w:eastAsia="zh-CN"/>
        </w:rPr>
      </w:pPr>
      <w:r>
        <w:rPr>
          <w:rFonts w:cs="宋体"/>
          <w:sz w:val="24"/>
          <w:lang w:eastAsia="zh-CN"/>
        </w:rPr>
        <w:t>检测试剂范围内的线性度，或恢复到标准材料或方法（如适用）。</w:t>
      </w:r>
    </w:p>
    <w:p w14:paraId="1AA80004">
      <w:pPr>
        <w:pStyle w:val="22"/>
        <w:numPr>
          <w:ilvl w:val="0"/>
          <w:numId w:val="5"/>
        </w:numPr>
        <w:snapToGrid w:val="0"/>
        <w:spacing w:before="36" w:beforeLines="15" w:line="276" w:lineRule="auto"/>
        <w:ind w:left="420" w:leftChars="200" w:firstLineChars="0"/>
        <w:rPr>
          <w:rFonts w:cs="Times New Roman"/>
          <w:sz w:val="24"/>
          <w:szCs w:val="24"/>
          <w:lang w:eastAsia="zh-CN"/>
        </w:rPr>
      </w:pPr>
      <w:r>
        <w:rPr>
          <w:rFonts w:cs="宋体"/>
          <w:sz w:val="24"/>
          <w:lang w:eastAsia="zh-CN"/>
        </w:rPr>
        <w:t>根据CLSI指南EP-09进行的方法比较研究。样本类型（例如，基质）、范围和比较方法应符合原始510(k)。如果需要与众所周知的参考方法或材料或临床终点进行比较来支持原始510(k)（例如，由于已知已批准的检测试剂盒之间缺乏标准化），建议采用相同的材料、方法或临床终点，以确保新的检测试剂仪器组合具有相似的性能。</w:t>
      </w:r>
      <w:r>
        <w:rPr>
          <w:rFonts w:cs="宋体"/>
          <w:sz w:val="24"/>
          <w:lang w:eastAsia="zh-CN"/>
        </w:rPr>
        <w:br w:type="page"/>
      </w:r>
    </w:p>
    <w:p w14:paraId="3A15667B">
      <w:pPr>
        <w:pStyle w:val="22"/>
        <w:numPr>
          <w:ilvl w:val="0"/>
          <w:numId w:val="6"/>
        </w:numPr>
        <w:snapToGrid w:val="0"/>
        <w:spacing w:before="36" w:beforeLines="15" w:line="276" w:lineRule="auto"/>
        <w:ind w:left="420" w:leftChars="200" w:firstLineChars="0"/>
        <w:rPr>
          <w:rFonts w:cs="Times New Roman"/>
          <w:sz w:val="24"/>
          <w:szCs w:val="24"/>
          <w:lang w:eastAsia="zh-CN"/>
        </w:rPr>
      </w:pPr>
      <w:r>
        <w:rPr>
          <w:rFonts w:cs="宋体"/>
          <w:sz w:val="24"/>
          <w:lang w:eastAsia="zh-CN"/>
        </w:rPr>
        <w:t>根据CLSI指南EP-07，对特定试剂和仪器检测方法进行适当的干扰研究。</w:t>
      </w:r>
    </w:p>
    <w:p w14:paraId="62094C08">
      <w:pPr>
        <w:spacing w:before="120" w:beforeLines="50" w:line="300" w:lineRule="auto"/>
        <w:rPr>
          <w:rFonts w:cs="Times New Roman"/>
          <w:sz w:val="24"/>
          <w:szCs w:val="24"/>
          <w:lang w:eastAsia="zh-CN"/>
        </w:rPr>
      </w:pPr>
      <w:r>
        <w:rPr>
          <w:rFonts w:cs="宋体"/>
          <w:sz w:val="24"/>
          <w:lang w:eastAsia="zh-CN"/>
        </w:rPr>
        <w:t>同样，在与其他仪器相关的情况下，制造商应考虑在新的检测试剂仪器组合的验证和确认活动中纳入以下方面：</w:t>
      </w:r>
    </w:p>
    <w:p w14:paraId="19B6B676">
      <w:pPr>
        <w:pStyle w:val="22"/>
        <w:numPr>
          <w:ilvl w:val="0"/>
          <w:numId w:val="6"/>
        </w:numPr>
        <w:snapToGrid w:val="0"/>
        <w:spacing w:before="36" w:beforeLines="15" w:line="276" w:lineRule="auto"/>
        <w:ind w:left="420" w:leftChars="200" w:firstLineChars="0"/>
        <w:rPr>
          <w:rFonts w:cs="Times New Roman"/>
          <w:sz w:val="24"/>
          <w:szCs w:val="24"/>
          <w:lang w:eastAsia="zh-CN"/>
        </w:rPr>
      </w:pPr>
      <w:r>
        <w:rPr>
          <w:rFonts w:cs="宋体"/>
          <w:sz w:val="24"/>
          <w:lang w:eastAsia="zh-CN"/>
        </w:rPr>
        <w:t>残留或交叉污染研究</w:t>
      </w:r>
    </w:p>
    <w:p w14:paraId="11828165">
      <w:pPr>
        <w:pStyle w:val="22"/>
        <w:numPr>
          <w:ilvl w:val="0"/>
          <w:numId w:val="6"/>
        </w:numPr>
        <w:snapToGrid w:val="0"/>
        <w:spacing w:before="36" w:beforeLines="15" w:line="276" w:lineRule="auto"/>
        <w:ind w:left="420" w:leftChars="200" w:firstLineChars="0"/>
        <w:rPr>
          <w:rFonts w:cs="Times New Roman"/>
          <w:sz w:val="24"/>
          <w:szCs w:val="24"/>
          <w:lang w:eastAsia="zh-CN"/>
        </w:rPr>
      </w:pPr>
      <w:r>
        <w:rPr>
          <w:rFonts w:cs="宋体"/>
          <w:sz w:val="24"/>
          <w:lang w:eastAsia="zh-CN"/>
        </w:rPr>
        <w:t>基质等效性研究</w:t>
      </w:r>
    </w:p>
    <w:p w14:paraId="56AABFD4">
      <w:pPr>
        <w:pStyle w:val="22"/>
        <w:numPr>
          <w:ilvl w:val="0"/>
          <w:numId w:val="6"/>
        </w:numPr>
        <w:snapToGrid w:val="0"/>
        <w:spacing w:before="36" w:beforeLines="15" w:line="276" w:lineRule="auto"/>
        <w:ind w:left="420" w:leftChars="200" w:firstLineChars="0"/>
        <w:rPr>
          <w:rFonts w:cs="Times New Roman"/>
          <w:sz w:val="24"/>
          <w:szCs w:val="24"/>
          <w:lang w:eastAsia="zh-CN"/>
        </w:rPr>
      </w:pPr>
      <w:r>
        <w:rPr>
          <w:rFonts w:cs="宋体"/>
          <w:sz w:val="24"/>
          <w:lang w:eastAsia="zh-CN"/>
        </w:rPr>
        <w:t>机载试剂、校准</w:t>
      </w:r>
      <w:r>
        <w:rPr>
          <w:rFonts w:hint="eastAsia" w:cs="宋体"/>
          <w:sz w:val="24"/>
          <w:lang w:eastAsia="zh-CN"/>
        </w:rPr>
        <w:t>品</w:t>
      </w:r>
      <w:r>
        <w:rPr>
          <w:rFonts w:cs="宋体"/>
          <w:sz w:val="24"/>
          <w:lang w:eastAsia="zh-CN"/>
        </w:rPr>
        <w:t>和样品的稳定性</w:t>
      </w:r>
    </w:p>
    <w:p w14:paraId="6F8E146F">
      <w:pPr>
        <w:pStyle w:val="22"/>
        <w:numPr>
          <w:ilvl w:val="0"/>
          <w:numId w:val="6"/>
        </w:numPr>
        <w:snapToGrid w:val="0"/>
        <w:spacing w:before="36" w:beforeLines="15" w:line="276" w:lineRule="auto"/>
        <w:ind w:left="420" w:leftChars="200" w:firstLineChars="0"/>
        <w:rPr>
          <w:rFonts w:cs="Times New Roman"/>
          <w:sz w:val="24"/>
          <w:szCs w:val="24"/>
          <w:lang w:eastAsia="zh-CN"/>
        </w:rPr>
      </w:pPr>
      <w:r>
        <w:rPr>
          <w:rFonts w:cs="宋体"/>
          <w:sz w:val="24"/>
          <w:lang w:eastAsia="zh-CN"/>
        </w:rPr>
        <w:t>钩状效应研究</w:t>
      </w:r>
    </w:p>
    <w:p w14:paraId="38B2E029">
      <w:pPr>
        <w:spacing w:before="120" w:beforeLines="50" w:line="300" w:lineRule="auto"/>
        <w:rPr>
          <w:rFonts w:cs="Times New Roman"/>
          <w:sz w:val="24"/>
          <w:szCs w:val="24"/>
          <w:lang w:eastAsia="zh-CN"/>
        </w:rPr>
      </w:pPr>
      <w:r>
        <w:rPr>
          <w:rFonts w:cs="宋体"/>
          <w:sz w:val="24"/>
          <w:lang w:eastAsia="zh-CN"/>
        </w:rPr>
        <w:t>上述项目系常见检测类型的示例，并非</w:t>
      </w:r>
      <w:r>
        <w:rPr>
          <w:rFonts w:hint="eastAsia" w:cs="宋体"/>
          <w:sz w:val="24"/>
          <w:lang w:eastAsia="zh-CN"/>
        </w:rPr>
        <w:t>详尽</w:t>
      </w:r>
      <w:r>
        <w:rPr>
          <w:rFonts w:cs="宋体"/>
          <w:sz w:val="24"/>
          <w:lang w:eastAsia="zh-CN"/>
        </w:rPr>
        <w:t>列表。检测试剂制造商应根据专用器械和相关变更的风险评估确定相应的检测。如果在检测试剂获批后，发布已更新且FDA认可的标准或指南，</w:t>
      </w:r>
      <w:r>
        <w:rPr>
          <w:rFonts w:hint="eastAsia" w:cs="宋体"/>
          <w:sz w:val="24"/>
          <w:lang w:eastAsia="zh-CN"/>
        </w:rPr>
        <w:t>建议</w:t>
      </w:r>
      <w:r>
        <w:rPr>
          <w:rFonts w:cs="宋体"/>
          <w:sz w:val="24"/>
          <w:lang w:eastAsia="zh-CN"/>
        </w:rPr>
        <w:t>制造商遵循这一标准或指南；</w:t>
      </w:r>
      <w:r>
        <w:rPr>
          <w:rFonts w:hint="eastAsia" w:cs="宋体"/>
          <w:sz w:val="24"/>
          <w:lang w:eastAsia="zh-CN"/>
        </w:rPr>
        <w:t>但</w:t>
      </w:r>
      <w:r>
        <w:rPr>
          <w:rFonts w:cs="宋体"/>
          <w:sz w:val="24"/>
          <w:lang w:eastAsia="zh-CN"/>
        </w:rPr>
        <w:t>采用支持获批510(k)的相同标准或指南也可接受。</w:t>
      </w:r>
    </w:p>
    <w:p w14:paraId="414E45DC">
      <w:pPr>
        <w:spacing w:before="120" w:beforeLines="50" w:line="300" w:lineRule="auto"/>
        <w:rPr>
          <w:rFonts w:cs="Times New Roman"/>
          <w:sz w:val="24"/>
          <w:szCs w:val="24"/>
          <w:lang w:eastAsia="zh-CN"/>
        </w:rPr>
      </w:pPr>
      <w:r>
        <w:rPr>
          <w:rFonts w:cs="宋体"/>
          <w:sz w:val="24"/>
          <w:lang w:eastAsia="zh-CN"/>
        </w:rPr>
        <w:t>在一些情况下，制造商可根据特定检测试剂仪器组合的变更，确定不需要原始510(k)中包含的部分研究类型。在这类情况下，制造商应清晰地记录对此确定的依据（</w:t>
      </w:r>
      <w:r>
        <w:rPr>
          <w:rFonts w:cs="宋体"/>
          <w:i/>
          <w:sz w:val="24"/>
          <w:lang w:eastAsia="zh-CN"/>
        </w:rPr>
        <w:t>参见第</w:t>
      </w:r>
      <w:r>
        <w:rPr>
          <w:rFonts w:cs="宋体"/>
          <w:sz w:val="24"/>
          <w:lang w:eastAsia="zh-CN"/>
        </w:rPr>
        <w:t>III.D节）。当检测试剂制造商与仪器制造商相同，且将检测试剂应用于新仪器系列成员时，这种类型的判定可能更为常见。</w:t>
      </w:r>
    </w:p>
    <w:p w14:paraId="72DACEE7">
      <w:pPr>
        <w:spacing w:before="120" w:beforeLines="50" w:line="300" w:lineRule="auto"/>
        <w:rPr>
          <w:rFonts w:cs="Times New Roman"/>
          <w:sz w:val="24"/>
          <w:szCs w:val="24"/>
          <w:lang w:eastAsia="zh-CN"/>
        </w:rPr>
      </w:pPr>
      <w:r>
        <w:rPr>
          <w:rFonts w:cs="宋体"/>
          <w:sz w:val="24"/>
          <w:lang w:eastAsia="zh-CN"/>
        </w:rPr>
        <w:t>一般而言，FDA预期，为了证明检测试剂的性能特征与检测试剂标签中所示的性能特征相同，检测方案样本量应相似。</w:t>
      </w:r>
    </w:p>
    <w:p w14:paraId="4F4066C8">
      <w:pPr>
        <w:spacing w:before="120" w:beforeLines="50" w:line="300" w:lineRule="auto"/>
        <w:rPr>
          <w:rFonts w:cs="Times New Roman"/>
          <w:sz w:val="24"/>
          <w:szCs w:val="24"/>
          <w:lang w:eastAsia="zh-CN"/>
        </w:rPr>
      </w:pPr>
      <w:r>
        <w:rPr>
          <w:rFonts w:cs="宋体"/>
          <w:sz w:val="24"/>
          <w:lang w:eastAsia="zh-CN"/>
        </w:rPr>
        <w:t>然而，制造商可确定检测试剂标签中的性能特征可基于较小样本量的检测而得到统计学上的支持。在这种情况下，制造商应记录统计学上的依据。</w:t>
      </w:r>
    </w:p>
    <w:p w14:paraId="74B3F207">
      <w:pPr>
        <w:spacing w:before="120" w:beforeLines="50" w:line="300" w:lineRule="auto"/>
        <w:rPr>
          <w:rFonts w:cs="Times New Roman"/>
          <w:sz w:val="24"/>
          <w:szCs w:val="24"/>
          <w:lang w:eastAsia="zh-CN"/>
        </w:rPr>
      </w:pPr>
      <w:r>
        <w:rPr>
          <w:rFonts w:cs="宋体"/>
          <w:sz w:val="24"/>
          <w:lang w:eastAsia="zh-CN"/>
        </w:rPr>
        <w:t>如果制造商确定新检测系统需要不同的验证和/或确认方案（例如，需要获批510(k)中未包含的新类型研究来证明性能，或需要非标准验证或确认检测方法以此生成预期结果），则可能需要提交510(k)。</w:t>
      </w:r>
    </w:p>
    <w:p w14:paraId="3658DB8C">
      <w:pPr>
        <w:spacing w:before="120" w:beforeLines="50" w:line="300" w:lineRule="auto"/>
        <w:rPr>
          <w:rFonts w:cs="Times New Roman"/>
          <w:sz w:val="24"/>
          <w:szCs w:val="24"/>
          <w:lang w:eastAsia="zh-CN"/>
        </w:rPr>
      </w:pPr>
      <w:r>
        <w:rPr>
          <w:rFonts w:cs="宋体"/>
          <w:sz w:val="24"/>
          <w:lang w:eastAsia="zh-CN"/>
        </w:rPr>
        <w:t>对于大多数IVD检测试剂，分析验证（包括方法比较）足以验证检测试剂应用于新型类似仪器时性能不会发生变更。然而，在某些情况下，仅靠分析验证不足以评估变更带来的影响，可能需要对关键的临床性能参数（如临床敏感性和特异性）进行评估（</w:t>
      </w:r>
      <w:r>
        <w:rPr>
          <w:rFonts w:cs="宋体"/>
          <w:i/>
          <w:sz w:val="24"/>
          <w:lang w:eastAsia="zh-CN"/>
        </w:rPr>
        <w:t>参见</w:t>
      </w:r>
      <w:r>
        <w:rPr>
          <w:rFonts w:cs="宋体"/>
          <w:sz w:val="24"/>
          <w:lang w:eastAsia="zh-CN"/>
        </w:rPr>
        <w:t>第V节中示例6）。如果有必要进行临床调查以</w:t>
      </w:r>
      <w:r>
        <w:rPr>
          <w:rFonts w:hint="eastAsia" w:cs="宋体"/>
          <w:sz w:val="24"/>
          <w:lang w:eastAsia="zh-CN"/>
        </w:rPr>
        <w:t>确定</w:t>
      </w:r>
      <w:r>
        <w:rPr>
          <w:rFonts w:cs="宋体"/>
          <w:sz w:val="24"/>
          <w:lang w:eastAsia="zh-CN"/>
        </w:rPr>
        <w:t>与检测系统特定修改有关的安全性和有效性问题，</w:t>
      </w:r>
      <w:r>
        <w:rPr>
          <w:rFonts w:hint="eastAsia" w:cs="宋体"/>
          <w:sz w:val="24"/>
          <w:lang w:eastAsia="zh-CN"/>
        </w:rPr>
        <w:t>则</w:t>
      </w:r>
      <w:r>
        <w:rPr>
          <w:rFonts w:cs="宋体"/>
          <w:sz w:val="24"/>
          <w:lang w:eastAsia="zh-CN"/>
        </w:rPr>
        <w:t>可能需要提交510(k)。相反，为了验证分析性能，使用去识别临床样本进行标准检测通常不需要提交510(k)。</w:t>
      </w:r>
    </w:p>
    <w:p w14:paraId="09EB5E02">
      <w:pPr>
        <w:rPr>
          <w:rFonts w:cs="Times New Roman"/>
          <w:b/>
          <w:sz w:val="24"/>
          <w:szCs w:val="24"/>
          <w:lang w:eastAsia="zh-CN"/>
        </w:rPr>
      </w:pPr>
      <w:r>
        <w:rPr>
          <w:rFonts w:cs="宋体"/>
          <w:b/>
          <w:sz w:val="24"/>
          <w:lang w:eastAsia="zh-CN"/>
        </w:rPr>
        <w:br w:type="page"/>
      </w:r>
    </w:p>
    <w:p w14:paraId="25822588">
      <w:pPr>
        <w:spacing w:before="120" w:beforeLines="50" w:line="300" w:lineRule="auto"/>
        <w:rPr>
          <w:rFonts w:cs="Times New Roman"/>
          <w:b/>
          <w:sz w:val="24"/>
          <w:szCs w:val="24"/>
          <w:u w:val="single"/>
          <w:lang w:eastAsia="zh-CN"/>
        </w:rPr>
      </w:pPr>
      <w:r>
        <w:rPr>
          <w:rFonts w:cs="宋体"/>
          <w:b/>
          <w:sz w:val="24"/>
          <w:u w:val="single"/>
          <w:lang w:eastAsia="zh-CN"/>
        </w:rPr>
        <w:t>C2.</w:t>
      </w:r>
      <w:r>
        <w:rPr>
          <w:rFonts w:cs="宋体"/>
          <w:u w:val="single"/>
          <w:lang w:eastAsia="zh-CN"/>
        </w:rPr>
        <w:tab/>
      </w:r>
      <w:r>
        <w:rPr>
          <w:rFonts w:cs="宋体"/>
          <w:b/>
          <w:sz w:val="24"/>
          <w:u w:val="single"/>
          <w:lang w:eastAsia="zh-CN"/>
        </w:rPr>
        <w:t>结果考量</w:t>
      </w:r>
    </w:p>
    <w:p w14:paraId="0CE68BBB">
      <w:pPr>
        <w:spacing w:before="120" w:beforeLines="50" w:line="300" w:lineRule="auto"/>
        <w:rPr>
          <w:rFonts w:cs="Times New Roman"/>
          <w:sz w:val="24"/>
          <w:szCs w:val="24"/>
          <w:lang w:eastAsia="zh-CN"/>
        </w:rPr>
      </w:pPr>
      <w:r>
        <w:rPr>
          <w:rFonts w:cs="宋体"/>
          <w:sz w:val="24"/>
          <w:lang w:eastAsia="zh-CN"/>
        </w:rPr>
        <w:t>如果使用针对评估专用器械制定的标准方法和性能标准进行验证和确认的结果表明：（a）修改后的检测系统的性能在标准范围内，（b）修改后的检测系统的性能相对于获批检测系统标签中的声明没有明显变化，以及（c）未发现新风险或显著改变的现有风险，则替代试剂不太可能对安全性或有效性产生重大影响，因此可能不需</w:t>
      </w:r>
      <w:r>
        <w:rPr>
          <w:rFonts w:hint="eastAsia" w:cs="宋体"/>
          <w:sz w:val="24"/>
          <w:lang w:eastAsia="zh-CN"/>
        </w:rPr>
        <w:t>要</w:t>
      </w:r>
      <w:r>
        <w:rPr>
          <w:rFonts w:cs="宋体"/>
          <w:sz w:val="24"/>
          <w:lang w:eastAsia="zh-CN"/>
        </w:rPr>
        <w:t>提交510(k)。</w:t>
      </w:r>
    </w:p>
    <w:p w14:paraId="038B36B1">
      <w:pPr>
        <w:spacing w:before="120" w:beforeLines="50" w:line="300" w:lineRule="auto"/>
        <w:rPr>
          <w:rFonts w:cs="Times New Roman"/>
          <w:sz w:val="24"/>
          <w:szCs w:val="24"/>
          <w:lang w:eastAsia="zh-CN"/>
        </w:rPr>
      </w:pPr>
      <w:r>
        <w:rPr>
          <w:rFonts w:cs="宋体"/>
          <w:sz w:val="24"/>
          <w:lang w:eastAsia="zh-CN"/>
        </w:rPr>
        <w:t>如果常规验证和确认的结果产生任何非预期问题或以其他方式证明不足以验证和/或确认修改后的检测系统，则该修改可能会显著影响检测系统的安全性和有效性，并且可能需要提交510(k)。例如，当不符合预先规定的验收标准时（例如，为扩展预先规定的验收标准而进行的修改），可能会出现这种情况。</w:t>
      </w:r>
    </w:p>
    <w:p w14:paraId="0EBDC8CB">
      <w:pPr>
        <w:spacing w:before="120" w:beforeLines="50" w:line="300" w:lineRule="auto"/>
        <w:rPr>
          <w:rFonts w:cs="Times New Roman"/>
          <w:sz w:val="24"/>
          <w:szCs w:val="24"/>
          <w:lang w:eastAsia="zh-CN"/>
        </w:rPr>
      </w:pPr>
      <w:r>
        <w:rPr>
          <w:rFonts w:cs="宋体"/>
          <w:sz w:val="24"/>
          <w:lang w:eastAsia="zh-CN"/>
        </w:rPr>
        <w:t>在应用逻辑方案且考虑上述问题（即，检测系统操作原理、基于风险的评估以及设计验证和/或确认活动）后，如果制造商确定无需提交510(k)，并继续对检测系统进行变更，则制造商应确保记录对检测系统的变更以及制造商对是否需要提交新510(k)的评估（</w:t>
      </w:r>
      <w:r>
        <w:rPr>
          <w:rFonts w:cs="宋体"/>
          <w:i/>
          <w:sz w:val="24"/>
          <w:lang w:eastAsia="zh-CN"/>
        </w:rPr>
        <w:t>参见</w:t>
      </w:r>
      <w:r>
        <w:rPr>
          <w:rFonts w:cs="宋体"/>
          <w:sz w:val="24"/>
          <w:lang w:eastAsia="zh-CN"/>
        </w:rPr>
        <w:t>III.D节）。</w:t>
      </w:r>
    </w:p>
    <w:p w14:paraId="21CCD8D5">
      <w:pPr>
        <w:pStyle w:val="3"/>
        <w:rPr>
          <w:lang w:eastAsia="zh-CN"/>
        </w:rPr>
      </w:pPr>
      <w:bookmarkStart w:id="8" w:name="_Toc97887063"/>
      <w:r>
        <w:rPr>
          <w:rFonts w:cs="宋体"/>
          <w:lang w:eastAsia="zh-CN"/>
        </w:rPr>
        <w:t>D.</w:t>
      </w:r>
      <w:r>
        <w:rPr>
          <w:rFonts w:cs="宋体"/>
          <w:lang w:eastAsia="zh-CN"/>
        </w:rPr>
        <w:tab/>
      </w:r>
      <w:r>
        <w:rPr>
          <w:rFonts w:cs="宋体"/>
          <w:lang w:eastAsia="zh-CN"/>
        </w:rPr>
        <w:t>文档</w:t>
      </w:r>
      <w:bookmarkEnd w:id="8"/>
    </w:p>
    <w:p w14:paraId="4AA728FD">
      <w:pPr>
        <w:spacing w:before="120" w:beforeLines="50" w:line="300" w:lineRule="auto"/>
        <w:rPr>
          <w:rFonts w:cs="Times New Roman"/>
          <w:sz w:val="24"/>
          <w:szCs w:val="24"/>
          <w:lang w:eastAsia="zh-CN"/>
        </w:rPr>
      </w:pPr>
      <w:r>
        <w:rPr>
          <w:rFonts w:cs="宋体"/>
          <w:sz w:val="24"/>
          <w:lang w:eastAsia="zh-CN"/>
        </w:rPr>
        <w:t>在其他要求中，FDA的质量体系法规（QS法规）要求成品医疗器械制造商审查并批准器械设计和制造的变更（21 CFR 820.30和820.70），并在器械主记录中记录变更和批准（21 CFR 820.181）。适当指定的个人（或</w:t>
      </w:r>
      <w:r>
        <w:rPr>
          <w:rFonts w:hint="eastAsia" w:cs="宋体"/>
          <w:sz w:val="24"/>
          <w:lang w:eastAsia="zh-CN"/>
        </w:rPr>
        <w:t>多</w:t>
      </w:r>
      <w:r>
        <w:rPr>
          <w:rFonts w:cs="宋体"/>
          <w:sz w:val="24"/>
          <w:lang w:eastAsia="zh-CN"/>
        </w:rPr>
        <w:t>人）应在内部分析和活动的备案文件上签名并注明日期。制造商须保存记录，且须将这些记录提供给FDA研究者（</w:t>
      </w:r>
      <w:r>
        <w:rPr>
          <w:rFonts w:cs="宋体"/>
          <w:i/>
          <w:sz w:val="24"/>
          <w:lang w:eastAsia="zh-CN"/>
        </w:rPr>
        <w:t>参见</w:t>
      </w:r>
      <w:r>
        <w:rPr>
          <w:rFonts w:cs="宋体"/>
          <w:sz w:val="24"/>
          <w:lang w:eastAsia="zh-CN"/>
        </w:rPr>
        <w:t>《FD&amp;C法案》第704(e)节；</w:t>
      </w:r>
      <w:r>
        <w:rPr>
          <w:rFonts w:cs="宋体"/>
          <w:i/>
          <w:sz w:val="24"/>
          <w:lang w:eastAsia="zh-CN"/>
        </w:rPr>
        <w:t>另见</w:t>
      </w:r>
      <w:r>
        <w:rPr>
          <w:rFonts w:cs="宋体"/>
          <w:sz w:val="24"/>
          <w:lang w:eastAsia="zh-CN"/>
        </w:rPr>
        <w:t>CFR第21篇第820部分M子部分（“记录”））。备案文件应包括新旧检测试剂仪器组合的比较、基于风险的评估、详细的方案、验收标准和结果。如果制造商确定不需要初始510(k)中包含的某些类型的检测，则应在备案文件中纳入具体理由。</w:t>
      </w:r>
    </w:p>
    <w:p w14:paraId="09DC41F0">
      <w:pPr>
        <w:pStyle w:val="2"/>
        <w:rPr>
          <w:lang w:eastAsia="zh-CN"/>
        </w:rPr>
      </w:pPr>
      <w:bookmarkStart w:id="9" w:name="_Toc97887064"/>
      <w:r>
        <w:rPr>
          <w:rFonts w:cs="宋体"/>
          <w:lang w:eastAsia="zh-CN"/>
        </w:rPr>
        <w:t>IV.</w:t>
      </w:r>
      <w:r>
        <w:rPr>
          <w:rFonts w:cs="宋体"/>
          <w:lang w:eastAsia="zh-CN"/>
        </w:rPr>
        <w:tab/>
      </w:r>
      <w:r>
        <w:rPr>
          <w:rFonts w:cs="宋体"/>
          <w:lang w:eastAsia="zh-CN"/>
        </w:rPr>
        <w:t>仪器系列政策</w:t>
      </w:r>
      <w:bookmarkEnd w:id="9"/>
    </w:p>
    <w:p w14:paraId="61DA475D">
      <w:pPr>
        <w:spacing w:before="120" w:beforeLines="50" w:line="300" w:lineRule="auto"/>
        <w:rPr>
          <w:rFonts w:cs="Times New Roman"/>
          <w:sz w:val="24"/>
          <w:szCs w:val="24"/>
          <w:lang w:eastAsia="zh-CN"/>
        </w:rPr>
      </w:pPr>
      <w:r>
        <w:rPr>
          <w:rFonts w:cs="宋体"/>
          <w:sz w:val="24"/>
          <w:lang w:eastAsia="zh-CN"/>
        </w:rPr>
        <w:t>仪器系列政策专门针对原制造商对仪器</w:t>
      </w:r>
      <w:r>
        <w:rPr>
          <w:rFonts w:hint="eastAsia" w:cs="宋体"/>
          <w:sz w:val="24"/>
          <w:lang w:eastAsia="zh-CN"/>
        </w:rPr>
        <w:t>进行修改以</w:t>
      </w:r>
      <w:r>
        <w:rPr>
          <w:rFonts w:cs="宋体"/>
          <w:sz w:val="24"/>
          <w:lang w:eastAsia="zh-CN"/>
        </w:rPr>
        <w:t>制造新版本仪器（即，新仪器系列成员）</w:t>
      </w:r>
      <w:r>
        <w:rPr>
          <w:rFonts w:hint="eastAsia" w:cs="宋体"/>
          <w:sz w:val="24"/>
          <w:lang w:eastAsia="zh-CN"/>
        </w:rPr>
        <w:t>的情况</w:t>
      </w:r>
      <w:r>
        <w:rPr>
          <w:rFonts w:cs="宋体"/>
          <w:sz w:val="24"/>
          <w:lang w:eastAsia="zh-CN"/>
        </w:rPr>
        <w:t>。</w:t>
      </w:r>
      <w:r>
        <w:rPr>
          <w:rFonts w:hint="eastAsia" w:cs="宋体"/>
          <w:sz w:val="24"/>
          <w:lang w:eastAsia="zh-CN"/>
        </w:rPr>
        <w:t>同系列仪器用于检测反应和判读的硬件和软件组件方面相同</w:t>
      </w:r>
      <w:r>
        <w:rPr>
          <w:rFonts w:cs="宋体"/>
          <w:sz w:val="24"/>
          <w:lang w:eastAsia="zh-CN"/>
        </w:rPr>
        <w:t>。此外，本指南中使用的术语“</w:t>
      </w:r>
      <w:r>
        <w:rPr>
          <w:rFonts w:cs="宋体"/>
          <w:color w:val="0000FF"/>
          <w:sz w:val="24"/>
          <w:u w:val="single"/>
          <w:lang w:eastAsia="zh-CN"/>
        </w:rPr>
        <w:t>仪器系列</w:t>
      </w:r>
      <w:r>
        <w:rPr>
          <w:rFonts w:cs="宋体"/>
          <w:sz w:val="24"/>
          <w:lang w:eastAsia="zh-CN"/>
        </w:rPr>
        <w:t>”系指由同一制造商制造或为其制造的一组一种或多种仪器，具有相同的总体结构、设计、公差限值和能力，如检测方法、信号范围和强度以及反应条件。包含系列仪器的检测系统具有符合21 CFR 820.30(j)的</w:t>
      </w:r>
      <w:r>
        <w:rPr>
          <w:rFonts w:cs="宋体"/>
          <w:color w:val="0000FF"/>
          <w:sz w:val="24"/>
          <w:u w:val="single"/>
          <w:lang w:eastAsia="zh-CN"/>
        </w:rPr>
        <w:t>设计历史文件</w:t>
      </w:r>
      <w:r>
        <w:rPr>
          <w:rFonts w:cs="宋体"/>
          <w:sz w:val="24"/>
          <w:lang w:eastAsia="zh-CN"/>
        </w:rPr>
        <w:t>，证明可将一种仪器视为是对另一种仪器的修改，而不是新仪器。仪器系列成员之间的差异类型示例包括用户界面某些功能</w:t>
      </w:r>
      <w:r>
        <w:rPr>
          <w:rFonts w:hint="eastAsia" w:cs="宋体"/>
          <w:sz w:val="24"/>
          <w:lang w:eastAsia="zh-CN"/>
        </w:rPr>
        <w:t>的</w:t>
      </w:r>
      <w:r>
        <w:rPr>
          <w:rFonts w:cs="宋体"/>
          <w:sz w:val="24"/>
          <w:lang w:eastAsia="zh-CN"/>
        </w:rPr>
        <w:t>改进</w:t>
      </w:r>
      <w:r>
        <w:rPr>
          <w:rFonts w:hint="eastAsia" w:cs="宋体"/>
          <w:sz w:val="24"/>
          <w:lang w:eastAsia="zh-CN"/>
        </w:rPr>
        <w:t>、</w:t>
      </w:r>
      <w:r>
        <w:rPr>
          <w:rFonts w:cs="宋体"/>
          <w:sz w:val="24"/>
          <w:lang w:eastAsia="zh-CN"/>
        </w:rPr>
        <w:t>由于预分析功能而提高样本处理量的能力，或增加</w:t>
      </w:r>
      <w:r>
        <w:rPr>
          <w:rFonts w:hint="eastAsia" w:cs="宋体"/>
          <w:sz w:val="24"/>
          <w:lang w:eastAsia="zh-CN"/>
        </w:rPr>
        <w:t>的</w:t>
      </w:r>
      <w:r>
        <w:rPr>
          <w:rFonts w:cs="宋体"/>
          <w:sz w:val="24"/>
          <w:lang w:eastAsia="zh-CN"/>
        </w:rPr>
        <w:t>数据存储。</w:t>
      </w:r>
      <w:r>
        <w:rPr>
          <w:rFonts w:hint="eastAsia" w:cs="宋体"/>
          <w:sz w:val="24"/>
          <w:lang w:eastAsia="zh-CN"/>
        </w:rPr>
        <w:t>同系列仪器</w:t>
      </w:r>
      <w:r>
        <w:rPr>
          <w:rFonts w:cs="宋体"/>
          <w:sz w:val="24"/>
          <w:lang w:eastAsia="zh-CN"/>
        </w:rPr>
        <w:t>的器械分类法规和产品代码</w:t>
      </w:r>
      <w:r>
        <w:rPr>
          <w:rFonts w:hint="eastAsia" w:cs="宋体"/>
          <w:sz w:val="24"/>
          <w:lang w:eastAsia="zh-CN"/>
        </w:rPr>
        <w:t>相同</w:t>
      </w:r>
      <w:r>
        <w:rPr>
          <w:rFonts w:cs="宋体"/>
          <w:sz w:val="24"/>
          <w:lang w:eastAsia="zh-CN"/>
        </w:rPr>
        <w:t>。</w:t>
      </w:r>
    </w:p>
    <w:p w14:paraId="0DF096F3">
      <w:pPr>
        <w:spacing w:before="120" w:beforeLines="50" w:line="300" w:lineRule="auto"/>
        <w:rPr>
          <w:rFonts w:cs="Times New Roman"/>
          <w:sz w:val="24"/>
          <w:szCs w:val="24"/>
          <w:lang w:eastAsia="zh-CN"/>
        </w:rPr>
      </w:pPr>
      <w:r>
        <w:rPr>
          <w:rFonts w:cs="宋体"/>
          <w:sz w:val="24"/>
          <w:lang w:eastAsia="zh-CN"/>
        </w:rPr>
        <w:br w:type="page"/>
      </w:r>
    </w:p>
    <w:p w14:paraId="61DBABC9">
      <w:pPr>
        <w:spacing w:before="120" w:beforeLines="50" w:line="300" w:lineRule="auto"/>
        <w:jc w:val="left"/>
        <w:rPr>
          <w:rFonts w:cs="Times New Roman"/>
          <w:sz w:val="24"/>
          <w:szCs w:val="24"/>
          <w:lang w:eastAsia="zh-CN"/>
        </w:rPr>
      </w:pPr>
      <w:r>
        <w:rPr>
          <w:rFonts w:cs="宋体"/>
          <w:sz w:val="24"/>
          <w:lang w:eastAsia="zh-CN"/>
        </w:rPr>
        <w:t>仪器制造商应进行检测，以确认仪器的功能（包括软件）均在声明的公差限值或标准</w:t>
      </w:r>
      <w:r>
        <w:rPr>
          <w:rFonts w:hint="eastAsia" w:cs="宋体"/>
          <w:sz w:val="24"/>
          <w:lang w:eastAsia="zh-CN"/>
        </w:rPr>
        <w:t>范围</w:t>
      </w:r>
      <w:r>
        <w:rPr>
          <w:rFonts w:cs="宋体"/>
          <w:sz w:val="24"/>
          <w:lang w:eastAsia="zh-CN"/>
        </w:rPr>
        <w:t>内。</w:t>
      </w:r>
      <w:r>
        <w:rPr>
          <w:rFonts w:cs="宋体"/>
          <w:i/>
          <w:sz w:val="24"/>
        </w:rPr>
        <w:t>另见</w:t>
      </w:r>
      <w:r>
        <w:rPr>
          <w:rFonts w:cs="宋体"/>
          <w:sz w:val="24"/>
        </w:rPr>
        <w:t>FDA指南《软件验证的基本原理》（</w:t>
      </w:r>
      <w:r>
        <w:rPr>
          <w:rFonts w:cs="宋体"/>
          <w:color w:val="0000FF"/>
          <w:sz w:val="24"/>
          <w:u w:val="single"/>
        </w:rPr>
        <w:t>https://www.fda.gov/downloads/MedicalDevices/DeviceRegulationandGuidance/GuidanceDocuments/ucm 085371.pdf</w:t>
      </w:r>
      <w:r>
        <w:rPr>
          <w:rFonts w:cs="宋体"/>
          <w:sz w:val="24"/>
        </w:rPr>
        <w:t>）。</w:t>
      </w:r>
      <w:r>
        <w:rPr>
          <w:rFonts w:cs="宋体"/>
          <w:sz w:val="24"/>
          <w:lang w:eastAsia="zh-CN"/>
        </w:rPr>
        <w:t>制造商还应该保留拟定系列成员与FDA批准的一个系列成员（或多个系列成员）之间关系方面的备案文件，包括描述仪器之间的技术相似性和差异（包括软件差异）。</w:t>
      </w:r>
    </w:p>
    <w:p w14:paraId="435A311C">
      <w:pPr>
        <w:spacing w:before="120" w:beforeLines="50" w:line="300" w:lineRule="auto"/>
        <w:rPr>
          <w:rFonts w:cs="Times New Roman"/>
          <w:sz w:val="24"/>
          <w:szCs w:val="24"/>
          <w:lang w:eastAsia="zh-CN"/>
        </w:rPr>
      </w:pPr>
      <w:r>
        <w:rPr>
          <w:rFonts w:cs="宋体"/>
          <w:sz w:val="24"/>
          <w:lang w:eastAsia="zh-CN"/>
        </w:rPr>
        <w:t>计划将检测方法应用于新仪器系列成员的检测试剂制造商应遵循逻辑方案，并考虑第III节的问题，以确定是否需要提交510(k)。与适用于替代试剂政策的任何仪器类似，对于使用相同检测试剂的相同样本，新仪器系列成员应产生相同的结果（即，结果无统计学差异）。</w:t>
      </w:r>
    </w:p>
    <w:p w14:paraId="761AD902">
      <w:pPr>
        <w:spacing w:before="120" w:beforeLines="50" w:line="300" w:lineRule="auto"/>
        <w:rPr>
          <w:rFonts w:cs="Times New Roman"/>
          <w:sz w:val="24"/>
          <w:szCs w:val="24"/>
          <w:lang w:eastAsia="zh-CN"/>
        </w:rPr>
      </w:pPr>
      <w:r>
        <w:rPr>
          <w:rFonts w:cs="宋体"/>
          <w:sz w:val="24"/>
          <w:lang w:eastAsia="zh-CN"/>
        </w:rPr>
        <w:t>如果一个系列内有多台仪器，则应将新系列成员检测试剂的性能与获批的510(k)中证明其性能的仪器进行比较，以确保该系列内仪器连续变更的可比性。如果检测试剂制造商与仪器制造商</w:t>
      </w:r>
      <w:r>
        <w:rPr>
          <w:rFonts w:hint="eastAsia" w:cs="宋体"/>
          <w:sz w:val="24"/>
          <w:lang w:eastAsia="zh-CN"/>
        </w:rPr>
        <w:t>相同</w:t>
      </w:r>
      <w:r>
        <w:rPr>
          <w:rFonts w:cs="宋体"/>
          <w:sz w:val="24"/>
          <w:lang w:eastAsia="zh-CN"/>
        </w:rPr>
        <w:t>，则该制造商可确定</w:t>
      </w:r>
      <w:r>
        <w:rPr>
          <w:rFonts w:hint="eastAsia" w:cs="宋体"/>
          <w:sz w:val="24"/>
          <w:lang w:eastAsia="zh-CN"/>
        </w:rPr>
        <w:t>，针对将</w:t>
      </w:r>
      <w:r>
        <w:rPr>
          <w:rFonts w:cs="宋体"/>
          <w:sz w:val="24"/>
          <w:lang w:eastAsia="zh-CN"/>
        </w:rPr>
        <w:t>检测试剂应用于新系列成员</w:t>
      </w:r>
      <w:r>
        <w:rPr>
          <w:rFonts w:hint="eastAsia" w:cs="宋体"/>
          <w:sz w:val="24"/>
          <w:lang w:eastAsia="zh-CN"/>
        </w:rPr>
        <w:t>，</w:t>
      </w:r>
      <w:r>
        <w:rPr>
          <w:rFonts w:cs="宋体"/>
          <w:sz w:val="24"/>
          <w:lang w:eastAsia="zh-CN"/>
        </w:rPr>
        <w:t>不需要</w:t>
      </w:r>
      <w:r>
        <w:rPr>
          <w:rFonts w:hint="eastAsia" w:cs="宋体"/>
          <w:sz w:val="24"/>
          <w:lang w:eastAsia="zh-CN"/>
        </w:rPr>
        <w:t>进行为支持同一检测试剂510(k)所进行的全部</w:t>
      </w:r>
      <w:r>
        <w:rPr>
          <w:rFonts w:cs="宋体"/>
          <w:sz w:val="24"/>
          <w:lang w:eastAsia="zh-CN"/>
        </w:rPr>
        <w:t>检测。例如，如果已知仪器变更仅涉及分析后数据存储，则干扰特征不太可能受到影响，且制造商可确定无需进行干扰检测。制造商应该充分记录这类决策的依据</w:t>
      </w:r>
      <w:r>
        <w:rPr>
          <w:rFonts w:hint="eastAsia" w:cs="宋体"/>
          <w:sz w:val="24"/>
          <w:lang w:eastAsia="zh-CN"/>
        </w:rPr>
        <w:t>，</w:t>
      </w:r>
      <w:r>
        <w:rPr>
          <w:rFonts w:cs="宋体"/>
          <w:sz w:val="24"/>
          <w:lang w:eastAsia="zh-CN"/>
        </w:rPr>
        <w:t>例如，检测试剂制造商</w:t>
      </w:r>
      <w:r>
        <w:rPr>
          <w:rFonts w:hint="eastAsia" w:cs="宋体"/>
          <w:sz w:val="24"/>
          <w:lang w:eastAsia="zh-CN"/>
        </w:rPr>
        <w:t>不得简单</w:t>
      </w:r>
      <w:r>
        <w:rPr>
          <w:rFonts w:cs="宋体"/>
          <w:sz w:val="24"/>
          <w:lang w:eastAsia="zh-CN"/>
        </w:rPr>
        <w:t>记录</w:t>
      </w:r>
      <w:r>
        <w:rPr>
          <w:rFonts w:hint="eastAsia" w:cs="宋体"/>
          <w:sz w:val="24"/>
          <w:lang w:eastAsia="zh-CN"/>
        </w:rPr>
        <w:t>为</w:t>
      </w:r>
      <w:r>
        <w:rPr>
          <w:rFonts w:cs="宋体"/>
          <w:sz w:val="24"/>
          <w:lang w:eastAsia="zh-CN"/>
        </w:rPr>
        <w:t>因该仪器是系列成员而</w:t>
      </w:r>
      <w:r>
        <w:rPr>
          <w:rFonts w:hint="eastAsia" w:cs="宋体"/>
          <w:sz w:val="24"/>
          <w:lang w:eastAsia="zh-CN"/>
        </w:rPr>
        <w:t>未</w:t>
      </w:r>
      <w:r>
        <w:rPr>
          <w:rFonts w:cs="宋体"/>
          <w:sz w:val="24"/>
          <w:lang w:eastAsia="zh-CN"/>
        </w:rPr>
        <w:t>进行检测。</w:t>
      </w:r>
    </w:p>
    <w:p w14:paraId="7F0419C2">
      <w:pPr>
        <w:spacing w:before="120" w:beforeLines="50" w:line="300" w:lineRule="auto"/>
        <w:rPr>
          <w:rFonts w:cs="Times New Roman"/>
          <w:sz w:val="24"/>
          <w:szCs w:val="24"/>
          <w:lang w:eastAsia="zh-CN"/>
        </w:rPr>
      </w:pPr>
      <w:r>
        <w:rPr>
          <w:rFonts w:cs="宋体"/>
          <w:sz w:val="24"/>
          <w:lang w:eastAsia="zh-CN"/>
        </w:rPr>
        <w:t>如果新仪器不属于“仪器系列”定义，且未在之前获批的510(k)中进行审查，一般来说，将新仪器应用于检测系统可能会显著影响该检测系统的安全性或有效性，并且可能需要提交新的510(k)。</w:t>
      </w:r>
    </w:p>
    <w:p w14:paraId="5B5D2761">
      <w:pPr>
        <w:pStyle w:val="2"/>
        <w:rPr>
          <w:lang w:eastAsia="zh-CN"/>
        </w:rPr>
      </w:pPr>
      <w:bookmarkStart w:id="10" w:name="_Toc97887065"/>
      <w:r>
        <w:rPr>
          <w:rFonts w:cs="宋体"/>
          <w:lang w:eastAsia="zh-CN"/>
        </w:rPr>
        <w:t>V.</w:t>
      </w:r>
      <w:r>
        <w:rPr>
          <w:rFonts w:cs="宋体"/>
          <w:lang w:eastAsia="zh-CN"/>
        </w:rPr>
        <w:tab/>
      </w:r>
      <w:r>
        <w:rPr>
          <w:rFonts w:cs="宋体"/>
          <w:lang w:eastAsia="zh-CN"/>
        </w:rPr>
        <w:t>示例</w:t>
      </w:r>
      <w:bookmarkEnd w:id="10"/>
    </w:p>
    <w:p w14:paraId="1FBC907A">
      <w:pPr>
        <w:spacing w:before="120" w:beforeLines="50" w:line="300" w:lineRule="auto"/>
        <w:rPr>
          <w:rFonts w:cs="Times New Roman"/>
          <w:sz w:val="24"/>
          <w:szCs w:val="24"/>
          <w:lang w:eastAsia="zh-CN"/>
        </w:rPr>
      </w:pPr>
      <w:r>
        <w:rPr>
          <w:rFonts w:cs="宋体"/>
          <w:sz w:val="24"/>
          <w:u w:val="single"/>
          <w:lang w:eastAsia="zh-CN"/>
        </w:rPr>
        <w:t xml:space="preserve">1 – </w:t>
      </w:r>
      <w:r>
        <w:rPr>
          <w:rFonts w:cs="宋体"/>
          <w:sz w:val="24"/>
          <w:lang w:eastAsia="zh-CN"/>
        </w:rPr>
        <w:tab/>
      </w:r>
      <w:r>
        <w:rPr>
          <w:rFonts w:cs="宋体"/>
          <w:sz w:val="24"/>
          <w:u w:val="single"/>
          <w:lang w:eastAsia="zh-CN"/>
        </w:rPr>
        <w:t>范围；替代试剂政策仅适用于获批的检测试剂</w:t>
      </w:r>
    </w:p>
    <w:p w14:paraId="1FFF62CD">
      <w:pPr>
        <w:spacing w:before="120" w:beforeLines="50" w:line="300" w:lineRule="auto"/>
        <w:rPr>
          <w:rFonts w:cs="Times New Roman"/>
          <w:sz w:val="24"/>
          <w:szCs w:val="24"/>
          <w:lang w:eastAsia="zh-CN"/>
        </w:rPr>
      </w:pPr>
      <w:r>
        <w:rPr>
          <w:rFonts w:cs="宋体"/>
          <w:sz w:val="24"/>
          <w:lang w:eastAsia="zh-CN"/>
        </w:rPr>
        <w:t>ANA（抗核抗体）检测试剂属于II类器械，受21 CFR 866.5100的监管以及510(k)的约束。第一家公司的</w:t>
      </w:r>
      <w:r>
        <w:rPr>
          <w:rFonts w:hint="eastAsia" w:cs="宋体"/>
          <w:sz w:val="24"/>
          <w:lang w:eastAsia="zh-CN"/>
        </w:rPr>
        <w:t>抗核抗体检测试剂盒（线性免疫分析法）</w:t>
      </w:r>
      <w:r>
        <w:rPr>
          <w:rFonts w:cs="宋体"/>
          <w:sz w:val="24"/>
          <w:lang w:eastAsia="zh-CN"/>
        </w:rPr>
        <w:t>曾获批与ABC荧光仪配合使用。第二家公司的</w:t>
      </w:r>
      <w:r>
        <w:rPr>
          <w:rFonts w:hint="eastAsia" w:cs="宋体"/>
          <w:sz w:val="24"/>
          <w:lang w:eastAsia="zh-CN"/>
        </w:rPr>
        <w:t>抗核抗体检测试剂盒（线性免疫分析法）</w:t>
      </w:r>
      <w:r>
        <w:rPr>
          <w:rFonts w:cs="宋体"/>
          <w:sz w:val="24"/>
          <w:lang w:eastAsia="zh-CN"/>
        </w:rPr>
        <w:t>制造商现计划将其检测试剂应用于ABC荧光仪。</w:t>
      </w:r>
    </w:p>
    <w:p w14:paraId="237E1B15">
      <w:pPr>
        <w:spacing w:before="120" w:beforeLines="50" w:line="300" w:lineRule="auto"/>
        <w:rPr>
          <w:rFonts w:cs="Times New Roman"/>
          <w:sz w:val="24"/>
          <w:szCs w:val="24"/>
          <w:lang w:eastAsia="zh-CN"/>
        </w:rPr>
      </w:pPr>
      <w:r>
        <w:rPr>
          <w:rFonts w:cs="宋体"/>
          <w:sz w:val="24"/>
          <w:lang w:eastAsia="zh-CN"/>
        </w:rPr>
        <w:t xml:space="preserve">情况A – </w:t>
      </w:r>
      <w:r>
        <w:rPr>
          <w:rFonts w:hint="eastAsia" w:cs="宋体"/>
          <w:sz w:val="24"/>
          <w:lang w:eastAsia="zh-CN"/>
        </w:rPr>
        <w:t>XYZ荧光仪的性能与ABC荧光仪相似。</w:t>
      </w:r>
      <w:r>
        <w:rPr>
          <w:rFonts w:cs="宋体"/>
          <w:sz w:val="24"/>
          <w:lang w:eastAsia="zh-CN"/>
        </w:rPr>
        <w:t>根据性能批准第二家公司的抗核抗体检测试剂盒（线性免疫分析法）</w:t>
      </w:r>
      <w:r>
        <w:rPr>
          <w:rFonts w:hint="eastAsia" w:cs="宋体"/>
          <w:sz w:val="24"/>
          <w:lang w:eastAsia="zh-CN"/>
        </w:rPr>
        <w:t>可应用于XYZ荧光仪</w:t>
      </w:r>
      <w:r>
        <w:rPr>
          <w:rFonts w:cs="宋体"/>
          <w:sz w:val="24"/>
          <w:lang w:eastAsia="zh-CN"/>
        </w:rPr>
        <w:t>。第二家抗核抗体检测试剂盒（线性免疫分析法）制造商</w:t>
      </w:r>
      <w:r>
        <w:rPr>
          <w:rFonts w:hint="eastAsia" w:cs="宋体"/>
          <w:sz w:val="24"/>
          <w:lang w:eastAsia="zh-CN"/>
        </w:rPr>
        <w:t>应</w:t>
      </w:r>
      <w:r>
        <w:rPr>
          <w:rFonts w:cs="宋体"/>
          <w:sz w:val="24"/>
          <w:lang w:eastAsia="zh-CN"/>
        </w:rPr>
        <w:t>评估以上第III节所述的注意事项，并进行基于风险的评估以及设计验证和确认活动。基于风险的评估未识别出任何新风险，也没有对现有风险进行重大修改，设计验证和确认活动未产生任何非预期的安全性或有效性问题，且第二家公司的抗核抗体检测试剂盒（线性免疫分析法）</w:t>
      </w:r>
      <w:r>
        <w:rPr>
          <w:rFonts w:hint="eastAsia" w:cs="宋体"/>
          <w:sz w:val="24"/>
          <w:lang w:eastAsia="zh-CN"/>
        </w:rPr>
        <w:t>应用于ABC荧光仪时的</w:t>
      </w:r>
      <w:r>
        <w:rPr>
          <w:rFonts w:cs="宋体"/>
          <w:sz w:val="24"/>
          <w:lang w:eastAsia="zh-CN"/>
        </w:rPr>
        <w:t>性能</w:t>
      </w:r>
      <w:r>
        <w:rPr>
          <w:rFonts w:hint="eastAsia" w:cs="宋体"/>
          <w:sz w:val="24"/>
          <w:lang w:eastAsia="zh-CN"/>
        </w:rPr>
        <w:t>与应用于</w:t>
      </w:r>
      <w:r>
        <w:rPr>
          <w:rFonts w:cs="宋体"/>
          <w:sz w:val="24"/>
          <w:lang w:eastAsia="zh-CN"/>
        </w:rPr>
        <w:t>XYZ荧光仪</w:t>
      </w:r>
      <w:r>
        <w:rPr>
          <w:rFonts w:hint="eastAsia" w:cs="宋体"/>
          <w:sz w:val="24"/>
          <w:lang w:eastAsia="zh-CN"/>
        </w:rPr>
        <w:t>时的性能</w:t>
      </w:r>
      <w:r>
        <w:rPr>
          <w:rFonts w:cs="宋体"/>
          <w:sz w:val="24"/>
          <w:lang w:eastAsia="zh-CN"/>
        </w:rPr>
        <w:t>相同。因此，制造商确定上市与ABC荧光仪配合使用的第二家公司的抗核抗体检测试剂盒（线性免疫分析法）不需</w:t>
      </w:r>
      <w:r>
        <w:rPr>
          <w:rFonts w:hint="eastAsia" w:cs="宋体"/>
          <w:sz w:val="24"/>
          <w:lang w:eastAsia="zh-CN"/>
        </w:rPr>
        <w:t>要</w:t>
      </w:r>
      <w:r>
        <w:rPr>
          <w:rFonts w:cs="宋体"/>
          <w:sz w:val="24"/>
          <w:lang w:eastAsia="zh-CN"/>
        </w:rPr>
        <w:t>提交510(k)，并将该变更和510(k)评估记录在案。</w:t>
      </w:r>
    </w:p>
    <w:p w14:paraId="37E1A87B">
      <w:pPr>
        <w:spacing w:before="120" w:beforeLines="50" w:line="300" w:lineRule="auto"/>
        <w:rPr>
          <w:rFonts w:cs="Times New Roman"/>
          <w:sz w:val="24"/>
          <w:szCs w:val="24"/>
          <w:lang w:eastAsia="zh-CN"/>
        </w:rPr>
      </w:pPr>
      <w:r>
        <w:rPr>
          <w:rFonts w:cs="宋体"/>
          <w:sz w:val="24"/>
          <w:lang w:eastAsia="zh-CN"/>
        </w:rPr>
        <w:t>情况B - 第二家公司的抗核抗体检测试剂盒（线性免疫分析法）之前未获得510(k)批准。尽管ANA的其他检测试剂已获批在ABC荧光仪上使用，但要求第二家公司的抗核抗体检测试剂盒（线性免疫分析法）制造商提交510(k)，并在该特定检测试剂上市前获得相应批准（《FD&amp;C法案》第510(k)和513(f)(1)节；21 CFR 807.81(a)(2)）。</w:t>
      </w:r>
    </w:p>
    <w:p w14:paraId="670944D5">
      <w:pPr>
        <w:spacing w:before="120" w:beforeLines="50" w:line="300" w:lineRule="auto"/>
        <w:rPr>
          <w:rFonts w:cs="Times New Roman"/>
          <w:sz w:val="24"/>
          <w:szCs w:val="24"/>
          <w:lang w:eastAsia="zh-CN"/>
        </w:rPr>
      </w:pPr>
      <w:r>
        <w:rPr>
          <w:rFonts w:cs="宋体"/>
          <w:sz w:val="24"/>
          <w:u w:val="single"/>
          <w:lang w:eastAsia="zh-CN"/>
        </w:rPr>
        <w:t xml:space="preserve">2 – </w:t>
      </w:r>
      <w:r>
        <w:rPr>
          <w:rFonts w:cs="宋体"/>
          <w:sz w:val="24"/>
          <w:lang w:eastAsia="zh-CN"/>
        </w:rPr>
        <w:tab/>
      </w:r>
      <w:r>
        <w:rPr>
          <w:rFonts w:cs="宋体"/>
          <w:sz w:val="24"/>
          <w:u w:val="single"/>
          <w:lang w:eastAsia="zh-CN"/>
        </w:rPr>
        <w:t>检测系统操作原理；已证实的仪器能力（例如，检测方法）</w:t>
      </w:r>
    </w:p>
    <w:p w14:paraId="69A28A86">
      <w:pPr>
        <w:spacing w:before="120" w:beforeLines="50" w:line="300" w:lineRule="auto"/>
        <w:rPr>
          <w:rFonts w:cs="Times New Roman"/>
          <w:sz w:val="24"/>
          <w:szCs w:val="24"/>
          <w:lang w:eastAsia="zh-CN"/>
        </w:rPr>
      </w:pPr>
      <w:r>
        <w:rPr>
          <w:rFonts w:cs="宋体"/>
          <w:sz w:val="24"/>
          <w:lang w:eastAsia="zh-CN"/>
        </w:rPr>
        <w:t>基于使用开放系统仪器的性能，批准了用于定量测定血清和血浆中多种内源性临床生化分析物的酶免疫分析法。结果以吸光度测量为依据。</w:t>
      </w:r>
    </w:p>
    <w:p w14:paraId="1BA92D25">
      <w:pPr>
        <w:spacing w:before="120" w:beforeLines="50" w:line="300" w:lineRule="auto"/>
        <w:rPr>
          <w:rFonts w:cs="Times New Roman"/>
          <w:sz w:val="24"/>
          <w:szCs w:val="24"/>
          <w:lang w:eastAsia="zh-CN"/>
        </w:rPr>
      </w:pPr>
      <w:r>
        <w:rPr>
          <w:rFonts w:cs="宋体"/>
          <w:sz w:val="24"/>
          <w:lang w:eastAsia="zh-CN"/>
        </w:rPr>
        <w:t>情况A – 为定量测量血清和血浆中的治疗药物而批准的治疗药物监测（TDM）检测试剂是基于制造商指定仪器的吸光度测量。TDM检测试剂制造商研究了开放系统仪器，并确定具有用检测试剂准确测量结果所需的能力。在多种内源性化学分析物检测试剂的批准过程中这些能力已得到证明。无需对TDM检测试剂或开放系统仪器进行变更来使试剂与该仪器配合使用。此外，根据基于风险的评估，TDM检测试剂制造商确定，TDM检测试剂与开放系统仪器配合使用不会显著改变现有风险或产生该检测试剂之前未识别的风险，且预期性能相同。制造商开展检测验证了这一预期情况。基于此，制造商确定，上市TDM检测试剂在开放系统仪器上运行不需要提交新的510(k)，并将该变更和510(k)评估</w:t>
      </w:r>
      <w:r>
        <w:rPr>
          <w:rFonts w:hint="eastAsia" w:cs="宋体"/>
          <w:sz w:val="24"/>
          <w:lang w:eastAsia="zh-CN"/>
        </w:rPr>
        <w:t>记录在案</w:t>
      </w:r>
      <w:r>
        <w:rPr>
          <w:rFonts w:cs="宋体"/>
          <w:sz w:val="24"/>
          <w:lang w:eastAsia="zh-CN"/>
        </w:rPr>
        <w:t>。</w:t>
      </w:r>
    </w:p>
    <w:p w14:paraId="44359E96">
      <w:pPr>
        <w:spacing w:before="120" w:beforeLines="50" w:line="300" w:lineRule="auto"/>
        <w:rPr>
          <w:rFonts w:cs="Times New Roman"/>
          <w:sz w:val="24"/>
          <w:szCs w:val="24"/>
          <w:lang w:eastAsia="zh-CN"/>
        </w:rPr>
      </w:pPr>
      <w:r>
        <w:rPr>
          <w:rFonts w:cs="宋体"/>
          <w:sz w:val="24"/>
          <w:lang w:eastAsia="zh-CN"/>
        </w:rPr>
        <w:t>情况B – 用于检测多种临床生化分析物的定性尿液检测试剂曾获批与检测试剂制造商指定的仪器配合使用。定性尿液检测试剂制造商现在计划将其检测试剂上市，与开放系统仪器配合使用。然而迄今，获批与开放系统仪器配合使用的检测试剂均是定量的。将仪器用于定性检测试剂需要替代仪器校准方案和软件，且带有定性检测试剂的仪器性能尚未得到证实。因此，定性尿液检测试剂制造商提交510(k)，以便将其检测试剂与开放系统仪器配合使用。</w:t>
      </w:r>
    </w:p>
    <w:p w14:paraId="5811B888">
      <w:pPr>
        <w:spacing w:before="120" w:beforeLines="50" w:line="300" w:lineRule="auto"/>
        <w:rPr>
          <w:rFonts w:cs="Times New Roman"/>
          <w:sz w:val="24"/>
          <w:szCs w:val="24"/>
          <w:lang w:eastAsia="zh-CN"/>
        </w:rPr>
      </w:pPr>
      <w:r>
        <w:rPr>
          <w:rFonts w:cs="宋体"/>
          <w:sz w:val="24"/>
          <w:lang w:eastAsia="zh-CN"/>
        </w:rPr>
        <w:t xml:space="preserve">情况C – </w:t>
      </w:r>
      <w:r>
        <w:rPr>
          <w:rFonts w:hint="eastAsia" w:cs="宋体"/>
          <w:sz w:val="24"/>
          <w:lang w:eastAsia="zh-CN"/>
        </w:rPr>
        <w:t>用于定量测量血清和血浆中特定治疗药物的</w:t>
      </w:r>
      <w:r>
        <w:rPr>
          <w:rFonts w:cs="宋体"/>
          <w:sz w:val="24"/>
          <w:lang w:eastAsia="zh-CN"/>
        </w:rPr>
        <w:t>一种基于荧光的TDM检测试剂</w:t>
      </w:r>
      <w:r>
        <w:rPr>
          <w:rFonts w:hint="eastAsia" w:cs="宋体"/>
          <w:sz w:val="24"/>
          <w:lang w:eastAsia="zh-CN"/>
        </w:rPr>
        <w:t>已</w:t>
      </w:r>
      <w:r>
        <w:rPr>
          <w:rFonts w:cs="宋体"/>
          <w:sz w:val="24"/>
          <w:lang w:eastAsia="zh-CN"/>
        </w:rPr>
        <w:t>获批在制造商指定的仪器上运行。检测试剂制造商计划上市基于荧光的TDM检测试剂，与开放系统仪器配合使用。但是，在检索FDA公共510(k)和CLIA数据库时，TDM检测试剂制造商注意到，开放系统仪器上没有获批可用的基于荧光的检测试剂。因此，制造商确定需要对开放系统仪器的操作原理（例如，荧光检测方法的吸光度）进行变更，以将其检测试剂与该仪器配合使用，并提交510(k)以</w:t>
      </w:r>
      <w:r>
        <w:rPr>
          <w:rFonts w:hint="eastAsia" w:cs="宋体"/>
          <w:sz w:val="24"/>
          <w:lang w:eastAsia="zh-CN"/>
        </w:rPr>
        <w:t>支持</w:t>
      </w:r>
      <w:r>
        <w:rPr>
          <w:rFonts w:cs="宋体"/>
          <w:sz w:val="24"/>
          <w:lang w:eastAsia="zh-CN"/>
        </w:rPr>
        <w:t>将检测试剂与开放系统仪器配合使用。</w:t>
      </w:r>
    </w:p>
    <w:p w14:paraId="3AE123A8">
      <w:pPr>
        <w:rPr>
          <w:rFonts w:cs="Times New Roman"/>
          <w:sz w:val="24"/>
          <w:szCs w:val="24"/>
          <w:lang w:eastAsia="zh-CN"/>
        </w:rPr>
      </w:pPr>
      <w:r>
        <w:rPr>
          <w:rFonts w:cs="宋体"/>
          <w:sz w:val="24"/>
          <w:lang w:eastAsia="zh-CN"/>
        </w:rPr>
        <w:br w:type="page"/>
      </w:r>
    </w:p>
    <w:p w14:paraId="6A21AD3C">
      <w:pPr>
        <w:snapToGrid w:val="0"/>
        <w:spacing w:before="36" w:beforeLines="15" w:line="276" w:lineRule="auto"/>
        <w:rPr>
          <w:rFonts w:cs="Times New Roman"/>
          <w:sz w:val="24"/>
          <w:szCs w:val="24"/>
          <w:lang w:eastAsia="zh-CN"/>
        </w:rPr>
      </w:pPr>
      <w:r>
        <w:rPr>
          <w:rFonts w:cs="宋体"/>
          <w:sz w:val="24"/>
          <w:u w:val="single"/>
          <w:lang w:eastAsia="zh-CN"/>
        </w:rPr>
        <w:t>3</w:t>
      </w:r>
      <w:r>
        <w:rPr>
          <w:rFonts w:hint="eastAsia" w:cs="宋体"/>
          <w:sz w:val="24"/>
          <w:u w:val="single"/>
          <w:lang w:eastAsia="zh-CN"/>
        </w:rPr>
        <w:t xml:space="preserve"> </w:t>
      </w:r>
      <w:r>
        <w:rPr>
          <w:rFonts w:cs="宋体"/>
          <w:sz w:val="24"/>
          <w:u w:val="single"/>
          <w:lang w:eastAsia="zh-CN"/>
        </w:rPr>
        <w:t xml:space="preserve">– </w:t>
      </w:r>
      <w:r>
        <w:rPr>
          <w:rFonts w:cs="宋体"/>
          <w:sz w:val="24"/>
          <w:lang w:eastAsia="zh-CN"/>
        </w:rPr>
        <w:tab/>
      </w:r>
      <w:r>
        <w:rPr>
          <w:rFonts w:cs="宋体"/>
          <w:sz w:val="24"/>
          <w:u w:val="single"/>
          <w:lang w:eastAsia="zh-CN"/>
        </w:rPr>
        <w:t>检测系统操作原理</w:t>
      </w:r>
    </w:p>
    <w:p w14:paraId="28FFC265">
      <w:pPr>
        <w:snapToGrid w:val="0"/>
        <w:spacing w:before="36" w:beforeLines="15" w:line="276" w:lineRule="auto"/>
        <w:rPr>
          <w:rFonts w:cs="Times New Roman"/>
          <w:sz w:val="24"/>
          <w:szCs w:val="24"/>
          <w:lang w:eastAsia="zh-CN"/>
        </w:rPr>
      </w:pPr>
      <w:r>
        <w:rPr>
          <w:rFonts w:cs="宋体"/>
          <w:sz w:val="24"/>
          <w:lang w:eastAsia="zh-CN"/>
        </w:rPr>
        <w:t>CD-I组检测试剂获批与流式细胞仪A配合使用，该流式细胞仪A系统配置3根激光器和10个通道。CD-II组检测试剂获批用于检测与CD-I组检测试剂相似的生物标志物，并使用不同的荧光标志物。CD-II组检测试剂获批与配置2根激光器和6个通道的流式细胞仪B配合使用。制造商现计划上市应用于流式细胞仪A上的CD-II组检测试剂。因为检测系统操作原理和组件发生变更（例如，添加激光以及变更解读软件（模板））可能会导致性能的变更，所以制造商</w:t>
      </w:r>
      <w:r>
        <w:rPr>
          <w:rFonts w:hint="eastAsia" w:cs="宋体"/>
          <w:sz w:val="24"/>
          <w:lang w:eastAsia="zh-CN"/>
        </w:rPr>
        <w:t>需</w:t>
      </w:r>
      <w:r>
        <w:rPr>
          <w:rFonts w:cs="宋体"/>
          <w:sz w:val="24"/>
          <w:lang w:eastAsia="zh-CN"/>
        </w:rPr>
        <w:t>在上市新的检测仪器组合之前提交510(k)。</w:t>
      </w:r>
    </w:p>
    <w:p w14:paraId="76D1703C">
      <w:pPr>
        <w:snapToGrid w:val="0"/>
        <w:spacing w:before="36" w:beforeLines="15" w:line="276" w:lineRule="auto"/>
        <w:rPr>
          <w:rFonts w:cs="Times New Roman"/>
          <w:sz w:val="24"/>
          <w:szCs w:val="24"/>
          <w:lang w:eastAsia="zh-CN"/>
        </w:rPr>
      </w:pPr>
      <w:r>
        <w:rPr>
          <w:rFonts w:cs="宋体"/>
          <w:sz w:val="24"/>
          <w:u w:val="single"/>
          <w:lang w:eastAsia="zh-CN"/>
        </w:rPr>
        <w:t xml:space="preserve">4 – </w:t>
      </w:r>
      <w:r>
        <w:rPr>
          <w:rFonts w:cs="宋体"/>
          <w:sz w:val="24"/>
          <w:lang w:eastAsia="zh-CN"/>
        </w:rPr>
        <w:tab/>
      </w:r>
      <w:r>
        <w:rPr>
          <w:rFonts w:cs="宋体"/>
          <w:sz w:val="24"/>
          <w:u w:val="single"/>
          <w:lang w:eastAsia="zh-CN"/>
        </w:rPr>
        <w:t>检测系统操作原理</w:t>
      </w:r>
    </w:p>
    <w:p w14:paraId="5BCB9BF1">
      <w:pPr>
        <w:snapToGrid w:val="0"/>
        <w:spacing w:before="36" w:beforeLines="15" w:line="276" w:lineRule="auto"/>
        <w:rPr>
          <w:rFonts w:cs="Times New Roman"/>
          <w:sz w:val="24"/>
          <w:szCs w:val="24"/>
          <w:lang w:eastAsia="zh-CN"/>
        </w:rPr>
      </w:pPr>
      <w:r>
        <w:rPr>
          <w:rFonts w:cs="宋体"/>
          <w:sz w:val="24"/>
          <w:lang w:eastAsia="zh-CN"/>
        </w:rPr>
        <w:t>检测试剂A获批在仪器A’（含有检测试剂特定软件）上使用。制造商现也计划上市仪器B’上使用的检测试剂。然而，由于光源和其他光学组件的差异，这些仪器之间的信号处理存在差异。预计检测系统操作原理的这些变更可能会影响检测试剂的性能。为了在仪器B’上运行检测试剂，制造商需要大幅修改其软件以解决这些差异。制造商</w:t>
      </w:r>
      <w:r>
        <w:rPr>
          <w:rFonts w:hint="eastAsia" w:cs="宋体"/>
          <w:sz w:val="24"/>
          <w:lang w:eastAsia="zh-CN"/>
        </w:rPr>
        <w:t>需</w:t>
      </w:r>
      <w:r>
        <w:rPr>
          <w:rFonts w:cs="宋体"/>
          <w:sz w:val="24"/>
          <w:lang w:eastAsia="zh-CN"/>
        </w:rPr>
        <w:t>提交新的510(k)。</w:t>
      </w:r>
    </w:p>
    <w:p w14:paraId="2D2A46FE">
      <w:pPr>
        <w:snapToGrid w:val="0"/>
        <w:spacing w:before="36" w:beforeLines="15" w:line="276" w:lineRule="auto"/>
        <w:rPr>
          <w:rFonts w:cs="Times New Roman"/>
          <w:sz w:val="24"/>
          <w:szCs w:val="24"/>
          <w:u w:val="single"/>
          <w:lang w:eastAsia="zh-CN"/>
        </w:rPr>
      </w:pPr>
      <w:r>
        <w:rPr>
          <w:rFonts w:cs="宋体"/>
          <w:sz w:val="24"/>
          <w:u w:val="single"/>
          <w:lang w:eastAsia="zh-CN"/>
        </w:rPr>
        <w:t xml:space="preserve">5 – </w:t>
      </w:r>
      <w:r>
        <w:rPr>
          <w:rFonts w:cs="宋体"/>
          <w:sz w:val="24"/>
          <w:lang w:eastAsia="zh-CN"/>
        </w:rPr>
        <w:tab/>
      </w:r>
      <w:r>
        <w:rPr>
          <w:rFonts w:cs="宋体"/>
          <w:sz w:val="24"/>
          <w:u w:val="single"/>
          <w:lang w:eastAsia="zh-CN"/>
        </w:rPr>
        <w:t>基于风险的评估；适应症变更</w:t>
      </w:r>
      <w:r>
        <w:rPr>
          <w:rFonts w:cs="宋体"/>
          <w:sz w:val="24"/>
          <w:vertAlign w:val="superscript"/>
          <w:lang w:eastAsia="zh-CN"/>
        </w:rPr>
        <w:t>5</w:t>
      </w:r>
    </w:p>
    <w:p w14:paraId="49F23AF7">
      <w:pPr>
        <w:snapToGrid w:val="0"/>
        <w:spacing w:before="36" w:beforeLines="15" w:line="276" w:lineRule="auto"/>
        <w:rPr>
          <w:rFonts w:cs="Times New Roman"/>
          <w:sz w:val="24"/>
          <w:szCs w:val="24"/>
          <w:lang w:eastAsia="zh-CN"/>
        </w:rPr>
      </w:pPr>
      <w:r>
        <w:rPr>
          <w:rFonts w:cs="宋体"/>
          <w:sz w:val="24"/>
          <w:lang w:eastAsia="zh-CN"/>
        </w:rPr>
        <w:t>根据制造商指定的实验室仪器的性能，CVD胆固醇检测试剂获批用于静脉血样本中高密度脂蛋白（HDL）和低密度脂蛋白（LDL）的定量测量。该仪器预期用于</w:t>
      </w:r>
      <w:r>
        <w:rPr>
          <w:rFonts w:hint="eastAsia" w:cs="宋体"/>
          <w:sz w:val="24"/>
          <w:lang w:eastAsia="zh-CN"/>
        </w:rPr>
        <w:t>中心</w:t>
      </w:r>
      <w:r>
        <w:rPr>
          <w:rFonts w:cs="宋体"/>
          <w:sz w:val="24"/>
          <w:lang w:eastAsia="zh-CN"/>
        </w:rPr>
        <w:t xml:space="preserve">实验室。该检测使用的样本量为65 </w:t>
      </w:r>
      <w:bookmarkStart w:id="11" w:name="_Hlk95461209"/>
      <w:r>
        <w:rPr>
          <w:rFonts w:cs="宋体"/>
          <w:sz w:val="24"/>
        </w:rPr>
        <w:t>μ</w:t>
      </w:r>
      <w:r>
        <w:rPr>
          <w:rFonts w:cs="宋体"/>
          <w:sz w:val="24"/>
          <w:lang w:eastAsia="zh-CN"/>
        </w:rPr>
        <w:t>L</w:t>
      </w:r>
      <w:bookmarkEnd w:id="11"/>
      <w:r>
        <w:rPr>
          <w:rFonts w:cs="宋体"/>
          <w:sz w:val="24"/>
          <w:lang w:eastAsia="zh-CN"/>
        </w:rPr>
        <w:t>。</w:t>
      </w:r>
    </w:p>
    <w:p w14:paraId="6CCCF483">
      <w:pPr>
        <w:snapToGrid w:val="0"/>
        <w:spacing w:before="36" w:beforeLines="15" w:line="276" w:lineRule="auto"/>
        <w:rPr>
          <w:rFonts w:cs="Times New Roman"/>
          <w:sz w:val="24"/>
          <w:szCs w:val="24"/>
          <w:lang w:eastAsia="zh-CN"/>
        </w:rPr>
      </w:pPr>
      <w:r>
        <w:rPr>
          <w:rFonts w:cs="宋体"/>
          <w:sz w:val="24"/>
          <w:lang w:eastAsia="zh-CN"/>
        </w:rPr>
        <w:t xml:space="preserve">情况A – 制造商计划将检测试剂盒应用于其他仪器，其方法与用于支持初始批准的方法相似。其他仪器使用的试剂量从50 </w:t>
      </w:r>
      <w:r>
        <w:rPr>
          <w:rFonts w:cs="宋体"/>
          <w:sz w:val="24"/>
        </w:rPr>
        <w:t>μ</w:t>
      </w:r>
      <w:r>
        <w:rPr>
          <w:rFonts w:cs="宋体"/>
          <w:sz w:val="24"/>
          <w:lang w:eastAsia="zh-CN"/>
        </w:rPr>
        <w:t xml:space="preserve">L到75 </w:t>
      </w:r>
      <w:r>
        <w:rPr>
          <w:rFonts w:cs="宋体"/>
          <w:sz w:val="24"/>
        </w:rPr>
        <w:t>μ</w:t>
      </w:r>
      <w:r>
        <w:rPr>
          <w:rFonts w:cs="宋体"/>
          <w:sz w:val="24"/>
          <w:lang w:eastAsia="zh-CN"/>
        </w:rPr>
        <w:t>L不等。试剂与样本的比例保持不变。制造商基于风险的评估未识别出任何新风险或显著改变的现有风险，表明该性能预计保持不变，且针对510(k)进行的相同检测证明性能没有变化。基于此，制造商确定不需要提交510(k)，并将该变更和510(k)评估记录</w:t>
      </w:r>
      <w:r>
        <w:rPr>
          <w:rFonts w:hint="eastAsia" w:cs="宋体"/>
          <w:sz w:val="24"/>
          <w:lang w:eastAsia="zh-CN"/>
        </w:rPr>
        <w:t>在案</w:t>
      </w:r>
      <w:r>
        <w:rPr>
          <w:rFonts w:cs="宋体"/>
          <w:sz w:val="24"/>
          <w:lang w:eastAsia="zh-CN"/>
        </w:rPr>
        <w:t>。</w:t>
      </w:r>
    </w:p>
    <w:p w14:paraId="0DCD3D2E">
      <w:pPr>
        <w:snapToGrid w:val="0"/>
        <w:spacing w:before="36" w:beforeLines="15" w:line="276" w:lineRule="auto"/>
        <w:rPr>
          <w:rFonts w:cs="Times New Roman"/>
          <w:sz w:val="24"/>
          <w:szCs w:val="24"/>
          <w:lang w:eastAsia="zh-CN"/>
        </w:rPr>
      </w:pPr>
      <w:r>
        <w:rPr>
          <w:rFonts w:cs="宋体"/>
          <w:sz w:val="24"/>
          <w:lang w:eastAsia="zh-CN"/>
        </w:rPr>
        <w:t xml:space="preserve">情况B - 检测试剂制造商计划将检测试剂与小型化床旁仪器一起上市，用于检测手指血样本。修改后的检测系统使用的样本量为10 </w:t>
      </w:r>
      <w:bookmarkStart w:id="12" w:name="_Hlk95461205"/>
      <w:r>
        <w:rPr>
          <w:rFonts w:cs="宋体"/>
          <w:sz w:val="24"/>
        </w:rPr>
        <w:t>μ</w:t>
      </w:r>
      <w:r>
        <w:rPr>
          <w:rFonts w:cs="宋体"/>
          <w:sz w:val="24"/>
          <w:lang w:eastAsia="zh-CN"/>
        </w:rPr>
        <w:t>L</w:t>
      </w:r>
      <w:bookmarkEnd w:id="12"/>
      <w:r>
        <w:rPr>
          <w:rFonts w:cs="宋体"/>
          <w:sz w:val="24"/>
          <w:lang w:eastAsia="zh-CN"/>
        </w:rPr>
        <w:t>。此修改代表样本类型（静脉血到手指血）和样本量的变更，这相对于获批检测系统的标签声明，可显著改变临床性能声明和参考范围。另外，该变更还会影响预期用户和使用环境（中心实验室到床旁），并代表检测系统操作原理的变更（例如，仪器小型化改变了仪器的基本能力和仪器规格）。出于上述各种原因，制造商</w:t>
      </w:r>
      <w:r>
        <w:rPr>
          <w:rFonts w:hint="eastAsia" w:cs="宋体"/>
          <w:sz w:val="24"/>
          <w:lang w:eastAsia="zh-CN"/>
        </w:rPr>
        <w:t>需</w:t>
      </w:r>
      <w:r>
        <w:rPr>
          <w:rFonts w:cs="宋体"/>
          <w:sz w:val="24"/>
          <w:lang w:eastAsia="zh-CN"/>
        </w:rPr>
        <w:t>提交510(k)，</w:t>
      </w:r>
      <w:r>
        <w:rPr>
          <w:rFonts w:hint="eastAsia" w:cs="宋体"/>
          <w:sz w:val="24"/>
          <w:lang w:eastAsia="zh-CN"/>
        </w:rPr>
        <w:t>以支持</w:t>
      </w:r>
      <w:r>
        <w:rPr>
          <w:rFonts w:cs="宋体"/>
          <w:sz w:val="24"/>
          <w:lang w:eastAsia="zh-CN"/>
        </w:rPr>
        <w:t>在小型化床旁检测仪器上使用检测试剂。</w:t>
      </w:r>
    </w:p>
    <w:p w14:paraId="15B0BD4B">
      <w:pPr>
        <w:snapToGrid w:val="0"/>
        <w:spacing w:before="36" w:beforeLines="15" w:line="276" w:lineRule="auto"/>
        <w:rPr>
          <w:rFonts w:cs="Times New Roman"/>
          <w:sz w:val="24"/>
          <w:szCs w:val="24"/>
          <w:lang w:eastAsia="zh-CN"/>
        </w:rPr>
      </w:pPr>
      <w:r>
        <w:rPr>
          <w:rFonts w:cs="宋体"/>
          <w:sz w:val="24"/>
          <w:u w:val="single"/>
          <w:lang w:eastAsia="zh-CN"/>
        </w:rPr>
        <w:t xml:space="preserve">6 – </w:t>
      </w:r>
      <w:r>
        <w:rPr>
          <w:rFonts w:cs="宋体"/>
          <w:sz w:val="24"/>
          <w:lang w:eastAsia="zh-CN"/>
        </w:rPr>
        <w:tab/>
      </w:r>
      <w:r>
        <w:rPr>
          <w:rFonts w:cs="宋体"/>
          <w:sz w:val="24"/>
          <w:u w:val="single"/>
          <w:lang w:eastAsia="zh-CN"/>
        </w:rPr>
        <w:t>设计验证和/或确认活动；应用于新仪器的检测试剂需临床数据对修改进行充分确认</w:t>
      </w:r>
    </w:p>
    <w:p w14:paraId="385AA6D6">
      <w:pPr>
        <w:snapToGrid w:val="0"/>
        <w:spacing w:before="36" w:beforeLines="15" w:line="276" w:lineRule="auto"/>
        <w:rPr>
          <w:rFonts w:cs="Times New Roman"/>
          <w:sz w:val="24"/>
          <w:szCs w:val="24"/>
          <w:lang w:eastAsia="zh-CN"/>
        </w:rPr>
      </w:pPr>
      <w:r>
        <w:rPr>
          <w:rFonts w:cs="宋体"/>
          <w:sz w:val="24"/>
          <w:lang w:eastAsia="zh-CN"/>
        </w:rPr>
        <w:t>EZPZ肌钙蛋白检测试剂获批与SAFT临床生化仪器配合使用。标签中描述了使用EZPZ检测试剂-SAFT仪器组合进行的前瞻性临床研究中检测试剂的临床性能（灵敏度、特异性、阳性预测值和阴性预测值）。</w:t>
      </w:r>
    </w:p>
    <w:p w14:paraId="08BF2940">
      <w:pPr>
        <w:pStyle w:val="21"/>
        <w:rPr>
          <w:lang w:eastAsia="zh-CN"/>
        </w:rPr>
      </w:pPr>
      <w:r>
        <w:rPr>
          <w:rFonts w:cs="宋体"/>
          <w:lang w:eastAsia="zh-CN"/>
        </w:rPr>
        <w:t>______________________</w:t>
      </w:r>
    </w:p>
    <w:p w14:paraId="289E36FF">
      <w:pPr>
        <w:pStyle w:val="21"/>
        <w:rPr>
          <w:lang w:eastAsia="zh-CN"/>
        </w:rPr>
      </w:pPr>
      <w:r>
        <w:rPr>
          <w:rFonts w:cs="宋体"/>
          <w:vertAlign w:val="superscript"/>
          <w:lang w:eastAsia="zh-CN"/>
        </w:rPr>
        <w:t xml:space="preserve">5 </w:t>
      </w:r>
      <w:r>
        <w:rPr>
          <w:rFonts w:cs="宋体"/>
          <w:lang w:eastAsia="zh-CN"/>
        </w:rPr>
        <w:tab/>
      </w:r>
      <w:r>
        <w:rPr>
          <w:rFonts w:cs="宋体"/>
          <w:lang w:eastAsia="zh-CN"/>
        </w:rPr>
        <w:t>请注意，如上述方案所述，与检测试剂配合使用的仪器的变更也可能构成适应症变更，但如本指南所述，此类变更是否需要提交510(k)取决于变更是否会显著影响获批检测系统的安全性或有效性。</w:t>
      </w:r>
      <w:r>
        <w:rPr>
          <w:rFonts w:cs="宋体"/>
          <w:sz w:val="24"/>
          <w:lang w:eastAsia="zh-CN"/>
        </w:rPr>
        <w:br w:type="page"/>
      </w:r>
    </w:p>
    <w:p w14:paraId="58B097B2">
      <w:pPr>
        <w:spacing w:before="120" w:beforeLines="50" w:line="300" w:lineRule="auto"/>
        <w:rPr>
          <w:rFonts w:cs="Times New Roman"/>
          <w:sz w:val="24"/>
          <w:szCs w:val="24"/>
          <w:lang w:eastAsia="zh-CN"/>
        </w:rPr>
      </w:pPr>
      <w:r>
        <w:rPr>
          <w:rFonts w:cs="宋体"/>
          <w:sz w:val="24"/>
          <w:lang w:eastAsia="zh-CN"/>
        </w:rPr>
        <w:t>情况A - 检测试剂制造商计划将检测试剂应用于SAFR仪器，该仪器在技术上与SAFT仪器相似，但设计和制造方式不同（例如，样本处理内部布局</w:t>
      </w:r>
      <w:r>
        <w:rPr>
          <w:rFonts w:hint="eastAsia" w:cs="宋体"/>
          <w:sz w:val="24"/>
          <w:lang w:eastAsia="zh-CN"/>
        </w:rPr>
        <w:t>和</w:t>
      </w:r>
      <w:r>
        <w:rPr>
          <w:rFonts w:cs="宋体"/>
          <w:sz w:val="24"/>
          <w:lang w:eastAsia="zh-CN"/>
        </w:rPr>
        <w:t>样本工作流程等</w:t>
      </w:r>
      <w:r>
        <w:rPr>
          <w:rFonts w:hint="eastAsia" w:cs="宋体"/>
          <w:sz w:val="24"/>
          <w:lang w:eastAsia="zh-CN"/>
        </w:rPr>
        <w:t>不同</w:t>
      </w:r>
      <w:r>
        <w:rPr>
          <w:rFonts w:cs="宋体"/>
          <w:sz w:val="24"/>
          <w:lang w:eastAsia="zh-CN"/>
        </w:rPr>
        <w:t>）。检测试剂制造商开展基于风险的评估，未发现任何新风险或显著修改的现有风险，但设计验证和确认活动表明在检测试剂的临床决策点附近（测量范围的</w:t>
      </w:r>
      <w:r>
        <w:rPr>
          <w:rFonts w:hint="eastAsia" w:cs="宋体"/>
          <w:sz w:val="24"/>
          <w:lang w:eastAsia="zh-CN"/>
        </w:rPr>
        <w:t>下限</w:t>
      </w:r>
      <w:r>
        <w:rPr>
          <w:rFonts w:cs="宋体"/>
          <w:sz w:val="24"/>
          <w:lang w:eastAsia="zh-CN"/>
        </w:rPr>
        <w:t>）的检测性能略有不同。该分析数据引出了新问题，即分析数据是否足以证明该检测试剂的临床性能未发生变更，以致这种变更需要不同的验证和/或确认方案。</w:t>
      </w:r>
      <w:r>
        <w:rPr>
          <w:rFonts w:hint="eastAsia" w:cs="宋体"/>
          <w:sz w:val="24"/>
          <w:lang w:eastAsia="zh-CN"/>
        </w:rPr>
        <w:t>针对</w:t>
      </w:r>
      <w:r>
        <w:rPr>
          <w:rFonts w:cs="宋体"/>
          <w:sz w:val="24"/>
          <w:lang w:eastAsia="zh-CN"/>
        </w:rPr>
        <w:t>EZPZ肌钙蛋白检测</w:t>
      </w:r>
      <w:r>
        <w:rPr>
          <w:rFonts w:hint="eastAsia" w:cs="宋体"/>
          <w:sz w:val="24"/>
          <w:lang w:eastAsia="zh-CN"/>
        </w:rPr>
        <w:t>试剂</w:t>
      </w:r>
      <w:r>
        <w:rPr>
          <w:rFonts w:cs="宋体"/>
          <w:sz w:val="24"/>
          <w:lang w:eastAsia="zh-CN"/>
        </w:rPr>
        <w:t>与SAFR仪器</w:t>
      </w:r>
      <w:r>
        <w:rPr>
          <w:rFonts w:hint="eastAsia" w:cs="宋体"/>
          <w:sz w:val="24"/>
          <w:lang w:eastAsia="zh-CN"/>
        </w:rPr>
        <w:t>的</w:t>
      </w:r>
      <w:r>
        <w:rPr>
          <w:rFonts w:cs="宋体"/>
          <w:sz w:val="24"/>
          <w:lang w:eastAsia="zh-CN"/>
        </w:rPr>
        <w:t>结合</w:t>
      </w:r>
      <w:r>
        <w:rPr>
          <w:rFonts w:hint="eastAsia" w:cs="宋体"/>
          <w:sz w:val="24"/>
          <w:lang w:eastAsia="zh-CN"/>
        </w:rPr>
        <w:t>使用，制造商需</w:t>
      </w:r>
      <w:r>
        <w:rPr>
          <w:rFonts w:cs="宋体"/>
          <w:sz w:val="24"/>
          <w:lang w:eastAsia="zh-CN"/>
        </w:rPr>
        <w:t>提交510(k)。</w:t>
      </w:r>
    </w:p>
    <w:p w14:paraId="09B87750">
      <w:pPr>
        <w:spacing w:before="120" w:beforeLines="50" w:line="300" w:lineRule="auto"/>
        <w:rPr>
          <w:rFonts w:cs="Times New Roman"/>
          <w:sz w:val="24"/>
          <w:szCs w:val="24"/>
          <w:lang w:eastAsia="zh-CN"/>
        </w:rPr>
      </w:pPr>
      <w:r>
        <w:rPr>
          <w:rFonts w:cs="宋体"/>
          <w:sz w:val="24"/>
          <w:lang w:eastAsia="zh-CN"/>
        </w:rPr>
        <w:t>情况B - 检测试剂制造商计划将检测试剂应用于SAFTS仪器，该仪器系列成员与SAFT仪器相同，只是外箱的大小和颜色不同，用户界面存在微小差异。检测试剂制造商开展基于风险的评估，未发现任何新风险或明显改变的现有风险。此外，由于该仪器的分析特征与SAFT仪器的分析特征相同，制造商确定不需要进行新检测来评估检测试剂在该仪器系列成员上的应用。基于此，制造商确定为在SAFTS仪器上运行上市EZPZ肌钙蛋白检测试剂不需要提交新的510(k)，</w:t>
      </w:r>
      <w:r>
        <w:rPr>
          <w:rFonts w:hint="eastAsia" w:cs="宋体"/>
          <w:sz w:val="24"/>
          <w:lang w:eastAsia="zh-CN"/>
        </w:rPr>
        <w:t>但需</w:t>
      </w:r>
      <w:r>
        <w:rPr>
          <w:rFonts w:cs="宋体"/>
          <w:sz w:val="24"/>
          <w:lang w:eastAsia="zh-CN"/>
        </w:rPr>
        <w:t>将该变更和510(k)评估记录</w:t>
      </w:r>
      <w:r>
        <w:rPr>
          <w:rFonts w:hint="eastAsia" w:cs="宋体"/>
          <w:sz w:val="24"/>
          <w:lang w:eastAsia="zh-CN"/>
        </w:rPr>
        <w:t>在案</w:t>
      </w:r>
      <w:r>
        <w:rPr>
          <w:rFonts w:cs="宋体"/>
          <w:sz w:val="24"/>
          <w:lang w:eastAsia="zh-CN"/>
        </w:rPr>
        <w:t>。</w:t>
      </w:r>
    </w:p>
    <w:p w14:paraId="04C5DDE8">
      <w:pPr>
        <w:pStyle w:val="2"/>
        <w:rPr>
          <w:lang w:eastAsia="zh-CN"/>
        </w:rPr>
      </w:pPr>
      <w:bookmarkStart w:id="13" w:name="_Toc97887066"/>
      <w:r>
        <w:rPr>
          <w:rFonts w:cs="宋体"/>
          <w:lang w:eastAsia="zh-CN"/>
        </w:rPr>
        <w:t>VI.</w:t>
      </w:r>
      <w:r>
        <w:rPr>
          <w:rFonts w:cs="宋体"/>
          <w:lang w:eastAsia="zh-CN"/>
        </w:rPr>
        <w:tab/>
      </w:r>
      <w:r>
        <w:rPr>
          <w:rFonts w:cs="宋体"/>
          <w:lang w:eastAsia="zh-CN"/>
        </w:rPr>
        <w:t>标识</w:t>
      </w:r>
      <w:bookmarkEnd w:id="13"/>
    </w:p>
    <w:p w14:paraId="35DEB658">
      <w:pPr>
        <w:spacing w:before="120" w:beforeLines="50" w:line="300" w:lineRule="auto"/>
        <w:rPr>
          <w:rFonts w:cs="Times New Roman"/>
          <w:sz w:val="24"/>
          <w:szCs w:val="24"/>
          <w:lang w:eastAsia="zh-CN"/>
        </w:rPr>
      </w:pPr>
      <w:r>
        <w:rPr>
          <w:rFonts w:cs="宋体"/>
          <w:sz w:val="24"/>
          <w:lang w:eastAsia="zh-CN"/>
        </w:rPr>
        <w:t>IVD标签必须符合CFR第21篇第801和809部分规定以及任何适用的专用器械要求（例如，</w:t>
      </w:r>
      <w:r>
        <w:rPr>
          <w:rFonts w:hint="eastAsia" w:cs="宋体"/>
          <w:sz w:val="24"/>
          <w:lang w:eastAsia="zh-CN"/>
        </w:rPr>
        <w:t>附加限制性条件批准</w:t>
      </w:r>
      <w:r>
        <w:rPr>
          <w:rFonts w:cs="宋体"/>
          <w:sz w:val="24"/>
          <w:lang w:eastAsia="zh-CN"/>
        </w:rPr>
        <w:t>中</w:t>
      </w:r>
      <w:r>
        <w:rPr>
          <w:rFonts w:hint="eastAsia" w:cs="宋体"/>
          <w:sz w:val="24"/>
          <w:lang w:eastAsia="zh-CN"/>
        </w:rPr>
        <w:t>规定</w:t>
      </w:r>
      <w:r>
        <w:rPr>
          <w:rFonts w:cs="宋体"/>
          <w:sz w:val="24"/>
          <w:lang w:eastAsia="zh-CN"/>
        </w:rPr>
        <w:t>的特殊控制、制约或限制）。替代试剂政策或仪器系列政策范围内的新检测仪器组合的</w:t>
      </w:r>
      <w:r>
        <w:rPr>
          <w:rFonts w:cs="宋体"/>
          <w:color w:val="0000FF"/>
          <w:sz w:val="24"/>
          <w:u w:val="single"/>
          <w:lang w:eastAsia="zh-CN"/>
        </w:rPr>
        <w:t>包装说明书</w:t>
      </w:r>
      <w:r>
        <w:rPr>
          <w:rFonts w:cs="宋体"/>
          <w:sz w:val="24"/>
          <w:lang w:eastAsia="zh-CN"/>
        </w:rPr>
        <w:t>应包括关于检测试剂与其他仪器配合使用的任何新操作步骤。</w:t>
      </w:r>
      <w:r>
        <w:rPr>
          <w:rFonts w:cs="宋体"/>
          <w:sz w:val="24"/>
          <w:vertAlign w:val="superscript"/>
          <w:lang w:eastAsia="zh-CN"/>
        </w:rPr>
        <w:t>6</w:t>
      </w:r>
      <w:r>
        <w:rPr>
          <w:rFonts w:cs="宋体"/>
          <w:sz w:val="24"/>
          <w:lang w:eastAsia="zh-CN"/>
        </w:rPr>
        <w:t>一些制造商选择将新的检测试剂仪器组合的设置纳入</w:t>
      </w:r>
      <w:r>
        <w:rPr>
          <w:rFonts w:cs="宋体"/>
          <w:color w:val="0000FF"/>
          <w:sz w:val="24"/>
          <w:u w:val="single"/>
          <w:lang w:eastAsia="zh-CN"/>
        </w:rPr>
        <w:t>应用表</w:t>
      </w:r>
      <w:r>
        <w:rPr>
          <w:rFonts w:cs="宋体"/>
          <w:sz w:val="24"/>
          <w:lang w:eastAsia="zh-CN"/>
        </w:rPr>
        <w:t>中。在这类情况下，FDA建议说明书参考应用表以确保用户了解所有相关信息</w:t>
      </w:r>
      <w:r>
        <w:rPr>
          <w:rFonts w:hint="eastAsia" w:cs="宋体"/>
          <w:sz w:val="24"/>
          <w:lang w:eastAsia="zh-CN"/>
        </w:rPr>
        <w:t>，反之亦然</w:t>
      </w:r>
      <w:r>
        <w:rPr>
          <w:rFonts w:cs="宋体"/>
          <w:sz w:val="24"/>
          <w:lang w:eastAsia="zh-CN"/>
        </w:rPr>
        <w:t>。检测试剂说明书或随附的应用表应明确说明已经过检测、可与该检测试剂配合使用</w:t>
      </w:r>
      <w:r>
        <w:rPr>
          <w:rFonts w:hint="eastAsia" w:cs="宋体"/>
          <w:sz w:val="24"/>
          <w:lang w:eastAsia="zh-CN"/>
        </w:rPr>
        <w:t>的仪器</w:t>
      </w:r>
      <w:r>
        <w:rPr>
          <w:rFonts w:cs="宋体"/>
          <w:sz w:val="24"/>
          <w:lang w:eastAsia="zh-CN"/>
        </w:rPr>
        <w:t>。对于仪器的修改，操作手册应包括任何更新的规范和说明。在本指南范围内增加新的检测试剂仪器组合不应明显影响检测试剂标签（包括性能声明）。</w:t>
      </w:r>
    </w:p>
    <w:p w14:paraId="3C061620">
      <w:pPr>
        <w:pStyle w:val="2"/>
        <w:rPr>
          <w:lang w:eastAsia="zh-CN"/>
        </w:rPr>
      </w:pPr>
      <w:bookmarkStart w:id="14" w:name="_Toc97887067"/>
      <w:r>
        <w:rPr>
          <w:rFonts w:cs="宋体"/>
          <w:lang w:eastAsia="zh-CN"/>
        </w:rPr>
        <w:t>VII.</w:t>
      </w:r>
      <w:r>
        <w:rPr>
          <w:rFonts w:cs="宋体"/>
          <w:lang w:eastAsia="zh-CN"/>
        </w:rPr>
        <w:tab/>
      </w:r>
      <w:r>
        <w:rPr>
          <w:rFonts w:cs="宋体"/>
          <w:lang w:eastAsia="zh-CN"/>
        </w:rPr>
        <w:t>《临床实验室改进修正案》（CLIA）分类</w:t>
      </w:r>
      <w:bookmarkEnd w:id="14"/>
    </w:p>
    <w:p w14:paraId="508BA064">
      <w:pPr>
        <w:spacing w:before="120" w:beforeLines="50" w:line="300" w:lineRule="auto"/>
        <w:rPr>
          <w:rFonts w:cs="Times New Roman"/>
          <w:sz w:val="24"/>
          <w:szCs w:val="24"/>
          <w:lang w:eastAsia="zh-CN"/>
        </w:rPr>
      </w:pPr>
      <w:r>
        <w:rPr>
          <w:rFonts w:cs="宋体"/>
          <w:sz w:val="24"/>
          <w:lang w:eastAsia="zh-CN"/>
        </w:rPr>
        <w:t>FDA根据CLIA复杂性（42 CFR 493.5）对IVD检测系统进行分类，并在获得许可或批准后将分类输入</w:t>
      </w:r>
      <w:r>
        <w:rPr>
          <w:rFonts w:cs="宋体"/>
          <w:color w:val="0000FF"/>
          <w:sz w:val="24"/>
          <w:u w:val="single"/>
          <w:lang w:eastAsia="zh-CN"/>
        </w:rPr>
        <w:t>CLIA数据库</w:t>
      </w:r>
      <w:r>
        <w:rPr>
          <w:rFonts w:cs="宋体"/>
          <w:sz w:val="24"/>
          <w:lang w:eastAsia="zh-CN"/>
        </w:rPr>
        <w:t>。</w:t>
      </w:r>
      <w:r>
        <w:rPr>
          <w:rFonts w:cs="宋体"/>
          <w:i/>
          <w:sz w:val="24"/>
        </w:rPr>
        <w:t>参见</w:t>
      </w:r>
      <w:r>
        <w:rPr>
          <w:rFonts w:cs="宋体"/>
          <w:sz w:val="24"/>
        </w:rPr>
        <w:t>FDA指南《CLIA分类管理程序》（</w:t>
      </w:r>
      <w:r>
        <w:rPr>
          <w:rFonts w:cs="宋体"/>
          <w:color w:val="0000FF"/>
          <w:sz w:val="24"/>
          <w:u w:val="single"/>
        </w:rPr>
        <w:t>https://www.fda.gov/downloads/MedicalDevices/DeviceRegulationandGuidance/GuidanceDocuments/ucm 070889.pdf</w:t>
      </w:r>
      <w:r>
        <w:rPr>
          <w:rFonts w:cs="宋体"/>
          <w:sz w:val="24"/>
        </w:rPr>
        <w:t>）。</w:t>
      </w:r>
      <w:r>
        <w:rPr>
          <w:rFonts w:cs="宋体"/>
          <w:sz w:val="24"/>
          <w:lang w:eastAsia="zh-CN"/>
        </w:rPr>
        <w:t>对于与获批检测试剂应用于其他仪器有关的修改，检测试剂制造商应向FDA提交CLIA分类请求，以便将该检测系统纳入CLIA数据库。根据替代试剂政策或仪器系列政策，将检测试剂应用于其他仪器的CLIA分类请求应包括：</w:t>
      </w:r>
    </w:p>
    <w:p w14:paraId="17950335">
      <w:pPr>
        <w:pStyle w:val="21"/>
        <w:rPr>
          <w:lang w:eastAsia="zh-CN"/>
        </w:rPr>
      </w:pPr>
      <w:r>
        <w:rPr>
          <w:rFonts w:cs="宋体"/>
          <w:lang w:eastAsia="zh-CN"/>
        </w:rPr>
        <w:t>______________________</w:t>
      </w:r>
    </w:p>
    <w:p w14:paraId="4AA8CACA">
      <w:pPr>
        <w:pStyle w:val="21"/>
        <w:rPr>
          <w:lang w:eastAsia="zh-CN"/>
        </w:rPr>
      </w:pPr>
      <w:r>
        <w:rPr>
          <w:rFonts w:cs="宋体"/>
          <w:vertAlign w:val="superscript"/>
          <w:lang w:eastAsia="zh-CN"/>
        </w:rPr>
        <w:t xml:space="preserve">6 </w:t>
      </w:r>
      <w:r>
        <w:rPr>
          <w:rFonts w:cs="宋体"/>
          <w:lang w:eastAsia="zh-CN"/>
        </w:rPr>
        <w:tab/>
      </w:r>
      <w:r>
        <w:rPr>
          <w:rFonts w:cs="宋体"/>
          <w:lang w:eastAsia="zh-CN"/>
        </w:rPr>
        <w:t>这仅涉及程序步骤的微小变更。重大变更可能需要提交510(k)。</w:t>
      </w:r>
    </w:p>
    <w:p w14:paraId="48788C9C">
      <w:pPr>
        <w:spacing w:before="120" w:beforeLines="50" w:line="300" w:lineRule="auto"/>
        <w:rPr>
          <w:rFonts w:cs="Times New Roman"/>
          <w:sz w:val="24"/>
          <w:szCs w:val="24"/>
          <w:lang w:eastAsia="zh-CN"/>
        </w:rPr>
      </w:pPr>
      <w:r>
        <w:rPr>
          <w:rFonts w:cs="宋体"/>
          <w:sz w:val="24"/>
          <w:lang w:eastAsia="zh-CN"/>
        </w:rPr>
        <w:br w:type="page"/>
      </w:r>
    </w:p>
    <w:p w14:paraId="53B725B8">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hint="eastAsia" w:cs="宋体"/>
          <w:sz w:val="24"/>
          <w:lang w:eastAsia="zh-CN"/>
        </w:rPr>
        <w:t xml:space="preserve"> </w:t>
      </w:r>
      <w:r>
        <w:rPr>
          <w:rFonts w:cs="宋体"/>
          <w:sz w:val="24"/>
          <w:lang w:eastAsia="zh-CN"/>
        </w:rPr>
        <w:t>已签字的封面页（随附联系方式），其清楚确定该申请为“仅用于CLIA分类”且包含制造商已遵循逻辑方案和考虑本指南中的问题的声明。</w:t>
      </w:r>
    </w:p>
    <w:p w14:paraId="342EF702">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hint="eastAsia" w:cs="宋体"/>
          <w:sz w:val="24"/>
          <w:lang w:eastAsia="zh-CN"/>
        </w:rPr>
        <w:t xml:space="preserve">   </w:t>
      </w:r>
      <w:r>
        <w:rPr>
          <w:rFonts w:cs="宋体"/>
          <w:sz w:val="24"/>
          <w:lang w:eastAsia="zh-CN"/>
        </w:rPr>
        <w:t>关于</w:t>
      </w:r>
      <w:r>
        <w:rPr>
          <w:rFonts w:hint="eastAsia" w:cs="宋体"/>
          <w:sz w:val="24"/>
          <w:lang w:eastAsia="zh-CN"/>
        </w:rPr>
        <w:t>具体</w:t>
      </w:r>
      <w:r>
        <w:rPr>
          <w:rFonts w:cs="宋体"/>
          <w:sz w:val="24"/>
          <w:lang w:eastAsia="zh-CN"/>
        </w:rPr>
        <w:t>仪器（获批仪器或系列成员）与获批检测试剂组合的规范，包括对所有相关510(k)编号的引用。该信息可以表格形式清楚列出，尤其是在涉及多个检测试剂或仪器的情况下。</w:t>
      </w:r>
    </w:p>
    <w:p w14:paraId="08C6E88A">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明确其他仪器的新检测系统的说明书（以及应用表，如适用）。</w:t>
      </w:r>
    </w:p>
    <w:p w14:paraId="51D39D52">
      <w:pPr>
        <w:spacing w:before="120" w:beforeLines="50" w:line="300" w:lineRule="auto"/>
        <w:rPr>
          <w:rFonts w:cs="Times New Roman"/>
          <w:sz w:val="24"/>
          <w:szCs w:val="24"/>
          <w:lang w:eastAsia="zh-CN"/>
        </w:rPr>
      </w:pPr>
      <w:r>
        <w:rPr>
          <w:rFonts w:cs="宋体"/>
          <w:sz w:val="24"/>
          <w:lang w:eastAsia="zh-CN"/>
        </w:rPr>
        <w:t>此外，对于配备新仪器系列成员的系统（即不属于之前获批的510(k)且之前未进行分类的仪器），制造商应包括操作手册（或摘录，包括仪器名称、预期用途、制造商或经销商、获批仪器的变更和任何程序变更）。</w:t>
      </w:r>
    </w:p>
    <w:p w14:paraId="3E472C8E">
      <w:pPr>
        <w:spacing w:before="120" w:beforeLines="50" w:line="300" w:lineRule="auto"/>
        <w:rPr>
          <w:rFonts w:cs="Times New Roman"/>
          <w:sz w:val="24"/>
          <w:szCs w:val="24"/>
          <w:lang w:eastAsia="zh-CN"/>
        </w:rPr>
      </w:pPr>
      <w:r>
        <w:rPr>
          <w:rFonts w:cs="宋体"/>
          <w:sz w:val="24"/>
          <w:lang w:eastAsia="zh-CN"/>
        </w:rPr>
        <w:t>此外，如果检测试剂制造商与仪器制造商不同，并将其检测试剂应用于新的仪器系列成员（即，非获批510(k)中审查的检测系统的一部分），则检测试剂制造商还应</w:t>
      </w:r>
      <w:r>
        <w:rPr>
          <w:rFonts w:hint="eastAsia" w:cs="宋体"/>
          <w:sz w:val="24"/>
          <w:lang w:eastAsia="zh-CN"/>
        </w:rPr>
        <w:t>提供证明仪器为本指南中定义的仪器系列成员的相关</w:t>
      </w:r>
      <w:r>
        <w:rPr>
          <w:rFonts w:cs="宋体"/>
          <w:sz w:val="24"/>
          <w:lang w:eastAsia="zh-CN"/>
        </w:rPr>
        <w:t>信息（例如，仪器制造商的确认）。</w:t>
      </w:r>
    </w:p>
    <w:p w14:paraId="4B850E4A">
      <w:pPr>
        <w:spacing w:before="120" w:beforeLines="50" w:line="300" w:lineRule="auto"/>
        <w:rPr>
          <w:rFonts w:cs="Times New Roman"/>
          <w:sz w:val="24"/>
          <w:szCs w:val="24"/>
          <w:lang w:eastAsia="zh-CN"/>
        </w:rPr>
      </w:pPr>
      <w:r>
        <w:rPr>
          <w:rFonts w:cs="宋体"/>
          <w:sz w:val="24"/>
          <w:lang w:eastAsia="zh-CN"/>
        </w:rPr>
        <w:t>FDA将为本次申请指定单独的CLIA记录（“CR”）编号，告知申请人跟踪编号，并尝试在收到请求后的30天内通知申请人分类。在通知申请人后，FDA在公共</w:t>
      </w:r>
      <w:r>
        <w:rPr>
          <w:rFonts w:cs="宋体"/>
          <w:color w:val="0000FF"/>
          <w:sz w:val="24"/>
          <w:u w:val="single"/>
          <w:lang w:eastAsia="zh-CN"/>
        </w:rPr>
        <w:t>CLIA数据库</w:t>
      </w:r>
      <w:r>
        <w:rPr>
          <w:rFonts w:cs="宋体"/>
          <w:sz w:val="24"/>
          <w:lang w:eastAsia="zh-CN"/>
        </w:rPr>
        <w:t>中公布分类信息。对CLIA分类请求回复的分类信息并非实质等同性判定，也不意味着FDA对制造商的内部评估和测试的审查。根据替代试剂政策或仪器系列政策，不得将为回复CLIA分类请求</w:t>
      </w:r>
      <w:r>
        <w:rPr>
          <w:rFonts w:hint="eastAsia" w:cs="宋体"/>
          <w:sz w:val="24"/>
          <w:lang w:eastAsia="zh-CN"/>
        </w:rPr>
        <w:t>，而将</w:t>
      </w:r>
      <w:r>
        <w:rPr>
          <w:rFonts w:cs="宋体"/>
          <w:sz w:val="24"/>
          <w:lang w:eastAsia="zh-CN"/>
        </w:rPr>
        <w:t>已分类的修改仪器（包括系列成员）或新检测试剂仪器组合用作新510(k)的同品种器械（在未获得该修改的510(k)批准情况下）。</w:t>
      </w:r>
    </w:p>
    <w:p w14:paraId="4A820A65">
      <w:pPr>
        <w:spacing w:before="120" w:beforeLines="50" w:line="300" w:lineRule="auto"/>
        <w:rPr>
          <w:rFonts w:cs="Times New Roman"/>
          <w:sz w:val="24"/>
          <w:szCs w:val="24"/>
          <w:lang w:eastAsia="zh-CN"/>
        </w:rPr>
      </w:pPr>
      <w:r>
        <w:rPr>
          <w:rFonts w:cs="宋体"/>
          <w:sz w:val="24"/>
          <w:lang w:eastAsia="zh-CN"/>
        </w:rPr>
        <w:br w:type="page"/>
      </w:r>
    </w:p>
    <w:p w14:paraId="79D5928A">
      <w:pPr>
        <w:pStyle w:val="2"/>
        <w:rPr>
          <w:lang w:eastAsia="zh-CN"/>
        </w:rPr>
      </w:pPr>
      <w:bookmarkStart w:id="15" w:name="_Toc97887068"/>
      <w:r>
        <w:rPr>
          <w:rFonts w:cs="宋体"/>
          <w:lang w:eastAsia="zh-CN"/>
        </w:rPr>
        <w:t>附录：定义</w:t>
      </w:r>
      <w:bookmarkEnd w:id="15"/>
    </w:p>
    <w:p w14:paraId="1163ADC6">
      <w:pPr>
        <w:spacing w:before="120" w:beforeLines="50" w:line="300" w:lineRule="auto"/>
        <w:rPr>
          <w:rFonts w:cs="Times New Roman"/>
          <w:sz w:val="24"/>
          <w:szCs w:val="24"/>
          <w:lang w:eastAsia="zh-CN"/>
        </w:rPr>
      </w:pPr>
      <w:r>
        <w:rPr>
          <w:rFonts w:cs="宋体"/>
          <w:sz w:val="24"/>
          <w:lang w:eastAsia="zh-CN"/>
        </w:rPr>
        <w:t>本附录中规定的定义仅用于本指南。</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71"/>
        <w:gridCol w:w="7216"/>
      </w:tblGrid>
      <w:tr w14:paraId="1789A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15" w:type="pct"/>
          </w:tcPr>
          <w:p w14:paraId="380E3F4D">
            <w:pPr>
              <w:spacing w:before="36" w:beforeLines="15" w:line="276" w:lineRule="auto"/>
              <w:rPr>
                <w:rFonts w:cs="Times New Roman"/>
                <w:b/>
                <w:szCs w:val="24"/>
                <w:u w:val="single"/>
              </w:rPr>
            </w:pPr>
            <w:r>
              <w:rPr>
                <w:rFonts w:cs="宋体"/>
                <w:b/>
                <w:u w:val="single"/>
              </w:rPr>
              <w:t>仪器</w:t>
            </w:r>
          </w:p>
        </w:tc>
        <w:tc>
          <w:tcPr>
            <w:tcW w:w="3885" w:type="pct"/>
          </w:tcPr>
          <w:p w14:paraId="159F338F">
            <w:pPr>
              <w:spacing w:before="36" w:beforeLines="15" w:line="276" w:lineRule="auto"/>
              <w:rPr>
                <w:rFonts w:cs="Times New Roman"/>
                <w:szCs w:val="24"/>
                <w:lang w:eastAsia="zh-CN"/>
              </w:rPr>
            </w:pPr>
            <w:r>
              <w:rPr>
                <w:rFonts w:cs="宋体"/>
                <w:lang w:eastAsia="zh-CN"/>
              </w:rPr>
              <w:t>该器械通过读取产生的信号并将信号修改或转化为结果，从应用样本中产生分析结果。该仪器还可控制分析前和/或分析后的组件，包括：样本采样和处理机制以及判读和储存软件。</w:t>
            </w:r>
          </w:p>
        </w:tc>
      </w:tr>
      <w:tr w14:paraId="77629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15" w:type="pct"/>
          </w:tcPr>
          <w:p w14:paraId="17AA684A">
            <w:pPr>
              <w:spacing w:before="36" w:beforeLines="15" w:line="276" w:lineRule="auto"/>
              <w:rPr>
                <w:rFonts w:cs="Times New Roman"/>
                <w:b/>
                <w:szCs w:val="24"/>
                <w:u w:val="single"/>
              </w:rPr>
            </w:pPr>
            <w:r>
              <w:rPr>
                <w:rFonts w:cs="宋体"/>
                <w:b/>
                <w:u w:val="single"/>
              </w:rPr>
              <w:t>检测试剂</w:t>
            </w:r>
          </w:p>
        </w:tc>
        <w:tc>
          <w:tcPr>
            <w:tcW w:w="3885" w:type="pct"/>
          </w:tcPr>
          <w:p w14:paraId="7F6F998C">
            <w:pPr>
              <w:spacing w:before="36" w:beforeLines="15" w:line="276" w:lineRule="auto"/>
              <w:rPr>
                <w:rFonts w:cs="Times New Roman"/>
                <w:szCs w:val="24"/>
                <w:lang w:eastAsia="zh-CN"/>
              </w:rPr>
            </w:pPr>
            <w:r>
              <w:rPr>
                <w:rFonts w:cs="宋体"/>
                <w:lang w:eastAsia="zh-CN"/>
              </w:rPr>
              <w:t>分析物测量或检测所需的一</w:t>
            </w:r>
            <w:r>
              <w:rPr>
                <w:rFonts w:hint="eastAsia" w:cs="宋体"/>
                <w:lang w:eastAsia="zh-CN"/>
              </w:rPr>
              <w:t>系列</w:t>
            </w:r>
            <w:r>
              <w:rPr>
                <w:rFonts w:cs="宋体"/>
                <w:lang w:eastAsia="zh-CN"/>
              </w:rPr>
              <w:t>所有试剂和说明。</w:t>
            </w:r>
          </w:p>
        </w:tc>
      </w:tr>
      <w:tr w14:paraId="00AE4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15" w:type="pct"/>
          </w:tcPr>
          <w:p w14:paraId="1C8818C4">
            <w:pPr>
              <w:spacing w:before="36" w:beforeLines="15" w:line="276" w:lineRule="auto"/>
              <w:rPr>
                <w:rFonts w:cs="Times New Roman"/>
                <w:b/>
                <w:szCs w:val="24"/>
                <w:u w:val="single"/>
                <w:lang w:eastAsia="zh-CN"/>
              </w:rPr>
            </w:pPr>
            <w:r>
              <w:rPr>
                <w:rFonts w:cs="宋体"/>
                <w:b/>
                <w:u w:val="single"/>
                <w:lang w:eastAsia="zh-CN"/>
              </w:rPr>
              <w:t>设计历史文件（DHF）</w:t>
            </w:r>
          </w:p>
        </w:tc>
        <w:tc>
          <w:tcPr>
            <w:tcW w:w="3885" w:type="pct"/>
          </w:tcPr>
          <w:p w14:paraId="2C2ACAAE">
            <w:pPr>
              <w:spacing w:before="36" w:beforeLines="15" w:line="276" w:lineRule="auto"/>
              <w:rPr>
                <w:rFonts w:cs="Times New Roman"/>
                <w:szCs w:val="24"/>
                <w:lang w:eastAsia="zh-CN"/>
              </w:rPr>
            </w:pPr>
            <w:r>
              <w:rPr>
                <w:rFonts w:cs="宋体"/>
                <w:lang w:eastAsia="zh-CN"/>
              </w:rPr>
              <w:t>DHF的定义见21 CFR 820.3(e)。DHF包含或引用了证明设计的开发符合获批设计计划和21 CFR第820部分要求的记录。</w:t>
            </w:r>
          </w:p>
        </w:tc>
      </w:tr>
      <w:tr w14:paraId="638FD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15" w:type="pct"/>
          </w:tcPr>
          <w:p w14:paraId="38E2257E">
            <w:pPr>
              <w:spacing w:before="36" w:beforeLines="15" w:line="276" w:lineRule="auto"/>
              <w:rPr>
                <w:rFonts w:cs="Times New Roman"/>
                <w:b/>
                <w:szCs w:val="24"/>
                <w:u w:val="single"/>
              </w:rPr>
            </w:pPr>
            <w:r>
              <w:rPr>
                <w:rFonts w:cs="宋体"/>
                <w:b/>
                <w:u w:val="single"/>
              </w:rPr>
              <w:t>仪器系列</w:t>
            </w:r>
          </w:p>
        </w:tc>
        <w:tc>
          <w:tcPr>
            <w:tcW w:w="3885" w:type="pct"/>
          </w:tcPr>
          <w:p w14:paraId="56C52100">
            <w:pPr>
              <w:spacing w:before="36" w:beforeLines="15" w:line="276" w:lineRule="auto"/>
              <w:rPr>
                <w:rFonts w:cs="Times New Roman"/>
                <w:szCs w:val="24"/>
                <w:lang w:eastAsia="zh-CN"/>
              </w:rPr>
            </w:pPr>
            <w:r>
              <w:rPr>
                <w:rFonts w:cs="宋体"/>
                <w:lang w:eastAsia="zh-CN"/>
              </w:rPr>
              <w:t>由同一制造商制造或为其制造的一组两台或多台仪器，具有相同的总体结构、设计、公差</w:t>
            </w:r>
            <w:r>
              <w:rPr>
                <w:rFonts w:hint="eastAsia" w:cs="宋体"/>
                <w:lang w:eastAsia="zh-CN"/>
              </w:rPr>
              <w:t>限值</w:t>
            </w:r>
            <w:r>
              <w:rPr>
                <w:rFonts w:cs="宋体"/>
                <w:lang w:eastAsia="zh-CN"/>
              </w:rPr>
              <w:t>和能力，如检测方法、信号范围和强度以及反应条件。</w:t>
            </w:r>
            <w:r>
              <w:rPr>
                <w:rFonts w:hint="eastAsia" w:cs="宋体"/>
                <w:lang w:eastAsia="zh-CN"/>
              </w:rPr>
              <w:t>同</w:t>
            </w:r>
            <w:r>
              <w:rPr>
                <w:rFonts w:cs="宋体"/>
                <w:lang w:eastAsia="zh-CN"/>
              </w:rPr>
              <w:t>系列仪器</w:t>
            </w:r>
            <w:r>
              <w:rPr>
                <w:rFonts w:hint="eastAsia" w:cs="宋体"/>
                <w:lang w:eastAsia="zh-CN"/>
              </w:rPr>
              <w:t>用于</w:t>
            </w:r>
            <w:r>
              <w:rPr>
                <w:rFonts w:cs="宋体"/>
                <w:lang w:eastAsia="zh-CN"/>
              </w:rPr>
              <w:t>检测反应和判读的硬件和软件组件方面相同，</w:t>
            </w:r>
            <w:r>
              <w:rPr>
                <w:rFonts w:hint="eastAsia" w:cs="宋体"/>
                <w:lang w:eastAsia="zh-CN"/>
              </w:rPr>
              <w:t>且器械分类法规和产品代码相同</w:t>
            </w:r>
            <w:r>
              <w:rPr>
                <w:rFonts w:cs="宋体"/>
                <w:lang w:eastAsia="zh-CN"/>
              </w:rPr>
              <w:t>。仪器系列成员之间的差异类型示例包括改进用户界面的某些功能</w:t>
            </w:r>
            <w:r>
              <w:rPr>
                <w:rFonts w:hint="eastAsia" w:cs="宋体"/>
                <w:lang w:eastAsia="zh-CN"/>
              </w:rPr>
              <w:t>、</w:t>
            </w:r>
            <w:r>
              <w:rPr>
                <w:rFonts w:cs="宋体"/>
                <w:lang w:eastAsia="zh-CN"/>
              </w:rPr>
              <w:t>由于预分析功能而提高样本处理量的能力，或增加数据存储。</w:t>
            </w:r>
          </w:p>
        </w:tc>
      </w:tr>
      <w:tr w14:paraId="614A6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15" w:type="pct"/>
          </w:tcPr>
          <w:p w14:paraId="1FCD2C4E">
            <w:pPr>
              <w:spacing w:before="36" w:beforeLines="15" w:line="276" w:lineRule="auto"/>
              <w:rPr>
                <w:rFonts w:cs="Times New Roman"/>
                <w:b/>
                <w:szCs w:val="24"/>
                <w:u w:val="single"/>
              </w:rPr>
            </w:pPr>
            <w:r>
              <w:rPr>
                <w:rFonts w:cs="宋体"/>
                <w:b/>
                <w:u w:val="single"/>
              </w:rPr>
              <w:t>包装说明书</w:t>
            </w:r>
          </w:p>
        </w:tc>
        <w:tc>
          <w:tcPr>
            <w:tcW w:w="3885" w:type="pct"/>
          </w:tcPr>
          <w:p w14:paraId="1D297C83">
            <w:pPr>
              <w:spacing w:before="36" w:beforeLines="15" w:line="276" w:lineRule="auto"/>
              <w:rPr>
                <w:rFonts w:cs="Times New Roman"/>
                <w:szCs w:val="24"/>
                <w:lang w:eastAsia="zh-CN"/>
              </w:rPr>
            </w:pPr>
            <w:r>
              <w:rPr>
                <w:rFonts w:cs="宋体"/>
                <w:lang w:eastAsia="zh-CN"/>
              </w:rPr>
              <w:t>贴有指导和解释检测试剂的检测试剂标签。</w:t>
            </w:r>
            <w:r>
              <w:rPr>
                <w:rFonts w:cs="宋体"/>
                <w:i/>
                <w:lang w:eastAsia="zh-CN"/>
              </w:rPr>
              <w:t>参见</w:t>
            </w:r>
            <w:r>
              <w:rPr>
                <w:rFonts w:cs="宋体"/>
                <w:lang w:eastAsia="zh-CN"/>
              </w:rPr>
              <w:t>CFR第21篇第801和809部分规定（如适用，如21 CFR 809.10(b)）以及任何适用的专用器械要求（例如，</w:t>
            </w:r>
            <w:r>
              <w:rPr>
                <w:rFonts w:hint="eastAsia" w:cs="宋体"/>
                <w:lang w:eastAsia="zh-CN"/>
              </w:rPr>
              <w:t>附加限制性条件批准中规定的特殊控制、制约或限制</w:t>
            </w:r>
            <w:r>
              <w:rPr>
                <w:rFonts w:cs="宋体"/>
                <w:lang w:eastAsia="zh-CN"/>
              </w:rPr>
              <w:t>）。</w:t>
            </w:r>
          </w:p>
          <w:p w14:paraId="5B9A6EB4">
            <w:pPr>
              <w:spacing w:before="36" w:beforeLines="15" w:line="276" w:lineRule="auto"/>
              <w:rPr>
                <w:rFonts w:cs="Times New Roman"/>
                <w:szCs w:val="24"/>
                <w:lang w:eastAsia="zh-CN"/>
              </w:rPr>
            </w:pPr>
            <w:r>
              <w:rPr>
                <w:rFonts w:cs="宋体"/>
                <w:lang w:eastAsia="zh-CN"/>
              </w:rPr>
              <w:t>本指南中提到的其他形式的标签包括：</w:t>
            </w:r>
          </w:p>
          <w:p w14:paraId="4E95C34F">
            <w:pPr>
              <w:spacing w:before="36" w:beforeLines="15" w:line="276" w:lineRule="auto"/>
              <w:ind w:left="420" w:leftChars="200"/>
              <w:rPr>
                <w:rFonts w:cs="Times New Roman"/>
                <w:szCs w:val="24"/>
                <w:lang w:eastAsia="zh-CN"/>
              </w:rPr>
            </w:pPr>
            <w:r>
              <w:rPr>
                <w:rFonts w:cs="宋体"/>
                <w:lang w:eastAsia="zh-CN"/>
              </w:rPr>
              <w:t>仪器随附的</w:t>
            </w:r>
            <w:r>
              <w:rPr>
                <w:rFonts w:cs="宋体"/>
                <w:u w:val="single"/>
                <w:lang w:eastAsia="zh-CN"/>
              </w:rPr>
              <w:t>操作手册</w:t>
            </w:r>
            <w:r>
              <w:rPr>
                <w:rFonts w:cs="宋体"/>
                <w:lang w:eastAsia="zh-CN"/>
              </w:rPr>
              <w:t>包含仪器描述、声明规范和说明。</w:t>
            </w:r>
          </w:p>
          <w:p w14:paraId="62729852">
            <w:pPr>
              <w:spacing w:before="36" w:beforeLines="15" w:line="276" w:lineRule="auto"/>
              <w:ind w:left="420" w:leftChars="200"/>
              <w:rPr>
                <w:rFonts w:cs="Times New Roman"/>
                <w:szCs w:val="24"/>
                <w:lang w:eastAsia="zh-CN"/>
              </w:rPr>
            </w:pPr>
            <w:r>
              <w:rPr>
                <w:rFonts w:cs="宋体"/>
                <w:u w:val="single"/>
                <w:lang w:eastAsia="zh-CN"/>
              </w:rPr>
              <w:t>应用表</w:t>
            </w:r>
            <w:r>
              <w:rPr>
                <w:rFonts w:cs="宋体"/>
                <w:lang w:eastAsia="zh-CN"/>
              </w:rPr>
              <w:t>，包含将制造商的检测试剂应用于指定仪器的设置。注：</w:t>
            </w:r>
            <w:r>
              <w:rPr>
                <w:rFonts w:hint="eastAsia" w:cs="宋体"/>
                <w:lang w:eastAsia="zh-CN"/>
              </w:rPr>
              <w:t>如</w:t>
            </w:r>
            <w:r>
              <w:rPr>
                <w:rFonts w:cs="宋体"/>
                <w:lang w:eastAsia="zh-CN"/>
              </w:rPr>
              <w:t>检测试剂制造商提供特定仪器的应用表，</w:t>
            </w:r>
            <w:r>
              <w:rPr>
                <w:rFonts w:hint="eastAsia" w:cs="宋体"/>
                <w:lang w:eastAsia="zh-CN"/>
              </w:rPr>
              <w:t>则表示</w:t>
            </w:r>
            <w:r>
              <w:rPr>
                <w:rFonts w:cs="宋体"/>
                <w:lang w:eastAsia="zh-CN"/>
              </w:rPr>
              <w:t>该仪器上的检测试剂具备合格的性能。</w:t>
            </w:r>
          </w:p>
        </w:tc>
      </w:tr>
      <w:tr w14:paraId="0759E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15" w:type="pct"/>
          </w:tcPr>
          <w:p w14:paraId="7F6481BB">
            <w:pPr>
              <w:spacing w:before="36" w:beforeLines="15" w:line="276" w:lineRule="auto"/>
              <w:rPr>
                <w:rFonts w:cs="Times New Roman"/>
                <w:b/>
                <w:szCs w:val="24"/>
                <w:u w:val="single"/>
              </w:rPr>
            </w:pPr>
            <w:r>
              <w:rPr>
                <w:rFonts w:cs="宋体"/>
                <w:b/>
                <w:u w:val="single"/>
              </w:rPr>
              <w:t>试剂</w:t>
            </w:r>
          </w:p>
        </w:tc>
        <w:tc>
          <w:tcPr>
            <w:tcW w:w="3885" w:type="pct"/>
          </w:tcPr>
          <w:p w14:paraId="4DD1DEB7">
            <w:pPr>
              <w:spacing w:before="36" w:beforeLines="15" w:line="276" w:lineRule="auto"/>
              <w:rPr>
                <w:rFonts w:cs="Times New Roman"/>
                <w:szCs w:val="24"/>
                <w:lang w:eastAsia="zh-CN"/>
              </w:rPr>
            </w:pPr>
            <w:r>
              <w:rPr>
                <w:rFonts w:cs="宋体"/>
                <w:lang w:eastAsia="zh-CN"/>
              </w:rPr>
              <w:t>允许检测或测量目标分析物的检测试剂物质或组分。检测试剂通常包括多种试剂。</w:t>
            </w:r>
          </w:p>
        </w:tc>
      </w:tr>
      <w:tr w14:paraId="51E03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15" w:type="pct"/>
          </w:tcPr>
          <w:p w14:paraId="203352CF">
            <w:pPr>
              <w:spacing w:before="36" w:beforeLines="15" w:line="276" w:lineRule="auto"/>
              <w:rPr>
                <w:rFonts w:cs="Times New Roman"/>
                <w:b/>
                <w:szCs w:val="24"/>
                <w:u w:val="single"/>
              </w:rPr>
            </w:pPr>
            <w:r>
              <w:rPr>
                <w:rFonts w:cs="宋体"/>
                <w:b/>
                <w:u w:val="single"/>
              </w:rPr>
              <w:t>替代试剂</w:t>
            </w:r>
          </w:p>
        </w:tc>
        <w:tc>
          <w:tcPr>
            <w:tcW w:w="3885" w:type="pct"/>
          </w:tcPr>
          <w:p w14:paraId="6BFC8751">
            <w:pPr>
              <w:spacing w:before="36" w:beforeLines="15" w:line="276" w:lineRule="auto"/>
              <w:rPr>
                <w:rFonts w:cs="Times New Roman"/>
                <w:szCs w:val="24"/>
                <w:lang w:eastAsia="zh-CN"/>
              </w:rPr>
            </w:pPr>
            <w:r>
              <w:rPr>
                <w:rFonts w:cs="宋体"/>
                <w:lang w:eastAsia="zh-CN"/>
              </w:rPr>
              <w:t>替代试剂系指应用于其他仪器的先前获批试剂。IVD制造商应参考本指南第III节所述的注意事项，包括检测系统操作原理、基于风险的评估以及设计验证和/或确认活动，以帮助确定其他仪器的试剂应用是否需要新的510(k)。</w:t>
            </w:r>
          </w:p>
        </w:tc>
      </w:tr>
      <w:tr w14:paraId="6122C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15" w:type="pct"/>
          </w:tcPr>
          <w:p w14:paraId="20B184EE">
            <w:pPr>
              <w:spacing w:before="36" w:beforeLines="15" w:line="276" w:lineRule="auto"/>
              <w:rPr>
                <w:rFonts w:cs="Times New Roman"/>
                <w:b/>
                <w:szCs w:val="24"/>
                <w:u w:val="single"/>
              </w:rPr>
            </w:pPr>
            <w:r>
              <w:rPr>
                <w:rFonts w:cs="宋体"/>
                <w:b/>
                <w:u w:val="single"/>
              </w:rPr>
              <w:t>检测系统</w:t>
            </w:r>
          </w:p>
        </w:tc>
        <w:tc>
          <w:tcPr>
            <w:tcW w:w="3885" w:type="pct"/>
          </w:tcPr>
          <w:p w14:paraId="55455D8D">
            <w:pPr>
              <w:spacing w:before="36" w:beforeLines="15" w:line="276" w:lineRule="auto"/>
              <w:rPr>
                <w:rFonts w:cs="Times New Roman"/>
                <w:szCs w:val="24"/>
                <w:lang w:eastAsia="zh-CN"/>
              </w:rPr>
            </w:pPr>
            <w:r>
              <w:rPr>
                <w:rFonts w:cs="宋体"/>
                <w:lang w:eastAsia="zh-CN"/>
              </w:rPr>
              <w:t>进行体外诊断检测所需的所有检测构成，包括但不限于临床实验室仪器、软件、检测试剂、校准</w:t>
            </w:r>
            <w:r>
              <w:rPr>
                <w:rFonts w:hint="eastAsia" w:cs="宋体"/>
                <w:lang w:eastAsia="zh-CN"/>
              </w:rPr>
              <w:t>品</w:t>
            </w:r>
            <w:r>
              <w:rPr>
                <w:rFonts w:cs="宋体"/>
                <w:lang w:eastAsia="zh-CN"/>
              </w:rPr>
              <w:t>和对照品。</w:t>
            </w:r>
          </w:p>
        </w:tc>
      </w:tr>
    </w:tbl>
    <w:p w14:paraId="0D722F5E">
      <w:pPr>
        <w:spacing w:before="120" w:beforeLines="50" w:line="300" w:lineRule="auto"/>
        <w:rPr>
          <w:rFonts w:cs="Times New Roman"/>
          <w:sz w:val="24"/>
          <w:szCs w:val="24"/>
          <w:lang w:eastAsia="zh-CN"/>
        </w:rPr>
      </w:pPr>
    </w:p>
    <w:p w14:paraId="56D0D63F">
      <w:pPr>
        <w:pBdr>
          <w:bottom w:val="single" w:color="auto" w:sz="4" w:space="1"/>
        </w:pBdr>
        <w:spacing w:before="120" w:beforeLines="50" w:line="300" w:lineRule="auto"/>
        <w:jc w:val="center"/>
        <w:rPr>
          <w:rFonts w:hint="eastAsia" w:eastAsia="宋体"/>
          <w:lang w:eastAsia="zh-CN"/>
        </w:rPr>
      </w:pPr>
    </w:p>
    <w:p w14:paraId="1228B967">
      <w:pPr>
        <w:pBdr>
          <w:bottom w:val="single" w:color="auto" w:sz="4" w:space="1"/>
        </w:pBdr>
        <w:spacing w:before="120" w:beforeLines="50" w:line="300" w:lineRule="auto"/>
        <w:jc w:val="center"/>
        <w:rPr>
          <w:rFonts w:hint="eastAsia" w:eastAsia="宋体"/>
          <w:lang w:eastAsia="zh-CN"/>
        </w:rPr>
      </w:pPr>
    </w:p>
    <w:p w14:paraId="6DD8DDDD">
      <w:pPr>
        <w:pBdr>
          <w:bottom w:val="single" w:color="auto" w:sz="4" w:space="1"/>
        </w:pBdr>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a:stretch>
                      <a:fillRect/>
                    </a:stretch>
                  </pic:blipFill>
                  <pic:spPr>
                    <a:xfrm>
                      <a:off x="0" y="0"/>
                      <a:ext cx="5210175" cy="7343775"/>
                    </a:xfrm>
                    <a:prstGeom prst="rect">
                      <a:avLst/>
                    </a:prstGeom>
                  </pic:spPr>
                </pic:pic>
              </a:graphicData>
            </a:graphic>
          </wp:inline>
        </w:drawing>
      </w:r>
    </w:p>
    <w:sectPr>
      <w:footerReference r:id="rId5" w:type="default"/>
      <w:pgSz w:w="11907" w:h="16840"/>
      <w:pgMar w:top="1418" w:right="1418" w:bottom="1418" w:left="1418" w:header="720" w:footer="720"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3FA75">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26B54">
    <w:pPr>
      <w:pStyle w:val="8"/>
      <w:jc w:val="right"/>
      <w:rPr>
        <w:sz w:val="21"/>
        <w:szCs w:val="21"/>
      </w:rPr>
    </w:pPr>
    <w:r>
      <w:rPr>
        <w:rStyle w:val="15"/>
        <w:sz w:val="21"/>
        <w:szCs w:val="21"/>
      </w:rPr>
      <w:fldChar w:fldCharType="begin"/>
    </w:r>
    <w:r>
      <w:rPr>
        <w:rStyle w:val="15"/>
        <w:sz w:val="21"/>
        <w:szCs w:val="21"/>
      </w:rPr>
      <w:instrText xml:space="preserve"> PAGE </w:instrText>
    </w:r>
    <w:r>
      <w:rPr>
        <w:rStyle w:val="15"/>
        <w:sz w:val="21"/>
        <w:szCs w:val="21"/>
      </w:rPr>
      <w:fldChar w:fldCharType="separate"/>
    </w:r>
    <w:r>
      <w:rPr>
        <w:rStyle w:val="15"/>
        <w:sz w:val="21"/>
        <w:szCs w:val="21"/>
      </w:rPr>
      <w:t>13</w:t>
    </w:r>
    <w:r>
      <w:rPr>
        <w:rStyle w:val="15"/>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400B9">
    <w:pPr>
      <w:snapToGrid w:val="0"/>
      <w:jc w:val="center"/>
      <w:rPr>
        <w:b/>
        <w:i/>
        <w:lang w:eastAsia="zh-CN"/>
      </w:rPr>
    </w:pPr>
    <w:r>
      <w:rPr>
        <w:rFonts w:hint="eastAsia" w:cs="宋体"/>
        <w:b/>
        <w:i/>
        <w:lang w:eastAsia="zh-CN"/>
      </w:rPr>
      <w:t>所含建议不具约束力</w:t>
    </w:r>
  </w:p>
  <w:p w14:paraId="104C7DB2">
    <w:pPr>
      <w:snapToGrid w:val="0"/>
      <w:jc w:val="center"/>
      <w:rPr>
        <w:b/>
        <w:i/>
        <w:lang w:eastAsia="zh-CN"/>
      </w:rPr>
    </w:pPr>
    <w:r>
      <w:rPr>
        <w:rFonts w:cs="宋体"/>
        <w:b/>
        <w:i/>
        <w:lang w:eastAsia="zh-CN"/>
      </w:rPr>
      <w:t>草案 – 非执行版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4381D"/>
    <w:multiLevelType w:val="multilevel"/>
    <w:tmpl w:val="0714381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89E357D"/>
    <w:multiLevelType w:val="multilevel"/>
    <w:tmpl w:val="089E357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D2D0D8F"/>
    <w:multiLevelType w:val="multilevel"/>
    <w:tmpl w:val="1D2D0D8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0635B23"/>
    <w:multiLevelType w:val="multilevel"/>
    <w:tmpl w:val="40635B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56B6121"/>
    <w:multiLevelType w:val="multilevel"/>
    <w:tmpl w:val="456B612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7660BF6"/>
    <w:multiLevelType w:val="multilevel"/>
    <w:tmpl w:val="67660BF6"/>
    <w:lvl w:ilvl="0" w:tentative="0">
      <w:start w:val="1"/>
      <w:numFmt w:val="bullet"/>
      <w:lvlText w:val=""/>
      <w:lvlJc w:val="left"/>
      <w:pPr>
        <w:ind w:left="840" w:hanging="420"/>
      </w:pPr>
      <w:rPr>
        <w:rFonts w:hint="default" w:ascii="Wingdings" w:hAnsi="Wingdings"/>
      </w:rPr>
    </w:lvl>
    <w:lvl w:ilvl="1" w:tentative="0">
      <w:start w:val="0"/>
      <w:numFmt w:val="bullet"/>
      <w:lvlText w:val="●"/>
      <w:lvlJc w:val="left"/>
      <w:pPr>
        <w:ind w:left="1320" w:hanging="480"/>
      </w:pPr>
      <w:rPr>
        <w:rFonts w:hint="default" w:ascii="Times New Roman" w:hAnsi="Times New Roman" w:eastAsia="宋体"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8D2A5F"/>
    <w:rsid w:val="00011A4E"/>
    <w:rsid w:val="000242A8"/>
    <w:rsid w:val="000270D8"/>
    <w:rsid w:val="00066B09"/>
    <w:rsid w:val="000B51C7"/>
    <w:rsid w:val="001441EA"/>
    <w:rsid w:val="001463AD"/>
    <w:rsid w:val="00151A43"/>
    <w:rsid w:val="00154A4D"/>
    <w:rsid w:val="0016383F"/>
    <w:rsid w:val="00165FF0"/>
    <w:rsid w:val="001742BB"/>
    <w:rsid w:val="00197F8F"/>
    <w:rsid w:val="001A1413"/>
    <w:rsid w:val="001A2671"/>
    <w:rsid w:val="001B0EBF"/>
    <w:rsid w:val="001B5115"/>
    <w:rsid w:val="001C0C28"/>
    <w:rsid w:val="001C2394"/>
    <w:rsid w:val="00200B6B"/>
    <w:rsid w:val="00201E71"/>
    <w:rsid w:val="0020481B"/>
    <w:rsid w:val="00205764"/>
    <w:rsid w:val="0021270A"/>
    <w:rsid w:val="002353B9"/>
    <w:rsid w:val="00241524"/>
    <w:rsid w:val="00296819"/>
    <w:rsid w:val="002A61B4"/>
    <w:rsid w:val="002B207D"/>
    <w:rsid w:val="002F3FA7"/>
    <w:rsid w:val="002F4DDF"/>
    <w:rsid w:val="00314F13"/>
    <w:rsid w:val="00355166"/>
    <w:rsid w:val="00366E2C"/>
    <w:rsid w:val="00375489"/>
    <w:rsid w:val="00390AA0"/>
    <w:rsid w:val="0039433C"/>
    <w:rsid w:val="003A4ECE"/>
    <w:rsid w:val="003C75F6"/>
    <w:rsid w:val="00402EB4"/>
    <w:rsid w:val="00414FC2"/>
    <w:rsid w:val="00416324"/>
    <w:rsid w:val="00417572"/>
    <w:rsid w:val="00417C47"/>
    <w:rsid w:val="004543E3"/>
    <w:rsid w:val="00460B74"/>
    <w:rsid w:val="004774A1"/>
    <w:rsid w:val="00490FF7"/>
    <w:rsid w:val="0049176D"/>
    <w:rsid w:val="004A1874"/>
    <w:rsid w:val="004B17AD"/>
    <w:rsid w:val="004B7DAB"/>
    <w:rsid w:val="004E2F19"/>
    <w:rsid w:val="004E3B03"/>
    <w:rsid w:val="004F181F"/>
    <w:rsid w:val="005251F1"/>
    <w:rsid w:val="0052610A"/>
    <w:rsid w:val="00527644"/>
    <w:rsid w:val="00531FA0"/>
    <w:rsid w:val="00535D43"/>
    <w:rsid w:val="00540055"/>
    <w:rsid w:val="005531E6"/>
    <w:rsid w:val="00562463"/>
    <w:rsid w:val="005729F6"/>
    <w:rsid w:val="00572CBF"/>
    <w:rsid w:val="005C444E"/>
    <w:rsid w:val="005D1D34"/>
    <w:rsid w:val="005D4F86"/>
    <w:rsid w:val="00603A77"/>
    <w:rsid w:val="00636064"/>
    <w:rsid w:val="006401BB"/>
    <w:rsid w:val="006564ED"/>
    <w:rsid w:val="00684CA5"/>
    <w:rsid w:val="00684FCA"/>
    <w:rsid w:val="0069333C"/>
    <w:rsid w:val="006B5147"/>
    <w:rsid w:val="006B5268"/>
    <w:rsid w:val="006B5ACC"/>
    <w:rsid w:val="006C29A3"/>
    <w:rsid w:val="006D2E9A"/>
    <w:rsid w:val="006E0359"/>
    <w:rsid w:val="006E4618"/>
    <w:rsid w:val="006E7BBC"/>
    <w:rsid w:val="006F4D35"/>
    <w:rsid w:val="00706FAB"/>
    <w:rsid w:val="00707405"/>
    <w:rsid w:val="007220C9"/>
    <w:rsid w:val="00723989"/>
    <w:rsid w:val="00730E74"/>
    <w:rsid w:val="00737F27"/>
    <w:rsid w:val="00767F5D"/>
    <w:rsid w:val="00771599"/>
    <w:rsid w:val="007820A3"/>
    <w:rsid w:val="007B4AF9"/>
    <w:rsid w:val="007B786A"/>
    <w:rsid w:val="007C7811"/>
    <w:rsid w:val="007F2F8C"/>
    <w:rsid w:val="00835F26"/>
    <w:rsid w:val="00850AAC"/>
    <w:rsid w:val="008855CF"/>
    <w:rsid w:val="008A7B72"/>
    <w:rsid w:val="008B3484"/>
    <w:rsid w:val="008C1FB8"/>
    <w:rsid w:val="008C65CF"/>
    <w:rsid w:val="008D2A5F"/>
    <w:rsid w:val="008D562E"/>
    <w:rsid w:val="008E72C8"/>
    <w:rsid w:val="008F2FBA"/>
    <w:rsid w:val="008F4857"/>
    <w:rsid w:val="00923E1A"/>
    <w:rsid w:val="00950499"/>
    <w:rsid w:val="00963165"/>
    <w:rsid w:val="00974E07"/>
    <w:rsid w:val="009872C6"/>
    <w:rsid w:val="009B286F"/>
    <w:rsid w:val="009B3542"/>
    <w:rsid w:val="009B4A52"/>
    <w:rsid w:val="009C3367"/>
    <w:rsid w:val="009C6573"/>
    <w:rsid w:val="009F0259"/>
    <w:rsid w:val="009F0288"/>
    <w:rsid w:val="00A2207B"/>
    <w:rsid w:val="00A2626E"/>
    <w:rsid w:val="00A40E04"/>
    <w:rsid w:val="00A4704C"/>
    <w:rsid w:val="00A542AC"/>
    <w:rsid w:val="00A579C3"/>
    <w:rsid w:val="00A654C7"/>
    <w:rsid w:val="00A82F43"/>
    <w:rsid w:val="00AA0343"/>
    <w:rsid w:val="00AA2AEC"/>
    <w:rsid w:val="00AA72C3"/>
    <w:rsid w:val="00AB21C9"/>
    <w:rsid w:val="00AE2B27"/>
    <w:rsid w:val="00B14CB3"/>
    <w:rsid w:val="00B169E1"/>
    <w:rsid w:val="00B2391F"/>
    <w:rsid w:val="00B73F90"/>
    <w:rsid w:val="00B76B82"/>
    <w:rsid w:val="00B7712E"/>
    <w:rsid w:val="00B9323F"/>
    <w:rsid w:val="00BA0D95"/>
    <w:rsid w:val="00BB528D"/>
    <w:rsid w:val="00BF7BF7"/>
    <w:rsid w:val="00C30A8E"/>
    <w:rsid w:val="00C37D54"/>
    <w:rsid w:val="00C40E5A"/>
    <w:rsid w:val="00C615FB"/>
    <w:rsid w:val="00C6483C"/>
    <w:rsid w:val="00C90F40"/>
    <w:rsid w:val="00CC12C6"/>
    <w:rsid w:val="00CC40C2"/>
    <w:rsid w:val="00CC5E99"/>
    <w:rsid w:val="00D17C44"/>
    <w:rsid w:val="00D207C7"/>
    <w:rsid w:val="00D30D03"/>
    <w:rsid w:val="00D35428"/>
    <w:rsid w:val="00D545E9"/>
    <w:rsid w:val="00D5593D"/>
    <w:rsid w:val="00D70686"/>
    <w:rsid w:val="00D94405"/>
    <w:rsid w:val="00D963D1"/>
    <w:rsid w:val="00D96616"/>
    <w:rsid w:val="00DC3B3B"/>
    <w:rsid w:val="00DC5331"/>
    <w:rsid w:val="00DD1707"/>
    <w:rsid w:val="00DD453A"/>
    <w:rsid w:val="00E52E08"/>
    <w:rsid w:val="00E625C1"/>
    <w:rsid w:val="00EA5E3B"/>
    <w:rsid w:val="00EB03C3"/>
    <w:rsid w:val="00ED2A28"/>
    <w:rsid w:val="00F16E5A"/>
    <w:rsid w:val="00F21928"/>
    <w:rsid w:val="00F26FEA"/>
    <w:rsid w:val="00F3330B"/>
    <w:rsid w:val="00F64DDD"/>
    <w:rsid w:val="00F6623B"/>
    <w:rsid w:val="00F826E8"/>
    <w:rsid w:val="00FA5971"/>
    <w:rsid w:val="00FB4A72"/>
    <w:rsid w:val="00FD167F"/>
    <w:rsid w:val="00FE5DBE"/>
    <w:rsid w:val="194F2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1"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jc w:val="both"/>
    </w:pPr>
    <w:rPr>
      <w:rFonts w:ascii="Times New Roman" w:hAnsi="Times New Roman" w:eastAsia="宋体" w:cstheme="minorBidi"/>
      <w:sz w:val="21"/>
      <w:szCs w:val="21"/>
      <w:lang w:val="en-US" w:eastAsia="en-US" w:bidi="ar-SA"/>
    </w:rPr>
  </w:style>
  <w:style w:type="paragraph" w:styleId="2">
    <w:name w:val="heading 1"/>
    <w:basedOn w:val="1"/>
    <w:qFormat/>
    <w:uiPriority w:val="1"/>
    <w:pPr>
      <w:keepNext/>
      <w:spacing w:before="120" w:beforeLines="50" w:line="300" w:lineRule="auto"/>
      <w:outlineLvl w:val="0"/>
    </w:pPr>
    <w:rPr>
      <w:rFonts w:cs="Times New Roman"/>
      <w:b/>
      <w:sz w:val="32"/>
      <w:szCs w:val="24"/>
    </w:rPr>
  </w:style>
  <w:style w:type="paragraph" w:styleId="3">
    <w:name w:val="heading 2"/>
    <w:basedOn w:val="1"/>
    <w:qFormat/>
    <w:uiPriority w:val="1"/>
    <w:pPr>
      <w:keepNext/>
      <w:spacing w:before="120" w:beforeLines="50" w:line="300" w:lineRule="auto"/>
      <w:ind w:left="420" w:hanging="420"/>
      <w:outlineLvl w:val="1"/>
    </w:pPr>
    <w:rPr>
      <w:rFonts w:cs="Times New Roman"/>
      <w:b/>
      <w:sz w:val="28"/>
      <w:szCs w:val="24"/>
    </w:rPr>
  </w:style>
  <w:style w:type="paragraph" w:styleId="4">
    <w:name w:val="heading 3"/>
    <w:basedOn w:val="1"/>
    <w:qFormat/>
    <w:uiPriority w:val="1"/>
    <w:pPr>
      <w:ind w:left="999" w:right="597"/>
      <w:outlineLvl w:val="2"/>
    </w:pPr>
    <w:rPr>
      <w:b/>
      <w:bCs/>
      <w:sz w:val="32"/>
      <w:szCs w:val="32"/>
    </w:rPr>
  </w:style>
  <w:style w:type="paragraph" w:styleId="5">
    <w:name w:val="heading 4"/>
    <w:basedOn w:val="1"/>
    <w:qFormat/>
    <w:uiPriority w:val="1"/>
    <w:pPr>
      <w:ind w:left="1720" w:right="1593" w:hanging="1"/>
      <w:outlineLvl w:val="3"/>
    </w:pPr>
    <w:rPr>
      <w:b/>
      <w:bCs/>
      <w:sz w:val="28"/>
      <w:szCs w:val="28"/>
    </w:rPr>
  </w:style>
  <w:style w:type="paragraph" w:styleId="6">
    <w:name w:val="heading 5"/>
    <w:basedOn w:val="1"/>
    <w:link w:val="20"/>
    <w:qFormat/>
    <w:uiPriority w:val="1"/>
    <w:pPr>
      <w:ind w:left="1680" w:hanging="360"/>
      <w:outlineLvl w:val="4"/>
    </w:pPr>
    <w:rPr>
      <w:b/>
      <w:bCs/>
      <w:sz w:val="24"/>
      <w:szCs w:val="24"/>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7">
    <w:name w:val="Balloon Text"/>
    <w:basedOn w:val="1"/>
    <w:link w:val="17"/>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tabs>
        <w:tab w:val="left" w:pos="630"/>
        <w:tab w:val="right" w:leader="dot" w:pos="9061"/>
      </w:tabs>
      <w:spacing w:before="120" w:beforeLines="50" w:line="300" w:lineRule="auto"/>
    </w:pPr>
    <w:rPr>
      <w:sz w:val="24"/>
      <w:szCs w:val="24"/>
    </w:rPr>
  </w:style>
  <w:style w:type="paragraph" w:styleId="11">
    <w:name w:val="toc 2"/>
    <w:basedOn w:val="1"/>
    <w:next w:val="1"/>
    <w:autoRedefine/>
    <w:unhideWhenUsed/>
    <w:qFormat/>
    <w:uiPriority w:val="39"/>
    <w:pPr>
      <w:tabs>
        <w:tab w:val="left" w:pos="840"/>
        <w:tab w:val="right" w:leader="dot" w:pos="9061"/>
      </w:tabs>
      <w:spacing w:before="120" w:beforeLines="50" w:line="300" w:lineRule="auto"/>
      <w:ind w:left="420" w:leftChars="200"/>
    </w:pPr>
    <w:rPr>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semiHidden/>
    <w:unhideWhenUsed/>
    <w:uiPriority w:val="99"/>
  </w:style>
  <w:style w:type="character" w:styleId="16">
    <w:name w:val="Hyperlink"/>
    <w:basedOn w:val="14"/>
    <w:unhideWhenUsed/>
    <w:qFormat/>
    <w:uiPriority w:val="99"/>
    <w:rPr>
      <w:color w:val="0000FF" w:themeColor="hyperlink"/>
      <w:u w:val="single"/>
    </w:rPr>
  </w:style>
  <w:style w:type="character" w:customStyle="1" w:styleId="17">
    <w:name w:val="批注框文本 Char"/>
    <w:basedOn w:val="14"/>
    <w:link w:val="7"/>
    <w:semiHidden/>
    <w:uiPriority w:val="99"/>
    <w:rPr>
      <w:sz w:val="18"/>
      <w:szCs w:val="18"/>
    </w:rPr>
  </w:style>
  <w:style w:type="character" w:customStyle="1" w:styleId="18">
    <w:name w:val="页眉 Char"/>
    <w:basedOn w:val="14"/>
    <w:link w:val="9"/>
    <w:qFormat/>
    <w:uiPriority w:val="99"/>
    <w:rPr>
      <w:sz w:val="18"/>
      <w:szCs w:val="18"/>
    </w:rPr>
  </w:style>
  <w:style w:type="character" w:customStyle="1" w:styleId="19">
    <w:name w:val="页脚 Char"/>
    <w:basedOn w:val="14"/>
    <w:link w:val="8"/>
    <w:uiPriority w:val="99"/>
    <w:rPr>
      <w:sz w:val="18"/>
      <w:szCs w:val="18"/>
    </w:rPr>
  </w:style>
  <w:style w:type="character" w:customStyle="1" w:styleId="20">
    <w:name w:val="标题 5 Char"/>
    <w:basedOn w:val="14"/>
    <w:link w:val="6"/>
    <w:qFormat/>
    <w:uiPriority w:val="1"/>
    <w:rPr>
      <w:rFonts w:ascii="Times New Roman" w:hAnsi="Times New Roman" w:eastAsia="Times New Roman" w:cs="Times New Roman"/>
      <w:b/>
      <w:bCs/>
      <w:sz w:val="24"/>
      <w:szCs w:val="24"/>
      <w:lang w:bidi="en-US"/>
    </w:rPr>
  </w:style>
  <w:style w:type="paragraph" w:customStyle="1" w:styleId="21">
    <w:name w:val="脚注新"/>
    <w:basedOn w:val="1"/>
    <w:next w:val="1"/>
    <w:qFormat/>
    <w:uiPriority w:val="1"/>
    <w:pPr>
      <w:spacing w:before="36" w:beforeLines="15" w:line="276" w:lineRule="auto"/>
    </w:pPr>
    <w:rPr>
      <w:rFonts w:cs="Times New Roman"/>
    </w:rPr>
  </w:style>
  <w:style w:type="paragraph" w:styleId="22">
    <w:name w:val="List Paragraph"/>
    <w:basedOn w:val="1"/>
    <w:qFormat/>
    <w:uiPriority w:val="1"/>
    <w:pPr>
      <w:ind w:firstLine="420" w:firstLineChars="200"/>
    </w:pPr>
  </w:style>
  <w:style w:type="paragraph" w:customStyle="1" w:styleId="23">
    <w:name w:val="Revision"/>
    <w:hidden/>
    <w:semiHidden/>
    <w:uiPriority w:val="99"/>
    <w:pPr>
      <w:widowControl/>
      <w:autoSpaceDE/>
      <w:autoSpaceDN/>
      <w:jc w:val="left"/>
    </w:pPr>
    <w:rPr>
      <w:rFonts w:ascii="Times New Roman" w:hAnsi="Times New Roman" w:eastAsia="宋体" w:cstheme="minorBidi"/>
      <w:sz w:val="21"/>
      <w:szCs w:val="21"/>
      <w:lang w:val="en-US" w:eastAsia="en-US" w:bidi="ar-SA"/>
    </w:rPr>
  </w:style>
  <w:style w:type="character" w:customStyle="1" w:styleId="24">
    <w:name w:val="Unresolved Mention"/>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C21D6-6D31-48EC-A130-E77F8EC1FD62}">
  <ds:schemaRefs/>
</ds:datastoreItem>
</file>

<file path=docProps/app.xml><?xml version="1.0" encoding="utf-8"?>
<Properties xmlns="http://schemas.openxmlformats.org/officeDocument/2006/extended-properties" xmlns:vt="http://schemas.openxmlformats.org/officeDocument/2006/docPropsVTypes">
  <Template>Normal</Template>
  <Pages>18</Pages>
  <Words>13200</Words>
  <Characters>15685</Characters>
  <Lines>119</Lines>
  <Paragraphs>33</Paragraphs>
  <TotalTime>915</TotalTime>
  <ScaleCrop>false</ScaleCrop>
  <LinksUpToDate>false</LinksUpToDate>
  <CharactersWithSpaces>15828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2021-11-10T10:12:00Z</dcterms:created>
  <dc:creator>Wen, Mary</dc:creator>
  <cp:lastModifiedBy>太极箫客</cp:lastModifiedBy>
  <dcterms:modified xsi:type="dcterms:W3CDTF">2025-08-14T06:31:59Z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Acrobat PDFMaker 17 for Word</vt:lpwstr>
  </property>
  <property fmtid="{D5CDD505-2E9C-101B-9397-08002B2CF9AE}" pid="4" name="LastSaved">
    <vt:filetime>2021-11-10T00:00:00Z</vt:filetime>
  </property>
  <property fmtid="{D5CDD505-2E9C-101B-9397-08002B2CF9AE}" pid="5" name="MSIP_Label_ff6dbec8-95a8-4638-9f5f-bd076536645c_Enabled">
    <vt:lpwstr>true</vt:lpwstr>
  </property>
  <property fmtid="{D5CDD505-2E9C-101B-9397-08002B2CF9AE}" pid="6" name="MSIP_Label_ff6dbec8-95a8-4638-9f5f-bd076536645c_SetDate">
    <vt:lpwstr>2022-03-02T07:53:09Z</vt:lpwstr>
  </property>
  <property fmtid="{D5CDD505-2E9C-101B-9397-08002B2CF9AE}" pid="7" name="MSIP_Label_ff6dbec8-95a8-4638-9f5f-bd076536645c_Method">
    <vt:lpwstr>Standard</vt:lpwstr>
  </property>
  <property fmtid="{D5CDD505-2E9C-101B-9397-08002B2CF9AE}" pid="8" name="MSIP_Label_ff6dbec8-95a8-4638-9f5f-bd076536645c_Name">
    <vt:lpwstr>Restricted - Default</vt:lpwstr>
  </property>
  <property fmtid="{D5CDD505-2E9C-101B-9397-08002B2CF9AE}" pid="9" name="MSIP_Label_ff6dbec8-95a8-4638-9f5f-bd076536645c_SiteId">
    <vt:lpwstr>5dbf1add-202a-4b8d-815b-bf0fb024e033</vt:lpwstr>
  </property>
  <property fmtid="{D5CDD505-2E9C-101B-9397-08002B2CF9AE}" pid="10" name="MSIP_Label_ff6dbec8-95a8-4638-9f5f-bd076536645c_ActionId">
    <vt:lpwstr>7f331a93-4196-4224-b45a-b50a4d03a190</vt:lpwstr>
  </property>
  <property fmtid="{D5CDD505-2E9C-101B-9397-08002B2CF9AE}" pid="11" name="MSIP_Label_ff6dbec8-95a8-4638-9f5f-bd076536645c_ContentBits">
    <vt:lpwstr>0</vt:lpwstr>
  </property>
  <property fmtid="{D5CDD505-2E9C-101B-9397-08002B2CF9AE}" pid="12" name="KSOTemplateDocerSaveRecord">
    <vt:lpwstr>eyJoZGlkIjoiMDJiMzI3ODBiNTFmMWRjNDUyMjM1ZmZjODY5NDc2MWMiLCJ1c2VySWQiOiI0NTQ4Nzg1NzAifQ==</vt:lpwstr>
  </property>
  <property fmtid="{D5CDD505-2E9C-101B-9397-08002B2CF9AE}" pid="13" name="KSOProductBuildVer">
    <vt:lpwstr>2052-12.1.0.21915</vt:lpwstr>
  </property>
  <property fmtid="{D5CDD505-2E9C-101B-9397-08002B2CF9AE}" pid="14" name="ICV">
    <vt:lpwstr>8C78A70C970341DEA557E228B297F232_12</vt:lpwstr>
  </property>
</Properties>
</file>