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4BEB1">
      <w:pPr>
        <w:pBdr>
          <w:bottom w:val="single" w:color="auto" w:sz="4" w:space="1"/>
        </w:pBdr>
        <w:spacing w:before="195"/>
        <w:jc w:val="center"/>
        <w:rPr>
          <w:b/>
          <w:snapToGrid w:val="0"/>
          <w:sz w:val="44"/>
          <w:szCs w:val="44"/>
        </w:rPr>
      </w:pPr>
      <w:bookmarkStart w:id="0" w:name="_Toc426899804"/>
      <w:bookmarkStart w:id="43" w:name="_GoBack"/>
      <w:bookmarkEnd w:id="43"/>
      <w:r>
        <w:rPr>
          <w:rFonts w:hint="eastAsia"/>
          <w:b/>
          <w:snapToGrid w:val="0"/>
          <w:sz w:val="44"/>
          <w:szCs w:val="44"/>
          <w:shd w:val="clear" w:color="auto" w:fill="FFFFFF"/>
        </w:rPr>
        <w:t>行业和FDA工作人员指南</w:t>
      </w:r>
    </w:p>
    <w:p w14:paraId="25351628">
      <w:pPr>
        <w:spacing w:before="195"/>
        <w:jc w:val="center"/>
        <w:rPr>
          <w:b/>
          <w:snapToGrid w:val="0"/>
          <w:sz w:val="44"/>
          <w:szCs w:val="44"/>
          <w:shd w:val="clear" w:color="auto" w:fill="FFFFFF"/>
        </w:rPr>
      </w:pPr>
      <w:r>
        <w:rPr>
          <w:rFonts w:hint="eastAsia"/>
          <w:b/>
          <w:snapToGrid w:val="0"/>
          <w:sz w:val="44"/>
          <w:szCs w:val="44"/>
        </w:rPr>
        <w:t>体外诊断器械中定性评估粪便潜血的</w:t>
      </w:r>
      <w:r>
        <w:rPr>
          <w:b/>
          <w:snapToGrid w:val="0"/>
          <w:sz w:val="44"/>
          <w:szCs w:val="44"/>
        </w:rPr>
        <w:br w:type="textWrapping"/>
      </w:r>
      <w:r>
        <w:rPr>
          <w:rFonts w:hint="eastAsia"/>
          <w:b/>
          <w:snapToGrid w:val="0"/>
          <w:sz w:val="44"/>
          <w:szCs w:val="44"/>
        </w:rPr>
        <w:t>审查标准</w:t>
      </w:r>
    </w:p>
    <w:p w14:paraId="7BBF5408">
      <w:pPr>
        <w:spacing w:before="195"/>
        <w:rPr>
          <w:snapToGrid w:val="0"/>
        </w:rPr>
      </w:pPr>
    </w:p>
    <w:p w14:paraId="74A971AF">
      <w:pPr>
        <w:spacing w:before="195"/>
        <w:rPr>
          <w:snapToGrid w:val="0"/>
        </w:rPr>
      </w:pPr>
    </w:p>
    <w:p w14:paraId="7F3F5FD1">
      <w:pPr>
        <w:spacing w:before="195"/>
        <w:jc w:val="center"/>
        <w:rPr>
          <w:b/>
          <w:snapToGrid w:val="0"/>
          <w:shd w:val="clear" w:color="auto" w:fill="FFFFFF"/>
        </w:rPr>
      </w:pPr>
      <w:r>
        <w:rPr>
          <w:rFonts w:hint="eastAsia"/>
          <w:b/>
          <w:snapToGrid w:val="0"/>
          <w:shd w:val="clear" w:color="auto" w:fill="FFFFFF"/>
        </w:rPr>
        <w:t>文件发布日期：2007年8月8日</w:t>
      </w:r>
    </w:p>
    <w:p w14:paraId="135C9B63">
      <w:pPr>
        <w:spacing w:before="195"/>
        <w:rPr>
          <w:snapToGrid w:val="0"/>
          <w:shd w:val="clear" w:color="auto" w:fill="FFFFFF"/>
        </w:rPr>
      </w:pPr>
    </w:p>
    <w:p w14:paraId="5EA9A0B6">
      <w:pPr>
        <w:spacing w:before="195"/>
        <w:rPr>
          <w:snapToGrid w:val="0"/>
          <w:shd w:val="clear" w:color="auto" w:fill="FFFFFF"/>
        </w:rPr>
      </w:pPr>
    </w:p>
    <w:p w14:paraId="3BA52D5F">
      <w:pPr>
        <w:spacing w:before="195"/>
        <w:rPr>
          <w:snapToGrid w:val="0"/>
          <w:shd w:val="clear" w:color="auto" w:fill="FFFFFF"/>
        </w:rPr>
      </w:pPr>
    </w:p>
    <w:p w14:paraId="5F2AA18D">
      <w:pPr>
        <w:spacing w:before="195"/>
        <w:ind w:left="720" w:leftChars="300" w:right="720" w:rightChars="300"/>
        <w:jc w:val="center"/>
        <w:rPr>
          <w:b/>
          <w:snapToGrid w:val="0"/>
          <w:shd w:val="clear" w:color="auto" w:fill="FFFFFF"/>
        </w:rPr>
      </w:pPr>
      <w:r>
        <w:rPr>
          <w:rFonts w:hint="eastAsia"/>
          <w:b/>
          <w:snapToGrid w:val="0"/>
          <w:shd w:val="clear" w:color="auto" w:fill="FFFFFF"/>
        </w:rPr>
        <w:t>本文件替代1992年7月29日发布的《</w:t>
      </w:r>
      <w:r>
        <w:rPr>
          <w:rFonts w:hint="eastAsia"/>
          <w:b/>
          <w:snapToGrid w:val="0"/>
        </w:rPr>
        <w:t>在体外诊断医疗器械中评估粪便潜血的审查标准</w:t>
      </w:r>
      <w:r>
        <w:rPr>
          <w:rFonts w:hint="eastAsia"/>
          <w:b/>
          <w:snapToGrid w:val="0"/>
          <w:shd w:val="clear" w:color="auto" w:fill="FFFFFF"/>
        </w:rPr>
        <w:t>》</w:t>
      </w:r>
    </w:p>
    <w:p w14:paraId="1BE1A2A3">
      <w:pPr>
        <w:spacing w:before="195"/>
        <w:rPr>
          <w:snapToGrid w:val="0"/>
          <w:shd w:val="clear" w:color="auto" w:fill="FFFFFF"/>
        </w:rPr>
      </w:pPr>
    </w:p>
    <w:p w14:paraId="5AFDDEEB">
      <w:pPr>
        <w:spacing w:before="195"/>
        <w:rPr>
          <w:snapToGrid w:val="0"/>
          <w:u w:val="single"/>
        </w:rPr>
      </w:pPr>
      <w:r>
        <w:rPr>
          <w:snapToGrid w:val="0"/>
          <w:shd w:val="clear" w:color="auto" w:fill="FFFFFF"/>
        </w:rPr>
        <w:t>有关此文档的问题，请联系</w:t>
      </w:r>
      <w:r>
        <w:rPr>
          <w:snapToGrid w:val="0"/>
        </w:rPr>
        <w:t>Tremel A. Faison，电话号码：240-276-0994，或发送电子</w:t>
      </w:r>
      <w:r>
        <w:rPr>
          <w:snapToGrid w:val="0"/>
        </w:rPr>
        <w:fldChar w:fldCharType="begin"/>
      </w:r>
      <w:r>
        <w:rPr>
          <w:snapToGrid w:val="0"/>
        </w:rPr>
        <w:instrText xml:space="preserve"> HYPERLINK "mailto:邮件至</w:instrText>
      </w:r>
      <w:r>
        <w:rPr>
          <w:snapToGrid w:val="0"/>
          <w:u w:val="single"/>
        </w:rPr>
        <w:instrText xml:space="preserve">tremel.faison@fda.hhs.gov</w:instrText>
      </w:r>
      <w:r>
        <w:rPr>
          <w:snapToGrid w:val="0"/>
        </w:rPr>
        <w:instrText xml:space="preserve">" </w:instrText>
      </w:r>
      <w:r>
        <w:rPr>
          <w:snapToGrid w:val="0"/>
        </w:rPr>
        <w:fldChar w:fldCharType="separate"/>
      </w:r>
      <w:r>
        <w:t>邮件至</w:t>
      </w:r>
      <w:r>
        <w:rPr>
          <w:rStyle w:val="27"/>
          <w:snapToGrid w:val="0"/>
        </w:rPr>
        <w:t>tremel.faison@fda.hhs.gov</w:t>
      </w:r>
      <w:r>
        <w:rPr>
          <w:snapToGrid w:val="0"/>
        </w:rPr>
        <w:fldChar w:fldCharType="end"/>
      </w:r>
    </w:p>
    <w:p w14:paraId="2F37FF74">
      <w:pPr>
        <w:spacing w:before="195"/>
        <w:rPr>
          <w:snapToGrid w:val="0"/>
        </w:rPr>
      </w:pPr>
    </w:p>
    <w:p w14:paraId="7B23CEF2">
      <w:pPr>
        <w:spacing w:before="195"/>
        <w:rPr>
          <w:snapToGrid w:val="0"/>
        </w:rPr>
      </w:pPr>
      <w:r>
        <w:drawing>
          <wp:anchor distT="0" distB="0" distL="114300" distR="114300" simplePos="0" relativeHeight="251659264" behindDoc="1" locked="0" layoutInCell="1" allowOverlap="1">
            <wp:simplePos x="0" y="0"/>
            <wp:positionH relativeFrom="margin">
              <wp:posOffset>-33655</wp:posOffset>
            </wp:positionH>
            <wp:positionV relativeFrom="margin">
              <wp:posOffset>5571490</wp:posOffset>
            </wp:positionV>
            <wp:extent cx="1337310" cy="1198880"/>
            <wp:effectExtent l="0" t="0" r="0" b="127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337310" cy="1198880"/>
                    </a:xfrm>
                    <a:prstGeom prst="rect">
                      <a:avLst/>
                    </a:prstGeom>
                    <a:noFill/>
                  </pic:spPr>
                </pic:pic>
              </a:graphicData>
            </a:graphic>
          </wp:anchor>
        </w:drawing>
      </w:r>
    </w:p>
    <w:p w14:paraId="326E36E3">
      <w:pPr>
        <w:spacing w:before="195"/>
        <w:rPr>
          <w:snapToGrid w:val="0"/>
        </w:rPr>
      </w:pPr>
    </w:p>
    <w:p w14:paraId="59CD17B4">
      <w:pPr>
        <w:spacing w:before="195"/>
        <w:rPr>
          <w:snapToGrid w:val="0"/>
        </w:rPr>
      </w:pPr>
    </w:p>
    <w:p w14:paraId="18EEBE7C">
      <w:pPr>
        <w:spacing w:before="195"/>
        <w:jc w:val="right"/>
        <w:rPr>
          <w:b/>
          <w:snapToGrid w:val="0"/>
        </w:rPr>
      </w:pPr>
      <w:r>
        <w:rPr>
          <w:rFonts w:hint="eastAsia"/>
          <w:b/>
          <w:snapToGrid w:val="0"/>
        </w:rPr>
        <w:t>美国卫生与公众服务部</w:t>
      </w:r>
      <w:r>
        <w:rPr>
          <w:b/>
          <w:snapToGrid w:val="0"/>
        </w:rPr>
        <w:br w:type="textWrapping"/>
      </w:r>
      <w:r>
        <w:rPr>
          <w:rFonts w:hint="eastAsia"/>
          <w:b/>
          <w:snapToGrid w:val="0"/>
        </w:rPr>
        <w:t>食品药品监督管理局</w:t>
      </w:r>
      <w:r>
        <w:rPr>
          <w:b/>
          <w:snapToGrid w:val="0"/>
        </w:rPr>
        <w:br w:type="textWrapping"/>
      </w:r>
      <w:r>
        <w:rPr>
          <w:rFonts w:hint="eastAsia"/>
          <w:b/>
          <w:snapToGrid w:val="0"/>
        </w:rPr>
        <w:t>器械与放射健康中心</w:t>
      </w:r>
      <w:r>
        <w:rPr>
          <w:b/>
          <w:snapToGrid w:val="0"/>
        </w:rPr>
        <w:br w:type="textWrapping"/>
      </w:r>
      <w:r>
        <w:rPr>
          <w:rFonts w:hint="eastAsia"/>
          <w:b/>
          <w:snapToGrid w:val="0"/>
        </w:rPr>
        <w:t>体外诊断器械评价与安全办公室</w:t>
      </w:r>
      <w:r>
        <w:rPr>
          <w:b/>
          <w:snapToGrid w:val="0"/>
        </w:rPr>
        <w:br w:type="textWrapping"/>
      </w:r>
      <w:r>
        <w:rPr>
          <w:rFonts w:hint="eastAsia"/>
          <w:b/>
          <w:snapToGrid w:val="0"/>
        </w:rPr>
        <w:t>免疫学与血液学科</w:t>
      </w:r>
    </w:p>
    <w:p w14:paraId="7FCA9FC3">
      <w:pPr>
        <w:spacing w:before="195"/>
        <w:jc w:val="right"/>
        <w:rPr>
          <w:b/>
          <w:snapToGrid w:val="0"/>
        </w:rPr>
      </w:pPr>
    </w:p>
    <w:p w14:paraId="463D2424">
      <w:pPr>
        <w:spacing w:before="195"/>
        <w:jc w:val="center"/>
        <w:rPr>
          <w:snapToGrid w:val="0"/>
        </w:rPr>
      </w:pPr>
      <w:r>
        <w:rPr>
          <w:snapToGrid w:val="0"/>
        </w:rPr>
        <w:br w:type="page"/>
      </w:r>
      <w:r>
        <w:rPr>
          <w:rFonts w:hint="eastAsia"/>
          <w:b/>
          <w:snapToGrid w:val="0"/>
          <w:sz w:val="32"/>
          <w:szCs w:val="32"/>
          <w:shd w:val="clear" w:color="auto" w:fill="FFFFFF"/>
        </w:rPr>
        <w:t>序言</w:t>
      </w:r>
    </w:p>
    <w:p w14:paraId="5CA8249E">
      <w:pPr>
        <w:spacing w:before="195"/>
        <w:rPr>
          <w:snapToGrid w:val="0"/>
          <w:szCs w:val="21"/>
          <w:shd w:val="clear" w:color="auto" w:fill="FFFFFF"/>
        </w:rPr>
      </w:pPr>
    </w:p>
    <w:p w14:paraId="7798E333">
      <w:pPr>
        <w:spacing w:before="195"/>
        <w:rPr>
          <w:b/>
          <w:snapToGrid w:val="0"/>
          <w:sz w:val="28"/>
          <w:szCs w:val="28"/>
          <w:shd w:val="clear" w:color="auto" w:fill="FFFFFF"/>
        </w:rPr>
      </w:pPr>
      <w:r>
        <w:rPr>
          <w:rFonts w:hint="eastAsia"/>
          <w:b/>
          <w:snapToGrid w:val="0"/>
          <w:sz w:val="28"/>
          <w:szCs w:val="28"/>
          <w:shd w:val="clear" w:color="auto" w:fill="FFFFFF"/>
        </w:rPr>
        <w:t>公众评论</w:t>
      </w:r>
    </w:p>
    <w:p w14:paraId="62D3288C">
      <w:pPr>
        <w:spacing w:before="195"/>
        <w:rPr>
          <w:snapToGrid w:val="0"/>
          <w:shd w:val="clear" w:color="auto" w:fill="FFFFFF"/>
        </w:rPr>
      </w:pPr>
      <w:r>
        <w:rPr>
          <w:snapToGrid w:val="0"/>
          <w:shd w:val="clear" w:color="auto" w:fill="FFFFFF"/>
        </w:rPr>
        <w:t>评论和建议可在任何时间提交至</w:t>
      </w:r>
      <w:r>
        <w:rPr>
          <w:snapToGrid w:val="0"/>
        </w:rPr>
        <w:t>食品药品监督管理局</w:t>
      </w:r>
      <w:r>
        <w:rPr>
          <w:snapToGrid w:val="0"/>
          <w:shd w:val="clear" w:color="auto" w:fill="FFFFFF"/>
        </w:rPr>
        <w:t>文档管理部</w:t>
      </w:r>
      <w:r>
        <w:rPr>
          <w:snapToGrid w:val="0"/>
        </w:rPr>
        <w:t>，5630 Fishers Lane，Room 1061，（HFA-305），Rockville，MD，20852</w:t>
      </w:r>
      <w:r>
        <w:rPr>
          <w:rFonts w:hint="eastAsia"/>
          <w:snapToGrid w:val="0"/>
        </w:rPr>
        <w:t>，</w:t>
      </w:r>
      <w:r>
        <w:rPr>
          <w:snapToGrid w:val="0"/>
        </w:rPr>
        <w:t>供</w:t>
      </w:r>
      <w:r>
        <w:rPr>
          <w:snapToGrid w:val="0"/>
          <w:shd w:val="clear" w:color="auto" w:fill="FFFFFF"/>
        </w:rPr>
        <w:t>部门审议。或者，可</w:t>
      </w:r>
      <w:r>
        <w:rPr>
          <w:rFonts w:hint="eastAsia"/>
          <w:snapToGrid w:val="0"/>
          <w:shd w:val="clear" w:color="auto" w:fill="FFFFFF"/>
        </w:rPr>
        <w:t>以</w:t>
      </w:r>
      <w:r>
        <w:rPr>
          <w:snapToGrid w:val="0"/>
          <w:shd w:val="clear" w:color="auto" w:fill="FFFFFF"/>
        </w:rPr>
        <w:t>提交电子版的评论至</w:t>
      </w:r>
      <w:r>
        <w:fldChar w:fldCharType="begin"/>
      </w:r>
      <w:r>
        <w:instrText xml:space="preserve"> HYPERLINK "http://www.fda.gov/dockets/ecomments" </w:instrText>
      </w:r>
      <w:r>
        <w:fldChar w:fldCharType="separate"/>
      </w:r>
      <w:r>
        <w:rPr>
          <w:rStyle w:val="27"/>
          <w:rFonts w:cs="Arial"/>
          <w:snapToGrid w:val="0"/>
          <w:kern w:val="0"/>
          <w:szCs w:val="24"/>
        </w:rPr>
        <w:t>http: //www.fda.gov/dockets/ecomments</w:t>
      </w:r>
      <w:r>
        <w:rPr>
          <w:rStyle w:val="27"/>
          <w:rFonts w:cs="Arial"/>
          <w:snapToGrid w:val="0"/>
          <w:kern w:val="0"/>
          <w:szCs w:val="24"/>
        </w:rPr>
        <w:fldChar w:fldCharType="end"/>
      </w:r>
      <w:r>
        <w:rPr>
          <w:rFonts w:hint="eastAsia"/>
          <w:snapToGrid w:val="0"/>
        </w:rPr>
        <w:t>。</w:t>
      </w:r>
      <w:r>
        <w:rPr>
          <w:snapToGrid w:val="0"/>
          <w:shd w:val="clear" w:color="auto" w:fill="FFFFFF"/>
        </w:rPr>
        <w:t>提交评论时，请参阅本指导文件的确切名称。</w:t>
      </w:r>
      <w:r>
        <w:rPr>
          <w:rFonts w:hint="eastAsia"/>
          <w:snapToGrid w:val="0"/>
          <w:shd w:val="clear" w:color="auto" w:fill="FFFFFF"/>
        </w:rPr>
        <w:t>可能直到文件下次修订或更新时，评论才会被机构受理。</w:t>
      </w:r>
    </w:p>
    <w:p w14:paraId="61DFB381">
      <w:pPr>
        <w:spacing w:before="195"/>
        <w:rPr>
          <w:b/>
          <w:snapToGrid w:val="0"/>
          <w:sz w:val="28"/>
          <w:szCs w:val="28"/>
          <w:shd w:val="clear" w:color="auto" w:fill="FFFFFF"/>
        </w:rPr>
      </w:pPr>
      <w:r>
        <w:rPr>
          <w:rFonts w:hint="eastAsia"/>
          <w:b/>
          <w:snapToGrid w:val="0"/>
          <w:sz w:val="28"/>
          <w:szCs w:val="28"/>
          <w:shd w:val="clear" w:color="auto" w:fill="FFFFFF"/>
        </w:rPr>
        <w:t>其他副本</w:t>
      </w:r>
    </w:p>
    <w:p w14:paraId="3AFAC0C3">
      <w:pPr>
        <w:spacing w:before="195"/>
        <w:rPr>
          <w:snapToGrid w:val="0"/>
          <w:shd w:val="clear" w:color="auto" w:fill="FFFFFF"/>
        </w:rPr>
      </w:pPr>
      <w:r>
        <w:rPr>
          <w:snapToGrid w:val="0"/>
          <w:shd w:val="clear" w:color="auto" w:fill="FFFFFF"/>
        </w:rPr>
        <w:t>其他副本可从互联网上获得：</w:t>
      </w:r>
    </w:p>
    <w:p w14:paraId="07FE519D">
      <w:pPr>
        <w:spacing w:before="195"/>
        <w:rPr>
          <w:snapToGrid w:val="0"/>
          <w:shd w:val="clear" w:color="auto" w:fill="FFFFFF"/>
        </w:rPr>
      </w:pPr>
      <w:r>
        <w:fldChar w:fldCharType="begin"/>
      </w:r>
      <w:r>
        <w:instrText xml:space="preserve"> HYPERLINK "http://www.fda.gov/cdrh/oivd/guidance/772.pdf" </w:instrText>
      </w:r>
      <w:r>
        <w:fldChar w:fldCharType="separate"/>
      </w:r>
      <w:r>
        <w:rPr>
          <w:rStyle w:val="27"/>
          <w:rFonts w:cs="Arial"/>
          <w:snapToGrid w:val="0"/>
          <w:kern w:val="0"/>
          <w:szCs w:val="24"/>
        </w:rPr>
        <w:t>http: //www.fda.gov/cdrh/oivd/guidance/772.pdf</w:t>
      </w:r>
      <w:r>
        <w:rPr>
          <w:rStyle w:val="27"/>
          <w:rFonts w:cs="Arial"/>
          <w:snapToGrid w:val="0"/>
          <w:kern w:val="0"/>
          <w:szCs w:val="24"/>
        </w:rPr>
        <w:fldChar w:fldCharType="end"/>
      </w:r>
      <w:r>
        <w:rPr>
          <w:rFonts w:hint="eastAsia"/>
          <w:snapToGrid w:val="0"/>
        </w:rPr>
        <w:t>。</w:t>
      </w:r>
      <w:r>
        <w:fldChar w:fldCharType="begin"/>
      </w:r>
      <w:r>
        <w:rPr>
          <w:snapToGrid w:val="0"/>
        </w:rPr>
        <w:instrText xml:space="preserve"> HYPERLINK "mailto:您也可以发送电子邮件请求至dsmica@fda.hhs.gov" </w:instrText>
      </w:r>
      <w:r>
        <w:fldChar w:fldCharType="separate"/>
      </w:r>
      <w:r>
        <w:rPr>
          <w:rStyle w:val="27"/>
          <w:rFonts w:cs="Arial"/>
          <w:snapToGrid w:val="0"/>
          <w:color w:val="auto"/>
          <w:kern w:val="0"/>
          <w:szCs w:val="24"/>
          <w:u w:val="none"/>
          <w:shd w:val="clear" w:color="auto" w:fill="FFFFFF"/>
        </w:rPr>
        <w:t>贵公司也可以发送电子邮件请求至</w:t>
      </w:r>
      <w:r>
        <w:rPr>
          <w:rStyle w:val="27"/>
          <w:rFonts w:cs="Arial"/>
          <w:snapToGrid w:val="0"/>
          <w:color w:val="auto"/>
          <w:kern w:val="0"/>
          <w:szCs w:val="24"/>
          <w:u w:val="none"/>
        </w:rPr>
        <w:t>dsmica@fda.hhs.gov</w:t>
      </w:r>
      <w:r>
        <w:rPr>
          <w:rStyle w:val="27"/>
          <w:rFonts w:cs="Arial"/>
          <w:snapToGrid w:val="0"/>
          <w:color w:val="auto"/>
          <w:kern w:val="0"/>
          <w:szCs w:val="24"/>
          <w:u w:val="none"/>
        </w:rPr>
        <w:fldChar w:fldCharType="end"/>
      </w:r>
      <w:r>
        <w:rPr>
          <w:rFonts w:hint="eastAsia"/>
          <w:snapToGrid w:val="0"/>
        </w:rPr>
        <w:t>，接收指南</w:t>
      </w:r>
      <w:r>
        <w:rPr>
          <w:snapToGrid w:val="0"/>
        </w:rPr>
        <w:t>的电子</w:t>
      </w:r>
      <w:r>
        <w:rPr>
          <w:rFonts w:hint="eastAsia"/>
          <w:snapToGrid w:val="0"/>
        </w:rPr>
        <w:t>版</w:t>
      </w:r>
      <w:r>
        <w:rPr>
          <w:snapToGrid w:val="0"/>
        </w:rPr>
        <w:t>副本或通过发送传真请求至240-276-3151</w:t>
      </w:r>
      <w:r>
        <w:rPr>
          <w:rFonts w:hint="eastAsia"/>
          <w:snapToGrid w:val="0"/>
        </w:rPr>
        <w:t>接收</w:t>
      </w:r>
      <w:r>
        <w:rPr>
          <w:snapToGrid w:val="0"/>
        </w:rPr>
        <w:t>纸质版复印件。请使用文件编号772</w:t>
      </w:r>
      <w:r>
        <w:rPr>
          <w:rFonts w:hint="eastAsia"/>
          <w:snapToGrid w:val="0"/>
        </w:rPr>
        <w:t>，</w:t>
      </w:r>
      <w:r>
        <w:rPr>
          <w:snapToGrid w:val="0"/>
        </w:rPr>
        <w:t>确认贵公司所要求的指南</w:t>
      </w:r>
      <w:r>
        <w:rPr>
          <w:snapToGrid w:val="0"/>
          <w:shd w:val="clear" w:color="auto" w:fill="FFFFFF"/>
        </w:rPr>
        <w:t>。</w:t>
      </w:r>
    </w:p>
    <w:p w14:paraId="11A0BA87">
      <w:pPr>
        <w:spacing w:before="195"/>
        <w:rPr>
          <w:snapToGrid w:val="0"/>
          <w:shd w:val="clear" w:color="auto" w:fill="FFFFFF"/>
        </w:rPr>
      </w:pPr>
      <w:r>
        <w:rPr>
          <w:snapToGrid w:val="0"/>
          <w:shd w:val="clear" w:color="auto" w:fill="FFFFFF"/>
        </w:rPr>
        <w:t>有关本文件的任何问题请联系</w:t>
      </w:r>
      <w:r>
        <w:rPr>
          <w:snapToGrid w:val="0"/>
        </w:rPr>
        <w:t>Tremel A. Faison，电话号码：240-276-0994，或发送电子邮件至</w:t>
      </w:r>
      <w:r>
        <w:rPr>
          <w:snapToGrid w:val="0"/>
          <w:u w:val="single"/>
        </w:rPr>
        <w:t>tremel.faison@fda.hhs.gov</w:t>
      </w:r>
    </w:p>
    <w:p w14:paraId="19EF8739">
      <w:pPr>
        <w:spacing w:before="195"/>
        <w:rPr>
          <w:snapToGrid w:val="0"/>
          <w:shd w:val="clear" w:color="auto" w:fill="FFFFFF"/>
        </w:rPr>
      </w:pPr>
      <w:r>
        <w:rPr>
          <w:snapToGrid w:val="0"/>
          <w:shd w:val="clear" w:color="auto" w:fill="FFFFFF"/>
        </w:rPr>
        <w:br w:type="page"/>
      </w:r>
    </w:p>
    <w:p w14:paraId="6119F5E2">
      <w:pPr>
        <w:spacing w:before="195"/>
        <w:jc w:val="center"/>
        <w:rPr>
          <w:b/>
          <w:snapToGrid w:val="0"/>
          <w:sz w:val="32"/>
          <w:szCs w:val="32"/>
          <w:shd w:val="clear" w:color="auto" w:fill="FFFFFF"/>
        </w:rPr>
      </w:pPr>
      <w:r>
        <w:rPr>
          <w:b/>
          <w:snapToGrid w:val="0"/>
          <w:sz w:val="32"/>
          <w:szCs w:val="32"/>
          <w:shd w:val="clear" w:color="auto" w:fill="FFFFFF"/>
        </w:rPr>
        <w:t>目录</w:t>
      </w:r>
      <w:bookmarkEnd w:id="0"/>
    </w:p>
    <w:p w14:paraId="097CE303">
      <w:pPr>
        <w:spacing w:before="195"/>
        <w:rPr>
          <w:snapToGrid w:val="0"/>
          <w:shd w:val="clear" w:color="auto" w:fill="FFFFFF"/>
        </w:rPr>
      </w:pPr>
    </w:p>
    <w:p w14:paraId="30D773AC">
      <w:pPr>
        <w:pStyle w:val="15"/>
        <w:spacing w:before="97"/>
        <w:ind w:left="480" w:right="480" w:hanging="480"/>
        <w:rPr>
          <w:rFonts w:asciiTheme="minorHAnsi" w:hAnsiTheme="minorHAnsi" w:eastAsiaTheme="minorEastAsia" w:cstheme="minorBidi"/>
          <w:bCs w:val="0"/>
          <w:caps w:val="0"/>
          <w:sz w:val="21"/>
          <w:lang w:val="en-US"/>
        </w:rPr>
      </w:pPr>
      <w:r>
        <w:rPr>
          <w:bCs w:val="0"/>
          <w:caps w:val="0"/>
          <w:snapToGrid w:val="0"/>
        </w:rPr>
        <w:fldChar w:fldCharType="begin"/>
      </w:r>
      <w:r>
        <w:rPr>
          <w:bCs w:val="0"/>
          <w:caps w:val="0"/>
          <w:snapToGrid w:val="0"/>
        </w:rPr>
        <w:instrText xml:space="preserve"> TOC \o "1-3" \h \z \u </w:instrText>
      </w:r>
      <w:r>
        <w:rPr>
          <w:bCs w:val="0"/>
          <w:caps w:val="0"/>
          <w:snapToGrid w:val="0"/>
        </w:rPr>
        <w:fldChar w:fldCharType="separate"/>
      </w:r>
      <w:r>
        <w:fldChar w:fldCharType="begin"/>
      </w:r>
      <w:r>
        <w:instrText xml:space="preserve"> HYPERLINK \l "_Toc476728465" </w:instrText>
      </w:r>
      <w:r>
        <w:fldChar w:fldCharType="separate"/>
      </w:r>
      <w:r>
        <w:rPr>
          <w:rStyle w:val="27"/>
          <w:snapToGrid w:val="0"/>
          <w:lang w:bidi="zh-CN"/>
        </w:rPr>
        <w:t>1.</w:t>
      </w:r>
      <w:r>
        <w:rPr>
          <w:rFonts w:asciiTheme="minorHAnsi" w:hAnsiTheme="minorHAnsi" w:eastAsiaTheme="minorEastAsia" w:cstheme="minorBidi"/>
          <w:bCs w:val="0"/>
          <w:caps w:val="0"/>
          <w:sz w:val="21"/>
          <w:lang w:val="en-US"/>
        </w:rPr>
        <w:tab/>
      </w:r>
      <w:r>
        <w:rPr>
          <w:rStyle w:val="27"/>
          <w:rFonts w:hint="eastAsia"/>
          <w:snapToGrid w:val="0"/>
          <w:lang w:bidi="zh-CN"/>
        </w:rPr>
        <w:t>前言</w:t>
      </w:r>
      <w:r>
        <w:tab/>
      </w:r>
      <w:r>
        <w:fldChar w:fldCharType="begin"/>
      </w:r>
      <w:r>
        <w:instrText xml:space="preserve"> PAGEREF _Toc476728465 \h </w:instrText>
      </w:r>
      <w:r>
        <w:fldChar w:fldCharType="separate"/>
      </w:r>
      <w:r>
        <w:t>4</w:t>
      </w:r>
      <w:r>
        <w:fldChar w:fldCharType="end"/>
      </w:r>
      <w:r>
        <w:fldChar w:fldCharType="end"/>
      </w:r>
    </w:p>
    <w:p w14:paraId="7DD91EF7">
      <w:pPr>
        <w:pStyle w:val="15"/>
        <w:spacing w:before="97"/>
        <w:ind w:left="480" w:right="480" w:hanging="480"/>
        <w:rPr>
          <w:rFonts w:asciiTheme="minorHAnsi" w:hAnsiTheme="minorHAnsi" w:eastAsiaTheme="minorEastAsia" w:cstheme="minorBidi"/>
          <w:bCs w:val="0"/>
          <w:caps w:val="0"/>
          <w:sz w:val="21"/>
          <w:lang w:val="en-US"/>
        </w:rPr>
      </w:pPr>
      <w:r>
        <w:fldChar w:fldCharType="begin"/>
      </w:r>
      <w:r>
        <w:instrText xml:space="preserve"> HYPERLINK \l "_Toc476728466" </w:instrText>
      </w:r>
      <w:r>
        <w:fldChar w:fldCharType="separate"/>
      </w:r>
      <w:r>
        <w:rPr>
          <w:rStyle w:val="27"/>
          <w:snapToGrid w:val="0"/>
          <w:lang w:bidi="zh-CN"/>
        </w:rPr>
        <w:t>2.</w:t>
      </w:r>
      <w:r>
        <w:rPr>
          <w:rFonts w:asciiTheme="minorHAnsi" w:hAnsiTheme="minorHAnsi" w:eastAsiaTheme="minorEastAsia" w:cstheme="minorBidi"/>
          <w:bCs w:val="0"/>
          <w:caps w:val="0"/>
          <w:sz w:val="21"/>
          <w:lang w:val="en-US"/>
        </w:rPr>
        <w:tab/>
      </w:r>
      <w:r>
        <w:rPr>
          <w:rStyle w:val="27"/>
          <w:rFonts w:hint="eastAsia"/>
          <w:snapToGrid w:val="0"/>
          <w:lang w:bidi="zh-CN"/>
        </w:rPr>
        <w:t>背景</w:t>
      </w:r>
      <w:r>
        <w:tab/>
      </w:r>
      <w:r>
        <w:fldChar w:fldCharType="begin"/>
      </w:r>
      <w:r>
        <w:instrText xml:space="preserve"> PAGEREF _Toc476728466 \h </w:instrText>
      </w:r>
      <w:r>
        <w:fldChar w:fldCharType="separate"/>
      </w:r>
      <w:r>
        <w:t>5</w:t>
      </w:r>
      <w:r>
        <w:fldChar w:fldCharType="end"/>
      </w:r>
      <w:r>
        <w:fldChar w:fldCharType="end"/>
      </w:r>
    </w:p>
    <w:p w14:paraId="7A382569">
      <w:pPr>
        <w:pStyle w:val="15"/>
        <w:spacing w:before="97"/>
        <w:ind w:left="480" w:right="480" w:hanging="480"/>
        <w:rPr>
          <w:rFonts w:asciiTheme="minorHAnsi" w:hAnsiTheme="minorHAnsi" w:eastAsiaTheme="minorEastAsia" w:cstheme="minorBidi"/>
          <w:bCs w:val="0"/>
          <w:caps w:val="0"/>
          <w:sz w:val="21"/>
          <w:lang w:val="en-US"/>
        </w:rPr>
      </w:pPr>
      <w:r>
        <w:fldChar w:fldCharType="begin"/>
      </w:r>
      <w:r>
        <w:instrText xml:space="preserve"> HYPERLINK \l "_Toc476728467" </w:instrText>
      </w:r>
      <w:r>
        <w:fldChar w:fldCharType="separate"/>
      </w:r>
      <w:r>
        <w:rPr>
          <w:rStyle w:val="27"/>
          <w:snapToGrid w:val="0"/>
          <w:lang w:bidi="zh-CN"/>
        </w:rPr>
        <w:t>3.</w:t>
      </w:r>
      <w:r>
        <w:rPr>
          <w:rFonts w:asciiTheme="minorHAnsi" w:hAnsiTheme="minorHAnsi" w:eastAsiaTheme="minorEastAsia" w:cstheme="minorBidi"/>
          <w:bCs w:val="0"/>
          <w:caps w:val="0"/>
          <w:sz w:val="21"/>
          <w:lang w:val="en-US"/>
        </w:rPr>
        <w:tab/>
      </w:r>
      <w:r>
        <w:rPr>
          <w:rStyle w:val="27"/>
          <w:rFonts w:hint="eastAsia"/>
          <w:snapToGrid w:val="0"/>
          <w:lang w:bidi="zh-CN"/>
        </w:rPr>
        <w:t>范围</w:t>
      </w:r>
      <w:r>
        <w:tab/>
      </w:r>
      <w:r>
        <w:fldChar w:fldCharType="begin"/>
      </w:r>
      <w:r>
        <w:instrText xml:space="preserve"> PAGEREF _Toc476728467 \h </w:instrText>
      </w:r>
      <w:r>
        <w:fldChar w:fldCharType="separate"/>
      </w:r>
      <w:r>
        <w:t>5</w:t>
      </w:r>
      <w:r>
        <w:fldChar w:fldCharType="end"/>
      </w:r>
      <w:r>
        <w:fldChar w:fldCharType="end"/>
      </w:r>
    </w:p>
    <w:p w14:paraId="319C6B27">
      <w:pPr>
        <w:pStyle w:val="15"/>
        <w:spacing w:before="97"/>
        <w:ind w:left="480" w:right="480" w:hanging="480"/>
        <w:rPr>
          <w:rFonts w:asciiTheme="minorHAnsi" w:hAnsiTheme="minorHAnsi" w:eastAsiaTheme="minorEastAsia" w:cstheme="minorBidi"/>
          <w:bCs w:val="0"/>
          <w:caps w:val="0"/>
          <w:sz w:val="21"/>
          <w:lang w:val="en-US"/>
        </w:rPr>
      </w:pPr>
      <w:r>
        <w:fldChar w:fldCharType="begin"/>
      </w:r>
      <w:r>
        <w:instrText xml:space="preserve"> HYPERLINK \l "_Toc476728468" </w:instrText>
      </w:r>
      <w:r>
        <w:fldChar w:fldCharType="separate"/>
      </w:r>
      <w:r>
        <w:rPr>
          <w:rStyle w:val="27"/>
          <w:snapToGrid w:val="0"/>
          <w:lang w:bidi="zh-CN"/>
        </w:rPr>
        <w:t>4.</w:t>
      </w:r>
      <w:r>
        <w:rPr>
          <w:rFonts w:asciiTheme="minorHAnsi" w:hAnsiTheme="minorHAnsi" w:eastAsiaTheme="minorEastAsia" w:cstheme="minorBidi"/>
          <w:bCs w:val="0"/>
          <w:caps w:val="0"/>
          <w:sz w:val="21"/>
          <w:lang w:val="en-US"/>
        </w:rPr>
        <w:tab/>
      </w:r>
      <w:r>
        <w:rPr>
          <w:rStyle w:val="27"/>
          <w:rFonts w:hint="eastAsia"/>
          <w:snapToGrid w:val="0"/>
          <w:lang w:bidi="zh-CN"/>
        </w:rPr>
        <w:t>健康风险</w:t>
      </w:r>
      <w:r>
        <w:tab/>
      </w:r>
      <w:r>
        <w:fldChar w:fldCharType="begin"/>
      </w:r>
      <w:r>
        <w:instrText xml:space="preserve"> PAGEREF _Toc476728468 \h </w:instrText>
      </w:r>
      <w:r>
        <w:fldChar w:fldCharType="separate"/>
      </w:r>
      <w:r>
        <w:t>6</w:t>
      </w:r>
      <w:r>
        <w:fldChar w:fldCharType="end"/>
      </w:r>
      <w:r>
        <w:fldChar w:fldCharType="end"/>
      </w:r>
    </w:p>
    <w:p w14:paraId="74432DAC">
      <w:pPr>
        <w:pStyle w:val="15"/>
        <w:spacing w:before="97"/>
        <w:ind w:left="480" w:right="480" w:hanging="480"/>
        <w:rPr>
          <w:rFonts w:asciiTheme="minorHAnsi" w:hAnsiTheme="minorHAnsi" w:eastAsiaTheme="minorEastAsia" w:cstheme="minorBidi"/>
          <w:bCs w:val="0"/>
          <w:caps w:val="0"/>
          <w:sz w:val="21"/>
          <w:lang w:val="en-US"/>
        </w:rPr>
      </w:pPr>
      <w:r>
        <w:fldChar w:fldCharType="begin"/>
      </w:r>
      <w:r>
        <w:instrText xml:space="preserve"> HYPERLINK \l "_Toc476728469" </w:instrText>
      </w:r>
      <w:r>
        <w:fldChar w:fldCharType="separate"/>
      </w:r>
      <w:r>
        <w:rPr>
          <w:rStyle w:val="27"/>
          <w:snapToGrid w:val="0"/>
          <w:lang w:bidi="zh-CN"/>
        </w:rPr>
        <w:t>5.</w:t>
      </w:r>
      <w:r>
        <w:rPr>
          <w:rFonts w:asciiTheme="minorHAnsi" w:hAnsiTheme="minorHAnsi" w:eastAsiaTheme="minorEastAsia" w:cstheme="minorBidi"/>
          <w:bCs w:val="0"/>
          <w:caps w:val="0"/>
          <w:sz w:val="21"/>
          <w:lang w:val="en-US"/>
        </w:rPr>
        <w:tab/>
      </w:r>
      <w:r>
        <w:rPr>
          <w:rStyle w:val="27"/>
          <w:snapToGrid w:val="0"/>
          <w:lang w:bidi="zh-CN"/>
        </w:rPr>
        <w:t>FOB</w:t>
      </w:r>
      <w:r>
        <w:rPr>
          <w:rStyle w:val="27"/>
          <w:rFonts w:hint="eastAsia"/>
          <w:snapToGrid w:val="0"/>
          <w:lang w:bidi="zh-CN"/>
        </w:rPr>
        <w:t>检测的类型</w:t>
      </w:r>
      <w:r>
        <w:tab/>
      </w:r>
      <w:r>
        <w:fldChar w:fldCharType="begin"/>
      </w:r>
      <w:r>
        <w:instrText xml:space="preserve"> PAGEREF _Toc476728469 \h </w:instrText>
      </w:r>
      <w:r>
        <w:fldChar w:fldCharType="separate"/>
      </w:r>
      <w:r>
        <w:t>7</w:t>
      </w:r>
      <w:r>
        <w:fldChar w:fldCharType="end"/>
      </w:r>
      <w:r>
        <w:fldChar w:fldCharType="end"/>
      </w:r>
    </w:p>
    <w:p w14:paraId="5F3BCF33">
      <w:pPr>
        <w:pStyle w:val="19"/>
        <w:rPr>
          <w:rFonts w:asciiTheme="minorHAnsi" w:hAnsiTheme="minorHAnsi" w:eastAsiaTheme="minorEastAsia" w:cstheme="minorBidi"/>
          <w:sz w:val="21"/>
          <w:lang w:val="en-US"/>
        </w:rPr>
      </w:pPr>
      <w:r>
        <w:fldChar w:fldCharType="begin"/>
      </w:r>
      <w:r>
        <w:instrText xml:space="preserve"> HYPERLINK \l "_Toc476728470" </w:instrText>
      </w:r>
      <w:r>
        <w:fldChar w:fldCharType="separate"/>
      </w:r>
      <w:r>
        <w:rPr>
          <w:rStyle w:val="27"/>
          <w:rFonts w:hint="eastAsia"/>
          <w:snapToGrid w:val="0"/>
          <w:shd w:val="clear" w:color="auto" w:fill="FFFFFF"/>
        </w:rPr>
        <w:t>愈创木脂</w:t>
      </w:r>
      <w:r>
        <w:tab/>
      </w:r>
      <w:r>
        <w:fldChar w:fldCharType="begin"/>
      </w:r>
      <w:r>
        <w:instrText xml:space="preserve"> PAGEREF _Toc476728470 \h </w:instrText>
      </w:r>
      <w:r>
        <w:fldChar w:fldCharType="separate"/>
      </w:r>
      <w:r>
        <w:t>7</w:t>
      </w:r>
      <w:r>
        <w:fldChar w:fldCharType="end"/>
      </w:r>
      <w:r>
        <w:fldChar w:fldCharType="end"/>
      </w:r>
    </w:p>
    <w:p w14:paraId="5440E42A">
      <w:pPr>
        <w:pStyle w:val="19"/>
        <w:rPr>
          <w:rFonts w:asciiTheme="minorHAnsi" w:hAnsiTheme="minorHAnsi" w:eastAsiaTheme="minorEastAsia" w:cstheme="minorBidi"/>
          <w:sz w:val="21"/>
          <w:lang w:val="en-US"/>
        </w:rPr>
      </w:pPr>
      <w:r>
        <w:fldChar w:fldCharType="begin"/>
      </w:r>
      <w:r>
        <w:instrText xml:space="preserve"> HYPERLINK \l "_Toc476728471" </w:instrText>
      </w:r>
      <w:r>
        <w:fldChar w:fldCharType="separate"/>
      </w:r>
      <w:r>
        <w:rPr>
          <w:rStyle w:val="27"/>
          <w:rFonts w:hint="eastAsia"/>
          <w:snapToGrid w:val="0"/>
          <w:shd w:val="clear" w:color="auto" w:fill="FFFFFF"/>
        </w:rPr>
        <w:t>免疫学</w:t>
      </w:r>
      <w:r>
        <w:tab/>
      </w:r>
      <w:r>
        <w:fldChar w:fldCharType="begin"/>
      </w:r>
      <w:r>
        <w:instrText xml:space="preserve"> PAGEREF _Toc476728471 \h </w:instrText>
      </w:r>
      <w:r>
        <w:fldChar w:fldCharType="separate"/>
      </w:r>
      <w:r>
        <w:t>7</w:t>
      </w:r>
      <w:r>
        <w:fldChar w:fldCharType="end"/>
      </w:r>
      <w:r>
        <w:fldChar w:fldCharType="end"/>
      </w:r>
    </w:p>
    <w:p w14:paraId="439C3254">
      <w:pPr>
        <w:pStyle w:val="15"/>
        <w:spacing w:before="97"/>
        <w:ind w:left="480" w:right="480" w:hanging="480"/>
        <w:rPr>
          <w:rFonts w:asciiTheme="minorHAnsi" w:hAnsiTheme="minorHAnsi" w:eastAsiaTheme="minorEastAsia" w:cstheme="minorBidi"/>
          <w:bCs w:val="0"/>
          <w:caps w:val="0"/>
          <w:sz w:val="21"/>
          <w:lang w:val="en-US"/>
        </w:rPr>
      </w:pPr>
      <w:r>
        <w:fldChar w:fldCharType="begin"/>
      </w:r>
      <w:r>
        <w:instrText xml:space="preserve"> HYPERLINK \l "_Toc476728472" </w:instrText>
      </w:r>
      <w:r>
        <w:fldChar w:fldCharType="separate"/>
      </w:r>
      <w:r>
        <w:rPr>
          <w:rStyle w:val="27"/>
          <w:snapToGrid w:val="0"/>
          <w:lang w:bidi="zh-CN"/>
        </w:rPr>
        <w:t>6.</w:t>
      </w:r>
      <w:r>
        <w:rPr>
          <w:rFonts w:asciiTheme="minorHAnsi" w:hAnsiTheme="minorHAnsi" w:eastAsiaTheme="minorEastAsia" w:cstheme="minorBidi"/>
          <w:bCs w:val="0"/>
          <w:caps w:val="0"/>
          <w:sz w:val="21"/>
          <w:lang w:val="en-US"/>
        </w:rPr>
        <w:tab/>
      </w:r>
      <w:r>
        <w:rPr>
          <w:rStyle w:val="27"/>
          <w:rFonts w:hint="eastAsia"/>
          <w:snapToGrid w:val="0"/>
          <w:lang w:bidi="zh-CN"/>
        </w:rPr>
        <w:t>分析性能特征</w:t>
      </w:r>
      <w:r>
        <w:tab/>
      </w:r>
      <w:r>
        <w:fldChar w:fldCharType="begin"/>
      </w:r>
      <w:r>
        <w:instrText xml:space="preserve"> PAGEREF _Toc476728472 \h </w:instrText>
      </w:r>
      <w:r>
        <w:fldChar w:fldCharType="separate"/>
      </w:r>
      <w:r>
        <w:t>8</w:t>
      </w:r>
      <w:r>
        <w:fldChar w:fldCharType="end"/>
      </w:r>
      <w:r>
        <w:fldChar w:fldCharType="end"/>
      </w:r>
    </w:p>
    <w:p w14:paraId="5A1EE680">
      <w:pPr>
        <w:pStyle w:val="15"/>
        <w:spacing w:before="97"/>
        <w:ind w:left="480" w:right="480" w:hanging="480"/>
        <w:rPr>
          <w:rFonts w:asciiTheme="minorHAnsi" w:hAnsiTheme="minorHAnsi" w:eastAsiaTheme="minorEastAsia" w:cstheme="minorBidi"/>
          <w:bCs w:val="0"/>
          <w:caps w:val="0"/>
          <w:sz w:val="21"/>
          <w:lang w:val="en-US"/>
        </w:rPr>
      </w:pPr>
      <w:r>
        <w:fldChar w:fldCharType="begin"/>
      </w:r>
      <w:r>
        <w:instrText xml:space="preserve"> HYPERLINK \l "_Toc476728473" </w:instrText>
      </w:r>
      <w:r>
        <w:fldChar w:fldCharType="separate"/>
      </w:r>
      <w:r>
        <w:rPr>
          <w:rStyle w:val="27"/>
          <w:snapToGrid w:val="0"/>
          <w:lang w:bidi="zh-CN"/>
        </w:rPr>
        <w:t>7.</w:t>
      </w:r>
      <w:r>
        <w:rPr>
          <w:rFonts w:asciiTheme="minorHAnsi" w:hAnsiTheme="minorHAnsi" w:eastAsiaTheme="minorEastAsia" w:cstheme="minorBidi"/>
          <w:bCs w:val="0"/>
          <w:caps w:val="0"/>
          <w:sz w:val="21"/>
          <w:lang w:val="en-US"/>
        </w:rPr>
        <w:tab/>
      </w:r>
      <w:r>
        <w:rPr>
          <w:rStyle w:val="27"/>
          <w:rFonts w:hint="eastAsia"/>
          <w:snapToGrid w:val="0"/>
          <w:lang w:bidi="zh-CN"/>
        </w:rPr>
        <w:t>方法比较</w:t>
      </w:r>
      <w:r>
        <w:tab/>
      </w:r>
      <w:r>
        <w:fldChar w:fldCharType="begin"/>
      </w:r>
      <w:r>
        <w:instrText xml:space="preserve"> PAGEREF _Toc476728473 \h </w:instrText>
      </w:r>
      <w:r>
        <w:fldChar w:fldCharType="separate"/>
      </w:r>
      <w:r>
        <w:t>12</w:t>
      </w:r>
      <w:r>
        <w:fldChar w:fldCharType="end"/>
      </w:r>
      <w:r>
        <w:fldChar w:fldCharType="end"/>
      </w:r>
    </w:p>
    <w:p w14:paraId="4BB124B1">
      <w:pPr>
        <w:pStyle w:val="15"/>
        <w:spacing w:before="97"/>
        <w:ind w:left="480" w:right="480" w:hanging="480"/>
        <w:rPr>
          <w:rFonts w:asciiTheme="minorHAnsi" w:hAnsiTheme="minorHAnsi" w:eastAsiaTheme="minorEastAsia" w:cstheme="minorBidi"/>
          <w:bCs w:val="0"/>
          <w:caps w:val="0"/>
          <w:sz w:val="21"/>
          <w:lang w:val="en-US"/>
        </w:rPr>
      </w:pPr>
      <w:r>
        <w:fldChar w:fldCharType="begin"/>
      </w:r>
      <w:r>
        <w:instrText xml:space="preserve"> HYPERLINK \l "_Toc476728474" </w:instrText>
      </w:r>
      <w:r>
        <w:fldChar w:fldCharType="separate"/>
      </w:r>
      <w:r>
        <w:rPr>
          <w:rStyle w:val="27"/>
          <w:snapToGrid w:val="0"/>
          <w:lang w:bidi="zh-CN"/>
        </w:rPr>
        <w:t>8.</w:t>
      </w:r>
      <w:r>
        <w:rPr>
          <w:rFonts w:asciiTheme="minorHAnsi" w:hAnsiTheme="minorHAnsi" w:eastAsiaTheme="minorEastAsia" w:cstheme="minorBidi"/>
          <w:bCs w:val="0"/>
          <w:caps w:val="0"/>
          <w:sz w:val="21"/>
          <w:lang w:val="en-US"/>
        </w:rPr>
        <w:tab/>
      </w:r>
      <w:r>
        <w:rPr>
          <w:rStyle w:val="27"/>
          <w:rFonts w:hint="eastAsia"/>
          <w:snapToGrid w:val="0"/>
          <w:lang w:bidi="zh-CN"/>
        </w:rPr>
        <w:t>临床研究</w:t>
      </w:r>
      <w:r>
        <w:tab/>
      </w:r>
      <w:r>
        <w:fldChar w:fldCharType="begin"/>
      </w:r>
      <w:r>
        <w:instrText xml:space="preserve"> PAGEREF _Toc476728474 \h </w:instrText>
      </w:r>
      <w:r>
        <w:fldChar w:fldCharType="separate"/>
      </w:r>
      <w:r>
        <w:t>12</w:t>
      </w:r>
      <w:r>
        <w:fldChar w:fldCharType="end"/>
      </w:r>
      <w:r>
        <w:fldChar w:fldCharType="end"/>
      </w:r>
    </w:p>
    <w:p w14:paraId="6699E12D">
      <w:pPr>
        <w:pStyle w:val="15"/>
        <w:spacing w:before="97"/>
        <w:ind w:left="480" w:right="480" w:hanging="480"/>
        <w:rPr>
          <w:rFonts w:asciiTheme="minorHAnsi" w:hAnsiTheme="minorHAnsi" w:eastAsiaTheme="minorEastAsia" w:cstheme="minorBidi"/>
          <w:bCs w:val="0"/>
          <w:caps w:val="0"/>
          <w:sz w:val="21"/>
          <w:lang w:val="en-US"/>
        </w:rPr>
      </w:pPr>
      <w:r>
        <w:fldChar w:fldCharType="begin"/>
      </w:r>
      <w:r>
        <w:instrText xml:space="preserve"> HYPERLINK \l "_Toc476728475" </w:instrText>
      </w:r>
      <w:r>
        <w:fldChar w:fldCharType="separate"/>
      </w:r>
      <w:r>
        <w:rPr>
          <w:rStyle w:val="27"/>
          <w:snapToGrid w:val="0"/>
          <w:lang w:bidi="zh-CN"/>
        </w:rPr>
        <w:t>9.</w:t>
      </w:r>
      <w:r>
        <w:rPr>
          <w:rFonts w:asciiTheme="minorHAnsi" w:hAnsiTheme="minorHAnsi" w:eastAsiaTheme="minorEastAsia" w:cstheme="minorBidi"/>
          <w:bCs w:val="0"/>
          <w:caps w:val="0"/>
          <w:sz w:val="21"/>
          <w:lang w:val="en-US"/>
        </w:rPr>
        <w:tab/>
      </w:r>
      <w:r>
        <w:rPr>
          <w:rStyle w:val="27"/>
          <w:rFonts w:hint="eastAsia"/>
          <w:snapToGrid w:val="0"/>
          <w:lang w:bidi="zh-CN"/>
        </w:rPr>
        <w:t>标签</w:t>
      </w:r>
      <w:r>
        <w:tab/>
      </w:r>
      <w:r>
        <w:fldChar w:fldCharType="begin"/>
      </w:r>
      <w:r>
        <w:instrText xml:space="preserve"> PAGEREF _Toc476728475 \h </w:instrText>
      </w:r>
      <w:r>
        <w:fldChar w:fldCharType="separate"/>
      </w:r>
      <w:r>
        <w:t>13</w:t>
      </w:r>
      <w:r>
        <w:fldChar w:fldCharType="end"/>
      </w:r>
      <w:r>
        <w:fldChar w:fldCharType="end"/>
      </w:r>
    </w:p>
    <w:p w14:paraId="43538AD0">
      <w:pPr>
        <w:spacing w:before="195"/>
        <w:rPr>
          <w:snapToGrid w:val="0"/>
        </w:rPr>
      </w:pPr>
      <w:r>
        <w:rPr>
          <w:rFonts w:cs="宋体"/>
          <w:bCs/>
          <w:caps/>
          <w:snapToGrid w:val="0"/>
          <w:lang w:val="zh-CN"/>
        </w:rPr>
        <w:fldChar w:fldCharType="end"/>
      </w:r>
    </w:p>
    <w:p w14:paraId="522F1C9E">
      <w:pPr>
        <w:spacing w:before="195"/>
        <w:rPr>
          <w:snapToGrid w:val="0"/>
        </w:rPr>
      </w:pPr>
      <w:r>
        <w:rPr>
          <w:snapToGrid w:val="0"/>
        </w:rPr>
        <w:br w:type="page"/>
      </w:r>
    </w:p>
    <w:p w14:paraId="1B0B521D">
      <w:pPr>
        <w:pBdr>
          <w:bottom w:val="single" w:color="auto" w:sz="4" w:space="1"/>
        </w:pBdr>
        <w:spacing w:before="195"/>
        <w:jc w:val="center"/>
        <w:rPr>
          <w:b/>
          <w:snapToGrid w:val="0"/>
          <w:sz w:val="44"/>
          <w:szCs w:val="44"/>
          <w:shd w:val="clear" w:color="auto" w:fill="FFFFFF"/>
        </w:rPr>
      </w:pPr>
      <w:r>
        <w:rPr>
          <w:rFonts w:hint="eastAsia"/>
          <w:b/>
          <w:snapToGrid w:val="0"/>
          <w:sz w:val="44"/>
          <w:szCs w:val="44"/>
          <w:shd w:val="clear" w:color="auto" w:fill="FFFFFF"/>
        </w:rPr>
        <w:t>行业和FDA工作人员指南</w:t>
      </w:r>
    </w:p>
    <w:p w14:paraId="3D4D1A5C">
      <w:pPr>
        <w:spacing w:before="195"/>
        <w:rPr>
          <w:snapToGrid w:val="0"/>
        </w:rPr>
      </w:pPr>
    </w:p>
    <w:p w14:paraId="66E741BB">
      <w:pPr>
        <w:spacing w:before="195"/>
        <w:jc w:val="center"/>
        <w:rPr>
          <w:b/>
          <w:snapToGrid w:val="0"/>
          <w:sz w:val="44"/>
          <w:szCs w:val="44"/>
        </w:rPr>
      </w:pPr>
      <w:r>
        <w:rPr>
          <w:rFonts w:hint="eastAsia"/>
          <w:b/>
          <w:snapToGrid w:val="0"/>
          <w:sz w:val="44"/>
          <w:szCs w:val="44"/>
          <w:shd w:val="clear" w:color="auto" w:fill="FFFFFF"/>
        </w:rPr>
        <w:t>体外诊断器械中定性评估粪便潜血的</w:t>
      </w:r>
      <w:r>
        <w:rPr>
          <w:b/>
          <w:snapToGrid w:val="0"/>
          <w:sz w:val="44"/>
          <w:szCs w:val="44"/>
          <w:shd w:val="clear" w:color="auto" w:fill="FFFFFF"/>
        </w:rPr>
        <w:br w:type="textWrapping"/>
      </w:r>
      <w:r>
        <w:rPr>
          <w:rFonts w:hint="eastAsia"/>
          <w:b/>
          <w:snapToGrid w:val="0"/>
          <w:sz w:val="44"/>
          <w:szCs w:val="44"/>
          <w:shd w:val="clear" w:color="auto" w:fill="FFFFFF"/>
        </w:rPr>
        <w:t>审查标准</w:t>
      </w:r>
    </w:p>
    <w:p w14:paraId="179A17CE">
      <w:pPr>
        <w:spacing w:before="195"/>
        <w:rPr>
          <w:snapToGrid w:val="0"/>
        </w:rPr>
      </w:pPr>
    </w:p>
    <w:tbl>
      <w:tblPr>
        <w:tblStyle w:val="22"/>
        <w:tblW w:w="0" w:type="auto"/>
        <w:tblInd w:w="0" w:type="dxa"/>
        <w:tblLayout w:type="autofit"/>
        <w:tblCellMar>
          <w:top w:w="0" w:type="dxa"/>
          <w:left w:w="108" w:type="dxa"/>
          <w:bottom w:w="0" w:type="dxa"/>
          <w:right w:w="108" w:type="dxa"/>
        </w:tblCellMar>
      </w:tblPr>
      <w:tblGrid>
        <w:gridCol w:w="9242"/>
      </w:tblGrid>
      <w:tr w14:paraId="54E048BD">
        <w:tblPrEx>
          <w:tblCellMar>
            <w:top w:w="0" w:type="dxa"/>
            <w:left w:w="108" w:type="dxa"/>
            <w:bottom w:w="0" w:type="dxa"/>
            <w:right w:w="108" w:type="dxa"/>
          </w:tblCellMar>
        </w:tblPrEx>
        <w:tc>
          <w:tcPr>
            <w:tcW w:w="9242" w:type="dxa"/>
            <w:tcBorders>
              <w:top w:val="thinThickThinSmallGap" w:color="auto" w:sz="24" w:space="0"/>
              <w:left w:val="thinThickThinSmallGap" w:color="auto" w:sz="24" w:space="0"/>
              <w:bottom w:val="thinThickThinSmallGap" w:color="auto" w:sz="24" w:space="0"/>
              <w:right w:val="thinThickThinSmallGap" w:color="auto" w:sz="24" w:space="0"/>
            </w:tcBorders>
            <w:vAlign w:val="center"/>
          </w:tcPr>
          <w:p w14:paraId="7C57ED94">
            <w:pPr>
              <w:spacing w:before="195"/>
              <w:rPr>
                <w:b/>
                <w:i/>
                <w:snapToGrid w:val="0"/>
                <w:shd w:val="clear" w:color="auto" w:fill="FFFFFF"/>
              </w:rPr>
            </w:pPr>
            <w:r>
              <w:rPr>
                <w:rFonts w:hint="eastAsia"/>
                <w:b/>
                <w:i/>
                <w:snapToGrid w:val="0"/>
                <w:shd w:val="clear" w:color="auto" w:fill="FFFFFF"/>
              </w:rPr>
              <w:t>本指南代表</w:t>
            </w:r>
            <w:r>
              <w:rPr>
                <w:b/>
                <w:i/>
                <w:snapToGrid w:val="0"/>
              </w:rPr>
              <w:t>食品药品监督管理局（</w:t>
            </w:r>
            <w:r>
              <w:rPr>
                <w:rFonts w:hint="eastAsia"/>
                <w:b/>
                <w:i/>
                <w:snapToGrid w:val="0"/>
                <w:shd w:val="clear" w:color="auto" w:fill="FFFFFF"/>
              </w:rPr>
              <w:t>FDA</w:t>
            </w:r>
            <w:r>
              <w:rPr>
                <w:rFonts w:hint="eastAsia"/>
                <w:b/>
                <w:i/>
                <w:snapToGrid w:val="0"/>
              </w:rPr>
              <w:t>）关于本主题的当前见解。其不会为任何人创造或赋予任何权利，也不对FDA或公众具有约束力。</w:t>
            </w:r>
            <w:r>
              <w:rPr>
                <w:b/>
                <w:i/>
                <w:snapToGrid w:val="0"/>
                <w:shd w:val="clear" w:color="auto" w:fill="FFFFFF"/>
              </w:rPr>
              <w:t>如果另一种方法符合适用的法律和法规的要求</w:t>
            </w:r>
            <w:r>
              <w:rPr>
                <w:rFonts w:hint="eastAsia"/>
                <w:b/>
                <w:i/>
                <w:snapToGrid w:val="0"/>
                <w:shd w:val="clear" w:color="auto" w:fill="FFFFFF"/>
              </w:rPr>
              <w:t>，</w:t>
            </w:r>
            <w:r>
              <w:rPr>
                <w:b/>
                <w:i/>
                <w:snapToGrid w:val="0"/>
                <w:shd w:val="clear" w:color="auto" w:fill="FFFFFF"/>
              </w:rPr>
              <w:t>贵公司可以使用该方法</w:t>
            </w:r>
            <w:r>
              <w:rPr>
                <w:rFonts w:hint="eastAsia"/>
                <w:b/>
                <w:i/>
                <w:snapToGrid w:val="0"/>
                <w:shd w:val="clear" w:color="auto" w:fill="FFFFFF"/>
              </w:rPr>
              <w:t>。</w:t>
            </w:r>
            <w:r>
              <w:rPr>
                <w:b/>
                <w:i/>
                <w:snapToGrid w:val="0"/>
                <w:shd w:val="clear" w:color="auto" w:fill="FFFFFF"/>
              </w:rPr>
              <w:t>如果</w:t>
            </w:r>
            <w:r>
              <w:rPr>
                <w:rFonts w:hint="eastAsia"/>
                <w:b/>
                <w:i/>
                <w:snapToGrid w:val="0"/>
                <w:shd w:val="clear" w:color="auto" w:fill="FFFFFF"/>
              </w:rPr>
              <w:t>贵公司想</w:t>
            </w:r>
            <w:r>
              <w:rPr>
                <w:b/>
                <w:i/>
                <w:snapToGrid w:val="0"/>
                <w:shd w:val="clear" w:color="auto" w:fill="FFFFFF"/>
              </w:rPr>
              <w:t>讨论替代的方法，请联系</w:t>
            </w:r>
            <w:r>
              <w:rPr>
                <w:rFonts w:hint="eastAsia"/>
                <w:b/>
                <w:i/>
                <w:snapToGrid w:val="0"/>
                <w:shd w:val="clear" w:color="auto" w:fill="FFFFFF"/>
              </w:rPr>
              <w:t>负责实施本指南的</w:t>
            </w:r>
            <w:r>
              <w:rPr>
                <w:b/>
                <w:i/>
                <w:snapToGrid w:val="0"/>
                <w:shd w:val="clear" w:color="auto" w:fill="FFFFFF"/>
              </w:rPr>
              <w:t>FDA工作人员</w:t>
            </w:r>
            <w:r>
              <w:rPr>
                <w:rFonts w:hint="eastAsia"/>
                <w:b/>
                <w:i/>
                <w:snapToGrid w:val="0"/>
                <w:shd w:val="clear" w:color="auto" w:fill="FFFFFF"/>
              </w:rPr>
              <w:t>。</w:t>
            </w:r>
            <w:r>
              <w:rPr>
                <w:b/>
                <w:i/>
                <w:snapToGrid w:val="0"/>
                <w:shd w:val="clear" w:color="auto" w:fill="FFFFFF"/>
              </w:rPr>
              <w:t>如果</w:t>
            </w:r>
            <w:r>
              <w:rPr>
                <w:rFonts w:hint="eastAsia"/>
                <w:b/>
                <w:i/>
                <w:snapToGrid w:val="0"/>
                <w:shd w:val="clear" w:color="auto" w:fill="FFFFFF"/>
              </w:rPr>
              <w:t>贵公司</w:t>
            </w:r>
            <w:r>
              <w:rPr>
                <w:b/>
                <w:i/>
                <w:snapToGrid w:val="0"/>
                <w:shd w:val="clear" w:color="auto" w:fill="FFFFFF"/>
              </w:rPr>
              <w:t>不能确定合适的FDA工作人员，</w:t>
            </w:r>
            <w:r>
              <w:rPr>
                <w:rFonts w:hint="eastAsia"/>
                <w:b/>
                <w:i/>
                <w:snapToGrid w:val="0"/>
                <w:shd w:val="clear" w:color="auto" w:fill="FFFFFF"/>
              </w:rPr>
              <w:t>请拔打本指南封面页上列出的电话号码。</w:t>
            </w:r>
          </w:p>
        </w:tc>
      </w:tr>
    </w:tbl>
    <w:p w14:paraId="1426D2C9">
      <w:pPr>
        <w:spacing w:before="195"/>
        <w:rPr>
          <w:snapToGrid w:val="0"/>
        </w:rPr>
      </w:pPr>
    </w:p>
    <w:p w14:paraId="204871F7">
      <w:pPr>
        <w:pStyle w:val="42"/>
        <w:numPr>
          <w:ilvl w:val="0"/>
          <w:numId w:val="3"/>
        </w:numPr>
        <w:spacing w:before="326" w:beforeLines="100" w:after="163" w:afterLines="50"/>
        <w:ind w:left="562" w:hanging="562" w:hangingChars="200"/>
        <w:outlineLvl w:val="0"/>
        <w:rPr>
          <w:b/>
          <w:snapToGrid w:val="0"/>
          <w:sz w:val="28"/>
          <w:szCs w:val="28"/>
        </w:rPr>
      </w:pPr>
      <w:bookmarkStart w:id="1" w:name="_Toc476728371"/>
      <w:bookmarkStart w:id="2" w:name="_Toc476728465"/>
      <w:r>
        <w:rPr>
          <w:b/>
          <w:snapToGrid w:val="0"/>
          <w:sz w:val="28"/>
          <w:szCs w:val="28"/>
        </w:rPr>
        <w:t>前言</w:t>
      </w:r>
      <w:bookmarkEnd w:id="1"/>
      <w:bookmarkEnd w:id="2"/>
    </w:p>
    <w:p w14:paraId="441D6D30">
      <w:pPr>
        <w:spacing w:before="195"/>
        <w:rPr>
          <w:snapToGrid w:val="0"/>
        </w:rPr>
      </w:pPr>
      <w:r>
        <w:rPr>
          <w:snapToGrid w:val="0"/>
        </w:rPr>
        <w:t>本</w:t>
      </w:r>
      <w:r>
        <w:rPr>
          <w:rFonts w:hint="eastAsia"/>
          <w:snapToGrid w:val="0"/>
        </w:rPr>
        <w:t>指南</w:t>
      </w:r>
      <w:r>
        <w:rPr>
          <w:snapToGrid w:val="0"/>
        </w:rPr>
        <w:t>旨在为医疗器械制造商和食品药品监督管理局（</w:t>
      </w:r>
      <w:r>
        <w:rPr>
          <w:snapToGrid w:val="0"/>
          <w:shd w:val="clear" w:color="auto" w:fill="FFFFFF"/>
        </w:rPr>
        <w:t>FDA</w:t>
      </w:r>
      <w:r>
        <w:rPr>
          <w:snapToGrid w:val="0"/>
        </w:rPr>
        <w:t>）工作人员提供各种类型粪便潜血（FOB）测试的510（k）提交资料的建议。本文件是发布于1992年7月29日的</w:t>
      </w:r>
      <w:r>
        <w:rPr>
          <w:snapToGrid w:val="0"/>
          <w:shd w:val="clear" w:color="auto" w:fill="FFFFFF"/>
        </w:rPr>
        <w:t>《</w:t>
      </w:r>
      <w:r>
        <w:rPr>
          <w:rFonts w:hint="eastAsia"/>
          <w:snapToGrid w:val="0"/>
        </w:rPr>
        <w:t>体外诊断器械中定性评估粪便潜血的审查标准</w:t>
      </w:r>
      <w:r>
        <w:rPr>
          <w:snapToGrid w:val="0"/>
          <w:shd w:val="clear" w:color="auto" w:fill="FFFFFF"/>
        </w:rPr>
        <w:t>》的修订版指南</w:t>
      </w:r>
      <w:r>
        <w:rPr>
          <w:snapToGrid w:val="0"/>
        </w:rPr>
        <w:t>。其更新用于解决与新开发的FOB测试相关的问题，包括全自动FOB分析仪。</w:t>
      </w:r>
    </w:p>
    <w:p w14:paraId="353EC475">
      <w:pPr>
        <w:spacing w:before="195"/>
        <w:rPr>
          <w:snapToGrid w:val="0"/>
          <w:shd w:val="clear" w:color="auto" w:fill="FFFFFF"/>
        </w:rPr>
      </w:pPr>
      <w:r>
        <w:rPr>
          <w:snapToGrid w:val="0"/>
          <w:shd w:val="clear" w:color="auto" w:fill="FFFFFF"/>
        </w:rPr>
        <w:t>FDA的指导文件，包括本指南，并不具备法规强制性。相反，指南描述了部门关于</w:t>
      </w:r>
      <w:r>
        <w:rPr>
          <w:rFonts w:hint="eastAsia"/>
          <w:snapToGrid w:val="0"/>
          <w:shd w:val="clear" w:color="auto" w:fill="FFFFFF"/>
        </w:rPr>
        <w:t>这个</w:t>
      </w:r>
      <w:r>
        <w:rPr>
          <w:snapToGrid w:val="0"/>
          <w:shd w:val="clear" w:color="auto" w:fill="FFFFFF"/>
        </w:rPr>
        <w:t>主题的当前见解，</w:t>
      </w:r>
      <w:r>
        <w:rPr>
          <w:rFonts w:hint="eastAsia"/>
          <w:snapToGrid w:val="0"/>
          <w:shd w:val="clear" w:color="auto" w:fill="FFFFFF"/>
        </w:rPr>
        <w:t>若无</w:t>
      </w:r>
      <w:r>
        <w:rPr>
          <w:snapToGrid w:val="0"/>
          <w:shd w:val="clear" w:color="auto" w:fill="FFFFFF"/>
        </w:rPr>
        <w:t>引用特定的法规或法定要求</w:t>
      </w:r>
      <w:r>
        <w:rPr>
          <w:rFonts w:hint="eastAsia"/>
          <w:snapToGrid w:val="0"/>
          <w:shd w:val="clear" w:color="auto" w:fill="FFFFFF"/>
        </w:rPr>
        <w:t>，</w:t>
      </w:r>
      <w:r>
        <w:rPr>
          <w:snapToGrid w:val="0"/>
          <w:shd w:val="clear" w:color="auto" w:fill="FFFFFF"/>
        </w:rPr>
        <w:t>应仅将其视为建议。在部门指南中使用</w:t>
      </w:r>
      <w:r>
        <w:rPr>
          <w:rFonts w:hint="eastAsia" w:asciiTheme="minorEastAsia" w:hAnsiTheme="minorEastAsia" w:eastAsiaTheme="minorEastAsia"/>
          <w:snapToGrid w:val="0"/>
          <w:shd w:val="clear" w:color="auto" w:fill="FFFFFF"/>
        </w:rPr>
        <w:t>“</w:t>
      </w:r>
      <w:r>
        <w:rPr>
          <w:snapToGrid w:val="0"/>
          <w:shd w:val="clear" w:color="auto" w:fill="FFFFFF"/>
        </w:rPr>
        <w:t>应当</w:t>
      </w:r>
      <w:r>
        <w:rPr>
          <w:rFonts w:hint="eastAsia"/>
          <w:snapToGrid w:val="0"/>
          <w:shd w:val="clear" w:color="auto" w:fill="FFFFFF"/>
        </w:rPr>
        <w:t>”</w:t>
      </w:r>
      <w:r>
        <w:rPr>
          <w:snapToGrid w:val="0"/>
          <w:shd w:val="clear" w:color="auto" w:fill="FFFFFF"/>
        </w:rPr>
        <w:t>一词，意味着某事是建议或推荐的，而非强制要求。</w:t>
      </w:r>
    </w:p>
    <w:p w14:paraId="183DAEFE">
      <w:pPr>
        <w:spacing w:before="195"/>
        <w:rPr>
          <w:b/>
          <w:snapToGrid w:val="0"/>
          <w:shd w:val="clear" w:color="auto" w:fill="FFFFFF"/>
        </w:rPr>
      </w:pPr>
      <w:r>
        <w:rPr>
          <w:b/>
          <w:snapToGrid w:val="0"/>
          <w:shd w:val="clear" w:color="auto" w:fill="FFFFFF"/>
        </w:rPr>
        <w:t>最小负担</w:t>
      </w:r>
      <w:r>
        <w:rPr>
          <w:rFonts w:hint="eastAsia"/>
          <w:b/>
          <w:snapToGrid w:val="0"/>
          <w:shd w:val="clear" w:color="auto" w:fill="FFFFFF"/>
        </w:rPr>
        <w:t>的</w:t>
      </w:r>
      <w:r>
        <w:rPr>
          <w:b/>
          <w:snapToGrid w:val="0"/>
          <w:shd w:val="clear" w:color="auto" w:fill="FFFFFF"/>
        </w:rPr>
        <w:t>方法</w:t>
      </w:r>
    </w:p>
    <w:p w14:paraId="63D8E8F4">
      <w:pPr>
        <w:spacing w:before="195"/>
        <w:rPr>
          <w:snapToGrid w:val="0"/>
          <w:shd w:val="clear" w:color="auto" w:fill="FFFFFF"/>
        </w:rPr>
      </w:pPr>
      <w:r>
        <w:rPr>
          <w:snapToGrid w:val="0"/>
          <w:shd w:val="clear" w:color="auto" w:fill="FFFFFF"/>
        </w:rPr>
        <w:t>这个指导文件中确认的问题，代表那些我们认为在贵公司的器械可以上市之前需要解决的问题。在制定本指南过程中，我们仔细考虑了有关部门决策的法定标准。我们还考虑了在贵公司尝试符合指南和解决我们所确认问题的过程中可能出现的负担。我们认为我们已经考虑了产生最小负担的方法来解决出现在指导性文件中的问题。然而，如果贵公司认为贵公司有产生更</w:t>
      </w:r>
      <w:r>
        <w:rPr>
          <w:rFonts w:hint="eastAsia"/>
          <w:snapToGrid w:val="0"/>
          <w:shd w:val="clear" w:color="auto" w:fill="FFFFFF"/>
        </w:rPr>
        <w:t>小</w:t>
      </w:r>
      <w:r>
        <w:rPr>
          <w:snapToGrid w:val="0"/>
          <w:shd w:val="clear" w:color="auto" w:fill="FFFFFF"/>
        </w:rPr>
        <w:t>负担的方式来解决这些问题，贵公司应</w:t>
      </w:r>
      <w:r>
        <w:rPr>
          <w:rFonts w:hint="eastAsia"/>
          <w:snapToGrid w:val="0"/>
          <w:shd w:val="clear" w:color="auto" w:fill="FFFFFF"/>
        </w:rPr>
        <w:t>当</w:t>
      </w:r>
      <w:r>
        <w:rPr>
          <w:snapToGrid w:val="0"/>
          <w:shd w:val="clear" w:color="auto" w:fill="FFFFFF"/>
        </w:rPr>
        <w:t>遵从《解决最小负担问题的建议方法》文件中所规定的程序。该文件可在我们的中心网页上获取：</w:t>
      </w:r>
    </w:p>
    <w:p w14:paraId="61D68557">
      <w:pPr>
        <w:spacing w:before="195"/>
        <w:rPr>
          <w:snapToGrid w:val="0"/>
          <w:u w:val="single"/>
        </w:rPr>
      </w:pPr>
      <w:r>
        <w:fldChar w:fldCharType="begin"/>
      </w:r>
      <w:r>
        <w:instrText xml:space="preserve"> HYPERLINK "http://www.fda.gov/cdrh/modact/leastburdensome.html" </w:instrText>
      </w:r>
      <w:r>
        <w:fldChar w:fldCharType="separate"/>
      </w:r>
      <w:r>
        <w:rPr>
          <w:rStyle w:val="27"/>
          <w:rFonts w:cs="Arial"/>
          <w:snapToGrid w:val="0"/>
          <w:kern w:val="0"/>
          <w:szCs w:val="24"/>
        </w:rPr>
        <w:t>http: //www.fda.gov/cdrh/modact/leastburdensome.html</w:t>
      </w:r>
      <w:r>
        <w:rPr>
          <w:rStyle w:val="27"/>
          <w:rFonts w:cs="Arial"/>
          <w:snapToGrid w:val="0"/>
          <w:kern w:val="0"/>
          <w:szCs w:val="24"/>
        </w:rPr>
        <w:fldChar w:fldCharType="end"/>
      </w:r>
      <w:r>
        <w:rPr>
          <w:snapToGrid w:val="0"/>
          <w:u w:val="single"/>
        </w:rPr>
        <w:t>.</w:t>
      </w:r>
    </w:p>
    <w:p w14:paraId="663E9C83">
      <w:pPr>
        <w:pStyle w:val="42"/>
        <w:numPr>
          <w:ilvl w:val="0"/>
          <w:numId w:val="3"/>
        </w:numPr>
        <w:spacing w:before="326" w:beforeLines="100" w:after="163" w:afterLines="50"/>
        <w:ind w:left="562" w:hanging="562" w:hangingChars="200"/>
        <w:outlineLvl w:val="0"/>
        <w:rPr>
          <w:b/>
          <w:snapToGrid w:val="0"/>
          <w:sz w:val="28"/>
          <w:szCs w:val="28"/>
        </w:rPr>
      </w:pPr>
      <w:bookmarkStart w:id="3" w:name="_Toc476728372"/>
      <w:bookmarkStart w:id="4" w:name="_Toc476728466"/>
      <w:r>
        <w:rPr>
          <w:rFonts w:hint="eastAsia"/>
          <w:b/>
          <w:snapToGrid w:val="0"/>
          <w:sz w:val="28"/>
          <w:szCs w:val="28"/>
        </w:rPr>
        <w:t>背景</w:t>
      </w:r>
      <w:bookmarkEnd w:id="3"/>
      <w:bookmarkEnd w:id="4"/>
    </w:p>
    <w:p w14:paraId="27E10A1E">
      <w:pPr>
        <w:spacing w:before="195"/>
        <w:rPr>
          <w:snapToGrid w:val="0"/>
        </w:rPr>
      </w:pPr>
      <w:r>
        <w:rPr>
          <w:snapToGrid w:val="0"/>
          <w:shd w:val="clear" w:color="auto" w:fill="FFFFFF"/>
        </w:rPr>
        <w:t>打</w:t>
      </w:r>
      <w:r>
        <w:rPr>
          <w:snapToGrid w:val="0"/>
        </w:rPr>
        <w:t>算将粪便潜血（FOB）测试推向市场的制造商应当符合美国《</w:t>
      </w:r>
      <w:r>
        <w:rPr>
          <w:rFonts w:hint="eastAsia"/>
          <w:snapToGrid w:val="0"/>
        </w:rPr>
        <w:t>联邦食品、药品和化妆品法案</w:t>
      </w:r>
      <w:r>
        <w:rPr>
          <w:snapToGrid w:val="0"/>
        </w:rPr>
        <w:t>》（法案）的</w:t>
      </w:r>
      <w:r>
        <w:rPr>
          <w:rFonts w:hint="eastAsia"/>
          <w:snapToGrid w:val="0"/>
        </w:rPr>
        <w:t>一般</w:t>
      </w:r>
      <w:r>
        <w:rPr>
          <w:snapToGrid w:val="0"/>
        </w:rPr>
        <w:t>管理，包括在21 CFR 807部分E中描述的上市前通告要求，在该医疗器械上市销售之前从食品药品监督管理局（</w:t>
      </w:r>
      <w:r>
        <w:rPr>
          <w:snapToGrid w:val="0"/>
          <w:shd w:val="clear" w:color="auto" w:fill="FFFFFF"/>
        </w:rPr>
        <w:t>FDA</w:t>
      </w:r>
      <w:r>
        <w:rPr>
          <w:snapToGrid w:val="0"/>
        </w:rPr>
        <w:t>）获得实质等同性确定。本指导性文件确认FOB测试分类法规和产品代码，并描述（制造商遵循）及时对上市前通告[510 (k) ]进行审查和</w:t>
      </w:r>
      <w:r>
        <w:rPr>
          <w:rFonts w:hint="eastAsia"/>
          <w:snapToGrid w:val="0"/>
        </w:rPr>
        <w:t>许可</w:t>
      </w:r>
      <w:r>
        <w:rPr>
          <w:snapToGrid w:val="0"/>
        </w:rPr>
        <w:t>的措施。本文件是其他关于上市前通告提交资料具体内容要求的FDA文件的补充文件。贵公司也可以参考21 CFR 80</w:t>
      </w:r>
      <w:bookmarkStart w:id="5" w:name="OLE_LINK12"/>
      <w:bookmarkStart w:id="6" w:name="OLE_LINK11"/>
      <w:r>
        <w:rPr>
          <w:snapToGrid w:val="0"/>
        </w:rPr>
        <w:t>7.87和其他关于此主题的FDA文件，如</w:t>
      </w:r>
      <w:r>
        <w:rPr>
          <w:rFonts w:asciiTheme="minorEastAsia" w:hAnsiTheme="minorEastAsia" w:eastAsiaTheme="minorEastAsia"/>
          <w:snapToGrid w:val="0"/>
        </w:rPr>
        <w:t>“</w:t>
      </w:r>
      <w:r>
        <w:rPr>
          <w:snapToGrid w:val="0"/>
        </w:rPr>
        <w:t>上市前通告：510</w:t>
      </w:r>
      <w:bookmarkEnd w:id="5"/>
      <w:bookmarkEnd w:id="6"/>
      <w:r>
        <w:rPr>
          <w:snapToGrid w:val="0"/>
        </w:rPr>
        <w:t xml:space="preserve">（k）”http: //www.fda.gov/cdrh/devadvice/314.html. </w:t>
      </w:r>
    </w:p>
    <w:p w14:paraId="5B359A77">
      <w:pPr>
        <w:spacing w:before="195"/>
        <w:rPr>
          <w:snapToGrid w:val="0"/>
        </w:rPr>
      </w:pPr>
      <w:r>
        <w:rPr>
          <w:snapToGrid w:val="0"/>
        </w:rPr>
        <w:t>按照</w:t>
      </w:r>
      <w:r>
        <w:rPr>
          <w:rFonts w:hint="eastAsia"/>
          <w:snapToGrid w:val="0"/>
        </w:rPr>
        <w:t>《</w:t>
      </w:r>
      <w:r>
        <w:rPr>
          <w:snapToGrid w:val="0"/>
        </w:rPr>
        <w:t>新510（k）范例-证实上市前通告中实质等同性的</w:t>
      </w:r>
      <w:r>
        <w:rPr>
          <w:rFonts w:hint="eastAsia"/>
          <w:snapToGrid w:val="0"/>
        </w:rPr>
        <w:t>替代</w:t>
      </w:r>
      <w:r>
        <w:rPr>
          <w:snapToGrid w:val="0"/>
        </w:rPr>
        <w:t>方法</w:t>
      </w:r>
      <w:r>
        <w:rPr>
          <w:rFonts w:hint="eastAsia"/>
          <w:snapToGrid w:val="0"/>
        </w:rPr>
        <w:t>》（</w:t>
      </w:r>
      <w:r>
        <w:rPr>
          <w:snapToGrid w:val="0"/>
          <w:u w:val="single"/>
        </w:rPr>
        <w:t>http: //www.fda.gov/cdrh/ode/parad510.html</w:t>
      </w:r>
      <w:r>
        <w:rPr>
          <w:snapToGrid w:val="0"/>
        </w:rPr>
        <w:t>），制造商可以提交一个传统的510（k）或可以选择提交一个简化的510（k）。通过依赖FDA</w:t>
      </w:r>
      <w:r>
        <w:rPr>
          <w:rFonts w:hint="eastAsia"/>
          <w:snapToGrid w:val="0"/>
        </w:rPr>
        <w:t>公</w:t>
      </w:r>
      <w:r>
        <w:rPr>
          <w:snapToGrid w:val="0"/>
        </w:rPr>
        <w:t>认的共识标准、特殊管理或FDA指导性文件，简化510（k）</w:t>
      </w:r>
      <w:r>
        <w:rPr>
          <w:snapToGrid w:val="0"/>
          <w:shd w:val="clear" w:color="auto" w:fill="FFFFFF"/>
        </w:rPr>
        <w:t>提供了一种</w:t>
      </w:r>
      <w:r>
        <w:rPr>
          <w:rFonts w:hint="eastAsia"/>
          <w:snapToGrid w:val="0"/>
          <w:shd w:val="clear" w:color="auto" w:fill="FFFFFF"/>
        </w:rPr>
        <w:t>组织</w:t>
      </w:r>
      <w:r>
        <w:rPr>
          <w:snapToGrid w:val="0"/>
        </w:rPr>
        <w:t>510（k）</w:t>
      </w:r>
      <w:r>
        <w:rPr>
          <w:snapToGrid w:val="0"/>
          <w:shd w:val="clear" w:color="auto" w:fill="FFFFFF"/>
        </w:rPr>
        <w:t>审查数据的</w:t>
      </w:r>
      <w:r>
        <w:rPr>
          <w:rFonts w:hint="eastAsia"/>
          <w:snapToGrid w:val="0"/>
          <w:shd w:val="clear" w:color="auto" w:fill="FFFFFF"/>
        </w:rPr>
        <w:t>方法</w:t>
      </w:r>
      <w:r>
        <w:rPr>
          <w:snapToGrid w:val="0"/>
          <w:shd w:val="clear" w:color="auto" w:fill="FFFFFF"/>
        </w:rPr>
        <w:t>。关于简化和传统</w:t>
      </w:r>
      <w:r>
        <w:rPr>
          <w:snapToGrid w:val="0"/>
        </w:rPr>
        <w:t>510（k）的内容和格式可从以下网址获得：</w:t>
      </w:r>
      <w:r>
        <w:fldChar w:fldCharType="begin"/>
      </w:r>
      <w:r>
        <w:instrText xml:space="preserve"> HYPERLINK "http://www.fda.gov/cdrh/ode/guidance/1567.html" </w:instrText>
      </w:r>
      <w:r>
        <w:fldChar w:fldCharType="separate"/>
      </w:r>
      <w:r>
        <w:rPr>
          <w:rStyle w:val="27"/>
          <w:rFonts w:cs="Arial"/>
          <w:snapToGrid w:val="0"/>
          <w:sz w:val="21"/>
        </w:rPr>
        <w:t>http: //www.fda.gov/cdrh/ode/guidance/1567.html</w:t>
      </w:r>
      <w:r>
        <w:rPr>
          <w:rStyle w:val="27"/>
          <w:rFonts w:cs="Arial"/>
          <w:snapToGrid w:val="0"/>
          <w:sz w:val="21"/>
        </w:rPr>
        <w:fldChar w:fldCharType="end"/>
      </w:r>
      <w:r>
        <w:rPr>
          <w:snapToGrid w:val="0"/>
        </w:rPr>
        <w:t>.关于标准使用的信息可以从该法案514（c）（1）（B）部分和FDA指南</w:t>
      </w:r>
      <w:r>
        <w:rPr>
          <w:snapToGrid w:val="0"/>
          <w:color w:val="000000" w:themeColor="text1"/>
          <w14:textFill>
            <w14:solidFill>
              <w14:schemeClr w14:val="tx1"/>
            </w14:solidFill>
          </w14:textFill>
        </w:rPr>
        <w:t>《实质</w:t>
      </w:r>
      <w:r>
        <w:rPr>
          <w:snapToGrid w:val="0"/>
          <w:color w:val="000000" w:themeColor="text1"/>
          <w:shd w:val="clear" w:color="auto" w:fill="FFFFFF"/>
          <w14:textFill>
            <w14:solidFill>
              <w14:schemeClr w14:val="tx1"/>
            </w14:solidFill>
          </w14:textFill>
        </w:rPr>
        <w:t>等同性</w:t>
      </w:r>
      <w:r>
        <w:rPr>
          <w:rFonts w:hint="eastAsia"/>
          <w:snapToGrid w:val="0"/>
          <w:color w:val="000000" w:themeColor="text1"/>
          <w14:textFill>
            <w14:solidFill>
              <w14:schemeClr w14:val="tx1"/>
            </w14:solidFill>
          </w14:textFill>
        </w:rPr>
        <w:t>测</w:t>
      </w:r>
      <w:r>
        <w:rPr>
          <w:snapToGrid w:val="0"/>
          <w:color w:val="000000" w:themeColor="text1"/>
          <w14:textFill>
            <w14:solidFill>
              <w14:schemeClr w14:val="tx1"/>
            </w14:solidFill>
          </w14:textFill>
        </w:rPr>
        <w:t>定</w:t>
      </w:r>
      <w:r>
        <w:rPr>
          <w:rFonts w:hint="eastAsia"/>
          <w:snapToGrid w:val="0"/>
          <w:color w:val="000000" w:themeColor="text1"/>
          <w14:textFill>
            <w14:solidFill>
              <w14:schemeClr w14:val="tx1"/>
            </w14:solidFill>
          </w14:textFill>
        </w:rPr>
        <w:t>的</w:t>
      </w:r>
      <w:r>
        <w:rPr>
          <w:snapToGrid w:val="0"/>
          <w:color w:val="000000" w:themeColor="text1"/>
          <w14:textFill>
            <w14:solidFill>
              <w14:schemeClr w14:val="tx1"/>
            </w14:solidFill>
          </w14:textFill>
        </w:rPr>
        <w:t>使用标准》中获得，</w:t>
      </w:r>
      <w:r>
        <w:fldChar w:fldCharType="begin"/>
      </w:r>
      <w:r>
        <w:instrText xml:space="preserve"> HYPERLINK "http://www.fda.gov/cdrh/ode/guidance/1131.pdf" </w:instrText>
      </w:r>
      <w:r>
        <w:fldChar w:fldCharType="separate"/>
      </w:r>
      <w:r>
        <w:rPr>
          <w:rStyle w:val="27"/>
          <w:rFonts w:cs="Arial"/>
          <w:snapToGrid w:val="0"/>
          <w:sz w:val="21"/>
        </w:rPr>
        <w:t>http: //www.fda.gov/cdrh/ode/guidance/1131.pdf</w:t>
      </w:r>
      <w:r>
        <w:rPr>
          <w:rStyle w:val="27"/>
          <w:rFonts w:cs="Arial"/>
          <w:snapToGrid w:val="0"/>
          <w:sz w:val="21"/>
        </w:rPr>
        <w:fldChar w:fldCharType="end"/>
      </w:r>
      <w:r>
        <w:rPr>
          <w:bCs/>
          <w:snapToGrid w:val="0"/>
        </w:rPr>
        <w:t>.</w:t>
      </w:r>
      <w:r>
        <w:rPr>
          <w:snapToGrid w:val="0"/>
          <w:color w:val="000000" w:themeColor="text1"/>
          <w:shd w:val="clear" w:color="auto" w:fill="FFFFFF"/>
          <w14:textFill>
            <w14:solidFill>
              <w14:schemeClr w14:val="tx1"/>
            </w14:solidFill>
          </w14:textFill>
        </w:rPr>
        <w:t>考虑修改其</w:t>
      </w:r>
      <w:r>
        <w:rPr>
          <w:rFonts w:hint="eastAsia"/>
          <w:snapToGrid w:val="0"/>
          <w:color w:val="000000" w:themeColor="text1"/>
          <w:shd w:val="clear" w:color="auto" w:fill="FFFFFF"/>
          <w14:textFill>
            <w14:solidFill>
              <w14:schemeClr w14:val="tx1"/>
            </w14:solidFill>
          </w14:textFill>
        </w:rPr>
        <w:t>许可</w:t>
      </w:r>
      <w:r>
        <w:rPr>
          <w:snapToGrid w:val="0"/>
          <w:color w:val="000000" w:themeColor="text1"/>
          <w:shd w:val="clear" w:color="auto" w:fill="FFFFFF"/>
          <w14:textFill>
            <w14:solidFill>
              <w14:schemeClr w14:val="tx1"/>
            </w14:solidFill>
          </w14:textFill>
        </w:rPr>
        <w:t>器械</w:t>
      </w:r>
      <w:r>
        <w:rPr>
          <w:rFonts w:hint="eastAsia"/>
          <w:snapToGrid w:val="0"/>
          <w:color w:val="000000" w:themeColor="text1"/>
          <w:shd w:val="clear" w:color="auto" w:fill="FFFFFF"/>
          <w14:textFill>
            <w14:solidFill>
              <w14:schemeClr w14:val="tx1"/>
            </w14:solidFill>
          </w14:textFill>
        </w:rPr>
        <w:t>的</w:t>
      </w:r>
      <w:r>
        <w:rPr>
          <w:snapToGrid w:val="0"/>
          <w:shd w:val="clear" w:color="auto" w:fill="FFFFFF"/>
        </w:rPr>
        <w:t>制造商</w:t>
      </w:r>
      <w:r>
        <w:rPr>
          <w:rFonts w:hint="eastAsia"/>
          <w:snapToGrid w:val="0"/>
          <w:shd w:val="clear" w:color="auto" w:fill="FFFFFF"/>
        </w:rPr>
        <w:t>可获得</w:t>
      </w:r>
      <w:r>
        <w:rPr>
          <w:snapToGrid w:val="0"/>
          <w:shd w:val="clear" w:color="auto" w:fill="FFFFFF"/>
        </w:rPr>
        <w:t>特殊510（k）</w:t>
      </w:r>
      <w:r>
        <w:rPr>
          <w:snapToGrid w:val="0"/>
          <w:color w:val="000000" w:themeColor="text1"/>
          <w:shd w:val="clear" w:color="auto" w:fill="FFFFFF"/>
          <w14:textFill>
            <w14:solidFill>
              <w14:schemeClr w14:val="tx1"/>
            </w14:solidFill>
          </w14:textFill>
        </w:rPr>
        <w:t>。关于如何准备特殊510（k）的信息可从以下网址获得</w:t>
      </w:r>
      <w:r>
        <w:rPr>
          <w:snapToGrid w:val="0"/>
          <w:shd w:val="clear" w:color="auto" w:fill="FFFFFF"/>
        </w:rPr>
        <w:t>：</w:t>
      </w:r>
      <w:r>
        <w:fldChar w:fldCharType="begin"/>
      </w:r>
      <w:r>
        <w:instrText xml:space="preserve"> HYPERLINK "http://www.fda.gov/cdrh/devadvice/3144.html" </w:instrText>
      </w:r>
      <w:r>
        <w:fldChar w:fldCharType="separate"/>
      </w:r>
      <w:r>
        <w:rPr>
          <w:rStyle w:val="27"/>
          <w:rFonts w:cs="Arial"/>
          <w:snapToGrid w:val="0"/>
          <w:sz w:val="21"/>
        </w:rPr>
        <w:t>http: //www.fda.gov/cdrh/devadvice/3144.html</w:t>
      </w:r>
      <w:r>
        <w:rPr>
          <w:rStyle w:val="27"/>
          <w:rFonts w:cs="Arial"/>
          <w:snapToGrid w:val="0"/>
          <w:sz w:val="21"/>
        </w:rPr>
        <w:fldChar w:fldCharType="end"/>
      </w:r>
      <w:r>
        <w:rPr>
          <w:snapToGrid w:val="0"/>
        </w:rPr>
        <w:t>.</w:t>
      </w:r>
    </w:p>
    <w:p w14:paraId="42FD1E56">
      <w:pPr>
        <w:pStyle w:val="42"/>
        <w:numPr>
          <w:ilvl w:val="0"/>
          <w:numId w:val="3"/>
        </w:numPr>
        <w:spacing w:before="326" w:beforeLines="100" w:after="163" w:afterLines="50"/>
        <w:ind w:left="562" w:hanging="562" w:hangingChars="200"/>
        <w:outlineLvl w:val="0"/>
        <w:rPr>
          <w:b/>
          <w:snapToGrid w:val="0"/>
          <w:sz w:val="28"/>
          <w:szCs w:val="28"/>
        </w:rPr>
      </w:pPr>
      <w:bookmarkStart w:id="7" w:name="_Toc476728373"/>
      <w:bookmarkStart w:id="8" w:name="_Toc476728467"/>
      <w:r>
        <w:rPr>
          <w:rFonts w:hint="eastAsia"/>
          <w:b/>
          <w:snapToGrid w:val="0"/>
          <w:sz w:val="28"/>
          <w:szCs w:val="28"/>
        </w:rPr>
        <w:t>范围</w:t>
      </w:r>
      <w:bookmarkEnd w:id="7"/>
      <w:bookmarkEnd w:id="8"/>
    </w:p>
    <w:p w14:paraId="01997FD4">
      <w:pPr>
        <w:spacing w:before="195"/>
        <w:rPr>
          <w:snapToGrid w:val="0"/>
        </w:rPr>
      </w:pPr>
      <w:r>
        <w:rPr>
          <w:rFonts w:hint="eastAsia"/>
          <w:snapToGrid w:val="0"/>
        </w:rPr>
        <w:t>本文件的范围限于检测粪便潜血的测试。根据21 CFR 864.6550潜血试验，对这些测试进行分类和鉴定。</w:t>
      </w:r>
    </w:p>
    <w:p w14:paraId="02793C4E">
      <w:pPr>
        <w:spacing w:before="195"/>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鉴定。潜血检测仪是一种用于检测尿液或粪便中潜血的器械。（潜血</w:t>
      </w:r>
      <w:r>
        <w:rPr>
          <w:snapToGrid w:val="0"/>
          <w:color w:val="000000" w:themeColor="text1"/>
          <w:shd w:val="clear" w:color="auto" w:fill="FFFFFF"/>
          <w14:textFill>
            <w14:solidFill>
              <w14:schemeClr w14:val="tx1"/>
            </w14:solidFill>
          </w14:textFill>
        </w:rPr>
        <w:t>是指血量很少，只能通过化学测试或通过显微镜或光谱来进行检测。</w:t>
      </w:r>
      <w:r>
        <w:rPr>
          <w:snapToGrid w:val="0"/>
          <w:color w:val="000000" w:themeColor="text1"/>
          <w14:textFill>
            <w14:solidFill>
              <w14:schemeClr w14:val="tx1"/>
            </w14:solidFill>
          </w14:textFill>
        </w:rPr>
        <w:t>）</w:t>
      </w:r>
    </w:p>
    <w:p w14:paraId="4AD42039">
      <w:pPr>
        <w:spacing w:before="195"/>
        <w:rPr>
          <w:snapToGrid w:val="0"/>
          <w:color w:val="000000" w:themeColor="text1"/>
          <w:shd w:val="clear" w:color="auto" w:fill="FFFFFF"/>
          <w14:textFill>
            <w14:solidFill>
              <w14:schemeClr w14:val="tx1"/>
            </w14:solidFill>
          </w14:textFill>
        </w:rPr>
      </w:pPr>
      <w:r>
        <w:rPr>
          <w:rFonts w:hint="eastAsia"/>
          <w:snapToGrid w:val="0"/>
          <w:color w:val="000000" w:themeColor="text1"/>
          <w14:textFill>
            <w14:solidFill>
              <w14:schemeClr w14:val="tx1"/>
            </w14:solidFill>
          </w14:textFill>
        </w:rPr>
        <w:t>分类。Ⅱ类（性能标准）。</w:t>
      </w:r>
    </w:p>
    <w:p w14:paraId="5BF019C1">
      <w:pPr>
        <w:spacing w:before="195"/>
        <w:rPr>
          <w:snapToGrid w:val="0"/>
        </w:rPr>
      </w:pPr>
      <w:r>
        <w:rPr>
          <w:rFonts w:hint="eastAsia"/>
          <w:snapToGrid w:val="0"/>
        </w:rPr>
        <w:t>粪便潜血检测仪的产品代码为：KHE-试剂，潜血</w:t>
      </w:r>
    </w:p>
    <w:p w14:paraId="360906C7">
      <w:pPr>
        <w:spacing w:before="195"/>
        <w:rPr>
          <w:snapToGrid w:val="0"/>
        </w:rPr>
      </w:pPr>
      <w:r>
        <w:rPr>
          <w:snapToGrid w:val="0"/>
        </w:rPr>
        <w:br w:type="page"/>
      </w:r>
    </w:p>
    <w:p w14:paraId="6FE2C9BE">
      <w:pPr>
        <w:spacing w:before="195"/>
        <w:rPr>
          <w:snapToGrid w:val="0"/>
          <w:color w:val="000000" w:themeColor="text1"/>
          <w:shd w:val="clear" w:color="auto" w:fill="FFFFFF"/>
          <w14:textFill>
            <w14:solidFill>
              <w14:schemeClr w14:val="tx1"/>
            </w14:solidFill>
          </w14:textFill>
        </w:rPr>
      </w:pPr>
      <w:r>
        <w:rPr>
          <w:snapToGrid w:val="0"/>
          <w:color w:val="000000" w:themeColor="text1"/>
          <w:shd w:val="clear" w:color="auto" w:fill="FFFFFF"/>
          <w14:textFill>
            <w14:solidFill>
              <w14:schemeClr w14:val="tx1"/>
            </w14:solidFill>
          </w14:textFill>
        </w:rPr>
        <w:t>本指南中的建议用于检测指示粪便中是否存在潜血分析物的测试。本指南不是用于检测粪便中是否存在癌症特定分析物的器械（例如，肿瘤抗原、表观生物标记物或基因分型）。</w:t>
      </w:r>
    </w:p>
    <w:p w14:paraId="318F5104">
      <w:pPr>
        <w:pStyle w:val="42"/>
        <w:numPr>
          <w:ilvl w:val="0"/>
          <w:numId w:val="3"/>
        </w:numPr>
        <w:spacing w:before="326" w:beforeLines="100" w:after="163" w:afterLines="50"/>
        <w:ind w:left="562" w:hanging="562" w:hangingChars="200"/>
        <w:outlineLvl w:val="0"/>
        <w:rPr>
          <w:b/>
          <w:snapToGrid w:val="0"/>
          <w:sz w:val="28"/>
          <w:szCs w:val="28"/>
        </w:rPr>
      </w:pPr>
      <w:bookmarkStart w:id="9" w:name="_Toc476728374"/>
      <w:bookmarkStart w:id="10" w:name="_Toc476728468"/>
      <w:r>
        <w:rPr>
          <w:rFonts w:hint="eastAsia"/>
          <w:b/>
          <w:snapToGrid w:val="0"/>
          <w:sz w:val="28"/>
          <w:szCs w:val="28"/>
        </w:rPr>
        <w:t>健康风险</w:t>
      </w:r>
      <w:bookmarkEnd w:id="9"/>
      <w:bookmarkEnd w:id="10"/>
    </w:p>
    <w:p w14:paraId="12F3E768">
      <w:pPr>
        <w:spacing w:before="195"/>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未能按</w:t>
      </w:r>
      <w:r>
        <w:rPr>
          <w:rFonts w:hint="eastAsia"/>
          <w:snapToGrid w:val="0"/>
          <w:color w:val="000000" w:themeColor="text1"/>
          <w14:textFill>
            <w14:solidFill>
              <w14:schemeClr w14:val="tx1"/>
            </w14:solidFill>
          </w14:textFill>
        </w:rPr>
        <w:t>说明使用</w:t>
      </w:r>
      <w:r>
        <w:rPr>
          <w:snapToGrid w:val="0"/>
          <w:color w:val="000000" w:themeColor="text1"/>
          <w14:textFill>
            <w14:solidFill>
              <w14:schemeClr w14:val="tx1"/>
            </w14:solidFill>
          </w14:textFill>
        </w:rPr>
        <w:t>的FOB检测仪或在解释检测结果时的错误，可能导致患者管理不当，包括误诊和治疗不当。例如，在</w:t>
      </w:r>
      <w:r>
        <w:rPr>
          <w:snapToGrid w:val="0"/>
          <w:color w:val="000000" w:themeColor="text1"/>
          <w:shd w:val="clear" w:color="auto" w:fill="FFFFFF"/>
          <w14:textFill>
            <w14:solidFill>
              <w14:schemeClr w14:val="tx1"/>
            </w14:solidFill>
          </w14:textFill>
        </w:rPr>
        <w:t>无症状的癌症、腺瘤或其他疾病的</w:t>
      </w:r>
      <w:r>
        <w:rPr>
          <w:snapToGrid w:val="0"/>
          <w:color w:val="000000" w:themeColor="text1"/>
          <w14:textFill>
            <w14:solidFill>
              <w14:schemeClr w14:val="tx1"/>
            </w14:solidFill>
          </w14:textFill>
        </w:rPr>
        <w:t>患者中，来自FOB检测仪的假阴性结果，可能给出</w:t>
      </w:r>
      <w:r>
        <w:rPr>
          <w:rFonts w:hint="eastAsia"/>
          <w:snapToGrid w:val="0"/>
          <w:color w:val="000000" w:themeColor="text1"/>
          <w14:textFill>
            <w14:solidFill>
              <w14:schemeClr w14:val="tx1"/>
            </w14:solidFill>
          </w14:textFill>
        </w:rPr>
        <w:t>错误讯息并</w:t>
      </w:r>
      <w:r>
        <w:rPr>
          <w:snapToGrid w:val="0"/>
          <w:color w:val="000000" w:themeColor="text1"/>
          <w14:textFill>
            <w14:solidFill>
              <w14:schemeClr w14:val="tx1"/>
            </w14:solidFill>
          </w14:textFill>
        </w:rPr>
        <w:t>导致报告症状延误，从而延误</w:t>
      </w:r>
      <w:r>
        <w:rPr>
          <w:rFonts w:hint="eastAsia"/>
          <w:snapToGrid w:val="0"/>
          <w:color w:val="000000" w:themeColor="text1"/>
          <w14:textFill>
            <w14:solidFill>
              <w14:schemeClr w14:val="tx1"/>
            </w14:solidFill>
          </w14:textFill>
        </w:rPr>
        <w:t>开始</w:t>
      </w:r>
      <w:r>
        <w:rPr>
          <w:snapToGrid w:val="0"/>
          <w:color w:val="000000" w:themeColor="text1"/>
          <w14:textFill>
            <w14:solidFill>
              <w14:schemeClr w14:val="tx1"/>
            </w14:solidFill>
          </w14:textFill>
        </w:rPr>
        <w:t>治疗</w:t>
      </w:r>
      <w:r>
        <w:rPr>
          <w:rFonts w:hint="eastAsia"/>
          <w:snapToGrid w:val="0"/>
          <w:color w:val="000000" w:themeColor="text1"/>
          <w14:textFill>
            <w14:solidFill>
              <w14:schemeClr w14:val="tx1"/>
            </w14:solidFill>
          </w14:textFill>
        </w:rPr>
        <w:t>的时间</w:t>
      </w:r>
      <w:r>
        <w:rPr>
          <w:snapToGrid w:val="0"/>
          <w:color w:val="000000" w:themeColor="text1"/>
          <w14:textFill>
            <w14:solidFill>
              <w14:schemeClr w14:val="tx1"/>
            </w14:solidFill>
          </w14:textFill>
        </w:rPr>
        <w:t>。假阳性结果可能导致进行不必要的手术（例如，</w:t>
      </w:r>
      <w:r>
        <w:rPr>
          <w:bCs/>
          <w:snapToGrid w:val="0"/>
          <w:color w:val="000000" w:themeColor="text1"/>
          <w:shd w:val="clear" w:color="auto" w:fill="FFFFFF"/>
          <w14:textFill>
            <w14:solidFill>
              <w14:schemeClr w14:val="tx1"/>
            </w14:solidFill>
          </w14:textFill>
        </w:rPr>
        <w:t>结肠镜检查</w:t>
      </w:r>
      <w:r>
        <w:rPr>
          <w:snapToGrid w:val="0"/>
          <w:color w:val="000000" w:themeColor="text1"/>
          <w14:textFill>
            <w14:solidFill>
              <w14:schemeClr w14:val="tx1"/>
            </w14:solidFill>
          </w14:textFill>
        </w:rPr>
        <w:t>）。建议</w:t>
      </w:r>
      <w:r>
        <w:rPr>
          <w:snapToGrid w:val="0"/>
          <w:color w:val="000000"/>
        </w:rPr>
        <w:t>本指导性文件提供</w:t>
      </w:r>
      <w:r>
        <w:rPr>
          <w:snapToGrid w:val="0"/>
          <w:color w:val="000000" w:themeColor="text1"/>
          <w14:textFill>
            <w14:solidFill>
              <w14:schemeClr w14:val="tx1"/>
            </w14:solidFill>
          </w14:textFill>
        </w:rPr>
        <w:t>用于减轻这些风险的措施。</w:t>
      </w:r>
    </w:p>
    <w:p w14:paraId="2A2A067F">
      <w:pPr>
        <w:spacing w:before="195"/>
        <w:rPr>
          <w:snapToGrid w:val="0"/>
          <w:color w:val="000000" w:themeColor="text1"/>
          <w:shd w:val="clear" w:color="auto" w:fill="FFFFFF"/>
          <w14:textFill>
            <w14:solidFill>
              <w14:schemeClr w14:val="tx1"/>
            </w14:solidFill>
          </w14:textFill>
        </w:rPr>
      </w:pPr>
      <w:r>
        <w:rPr>
          <w:snapToGrid w:val="0"/>
          <w:color w:val="000000" w:themeColor="text1"/>
          <w:shd w:val="clear" w:color="auto" w:fill="FFFFFF"/>
          <w14:textFill>
            <w14:solidFill>
              <w14:schemeClr w14:val="tx1"/>
            </w14:solidFill>
          </w14:textFill>
        </w:rPr>
        <w:t>在设计、测试或准备医疗器械的标签时，制造商应当考虑已知会导致假检测结果的状况：</w:t>
      </w:r>
    </w:p>
    <w:p w14:paraId="17D1F04D">
      <w:pPr>
        <w:pStyle w:val="42"/>
        <w:numPr>
          <w:ilvl w:val="0"/>
          <w:numId w:val="4"/>
        </w:numPr>
        <w:spacing w:before="195"/>
        <w:ind w:left="900" w:leftChars="200" w:hangingChars="175"/>
        <w:rPr>
          <w:snapToGrid w:val="0"/>
        </w:rPr>
      </w:pPr>
      <w:r>
        <w:rPr>
          <w:rFonts w:hint="eastAsia"/>
          <w:snapToGrid w:val="0"/>
          <w:shd w:val="clear" w:color="auto" w:fill="FFFFFF"/>
        </w:rPr>
        <w:t>间歇性出血和粪便中血液的不规则分布均可能导致假阴性结果。</w:t>
      </w:r>
    </w:p>
    <w:p w14:paraId="4A3A196C">
      <w:pPr>
        <w:pStyle w:val="42"/>
        <w:numPr>
          <w:ilvl w:val="0"/>
          <w:numId w:val="4"/>
        </w:numPr>
        <w:spacing w:before="195"/>
        <w:ind w:left="900" w:leftChars="200" w:hangingChars="175"/>
        <w:rPr>
          <w:snapToGrid w:val="0"/>
          <w:shd w:val="clear" w:color="auto" w:fill="FFFFFF"/>
        </w:rPr>
      </w:pPr>
      <w:r>
        <w:rPr>
          <w:snapToGrid w:val="0"/>
          <w:shd w:val="clear" w:color="auto" w:fill="FFFFFF"/>
        </w:rPr>
        <w:t>假阳性愈创木脂</w:t>
      </w:r>
      <w:r>
        <w:rPr>
          <w:rFonts w:hint="eastAsia"/>
          <w:snapToGrid w:val="0"/>
          <w:shd w:val="clear" w:color="auto" w:fill="FFFFFF"/>
        </w:rPr>
        <w:t>检测</w:t>
      </w:r>
      <w:r>
        <w:rPr>
          <w:snapToGrid w:val="0"/>
          <w:shd w:val="clear" w:color="auto" w:fill="FFFFFF"/>
        </w:rPr>
        <w:t>结果可能来自红色的食物或罕见肉</w:t>
      </w:r>
      <w:r>
        <w:rPr>
          <w:rFonts w:hint="eastAsia"/>
          <w:snapToGrid w:val="0"/>
          <w:shd w:val="clear" w:color="auto" w:fill="FFFFFF"/>
        </w:rPr>
        <w:t>类</w:t>
      </w:r>
      <w:r>
        <w:rPr>
          <w:snapToGrid w:val="0"/>
          <w:shd w:val="clear" w:color="auto" w:fill="FFFFFF"/>
        </w:rPr>
        <w:t>（由于肌红蛋白的假过氧化物酶活性和肉中的血）而出现。因此，</w:t>
      </w:r>
      <w:bookmarkStart w:id="11" w:name="OLE_LINK14"/>
      <w:bookmarkStart w:id="12" w:name="OLE_LINK13"/>
      <w:r>
        <w:rPr>
          <w:snapToGrid w:val="0"/>
          <w:shd w:val="clear" w:color="auto" w:fill="FFFFFF"/>
        </w:rPr>
        <w:t>美国癌症协会</w:t>
      </w:r>
      <w:bookmarkEnd w:id="11"/>
      <w:bookmarkEnd w:id="12"/>
      <w:r>
        <w:rPr>
          <w:snapToGrid w:val="0"/>
          <w:shd w:val="clear" w:color="auto" w:fill="FFFFFF"/>
        </w:rPr>
        <w:t>建议在测试前</w:t>
      </w:r>
      <w:r>
        <w:rPr>
          <w:rFonts w:hint="eastAsia"/>
          <w:snapToGrid w:val="0"/>
          <w:shd w:val="clear" w:color="auto" w:fill="FFFFFF"/>
        </w:rPr>
        <w:t>3</w:t>
      </w:r>
      <w:r>
        <w:rPr>
          <w:snapToGrid w:val="0"/>
          <w:shd w:val="clear" w:color="auto" w:fill="FFFFFF"/>
        </w:rPr>
        <w:t>天避免食用红肉。建议在进行愈创木脂</w:t>
      </w:r>
      <w:r>
        <w:rPr>
          <w:rFonts w:hint="eastAsia"/>
          <w:snapToGrid w:val="0"/>
          <w:shd w:val="clear" w:color="auto" w:fill="FFFFFF"/>
        </w:rPr>
        <w:t>检测</w:t>
      </w:r>
      <w:r>
        <w:rPr>
          <w:snapToGrid w:val="0"/>
          <w:shd w:val="clear" w:color="auto" w:fill="FFFFFF"/>
        </w:rPr>
        <w:t>之前，进行摄入含有过氧化物酶的生水果和蔬菜（例如，哈密瓜、辣根、萝卜、白萝卜、西兰花）的饮食限制，然而，这种限制的具体</w:t>
      </w:r>
      <w:r>
        <w:rPr>
          <w:rFonts w:hint="eastAsia"/>
          <w:snapToGrid w:val="0"/>
          <w:shd w:val="clear" w:color="auto" w:fill="FFFFFF"/>
        </w:rPr>
        <w:t>限值</w:t>
      </w:r>
      <w:r>
        <w:rPr>
          <w:snapToGrid w:val="0"/>
          <w:shd w:val="clear" w:color="auto" w:fill="FFFFFF"/>
        </w:rPr>
        <w:t>尚未建立（参考1）。</w:t>
      </w:r>
    </w:p>
    <w:p w14:paraId="20D6C52F">
      <w:pPr>
        <w:pStyle w:val="42"/>
        <w:numPr>
          <w:ilvl w:val="0"/>
          <w:numId w:val="4"/>
        </w:numPr>
        <w:spacing w:before="195"/>
        <w:ind w:left="900" w:leftChars="200" w:hangingChars="175"/>
        <w:rPr>
          <w:snapToGrid w:val="0"/>
          <w:shd w:val="clear" w:color="auto" w:fill="FFFFFF"/>
        </w:rPr>
      </w:pPr>
      <w:r>
        <w:rPr>
          <w:snapToGrid w:val="0"/>
          <w:shd w:val="clear" w:color="auto" w:fill="FFFFFF"/>
        </w:rPr>
        <w:t>某些药物如阿司匹林和非甾体抗炎药，可能会增加胃肠出血，并导致阳性的结果。据报道，铁化合物会导致假阳性结果。抗坏血酸（维生素C）摄取量大于250mg/kg会造成假阴性粪便潜血检测结果。</w:t>
      </w:r>
      <w:r>
        <w:rPr>
          <w:rFonts w:hint="eastAsia"/>
          <w:snapToGrid w:val="0"/>
          <w:shd w:val="clear" w:color="auto" w:fill="FFFFFF"/>
        </w:rPr>
        <w:t>应当在进行测试前3天避免摄入超过</w:t>
      </w:r>
      <w:r>
        <w:rPr>
          <w:snapToGrid w:val="0"/>
          <w:shd w:val="clear" w:color="auto" w:fill="FFFFFF"/>
        </w:rPr>
        <w:t>250mg/kg</w:t>
      </w:r>
      <w:r>
        <w:rPr>
          <w:rFonts w:hint="eastAsia"/>
          <w:snapToGrid w:val="0"/>
          <w:shd w:val="clear" w:color="auto" w:fill="FFFFFF"/>
        </w:rPr>
        <w:t>的维生素C，包括来自补充剂或柑橘类水果和果汁的维生素C（参考1）。</w:t>
      </w:r>
    </w:p>
    <w:p w14:paraId="552391E4">
      <w:pPr>
        <w:pStyle w:val="42"/>
        <w:numPr>
          <w:ilvl w:val="0"/>
          <w:numId w:val="4"/>
        </w:numPr>
        <w:spacing w:before="195"/>
        <w:ind w:left="900" w:leftChars="200" w:hangingChars="175"/>
        <w:rPr>
          <w:snapToGrid w:val="0"/>
          <w:shd w:val="clear" w:color="auto" w:fill="FFFFFF"/>
        </w:rPr>
      </w:pPr>
      <w:r>
        <w:rPr>
          <w:snapToGrid w:val="0"/>
          <w:shd w:val="clear" w:color="auto" w:fill="FFFFFF"/>
        </w:rPr>
        <w:t>美国癌症协会警告，在医生办公室中的直肠指诊过程进行的单</w:t>
      </w:r>
      <w:r>
        <w:rPr>
          <w:rFonts w:hint="eastAsia"/>
          <w:snapToGrid w:val="0"/>
          <w:shd w:val="clear" w:color="auto" w:fill="FFFFFF"/>
        </w:rPr>
        <w:t>次</w:t>
      </w:r>
      <w:r>
        <w:rPr>
          <w:snapToGrid w:val="0"/>
          <w:shd w:val="clear" w:color="auto" w:fill="FFFFFF"/>
        </w:rPr>
        <w:t>FOB检测并不足以用于筛选。假阴性结果的风险是通过对3个连续的肠道运动执行3个不同测试来</w:t>
      </w:r>
      <w:r>
        <w:rPr>
          <w:rFonts w:hint="eastAsia"/>
          <w:snapToGrid w:val="0"/>
          <w:shd w:val="clear" w:color="auto" w:fill="FFFFFF"/>
        </w:rPr>
        <w:t>缓解</w:t>
      </w:r>
      <w:r>
        <w:rPr>
          <w:snapToGrid w:val="0"/>
          <w:shd w:val="clear" w:color="auto" w:fill="FFFFFF"/>
        </w:rPr>
        <w:t>的。</w:t>
      </w:r>
    </w:p>
    <w:p w14:paraId="04E5EF6E">
      <w:pPr>
        <w:spacing w:before="195"/>
        <w:rPr>
          <w:snapToGrid w:val="0"/>
          <w:color w:val="000000" w:themeColor="text1"/>
          <w:shd w:val="clear" w:color="auto" w:fill="FFFFFF"/>
          <w14:textFill>
            <w14:solidFill>
              <w14:schemeClr w14:val="tx1"/>
            </w14:solidFill>
          </w14:textFill>
        </w:rPr>
      </w:pPr>
      <w:r>
        <w:rPr>
          <w:snapToGrid w:val="0"/>
          <w:color w:val="000000" w:themeColor="text1"/>
          <w:shd w:val="clear" w:color="auto" w:fill="FFFFFF"/>
          <w14:textFill>
            <w14:solidFill>
              <w14:schemeClr w14:val="tx1"/>
            </w14:solidFill>
          </w14:textFill>
        </w:rPr>
        <w:t>我们建议贵公司在提交贵公司的上市前通告之前进行风险分析，以识别特定于贵公司器械的任何其他风险。如果贵公司识别</w:t>
      </w:r>
      <w:r>
        <w:rPr>
          <w:rFonts w:hint="eastAsia"/>
          <w:snapToGrid w:val="0"/>
          <w:color w:val="000000" w:themeColor="text1"/>
          <w:shd w:val="clear" w:color="auto" w:fill="FFFFFF"/>
          <w14:textFill>
            <w14:solidFill>
              <w14:schemeClr w14:val="tx1"/>
            </w14:solidFill>
          </w14:textFill>
        </w:rPr>
        <w:t>了</w:t>
      </w:r>
      <w:r>
        <w:rPr>
          <w:snapToGrid w:val="0"/>
          <w:color w:val="000000" w:themeColor="text1"/>
          <w:shd w:val="clear" w:color="auto" w:fill="FFFFFF"/>
          <w14:textFill>
            <w14:solidFill>
              <w14:schemeClr w14:val="tx1"/>
            </w14:solidFill>
          </w14:textFill>
        </w:rPr>
        <w:t>其他的风险，或选择使用另一种方法来解决在本文件中识别的特定风险，贵公司应当提供足够的信息来支持贵公司已经用于解决风险的方法。</w:t>
      </w:r>
    </w:p>
    <w:p w14:paraId="6519C4BB">
      <w:pPr>
        <w:spacing w:before="195"/>
        <w:rPr>
          <w:snapToGrid w:val="0"/>
          <w:color w:val="000000" w:themeColor="text1"/>
          <w:shd w:val="clear" w:color="auto" w:fill="FFFFFF"/>
          <w14:textFill>
            <w14:solidFill>
              <w14:schemeClr w14:val="tx1"/>
            </w14:solidFill>
          </w14:textFill>
        </w:rPr>
      </w:pPr>
      <w:r>
        <w:rPr>
          <w:snapToGrid w:val="0"/>
          <w:color w:val="000000" w:themeColor="text1"/>
          <w:shd w:val="clear" w:color="auto" w:fill="FFFFFF"/>
          <w14:textFill>
            <w14:solidFill>
              <w14:schemeClr w14:val="tx1"/>
            </w14:solidFill>
          </w14:textFill>
        </w:rPr>
        <w:br w:type="page"/>
      </w:r>
    </w:p>
    <w:p w14:paraId="2441F5B1">
      <w:pPr>
        <w:pStyle w:val="42"/>
        <w:numPr>
          <w:ilvl w:val="0"/>
          <w:numId w:val="3"/>
        </w:numPr>
        <w:spacing w:before="326" w:beforeLines="100" w:after="163" w:afterLines="50"/>
        <w:ind w:left="562" w:hanging="562" w:hangingChars="200"/>
        <w:outlineLvl w:val="0"/>
        <w:rPr>
          <w:b/>
          <w:snapToGrid w:val="0"/>
          <w:sz w:val="28"/>
          <w:szCs w:val="28"/>
        </w:rPr>
      </w:pPr>
      <w:bookmarkStart w:id="13" w:name="_Toc476728375"/>
      <w:bookmarkStart w:id="14" w:name="_Toc476728469"/>
      <w:r>
        <w:rPr>
          <w:rFonts w:hint="eastAsia"/>
          <w:b/>
          <w:snapToGrid w:val="0"/>
          <w:sz w:val="28"/>
          <w:szCs w:val="28"/>
        </w:rPr>
        <w:t>FOB检测的类型</w:t>
      </w:r>
      <w:bookmarkEnd w:id="13"/>
      <w:bookmarkEnd w:id="14"/>
    </w:p>
    <w:p w14:paraId="1034D6A4">
      <w:pPr>
        <w:spacing w:before="195"/>
        <w:rPr>
          <w:snapToGrid w:val="0"/>
          <w:color w:val="000000" w:themeColor="text1"/>
          <w:shd w:val="clear" w:color="auto" w:fill="FFFFFF"/>
          <w14:textFill>
            <w14:solidFill>
              <w14:schemeClr w14:val="tx1"/>
            </w14:solidFill>
          </w14:textFill>
        </w:rPr>
      </w:pPr>
      <w:r>
        <w:rPr>
          <w:snapToGrid w:val="0"/>
          <w:color w:val="000000" w:themeColor="text1"/>
          <w:shd w:val="clear" w:color="auto" w:fill="FFFFFF"/>
          <w14:textFill>
            <w14:solidFill>
              <w14:schemeClr w14:val="tx1"/>
            </w14:solidFill>
          </w14:textFill>
        </w:rPr>
        <w:t>有两种类型的FOB检测仪已被FDA许可：</w:t>
      </w:r>
    </w:p>
    <w:p w14:paraId="18D43158">
      <w:pPr>
        <w:pStyle w:val="42"/>
        <w:numPr>
          <w:ilvl w:val="0"/>
          <w:numId w:val="4"/>
        </w:numPr>
        <w:spacing w:before="195"/>
        <w:ind w:left="900" w:leftChars="200" w:hangingChars="175"/>
        <w:rPr>
          <w:snapToGrid w:val="0"/>
          <w:shd w:val="clear" w:color="auto" w:fill="FFFFFF"/>
        </w:rPr>
      </w:pPr>
      <w:r>
        <w:rPr>
          <w:snapToGrid w:val="0"/>
          <w:shd w:val="clear" w:color="auto" w:fill="FFFFFF"/>
        </w:rPr>
        <w:t>愈创木脂</w:t>
      </w:r>
    </w:p>
    <w:p w14:paraId="345C30C5">
      <w:pPr>
        <w:pStyle w:val="42"/>
        <w:numPr>
          <w:ilvl w:val="0"/>
          <w:numId w:val="4"/>
        </w:numPr>
        <w:spacing w:before="195"/>
        <w:ind w:left="900" w:leftChars="200" w:hangingChars="175"/>
        <w:rPr>
          <w:snapToGrid w:val="0"/>
          <w:shd w:val="clear" w:color="auto" w:fill="FFFFFF"/>
        </w:rPr>
      </w:pPr>
      <w:r>
        <w:rPr>
          <w:rFonts w:hint="eastAsia"/>
          <w:snapToGrid w:val="0"/>
          <w:shd w:val="clear" w:color="auto" w:fill="FFFFFF"/>
        </w:rPr>
        <w:t>免疫学</w:t>
      </w:r>
    </w:p>
    <w:p w14:paraId="31F0D339">
      <w:pPr>
        <w:spacing w:before="195"/>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该医疗器械可供处方（临床实验室和医生诊所）和／或非处方使用。这些FOB检测类型的特征描述如下。</w:t>
      </w:r>
    </w:p>
    <w:p w14:paraId="699164EE">
      <w:pPr>
        <w:spacing w:before="195"/>
        <w:outlineLvl w:val="1"/>
        <w:rPr>
          <w:b/>
          <w:snapToGrid w:val="0"/>
          <w:u w:val="single"/>
        </w:rPr>
      </w:pPr>
      <w:bookmarkStart w:id="15" w:name="_Toc476728470"/>
      <w:bookmarkStart w:id="16" w:name="_Toc476728376"/>
      <w:r>
        <w:rPr>
          <w:b/>
          <w:snapToGrid w:val="0"/>
          <w:u w:val="single"/>
          <w:shd w:val="clear" w:color="auto" w:fill="FFFFFF"/>
        </w:rPr>
        <w:t>愈创木脂</w:t>
      </w:r>
      <w:bookmarkEnd w:id="15"/>
      <w:bookmarkEnd w:id="16"/>
    </w:p>
    <w:p w14:paraId="0F49EADD">
      <w:pPr>
        <w:spacing w:before="195"/>
        <w:rPr>
          <w:bCs/>
          <w:snapToGrid w:val="0"/>
          <w:color w:val="000000" w:themeColor="text1"/>
          <w:shd w:val="clear" w:color="auto" w:fill="FFFFFF"/>
          <w14:textFill>
            <w14:solidFill>
              <w14:schemeClr w14:val="tx1"/>
            </w14:solidFill>
          </w14:textFill>
        </w:rPr>
      </w:pPr>
      <w:r>
        <w:rPr>
          <w:bCs/>
          <w:snapToGrid w:val="0"/>
          <w:color w:val="000000" w:themeColor="text1"/>
          <w:shd w:val="clear" w:color="auto" w:fill="FFFFFF"/>
          <w14:textFill>
            <w14:solidFill>
              <w14:schemeClr w14:val="tx1"/>
            </w14:solidFill>
          </w14:textFill>
        </w:rPr>
        <w:t>愈创木脂</w:t>
      </w:r>
      <w:r>
        <w:rPr>
          <w:snapToGrid w:val="0"/>
        </w:rPr>
        <w:t>粪便潜血（FOB）</w:t>
      </w:r>
      <w:r>
        <w:rPr>
          <w:bCs/>
          <w:snapToGrid w:val="0"/>
          <w:color w:val="000000" w:themeColor="text1"/>
          <w:shd w:val="clear" w:color="auto" w:fill="FFFFFF"/>
          <w14:textFill>
            <w14:solidFill>
              <w14:schemeClr w14:val="tx1"/>
            </w14:solidFill>
          </w14:textFill>
        </w:rPr>
        <w:t>载玻片检测是一种定性检测。愈创木脂是一种衍生自愈创树木材树脂的酚类化合物。</w:t>
      </w:r>
      <w:r>
        <w:rPr>
          <w:snapToGrid w:val="0"/>
          <w:color w:val="000000" w:themeColor="text1"/>
          <w:shd w:val="clear" w:color="auto" w:fill="FFFFFF"/>
          <w14:textFill>
            <w14:solidFill>
              <w14:schemeClr w14:val="tx1"/>
            </w14:solidFill>
          </w14:textFill>
        </w:rPr>
        <w:t>测试原理是基于出现在</w:t>
      </w:r>
      <w:r>
        <w:rPr>
          <w:bCs/>
          <w:snapToGrid w:val="0"/>
          <w:color w:val="000000" w:themeColor="text1"/>
          <w:shd w:val="clear" w:color="auto" w:fill="FFFFFF"/>
          <w14:textFill>
            <w14:solidFill>
              <w14:schemeClr w14:val="tx1"/>
            </w14:solidFill>
          </w14:textFill>
        </w:rPr>
        <w:t>愈创木脂中的</w:t>
      </w:r>
      <w:r>
        <w:rPr>
          <w:snapToGrid w:val="0"/>
          <w:color w:val="000000" w:themeColor="text1"/>
          <w:shd w:val="clear" w:color="auto" w:fill="FFFFFF"/>
          <w14:textFill>
            <w14:solidFill>
              <w14:schemeClr w14:val="tx1"/>
            </w14:solidFill>
          </w14:textFill>
        </w:rPr>
        <w:t>无色酚类化合物的氧化，形成醌类化合物，</w:t>
      </w:r>
      <w:r>
        <w:rPr>
          <w:rFonts w:hint="eastAsia"/>
          <w:snapToGrid w:val="0"/>
          <w:color w:val="000000" w:themeColor="text1"/>
          <w:shd w:val="clear" w:color="auto" w:fill="FFFFFF"/>
          <w14:textFill>
            <w14:solidFill>
              <w14:schemeClr w14:val="tx1"/>
            </w14:solidFill>
          </w14:textFill>
        </w:rPr>
        <w:t>从而</w:t>
      </w:r>
      <w:r>
        <w:rPr>
          <w:snapToGrid w:val="0"/>
          <w:color w:val="000000" w:themeColor="text1"/>
          <w:shd w:val="clear" w:color="auto" w:fill="FFFFFF"/>
          <w14:textFill>
            <w14:solidFill>
              <w14:schemeClr w14:val="tx1"/>
            </w14:solidFill>
          </w14:textFill>
        </w:rPr>
        <w:t>产生蓝色。如果粪便样本中存在血液，血红蛋白分子功能的血红素部分作为一个假酶，催化过氧化氢释放氧气，而这又反过来导致</w:t>
      </w:r>
      <w:r>
        <w:rPr>
          <w:bCs/>
          <w:snapToGrid w:val="0"/>
          <w:color w:val="000000" w:themeColor="text1"/>
          <w:shd w:val="clear" w:color="auto" w:fill="FFFFFF"/>
          <w14:textFill>
            <w14:solidFill>
              <w14:schemeClr w14:val="tx1"/>
            </w14:solidFill>
          </w14:textFill>
        </w:rPr>
        <w:t>愈创木脂的氧化和随后</w:t>
      </w:r>
      <w:r>
        <w:rPr>
          <w:rFonts w:hint="eastAsia"/>
          <w:bCs/>
          <w:snapToGrid w:val="0"/>
          <w:color w:val="000000" w:themeColor="text1"/>
          <w:shd w:val="clear" w:color="auto" w:fill="FFFFFF"/>
          <w14:textFill>
            <w14:solidFill>
              <w14:schemeClr w14:val="tx1"/>
            </w14:solidFill>
          </w14:textFill>
        </w:rPr>
        <w:t>显现</w:t>
      </w:r>
      <w:r>
        <w:rPr>
          <w:bCs/>
          <w:snapToGrid w:val="0"/>
          <w:color w:val="000000" w:themeColor="text1"/>
          <w:shd w:val="clear" w:color="auto" w:fill="FFFFFF"/>
          <w14:textFill>
            <w14:solidFill>
              <w14:schemeClr w14:val="tx1"/>
            </w14:solidFill>
          </w14:textFill>
        </w:rPr>
        <w:t>的蓝色。</w:t>
      </w:r>
    </w:p>
    <w:p w14:paraId="6F5D2753">
      <w:pPr>
        <w:spacing w:before="195"/>
        <w:rPr>
          <w:bCs/>
          <w:snapToGrid w:val="0"/>
          <w:color w:val="000000" w:themeColor="text1"/>
          <w:shd w:val="clear" w:color="auto" w:fill="FFFFFF"/>
          <w14:textFill>
            <w14:solidFill>
              <w14:schemeClr w14:val="tx1"/>
            </w14:solidFill>
          </w14:textFill>
        </w:rPr>
      </w:pPr>
      <w:r>
        <w:rPr>
          <w:snapToGrid w:val="0"/>
          <w:color w:val="000000" w:themeColor="text1"/>
          <w:shd w:val="clear" w:color="auto" w:fill="FFFFFF"/>
          <w14:textFill>
            <w14:solidFill>
              <w14:schemeClr w14:val="tx1"/>
            </w14:solidFill>
          </w14:textFill>
        </w:rPr>
        <w:t>患者采集的粪便样本被涂抹</w:t>
      </w:r>
      <w:r>
        <w:rPr>
          <w:rFonts w:hint="eastAsia"/>
          <w:snapToGrid w:val="0"/>
          <w:color w:val="000000" w:themeColor="text1"/>
          <w:shd w:val="clear" w:color="auto" w:fill="FFFFFF"/>
          <w14:textFill>
            <w14:solidFill>
              <w14:schemeClr w14:val="tx1"/>
            </w14:solidFill>
          </w14:textFill>
        </w:rPr>
        <w:t>于</w:t>
      </w:r>
      <w:r>
        <w:rPr>
          <w:snapToGrid w:val="0"/>
          <w:color w:val="000000" w:themeColor="text1"/>
          <w:shd w:val="clear" w:color="auto" w:fill="FFFFFF"/>
          <w14:textFill>
            <w14:solidFill>
              <w14:schemeClr w14:val="tx1"/>
            </w14:solidFill>
          </w14:textFill>
        </w:rPr>
        <w:t>包含在载玻片中的滤纸上。等待滤纸干燥。一旦收集好所有样本后，载玻片</w:t>
      </w:r>
      <w:r>
        <w:rPr>
          <w:rFonts w:hint="eastAsia"/>
          <w:snapToGrid w:val="0"/>
          <w:color w:val="000000" w:themeColor="text1"/>
          <w:shd w:val="clear" w:color="auto" w:fill="FFFFFF"/>
          <w14:textFill>
            <w14:solidFill>
              <w14:schemeClr w14:val="tx1"/>
            </w14:solidFill>
          </w14:textFill>
        </w:rPr>
        <w:t>送</w:t>
      </w:r>
      <w:r>
        <w:rPr>
          <w:snapToGrid w:val="0"/>
          <w:color w:val="000000" w:themeColor="text1"/>
          <w:shd w:val="clear" w:color="auto" w:fill="FFFFFF"/>
          <w14:textFill>
            <w14:solidFill>
              <w14:schemeClr w14:val="tx1"/>
            </w14:solidFill>
          </w14:textFill>
        </w:rPr>
        <w:t>回</w:t>
      </w:r>
      <w:r>
        <w:rPr>
          <w:rFonts w:hint="eastAsia"/>
          <w:snapToGrid w:val="0"/>
          <w:color w:val="000000" w:themeColor="text1"/>
          <w:shd w:val="clear" w:color="auto" w:fill="FFFFFF"/>
          <w14:textFill>
            <w14:solidFill>
              <w14:schemeClr w14:val="tx1"/>
            </w14:solidFill>
          </w14:textFill>
        </w:rPr>
        <w:t>至</w:t>
      </w:r>
      <w:r>
        <w:rPr>
          <w:snapToGrid w:val="0"/>
          <w:color w:val="000000" w:themeColor="text1"/>
          <w:shd w:val="clear" w:color="auto" w:fill="FFFFFF"/>
          <w14:textFill>
            <w14:solidFill>
              <w14:schemeClr w14:val="tx1"/>
            </w14:solidFill>
          </w14:textFill>
        </w:rPr>
        <w:t>医生诊所用于</w:t>
      </w:r>
      <w:bookmarkStart w:id="17" w:name="OLE_LINK15"/>
      <w:bookmarkStart w:id="18" w:name="OLE_LINK16"/>
      <w:r>
        <w:rPr>
          <w:snapToGrid w:val="0"/>
          <w:color w:val="000000" w:themeColor="text1"/>
          <w:shd w:val="clear" w:color="auto" w:fill="FFFFFF"/>
          <w14:textFill>
            <w14:solidFill>
              <w14:schemeClr w14:val="tx1"/>
            </w14:solidFill>
          </w14:textFill>
        </w:rPr>
        <w:t>显影</w:t>
      </w:r>
      <w:bookmarkEnd w:id="17"/>
      <w:bookmarkEnd w:id="18"/>
      <w:r>
        <w:rPr>
          <w:snapToGrid w:val="0"/>
          <w:color w:val="000000" w:themeColor="text1"/>
          <w:shd w:val="clear" w:color="auto" w:fill="FFFFFF"/>
          <w14:textFill>
            <w14:solidFill>
              <w14:schemeClr w14:val="tx1"/>
            </w14:solidFill>
          </w14:textFill>
        </w:rPr>
        <w:t>，或者用于非处方测试在家中显影。存储的</w:t>
      </w:r>
      <w:r>
        <w:rPr>
          <w:bCs/>
          <w:snapToGrid w:val="0"/>
          <w:color w:val="000000" w:themeColor="text1"/>
          <w:shd w:val="clear" w:color="auto" w:fill="FFFFFF"/>
          <w14:textFill>
            <w14:solidFill>
              <w14:schemeClr w14:val="tx1"/>
            </w14:solidFill>
          </w14:textFill>
        </w:rPr>
        <w:t>愈创木脂载玻片再水合确实会增加测试灵敏度，然而，再水合同样会增加假阳性结果。因此，不推荐进行再水合（参考文献2）。</w:t>
      </w:r>
    </w:p>
    <w:p w14:paraId="1D370A8A">
      <w:pPr>
        <w:spacing w:before="195"/>
        <w:rPr>
          <w:snapToGrid w:val="0"/>
          <w:color w:val="000000" w:themeColor="text1"/>
          <w:shd w:val="clear" w:color="auto" w:fill="FFFFFF"/>
          <w14:textFill>
            <w14:solidFill>
              <w14:schemeClr w14:val="tx1"/>
            </w14:solidFill>
          </w14:textFill>
        </w:rPr>
      </w:pPr>
      <w:r>
        <w:rPr>
          <w:rFonts w:asciiTheme="minorEastAsia" w:hAnsiTheme="minorEastAsia" w:eastAsiaTheme="minorEastAsia"/>
          <w:bCs/>
          <w:snapToGrid w:val="0"/>
          <w:color w:val="000000" w:themeColor="text1"/>
          <w:shd w:val="clear" w:color="auto" w:fill="FFFFFF"/>
          <w14:textFill>
            <w14:solidFill>
              <w14:schemeClr w14:val="tx1"/>
            </w14:solidFill>
          </w14:textFill>
        </w:rPr>
        <w:t>“</w:t>
      </w:r>
      <w:r>
        <w:rPr>
          <w:rFonts w:hint="eastAsia"/>
          <w:bCs/>
          <w:snapToGrid w:val="0"/>
          <w:color w:val="000000" w:themeColor="text1"/>
          <w:shd w:val="clear" w:color="auto" w:fill="FFFFFF"/>
          <w14:textFill>
            <w14:solidFill>
              <w14:schemeClr w14:val="tx1"/>
            </w14:solidFill>
          </w14:textFill>
        </w:rPr>
        <w:t>马桶</w:t>
      </w:r>
      <w:r>
        <w:rPr>
          <w:bCs/>
          <w:snapToGrid w:val="0"/>
          <w:color w:val="000000" w:themeColor="text1"/>
          <w:shd w:val="clear" w:color="auto" w:fill="FFFFFF"/>
          <w14:textFill>
            <w14:solidFill>
              <w14:schemeClr w14:val="tx1"/>
            </w14:solidFill>
          </w14:textFill>
        </w:rPr>
        <w:t>”FOB检测工作采用和愈创木脂载玻片检测相同的原理。该检测包括一层涂有显色剂和过氧化物的纸膜。</w:t>
      </w:r>
      <w:r>
        <w:rPr>
          <w:snapToGrid w:val="0"/>
          <w:color w:val="000000" w:themeColor="text1"/>
          <w:shd w:val="clear" w:color="auto" w:fill="FFFFFF"/>
          <w14:textFill>
            <w14:solidFill>
              <w14:schemeClr w14:val="tx1"/>
            </w14:solidFill>
          </w14:textFill>
        </w:rPr>
        <w:t>当纸在排便后掉进马桶里，</w:t>
      </w:r>
      <w:bookmarkStart w:id="19" w:name="OLE_LINK18"/>
      <w:bookmarkStart w:id="20" w:name="OLE_LINK17"/>
      <w:r>
        <w:rPr>
          <w:snapToGrid w:val="0"/>
          <w:color w:val="000000" w:themeColor="text1"/>
          <w:shd w:val="clear" w:color="auto" w:fill="FFFFFF"/>
          <w14:textFill>
            <w14:solidFill>
              <w14:schemeClr w14:val="tx1"/>
            </w14:solidFill>
          </w14:textFill>
        </w:rPr>
        <w:t>显色反应</w:t>
      </w:r>
      <w:bookmarkEnd w:id="19"/>
      <w:bookmarkEnd w:id="20"/>
      <w:r>
        <w:rPr>
          <w:snapToGrid w:val="0"/>
          <w:color w:val="000000" w:themeColor="text1"/>
          <w:shd w:val="clear" w:color="auto" w:fill="FFFFFF"/>
          <w14:textFill>
            <w14:solidFill>
              <w14:schemeClr w14:val="tx1"/>
            </w14:solidFill>
          </w14:textFill>
        </w:rPr>
        <w:t>检测粪便中是否存在血液。</w:t>
      </w:r>
    </w:p>
    <w:p w14:paraId="1B61E3A3">
      <w:pPr>
        <w:spacing w:before="195"/>
        <w:rPr>
          <w:snapToGrid w:val="0"/>
          <w:color w:val="000000" w:themeColor="text1"/>
          <w:shd w:val="clear" w:color="auto" w:fill="FFFFFF"/>
          <w14:textFill>
            <w14:solidFill>
              <w14:schemeClr w14:val="tx1"/>
            </w14:solidFill>
          </w14:textFill>
        </w:rPr>
      </w:pPr>
      <w:r>
        <w:rPr>
          <w:snapToGrid w:val="0"/>
          <w:color w:val="000000" w:themeColor="text1"/>
          <w:shd w:val="clear" w:color="auto" w:fill="FFFFFF"/>
          <w14:textFill>
            <w14:solidFill>
              <w14:schemeClr w14:val="tx1"/>
            </w14:solidFill>
          </w14:textFill>
        </w:rPr>
        <w:t>假阳性</w:t>
      </w:r>
      <w:r>
        <w:rPr>
          <w:bCs/>
          <w:snapToGrid w:val="0"/>
          <w:color w:val="000000" w:themeColor="text1"/>
          <w:shd w:val="clear" w:color="auto" w:fill="FFFFFF"/>
          <w14:textFill>
            <w14:solidFill>
              <w14:schemeClr w14:val="tx1"/>
            </w14:solidFill>
          </w14:textFill>
        </w:rPr>
        <w:t>愈创木脂</w:t>
      </w:r>
      <w:r>
        <w:rPr>
          <w:snapToGrid w:val="0"/>
          <w:color w:val="000000" w:themeColor="text1"/>
          <w:shd w:val="clear" w:color="auto" w:fill="FFFFFF"/>
          <w14:textFill>
            <w14:solidFill>
              <w14:schemeClr w14:val="tx1"/>
            </w14:solidFill>
          </w14:textFill>
        </w:rPr>
        <w:t>测试结果可能来自红色的食物或罕见肉</w:t>
      </w:r>
      <w:r>
        <w:rPr>
          <w:rFonts w:hint="eastAsia"/>
          <w:snapToGrid w:val="0"/>
          <w:color w:val="000000" w:themeColor="text1"/>
          <w:shd w:val="clear" w:color="auto" w:fill="FFFFFF"/>
          <w14:textFill>
            <w14:solidFill>
              <w14:schemeClr w14:val="tx1"/>
            </w14:solidFill>
          </w14:textFill>
        </w:rPr>
        <w:t>类</w:t>
      </w:r>
      <w:r>
        <w:rPr>
          <w:snapToGrid w:val="0"/>
          <w:color w:val="000000" w:themeColor="text1"/>
          <w:shd w:val="clear" w:color="auto" w:fill="FFFFFF"/>
          <w14:textFill>
            <w14:solidFill>
              <w14:schemeClr w14:val="tx1"/>
            </w14:solidFill>
          </w14:textFill>
        </w:rPr>
        <w:t>和／或饮食中的过氧化物酶。维生素C（抗坏血酸）可能引起假阴性结果。</w:t>
      </w:r>
    </w:p>
    <w:p w14:paraId="77C10E98">
      <w:pPr>
        <w:spacing w:before="195"/>
        <w:outlineLvl w:val="1"/>
        <w:rPr>
          <w:b/>
          <w:snapToGrid w:val="0"/>
          <w:u w:val="single"/>
          <w:shd w:val="clear" w:color="auto" w:fill="FFFFFF"/>
        </w:rPr>
      </w:pPr>
      <w:bookmarkStart w:id="21" w:name="_Toc476728377"/>
      <w:bookmarkStart w:id="22" w:name="_Toc476728471"/>
      <w:r>
        <w:rPr>
          <w:rFonts w:hint="eastAsia"/>
          <w:b/>
          <w:snapToGrid w:val="0"/>
          <w:u w:val="single"/>
          <w:shd w:val="clear" w:color="auto" w:fill="FFFFFF"/>
        </w:rPr>
        <w:t>免疫学</w:t>
      </w:r>
      <w:bookmarkEnd w:id="21"/>
      <w:bookmarkEnd w:id="22"/>
    </w:p>
    <w:p w14:paraId="70236E60">
      <w:pPr>
        <w:spacing w:before="195"/>
        <w:rPr>
          <w:bCs/>
          <w:snapToGrid w:val="0"/>
          <w:color w:val="000000" w:themeColor="text1"/>
          <w:shd w:val="clear" w:color="auto" w:fill="FFFFFF"/>
          <w14:textFill>
            <w14:solidFill>
              <w14:schemeClr w14:val="tx1"/>
            </w14:solidFill>
          </w14:textFill>
        </w:rPr>
      </w:pPr>
      <w:r>
        <w:rPr>
          <w:snapToGrid w:val="0"/>
        </w:rPr>
        <w:t>粪便潜血（FOB）</w:t>
      </w:r>
      <w:r>
        <w:rPr>
          <w:bCs/>
          <w:snapToGrid w:val="0"/>
          <w:color w:val="000000" w:themeColor="text1"/>
          <w:shd w:val="clear" w:color="auto" w:fill="FFFFFF"/>
          <w14:textFill>
            <w14:solidFill>
              <w14:schemeClr w14:val="tx1"/>
            </w14:solidFill>
          </w14:textFill>
        </w:rPr>
        <w:t>的免疫化学检测利用单克隆抗体和／或多克隆抗体</w:t>
      </w:r>
      <w:r>
        <w:rPr>
          <w:snapToGrid w:val="0"/>
          <w:color w:val="000000" w:themeColor="text1"/>
          <w:shd w:val="clear" w:color="auto" w:fill="FFFFFF"/>
          <w14:textFill>
            <w14:solidFill>
              <w14:schemeClr w14:val="tx1"/>
            </w14:solidFill>
          </w14:textFill>
        </w:rPr>
        <w:t>专门检测粪便中人体血红蛋白的存在。这些测试可以自动或手动执行。收集的粪便用取样探针刮除并置于含有提取缓冲液的样品瓶中。然后测试含有产生粪便提取物的样品瓶</w:t>
      </w:r>
      <w:r>
        <w:rPr>
          <w:bCs/>
          <w:snapToGrid w:val="0"/>
          <w:color w:val="000000" w:themeColor="text1"/>
          <w:shd w:val="clear" w:color="auto" w:fill="FFFFFF"/>
          <w14:textFill>
            <w14:solidFill>
              <w14:schemeClr w14:val="tx1"/>
            </w14:solidFill>
          </w14:textFill>
        </w:rPr>
        <w:t>。</w:t>
      </w:r>
    </w:p>
    <w:p w14:paraId="1B82E8DD">
      <w:pPr>
        <w:spacing w:before="195"/>
        <w:rPr>
          <w:bCs/>
          <w:snapToGrid w:val="0"/>
          <w:color w:val="000000" w:themeColor="text1"/>
          <w:shd w:val="clear" w:color="auto" w:fill="FFFFFF"/>
          <w14:textFill>
            <w14:solidFill>
              <w14:schemeClr w14:val="tx1"/>
            </w14:solidFill>
          </w14:textFill>
        </w:rPr>
      </w:pPr>
      <w:r>
        <w:rPr>
          <w:bCs/>
          <w:snapToGrid w:val="0"/>
          <w:color w:val="000000" w:themeColor="text1"/>
          <w:shd w:val="clear" w:color="auto" w:fill="FFFFFF"/>
          <w14:textFill>
            <w14:solidFill>
              <w14:schemeClr w14:val="tx1"/>
            </w14:solidFill>
          </w14:textFill>
        </w:rPr>
        <w:br w:type="page"/>
      </w:r>
    </w:p>
    <w:p w14:paraId="6EAFA9DD">
      <w:pPr>
        <w:spacing w:before="195"/>
        <w:rPr>
          <w:bCs/>
          <w:snapToGrid w:val="0"/>
          <w:color w:val="000000" w:themeColor="text1"/>
          <w:shd w:val="clear" w:color="auto" w:fill="FFFFFF"/>
          <w14:textFill>
            <w14:solidFill>
              <w14:schemeClr w14:val="tx1"/>
            </w14:solidFill>
          </w14:textFill>
        </w:rPr>
      </w:pPr>
    </w:p>
    <w:p w14:paraId="2E39F1F2">
      <w:pPr>
        <w:spacing w:before="195"/>
        <w:rPr>
          <w:bCs/>
          <w:snapToGrid w:val="0"/>
          <w:color w:val="000000" w:themeColor="text1"/>
          <w:shd w:val="clear" w:color="auto" w:fill="FFFFFF"/>
          <w14:textFill>
            <w14:solidFill>
              <w14:schemeClr w14:val="tx1"/>
            </w14:solidFill>
          </w14:textFill>
        </w:rPr>
      </w:pPr>
      <w:r>
        <w:rPr>
          <w:snapToGrid w:val="0"/>
        </w:rPr>
        <w:t>粪便潜血（FOB）</w:t>
      </w:r>
      <w:r>
        <w:rPr>
          <w:bCs/>
          <w:snapToGrid w:val="0"/>
          <w:color w:val="000000" w:themeColor="text1"/>
          <w:shd w:val="clear" w:color="auto" w:fill="FFFFFF"/>
          <w14:textFill>
            <w14:solidFill>
              <w14:schemeClr w14:val="tx1"/>
            </w14:solidFill>
          </w14:textFill>
        </w:rPr>
        <w:t>的免疫化学检测更精确，且</w:t>
      </w:r>
      <w:r>
        <w:rPr>
          <w:snapToGrid w:val="0"/>
          <w:color w:val="000000" w:themeColor="text1"/>
          <w:shd w:val="clear" w:color="auto" w:fill="FFFFFF"/>
          <w14:textFill>
            <w14:solidFill>
              <w14:schemeClr w14:val="tx1"/>
            </w14:solidFill>
          </w14:textFill>
        </w:rPr>
        <w:t>不受饮食中过氧化物酶、动物血</w:t>
      </w:r>
      <w:r>
        <w:rPr>
          <w:rFonts w:hint="eastAsia"/>
          <w:snapToGrid w:val="0"/>
          <w:color w:val="000000" w:themeColor="text1"/>
          <w:shd w:val="clear" w:color="auto" w:fill="FFFFFF"/>
          <w14:textFill>
            <w14:solidFill>
              <w14:schemeClr w14:val="tx1"/>
            </w14:solidFill>
          </w14:textFill>
        </w:rPr>
        <w:t>液</w:t>
      </w:r>
      <w:r>
        <w:rPr>
          <w:snapToGrid w:val="0"/>
          <w:color w:val="000000" w:themeColor="text1"/>
          <w:shd w:val="clear" w:color="auto" w:fill="FFFFFF"/>
          <w14:textFill>
            <w14:solidFill>
              <w14:schemeClr w14:val="tx1"/>
            </w14:solidFill>
          </w14:textFill>
        </w:rPr>
        <w:t>和维生素C（抗坏血酸）的干扰，</w:t>
      </w:r>
      <w:r>
        <w:rPr>
          <w:rFonts w:hint="eastAsia"/>
          <w:snapToGrid w:val="0"/>
          <w:color w:val="000000" w:themeColor="text1"/>
          <w:shd w:val="clear" w:color="auto" w:fill="FFFFFF"/>
          <w14:textFill>
            <w14:solidFill>
              <w14:schemeClr w14:val="tx1"/>
            </w14:solidFill>
          </w14:textFill>
        </w:rPr>
        <w:t>应用于</w:t>
      </w:r>
      <w:r>
        <w:rPr>
          <w:snapToGrid w:val="0"/>
          <w:color w:val="000000" w:themeColor="text1"/>
          <w:shd w:val="clear" w:color="auto" w:fill="FFFFFF"/>
          <w14:textFill>
            <w14:solidFill>
              <w14:schemeClr w14:val="tx1"/>
            </w14:solidFill>
          </w14:textFill>
        </w:rPr>
        <w:t>愈创木脂试验（参考3）。然而，血红蛋白蛋白质往往趋于化学改变，因为其通过消化道，改变其抗原性。结果当其是下消化道出血的结果时，该测试可以检测粪便潜血，但是可能无法检测上消化道出血，产生假阴性结果。除此以外，单克隆抗体识别单抗原决定簇，可能不会与人类血红蛋白的遗传变异积极反应，如镰状细胞病。</w:t>
      </w:r>
    </w:p>
    <w:p w14:paraId="002FFF8C">
      <w:pPr>
        <w:pStyle w:val="42"/>
        <w:numPr>
          <w:ilvl w:val="0"/>
          <w:numId w:val="3"/>
        </w:numPr>
        <w:spacing w:before="326" w:beforeLines="100" w:after="163" w:afterLines="50"/>
        <w:ind w:left="562" w:hanging="562" w:hangingChars="200"/>
        <w:outlineLvl w:val="0"/>
        <w:rPr>
          <w:b/>
          <w:snapToGrid w:val="0"/>
          <w:sz w:val="28"/>
          <w:szCs w:val="28"/>
        </w:rPr>
      </w:pPr>
      <w:bookmarkStart w:id="23" w:name="_Toc476728378"/>
      <w:bookmarkStart w:id="24" w:name="_Toc476728472"/>
      <w:r>
        <w:rPr>
          <w:rFonts w:hint="eastAsia"/>
          <w:b/>
          <w:snapToGrid w:val="0"/>
          <w:sz w:val="28"/>
          <w:szCs w:val="28"/>
        </w:rPr>
        <w:t>分析性能特征</w:t>
      </w:r>
      <w:bookmarkEnd w:id="23"/>
      <w:bookmarkEnd w:id="24"/>
    </w:p>
    <w:p w14:paraId="0D43AFA7">
      <w:pPr>
        <w:spacing w:before="195"/>
        <w:rPr>
          <w:b/>
          <w:snapToGrid w:val="0"/>
          <w:color w:val="000000" w:themeColor="text1"/>
          <w:u w:val="single"/>
          <w14:textFill>
            <w14:solidFill>
              <w14:schemeClr w14:val="tx1"/>
            </w14:solidFill>
          </w14:textFill>
        </w:rPr>
      </w:pPr>
      <w:r>
        <w:rPr>
          <w:b/>
          <w:snapToGrid w:val="0"/>
          <w:color w:val="000000" w:themeColor="text1"/>
          <w:u w:val="single"/>
          <w:shd w:val="clear" w:color="auto" w:fill="FFFFFF"/>
          <w14:textFill>
            <w14:solidFill>
              <w14:schemeClr w14:val="tx1"/>
            </w14:solidFill>
          </w14:textFill>
        </w:rPr>
        <w:t>血红蛋白变异体免疫学检查的敏感性</w:t>
      </w:r>
    </w:p>
    <w:p w14:paraId="1F3905FD">
      <w:pPr>
        <w:spacing w:before="195"/>
        <w:rPr>
          <w:snapToGrid w:val="0"/>
          <w:color w:val="000000" w:themeColor="text1"/>
          <w:shd w:val="clear" w:color="auto" w:fill="FFFFFF"/>
          <w14:textFill>
            <w14:solidFill>
              <w14:schemeClr w14:val="tx1"/>
            </w14:solidFill>
          </w14:textFill>
        </w:rPr>
      </w:pPr>
      <w:r>
        <w:rPr>
          <w:snapToGrid w:val="0"/>
          <w:color w:val="000000" w:themeColor="text1"/>
          <w:shd w:val="clear" w:color="auto" w:fill="FFFFFF"/>
          <w14:textFill>
            <w14:solidFill>
              <w14:schemeClr w14:val="tx1"/>
            </w14:solidFill>
          </w14:textFill>
        </w:rPr>
        <w:t>对于免疫学单克隆抗体检测，贵公司应当证明血红蛋白特异性单克隆抗体</w:t>
      </w:r>
      <w:r>
        <w:rPr>
          <w:rFonts w:hint="eastAsia"/>
          <w:snapToGrid w:val="0"/>
          <w:color w:val="000000" w:themeColor="text1"/>
          <w:shd w:val="clear" w:color="auto" w:fill="FFFFFF"/>
          <w14:textFill>
            <w14:solidFill>
              <w14:schemeClr w14:val="tx1"/>
            </w14:solidFill>
          </w14:textFill>
        </w:rPr>
        <w:t>能</w:t>
      </w:r>
      <w:r>
        <w:rPr>
          <w:snapToGrid w:val="0"/>
          <w:color w:val="000000" w:themeColor="text1"/>
          <w:shd w:val="clear" w:color="auto" w:fill="FFFFFF"/>
          <w14:textFill>
            <w14:solidFill>
              <w14:schemeClr w14:val="tx1"/>
            </w14:solidFill>
          </w14:textFill>
        </w:rPr>
        <w:t>等效识别来自血红蛋白病患者全血样本的血红蛋白变体（例如，血红蛋白SS和血红蛋白CC），</w:t>
      </w:r>
      <w:r>
        <w:rPr>
          <w:rFonts w:hint="eastAsia"/>
          <w:snapToGrid w:val="0"/>
          <w:color w:val="000000" w:themeColor="text1"/>
          <w:shd w:val="clear" w:color="auto" w:fill="FFFFFF"/>
          <w14:textFill>
            <w14:solidFill>
              <w14:schemeClr w14:val="tx1"/>
            </w14:solidFill>
          </w14:textFill>
        </w:rPr>
        <w:t>而</w:t>
      </w:r>
      <w:r>
        <w:rPr>
          <w:snapToGrid w:val="0"/>
          <w:color w:val="000000" w:themeColor="text1"/>
          <w:shd w:val="clear" w:color="auto" w:fill="FFFFFF"/>
          <w14:textFill>
            <w14:solidFill>
              <w14:schemeClr w14:val="tx1"/>
            </w14:solidFill>
          </w14:textFill>
        </w:rPr>
        <w:t>这种疾病在美国普遍存在（例如，</w:t>
      </w:r>
      <w:r>
        <w:rPr>
          <w:bCs/>
          <w:snapToGrid w:val="0"/>
          <w:color w:val="000000" w:themeColor="text1"/>
          <w:shd w:val="clear" w:color="auto" w:fill="FFFFFF"/>
          <w14:textFill>
            <w14:solidFill>
              <w14:schemeClr w14:val="tx1"/>
            </w14:solidFill>
          </w14:textFill>
        </w:rPr>
        <w:t>镰状细胞病</w:t>
      </w:r>
      <w:r>
        <w:rPr>
          <w:snapToGrid w:val="0"/>
          <w:color w:val="000000" w:themeColor="text1"/>
          <w:shd w:val="clear" w:color="auto" w:fill="FFFFFF"/>
          <w14:textFill>
            <w14:solidFill>
              <w14:schemeClr w14:val="tx1"/>
            </w14:solidFill>
          </w14:textFill>
        </w:rPr>
        <w:t>）。否则，贵公司应当在使用说明书的</w:t>
      </w:r>
      <w:r>
        <w:rPr>
          <w:rFonts w:hint="eastAsia"/>
          <w:snapToGrid w:val="0"/>
          <w:color w:val="000000" w:themeColor="text1"/>
          <w:shd w:val="clear" w:color="auto" w:fill="FFFFFF"/>
          <w14:textFill>
            <w14:solidFill>
              <w14:schemeClr w14:val="tx1"/>
            </w14:solidFill>
          </w14:textFill>
        </w:rPr>
        <w:t>局限性</w:t>
      </w:r>
      <w:r>
        <w:rPr>
          <w:snapToGrid w:val="0"/>
          <w:color w:val="000000" w:themeColor="text1"/>
          <w:shd w:val="clear" w:color="auto" w:fill="FFFFFF"/>
          <w14:textFill>
            <w14:solidFill>
              <w14:schemeClr w14:val="tx1"/>
            </w14:solidFill>
          </w14:textFill>
        </w:rPr>
        <w:t>部分中指明该检测尚未</w:t>
      </w:r>
      <w:r>
        <w:rPr>
          <w:rFonts w:hint="eastAsia"/>
          <w:snapToGrid w:val="0"/>
          <w:color w:val="000000" w:themeColor="text1"/>
          <w:shd w:val="clear" w:color="auto" w:fill="FFFFFF"/>
          <w14:textFill>
            <w14:solidFill>
              <w14:schemeClr w14:val="tx1"/>
            </w14:solidFill>
          </w14:textFill>
        </w:rPr>
        <w:t>确认</w:t>
      </w:r>
      <w:r>
        <w:rPr>
          <w:snapToGrid w:val="0"/>
          <w:color w:val="000000" w:themeColor="text1"/>
          <w:shd w:val="clear" w:color="auto" w:fill="FFFFFF"/>
          <w14:textFill>
            <w14:solidFill>
              <w14:schemeClr w14:val="tx1"/>
            </w14:solidFill>
          </w14:textFill>
        </w:rPr>
        <w:t>用于患有血红蛋白病患者的检测。</w:t>
      </w:r>
    </w:p>
    <w:p w14:paraId="55BAEDCA">
      <w:pPr>
        <w:spacing w:before="195"/>
        <w:rPr>
          <w:b/>
          <w:snapToGrid w:val="0"/>
          <w:color w:val="000000" w:themeColor="text1"/>
          <w:u w:val="single"/>
          <w:shd w:val="clear" w:color="auto" w:fill="FFFFFF"/>
          <w14:textFill>
            <w14:solidFill>
              <w14:schemeClr w14:val="tx1"/>
            </w14:solidFill>
          </w14:textFill>
        </w:rPr>
      </w:pPr>
      <w:r>
        <w:rPr>
          <w:rFonts w:hint="eastAsia"/>
          <w:b/>
          <w:snapToGrid w:val="0"/>
          <w:color w:val="000000" w:themeColor="text1"/>
          <w:u w:val="single"/>
          <w:shd w:val="clear" w:color="auto" w:fill="FFFFFF"/>
          <w14:textFill>
            <w14:solidFill>
              <w14:schemeClr w14:val="tx1"/>
            </w14:solidFill>
          </w14:textFill>
        </w:rPr>
        <w:t>干扰</w:t>
      </w:r>
    </w:p>
    <w:p w14:paraId="5ED40CB5">
      <w:pPr>
        <w:spacing w:before="195"/>
        <w:rPr>
          <w:snapToGrid w:val="0"/>
          <w:shd w:val="clear" w:color="auto" w:fill="FFFFFF"/>
        </w:rPr>
      </w:pPr>
      <w:r>
        <w:rPr>
          <w:snapToGrid w:val="0"/>
          <w:shd w:val="clear" w:color="auto" w:fill="FFFFFF"/>
        </w:rPr>
        <w:t>识别人类蛋白的单克隆抗体和多克隆抗体可能与其他物种的相关分子抗原表位交叉反应。对于单克隆和多克隆抗体免疫学检测，贵公司应当证明以下免疫学相关的物质不会干扰检测：</w:t>
      </w:r>
    </w:p>
    <w:p w14:paraId="68AFF93A">
      <w:pPr>
        <w:pStyle w:val="42"/>
        <w:numPr>
          <w:ilvl w:val="0"/>
          <w:numId w:val="4"/>
        </w:numPr>
        <w:spacing w:before="195"/>
        <w:ind w:left="900" w:leftChars="200" w:hangingChars="175"/>
        <w:rPr>
          <w:snapToGrid w:val="0"/>
          <w:shd w:val="clear" w:color="auto" w:fill="FFFFFF"/>
        </w:rPr>
      </w:pPr>
      <w:r>
        <w:rPr>
          <w:snapToGrid w:val="0"/>
          <w:shd w:val="clear" w:color="auto" w:fill="FFFFFF"/>
        </w:rPr>
        <w:t>来自牛肉、</w:t>
      </w:r>
      <w:r>
        <w:rPr>
          <w:rFonts w:hint="eastAsia"/>
          <w:snapToGrid w:val="0"/>
          <w:shd w:val="clear" w:color="auto" w:fill="FFFFFF"/>
        </w:rPr>
        <w:t>鸡</w:t>
      </w:r>
      <w:r>
        <w:rPr>
          <w:snapToGrid w:val="0"/>
          <w:shd w:val="clear" w:color="auto" w:fill="FFFFFF"/>
        </w:rPr>
        <w:t>肉、</w:t>
      </w:r>
      <w:r>
        <w:rPr>
          <w:rFonts w:hint="eastAsia"/>
          <w:snapToGrid w:val="0"/>
          <w:shd w:val="clear" w:color="auto" w:fill="FFFFFF"/>
        </w:rPr>
        <w:t>鱼肉、马肉、猪肉、兔肉、山羊肉和绵羊肉的血红蛋白</w:t>
      </w:r>
    </w:p>
    <w:p w14:paraId="3D5E030E">
      <w:pPr>
        <w:pStyle w:val="42"/>
        <w:numPr>
          <w:ilvl w:val="0"/>
          <w:numId w:val="4"/>
        </w:numPr>
        <w:spacing w:before="195"/>
        <w:ind w:left="900" w:leftChars="200" w:hangingChars="175"/>
        <w:rPr>
          <w:snapToGrid w:val="0"/>
          <w:shd w:val="clear" w:color="auto" w:fill="FFFFFF"/>
        </w:rPr>
      </w:pPr>
      <w:r>
        <w:rPr>
          <w:rFonts w:hint="eastAsia"/>
          <w:snapToGrid w:val="0"/>
          <w:shd w:val="clear" w:color="auto" w:fill="FFFFFF"/>
        </w:rPr>
        <w:t>从牛肉、鸡肉、鱼肉、马肉、猪肉、兔肉、山羊肉和绵羊肉中提取制备的肌红蛋白或碎肉</w:t>
      </w:r>
    </w:p>
    <w:p w14:paraId="28F05D35">
      <w:pPr>
        <w:spacing w:before="195"/>
        <w:rPr>
          <w:snapToGrid w:val="0"/>
          <w:color w:val="000000" w:themeColor="text1"/>
          <w:shd w:val="clear" w:color="auto" w:fill="FFFFFF"/>
          <w14:textFill>
            <w14:solidFill>
              <w14:schemeClr w14:val="tx1"/>
            </w14:solidFill>
          </w14:textFill>
        </w:rPr>
      </w:pPr>
      <w:r>
        <w:rPr>
          <w:snapToGrid w:val="0"/>
          <w:color w:val="000000" w:themeColor="text1"/>
          <w:shd w:val="clear" w:color="auto" w:fill="FFFFFF"/>
          <w14:textFill>
            <w14:solidFill>
              <w14:schemeClr w14:val="tx1"/>
            </w14:solidFill>
          </w14:textFill>
        </w:rPr>
        <w:t>如果特定类型的肉提取</w:t>
      </w:r>
      <w:r>
        <w:rPr>
          <w:rFonts w:hint="eastAsia"/>
          <w:snapToGrid w:val="0"/>
          <w:color w:val="000000" w:themeColor="text1"/>
          <w:shd w:val="clear" w:color="auto" w:fill="FFFFFF"/>
          <w14:textFill>
            <w14:solidFill>
              <w14:schemeClr w14:val="tx1"/>
            </w14:solidFill>
          </w14:textFill>
        </w:rPr>
        <w:t>物</w:t>
      </w:r>
      <w:r>
        <w:rPr>
          <w:snapToGrid w:val="0"/>
          <w:color w:val="000000" w:themeColor="text1"/>
          <w:shd w:val="clear" w:color="auto" w:fill="FFFFFF"/>
          <w14:textFill>
            <w14:solidFill>
              <w14:schemeClr w14:val="tx1"/>
            </w14:solidFill>
          </w14:textFill>
        </w:rPr>
        <w:t>在贵公司的免疫学检测中产生阳性结果，贵公司应当在使用说明书中包含在测试之前</w:t>
      </w:r>
      <w:r>
        <w:rPr>
          <w:rFonts w:hint="eastAsia"/>
          <w:snapToGrid w:val="0"/>
          <w:color w:val="000000" w:themeColor="text1"/>
          <w:shd w:val="clear" w:color="auto" w:fill="FFFFFF"/>
          <w14:textFill>
            <w14:solidFill>
              <w14:schemeClr w14:val="tx1"/>
            </w14:solidFill>
          </w14:textFill>
        </w:rPr>
        <w:t>或测试</w:t>
      </w:r>
      <w:r>
        <w:rPr>
          <w:snapToGrid w:val="0"/>
          <w:color w:val="000000" w:themeColor="text1"/>
          <w:shd w:val="clear" w:color="auto" w:fill="FFFFFF"/>
          <w14:textFill>
            <w14:solidFill>
              <w14:schemeClr w14:val="tx1"/>
            </w14:solidFill>
          </w14:textFill>
        </w:rPr>
        <w:t>期间对这类肉摄入的注意事项。或者，贵公司可以</w:t>
      </w:r>
      <w:r>
        <w:rPr>
          <w:rFonts w:hint="eastAsia"/>
          <w:snapToGrid w:val="0"/>
          <w:color w:val="000000" w:themeColor="text1"/>
          <w:shd w:val="clear" w:color="auto" w:fill="FFFFFF"/>
          <w14:textFill>
            <w14:solidFill>
              <w14:schemeClr w14:val="tx1"/>
            </w14:solidFill>
          </w14:textFill>
        </w:rPr>
        <w:t>判断</w:t>
      </w:r>
      <w:r>
        <w:rPr>
          <w:snapToGrid w:val="0"/>
          <w:color w:val="000000" w:themeColor="text1"/>
          <w:shd w:val="clear" w:color="auto" w:fill="FFFFFF"/>
          <w14:textFill>
            <w14:solidFill>
              <w14:schemeClr w14:val="tx1"/>
            </w14:solidFill>
          </w14:textFill>
        </w:rPr>
        <w:t>熟肉是否会产生相同的结果。如果在这种情况下的检测结果为阴性，贵公司应当在使用说明书中包含清晰的指导，即只能够吃</w:t>
      </w:r>
      <w:r>
        <w:rPr>
          <w:rFonts w:hint="eastAsia"/>
          <w:snapToGrid w:val="0"/>
          <w:color w:val="000000" w:themeColor="text1"/>
          <w:shd w:val="clear" w:color="auto" w:fill="FFFFFF"/>
          <w14:textFill>
            <w14:solidFill>
              <w14:schemeClr w14:val="tx1"/>
            </w14:solidFill>
          </w14:textFill>
        </w:rPr>
        <w:t>完全</w:t>
      </w:r>
      <w:r>
        <w:rPr>
          <w:snapToGrid w:val="0"/>
          <w:color w:val="000000" w:themeColor="text1"/>
          <w:shd w:val="clear" w:color="auto" w:fill="FFFFFF"/>
          <w14:textFill>
            <w14:solidFill>
              <w14:schemeClr w14:val="tx1"/>
            </w14:solidFill>
          </w14:textFill>
        </w:rPr>
        <w:t>煮熟的肉。如果煮熟的肉产生假阳性结果，则贵公司可能</w:t>
      </w:r>
      <w:r>
        <w:rPr>
          <w:rFonts w:hint="eastAsia"/>
          <w:snapToGrid w:val="0"/>
          <w:color w:val="000000" w:themeColor="text1"/>
          <w:shd w:val="clear" w:color="auto" w:fill="FFFFFF"/>
          <w14:textFill>
            <w14:solidFill>
              <w14:schemeClr w14:val="tx1"/>
            </w14:solidFill>
          </w14:textFill>
        </w:rPr>
        <w:t>要</w:t>
      </w:r>
      <w:r>
        <w:rPr>
          <w:snapToGrid w:val="0"/>
          <w:color w:val="000000" w:themeColor="text1"/>
          <w:shd w:val="clear" w:color="auto" w:fill="FFFFFF"/>
          <w14:textFill>
            <w14:solidFill>
              <w14:schemeClr w14:val="tx1"/>
            </w14:solidFill>
          </w14:textFill>
        </w:rPr>
        <w:t>对吃</w:t>
      </w:r>
      <w:r>
        <w:rPr>
          <w:rFonts w:hint="eastAsia"/>
          <w:snapToGrid w:val="0"/>
          <w:color w:val="000000" w:themeColor="text1"/>
          <w:shd w:val="clear" w:color="auto" w:fill="FFFFFF"/>
          <w14:textFill>
            <w14:solidFill>
              <w14:schemeClr w14:val="tx1"/>
            </w14:solidFill>
          </w14:textFill>
        </w:rPr>
        <w:t>过</w:t>
      </w:r>
      <w:r>
        <w:rPr>
          <w:snapToGrid w:val="0"/>
          <w:color w:val="000000" w:themeColor="text1"/>
          <w:shd w:val="clear" w:color="auto" w:fill="FFFFFF"/>
          <w14:textFill>
            <w14:solidFill>
              <w14:schemeClr w14:val="tx1"/>
            </w14:solidFill>
          </w14:textFill>
        </w:rPr>
        <w:t>肉的人进行测试，以确定经过肠道消化后的肉是否仍然会造成假阳性结果。</w:t>
      </w:r>
    </w:p>
    <w:p w14:paraId="49306CEB">
      <w:pPr>
        <w:spacing w:before="195"/>
        <w:rPr>
          <w:snapToGrid w:val="0"/>
          <w:color w:val="000000" w:themeColor="text1"/>
          <w:shd w:val="clear" w:color="auto" w:fill="FFFFFF"/>
          <w14:textFill>
            <w14:solidFill>
              <w14:schemeClr w14:val="tx1"/>
            </w14:solidFill>
          </w14:textFill>
        </w:rPr>
      </w:pPr>
      <w:r>
        <w:rPr>
          <w:snapToGrid w:val="0"/>
          <w:color w:val="000000" w:themeColor="text1"/>
          <w:shd w:val="clear" w:color="auto" w:fill="FFFFFF"/>
          <w14:textFill>
            <w14:solidFill>
              <w14:schemeClr w14:val="tx1"/>
            </w14:solidFill>
          </w14:textFill>
        </w:rPr>
        <w:t>贵公司应当酌情</w:t>
      </w:r>
      <w:bookmarkStart w:id="25" w:name="OLE_LINK19"/>
      <w:bookmarkStart w:id="26" w:name="OLE_LINK20"/>
      <w:r>
        <w:rPr>
          <w:snapToGrid w:val="0"/>
          <w:color w:val="000000" w:themeColor="text1"/>
          <w:shd w:val="clear" w:color="auto" w:fill="FFFFFF"/>
          <w14:textFill>
            <w14:solidFill>
              <w14:schemeClr w14:val="tx1"/>
            </w14:solidFill>
          </w14:textFill>
        </w:rPr>
        <w:t>评价</w:t>
      </w:r>
      <w:bookmarkEnd w:id="25"/>
      <w:bookmarkEnd w:id="26"/>
      <w:r>
        <w:rPr>
          <w:snapToGrid w:val="0"/>
          <w:color w:val="000000" w:themeColor="text1"/>
          <w:shd w:val="clear" w:color="auto" w:fill="FFFFFF"/>
          <w14:textFill>
            <w14:solidFill>
              <w14:schemeClr w14:val="tx1"/>
            </w14:solidFill>
          </w14:textFill>
        </w:rPr>
        <w:t>所有</w:t>
      </w:r>
      <w:r>
        <w:rPr>
          <w:rFonts w:hint="eastAsia"/>
          <w:snapToGrid w:val="0"/>
          <w:color w:val="000000" w:themeColor="text1"/>
          <w:shd w:val="clear" w:color="auto" w:fill="FFFFFF"/>
          <w14:textFill>
            <w14:solidFill>
              <w14:schemeClr w14:val="tx1"/>
            </w14:solidFill>
          </w14:textFill>
        </w:rPr>
        <w:t>的</w:t>
      </w:r>
      <w:r>
        <w:rPr>
          <w:rFonts w:asciiTheme="minorEastAsia" w:hAnsiTheme="minorEastAsia" w:eastAsiaTheme="minorEastAsia"/>
          <w:snapToGrid w:val="0"/>
          <w:color w:val="000000" w:themeColor="text1"/>
          <w:shd w:val="clear" w:color="auto" w:fill="FFFFFF"/>
          <w14:textFill>
            <w14:solidFill>
              <w14:schemeClr w14:val="tx1"/>
            </w14:solidFill>
          </w14:textFill>
        </w:rPr>
        <w:t>“</w:t>
      </w:r>
      <w:r>
        <w:rPr>
          <w:rFonts w:hint="eastAsia"/>
          <w:snapToGrid w:val="0"/>
          <w:color w:val="000000" w:themeColor="text1"/>
          <w:shd w:val="clear" w:color="auto" w:fill="FFFFFF"/>
          <w14:textFill>
            <w14:solidFill>
              <w14:schemeClr w14:val="tx1"/>
            </w14:solidFill>
          </w14:textFill>
        </w:rPr>
        <w:t>马桶</w:t>
      </w:r>
      <w:r>
        <w:rPr>
          <w:snapToGrid w:val="0"/>
          <w:color w:val="000000" w:themeColor="text1"/>
          <w:shd w:val="clear" w:color="auto" w:fill="FFFFFF"/>
          <w14:textFill>
            <w14:solidFill>
              <w14:schemeClr w14:val="tx1"/>
            </w14:solidFill>
          </w14:textFill>
        </w:rPr>
        <w:t>”检测，</w:t>
      </w:r>
      <w:r>
        <w:rPr>
          <w:snapToGrid w:val="0"/>
          <w:color w:val="000000"/>
          <w:shd w:val="clear" w:color="auto" w:fill="FFFFFF"/>
        </w:rPr>
        <w:t>评价</w:t>
      </w:r>
      <w:r>
        <w:rPr>
          <w:snapToGrid w:val="0"/>
          <w:color w:val="000000" w:themeColor="text1"/>
          <w:shd w:val="clear" w:color="auto" w:fill="FFFFFF"/>
          <w14:textFill>
            <w14:solidFill>
              <w14:schemeClr w14:val="tx1"/>
            </w14:solidFill>
          </w14:textFill>
        </w:rPr>
        <w:t>来自含有过氧化物酶食品中的过氧化物酶活性的潜在干扰，例如，辣根、萝卜、生萝卜、菜花、西兰花、防风草和哈密瓜。一般来说，这些食物是愈创木脂试验公认的禁忌，并在使用说明书的</w:t>
      </w:r>
      <w:r>
        <w:rPr>
          <w:rFonts w:hint="eastAsia"/>
          <w:snapToGrid w:val="0"/>
          <w:color w:val="000000" w:themeColor="text1"/>
          <w:shd w:val="clear" w:color="auto" w:fill="FFFFFF"/>
          <w14:textFill>
            <w14:solidFill>
              <w14:schemeClr w14:val="tx1"/>
            </w14:solidFill>
          </w14:textFill>
        </w:rPr>
        <w:t>局限性</w:t>
      </w:r>
      <w:r>
        <w:rPr>
          <w:snapToGrid w:val="0"/>
          <w:color w:val="000000" w:themeColor="text1"/>
          <w:shd w:val="clear" w:color="auto" w:fill="FFFFFF"/>
          <w14:textFill>
            <w14:solidFill>
              <w14:schemeClr w14:val="tx1"/>
            </w14:solidFill>
          </w14:textFill>
        </w:rPr>
        <w:t>部分包含有关此知识的声明。因此，愈创木脂试验不需要进行过氧化物酶活性的干扰测试。</w:t>
      </w:r>
    </w:p>
    <w:p w14:paraId="02A74A47">
      <w:pPr>
        <w:spacing w:before="195"/>
        <w:rPr>
          <w:snapToGrid w:val="0"/>
          <w:shd w:val="clear" w:color="auto" w:fill="FFFFFF"/>
        </w:rPr>
      </w:pPr>
      <w:r>
        <w:rPr>
          <w:snapToGrid w:val="0"/>
          <w:shd w:val="clear" w:color="auto" w:fill="FFFFFF"/>
        </w:rPr>
        <w:t>贵公司应当评价</w:t>
      </w:r>
      <w:r>
        <w:rPr>
          <w:rFonts w:hint="eastAsia"/>
          <w:snapToGrid w:val="0"/>
          <w:shd w:val="clear" w:color="auto" w:fill="FFFFFF"/>
        </w:rPr>
        <w:t>取自</w:t>
      </w:r>
      <w:r>
        <w:rPr>
          <w:snapToGrid w:val="0"/>
          <w:shd w:val="clear" w:color="auto" w:fill="FFFFFF"/>
        </w:rPr>
        <w:t>马桶水的或有可能接触马桶水的样本的所有</w:t>
      </w:r>
      <w:r>
        <w:rPr>
          <w:rFonts w:asciiTheme="minorEastAsia" w:hAnsiTheme="minorEastAsia" w:eastAsiaTheme="minorEastAsia"/>
          <w:snapToGrid w:val="0"/>
          <w:shd w:val="clear" w:color="auto" w:fill="FFFFFF"/>
        </w:rPr>
        <w:t>“</w:t>
      </w:r>
      <w:r>
        <w:rPr>
          <w:snapToGrid w:val="0"/>
          <w:shd w:val="clear" w:color="auto" w:fill="FFFFFF"/>
        </w:rPr>
        <w:t>马桶”检测和</w:t>
      </w:r>
      <w:r>
        <w:rPr>
          <w:rFonts w:hint="eastAsia"/>
          <w:snapToGrid w:val="0"/>
          <w:shd w:val="clear" w:color="auto" w:fill="FFFFFF"/>
        </w:rPr>
        <w:t>所有</w:t>
      </w:r>
      <w:r>
        <w:rPr>
          <w:snapToGrid w:val="0"/>
          <w:shd w:val="clear" w:color="auto" w:fill="FFFFFF"/>
        </w:rPr>
        <w:t>FOB检测，因为来自以下试剂的潜在干扰普遍发现于马桶水中：马桶空气清新剂、发蓝剂、清洁剂、除臭剂、氟化物、氯化物、铁和其他金属。另外，如果贵公司的FOB检测不是</w:t>
      </w:r>
      <w:r>
        <w:rPr>
          <w:rFonts w:asciiTheme="minorEastAsia" w:hAnsiTheme="minorEastAsia" w:eastAsiaTheme="minorEastAsia"/>
          <w:snapToGrid w:val="0"/>
          <w:shd w:val="clear" w:color="auto" w:fill="FFFFFF"/>
        </w:rPr>
        <w:t>“</w:t>
      </w:r>
      <w:r>
        <w:rPr>
          <w:snapToGrid w:val="0"/>
          <w:shd w:val="clear" w:color="auto" w:fill="FFFFFF"/>
        </w:rPr>
        <w:t>马桶”检测，贵公司应当证明贵公司的医疗器械包括分步收集程序，防止与马桶水接触。</w:t>
      </w:r>
    </w:p>
    <w:p w14:paraId="3E10896F">
      <w:pPr>
        <w:spacing w:before="195"/>
        <w:rPr>
          <w:snapToGrid w:val="0"/>
          <w:shd w:val="clear" w:color="auto" w:fill="FFFFFF"/>
        </w:rPr>
      </w:pPr>
      <w:r>
        <w:rPr>
          <w:snapToGrid w:val="0"/>
          <w:shd w:val="clear" w:color="auto" w:fill="FFFFFF"/>
        </w:rPr>
        <w:t>贵公司应当评价来自粪便潜血试验患者常用药物</w:t>
      </w:r>
      <w:r>
        <w:rPr>
          <w:rFonts w:hint="eastAsia"/>
          <w:snapToGrid w:val="0"/>
          <w:shd w:val="clear" w:color="auto" w:fill="FFFFFF"/>
        </w:rPr>
        <w:t>的</w:t>
      </w:r>
      <w:r>
        <w:rPr>
          <w:snapToGrid w:val="0"/>
          <w:shd w:val="clear" w:color="auto" w:fill="FFFFFF"/>
        </w:rPr>
        <w:t>所有FOB检测潜在干扰，例如，维生素C（抗坏血酸）、治疗用铁制剂。</w:t>
      </w:r>
    </w:p>
    <w:p w14:paraId="38BB0CC4">
      <w:pPr>
        <w:spacing w:before="195"/>
        <w:rPr>
          <w:snapToGrid w:val="0"/>
          <w:shd w:val="clear" w:color="auto" w:fill="FFFFFF"/>
        </w:rPr>
      </w:pPr>
      <w:r>
        <w:rPr>
          <w:snapToGrid w:val="0"/>
          <w:shd w:val="clear" w:color="auto" w:fill="FFFFFF"/>
        </w:rPr>
        <w:t>贵公司应当在使用说明书中的</w:t>
      </w:r>
      <w:r>
        <w:rPr>
          <w:rFonts w:hint="eastAsia"/>
          <w:snapToGrid w:val="0"/>
          <w:shd w:val="clear" w:color="auto" w:fill="FFFFFF"/>
        </w:rPr>
        <w:t>局限性</w:t>
      </w:r>
      <w:r>
        <w:rPr>
          <w:snapToGrid w:val="0"/>
          <w:shd w:val="clear" w:color="auto" w:fill="FFFFFF"/>
        </w:rPr>
        <w:t>部分包含警戒性声明，指明贵公司的检测尚未评价的潜在干扰</w:t>
      </w:r>
      <w:r>
        <w:rPr>
          <w:rFonts w:hint="eastAsia"/>
          <w:snapToGrid w:val="0"/>
          <w:shd w:val="clear" w:color="auto" w:fill="FFFFFF"/>
        </w:rPr>
        <w:t>物</w:t>
      </w:r>
      <w:r>
        <w:rPr>
          <w:snapToGrid w:val="0"/>
          <w:shd w:val="clear" w:color="auto" w:fill="FFFFFF"/>
        </w:rPr>
        <w:t>类型。</w:t>
      </w:r>
    </w:p>
    <w:p w14:paraId="0353D876">
      <w:pPr>
        <w:spacing w:before="195"/>
        <w:rPr>
          <w:b/>
          <w:snapToGrid w:val="0"/>
          <w:color w:val="000000"/>
          <w:u w:val="single"/>
        </w:rPr>
      </w:pPr>
      <w:r>
        <w:rPr>
          <w:rFonts w:hint="eastAsia"/>
          <w:b/>
          <w:snapToGrid w:val="0"/>
          <w:color w:val="000000"/>
          <w:u w:val="single"/>
        </w:rPr>
        <w:t>临界值</w:t>
      </w:r>
    </w:p>
    <w:p w14:paraId="177DEBB1">
      <w:pPr>
        <w:spacing w:before="195"/>
        <w:rPr>
          <w:snapToGrid w:val="0"/>
          <w:sz w:val="21"/>
        </w:rPr>
      </w:pPr>
      <w:r>
        <w:rPr>
          <w:snapToGrid w:val="0"/>
          <w:sz w:val="21"/>
          <w:shd w:val="clear" w:color="auto" w:fill="FFFFFF"/>
        </w:rPr>
        <w:t>对于除</w:t>
      </w:r>
      <w:r>
        <w:rPr>
          <w:rFonts w:asciiTheme="minorEastAsia" w:hAnsiTheme="minorEastAsia" w:eastAsiaTheme="minorEastAsia"/>
          <w:snapToGrid w:val="0"/>
          <w:sz w:val="21"/>
          <w:shd w:val="clear" w:color="auto" w:fill="FFFFFF"/>
        </w:rPr>
        <w:t>“</w:t>
      </w:r>
      <w:r>
        <w:rPr>
          <w:snapToGrid w:val="0"/>
          <w:sz w:val="21"/>
          <w:shd w:val="clear" w:color="auto" w:fill="FFFFFF"/>
        </w:rPr>
        <w:t>马桶”检测以外的所有FOB检测，贵公司应当证明贵公司的FOB检测仪的阳性阀值或临界值</w:t>
      </w:r>
      <w:r>
        <w:rPr>
          <w:rFonts w:hint="eastAsia"/>
          <w:snapToGrid w:val="0"/>
          <w:sz w:val="21"/>
          <w:shd w:val="clear" w:color="auto" w:fill="FFFFFF"/>
        </w:rPr>
        <w:t>，</w:t>
      </w:r>
      <w:r>
        <w:rPr>
          <w:snapToGrid w:val="0"/>
          <w:sz w:val="21"/>
          <w:shd w:val="clear" w:color="auto" w:fill="FFFFFF"/>
        </w:rPr>
        <w:t>或与</w:t>
      </w:r>
      <w:r>
        <w:rPr>
          <w:rFonts w:hint="eastAsia"/>
          <w:snapToGrid w:val="0"/>
          <w:sz w:val="21"/>
          <w:shd w:val="clear" w:color="auto" w:fill="FFFFFF"/>
        </w:rPr>
        <w:t>具有可用</w:t>
      </w:r>
      <w:r>
        <w:rPr>
          <w:snapToGrid w:val="0"/>
          <w:sz w:val="21"/>
          <w:shd w:val="clear" w:color="auto" w:fill="FFFFFF"/>
        </w:rPr>
        <w:t>临床数据的FOB对比检测仪的临界值</w:t>
      </w:r>
      <w:r>
        <w:rPr>
          <w:rFonts w:hint="eastAsia"/>
          <w:snapToGrid w:val="0"/>
          <w:sz w:val="21"/>
          <w:shd w:val="clear" w:color="auto" w:fill="FFFFFF"/>
        </w:rPr>
        <w:t>相同或</w:t>
      </w:r>
      <w:r>
        <w:rPr>
          <w:snapToGrid w:val="0"/>
          <w:sz w:val="21"/>
          <w:shd w:val="clear" w:color="auto" w:fill="FFFFFF"/>
        </w:rPr>
        <w:t>具有可比性。例如，如果贵公司的检测仪</w:t>
      </w:r>
      <w:r>
        <w:rPr>
          <w:rFonts w:hint="eastAsia"/>
          <w:snapToGrid w:val="0"/>
          <w:sz w:val="21"/>
          <w:shd w:val="clear" w:color="auto" w:fill="FFFFFF"/>
        </w:rPr>
        <w:t>测出</w:t>
      </w:r>
      <w:r>
        <w:rPr>
          <w:snapToGrid w:val="0"/>
          <w:sz w:val="21"/>
          <w:shd w:val="clear" w:color="auto" w:fill="FFFFFF"/>
        </w:rPr>
        <w:t>明显低于对比器械的临界值，对于对比器械来说认为是阴性的样本，对于新检测仪则可以认为是阳性的，而且对比器械的临床敏感性和特异性并</w:t>
      </w:r>
      <w:r>
        <w:rPr>
          <w:rFonts w:hint="eastAsia"/>
          <w:snapToGrid w:val="0"/>
          <w:sz w:val="21"/>
          <w:shd w:val="clear" w:color="auto" w:fill="FFFFFF"/>
        </w:rPr>
        <w:t>不</w:t>
      </w:r>
      <w:r>
        <w:rPr>
          <w:snapToGrid w:val="0"/>
          <w:sz w:val="21"/>
          <w:shd w:val="clear" w:color="auto" w:fill="FFFFFF"/>
        </w:rPr>
        <w:t>适用于新器械。采用第3种方法来重新评价不一致的结果被认为是不合适的（参见《行业和FDA工作人员指南-关于评估诊断检测研究</w:t>
      </w:r>
      <w:r>
        <w:rPr>
          <w:rFonts w:hint="eastAsia"/>
          <w:snapToGrid w:val="0"/>
          <w:sz w:val="21"/>
          <w:shd w:val="clear" w:color="auto" w:fill="FFFFFF"/>
        </w:rPr>
        <w:t>报告</w:t>
      </w:r>
      <w:r>
        <w:rPr>
          <w:snapToGrid w:val="0"/>
          <w:sz w:val="21"/>
          <w:shd w:val="clear" w:color="auto" w:fill="FFFFFF"/>
        </w:rPr>
        <w:t>结果的统计指南》</w:t>
      </w:r>
      <w:r>
        <w:fldChar w:fldCharType="begin"/>
      </w:r>
      <w:r>
        <w:instrText xml:space="preserve"> HYPERLINK "http://www.fda.gov/cdrh/osb/guidance/1620.html" </w:instrText>
      </w:r>
      <w:r>
        <w:fldChar w:fldCharType="separate"/>
      </w:r>
      <w:r>
        <w:rPr>
          <w:rStyle w:val="27"/>
          <w:rFonts w:cs="Arial"/>
          <w:snapToGrid w:val="0"/>
          <w:sz w:val="21"/>
        </w:rPr>
        <w:t>http: //www.fda.gov/cdrh/osb/guidance/1620.html</w:t>
      </w:r>
      <w:r>
        <w:rPr>
          <w:rStyle w:val="27"/>
          <w:rFonts w:cs="Arial"/>
          <w:snapToGrid w:val="0"/>
          <w:sz w:val="21"/>
        </w:rPr>
        <w:fldChar w:fldCharType="end"/>
      </w:r>
      <w:r>
        <w:rPr>
          <w:snapToGrid w:val="0"/>
          <w:sz w:val="21"/>
        </w:rPr>
        <w:t>）</w:t>
      </w:r>
      <w:r>
        <w:rPr>
          <w:rFonts w:hint="eastAsia"/>
          <w:snapToGrid w:val="0"/>
          <w:sz w:val="21"/>
        </w:rPr>
        <w:t>。</w:t>
      </w:r>
    </w:p>
    <w:p w14:paraId="2D212AC6">
      <w:pPr>
        <w:spacing w:before="195"/>
        <w:rPr>
          <w:snapToGrid w:val="0"/>
          <w:shd w:val="clear" w:color="auto" w:fill="FFFFFF"/>
        </w:rPr>
      </w:pPr>
      <w:r>
        <w:rPr>
          <w:snapToGrid w:val="0"/>
        </w:rPr>
        <w:t>可以通过在与对比</w:t>
      </w:r>
      <w:r>
        <w:rPr>
          <w:rFonts w:hint="eastAsia"/>
          <w:snapToGrid w:val="0"/>
        </w:rPr>
        <w:t>检测仪</w:t>
      </w:r>
      <w:r>
        <w:rPr>
          <w:snapToGrid w:val="0"/>
        </w:rPr>
        <w:t>并列的测试中，检测正常人体血红蛋白在水或粪便中的浓度递增稀释液并比较结果，来完成新器械临界值与对比器械临界值的比较。稀释液的数量应当足够用于测定新器械和对比器械之间的临界值，</w:t>
      </w:r>
      <w:r>
        <w:rPr>
          <w:snapToGrid w:val="0"/>
          <w:shd w:val="clear" w:color="auto" w:fill="FFFFFF"/>
        </w:rPr>
        <w:t>具有可比性和可重现性。为此，我们建议贵公司将</w:t>
      </w:r>
      <w:r>
        <w:rPr>
          <w:rFonts w:hint="eastAsia"/>
          <w:snapToGrid w:val="0"/>
          <w:shd w:val="clear" w:color="auto" w:fill="FFFFFF"/>
        </w:rPr>
        <w:t>重现性</w:t>
      </w:r>
      <w:r>
        <w:rPr>
          <w:snapToGrid w:val="0"/>
          <w:shd w:val="clear" w:color="auto" w:fill="FFFFFF"/>
        </w:rPr>
        <w:t>研究（</w:t>
      </w:r>
      <w:r>
        <w:rPr>
          <w:rFonts w:hint="eastAsia"/>
          <w:snapToGrid w:val="0"/>
          <w:shd w:val="clear" w:color="auto" w:fill="FFFFFF"/>
        </w:rPr>
        <w:t>见下文</w:t>
      </w:r>
      <w:r>
        <w:rPr>
          <w:snapToGrid w:val="0"/>
          <w:shd w:val="clear" w:color="auto" w:fill="FFFFFF"/>
        </w:rPr>
        <w:t>）和临界值比较研究结合在一起。</w:t>
      </w:r>
    </w:p>
    <w:p w14:paraId="6E76089D">
      <w:pPr>
        <w:spacing w:before="195"/>
        <w:rPr>
          <w:b/>
          <w:snapToGrid w:val="0"/>
          <w:color w:val="000000"/>
          <w:u w:val="single"/>
        </w:rPr>
      </w:pPr>
      <w:r>
        <w:rPr>
          <w:rFonts w:hint="eastAsia"/>
          <w:b/>
          <w:snapToGrid w:val="0"/>
          <w:color w:val="000000"/>
          <w:u w:val="single"/>
        </w:rPr>
        <w:t>重现性（定性检测）</w:t>
      </w:r>
    </w:p>
    <w:p w14:paraId="5914F29D">
      <w:pPr>
        <w:spacing w:before="195"/>
        <w:rPr>
          <w:snapToGrid w:val="0"/>
        </w:rPr>
      </w:pPr>
      <w:r>
        <w:rPr>
          <w:rFonts w:hint="eastAsia"/>
          <w:snapToGrid w:val="0"/>
        </w:rPr>
        <w:t>贵公司应当评价贵公司检测结果的重现性，该检测结果基于贵公司的医疗器械所声称的预期用途（如在实验室中、在医生诊所中或用于非专业用户）所获得。</w:t>
      </w:r>
    </w:p>
    <w:p w14:paraId="5368BD5E">
      <w:pPr>
        <w:spacing w:before="195"/>
        <w:rPr>
          <w:snapToGrid w:val="0"/>
          <w:shd w:val="clear" w:color="auto" w:fill="FFFFFF"/>
        </w:rPr>
      </w:pPr>
      <w:r>
        <w:rPr>
          <w:snapToGrid w:val="0"/>
        </w:rPr>
        <w:t>贵公司应当使预期用户检测重复已知浓度的正常人体血红蛋白在水或粪便中的梯度稀释液。稀释液应当</w:t>
      </w:r>
      <w:r>
        <w:rPr>
          <w:rFonts w:hint="eastAsia"/>
          <w:snapToGrid w:val="0"/>
        </w:rPr>
        <w:t>在间隔上</w:t>
      </w:r>
      <w:r>
        <w:rPr>
          <w:snapToGrid w:val="0"/>
        </w:rPr>
        <w:t>足够接近临界值，以</w:t>
      </w:r>
      <w:r>
        <w:rPr>
          <w:snapToGrid w:val="0"/>
          <w:shd w:val="clear" w:color="auto" w:fill="FFFFFF"/>
        </w:rPr>
        <w:t>充分确定结果的可重现性。</w:t>
      </w:r>
    </w:p>
    <w:p w14:paraId="55A9FF5D">
      <w:pPr>
        <w:spacing w:before="195"/>
        <w:rPr>
          <w:snapToGrid w:val="0"/>
          <w:shd w:val="clear" w:color="auto" w:fill="FFFFFF"/>
        </w:rPr>
      </w:pPr>
      <w:r>
        <w:rPr>
          <w:snapToGrid w:val="0"/>
          <w:shd w:val="clear" w:color="auto" w:fill="FFFFFF"/>
        </w:rPr>
        <w:br w:type="page"/>
      </w:r>
    </w:p>
    <w:p w14:paraId="4742F6C7">
      <w:pPr>
        <w:spacing w:before="195"/>
        <w:rPr>
          <w:snapToGrid w:val="0"/>
          <w:shd w:val="clear" w:color="auto" w:fill="FFFFFF"/>
        </w:rPr>
      </w:pPr>
      <w:r>
        <w:rPr>
          <w:snapToGrid w:val="0"/>
          <w:shd w:val="clear" w:color="auto" w:fill="FFFFFF"/>
        </w:rPr>
        <w:t>下面是一个方案的实例，可用于评价重现性。如上所述，用于评价重现性的方案可能同时设计用于评价临界值。采用蒸馏水将血红蛋白稀释至以下浓度：</w:t>
      </w:r>
      <w:r>
        <w:rPr>
          <w:snapToGrid w:val="0"/>
        </w:rPr>
        <w:t>1 mg/mL、2 mg/mL、4 mg/mL和6 mg/mL（相当于每100克潜血阴性粪便中分别含有0.1、0.2、0.4和0.6克的血红蛋白，每100克阴性粪便中大约含有1、2、4和6 mL的血液）。使用这些稀释液来测试检测的灵敏度，并将此检测仪的反应至少与1个其他合法销售的检测仪进行比较。我们建议贵公司遵从《定性检测性能评价的用户</w:t>
      </w:r>
      <w:r>
        <w:rPr>
          <w:rFonts w:hint="eastAsia"/>
          <w:snapToGrid w:val="0"/>
        </w:rPr>
        <w:t>方案</w:t>
      </w:r>
      <w:r>
        <w:rPr>
          <w:snapToGrid w:val="0"/>
        </w:rPr>
        <w:t>；</w:t>
      </w:r>
      <w:r>
        <w:rPr>
          <w:rFonts w:hint="eastAsia"/>
          <w:snapToGrid w:val="0"/>
        </w:rPr>
        <w:t>已批准的</w:t>
      </w:r>
      <w:r>
        <w:rPr>
          <w:snapToGrid w:val="0"/>
        </w:rPr>
        <w:t>指南》CLSI/NCCLS文件EP12-A。</w:t>
      </w:r>
    </w:p>
    <w:p w14:paraId="3B2BB7C4">
      <w:pPr>
        <w:spacing w:before="195"/>
        <w:rPr>
          <w:b/>
          <w:snapToGrid w:val="0"/>
          <w:u w:val="single"/>
        </w:rPr>
      </w:pPr>
      <w:r>
        <w:rPr>
          <w:rFonts w:hint="eastAsia"/>
          <w:b/>
          <w:snapToGrid w:val="0"/>
          <w:u w:val="single"/>
        </w:rPr>
        <w:t>前带（钩状）效应（免疫学检测）</w:t>
      </w:r>
    </w:p>
    <w:p w14:paraId="2EBF9EF8">
      <w:pPr>
        <w:spacing w:before="195"/>
        <w:rPr>
          <w:snapToGrid w:val="0"/>
          <w:shd w:val="clear" w:color="auto" w:fill="FFFFFF"/>
        </w:rPr>
      </w:pPr>
      <w:r>
        <w:rPr>
          <w:snapToGrid w:val="0"/>
          <w:shd w:val="clear" w:color="auto" w:fill="FFFFFF"/>
        </w:rPr>
        <w:t>在用抗体测量分析物水平的试验中，存在前带效应的可能性。这一现象发生于分析物的浓度在底物中过量</w:t>
      </w:r>
      <w:r>
        <w:rPr>
          <w:rFonts w:hint="eastAsia"/>
          <w:snapToGrid w:val="0"/>
          <w:shd w:val="clear" w:color="auto" w:fill="FFFFFF"/>
        </w:rPr>
        <w:t>，</w:t>
      </w:r>
      <w:r>
        <w:rPr>
          <w:snapToGrid w:val="0"/>
          <w:shd w:val="clear" w:color="auto" w:fill="FFFFFF"/>
        </w:rPr>
        <w:t>形成防止免疫复合物。这导致检测仪错误地报告了患者样本中的分析物较低浓度。</w:t>
      </w:r>
    </w:p>
    <w:p w14:paraId="54769E4D">
      <w:pPr>
        <w:spacing w:before="195"/>
        <w:rPr>
          <w:snapToGrid w:val="0"/>
          <w:shd w:val="clear" w:color="auto" w:fill="FFFFFF"/>
        </w:rPr>
      </w:pPr>
      <w:r>
        <w:rPr>
          <w:snapToGrid w:val="0"/>
          <w:shd w:val="clear" w:color="auto" w:fill="FFFFFF"/>
        </w:rPr>
        <w:t>贵公司应当通过测试具有很高浓度的</w:t>
      </w:r>
      <w:r>
        <w:rPr>
          <w:rFonts w:hint="eastAsia"/>
          <w:snapToGrid w:val="0"/>
          <w:shd w:val="clear" w:color="auto" w:fill="FFFFFF"/>
        </w:rPr>
        <w:t>潜血</w:t>
      </w:r>
      <w:r>
        <w:rPr>
          <w:snapToGrid w:val="0"/>
          <w:shd w:val="clear" w:color="auto" w:fill="FFFFFF"/>
        </w:rPr>
        <w:t>血红蛋白，来确定贵公司的检测仪对前带效应的</w:t>
      </w:r>
      <w:r>
        <w:rPr>
          <w:rFonts w:hint="eastAsia"/>
          <w:snapToGrid w:val="0"/>
          <w:shd w:val="clear" w:color="auto" w:fill="FFFFFF"/>
        </w:rPr>
        <w:t>敏感</w:t>
      </w:r>
      <w:r>
        <w:rPr>
          <w:snapToGrid w:val="0"/>
          <w:shd w:val="clear" w:color="auto" w:fill="FFFFFF"/>
        </w:rPr>
        <w:t>性。（明显的血液样本不需要进行测试。）贵公司应当在使用说明书中声明产生阳性结果的测试的血红蛋白最高浓度，例如，低于该浓度没有发现前带效应的干扰。</w:t>
      </w:r>
    </w:p>
    <w:p w14:paraId="6E1FA083">
      <w:pPr>
        <w:spacing w:before="195"/>
        <w:rPr>
          <w:b/>
          <w:snapToGrid w:val="0"/>
          <w:u w:val="single"/>
        </w:rPr>
      </w:pPr>
      <w:r>
        <w:rPr>
          <w:rFonts w:hint="eastAsia"/>
          <w:b/>
          <w:snapToGrid w:val="0"/>
          <w:u w:val="single"/>
        </w:rPr>
        <w:t>稳定性</w:t>
      </w:r>
    </w:p>
    <w:p w14:paraId="0507CBB4">
      <w:pPr>
        <w:spacing w:before="195"/>
        <w:rPr>
          <w:i/>
          <w:snapToGrid w:val="0"/>
          <w:shd w:val="clear" w:color="auto" w:fill="FFFFFF"/>
        </w:rPr>
      </w:pPr>
      <w:r>
        <w:rPr>
          <w:rFonts w:hint="eastAsia"/>
          <w:i/>
          <w:snapToGrid w:val="0"/>
          <w:shd w:val="clear" w:color="auto" w:fill="FFFFFF"/>
        </w:rPr>
        <w:t>试剂</w:t>
      </w:r>
    </w:p>
    <w:p w14:paraId="6A976AF8">
      <w:pPr>
        <w:spacing w:before="195"/>
        <w:rPr>
          <w:snapToGrid w:val="0"/>
          <w:shd w:val="clear" w:color="auto" w:fill="FFFFFF"/>
        </w:rPr>
      </w:pPr>
      <w:r>
        <w:rPr>
          <w:rFonts w:hint="eastAsia"/>
          <w:snapToGrid w:val="0"/>
          <w:shd w:val="clear" w:color="auto" w:fill="FFFFFF"/>
        </w:rPr>
        <w:t>贵公司应当描述验证贵公司的医疗器械有效期的方案。贵公司应当在使用前对贵公司的FOB检测仪在其存储条件下进行实时稳</w:t>
      </w:r>
      <w:bookmarkStart w:id="27" w:name="OLE_LINK21"/>
      <w:bookmarkStart w:id="28" w:name="OLE_LINK22"/>
      <w:r>
        <w:rPr>
          <w:rFonts w:hint="eastAsia"/>
          <w:snapToGrid w:val="0"/>
          <w:shd w:val="clear" w:color="auto" w:fill="FFFFFF"/>
        </w:rPr>
        <w:t>定性试验。</w:t>
      </w:r>
      <w:bookmarkEnd w:id="27"/>
      <w:bookmarkEnd w:id="28"/>
      <w:r>
        <w:rPr>
          <w:rFonts w:hint="eastAsia"/>
          <w:snapToGrid w:val="0"/>
          <w:shd w:val="clear" w:color="auto" w:fill="FFFFFF"/>
        </w:rPr>
        <w:t>贵公司应当进行研究，评价FOB检测仪暴露于各种条件下（如温度升高和多次冻融循环）的性能，因为在装运过程中会出现这些类型的波动。贵公司应当采用多个批次进行评价。贵公司应当提供每个研究的验收标准。</w:t>
      </w:r>
    </w:p>
    <w:p w14:paraId="5837B3E9">
      <w:pPr>
        <w:spacing w:before="195"/>
        <w:rPr>
          <w:i/>
          <w:snapToGrid w:val="0"/>
          <w:shd w:val="clear" w:color="auto" w:fill="FFFFFF"/>
        </w:rPr>
      </w:pPr>
      <w:r>
        <w:rPr>
          <w:rFonts w:hint="eastAsia"/>
          <w:i/>
          <w:snapToGrid w:val="0"/>
          <w:shd w:val="clear" w:color="auto" w:fill="FFFFFF"/>
        </w:rPr>
        <w:t>样本收集和处理</w:t>
      </w:r>
    </w:p>
    <w:p w14:paraId="50774708">
      <w:pPr>
        <w:spacing w:before="195"/>
        <w:rPr>
          <w:snapToGrid w:val="0"/>
          <w:shd w:val="clear" w:color="auto" w:fill="FFFFFF"/>
        </w:rPr>
      </w:pPr>
      <w:r>
        <w:rPr>
          <w:rFonts w:hint="eastAsia"/>
          <w:snapToGrid w:val="0"/>
          <w:shd w:val="clear" w:color="auto" w:fill="FFFFFF"/>
        </w:rPr>
        <w:t>贵公司应当通过证明该器械在推荐用户使用的极端存储时间和温度条件下产生的相同结果，来证实在贵公司的有关样本收集、存储和运输的标签中的建议。例如，适当的研究可与</w:t>
      </w:r>
      <w:bookmarkStart w:id="29" w:name="OLE_LINK24"/>
      <w:bookmarkStart w:id="30" w:name="OLE_LINK23"/>
      <w:r>
        <w:rPr>
          <w:rFonts w:hint="eastAsia"/>
          <w:snapToGrid w:val="0"/>
          <w:shd w:val="clear" w:color="auto" w:fill="FFFFFF"/>
        </w:rPr>
        <w:t>在各种</w:t>
      </w:r>
      <w:bookmarkEnd w:id="29"/>
      <w:bookmarkEnd w:id="30"/>
      <w:r>
        <w:rPr>
          <w:rFonts w:hint="eastAsia"/>
          <w:snapToGrid w:val="0"/>
          <w:shd w:val="clear" w:color="auto" w:fill="FFFFFF"/>
        </w:rPr>
        <w:t>时间间隔、暴露于不同温度以及与使用说明书中一致的冻融循环次数等条件下所评价的匹配样本获得的结果进行比较。贵公司应当采用接近临界值的样本来评价这些条件。贵公司可以使用加标样本来进行分析。贵公司应当声明贵公司的检测结果以及贵公司在使用说明书中推荐温度范围（和其他环境条件）的验收标准。</w:t>
      </w:r>
    </w:p>
    <w:p w14:paraId="0AEB9549">
      <w:pPr>
        <w:spacing w:before="195"/>
        <w:rPr>
          <w:i/>
          <w:snapToGrid w:val="0"/>
          <w:shd w:val="clear" w:color="auto" w:fill="FFFFFF"/>
        </w:rPr>
      </w:pPr>
      <w:r>
        <w:rPr>
          <w:i/>
          <w:snapToGrid w:val="0"/>
          <w:shd w:val="clear" w:color="auto" w:fill="FFFFFF"/>
        </w:rPr>
        <w:br w:type="page"/>
      </w:r>
    </w:p>
    <w:p w14:paraId="2C5F48F1">
      <w:pPr>
        <w:spacing w:before="195"/>
        <w:rPr>
          <w:b/>
          <w:snapToGrid w:val="0"/>
          <w:color w:val="000000"/>
          <w:u w:val="single"/>
        </w:rPr>
      </w:pPr>
      <w:r>
        <w:rPr>
          <w:rFonts w:hint="eastAsia"/>
          <w:b/>
          <w:snapToGrid w:val="0"/>
          <w:color w:val="000000"/>
          <w:u w:val="single"/>
        </w:rPr>
        <w:t>非处方检测</w:t>
      </w:r>
    </w:p>
    <w:p w14:paraId="7806A8CD">
      <w:pPr>
        <w:spacing w:before="195"/>
        <w:rPr>
          <w:snapToGrid w:val="0"/>
          <w:color w:val="000000"/>
        </w:rPr>
      </w:pPr>
      <w:r>
        <w:rPr>
          <w:snapToGrid w:val="0"/>
          <w:color w:val="000000"/>
        </w:rPr>
        <w:t>对于非处方检测，我们建议贵公司进行研究，以证明至少50个50岁以上具有各种教育背景的非专业人员能够理解使用说明书，并能够像实验室专业人员一样对检测结果进行解释。非处方检测的使用说明书应当以7年级的阅读水平进行编写。我们建议贵公司让每个人收集自己的样本，并</w:t>
      </w:r>
      <w:r>
        <w:rPr>
          <w:snapToGrid w:val="0"/>
          <w:color w:val="000000"/>
          <w:u w:val="single"/>
        </w:rPr>
        <w:t>仅</w:t>
      </w:r>
      <w:r>
        <w:rPr>
          <w:snapToGrid w:val="0"/>
          <w:color w:val="000000"/>
        </w:rPr>
        <w:t>遵从使用说明书指导使用检测仪，也就是说，没有制造商的</w:t>
      </w:r>
      <w:r>
        <w:rPr>
          <w:rFonts w:hint="eastAsia"/>
          <w:snapToGrid w:val="0"/>
          <w:color w:val="000000"/>
        </w:rPr>
        <w:t>其他</w:t>
      </w:r>
      <w:r>
        <w:rPr>
          <w:snapToGrid w:val="0"/>
          <w:color w:val="000000"/>
        </w:rPr>
        <w:t>解释。我们建议贵公司让个</w:t>
      </w:r>
      <w:r>
        <w:rPr>
          <w:rFonts w:hint="eastAsia"/>
          <w:snapToGrid w:val="0"/>
          <w:color w:val="000000"/>
        </w:rPr>
        <w:t>人</w:t>
      </w:r>
      <w:r>
        <w:rPr>
          <w:snapToGrid w:val="0"/>
          <w:color w:val="000000"/>
        </w:rPr>
        <w:t>将他或她的检测结果提供给制造商，然后让熟悉检测流程的健康护理专业人员来评价样本，以确定是否已经充分收集样本。</w:t>
      </w:r>
    </w:p>
    <w:p w14:paraId="5A1D0B47">
      <w:pPr>
        <w:spacing w:before="195"/>
        <w:rPr>
          <w:snapToGrid w:val="0"/>
          <w:color w:val="000000"/>
        </w:rPr>
      </w:pPr>
      <w:r>
        <w:rPr>
          <w:rFonts w:hint="eastAsia"/>
          <w:snapToGrid w:val="0"/>
          <w:color w:val="000000"/>
        </w:rPr>
        <w:t>我们也建议贵公司让每个非专业用户来回答问题，以评价他或她对使用说明书中提供的信息的理解程度。我们建议贵公司在开始贵公司的研究之前，联系FDA并对贵公司的使用说明书和问题进行审查，从而获得关于使用说明书和问题是否能适当评估用户理解检测能力的反馈。</w:t>
      </w:r>
    </w:p>
    <w:p w14:paraId="343F7924">
      <w:pPr>
        <w:spacing w:before="195"/>
        <w:rPr>
          <w:snapToGrid w:val="0"/>
          <w:shd w:val="clear" w:color="auto" w:fill="FFFFFF"/>
        </w:rPr>
      </w:pPr>
      <w:r>
        <w:rPr>
          <w:rFonts w:hint="eastAsia"/>
          <w:snapToGrid w:val="0"/>
        </w:rPr>
        <w:t>非专业用户也应要求解释各种检测样本的结果，包括边界阳性样本。</w:t>
      </w:r>
      <w:r>
        <w:rPr>
          <w:snapToGrid w:val="0"/>
          <w:shd w:val="clear" w:color="auto" w:fill="FFFFFF"/>
        </w:rPr>
        <w:t>重复的</w:t>
      </w:r>
      <w:r>
        <w:rPr>
          <w:rFonts w:hint="eastAsia"/>
          <w:snapToGrid w:val="0"/>
          <w:shd w:val="clear" w:color="auto" w:fill="FFFFFF"/>
        </w:rPr>
        <w:t>样本</w:t>
      </w:r>
      <w:r>
        <w:rPr>
          <w:snapToGrid w:val="0"/>
          <w:shd w:val="clear" w:color="auto" w:fill="FFFFFF"/>
        </w:rPr>
        <w:t>应该由</w:t>
      </w:r>
      <w:r>
        <w:rPr>
          <w:rFonts w:hint="eastAsia"/>
          <w:snapToGrid w:val="0"/>
          <w:shd w:val="clear" w:color="auto" w:fill="FFFFFF"/>
        </w:rPr>
        <w:t>在评价所测试器械类型方面富</w:t>
      </w:r>
      <w:r>
        <w:rPr>
          <w:snapToGrid w:val="0"/>
          <w:shd w:val="clear" w:color="auto" w:fill="FFFFFF"/>
        </w:rPr>
        <w:t>有经验的人员</w:t>
      </w:r>
      <w:r>
        <w:rPr>
          <w:rFonts w:hint="eastAsia"/>
          <w:snapToGrid w:val="0"/>
          <w:shd w:val="clear" w:color="auto" w:fill="FFFFFF"/>
        </w:rPr>
        <w:t>进行</w:t>
      </w:r>
      <w:r>
        <w:rPr>
          <w:snapToGrid w:val="0"/>
          <w:shd w:val="clear" w:color="auto" w:fill="FFFFFF"/>
        </w:rPr>
        <w:t>解释</w:t>
      </w:r>
      <w:r>
        <w:rPr>
          <w:rFonts w:hint="eastAsia"/>
          <w:snapToGrid w:val="0"/>
          <w:shd w:val="clear" w:color="auto" w:fill="FFFFFF"/>
        </w:rPr>
        <w:t>，并将结果与那些非专业用户阅读者进行比较。</w:t>
      </w:r>
    </w:p>
    <w:p w14:paraId="01E6E4AE">
      <w:pPr>
        <w:spacing w:before="195"/>
        <w:rPr>
          <w:snapToGrid w:val="0"/>
          <w:shd w:val="clear" w:color="auto" w:fill="FFFFFF"/>
        </w:rPr>
      </w:pPr>
      <w:r>
        <w:rPr>
          <w:snapToGrid w:val="0"/>
          <w:shd w:val="clear" w:color="auto" w:fill="FFFFFF"/>
        </w:rPr>
        <w:t>关于本主题的其他信息，请参考《医疗器械患者标签指南；行业和FDA审查员</w:t>
      </w:r>
      <w:r>
        <w:rPr>
          <w:rFonts w:hint="eastAsia"/>
          <w:snapToGrid w:val="0"/>
          <w:shd w:val="clear" w:color="auto" w:fill="FFFFFF"/>
        </w:rPr>
        <w:t>最终</w:t>
      </w:r>
      <w:r>
        <w:rPr>
          <w:snapToGrid w:val="0"/>
          <w:shd w:val="clear" w:color="auto" w:fill="FFFFFF"/>
        </w:rPr>
        <w:t>指南》（</w:t>
      </w:r>
      <w:r>
        <w:rPr>
          <w:snapToGrid w:val="0"/>
          <w:color w:val="0000FF"/>
          <w:u w:val="single"/>
        </w:rPr>
        <w:t>http: //www.fda.gov/cdrh/ohip/guidance/1128.pdf</w:t>
      </w:r>
      <w:r>
        <w:rPr>
          <w:snapToGrid w:val="0"/>
          <w:shd w:val="clear" w:color="auto" w:fill="FFFFFF"/>
        </w:rPr>
        <w:t>）</w:t>
      </w:r>
      <w:r>
        <w:rPr>
          <w:snapToGrid w:val="0"/>
          <w:color w:val="0000FF"/>
          <w:u w:val="single"/>
        </w:rPr>
        <w:t>，</w:t>
      </w:r>
      <w:r>
        <w:rPr>
          <w:snapToGrid w:val="0"/>
        </w:rPr>
        <w:t>和指导</w:t>
      </w:r>
      <w:r>
        <w:rPr>
          <w:rFonts w:hint="eastAsia"/>
          <w:snapToGrid w:val="0"/>
        </w:rPr>
        <w:t>性</w:t>
      </w:r>
      <w:r>
        <w:rPr>
          <w:snapToGrid w:val="0"/>
        </w:rPr>
        <w:t>文件《医疗器械标签人为因素原则》（</w:t>
      </w:r>
      <w:r>
        <w:rPr>
          <w:snapToGrid w:val="0"/>
          <w:color w:val="0000FF"/>
          <w:u w:val="single"/>
        </w:rPr>
        <w:t>http: //www.fda.gov/cdrh/dsma/227.html</w:t>
      </w:r>
      <w:r>
        <w:rPr>
          <w:snapToGrid w:val="0"/>
        </w:rPr>
        <w:t>），可能对贵公司有所帮助。</w:t>
      </w:r>
    </w:p>
    <w:p w14:paraId="63632256">
      <w:pPr>
        <w:spacing w:before="195"/>
        <w:rPr>
          <w:b/>
          <w:snapToGrid w:val="0"/>
          <w:color w:val="000000"/>
          <w:u w:val="single"/>
        </w:rPr>
      </w:pPr>
      <w:r>
        <w:rPr>
          <w:rFonts w:hint="eastAsia"/>
          <w:b/>
          <w:snapToGrid w:val="0"/>
          <w:color w:val="000000"/>
          <w:u w:val="single"/>
        </w:rPr>
        <w:t>软件</w:t>
      </w:r>
    </w:p>
    <w:p w14:paraId="17B93371">
      <w:pPr>
        <w:spacing w:before="195"/>
        <w:rPr>
          <w:snapToGrid w:val="0"/>
          <w:color w:val="0000FF"/>
        </w:rPr>
      </w:pPr>
      <w:r>
        <w:rPr>
          <w:snapToGrid w:val="0"/>
        </w:rPr>
        <w:t>对于采用软件控制的器械，包括全自动分析仪，我们建议贵公司提供确认或验证测试以及在FDA的《</w:t>
      </w:r>
      <w:r>
        <w:rPr>
          <w:snapToGrid w:val="0"/>
          <w:shd w:val="clear" w:color="auto" w:fill="FFFFFF"/>
        </w:rPr>
        <w:t>医疗器械中软件的上市前提交</w:t>
      </w:r>
      <w:r>
        <w:rPr>
          <w:rFonts w:hint="eastAsia"/>
          <w:snapToGrid w:val="0"/>
          <w:shd w:val="clear" w:color="auto" w:fill="FFFFFF"/>
        </w:rPr>
        <w:t>资料</w:t>
      </w:r>
      <w:r>
        <w:rPr>
          <w:snapToGrid w:val="0"/>
          <w:shd w:val="clear" w:color="auto" w:fill="FFFFFF"/>
        </w:rPr>
        <w:t>的指南</w:t>
      </w:r>
      <w:r>
        <w:rPr>
          <w:snapToGrid w:val="0"/>
        </w:rPr>
        <w:t>》（</w:t>
      </w:r>
      <w:r>
        <w:rPr>
          <w:snapToGrid w:val="0"/>
          <w:color w:val="0000FF"/>
        </w:rPr>
        <w:t>http: //www.fda.gov/cdrh/ode/guidance/337.html</w:t>
      </w:r>
      <w:r>
        <w:rPr>
          <w:snapToGrid w:val="0"/>
          <w:color w:val="000000"/>
        </w:rPr>
        <w:t>）中所描述的危害分析。贵公司也可以参考《医疗器械使用安全：将人机工程</w:t>
      </w:r>
      <w:r>
        <w:rPr>
          <w:rFonts w:hint="eastAsia"/>
          <w:snapToGrid w:val="0"/>
          <w:color w:val="000000"/>
        </w:rPr>
        <w:t>学</w:t>
      </w:r>
      <w:r>
        <w:rPr>
          <w:snapToGrid w:val="0"/>
          <w:color w:val="000000"/>
        </w:rPr>
        <w:t>纳入风险管理》（</w:t>
      </w:r>
      <w:r>
        <w:fldChar w:fldCharType="begin"/>
      </w:r>
      <w:r>
        <w:instrText xml:space="preserve"> HYPERLINK "http://www.fda.gov/cdrh/humfac/1497.html" </w:instrText>
      </w:r>
      <w:r>
        <w:fldChar w:fldCharType="separate"/>
      </w:r>
      <w:r>
        <w:rPr>
          <w:rStyle w:val="27"/>
          <w:rFonts w:cs="Arial"/>
          <w:snapToGrid w:val="0"/>
          <w:kern w:val="0"/>
          <w:szCs w:val="24"/>
        </w:rPr>
        <w:t>http: //www.fda.gov/cdrh/humfac/1497.html</w:t>
      </w:r>
      <w:r>
        <w:rPr>
          <w:rStyle w:val="27"/>
          <w:rFonts w:cs="Arial"/>
          <w:snapToGrid w:val="0"/>
          <w:kern w:val="0"/>
          <w:szCs w:val="24"/>
        </w:rPr>
        <w:fldChar w:fldCharType="end"/>
      </w:r>
      <w:r>
        <w:rPr>
          <w:snapToGrid w:val="0"/>
          <w:color w:val="0000FF"/>
        </w:rPr>
        <w:t>），</w:t>
      </w:r>
      <w:r>
        <w:rPr>
          <w:snapToGrid w:val="0"/>
        </w:rPr>
        <w:t>或《</w:t>
      </w:r>
      <w:r>
        <w:rPr>
          <w:snapToGrid w:val="0"/>
          <w:shd w:val="clear" w:color="auto" w:fill="FFFFFF"/>
        </w:rPr>
        <w:t>软件</w:t>
      </w:r>
      <w:r>
        <w:rPr>
          <w:rFonts w:hint="eastAsia"/>
          <w:snapToGrid w:val="0"/>
          <w:shd w:val="clear" w:color="auto" w:fill="FFFFFF"/>
        </w:rPr>
        <w:t>确认</w:t>
      </w:r>
      <w:r>
        <w:rPr>
          <w:snapToGrid w:val="0"/>
          <w:shd w:val="clear" w:color="auto" w:fill="FFFFFF"/>
        </w:rPr>
        <w:t>的一般原则</w:t>
      </w:r>
      <w:r>
        <w:rPr>
          <w:snapToGrid w:val="0"/>
        </w:rPr>
        <w:t>》</w:t>
      </w:r>
      <w:r>
        <w:fldChar w:fldCharType="begin"/>
      </w:r>
      <w:r>
        <w:instrText xml:space="preserve"> HYPERLINK "http://www.fda.gov/cdrh/comp/guidance/938.html" </w:instrText>
      </w:r>
      <w:r>
        <w:fldChar w:fldCharType="separate"/>
      </w:r>
      <w:r>
        <w:rPr>
          <w:rStyle w:val="27"/>
          <w:rFonts w:cs="Arial"/>
          <w:snapToGrid w:val="0"/>
          <w:kern w:val="0"/>
          <w:szCs w:val="24"/>
        </w:rPr>
        <w:t>http: //www.fda.gov/cdrh/comp/guidance/938.html</w:t>
      </w:r>
      <w:r>
        <w:rPr>
          <w:rStyle w:val="27"/>
          <w:rFonts w:cs="Arial"/>
          <w:snapToGrid w:val="0"/>
          <w:kern w:val="0"/>
          <w:szCs w:val="24"/>
        </w:rPr>
        <w:fldChar w:fldCharType="end"/>
      </w:r>
    </w:p>
    <w:p w14:paraId="253A7C49">
      <w:pPr>
        <w:spacing w:before="195"/>
        <w:rPr>
          <w:b/>
          <w:snapToGrid w:val="0"/>
          <w:color w:val="000000"/>
          <w:u w:val="single"/>
        </w:rPr>
      </w:pPr>
      <w:r>
        <w:rPr>
          <w:rFonts w:hint="eastAsia"/>
          <w:b/>
          <w:snapToGrid w:val="0"/>
          <w:color w:val="000000"/>
          <w:u w:val="single"/>
        </w:rPr>
        <w:t>质量控制</w:t>
      </w:r>
    </w:p>
    <w:p w14:paraId="5763DBF3">
      <w:pPr>
        <w:spacing w:before="195"/>
        <w:rPr>
          <w:snapToGrid w:val="0"/>
          <w:color w:val="000000" w:themeColor="text1"/>
          <w:shd w:val="clear" w:color="auto" w:fill="FFFFFF"/>
          <w14:textFill>
            <w14:solidFill>
              <w14:schemeClr w14:val="tx1"/>
            </w14:solidFill>
          </w14:textFill>
        </w:rPr>
      </w:pPr>
      <w:r>
        <w:rPr>
          <w:snapToGrid w:val="0"/>
          <w:color w:val="000000" w:themeColor="text1"/>
          <w14:textFill>
            <w14:solidFill>
              <w14:schemeClr w14:val="tx1"/>
            </w14:solidFill>
          </w14:textFill>
        </w:rPr>
        <w:t>贵公司应当为贵公司的FOB检测仪提供</w:t>
      </w:r>
      <w:r>
        <w:rPr>
          <w:snapToGrid w:val="0"/>
          <w:color w:val="000000" w:themeColor="text1"/>
          <w:shd w:val="clear" w:color="auto" w:fill="FFFFFF"/>
          <w14:textFill>
            <w14:solidFill>
              <w14:schemeClr w14:val="tx1"/>
            </w14:solidFill>
          </w14:textFill>
        </w:rPr>
        <w:t>程序或内置控件的说明。非处方FO</w:t>
      </w:r>
      <w:r>
        <w:rPr>
          <w:rFonts w:hint="eastAsia"/>
          <w:snapToGrid w:val="0"/>
          <w:color w:val="000000" w:themeColor="text1"/>
          <w:shd w:val="clear" w:color="auto" w:fill="FFFFFF"/>
          <w14:textFill>
            <w14:solidFill>
              <w14:schemeClr w14:val="tx1"/>
            </w14:solidFill>
          </w14:textFill>
        </w:rPr>
        <w:t>B</w:t>
      </w:r>
      <w:r>
        <w:rPr>
          <w:snapToGrid w:val="0"/>
          <w:color w:val="000000" w:themeColor="text1"/>
          <w:shd w:val="clear" w:color="auto" w:fill="FFFFFF"/>
          <w14:textFill>
            <w14:solidFill>
              <w14:schemeClr w14:val="tx1"/>
            </w14:solidFill>
          </w14:textFill>
        </w:rPr>
        <w:t>检测仪必须包含阳性和阴性对照。贵公司应当确认内部控件的</w:t>
      </w:r>
      <w:r>
        <w:rPr>
          <w:rFonts w:hint="eastAsia"/>
          <w:snapToGrid w:val="0"/>
          <w:color w:val="000000" w:themeColor="text1"/>
          <w:shd w:val="clear" w:color="auto" w:fill="FFFFFF"/>
          <w14:textFill>
            <w14:solidFill>
              <w14:schemeClr w14:val="tx1"/>
            </w14:solidFill>
          </w14:textFill>
        </w:rPr>
        <w:t>组件</w:t>
      </w:r>
      <w:r>
        <w:rPr>
          <w:snapToGrid w:val="0"/>
          <w:color w:val="000000" w:themeColor="text1"/>
          <w:shd w:val="clear" w:color="auto" w:fill="FFFFFF"/>
          <w14:textFill>
            <w14:solidFill>
              <w14:schemeClr w14:val="tx1"/>
            </w14:solidFill>
          </w14:textFill>
        </w:rPr>
        <w:t>，并详细描述</w:t>
      </w:r>
      <w:r>
        <w:rPr>
          <w:rFonts w:hint="eastAsia"/>
          <w:snapToGrid w:val="0"/>
          <w:color w:val="000000" w:themeColor="text1"/>
          <w:shd w:val="clear" w:color="auto" w:fill="FFFFFF"/>
          <w14:textFill>
            <w14:solidFill>
              <w14:schemeClr w14:val="tx1"/>
            </w14:solidFill>
          </w14:textFill>
        </w:rPr>
        <w:t>控件</w:t>
      </w:r>
      <w:r>
        <w:rPr>
          <w:snapToGrid w:val="0"/>
          <w:color w:val="000000" w:themeColor="text1"/>
          <w:shd w:val="clear" w:color="auto" w:fill="FFFFFF"/>
          <w14:textFill>
            <w14:solidFill>
              <w14:schemeClr w14:val="tx1"/>
            </w14:solidFill>
          </w14:textFill>
        </w:rPr>
        <w:t>的功能。</w:t>
      </w:r>
    </w:p>
    <w:p w14:paraId="10E95C47">
      <w:pPr>
        <w:spacing w:before="195"/>
        <w:rPr>
          <w:snapToGrid w:val="0"/>
          <w:color w:val="000000" w:themeColor="text1"/>
          <w:shd w:val="clear" w:color="auto" w:fill="FFFFFF"/>
          <w14:textFill>
            <w14:solidFill>
              <w14:schemeClr w14:val="tx1"/>
            </w14:solidFill>
          </w14:textFill>
        </w:rPr>
      </w:pPr>
      <w:r>
        <w:rPr>
          <w:rFonts w:hint="eastAsia"/>
          <w:snapToGrid w:val="0"/>
          <w:color w:val="000000" w:themeColor="text1"/>
          <w:shd w:val="clear" w:color="auto" w:fill="FFFFFF"/>
          <w14:textFill>
            <w14:solidFill>
              <w14:schemeClr w14:val="tx1"/>
            </w14:solidFill>
          </w14:textFill>
        </w:rPr>
        <w:t>描述范例包括：</w:t>
      </w:r>
    </w:p>
    <w:p w14:paraId="3D2FE110">
      <w:pPr>
        <w:pStyle w:val="42"/>
        <w:numPr>
          <w:ilvl w:val="0"/>
          <w:numId w:val="5"/>
        </w:numPr>
        <w:spacing w:before="195"/>
        <w:ind w:left="900" w:leftChars="200" w:hangingChars="175"/>
        <w:rPr>
          <w:snapToGrid w:val="0"/>
        </w:rPr>
      </w:pPr>
      <w:r>
        <w:rPr>
          <w:rFonts w:hint="eastAsia"/>
          <w:snapToGrid w:val="0"/>
          <w:shd w:val="clear" w:color="auto" w:fill="FFFFFF"/>
        </w:rPr>
        <w:t>确定化学品是否为工作正常的控件。</w:t>
      </w:r>
    </w:p>
    <w:p w14:paraId="4FE51092">
      <w:pPr>
        <w:pStyle w:val="42"/>
        <w:numPr>
          <w:ilvl w:val="0"/>
          <w:numId w:val="5"/>
        </w:numPr>
        <w:spacing w:before="195"/>
        <w:ind w:left="900" w:leftChars="200" w:hangingChars="175"/>
        <w:rPr>
          <w:snapToGrid w:val="0"/>
          <w:shd w:val="clear" w:color="auto" w:fill="FFFFFF"/>
        </w:rPr>
      </w:pPr>
      <w:r>
        <w:rPr>
          <w:rFonts w:hint="eastAsia"/>
          <w:snapToGrid w:val="0"/>
          <w:shd w:val="clear" w:color="auto" w:fill="FFFFFF"/>
        </w:rPr>
        <w:t>确定是否加入足够数量的样本的控件。</w:t>
      </w:r>
    </w:p>
    <w:p w14:paraId="2951321D">
      <w:pPr>
        <w:pStyle w:val="42"/>
        <w:numPr>
          <w:ilvl w:val="0"/>
          <w:numId w:val="5"/>
        </w:numPr>
        <w:spacing w:before="195"/>
        <w:ind w:left="900" w:leftChars="200" w:hangingChars="175"/>
        <w:rPr>
          <w:snapToGrid w:val="0"/>
          <w:shd w:val="clear" w:color="auto" w:fill="FFFFFF"/>
        </w:rPr>
      </w:pPr>
      <w:r>
        <w:rPr>
          <w:rFonts w:hint="eastAsia"/>
          <w:snapToGrid w:val="0"/>
          <w:shd w:val="clear" w:color="auto" w:fill="FFFFFF"/>
        </w:rPr>
        <w:t>确定是否遵从适当的程序控件。</w:t>
      </w:r>
    </w:p>
    <w:p w14:paraId="71027BC4">
      <w:pPr>
        <w:spacing w:before="195"/>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贵公司应当确认控件是否按照预期执行，并按标签中所声明的方式正确监测相应变量。</w:t>
      </w:r>
    </w:p>
    <w:p w14:paraId="1D00D435">
      <w:pPr>
        <w:pStyle w:val="42"/>
        <w:numPr>
          <w:ilvl w:val="0"/>
          <w:numId w:val="3"/>
        </w:numPr>
        <w:spacing w:before="326" w:beforeLines="100" w:after="163" w:afterLines="50"/>
        <w:ind w:left="562" w:hanging="562" w:hangingChars="200"/>
        <w:outlineLvl w:val="0"/>
        <w:rPr>
          <w:b/>
          <w:snapToGrid w:val="0"/>
          <w:sz w:val="28"/>
          <w:szCs w:val="28"/>
        </w:rPr>
      </w:pPr>
      <w:bookmarkStart w:id="31" w:name="_Toc476728379"/>
      <w:bookmarkStart w:id="32" w:name="_Toc476728473"/>
      <w:r>
        <w:rPr>
          <w:rFonts w:hint="eastAsia"/>
          <w:b/>
          <w:snapToGrid w:val="0"/>
          <w:sz w:val="28"/>
          <w:szCs w:val="28"/>
        </w:rPr>
        <w:t>方法比较</w:t>
      </w:r>
      <w:bookmarkEnd w:id="31"/>
      <w:bookmarkEnd w:id="32"/>
    </w:p>
    <w:p w14:paraId="47AB9B58">
      <w:pPr>
        <w:spacing w:before="195"/>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对于</w:t>
      </w:r>
      <w:r>
        <w:rPr>
          <w:bCs/>
          <w:snapToGrid w:val="0"/>
          <w:color w:val="000000" w:themeColor="text1"/>
          <w:shd w:val="clear" w:color="auto" w:fill="FFFFFF"/>
          <w14:textFill>
            <w14:solidFill>
              <w14:schemeClr w14:val="tx1"/>
            </w14:solidFill>
          </w14:textFill>
        </w:rPr>
        <w:t>愈创木脂</w:t>
      </w:r>
      <w:r>
        <w:rPr>
          <w:snapToGrid w:val="0"/>
          <w:color w:val="000000" w:themeColor="text1"/>
          <w:shd w:val="clear" w:color="auto" w:fill="FFFFFF"/>
          <w14:textFill>
            <w14:solidFill>
              <w14:schemeClr w14:val="tx1"/>
            </w14:solidFill>
          </w14:textFill>
        </w:rPr>
        <w:t>检测和免疫学检测</w:t>
      </w:r>
      <w:r>
        <w:rPr>
          <w:snapToGrid w:val="0"/>
          <w:color w:val="000000" w:themeColor="text1"/>
          <w14:textFill>
            <w14:solidFill>
              <w14:schemeClr w14:val="tx1"/>
            </w14:solidFill>
          </w14:textFill>
        </w:rPr>
        <w:t>，贵公司可以</w:t>
      </w:r>
      <w:r>
        <w:rPr>
          <w:snapToGrid w:val="0"/>
          <w:color w:val="000000" w:themeColor="text1"/>
          <w:shd w:val="clear" w:color="auto" w:fill="FFFFFF"/>
          <w14:textFill>
            <w14:solidFill>
              <w14:schemeClr w14:val="tx1"/>
            </w14:solidFill>
          </w14:textFill>
        </w:rPr>
        <w:t>通过执行如上所述的再现性和</w:t>
      </w:r>
      <w:r>
        <w:rPr>
          <w:rFonts w:hint="eastAsia"/>
          <w:snapToGrid w:val="0"/>
          <w:color w:val="000000" w:themeColor="text1"/>
          <w:shd w:val="clear" w:color="auto" w:fill="FFFFFF"/>
          <w14:textFill>
            <w14:solidFill>
              <w14:schemeClr w14:val="tx1"/>
            </w14:solidFill>
          </w14:textFill>
        </w:rPr>
        <w:t>临界值</w:t>
      </w:r>
      <w:r>
        <w:rPr>
          <w:snapToGrid w:val="0"/>
          <w:color w:val="000000" w:themeColor="text1"/>
          <w:shd w:val="clear" w:color="auto" w:fill="FFFFFF"/>
          <w14:textFill>
            <w14:solidFill>
              <w14:schemeClr w14:val="tx1"/>
            </w14:solidFill>
          </w14:textFill>
        </w:rPr>
        <w:t>研究，</w:t>
      </w:r>
      <w:r>
        <w:rPr>
          <w:snapToGrid w:val="0"/>
          <w:color w:val="000000" w:themeColor="text1"/>
          <w14:textFill>
            <w14:solidFill>
              <w14:schemeClr w14:val="tx1"/>
            </w14:solidFill>
          </w14:textFill>
        </w:rPr>
        <w:t>将贵公司的医疗器械与具有相似检测方法的对比器械进行比较。然而，对于免疫学检测，贵公司也应</w:t>
      </w:r>
      <w:r>
        <w:rPr>
          <w:rFonts w:hint="eastAsia"/>
          <w:snapToGrid w:val="0"/>
          <w:color w:val="000000" w:themeColor="text1"/>
          <w14:textFill>
            <w14:solidFill>
              <w14:schemeClr w14:val="tx1"/>
            </w14:solidFill>
          </w14:textFill>
        </w:rPr>
        <w:t>当</w:t>
      </w:r>
      <w:r>
        <w:rPr>
          <w:snapToGrid w:val="0"/>
          <w:color w:val="000000" w:themeColor="text1"/>
          <w14:textFill>
            <w14:solidFill>
              <w14:schemeClr w14:val="tx1"/>
            </w14:solidFill>
          </w14:textFill>
        </w:rPr>
        <w:t>证明采用贵公司的医疗器械所获得的结果与那些采用具有已知临床结局数据的对比器械所获得的结果实质等同。结果通常表示为阳性、阴性和两种方法之间总百分比</w:t>
      </w:r>
      <w:r>
        <w:rPr>
          <w:snapToGrid w:val="0"/>
          <w:color w:val="000000"/>
        </w:rPr>
        <w:t>的</w:t>
      </w:r>
      <w:r>
        <w:rPr>
          <w:snapToGrid w:val="0"/>
          <w:color w:val="000000" w:themeColor="text1"/>
          <w14:textFill>
            <w14:solidFill>
              <w14:schemeClr w14:val="tx1"/>
            </w14:solidFill>
          </w14:textFill>
        </w:rPr>
        <w:t>一致性。</w:t>
      </w:r>
    </w:p>
    <w:p w14:paraId="74A2924C">
      <w:pPr>
        <w:spacing w:before="195"/>
        <w:rPr>
          <w:snapToGrid w:val="0"/>
        </w:rPr>
      </w:pPr>
      <w:r>
        <w:rPr>
          <w:rFonts w:hint="eastAsia"/>
          <w:snapToGrid w:val="0"/>
        </w:rPr>
        <w:t>对于某些FOB检测，检测结果可能需要直接与临床结局数据进行比较，以建立实质等同性（参见第8部分，下列临床研究）。</w:t>
      </w:r>
    </w:p>
    <w:p w14:paraId="69392A25">
      <w:pPr>
        <w:pStyle w:val="42"/>
        <w:numPr>
          <w:ilvl w:val="0"/>
          <w:numId w:val="3"/>
        </w:numPr>
        <w:spacing w:before="326" w:beforeLines="100" w:after="163" w:afterLines="50"/>
        <w:ind w:left="562" w:hanging="562" w:hangingChars="200"/>
        <w:outlineLvl w:val="0"/>
        <w:rPr>
          <w:b/>
          <w:snapToGrid w:val="0"/>
          <w:sz w:val="28"/>
          <w:szCs w:val="28"/>
        </w:rPr>
      </w:pPr>
      <w:bookmarkStart w:id="33" w:name="_Toc476728380"/>
      <w:bookmarkStart w:id="34" w:name="_Toc476728474"/>
      <w:r>
        <w:rPr>
          <w:rFonts w:hint="eastAsia"/>
          <w:b/>
          <w:snapToGrid w:val="0"/>
          <w:sz w:val="28"/>
          <w:szCs w:val="28"/>
        </w:rPr>
        <w:t>临床研究</w:t>
      </w:r>
      <w:bookmarkEnd w:id="33"/>
      <w:bookmarkEnd w:id="34"/>
    </w:p>
    <w:p w14:paraId="4CACA323">
      <w:pPr>
        <w:spacing w:before="195"/>
        <w:rPr>
          <w:snapToGrid w:val="0"/>
        </w:rPr>
      </w:pPr>
      <w:r>
        <w:rPr>
          <w:snapToGrid w:val="0"/>
        </w:rPr>
        <w:t>在某些情况下，与对比器械的方法比较是不够的。对于</w:t>
      </w:r>
      <w:r>
        <w:rPr>
          <w:rFonts w:asciiTheme="minorEastAsia" w:hAnsiTheme="minorEastAsia" w:eastAsiaTheme="minorEastAsia"/>
          <w:snapToGrid w:val="0"/>
        </w:rPr>
        <w:t>“</w:t>
      </w:r>
      <w:r>
        <w:rPr>
          <w:snapToGrid w:val="0"/>
        </w:rPr>
        <w:t>马桶”检测，采用新技术的医疗器械或声称比现有检测具有更大分析灵敏度的检测，我们建议贵公司提供临床数据，即来自确诊临床患者的实际临床样本的检测。</w:t>
      </w:r>
      <w:r>
        <w:rPr>
          <w:snapToGrid w:val="0"/>
          <w:shd w:val="clear" w:color="auto" w:fill="FFFFFF"/>
        </w:rPr>
        <w:t>有关贵公司的测试是否需要临床数据的更多信息，</w:t>
      </w:r>
      <w:r>
        <w:rPr>
          <w:snapToGrid w:val="0"/>
        </w:rPr>
        <w:t>我们建议贵公司联系FDA（在本文件开始部分提供了</w:t>
      </w:r>
      <w:r>
        <w:rPr>
          <w:rFonts w:hint="eastAsia"/>
          <w:snapToGrid w:val="0"/>
        </w:rPr>
        <w:t>相关</w:t>
      </w:r>
      <w:r>
        <w:rPr>
          <w:snapToGrid w:val="0"/>
        </w:rPr>
        <w:t>工作人员的联系信息）。</w:t>
      </w:r>
    </w:p>
    <w:p w14:paraId="33FDFBEA">
      <w:pPr>
        <w:spacing w:before="195"/>
        <w:rPr>
          <w:snapToGrid w:val="0"/>
          <w:shd w:val="clear" w:color="auto" w:fill="FFFFFF"/>
        </w:rPr>
      </w:pPr>
      <w:r>
        <w:rPr>
          <w:snapToGrid w:val="0"/>
          <w:shd w:val="clear" w:color="auto" w:fill="FFFFFF"/>
        </w:rPr>
        <w:t>进行临床研究期间，贵公司应该将采用患者样本</w:t>
      </w:r>
      <w:bookmarkStart w:id="35" w:name="OLE_LINK25"/>
      <w:bookmarkStart w:id="36" w:name="OLE_LINK26"/>
      <w:r>
        <w:rPr>
          <w:snapToGrid w:val="0"/>
          <w:shd w:val="clear" w:color="auto" w:fill="FFFFFF"/>
        </w:rPr>
        <w:t>以新的</w:t>
      </w:r>
      <w:bookmarkEnd w:id="35"/>
      <w:bookmarkEnd w:id="36"/>
      <w:r>
        <w:rPr>
          <w:snapToGrid w:val="0"/>
          <w:shd w:val="clear" w:color="auto" w:fill="FFFFFF"/>
        </w:rPr>
        <w:t>器械所获得的结果与采用参考临床方法所获得的结果酌情进行比较，如结肠镜检查</w:t>
      </w:r>
      <w:r>
        <w:rPr>
          <w:rFonts w:hint="eastAsia"/>
          <w:snapToGrid w:val="0"/>
          <w:shd w:val="clear" w:color="auto" w:fill="FFFFFF"/>
        </w:rPr>
        <w:t>、</w:t>
      </w:r>
      <w:r>
        <w:rPr>
          <w:snapToGrid w:val="0"/>
          <w:shd w:val="clear" w:color="auto" w:fill="FFFFFF"/>
        </w:rPr>
        <w:t>乙状结肠镜和／或活检。贵公司应当包括来自各种胃肠道疾病（例如，肿瘤、息肉、腺瘤、贫血、憩室炎）患者的样本，并总结临床敏感性和特异性方面的结果。</w:t>
      </w:r>
    </w:p>
    <w:p w14:paraId="032450A4">
      <w:pPr>
        <w:spacing w:before="195"/>
        <w:rPr>
          <w:snapToGrid w:val="0"/>
          <w:shd w:val="clear" w:color="auto" w:fill="FFFFFF"/>
        </w:rPr>
      </w:pPr>
      <w:r>
        <w:rPr>
          <w:rFonts w:hint="eastAsia"/>
          <w:snapToGrid w:val="0"/>
          <w:shd w:val="clear" w:color="auto" w:fill="FFFFFF"/>
        </w:rPr>
        <w:t>贵公司应当在510（k）中描述以下内容：</w:t>
      </w:r>
    </w:p>
    <w:p w14:paraId="4CD73C6D">
      <w:pPr>
        <w:pStyle w:val="42"/>
        <w:numPr>
          <w:ilvl w:val="0"/>
          <w:numId w:val="5"/>
        </w:numPr>
        <w:spacing w:before="195"/>
        <w:ind w:left="900" w:leftChars="200" w:hangingChars="175"/>
        <w:rPr>
          <w:snapToGrid w:val="0"/>
          <w:shd w:val="clear" w:color="auto" w:fill="FFFFFF"/>
        </w:rPr>
      </w:pPr>
      <w:r>
        <w:rPr>
          <w:rFonts w:hint="eastAsia"/>
          <w:snapToGrid w:val="0"/>
          <w:shd w:val="clear" w:color="auto" w:fill="FFFFFF"/>
        </w:rPr>
        <w:t>所有临床方案和统计分析。</w:t>
      </w:r>
    </w:p>
    <w:p w14:paraId="0249EE06">
      <w:pPr>
        <w:pStyle w:val="42"/>
        <w:numPr>
          <w:ilvl w:val="0"/>
          <w:numId w:val="5"/>
        </w:numPr>
        <w:spacing w:before="195"/>
        <w:ind w:left="900" w:leftChars="200" w:hangingChars="175"/>
        <w:rPr>
          <w:snapToGrid w:val="0"/>
          <w:shd w:val="clear" w:color="auto" w:fill="FFFFFF"/>
        </w:rPr>
      </w:pPr>
      <w:r>
        <w:rPr>
          <w:snapToGrid w:val="0"/>
          <w:shd w:val="clear" w:color="auto" w:fill="FFFFFF"/>
        </w:rPr>
        <w:t>样本和患者纳入和</w:t>
      </w:r>
      <w:r>
        <w:rPr>
          <w:rFonts w:hint="eastAsia"/>
          <w:snapToGrid w:val="0"/>
          <w:shd w:val="clear" w:color="auto" w:fill="FFFFFF"/>
        </w:rPr>
        <w:t>排除</w:t>
      </w:r>
      <w:r>
        <w:rPr>
          <w:snapToGrid w:val="0"/>
          <w:shd w:val="clear" w:color="auto" w:fill="FFFFFF"/>
        </w:rPr>
        <w:t>标准的明确说明，包括样本是否选自患有特异性临床结局的患者，或有关使用的适应症的风险概况。检测人群应当包括预期使用人员的受试者，例如，年龄在50岁或以上的男性和女性，有危险因素的个体。</w:t>
      </w:r>
    </w:p>
    <w:p w14:paraId="20A735EA">
      <w:pPr>
        <w:spacing w:before="195"/>
        <w:rPr>
          <w:snapToGrid w:val="0"/>
          <w:shd w:val="clear" w:color="auto" w:fill="FFFFFF"/>
        </w:rPr>
      </w:pPr>
      <w:r>
        <w:rPr>
          <w:snapToGrid w:val="0"/>
          <w:shd w:val="clear" w:color="auto" w:fill="FFFFFF"/>
        </w:rPr>
        <w:br w:type="page"/>
      </w:r>
    </w:p>
    <w:p w14:paraId="21660050">
      <w:pPr>
        <w:pStyle w:val="42"/>
        <w:numPr>
          <w:ilvl w:val="0"/>
          <w:numId w:val="5"/>
        </w:numPr>
        <w:spacing w:before="195"/>
        <w:ind w:left="900" w:leftChars="200" w:hangingChars="175"/>
        <w:rPr>
          <w:snapToGrid w:val="0"/>
          <w:shd w:val="clear" w:color="auto" w:fill="FFFFFF"/>
        </w:rPr>
      </w:pPr>
      <w:r>
        <w:rPr>
          <w:snapToGrid w:val="0"/>
          <w:shd w:val="clear" w:color="auto" w:fill="FFFFFF"/>
        </w:rPr>
        <w:t>贵公司包含在贵公司的研究中</w:t>
      </w:r>
      <w:r>
        <w:rPr>
          <w:rFonts w:hint="eastAsia"/>
          <w:snapToGrid w:val="0"/>
          <w:shd w:val="clear" w:color="auto" w:fill="FFFFFF"/>
        </w:rPr>
        <w:t>用于</w:t>
      </w:r>
      <w:r>
        <w:rPr>
          <w:snapToGrid w:val="0"/>
          <w:shd w:val="clear" w:color="auto" w:fill="FFFFFF"/>
        </w:rPr>
        <w:t>支持每个亚组（临床或人口统计学的）样本</w:t>
      </w:r>
      <w:r>
        <w:rPr>
          <w:rFonts w:hint="eastAsia"/>
          <w:snapToGrid w:val="0"/>
          <w:shd w:val="clear" w:color="auto" w:fill="FFFFFF"/>
        </w:rPr>
        <w:t>量</w:t>
      </w:r>
      <w:r>
        <w:rPr>
          <w:snapToGrid w:val="0"/>
          <w:shd w:val="clear" w:color="auto" w:fill="FFFFFF"/>
        </w:rPr>
        <w:t>的统计。贵公司应当最少检测120例确认正常的样本。我们建议贵公司遵从《如何定义和确定临床实验室的参考范围；</w:t>
      </w:r>
      <w:r>
        <w:rPr>
          <w:rFonts w:hint="eastAsia"/>
          <w:snapToGrid w:val="0"/>
          <w:shd w:val="clear" w:color="auto" w:fill="FFFFFF"/>
        </w:rPr>
        <w:t>已批</w:t>
      </w:r>
      <w:r>
        <w:rPr>
          <w:snapToGrid w:val="0"/>
          <w:shd w:val="clear" w:color="auto" w:fill="FFFFFF"/>
        </w:rPr>
        <w:t>准</w:t>
      </w:r>
      <w:r>
        <w:rPr>
          <w:rFonts w:hint="eastAsia"/>
          <w:snapToGrid w:val="0"/>
          <w:shd w:val="clear" w:color="auto" w:fill="FFFFFF"/>
        </w:rPr>
        <w:t>的</w:t>
      </w:r>
      <w:r>
        <w:rPr>
          <w:snapToGrid w:val="0"/>
          <w:shd w:val="clear" w:color="auto" w:fill="FFFFFF"/>
        </w:rPr>
        <w:t>指南》CLSI/NCCLS文件C28-A2。</w:t>
      </w:r>
    </w:p>
    <w:p w14:paraId="1937D10E">
      <w:pPr>
        <w:spacing w:before="195"/>
        <w:rPr>
          <w:snapToGrid w:val="0"/>
        </w:rPr>
      </w:pPr>
      <w:r>
        <w:rPr>
          <w:snapToGrid w:val="0"/>
        </w:rPr>
        <w:t>食品药品监督管理局（</w:t>
      </w:r>
      <w:r>
        <w:rPr>
          <w:snapToGrid w:val="0"/>
          <w:shd w:val="clear" w:color="auto" w:fill="FFFFFF"/>
        </w:rPr>
        <w:t>FDA</w:t>
      </w:r>
      <w:r>
        <w:rPr>
          <w:snapToGrid w:val="0"/>
        </w:rPr>
        <w:t>）</w:t>
      </w:r>
      <w:r>
        <w:rPr>
          <w:rFonts w:hint="eastAsia"/>
          <w:snapToGrid w:val="0"/>
        </w:rPr>
        <w:t>为</w:t>
      </w:r>
      <w:r>
        <w:rPr>
          <w:snapToGrid w:val="0"/>
        </w:rPr>
        <w:t>获得有关贵公司正在计划进行的研究输入提供机会，来支持贵公司的上市前提交材料。此过程称为IDE预审</w:t>
      </w:r>
      <w:r>
        <w:rPr>
          <w:rFonts w:hint="eastAsia"/>
          <w:snapToGrid w:val="0"/>
        </w:rPr>
        <w:t>查</w:t>
      </w:r>
      <w:r>
        <w:rPr>
          <w:snapToGrid w:val="0"/>
        </w:rPr>
        <w:t>。贵公司可以在开始研究之前联系免疫学和血液学</w:t>
      </w:r>
      <w:r>
        <w:rPr>
          <w:rFonts w:hint="eastAsia"/>
          <w:snapToGrid w:val="0"/>
        </w:rPr>
        <w:t>器械</w:t>
      </w:r>
      <w:r>
        <w:rPr>
          <w:snapToGrid w:val="0"/>
        </w:rPr>
        <w:t>部，询问其是否可能有利于贵公司获得关于贵公司的研究计划的反馈</w:t>
      </w:r>
      <w:r>
        <w:rPr>
          <w:rFonts w:hint="eastAsia"/>
          <w:snapToGrid w:val="0"/>
        </w:rPr>
        <w:t>。</w:t>
      </w:r>
    </w:p>
    <w:p w14:paraId="3A55E856">
      <w:pPr>
        <w:pStyle w:val="42"/>
        <w:numPr>
          <w:ilvl w:val="0"/>
          <w:numId w:val="3"/>
        </w:numPr>
        <w:spacing w:before="326" w:beforeLines="100" w:after="163" w:afterLines="50"/>
        <w:ind w:left="562" w:hanging="562" w:hangingChars="200"/>
        <w:outlineLvl w:val="0"/>
        <w:rPr>
          <w:b/>
          <w:snapToGrid w:val="0"/>
          <w:sz w:val="28"/>
          <w:szCs w:val="28"/>
        </w:rPr>
      </w:pPr>
      <w:bookmarkStart w:id="37" w:name="_Toc476728475"/>
      <w:bookmarkStart w:id="38" w:name="_Toc476728381"/>
      <w:r>
        <w:rPr>
          <w:rFonts w:hint="eastAsia"/>
          <w:b/>
          <w:snapToGrid w:val="0"/>
          <w:sz w:val="28"/>
          <w:szCs w:val="28"/>
        </w:rPr>
        <w:t>标签</w:t>
      </w:r>
      <w:bookmarkEnd w:id="37"/>
      <w:bookmarkEnd w:id="38"/>
    </w:p>
    <w:p w14:paraId="5EA36A7F">
      <w:pPr>
        <w:spacing w:before="195"/>
        <w:rPr>
          <w:snapToGrid w:val="0"/>
        </w:rPr>
      </w:pPr>
      <w:r>
        <w:rPr>
          <w:snapToGrid w:val="0"/>
        </w:rPr>
        <w:t>上市前通告应当包括标签</w:t>
      </w:r>
      <w:r>
        <w:rPr>
          <w:rFonts w:hint="eastAsia"/>
          <w:snapToGrid w:val="0"/>
        </w:rPr>
        <w:t>详细说明，</w:t>
      </w:r>
      <w:r>
        <w:rPr>
          <w:snapToGrid w:val="0"/>
        </w:rPr>
        <w:t>满足21 CFR 807.87（e）的要求。</w:t>
      </w:r>
      <w:r>
        <w:rPr>
          <w:snapToGrid w:val="0"/>
          <w:shd w:val="clear" w:color="auto" w:fill="FFFFFF"/>
        </w:rPr>
        <w:t>以下建议旨在协助贵公司准备符合</w:t>
      </w:r>
      <w:r>
        <w:rPr>
          <w:snapToGrid w:val="0"/>
        </w:rPr>
        <w:t>21 CFR 807.87（e）要求的</w:t>
      </w:r>
      <w:r>
        <w:rPr>
          <w:snapToGrid w:val="0"/>
          <w:shd w:val="clear" w:color="auto" w:fill="FFFFFF"/>
        </w:rPr>
        <w:t>标签。</w:t>
      </w:r>
      <w:r>
        <w:rPr>
          <w:rStyle w:val="29"/>
          <w:snapToGrid w:val="0"/>
          <w:shd w:val="clear" w:color="auto" w:fill="FFFFFF"/>
        </w:rPr>
        <w:footnoteReference w:id="0"/>
      </w:r>
    </w:p>
    <w:p w14:paraId="23AE7639">
      <w:pPr>
        <w:spacing w:before="195"/>
        <w:rPr>
          <w:b/>
          <w:snapToGrid w:val="0"/>
          <w:u w:val="single"/>
        </w:rPr>
      </w:pPr>
      <w:r>
        <w:rPr>
          <w:rFonts w:hint="eastAsia"/>
          <w:b/>
          <w:snapToGrid w:val="0"/>
          <w:u w:val="single"/>
        </w:rPr>
        <w:t>预期用途</w:t>
      </w:r>
    </w:p>
    <w:p w14:paraId="72B84E47">
      <w:pPr>
        <w:spacing w:before="195"/>
        <w:rPr>
          <w:snapToGrid w:val="0"/>
        </w:rPr>
      </w:pPr>
      <w:r>
        <w:rPr>
          <w:snapToGrid w:val="0"/>
        </w:rPr>
        <w:t>预期用途声明应与检测的性能特征一致，其应当包含FOB检测类型、声明该检测是定性的、指明检测可能在哪些地方进行（实验室、医生诊所或非处方），并</w:t>
      </w:r>
      <w:r>
        <w:rPr>
          <w:snapToGrid w:val="0"/>
          <w:shd w:val="clear" w:color="auto" w:fill="FFFFFF"/>
        </w:rPr>
        <w:t>指定医疗器械适用的患者人群。</w:t>
      </w:r>
    </w:p>
    <w:p w14:paraId="630BBB7E">
      <w:pPr>
        <w:spacing w:before="195"/>
        <w:rPr>
          <w:b/>
          <w:snapToGrid w:val="0"/>
          <w:u w:val="single"/>
        </w:rPr>
      </w:pPr>
      <w:r>
        <w:rPr>
          <w:rFonts w:hint="eastAsia"/>
          <w:b/>
          <w:snapToGrid w:val="0"/>
          <w:u w:val="single"/>
        </w:rPr>
        <w:t>使用说明</w:t>
      </w:r>
    </w:p>
    <w:p w14:paraId="6EC4BA42">
      <w:pPr>
        <w:spacing w:before="195"/>
        <w:rPr>
          <w:snapToGrid w:val="0"/>
        </w:rPr>
      </w:pPr>
      <w:r>
        <w:rPr>
          <w:rFonts w:hint="eastAsia"/>
          <w:snapToGrid w:val="0"/>
        </w:rPr>
        <w:t>贵公司应当包含</w:t>
      </w:r>
      <w:r>
        <w:rPr>
          <w:snapToGrid w:val="0"/>
        </w:rPr>
        <w:t>清晰</w:t>
      </w:r>
      <w:r>
        <w:rPr>
          <w:rFonts w:hint="eastAsia"/>
          <w:snapToGrid w:val="0"/>
        </w:rPr>
        <w:t>和</w:t>
      </w:r>
      <w:r>
        <w:rPr>
          <w:snapToGrid w:val="0"/>
        </w:rPr>
        <w:t>简洁的</w:t>
      </w:r>
      <w:r>
        <w:rPr>
          <w:rFonts w:hint="eastAsia"/>
          <w:snapToGrid w:val="0"/>
        </w:rPr>
        <w:t>使用</w:t>
      </w:r>
      <w:r>
        <w:rPr>
          <w:snapToGrid w:val="0"/>
        </w:rPr>
        <w:t>说明书，用于</w:t>
      </w:r>
      <w:r>
        <w:rPr>
          <w:rFonts w:hint="eastAsia"/>
          <w:snapToGrid w:val="0"/>
        </w:rPr>
        <w:t>说明</w:t>
      </w:r>
      <w:r>
        <w:rPr>
          <w:snapToGrid w:val="0"/>
        </w:rPr>
        <w:t>特定器械的技术特征和患者使用器械</w:t>
      </w:r>
      <w:r>
        <w:rPr>
          <w:rFonts w:hint="eastAsia"/>
          <w:snapToGrid w:val="0"/>
        </w:rPr>
        <w:t>的方法</w:t>
      </w:r>
      <w:r>
        <w:rPr>
          <w:snapToGrid w:val="0"/>
        </w:rPr>
        <w:t>。</w:t>
      </w:r>
    </w:p>
    <w:p w14:paraId="567E53A4">
      <w:pPr>
        <w:spacing w:before="195"/>
        <w:rPr>
          <w:b/>
          <w:snapToGrid w:val="0"/>
          <w:u w:val="single"/>
        </w:rPr>
      </w:pPr>
      <w:r>
        <w:rPr>
          <w:rFonts w:hint="eastAsia"/>
          <w:b/>
          <w:snapToGrid w:val="0"/>
          <w:u w:val="single"/>
        </w:rPr>
        <w:t>样品收集和患者准备</w:t>
      </w:r>
    </w:p>
    <w:p w14:paraId="22931B7D">
      <w:pPr>
        <w:spacing w:before="195"/>
        <w:rPr>
          <w:snapToGrid w:val="0"/>
          <w:shd w:val="clear" w:color="auto" w:fill="FFFFFF"/>
        </w:rPr>
      </w:pPr>
      <w:r>
        <w:rPr>
          <w:rFonts w:hint="eastAsia"/>
          <w:snapToGrid w:val="0"/>
          <w:shd w:val="clear" w:color="auto" w:fill="FFFFFF"/>
        </w:rPr>
        <w:t>以下清单描述了贵公司应当在标签中提供的信息类型：</w:t>
      </w:r>
    </w:p>
    <w:p w14:paraId="604D4FDC">
      <w:pPr>
        <w:pStyle w:val="42"/>
        <w:numPr>
          <w:ilvl w:val="0"/>
          <w:numId w:val="5"/>
        </w:numPr>
        <w:spacing w:before="195"/>
        <w:ind w:left="900" w:leftChars="200" w:hangingChars="175"/>
        <w:rPr>
          <w:snapToGrid w:val="0"/>
          <w:shd w:val="clear" w:color="auto" w:fill="FFFFFF"/>
        </w:rPr>
      </w:pPr>
      <w:r>
        <w:rPr>
          <w:rFonts w:hint="eastAsia"/>
          <w:snapToGrid w:val="0"/>
          <w:shd w:val="clear" w:color="auto" w:fill="FFFFFF"/>
        </w:rPr>
        <w:t>有关</w:t>
      </w:r>
      <w:r>
        <w:rPr>
          <w:snapToGrid w:val="0"/>
          <w:shd w:val="clear" w:color="auto" w:fill="FFFFFF"/>
        </w:rPr>
        <w:t>样本收集的</w:t>
      </w:r>
      <w:r>
        <w:rPr>
          <w:rFonts w:hint="eastAsia"/>
          <w:snapToGrid w:val="0"/>
          <w:shd w:val="clear" w:color="auto" w:fill="FFFFFF"/>
        </w:rPr>
        <w:t>说明</w:t>
      </w:r>
      <w:r>
        <w:rPr>
          <w:snapToGrid w:val="0"/>
          <w:shd w:val="clear" w:color="auto" w:fill="FFFFFF"/>
        </w:rPr>
        <w:t>，例如粪便样本可从抽水马桶收集在一个清洁的杯子、收集纸、卫生纸内。</w:t>
      </w:r>
    </w:p>
    <w:p w14:paraId="0736C254">
      <w:pPr>
        <w:pStyle w:val="42"/>
        <w:numPr>
          <w:ilvl w:val="0"/>
          <w:numId w:val="5"/>
        </w:numPr>
        <w:spacing w:before="195"/>
        <w:ind w:left="900" w:leftChars="200" w:hangingChars="175"/>
        <w:rPr>
          <w:snapToGrid w:val="0"/>
          <w:shd w:val="clear" w:color="auto" w:fill="FFFFFF"/>
        </w:rPr>
      </w:pPr>
      <w:r>
        <w:rPr>
          <w:snapToGrid w:val="0"/>
          <w:shd w:val="clear" w:color="auto" w:fill="FFFFFF"/>
        </w:rPr>
        <w:t>关于取样</w:t>
      </w:r>
      <w:r>
        <w:rPr>
          <w:rFonts w:hint="eastAsia"/>
          <w:snapToGrid w:val="0"/>
          <w:shd w:val="clear" w:color="auto" w:fill="FFFFFF"/>
        </w:rPr>
        <w:t>次数</w:t>
      </w:r>
      <w:r>
        <w:rPr>
          <w:snapToGrid w:val="0"/>
          <w:shd w:val="clear" w:color="auto" w:fill="FFFFFF"/>
        </w:rPr>
        <w:t>的说明，例如，</w:t>
      </w:r>
      <w:r>
        <w:rPr>
          <w:rFonts w:asciiTheme="minorEastAsia" w:hAnsiTheme="minorEastAsia" w:eastAsiaTheme="minorEastAsia"/>
          <w:snapToGrid w:val="0"/>
          <w:shd w:val="clear" w:color="auto" w:fill="FFFFFF"/>
        </w:rPr>
        <w:t>“</w:t>
      </w:r>
      <w:r>
        <w:rPr>
          <w:snapToGrid w:val="0"/>
          <w:shd w:val="clear" w:color="auto" w:fill="FFFFFF"/>
        </w:rPr>
        <w:t>随机将涂抹棒插入粪便样品两次”。还提供</w:t>
      </w:r>
      <w:r>
        <w:rPr>
          <w:rFonts w:hint="eastAsia"/>
          <w:snapToGrid w:val="0"/>
          <w:shd w:val="clear" w:color="auto" w:fill="FFFFFF"/>
        </w:rPr>
        <w:t>所需</w:t>
      </w:r>
      <w:r>
        <w:rPr>
          <w:snapToGrid w:val="0"/>
          <w:shd w:val="clear" w:color="auto" w:fill="FFFFFF"/>
        </w:rPr>
        <w:t>样品</w:t>
      </w:r>
      <w:r>
        <w:rPr>
          <w:rFonts w:hint="eastAsia"/>
          <w:snapToGrid w:val="0"/>
          <w:shd w:val="clear" w:color="auto" w:fill="FFFFFF"/>
        </w:rPr>
        <w:t>数量</w:t>
      </w:r>
      <w:r>
        <w:rPr>
          <w:snapToGrid w:val="0"/>
          <w:shd w:val="clear" w:color="auto" w:fill="FFFFFF"/>
        </w:rPr>
        <w:t>的</w:t>
      </w:r>
      <w:r>
        <w:rPr>
          <w:rFonts w:hint="eastAsia"/>
          <w:snapToGrid w:val="0"/>
          <w:shd w:val="clear" w:color="auto" w:fill="FFFFFF"/>
        </w:rPr>
        <w:t>说明</w:t>
      </w:r>
      <w:r>
        <w:rPr>
          <w:snapToGrid w:val="0"/>
          <w:shd w:val="clear" w:color="auto" w:fill="FFFFFF"/>
        </w:rPr>
        <w:t>，例如</w:t>
      </w:r>
      <w:r>
        <w:rPr>
          <w:rFonts w:asciiTheme="minorEastAsia" w:hAnsiTheme="minorEastAsia" w:eastAsiaTheme="minorEastAsia"/>
          <w:snapToGrid w:val="0"/>
          <w:shd w:val="clear" w:color="auto" w:fill="FFFFFF"/>
        </w:rPr>
        <w:t>“</w:t>
      </w:r>
      <w:r>
        <w:rPr>
          <w:snapToGrid w:val="0"/>
          <w:shd w:val="clear" w:color="auto" w:fill="FFFFFF"/>
        </w:rPr>
        <w:t>薄涂</w:t>
      </w:r>
      <w:r>
        <w:rPr>
          <w:rFonts w:hint="eastAsia"/>
          <w:snapToGrid w:val="0"/>
          <w:shd w:val="clear" w:color="auto" w:fill="FFFFFF"/>
        </w:rPr>
        <w:t>血</w:t>
      </w:r>
      <w:r>
        <w:rPr>
          <w:snapToGrid w:val="0"/>
          <w:shd w:val="clear" w:color="auto" w:fill="FFFFFF"/>
        </w:rPr>
        <w:t>片应当应用于两个愈创木脂</w:t>
      </w:r>
      <w:bookmarkStart w:id="39" w:name="OLE_LINK27"/>
      <w:bookmarkStart w:id="40" w:name="OLE_LINK28"/>
      <w:r>
        <w:rPr>
          <w:snapToGrid w:val="0"/>
          <w:shd w:val="clear" w:color="auto" w:fill="FFFFFF"/>
        </w:rPr>
        <w:t>窗口</w:t>
      </w:r>
      <w:bookmarkEnd w:id="39"/>
      <w:bookmarkEnd w:id="40"/>
      <w:r>
        <w:rPr>
          <w:rFonts w:hint="eastAsia"/>
          <w:snapToGrid w:val="0"/>
          <w:shd w:val="clear" w:color="auto" w:fill="FFFFFF"/>
        </w:rPr>
        <w:t>的每一个</w:t>
      </w:r>
      <w:r>
        <w:rPr>
          <w:snapToGrid w:val="0"/>
          <w:shd w:val="clear" w:color="auto" w:fill="FFFFFF"/>
        </w:rPr>
        <w:t>窗口”。</w:t>
      </w:r>
    </w:p>
    <w:p w14:paraId="41396569">
      <w:pPr>
        <w:pStyle w:val="42"/>
        <w:numPr>
          <w:ilvl w:val="0"/>
          <w:numId w:val="5"/>
        </w:numPr>
        <w:spacing w:before="195"/>
        <w:ind w:left="900" w:leftChars="200" w:hangingChars="175"/>
        <w:rPr>
          <w:snapToGrid w:val="0"/>
          <w:shd w:val="clear" w:color="auto" w:fill="FFFFFF"/>
        </w:rPr>
      </w:pPr>
      <w:r>
        <w:rPr>
          <w:snapToGrid w:val="0"/>
          <w:shd w:val="clear" w:color="auto" w:fill="FFFFFF"/>
        </w:rPr>
        <w:t>关于应执行测试</w:t>
      </w:r>
      <w:r>
        <w:rPr>
          <w:rFonts w:hint="eastAsia"/>
          <w:snapToGrid w:val="0"/>
          <w:shd w:val="clear" w:color="auto" w:fill="FFFFFF"/>
        </w:rPr>
        <w:t>次数</w:t>
      </w:r>
      <w:r>
        <w:rPr>
          <w:snapToGrid w:val="0"/>
          <w:shd w:val="clear" w:color="auto" w:fill="FFFFFF"/>
        </w:rPr>
        <w:t>的信息。美国癌症协会建议在家中从3个连续样本中</w:t>
      </w:r>
      <w:r>
        <w:rPr>
          <w:rFonts w:hint="eastAsia"/>
          <w:snapToGrid w:val="0"/>
          <w:shd w:val="clear" w:color="auto" w:fill="FFFFFF"/>
        </w:rPr>
        <w:t>各</w:t>
      </w:r>
      <w:r>
        <w:rPr>
          <w:snapToGrid w:val="0"/>
          <w:shd w:val="clear" w:color="auto" w:fill="FFFFFF"/>
        </w:rPr>
        <w:t>收集2个样品，总共收集6个样品（参考1）。</w:t>
      </w:r>
    </w:p>
    <w:p w14:paraId="365C6D7C">
      <w:pPr>
        <w:pStyle w:val="42"/>
        <w:numPr>
          <w:ilvl w:val="0"/>
          <w:numId w:val="5"/>
        </w:numPr>
        <w:spacing w:before="195"/>
        <w:ind w:left="900" w:leftChars="200" w:hangingChars="175"/>
        <w:rPr>
          <w:snapToGrid w:val="0"/>
          <w:shd w:val="clear" w:color="auto" w:fill="FFFFFF"/>
        </w:rPr>
      </w:pPr>
      <w:r>
        <w:rPr>
          <w:snapToGrid w:val="0"/>
          <w:shd w:val="clear" w:color="auto" w:fill="FFFFFF"/>
        </w:rPr>
        <w:t>酌情进行特殊的饮食注意事项。例如，</w:t>
      </w:r>
      <w:r>
        <w:rPr>
          <w:rFonts w:hint="eastAsia"/>
          <w:snapToGrid w:val="0"/>
          <w:shd w:val="clear" w:color="auto" w:fill="FFFFFF"/>
        </w:rPr>
        <w:t>“</w:t>
      </w:r>
      <w:r>
        <w:rPr>
          <w:snapToGrid w:val="0"/>
          <w:shd w:val="clear" w:color="auto" w:fill="FFFFFF"/>
        </w:rPr>
        <w:t>所有生肉或红肉，以及含有高过氧化酶的水果和蔬菜，可引起假阳性结果。因此，在开始进行测试前3天和整个测试</w:t>
      </w:r>
      <w:r>
        <w:rPr>
          <w:rFonts w:hint="eastAsia"/>
          <w:snapToGrid w:val="0"/>
          <w:shd w:val="clear" w:color="auto" w:fill="FFFFFF"/>
        </w:rPr>
        <w:t>持续</w:t>
      </w:r>
      <w:r>
        <w:rPr>
          <w:snapToGrid w:val="0"/>
          <w:shd w:val="clear" w:color="auto" w:fill="FFFFFF"/>
        </w:rPr>
        <w:t>期间，患者应当避免食用所有生肉或罕见的红肉、辣根，生水果和蔬菜、西兰花、菜花、萝卜、香瓜、萝卜和大头菜或其他含有高过氧化酶的蔬菜。建议病人食用高残留饮食（高纤维、高体积），因为</w:t>
      </w:r>
      <w:r>
        <w:rPr>
          <w:rFonts w:hint="eastAsia"/>
          <w:snapToGrid w:val="0"/>
          <w:shd w:val="clear" w:color="auto" w:fill="FFFFFF"/>
        </w:rPr>
        <w:t>其</w:t>
      </w:r>
      <w:r>
        <w:rPr>
          <w:snapToGrid w:val="0"/>
          <w:shd w:val="clear" w:color="auto" w:fill="FFFFFF"/>
        </w:rPr>
        <w:t>有助于发现可能会间歇性地流血的病灶，同时也会增加获得较软粪便的可能性，从而更容易获得样品。可接受的饮食可能包括煮熟的水果和蔬菜，如菠菜和玉米、生菜、李子、葡萄、苹果。谷物和煮熟的鱼和家禽也可以接受。这些饮食措施有助于提高检测结果的准确度</w:t>
      </w:r>
      <w:r>
        <w:rPr>
          <w:rFonts w:hint="eastAsia"/>
          <w:snapToGrid w:val="0"/>
          <w:shd w:val="clear" w:color="auto" w:fill="FFFFFF"/>
        </w:rPr>
        <w:t>”</w:t>
      </w:r>
      <w:r>
        <w:rPr>
          <w:snapToGrid w:val="0"/>
          <w:shd w:val="clear" w:color="auto" w:fill="FFFFFF"/>
        </w:rPr>
        <w:t>。</w:t>
      </w:r>
    </w:p>
    <w:p w14:paraId="39333AA1">
      <w:pPr>
        <w:pStyle w:val="42"/>
        <w:numPr>
          <w:ilvl w:val="0"/>
          <w:numId w:val="5"/>
        </w:numPr>
        <w:spacing w:before="195"/>
        <w:ind w:left="900" w:leftChars="200" w:hangingChars="175"/>
        <w:rPr>
          <w:snapToGrid w:val="0"/>
          <w:shd w:val="clear" w:color="auto" w:fill="FFFFFF"/>
        </w:rPr>
      </w:pPr>
      <w:r>
        <w:rPr>
          <w:snapToGrid w:val="0"/>
          <w:shd w:val="clear" w:color="auto" w:fill="FFFFFF"/>
        </w:rPr>
        <w:t>避免因身体状况干扰测试而造成错误结果的说明。例如，</w:t>
      </w:r>
      <w:r>
        <w:rPr>
          <w:rFonts w:hint="eastAsia"/>
          <w:snapToGrid w:val="0"/>
          <w:shd w:val="clear" w:color="auto" w:fill="FFFFFF"/>
        </w:rPr>
        <w:t>“</w:t>
      </w:r>
      <w:r>
        <w:rPr>
          <w:snapToGrid w:val="0"/>
          <w:shd w:val="clear" w:color="auto" w:fill="FFFFFF"/>
        </w:rPr>
        <w:t>患者痔疮出血或便秘、手被割破或月经周期刚结束时不应采集标本。手和检测区域应当保持清洁，避免占有血迹，以免造成假阳性结果。</w:t>
      </w:r>
      <w:r>
        <w:rPr>
          <w:rFonts w:hint="eastAsia"/>
          <w:snapToGrid w:val="0"/>
          <w:shd w:val="clear" w:color="auto" w:fill="FFFFFF"/>
        </w:rPr>
        <w:t>”</w:t>
      </w:r>
    </w:p>
    <w:p w14:paraId="7E6D4F98">
      <w:pPr>
        <w:pStyle w:val="42"/>
        <w:numPr>
          <w:ilvl w:val="0"/>
          <w:numId w:val="5"/>
        </w:numPr>
        <w:spacing w:before="195"/>
        <w:ind w:left="900" w:leftChars="200" w:hangingChars="175"/>
        <w:rPr>
          <w:snapToGrid w:val="0"/>
          <w:shd w:val="clear" w:color="auto" w:fill="FFFFFF"/>
        </w:rPr>
      </w:pPr>
      <w:r>
        <w:rPr>
          <w:rFonts w:hint="eastAsia"/>
          <w:snapToGrid w:val="0"/>
          <w:shd w:val="clear" w:color="auto" w:fill="FFFFFF"/>
        </w:rPr>
        <w:t>指明</w:t>
      </w:r>
      <w:r>
        <w:rPr>
          <w:snapToGrid w:val="0"/>
          <w:shd w:val="clear" w:color="auto" w:fill="FFFFFF"/>
        </w:rPr>
        <w:t>患者在进行测试前7天，避免干扰物质如非甾体药物，例如，布洛芬，萘普生和阿司匹林（每天超过一片成人阿司匹林），进行测试前3天，避免摄入超过250mg剂量的维生素C</w:t>
      </w:r>
      <w:r>
        <w:rPr>
          <w:rFonts w:hint="eastAsia"/>
          <w:snapToGrid w:val="0"/>
          <w:shd w:val="clear" w:color="auto" w:fill="FFFFFF"/>
        </w:rPr>
        <w:t>，</w:t>
      </w:r>
      <w:r>
        <w:rPr>
          <w:snapToGrid w:val="0"/>
          <w:shd w:val="clear" w:color="auto" w:fill="FFFFFF"/>
        </w:rPr>
        <w:t>包括来自补充剂或柑橘类水果和果汁的维生素C（参考文献1）。</w:t>
      </w:r>
    </w:p>
    <w:p w14:paraId="78AB3666">
      <w:pPr>
        <w:pStyle w:val="42"/>
        <w:numPr>
          <w:ilvl w:val="0"/>
          <w:numId w:val="5"/>
        </w:numPr>
        <w:spacing w:before="195"/>
        <w:ind w:left="900" w:leftChars="200" w:hangingChars="175"/>
        <w:rPr>
          <w:snapToGrid w:val="0"/>
          <w:shd w:val="clear" w:color="auto" w:fill="FFFFFF"/>
        </w:rPr>
      </w:pPr>
      <w:r>
        <w:rPr>
          <w:snapToGrid w:val="0"/>
          <w:shd w:val="clear" w:color="auto" w:fill="FFFFFF"/>
        </w:rPr>
        <w:t>关于样本稳定性的说明，包括存储、处理或保护和维护样本的装运指导。例如，</w:t>
      </w:r>
      <w:r>
        <w:rPr>
          <w:rFonts w:hint="eastAsia"/>
          <w:snapToGrid w:val="0"/>
          <w:shd w:val="clear" w:color="auto" w:fill="FFFFFF"/>
        </w:rPr>
        <w:t>“</w:t>
      </w:r>
      <w:r>
        <w:rPr>
          <w:snapToGrid w:val="0"/>
          <w:shd w:val="clear" w:color="auto" w:fill="FFFFFF"/>
        </w:rPr>
        <w:t>由患者制备的愈创木脂载玻片应当在显影前使其晾干。从完成制备和进行测试之间的时间间隔不得超过4至6天。应当指导患者尽快将所有载玻片返回至医生或实验室。含有样品的存储垫应防止过热、</w:t>
      </w:r>
      <w:r>
        <w:rPr>
          <w:rFonts w:hint="eastAsia"/>
          <w:snapToGrid w:val="0"/>
          <w:shd w:val="clear" w:color="auto" w:fill="FFFFFF"/>
        </w:rPr>
        <w:t>避免</w:t>
      </w:r>
      <w:r>
        <w:rPr>
          <w:snapToGrid w:val="0"/>
          <w:shd w:val="clear" w:color="auto" w:fill="FFFFFF"/>
        </w:rPr>
        <w:t>阳光、荧光灯、挥发性化学品和湿度。</w:t>
      </w:r>
      <w:r>
        <w:rPr>
          <w:rFonts w:hint="eastAsia"/>
          <w:snapToGrid w:val="0"/>
          <w:shd w:val="clear" w:color="auto" w:fill="FFFFFF"/>
        </w:rPr>
        <w:t>”</w:t>
      </w:r>
    </w:p>
    <w:p w14:paraId="2D1A000C">
      <w:pPr>
        <w:spacing w:before="195"/>
        <w:rPr>
          <w:b/>
          <w:snapToGrid w:val="0"/>
          <w:u w:val="single"/>
        </w:rPr>
      </w:pPr>
      <w:r>
        <w:rPr>
          <w:rFonts w:hint="eastAsia"/>
          <w:b/>
          <w:snapToGrid w:val="0"/>
          <w:u w:val="single"/>
        </w:rPr>
        <w:t>局限性</w:t>
      </w:r>
    </w:p>
    <w:p w14:paraId="0354ABD6">
      <w:pPr>
        <w:spacing w:before="195"/>
        <w:rPr>
          <w:snapToGrid w:val="0"/>
          <w:shd w:val="clear" w:color="auto" w:fill="FFFFFF"/>
        </w:rPr>
      </w:pPr>
      <w:r>
        <w:rPr>
          <w:snapToGrid w:val="0"/>
          <w:shd w:val="clear" w:color="auto" w:fill="FFFFFF"/>
        </w:rPr>
        <w:t>贵公司应</w:t>
      </w:r>
      <w:r>
        <w:rPr>
          <w:rFonts w:hint="eastAsia"/>
          <w:snapToGrid w:val="0"/>
          <w:shd w:val="clear" w:color="auto" w:fill="FFFFFF"/>
        </w:rPr>
        <w:t>当</w:t>
      </w:r>
      <w:r>
        <w:rPr>
          <w:snapToGrid w:val="0"/>
          <w:shd w:val="clear" w:color="auto" w:fill="FFFFFF"/>
        </w:rPr>
        <w:t>彻底讨论检验的局限性。贵公司应</w:t>
      </w:r>
      <w:r>
        <w:rPr>
          <w:rFonts w:hint="eastAsia"/>
          <w:snapToGrid w:val="0"/>
          <w:shd w:val="clear" w:color="auto" w:fill="FFFFFF"/>
        </w:rPr>
        <w:t>当</w:t>
      </w:r>
      <w:r>
        <w:rPr>
          <w:snapToGrid w:val="0"/>
          <w:shd w:val="clear" w:color="auto" w:fill="FFFFFF"/>
        </w:rPr>
        <w:t>列出重要的检测局限性和所有已知的禁忌，以及在样本收集部分监测到的任何干扰条件。贵公司也应</w:t>
      </w:r>
      <w:r>
        <w:rPr>
          <w:rFonts w:hint="eastAsia"/>
          <w:snapToGrid w:val="0"/>
          <w:shd w:val="clear" w:color="auto" w:fill="FFFFFF"/>
        </w:rPr>
        <w:t>当</w:t>
      </w:r>
      <w:r>
        <w:rPr>
          <w:snapToGrid w:val="0"/>
          <w:shd w:val="clear" w:color="auto" w:fill="FFFFFF"/>
        </w:rPr>
        <w:t>讨论任何推荐的做法或</w:t>
      </w:r>
      <w:r>
        <w:rPr>
          <w:rFonts w:hint="eastAsia"/>
          <w:snapToGrid w:val="0"/>
          <w:shd w:val="clear" w:color="auto" w:fill="FFFFFF"/>
        </w:rPr>
        <w:t>关于</w:t>
      </w:r>
      <w:r>
        <w:rPr>
          <w:snapToGrid w:val="0"/>
          <w:shd w:val="clear" w:color="auto" w:fill="FFFFFF"/>
        </w:rPr>
        <w:t>其他有关FOB检测预期用途局限性的专家建议。此类局限性的示例如下所列：</w:t>
      </w:r>
    </w:p>
    <w:p w14:paraId="38EE749A">
      <w:pPr>
        <w:pStyle w:val="42"/>
        <w:numPr>
          <w:ilvl w:val="0"/>
          <w:numId w:val="5"/>
        </w:numPr>
        <w:spacing w:before="195"/>
        <w:ind w:left="900" w:leftChars="200" w:hangingChars="175"/>
        <w:rPr>
          <w:snapToGrid w:val="0"/>
          <w:shd w:val="clear" w:color="auto" w:fill="FFFFFF"/>
        </w:rPr>
      </w:pPr>
      <w:r>
        <w:rPr>
          <w:rFonts w:hint="eastAsia"/>
          <w:snapToGrid w:val="0"/>
          <w:shd w:val="clear" w:color="auto" w:fill="FFFFFF"/>
        </w:rPr>
        <w:t>结果并非是存在或不存在</w:t>
      </w:r>
      <w:r>
        <w:rPr>
          <w:snapToGrid w:val="0"/>
          <w:shd w:val="clear" w:color="auto" w:fill="FFFFFF"/>
        </w:rPr>
        <w:t>胃肠</w:t>
      </w:r>
      <w:r>
        <w:rPr>
          <w:rFonts w:hint="eastAsia"/>
          <w:snapToGrid w:val="0"/>
          <w:shd w:val="clear" w:color="auto" w:fill="FFFFFF"/>
        </w:rPr>
        <w:t>道</w:t>
      </w:r>
      <w:r>
        <w:rPr>
          <w:snapToGrid w:val="0"/>
          <w:shd w:val="clear" w:color="auto" w:fill="FFFFFF"/>
        </w:rPr>
        <w:t>出血或病理</w:t>
      </w:r>
      <w:r>
        <w:rPr>
          <w:rFonts w:hint="eastAsia"/>
          <w:snapToGrid w:val="0"/>
          <w:shd w:val="clear" w:color="auto" w:fill="FFFFFF"/>
        </w:rPr>
        <w:t>学的确凿证据</w:t>
      </w:r>
      <w:r>
        <w:rPr>
          <w:snapToGrid w:val="0"/>
          <w:shd w:val="clear" w:color="auto" w:fill="FFFFFF"/>
        </w:rPr>
        <w:t>。</w:t>
      </w:r>
    </w:p>
    <w:p w14:paraId="54E7BA9B">
      <w:pPr>
        <w:pStyle w:val="42"/>
        <w:numPr>
          <w:ilvl w:val="0"/>
          <w:numId w:val="5"/>
        </w:numPr>
        <w:spacing w:before="195"/>
        <w:ind w:left="900" w:leftChars="200" w:hangingChars="175"/>
        <w:rPr>
          <w:snapToGrid w:val="0"/>
          <w:shd w:val="clear" w:color="auto" w:fill="FFFFFF"/>
        </w:rPr>
      </w:pPr>
      <w:r>
        <w:rPr>
          <w:snapToGrid w:val="0"/>
          <w:shd w:val="clear" w:color="auto" w:fill="FFFFFF"/>
        </w:rPr>
        <w:t>检测结果只能被视为初步筛选或作为诊断的辅助手段，其目的不是取代其他诊断程序，如结肠镜检查</w:t>
      </w:r>
      <w:r>
        <w:rPr>
          <w:rFonts w:hint="eastAsia"/>
          <w:snapToGrid w:val="0"/>
          <w:shd w:val="clear" w:color="auto" w:fill="FFFFFF"/>
        </w:rPr>
        <w:t>、</w:t>
      </w:r>
      <w:r>
        <w:rPr>
          <w:snapToGrid w:val="0"/>
          <w:shd w:val="clear" w:color="auto" w:fill="FFFFFF"/>
        </w:rPr>
        <w:t>乙状结肠镜检查</w:t>
      </w:r>
      <w:r>
        <w:rPr>
          <w:rFonts w:hint="eastAsia"/>
          <w:snapToGrid w:val="0"/>
          <w:shd w:val="clear" w:color="auto" w:fill="FFFFFF"/>
        </w:rPr>
        <w:t>、</w:t>
      </w:r>
      <w:r>
        <w:rPr>
          <w:snapToGrid w:val="0"/>
          <w:shd w:val="clear" w:color="auto" w:fill="FFFFFF"/>
        </w:rPr>
        <w:t>或其他的X射线研究。</w:t>
      </w:r>
    </w:p>
    <w:p w14:paraId="3D205E73">
      <w:pPr>
        <w:pStyle w:val="42"/>
        <w:numPr>
          <w:ilvl w:val="0"/>
          <w:numId w:val="5"/>
        </w:numPr>
        <w:spacing w:before="195"/>
        <w:ind w:left="900" w:leftChars="200" w:hangingChars="175"/>
        <w:rPr>
          <w:snapToGrid w:val="0"/>
          <w:shd w:val="clear" w:color="auto" w:fill="FFFFFF"/>
        </w:rPr>
      </w:pPr>
      <w:r>
        <w:rPr>
          <w:snapToGrid w:val="0"/>
          <w:shd w:val="clear" w:color="auto" w:fill="FFFFFF"/>
        </w:rPr>
        <w:t>因为胃肠道病变可能间歇性出血，粪便中的血不均匀分布，阴性检测结果不能保证不存在病变。</w:t>
      </w:r>
    </w:p>
    <w:p w14:paraId="1750C784">
      <w:pPr>
        <w:pStyle w:val="42"/>
        <w:numPr>
          <w:ilvl w:val="0"/>
          <w:numId w:val="5"/>
        </w:numPr>
        <w:spacing w:before="195"/>
        <w:ind w:left="900" w:leftChars="200" w:hangingChars="175"/>
        <w:rPr>
          <w:snapToGrid w:val="0"/>
          <w:shd w:val="clear" w:color="auto" w:fill="FFFFFF"/>
        </w:rPr>
      </w:pPr>
      <w:r>
        <w:rPr>
          <w:rFonts w:hint="eastAsia"/>
          <w:snapToGrid w:val="0"/>
          <w:shd w:val="clear" w:color="auto" w:fill="FFFFFF"/>
        </w:rPr>
        <w:t>任何阳性结果应当进行进一步的研究，从而确定出血来源。</w:t>
      </w:r>
    </w:p>
    <w:p w14:paraId="54317F19">
      <w:pPr>
        <w:pStyle w:val="42"/>
        <w:numPr>
          <w:ilvl w:val="0"/>
          <w:numId w:val="5"/>
        </w:numPr>
        <w:spacing w:before="195"/>
        <w:ind w:left="900" w:leftChars="200" w:hangingChars="175"/>
        <w:rPr>
          <w:snapToGrid w:val="0"/>
          <w:shd w:val="clear" w:color="auto" w:fill="FFFFFF"/>
        </w:rPr>
      </w:pPr>
      <w:r>
        <w:rPr>
          <w:snapToGrid w:val="0"/>
          <w:shd w:val="clear" w:color="auto" w:fill="FFFFFF"/>
        </w:rPr>
        <w:t>愈创木脂检测</w:t>
      </w:r>
      <w:r>
        <w:rPr>
          <w:rFonts w:hint="eastAsia"/>
          <w:snapToGrid w:val="0"/>
          <w:shd w:val="clear" w:color="auto" w:fill="FFFFFF"/>
        </w:rPr>
        <w:t>不应在显影前进行再水合，因为这样会导致过多的假阳性结果。</w:t>
      </w:r>
    </w:p>
    <w:p w14:paraId="7DA1B67E">
      <w:pPr>
        <w:pStyle w:val="42"/>
        <w:numPr>
          <w:ilvl w:val="0"/>
          <w:numId w:val="5"/>
        </w:numPr>
        <w:spacing w:before="195"/>
        <w:ind w:left="900" w:leftChars="200" w:hangingChars="175"/>
        <w:rPr>
          <w:snapToGrid w:val="0"/>
          <w:shd w:val="clear" w:color="auto" w:fill="FFFFFF"/>
        </w:rPr>
      </w:pPr>
      <w:r>
        <w:rPr>
          <w:rFonts w:hint="eastAsia"/>
          <w:snapToGrid w:val="0"/>
          <w:shd w:val="clear" w:color="auto" w:fill="FFFFFF"/>
        </w:rPr>
        <w:t>推荐在家中采用从3份连续粪便中</w:t>
      </w:r>
      <w:bookmarkStart w:id="41" w:name="OLE_LINK29"/>
      <w:bookmarkStart w:id="42" w:name="OLE_LINK30"/>
      <w:r>
        <w:rPr>
          <w:rFonts w:hint="eastAsia"/>
          <w:snapToGrid w:val="0"/>
          <w:shd w:val="clear" w:color="auto" w:fill="FFFFFF"/>
        </w:rPr>
        <w:t>各收</w:t>
      </w:r>
      <w:bookmarkEnd w:id="41"/>
      <w:bookmarkEnd w:id="42"/>
      <w:r>
        <w:rPr>
          <w:rFonts w:hint="eastAsia"/>
          <w:snapToGrid w:val="0"/>
          <w:shd w:val="clear" w:color="auto" w:fill="FFFFFF"/>
        </w:rPr>
        <w:t>集和检测2个样品（共6个样品）的方案。</w:t>
      </w:r>
    </w:p>
    <w:p w14:paraId="237840D3">
      <w:pPr>
        <w:pStyle w:val="42"/>
        <w:numPr>
          <w:ilvl w:val="0"/>
          <w:numId w:val="5"/>
        </w:numPr>
        <w:spacing w:before="195"/>
        <w:ind w:left="900" w:leftChars="200" w:hangingChars="175"/>
        <w:rPr>
          <w:snapToGrid w:val="0"/>
          <w:shd w:val="clear" w:color="auto" w:fill="FFFFFF"/>
        </w:rPr>
      </w:pPr>
      <w:r>
        <w:rPr>
          <w:rFonts w:hint="eastAsia"/>
          <w:snapToGrid w:val="0"/>
          <w:shd w:val="clear" w:color="auto" w:fill="FFFFFF"/>
        </w:rPr>
        <w:t>对于具有平均风险的年龄大于等于50岁女性和男性，美国癌症协会（2001年）推荐每年进行FOB检测。然而，对于具有显著风险因子的患者，如具有结肠癌家族史的患者，应当更早和更频繁的进行筛查。</w:t>
      </w:r>
    </w:p>
    <w:p w14:paraId="1C1A26EA">
      <w:pPr>
        <w:spacing w:before="195"/>
        <w:rPr>
          <w:b/>
          <w:snapToGrid w:val="0"/>
          <w:u w:val="single"/>
        </w:rPr>
      </w:pPr>
      <w:r>
        <w:rPr>
          <w:rFonts w:hint="eastAsia"/>
          <w:b/>
          <w:snapToGrid w:val="0"/>
          <w:u w:val="single"/>
        </w:rPr>
        <w:t>结果的解释</w:t>
      </w:r>
    </w:p>
    <w:p w14:paraId="62D6F121">
      <w:pPr>
        <w:spacing w:before="195"/>
        <w:rPr>
          <w:snapToGrid w:val="0"/>
        </w:rPr>
      </w:pPr>
      <w:r>
        <w:rPr>
          <w:rFonts w:hint="eastAsia"/>
          <w:snapToGrid w:val="0"/>
        </w:rPr>
        <w:t>贵公司应当解释如何来解析阳性和阴性检测结果，包括其临床显著性。贵公司应当提供读取检测结果的指导，例如，</w:t>
      </w:r>
      <w:r>
        <w:rPr>
          <w:rFonts w:hint="eastAsia" w:asciiTheme="minorEastAsia" w:hAnsiTheme="minorEastAsia" w:eastAsiaTheme="minorEastAsia"/>
          <w:snapToGrid w:val="0"/>
        </w:rPr>
        <w:t>“</w:t>
      </w:r>
      <w:r>
        <w:rPr>
          <w:rFonts w:hint="eastAsia"/>
          <w:snapToGrid w:val="0"/>
        </w:rPr>
        <w:t>在5至10分钟内读取检测结果。禁止在10分钟后读取检测结果。”</w:t>
      </w:r>
    </w:p>
    <w:p w14:paraId="75A7EC61">
      <w:pPr>
        <w:spacing w:before="195"/>
        <w:rPr>
          <w:b/>
          <w:snapToGrid w:val="0"/>
          <w:u w:val="single"/>
        </w:rPr>
      </w:pPr>
      <w:r>
        <w:rPr>
          <w:rFonts w:hint="eastAsia"/>
          <w:b/>
          <w:snapToGrid w:val="0"/>
          <w:u w:val="single"/>
        </w:rPr>
        <w:t>质量控制</w:t>
      </w:r>
    </w:p>
    <w:p w14:paraId="2E91F22C">
      <w:pPr>
        <w:spacing w:before="195"/>
        <w:rPr>
          <w:snapToGrid w:val="0"/>
        </w:rPr>
      </w:pPr>
      <w:r>
        <w:rPr>
          <w:rFonts w:hint="eastAsia"/>
          <w:snapToGrid w:val="0"/>
        </w:rPr>
        <w:t>贵公司应当提供关于控件（性能监测器）结果解释的指导。提供声明，即如果控件未按预期执行功能，则检测结果无效。</w:t>
      </w:r>
    </w:p>
    <w:p w14:paraId="6C6F85D1">
      <w:pPr>
        <w:spacing w:before="195"/>
        <w:rPr>
          <w:b/>
          <w:snapToGrid w:val="0"/>
          <w:color w:val="000000" w:themeColor="text1"/>
          <w:shd w:val="clear" w:color="auto" w:fill="FFFFFF"/>
          <w14:textFill>
            <w14:solidFill>
              <w14:schemeClr w14:val="tx1"/>
            </w14:solidFill>
          </w14:textFill>
        </w:rPr>
      </w:pPr>
      <w:r>
        <w:rPr>
          <w:b/>
          <w:snapToGrid w:val="0"/>
          <w:color w:val="000000" w:themeColor="text1"/>
          <w:shd w:val="clear" w:color="auto" w:fill="FFFFFF"/>
          <w14:textFill>
            <w14:solidFill>
              <w14:schemeClr w14:val="tx1"/>
            </w14:solidFill>
          </w14:textFill>
        </w:rPr>
        <w:t>参考文</w:t>
      </w:r>
      <w:r>
        <w:rPr>
          <w:rFonts w:hint="eastAsia"/>
          <w:b/>
          <w:snapToGrid w:val="0"/>
          <w:color w:val="000000" w:themeColor="text1"/>
          <w:shd w:val="clear" w:color="auto" w:fill="FFFFFF"/>
          <w14:textFill>
            <w14:solidFill>
              <w14:schemeClr w14:val="tx1"/>
            </w14:solidFill>
          </w14:textFill>
        </w:rPr>
        <w:t>件</w:t>
      </w:r>
    </w:p>
    <w:p w14:paraId="2AB81300">
      <w:pPr>
        <w:spacing w:before="195"/>
        <w:rPr>
          <w:snapToGrid w:val="0"/>
          <w:shd w:val="clear" w:color="auto" w:fill="FFFFFF"/>
        </w:rPr>
      </w:pPr>
    </w:p>
    <w:p w14:paraId="36258CB7">
      <w:pPr>
        <w:pStyle w:val="42"/>
        <w:numPr>
          <w:ilvl w:val="0"/>
          <w:numId w:val="6"/>
        </w:numPr>
        <w:spacing w:before="195"/>
        <w:rPr>
          <w:snapToGrid w:val="0"/>
          <w:color w:val="000000" w:themeColor="text1"/>
          <w14:textFill>
            <w14:solidFill>
              <w14:schemeClr w14:val="tx1"/>
            </w14:solidFill>
          </w14:textFill>
        </w:rPr>
      </w:pPr>
      <w:r>
        <w:rPr>
          <w:color w:val="000000" w:themeColor="text1"/>
          <w:lang w:val="en-US" w:bidi="ar-SA"/>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42545</wp:posOffset>
                </wp:positionV>
                <wp:extent cx="1790065" cy="0"/>
                <wp:effectExtent l="0" t="0" r="19685" b="19050"/>
                <wp:wrapNone/>
                <wp:docPr id="1" name="直接连接符 1"/>
                <wp:cNvGraphicFramePr/>
                <a:graphic xmlns:a="http://schemas.openxmlformats.org/drawingml/2006/main">
                  <a:graphicData uri="http://schemas.microsoft.com/office/word/2010/wordprocessingShape">
                    <wps:wsp>
                      <wps:cNvCnPr/>
                      <wps:spPr>
                        <a:xfrm>
                          <a:off x="0" y="0"/>
                          <a:ext cx="17903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35pt;height:0pt;width:140.95pt;z-index:251660288;mso-width-relative:page;mso-height-relative:page;" filled="f" stroked="t" coordsize="21600,21600" o:gfxdata="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lIDFdIAAAAFAQAADwAAAAAAAAABACAAAAAi&#10;AAAAZHJzL2Rvd25yZXYueG1sUEsBAhQAFAAAAAgAh07iQD+dd/jXAQAAmgMAAA4AAAAAAAAAAQAg&#10;AAAAIQEAAGRycy9lMm9Eb2MueG1sUEsFBgAAAAAGAAYAWQEAAGoFAAAAAA==&#10;">
                <v:fill on="f" focussize="0,0"/>
                <v:stroke color="#000000 [3213]" joinstyle="round"/>
                <v:imagedata o:title=""/>
                <o:lock v:ext="edit" aspectratio="f"/>
              </v:line>
            </w:pict>
          </mc:Fallback>
        </mc:AlternateContent>
      </w:r>
      <w:r>
        <w:rPr>
          <w:snapToGrid w:val="0"/>
          <w:color w:val="000000" w:themeColor="text1"/>
          <w:lang w:val="en-US"/>
          <w14:textFill>
            <w14:solidFill>
              <w14:schemeClr w14:val="tx1"/>
            </w14:solidFill>
          </w14:textFill>
        </w:rPr>
        <w:t xml:space="preserve">Smith RA, von Eschenbach AC, Wender R, Levin B, Byers T, Rothberger D, Brooks D, et al. American Cancer Society Guidelines on Screening and Surveillance for the Early Detection of Adenomatous Polyps and Colorectal Cancer. </w:t>
      </w:r>
      <w:r>
        <w:rPr>
          <w:snapToGrid w:val="0"/>
          <w:color w:val="000000" w:themeColor="text1"/>
          <w14:textFill>
            <w14:solidFill>
              <w14:schemeClr w14:val="tx1"/>
            </w14:solidFill>
          </w14:textFill>
        </w:rPr>
        <w:t xml:space="preserve">CA-A Cancer J Clin. 2001; 51: 44-54. </w:t>
      </w:r>
    </w:p>
    <w:p w14:paraId="6A0650D5">
      <w:pPr>
        <w:pStyle w:val="42"/>
        <w:numPr>
          <w:ilvl w:val="0"/>
          <w:numId w:val="6"/>
        </w:numPr>
        <w:spacing w:before="195"/>
        <w:rPr>
          <w:snapToGrid w:val="0"/>
          <w:color w:val="000000" w:themeColor="text1"/>
          <w14:textFill>
            <w14:solidFill>
              <w14:schemeClr w14:val="tx1"/>
            </w14:solidFill>
          </w14:textFill>
        </w:rPr>
      </w:pPr>
      <w:r>
        <w:rPr>
          <w:snapToGrid w:val="0"/>
          <w:color w:val="000000" w:themeColor="text1"/>
          <w:lang w:val="en-US"/>
          <w14:textFill>
            <w14:solidFill>
              <w14:schemeClr w14:val="tx1"/>
            </w14:solidFill>
          </w14:textFill>
        </w:rPr>
        <w:t xml:space="preserve">American College of Physicians. Suggested technique for fecal occult blood testing and interpretation in colorectal cancer screening. </w:t>
      </w:r>
      <w:r>
        <w:rPr>
          <w:snapToGrid w:val="0"/>
          <w:color w:val="000000" w:themeColor="text1"/>
          <w14:textFill>
            <w14:solidFill>
              <w14:schemeClr w14:val="tx1"/>
            </w14:solidFill>
          </w14:textFill>
        </w:rPr>
        <w:t xml:space="preserve">Ann Intern Med 1997; 126: 808-10. </w:t>
      </w:r>
    </w:p>
    <w:p w14:paraId="663B07B3">
      <w:pPr>
        <w:pStyle w:val="42"/>
        <w:numPr>
          <w:ilvl w:val="0"/>
          <w:numId w:val="6"/>
        </w:numPr>
        <w:spacing w:before="195"/>
        <w:rPr>
          <w:snapToGrid w:val="0"/>
          <w:color w:val="000000" w:themeColor="text1"/>
          <w:lang w:val="en-US"/>
          <w14:textFill>
            <w14:solidFill>
              <w14:schemeClr w14:val="tx1"/>
            </w14:solidFill>
          </w14:textFill>
        </w:rPr>
      </w:pPr>
      <w:r>
        <w:rPr>
          <w:snapToGrid w:val="0"/>
          <w:color w:val="000000" w:themeColor="text1"/>
          <w:lang w:val="en-US"/>
          <w14:textFill>
            <w14:solidFill>
              <w14:schemeClr w14:val="tx1"/>
            </w14:solidFill>
          </w14:textFill>
        </w:rPr>
        <w:t>Lang CA, Ransohoff DF. Fecal occult blood screening for colorectal cancer. Is mortality reduced by chance selection for screening colonoscopy? JAMA 1994; 271: 1011-3</w:t>
      </w:r>
    </w:p>
    <w:p w14:paraId="1AAD28D7">
      <w:pPr>
        <w:pBdr>
          <w:bottom w:val="single" w:color="auto" w:sz="4" w:space="1"/>
        </w:pBdr>
        <w:spacing w:before="195"/>
        <w:jc w:val="center"/>
        <w:rPr>
          <w:rFonts w:hint="eastAsia" w:eastAsia="宋体"/>
          <w:lang w:eastAsia="zh-CN"/>
        </w:rPr>
      </w:pPr>
    </w:p>
    <w:p w14:paraId="1781D2D2">
      <w:pPr>
        <w:pBdr>
          <w:bottom w:val="single" w:color="auto" w:sz="4" w:space="1"/>
        </w:pBdr>
        <w:spacing w:before="195"/>
        <w:jc w:val="center"/>
        <w:rPr>
          <w:rFonts w:hint="eastAsia" w:eastAsia="宋体"/>
          <w:lang w:eastAsia="zh-CN"/>
        </w:rPr>
      </w:pPr>
    </w:p>
    <w:p w14:paraId="3227185A">
      <w:pPr>
        <w:pBdr>
          <w:bottom w:val="single" w:color="auto" w:sz="4" w:space="1"/>
        </w:pBdr>
        <w:spacing w:before="195"/>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13"/>
                    <a:stretch>
                      <a:fillRect/>
                    </a:stretch>
                  </pic:blipFill>
                  <pic:spPr>
                    <a:xfrm>
                      <a:off x="0" y="0"/>
                      <a:ext cx="5210175" cy="7343775"/>
                    </a:xfrm>
                    <a:prstGeom prst="rect">
                      <a:avLst/>
                    </a:prstGeom>
                  </pic:spPr>
                </pic:pic>
              </a:graphicData>
            </a:graphic>
          </wp:inline>
        </w:drawing>
      </w:r>
    </w:p>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720" w:footer="720" w:gutter="0"/>
      <w:cols w:space="425"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MS Mincho">
    <w:altName w:val="Kozuka Mincho Pro M"/>
    <w:panose1 w:val="02020609040205080304"/>
    <w:charset w:val="80"/>
    <w:family w:val="roman"/>
    <w:pitch w:val="default"/>
    <w:sig w:usb0="00000000" w:usb1="00000000" w:usb2="00000010" w:usb3="00000000" w:csb0="00020000" w:csb1="00000000"/>
  </w:font>
  <w:font w:name="ＭＳ 明朝">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9DE5D">
    <w:pPr>
      <w:pStyle w:val="13"/>
      <w:spacing w:before="144"/>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15</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11480">
    <w:pPr>
      <w:pStyle w:val="13"/>
      <w:spacing w:before="1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4C517">
    <w:pPr>
      <w:pStyle w:val="13"/>
      <w:spacing w:before="14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312" w:lineRule="auto"/>
      </w:pPr>
      <w:r>
        <w:separator/>
      </w:r>
    </w:p>
  </w:footnote>
  <w:footnote w:type="continuationSeparator" w:id="3">
    <w:p>
      <w:pPr>
        <w:spacing w:before="0" w:after="0" w:line="312" w:lineRule="auto"/>
      </w:pPr>
      <w:r>
        <w:continuationSeparator/>
      </w:r>
    </w:p>
  </w:footnote>
  <w:footnote w:id="0">
    <w:p w14:paraId="7538E588">
      <w:pPr>
        <w:pStyle w:val="17"/>
        <w:spacing w:before="195"/>
      </w:pPr>
      <w:r>
        <w:rPr>
          <w:rStyle w:val="29"/>
        </w:rPr>
        <w:footnoteRef/>
      </w:r>
      <w:r>
        <w:rPr>
          <w:rFonts w:hint="eastAsia"/>
          <w:snapToGrid w:val="0"/>
          <w:shd w:val="clear" w:color="auto" w:fill="FFFFFF"/>
        </w:rPr>
        <w:t>虽然标签终稿不要求用于510 (k)许可，但是在医疗器械进入洲际贸易之前，标签终稿必须符合21 CFR</w:t>
      </w:r>
      <w:r>
        <w:rPr>
          <w:snapToGrid w:val="0"/>
          <w:color w:val="000000"/>
          <w:szCs w:val="20"/>
        </w:rPr>
        <w:t>§</w:t>
      </w:r>
      <w:r>
        <w:rPr>
          <w:rFonts w:hint="eastAsia"/>
          <w:snapToGrid w:val="0"/>
          <w:shd w:val="clear" w:color="auto" w:fill="FFFFFF"/>
        </w:rPr>
        <w:t>801（或21 CFR</w:t>
      </w:r>
      <w:r>
        <w:rPr>
          <w:snapToGrid w:val="0"/>
          <w:color w:val="000000"/>
          <w:szCs w:val="20"/>
        </w:rPr>
        <w:t>§</w:t>
      </w:r>
      <w:r>
        <w:rPr>
          <w:rFonts w:hint="eastAsia"/>
          <w:snapToGrid w:val="0"/>
          <w:shd w:val="clear" w:color="auto" w:fill="FFFFFF"/>
        </w:rPr>
        <w:t>809.10）的要求。在本指南中的标签建议与第801部分和809.10部分一致。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93EA5">
    <w:pPr>
      <w:pStyle w:val="14"/>
      <w:pBdr>
        <w:bottom w:val="none" w:color="auto" w:sz="0" w:space="0"/>
      </w:pBdr>
      <w:spacing w:before="144"/>
      <w:rPr>
        <w:b/>
        <w:sz w:val="21"/>
        <w:szCs w:val="21"/>
      </w:rPr>
    </w:pPr>
    <w:r>
      <w:rPr>
        <w:b/>
        <w:i/>
        <w:snapToGrid w:val="0"/>
        <w:sz w:val="21"/>
        <w:szCs w:val="21"/>
        <w:shd w:val="clear" w:color="auto" w:fill="FFFFFF"/>
      </w:rPr>
      <w:t>包含不具约束力的建议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84DDD">
    <w:pPr>
      <w:pStyle w:val="14"/>
      <w:spacing w:before="14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941DC">
    <w:pPr>
      <w:pStyle w:val="14"/>
      <w:pBdr>
        <w:bottom w:val="none" w:color="auto" w:sz="0" w:space="0"/>
      </w:pBdr>
      <w:spacing w:before="14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697162"/>
    <w:multiLevelType w:val="multilevel"/>
    <w:tmpl w:val="28697162"/>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C1673BB"/>
    <w:multiLevelType w:val="singleLevel"/>
    <w:tmpl w:val="2C1673BB"/>
    <w:lvl w:ilvl="0" w:tentative="0">
      <w:start w:val="1"/>
      <w:numFmt w:val="bullet"/>
      <w:pStyle w:val="6"/>
      <w:lvlText w:val="●"/>
      <w:lvlJc w:val="left"/>
      <w:pPr>
        <w:tabs>
          <w:tab w:val="left" w:pos="1080"/>
        </w:tabs>
        <w:ind w:left="1080" w:hanging="360"/>
      </w:pPr>
      <w:rPr>
        <w:rFonts w:ascii="Times New Roman" w:hAnsi="Times New Roman" w:cs="Times New Roman"/>
        <w:b w:val="0"/>
        <w:i w:val="0"/>
        <w:caps w:val="0"/>
        <w:sz w:val="24"/>
        <w:u w:val="none"/>
        <w:vertAlign w:val="baseline"/>
      </w:rPr>
    </w:lvl>
  </w:abstractNum>
  <w:abstractNum w:abstractNumId="2">
    <w:nsid w:val="32094853"/>
    <w:multiLevelType w:val="multilevel"/>
    <w:tmpl w:val="3209485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10B0450"/>
    <w:multiLevelType w:val="singleLevel"/>
    <w:tmpl w:val="410B0450"/>
    <w:lvl w:ilvl="0" w:tentative="0">
      <w:start w:val="1"/>
      <w:numFmt w:val="decimal"/>
      <w:pStyle w:val="41"/>
      <w:lvlText w:val="%1."/>
      <w:lvlJc w:val="right"/>
      <w:pPr>
        <w:tabs>
          <w:tab w:val="left" w:pos="360"/>
        </w:tabs>
        <w:ind w:left="360" w:hanging="360"/>
      </w:pPr>
      <w:rPr>
        <w:rFonts w:ascii="Times New Roman" w:hAnsi="Times New Roman" w:cs="Times New Roman"/>
        <w:b w:val="0"/>
        <w:i w:val="0"/>
        <w:caps w:val="0"/>
        <w:sz w:val="24"/>
        <w:u w:val="none"/>
        <w:vertAlign w:val="baseline"/>
      </w:rPr>
    </w:lvl>
  </w:abstractNum>
  <w:abstractNum w:abstractNumId="4">
    <w:nsid w:val="4B6B7AA4"/>
    <w:multiLevelType w:val="multilevel"/>
    <w:tmpl w:val="4B6B7AA4"/>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62E2532F"/>
    <w:multiLevelType w:val="multilevel"/>
    <w:tmpl w:val="62E253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bordersDoNotSurroundHeader w:val="1"/>
  <w:bordersDoNotSurroundFooter w:val="1"/>
  <w:documentProtection w:edit="readOnly" w:enforcement="0"/>
  <w:defaultTabStop w:val="48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52"/>
    <w:rsid w:val="0000207D"/>
    <w:rsid w:val="000050D4"/>
    <w:rsid w:val="00012F65"/>
    <w:rsid w:val="00013A9E"/>
    <w:rsid w:val="00017072"/>
    <w:rsid w:val="000208C1"/>
    <w:rsid w:val="0002090C"/>
    <w:rsid w:val="00021C65"/>
    <w:rsid w:val="00021FBB"/>
    <w:rsid w:val="00023D33"/>
    <w:rsid w:val="00025F64"/>
    <w:rsid w:val="00027342"/>
    <w:rsid w:val="00027B74"/>
    <w:rsid w:val="00031795"/>
    <w:rsid w:val="0003236D"/>
    <w:rsid w:val="00034E79"/>
    <w:rsid w:val="00035E1C"/>
    <w:rsid w:val="00036B08"/>
    <w:rsid w:val="00040083"/>
    <w:rsid w:val="00043A2E"/>
    <w:rsid w:val="00043A60"/>
    <w:rsid w:val="00046965"/>
    <w:rsid w:val="00052D66"/>
    <w:rsid w:val="000542B3"/>
    <w:rsid w:val="00054336"/>
    <w:rsid w:val="00055B18"/>
    <w:rsid w:val="00056886"/>
    <w:rsid w:val="00063D88"/>
    <w:rsid w:val="000643EA"/>
    <w:rsid w:val="0006541F"/>
    <w:rsid w:val="00065E11"/>
    <w:rsid w:val="0006768F"/>
    <w:rsid w:val="00073100"/>
    <w:rsid w:val="00073C5D"/>
    <w:rsid w:val="00074659"/>
    <w:rsid w:val="00075781"/>
    <w:rsid w:val="00075C12"/>
    <w:rsid w:val="000770B1"/>
    <w:rsid w:val="00077F43"/>
    <w:rsid w:val="00080C71"/>
    <w:rsid w:val="000839CB"/>
    <w:rsid w:val="00084373"/>
    <w:rsid w:val="00085053"/>
    <w:rsid w:val="00085555"/>
    <w:rsid w:val="0008578E"/>
    <w:rsid w:val="00085DE2"/>
    <w:rsid w:val="00091493"/>
    <w:rsid w:val="00095218"/>
    <w:rsid w:val="00095A57"/>
    <w:rsid w:val="000A5FDE"/>
    <w:rsid w:val="000B2241"/>
    <w:rsid w:val="000B26C8"/>
    <w:rsid w:val="000B41D4"/>
    <w:rsid w:val="000B6E4A"/>
    <w:rsid w:val="000B7649"/>
    <w:rsid w:val="000C1317"/>
    <w:rsid w:val="000C2A98"/>
    <w:rsid w:val="000C4968"/>
    <w:rsid w:val="000C6BAB"/>
    <w:rsid w:val="000D2660"/>
    <w:rsid w:val="000D304D"/>
    <w:rsid w:val="000D4093"/>
    <w:rsid w:val="000D502A"/>
    <w:rsid w:val="000D6AB9"/>
    <w:rsid w:val="000D7FB3"/>
    <w:rsid w:val="000E0F7F"/>
    <w:rsid w:val="000E1E29"/>
    <w:rsid w:val="000E53AC"/>
    <w:rsid w:val="000E5F16"/>
    <w:rsid w:val="000E7541"/>
    <w:rsid w:val="000E7A1B"/>
    <w:rsid w:val="000F0707"/>
    <w:rsid w:val="000F0BAA"/>
    <w:rsid w:val="000F2CEF"/>
    <w:rsid w:val="000F3EBE"/>
    <w:rsid w:val="000F759D"/>
    <w:rsid w:val="000F7CB2"/>
    <w:rsid w:val="00100FE4"/>
    <w:rsid w:val="00101686"/>
    <w:rsid w:val="00104035"/>
    <w:rsid w:val="001052CD"/>
    <w:rsid w:val="00112035"/>
    <w:rsid w:val="001120E9"/>
    <w:rsid w:val="001123B5"/>
    <w:rsid w:val="00112865"/>
    <w:rsid w:val="00113549"/>
    <w:rsid w:val="00115B3C"/>
    <w:rsid w:val="00116226"/>
    <w:rsid w:val="00122F83"/>
    <w:rsid w:val="001235E2"/>
    <w:rsid w:val="001260B1"/>
    <w:rsid w:val="001276F0"/>
    <w:rsid w:val="00132B7A"/>
    <w:rsid w:val="001337F6"/>
    <w:rsid w:val="001349CA"/>
    <w:rsid w:val="001359CE"/>
    <w:rsid w:val="00135DAD"/>
    <w:rsid w:val="00141701"/>
    <w:rsid w:val="00141C2B"/>
    <w:rsid w:val="001422E5"/>
    <w:rsid w:val="00142A99"/>
    <w:rsid w:val="0014506A"/>
    <w:rsid w:val="0014552E"/>
    <w:rsid w:val="00145889"/>
    <w:rsid w:val="001473E7"/>
    <w:rsid w:val="00151F74"/>
    <w:rsid w:val="0015239A"/>
    <w:rsid w:val="001542C7"/>
    <w:rsid w:val="0016132A"/>
    <w:rsid w:val="001646AD"/>
    <w:rsid w:val="0017165A"/>
    <w:rsid w:val="00171EE3"/>
    <w:rsid w:val="00172A9F"/>
    <w:rsid w:val="00172C28"/>
    <w:rsid w:val="001732E6"/>
    <w:rsid w:val="0017391F"/>
    <w:rsid w:val="001778BA"/>
    <w:rsid w:val="00177B28"/>
    <w:rsid w:val="00183C23"/>
    <w:rsid w:val="00184690"/>
    <w:rsid w:val="00185622"/>
    <w:rsid w:val="00185B36"/>
    <w:rsid w:val="00186F2A"/>
    <w:rsid w:val="0018707B"/>
    <w:rsid w:val="00193E2C"/>
    <w:rsid w:val="00194631"/>
    <w:rsid w:val="00196E72"/>
    <w:rsid w:val="00196FC5"/>
    <w:rsid w:val="001A1A20"/>
    <w:rsid w:val="001A6902"/>
    <w:rsid w:val="001A7496"/>
    <w:rsid w:val="001A7BC9"/>
    <w:rsid w:val="001B26E2"/>
    <w:rsid w:val="001B351B"/>
    <w:rsid w:val="001B4B1D"/>
    <w:rsid w:val="001B784B"/>
    <w:rsid w:val="001B7EEF"/>
    <w:rsid w:val="001C1170"/>
    <w:rsid w:val="001C1657"/>
    <w:rsid w:val="001C1DE5"/>
    <w:rsid w:val="001C49DF"/>
    <w:rsid w:val="001D14A8"/>
    <w:rsid w:val="001D30E0"/>
    <w:rsid w:val="001D41BD"/>
    <w:rsid w:val="001D796D"/>
    <w:rsid w:val="001E61F6"/>
    <w:rsid w:val="001F1A90"/>
    <w:rsid w:val="001F2138"/>
    <w:rsid w:val="001F3DC9"/>
    <w:rsid w:val="001F7C6A"/>
    <w:rsid w:val="00201C7F"/>
    <w:rsid w:val="00205ED6"/>
    <w:rsid w:val="00206780"/>
    <w:rsid w:val="00210BD4"/>
    <w:rsid w:val="00210DBC"/>
    <w:rsid w:val="002121F8"/>
    <w:rsid w:val="00214347"/>
    <w:rsid w:val="002147A7"/>
    <w:rsid w:val="00217C85"/>
    <w:rsid w:val="002206F3"/>
    <w:rsid w:val="002219AE"/>
    <w:rsid w:val="00224A4F"/>
    <w:rsid w:val="00227042"/>
    <w:rsid w:val="00227F5D"/>
    <w:rsid w:val="00231C1E"/>
    <w:rsid w:val="00233FB0"/>
    <w:rsid w:val="0023457D"/>
    <w:rsid w:val="00237B18"/>
    <w:rsid w:val="00240A5A"/>
    <w:rsid w:val="002416B7"/>
    <w:rsid w:val="00241C09"/>
    <w:rsid w:val="0024250C"/>
    <w:rsid w:val="002438A3"/>
    <w:rsid w:val="0024650A"/>
    <w:rsid w:val="00247DC1"/>
    <w:rsid w:val="00251B2A"/>
    <w:rsid w:val="0025203C"/>
    <w:rsid w:val="002535F7"/>
    <w:rsid w:val="002614E2"/>
    <w:rsid w:val="0026593B"/>
    <w:rsid w:val="00270493"/>
    <w:rsid w:val="00270A96"/>
    <w:rsid w:val="00270AB9"/>
    <w:rsid w:val="00275E17"/>
    <w:rsid w:val="00276E31"/>
    <w:rsid w:val="00282651"/>
    <w:rsid w:val="0028296D"/>
    <w:rsid w:val="00284AD0"/>
    <w:rsid w:val="00284EE6"/>
    <w:rsid w:val="0028538A"/>
    <w:rsid w:val="00285E1E"/>
    <w:rsid w:val="00294046"/>
    <w:rsid w:val="002A2B29"/>
    <w:rsid w:val="002A773B"/>
    <w:rsid w:val="002B00ED"/>
    <w:rsid w:val="002B07A5"/>
    <w:rsid w:val="002B0FEC"/>
    <w:rsid w:val="002B2FF7"/>
    <w:rsid w:val="002B55CC"/>
    <w:rsid w:val="002B5657"/>
    <w:rsid w:val="002B75B9"/>
    <w:rsid w:val="002C4539"/>
    <w:rsid w:val="002C5DFE"/>
    <w:rsid w:val="002C5E74"/>
    <w:rsid w:val="002D2AEE"/>
    <w:rsid w:val="002D366C"/>
    <w:rsid w:val="002D3E67"/>
    <w:rsid w:val="002D426E"/>
    <w:rsid w:val="002D445E"/>
    <w:rsid w:val="002D4BBB"/>
    <w:rsid w:val="002E0F2B"/>
    <w:rsid w:val="002E4FEF"/>
    <w:rsid w:val="002F13A6"/>
    <w:rsid w:val="002F3E86"/>
    <w:rsid w:val="002F41A0"/>
    <w:rsid w:val="002F4B09"/>
    <w:rsid w:val="003012AE"/>
    <w:rsid w:val="00302513"/>
    <w:rsid w:val="00302F1F"/>
    <w:rsid w:val="003051AA"/>
    <w:rsid w:val="003059D5"/>
    <w:rsid w:val="00316F40"/>
    <w:rsid w:val="0031767A"/>
    <w:rsid w:val="00323AAF"/>
    <w:rsid w:val="00326BE3"/>
    <w:rsid w:val="00327BD2"/>
    <w:rsid w:val="003317D8"/>
    <w:rsid w:val="00335C24"/>
    <w:rsid w:val="00336066"/>
    <w:rsid w:val="0033619F"/>
    <w:rsid w:val="003377A4"/>
    <w:rsid w:val="003409C6"/>
    <w:rsid w:val="00341AB4"/>
    <w:rsid w:val="00342B1A"/>
    <w:rsid w:val="003465F1"/>
    <w:rsid w:val="00346E2A"/>
    <w:rsid w:val="00352A0F"/>
    <w:rsid w:val="00354CCD"/>
    <w:rsid w:val="00355A2C"/>
    <w:rsid w:val="00361926"/>
    <w:rsid w:val="00367494"/>
    <w:rsid w:val="00367876"/>
    <w:rsid w:val="003732C8"/>
    <w:rsid w:val="0037445B"/>
    <w:rsid w:val="003747CD"/>
    <w:rsid w:val="003816A1"/>
    <w:rsid w:val="00386C7C"/>
    <w:rsid w:val="00386E95"/>
    <w:rsid w:val="00387CE8"/>
    <w:rsid w:val="00390529"/>
    <w:rsid w:val="00392BF4"/>
    <w:rsid w:val="00394C42"/>
    <w:rsid w:val="0039552C"/>
    <w:rsid w:val="00397030"/>
    <w:rsid w:val="003A1E1F"/>
    <w:rsid w:val="003A2360"/>
    <w:rsid w:val="003A3AE5"/>
    <w:rsid w:val="003A6960"/>
    <w:rsid w:val="003B562D"/>
    <w:rsid w:val="003B613B"/>
    <w:rsid w:val="003B7B71"/>
    <w:rsid w:val="003C23EA"/>
    <w:rsid w:val="003C2F82"/>
    <w:rsid w:val="003C4141"/>
    <w:rsid w:val="003C4F8D"/>
    <w:rsid w:val="003C564A"/>
    <w:rsid w:val="003D0FC8"/>
    <w:rsid w:val="003D5488"/>
    <w:rsid w:val="003D61EB"/>
    <w:rsid w:val="003D6999"/>
    <w:rsid w:val="003D71EF"/>
    <w:rsid w:val="003D7481"/>
    <w:rsid w:val="003E0E5A"/>
    <w:rsid w:val="003E44C8"/>
    <w:rsid w:val="003F25F4"/>
    <w:rsid w:val="003F32A8"/>
    <w:rsid w:val="003F5AAD"/>
    <w:rsid w:val="003F6621"/>
    <w:rsid w:val="003F7A3F"/>
    <w:rsid w:val="00400222"/>
    <w:rsid w:val="0040231F"/>
    <w:rsid w:val="00402FE3"/>
    <w:rsid w:val="00403929"/>
    <w:rsid w:val="00403C11"/>
    <w:rsid w:val="00403D9D"/>
    <w:rsid w:val="00406A09"/>
    <w:rsid w:val="00407B0A"/>
    <w:rsid w:val="00410143"/>
    <w:rsid w:val="00412991"/>
    <w:rsid w:val="0041498F"/>
    <w:rsid w:val="00415AB7"/>
    <w:rsid w:val="00417E8F"/>
    <w:rsid w:val="00417F3D"/>
    <w:rsid w:val="0042489B"/>
    <w:rsid w:val="004269E2"/>
    <w:rsid w:val="004272F2"/>
    <w:rsid w:val="00427F07"/>
    <w:rsid w:val="004317C5"/>
    <w:rsid w:val="004322E6"/>
    <w:rsid w:val="004337E2"/>
    <w:rsid w:val="0043750C"/>
    <w:rsid w:val="00437F8A"/>
    <w:rsid w:val="004405DF"/>
    <w:rsid w:val="00443C8F"/>
    <w:rsid w:val="004444E1"/>
    <w:rsid w:val="004462A6"/>
    <w:rsid w:val="004465C8"/>
    <w:rsid w:val="004509CD"/>
    <w:rsid w:val="004510CA"/>
    <w:rsid w:val="0045307E"/>
    <w:rsid w:val="00454504"/>
    <w:rsid w:val="00457E27"/>
    <w:rsid w:val="00460121"/>
    <w:rsid w:val="00460823"/>
    <w:rsid w:val="00460F74"/>
    <w:rsid w:val="00461F94"/>
    <w:rsid w:val="0046351B"/>
    <w:rsid w:val="00464CD5"/>
    <w:rsid w:val="00464D4F"/>
    <w:rsid w:val="0046646E"/>
    <w:rsid w:val="00472842"/>
    <w:rsid w:val="004830F6"/>
    <w:rsid w:val="004831B1"/>
    <w:rsid w:val="00485081"/>
    <w:rsid w:val="004869B4"/>
    <w:rsid w:val="004919BA"/>
    <w:rsid w:val="00493123"/>
    <w:rsid w:val="004A1AD2"/>
    <w:rsid w:val="004A2CC3"/>
    <w:rsid w:val="004A521F"/>
    <w:rsid w:val="004B34D2"/>
    <w:rsid w:val="004B3D12"/>
    <w:rsid w:val="004B6638"/>
    <w:rsid w:val="004B6F70"/>
    <w:rsid w:val="004C04FB"/>
    <w:rsid w:val="004C1064"/>
    <w:rsid w:val="004C1BF3"/>
    <w:rsid w:val="004C3CB6"/>
    <w:rsid w:val="004C54FB"/>
    <w:rsid w:val="004C6A76"/>
    <w:rsid w:val="004C7C02"/>
    <w:rsid w:val="004E031C"/>
    <w:rsid w:val="004E2485"/>
    <w:rsid w:val="004E2768"/>
    <w:rsid w:val="004E461B"/>
    <w:rsid w:val="004E5F3C"/>
    <w:rsid w:val="004E76CF"/>
    <w:rsid w:val="004F045E"/>
    <w:rsid w:val="004F0984"/>
    <w:rsid w:val="004F4EAB"/>
    <w:rsid w:val="004F5C7E"/>
    <w:rsid w:val="004F669E"/>
    <w:rsid w:val="004F757F"/>
    <w:rsid w:val="00500A9E"/>
    <w:rsid w:val="00501A0E"/>
    <w:rsid w:val="00502B20"/>
    <w:rsid w:val="00503200"/>
    <w:rsid w:val="0050648C"/>
    <w:rsid w:val="005073BD"/>
    <w:rsid w:val="00511B6F"/>
    <w:rsid w:val="0051390C"/>
    <w:rsid w:val="00513B53"/>
    <w:rsid w:val="00513DD6"/>
    <w:rsid w:val="0051521D"/>
    <w:rsid w:val="005162E7"/>
    <w:rsid w:val="00516B1B"/>
    <w:rsid w:val="005209EF"/>
    <w:rsid w:val="005225C7"/>
    <w:rsid w:val="00522692"/>
    <w:rsid w:val="00523617"/>
    <w:rsid w:val="005236FC"/>
    <w:rsid w:val="00527136"/>
    <w:rsid w:val="00541B95"/>
    <w:rsid w:val="00543B84"/>
    <w:rsid w:val="005445D3"/>
    <w:rsid w:val="00551DC3"/>
    <w:rsid w:val="005522D3"/>
    <w:rsid w:val="00553299"/>
    <w:rsid w:val="0055349B"/>
    <w:rsid w:val="00554373"/>
    <w:rsid w:val="0055777B"/>
    <w:rsid w:val="00557E18"/>
    <w:rsid w:val="00560140"/>
    <w:rsid w:val="00561085"/>
    <w:rsid w:val="00562BA4"/>
    <w:rsid w:val="005658B8"/>
    <w:rsid w:val="00566867"/>
    <w:rsid w:val="00570DD7"/>
    <w:rsid w:val="0057228D"/>
    <w:rsid w:val="005756CD"/>
    <w:rsid w:val="0057741C"/>
    <w:rsid w:val="00577D14"/>
    <w:rsid w:val="00580D74"/>
    <w:rsid w:val="0058100F"/>
    <w:rsid w:val="00582686"/>
    <w:rsid w:val="00582731"/>
    <w:rsid w:val="00583107"/>
    <w:rsid w:val="005879FE"/>
    <w:rsid w:val="00590AF7"/>
    <w:rsid w:val="005923BD"/>
    <w:rsid w:val="00595D9A"/>
    <w:rsid w:val="005A0681"/>
    <w:rsid w:val="005A3151"/>
    <w:rsid w:val="005A3850"/>
    <w:rsid w:val="005A38E7"/>
    <w:rsid w:val="005A4489"/>
    <w:rsid w:val="005A5E1E"/>
    <w:rsid w:val="005A69EF"/>
    <w:rsid w:val="005B09D9"/>
    <w:rsid w:val="005B2704"/>
    <w:rsid w:val="005B6C8F"/>
    <w:rsid w:val="005B7231"/>
    <w:rsid w:val="005C09A0"/>
    <w:rsid w:val="005C0CD8"/>
    <w:rsid w:val="005C0CEF"/>
    <w:rsid w:val="005C4A64"/>
    <w:rsid w:val="005C4D2A"/>
    <w:rsid w:val="005C643A"/>
    <w:rsid w:val="005C7713"/>
    <w:rsid w:val="005D3DF0"/>
    <w:rsid w:val="005D46A8"/>
    <w:rsid w:val="005D700F"/>
    <w:rsid w:val="005E0E2F"/>
    <w:rsid w:val="005E1362"/>
    <w:rsid w:val="005E28CB"/>
    <w:rsid w:val="005E2D33"/>
    <w:rsid w:val="005F171B"/>
    <w:rsid w:val="005F2A66"/>
    <w:rsid w:val="005F34A0"/>
    <w:rsid w:val="005F4DE2"/>
    <w:rsid w:val="005F4F9C"/>
    <w:rsid w:val="005F69DF"/>
    <w:rsid w:val="005F6F63"/>
    <w:rsid w:val="006009FD"/>
    <w:rsid w:val="006020EE"/>
    <w:rsid w:val="00606AB0"/>
    <w:rsid w:val="006079E2"/>
    <w:rsid w:val="00607A81"/>
    <w:rsid w:val="006101C5"/>
    <w:rsid w:val="0061045A"/>
    <w:rsid w:val="00611703"/>
    <w:rsid w:val="006148B6"/>
    <w:rsid w:val="006156AD"/>
    <w:rsid w:val="006177B0"/>
    <w:rsid w:val="00620155"/>
    <w:rsid w:val="00620AC8"/>
    <w:rsid w:val="00622870"/>
    <w:rsid w:val="00630452"/>
    <w:rsid w:val="0063049C"/>
    <w:rsid w:val="00630FBF"/>
    <w:rsid w:val="00633684"/>
    <w:rsid w:val="00633F39"/>
    <w:rsid w:val="006368A4"/>
    <w:rsid w:val="00636E94"/>
    <w:rsid w:val="00637552"/>
    <w:rsid w:val="00641E67"/>
    <w:rsid w:val="00643614"/>
    <w:rsid w:val="006472EB"/>
    <w:rsid w:val="00647D91"/>
    <w:rsid w:val="006544F1"/>
    <w:rsid w:val="00661E5C"/>
    <w:rsid w:val="006643CD"/>
    <w:rsid w:val="00665BE4"/>
    <w:rsid w:val="0066689F"/>
    <w:rsid w:val="00676D14"/>
    <w:rsid w:val="006774E2"/>
    <w:rsid w:val="00677EB6"/>
    <w:rsid w:val="006835DC"/>
    <w:rsid w:val="00684670"/>
    <w:rsid w:val="00685581"/>
    <w:rsid w:val="00693124"/>
    <w:rsid w:val="006946B7"/>
    <w:rsid w:val="00694A01"/>
    <w:rsid w:val="00696A84"/>
    <w:rsid w:val="006A23BC"/>
    <w:rsid w:val="006A3356"/>
    <w:rsid w:val="006A42A2"/>
    <w:rsid w:val="006B1AA3"/>
    <w:rsid w:val="006B3261"/>
    <w:rsid w:val="006B4BBC"/>
    <w:rsid w:val="006B7E41"/>
    <w:rsid w:val="006C01C2"/>
    <w:rsid w:val="006C2ACF"/>
    <w:rsid w:val="006C3EDD"/>
    <w:rsid w:val="006C7414"/>
    <w:rsid w:val="006D0103"/>
    <w:rsid w:val="006D056F"/>
    <w:rsid w:val="006D097E"/>
    <w:rsid w:val="006D45BF"/>
    <w:rsid w:val="006D6C6F"/>
    <w:rsid w:val="006D7010"/>
    <w:rsid w:val="006D7CFD"/>
    <w:rsid w:val="006E12DB"/>
    <w:rsid w:val="006E2FF0"/>
    <w:rsid w:val="006E3245"/>
    <w:rsid w:val="006F0EF5"/>
    <w:rsid w:val="006F12FC"/>
    <w:rsid w:val="006F2A89"/>
    <w:rsid w:val="006F657A"/>
    <w:rsid w:val="006F6902"/>
    <w:rsid w:val="006F6A73"/>
    <w:rsid w:val="006F70A6"/>
    <w:rsid w:val="0070169E"/>
    <w:rsid w:val="00707024"/>
    <w:rsid w:val="00710791"/>
    <w:rsid w:val="00722DFF"/>
    <w:rsid w:val="00724855"/>
    <w:rsid w:val="00727B8E"/>
    <w:rsid w:val="007305AF"/>
    <w:rsid w:val="0073265B"/>
    <w:rsid w:val="00733666"/>
    <w:rsid w:val="00733721"/>
    <w:rsid w:val="00741AFE"/>
    <w:rsid w:val="0074274B"/>
    <w:rsid w:val="00743F95"/>
    <w:rsid w:val="007451F8"/>
    <w:rsid w:val="00746718"/>
    <w:rsid w:val="007476A7"/>
    <w:rsid w:val="00747F16"/>
    <w:rsid w:val="00752312"/>
    <w:rsid w:val="0075787C"/>
    <w:rsid w:val="007607A7"/>
    <w:rsid w:val="0076221A"/>
    <w:rsid w:val="007625C1"/>
    <w:rsid w:val="00763B6D"/>
    <w:rsid w:val="00763D4B"/>
    <w:rsid w:val="00764A91"/>
    <w:rsid w:val="00766752"/>
    <w:rsid w:val="0077206C"/>
    <w:rsid w:val="007741BB"/>
    <w:rsid w:val="00774520"/>
    <w:rsid w:val="0077722D"/>
    <w:rsid w:val="007810EF"/>
    <w:rsid w:val="00782226"/>
    <w:rsid w:val="007850C5"/>
    <w:rsid w:val="00786802"/>
    <w:rsid w:val="007874FB"/>
    <w:rsid w:val="00787A6B"/>
    <w:rsid w:val="00791E23"/>
    <w:rsid w:val="00792E5C"/>
    <w:rsid w:val="00794306"/>
    <w:rsid w:val="0079483D"/>
    <w:rsid w:val="007A1BF2"/>
    <w:rsid w:val="007A233E"/>
    <w:rsid w:val="007A7A71"/>
    <w:rsid w:val="007A7D62"/>
    <w:rsid w:val="007B02BA"/>
    <w:rsid w:val="007B2DB4"/>
    <w:rsid w:val="007B4811"/>
    <w:rsid w:val="007B5DE4"/>
    <w:rsid w:val="007B7E11"/>
    <w:rsid w:val="007B7FD0"/>
    <w:rsid w:val="007C400E"/>
    <w:rsid w:val="007C4FEB"/>
    <w:rsid w:val="007D1B52"/>
    <w:rsid w:val="007D1FAD"/>
    <w:rsid w:val="007D543B"/>
    <w:rsid w:val="007D6EE4"/>
    <w:rsid w:val="007E3144"/>
    <w:rsid w:val="007E4411"/>
    <w:rsid w:val="007E5169"/>
    <w:rsid w:val="007E552B"/>
    <w:rsid w:val="007E5741"/>
    <w:rsid w:val="007E64D1"/>
    <w:rsid w:val="007F53E7"/>
    <w:rsid w:val="007F60E4"/>
    <w:rsid w:val="0080252B"/>
    <w:rsid w:val="00802F84"/>
    <w:rsid w:val="008044E9"/>
    <w:rsid w:val="00804928"/>
    <w:rsid w:val="00806A06"/>
    <w:rsid w:val="008078ED"/>
    <w:rsid w:val="008101C1"/>
    <w:rsid w:val="0081096F"/>
    <w:rsid w:val="00811439"/>
    <w:rsid w:val="00812368"/>
    <w:rsid w:val="00813636"/>
    <w:rsid w:val="008145B1"/>
    <w:rsid w:val="00815B41"/>
    <w:rsid w:val="0081631D"/>
    <w:rsid w:val="00817537"/>
    <w:rsid w:val="00821BBF"/>
    <w:rsid w:val="0082446C"/>
    <w:rsid w:val="008249E9"/>
    <w:rsid w:val="008252E3"/>
    <w:rsid w:val="00826B5D"/>
    <w:rsid w:val="0082710F"/>
    <w:rsid w:val="00830710"/>
    <w:rsid w:val="00830B5D"/>
    <w:rsid w:val="00831010"/>
    <w:rsid w:val="00832848"/>
    <w:rsid w:val="0083295F"/>
    <w:rsid w:val="00833874"/>
    <w:rsid w:val="00837301"/>
    <w:rsid w:val="008376C1"/>
    <w:rsid w:val="00845998"/>
    <w:rsid w:val="00850029"/>
    <w:rsid w:val="008523C2"/>
    <w:rsid w:val="00854FEA"/>
    <w:rsid w:val="0085574F"/>
    <w:rsid w:val="00857BF0"/>
    <w:rsid w:val="00870187"/>
    <w:rsid w:val="008704B5"/>
    <w:rsid w:val="0087216C"/>
    <w:rsid w:val="00872218"/>
    <w:rsid w:val="008726E8"/>
    <w:rsid w:val="00874D04"/>
    <w:rsid w:val="008755BB"/>
    <w:rsid w:val="008757FC"/>
    <w:rsid w:val="008760D2"/>
    <w:rsid w:val="00884764"/>
    <w:rsid w:val="00884982"/>
    <w:rsid w:val="008859F4"/>
    <w:rsid w:val="00885E46"/>
    <w:rsid w:val="008870DE"/>
    <w:rsid w:val="00887651"/>
    <w:rsid w:val="00893663"/>
    <w:rsid w:val="00893AD6"/>
    <w:rsid w:val="00893EF6"/>
    <w:rsid w:val="00894AC7"/>
    <w:rsid w:val="008A00BA"/>
    <w:rsid w:val="008A2356"/>
    <w:rsid w:val="008A29C7"/>
    <w:rsid w:val="008A2C9B"/>
    <w:rsid w:val="008A3957"/>
    <w:rsid w:val="008A577D"/>
    <w:rsid w:val="008A6C55"/>
    <w:rsid w:val="008B10F6"/>
    <w:rsid w:val="008B144E"/>
    <w:rsid w:val="008B44D6"/>
    <w:rsid w:val="008B6A85"/>
    <w:rsid w:val="008B7883"/>
    <w:rsid w:val="008B7C30"/>
    <w:rsid w:val="008C18D2"/>
    <w:rsid w:val="008C35AE"/>
    <w:rsid w:val="008C3A32"/>
    <w:rsid w:val="008C52DF"/>
    <w:rsid w:val="008C640F"/>
    <w:rsid w:val="008C7175"/>
    <w:rsid w:val="008C7F33"/>
    <w:rsid w:val="008D1527"/>
    <w:rsid w:val="008D1A06"/>
    <w:rsid w:val="008D2CEC"/>
    <w:rsid w:val="008D4374"/>
    <w:rsid w:val="008D443B"/>
    <w:rsid w:val="008D57F9"/>
    <w:rsid w:val="008D5969"/>
    <w:rsid w:val="008D7003"/>
    <w:rsid w:val="008D7A73"/>
    <w:rsid w:val="008E0E1B"/>
    <w:rsid w:val="008E10D4"/>
    <w:rsid w:val="008E142A"/>
    <w:rsid w:val="008E155F"/>
    <w:rsid w:val="008E20D3"/>
    <w:rsid w:val="008E2606"/>
    <w:rsid w:val="008E336C"/>
    <w:rsid w:val="008E557D"/>
    <w:rsid w:val="008E6285"/>
    <w:rsid w:val="008F4770"/>
    <w:rsid w:val="008F5B8E"/>
    <w:rsid w:val="00902321"/>
    <w:rsid w:val="0090492B"/>
    <w:rsid w:val="00905C8A"/>
    <w:rsid w:val="00907456"/>
    <w:rsid w:val="00907DD6"/>
    <w:rsid w:val="00912476"/>
    <w:rsid w:val="009136D7"/>
    <w:rsid w:val="00914857"/>
    <w:rsid w:val="00914A6D"/>
    <w:rsid w:val="00916A08"/>
    <w:rsid w:val="009172A7"/>
    <w:rsid w:val="00921D03"/>
    <w:rsid w:val="0092475F"/>
    <w:rsid w:val="00924C1C"/>
    <w:rsid w:val="00924DF4"/>
    <w:rsid w:val="009264F3"/>
    <w:rsid w:val="00927367"/>
    <w:rsid w:val="00934480"/>
    <w:rsid w:val="00935DE5"/>
    <w:rsid w:val="00937A1C"/>
    <w:rsid w:val="00942520"/>
    <w:rsid w:val="009459AA"/>
    <w:rsid w:val="00945E68"/>
    <w:rsid w:val="00947352"/>
    <w:rsid w:val="009475E2"/>
    <w:rsid w:val="00952A15"/>
    <w:rsid w:val="00952FE3"/>
    <w:rsid w:val="009559E4"/>
    <w:rsid w:val="00955DB1"/>
    <w:rsid w:val="009577F9"/>
    <w:rsid w:val="009579E0"/>
    <w:rsid w:val="00961504"/>
    <w:rsid w:val="00962027"/>
    <w:rsid w:val="0096202B"/>
    <w:rsid w:val="00966B35"/>
    <w:rsid w:val="00971951"/>
    <w:rsid w:val="00972166"/>
    <w:rsid w:val="00974807"/>
    <w:rsid w:val="009804D9"/>
    <w:rsid w:val="009819CF"/>
    <w:rsid w:val="0098378B"/>
    <w:rsid w:val="009838E4"/>
    <w:rsid w:val="00985283"/>
    <w:rsid w:val="00985930"/>
    <w:rsid w:val="00992AEF"/>
    <w:rsid w:val="00993EEC"/>
    <w:rsid w:val="00994395"/>
    <w:rsid w:val="009965BC"/>
    <w:rsid w:val="00997E59"/>
    <w:rsid w:val="009A0DC7"/>
    <w:rsid w:val="009A16E8"/>
    <w:rsid w:val="009A284A"/>
    <w:rsid w:val="009A3278"/>
    <w:rsid w:val="009A4460"/>
    <w:rsid w:val="009A485D"/>
    <w:rsid w:val="009A4B85"/>
    <w:rsid w:val="009A67F8"/>
    <w:rsid w:val="009A7D7D"/>
    <w:rsid w:val="009B01EC"/>
    <w:rsid w:val="009B0E06"/>
    <w:rsid w:val="009B2A42"/>
    <w:rsid w:val="009B619D"/>
    <w:rsid w:val="009B6592"/>
    <w:rsid w:val="009B7FEF"/>
    <w:rsid w:val="009C1024"/>
    <w:rsid w:val="009C1A46"/>
    <w:rsid w:val="009C1F0E"/>
    <w:rsid w:val="009C46BF"/>
    <w:rsid w:val="009C47D6"/>
    <w:rsid w:val="009C4E22"/>
    <w:rsid w:val="009C53D4"/>
    <w:rsid w:val="009C59BA"/>
    <w:rsid w:val="009D142F"/>
    <w:rsid w:val="009D31D4"/>
    <w:rsid w:val="009D4FE7"/>
    <w:rsid w:val="009E378F"/>
    <w:rsid w:val="009F0ED8"/>
    <w:rsid w:val="009F1146"/>
    <w:rsid w:val="009F3626"/>
    <w:rsid w:val="009F44FA"/>
    <w:rsid w:val="009F4C67"/>
    <w:rsid w:val="00A03793"/>
    <w:rsid w:val="00A06353"/>
    <w:rsid w:val="00A06765"/>
    <w:rsid w:val="00A10B98"/>
    <w:rsid w:val="00A10F0F"/>
    <w:rsid w:val="00A12697"/>
    <w:rsid w:val="00A15C7A"/>
    <w:rsid w:val="00A16008"/>
    <w:rsid w:val="00A25E51"/>
    <w:rsid w:val="00A27B36"/>
    <w:rsid w:val="00A31A49"/>
    <w:rsid w:val="00A3395A"/>
    <w:rsid w:val="00A4159E"/>
    <w:rsid w:val="00A417B5"/>
    <w:rsid w:val="00A41D40"/>
    <w:rsid w:val="00A51EC8"/>
    <w:rsid w:val="00A5361A"/>
    <w:rsid w:val="00A54C86"/>
    <w:rsid w:val="00A554C2"/>
    <w:rsid w:val="00A564EA"/>
    <w:rsid w:val="00A57716"/>
    <w:rsid w:val="00A6172C"/>
    <w:rsid w:val="00A62BAF"/>
    <w:rsid w:val="00A65F95"/>
    <w:rsid w:val="00A75E0D"/>
    <w:rsid w:val="00A7691E"/>
    <w:rsid w:val="00A8125A"/>
    <w:rsid w:val="00A81EEC"/>
    <w:rsid w:val="00A82FD1"/>
    <w:rsid w:val="00A83DCD"/>
    <w:rsid w:val="00A85AE4"/>
    <w:rsid w:val="00A8705C"/>
    <w:rsid w:val="00A908F6"/>
    <w:rsid w:val="00A929B8"/>
    <w:rsid w:val="00AA5C22"/>
    <w:rsid w:val="00AA5FC6"/>
    <w:rsid w:val="00AA6964"/>
    <w:rsid w:val="00AB01E8"/>
    <w:rsid w:val="00AB0E58"/>
    <w:rsid w:val="00AB4866"/>
    <w:rsid w:val="00AC0B27"/>
    <w:rsid w:val="00AC3522"/>
    <w:rsid w:val="00AC39AD"/>
    <w:rsid w:val="00AC52FD"/>
    <w:rsid w:val="00AC56BA"/>
    <w:rsid w:val="00AC66D8"/>
    <w:rsid w:val="00AD042D"/>
    <w:rsid w:val="00AD0906"/>
    <w:rsid w:val="00AD444A"/>
    <w:rsid w:val="00AD4E61"/>
    <w:rsid w:val="00AD582F"/>
    <w:rsid w:val="00AE0E80"/>
    <w:rsid w:val="00AE2EFF"/>
    <w:rsid w:val="00AE3367"/>
    <w:rsid w:val="00AE7D46"/>
    <w:rsid w:val="00AF036B"/>
    <w:rsid w:val="00AF230B"/>
    <w:rsid w:val="00AF4A4B"/>
    <w:rsid w:val="00AF5DDF"/>
    <w:rsid w:val="00B00141"/>
    <w:rsid w:val="00B04D3C"/>
    <w:rsid w:val="00B0718E"/>
    <w:rsid w:val="00B17A4B"/>
    <w:rsid w:val="00B21847"/>
    <w:rsid w:val="00B232BB"/>
    <w:rsid w:val="00B25478"/>
    <w:rsid w:val="00B26505"/>
    <w:rsid w:val="00B27870"/>
    <w:rsid w:val="00B31E1A"/>
    <w:rsid w:val="00B325FC"/>
    <w:rsid w:val="00B33D39"/>
    <w:rsid w:val="00B35F80"/>
    <w:rsid w:val="00B3651E"/>
    <w:rsid w:val="00B40276"/>
    <w:rsid w:val="00B41C3D"/>
    <w:rsid w:val="00B43D3A"/>
    <w:rsid w:val="00B47939"/>
    <w:rsid w:val="00B504CA"/>
    <w:rsid w:val="00B50BBF"/>
    <w:rsid w:val="00B50F8B"/>
    <w:rsid w:val="00B53405"/>
    <w:rsid w:val="00B53564"/>
    <w:rsid w:val="00B549D9"/>
    <w:rsid w:val="00B54DDE"/>
    <w:rsid w:val="00B604BF"/>
    <w:rsid w:val="00B60C4D"/>
    <w:rsid w:val="00B623D3"/>
    <w:rsid w:val="00B647E7"/>
    <w:rsid w:val="00B65368"/>
    <w:rsid w:val="00B67443"/>
    <w:rsid w:val="00B67DD8"/>
    <w:rsid w:val="00B709E4"/>
    <w:rsid w:val="00B729BF"/>
    <w:rsid w:val="00B73304"/>
    <w:rsid w:val="00B73875"/>
    <w:rsid w:val="00B8006A"/>
    <w:rsid w:val="00B800CF"/>
    <w:rsid w:val="00B803EF"/>
    <w:rsid w:val="00B81D66"/>
    <w:rsid w:val="00B82616"/>
    <w:rsid w:val="00B83118"/>
    <w:rsid w:val="00B83DFB"/>
    <w:rsid w:val="00B875F0"/>
    <w:rsid w:val="00B879B7"/>
    <w:rsid w:val="00B87EFA"/>
    <w:rsid w:val="00B9224D"/>
    <w:rsid w:val="00B96D45"/>
    <w:rsid w:val="00BA3CE1"/>
    <w:rsid w:val="00BB2D22"/>
    <w:rsid w:val="00BC1316"/>
    <w:rsid w:val="00BC3E66"/>
    <w:rsid w:val="00BC5C81"/>
    <w:rsid w:val="00BC749D"/>
    <w:rsid w:val="00BC7B3C"/>
    <w:rsid w:val="00BD0847"/>
    <w:rsid w:val="00BD0E40"/>
    <w:rsid w:val="00BD40CF"/>
    <w:rsid w:val="00BD48E4"/>
    <w:rsid w:val="00BD68E3"/>
    <w:rsid w:val="00BE0191"/>
    <w:rsid w:val="00BE0AEF"/>
    <w:rsid w:val="00BE0B29"/>
    <w:rsid w:val="00BE258D"/>
    <w:rsid w:val="00BF158F"/>
    <w:rsid w:val="00BF19DF"/>
    <w:rsid w:val="00BF1FAA"/>
    <w:rsid w:val="00BF631F"/>
    <w:rsid w:val="00C00111"/>
    <w:rsid w:val="00C0030E"/>
    <w:rsid w:val="00C00921"/>
    <w:rsid w:val="00C02F08"/>
    <w:rsid w:val="00C15916"/>
    <w:rsid w:val="00C172B8"/>
    <w:rsid w:val="00C1769C"/>
    <w:rsid w:val="00C244FD"/>
    <w:rsid w:val="00C25612"/>
    <w:rsid w:val="00C331E8"/>
    <w:rsid w:val="00C343EF"/>
    <w:rsid w:val="00C3491B"/>
    <w:rsid w:val="00C34B31"/>
    <w:rsid w:val="00C34B4F"/>
    <w:rsid w:val="00C37BB5"/>
    <w:rsid w:val="00C41465"/>
    <w:rsid w:val="00C42CBD"/>
    <w:rsid w:val="00C4701E"/>
    <w:rsid w:val="00C5145B"/>
    <w:rsid w:val="00C5451B"/>
    <w:rsid w:val="00C55F6D"/>
    <w:rsid w:val="00C56F85"/>
    <w:rsid w:val="00C57233"/>
    <w:rsid w:val="00C62199"/>
    <w:rsid w:val="00C63375"/>
    <w:rsid w:val="00C63C3D"/>
    <w:rsid w:val="00C648DE"/>
    <w:rsid w:val="00C65803"/>
    <w:rsid w:val="00C662C4"/>
    <w:rsid w:val="00C6644B"/>
    <w:rsid w:val="00C66E46"/>
    <w:rsid w:val="00C7040C"/>
    <w:rsid w:val="00C71E98"/>
    <w:rsid w:val="00C733E6"/>
    <w:rsid w:val="00C736C9"/>
    <w:rsid w:val="00C73848"/>
    <w:rsid w:val="00C745AF"/>
    <w:rsid w:val="00C75AD7"/>
    <w:rsid w:val="00C85BF6"/>
    <w:rsid w:val="00C85C59"/>
    <w:rsid w:val="00C8733D"/>
    <w:rsid w:val="00C91AD9"/>
    <w:rsid w:val="00C93950"/>
    <w:rsid w:val="00C949B5"/>
    <w:rsid w:val="00C95B63"/>
    <w:rsid w:val="00CA157D"/>
    <w:rsid w:val="00CA3488"/>
    <w:rsid w:val="00CA35BF"/>
    <w:rsid w:val="00CA3A3F"/>
    <w:rsid w:val="00CA47A6"/>
    <w:rsid w:val="00CA4923"/>
    <w:rsid w:val="00CA5326"/>
    <w:rsid w:val="00CA6C6A"/>
    <w:rsid w:val="00CB2B5C"/>
    <w:rsid w:val="00CB5D72"/>
    <w:rsid w:val="00CB6AA2"/>
    <w:rsid w:val="00CB7AFF"/>
    <w:rsid w:val="00CC0707"/>
    <w:rsid w:val="00CC0D07"/>
    <w:rsid w:val="00CC4407"/>
    <w:rsid w:val="00CC4A81"/>
    <w:rsid w:val="00CD1A01"/>
    <w:rsid w:val="00CD2649"/>
    <w:rsid w:val="00CD37A4"/>
    <w:rsid w:val="00CD3894"/>
    <w:rsid w:val="00CD4B21"/>
    <w:rsid w:val="00CE21D5"/>
    <w:rsid w:val="00CE3514"/>
    <w:rsid w:val="00CE4883"/>
    <w:rsid w:val="00CE7A51"/>
    <w:rsid w:val="00CF2FF3"/>
    <w:rsid w:val="00CF42D9"/>
    <w:rsid w:val="00CF4397"/>
    <w:rsid w:val="00CF681B"/>
    <w:rsid w:val="00CF71E0"/>
    <w:rsid w:val="00D01727"/>
    <w:rsid w:val="00D01AA6"/>
    <w:rsid w:val="00D0327B"/>
    <w:rsid w:val="00D05F76"/>
    <w:rsid w:val="00D06330"/>
    <w:rsid w:val="00D11F97"/>
    <w:rsid w:val="00D141D5"/>
    <w:rsid w:val="00D1761A"/>
    <w:rsid w:val="00D20AF5"/>
    <w:rsid w:val="00D2300B"/>
    <w:rsid w:val="00D24223"/>
    <w:rsid w:val="00D25508"/>
    <w:rsid w:val="00D25808"/>
    <w:rsid w:val="00D25E33"/>
    <w:rsid w:val="00D30790"/>
    <w:rsid w:val="00D357CD"/>
    <w:rsid w:val="00D37DAA"/>
    <w:rsid w:val="00D4279D"/>
    <w:rsid w:val="00D43017"/>
    <w:rsid w:val="00D43D22"/>
    <w:rsid w:val="00D51BE9"/>
    <w:rsid w:val="00D54F7F"/>
    <w:rsid w:val="00D55050"/>
    <w:rsid w:val="00D557FB"/>
    <w:rsid w:val="00D56B9C"/>
    <w:rsid w:val="00D57846"/>
    <w:rsid w:val="00D5792F"/>
    <w:rsid w:val="00D57D48"/>
    <w:rsid w:val="00D60FB1"/>
    <w:rsid w:val="00D615BA"/>
    <w:rsid w:val="00D66A90"/>
    <w:rsid w:val="00D671AB"/>
    <w:rsid w:val="00D72DEB"/>
    <w:rsid w:val="00D72F45"/>
    <w:rsid w:val="00D76DB7"/>
    <w:rsid w:val="00D849FD"/>
    <w:rsid w:val="00D874AC"/>
    <w:rsid w:val="00D87569"/>
    <w:rsid w:val="00D87D06"/>
    <w:rsid w:val="00D92306"/>
    <w:rsid w:val="00D938AB"/>
    <w:rsid w:val="00D94019"/>
    <w:rsid w:val="00D94D7F"/>
    <w:rsid w:val="00D950FD"/>
    <w:rsid w:val="00D97258"/>
    <w:rsid w:val="00DA05F6"/>
    <w:rsid w:val="00DA3BEF"/>
    <w:rsid w:val="00DA4896"/>
    <w:rsid w:val="00DA59AE"/>
    <w:rsid w:val="00DA6482"/>
    <w:rsid w:val="00DA6AB0"/>
    <w:rsid w:val="00DB276F"/>
    <w:rsid w:val="00DB421F"/>
    <w:rsid w:val="00DC1CDD"/>
    <w:rsid w:val="00DC2AE3"/>
    <w:rsid w:val="00DC2F95"/>
    <w:rsid w:val="00DC32CE"/>
    <w:rsid w:val="00DC50F1"/>
    <w:rsid w:val="00DD005A"/>
    <w:rsid w:val="00DD392B"/>
    <w:rsid w:val="00DD420D"/>
    <w:rsid w:val="00DD48B2"/>
    <w:rsid w:val="00DD71BF"/>
    <w:rsid w:val="00DD72C4"/>
    <w:rsid w:val="00DE4176"/>
    <w:rsid w:val="00DE53A5"/>
    <w:rsid w:val="00DE7926"/>
    <w:rsid w:val="00DE7C2F"/>
    <w:rsid w:val="00DF395F"/>
    <w:rsid w:val="00DF6FE9"/>
    <w:rsid w:val="00E01DF1"/>
    <w:rsid w:val="00E03F52"/>
    <w:rsid w:val="00E03FFB"/>
    <w:rsid w:val="00E1090B"/>
    <w:rsid w:val="00E109A7"/>
    <w:rsid w:val="00E10A5B"/>
    <w:rsid w:val="00E12EE8"/>
    <w:rsid w:val="00E15D79"/>
    <w:rsid w:val="00E203D1"/>
    <w:rsid w:val="00E253EF"/>
    <w:rsid w:val="00E27ADF"/>
    <w:rsid w:val="00E30555"/>
    <w:rsid w:val="00E31608"/>
    <w:rsid w:val="00E33998"/>
    <w:rsid w:val="00E347AB"/>
    <w:rsid w:val="00E35FAC"/>
    <w:rsid w:val="00E37BE4"/>
    <w:rsid w:val="00E4362E"/>
    <w:rsid w:val="00E44C33"/>
    <w:rsid w:val="00E453DA"/>
    <w:rsid w:val="00E45F9F"/>
    <w:rsid w:val="00E53192"/>
    <w:rsid w:val="00E54CD1"/>
    <w:rsid w:val="00E6021F"/>
    <w:rsid w:val="00E604A4"/>
    <w:rsid w:val="00E615AF"/>
    <w:rsid w:val="00E63473"/>
    <w:rsid w:val="00E63A36"/>
    <w:rsid w:val="00E645E3"/>
    <w:rsid w:val="00E65478"/>
    <w:rsid w:val="00E65651"/>
    <w:rsid w:val="00E65AAE"/>
    <w:rsid w:val="00E664CD"/>
    <w:rsid w:val="00E67928"/>
    <w:rsid w:val="00E70596"/>
    <w:rsid w:val="00E70818"/>
    <w:rsid w:val="00E70E5A"/>
    <w:rsid w:val="00E738BF"/>
    <w:rsid w:val="00E73C49"/>
    <w:rsid w:val="00E74B58"/>
    <w:rsid w:val="00E77318"/>
    <w:rsid w:val="00E77CAB"/>
    <w:rsid w:val="00E80124"/>
    <w:rsid w:val="00E82FCB"/>
    <w:rsid w:val="00E8303B"/>
    <w:rsid w:val="00E844D9"/>
    <w:rsid w:val="00E84DF3"/>
    <w:rsid w:val="00E86C7E"/>
    <w:rsid w:val="00E86F2A"/>
    <w:rsid w:val="00E87611"/>
    <w:rsid w:val="00E8771D"/>
    <w:rsid w:val="00E90FA4"/>
    <w:rsid w:val="00E92C3C"/>
    <w:rsid w:val="00E94007"/>
    <w:rsid w:val="00E95595"/>
    <w:rsid w:val="00E977E6"/>
    <w:rsid w:val="00EA1BBF"/>
    <w:rsid w:val="00EA23B6"/>
    <w:rsid w:val="00EA44B2"/>
    <w:rsid w:val="00EA4B6D"/>
    <w:rsid w:val="00EA7A4E"/>
    <w:rsid w:val="00EB0049"/>
    <w:rsid w:val="00EB0353"/>
    <w:rsid w:val="00EB14D7"/>
    <w:rsid w:val="00EB64C9"/>
    <w:rsid w:val="00EB66C9"/>
    <w:rsid w:val="00EB6D83"/>
    <w:rsid w:val="00EC1F95"/>
    <w:rsid w:val="00EC461D"/>
    <w:rsid w:val="00EC527B"/>
    <w:rsid w:val="00EC68FB"/>
    <w:rsid w:val="00ED07C9"/>
    <w:rsid w:val="00ED1426"/>
    <w:rsid w:val="00ED1BC0"/>
    <w:rsid w:val="00ED2305"/>
    <w:rsid w:val="00ED2E7D"/>
    <w:rsid w:val="00ED64DC"/>
    <w:rsid w:val="00ED6648"/>
    <w:rsid w:val="00ED7B9A"/>
    <w:rsid w:val="00EE1479"/>
    <w:rsid w:val="00EE194D"/>
    <w:rsid w:val="00EE2E79"/>
    <w:rsid w:val="00EE4130"/>
    <w:rsid w:val="00EE6B30"/>
    <w:rsid w:val="00EF0F7E"/>
    <w:rsid w:val="00EF66D1"/>
    <w:rsid w:val="00EF6BB4"/>
    <w:rsid w:val="00EF6BF3"/>
    <w:rsid w:val="00EF7168"/>
    <w:rsid w:val="00F005D9"/>
    <w:rsid w:val="00F01393"/>
    <w:rsid w:val="00F03BFA"/>
    <w:rsid w:val="00F0556E"/>
    <w:rsid w:val="00F11267"/>
    <w:rsid w:val="00F13EBA"/>
    <w:rsid w:val="00F27475"/>
    <w:rsid w:val="00F31084"/>
    <w:rsid w:val="00F32AF6"/>
    <w:rsid w:val="00F34EF5"/>
    <w:rsid w:val="00F357DD"/>
    <w:rsid w:val="00F36770"/>
    <w:rsid w:val="00F403FF"/>
    <w:rsid w:val="00F412D5"/>
    <w:rsid w:val="00F414C9"/>
    <w:rsid w:val="00F439BA"/>
    <w:rsid w:val="00F4486B"/>
    <w:rsid w:val="00F47757"/>
    <w:rsid w:val="00F500BC"/>
    <w:rsid w:val="00F50BC9"/>
    <w:rsid w:val="00F533A1"/>
    <w:rsid w:val="00F56C18"/>
    <w:rsid w:val="00F57170"/>
    <w:rsid w:val="00F62CB1"/>
    <w:rsid w:val="00F63A6E"/>
    <w:rsid w:val="00F65F39"/>
    <w:rsid w:val="00F70BB8"/>
    <w:rsid w:val="00F715FB"/>
    <w:rsid w:val="00F72A80"/>
    <w:rsid w:val="00F735E0"/>
    <w:rsid w:val="00F73838"/>
    <w:rsid w:val="00F74126"/>
    <w:rsid w:val="00F77035"/>
    <w:rsid w:val="00F778CB"/>
    <w:rsid w:val="00F8191C"/>
    <w:rsid w:val="00F83FD6"/>
    <w:rsid w:val="00F848AD"/>
    <w:rsid w:val="00F84D70"/>
    <w:rsid w:val="00F852FD"/>
    <w:rsid w:val="00F870AC"/>
    <w:rsid w:val="00F934CC"/>
    <w:rsid w:val="00F943BE"/>
    <w:rsid w:val="00F961EF"/>
    <w:rsid w:val="00FA039F"/>
    <w:rsid w:val="00FA4FF2"/>
    <w:rsid w:val="00FA5087"/>
    <w:rsid w:val="00FA513B"/>
    <w:rsid w:val="00FA51B8"/>
    <w:rsid w:val="00FA5526"/>
    <w:rsid w:val="00FA7C99"/>
    <w:rsid w:val="00FA7F20"/>
    <w:rsid w:val="00FB3513"/>
    <w:rsid w:val="00FB372D"/>
    <w:rsid w:val="00FB3951"/>
    <w:rsid w:val="00FB3AD0"/>
    <w:rsid w:val="00FB5B44"/>
    <w:rsid w:val="00FB5DE7"/>
    <w:rsid w:val="00FC0AA5"/>
    <w:rsid w:val="00FC185A"/>
    <w:rsid w:val="00FC1E60"/>
    <w:rsid w:val="00FC1EB5"/>
    <w:rsid w:val="00FC1F27"/>
    <w:rsid w:val="00FC21D6"/>
    <w:rsid w:val="00FC399E"/>
    <w:rsid w:val="00FC54EA"/>
    <w:rsid w:val="00FC57C8"/>
    <w:rsid w:val="00FD1B0F"/>
    <w:rsid w:val="00FD21AF"/>
    <w:rsid w:val="00FD237E"/>
    <w:rsid w:val="00FD3573"/>
    <w:rsid w:val="00FD3786"/>
    <w:rsid w:val="00FD37CB"/>
    <w:rsid w:val="00FD4589"/>
    <w:rsid w:val="00FD54F4"/>
    <w:rsid w:val="00FD5B6A"/>
    <w:rsid w:val="00FD5D87"/>
    <w:rsid w:val="00FE1A74"/>
    <w:rsid w:val="00FE2989"/>
    <w:rsid w:val="00FE48BB"/>
    <w:rsid w:val="00FE492A"/>
    <w:rsid w:val="00FE49AD"/>
    <w:rsid w:val="00FE5C71"/>
    <w:rsid w:val="00FE6F2A"/>
    <w:rsid w:val="00FE79B6"/>
    <w:rsid w:val="00FF1C41"/>
    <w:rsid w:val="00FF2DA3"/>
    <w:rsid w:val="57EC2A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nhideWhenUsed="0"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uiPriority="99" w:name="Normal Indent"/>
    <w:lsdException w:qFormat="1"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before="60" w:beforeLines="60" w:line="312" w:lineRule="auto"/>
      <w:jc w:val="both"/>
    </w:pPr>
    <w:rPr>
      <w:rFonts w:ascii="Arial" w:hAnsi="Arial" w:eastAsia="宋体" w:cs="Times New Roman"/>
      <w:kern w:val="2"/>
      <w:sz w:val="24"/>
      <w:szCs w:val="22"/>
      <w:lang w:val="en-US" w:eastAsia="zh-CN" w:bidi="ar-SA"/>
    </w:rPr>
  </w:style>
  <w:style w:type="paragraph" w:styleId="2">
    <w:name w:val="heading 1"/>
    <w:basedOn w:val="1"/>
    <w:link w:val="30"/>
    <w:qFormat/>
    <w:locked/>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39"/>
    <w:semiHidden/>
    <w:unhideWhenUsed/>
    <w:qFormat/>
    <w:locked/>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40"/>
    <w:semiHidden/>
    <w:unhideWhenUsed/>
    <w:qFormat/>
    <w:locked/>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5">
    <w:name w:val="toc 7"/>
    <w:basedOn w:val="1"/>
    <w:next w:val="1"/>
    <w:autoRedefine/>
    <w:unhideWhenUsed/>
    <w:qFormat/>
    <w:locked/>
    <w:uiPriority w:val="39"/>
    <w:pPr>
      <w:ind w:left="2520" w:leftChars="1200"/>
    </w:pPr>
  </w:style>
  <w:style w:type="paragraph" w:styleId="6">
    <w:name w:val="List Bullet"/>
    <w:qFormat/>
    <w:uiPriority w:val="0"/>
    <w:pPr>
      <w:numPr>
        <w:ilvl w:val="0"/>
        <w:numId w:val="1"/>
      </w:numPr>
      <w:spacing w:before="60" w:after="60" w:line="320" w:lineRule="exact"/>
    </w:pPr>
    <w:rPr>
      <w:rFonts w:ascii="Times New Roman" w:hAnsi="Times New Roman" w:eastAsia="MS Mincho" w:cs="Times New Roman"/>
      <w:sz w:val="24"/>
      <w:szCs w:val="24"/>
      <w:lang w:val="en-US" w:eastAsia="ja-JP" w:bidi="ar-SA"/>
    </w:rPr>
  </w:style>
  <w:style w:type="paragraph" w:styleId="7">
    <w:name w:val="annotation text"/>
    <w:basedOn w:val="1"/>
    <w:link w:val="36"/>
    <w:semiHidden/>
    <w:qFormat/>
    <w:uiPriority w:val="99"/>
    <w:pPr>
      <w:widowControl/>
      <w:spacing w:after="200"/>
      <w:jc w:val="left"/>
    </w:pPr>
    <w:rPr>
      <w:kern w:val="0"/>
      <w:sz w:val="20"/>
      <w:szCs w:val="20"/>
      <w:lang w:eastAsia="en-US"/>
    </w:rPr>
  </w:style>
  <w:style w:type="paragraph" w:styleId="8">
    <w:name w:val="toc 5"/>
    <w:basedOn w:val="1"/>
    <w:next w:val="1"/>
    <w:autoRedefine/>
    <w:unhideWhenUsed/>
    <w:qFormat/>
    <w:locked/>
    <w:uiPriority w:val="39"/>
    <w:pPr>
      <w:ind w:left="1680" w:leftChars="800"/>
    </w:pPr>
  </w:style>
  <w:style w:type="paragraph" w:styleId="9">
    <w:name w:val="toc 3"/>
    <w:basedOn w:val="1"/>
    <w:next w:val="1"/>
    <w:autoRedefine/>
    <w:qFormat/>
    <w:locked/>
    <w:uiPriority w:val="39"/>
    <w:pPr>
      <w:tabs>
        <w:tab w:val="right" w:leader="dot" w:pos="8290"/>
      </w:tabs>
      <w:ind w:left="1050" w:hanging="1050" w:hangingChars="500"/>
      <w:jc w:val="left"/>
    </w:pPr>
    <w:rPr>
      <w:rFonts w:ascii="Times New Roman" w:hAnsi="Times New Roman" w:cs="宋体"/>
      <w:smallCaps/>
      <w:lang w:val="zh-CN"/>
    </w:rPr>
  </w:style>
  <w:style w:type="paragraph" w:styleId="10">
    <w:name w:val="toc 8"/>
    <w:basedOn w:val="1"/>
    <w:next w:val="1"/>
    <w:autoRedefine/>
    <w:unhideWhenUsed/>
    <w:qFormat/>
    <w:locked/>
    <w:uiPriority w:val="39"/>
    <w:pPr>
      <w:ind w:left="2940" w:leftChars="1400"/>
    </w:pPr>
  </w:style>
  <w:style w:type="paragraph" w:styleId="11">
    <w:name w:val="Date"/>
    <w:basedOn w:val="1"/>
    <w:next w:val="1"/>
    <w:link w:val="34"/>
    <w:qFormat/>
    <w:uiPriority w:val="99"/>
    <w:pPr>
      <w:ind w:left="100" w:leftChars="2500"/>
    </w:pPr>
  </w:style>
  <w:style w:type="paragraph" w:styleId="12">
    <w:name w:val="Balloon Text"/>
    <w:basedOn w:val="1"/>
    <w:link w:val="37"/>
    <w:semiHidden/>
    <w:qFormat/>
    <w:uiPriority w:val="99"/>
    <w:rPr>
      <w:sz w:val="18"/>
      <w:szCs w:val="18"/>
    </w:rPr>
  </w:style>
  <w:style w:type="paragraph" w:styleId="13">
    <w:name w:val="footer"/>
    <w:basedOn w:val="1"/>
    <w:link w:val="33"/>
    <w:qFormat/>
    <w:uiPriority w:val="99"/>
    <w:pPr>
      <w:tabs>
        <w:tab w:val="center" w:pos="4153"/>
        <w:tab w:val="right" w:pos="8306"/>
      </w:tabs>
      <w:jc w:val="left"/>
    </w:pPr>
    <w:rPr>
      <w:sz w:val="18"/>
      <w:szCs w:val="18"/>
    </w:rPr>
  </w:style>
  <w:style w:type="paragraph" w:styleId="14">
    <w:name w:val="header"/>
    <w:basedOn w:val="1"/>
    <w:link w:val="32"/>
    <w:qFormat/>
    <w:uiPriority w:val="99"/>
    <w:pPr>
      <w:pBdr>
        <w:bottom w:val="single" w:color="auto" w:sz="6" w:space="1"/>
      </w:pBdr>
      <w:tabs>
        <w:tab w:val="center" w:pos="4153"/>
        <w:tab w:val="right" w:pos="8306"/>
      </w:tabs>
      <w:jc w:val="center"/>
    </w:pPr>
    <w:rPr>
      <w:sz w:val="18"/>
      <w:szCs w:val="18"/>
    </w:rPr>
  </w:style>
  <w:style w:type="paragraph" w:styleId="15">
    <w:name w:val="toc 1"/>
    <w:basedOn w:val="1"/>
    <w:next w:val="1"/>
    <w:autoRedefine/>
    <w:qFormat/>
    <w:locked/>
    <w:uiPriority w:val="39"/>
    <w:pPr>
      <w:tabs>
        <w:tab w:val="left" w:pos="480"/>
        <w:tab w:val="right" w:leader="dot" w:pos="9120"/>
      </w:tabs>
      <w:adjustRightInd w:val="0"/>
      <w:spacing w:before="30" w:beforeLines="30" w:line="264" w:lineRule="auto"/>
      <w:ind w:right="200" w:rightChars="200" w:hanging="1049" w:hangingChars="200"/>
    </w:pPr>
    <w:rPr>
      <w:rFonts w:cs="宋体"/>
      <w:bCs/>
      <w:caps/>
      <w:lang w:val="zh-CN"/>
    </w:rPr>
  </w:style>
  <w:style w:type="paragraph" w:styleId="16">
    <w:name w:val="toc 4"/>
    <w:basedOn w:val="1"/>
    <w:next w:val="1"/>
    <w:autoRedefine/>
    <w:qFormat/>
    <w:locked/>
    <w:uiPriority w:val="39"/>
    <w:pPr>
      <w:tabs>
        <w:tab w:val="right" w:leader="dot" w:pos="8290"/>
      </w:tabs>
      <w:ind w:left="1050" w:hanging="1050" w:hangingChars="500"/>
      <w:jc w:val="left"/>
    </w:pPr>
    <w:rPr>
      <w:rFonts w:ascii="Times New Roman" w:hAnsi="Times New Roman"/>
      <w:lang w:val="zh-CN"/>
    </w:rPr>
  </w:style>
  <w:style w:type="paragraph" w:styleId="17">
    <w:name w:val="footnote text"/>
    <w:basedOn w:val="1"/>
    <w:link w:val="44"/>
    <w:semiHidden/>
    <w:unhideWhenUsed/>
    <w:qFormat/>
    <w:uiPriority w:val="99"/>
    <w:pPr>
      <w:jc w:val="left"/>
    </w:pPr>
    <w:rPr>
      <w:sz w:val="18"/>
      <w:szCs w:val="18"/>
    </w:rPr>
  </w:style>
  <w:style w:type="paragraph" w:styleId="18">
    <w:name w:val="toc 6"/>
    <w:basedOn w:val="1"/>
    <w:next w:val="1"/>
    <w:autoRedefine/>
    <w:unhideWhenUsed/>
    <w:qFormat/>
    <w:locked/>
    <w:uiPriority w:val="39"/>
    <w:pPr>
      <w:ind w:left="2100" w:leftChars="1000"/>
    </w:pPr>
  </w:style>
  <w:style w:type="paragraph" w:styleId="19">
    <w:name w:val="toc 2"/>
    <w:basedOn w:val="1"/>
    <w:next w:val="1"/>
    <w:autoRedefine/>
    <w:qFormat/>
    <w:locked/>
    <w:uiPriority w:val="39"/>
    <w:pPr>
      <w:tabs>
        <w:tab w:val="right" w:leader="dot" w:pos="9120"/>
      </w:tabs>
      <w:adjustRightInd w:val="0"/>
      <w:spacing w:before="97" w:beforeLines="30" w:line="264" w:lineRule="auto"/>
      <w:ind w:left="480" w:leftChars="200" w:right="480" w:rightChars="200"/>
    </w:pPr>
    <w:rPr>
      <w:bCs/>
      <w:smallCaps/>
      <w:lang w:val="zh-CN"/>
    </w:rPr>
  </w:style>
  <w:style w:type="paragraph" w:styleId="20">
    <w:name w:val="toc 9"/>
    <w:basedOn w:val="1"/>
    <w:next w:val="1"/>
    <w:autoRedefine/>
    <w:unhideWhenUsed/>
    <w:qFormat/>
    <w:locked/>
    <w:uiPriority w:val="39"/>
    <w:pPr>
      <w:ind w:left="3360" w:leftChars="1600"/>
    </w:pPr>
  </w:style>
  <w:style w:type="paragraph" w:styleId="21">
    <w:name w:val="Normal (Web)"/>
    <w:basedOn w:val="1"/>
    <w:qFormat/>
    <w:uiPriority w:val="99"/>
    <w:pPr>
      <w:widowControl/>
      <w:spacing w:before="100" w:beforeAutospacing="1" w:after="100" w:afterAutospacing="1"/>
      <w:jc w:val="left"/>
    </w:pPr>
    <w:rPr>
      <w:rFonts w:ascii="宋体" w:hAnsi="宋体" w:cs="宋体"/>
      <w:kern w:val="0"/>
      <w:szCs w:val="24"/>
    </w:rPr>
  </w:style>
  <w:style w:type="table" w:styleId="23">
    <w:name w:val="Table Grid"/>
    <w:basedOn w:val="22"/>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99"/>
    <w:rPr>
      <w:rFonts w:cs="Times New Roman"/>
      <w:b/>
      <w:bCs/>
    </w:rPr>
  </w:style>
  <w:style w:type="character" w:styleId="26">
    <w:name w:val="Emphasis"/>
    <w:basedOn w:val="24"/>
    <w:qFormat/>
    <w:locked/>
    <w:uiPriority w:val="20"/>
    <w:rPr>
      <w:rFonts w:cs="Times New Roman"/>
      <w:i/>
      <w:iCs/>
    </w:rPr>
  </w:style>
  <w:style w:type="character" w:styleId="27">
    <w:name w:val="Hyperlink"/>
    <w:basedOn w:val="24"/>
    <w:qFormat/>
    <w:uiPriority w:val="99"/>
    <w:rPr>
      <w:rFonts w:cs="Times New Roman"/>
      <w:color w:val="0000FF"/>
      <w:u w:val="single"/>
    </w:rPr>
  </w:style>
  <w:style w:type="character" w:styleId="28">
    <w:name w:val="annotation reference"/>
    <w:basedOn w:val="24"/>
    <w:semiHidden/>
    <w:qFormat/>
    <w:uiPriority w:val="99"/>
    <w:rPr>
      <w:rFonts w:cs="Times New Roman"/>
      <w:sz w:val="16"/>
      <w:szCs w:val="16"/>
    </w:rPr>
  </w:style>
  <w:style w:type="character" w:styleId="29">
    <w:name w:val="footnote reference"/>
    <w:basedOn w:val="24"/>
    <w:semiHidden/>
    <w:unhideWhenUsed/>
    <w:qFormat/>
    <w:uiPriority w:val="99"/>
    <w:rPr>
      <w:vertAlign w:val="superscript"/>
    </w:rPr>
  </w:style>
  <w:style w:type="character" w:customStyle="1" w:styleId="30">
    <w:name w:val="标题 1 Char"/>
    <w:basedOn w:val="24"/>
    <w:link w:val="2"/>
    <w:locked/>
    <w:uiPriority w:val="99"/>
    <w:rPr>
      <w:rFonts w:ascii="宋体" w:eastAsia="宋体" w:cs="宋体"/>
      <w:b/>
      <w:bCs/>
      <w:kern w:val="36"/>
      <w:sz w:val="48"/>
      <w:szCs w:val="48"/>
    </w:rPr>
  </w:style>
  <w:style w:type="character" w:customStyle="1" w:styleId="31">
    <w:name w:val="apple-converted-space"/>
    <w:basedOn w:val="24"/>
    <w:qFormat/>
    <w:uiPriority w:val="0"/>
    <w:rPr>
      <w:rFonts w:cs="Times New Roman"/>
    </w:rPr>
  </w:style>
  <w:style w:type="character" w:customStyle="1" w:styleId="32">
    <w:name w:val="页眉 Char"/>
    <w:basedOn w:val="24"/>
    <w:link w:val="14"/>
    <w:qFormat/>
    <w:locked/>
    <w:uiPriority w:val="99"/>
    <w:rPr>
      <w:rFonts w:cs="Times New Roman"/>
      <w:sz w:val="18"/>
      <w:szCs w:val="18"/>
    </w:rPr>
  </w:style>
  <w:style w:type="character" w:customStyle="1" w:styleId="33">
    <w:name w:val="页脚 Char"/>
    <w:basedOn w:val="24"/>
    <w:link w:val="13"/>
    <w:qFormat/>
    <w:locked/>
    <w:uiPriority w:val="99"/>
    <w:rPr>
      <w:rFonts w:cs="Times New Roman"/>
      <w:sz w:val="18"/>
      <w:szCs w:val="18"/>
    </w:rPr>
  </w:style>
  <w:style w:type="character" w:customStyle="1" w:styleId="34">
    <w:name w:val="日期 Char"/>
    <w:basedOn w:val="24"/>
    <w:link w:val="11"/>
    <w:semiHidden/>
    <w:qFormat/>
    <w:locked/>
    <w:uiPriority w:val="99"/>
    <w:rPr>
      <w:rFonts w:cs="Times New Roman"/>
    </w:rPr>
  </w:style>
  <w:style w:type="paragraph" w:customStyle="1" w:styleId="35">
    <w:name w:val="op_sp_fanyi_line_two"/>
    <w:basedOn w:val="1"/>
    <w:qFormat/>
    <w:uiPriority w:val="99"/>
    <w:pPr>
      <w:widowControl/>
      <w:spacing w:before="100" w:beforeAutospacing="1" w:after="100" w:afterAutospacing="1"/>
      <w:jc w:val="left"/>
    </w:pPr>
    <w:rPr>
      <w:rFonts w:ascii="宋体" w:hAnsi="宋体" w:cs="宋体"/>
      <w:kern w:val="0"/>
      <w:szCs w:val="24"/>
    </w:rPr>
  </w:style>
  <w:style w:type="character" w:customStyle="1" w:styleId="36">
    <w:name w:val="批注文字 Char"/>
    <w:basedOn w:val="24"/>
    <w:link w:val="7"/>
    <w:semiHidden/>
    <w:qFormat/>
    <w:locked/>
    <w:uiPriority w:val="99"/>
    <w:rPr>
      <w:rFonts w:ascii="Calibri" w:hAnsi="Calibri" w:eastAsia="宋体" w:cs="Times New Roman"/>
      <w:lang w:val="en-US" w:eastAsia="en-US" w:bidi="ar-SA"/>
    </w:rPr>
  </w:style>
  <w:style w:type="character" w:customStyle="1" w:styleId="37">
    <w:name w:val="批注框文本 Char"/>
    <w:basedOn w:val="24"/>
    <w:link w:val="12"/>
    <w:semiHidden/>
    <w:qFormat/>
    <w:locked/>
    <w:uiPriority w:val="99"/>
    <w:rPr>
      <w:rFonts w:cs="Times New Roman"/>
      <w:sz w:val="2"/>
    </w:rPr>
  </w:style>
  <w:style w:type="paragraph" w:customStyle="1" w:styleId="38">
    <w:name w:val="HeaderText"/>
    <w:qFormat/>
    <w:uiPriority w:val="0"/>
    <w:pPr>
      <w:keepLines/>
    </w:pPr>
    <w:rPr>
      <w:rFonts w:ascii="Times New Roman" w:hAnsi="Times New Roman" w:eastAsia="MS Mincho" w:cs="Times New Roman"/>
      <w:lang w:val="en-US" w:eastAsia="ja-JP" w:bidi="ar-SA"/>
    </w:rPr>
  </w:style>
  <w:style w:type="character" w:customStyle="1" w:styleId="39">
    <w:name w:val="标题 2 Char"/>
    <w:basedOn w:val="24"/>
    <w:link w:val="3"/>
    <w:semiHidden/>
    <w:qFormat/>
    <w:uiPriority w:val="0"/>
    <w:rPr>
      <w:rFonts w:ascii="Cambria" w:hAnsi="Cambria" w:eastAsia="宋体" w:cs="Times New Roman"/>
      <w:b/>
      <w:bCs/>
      <w:kern w:val="2"/>
      <w:sz w:val="32"/>
      <w:szCs w:val="32"/>
    </w:rPr>
  </w:style>
  <w:style w:type="character" w:customStyle="1" w:styleId="40">
    <w:name w:val="标题 3 Char"/>
    <w:basedOn w:val="24"/>
    <w:link w:val="4"/>
    <w:semiHidden/>
    <w:qFormat/>
    <w:uiPriority w:val="0"/>
    <w:rPr>
      <w:b/>
      <w:bCs/>
      <w:kern w:val="2"/>
      <w:sz w:val="32"/>
      <w:szCs w:val="32"/>
    </w:rPr>
  </w:style>
  <w:style w:type="paragraph" w:customStyle="1" w:styleId="41">
    <w:name w:val="References"/>
    <w:qFormat/>
    <w:uiPriority w:val="0"/>
    <w:pPr>
      <w:numPr>
        <w:ilvl w:val="0"/>
        <w:numId w:val="2"/>
      </w:numPr>
      <w:spacing w:before="60" w:after="60" w:line="360" w:lineRule="exact"/>
    </w:pPr>
    <w:rPr>
      <w:rFonts w:ascii="Times New Roman" w:hAnsi="Times New Roman" w:eastAsia="MS Mincho" w:cs="Times New Roman"/>
      <w:sz w:val="24"/>
      <w:szCs w:val="24"/>
      <w:lang w:val="en-US" w:eastAsia="ja-JP" w:bidi="ar-SA"/>
    </w:rPr>
  </w:style>
  <w:style w:type="paragraph" w:styleId="42">
    <w:name w:val="List Paragraph"/>
    <w:basedOn w:val="1"/>
    <w:qFormat/>
    <w:uiPriority w:val="34"/>
    <w:pPr>
      <w:widowControl/>
      <w:ind w:left="720"/>
    </w:pPr>
    <w:rPr>
      <w:kern w:val="0"/>
      <w:lang w:val="zh-CN" w:bidi="zh-CN"/>
    </w:rPr>
  </w:style>
  <w:style w:type="paragraph" w:customStyle="1" w:styleId="4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4">
    <w:name w:val="脚注文本 Char"/>
    <w:basedOn w:val="24"/>
    <w:link w:val="17"/>
    <w:semiHidden/>
    <w:qFormat/>
    <w:uiPriority w:val="99"/>
    <w:rPr>
      <w:rFonts w:ascii="Arial" w:hAnsi="Arial"/>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1428E4-727F-4287-8FC4-82FF876EC02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8909</Words>
  <Characters>10409</Characters>
  <Lines>26</Lines>
  <Paragraphs>24</Paragraphs>
  <TotalTime>0</TotalTime>
  <ScaleCrop>false</ScaleCrop>
  <LinksUpToDate>false</LinksUpToDate>
  <CharactersWithSpaces>10556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2017-04-06T10:46:00Z</dcterms:created>
  <dc:creator>pc dell</dc:creator>
  <cp:lastModifiedBy>太极箫客</cp:lastModifiedBy>
  <dcterms:modified xsi:type="dcterms:W3CDTF">2025-08-14T06:31:57Z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3FECACCE2ABD402CB8961EE7E185E4CE_12</vt:lpwstr>
  </property>
</Properties>
</file>