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BB5B3">
      <w:pPr>
        <w:pBdr>
          <w:bottom w:val="single" w:color="auto" w:sz="4" w:space="1"/>
        </w:pBdr>
        <w:topLinePunct/>
        <w:adjustRightInd w:val="0"/>
        <w:snapToGrid w:val="0"/>
        <w:spacing w:after="234" w:afterLines="75" w:line="288" w:lineRule="auto"/>
        <w:jc w:val="center"/>
        <w:rPr>
          <w:rFonts w:ascii="Arial" w:hAnsi="Arial" w:eastAsia="宋体" w:cs="Arial"/>
          <w:b/>
          <w:snapToGrid w:val="0"/>
          <w:kern w:val="0"/>
          <w:sz w:val="56"/>
          <w:szCs w:val="72"/>
        </w:rPr>
      </w:pPr>
      <w:bookmarkStart w:id="20" w:name="_GoBack"/>
      <w:bookmarkEnd w:id="20"/>
      <w:r>
        <w:rPr>
          <w:rFonts w:ascii="Arial" w:hAnsi="Arial" w:eastAsia="宋体" w:cs="Arial"/>
          <w:b/>
          <w:snapToGrid w:val="0"/>
          <w:kern w:val="0"/>
          <w:sz w:val="56"/>
          <w:szCs w:val="72"/>
        </w:rPr>
        <w:t>体外伴随式诊断器械</w:t>
      </w:r>
    </w:p>
    <w:p w14:paraId="22B641D0">
      <w:pPr>
        <w:topLinePunct/>
        <w:adjustRightInd w:val="0"/>
        <w:snapToGrid w:val="0"/>
        <w:spacing w:after="234" w:afterLines="75" w:line="288" w:lineRule="auto"/>
        <w:jc w:val="center"/>
        <w:rPr>
          <w:rFonts w:ascii="Arial" w:hAnsi="Arial" w:eastAsia="宋体" w:cs="Arial"/>
          <w:b/>
          <w:snapToGrid w:val="0"/>
          <w:kern w:val="0"/>
          <w:sz w:val="56"/>
          <w:szCs w:val="72"/>
        </w:rPr>
      </w:pPr>
      <w:r>
        <w:rPr>
          <w:rFonts w:ascii="Arial" w:hAnsi="Arial" w:eastAsia="宋体" w:cs="Arial"/>
          <w:b/>
          <w:snapToGrid w:val="0"/>
          <w:kern w:val="0"/>
          <w:sz w:val="56"/>
          <w:szCs w:val="72"/>
        </w:rPr>
        <w:t>行业和FDA工作人员指南</w:t>
      </w:r>
    </w:p>
    <w:p w14:paraId="52E14ED9">
      <w:pPr>
        <w:topLinePunct/>
        <w:adjustRightInd w:val="0"/>
        <w:snapToGrid w:val="0"/>
        <w:spacing w:after="234" w:afterLines="75" w:line="288" w:lineRule="auto"/>
        <w:jc w:val="center"/>
        <w:rPr>
          <w:rFonts w:ascii="Arial" w:hAnsi="Arial" w:eastAsia="宋体" w:cs="Arial"/>
          <w:b/>
          <w:snapToGrid w:val="0"/>
          <w:kern w:val="0"/>
          <w:sz w:val="24"/>
        </w:rPr>
      </w:pPr>
    </w:p>
    <w:p w14:paraId="45077B5D">
      <w:pPr>
        <w:topLinePunct/>
        <w:adjustRightInd w:val="0"/>
        <w:snapToGrid w:val="0"/>
        <w:spacing w:after="234" w:afterLines="75" w:line="288" w:lineRule="auto"/>
        <w:jc w:val="center"/>
        <w:rPr>
          <w:rFonts w:ascii="Arial" w:hAnsi="Arial" w:eastAsia="宋体" w:cs="Arial"/>
          <w:b/>
          <w:snapToGrid w:val="0"/>
          <w:kern w:val="0"/>
          <w:sz w:val="24"/>
        </w:rPr>
      </w:pPr>
      <w:r>
        <w:rPr>
          <w:rFonts w:ascii="Arial" w:hAnsi="Arial" w:eastAsia="宋体" w:cs="Arial"/>
          <w:b/>
          <w:snapToGrid w:val="0"/>
          <w:kern w:val="0"/>
          <w:sz w:val="24"/>
        </w:rPr>
        <w:t>文件发布于：2014年8月6日</w:t>
      </w:r>
    </w:p>
    <w:p w14:paraId="289ACB00">
      <w:pPr>
        <w:topLinePunct/>
        <w:adjustRightInd w:val="0"/>
        <w:snapToGrid w:val="0"/>
        <w:spacing w:after="234" w:afterLines="75" w:line="288" w:lineRule="auto"/>
        <w:jc w:val="center"/>
        <w:rPr>
          <w:rFonts w:ascii="Arial" w:hAnsi="Arial" w:eastAsia="宋体" w:cs="Arial"/>
          <w:b/>
          <w:snapToGrid w:val="0"/>
          <w:kern w:val="0"/>
          <w:sz w:val="24"/>
        </w:rPr>
      </w:pPr>
    </w:p>
    <w:p w14:paraId="7B3CE07B">
      <w:pPr>
        <w:topLinePunct/>
        <w:adjustRightInd w:val="0"/>
        <w:snapToGrid w:val="0"/>
        <w:spacing w:after="234" w:afterLines="75" w:line="288" w:lineRule="auto"/>
        <w:jc w:val="center"/>
        <w:rPr>
          <w:rFonts w:ascii="Arial" w:hAnsi="Arial" w:eastAsia="宋体" w:cs="Arial"/>
          <w:b/>
          <w:snapToGrid w:val="0"/>
          <w:kern w:val="0"/>
          <w:sz w:val="24"/>
        </w:rPr>
      </w:pPr>
      <w:r>
        <w:rPr>
          <w:rFonts w:ascii="Arial" w:hAnsi="Arial" w:eastAsia="宋体" w:cs="Arial"/>
          <w:b/>
          <w:snapToGrid w:val="0"/>
          <w:kern w:val="0"/>
          <w:sz w:val="24"/>
        </w:rPr>
        <w:t>本文件草案发布于：2011年7月14日</w:t>
      </w:r>
    </w:p>
    <w:p w14:paraId="556A959E">
      <w:pPr>
        <w:topLinePunct/>
        <w:adjustRightInd w:val="0"/>
        <w:snapToGrid w:val="0"/>
        <w:spacing w:after="234" w:afterLines="75" w:line="288" w:lineRule="auto"/>
        <w:jc w:val="center"/>
        <w:rPr>
          <w:rFonts w:ascii="Arial" w:hAnsi="Arial" w:eastAsia="宋体" w:cs="Arial"/>
          <w:b/>
          <w:snapToGrid w:val="0"/>
          <w:kern w:val="0"/>
          <w:sz w:val="24"/>
        </w:rPr>
      </w:pPr>
    </w:p>
    <w:p w14:paraId="1EC9A5F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本文件中与CDRH有关的问题，请通过电话301-796-4664或邮件</w:t>
      </w:r>
      <w:r>
        <w:rPr>
          <w:rFonts w:hint="eastAsia" w:ascii="Arial" w:hAnsi="Arial" w:eastAsia="宋体" w:cs="Arial"/>
          <w:snapToGrid w:val="0"/>
          <w:kern w:val="0"/>
          <w:sz w:val="24"/>
        </w:rPr>
        <w:t xml:space="preserve"> </w:t>
      </w:r>
      <w:r>
        <w:fldChar w:fldCharType="begin"/>
      </w:r>
      <w:r>
        <w:instrText xml:space="preserve"> HYPERLINK "mailto:elizabeth.mansfield@fda.hhs.gov" </w:instrText>
      </w:r>
      <w:r>
        <w:fldChar w:fldCharType="separate"/>
      </w:r>
      <w:r>
        <w:rPr>
          <w:rStyle w:val="11"/>
          <w:rFonts w:ascii="Arial" w:hAnsi="Arial" w:eastAsia="宋体" w:cs="Arial"/>
          <w:snapToGrid w:val="0"/>
          <w:kern w:val="0"/>
          <w:sz w:val="24"/>
        </w:rPr>
        <w:t>elizabeth.mansfield@fda.hhs.gov</w:t>
      </w:r>
      <w:r>
        <w:rPr>
          <w:rStyle w:val="11"/>
          <w:rFonts w:ascii="Arial" w:hAnsi="Arial" w:eastAsia="宋体" w:cs="Arial"/>
          <w:snapToGrid w:val="0"/>
          <w:kern w:val="0"/>
          <w:sz w:val="24"/>
        </w:rPr>
        <w:fldChar w:fldCharType="end"/>
      </w:r>
      <w:r>
        <w:rPr>
          <w:rFonts w:ascii="Arial" w:hAnsi="Arial" w:eastAsia="宋体" w:cs="Arial"/>
          <w:snapToGrid w:val="0"/>
          <w:kern w:val="0"/>
          <w:sz w:val="24"/>
        </w:rPr>
        <w:t>联系Elizabeth Mansfield；与CBER相关的问题，请通过电话240-402-7800或1-800-835-4709，或通过邮件</w:t>
      </w:r>
      <w:r>
        <w:fldChar w:fldCharType="begin"/>
      </w:r>
      <w:r>
        <w:instrText xml:space="preserve"> HYPERLINK "mailto:ocod@fda.hhs.gov" </w:instrText>
      </w:r>
      <w:r>
        <w:fldChar w:fldCharType="separate"/>
      </w:r>
      <w:r>
        <w:rPr>
          <w:rStyle w:val="11"/>
          <w:rFonts w:ascii="Arial" w:hAnsi="Arial" w:eastAsia="宋体" w:cs="Arial"/>
          <w:snapToGrid w:val="0"/>
          <w:kern w:val="0"/>
          <w:sz w:val="24"/>
        </w:rPr>
        <w:t>ocod@fda.hhs.gov</w:t>
      </w:r>
      <w:r>
        <w:rPr>
          <w:rStyle w:val="11"/>
          <w:rFonts w:ascii="Arial" w:hAnsi="Arial" w:eastAsia="宋体" w:cs="Arial"/>
          <w:snapToGrid w:val="0"/>
          <w:kern w:val="0"/>
          <w:sz w:val="24"/>
        </w:rPr>
        <w:fldChar w:fldCharType="end"/>
      </w:r>
      <w:r>
        <w:rPr>
          <w:rFonts w:ascii="Arial" w:hAnsi="Arial" w:eastAsia="宋体" w:cs="Arial"/>
          <w:snapToGrid w:val="0"/>
          <w:kern w:val="0"/>
          <w:sz w:val="24"/>
        </w:rPr>
        <w:t>联系沟通、推广和发展办公室（OCOD）。与CDER相关的问题，请通过电话301-796-0017或邮件</w:t>
      </w:r>
      <w:r>
        <w:fldChar w:fldCharType="begin"/>
      </w:r>
      <w:r>
        <w:instrText xml:space="preserve"> HYPERLINK "mailto:christopher.leptak@fda.hhs.gov" </w:instrText>
      </w:r>
      <w:r>
        <w:fldChar w:fldCharType="separate"/>
      </w:r>
      <w:r>
        <w:rPr>
          <w:rStyle w:val="11"/>
          <w:rFonts w:ascii="Arial" w:hAnsi="Arial" w:eastAsia="宋体" w:cs="Arial"/>
          <w:snapToGrid w:val="0"/>
          <w:kern w:val="0"/>
          <w:sz w:val="24"/>
        </w:rPr>
        <w:t>christopher.leptak@fda.hhs.gov</w:t>
      </w:r>
      <w:r>
        <w:rPr>
          <w:rStyle w:val="11"/>
          <w:rFonts w:ascii="Arial" w:hAnsi="Arial" w:eastAsia="宋体" w:cs="Arial"/>
          <w:snapToGrid w:val="0"/>
          <w:kern w:val="0"/>
          <w:sz w:val="24"/>
        </w:rPr>
        <w:fldChar w:fldCharType="end"/>
      </w:r>
      <w:r>
        <w:rPr>
          <w:rFonts w:hint="eastAsia" w:ascii="Arial" w:hAnsi="Arial" w:eastAsia="宋体" w:cs="Arial"/>
          <w:snapToGrid w:val="0"/>
          <w:kern w:val="0"/>
          <w:sz w:val="24"/>
        </w:rPr>
        <w:t xml:space="preserve"> </w:t>
      </w:r>
      <w:r>
        <w:rPr>
          <w:rFonts w:ascii="Arial" w:hAnsi="Arial" w:eastAsia="宋体" w:cs="Arial"/>
          <w:snapToGrid w:val="0"/>
          <w:kern w:val="0"/>
          <w:sz w:val="24"/>
        </w:rPr>
        <w:t>联系Christopher Leptak。</w:t>
      </w:r>
    </w:p>
    <w:p w14:paraId="1FA0EA81">
      <w:pPr>
        <w:topLinePunct/>
        <w:adjustRightInd w:val="0"/>
        <w:snapToGrid w:val="0"/>
        <w:spacing w:line="288" w:lineRule="auto"/>
        <w:jc w:val="right"/>
        <w:rPr>
          <w:rFonts w:ascii="Arial" w:hAnsi="Arial" w:eastAsia="宋体" w:cs="Arial"/>
          <w:b/>
          <w:snapToGrid w:val="0"/>
          <w:kern w:val="0"/>
          <w:sz w:val="24"/>
        </w:rPr>
      </w:pPr>
    </w:p>
    <w:p w14:paraId="7B51071D">
      <w:pPr>
        <w:topLinePunct/>
        <w:adjustRightInd w:val="0"/>
        <w:snapToGrid w:val="0"/>
        <w:spacing w:line="288" w:lineRule="auto"/>
        <w:rPr>
          <w:rFonts w:ascii="Arial" w:hAnsi="Arial" w:eastAsia="宋体" w:cs="Arial"/>
          <w:b/>
          <w:snapToGrid w:val="0"/>
          <w:kern w:val="0"/>
          <w:sz w:val="24"/>
        </w:rPr>
      </w:pPr>
      <w:r>
        <w:rPr>
          <w:rFonts w:hint="eastAsia" w:ascii="Arial" w:hAnsi="Arial" w:eastAsia="宋体" w:cs="Arial"/>
          <w:b/>
          <w:kern w:val="0"/>
          <w:sz w:val="24"/>
        </w:rPr>
        <w:drawing>
          <wp:inline distT="0" distB="0" distL="0" distR="0">
            <wp:extent cx="3267075" cy="1276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67075" cy="1276350"/>
                    </a:xfrm>
                    <a:prstGeom prst="rect">
                      <a:avLst/>
                    </a:prstGeom>
                    <a:noFill/>
                    <a:ln>
                      <a:noFill/>
                    </a:ln>
                  </pic:spPr>
                </pic:pic>
              </a:graphicData>
            </a:graphic>
          </wp:inline>
        </w:drawing>
      </w:r>
    </w:p>
    <w:p w14:paraId="584BDD9E">
      <w:pPr>
        <w:topLinePunct/>
        <w:adjustRightInd w:val="0"/>
        <w:snapToGrid w:val="0"/>
        <w:spacing w:line="288" w:lineRule="auto"/>
        <w:jc w:val="right"/>
        <w:rPr>
          <w:rFonts w:ascii="Arial" w:hAnsi="Arial" w:eastAsia="宋体" w:cs="Arial"/>
          <w:b/>
          <w:snapToGrid w:val="0"/>
          <w:kern w:val="0"/>
          <w:sz w:val="24"/>
        </w:rPr>
      </w:pPr>
    </w:p>
    <w:p w14:paraId="38F1069E">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美国卫生和人类服务署</w:t>
      </w:r>
    </w:p>
    <w:p w14:paraId="1197A7FA">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食品药品监督管理局</w:t>
      </w:r>
    </w:p>
    <w:p w14:paraId="0213EDBA">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器械和放射卫生中心</w:t>
      </w:r>
    </w:p>
    <w:p w14:paraId="5193AC1F">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生物制剂评价和研究中心</w:t>
      </w:r>
    </w:p>
    <w:p w14:paraId="293EF9E8">
      <w:pPr>
        <w:topLinePunct/>
        <w:adjustRightInd w:val="0"/>
        <w:snapToGrid w:val="0"/>
        <w:spacing w:line="288" w:lineRule="auto"/>
        <w:jc w:val="right"/>
        <w:rPr>
          <w:rFonts w:ascii="Arial" w:hAnsi="Arial" w:eastAsia="宋体" w:cs="Arial"/>
          <w:b/>
          <w:snapToGrid w:val="0"/>
          <w:kern w:val="0"/>
          <w:sz w:val="24"/>
        </w:rPr>
      </w:pPr>
      <w:r>
        <w:rPr>
          <w:rFonts w:ascii="Arial" w:hAnsi="Arial" w:eastAsia="宋体" w:cs="Arial"/>
          <w:b/>
          <w:snapToGrid w:val="0"/>
          <w:kern w:val="0"/>
          <w:sz w:val="24"/>
        </w:rPr>
        <w:t>药品评价与研究中心</w:t>
      </w:r>
    </w:p>
    <w:p w14:paraId="407BD787">
      <w:pPr>
        <w:topLinePunct/>
        <w:adjustRightInd w:val="0"/>
        <w:snapToGrid w:val="0"/>
        <w:spacing w:after="234" w:afterLines="75" w:line="288" w:lineRule="auto"/>
        <w:rPr>
          <w:rFonts w:ascii="Arial" w:hAnsi="Arial" w:eastAsia="宋体" w:cs="Arial"/>
          <w:snapToGrid w:val="0"/>
          <w:kern w:val="0"/>
          <w:sz w:val="24"/>
        </w:rPr>
      </w:pPr>
    </w:p>
    <w:p w14:paraId="6A0833A1">
      <w:pPr>
        <w:topLinePunct/>
        <w:adjustRightInd w:val="0"/>
        <w:snapToGrid w:val="0"/>
        <w:spacing w:after="234" w:afterLines="75" w:line="288" w:lineRule="auto"/>
        <w:rPr>
          <w:rFonts w:ascii="Arial" w:hAnsi="Arial" w:eastAsia="宋体" w:cs="Arial"/>
          <w:snapToGrid w:val="0"/>
          <w:kern w:val="0"/>
          <w:sz w:val="24"/>
        </w:rPr>
      </w:pPr>
    </w:p>
    <w:p w14:paraId="6C0ECB2E">
      <w:pPr>
        <w:topLinePunct/>
        <w:adjustRightInd w:val="0"/>
        <w:snapToGrid w:val="0"/>
        <w:spacing w:after="234" w:afterLines="75" w:line="288" w:lineRule="auto"/>
        <w:rPr>
          <w:rFonts w:ascii="Arial" w:hAnsi="Arial" w:eastAsia="宋体" w:cs="Arial"/>
          <w:snapToGrid w:val="0"/>
          <w:kern w:val="0"/>
          <w:sz w:val="24"/>
        </w:rPr>
        <w:sectPr>
          <w:headerReference r:id="rId4" w:type="default"/>
          <w:pgSz w:w="11906" w:h="16838"/>
          <w:pgMar w:top="1134" w:right="1440" w:bottom="1134" w:left="1440" w:header="720" w:footer="720" w:gutter="0"/>
          <w:cols w:space="425" w:num="1"/>
          <w:docGrid w:type="lines" w:linePitch="312" w:charSpace="0"/>
        </w:sectPr>
      </w:pPr>
    </w:p>
    <w:p w14:paraId="311BC056">
      <w:pPr>
        <w:topLinePunct/>
        <w:adjustRightInd w:val="0"/>
        <w:snapToGrid w:val="0"/>
        <w:spacing w:after="234" w:afterLines="75" w:line="288" w:lineRule="auto"/>
        <w:jc w:val="center"/>
        <w:rPr>
          <w:rFonts w:ascii="Arial" w:hAnsi="Arial" w:eastAsia="宋体" w:cs="Arial"/>
          <w:b/>
          <w:snapToGrid w:val="0"/>
          <w:kern w:val="0"/>
          <w:sz w:val="48"/>
        </w:rPr>
      </w:pPr>
      <w:r>
        <w:rPr>
          <w:rFonts w:ascii="Arial" w:hAnsi="Arial" w:eastAsia="宋体" w:cs="Arial"/>
          <w:b/>
          <w:snapToGrid w:val="0"/>
          <w:kern w:val="0"/>
          <w:sz w:val="48"/>
        </w:rPr>
        <w:t>前言</w:t>
      </w:r>
    </w:p>
    <w:p w14:paraId="10AE6C4D">
      <w:pPr>
        <w:topLinePunct/>
        <w:adjustRightInd w:val="0"/>
        <w:snapToGrid w:val="0"/>
        <w:spacing w:after="234" w:afterLines="75" w:line="288" w:lineRule="auto"/>
        <w:rPr>
          <w:rFonts w:ascii="Arial" w:hAnsi="Arial" w:eastAsia="宋体" w:cs="Arial"/>
          <w:b/>
          <w:snapToGrid w:val="0"/>
          <w:kern w:val="0"/>
          <w:sz w:val="36"/>
        </w:rPr>
      </w:pPr>
      <w:r>
        <w:rPr>
          <w:rFonts w:ascii="Arial" w:hAnsi="Arial" w:eastAsia="宋体" w:cs="Arial"/>
          <w:b/>
          <w:snapToGrid w:val="0"/>
          <w:kern w:val="0"/>
          <w:sz w:val="36"/>
        </w:rPr>
        <w:t>公共评论</w:t>
      </w:r>
    </w:p>
    <w:p w14:paraId="04470A37">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为便于本机构收集评论和建议，书面评论和建议可以随时提交至食品药品监督管理局，案卷管理科（</w:t>
      </w:r>
      <w:r>
        <w:rPr>
          <w:rFonts w:ascii="Arial" w:hAnsi="Arial" w:eastAsia="宋体" w:cs="Arial"/>
          <w:snapToGrid w:val="0"/>
          <w:kern w:val="0"/>
          <w:sz w:val="24"/>
        </w:rPr>
        <w:t>5630 Fishers Lane，</w:t>
      </w:r>
      <w:r>
        <w:rPr>
          <w:rFonts w:hint="eastAsia" w:ascii="Arial" w:hAnsi="Arial" w:eastAsia="宋体" w:cs="Arial"/>
          <w:snapToGrid w:val="0"/>
          <w:kern w:val="0"/>
          <w:sz w:val="24"/>
        </w:rPr>
        <w:t>rm.</w:t>
      </w:r>
      <w:r>
        <w:rPr>
          <w:rFonts w:ascii="Arial" w:hAnsi="Arial" w:eastAsia="宋体" w:cs="Arial"/>
          <w:snapToGrid w:val="0"/>
          <w:kern w:val="0"/>
          <w:sz w:val="24"/>
        </w:rPr>
        <w:t>1061（HFA-305），Rockville，MD，20852）。此外，电子评论可提交至</w:t>
      </w:r>
      <w:r>
        <w:fldChar w:fldCharType="begin"/>
      </w:r>
      <w:r>
        <w:instrText xml:space="preserve"> HYPERLINK "http://www.regulations.gov" </w:instrText>
      </w:r>
      <w:r>
        <w:fldChar w:fldCharType="separate"/>
      </w:r>
      <w:r>
        <w:rPr>
          <w:rStyle w:val="11"/>
          <w:rFonts w:ascii="Arial" w:hAnsi="Arial" w:eastAsia="宋体" w:cs="Arial"/>
          <w:snapToGrid w:val="0"/>
          <w:kern w:val="0"/>
          <w:sz w:val="24"/>
        </w:rPr>
        <w:t>http://www.regulations.gov</w:t>
      </w:r>
      <w:r>
        <w:rPr>
          <w:rStyle w:val="11"/>
          <w:rFonts w:ascii="Arial" w:hAnsi="Arial" w:eastAsia="宋体" w:cs="Arial"/>
          <w:snapToGrid w:val="0"/>
          <w:kern w:val="0"/>
          <w:sz w:val="24"/>
        </w:rPr>
        <w:fldChar w:fldCharType="end"/>
      </w:r>
      <w:r>
        <w:rPr>
          <w:rFonts w:ascii="Arial" w:hAnsi="Arial" w:eastAsia="宋体" w:cs="Arial"/>
          <w:snapToGrid w:val="0"/>
          <w:kern w:val="0"/>
          <w:sz w:val="24"/>
        </w:rPr>
        <w:t>。所有评论应注明案卷编号</w:t>
      </w:r>
      <w:r>
        <w:rPr>
          <w:rFonts w:hint="eastAsia" w:ascii="Arial" w:hAnsi="Arial" w:eastAsia="宋体" w:cs="Arial"/>
          <w:snapToGrid w:val="0"/>
          <w:kern w:val="0"/>
          <w:sz w:val="24"/>
        </w:rPr>
        <w:t>F</w:t>
      </w:r>
      <w:r>
        <w:rPr>
          <w:rFonts w:ascii="Arial" w:hAnsi="Arial" w:eastAsia="宋体" w:cs="Arial"/>
          <w:snapToGrid w:val="0"/>
          <w:kern w:val="0"/>
          <w:sz w:val="24"/>
        </w:rPr>
        <w:t>DA-2011-D-0215。再次进行文件修订或更新之前，本机构可能不会针对评论采取行动。</w:t>
      </w:r>
    </w:p>
    <w:p w14:paraId="7F3B9BDA">
      <w:pPr>
        <w:topLinePunct/>
        <w:adjustRightInd w:val="0"/>
        <w:snapToGrid w:val="0"/>
        <w:spacing w:after="234" w:afterLines="75" w:line="288" w:lineRule="auto"/>
        <w:rPr>
          <w:rFonts w:ascii="Arial" w:hAnsi="Arial" w:eastAsia="宋体" w:cs="Arial"/>
          <w:b/>
          <w:snapToGrid w:val="0"/>
          <w:kern w:val="0"/>
          <w:sz w:val="36"/>
        </w:rPr>
      </w:pPr>
      <w:r>
        <w:rPr>
          <w:rFonts w:ascii="Arial" w:hAnsi="Arial" w:eastAsia="宋体" w:cs="Arial"/>
          <w:b/>
          <w:snapToGrid w:val="0"/>
          <w:kern w:val="0"/>
          <w:sz w:val="36"/>
        </w:rPr>
        <w:t>其他副本</w:t>
      </w:r>
    </w:p>
    <w:p w14:paraId="2CD6E798">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其他副本可从互联网获得。您还可以向</w:t>
      </w:r>
      <w:r>
        <w:rPr>
          <w:rStyle w:val="11"/>
          <w:rFonts w:ascii="Arial" w:hAnsi="Arial" w:eastAsia="宋体" w:cs="Arial"/>
          <w:snapToGrid w:val="0"/>
          <w:kern w:val="0"/>
          <w:sz w:val="24"/>
        </w:rPr>
        <w:t>CDRH-Guidance@fda.hhs.gov</w:t>
      </w:r>
      <w:r>
        <w:rPr>
          <w:rFonts w:ascii="Arial" w:hAnsi="Arial" w:eastAsia="宋体" w:cs="Arial"/>
          <w:snapToGrid w:val="0"/>
          <w:kern w:val="0"/>
          <w:sz w:val="24"/>
        </w:rPr>
        <w:t>发送电子邮件请求以接收本指南的电子副本。请使用文件编号（1737）来注明您所要求获得的指南。</w:t>
      </w:r>
    </w:p>
    <w:p w14:paraId="4B7F6D3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本指南文件的其他副本也可以从下列途径获取：</w:t>
      </w:r>
    </w:p>
    <w:p w14:paraId="5B57F3C9">
      <w:pPr>
        <w:topLinePunct/>
        <w:adjustRightInd w:val="0"/>
        <w:snapToGrid w:val="0"/>
        <w:spacing w:after="234" w:afterLines="75" w:line="288" w:lineRule="auto"/>
        <w:jc w:val="left"/>
        <w:rPr>
          <w:rFonts w:ascii="Arial" w:hAnsi="Arial" w:eastAsia="宋体" w:cs="Arial"/>
          <w:snapToGrid w:val="0"/>
          <w:kern w:val="0"/>
          <w:sz w:val="24"/>
        </w:rPr>
      </w:pPr>
      <w:r>
        <w:rPr>
          <w:rFonts w:ascii="Arial" w:hAnsi="Arial" w:eastAsia="宋体" w:cs="Arial"/>
          <w:snapToGrid w:val="0"/>
          <w:kern w:val="0"/>
          <w:sz w:val="24"/>
        </w:rPr>
        <w:t>生物制剂评价和研究中心（CBER），</w:t>
      </w:r>
      <w:r>
        <w:rPr>
          <w:rFonts w:hint="eastAsia" w:ascii="Arial" w:hAnsi="Arial" w:eastAsia="宋体" w:cs="Arial"/>
          <w:snapToGrid w:val="0"/>
          <w:kern w:val="0"/>
          <w:sz w:val="24"/>
        </w:rPr>
        <w:br w:type="textWrapping"/>
      </w:r>
      <w:r>
        <w:rPr>
          <w:rFonts w:ascii="Arial" w:hAnsi="Arial" w:eastAsia="宋体" w:cs="Arial"/>
          <w:snapToGrid w:val="0"/>
          <w:kern w:val="0"/>
          <w:sz w:val="24"/>
        </w:rPr>
        <w:t>沟通、推广和发展办公室（OCOD），</w:t>
      </w:r>
      <w:r>
        <w:rPr>
          <w:rFonts w:hint="eastAsia" w:ascii="Arial" w:hAnsi="Arial" w:eastAsia="宋体" w:cs="Arial"/>
          <w:snapToGrid w:val="0"/>
          <w:kern w:val="0"/>
          <w:sz w:val="24"/>
        </w:rPr>
        <w:br w:type="textWrapping"/>
      </w:r>
      <w:r>
        <w:rPr>
          <w:rFonts w:ascii="Arial" w:hAnsi="Arial" w:eastAsia="宋体" w:cs="Arial"/>
          <w:snapToGrid w:val="0"/>
          <w:kern w:val="0"/>
          <w:sz w:val="24"/>
        </w:rPr>
        <w:t>10903 New Hampshire Ave.，Bldg. 71，Room 3128，Silver Spring，MD 20993- 0002，或拨打电话1-800-835-4709或240-402-7800，</w:t>
      </w:r>
      <w:r>
        <w:fldChar w:fldCharType="begin"/>
      </w:r>
      <w:r>
        <w:instrText xml:space="preserve"> HYPERLINK "mailto:或通过邮件ocod@fda.hhs.gov" </w:instrText>
      </w:r>
      <w:r>
        <w:fldChar w:fldCharType="separate"/>
      </w:r>
      <w:r>
        <w:rPr>
          <w:rStyle w:val="11"/>
          <w:rFonts w:ascii="Arial" w:hAnsi="Arial" w:eastAsia="宋体" w:cs="Arial"/>
          <w:snapToGrid w:val="0"/>
          <w:color w:val="auto"/>
          <w:kern w:val="0"/>
          <w:sz w:val="24"/>
          <w:u w:val="none"/>
        </w:rPr>
        <w:t>或通过邮件</w:t>
      </w:r>
      <w:r>
        <w:rPr>
          <w:rStyle w:val="11"/>
          <w:rFonts w:ascii="Arial" w:hAnsi="Arial" w:eastAsia="宋体" w:cs="Arial"/>
          <w:snapToGrid w:val="0"/>
          <w:kern w:val="0"/>
          <w:sz w:val="24"/>
        </w:rPr>
        <w:t>ocod@fda.hhs.gov</w:t>
      </w:r>
      <w:r>
        <w:rPr>
          <w:rStyle w:val="11"/>
          <w:rFonts w:ascii="Arial" w:hAnsi="Arial" w:eastAsia="宋体" w:cs="Arial"/>
          <w:snapToGrid w:val="0"/>
          <w:kern w:val="0"/>
          <w:sz w:val="24"/>
        </w:rPr>
        <w:fldChar w:fldCharType="end"/>
      </w:r>
      <w:r>
        <w:rPr>
          <w:rFonts w:ascii="Arial" w:hAnsi="Arial" w:eastAsia="宋体" w:cs="Arial"/>
          <w:snapToGrid w:val="0"/>
          <w:kern w:val="0"/>
          <w:sz w:val="24"/>
        </w:rPr>
        <w:t>，或通过网站</w:t>
      </w:r>
      <w:r>
        <w:rPr>
          <w:rFonts w:ascii="Arial" w:hAnsi="Arial" w:eastAsia="宋体" w:cs="Arial"/>
          <w:snapToGrid w:val="0"/>
          <w:kern w:val="0"/>
          <w:sz w:val="24"/>
        </w:rPr>
        <w:fldChar w:fldCharType="begin"/>
      </w:r>
      <w:r>
        <w:rPr>
          <w:rFonts w:ascii="Arial" w:hAnsi="Arial" w:eastAsia="宋体" w:cs="Arial"/>
          <w:snapToGrid w:val="0"/>
          <w:kern w:val="0"/>
          <w:sz w:val="24"/>
        </w:rPr>
        <w:instrText xml:space="preserve"> HYPERLINK "http://www.fda.gov/BiologicsBloodVaccines/GuidanceComplianceRegulatoryInformation/Guidances/default.htm" </w:instrText>
      </w:r>
      <w:r>
        <w:rPr>
          <w:rFonts w:ascii="Arial" w:hAnsi="Arial" w:eastAsia="宋体" w:cs="Arial"/>
          <w:snapToGrid w:val="0"/>
          <w:kern w:val="0"/>
          <w:sz w:val="24"/>
        </w:rPr>
        <w:fldChar w:fldCharType="separate"/>
      </w:r>
      <w:r>
        <w:rPr>
          <w:rStyle w:val="11"/>
          <w:rFonts w:ascii="Arial" w:hAnsi="Arial" w:eastAsia="宋体" w:cs="Arial"/>
          <w:snapToGrid w:val="0"/>
          <w:kern w:val="0"/>
          <w:sz w:val="24"/>
        </w:rPr>
        <w:t>http://www.fda.gov/BiologicsBloodVaccines/GuidanceComplianceRegulatoryInformation/Guidances/default.htm</w:t>
      </w:r>
      <w:r>
        <w:rPr>
          <w:rFonts w:ascii="Arial" w:hAnsi="Arial" w:eastAsia="宋体" w:cs="Arial"/>
          <w:snapToGrid w:val="0"/>
          <w:kern w:val="0"/>
          <w:sz w:val="24"/>
        </w:rPr>
        <w:fldChar w:fldCharType="end"/>
      </w:r>
      <w:r>
        <w:rPr>
          <w:rFonts w:ascii="Arial" w:hAnsi="Arial" w:eastAsia="宋体" w:cs="Arial"/>
          <w:snapToGrid w:val="0"/>
          <w:kern w:val="0"/>
          <w:sz w:val="24"/>
        </w:rPr>
        <w:t>。</w:t>
      </w:r>
    </w:p>
    <w:p w14:paraId="58305F54">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或</w:t>
      </w:r>
    </w:p>
    <w:p w14:paraId="52C5F647">
      <w:pPr>
        <w:topLinePunct/>
        <w:adjustRightInd w:val="0"/>
        <w:snapToGrid w:val="0"/>
        <w:spacing w:line="288" w:lineRule="auto"/>
        <w:rPr>
          <w:rFonts w:ascii="Arial" w:hAnsi="Arial" w:eastAsia="宋体" w:cs="Arial"/>
          <w:snapToGrid w:val="0"/>
          <w:kern w:val="0"/>
          <w:sz w:val="24"/>
        </w:rPr>
      </w:pPr>
      <w:r>
        <w:rPr>
          <w:rFonts w:ascii="Arial" w:hAnsi="Arial" w:eastAsia="宋体" w:cs="Arial"/>
          <w:snapToGrid w:val="0"/>
          <w:kern w:val="0"/>
          <w:sz w:val="24"/>
        </w:rPr>
        <w:t>药品评价与研究中心</w:t>
      </w:r>
    </w:p>
    <w:p w14:paraId="0F85D6B1">
      <w:pPr>
        <w:topLinePunct/>
        <w:adjustRightInd w:val="0"/>
        <w:snapToGrid w:val="0"/>
        <w:spacing w:line="288" w:lineRule="auto"/>
        <w:rPr>
          <w:rFonts w:ascii="Arial" w:hAnsi="Arial" w:eastAsia="宋体" w:cs="Arial"/>
          <w:snapToGrid w:val="0"/>
          <w:kern w:val="0"/>
          <w:sz w:val="24"/>
        </w:rPr>
      </w:pPr>
      <w:r>
        <w:rPr>
          <w:rFonts w:ascii="Arial" w:hAnsi="Arial" w:eastAsia="宋体" w:cs="Arial"/>
          <w:snapToGrid w:val="0"/>
          <w:kern w:val="0"/>
          <w:sz w:val="24"/>
        </w:rPr>
        <w:t>药品信息分部</w:t>
      </w:r>
    </w:p>
    <w:p w14:paraId="1C89F010">
      <w:pPr>
        <w:topLinePunct/>
        <w:adjustRightInd w:val="0"/>
        <w:snapToGrid w:val="0"/>
        <w:spacing w:line="288" w:lineRule="auto"/>
        <w:rPr>
          <w:rFonts w:ascii="Arial" w:hAnsi="Arial" w:eastAsia="宋体" w:cs="Arial"/>
          <w:snapToGrid w:val="0"/>
          <w:kern w:val="0"/>
          <w:sz w:val="24"/>
        </w:rPr>
      </w:pPr>
      <w:r>
        <w:rPr>
          <w:rFonts w:ascii="Arial" w:hAnsi="Arial" w:eastAsia="宋体" w:cs="Arial"/>
          <w:snapToGrid w:val="0"/>
          <w:kern w:val="0"/>
          <w:sz w:val="24"/>
        </w:rPr>
        <w:t>10903 New Hampshire Ave.，Bldg. 51，rm. 2201</w:t>
      </w:r>
    </w:p>
    <w:p w14:paraId="72CB4C48">
      <w:pPr>
        <w:topLinePunct/>
        <w:adjustRightInd w:val="0"/>
        <w:snapToGrid w:val="0"/>
        <w:spacing w:line="288" w:lineRule="auto"/>
        <w:rPr>
          <w:rFonts w:ascii="Arial" w:hAnsi="Arial" w:eastAsia="宋体" w:cs="Arial"/>
          <w:snapToGrid w:val="0"/>
          <w:kern w:val="0"/>
          <w:sz w:val="24"/>
        </w:rPr>
      </w:pPr>
      <w:r>
        <w:rPr>
          <w:rFonts w:ascii="Arial" w:hAnsi="Arial" w:eastAsia="宋体" w:cs="Arial"/>
          <w:snapToGrid w:val="0"/>
          <w:kern w:val="0"/>
          <w:sz w:val="24"/>
        </w:rPr>
        <w:t>Silver Spring，MD 20993-0002</w:t>
      </w:r>
    </w:p>
    <w:p w14:paraId="7C3A6861">
      <w:pPr>
        <w:topLinePunct/>
        <w:adjustRightInd w:val="0"/>
        <w:snapToGrid w:val="0"/>
        <w:spacing w:line="288" w:lineRule="auto"/>
        <w:rPr>
          <w:rFonts w:ascii="Arial" w:hAnsi="Arial" w:eastAsia="宋体" w:cs="Arial"/>
          <w:snapToGrid w:val="0"/>
          <w:kern w:val="0"/>
          <w:sz w:val="24"/>
        </w:rPr>
      </w:pPr>
      <w:r>
        <w:rPr>
          <w:rFonts w:ascii="Arial" w:hAnsi="Arial" w:eastAsia="宋体" w:cs="Arial"/>
          <w:snapToGrid w:val="0"/>
          <w:kern w:val="0"/>
          <w:sz w:val="24"/>
        </w:rPr>
        <w:t>电话：301-796-3400；传真：301-847-8714；电子邮件：druginfo@fda.hhs.gov</w:t>
      </w:r>
    </w:p>
    <w:p w14:paraId="67C345C0">
      <w:pPr>
        <w:topLinePunct/>
        <w:adjustRightInd w:val="0"/>
        <w:snapToGrid w:val="0"/>
        <w:spacing w:line="288" w:lineRule="auto"/>
        <w:rPr>
          <w:rFonts w:ascii="Arial" w:hAnsi="Arial" w:eastAsia="宋体" w:cs="Arial"/>
          <w:snapToGrid w:val="0"/>
          <w:kern w:val="0"/>
          <w:sz w:val="24"/>
        </w:rPr>
      </w:pPr>
      <w:r>
        <w:fldChar w:fldCharType="begin"/>
      </w:r>
      <w:r>
        <w:instrText xml:space="preserve"> HYPERLINK "http://www.fda.gov/Drugs/GuidanceComplianceRegulatoryInformation/Guidances/default.htm" </w:instrText>
      </w:r>
      <w:r>
        <w:fldChar w:fldCharType="separate"/>
      </w:r>
      <w:r>
        <w:rPr>
          <w:rStyle w:val="11"/>
          <w:rFonts w:ascii="Arial" w:hAnsi="Arial" w:eastAsia="宋体" w:cs="Arial"/>
          <w:snapToGrid w:val="0"/>
          <w:kern w:val="0"/>
          <w:sz w:val="24"/>
        </w:rPr>
        <w:t>http://www.fda.gov/Drugs/GuidanceComplianceRegulatoryInformation/Guidances/default.htm</w:t>
      </w:r>
      <w:r>
        <w:rPr>
          <w:rStyle w:val="11"/>
          <w:rFonts w:ascii="Arial" w:hAnsi="Arial" w:eastAsia="宋体" w:cs="Arial"/>
          <w:snapToGrid w:val="0"/>
          <w:kern w:val="0"/>
          <w:sz w:val="24"/>
        </w:rPr>
        <w:fldChar w:fldCharType="end"/>
      </w:r>
      <w:r>
        <w:rPr>
          <w:rFonts w:ascii="Arial" w:hAnsi="Arial" w:eastAsia="宋体" w:cs="Arial"/>
          <w:snapToGrid w:val="0"/>
          <w:kern w:val="0"/>
          <w:sz w:val="24"/>
        </w:rPr>
        <w:t>。</w:t>
      </w:r>
    </w:p>
    <w:p w14:paraId="4957C1F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br w:type="page"/>
      </w:r>
    </w:p>
    <w:p w14:paraId="46B94486">
      <w:pPr>
        <w:topLinePunct/>
        <w:adjustRightInd w:val="0"/>
        <w:snapToGrid w:val="0"/>
        <w:spacing w:after="234" w:afterLines="75" w:line="288" w:lineRule="auto"/>
        <w:rPr>
          <w:rFonts w:ascii="Arial" w:hAnsi="Arial" w:eastAsia="宋体" w:cs="Arial"/>
          <w:b/>
          <w:snapToGrid w:val="0"/>
          <w:kern w:val="0"/>
          <w:sz w:val="36"/>
        </w:rPr>
      </w:pPr>
      <w:r>
        <w:rPr>
          <w:rFonts w:ascii="Arial" w:hAnsi="Arial" w:eastAsia="宋体" w:cs="Arial"/>
          <w:b/>
          <w:snapToGrid w:val="0"/>
          <w:kern w:val="0"/>
          <w:sz w:val="36"/>
        </w:rPr>
        <w:t>目录</w:t>
      </w:r>
    </w:p>
    <w:p w14:paraId="2FFAC507">
      <w:pPr>
        <w:pStyle w:val="5"/>
        <w:rPr>
          <w:rFonts w:asciiTheme="minorHAnsi" w:hAnsiTheme="minorHAnsi"/>
          <w:sz w:val="21"/>
        </w:rPr>
      </w:pPr>
      <w:r>
        <w:rPr>
          <w:rFonts w:eastAsia="宋体" w:cs="Arial"/>
          <w:snapToGrid w:val="0"/>
          <w:kern w:val="0"/>
        </w:rPr>
        <w:fldChar w:fldCharType="begin"/>
      </w:r>
      <w:r>
        <w:rPr>
          <w:rFonts w:eastAsia="宋体" w:cs="Arial"/>
          <w:snapToGrid w:val="0"/>
          <w:kern w:val="0"/>
        </w:rPr>
        <w:instrText xml:space="preserve"> </w:instrText>
      </w:r>
      <w:r>
        <w:rPr>
          <w:rFonts w:hint="eastAsia" w:eastAsia="宋体" w:cs="Arial"/>
          <w:snapToGrid w:val="0"/>
          <w:kern w:val="0"/>
        </w:rPr>
        <w:instrText xml:space="preserve">TOC \o "1-2" \h \z \u</w:instrText>
      </w:r>
      <w:r>
        <w:rPr>
          <w:rFonts w:eastAsia="宋体" w:cs="Arial"/>
          <w:snapToGrid w:val="0"/>
          <w:kern w:val="0"/>
        </w:rPr>
        <w:instrText xml:space="preserve"> </w:instrText>
      </w:r>
      <w:r>
        <w:rPr>
          <w:rFonts w:eastAsia="宋体" w:cs="Arial"/>
          <w:snapToGrid w:val="0"/>
          <w:kern w:val="0"/>
        </w:rPr>
        <w:fldChar w:fldCharType="separate"/>
      </w:r>
      <w:r>
        <w:fldChar w:fldCharType="begin"/>
      </w:r>
      <w:r>
        <w:instrText xml:space="preserve"> HYPERLINK \l "_Toc500170047" </w:instrText>
      </w:r>
      <w:r>
        <w:fldChar w:fldCharType="separate"/>
      </w:r>
      <w:r>
        <w:rPr>
          <w:rStyle w:val="11"/>
          <w:rFonts w:eastAsia="宋体" w:cs="Arial"/>
          <w:b/>
          <w:snapToGrid w:val="0"/>
          <w:kern w:val="0"/>
        </w:rPr>
        <w:t>I.</w:t>
      </w:r>
      <w:r>
        <w:rPr>
          <w:rFonts w:asciiTheme="minorHAnsi" w:hAnsiTheme="minorHAnsi"/>
          <w:sz w:val="21"/>
        </w:rPr>
        <w:tab/>
      </w:r>
      <w:r>
        <w:rPr>
          <w:rStyle w:val="11"/>
          <w:rFonts w:hint="eastAsia" w:eastAsia="宋体" w:cs="Arial"/>
          <w:b/>
          <w:snapToGrid w:val="0"/>
          <w:kern w:val="0"/>
        </w:rPr>
        <w:t>引言</w:t>
      </w:r>
      <w:r>
        <w:tab/>
      </w:r>
      <w:r>
        <w:fldChar w:fldCharType="begin"/>
      </w:r>
      <w:r>
        <w:instrText xml:space="preserve"> PAGEREF _Toc500170047 \h </w:instrText>
      </w:r>
      <w:r>
        <w:fldChar w:fldCharType="separate"/>
      </w:r>
      <w:r>
        <w:t>4</w:t>
      </w:r>
      <w:r>
        <w:fldChar w:fldCharType="end"/>
      </w:r>
      <w:r>
        <w:fldChar w:fldCharType="end"/>
      </w:r>
    </w:p>
    <w:p w14:paraId="42656A6B">
      <w:pPr>
        <w:pStyle w:val="5"/>
        <w:rPr>
          <w:rFonts w:asciiTheme="minorHAnsi" w:hAnsiTheme="minorHAnsi"/>
          <w:sz w:val="21"/>
        </w:rPr>
      </w:pPr>
      <w:r>
        <w:fldChar w:fldCharType="begin"/>
      </w:r>
      <w:r>
        <w:instrText xml:space="preserve"> HYPERLINK \l "_Toc500170048" </w:instrText>
      </w:r>
      <w:r>
        <w:fldChar w:fldCharType="separate"/>
      </w:r>
      <w:r>
        <w:rPr>
          <w:rStyle w:val="11"/>
          <w:rFonts w:eastAsia="宋体" w:cs="Arial"/>
          <w:b/>
          <w:snapToGrid w:val="0"/>
          <w:kern w:val="0"/>
        </w:rPr>
        <w:t>II.</w:t>
      </w:r>
      <w:r>
        <w:rPr>
          <w:rFonts w:asciiTheme="minorHAnsi" w:hAnsiTheme="minorHAnsi"/>
          <w:sz w:val="21"/>
        </w:rPr>
        <w:tab/>
      </w:r>
      <w:r>
        <w:rPr>
          <w:rStyle w:val="11"/>
          <w:rFonts w:hint="eastAsia" w:eastAsia="宋体" w:cs="Arial"/>
          <w:b/>
          <w:snapToGrid w:val="0"/>
          <w:kern w:val="0"/>
        </w:rPr>
        <w:t>背景</w:t>
      </w:r>
      <w:r>
        <w:tab/>
      </w:r>
      <w:r>
        <w:fldChar w:fldCharType="begin"/>
      </w:r>
      <w:r>
        <w:instrText xml:space="preserve"> PAGEREF _Toc500170048 \h </w:instrText>
      </w:r>
      <w:r>
        <w:fldChar w:fldCharType="separate"/>
      </w:r>
      <w:r>
        <w:t>5</w:t>
      </w:r>
      <w:r>
        <w:fldChar w:fldCharType="end"/>
      </w:r>
      <w:r>
        <w:fldChar w:fldCharType="end"/>
      </w:r>
    </w:p>
    <w:p w14:paraId="47B072A6">
      <w:pPr>
        <w:pStyle w:val="5"/>
        <w:rPr>
          <w:rFonts w:asciiTheme="minorHAnsi" w:hAnsiTheme="minorHAnsi"/>
          <w:sz w:val="21"/>
        </w:rPr>
      </w:pPr>
      <w:r>
        <w:fldChar w:fldCharType="begin"/>
      </w:r>
      <w:r>
        <w:instrText xml:space="preserve"> HYPERLINK \l "_Toc500170049" </w:instrText>
      </w:r>
      <w:r>
        <w:fldChar w:fldCharType="separate"/>
      </w:r>
      <w:r>
        <w:rPr>
          <w:rStyle w:val="11"/>
          <w:rFonts w:eastAsia="宋体" w:cs="Arial"/>
          <w:b/>
          <w:snapToGrid w:val="0"/>
          <w:kern w:val="0"/>
        </w:rPr>
        <w:t>III.</w:t>
      </w:r>
      <w:r>
        <w:rPr>
          <w:rFonts w:asciiTheme="minorHAnsi" w:hAnsiTheme="minorHAnsi"/>
          <w:sz w:val="21"/>
        </w:rPr>
        <w:tab/>
      </w:r>
      <w:r>
        <w:rPr>
          <w:rStyle w:val="11"/>
          <w:rFonts w:eastAsia="宋体" w:cs="Arial"/>
          <w:b/>
          <w:snapToGrid w:val="0"/>
          <w:kern w:val="0"/>
        </w:rPr>
        <w:t>IVD</w:t>
      </w:r>
      <w:r>
        <w:rPr>
          <w:rStyle w:val="11"/>
          <w:rFonts w:hint="eastAsia" w:eastAsia="宋体" w:cs="Arial"/>
          <w:b/>
          <w:snapToGrid w:val="0"/>
          <w:kern w:val="0"/>
        </w:rPr>
        <w:t>伴随式诊断器械的定义和使用</w:t>
      </w:r>
      <w:r>
        <w:tab/>
      </w:r>
      <w:r>
        <w:fldChar w:fldCharType="begin"/>
      </w:r>
      <w:r>
        <w:instrText xml:space="preserve"> PAGEREF _Toc500170049 \h </w:instrText>
      </w:r>
      <w:r>
        <w:fldChar w:fldCharType="separate"/>
      </w:r>
      <w:r>
        <w:t>7</w:t>
      </w:r>
      <w:r>
        <w:fldChar w:fldCharType="end"/>
      </w:r>
      <w:r>
        <w:fldChar w:fldCharType="end"/>
      </w:r>
    </w:p>
    <w:p w14:paraId="572B13BC">
      <w:pPr>
        <w:pStyle w:val="5"/>
        <w:rPr>
          <w:rFonts w:asciiTheme="minorHAnsi" w:hAnsiTheme="minorHAnsi"/>
          <w:sz w:val="21"/>
        </w:rPr>
      </w:pPr>
      <w:r>
        <w:fldChar w:fldCharType="begin"/>
      </w:r>
      <w:r>
        <w:instrText xml:space="preserve"> HYPERLINK \l "_Toc500170050" </w:instrText>
      </w:r>
      <w:r>
        <w:fldChar w:fldCharType="separate"/>
      </w:r>
      <w:r>
        <w:rPr>
          <w:rStyle w:val="11"/>
          <w:rFonts w:eastAsia="宋体" w:cs="Arial"/>
          <w:b/>
          <w:snapToGrid w:val="0"/>
          <w:kern w:val="0"/>
        </w:rPr>
        <w:t>IV.</w:t>
      </w:r>
      <w:r>
        <w:rPr>
          <w:rFonts w:asciiTheme="minorHAnsi" w:hAnsiTheme="minorHAnsi"/>
          <w:sz w:val="21"/>
        </w:rPr>
        <w:tab/>
      </w:r>
      <w:r>
        <w:rPr>
          <w:rStyle w:val="11"/>
          <w:rFonts w:eastAsia="宋体" w:cs="Arial"/>
          <w:b/>
          <w:snapToGrid w:val="0"/>
          <w:kern w:val="0"/>
        </w:rPr>
        <w:t>IVD</w:t>
      </w:r>
      <w:r>
        <w:rPr>
          <w:rStyle w:val="11"/>
          <w:rFonts w:hint="eastAsia" w:eastAsia="宋体" w:cs="Arial"/>
          <w:b/>
          <w:snapToGrid w:val="0"/>
          <w:kern w:val="0"/>
        </w:rPr>
        <w:t>伴随式诊断器械和治疗性产品的审查和审批</w:t>
      </w:r>
      <w:r>
        <w:tab/>
      </w:r>
      <w:r>
        <w:fldChar w:fldCharType="begin"/>
      </w:r>
      <w:r>
        <w:instrText xml:space="preserve"> PAGEREF _Toc500170050 \h </w:instrText>
      </w:r>
      <w:r>
        <w:fldChar w:fldCharType="separate"/>
      </w:r>
      <w:r>
        <w:t>8</w:t>
      </w:r>
      <w:r>
        <w:fldChar w:fldCharType="end"/>
      </w:r>
      <w:r>
        <w:fldChar w:fldCharType="end"/>
      </w:r>
    </w:p>
    <w:p w14:paraId="2AA0ED70">
      <w:pPr>
        <w:pStyle w:val="7"/>
        <w:rPr>
          <w:rFonts w:asciiTheme="minorHAnsi" w:hAnsiTheme="minorHAnsi"/>
          <w:sz w:val="21"/>
        </w:rPr>
      </w:pPr>
      <w:r>
        <w:fldChar w:fldCharType="begin"/>
      </w:r>
      <w:r>
        <w:instrText xml:space="preserve"> HYPERLINK \l "_Toc500170051" </w:instrText>
      </w:r>
      <w:r>
        <w:fldChar w:fldCharType="separate"/>
      </w:r>
      <w:r>
        <w:rPr>
          <w:rStyle w:val="11"/>
          <w:rFonts w:eastAsia="宋体" w:cs="Arial"/>
          <w:snapToGrid w:val="0"/>
          <w:kern w:val="0"/>
        </w:rPr>
        <w:t>A.</w:t>
      </w:r>
      <w:r>
        <w:rPr>
          <w:rFonts w:asciiTheme="minorHAnsi" w:hAnsiTheme="minorHAnsi"/>
          <w:sz w:val="21"/>
        </w:rPr>
        <w:tab/>
      </w:r>
      <w:r>
        <w:rPr>
          <w:rStyle w:val="11"/>
          <w:rFonts w:hint="eastAsia" w:eastAsia="宋体" w:cs="Arial"/>
          <w:snapToGrid w:val="0"/>
          <w:kern w:val="0"/>
        </w:rPr>
        <w:t>新型治疗性产品</w:t>
      </w:r>
      <w:r>
        <w:tab/>
      </w:r>
      <w:r>
        <w:fldChar w:fldCharType="begin"/>
      </w:r>
      <w:r>
        <w:instrText xml:space="preserve"> PAGEREF _Toc500170051 \h </w:instrText>
      </w:r>
      <w:r>
        <w:fldChar w:fldCharType="separate"/>
      </w:r>
      <w:r>
        <w:t>8</w:t>
      </w:r>
      <w:r>
        <w:fldChar w:fldCharType="end"/>
      </w:r>
      <w:r>
        <w:fldChar w:fldCharType="end"/>
      </w:r>
    </w:p>
    <w:p w14:paraId="7AC1A8DE">
      <w:pPr>
        <w:pStyle w:val="7"/>
        <w:rPr>
          <w:rFonts w:asciiTheme="minorHAnsi" w:hAnsiTheme="minorHAnsi"/>
          <w:sz w:val="21"/>
        </w:rPr>
      </w:pPr>
      <w:r>
        <w:fldChar w:fldCharType="begin"/>
      </w:r>
      <w:r>
        <w:instrText xml:space="preserve"> HYPERLINK \l "_Toc500170052" </w:instrText>
      </w:r>
      <w:r>
        <w:fldChar w:fldCharType="separate"/>
      </w:r>
      <w:r>
        <w:rPr>
          <w:rStyle w:val="11"/>
          <w:rFonts w:eastAsia="宋体" w:cs="Arial"/>
          <w:snapToGrid w:val="0"/>
          <w:kern w:val="0"/>
        </w:rPr>
        <w:t>B.</w:t>
      </w:r>
      <w:r>
        <w:rPr>
          <w:rFonts w:asciiTheme="minorHAnsi" w:hAnsiTheme="minorHAnsi"/>
          <w:sz w:val="21"/>
        </w:rPr>
        <w:tab/>
      </w:r>
      <w:r>
        <w:rPr>
          <w:rStyle w:val="11"/>
          <w:rFonts w:eastAsia="宋体" w:cs="Arial"/>
          <w:snapToGrid w:val="0"/>
          <w:kern w:val="0"/>
        </w:rPr>
        <w:t>IVD</w:t>
      </w:r>
      <w:r>
        <w:rPr>
          <w:rStyle w:val="11"/>
          <w:rFonts w:hint="eastAsia" w:eastAsia="宋体" w:cs="Arial"/>
          <w:snapToGrid w:val="0"/>
          <w:kern w:val="0"/>
        </w:rPr>
        <w:t>伴随式诊断器械未经审批或许可的治疗性产品审批</w:t>
      </w:r>
      <w:r>
        <w:tab/>
      </w:r>
      <w:r>
        <w:fldChar w:fldCharType="begin"/>
      </w:r>
      <w:r>
        <w:instrText xml:space="preserve"> PAGEREF _Toc500170052 \h </w:instrText>
      </w:r>
      <w:r>
        <w:fldChar w:fldCharType="separate"/>
      </w:r>
      <w:r>
        <w:t>8</w:t>
      </w:r>
      <w:r>
        <w:fldChar w:fldCharType="end"/>
      </w:r>
      <w:r>
        <w:fldChar w:fldCharType="end"/>
      </w:r>
    </w:p>
    <w:p w14:paraId="72783BEA">
      <w:pPr>
        <w:pStyle w:val="7"/>
        <w:rPr>
          <w:rFonts w:asciiTheme="minorHAnsi" w:hAnsiTheme="minorHAnsi"/>
          <w:sz w:val="21"/>
        </w:rPr>
      </w:pPr>
      <w:r>
        <w:fldChar w:fldCharType="begin"/>
      </w:r>
      <w:r>
        <w:instrText xml:space="preserve"> HYPERLINK \l "_Toc500170053" </w:instrText>
      </w:r>
      <w:r>
        <w:fldChar w:fldCharType="separate"/>
      </w:r>
      <w:r>
        <w:rPr>
          <w:rStyle w:val="11"/>
          <w:rFonts w:eastAsia="宋体" w:cs="Arial"/>
          <w:snapToGrid w:val="0"/>
          <w:kern w:val="0"/>
        </w:rPr>
        <w:t>C.</w:t>
      </w:r>
      <w:r>
        <w:rPr>
          <w:rFonts w:asciiTheme="minorHAnsi" w:hAnsiTheme="minorHAnsi"/>
          <w:sz w:val="21"/>
        </w:rPr>
        <w:tab/>
      </w:r>
      <w:r>
        <w:rPr>
          <w:rStyle w:val="11"/>
          <w:rFonts w:hint="eastAsia" w:eastAsia="宋体" w:cs="Arial"/>
          <w:snapToGrid w:val="0"/>
          <w:kern w:val="0"/>
        </w:rPr>
        <w:t>一般性政策</w:t>
      </w:r>
      <w:r>
        <w:tab/>
      </w:r>
      <w:r>
        <w:fldChar w:fldCharType="begin"/>
      </w:r>
      <w:r>
        <w:instrText xml:space="preserve"> PAGEREF _Toc500170053 \h </w:instrText>
      </w:r>
      <w:r>
        <w:fldChar w:fldCharType="separate"/>
      </w:r>
      <w:r>
        <w:t>9</w:t>
      </w:r>
      <w:r>
        <w:fldChar w:fldCharType="end"/>
      </w:r>
      <w:r>
        <w:fldChar w:fldCharType="end"/>
      </w:r>
    </w:p>
    <w:p w14:paraId="099F762C">
      <w:pPr>
        <w:pStyle w:val="5"/>
        <w:rPr>
          <w:rFonts w:asciiTheme="minorHAnsi" w:hAnsiTheme="minorHAnsi"/>
          <w:sz w:val="21"/>
        </w:rPr>
      </w:pPr>
      <w:r>
        <w:fldChar w:fldCharType="begin"/>
      </w:r>
      <w:r>
        <w:instrText xml:space="preserve"> HYPERLINK \l "_Toc500170054" </w:instrText>
      </w:r>
      <w:r>
        <w:fldChar w:fldCharType="separate"/>
      </w:r>
      <w:r>
        <w:rPr>
          <w:rStyle w:val="11"/>
          <w:rFonts w:eastAsia="宋体" w:cs="Arial"/>
          <w:b/>
          <w:snapToGrid w:val="0"/>
          <w:kern w:val="0"/>
        </w:rPr>
        <w:t>V.</w:t>
      </w:r>
      <w:r>
        <w:rPr>
          <w:rFonts w:asciiTheme="minorHAnsi" w:hAnsiTheme="minorHAnsi"/>
          <w:sz w:val="21"/>
        </w:rPr>
        <w:tab/>
      </w:r>
      <w:r>
        <w:rPr>
          <w:rStyle w:val="11"/>
          <w:rFonts w:hint="eastAsia" w:eastAsia="宋体" w:cs="Arial"/>
          <w:b/>
          <w:snapToGrid w:val="0"/>
          <w:kern w:val="0"/>
        </w:rPr>
        <w:t>标签</w:t>
      </w:r>
      <w:r>
        <w:tab/>
      </w:r>
      <w:r>
        <w:fldChar w:fldCharType="begin"/>
      </w:r>
      <w:r>
        <w:instrText xml:space="preserve"> PAGEREF _Toc500170054 \h </w:instrText>
      </w:r>
      <w:r>
        <w:fldChar w:fldCharType="separate"/>
      </w:r>
      <w:r>
        <w:t>10</w:t>
      </w:r>
      <w:r>
        <w:fldChar w:fldCharType="end"/>
      </w:r>
      <w:r>
        <w:fldChar w:fldCharType="end"/>
      </w:r>
    </w:p>
    <w:p w14:paraId="45853AB2">
      <w:pPr>
        <w:pStyle w:val="7"/>
        <w:rPr>
          <w:rFonts w:asciiTheme="minorHAnsi" w:hAnsiTheme="minorHAnsi"/>
          <w:sz w:val="21"/>
        </w:rPr>
      </w:pPr>
      <w:r>
        <w:fldChar w:fldCharType="begin"/>
      </w:r>
      <w:r>
        <w:instrText xml:space="preserve"> HYPERLINK \l "_Toc500170055" </w:instrText>
      </w:r>
      <w:r>
        <w:fldChar w:fldCharType="separate"/>
      </w:r>
      <w:r>
        <w:rPr>
          <w:rStyle w:val="11"/>
          <w:rFonts w:eastAsia="宋体" w:cs="Arial"/>
          <w:snapToGrid w:val="0"/>
          <w:kern w:val="0"/>
        </w:rPr>
        <w:t>A.</w:t>
      </w:r>
      <w:r>
        <w:rPr>
          <w:rFonts w:asciiTheme="minorHAnsi" w:hAnsiTheme="minorHAnsi"/>
          <w:sz w:val="21"/>
        </w:rPr>
        <w:tab/>
      </w:r>
      <w:r>
        <w:rPr>
          <w:rStyle w:val="11"/>
          <w:rFonts w:hint="eastAsia" w:eastAsia="宋体" w:cs="Arial"/>
          <w:snapToGrid w:val="0"/>
          <w:kern w:val="0"/>
        </w:rPr>
        <w:t>治疗性产品标签</w:t>
      </w:r>
      <w:r>
        <w:tab/>
      </w:r>
      <w:r>
        <w:fldChar w:fldCharType="begin"/>
      </w:r>
      <w:r>
        <w:instrText xml:space="preserve"> PAGEREF _Toc500170055 \h </w:instrText>
      </w:r>
      <w:r>
        <w:fldChar w:fldCharType="separate"/>
      </w:r>
      <w:r>
        <w:t>10</w:t>
      </w:r>
      <w:r>
        <w:fldChar w:fldCharType="end"/>
      </w:r>
      <w:r>
        <w:fldChar w:fldCharType="end"/>
      </w:r>
    </w:p>
    <w:p w14:paraId="232987CC">
      <w:pPr>
        <w:pStyle w:val="7"/>
        <w:rPr>
          <w:rFonts w:asciiTheme="minorHAnsi" w:hAnsiTheme="minorHAnsi"/>
          <w:sz w:val="21"/>
        </w:rPr>
      </w:pPr>
      <w:r>
        <w:fldChar w:fldCharType="begin"/>
      </w:r>
      <w:r>
        <w:instrText xml:space="preserve"> HYPERLINK \l "_Toc500170056" </w:instrText>
      </w:r>
      <w:r>
        <w:fldChar w:fldCharType="separate"/>
      </w:r>
      <w:r>
        <w:rPr>
          <w:rStyle w:val="11"/>
          <w:rFonts w:eastAsia="宋体" w:cs="Arial"/>
          <w:snapToGrid w:val="0"/>
          <w:kern w:val="0"/>
        </w:rPr>
        <w:t>B.</w:t>
      </w:r>
      <w:r>
        <w:rPr>
          <w:rFonts w:asciiTheme="minorHAnsi" w:hAnsiTheme="minorHAnsi"/>
          <w:sz w:val="21"/>
        </w:rPr>
        <w:tab/>
      </w:r>
      <w:r>
        <w:rPr>
          <w:rStyle w:val="11"/>
          <w:rFonts w:eastAsia="宋体" w:cs="Arial"/>
          <w:snapToGrid w:val="0"/>
          <w:kern w:val="0"/>
        </w:rPr>
        <w:t>IVD</w:t>
      </w:r>
      <w:r>
        <w:rPr>
          <w:rStyle w:val="11"/>
          <w:rFonts w:hint="eastAsia" w:eastAsia="宋体" w:cs="Arial"/>
          <w:snapToGrid w:val="0"/>
          <w:kern w:val="0"/>
        </w:rPr>
        <w:t>伴随式诊断器械标签</w:t>
      </w:r>
      <w:r>
        <w:tab/>
      </w:r>
      <w:r>
        <w:fldChar w:fldCharType="begin"/>
      </w:r>
      <w:r>
        <w:instrText xml:space="preserve"> PAGEREF _Toc500170056 \h </w:instrText>
      </w:r>
      <w:r>
        <w:fldChar w:fldCharType="separate"/>
      </w:r>
      <w:r>
        <w:t>11</w:t>
      </w:r>
      <w:r>
        <w:fldChar w:fldCharType="end"/>
      </w:r>
      <w:r>
        <w:fldChar w:fldCharType="end"/>
      </w:r>
    </w:p>
    <w:p w14:paraId="0B4B5B61">
      <w:pPr>
        <w:pStyle w:val="5"/>
        <w:rPr>
          <w:rFonts w:asciiTheme="minorHAnsi" w:hAnsiTheme="minorHAnsi"/>
          <w:sz w:val="21"/>
        </w:rPr>
      </w:pPr>
      <w:r>
        <w:fldChar w:fldCharType="begin"/>
      </w:r>
      <w:r>
        <w:instrText xml:space="preserve"> HYPERLINK \l "_Toc500170057" </w:instrText>
      </w:r>
      <w:r>
        <w:fldChar w:fldCharType="separate"/>
      </w:r>
      <w:r>
        <w:rPr>
          <w:rStyle w:val="11"/>
          <w:rFonts w:eastAsia="宋体" w:cs="Arial"/>
          <w:b/>
          <w:snapToGrid w:val="0"/>
          <w:kern w:val="0"/>
        </w:rPr>
        <w:t>VI.</w:t>
      </w:r>
      <w:r>
        <w:rPr>
          <w:rFonts w:asciiTheme="minorHAnsi" w:hAnsiTheme="minorHAnsi"/>
          <w:sz w:val="21"/>
        </w:rPr>
        <w:tab/>
      </w:r>
      <w:r>
        <w:rPr>
          <w:rStyle w:val="11"/>
          <w:rFonts w:hint="eastAsia" w:eastAsia="宋体" w:cs="Arial"/>
          <w:b/>
          <w:snapToGrid w:val="0"/>
          <w:kern w:val="0"/>
        </w:rPr>
        <w:t>研究用途</w:t>
      </w:r>
      <w:r>
        <w:tab/>
      </w:r>
      <w:r>
        <w:fldChar w:fldCharType="begin"/>
      </w:r>
      <w:r>
        <w:instrText xml:space="preserve"> PAGEREF _Toc500170057 \h </w:instrText>
      </w:r>
      <w:r>
        <w:fldChar w:fldCharType="separate"/>
      </w:r>
      <w:r>
        <w:t>12</w:t>
      </w:r>
      <w:r>
        <w:fldChar w:fldCharType="end"/>
      </w:r>
      <w:r>
        <w:fldChar w:fldCharType="end"/>
      </w:r>
    </w:p>
    <w:p w14:paraId="5EF0654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fldChar w:fldCharType="end"/>
      </w:r>
    </w:p>
    <w:p w14:paraId="7D62E39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br w:type="page"/>
      </w:r>
    </w:p>
    <w:p w14:paraId="55C256B2">
      <w:pPr>
        <w:pBdr>
          <w:bottom w:val="single" w:color="auto" w:sz="4" w:space="1"/>
        </w:pBdr>
        <w:topLinePunct/>
        <w:adjustRightInd w:val="0"/>
        <w:snapToGrid w:val="0"/>
        <w:spacing w:after="234" w:afterLines="75" w:line="288" w:lineRule="auto"/>
        <w:jc w:val="center"/>
        <w:rPr>
          <w:rFonts w:ascii="Arial" w:hAnsi="Arial" w:eastAsia="宋体" w:cs="Arial"/>
          <w:b/>
          <w:snapToGrid w:val="0"/>
          <w:kern w:val="0"/>
          <w:sz w:val="48"/>
        </w:rPr>
      </w:pPr>
      <w:r>
        <w:rPr>
          <w:rFonts w:ascii="Arial" w:hAnsi="Arial" w:eastAsia="宋体" w:cs="Arial"/>
          <w:b/>
          <w:snapToGrid w:val="0"/>
          <w:kern w:val="0"/>
          <w:sz w:val="48"/>
        </w:rPr>
        <w:t>体外伴随式诊断器械</w:t>
      </w:r>
    </w:p>
    <w:p w14:paraId="1B84DD15">
      <w:pPr>
        <w:topLinePunct/>
        <w:adjustRightInd w:val="0"/>
        <w:snapToGrid w:val="0"/>
        <w:spacing w:after="234" w:afterLines="75" w:line="288" w:lineRule="auto"/>
        <w:jc w:val="center"/>
        <w:rPr>
          <w:rFonts w:ascii="Arial" w:hAnsi="Arial" w:eastAsia="宋体" w:cs="Arial"/>
          <w:b/>
          <w:snapToGrid w:val="0"/>
          <w:kern w:val="0"/>
          <w:sz w:val="48"/>
        </w:rPr>
      </w:pPr>
      <w:r>
        <w:rPr>
          <w:rFonts w:ascii="Arial" w:hAnsi="Arial" w:eastAsia="宋体" w:cs="Arial"/>
          <w:b/>
          <w:snapToGrid w:val="0"/>
          <w:kern w:val="0"/>
          <w:sz w:val="48"/>
        </w:rPr>
        <w:t>行业和FDA工作人员指南</w:t>
      </w:r>
    </w:p>
    <w:tbl>
      <w:tblPr>
        <w:tblStyle w:val="9"/>
        <w:tblW w:w="5000" w:type="pct"/>
        <w:tblInd w:w="0"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42"/>
      </w:tblGrid>
      <w:tr w14:paraId="619CBF4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5322301E">
            <w:pPr>
              <w:topLinePunct/>
              <w:adjustRightInd w:val="0"/>
              <w:snapToGrid w:val="0"/>
              <w:spacing w:before="156" w:beforeLines="50" w:after="156" w:afterLines="50" w:line="300" w:lineRule="auto"/>
              <w:rPr>
                <w:rFonts w:ascii="Arial" w:hAnsi="Arial" w:eastAsia="宋体" w:cs="Arial"/>
                <w:b/>
                <w:i/>
                <w:snapToGrid w:val="0"/>
                <w:kern w:val="0"/>
                <w:sz w:val="24"/>
              </w:rPr>
            </w:pPr>
            <w:r>
              <w:rPr>
                <w:rFonts w:hint="eastAsia" w:ascii="Arial" w:hAnsi="Arial" w:eastAsia="宋体" w:cs="Arial"/>
                <w:b/>
                <w:i/>
                <w:snapToGrid w:val="0"/>
                <w:kern w:val="0"/>
                <w:sz w:val="24"/>
              </w:rPr>
              <w:t>指南代表</w:t>
            </w:r>
            <w:r>
              <w:rPr>
                <w:rFonts w:ascii="Arial" w:hAnsi="Arial" w:eastAsia="宋体" w:cs="Arial"/>
                <w:b/>
                <w:i/>
                <w:snapToGrid w:val="0"/>
                <w:kern w:val="0"/>
                <w:sz w:val="24"/>
              </w:rPr>
              <w:t>食品药品监督管理局（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713FEA2D">
      <w:pPr>
        <w:topLinePunct/>
        <w:adjustRightInd w:val="0"/>
        <w:snapToGrid w:val="0"/>
        <w:spacing w:after="234" w:afterLines="75" w:line="288" w:lineRule="auto"/>
        <w:rPr>
          <w:rFonts w:ascii="Arial" w:hAnsi="Arial" w:eastAsia="宋体" w:cs="Arial"/>
          <w:snapToGrid w:val="0"/>
          <w:kern w:val="0"/>
          <w:sz w:val="24"/>
        </w:rPr>
      </w:pPr>
    </w:p>
    <w:p w14:paraId="55639CA0">
      <w:pPr>
        <w:pStyle w:val="13"/>
        <w:numPr>
          <w:ilvl w:val="0"/>
          <w:numId w:val="1"/>
        </w:numPr>
        <w:topLinePunct/>
        <w:adjustRightInd w:val="0"/>
        <w:snapToGrid w:val="0"/>
        <w:spacing w:after="234" w:afterLines="75" w:line="288" w:lineRule="auto"/>
        <w:ind w:firstLineChars="0"/>
        <w:outlineLvl w:val="0"/>
        <w:rPr>
          <w:rFonts w:ascii="Arial" w:hAnsi="Arial" w:eastAsia="宋体" w:cs="Arial"/>
          <w:b/>
          <w:snapToGrid w:val="0"/>
          <w:kern w:val="0"/>
          <w:sz w:val="32"/>
        </w:rPr>
      </w:pPr>
      <w:bookmarkStart w:id="0" w:name="_Toc500170047"/>
      <w:r>
        <w:rPr>
          <w:rFonts w:ascii="Arial" w:hAnsi="Arial" w:eastAsia="宋体" w:cs="Arial"/>
          <w:b/>
          <w:snapToGrid w:val="0"/>
          <w:kern w:val="0"/>
          <w:sz w:val="32"/>
        </w:rPr>
        <w:t>引言</w:t>
      </w:r>
      <w:bookmarkEnd w:id="0"/>
    </w:p>
    <w:p w14:paraId="697C940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本指南旨在帮助（1）计划研发一种治疗性产品</w:t>
      </w:r>
      <w:r>
        <w:rPr>
          <w:rFonts w:ascii="Arial" w:hAnsi="Arial" w:eastAsia="宋体" w:cs="Arial"/>
          <w:snapToGrid w:val="0"/>
          <w:kern w:val="0"/>
          <w:sz w:val="24"/>
          <w:vertAlign w:val="superscript"/>
        </w:rPr>
        <w:footnoteReference w:id="0"/>
      </w:r>
      <w:r>
        <w:rPr>
          <w:rFonts w:ascii="Arial" w:hAnsi="Arial" w:eastAsia="宋体" w:cs="Arial"/>
          <w:snapToGrid w:val="0"/>
          <w:kern w:val="0"/>
          <w:sz w:val="24"/>
        </w:rPr>
        <w:t>（新型产品或具有新适应症的现有产品），且该产品使用的体外伴随式诊断器械（或检测）对该治疗性产品安全和有效使用至关重要的申办方，和（2）计划研发一种与</w:t>
      </w:r>
      <w:r>
        <w:rPr>
          <w:rFonts w:hint="eastAsia" w:ascii="Arial" w:hAnsi="Arial" w:eastAsia="宋体" w:cs="Arial"/>
          <w:snapToGrid w:val="0"/>
          <w:kern w:val="0"/>
          <w:sz w:val="24"/>
        </w:rPr>
        <w:t>对应的</w:t>
      </w:r>
      <w:r>
        <w:rPr>
          <w:rFonts w:ascii="Arial" w:hAnsi="Arial" w:eastAsia="宋体" w:cs="Arial"/>
          <w:snapToGrid w:val="0"/>
          <w:kern w:val="0"/>
          <w:sz w:val="24"/>
        </w:rPr>
        <w:t>治疗性产品一同使用的体外伴随式诊断器械的申办方。</w:t>
      </w:r>
    </w:p>
    <w:p w14:paraId="2A0DA9D8">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具体来说，本指南希望完成下列部分的任务：</w:t>
      </w:r>
    </w:p>
    <w:p w14:paraId="69397F1C">
      <w:pPr>
        <w:pStyle w:val="13"/>
        <w:numPr>
          <w:ilvl w:val="0"/>
          <w:numId w:val="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定义</w:t>
      </w:r>
      <w:r>
        <w:rPr>
          <w:rFonts w:ascii="宋体" w:hAnsi="宋体" w:eastAsia="宋体" w:cs="Arial"/>
          <w:snapToGrid w:val="0"/>
          <w:kern w:val="0"/>
          <w:sz w:val="24"/>
        </w:rPr>
        <w:t>“</w:t>
      </w:r>
      <w:r>
        <w:rPr>
          <w:rFonts w:ascii="Arial" w:hAnsi="Arial" w:eastAsia="宋体" w:cs="Arial"/>
          <w:snapToGrid w:val="0"/>
          <w:kern w:val="0"/>
          <w:sz w:val="24"/>
        </w:rPr>
        <w:t>体外伴随式诊断器械</w:t>
      </w:r>
      <w:r>
        <w:rPr>
          <w:rFonts w:ascii="宋体" w:hAnsi="宋体" w:eastAsia="宋体" w:cs="Arial"/>
          <w:snapToGrid w:val="0"/>
          <w:kern w:val="0"/>
          <w:sz w:val="24"/>
        </w:rPr>
        <w:t>”</w:t>
      </w:r>
      <w:r>
        <w:rPr>
          <w:rFonts w:ascii="Arial" w:hAnsi="Arial" w:eastAsia="宋体" w:cs="Arial"/>
          <w:snapToGrid w:val="0"/>
          <w:kern w:val="0"/>
          <w:sz w:val="24"/>
        </w:rPr>
        <w:t>（后文称为</w:t>
      </w:r>
      <w:r>
        <w:rPr>
          <w:rFonts w:ascii="宋体" w:hAnsi="宋体" w:eastAsia="宋体" w:cs="Arial"/>
          <w:snapToGrid w:val="0"/>
          <w:kern w:val="0"/>
          <w:sz w:val="24"/>
        </w:rPr>
        <w:t>“</w:t>
      </w:r>
      <w:r>
        <w:rPr>
          <w:rFonts w:ascii="Arial" w:hAnsi="Arial" w:eastAsia="宋体" w:cs="Arial"/>
          <w:snapToGrid w:val="0"/>
          <w:kern w:val="0"/>
          <w:sz w:val="24"/>
        </w:rPr>
        <w:t>IVD伴随式诊断器械</w:t>
      </w:r>
      <w:r>
        <w:rPr>
          <w:rFonts w:ascii="宋体" w:hAnsi="宋体" w:eastAsia="宋体" w:cs="Arial"/>
          <w:snapToGrid w:val="0"/>
          <w:kern w:val="0"/>
          <w:sz w:val="24"/>
        </w:rPr>
        <w:t>”</w:t>
      </w:r>
      <w:r>
        <w:rPr>
          <w:rFonts w:ascii="Arial" w:hAnsi="Arial" w:eastAsia="宋体" w:cs="Arial"/>
          <w:snapToGrid w:val="0"/>
          <w:kern w:val="0"/>
          <w:sz w:val="24"/>
        </w:rPr>
        <w:t>）</w:t>
      </w:r>
    </w:p>
    <w:p w14:paraId="5DCE457D">
      <w:pPr>
        <w:pStyle w:val="13"/>
        <w:numPr>
          <w:ilvl w:val="0"/>
          <w:numId w:val="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解释FDA对IVD伴随式诊断器械进行监管的需要</w:t>
      </w:r>
    </w:p>
    <w:p w14:paraId="4D4CB0F7">
      <w:pPr>
        <w:pStyle w:val="13"/>
        <w:numPr>
          <w:ilvl w:val="0"/>
          <w:numId w:val="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明确说明，大多数情况下，IVD伴随式诊断器械及其对应的治疗性产品应当同时由FDA进行批准和审批，并按照治疗性产品标签使用</w:t>
      </w:r>
    </w:p>
    <w:p w14:paraId="293B1724">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22DC46E">
      <w:pPr>
        <w:pStyle w:val="13"/>
        <w:numPr>
          <w:ilvl w:val="0"/>
          <w:numId w:val="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向行业及FDA工作人员提供关于上市前监管路径以及FDA监管施行政策的指导</w:t>
      </w:r>
    </w:p>
    <w:p w14:paraId="00D57B7E">
      <w:pPr>
        <w:pStyle w:val="13"/>
        <w:numPr>
          <w:ilvl w:val="0"/>
          <w:numId w:val="2"/>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描述与治疗性产品标签相关的法规和监管批准要求，当IVD的使用对于安全和有效使用治疗性产品至关重要时，应同时使用IVD伴随式诊断器械</w:t>
      </w:r>
    </w:p>
    <w:p w14:paraId="18EF47D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鼓励考虑申请本指南中所述的治疗性产品或IVD伴随式诊断器械的申办方申请与相关器械和治疗性产品审查部门进行会谈，确保产品研发计划可以提供充足的数据，确定IVD伴随式诊断器械和治疗性产品的安全性和有效性。</w:t>
      </w:r>
    </w:p>
    <w:p w14:paraId="2EA416B7">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本指南文件并不解决供体与潜在受体血液、血液成分、细胞、组织或器官配型相关的检测，该类器械在FDA关于血液和人类细胞、组织和基于组织的产品法规的更大监管框架范围内。虽然人类白细胞抗原（HLA）测定常用</w:t>
      </w:r>
      <w:r>
        <w:rPr>
          <w:rFonts w:hint="eastAsia" w:ascii="Arial" w:hAnsi="Arial" w:eastAsia="宋体" w:cs="Arial"/>
          <w:snapToGrid w:val="0"/>
          <w:kern w:val="0"/>
          <w:sz w:val="24"/>
        </w:rPr>
        <w:t>与</w:t>
      </w:r>
      <w:r>
        <w:rPr>
          <w:rFonts w:ascii="Arial" w:hAnsi="Arial" w:eastAsia="宋体" w:cs="Arial"/>
          <w:snapToGrid w:val="0"/>
          <w:kern w:val="0"/>
          <w:sz w:val="24"/>
        </w:rPr>
        <w:t>供体和潜在受体的配型，但其也有其他应用。用于其它目的时，如果HLA测定的结果对于某种治疗性产品安全和有效使用十分重要，则其在本指南的范围内。</w:t>
      </w:r>
    </w:p>
    <w:p w14:paraId="6808496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FDA指导性文件，包括本指南</w:t>
      </w:r>
      <w:r>
        <w:rPr>
          <w:rFonts w:hint="eastAsia" w:ascii="Arial" w:hAnsi="Arial" w:eastAsia="宋体" w:cs="Arial"/>
          <w:snapToGrid w:val="0"/>
          <w:kern w:val="0"/>
          <w:sz w:val="24"/>
        </w:rPr>
        <w:t>在内</w:t>
      </w:r>
      <w:r>
        <w:rPr>
          <w:rFonts w:ascii="Arial" w:hAnsi="Arial" w:eastAsia="宋体" w:cs="Arial"/>
          <w:snapToGrid w:val="0"/>
          <w:kern w:val="0"/>
          <w:sz w:val="24"/>
        </w:rPr>
        <w:t>，不构成具有法律强制力的责任。相反，指南表明了本审查机构对某一主题的最新见解，除非引用具体的法规或法律要求，否则只应视为建议。在本审查机构指南中使用词语</w:t>
      </w:r>
      <w:r>
        <w:rPr>
          <w:rFonts w:ascii="宋体" w:hAnsi="宋体" w:eastAsia="宋体" w:cs="Arial"/>
          <w:snapToGrid w:val="0"/>
          <w:kern w:val="0"/>
          <w:sz w:val="24"/>
        </w:rPr>
        <w:t>“</w:t>
      </w:r>
      <w:r>
        <w:rPr>
          <w:rFonts w:ascii="Arial" w:hAnsi="Arial" w:eastAsia="宋体" w:cs="Arial"/>
          <w:snapToGrid w:val="0"/>
          <w:kern w:val="0"/>
          <w:sz w:val="24"/>
        </w:rPr>
        <w:t>应当</w:t>
      </w:r>
      <w:r>
        <w:rPr>
          <w:rFonts w:ascii="宋体" w:hAnsi="宋体" w:eastAsia="宋体" w:cs="Arial"/>
          <w:snapToGrid w:val="0"/>
          <w:kern w:val="0"/>
          <w:sz w:val="24"/>
        </w:rPr>
        <w:t>”</w:t>
      </w:r>
      <w:r>
        <w:rPr>
          <w:rFonts w:ascii="Arial" w:hAnsi="Arial" w:eastAsia="宋体" w:cs="Arial"/>
          <w:snapToGrid w:val="0"/>
          <w:kern w:val="0"/>
          <w:sz w:val="24"/>
        </w:rPr>
        <w:t>是指建议或推荐进行某一事项，并非强制要求。</w:t>
      </w:r>
    </w:p>
    <w:p w14:paraId="20F3D6BC">
      <w:pPr>
        <w:pStyle w:val="13"/>
        <w:numPr>
          <w:ilvl w:val="0"/>
          <w:numId w:val="1"/>
        </w:numPr>
        <w:topLinePunct/>
        <w:adjustRightInd w:val="0"/>
        <w:snapToGrid w:val="0"/>
        <w:spacing w:after="234" w:afterLines="75" w:line="288" w:lineRule="auto"/>
        <w:ind w:firstLineChars="0"/>
        <w:outlineLvl w:val="0"/>
        <w:rPr>
          <w:rFonts w:ascii="Arial" w:hAnsi="Arial" w:eastAsia="宋体" w:cs="Arial"/>
          <w:b/>
          <w:snapToGrid w:val="0"/>
          <w:kern w:val="0"/>
          <w:sz w:val="32"/>
        </w:rPr>
      </w:pPr>
      <w:bookmarkStart w:id="1" w:name="_Toc500170048"/>
      <w:r>
        <w:rPr>
          <w:rFonts w:ascii="Arial" w:hAnsi="Arial" w:eastAsia="宋体" w:cs="Arial"/>
          <w:b/>
          <w:snapToGrid w:val="0"/>
          <w:kern w:val="0"/>
          <w:sz w:val="32"/>
        </w:rPr>
        <w:t>背景</w:t>
      </w:r>
      <w:bookmarkEnd w:id="1"/>
    </w:p>
    <w:p w14:paraId="4581A6D7">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长期以来，诊断性测试一直用于提高治疗性产品的使用。检测也用于治疗性产品的研发阶段，用于获取数据，供FDA进行监管决定。在治疗性产品进入商用后，健康护理专家可能也会使用相关的诊断性检测，例如为特定的患者选择合适的治疗，或优化剂量疗法。</w:t>
      </w:r>
    </w:p>
    <w:p w14:paraId="19EA56F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最近，有越来越多的治疗性产品研发使用诊断性器械来保证产品满足标签所述安全性和有效性。例如，该类检测可以确定治疗适用的亚人群，或确定由于严重副作用风险过高而不适合接受特定治疗的人群。通过确定最有可能产生效果的人群，或者对特定副作用不同风险等级的人群，这些新兴技术可以使得医学治疗更加的个性化，或个体化。</w:t>
      </w:r>
    </w:p>
    <w:p w14:paraId="65A2416E">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E16A81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如果适当的科学理论支持该方式，FDA也会鼓励联合开发治疗性产品和对其使用的安全性和有效性至关重要的诊断性器械。已有若干已批准的治疗／诊断配对产品案例。</w:t>
      </w:r>
      <w:r>
        <w:rPr>
          <w:rStyle w:val="12"/>
          <w:rFonts w:ascii="Arial" w:hAnsi="Arial" w:eastAsia="宋体" w:cs="Arial"/>
          <w:snapToGrid w:val="0"/>
          <w:kern w:val="0"/>
          <w:sz w:val="24"/>
        </w:rPr>
        <w:footnoteReference w:id="1"/>
      </w:r>
    </w:p>
    <w:p w14:paraId="536692FE">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如果诊断性器械的结果对于患者的治疗至关重要，则健康护理专家必须依赖于这些结果。IVD伴随式诊断器械如果性能出现问题，则可能会带来严重的治疗结果。该器械可能出现分析问题（例如，无法精确测量某种</w:t>
      </w:r>
      <w:r>
        <w:rPr>
          <w:rFonts w:hint="eastAsia" w:ascii="Arial" w:hAnsi="Arial" w:eastAsia="宋体" w:cs="Arial"/>
          <w:snapToGrid w:val="0"/>
          <w:kern w:val="0"/>
          <w:sz w:val="24"/>
        </w:rPr>
        <w:t>相关</w:t>
      </w:r>
      <w:r>
        <w:rPr>
          <w:rFonts w:ascii="Arial" w:hAnsi="Arial" w:eastAsia="宋体" w:cs="Arial"/>
          <w:snapToGrid w:val="0"/>
          <w:kern w:val="0"/>
          <w:sz w:val="24"/>
        </w:rPr>
        <w:t>蛋白的表达水平），也可能造成临床事故（例如，无法确定某种严重的副作用风险较高的人群）。IVD伴随式诊断器械结果错误可能会妨碍</w:t>
      </w:r>
      <w:r>
        <w:rPr>
          <w:rFonts w:hint="eastAsia" w:ascii="Arial" w:hAnsi="Arial" w:eastAsia="宋体" w:cs="Arial"/>
          <w:snapToGrid w:val="0"/>
          <w:kern w:val="0"/>
          <w:sz w:val="24"/>
        </w:rPr>
        <w:t>适当</w:t>
      </w:r>
      <w:r>
        <w:rPr>
          <w:rFonts w:ascii="Arial" w:hAnsi="Arial" w:eastAsia="宋体" w:cs="Arial"/>
          <w:snapToGrid w:val="0"/>
          <w:kern w:val="0"/>
          <w:sz w:val="24"/>
        </w:rPr>
        <w:t>治疗措施的实施，或者实施</w:t>
      </w:r>
      <w:r>
        <w:rPr>
          <w:rFonts w:hint="eastAsia" w:ascii="Arial" w:hAnsi="Arial" w:eastAsia="宋体" w:cs="Arial"/>
          <w:snapToGrid w:val="0"/>
          <w:kern w:val="0"/>
          <w:sz w:val="24"/>
        </w:rPr>
        <w:t>不适当</w:t>
      </w:r>
      <w:r>
        <w:rPr>
          <w:rFonts w:ascii="Arial" w:hAnsi="Arial" w:eastAsia="宋体" w:cs="Arial"/>
          <w:snapToGrid w:val="0"/>
          <w:kern w:val="0"/>
          <w:sz w:val="24"/>
        </w:rPr>
        <w:t>的治疗方式。因此，FDA认为，在治疗性产品中使用IVD伴随式诊断器械可能会同时存在与IVD伴随式诊断器械和治疗性产品相关的安全性和有效性问题。因为IVD伴随式诊断器械</w:t>
      </w:r>
      <w:r>
        <w:rPr>
          <w:rFonts w:ascii="宋体" w:hAnsi="宋体" w:eastAsia="宋体" w:cs="Arial"/>
          <w:snapToGrid w:val="0"/>
          <w:kern w:val="0"/>
          <w:sz w:val="24"/>
        </w:rPr>
        <w:t>“</w:t>
      </w:r>
      <w:r>
        <w:rPr>
          <w:rFonts w:ascii="Arial" w:hAnsi="Arial" w:eastAsia="宋体" w:cs="Arial"/>
          <w:snapToGrid w:val="0"/>
          <w:kern w:val="0"/>
          <w:sz w:val="24"/>
        </w:rPr>
        <w:t>性能参数</w:t>
      </w:r>
      <w:r>
        <w:rPr>
          <w:rFonts w:ascii="宋体" w:hAnsi="宋体" w:eastAsia="宋体" w:cs="Arial"/>
          <w:snapToGrid w:val="0"/>
          <w:kern w:val="0"/>
          <w:sz w:val="24"/>
        </w:rPr>
        <w:t>”</w:t>
      </w:r>
      <w:r>
        <w:rPr>
          <w:rFonts w:ascii="Arial" w:hAnsi="Arial" w:eastAsia="宋体" w:cs="Arial"/>
          <w:snapToGrid w:val="0"/>
          <w:kern w:val="0"/>
          <w:sz w:val="24"/>
        </w:rPr>
        <w:t>不当</w:t>
      </w:r>
      <w:r>
        <w:rPr>
          <w:rStyle w:val="12"/>
          <w:rFonts w:ascii="Arial" w:hAnsi="Arial" w:eastAsia="宋体" w:cs="Arial"/>
          <w:snapToGrid w:val="0"/>
          <w:kern w:val="0"/>
          <w:sz w:val="24"/>
        </w:rPr>
        <w:footnoteReference w:id="2"/>
      </w:r>
      <w:r>
        <w:rPr>
          <w:rFonts w:ascii="Arial" w:hAnsi="Arial" w:eastAsia="宋体" w:cs="Arial"/>
          <w:snapToGrid w:val="0"/>
          <w:kern w:val="0"/>
          <w:sz w:val="24"/>
        </w:rPr>
        <w:t>或其他与安全性和有效性相关的问题会给患者带来无法避免的治疗风险</w:t>
      </w:r>
      <w:r>
        <w:rPr>
          <w:rStyle w:val="12"/>
          <w:rFonts w:ascii="Arial" w:hAnsi="Arial" w:eastAsia="宋体" w:cs="Arial"/>
          <w:snapToGrid w:val="0"/>
          <w:kern w:val="0"/>
          <w:sz w:val="24"/>
        </w:rPr>
        <w:footnoteReference w:id="3"/>
      </w:r>
      <w:r>
        <w:rPr>
          <w:rFonts w:ascii="Arial" w:hAnsi="Arial" w:eastAsia="宋体" w:cs="Arial"/>
          <w:snapToGrid w:val="0"/>
          <w:kern w:val="0"/>
          <w:sz w:val="24"/>
        </w:rPr>
        <w:t>，因此FDA会通过上市前审查和</w:t>
      </w:r>
      <w:r>
        <w:rPr>
          <w:rFonts w:hint="eastAsia" w:ascii="Arial" w:hAnsi="Arial" w:eastAsia="宋体" w:cs="Arial"/>
          <w:snapToGrid w:val="0"/>
          <w:kern w:val="0"/>
          <w:sz w:val="24"/>
        </w:rPr>
        <w:t>许可</w:t>
      </w:r>
      <w:r>
        <w:rPr>
          <w:rFonts w:ascii="Arial" w:hAnsi="Arial" w:eastAsia="宋体" w:cs="Arial"/>
          <w:snapToGrid w:val="0"/>
          <w:kern w:val="0"/>
          <w:sz w:val="24"/>
        </w:rPr>
        <w:t>或审批流程对用于治疗性产品的IVD伴随式诊断器械的安全性和有效性进行评估。</w:t>
      </w:r>
    </w:p>
    <w:p w14:paraId="20AAF45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为了帮助研发和审批带有IVD伴随式诊断器械的治疗性产品，以及帮助研发IVD诊断性器械本身，FDA会阐明与这些器械和产品相关的政策。同时，FDA也建立了适当的内部政策和流程，确保相关的中心之间进行有效的沟通，促进IVD伴随式诊断器械和治疗性产品建议的一致性和研发效率，保证这些器械和治疗性产品的协同审查</w:t>
      </w:r>
      <w:r>
        <w:rPr>
          <w:rStyle w:val="12"/>
          <w:rFonts w:ascii="Arial" w:hAnsi="Arial" w:eastAsia="宋体" w:cs="Arial"/>
          <w:snapToGrid w:val="0"/>
          <w:kern w:val="0"/>
          <w:sz w:val="24"/>
        </w:rPr>
        <w:footnoteReference w:id="4"/>
      </w:r>
      <w:r>
        <w:rPr>
          <w:rFonts w:ascii="Arial" w:hAnsi="Arial" w:eastAsia="宋体" w:cs="Arial"/>
          <w:snapToGrid w:val="0"/>
          <w:kern w:val="0"/>
          <w:sz w:val="24"/>
        </w:rPr>
        <w:t>。</w:t>
      </w:r>
    </w:p>
    <w:p w14:paraId="677F955D">
      <w:pPr>
        <w:widowControl/>
        <w:jc w:val="left"/>
        <w:rPr>
          <w:rFonts w:ascii="Arial" w:hAnsi="Arial" w:eastAsia="宋体" w:cs="Arial"/>
          <w:b/>
          <w:snapToGrid w:val="0"/>
          <w:kern w:val="0"/>
          <w:sz w:val="32"/>
        </w:rPr>
      </w:pPr>
      <w:r>
        <w:rPr>
          <w:rFonts w:ascii="Arial" w:hAnsi="Arial" w:eastAsia="宋体" w:cs="Arial"/>
          <w:b/>
          <w:snapToGrid w:val="0"/>
          <w:kern w:val="0"/>
          <w:sz w:val="32"/>
        </w:rPr>
        <w:br w:type="page"/>
      </w:r>
    </w:p>
    <w:p w14:paraId="38FB93E2">
      <w:pPr>
        <w:pStyle w:val="13"/>
        <w:numPr>
          <w:ilvl w:val="0"/>
          <w:numId w:val="1"/>
        </w:numPr>
        <w:topLinePunct/>
        <w:adjustRightInd w:val="0"/>
        <w:snapToGrid w:val="0"/>
        <w:spacing w:after="234" w:afterLines="75" w:line="288" w:lineRule="auto"/>
        <w:ind w:firstLineChars="0"/>
        <w:outlineLvl w:val="0"/>
        <w:rPr>
          <w:rFonts w:ascii="Arial" w:hAnsi="Arial" w:eastAsia="宋体" w:cs="Arial"/>
          <w:b/>
          <w:snapToGrid w:val="0"/>
          <w:kern w:val="0"/>
          <w:sz w:val="32"/>
        </w:rPr>
      </w:pPr>
      <w:bookmarkStart w:id="2" w:name="_Toc500170049"/>
      <w:r>
        <w:rPr>
          <w:rFonts w:ascii="Arial" w:hAnsi="Arial" w:eastAsia="宋体" w:cs="Arial"/>
          <w:b/>
          <w:snapToGrid w:val="0"/>
          <w:kern w:val="0"/>
          <w:sz w:val="32"/>
        </w:rPr>
        <w:t>IVD伴随式诊断器械的定义</w:t>
      </w:r>
      <w:r>
        <w:rPr>
          <w:rFonts w:hint="eastAsia" w:ascii="Arial" w:hAnsi="Arial" w:eastAsia="宋体" w:cs="Arial"/>
          <w:b/>
          <w:snapToGrid w:val="0"/>
          <w:kern w:val="0"/>
          <w:sz w:val="32"/>
        </w:rPr>
        <w:t>和</w:t>
      </w:r>
      <w:r>
        <w:rPr>
          <w:rFonts w:ascii="Arial" w:hAnsi="Arial" w:eastAsia="宋体" w:cs="Arial"/>
          <w:b/>
          <w:snapToGrid w:val="0"/>
          <w:kern w:val="0"/>
          <w:sz w:val="32"/>
        </w:rPr>
        <w:t>使用</w:t>
      </w:r>
      <w:bookmarkEnd w:id="2"/>
    </w:p>
    <w:p w14:paraId="266504C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IVD伴随式诊断器械是一种体外诊断器械，可以为治疗性产品安全和有效使用提供重要的信息。治疗性产品同时使用IVD伴随式诊断器械应同时在诊断性器械和相对应的治疗性产品，包括治疗性产品的任何等价衍生物标签的使用说明中明确规定。</w:t>
      </w:r>
    </w:p>
    <w:p w14:paraId="0C75A25C">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IVD伴随式诊断器械对于对应的治疗性产品的安全和有效使用非常重要</w:t>
      </w:r>
      <w:r>
        <w:rPr>
          <w:rStyle w:val="12"/>
          <w:rFonts w:ascii="Arial" w:hAnsi="Arial" w:eastAsia="宋体" w:cs="Arial"/>
          <w:snapToGrid w:val="0"/>
          <w:kern w:val="0"/>
          <w:sz w:val="24"/>
        </w:rPr>
        <w:footnoteReference w:id="5"/>
      </w:r>
      <w:r>
        <w:rPr>
          <w:rFonts w:ascii="Arial" w:hAnsi="Arial" w:eastAsia="宋体" w:cs="Arial"/>
          <w:snapToGrid w:val="0"/>
          <w:kern w:val="0"/>
          <w:sz w:val="24"/>
        </w:rPr>
        <w:t>：</w:t>
      </w:r>
    </w:p>
    <w:p w14:paraId="63ECC78A">
      <w:pPr>
        <w:pStyle w:val="13"/>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确定最有可能从治疗性产品中受益的患者</w:t>
      </w:r>
    </w:p>
    <w:p w14:paraId="0DAFECAD">
      <w:pPr>
        <w:pStyle w:val="13"/>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确定该治疗性产品相关严重不良反应风险较大的患者</w:t>
      </w:r>
    </w:p>
    <w:p w14:paraId="31175FC5">
      <w:pPr>
        <w:pStyle w:val="13"/>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检测治疗性产品治疗效果，从而调整治疗（例如治疗周期、剂量、停止治疗等），提高安全性和有效性</w:t>
      </w:r>
    </w:p>
    <w:p w14:paraId="68C1E7DF">
      <w:pPr>
        <w:pStyle w:val="13"/>
        <w:numPr>
          <w:ilvl w:val="0"/>
          <w:numId w:val="3"/>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确定该治疗产品已经充分研究，并确定其安全性和有效性的人群亚组，即在任何其他人群中有关于该治疗性产品的充分的安全性和有效性信息</w:t>
      </w:r>
    </w:p>
    <w:p w14:paraId="71E9580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FDA未将对治疗性产品的安全和有效使用非关键性的体外诊断检测纳入该定义。</w:t>
      </w:r>
      <w:r>
        <w:rPr>
          <w:rStyle w:val="12"/>
          <w:rFonts w:ascii="Arial" w:hAnsi="Arial" w:eastAsia="宋体" w:cs="Arial"/>
          <w:snapToGrid w:val="0"/>
          <w:kern w:val="0"/>
          <w:sz w:val="24"/>
        </w:rPr>
        <w:footnoteReference w:id="6"/>
      </w:r>
    </w:p>
    <w:p w14:paraId="4752C695">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理想状况下，治疗性产品及其对应的IVD伴随式诊断器械应当同时研发，IVD伴随式诊断器械的临床性能和临床有效性应当基于对应的治疗性产品的临床研发项目获取的数据来确定。IVD伴随式诊断器械可以是新型的IVD器械（如针对新型分析物的新检测），由不同制造商生产的已有器械的新版本，或已经被批准和审批的器械用于新的目的。</w:t>
      </w:r>
    </w:p>
    <w:p w14:paraId="0E27A287">
      <w:pPr>
        <w:widowControl/>
        <w:jc w:val="left"/>
        <w:rPr>
          <w:rFonts w:ascii="Arial" w:hAnsi="Arial" w:eastAsia="宋体" w:cs="Arial"/>
          <w:snapToGrid w:val="0"/>
          <w:kern w:val="0"/>
          <w:sz w:val="24"/>
        </w:rPr>
      </w:pPr>
      <w:bookmarkStart w:id="3" w:name="OLE_LINK9"/>
      <w:r>
        <w:rPr>
          <w:rFonts w:ascii="Arial" w:hAnsi="Arial" w:eastAsia="宋体" w:cs="Arial"/>
          <w:snapToGrid w:val="0"/>
          <w:kern w:val="0"/>
          <w:sz w:val="24"/>
        </w:rPr>
        <w:br w:type="page"/>
      </w:r>
    </w:p>
    <w:bookmarkEnd w:id="3"/>
    <w:p w14:paraId="4D992748">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下列章节描述了FDA关于带有IVD伴随式诊断器械的治疗性产品审批的政策。</w:t>
      </w:r>
    </w:p>
    <w:p w14:paraId="0784D73E">
      <w:pPr>
        <w:pStyle w:val="13"/>
        <w:numPr>
          <w:ilvl w:val="0"/>
          <w:numId w:val="1"/>
        </w:numPr>
        <w:topLinePunct/>
        <w:adjustRightInd w:val="0"/>
        <w:snapToGrid w:val="0"/>
        <w:spacing w:after="234" w:afterLines="75" w:line="288" w:lineRule="auto"/>
        <w:ind w:firstLineChars="0"/>
        <w:outlineLvl w:val="0"/>
        <w:rPr>
          <w:rFonts w:ascii="Arial" w:hAnsi="Arial" w:eastAsia="宋体" w:cs="Arial"/>
          <w:b/>
          <w:snapToGrid w:val="0"/>
          <w:kern w:val="0"/>
          <w:sz w:val="32"/>
        </w:rPr>
      </w:pPr>
      <w:bookmarkStart w:id="4" w:name="_Toc500170050"/>
      <w:r>
        <w:rPr>
          <w:rFonts w:ascii="Arial" w:hAnsi="Arial" w:eastAsia="宋体" w:cs="Arial"/>
          <w:b/>
          <w:snapToGrid w:val="0"/>
          <w:kern w:val="0"/>
          <w:sz w:val="32"/>
        </w:rPr>
        <w:t>IVD伴随式诊断器械和治疗性产品的审查和审批</w:t>
      </w:r>
      <w:bookmarkEnd w:id="4"/>
    </w:p>
    <w:p w14:paraId="0E421016">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IVD伴随式诊断器械和对应的治疗性产品的申请会根据适用的法规要求进行审查和审批。IVD伴随式诊断器械的申请会根据联邦食品药品与化妆品法案（FD&amp;C法案）和相关的医疗器械法规进行审查和审批或批准；治疗性产品申请会根据FD&amp;C法案第505部分（即药品产品）或公共卫生服务法案第351部分（即生物制剂产品）和相关的药品和生物制剂产品法规进行审查和审批。对于IVD伴随式诊断器械的申请，FDA希望在其对应的治疗性产品背景下，或与对应的治疗性产品共同审查，同时FDA对IVD伴随式诊断器械和治疗性产品的审查也会由相关的FDA办公室协同进行。</w:t>
      </w:r>
    </w:p>
    <w:p w14:paraId="176FD610">
      <w:pPr>
        <w:pStyle w:val="13"/>
        <w:numPr>
          <w:ilvl w:val="0"/>
          <w:numId w:val="4"/>
        </w:numPr>
        <w:topLinePunct/>
        <w:adjustRightInd w:val="0"/>
        <w:snapToGrid w:val="0"/>
        <w:spacing w:after="234" w:afterLines="75" w:line="288" w:lineRule="auto"/>
        <w:ind w:left="357" w:hanging="357" w:firstLineChars="0"/>
        <w:outlineLvl w:val="1"/>
        <w:rPr>
          <w:rFonts w:ascii="Arial" w:hAnsi="Arial" w:eastAsia="宋体" w:cs="Arial"/>
          <w:b/>
          <w:snapToGrid w:val="0"/>
          <w:kern w:val="0"/>
          <w:sz w:val="24"/>
        </w:rPr>
      </w:pPr>
      <w:bookmarkStart w:id="5" w:name="_Toc500170051"/>
      <w:r>
        <w:rPr>
          <w:rFonts w:ascii="Arial" w:hAnsi="Arial" w:eastAsia="宋体" w:cs="Arial"/>
          <w:b/>
          <w:snapToGrid w:val="0"/>
          <w:kern w:val="0"/>
          <w:sz w:val="24"/>
        </w:rPr>
        <w:t>新型治疗性产品</w:t>
      </w:r>
      <w:bookmarkEnd w:id="5"/>
    </w:p>
    <w:p w14:paraId="3873F4E3">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对于IVD伴随式诊断器械为产品安全和有效使用起到重要作用的新型治疗性产品，IVD伴随式诊断器械应当同时研发和接受审批或许可，通过这种方式才可以在治疗性产品批准后允许使用。在批准治疗性产品前，FDA会确定IVD伴随式诊断器械是否已经经过适当的确认，是否符合适用的安全性和有效性标准，或符合治疗性产品标签所述使用情况下的实质等同性。IVD伴随式诊断器械的使用会在治疗性产品的标签中明确规定（即，仅当与IVD伴随式诊断器械同时使用时，该治疗性产品才可认为安全和有效）。如果FDA确定IVD伴随式诊断器械对于新型治疗性产品或新的适应症的安全和有效使用十分重要，则如果该IVD伴随式诊断器械未经审批或批准用于该适应症，FDA通常不会批准该治疗性产品或新型治疗性产品适应症。IVD伴随式诊断器械的审批或批准可以确保该器械已经经过了适当的评估，并且在目标人群中具有适当的性能特征。</w:t>
      </w:r>
    </w:p>
    <w:p w14:paraId="53867078">
      <w:pPr>
        <w:pStyle w:val="13"/>
        <w:numPr>
          <w:ilvl w:val="0"/>
          <w:numId w:val="4"/>
        </w:numPr>
        <w:topLinePunct/>
        <w:adjustRightInd w:val="0"/>
        <w:snapToGrid w:val="0"/>
        <w:spacing w:after="234" w:afterLines="75" w:line="288" w:lineRule="auto"/>
        <w:ind w:left="357" w:hanging="357" w:firstLineChars="0"/>
        <w:outlineLvl w:val="1"/>
        <w:rPr>
          <w:rFonts w:ascii="Arial" w:hAnsi="Arial" w:eastAsia="宋体" w:cs="Arial"/>
          <w:b/>
          <w:snapToGrid w:val="0"/>
          <w:kern w:val="0"/>
          <w:sz w:val="24"/>
        </w:rPr>
      </w:pPr>
      <w:bookmarkStart w:id="6" w:name="OLE_LINK1"/>
      <w:bookmarkStart w:id="7" w:name="OLE_LINK2"/>
      <w:bookmarkStart w:id="8" w:name="_Toc500170052"/>
      <w:r>
        <w:rPr>
          <w:rFonts w:ascii="Arial" w:hAnsi="Arial" w:eastAsia="宋体" w:cs="Arial"/>
          <w:b/>
          <w:snapToGrid w:val="0"/>
          <w:kern w:val="0"/>
          <w:sz w:val="24"/>
        </w:rPr>
        <w:t>IVD伴随式诊断器械未经审批或</w:t>
      </w:r>
      <w:r>
        <w:rPr>
          <w:rFonts w:hint="eastAsia" w:ascii="Arial" w:hAnsi="Arial" w:eastAsia="宋体" w:cs="Arial"/>
          <w:b/>
          <w:snapToGrid w:val="0"/>
          <w:kern w:val="0"/>
          <w:sz w:val="24"/>
        </w:rPr>
        <w:t>许可</w:t>
      </w:r>
      <w:r>
        <w:rPr>
          <w:rFonts w:ascii="Arial" w:hAnsi="Arial" w:eastAsia="宋体" w:cs="Arial"/>
          <w:b/>
          <w:snapToGrid w:val="0"/>
          <w:kern w:val="0"/>
          <w:sz w:val="24"/>
        </w:rPr>
        <w:t>的治疗性产品审批</w:t>
      </w:r>
      <w:bookmarkEnd w:id="6"/>
      <w:bookmarkEnd w:id="7"/>
      <w:bookmarkEnd w:id="8"/>
    </w:p>
    <w:p w14:paraId="1F9EBAC9">
      <w:pPr>
        <w:widowControl/>
        <w:jc w:val="left"/>
        <w:rPr>
          <w:rFonts w:ascii="Arial" w:hAnsi="Arial" w:eastAsia="宋体" w:cs="Arial"/>
          <w:snapToGrid w:val="0"/>
          <w:kern w:val="0"/>
          <w:sz w:val="24"/>
        </w:rPr>
      </w:pPr>
      <w:r>
        <w:rPr>
          <w:rFonts w:ascii="Arial" w:hAnsi="Arial" w:eastAsia="宋体" w:cs="Arial"/>
          <w:snapToGrid w:val="0"/>
          <w:kern w:val="0"/>
          <w:sz w:val="24"/>
        </w:rPr>
        <w:t>在IVD伴随式诊断器械未同时审批或许可的情况下，FDA也可能认为可以批准该治疗性产品。本部分将讨论两种此类情况。一般来说，如果在IVD伴随式诊断器械未经审批或批准的情况下批准某治疗性产品，FDA会希望与治疗性产品一同使用的该IVD伴随式诊断器械通过适当的器械申请进行后续的审批或批准，然后修改治疗性产品的标签，明确规定IVD伴随式诊断器械的使用。另外，FDA会考虑是否需要其他的保护措施来解决由于该治疗性产品未与审批或批准的IVD伴随式诊断器械同时使用而带来的安全</w:t>
      </w:r>
      <w:r>
        <w:rPr>
          <w:rFonts w:ascii="Arial" w:hAnsi="Arial" w:eastAsia="宋体" w:cs="Arial"/>
          <w:snapToGrid w:val="0"/>
          <w:kern w:val="0"/>
          <w:sz w:val="24"/>
        </w:rPr>
        <w:br w:type="page"/>
      </w:r>
    </w:p>
    <w:p w14:paraId="7E9C409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性问题。</w:t>
      </w:r>
      <w:r>
        <w:rPr>
          <w:rStyle w:val="12"/>
          <w:rFonts w:ascii="Arial" w:hAnsi="Arial" w:eastAsia="宋体" w:cs="Arial"/>
          <w:snapToGrid w:val="0"/>
          <w:kern w:val="0"/>
          <w:sz w:val="24"/>
        </w:rPr>
        <w:footnoteReference w:id="7"/>
      </w:r>
    </w:p>
    <w:p w14:paraId="0AF226DE">
      <w:pPr>
        <w:pStyle w:val="13"/>
        <w:numPr>
          <w:ilvl w:val="0"/>
          <w:numId w:val="5"/>
        </w:numPr>
        <w:topLinePunct/>
        <w:adjustRightInd w:val="0"/>
        <w:snapToGrid w:val="0"/>
        <w:spacing w:after="234" w:afterLines="75" w:line="288" w:lineRule="auto"/>
        <w:ind w:left="420" w:leftChars="200" w:firstLineChars="0"/>
        <w:rPr>
          <w:rFonts w:ascii="Arial" w:hAnsi="Arial" w:eastAsia="宋体" w:cs="Arial"/>
          <w:b/>
          <w:i/>
          <w:snapToGrid w:val="0"/>
          <w:kern w:val="0"/>
          <w:sz w:val="24"/>
        </w:rPr>
      </w:pPr>
      <w:r>
        <w:rPr>
          <w:rFonts w:ascii="Arial" w:hAnsi="Arial" w:eastAsia="宋体" w:cs="Arial"/>
          <w:b/>
          <w:i/>
          <w:snapToGrid w:val="0"/>
          <w:kern w:val="0"/>
          <w:sz w:val="24"/>
        </w:rPr>
        <w:t>治疗严重或危及生命的疾病的新型治疗性产品</w:t>
      </w:r>
    </w:p>
    <w:p w14:paraId="06C9D8B6">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如果该治疗性产品旨在治疗严重的或危及生命的疾病，且该疾病没有满意的替代性治疗方式，并且使用该治疗性产品带来的收益</w:t>
      </w:r>
      <w:bookmarkStart w:id="9" w:name="OLE_LINK4"/>
      <w:bookmarkStart w:id="10" w:name="OLE_LINK3"/>
      <w:r>
        <w:rPr>
          <w:rFonts w:ascii="Arial" w:hAnsi="Arial" w:eastAsia="宋体" w:cs="Arial"/>
          <w:snapToGrid w:val="0"/>
          <w:kern w:val="0"/>
          <w:sz w:val="24"/>
        </w:rPr>
        <w:t>很大，可以抵消无审批或许可的IVD伴随式诊断器械带来的风险，</w:t>
      </w:r>
      <w:bookmarkEnd w:id="9"/>
      <w:bookmarkEnd w:id="10"/>
      <w:r>
        <w:rPr>
          <w:rFonts w:ascii="Arial" w:hAnsi="Arial" w:eastAsia="宋体" w:cs="Arial"/>
          <w:snapToGrid w:val="0"/>
          <w:kern w:val="0"/>
          <w:sz w:val="24"/>
        </w:rPr>
        <w:t>则即使IVD伴随式诊断器械未经审批或许可，FDA也有可能批准该治疗性产品。FDA会在产品审查中作出决定。</w:t>
      </w:r>
    </w:p>
    <w:p w14:paraId="088B6B3A">
      <w:pPr>
        <w:pStyle w:val="13"/>
        <w:numPr>
          <w:ilvl w:val="0"/>
          <w:numId w:val="5"/>
        </w:numPr>
        <w:topLinePunct/>
        <w:adjustRightInd w:val="0"/>
        <w:snapToGrid w:val="0"/>
        <w:spacing w:after="234" w:afterLines="75" w:line="288" w:lineRule="auto"/>
        <w:ind w:left="420" w:leftChars="200" w:firstLineChars="0"/>
        <w:rPr>
          <w:rFonts w:ascii="Arial" w:hAnsi="Arial" w:eastAsia="宋体" w:cs="Arial"/>
          <w:b/>
          <w:i/>
          <w:snapToGrid w:val="0"/>
          <w:kern w:val="0"/>
          <w:sz w:val="24"/>
        </w:rPr>
      </w:pPr>
      <w:r>
        <w:rPr>
          <w:rFonts w:ascii="Arial" w:hAnsi="Arial" w:eastAsia="宋体" w:cs="Arial"/>
          <w:b/>
          <w:i/>
          <w:snapToGrid w:val="0"/>
          <w:kern w:val="0"/>
          <w:sz w:val="24"/>
        </w:rPr>
        <w:t>已经审批的治疗性产品</w:t>
      </w:r>
    </w:p>
    <w:p w14:paraId="679D50E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在IVD伴随式诊断器械审批或批准前，FDA一般不会批准旨在更新产品标签的已经批准的治疗性产品</w:t>
      </w:r>
      <w:r>
        <w:rPr>
          <w:rFonts w:hint="eastAsia" w:ascii="Arial" w:hAnsi="Arial" w:eastAsia="宋体" w:cs="Arial"/>
          <w:snapToGrid w:val="0"/>
          <w:kern w:val="0"/>
          <w:sz w:val="24"/>
        </w:rPr>
        <w:t>的</w:t>
      </w:r>
      <w:r>
        <w:rPr>
          <w:rFonts w:ascii="Arial" w:hAnsi="Arial" w:eastAsia="宋体" w:cs="Arial"/>
          <w:snapToGrid w:val="0"/>
          <w:kern w:val="0"/>
          <w:sz w:val="24"/>
        </w:rPr>
        <w:t>补充申请。然而，FDA认可可能在某些情况下已经批准的治疗性产品的标签必须进行更改，以解决严重的安全问题。这些情况下，如果使用该治疗性产品的收益很大，可以抵消无审批或许可的IVD伴随式诊断器械带来的风险，则FDA不会将治疗性产品标签更改的审批延迟至IVD伴随式诊断器械审批或批准之后。</w:t>
      </w:r>
    </w:p>
    <w:p w14:paraId="1934CC84">
      <w:pPr>
        <w:pStyle w:val="13"/>
        <w:numPr>
          <w:ilvl w:val="0"/>
          <w:numId w:val="4"/>
        </w:numPr>
        <w:topLinePunct/>
        <w:adjustRightInd w:val="0"/>
        <w:snapToGrid w:val="0"/>
        <w:spacing w:after="234" w:afterLines="75" w:line="288" w:lineRule="auto"/>
        <w:ind w:left="357" w:hanging="357" w:firstLineChars="0"/>
        <w:outlineLvl w:val="1"/>
        <w:rPr>
          <w:rFonts w:ascii="Arial" w:hAnsi="Arial" w:eastAsia="宋体" w:cs="Arial"/>
          <w:b/>
          <w:snapToGrid w:val="0"/>
          <w:kern w:val="0"/>
          <w:sz w:val="24"/>
        </w:rPr>
      </w:pPr>
      <w:bookmarkStart w:id="11" w:name="_Toc500170053"/>
      <w:r>
        <w:rPr>
          <w:rFonts w:ascii="Arial" w:hAnsi="Arial" w:eastAsia="宋体" w:cs="Arial"/>
          <w:b/>
          <w:snapToGrid w:val="0"/>
          <w:kern w:val="0"/>
          <w:sz w:val="24"/>
        </w:rPr>
        <w:t>一般性政策</w:t>
      </w:r>
      <w:bookmarkEnd w:id="11"/>
    </w:p>
    <w:p w14:paraId="19969256">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如果使用IVD伴随式诊断器械对于治疗性产品的安全和有效使用至关重要，则一旦该治疗性产品通过审批，应当有已经批准或</w:t>
      </w:r>
      <w:r>
        <w:rPr>
          <w:rFonts w:hint="eastAsia" w:ascii="Arial" w:hAnsi="Arial" w:eastAsia="宋体" w:cs="Arial"/>
          <w:snapToGrid w:val="0"/>
          <w:kern w:val="0"/>
          <w:sz w:val="24"/>
        </w:rPr>
        <w:t>许可</w:t>
      </w:r>
      <w:r>
        <w:rPr>
          <w:rFonts w:ascii="Arial" w:hAnsi="Arial" w:eastAsia="宋体" w:cs="Arial"/>
          <w:snapToGrid w:val="0"/>
          <w:kern w:val="0"/>
          <w:sz w:val="24"/>
        </w:rPr>
        <w:t>的IVD伴随式诊断器械可供使用。FDA希望治疗性产品的申办方在其治疗性产品研发计划中解决审批或批准的IVD伴随式诊断器械需求问题。治疗性产品的申办方可以选择开发其自己的IVD伴随式诊断器械；申办方可以与伴随式诊断器械的申办方共同开发合适的IVD伴随式诊断器械；或者申办方也可以探索改造已有的IVD伴随式诊断器械（其自己的产品，或经过申办方同意的其他人的产品），以适应适当器械的预期用途。下列一般性政策分别适用于治疗性产品和IVD伴随式诊断器械由相同或不同的公司开发和生产的情况：</w:t>
      </w:r>
    </w:p>
    <w:p w14:paraId="38EBAB37">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4078B16D">
      <w:pPr>
        <w:pStyle w:val="13"/>
        <w:numPr>
          <w:ilvl w:val="0"/>
          <w:numId w:val="6"/>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与其他的所有医疗器械相同，FDA会适用基于风险的方式来确定IVD伴随式诊断器械的监管路径。这意味着监管路径取决于其对患者的风险等级，并且基于该IVD伴随式诊断器械的预期用途</w:t>
      </w:r>
      <w:r>
        <w:rPr>
          <w:rStyle w:val="12"/>
          <w:rFonts w:ascii="Arial" w:hAnsi="Arial" w:eastAsia="宋体" w:cs="Arial"/>
          <w:snapToGrid w:val="0"/>
          <w:kern w:val="0"/>
          <w:sz w:val="24"/>
        </w:rPr>
        <w:footnoteReference w:id="8"/>
      </w:r>
      <w:r>
        <w:rPr>
          <w:rFonts w:ascii="Arial" w:hAnsi="Arial" w:eastAsia="宋体" w:cs="Arial"/>
          <w:snapToGrid w:val="0"/>
          <w:kern w:val="0"/>
          <w:sz w:val="24"/>
        </w:rPr>
        <w:t>和提供合理的安全性和有效性保障所需要的控制。因此，风险等级以及消除风险的可用控制会决定IVD伴随式诊断器械是否需要上市前批准申请（PMA）或上市前通知申请（510（k））。</w:t>
      </w:r>
      <w:r>
        <w:rPr>
          <w:rStyle w:val="12"/>
          <w:rFonts w:ascii="Arial" w:hAnsi="Arial" w:eastAsia="宋体" w:cs="Arial"/>
          <w:snapToGrid w:val="0"/>
          <w:kern w:val="0"/>
          <w:sz w:val="24"/>
        </w:rPr>
        <w:footnoteReference w:id="9"/>
      </w:r>
      <w:r>
        <w:rPr>
          <w:rFonts w:ascii="Arial" w:hAnsi="Arial" w:eastAsia="宋体" w:cs="Arial"/>
          <w:snapToGrid w:val="0"/>
          <w:kern w:val="0"/>
          <w:sz w:val="24"/>
        </w:rPr>
        <w:t>FDA建议申办方尽早就IVD伴随式诊断器械可能的监管路径与FDA进行咨询。FDA的上市前申请会确定该IVD伴随式诊断器械是否有足够的性能特性来支持其预期用途。</w:t>
      </w:r>
    </w:p>
    <w:p w14:paraId="4D39FC69">
      <w:pPr>
        <w:pStyle w:val="13"/>
        <w:numPr>
          <w:ilvl w:val="0"/>
          <w:numId w:val="6"/>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在完成治疗性产品和IVD伴随式诊断器械申请的审查后，以及确定上述两者产品均可以审批或审批和批准后，FDA会对两种产品同时发布审批或审批和批准（</w:t>
      </w:r>
      <w:r>
        <w:rPr>
          <w:rFonts w:hint="eastAsia" w:ascii="Arial" w:hAnsi="Arial" w:eastAsia="宋体" w:cs="Arial"/>
          <w:snapToGrid w:val="0"/>
          <w:kern w:val="0"/>
          <w:sz w:val="24"/>
        </w:rPr>
        <w:t>除非</w:t>
      </w:r>
      <w:r>
        <w:rPr>
          <w:rFonts w:ascii="Arial" w:hAnsi="Arial" w:eastAsia="宋体" w:cs="Arial"/>
          <w:snapToGrid w:val="0"/>
          <w:kern w:val="0"/>
          <w:sz w:val="24"/>
        </w:rPr>
        <w:t>机构认为应首先批准药品，然后批准器械，如上文IV. B部分所述）。FDA强烈建议申办方合理安排临床研发和上市前申请，协助进行同时审查。</w:t>
      </w:r>
    </w:p>
    <w:p w14:paraId="44952834">
      <w:pPr>
        <w:pStyle w:val="13"/>
        <w:numPr>
          <w:ilvl w:val="0"/>
          <w:numId w:val="6"/>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如果IVD伴随式诊断器械已经合法上市，并且IVD伴随式诊断器械的制造商希望为期器械增加新的用途，作为新型治疗性产品共同使用的IVD伴随式诊断器械，则FDA可能会将该IVD伴随式诊断器械与新型治疗性产品共同使用认定为器械的新用途，需要再次进行上市前申请（见21 CFR 807.81（a）（3）（ii），814.39（a））。</w:t>
      </w:r>
    </w:p>
    <w:p w14:paraId="2934277D">
      <w:pPr>
        <w:pStyle w:val="13"/>
        <w:numPr>
          <w:ilvl w:val="0"/>
          <w:numId w:val="6"/>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与已有的经过审批或许可的IVD伴随式诊断器械具有相同的使用方式的新型IVD伴随式诊断器械（例如，不同的制造商，不同的技术参数等）会根据适当的情况通过PMA或传统510（k）接受审查。</w:t>
      </w:r>
    </w:p>
    <w:p w14:paraId="50DB9CA8">
      <w:pPr>
        <w:pStyle w:val="13"/>
        <w:numPr>
          <w:ilvl w:val="0"/>
          <w:numId w:val="1"/>
        </w:numPr>
        <w:topLinePunct/>
        <w:adjustRightInd w:val="0"/>
        <w:snapToGrid w:val="0"/>
        <w:spacing w:after="234" w:afterLines="75" w:line="288" w:lineRule="auto"/>
        <w:ind w:firstLineChars="0"/>
        <w:outlineLvl w:val="0"/>
        <w:rPr>
          <w:rFonts w:ascii="Arial" w:hAnsi="Arial" w:eastAsia="宋体" w:cs="Arial"/>
          <w:b/>
          <w:snapToGrid w:val="0"/>
          <w:kern w:val="0"/>
          <w:sz w:val="32"/>
        </w:rPr>
      </w:pPr>
      <w:bookmarkStart w:id="12" w:name="_Toc500170054"/>
      <w:r>
        <w:rPr>
          <w:rFonts w:ascii="Arial" w:hAnsi="Arial" w:eastAsia="宋体" w:cs="Arial"/>
          <w:b/>
          <w:snapToGrid w:val="0"/>
          <w:kern w:val="0"/>
          <w:sz w:val="32"/>
        </w:rPr>
        <w:t>标签</w:t>
      </w:r>
      <w:bookmarkEnd w:id="12"/>
    </w:p>
    <w:p w14:paraId="1415C65B">
      <w:pPr>
        <w:pStyle w:val="13"/>
        <w:numPr>
          <w:ilvl w:val="0"/>
          <w:numId w:val="7"/>
        </w:numPr>
        <w:topLinePunct/>
        <w:adjustRightInd w:val="0"/>
        <w:snapToGrid w:val="0"/>
        <w:spacing w:after="234" w:afterLines="75" w:line="288" w:lineRule="auto"/>
        <w:ind w:left="357" w:hanging="357" w:firstLineChars="0"/>
        <w:outlineLvl w:val="1"/>
        <w:rPr>
          <w:rFonts w:ascii="Arial" w:hAnsi="Arial" w:eastAsia="宋体" w:cs="Arial"/>
          <w:b/>
          <w:snapToGrid w:val="0"/>
          <w:kern w:val="0"/>
          <w:sz w:val="24"/>
        </w:rPr>
      </w:pPr>
      <w:bookmarkStart w:id="13" w:name="_Toc500170055"/>
      <w:r>
        <w:rPr>
          <w:rFonts w:ascii="Arial" w:hAnsi="Arial" w:eastAsia="宋体" w:cs="Arial"/>
          <w:b/>
          <w:snapToGrid w:val="0"/>
          <w:kern w:val="0"/>
          <w:sz w:val="24"/>
        </w:rPr>
        <w:t>治疗性产品标签</w:t>
      </w:r>
      <w:bookmarkEnd w:id="13"/>
    </w:p>
    <w:p w14:paraId="2267451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FD&amp;C法案要求处方用治疗性和医疗器械产品的标签包含健康护理专家使用该产品所需要的信息（21 U.S.C. 352（f），21 CFR 201.100 (c)（1），801.109（c）和（d））。标签通常包含的信息包括确定该治疗性产品如何使用、何时使用、或者是否使用的诊断性检测。药品和生物制剂产品标签法规明确规定了诊断性检测对于这些治疗性产品安全和有效使用的重要性。根据药品和生物制剂产品标签法规（21 CFR 201.56和57），产品标签必须包含关于下列内容的信息：（1）选择和监测需要该药物的患者的特定检测；（2）特殊患者人群的剂量修订（例如，基因特征确定的人群）；和（3）任何有助于追踪患者的治疗效果或有助于确定可能的不良反应的实验室检测。标签法规确定了上述讨论适合的标签段落（如，适应症和用法，剂量和给药，禁忌症，警告和注意，特殊人群使用）。例如：</w:t>
      </w:r>
    </w:p>
    <w:p w14:paraId="6ED12C89">
      <w:pPr>
        <w:pStyle w:val="13"/>
        <w:numPr>
          <w:ilvl w:val="0"/>
          <w:numId w:val="8"/>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如果该药品或生物制剂仅在有某种诊断性检测所确定的特定患者人群中均</w:t>
      </w:r>
      <w:r>
        <w:rPr>
          <w:rFonts w:hint="eastAsia" w:ascii="Arial" w:hAnsi="Arial" w:eastAsia="宋体" w:cs="Arial"/>
          <w:snapToGrid w:val="0"/>
          <w:kern w:val="0"/>
          <w:sz w:val="24"/>
        </w:rPr>
        <w:t>有</w:t>
      </w:r>
      <w:r>
        <w:rPr>
          <w:rFonts w:ascii="Arial" w:hAnsi="Arial" w:eastAsia="宋体" w:cs="Arial"/>
          <w:snapToGrid w:val="0"/>
          <w:kern w:val="0"/>
          <w:sz w:val="24"/>
        </w:rPr>
        <w:t>安全性和有效性，则适应症和用法章节必须明确定义药品经过证实的患者人群（21 CFR 201.57（c）（2）（i）（B）和（C））。</w:t>
      </w:r>
    </w:p>
    <w:p w14:paraId="69A666AC">
      <w:pPr>
        <w:pStyle w:val="13"/>
        <w:numPr>
          <w:ilvl w:val="0"/>
          <w:numId w:val="8"/>
        </w:numPr>
        <w:topLinePunct/>
        <w:adjustRightInd w:val="0"/>
        <w:snapToGrid w:val="0"/>
        <w:spacing w:after="234" w:afterLines="75" w:line="288" w:lineRule="auto"/>
        <w:ind w:left="420" w:leftChars="200" w:firstLineChars="0"/>
        <w:rPr>
          <w:rFonts w:ascii="Arial" w:hAnsi="Arial" w:eastAsia="宋体" w:cs="Arial"/>
          <w:snapToGrid w:val="0"/>
          <w:kern w:val="0"/>
          <w:sz w:val="24"/>
        </w:rPr>
      </w:pPr>
      <w:r>
        <w:rPr>
          <w:rFonts w:ascii="Arial" w:hAnsi="Arial" w:eastAsia="宋体" w:cs="Arial"/>
          <w:snapToGrid w:val="0"/>
          <w:kern w:val="0"/>
          <w:sz w:val="24"/>
        </w:rPr>
        <w:t>如果某诊断性检测对于监测治疗性或毒性反应十分重要，则该类检测必须在警告和注意章节确定（21 CFR 201.57（c）（6）（iii））。</w:t>
      </w:r>
    </w:p>
    <w:p w14:paraId="2FBDCBB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因为保证已经批准的IVD伴随式诊断器械和对应的治疗性产品的标签的完整性和一致性非常重要，因此FDA作出下列说明：</w:t>
      </w:r>
    </w:p>
    <w:p w14:paraId="1F3C4521">
      <w:pPr>
        <w:pStyle w:val="13"/>
        <w:numPr>
          <w:ilvl w:val="0"/>
          <w:numId w:val="9"/>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一般情况下，如果器械满足IVD伴随式诊断器械的定义（见第III章节），则应在对应治疗性产品的标签中纳入IVD伴随式诊断器械的使用信息。</w:t>
      </w:r>
    </w:p>
    <w:p w14:paraId="6634D82E">
      <w:pPr>
        <w:pStyle w:val="13"/>
        <w:numPr>
          <w:ilvl w:val="0"/>
          <w:numId w:val="9"/>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治疗性产品标签应当注明使用FDA审批或许可的IVD伴随式诊断器械，而非特定制造商的IVD伴随式诊断器械。通过这种方式，该治疗性产品可以研发和使用多种标签标注类型的审批或批准的IVD伴随式诊断器械。</w:t>
      </w:r>
    </w:p>
    <w:p w14:paraId="14564AB5">
      <w:pPr>
        <w:pStyle w:val="13"/>
        <w:numPr>
          <w:ilvl w:val="0"/>
          <w:numId w:val="9"/>
        </w:numPr>
        <w:topLinePunct/>
        <w:adjustRightInd w:val="0"/>
        <w:snapToGrid w:val="0"/>
        <w:spacing w:after="234" w:afterLines="75" w:line="288" w:lineRule="auto"/>
        <w:ind w:firstLineChars="0"/>
        <w:rPr>
          <w:rFonts w:ascii="Arial" w:hAnsi="Arial" w:eastAsia="宋体" w:cs="Arial"/>
          <w:snapToGrid w:val="0"/>
          <w:kern w:val="0"/>
          <w:sz w:val="24"/>
        </w:rPr>
      </w:pPr>
      <w:r>
        <w:rPr>
          <w:rFonts w:ascii="Arial" w:hAnsi="Arial" w:eastAsia="宋体" w:cs="Arial"/>
          <w:snapToGrid w:val="0"/>
          <w:kern w:val="0"/>
          <w:sz w:val="24"/>
        </w:rPr>
        <w:t>如果IVD伴随式诊断器械在治疗性产品批准后才审批或批准并进入市场，则该治疗性产品的标签应当进行更新，增加使用该类型IVD伴随式诊断器械的信息（21 CFR 201.56（a）（2））。</w:t>
      </w:r>
    </w:p>
    <w:p w14:paraId="4D7CCE1B">
      <w:pPr>
        <w:pStyle w:val="13"/>
        <w:numPr>
          <w:ilvl w:val="0"/>
          <w:numId w:val="7"/>
        </w:numPr>
        <w:topLinePunct/>
        <w:adjustRightInd w:val="0"/>
        <w:snapToGrid w:val="0"/>
        <w:spacing w:after="234" w:afterLines="75" w:line="288" w:lineRule="auto"/>
        <w:ind w:left="357" w:hanging="357" w:firstLineChars="0"/>
        <w:outlineLvl w:val="1"/>
        <w:rPr>
          <w:rFonts w:ascii="Arial" w:hAnsi="Arial" w:eastAsia="宋体" w:cs="Arial"/>
          <w:b/>
          <w:snapToGrid w:val="0"/>
          <w:kern w:val="0"/>
          <w:sz w:val="24"/>
        </w:rPr>
      </w:pPr>
      <w:bookmarkStart w:id="14" w:name="_Toc500170056"/>
      <w:r>
        <w:rPr>
          <w:rFonts w:ascii="Arial" w:hAnsi="Arial" w:eastAsia="宋体" w:cs="Arial"/>
          <w:b/>
          <w:snapToGrid w:val="0"/>
          <w:kern w:val="0"/>
          <w:sz w:val="24"/>
        </w:rPr>
        <w:t>IVD伴随式诊断器械标签</w:t>
      </w:r>
      <w:bookmarkEnd w:id="14"/>
    </w:p>
    <w:p w14:paraId="47FBBF2B">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体外诊断器械标签应当注明该诊断器械的预期用途（21 CFR 809.10（a）（2））。因此，用于治疗性产品的IVD伴随式诊断器械也必须注明其审批或许可使用的治疗性产品。某些情况下，如果有充分的证据表明IVD伴随式诊断器械可以用于一类治疗性产品，则其预期用途／适应症应当注明该治疗性产品类别，而非该类别内的某个特定产品。</w:t>
      </w:r>
    </w:p>
    <w:p w14:paraId="45D5AAF9">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1FE1BAE7">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w:t>
      </w:r>
      <w:bookmarkStart w:id="15" w:name="OLE_LINK6"/>
      <w:bookmarkStart w:id="16" w:name="OLE_LINK5"/>
      <w:r>
        <w:rPr>
          <w:rFonts w:ascii="Arial" w:hAnsi="Arial" w:eastAsia="宋体" w:cs="Arial"/>
          <w:snapToGrid w:val="0"/>
          <w:kern w:val="0"/>
          <w:sz w:val="24"/>
        </w:rPr>
        <w:t>某种IVD伴随式诊断器械被批准用于某种</w:t>
      </w:r>
      <w:bookmarkEnd w:id="15"/>
      <w:bookmarkEnd w:id="16"/>
      <w:r>
        <w:rPr>
          <w:rFonts w:ascii="Arial" w:hAnsi="Arial" w:eastAsia="宋体" w:cs="Arial"/>
          <w:snapToGrid w:val="0"/>
          <w:kern w:val="0"/>
          <w:sz w:val="24"/>
        </w:rPr>
        <w:t>疾病或条件下的治疗性产品，则在适当情况下，需要PMA补充申请或新的510（k）来扩展IVD伴随式诊断器械的标签范围，纳入其他的IVD伴随式诊断器械适应症，例如，该治疗性产品已经批准用于不同的疾病或条件。</w:t>
      </w:r>
    </w:p>
    <w:p w14:paraId="31CBE112">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某种IVD伴随式诊断器械被批准用于某种特定的治疗性产品，而有证据表明该器械对于另外一种治疗性产品的安全和有效使用十分重要，则IVD伴随式诊断器械的标签应当通过新的上市前申请（按照适当的情况选择PMA或510（k））或PMA补充申请（见上文IV部分）扩展其标签范围，纳入新的治疗性产品。治疗性产品的标签也应当通过提交补充申请进行修改。</w:t>
      </w:r>
    </w:p>
    <w:p w14:paraId="75864F5F">
      <w:pPr>
        <w:pStyle w:val="13"/>
        <w:numPr>
          <w:ilvl w:val="0"/>
          <w:numId w:val="1"/>
        </w:numPr>
        <w:topLinePunct/>
        <w:adjustRightInd w:val="0"/>
        <w:snapToGrid w:val="0"/>
        <w:spacing w:after="234" w:afterLines="75" w:line="288" w:lineRule="auto"/>
        <w:ind w:firstLineChars="0"/>
        <w:outlineLvl w:val="0"/>
        <w:rPr>
          <w:rFonts w:ascii="Arial" w:hAnsi="Arial" w:eastAsia="宋体" w:cs="Arial"/>
          <w:b/>
          <w:snapToGrid w:val="0"/>
          <w:kern w:val="0"/>
          <w:sz w:val="32"/>
        </w:rPr>
      </w:pPr>
      <w:bookmarkStart w:id="17" w:name="_Toc500170057"/>
      <w:r>
        <w:rPr>
          <w:rFonts w:ascii="Arial" w:hAnsi="Arial" w:eastAsia="宋体" w:cs="Arial"/>
          <w:b/>
          <w:snapToGrid w:val="0"/>
          <w:kern w:val="0"/>
          <w:sz w:val="32"/>
        </w:rPr>
        <w:t>研究用途</w:t>
      </w:r>
      <w:bookmarkEnd w:id="17"/>
    </w:p>
    <w:p w14:paraId="3C9FD59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除非涉及该器械已经批准或</w:t>
      </w:r>
      <w:r>
        <w:rPr>
          <w:rFonts w:hint="eastAsia" w:ascii="Arial" w:hAnsi="Arial" w:eastAsia="宋体" w:cs="Arial"/>
          <w:snapToGrid w:val="0"/>
          <w:kern w:val="0"/>
          <w:sz w:val="24"/>
        </w:rPr>
        <w:t>许可</w:t>
      </w:r>
      <w:r>
        <w:rPr>
          <w:rFonts w:ascii="Arial" w:hAnsi="Arial" w:eastAsia="宋体" w:cs="Arial"/>
          <w:snapToGrid w:val="0"/>
          <w:kern w:val="0"/>
          <w:sz w:val="24"/>
        </w:rPr>
        <w:t>的预期用途，否则用于治疗性产品的临床试验中，旨在进行治疗决策的IVD伴随式诊断器械会认定为研究用器械。如果用于进行关键的治疗决策，例如患者选择、治疗分配、或治疗</w:t>
      </w:r>
      <w:r>
        <w:rPr>
          <w:rFonts w:hint="eastAsia" w:ascii="Arial" w:hAnsi="Arial" w:eastAsia="宋体" w:cs="Arial"/>
          <w:snapToGrid w:val="0"/>
          <w:kern w:val="0"/>
          <w:sz w:val="24"/>
        </w:rPr>
        <w:t>组</w:t>
      </w:r>
      <w:r>
        <w:rPr>
          <w:rFonts w:ascii="Arial" w:hAnsi="Arial" w:eastAsia="宋体" w:cs="Arial"/>
          <w:snapToGrid w:val="0"/>
          <w:kern w:val="0"/>
          <w:sz w:val="24"/>
        </w:rPr>
        <w:t>，则根据21 CFR812.3 (m)（3）的规定，诊断性器械通常会认定为重大风险器械，因为其对受试者的健康、安全和权益有潜在的严重风险，并且诊断性器械的申办方会被要求遵守针对重大风险器械的研究性器械豁免（IDE）规定。</w:t>
      </w:r>
    </w:p>
    <w:p w14:paraId="5AD0DE7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如果诊断性器械和治疗性产品可以共同研究以支持其各自的审批（或诊断性器械的批准），则如果可以以同时满足IDE法规（21 CFR第812部分）和研究性新药（IND）法规（21 CFR第312部分）的方式进行研究，两种产品可以在同一个研究性试验中进行研究。根据研究计划和受试者的不同，申办方可能需要提交单独的IND，或者同时提交IND和IDE。申办方应当咨询治疗性产品中心和相关的器械中心，对于某个具体的研究而言哪种方式是最好的或必须的。</w:t>
      </w:r>
    </w:p>
    <w:p w14:paraId="19F24276">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在研究性申请中应当纳入关于IVD伴随式诊断器械计划使用的信息，以及在临床试验中适用的信息。该信息可以帮助FDA理解并提供关于IVD器械如何用于纳入试验受试者，以及如何验证检测的建议。对于包含研究性器械信息的治疗性产品IND，治疗性产品评审中心（药品评价与研究中心或生物制剂评价和研究中心）会纳入来自诊断性产品评审中心（器械和放射卫生中心或生物制剂评价和研究中心）的专家，共同为申办方提供建议。</w:t>
      </w:r>
    </w:p>
    <w:p w14:paraId="2F55638D">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7DEC5F30">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另外，如果IVD伴随式诊断器械申办方和治疗性产品申办方可以共同参与讨论拟申请的IVD伴随式诊断器械，并通过预申请流程（一项咨询性质的申请，通过该流程器械申办方可以获取信息，可能帮助指导产品的研发，例如关于适当的研究验证相关的信息）从诊断性评价中心征求FDA反馈，会对评审工作非常有帮助。通过这种方式，可以更加集中和深入地开展关于IVD伴随式诊断器械验证的讨论，也可以帮助完整和及时地计划器械PMA或510（k）。在合适的情况下，相关治疗性产品评价中心的专家也会参与诊断性评审中心的会议。</w:t>
      </w:r>
    </w:p>
    <w:p w14:paraId="700CA8B9">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t>FDA强烈建议考虑研发本指南中所讨论的产品的申办方尽可能在研发的早期阶段与相关的器械和治疗性产品评价部门进行会面。</w:t>
      </w:r>
    </w:p>
    <w:p w14:paraId="716A1C0E">
      <w:pPr>
        <w:pBdr>
          <w:bottom w:val="single" w:color="auto" w:sz="4" w:space="1"/>
        </w:pBdr>
        <w:topLinePunct/>
        <w:adjustRightInd w:val="0"/>
        <w:snapToGrid w:val="0"/>
        <w:spacing w:after="234" w:afterLines="75" w:line="288" w:lineRule="auto"/>
        <w:jc w:val="center"/>
        <w:rPr>
          <w:rFonts w:hint="eastAsia" w:eastAsia="等线"/>
          <w:lang w:eastAsia="zh-CN"/>
        </w:rPr>
      </w:pPr>
    </w:p>
    <w:p w14:paraId="2E17CA0C">
      <w:pPr>
        <w:pBdr>
          <w:bottom w:val="single" w:color="auto" w:sz="4" w:space="1"/>
        </w:pBdr>
        <w:topLinePunct/>
        <w:adjustRightInd w:val="0"/>
        <w:snapToGrid w:val="0"/>
        <w:spacing w:after="234" w:afterLines="75" w:line="288" w:lineRule="auto"/>
        <w:jc w:val="center"/>
        <w:rPr>
          <w:rFonts w:hint="eastAsia" w:eastAsia="等线"/>
          <w:lang w:eastAsia="zh-CN"/>
        </w:rPr>
      </w:pPr>
    </w:p>
    <w:p w14:paraId="5EC56BB3">
      <w:pPr>
        <w:pBdr>
          <w:bottom w:val="single" w:color="auto" w:sz="4" w:space="1"/>
        </w:pBdr>
        <w:topLinePunct/>
        <w:adjustRightInd w:val="0"/>
        <w:snapToGrid w:val="0"/>
        <w:spacing w:after="234" w:afterLines="75" w:line="288"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BDAA">
    <w:pPr>
      <w:pStyle w:val="3"/>
      <w:jc w:val="center"/>
      <w:rPr>
        <w:rFonts w:ascii="Arial" w:hAnsi="Arial" w:eastAsia="宋体" w:cs="Arial"/>
        <w:sz w:val="21"/>
      </w:rPr>
    </w:pPr>
  </w:p>
  <w:p w14:paraId="3292F27C">
    <w:pPr>
      <w:pStyle w:val="3"/>
      <w:jc w:val="center"/>
      <w:rPr>
        <w:rFonts w:ascii="Arial" w:hAnsi="Arial" w:eastAsia="宋体" w:cs="Arial"/>
        <w:sz w:val="21"/>
      </w:rPr>
    </w:pPr>
    <w:r>
      <w:rPr>
        <w:rFonts w:ascii="Arial" w:hAnsi="Arial" w:eastAsia="宋体" w:cs="Arial"/>
        <w:sz w:val="21"/>
      </w:rPr>
      <w:fldChar w:fldCharType="begin"/>
    </w:r>
    <w:r>
      <w:rPr>
        <w:rFonts w:ascii="Arial" w:hAnsi="Arial" w:eastAsia="宋体" w:cs="Arial"/>
        <w:sz w:val="21"/>
      </w:rPr>
      <w:instrText xml:space="preserve">PAGE   \* MERGEFORMAT</w:instrText>
    </w:r>
    <w:r>
      <w:rPr>
        <w:rFonts w:ascii="Arial" w:hAnsi="Arial" w:eastAsia="宋体" w:cs="Arial"/>
        <w:sz w:val="21"/>
      </w:rPr>
      <w:fldChar w:fldCharType="separate"/>
    </w:r>
    <w:r>
      <w:rPr>
        <w:rFonts w:ascii="Arial" w:hAnsi="Arial" w:eastAsia="宋体" w:cs="Arial"/>
        <w:sz w:val="21"/>
        <w:lang w:val="zh-CN"/>
      </w:rPr>
      <w:t>2</w:t>
    </w:r>
    <w:r>
      <w:rPr>
        <w:rFonts w:ascii="Arial" w:hAnsi="Arial" w:eastAsia="宋体"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0EA835F0">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在本指南中，治疗性产品包括治疗性、预防性和防护性药品和生物制剂。虽然本指南不会明确解决与体外诊断的治疗性器械相关的问题，但本指南中讨论的原则也与此类器械上市前评价相关。</w:t>
      </w:r>
    </w:p>
  </w:footnote>
  <w:footnote w:id="1">
    <w:p w14:paraId="6629E046">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可以展示已有的性能参数对于治疗性产品和IVD伴随式诊断器械的重要性的目前已经批准的IVD伴随式诊断器械的案例有，FDA批准的用于确定患者是否适用于Herceptin（曲妥珠单抗）疗法的HER-2检测，可以用于治疗转移性乳腺癌和胃癌。Herceptin在HER-2标记阴性人群中</w:t>
      </w:r>
      <w:r>
        <w:rPr>
          <w:rFonts w:hint="eastAsia" w:ascii="Arial" w:hAnsi="Arial" w:eastAsia="宋体" w:cs="Arial"/>
          <w:sz w:val="21"/>
        </w:rPr>
        <w:t>缺乏</w:t>
      </w:r>
      <w:r>
        <w:rPr>
          <w:rFonts w:ascii="Arial" w:hAnsi="Arial" w:eastAsia="宋体" w:cs="Arial"/>
          <w:sz w:val="21"/>
        </w:rPr>
        <w:t>有效性，并且有可能引起严重的不良反应。因此，使用IVD伴随式诊断器械来确定可以从治疗中受益的人群非常重要。</w:t>
      </w:r>
    </w:p>
  </w:footnote>
  <w:footnote w:id="2">
    <w:p w14:paraId="6F8DBE16">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见21 CFR 809.10 （b）（12）。</w:t>
      </w:r>
    </w:p>
  </w:footnote>
  <w:footnote w:id="3">
    <w:p w14:paraId="2BC237F9">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可避免的治疗风险可能包括不良反应，以及未能提示某种其它药物的收益。</w:t>
      </w:r>
    </w:p>
  </w:footnote>
  <w:footnote w:id="4">
    <w:p w14:paraId="54EA072D">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FDA认为大多数</w:t>
      </w:r>
      <w:bookmarkStart w:id="18" w:name="OLE_LINK7"/>
      <w:bookmarkStart w:id="19" w:name="OLE_LINK8"/>
      <w:r>
        <w:rPr>
          <w:rFonts w:ascii="Arial" w:hAnsi="Arial" w:eastAsia="宋体" w:cs="Arial"/>
          <w:sz w:val="21"/>
        </w:rPr>
        <w:t>治疗性产品和IVD伴随式诊断器械的组合</w:t>
      </w:r>
      <w:bookmarkEnd w:id="18"/>
      <w:bookmarkEnd w:id="19"/>
      <w:r>
        <w:rPr>
          <w:rFonts w:ascii="Arial" w:hAnsi="Arial" w:eastAsia="宋体" w:cs="Arial"/>
          <w:sz w:val="21"/>
        </w:rPr>
        <w:t>不符合21 CFR 3.2（e）中关于“组合产品”的定义。除非CDER、CBER或CDRH建议，否则关于治疗性产品和IVD伴随式诊断器械的组合是否为</w:t>
      </w:r>
      <w:r>
        <w:rPr>
          <w:rFonts w:ascii="宋体" w:hAnsi="宋体" w:eastAsia="宋体" w:cs="Arial"/>
          <w:sz w:val="21"/>
        </w:rPr>
        <w:t>“组合</w:t>
      </w:r>
      <w:r>
        <w:rPr>
          <w:rFonts w:ascii="Arial" w:hAnsi="Arial" w:eastAsia="宋体" w:cs="Arial"/>
          <w:sz w:val="21"/>
        </w:rPr>
        <w:t>产品</w:t>
      </w:r>
      <w:r>
        <w:rPr>
          <w:rFonts w:ascii="宋体" w:hAnsi="宋体" w:eastAsia="宋体" w:cs="Arial"/>
          <w:sz w:val="21"/>
        </w:rPr>
        <w:t>”的</w:t>
      </w:r>
      <w:r>
        <w:rPr>
          <w:rFonts w:ascii="Arial" w:hAnsi="Arial" w:eastAsia="宋体" w:cs="Arial"/>
          <w:sz w:val="21"/>
        </w:rPr>
        <w:t>问题不需要联系组合产品办公室。FDA要求治疗性产品和与该治疗性产品共同使用的IVD伴随式诊断器械分别提交上市申请，而无论该产品是否构成组合产品。见21 CFR 3.4（c）。无论治疗性产品和IVD伴随式诊断器械的组合是否构成组合产品，审查、审批或许可的标准均相同。关于这些产品的研究用申请的信息，请参见VI部分。</w:t>
      </w:r>
    </w:p>
  </w:footnote>
  <w:footnote w:id="5">
    <w:p w14:paraId="31221A45">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如果治疗性产品的标签中要求使用诊断性器械，例如用于选择适当的治疗患者，或选择不应使用该产品的患者，或监测患者的安全性或有效性，则在本指南中使用该诊断器械即被认定</w:t>
      </w:r>
      <w:r>
        <w:rPr>
          <w:rFonts w:ascii="宋体" w:hAnsi="宋体" w:eastAsia="宋体" w:cs="Arial"/>
          <w:sz w:val="21"/>
        </w:rPr>
        <w:t>为“重要”。</w:t>
      </w:r>
      <w:r>
        <w:rPr>
          <w:rFonts w:ascii="Arial" w:hAnsi="Arial" w:eastAsia="宋体" w:cs="Arial"/>
          <w:sz w:val="21"/>
        </w:rPr>
        <w:t>在治疗性产品标签中建议使用而非要求使用诊断性器械则不被认定</w:t>
      </w:r>
      <w:r>
        <w:rPr>
          <w:rFonts w:ascii="宋体" w:hAnsi="宋体" w:eastAsia="宋体" w:cs="Arial"/>
          <w:sz w:val="21"/>
        </w:rPr>
        <w:t>为“重要”</w:t>
      </w:r>
      <w:r>
        <w:rPr>
          <w:rFonts w:ascii="Arial" w:hAnsi="Arial" w:eastAsia="宋体" w:cs="Arial"/>
          <w:sz w:val="21"/>
        </w:rPr>
        <w:t>。</w:t>
      </w:r>
    </w:p>
  </w:footnote>
  <w:footnote w:id="6">
    <w:p w14:paraId="0456A981">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该类临床实验室检测的案例包括常用的和广为人知的用于监测器官功能，但对于治疗性产品的安全和有效使用非关键性作用的生物化学测定（例如血清肌酐或转氨酶）。</w:t>
      </w:r>
    </w:p>
  </w:footnote>
  <w:footnote w:id="7">
    <w:p w14:paraId="0BB16493">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如果有必要，安全性测量指标也可能包括风险评估和消除策略（REMS），或上市后要求。</w:t>
      </w:r>
    </w:p>
  </w:footnote>
  <w:footnote w:id="8">
    <w:p w14:paraId="2F6C2369">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在此处，</w:t>
      </w:r>
      <w:r>
        <w:rPr>
          <w:rFonts w:ascii="宋体" w:hAnsi="宋体" w:eastAsia="宋体" w:cs="Arial"/>
          <w:sz w:val="21"/>
        </w:rPr>
        <w:t>“适应症”</w:t>
      </w:r>
      <w:r>
        <w:rPr>
          <w:rFonts w:ascii="Arial" w:hAnsi="Arial" w:eastAsia="宋体" w:cs="Arial"/>
          <w:sz w:val="21"/>
        </w:rPr>
        <w:t>可以认为是“预期用途”的一部分。</w:t>
      </w:r>
    </w:p>
  </w:footnote>
  <w:footnote w:id="9">
    <w:p w14:paraId="62973BF9">
      <w:pPr>
        <w:pStyle w:val="6"/>
        <w:spacing w:line="300" w:lineRule="auto"/>
        <w:jc w:val="both"/>
        <w:rPr>
          <w:rFonts w:ascii="Arial" w:hAnsi="Arial" w:eastAsia="宋体" w:cs="Arial"/>
          <w:sz w:val="21"/>
        </w:rPr>
      </w:pPr>
      <w:r>
        <w:rPr>
          <w:rStyle w:val="12"/>
          <w:rFonts w:ascii="Arial" w:hAnsi="Arial" w:eastAsia="宋体" w:cs="Arial"/>
          <w:sz w:val="21"/>
        </w:rPr>
        <w:footnoteRef/>
      </w:r>
      <w:r>
        <w:rPr>
          <w:rFonts w:ascii="Arial" w:hAnsi="Arial" w:eastAsia="宋体" w:cs="Arial"/>
          <w:sz w:val="21"/>
        </w:rPr>
        <w:t xml:space="preserve"> 经验表明，虽然在某些情况下器械属于II类且需要上市前通知（510（k）），但大多数IVD伴随式诊断器械为III类器械。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F6A5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0ABB">
    <w:pPr>
      <w:pStyle w:val="4"/>
      <w:pBdr>
        <w:bottom w:val="none" w:color="auto" w:sz="0" w:space="0"/>
      </w:pBdr>
      <w:rPr>
        <w:rFonts w:ascii="Arial" w:hAnsi="Arial" w:eastAsia="宋体" w:cs="Arial"/>
        <w:b/>
        <w:bCs/>
        <w:i/>
        <w:iCs/>
        <w:sz w:val="21"/>
        <w:szCs w:val="23"/>
      </w:rPr>
    </w:pPr>
    <w:r>
      <w:rPr>
        <w:rFonts w:hint="eastAsia" w:ascii="Arial" w:hAnsi="Arial" w:eastAsia="宋体" w:cs="Arial"/>
        <w:b/>
        <w:bCs/>
        <w:i/>
        <w:iCs/>
        <w:sz w:val="21"/>
        <w:szCs w:val="23"/>
      </w:rPr>
      <w:t>所含建议不具约束力</w:t>
    </w:r>
  </w:p>
  <w:p w14:paraId="7950B068">
    <w:pPr>
      <w:pStyle w:val="4"/>
      <w:pBdr>
        <w:bottom w:val="none" w:color="auto" w:sz="0" w:space="0"/>
      </w:pBdr>
    </w:pPr>
  </w:p>
  <w:p w14:paraId="3A8C95E7">
    <w:pPr>
      <w:pStyle w:val="4"/>
      <w:pBdr>
        <w:bottom w:val="none" w:color="auto" w:sz="0" w:space="0"/>
      </w:pBdr>
    </w:pPr>
  </w:p>
  <w:p w14:paraId="3E5F8B4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33BA2"/>
    <w:multiLevelType w:val="multilevel"/>
    <w:tmpl w:val="06133BA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30A7CE4"/>
    <w:multiLevelType w:val="multilevel"/>
    <w:tmpl w:val="230A7CE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47051D"/>
    <w:multiLevelType w:val="multilevel"/>
    <w:tmpl w:val="2B4705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E81121"/>
    <w:multiLevelType w:val="multilevel"/>
    <w:tmpl w:val="41E8112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0A1775"/>
    <w:multiLevelType w:val="multilevel"/>
    <w:tmpl w:val="4E0A177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A8C7C68"/>
    <w:multiLevelType w:val="multilevel"/>
    <w:tmpl w:val="5A8C7C6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C1609DF"/>
    <w:multiLevelType w:val="multilevel"/>
    <w:tmpl w:val="5C1609DF"/>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AFD222F"/>
    <w:multiLevelType w:val="multilevel"/>
    <w:tmpl w:val="7AFD222F"/>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8232B9"/>
    <w:multiLevelType w:val="multilevel"/>
    <w:tmpl w:val="7D8232B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5"/>
  </w:num>
  <w:num w:numId="3">
    <w:abstractNumId w:val="0"/>
  </w:num>
  <w:num w:numId="4">
    <w:abstractNumId w:val="1"/>
  </w:num>
  <w:num w:numId="5">
    <w:abstractNumId w:val="2"/>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58"/>
    <w:rsid w:val="00030A29"/>
    <w:rsid w:val="00070149"/>
    <w:rsid w:val="000E7196"/>
    <w:rsid w:val="001101C0"/>
    <w:rsid w:val="00135499"/>
    <w:rsid w:val="00195B75"/>
    <w:rsid w:val="001A6D92"/>
    <w:rsid w:val="001C4EF9"/>
    <w:rsid w:val="001C554B"/>
    <w:rsid w:val="001F4C35"/>
    <w:rsid w:val="001F7565"/>
    <w:rsid w:val="00206373"/>
    <w:rsid w:val="00223579"/>
    <w:rsid w:val="00232FE3"/>
    <w:rsid w:val="002515A8"/>
    <w:rsid w:val="00284810"/>
    <w:rsid w:val="002915B3"/>
    <w:rsid w:val="00295D83"/>
    <w:rsid w:val="002B4D10"/>
    <w:rsid w:val="002D1495"/>
    <w:rsid w:val="002D2AFA"/>
    <w:rsid w:val="003214DF"/>
    <w:rsid w:val="00366429"/>
    <w:rsid w:val="00367CD5"/>
    <w:rsid w:val="003855FA"/>
    <w:rsid w:val="003C3339"/>
    <w:rsid w:val="003E6C51"/>
    <w:rsid w:val="003F15C1"/>
    <w:rsid w:val="004169FC"/>
    <w:rsid w:val="00460D58"/>
    <w:rsid w:val="004E5AB3"/>
    <w:rsid w:val="00553A88"/>
    <w:rsid w:val="00556758"/>
    <w:rsid w:val="00584E3C"/>
    <w:rsid w:val="00587499"/>
    <w:rsid w:val="005C08CC"/>
    <w:rsid w:val="005C4F91"/>
    <w:rsid w:val="005F05CE"/>
    <w:rsid w:val="0064668F"/>
    <w:rsid w:val="00673DE3"/>
    <w:rsid w:val="00711815"/>
    <w:rsid w:val="00725024"/>
    <w:rsid w:val="007360A1"/>
    <w:rsid w:val="00753EE2"/>
    <w:rsid w:val="00770232"/>
    <w:rsid w:val="0078137A"/>
    <w:rsid w:val="00785C5F"/>
    <w:rsid w:val="00790966"/>
    <w:rsid w:val="007A0640"/>
    <w:rsid w:val="007A279B"/>
    <w:rsid w:val="007E7793"/>
    <w:rsid w:val="00827064"/>
    <w:rsid w:val="008878F2"/>
    <w:rsid w:val="008A7E95"/>
    <w:rsid w:val="008B4468"/>
    <w:rsid w:val="008C4B59"/>
    <w:rsid w:val="008F01CA"/>
    <w:rsid w:val="008F76C8"/>
    <w:rsid w:val="00952375"/>
    <w:rsid w:val="009622A2"/>
    <w:rsid w:val="00982D39"/>
    <w:rsid w:val="009848CA"/>
    <w:rsid w:val="00991A25"/>
    <w:rsid w:val="0099758D"/>
    <w:rsid w:val="009B11FE"/>
    <w:rsid w:val="00A35832"/>
    <w:rsid w:val="00A52817"/>
    <w:rsid w:val="00A57D6B"/>
    <w:rsid w:val="00A70ED2"/>
    <w:rsid w:val="00A905A6"/>
    <w:rsid w:val="00A9796E"/>
    <w:rsid w:val="00AB5FBF"/>
    <w:rsid w:val="00AD2D2F"/>
    <w:rsid w:val="00AF50EA"/>
    <w:rsid w:val="00B118F4"/>
    <w:rsid w:val="00B46235"/>
    <w:rsid w:val="00B66BC8"/>
    <w:rsid w:val="00BE10F4"/>
    <w:rsid w:val="00BE4888"/>
    <w:rsid w:val="00BF242A"/>
    <w:rsid w:val="00BF28FB"/>
    <w:rsid w:val="00C139D4"/>
    <w:rsid w:val="00C2492F"/>
    <w:rsid w:val="00C30141"/>
    <w:rsid w:val="00C30227"/>
    <w:rsid w:val="00C41878"/>
    <w:rsid w:val="00C65DBA"/>
    <w:rsid w:val="00C676B8"/>
    <w:rsid w:val="00CC47A0"/>
    <w:rsid w:val="00D43992"/>
    <w:rsid w:val="00D50BD7"/>
    <w:rsid w:val="00D705BD"/>
    <w:rsid w:val="00D72F7E"/>
    <w:rsid w:val="00DA649E"/>
    <w:rsid w:val="00DC78D9"/>
    <w:rsid w:val="00DE49E9"/>
    <w:rsid w:val="00E1035F"/>
    <w:rsid w:val="00E2537A"/>
    <w:rsid w:val="00E62340"/>
    <w:rsid w:val="00E659CE"/>
    <w:rsid w:val="00EB1FF5"/>
    <w:rsid w:val="00EB220C"/>
    <w:rsid w:val="00EB63B5"/>
    <w:rsid w:val="00ED43EC"/>
    <w:rsid w:val="00F43978"/>
    <w:rsid w:val="00F4467A"/>
    <w:rsid w:val="00F45F96"/>
    <w:rsid w:val="00F50FE4"/>
    <w:rsid w:val="00F70C3C"/>
    <w:rsid w:val="00F87B0F"/>
    <w:rsid w:val="00F956B6"/>
    <w:rsid w:val="00FA3DFA"/>
    <w:rsid w:val="00FB60B2"/>
    <w:rsid w:val="00FE7C81"/>
    <w:rsid w:val="4358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99"/>
    <w:rPr>
      <w:sz w:val="18"/>
      <w:szCs w:val="18"/>
    </w:r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uiPriority w:val="39"/>
    <w:pPr>
      <w:tabs>
        <w:tab w:val="left" w:pos="567"/>
        <w:tab w:val="right" w:leader="dot" w:pos="9016"/>
      </w:tabs>
      <w:snapToGrid w:val="0"/>
      <w:spacing w:before="156" w:beforeLines="50" w:line="300" w:lineRule="auto"/>
    </w:pPr>
    <w:rPr>
      <w:rFonts w:ascii="Arial" w:hAnsi="Arial"/>
      <w:sz w:val="24"/>
    </w:rPr>
  </w:style>
  <w:style w:type="paragraph" w:styleId="6">
    <w:name w:val="footnote text"/>
    <w:basedOn w:val="1"/>
    <w:link w:val="14"/>
    <w:semiHidden/>
    <w:unhideWhenUsed/>
    <w:uiPriority w:val="99"/>
    <w:pPr>
      <w:snapToGrid w:val="0"/>
      <w:jc w:val="left"/>
    </w:pPr>
    <w:rPr>
      <w:sz w:val="18"/>
      <w:szCs w:val="18"/>
    </w:rPr>
  </w:style>
  <w:style w:type="paragraph" w:styleId="7">
    <w:name w:val="toc 2"/>
    <w:basedOn w:val="1"/>
    <w:next w:val="1"/>
    <w:autoRedefine/>
    <w:unhideWhenUsed/>
    <w:uiPriority w:val="39"/>
    <w:pPr>
      <w:tabs>
        <w:tab w:val="left" w:pos="567"/>
        <w:tab w:val="right" w:leader="dot" w:pos="9016"/>
      </w:tabs>
      <w:snapToGrid w:val="0"/>
      <w:spacing w:line="300" w:lineRule="auto"/>
    </w:pPr>
    <w:rPr>
      <w:rFonts w:ascii="Arial" w:hAnsi="Arial"/>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footnote reference"/>
    <w:basedOn w:val="10"/>
    <w:semiHidden/>
    <w:unhideWhenUsed/>
    <w:qFormat/>
    <w:uiPriority w:val="99"/>
    <w:rPr>
      <w:vertAlign w:val="superscript"/>
    </w:rPr>
  </w:style>
  <w:style w:type="paragraph" w:styleId="13">
    <w:name w:val="List Paragraph"/>
    <w:basedOn w:val="1"/>
    <w:qFormat/>
    <w:uiPriority w:val="34"/>
    <w:pPr>
      <w:ind w:firstLine="420" w:firstLineChars="200"/>
    </w:pPr>
  </w:style>
  <w:style w:type="character" w:customStyle="1" w:styleId="14">
    <w:name w:val="脚注文本 Char"/>
    <w:basedOn w:val="10"/>
    <w:link w:val="6"/>
    <w:semiHidden/>
    <w:uiPriority w:val="99"/>
    <w:rPr>
      <w:sz w:val="18"/>
      <w:szCs w:val="18"/>
    </w:rPr>
  </w:style>
  <w:style w:type="character" w:customStyle="1" w:styleId="15">
    <w:name w:val="页眉 Char"/>
    <w:basedOn w:val="10"/>
    <w:link w:val="4"/>
    <w:qFormat/>
    <w:uiPriority w:val="99"/>
    <w:rPr>
      <w:sz w:val="18"/>
      <w:szCs w:val="18"/>
    </w:rPr>
  </w:style>
  <w:style w:type="character" w:customStyle="1" w:styleId="16">
    <w:name w:val="页脚 Char"/>
    <w:basedOn w:val="10"/>
    <w:link w:val="3"/>
    <w:uiPriority w:val="99"/>
    <w:rPr>
      <w:sz w:val="18"/>
      <w:szCs w:val="18"/>
    </w:rPr>
  </w:style>
  <w:style w:type="character" w:customStyle="1" w:styleId="17">
    <w:name w:val="批注框文本 Char"/>
    <w:basedOn w:val="10"/>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F84B-66AB-4C06-9F7A-A4BEAF3F72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6974</Words>
  <Characters>8127</Characters>
  <Lines>67</Lines>
  <Paragraphs>18</Paragraphs>
  <TotalTime>0</TotalTime>
  <ScaleCrop>false</ScaleCrop>
  <LinksUpToDate>false</LinksUpToDate>
  <CharactersWithSpaces>8192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2017-12-18T15:08:00Z</dcterms:created>
  <dc:creator>Guozhen Liu</dc:creator>
  <cp:lastModifiedBy>太极箫客</cp:lastModifiedBy>
  <dcterms:modified xsi:type="dcterms:W3CDTF">2025-08-14T06:31:37Z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0EEE4346F00E4E9781B910C76314D124_12</vt:lpwstr>
  </property>
</Properties>
</file>